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791B" w:rsidRPr="00EA6F91" w:rsidRDefault="00683298" w:rsidP="00BB1633">
      <w:pPr>
        <w:jc w:val="center"/>
        <w:rPr>
          <w:rFonts w:ascii="Courier New" w:hAnsi="Courier New" w:cs="Courier New"/>
          <w:b/>
        </w:rPr>
      </w:pPr>
      <w:r w:rsidRPr="00EA6F91">
        <w:rPr>
          <w:rFonts w:ascii="Courier New" w:hAnsi="Courier New" w:cs="Courier New"/>
          <w:b/>
        </w:rPr>
        <w:t>SUPPORTING STATEMENT</w:t>
      </w:r>
    </w:p>
    <w:p w:rsidR="00F50464" w:rsidRPr="00EA6F91" w:rsidRDefault="00F50464" w:rsidP="00BB1633">
      <w:pPr>
        <w:jc w:val="center"/>
        <w:rPr>
          <w:rFonts w:ascii="Courier New" w:hAnsi="Courier New" w:cs="Courier New"/>
          <w:b/>
        </w:rPr>
      </w:pPr>
      <w:r w:rsidRPr="00EA6F91">
        <w:rPr>
          <w:rFonts w:ascii="Courier New" w:hAnsi="Courier New" w:cs="Courier New"/>
          <w:b/>
        </w:rPr>
        <w:t>ENVIRONMENTAL PROTECTION AGENCY</w:t>
      </w:r>
    </w:p>
    <w:p w:rsidR="008A715C" w:rsidRPr="00EA6F91" w:rsidRDefault="008A715C" w:rsidP="00BB1633">
      <w:pPr>
        <w:jc w:val="center"/>
        <w:rPr>
          <w:rFonts w:ascii="Courier New" w:hAnsi="Courier New" w:cs="Courier New"/>
          <w:b/>
        </w:rPr>
      </w:pPr>
    </w:p>
    <w:p w:rsidR="00EA6F91" w:rsidRPr="00D94F3F" w:rsidRDefault="00732862" w:rsidP="00EA6F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rPr>
          <w:rFonts w:ascii="Courier New" w:hAnsi="Courier New" w:cs="Courier New"/>
        </w:rPr>
      </w:pPr>
      <w:r>
        <w:rPr>
          <w:rFonts w:ascii="Courier New" w:hAnsi="Courier New" w:cs="Courier New"/>
        </w:rPr>
        <w:t>Greenhouse Gas Reporting Program (</w:t>
      </w:r>
      <w:r w:rsidR="00F50464" w:rsidRPr="00EA6F91">
        <w:rPr>
          <w:rFonts w:ascii="Courier New" w:hAnsi="Courier New" w:cs="Courier New"/>
        </w:rPr>
        <w:t>Revisions to Reporting</w:t>
      </w:r>
      <w:r w:rsidR="008873B7" w:rsidRPr="00EA6F91">
        <w:rPr>
          <w:rFonts w:ascii="Courier New" w:hAnsi="Courier New" w:cs="Courier New"/>
        </w:rPr>
        <w:t xml:space="preserve"> and Recordkeeping </w:t>
      </w:r>
      <w:r w:rsidR="00F50464" w:rsidRPr="00EA6F91">
        <w:rPr>
          <w:rFonts w:ascii="Courier New" w:hAnsi="Courier New" w:cs="Courier New"/>
        </w:rPr>
        <w:t>Requirements</w:t>
      </w:r>
      <w:r w:rsidR="008873B7" w:rsidRPr="00EA6F91">
        <w:rPr>
          <w:rFonts w:ascii="Courier New" w:hAnsi="Courier New" w:cs="Courier New"/>
        </w:rPr>
        <w:t>, and Proposed Confidentiality Determinations</w:t>
      </w:r>
      <w:r>
        <w:rPr>
          <w:rFonts w:ascii="Courier New" w:hAnsi="Courier New" w:cs="Courier New"/>
        </w:rPr>
        <w:t xml:space="preserve"> Proposed Rule)</w:t>
      </w:r>
      <w:r w:rsidR="00284FE4">
        <w:rPr>
          <w:rFonts w:ascii="Courier New" w:hAnsi="Courier New" w:cs="Courier New"/>
        </w:rPr>
        <w:t xml:space="preserve"> </w:t>
      </w:r>
    </w:p>
    <w:p w:rsidR="00F50464" w:rsidRPr="00EA6F91" w:rsidRDefault="00F50464" w:rsidP="00F50464">
      <w:pPr>
        <w:keepNext/>
        <w:tabs>
          <w:tab w:val="center" w:pos="4320"/>
        </w:tabs>
        <w:spacing w:line="276" w:lineRule="auto"/>
        <w:jc w:val="center"/>
        <w:rPr>
          <w:rFonts w:ascii="Courier New" w:hAnsi="Courier New" w:cs="Courier New"/>
        </w:rPr>
      </w:pPr>
    </w:p>
    <w:p w:rsidR="008A715C" w:rsidRPr="00EA6F91" w:rsidRDefault="008A715C" w:rsidP="00AE16D4">
      <w:pPr>
        <w:spacing w:line="360" w:lineRule="auto"/>
        <w:rPr>
          <w:rFonts w:ascii="Courier New" w:hAnsi="Courier New" w:cs="Courier New"/>
          <w:b/>
        </w:rPr>
      </w:pPr>
    </w:p>
    <w:p w:rsidR="008A715C" w:rsidRPr="00EA6F91" w:rsidRDefault="008A715C" w:rsidP="00AE16D4">
      <w:pPr>
        <w:pStyle w:val="Heading1"/>
        <w:spacing w:line="360" w:lineRule="auto"/>
        <w:rPr>
          <w:rFonts w:ascii="Courier New" w:hAnsi="Courier New" w:cs="Courier New"/>
        </w:rPr>
      </w:pPr>
      <w:bookmarkStart w:id="0" w:name="_Toc336985069"/>
      <w:r w:rsidRPr="00EA6F91">
        <w:rPr>
          <w:rFonts w:ascii="Courier New" w:hAnsi="Courier New" w:cs="Courier New"/>
        </w:rPr>
        <w:t>1.</w:t>
      </w:r>
      <w:r w:rsidRPr="00EA6F91">
        <w:rPr>
          <w:rFonts w:ascii="Courier New" w:hAnsi="Courier New" w:cs="Courier New"/>
        </w:rPr>
        <w:tab/>
        <w:t>IDENTIFICATION OF THE INFORMATION COLLECTION</w:t>
      </w:r>
      <w:bookmarkEnd w:id="0"/>
    </w:p>
    <w:p w:rsidR="007735B8" w:rsidRDefault="007735B8" w:rsidP="007735B8">
      <w:pPr>
        <w:spacing w:line="360" w:lineRule="auto"/>
        <w:rPr>
          <w:rFonts w:ascii="Courier New" w:hAnsi="Courier New" w:cs="Courier New"/>
          <w:b/>
        </w:rPr>
      </w:pPr>
      <w:bookmarkStart w:id="1" w:name="_Toc336985070"/>
    </w:p>
    <w:p w:rsidR="008A715C" w:rsidRDefault="00683298" w:rsidP="007735B8">
      <w:pPr>
        <w:spacing w:line="360" w:lineRule="auto"/>
        <w:rPr>
          <w:rFonts w:ascii="Courier New" w:hAnsi="Courier New" w:cs="Courier New"/>
          <w:b/>
        </w:rPr>
      </w:pPr>
      <w:r w:rsidRPr="00AE16D4">
        <w:rPr>
          <w:rFonts w:ascii="Courier New" w:hAnsi="Courier New" w:cs="Courier New"/>
          <w:b/>
        </w:rPr>
        <w:t>1(a) Title of the Information Collection</w:t>
      </w:r>
      <w:bookmarkEnd w:id="1"/>
    </w:p>
    <w:p w:rsidR="00A018D7" w:rsidRDefault="00732862" w:rsidP="00EA6F91">
      <w:pPr>
        <w:spacing w:line="360" w:lineRule="auto"/>
        <w:ind w:firstLine="720"/>
        <w:rPr>
          <w:rFonts w:ascii="Courier New" w:hAnsi="Courier New" w:cs="Courier New"/>
        </w:rPr>
      </w:pPr>
      <w:proofErr w:type="gramStart"/>
      <w:r>
        <w:rPr>
          <w:rFonts w:ascii="Courier New" w:hAnsi="Courier New" w:cs="Courier New"/>
        </w:rPr>
        <w:t>Greenhouse Gas Reporting Program (</w:t>
      </w:r>
      <w:r w:rsidR="00F50464" w:rsidRPr="00EA6F91">
        <w:rPr>
          <w:rFonts w:ascii="Courier New" w:hAnsi="Courier New" w:cs="Courier New"/>
        </w:rPr>
        <w:t>Revisions to Reporting</w:t>
      </w:r>
      <w:r w:rsidR="008873B7" w:rsidRPr="00EA6F91">
        <w:rPr>
          <w:rFonts w:ascii="Courier New" w:hAnsi="Courier New" w:cs="Courier New"/>
        </w:rPr>
        <w:t xml:space="preserve"> and</w:t>
      </w:r>
      <w:r w:rsidR="00F50464" w:rsidRPr="00EA6F91">
        <w:rPr>
          <w:rFonts w:ascii="Courier New" w:hAnsi="Courier New" w:cs="Courier New"/>
        </w:rPr>
        <w:t xml:space="preserve"> Recordkeeping</w:t>
      </w:r>
      <w:r w:rsidR="008873B7" w:rsidRPr="00EA6F91">
        <w:rPr>
          <w:rFonts w:ascii="Courier New" w:hAnsi="Courier New" w:cs="Courier New"/>
        </w:rPr>
        <w:t xml:space="preserve"> </w:t>
      </w:r>
      <w:r w:rsidR="00F50464" w:rsidRPr="00EA6F91">
        <w:rPr>
          <w:rFonts w:ascii="Courier New" w:hAnsi="Courier New" w:cs="Courier New"/>
        </w:rPr>
        <w:t>Requirements</w:t>
      </w:r>
      <w:r w:rsidR="008873B7" w:rsidRPr="00EA6F91">
        <w:rPr>
          <w:rFonts w:ascii="Courier New" w:hAnsi="Courier New" w:cs="Courier New"/>
        </w:rPr>
        <w:t>, and Proposed Confidentiality Determinations</w:t>
      </w:r>
      <w:r>
        <w:rPr>
          <w:rFonts w:ascii="Courier New" w:hAnsi="Courier New" w:cs="Courier New"/>
        </w:rPr>
        <w:t xml:space="preserve"> Proposed Rule);</w:t>
      </w:r>
      <w:r w:rsidR="006E3251" w:rsidRPr="00EA6F91">
        <w:rPr>
          <w:rFonts w:ascii="Courier New" w:hAnsi="Courier New" w:cs="Courier New"/>
        </w:rPr>
        <w:t xml:space="preserve"> </w:t>
      </w:r>
      <w:r>
        <w:rPr>
          <w:rFonts w:ascii="Courier New" w:hAnsi="Courier New" w:cs="Courier New"/>
        </w:rPr>
        <w:t>OMB control number 2060-0629; ICR number 2300.12</w:t>
      </w:r>
      <w:r w:rsidR="001F1A2B" w:rsidRPr="00EA6F91">
        <w:rPr>
          <w:rFonts w:ascii="Courier New" w:hAnsi="Courier New" w:cs="Courier New"/>
        </w:rPr>
        <w:t>.</w:t>
      </w:r>
      <w:proofErr w:type="gramEnd"/>
    </w:p>
    <w:p w:rsidR="00AE16D4" w:rsidRPr="00EA6F91" w:rsidRDefault="00AE16D4" w:rsidP="00EA6F91">
      <w:pPr>
        <w:spacing w:line="360" w:lineRule="auto"/>
        <w:ind w:firstLine="720"/>
        <w:rPr>
          <w:rFonts w:ascii="Courier New" w:hAnsi="Courier New" w:cs="Courier New"/>
        </w:rPr>
      </w:pPr>
    </w:p>
    <w:p w:rsidR="008D78F6" w:rsidRPr="00EA6F91" w:rsidRDefault="008D78F6" w:rsidP="00AE16D4">
      <w:pPr>
        <w:pStyle w:val="Heading2"/>
        <w:spacing w:line="360" w:lineRule="auto"/>
        <w:ind w:firstLine="0"/>
        <w:rPr>
          <w:rFonts w:ascii="Courier New" w:hAnsi="Courier New" w:cs="Courier New"/>
        </w:rPr>
      </w:pPr>
      <w:bookmarkStart w:id="2" w:name="_Toc336985071"/>
      <w:r w:rsidRPr="00EA6F91">
        <w:rPr>
          <w:rFonts w:ascii="Courier New" w:hAnsi="Courier New" w:cs="Courier New"/>
        </w:rPr>
        <w:t>1(b) Short Characterization/Abstract</w:t>
      </w:r>
      <w:bookmarkEnd w:id="2"/>
    </w:p>
    <w:p w:rsidR="00C008D8" w:rsidRPr="00EA6F91" w:rsidRDefault="005B72D0" w:rsidP="00EA6F91">
      <w:pPr>
        <w:spacing w:line="360" w:lineRule="auto"/>
        <w:ind w:firstLine="720"/>
        <w:rPr>
          <w:rFonts w:ascii="Courier New" w:hAnsi="Courier New" w:cs="Courier New"/>
        </w:rPr>
      </w:pPr>
      <w:r>
        <w:rPr>
          <w:rFonts w:ascii="Courier New" w:hAnsi="Courier New" w:cs="Courier New"/>
        </w:rPr>
        <w:t xml:space="preserve">This supporting statement addresses information collection activities that would be imposed by these proposed revisions to the greenhouse gas reporting rule </w:t>
      </w:r>
      <w:r w:rsidRPr="00EA6F91">
        <w:rPr>
          <w:rFonts w:ascii="Courier New" w:hAnsi="Courier New" w:cs="Courier New"/>
        </w:rPr>
        <w:t>(40 CFR part 98; henceforth referred to as Part 98)</w:t>
      </w:r>
      <w:r>
        <w:rPr>
          <w:rFonts w:ascii="Courier New" w:hAnsi="Courier New" w:cs="Courier New"/>
        </w:rPr>
        <w:t xml:space="preserve">, finalized by EPA on </w:t>
      </w:r>
      <w:r w:rsidRPr="00EA6F91">
        <w:rPr>
          <w:rFonts w:ascii="Courier New" w:hAnsi="Courier New" w:cs="Courier New"/>
        </w:rPr>
        <w:t>October 30, 2009</w:t>
      </w:r>
      <w:r>
        <w:rPr>
          <w:rFonts w:ascii="Courier New" w:hAnsi="Courier New" w:cs="Courier New"/>
        </w:rPr>
        <w:t xml:space="preserve"> </w:t>
      </w:r>
      <w:r w:rsidRPr="00EA6F91">
        <w:rPr>
          <w:rFonts w:ascii="Courier New" w:hAnsi="Courier New" w:cs="Courier New"/>
        </w:rPr>
        <w:t>(74 FR 56260)</w:t>
      </w:r>
      <w:r>
        <w:rPr>
          <w:rFonts w:ascii="Courier New" w:hAnsi="Courier New" w:cs="Courier New"/>
        </w:rPr>
        <w:t>. Part 98</w:t>
      </w:r>
      <w:r w:rsidRPr="00EA6F91">
        <w:rPr>
          <w:rFonts w:ascii="Courier New" w:hAnsi="Courier New" w:cs="Courier New"/>
        </w:rPr>
        <w:t xml:space="preserve">, which became effective on December 29, 2009, </w:t>
      </w:r>
      <w:r>
        <w:rPr>
          <w:rFonts w:ascii="Courier New" w:hAnsi="Courier New" w:cs="Courier New"/>
        </w:rPr>
        <w:t xml:space="preserve">requires </w:t>
      </w:r>
      <w:r w:rsidR="00457A4C" w:rsidRPr="00EA6F91">
        <w:rPr>
          <w:rFonts w:ascii="Courier New" w:hAnsi="Courier New" w:cs="Courier New"/>
        </w:rPr>
        <w:t xml:space="preserve">that </w:t>
      </w:r>
      <w:r w:rsidR="00A47ACF">
        <w:rPr>
          <w:rFonts w:ascii="Courier New" w:hAnsi="Courier New" w:cs="Courier New"/>
        </w:rPr>
        <w:t>certain facilities and suppliers</w:t>
      </w:r>
      <w:r w:rsidR="00457A4C" w:rsidRPr="00EA6F91">
        <w:rPr>
          <w:rFonts w:ascii="Courier New" w:hAnsi="Courier New" w:cs="Courier New"/>
        </w:rPr>
        <w:t xml:space="preserve"> emitting above certain threshold levels of carbon dioxide (</w:t>
      </w:r>
      <w:r w:rsidR="00AB6F4F" w:rsidRPr="00EA6F91">
        <w:rPr>
          <w:rFonts w:ascii="Courier New" w:hAnsi="Courier New" w:cs="Courier New"/>
        </w:rPr>
        <w:t>CO</w:t>
      </w:r>
      <w:r w:rsidR="00AB6F4F" w:rsidRPr="00EA6F91">
        <w:rPr>
          <w:rFonts w:ascii="Courier New" w:hAnsi="Courier New" w:cs="Courier New"/>
          <w:vertAlign w:val="subscript"/>
        </w:rPr>
        <w:t>2</w:t>
      </w:r>
      <w:r w:rsidR="00457A4C" w:rsidRPr="00EA6F91">
        <w:rPr>
          <w:rFonts w:ascii="Courier New" w:hAnsi="Courier New" w:cs="Courier New"/>
        </w:rPr>
        <w:t>) equivalent (</w:t>
      </w:r>
      <w:r w:rsidR="00AB6F4F" w:rsidRPr="00EA6F91">
        <w:rPr>
          <w:rFonts w:ascii="Courier New" w:hAnsi="Courier New" w:cs="Courier New"/>
        </w:rPr>
        <w:t>CO</w:t>
      </w:r>
      <w:r w:rsidR="00AB6F4F" w:rsidRPr="00EA6F91">
        <w:rPr>
          <w:rFonts w:ascii="Courier New" w:hAnsi="Courier New" w:cs="Courier New"/>
          <w:vertAlign w:val="subscript"/>
        </w:rPr>
        <w:t>2</w:t>
      </w:r>
      <w:r w:rsidR="00457A4C" w:rsidRPr="00EA6F91">
        <w:rPr>
          <w:rFonts w:ascii="Courier New" w:hAnsi="Courier New" w:cs="Courier New"/>
        </w:rPr>
        <w:t>e) monitor and report emissions</w:t>
      </w:r>
      <w:r w:rsidR="00D75E4B">
        <w:rPr>
          <w:rFonts w:ascii="Courier New" w:hAnsi="Courier New" w:cs="Courier New"/>
        </w:rPr>
        <w:t xml:space="preserve"> of greenhouse gases (GHGs)</w:t>
      </w:r>
      <w:r w:rsidR="00457A4C" w:rsidRPr="00EA6F91">
        <w:rPr>
          <w:rFonts w:ascii="Courier New" w:hAnsi="Courier New" w:cs="Courier New"/>
        </w:rPr>
        <w:t>.</w:t>
      </w:r>
      <w:r>
        <w:rPr>
          <w:rFonts w:ascii="Courier New" w:hAnsi="Courier New" w:cs="Courier New"/>
        </w:rPr>
        <w:t xml:space="preserve"> These proposed revisions address how these emissions are reported and recorded.</w:t>
      </w:r>
    </w:p>
    <w:p w:rsidR="00FC21F3" w:rsidRDefault="0034009E" w:rsidP="00310193">
      <w:pPr>
        <w:spacing w:line="360" w:lineRule="auto"/>
        <w:ind w:firstLine="720"/>
        <w:rPr>
          <w:rFonts w:ascii="Courier New" w:hAnsi="Courier New" w:cs="Courier New"/>
        </w:rPr>
      </w:pPr>
      <w:r w:rsidRPr="0034009E">
        <w:rPr>
          <w:rFonts w:ascii="Courier New" w:hAnsi="Courier New" w:cs="Courier New"/>
        </w:rPr>
        <w:t xml:space="preserve">In </w:t>
      </w:r>
      <w:r>
        <w:rPr>
          <w:rFonts w:ascii="Courier New" w:hAnsi="Courier New" w:cs="Courier New"/>
        </w:rPr>
        <w:t xml:space="preserve">a </w:t>
      </w:r>
      <w:r w:rsidRPr="0034009E">
        <w:rPr>
          <w:rFonts w:ascii="Courier New" w:hAnsi="Courier New" w:cs="Courier New"/>
        </w:rPr>
        <w:t xml:space="preserve">July 7, 2010 action, the EPA proposed that data elements categorized as “inputs to emission equations” are emission data. </w:t>
      </w:r>
      <w:r w:rsidRPr="0034009E">
        <w:rPr>
          <w:rFonts w:ascii="Courier New" w:hAnsi="Courier New" w:cs="Courier New"/>
          <w:color w:val="000000"/>
        </w:rPr>
        <w:t>The CAA precludes “emission data” from being treated as confidential.</w:t>
      </w:r>
      <w:r>
        <w:rPr>
          <w:rFonts w:ascii="Courier New" w:hAnsi="Courier New" w:cs="Courier New"/>
          <w:color w:val="000000"/>
        </w:rPr>
        <w:t xml:space="preserve"> </w:t>
      </w:r>
      <w:r w:rsidR="006413AA" w:rsidRPr="00EA6F91">
        <w:rPr>
          <w:rFonts w:ascii="Courier New" w:hAnsi="Courier New" w:cs="Courier New"/>
        </w:rPr>
        <w:t xml:space="preserve">Due to </w:t>
      </w:r>
      <w:r w:rsidR="00F960ED">
        <w:rPr>
          <w:rFonts w:ascii="Courier New" w:hAnsi="Courier New" w:cs="Courier New"/>
        </w:rPr>
        <w:t xml:space="preserve">stakeholder </w:t>
      </w:r>
      <w:r w:rsidR="006413AA" w:rsidRPr="00EA6F91">
        <w:rPr>
          <w:rFonts w:ascii="Courier New" w:hAnsi="Courier New" w:cs="Courier New"/>
        </w:rPr>
        <w:t xml:space="preserve">concerns regarding potential </w:t>
      </w:r>
      <w:r w:rsidR="000C2700">
        <w:rPr>
          <w:rFonts w:ascii="Courier New" w:hAnsi="Courier New" w:cs="Courier New"/>
        </w:rPr>
        <w:t xml:space="preserve">competitive harm that would result from public </w:t>
      </w:r>
      <w:r w:rsidR="006413AA" w:rsidRPr="00EA6F91">
        <w:rPr>
          <w:rFonts w:ascii="Courier New" w:hAnsi="Courier New" w:cs="Courier New"/>
        </w:rPr>
        <w:t xml:space="preserve">release of these data elements, EPA deferred reporting of </w:t>
      </w:r>
      <w:r w:rsidR="006C2725">
        <w:rPr>
          <w:rFonts w:ascii="Courier New" w:hAnsi="Courier New" w:cs="Courier New"/>
        </w:rPr>
        <w:t xml:space="preserve">these data </w:t>
      </w:r>
      <w:r w:rsidR="006C2725">
        <w:rPr>
          <w:rFonts w:ascii="Courier New" w:hAnsi="Courier New" w:cs="Courier New"/>
        </w:rPr>
        <w:lastRenderedPageBreak/>
        <w:t>elements</w:t>
      </w:r>
      <w:r w:rsidR="006C2725" w:rsidRPr="006C2725">
        <w:rPr>
          <w:rFonts w:ascii="Courier New" w:hAnsi="Courier New" w:cs="Courier New"/>
        </w:rPr>
        <w:t xml:space="preserve"> </w:t>
      </w:r>
      <w:r w:rsidR="00583EBB" w:rsidRPr="00F82330">
        <w:rPr>
          <w:rFonts w:ascii="Courier New" w:hAnsi="Courier New"/>
          <w:bCs/>
          <w:color w:val="000000"/>
        </w:rPr>
        <w:t>(see August 25, 2011 final action, 76 FR 53057)</w:t>
      </w:r>
      <w:r w:rsidR="00583EBB">
        <w:rPr>
          <w:rFonts w:ascii="Courier New" w:hAnsi="Courier New"/>
          <w:bCs/>
          <w:color w:val="000000"/>
        </w:rPr>
        <w:t xml:space="preserve"> </w:t>
      </w:r>
      <w:r w:rsidR="006C2725" w:rsidRPr="00EA6F91">
        <w:rPr>
          <w:rFonts w:ascii="Courier New" w:hAnsi="Courier New" w:cs="Courier New"/>
        </w:rPr>
        <w:t xml:space="preserve">to allow EPA </w:t>
      </w:r>
      <w:r w:rsidR="006C2725">
        <w:rPr>
          <w:rFonts w:ascii="Courier New" w:hAnsi="Courier New" w:cs="Courier New"/>
        </w:rPr>
        <w:t xml:space="preserve">time </w:t>
      </w:r>
      <w:r w:rsidR="006C2725" w:rsidRPr="00EA6F91">
        <w:rPr>
          <w:rFonts w:ascii="Courier New" w:hAnsi="Courier New" w:cs="Courier New"/>
        </w:rPr>
        <w:t xml:space="preserve">to complete </w:t>
      </w:r>
      <w:r w:rsidR="006C2725">
        <w:rPr>
          <w:rFonts w:ascii="Courier New" w:hAnsi="Courier New" w:cs="Courier New"/>
        </w:rPr>
        <w:t>an</w:t>
      </w:r>
      <w:r w:rsidR="006C2725" w:rsidRPr="00EA6F91">
        <w:rPr>
          <w:rFonts w:ascii="Courier New" w:hAnsi="Courier New" w:cs="Courier New"/>
        </w:rPr>
        <w:t xml:space="preserve"> evaluation of the potential impact from the public release of these data elements</w:t>
      </w:r>
      <w:r w:rsidR="00583EBB">
        <w:rPr>
          <w:rFonts w:ascii="Courier New" w:hAnsi="Courier New" w:cs="Courier New"/>
        </w:rPr>
        <w:t xml:space="preserve"> </w:t>
      </w:r>
      <w:r w:rsidR="00583EBB" w:rsidRPr="00F82330">
        <w:rPr>
          <w:rFonts w:ascii="Courier New" w:hAnsi="Courier New"/>
          <w:bCs/>
          <w:color w:val="000000"/>
        </w:rPr>
        <w:t>(see 76 FR 53060)</w:t>
      </w:r>
      <w:r w:rsidR="006C2725">
        <w:rPr>
          <w:rFonts w:ascii="Courier New" w:hAnsi="Courier New" w:cs="Courier New"/>
        </w:rPr>
        <w:t xml:space="preserve">. Reporting of certain of these data elements was deferred to March 31, 2013, and reporting of the remainder of </w:t>
      </w:r>
      <w:r w:rsidR="006413AA" w:rsidRPr="00EA6F91">
        <w:rPr>
          <w:rFonts w:ascii="Courier New" w:hAnsi="Courier New" w:cs="Courier New"/>
        </w:rPr>
        <w:t xml:space="preserve">these data elements </w:t>
      </w:r>
      <w:r w:rsidR="006C2725">
        <w:rPr>
          <w:rFonts w:ascii="Courier New" w:hAnsi="Courier New" w:cs="Courier New"/>
        </w:rPr>
        <w:t>was deferred to</w:t>
      </w:r>
      <w:r w:rsidR="0054778F" w:rsidRPr="00EA6F91">
        <w:rPr>
          <w:rFonts w:ascii="Courier New" w:hAnsi="Courier New" w:cs="Courier New"/>
        </w:rPr>
        <w:t xml:space="preserve"> </w:t>
      </w:r>
      <w:r w:rsidR="000C2700">
        <w:rPr>
          <w:rFonts w:ascii="Courier New" w:hAnsi="Courier New" w:cs="Courier New"/>
        </w:rPr>
        <w:t>March 3</w:t>
      </w:r>
      <w:r w:rsidR="006C2725">
        <w:rPr>
          <w:rFonts w:ascii="Courier New" w:hAnsi="Courier New" w:cs="Courier New"/>
        </w:rPr>
        <w:t>1</w:t>
      </w:r>
      <w:r w:rsidR="000C2700">
        <w:rPr>
          <w:rFonts w:ascii="Courier New" w:hAnsi="Courier New" w:cs="Courier New"/>
        </w:rPr>
        <w:t xml:space="preserve">, </w:t>
      </w:r>
      <w:r w:rsidR="0054778F" w:rsidRPr="00EA6F91">
        <w:rPr>
          <w:rFonts w:ascii="Courier New" w:hAnsi="Courier New" w:cs="Courier New"/>
        </w:rPr>
        <w:t>2015</w:t>
      </w:r>
      <w:r w:rsidR="002354C7" w:rsidRPr="00EA6F91">
        <w:rPr>
          <w:rFonts w:ascii="Courier New" w:hAnsi="Courier New" w:cs="Courier New"/>
        </w:rPr>
        <w:t xml:space="preserve">. </w:t>
      </w:r>
    </w:p>
    <w:p w:rsidR="00310193" w:rsidRDefault="000B3A55" w:rsidP="00310193">
      <w:pPr>
        <w:spacing w:line="360" w:lineRule="auto"/>
        <w:ind w:firstLine="720"/>
        <w:rPr>
          <w:rFonts w:ascii="Courier New" w:hAnsi="Courier New" w:cs="Courier New"/>
        </w:rPr>
      </w:pPr>
      <w:r>
        <w:rPr>
          <w:rFonts w:ascii="Courier New" w:hAnsi="Courier New" w:cs="Courier New"/>
        </w:rPr>
        <w:t>Based on its evaluation</w:t>
      </w:r>
      <w:r w:rsidR="006C2725">
        <w:rPr>
          <w:rFonts w:ascii="Courier New" w:hAnsi="Courier New" w:cs="Courier New"/>
        </w:rPr>
        <w:t xml:space="preserve"> of the data elements for which reporting was deferred to March 31, 20</w:t>
      </w:r>
      <w:r w:rsidR="009636EF">
        <w:rPr>
          <w:rFonts w:ascii="Courier New" w:hAnsi="Courier New" w:cs="Courier New"/>
        </w:rPr>
        <w:t>15 (henceforth referred to as “inputs to equations</w:t>
      </w:r>
      <w:r w:rsidR="006C2725">
        <w:rPr>
          <w:rFonts w:ascii="Courier New" w:hAnsi="Courier New" w:cs="Courier New"/>
        </w:rPr>
        <w:t>” data elements”)</w:t>
      </w:r>
      <w:r w:rsidR="006C2725">
        <w:rPr>
          <w:rStyle w:val="FootnoteReference"/>
          <w:rFonts w:ascii="Courier New" w:hAnsi="Courier New" w:cs="Courier New"/>
        </w:rPr>
        <w:footnoteReference w:id="1"/>
      </w:r>
      <w:r>
        <w:rPr>
          <w:rFonts w:ascii="Courier New" w:hAnsi="Courier New" w:cs="Courier New"/>
        </w:rPr>
        <w:t xml:space="preserve">, </w:t>
      </w:r>
      <w:r w:rsidR="00FC21F3">
        <w:rPr>
          <w:rFonts w:ascii="Courier New" w:hAnsi="Courier New" w:cs="Courier New"/>
        </w:rPr>
        <w:t xml:space="preserve">EPA is proposing </w:t>
      </w:r>
      <w:r w:rsidR="006413AA" w:rsidRPr="00EA6F91">
        <w:rPr>
          <w:rFonts w:ascii="Courier New" w:hAnsi="Courier New" w:cs="Courier New"/>
        </w:rPr>
        <w:t>amendments to reporting and record</w:t>
      </w:r>
      <w:r w:rsidR="0051249F" w:rsidRPr="00EA6F91">
        <w:rPr>
          <w:rFonts w:ascii="Courier New" w:hAnsi="Courier New" w:cs="Courier New"/>
        </w:rPr>
        <w:t>keep</w:t>
      </w:r>
      <w:r w:rsidR="006413AA" w:rsidRPr="00EA6F91">
        <w:rPr>
          <w:rFonts w:ascii="Courier New" w:hAnsi="Courier New" w:cs="Courier New"/>
        </w:rPr>
        <w:t xml:space="preserve">ing requirements for reporters subject to </w:t>
      </w:r>
      <w:r w:rsidR="00173C18">
        <w:rPr>
          <w:rFonts w:ascii="Courier New" w:hAnsi="Courier New" w:cs="Courier New"/>
        </w:rPr>
        <w:t>24</w:t>
      </w:r>
      <w:r w:rsidR="006413AA" w:rsidRPr="00EA6F91">
        <w:rPr>
          <w:rFonts w:ascii="Courier New" w:hAnsi="Courier New" w:cs="Courier New"/>
        </w:rPr>
        <w:t xml:space="preserve"> subparts </w:t>
      </w:r>
      <w:r w:rsidR="00A47ACF">
        <w:rPr>
          <w:rFonts w:ascii="Courier New" w:hAnsi="Courier New" w:cs="Courier New"/>
        </w:rPr>
        <w:t>that require reporting of</w:t>
      </w:r>
      <w:r w:rsidR="006413AA" w:rsidRPr="00EA6F91">
        <w:rPr>
          <w:rFonts w:ascii="Courier New" w:hAnsi="Courier New" w:cs="Courier New"/>
        </w:rPr>
        <w:t xml:space="preserve"> </w:t>
      </w:r>
      <w:r w:rsidR="006C2725">
        <w:rPr>
          <w:rFonts w:ascii="Courier New" w:hAnsi="Courier New" w:cs="Courier New"/>
        </w:rPr>
        <w:t xml:space="preserve">these </w:t>
      </w:r>
      <w:r w:rsidR="006413AA" w:rsidRPr="00EA6F91">
        <w:rPr>
          <w:rFonts w:ascii="Courier New" w:hAnsi="Courier New" w:cs="Courier New"/>
        </w:rPr>
        <w:t xml:space="preserve">inputs </w:t>
      </w:r>
      <w:r w:rsidR="006E3251" w:rsidRPr="00EA6F91">
        <w:rPr>
          <w:rFonts w:ascii="Courier New" w:hAnsi="Courier New" w:cs="Courier New"/>
        </w:rPr>
        <w:t>to emission equations</w:t>
      </w:r>
      <w:r w:rsidR="006413AA" w:rsidRPr="00EA6F91">
        <w:rPr>
          <w:rFonts w:ascii="Courier New" w:hAnsi="Courier New" w:cs="Courier New"/>
        </w:rPr>
        <w:t>. The</w:t>
      </w:r>
      <w:r w:rsidR="008409F5">
        <w:rPr>
          <w:rFonts w:ascii="Courier New" w:hAnsi="Courier New" w:cs="Courier New"/>
        </w:rPr>
        <w:t>se</w:t>
      </w:r>
      <w:r w:rsidR="006413AA" w:rsidRPr="00EA6F91">
        <w:rPr>
          <w:rFonts w:ascii="Courier New" w:hAnsi="Courier New" w:cs="Courier New"/>
        </w:rPr>
        <w:t xml:space="preserve"> </w:t>
      </w:r>
      <w:r w:rsidR="007D2DC9" w:rsidRPr="00EA6F91">
        <w:rPr>
          <w:rFonts w:ascii="Courier New" w:hAnsi="Courier New" w:cs="Courier New"/>
        </w:rPr>
        <w:t>revisions include</w:t>
      </w:r>
      <w:r w:rsidR="00A47ACF">
        <w:rPr>
          <w:rFonts w:ascii="Courier New" w:hAnsi="Courier New" w:cs="Courier New"/>
        </w:rPr>
        <w:t>:</w:t>
      </w:r>
      <w:r w:rsidR="007D2DC9" w:rsidRPr="00EA6F91">
        <w:rPr>
          <w:rFonts w:ascii="Courier New" w:hAnsi="Courier New" w:cs="Courier New"/>
        </w:rPr>
        <w:t xml:space="preserve"> </w:t>
      </w:r>
    </w:p>
    <w:p w:rsidR="0071123D" w:rsidRDefault="002B1503" w:rsidP="00310193">
      <w:pPr>
        <w:pStyle w:val="Bullet-GHGPreamble"/>
        <w:numPr>
          <w:ilvl w:val="0"/>
          <w:numId w:val="23"/>
        </w:numPr>
        <w:spacing w:before="80" w:after="80"/>
        <w:rPr>
          <w:rFonts w:cs="Courier New"/>
        </w:rPr>
      </w:pPr>
      <w:r>
        <w:rPr>
          <w:rFonts w:cs="Courier New"/>
        </w:rPr>
        <w:t xml:space="preserve">For </w:t>
      </w:r>
      <w:r w:rsidR="0034009E">
        <w:rPr>
          <w:rFonts w:cs="Courier New"/>
        </w:rPr>
        <w:t xml:space="preserve">reporters subject to </w:t>
      </w:r>
      <w:r>
        <w:rPr>
          <w:rFonts w:cs="Courier New"/>
        </w:rPr>
        <w:t>2</w:t>
      </w:r>
      <w:r w:rsidR="00173C18">
        <w:rPr>
          <w:rFonts w:cs="Courier New"/>
        </w:rPr>
        <w:t>4</w:t>
      </w:r>
      <w:r>
        <w:rPr>
          <w:rFonts w:cs="Courier New"/>
        </w:rPr>
        <w:t xml:space="preserve"> subparts</w:t>
      </w:r>
      <w:r w:rsidR="0034009E">
        <w:rPr>
          <w:rFonts w:cs="Courier New"/>
        </w:rPr>
        <w:t xml:space="preserve"> that use “inputs to equations” data elements to calculate reported GHGs</w:t>
      </w:r>
      <w:r>
        <w:rPr>
          <w:rFonts w:cs="Courier New"/>
        </w:rPr>
        <w:t>, r</w:t>
      </w:r>
      <w:r w:rsidR="0071123D">
        <w:rPr>
          <w:rFonts w:cs="Courier New"/>
        </w:rPr>
        <w:t xml:space="preserve">eplacing current </w:t>
      </w:r>
      <w:r w:rsidR="00633A1B">
        <w:rPr>
          <w:rFonts w:cs="Courier New"/>
        </w:rPr>
        <w:t xml:space="preserve">reporting and recordkeeping </w:t>
      </w:r>
      <w:r w:rsidR="0071123D">
        <w:rPr>
          <w:rFonts w:cs="Courier New"/>
        </w:rPr>
        <w:t xml:space="preserve">requirements (previously included in an information collection request </w:t>
      </w:r>
      <w:r w:rsidR="0071123D" w:rsidRPr="00EA6F91">
        <w:rPr>
          <w:rFonts w:cs="Courier New"/>
        </w:rPr>
        <w:t>approved by OMB</w:t>
      </w:r>
      <w:r w:rsidR="0071123D">
        <w:rPr>
          <w:rFonts w:cs="Courier New"/>
        </w:rPr>
        <w:t>) with new requirements, as follows:</w:t>
      </w:r>
      <w:r w:rsidR="0034009E">
        <w:rPr>
          <w:rStyle w:val="FootnoteReference"/>
          <w:rFonts w:cs="Courier New"/>
        </w:rPr>
        <w:footnoteReference w:id="2"/>
      </w:r>
    </w:p>
    <w:p w:rsidR="00633A1B" w:rsidRDefault="002B1503">
      <w:pPr>
        <w:pStyle w:val="Bullet-GHGPreamble"/>
        <w:numPr>
          <w:ilvl w:val="1"/>
          <w:numId w:val="23"/>
        </w:numPr>
        <w:spacing w:before="80" w:after="80"/>
        <w:rPr>
          <w:rFonts w:cs="Courier New"/>
        </w:rPr>
      </w:pPr>
      <w:r>
        <w:rPr>
          <w:rFonts w:cs="Courier New"/>
        </w:rPr>
        <w:t xml:space="preserve">Replacing </w:t>
      </w:r>
      <w:r w:rsidR="001F651D">
        <w:rPr>
          <w:rFonts w:cs="Courier New"/>
        </w:rPr>
        <w:t xml:space="preserve">the requirement </w:t>
      </w:r>
      <w:r>
        <w:rPr>
          <w:rFonts w:cs="Courier New"/>
        </w:rPr>
        <w:t xml:space="preserve">to </w:t>
      </w:r>
      <w:r w:rsidR="0071123D">
        <w:rPr>
          <w:rFonts w:cs="Courier New"/>
        </w:rPr>
        <w:t xml:space="preserve">report </w:t>
      </w:r>
      <w:r w:rsidR="004E7872">
        <w:rPr>
          <w:rFonts w:cs="Courier New"/>
        </w:rPr>
        <w:t>“</w:t>
      </w:r>
      <w:r w:rsidR="001F651D">
        <w:rPr>
          <w:rFonts w:cs="Courier New"/>
        </w:rPr>
        <w:t>inputs to equations</w:t>
      </w:r>
      <w:r w:rsidR="00B95F13">
        <w:rPr>
          <w:rFonts w:cs="Courier New"/>
        </w:rPr>
        <w:t>”</w:t>
      </w:r>
      <w:r w:rsidR="001F651D">
        <w:rPr>
          <w:rFonts w:cs="Courier New"/>
        </w:rPr>
        <w:t xml:space="preserve"> </w:t>
      </w:r>
      <w:r w:rsidR="000C2700">
        <w:rPr>
          <w:rFonts w:cs="Courier New"/>
        </w:rPr>
        <w:t xml:space="preserve">data elements </w:t>
      </w:r>
      <w:r w:rsidR="00FD2DE1">
        <w:rPr>
          <w:rFonts w:cs="Courier New"/>
        </w:rPr>
        <w:t xml:space="preserve">via </w:t>
      </w:r>
      <w:r w:rsidR="00062408" w:rsidRPr="00AB09B1">
        <w:rPr>
          <w:rFonts w:eastAsia="Calibri" w:cs="Courier New"/>
          <w:bCs/>
        </w:rPr>
        <w:t>the web-based Electronic Greenhouse Gas Reporting Tool (e-GGRT)</w:t>
      </w:r>
      <w:r>
        <w:rPr>
          <w:rFonts w:cs="Courier New"/>
        </w:rPr>
        <w:t xml:space="preserve"> (i.e., enter</w:t>
      </w:r>
      <w:r w:rsidR="00F9692A">
        <w:rPr>
          <w:rFonts w:cs="Courier New"/>
        </w:rPr>
        <w:t>ing</w:t>
      </w:r>
      <w:r>
        <w:rPr>
          <w:rFonts w:cs="Courier New"/>
        </w:rPr>
        <w:t xml:space="preserve"> these data into e-GGRT)</w:t>
      </w:r>
      <w:r w:rsidR="00FD2DE1">
        <w:rPr>
          <w:rFonts w:cs="Courier New"/>
        </w:rPr>
        <w:t xml:space="preserve">, </w:t>
      </w:r>
      <w:r w:rsidR="001F651D">
        <w:rPr>
          <w:rFonts w:cs="Courier New"/>
        </w:rPr>
        <w:t xml:space="preserve">and, instead, requiring that these data be entered into </w:t>
      </w:r>
      <w:r w:rsidR="00310193" w:rsidRPr="00310193">
        <w:rPr>
          <w:rFonts w:cs="Courier New"/>
        </w:rPr>
        <w:t>an inputs verification tool</w:t>
      </w:r>
      <w:r w:rsidR="005854DC">
        <w:rPr>
          <w:rStyle w:val="FootnoteReference"/>
          <w:rFonts w:cs="Courier New"/>
        </w:rPr>
        <w:footnoteReference w:id="3"/>
      </w:r>
      <w:r w:rsidR="00FD2DE1">
        <w:rPr>
          <w:rFonts w:cs="Courier New"/>
        </w:rPr>
        <w:t xml:space="preserve"> </w:t>
      </w:r>
      <w:r w:rsidR="00FD2DE1">
        <w:rPr>
          <w:rFonts w:cs="Courier New"/>
        </w:rPr>
        <w:lastRenderedPageBreak/>
        <w:t>provided in e-GGRT</w:t>
      </w:r>
      <w:r w:rsidR="0071123D">
        <w:rPr>
          <w:rFonts w:cs="Courier New"/>
        </w:rPr>
        <w:t>.</w:t>
      </w:r>
      <w:r w:rsidR="0034009E" w:rsidRPr="0034009E">
        <w:t xml:space="preserve"> </w:t>
      </w:r>
      <w:r w:rsidR="0034009E">
        <w:t>T</w:t>
      </w:r>
      <w:r w:rsidR="0034009E" w:rsidRPr="0023010F">
        <w:t>h</w:t>
      </w:r>
      <w:r w:rsidR="0034009E">
        <w:t xml:space="preserve">is proposed amendment </w:t>
      </w:r>
      <w:r w:rsidR="0034009E" w:rsidRPr="0023010F">
        <w:t xml:space="preserve">would not </w:t>
      </w:r>
      <w:r w:rsidR="0034009E">
        <w:t>apply to r</w:t>
      </w:r>
      <w:r w:rsidR="0034009E" w:rsidRPr="0023010F">
        <w:t xml:space="preserve">eporters for any </w:t>
      </w:r>
      <w:r w:rsidR="0034009E">
        <w:t xml:space="preserve">reported </w:t>
      </w:r>
      <w:r w:rsidR="0034009E" w:rsidRPr="0023010F">
        <w:t xml:space="preserve">GHG for which the reporter uses a CEMS or an EPA-approved alternative method (as allowed under </w:t>
      </w:r>
      <w:r w:rsidR="0034009E">
        <w:t xml:space="preserve">sections 98.33(a)(5), 98.53(a)(2), and 98.223(a)(2) of </w:t>
      </w:r>
      <w:r w:rsidR="0034009E" w:rsidRPr="0023010F">
        <w:t>Part 98) to calculate the reported GHG value</w:t>
      </w:r>
      <w:r w:rsidR="0034009E">
        <w:t>.</w:t>
      </w:r>
    </w:p>
    <w:p w:rsidR="00243FB2" w:rsidRPr="00310193" w:rsidRDefault="002B1503" w:rsidP="00243FB2">
      <w:pPr>
        <w:pStyle w:val="Bullet-GHGPreamble"/>
        <w:numPr>
          <w:ilvl w:val="1"/>
          <w:numId w:val="23"/>
        </w:numPr>
        <w:spacing w:before="80" w:after="80"/>
        <w:rPr>
          <w:rFonts w:cs="Courier New"/>
        </w:rPr>
      </w:pPr>
      <w:r>
        <w:rPr>
          <w:rFonts w:cs="Courier New"/>
        </w:rPr>
        <w:t xml:space="preserve">Regarding the current requirement that reporters keep records of these </w:t>
      </w:r>
      <w:r w:rsidR="00B95F13">
        <w:rPr>
          <w:rFonts w:cs="Courier New"/>
        </w:rPr>
        <w:t>“</w:t>
      </w:r>
      <w:r>
        <w:rPr>
          <w:rFonts w:cs="Courier New"/>
        </w:rPr>
        <w:t>inputs to equations</w:t>
      </w:r>
      <w:r w:rsidR="00B95F13">
        <w:rPr>
          <w:rFonts w:cs="Courier New"/>
        </w:rPr>
        <w:t>” data elements</w:t>
      </w:r>
      <w:r>
        <w:rPr>
          <w:rFonts w:cs="Courier New"/>
        </w:rPr>
        <w:t>, c</w:t>
      </w:r>
      <w:r w:rsidR="0071123D">
        <w:rPr>
          <w:rFonts w:cs="Courier New"/>
        </w:rPr>
        <w:t xml:space="preserve">hanging the format </w:t>
      </w:r>
      <w:r>
        <w:rPr>
          <w:rFonts w:cs="Courier New"/>
        </w:rPr>
        <w:t xml:space="preserve">of these records to be a </w:t>
      </w:r>
      <w:r w:rsidR="00243FB2">
        <w:rPr>
          <w:rFonts w:cs="Courier New"/>
        </w:rPr>
        <w:t>file generated by the inputs verification tool</w:t>
      </w:r>
      <w:r w:rsidR="0071123D">
        <w:rPr>
          <w:rFonts w:cs="Courier New"/>
        </w:rPr>
        <w:t>, which lists these entered data</w:t>
      </w:r>
      <w:r w:rsidR="00243FB2" w:rsidRPr="00310193">
        <w:rPr>
          <w:rFonts w:cs="Courier New"/>
        </w:rPr>
        <w:t>.</w:t>
      </w:r>
      <w:r>
        <w:rPr>
          <w:rFonts w:cs="Courier New"/>
        </w:rPr>
        <w:t xml:space="preserve"> The current requirement is to maintain these records in any format allowed under Subpart A of Part 98.</w:t>
      </w:r>
    </w:p>
    <w:p w:rsidR="00310193" w:rsidRPr="00243FB2" w:rsidRDefault="00243FB2" w:rsidP="00243FB2">
      <w:pPr>
        <w:pStyle w:val="Bullet-GHGPreamble"/>
        <w:numPr>
          <w:ilvl w:val="1"/>
          <w:numId w:val="23"/>
        </w:numPr>
        <w:spacing w:before="80" w:after="80"/>
        <w:rPr>
          <w:rFonts w:cs="Courier New"/>
        </w:rPr>
      </w:pPr>
      <w:r>
        <w:rPr>
          <w:rFonts w:cs="Courier New"/>
        </w:rPr>
        <w:t>L</w:t>
      </w:r>
      <w:r w:rsidRPr="00310193">
        <w:rPr>
          <w:rFonts w:cs="Courier New"/>
        </w:rPr>
        <w:t xml:space="preserve">engthening the record retention period from </w:t>
      </w:r>
      <w:r w:rsidR="005F27C4">
        <w:rPr>
          <w:rFonts w:cs="Courier New"/>
        </w:rPr>
        <w:t>three</w:t>
      </w:r>
      <w:r w:rsidRPr="00310193">
        <w:rPr>
          <w:rFonts w:cs="Courier New"/>
        </w:rPr>
        <w:t xml:space="preserve"> to </w:t>
      </w:r>
      <w:r w:rsidR="005F27C4">
        <w:rPr>
          <w:rFonts w:cs="Courier New"/>
        </w:rPr>
        <w:t>five</w:t>
      </w:r>
      <w:r w:rsidRPr="00310193">
        <w:rPr>
          <w:rFonts w:cs="Courier New"/>
        </w:rPr>
        <w:t xml:space="preserve"> years for all records maintained under Part 98.</w:t>
      </w:r>
      <w:r w:rsidR="00310193" w:rsidRPr="00243FB2">
        <w:rPr>
          <w:rFonts w:cs="Courier New"/>
        </w:rPr>
        <w:t xml:space="preserve"> </w:t>
      </w:r>
    </w:p>
    <w:p w:rsidR="001F651D" w:rsidRDefault="0034009E" w:rsidP="00FD2DE1">
      <w:pPr>
        <w:pStyle w:val="ListParagraph"/>
        <w:numPr>
          <w:ilvl w:val="0"/>
          <w:numId w:val="23"/>
        </w:numPr>
        <w:rPr>
          <w:rFonts w:ascii="Courier New" w:hAnsi="Courier New" w:cs="Courier New"/>
        </w:rPr>
      </w:pPr>
      <w:r>
        <w:rPr>
          <w:rFonts w:ascii="Courier New" w:hAnsi="Courier New" w:cs="Courier New"/>
        </w:rPr>
        <w:t>R</w:t>
      </w:r>
      <w:r w:rsidR="00FD2DE1" w:rsidRPr="00FD2DE1">
        <w:rPr>
          <w:rFonts w:ascii="Courier New" w:hAnsi="Courier New" w:cs="Courier New"/>
        </w:rPr>
        <w:t xml:space="preserve">equiring </w:t>
      </w:r>
      <w:r w:rsidR="001F651D" w:rsidRPr="00FD2DE1">
        <w:rPr>
          <w:rFonts w:ascii="Courier New" w:hAnsi="Courier New" w:cs="Courier New"/>
        </w:rPr>
        <w:t>report</w:t>
      </w:r>
      <w:r w:rsidR="00FD2DE1" w:rsidRPr="00FD2DE1">
        <w:rPr>
          <w:rFonts w:ascii="Courier New" w:hAnsi="Courier New" w:cs="Courier New"/>
        </w:rPr>
        <w:t>ing of</w:t>
      </w:r>
      <w:r w:rsidR="001F651D" w:rsidRPr="00FD2DE1">
        <w:rPr>
          <w:rFonts w:ascii="Courier New" w:hAnsi="Courier New" w:cs="Courier New"/>
        </w:rPr>
        <w:t xml:space="preserve"> </w:t>
      </w:r>
      <w:r>
        <w:rPr>
          <w:rFonts w:ascii="Courier New" w:hAnsi="Courier New" w:cs="Courier New"/>
        </w:rPr>
        <w:t xml:space="preserve">26 </w:t>
      </w:r>
      <w:r w:rsidR="001F651D" w:rsidRPr="00FD2DE1">
        <w:rPr>
          <w:rFonts w:ascii="Courier New" w:hAnsi="Courier New" w:cs="Courier New"/>
        </w:rPr>
        <w:t>new data elements.</w:t>
      </w:r>
    </w:p>
    <w:p w:rsidR="000D1C8D" w:rsidRDefault="006C2725" w:rsidP="00C1665A">
      <w:pPr>
        <w:tabs>
          <w:tab w:val="left" w:pos="2340"/>
        </w:tabs>
        <w:spacing w:line="360" w:lineRule="auto"/>
        <w:rPr>
          <w:rFonts w:ascii="Courier New" w:hAnsi="Courier New" w:cs="Courier New"/>
        </w:rPr>
      </w:pPr>
      <w:r>
        <w:rPr>
          <w:rFonts w:ascii="Courier New" w:hAnsi="Courier New" w:cs="Courier New"/>
        </w:rPr>
        <w:tab/>
      </w:r>
    </w:p>
    <w:p w:rsidR="00BF4F06" w:rsidRDefault="00C153E4" w:rsidP="00AE16D4">
      <w:pPr>
        <w:spacing w:line="360" w:lineRule="auto"/>
        <w:ind w:firstLine="720"/>
        <w:rPr>
          <w:rFonts w:ascii="Courier New" w:hAnsi="Courier New" w:cs="Courier New"/>
        </w:rPr>
      </w:pPr>
      <w:r>
        <w:rPr>
          <w:rFonts w:ascii="Courier New" w:hAnsi="Courier New" w:cs="Courier New"/>
        </w:rPr>
        <w:t xml:space="preserve">These activities </w:t>
      </w:r>
      <w:r w:rsidR="000E5064">
        <w:rPr>
          <w:rFonts w:ascii="Courier New" w:hAnsi="Courier New" w:cs="Courier New"/>
        </w:rPr>
        <w:t xml:space="preserve">would </w:t>
      </w:r>
      <w:r>
        <w:rPr>
          <w:rFonts w:ascii="Courier New" w:hAnsi="Courier New" w:cs="Courier New"/>
        </w:rPr>
        <w:t>enable EPA to verify emissions and ensure compliance with the GHGRP.</w:t>
      </w:r>
      <w:r w:rsidR="00243FB2">
        <w:rPr>
          <w:rFonts w:ascii="Courier New" w:hAnsi="Courier New" w:cs="Courier New"/>
        </w:rPr>
        <w:t xml:space="preserve"> </w:t>
      </w:r>
    </w:p>
    <w:p w:rsidR="00977879" w:rsidRDefault="00847072">
      <w:pPr>
        <w:pStyle w:val="Heading1"/>
        <w:spacing w:line="360" w:lineRule="auto"/>
        <w:ind w:firstLine="720"/>
        <w:rPr>
          <w:rFonts w:ascii="Courier New" w:hAnsi="Courier New" w:cs="Courier New"/>
          <w:b w:val="0"/>
        </w:rPr>
      </w:pPr>
      <w:r w:rsidRPr="00847072">
        <w:rPr>
          <w:rFonts w:ascii="Courier New" w:hAnsi="Courier New" w:cs="Courier New"/>
          <w:b w:val="0"/>
        </w:rPr>
        <w:t xml:space="preserve">Compared with the estimated respondent burden identified in the information collection for the GHGRP currently approved by OMB, this proposed information collection would increase the estimated respondent burden by </w:t>
      </w:r>
      <w:r w:rsidR="001F4CA7">
        <w:rPr>
          <w:rFonts w:ascii="Courier New" w:hAnsi="Courier New" w:cs="Courier New"/>
          <w:b w:val="0"/>
        </w:rPr>
        <w:t>10,786</w:t>
      </w:r>
      <w:r w:rsidRPr="00847072">
        <w:rPr>
          <w:rFonts w:ascii="Courier New" w:hAnsi="Courier New" w:cs="Courier New"/>
          <w:b w:val="0"/>
        </w:rPr>
        <w:t xml:space="preserve"> hours and $</w:t>
      </w:r>
      <w:r w:rsidR="001F4CA7">
        <w:rPr>
          <w:rFonts w:ascii="Courier New" w:hAnsi="Courier New" w:cs="Courier New"/>
          <w:b w:val="0"/>
        </w:rPr>
        <w:t>620,140</w:t>
      </w:r>
      <w:r w:rsidRPr="00847072">
        <w:rPr>
          <w:rFonts w:ascii="Courier New" w:hAnsi="Courier New" w:cs="Courier New"/>
          <w:b w:val="0"/>
        </w:rPr>
        <w:t>. This increase reflects the additional costs incurred</w:t>
      </w:r>
      <w:r w:rsidR="00C975F6">
        <w:rPr>
          <w:rFonts w:ascii="Courier New" w:hAnsi="Courier New" w:cs="Courier New"/>
          <w:b w:val="0"/>
        </w:rPr>
        <w:t xml:space="preserve"> for</w:t>
      </w:r>
      <w:r w:rsidRPr="00847072">
        <w:rPr>
          <w:rFonts w:ascii="Courier New" w:hAnsi="Courier New" w:cs="Courier New"/>
          <w:b w:val="0"/>
        </w:rPr>
        <w:t>: (1) 5</w:t>
      </w:r>
      <w:r w:rsidR="00C975F6">
        <w:rPr>
          <w:rFonts w:ascii="Courier New" w:hAnsi="Courier New" w:cs="Courier New"/>
          <w:b w:val="0"/>
        </w:rPr>
        <w:t>,</w:t>
      </w:r>
      <w:r w:rsidRPr="00847072">
        <w:rPr>
          <w:rFonts w:ascii="Courier New" w:hAnsi="Courier New" w:cs="Courier New"/>
          <w:b w:val="0"/>
        </w:rPr>
        <w:t xml:space="preserve">736 respondents from the one-time activity of training to use the </w:t>
      </w:r>
      <w:r w:rsidR="00F960ED">
        <w:rPr>
          <w:rFonts w:ascii="Courier New" w:hAnsi="Courier New" w:cs="Courier New"/>
          <w:b w:val="0"/>
        </w:rPr>
        <w:t xml:space="preserve">inputs </w:t>
      </w:r>
      <w:r w:rsidRPr="00847072">
        <w:rPr>
          <w:rFonts w:ascii="Courier New" w:hAnsi="Courier New" w:cs="Courier New"/>
          <w:b w:val="0"/>
        </w:rPr>
        <w:t>verification tool and (2) 781 respondents from the on-going activity of reporting the new data elements.</w:t>
      </w:r>
    </w:p>
    <w:p w:rsidR="00977879" w:rsidRDefault="00977879">
      <w:pPr>
        <w:pStyle w:val="Heading1"/>
        <w:spacing w:line="360" w:lineRule="auto"/>
        <w:ind w:firstLine="720"/>
        <w:rPr>
          <w:rFonts w:ascii="Courier New" w:hAnsi="Courier New" w:cs="Courier New"/>
          <w:b w:val="0"/>
        </w:rPr>
      </w:pPr>
      <w:bookmarkStart w:id="3" w:name="_Toc336985072"/>
    </w:p>
    <w:p w:rsidR="008A715C" w:rsidRDefault="008A715C" w:rsidP="00AE16D4">
      <w:pPr>
        <w:pStyle w:val="Heading1"/>
        <w:spacing w:line="360" w:lineRule="auto"/>
        <w:rPr>
          <w:rFonts w:ascii="Courier New" w:hAnsi="Courier New" w:cs="Courier New"/>
        </w:rPr>
      </w:pPr>
      <w:r w:rsidRPr="00EA6F91">
        <w:rPr>
          <w:rFonts w:ascii="Courier New" w:hAnsi="Courier New" w:cs="Courier New"/>
        </w:rPr>
        <w:t>2.</w:t>
      </w:r>
      <w:r w:rsidRPr="00EA6F91">
        <w:rPr>
          <w:rFonts w:ascii="Courier New" w:hAnsi="Courier New" w:cs="Courier New"/>
        </w:rPr>
        <w:tab/>
        <w:t>NEED FOR AND USE OF THE COLLECTION</w:t>
      </w:r>
      <w:bookmarkEnd w:id="3"/>
    </w:p>
    <w:p w:rsidR="00AE16D4" w:rsidRPr="00AE16D4" w:rsidRDefault="00AE16D4" w:rsidP="00AE16D4"/>
    <w:p w:rsidR="008A715C" w:rsidRPr="00EA6F91" w:rsidRDefault="008D78F6" w:rsidP="00AE16D4">
      <w:pPr>
        <w:pStyle w:val="Heading2"/>
        <w:spacing w:line="360" w:lineRule="auto"/>
        <w:ind w:firstLine="0"/>
        <w:rPr>
          <w:rFonts w:ascii="Courier New" w:hAnsi="Courier New" w:cs="Courier New"/>
        </w:rPr>
      </w:pPr>
      <w:bookmarkStart w:id="4" w:name="_Toc336985073"/>
      <w:r w:rsidRPr="00EA6F91">
        <w:rPr>
          <w:rFonts w:ascii="Courier New" w:hAnsi="Courier New" w:cs="Courier New"/>
        </w:rPr>
        <w:t>2(a) Need/Authority for the Collection</w:t>
      </w:r>
      <w:bookmarkEnd w:id="4"/>
    </w:p>
    <w:p w:rsidR="00F5520E" w:rsidRPr="00F5520E" w:rsidRDefault="00222A83" w:rsidP="00F5520E">
      <w:pPr>
        <w:spacing w:line="360" w:lineRule="auto"/>
        <w:ind w:firstLine="720"/>
        <w:rPr>
          <w:rFonts w:ascii="Courier New" w:hAnsi="Courier New" w:cs="Courier New"/>
        </w:rPr>
      </w:pPr>
      <w:r w:rsidRPr="00222A83">
        <w:rPr>
          <w:rFonts w:ascii="Courier New" w:hAnsi="Courier New"/>
        </w:rPr>
        <w:t xml:space="preserve">The EPA is proposing </w:t>
      </w:r>
      <w:r w:rsidR="00F5520E">
        <w:rPr>
          <w:rFonts w:ascii="Courier New" w:hAnsi="Courier New"/>
        </w:rPr>
        <w:t>this information collection</w:t>
      </w:r>
      <w:r w:rsidRPr="00222A83">
        <w:rPr>
          <w:rFonts w:ascii="Courier New" w:hAnsi="Courier New"/>
        </w:rPr>
        <w:t xml:space="preserve"> under its existing CAA authority provided in CAA section 114. As stated in the </w:t>
      </w:r>
      <w:r w:rsidR="0073609B" w:rsidRPr="00F5520E">
        <w:rPr>
          <w:rFonts w:ascii="Courier New" w:hAnsi="Courier New"/>
        </w:rPr>
        <w:t xml:space="preserve">October 30, 2009 </w:t>
      </w:r>
      <w:r w:rsidRPr="00222A83">
        <w:rPr>
          <w:rFonts w:ascii="Courier New" w:hAnsi="Courier New"/>
        </w:rPr>
        <w:t xml:space="preserve">preamble to </w:t>
      </w:r>
      <w:r w:rsidR="0073609B" w:rsidRPr="00F5520E">
        <w:rPr>
          <w:rFonts w:ascii="Courier New" w:hAnsi="Courier New"/>
        </w:rPr>
        <w:t>Part 98</w:t>
      </w:r>
      <w:r w:rsidRPr="00222A83">
        <w:rPr>
          <w:rFonts w:ascii="Courier New" w:hAnsi="Courier New"/>
        </w:rPr>
        <w:t xml:space="preserve"> (74 FR 56260), CAA </w:t>
      </w:r>
      <w:r w:rsidRPr="00222A83">
        <w:rPr>
          <w:rFonts w:ascii="Courier New" w:eastAsia="SimSun" w:hAnsi="Courier New"/>
          <w:lang w:eastAsia="zh-CN"/>
        </w:rPr>
        <w:lastRenderedPageBreak/>
        <w:t xml:space="preserve">section 114(a)(1) provides EPA broad authority to require the information proposed to be gathered by </w:t>
      </w:r>
      <w:r w:rsidR="0073609B" w:rsidRPr="00F5520E">
        <w:rPr>
          <w:rFonts w:ascii="Courier New" w:eastAsia="SimSun" w:hAnsi="Courier New"/>
          <w:lang w:eastAsia="zh-CN"/>
        </w:rPr>
        <w:t>Part 98</w:t>
      </w:r>
      <w:r w:rsidRPr="00222A83">
        <w:rPr>
          <w:rFonts w:ascii="Courier New" w:eastAsia="SimSun" w:hAnsi="Courier New"/>
          <w:lang w:eastAsia="zh-CN"/>
        </w:rPr>
        <w:t xml:space="preserve"> because such data would inform and are relevant to EPA’s carrying out a wide variety of CAA provisions</w:t>
      </w:r>
      <w:r w:rsidR="0073609B" w:rsidRPr="00F5520E">
        <w:rPr>
          <w:rFonts w:ascii="Courier New" w:eastAsia="SimSun" w:hAnsi="Courier New"/>
          <w:lang w:eastAsia="zh-CN"/>
        </w:rPr>
        <w:t xml:space="preserve">. </w:t>
      </w:r>
      <w:r w:rsidR="00F5520E" w:rsidRPr="00F5520E">
        <w:rPr>
          <w:rFonts w:ascii="Courier New" w:eastAsia="SimSun" w:hAnsi="Courier New"/>
          <w:lang w:eastAsia="zh-CN"/>
        </w:rPr>
        <w:t xml:space="preserve">Additionally, </w:t>
      </w:r>
      <w:r w:rsidR="00F5520E" w:rsidRPr="00F5520E">
        <w:rPr>
          <w:rFonts w:ascii="Courier New" w:hAnsi="Courier New" w:cs="Courier New"/>
        </w:rPr>
        <w:t>s</w:t>
      </w:r>
      <w:r w:rsidR="006203B7" w:rsidRPr="00F5520E">
        <w:rPr>
          <w:rFonts w:ascii="Courier New" w:hAnsi="Courier New" w:cs="Courier New"/>
        </w:rPr>
        <w:t>igned into law on December 26, 2007, the FY200</w:t>
      </w:r>
      <w:r w:rsidR="0064763C" w:rsidRPr="00F5520E">
        <w:rPr>
          <w:rFonts w:ascii="Courier New" w:hAnsi="Courier New" w:cs="Courier New"/>
        </w:rPr>
        <w:t>8</w:t>
      </w:r>
      <w:r w:rsidR="006203B7" w:rsidRPr="00F5520E">
        <w:rPr>
          <w:rFonts w:ascii="Courier New" w:hAnsi="Courier New" w:cs="Courier New"/>
        </w:rPr>
        <w:t xml:space="preserve"> Consolidated Appropriations </w:t>
      </w:r>
      <w:r w:rsidR="00E775DD" w:rsidRPr="00F5520E">
        <w:rPr>
          <w:rFonts w:ascii="Courier New" w:hAnsi="Courier New" w:cs="Courier New"/>
        </w:rPr>
        <w:t xml:space="preserve">Act </w:t>
      </w:r>
      <w:r w:rsidR="006203B7" w:rsidRPr="00F5520E">
        <w:rPr>
          <w:rFonts w:ascii="Courier New" w:hAnsi="Courier New" w:cs="Courier New"/>
        </w:rPr>
        <w:t xml:space="preserve">directed EPA to </w:t>
      </w:r>
      <w:r w:rsidR="006423E8" w:rsidRPr="00F5520E">
        <w:rPr>
          <w:rFonts w:ascii="Courier New" w:hAnsi="Courier New" w:cs="Courier New"/>
        </w:rPr>
        <w:t>“</w:t>
      </w:r>
      <w:r w:rsidR="006203B7" w:rsidRPr="00F5520E">
        <w:rPr>
          <w:rFonts w:ascii="Courier New" w:hAnsi="Courier New" w:cs="Courier New"/>
        </w:rPr>
        <w:t xml:space="preserve">develop and publish a draft rule not later than 9 months after the date of enactment of this Act, and a final rule not later than 18 months after the date of enactment of this Act, </w:t>
      </w:r>
      <w:bookmarkStart w:id="5" w:name="OLE_LINK4"/>
      <w:bookmarkStart w:id="6" w:name="OLE_LINK5"/>
      <w:r w:rsidR="006203B7" w:rsidRPr="00F5520E">
        <w:rPr>
          <w:rFonts w:ascii="Courier New" w:hAnsi="Courier New" w:cs="Courier New"/>
        </w:rPr>
        <w:t>to require mandatory reporting of greenhouse gas emissions above appropriate thresholds in all sectors of the economy</w:t>
      </w:r>
      <w:r w:rsidR="00E775DD" w:rsidRPr="00F5520E">
        <w:rPr>
          <w:rFonts w:ascii="Courier New" w:hAnsi="Courier New" w:cs="Courier New"/>
        </w:rPr>
        <w:t xml:space="preserve"> of the United States.</w:t>
      </w:r>
      <w:bookmarkEnd w:id="5"/>
      <w:bookmarkEnd w:id="6"/>
      <w:r w:rsidR="006203B7" w:rsidRPr="00F5520E">
        <w:rPr>
          <w:rFonts w:ascii="Courier New" w:hAnsi="Courier New" w:cs="Courier New"/>
        </w:rPr>
        <w:t>”</w:t>
      </w:r>
      <w:r w:rsidR="00F5520E" w:rsidRPr="00F5520E">
        <w:rPr>
          <w:rFonts w:ascii="Courier New" w:hAnsi="Courier New" w:cs="Courier New"/>
        </w:rPr>
        <w:t xml:space="preserve"> </w:t>
      </w:r>
    </w:p>
    <w:p w:rsidR="00F4151A" w:rsidRDefault="004E317F" w:rsidP="00F5520E">
      <w:pPr>
        <w:spacing w:line="360" w:lineRule="auto"/>
        <w:ind w:firstLine="720"/>
        <w:rPr>
          <w:rFonts w:ascii="Courier New" w:hAnsi="Courier New" w:cs="Courier New"/>
        </w:rPr>
      </w:pPr>
      <w:r w:rsidRPr="00F5520E">
        <w:rPr>
          <w:rFonts w:ascii="Courier New" w:hAnsi="Courier New" w:cs="Courier New"/>
        </w:rPr>
        <w:t>Sections 114 and 208 of the Clean Air Act (CAA) provide EPA authority to require the information mandated by the GHGRP because such data will inform and are relevant to future policy decisions. CAA section 114(a)(1) authorizes the Administrator to require emissions sources, persons subject to the CAA, or persons whom the Administrator believes may have necessary information to report emissions and provide such other information the Administrator requests for the purposes of carrying out any provision of the CAA. For these reasons, the Administrator may request that a person, on a one-time, periodic or continuous basis, establish and maintain records, make reports, and, among other things, provide such information the Administrator may reasonably require.</w:t>
      </w:r>
      <w:r w:rsidR="00F5520E">
        <w:rPr>
          <w:rFonts w:ascii="Courier New" w:hAnsi="Courier New" w:cs="Courier New"/>
        </w:rPr>
        <w:t xml:space="preserve"> </w:t>
      </w:r>
      <w:r w:rsidR="00F4151A" w:rsidRPr="00EA6F91">
        <w:rPr>
          <w:rFonts w:ascii="Courier New" w:hAnsi="Courier New" w:cs="Courier New"/>
        </w:rPr>
        <w:t xml:space="preserve">Because EPA does not yet know the specific policies that will be adopted, the data reported under the GHGRP is of sufficient quality to inform policy and program development. </w:t>
      </w:r>
    </w:p>
    <w:p w:rsidR="00AE16D4" w:rsidRPr="00EA6F91" w:rsidRDefault="00AE16D4" w:rsidP="00AE16D4">
      <w:pPr>
        <w:spacing w:line="360" w:lineRule="auto"/>
        <w:ind w:firstLine="720"/>
        <w:rPr>
          <w:rFonts w:ascii="Courier New" w:hAnsi="Courier New" w:cs="Courier New"/>
        </w:rPr>
      </w:pPr>
    </w:p>
    <w:p w:rsidR="008D78F6" w:rsidRPr="00EA6F91" w:rsidRDefault="008D78F6" w:rsidP="00AE16D4">
      <w:pPr>
        <w:pStyle w:val="Heading2"/>
        <w:keepNext/>
        <w:keepLines/>
        <w:spacing w:line="360" w:lineRule="auto"/>
        <w:ind w:firstLine="0"/>
        <w:rPr>
          <w:rFonts w:ascii="Courier New" w:hAnsi="Courier New" w:cs="Courier New"/>
        </w:rPr>
      </w:pPr>
      <w:bookmarkStart w:id="7" w:name="_Toc336985074"/>
      <w:r w:rsidRPr="00EA6F91">
        <w:rPr>
          <w:rFonts w:ascii="Courier New" w:hAnsi="Courier New" w:cs="Courier New"/>
        </w:rPr>
        <w:t>2(b) Practical Utility/Users of the Data</w:t>
      </w:r>
      <w:bookmarkEnd w:id="7"/>
    </w:p>
    <w:p w:rsidR="00D742AD" w:rsidRDefault="00D742AD" w:rsidP="00D742AD">
      <w:pPr>
        <w:ind w:firstLine="720"/>
        <w:rPr>
          <w:rFonts w:ascii="Courier New" w:hAnsi="Courier New" w:cs="Courier New"/>
        </w:rPr>
      </w:pPr>
    </w:p>
    <w:p w:rsidR="00D742AD" w:rsidRPr="00D742AD" w:rsidRDefault="00D742AD" w:rsidP="00D742AD">
      <w:pPr>
        <w:spacing w:line="360" w:lineRule="auto"/>
        <w:ind w:firstLine="720"/>
        <w:rPr>
          <w:rFonts w:ascii="Courier New" w:hAnsi="Courier New" w:cs="Courier New"/>
        </w:rPr>
      </w:pPr>
      <w:r w:rsidRPr="00D742AD">
        <w:rPr>
          <w:rFonts w:ascii="Courier New" w:hAnsi="Courier New" w:cs="Courier New"/>
        </w:rPr>
        <w:t xml:space="preserve">This information collection collects information from facilities that directly emit GHGs and from suppliers of </w:t>
      </w:r>
      <w:r w:rsidRPr="00D742AD">
        <w:rPr>
          <w:rFonts w:ascii="Courier New" w:hAnsi="Courier New" w:cs="Courier New"/>
        </w:rPr>
        <w:lastRenderedPageBreak/>
        <w:t xml:space="preserve">products that release GHGs if combusted, oxidized, or used. The comprehensive GHG data reported directly from large facilities and suppliers across the country are now easily accessible to the public at: </w:t>
      </w:r>
      <w:hyperlink r:id="rId8" w:history="1">
        <w:r w:rsidRPr="00D742AD">
          <w:rPr>
            <w:rStyle w:val="Hyperlink"/>
            <w:rFonts w:ascii="Courier New" w:hAnsi="Courier New" w:cs="Courier New"/>
          </w:rPr>
          <w:t>http://ghgdata.epa.gov/ghgp/main.do</w:t>
        </w:r>
      </w:hyperlink>
      <w:r w:rsidRPr="00D742AD">
        <w:rPr>
          <w:rFonts w:ascii="Courier New" w:hAnsi="Courier New" w:cs="Courier New"/>
        </w:rPr>
        <w:t xml:space="preserve">. Reporting entities use uniform methods for estimating emissions, which enables data to be compared and analyzed. EPA’s online data publication tool allows users to view and sort GHG data for calendar year 2010 from over 6,000 entities in a variety of ways, including by location, industrial sector, and the type of GHG emitted. </w:t>
      </w:r>
    </w:p>
    <w:p w:rsidR="00D742AD" w:rsidRPr="00D742AD" w:rsidRDefault="00D742AD" w:rsidP="00D742AD">
      <w:pPr>
        <w:spacing w:line="360" w:lineRule="auto"/>
        <w:ind w:firstLine="720"/>
        <w:rPr>
          <w:rFonts w:ascii="Courier New" w:hAnsi="Courier New" w:cs="Courier New"/>
        </w:rPr>
      </w:pPr>
      <w:r w:rsidRPr="00D742AD">
        <w:rPr>
          <w:rFonts w:ascii="Courier New" w:hAnsi="Courier New" w:cs="Courier New"/>
        </w:rPr>
        <w:t xml:space="preserve">Data collection in the GHGRP complements the Inventory of U.S. Greenhouse Gas Emissions and Sinks (Inventory) and can help EPA transition to use of the 2006 Intergovernmental Panel on Climate Change (IPCC) Guidelines for National Greenhouse Gas Inventories. </w:t>
      </w:r>
    </w:p>
    <w:p w:rsidR="00D742AD" w:rsidRPr="00D742AD" w:rsidRDefault="00D742AD" w:rsidP="00D742AD">
      <w:pPr>
        <w:spacing w:line="360" w:lineRule="auto"/>
        <w:ind w:firstLine="720"/>
        <w:rPr>
          <w:rFonts w:ascii="Courier New" w:hAnsi="Courier New" w:cs="Courier New"/>
        </w:rPr>
      </w:pPr>
      <w:r w:rsidRPr="00D742AD">
        <w:rPr>
          <w:rFonts w:ascii="Courier New" w:hAnsi="Courier New" w:cs="Courier New"/>
        </w:rPr>
        <w:t xml:space="preserve">Transparent, public data on emissions allows for accountability of polluters to the public stakeholders who bear the cost </w:t>
      </w:r>
      <w:r w:rsidR="00121014">
        <w:rPr>
          <w:rFonts w:ascii="Courier New" w:hAnsi="Courier New" w:cs="Courier New"/>
        </w:rPr>
        <w:t xml:space="preserve">of the pollution. This </w:t>
      </w:r>
      <w:r w:rsidRPr="00D742AD">
        <w:rPr>
          <w:rFonts w:ascii="Courier New" w:hAnsi="Courier New" w:cs="Courier New"/>
        </w:rPr>
        <w:t>data resource provides a critical tool for communities to identify nearby sources of GHGs and provide information to state and local governments.</w:t>
      </w:r>
    </w:p>
    <w:p w:rsidR="00D742AD" w:rsidRPr="00D742AD" w:rsidRDefault="00D742AD" w:rsidP="00D742AD">
      <w:pPr>
        <w:spacing w:line="360" w:lineRule="auto"/>
        <w:ind w:firstLine="720"/>
        <w:rPr>
          <w:rFonts w:ascii="Courier New" w:hAnsi="Courier New" w:cs="Courier New"/>
        </w:rPr>
      </w:pPr>
      <w:r w:rsidRPr="00D742AD">
        <w:rPr>
          <w:rFonts w:ascii="Courier New" w:hAnsi="Courier New" w:cs="Courier New"/>
        </w:rPr>
        <w:t xml:space="preserve">The standardization of GHG data provides businesses with the necessary information to benchmark themselves against similar facilities, better understand their relative standing within their industry, and achieve and disseminate their environmental achievements. Businesses and other innovators can use the data to determine their GHG footprints, find cost- and fuel-saving efficiencies that reduce greenhouse gas emissions (e.g., through energy audits or other forms of assistance), and foster technologies to protect public health and the environment. </w:t>
      </w:r>
    </w:p>
    <w:p w:rsidR="00D742AD" w:rsidRPr="00D742AD" w:rsidRDefault="00D742AD" w:rsidP="00D742AD">
      <w:pPr>
        <w:spacing w:line="360" w:lineRule="auto"/>
        <w:ind w:firstLine="720"/>
        <w:rPr>
          <w:rFonts w:ascii="Courier New" w:hAnsi="Courier New" w:cs="Courier New"/>
        </w:rPr>
      </w:pPr>
      <w:r w:rsidRPr="00D742AD">
        <w:rPr>
          <w:rFonts w:ascii="Courier New" w:hAnsi="Courier New" w:cs="Courier New"/>
        </w:rPr>
        <w:t xml:space="preserve">The facility-specific GHG emissions data improve the understanding of the factors that influence GHG emission rates </w:t>
      </w:r>
      <w:r w:rsidRPr="00D742AD">
        <w:rPr>
          <w:rFonts w:ascii="Courier New" w:hAnsi="Courier New" w:cs="Courier New"/>
        </w:rPr>
        <w:lastRenderedPageBreak/>
        <w:t xml:space="preserve">as well as the actions that facilities take to reduce emissions. The facility-based data can be aggregated to the corporate level in order to track emission trends from industries, within industries, and across industries over time, particularly in response to policies and potential regulations. </w:t>
      </w:r>
    </w:p>
    <w:p w:rsidR="00D742AD" w:rsidRPr="00D742AD" w:rsidRDefault="00D742AD" w:rsidP="00D742AD">
      <w:pPr>
        <w:spacing w:line="360" w:lineRule="auto"/>
        <w:ind w:firstLine="720"/>
        <w:rPr>
          <w:rFonts w:ascii="Courier New" w:hAnsi="Courier New" w:cs="Courier New"/>
        </w:rPr>
      </w:pPr>
      <w:r w:rsidRPr="00D742AD">
        <w:rPr>
          <w:rFonts w:ascii="Courier New" w:hAnsi="Courier New" w:cs="Courier New"/>
        </w:rPr>
        <w:t>Information collected from the oil and gas facilities (in subpart W) and CO</w:t>
      </w:r>
      <w:r w:rsidRPr="00D742AD">
        <w:rPr>
          <w:rFonts w:ascii="Courier New" w:hAnsi="Courier New" w:cs="Courier New"/>
          <w:vertAlign w:val="subscript"/>
        </w:rPr>
        <w:t>2</w:t>
      </w:r>
      <w:r w:rsidRPr="00D742AD">
        <w:rPr>
          <w:rFonts w:ascii="Courier New" w:hAnsi="Courier New" w:cs="Courier New"/>
        </w:rPr>
        <w:t xml:space="preserve"> injection facilities (in subparts RR and UU) allows EPA to gain a better understanding of the entire CO</w:t>
      </w:r>
      <w:r w:rsidRPr="00D742AD">
        <w:rPr>
          <w:rFonts w:ascii="Courier New" w:hAnsi="Courier New" w:cs="Courier New"/>
          <w:vertAlign w:val="subscript"/>
        </w:rPr>
        <w:t>2</w:t>
      </w:r>
      <w:r w:rsidRPr="00D742AD">
        <w:rPr>
          <w:rFonts w:ascii="Courier New" w:hAnsi="Courier New" w:cs="Courier New"/>
        </w:rPr>
        <w:t xml:space="preserve"> capture and sequestration (CCS) system.</w:t>
      </w:r>
    </w:p>
    <w:p w:rsidR="00D742AD" w:rsidRPr="008A4119" w:rsidRDefault="00D742AD" w:rsidP="008A4119">
      <w:pPr>
        <w:spacing w:line="360" w:lineRule="auto"/>
        <w:ind w:firstLine="720"/>
        <w:rPr>
          <w:rFonts w:ascii="Courier New" w:hAnsi="Courier New" w:cs="Courier New"/>
        </w:rPr>
      </w:pPr>
      <w:r w:rsidRPr="008A4119">
        <w:rPr>
          <w:rFonts w:ascii="Courier New" w:hAnsi="Courier New" w:cs="Courier New"/>
        </w:rPr>
        <w:t>Information collected from fluorocarbons allows EPA to assess the overall volume and importance of compounds for which global warming potentials (GWPs) have not been evaluated and help identify which compounds should have their GWPs evaluated first. In addition, historical reports in tons of chemical can be converted into CO</w:t>
      </w:r>
      <w:r w:rsidRPr="008A4119">
        <w:rPr>
          <w:rFonts w:ascii="Courier New" w:hAnsi="Courier New" w:cs="Courier New"/>
          <w:vertAlign w:val="subscript"/>
        </w:rPr>
        <w:t>2</w:t>
      </w:r>
      <w:r w:rsidRPr="008A4119">
        <w:rPr>
          <w:rFonts w:ascii="Courier New" w:hAnsi="Courier New" w:cs="Courier New"/>
        </w:rPr>
        <w:t xml:space="preserve">e, provided GWPs have been identified for these compounds. Without this comprehensive reporting requirement, such historical information could be lost. </w:t>
      </w:r>
    </w:p>
    <w:p w:rsidR="00D742AD" w:rsidRPr="00D742AD" w:rsidRDefault="00D742AD" w:rsidP="00D742AD">
      <w:pPr>
        <w:spacing w:line="360" w:lineRule="auto"/>
        <w:ind w:firstLine="720"/>
        <w:rPr>
          <w:rFonts w:ascii="Courier New" w:hAnsi="Courier New" w:cs="Courier New"/>
        </w:rPr>
      </w:pPr>
      <w:r w:rsidRPr="00D742AD">
        <w:rPr>
          <w:rFonts w:ascii="Courier New" w:hAnsi="Courier New" w:cs="Courier New"/>
        </w:rPr>
        <w:t>The GHGRP is not intended to be a survey and the respondents affected by the program are not intended to be a statistical sample of a larger universe of entities. EPA does not intend to use the data collected under the GHGRP to characterize non-reporting entities or to draw statistical inferences about a larger population.</w:t>
      </w:r>
    </w:p>
    <w:p w:rsidR="00633A1B" w:rsidRDefault="00633A1B">
      <w:pPr>
        <w:rPr>
          <w:rFonts w:ascii="Courier New" w:hAnsi="Courier New" w:cs="Courier New"/>
        </w:rPr>
      </w:pPr>
      <w:bookmarkStart w:id="8" w:name="_Toc336985075"/>
    </w:p>
    <w:p w:rsidR="008A715C" w:rsidRDefault="008A715C" w:rsidP="00AE16D4">
      <w:pPr>
        <w:pStyle w:val="Heading1"/>
        <w:spacing w:line="360" w:lineRule="auto"/>
        <w:ind w:left="720" w:hanging="720"/>
        <w:rPr>
          <w:rFonts w:ascii="Courier New" w:hAnsi="Courier New" w:cs="Courier New"/>
        </w:rPr>
      </w:pPr>
      <w:r w:rsidRPr="00EA6F91">
        <w:rPr>
          <w:rFonts w:ascii="Courier New" w:hAnsi="Courier New" w:cs="Courier New"/>
        </w:rPr>
        <w:t>3.</w:t>
      </w:r>
      <w:r w:rsidRPr="00EA6F91">
        <w:rPr>
          <w:rFonts w:ascii="Courier New" w:hAnsi="Courier New" w:cs="Courier New"/>
        </w:rPr>
        <w:tab/>
        <w:t>NONDUPLICATION, CONSULTATIONS, A</w:t>
      </w:r>
      <w:r w:rsidR="00501961" w:rsidRPr="00EA6F91">
        <w:rPr>
          <w:rFonts w:ascii="Courier New" w:hAnsi="Courier New" w:cs="Courier New"/>
        </w:rPr>
        <w:t>ND OTHER CO</w:t>
      </w:r>
      <w:r w:rsidR="007E7234" w:rsidRPr="00EA6F91">
        <w:rPr>
          <w:rFonts w:ascii="Courier New" w:hAnsi="Courier New" w:cs="Courier New"/>
        </w:rPr>
        <w:t>LLECTION</w:t>
      </w:r>
      <w:r w:rsidR="00F3717A" w:rsidRPr="00EA6F91">
        <w:rPr>
          <w:rFonts w:ascii="Courier New" w:hAnsi="Courier New" w:cs="Courier New"/>
        </w:rPr>
        <w:t xml:space="preserve"> </w:t>
      </w:r>
      <w:r w:rsidRPr="00EA6F91">
        <w:rPr>
          <w:rFonts w:ascii="Courier New" w:hAnsi="Courier New" w:cs="Courier New"/>
        </w:rPr>
        <w:t>CRITERIA</w:t>
      </w:r>
      <w:bookmarkEnd w:id="8"/>
    </w:p>
    <w:p w:rsidR="00AE16D4" w:rsidRPr="00AE16D4" w:rsidRDefault="00AE16D4" w:rsidP="00AE16D4"/>
    <w:p w:rsidR="008A715C" w:rsidRPr="00EA6F91" w:rsidRDefault="0046780F" w:rsidP="00AE16D4">
      <w:pPr>
        <w:pStyle w:val="Heading2"/>
        <w:spacing w:line="360" w:lineRule="auto"/>
        <w:ind w:firstLine="0"/>
        <w:rPr>
          <w:rFonts w:ascii="Courier New" w:hAnsi="Courier New" w:cs="Courier New"/>
        </w:rPr>
      </w:pPr>
      <w:bookmarkStart w:id="9" w:name="_Toc336985076"/>
      <w:r w:rsidRPr="00EA6F91">
        <w:rPr>
          <w:rFonts w:ascii="Courier New" w:hAnsi="Courier New" w:cs="Courier New"/>
        </w:rPr>
        <w:t xml:space="preserve">3(a) </w:t>
      </w:r>
      <w:r w:rsidR="008A715C" w:rsidRPr="00EA6F91">
        <w:rPr>
          <w:rFonts w:ascii="Courier New" w:hAnsi="Courier New" w:cs="Courier New"/>
        </w:rPr>
        <w:t>Nonduplication</w:t>
      </w:r>
      <w:bookmarkEnd w:id="9"/>
    </w:p>
    <w:p w:rsidR="00110021" w:rsidRDefault="00DF0023" w:rsidP="00001D98">
      <w:pPr>
        <w:spacing w:line="360" w:lineRule="auto"/>
        <w:ind w:firstLine="720"/>
        <w:rPr>
          <w:rFonts w:ascii="Courier New" w:hAnsi="Courier New"/>
        </w:rPr>
      </w:pPr>
      <w:bookmarkStart w:id="10" w:name="OLE_LINK1"/>
      <w:bookmarkStart w:id="11" w:name="OLE_LINK2"/>
      <w:r w:rsidRPr="00184F43">
        <w:rPr>
          <w:rFonts w:ascii="Courier New" w:hAnsi="Courier New" w:cs="Courier New"/>
        </w:rPr>
        <w:t xml:space="preserve">The </w:t>
      </w:r>
      <w:r w:rsidR="00A1564B">
        <w:rPr>
          <w:rFonts w:ascii="Courier New" w:hAnsi="Courier New" w:cs="Courier New"/>
        </w:rPr>
        <w:t xml:space="preserve">new </w:t>
      </w:r>
      <w:r w:rsidRPr="00184F43">
        <w:rPr>
          <w:rFonts w:ascii="Courier New" w:hAnsi="Courier New" w:cs="Courier New"/>
        </w:rPr>
        <w:t xml:space="preserve">information </w:t>
      </w:r>
      <w:r w:rsidR="00A1564B">
        <w:rPr>
          <w:rFonts w:ascii="Courier New" w:hAnsi="Courier New" w:cs="Courier New"/>
        </w:rPr>
        <w:t xml:space="preserve">proposed to be </w:t>
      </w:r>
      <w:r w:rsidRPr="00184F43">
        <w:rPr>
          <w:rFonts w:ascii="Courier New" w:hAnsi="Courier New" w:cs="Courier New"/>
        </w:rPr>
        <w:t xml:space="preserve">collected under the proposed revisions </w:t>
      </w:r>
      <w:r w:rsidR="00A1564B">
        <w:rPr>
          <w:rFonts w:ascii="Courier New" w:hAnsi="Courier New" w:cs="Courier New"/>
        </w:rPr>
        <w:t>are 26 new data elements</w:t>
      </w:r>
      <w:r w:rsidR="00801DFA">
        <w:rPr>
          <w:rFonts w:ascii="Courier New" w:hAnsi="Courier New" w:cs="Courier New"/>
        </w:rPr>
        <w:t xml:space="preserve"> affecting 10 subparts of Part 98 (refer to section 4(b) for a list of these data elements). These proposed new data elements</w:t>
      </w:r>
      <w:r w:rsidR="00184F43" w:rsidRPr="00184F43">
        <w:rPr>
          <w:rFonts w:ascii="Courier New" w:hAnsi="Courier New" w:cs="Courier New"/>
        </w:rPr>
        <w:t xml:space="preserve"> </w:t>
      </w:r>
      <w:r w:rsidRPr="00184F43">
        <w:rPr>
          <w:rFonts w:ascii="Courier New" w:hAnsi="Courier New" w:cs="Courier New"/>
        </w:rPr>
        <w:t xml:space="preserve">consist </w:t>
      </w:r>
      <w:r w:rsidRPr="00184F43">
        <w:rPr>
          <w:rFonts w:ascii="Courier New" w:hAnsi="Courier New" w:cs="Courier New"/>
        </w:rPr>
        <w:lastRenderedPageBreak/>
        <w:t xml:space="preserve">primarily of </w:t>
      </w:r>
      <w:r w:rsidR="00D13294" w:rsidRPr="00184F43">
        <w:rPr>
          <w:rFonts w:ascii="Courier New" w:hAnsi="Courier New"/>
        </w:rPr>
        <w:t>quantities that provide information on the activity level at the facility, emission factors used, characteristics of carbon-containing streams, and other process information that would provide key information for verification, including confirming that emissions are appropriate for a given activity-level and estimating expected emissions based on data provided.</w:t>
      </w:r>
      <w:r w:rsidR="00801DFA">
        <w:rPr>
          <w:rFonts w:ascii="Courier New" w:hAnsi="Courier New"/>
        </w:rPr>
        <w:t xml:space="preserve"> </w:t>
      </w:r>
      <w:r w:rsidR="000D1C8D">
        <w:rPr>
          <w:rFonts w:ascii="Courier New" w:hAnsi="Courier New"/>
        </w:rPr>
        <w:t>These proposed new reporting elements</w:t>
      </w:r>
      <w:r w:rsidR="00663B19">
        <w:rPr>
          <w:rFonts w:ascii="Courier New" w:hAnsi="Courier New"/>
        </w:rPr>
        <w:t>, described above,</w:t>
      </w:r>
      <w:r w:rsidR="000D1C8D">
        <w:rPr>
          <w:rFonts w:ascii="Courier New" w:hAnsi="Courier New"/>
        </w:rPr>
        <w:t xml:space="preserve"> are </w:t>
      </w:r>
      <w:r w:rsidR="00CD4B34">
        <w:rPr>
          <w:rFonts w:ascii="Courier New" w:hAnsi="Courier New"/>
        </w:rPr>
        <w:t>the same types of</w:t>
      </w:r>
      <w:r w:rsidR="00110021">
        <w:rPr>
          <w:rFonts w:ascii="Courier New" w:hAnsi="Courier New"/>
        </w:rPr>
        <w:t xml:space="preserve"> </w:t>
      </w:r>
      <w:r w:rsidR="0009370D">
        <w:rPr>
          <w:rFonts w:ascii="Courier New" w:hAnsi="Courier New"/>
        </w:rPr>
        <w:t>industry data</w:t>
      </w:r>
      <w:r w:rsidR="00110021">
        <w:rPr>
          <w:rFonts w:ascii="Courier New" w:hAnsi="Courier New"/>
        </w:rPr>
        <w:t xml:space="preserve"> </w:t>
      </w:r>
      <w:r w:rsidR="000D1C8D">
        <w:rPr>
          <w:rFonts w:ascii="Courier New" w:hAnsi="Courier New"/>
        </w:rPr>
        <w:t>currently</w:t>
      </w:r>
      <w:r w:rsidR="0009370D">
        <w:rPr>
          <w:rFonts w:ascii="Courier New" w:hAnsi="Courier New"/>
        </w:rPr>
        <w:t xml:space="preserve"> collected under the GHGRP. </w:t>
      </w:r>
      <w:r w:rsidR="00CD4B34">
        <w:rPr>
          <w:rFonts w:ascii="Courier New" w:hAnsi="Courier New" w:cs="Courier New"/>
        </w:rPr>
        <w:t>EPA</w:t>
      </w:r>
      <w:r w:rsidR="0009370D">
        <w:rPr>
          <w:rFonts w:ascii="Courier New" w:hAnsi="Courier New" w:cs="Courier New"/>
        </w:rPr>
        <w:t xml:space="preserve"> </w:t>
      </w:r>
      <w:r w:rsidR="0009370D">
        <w:rPr>
          <w:rFonts w:ascii="Courier New" w:hAnsi="Courier New"/>
        </w:rPr>
        <w:t>previously</w:t>
      </w:r>
      <w:r w:rsidR="0009370D" w:rsidRPr="00EA6F91">
        <w:rPr>
          <w:rFonts w:ascii="Courier New" w:hAnsi="Courier New" w:cs="Courier New"/>
        </w:rPr>
        <w:t xml:space="preserve"> </w:t>
      </w:r>
      <w:r w:rsidR="00502BC8" w:rsidRPr="00EA6F91">
        <w:rPr>
          <w:rFonts w:ascii="Courier New" w:hAnsi="Courier New" w:cs="Courier New"/>
        </w:rPr>
        <w:t xml:space="preserve">evaluated </w:t>
      </w:r>
      <w:r w:rsidR="000D1C8D">
        <w:rPr>
          <w:rFonts w:ascii="Courier New" w:hAnsi="Courier New" w:cs="Courier New"/>
        </w:rPr>
        <w:t>the</w:t>
      </w:r>
      <w:r w:rsidR="0009370D">
        <w:rPr>
          <w:rFonts w:ascii="Courier New" w:hAnsi="Courier New" w:cs="Courier New"/>
        </w:rPr>
        <w:t>se types of industry</w:t>
      </w:r>
      <w:r w:rsidR="00502BC8" w:rsidRPr="00EA6F91">
        <w:rPr>
          <w:rFonts w:ascii="Courier New" w:hAnsi="Courier New" w:cs="Courier New"/>
        </w:rPr>
        <w:t xml:space="preserve"> data currently </w:t>
      </w:r>
      <w:r w:rsidR="000D1C8D">
        <w:rPr>
          <w:rFonts w:ascii="Courier New" w:hAnsi="Courier New" w:cs="Courier New"/>
        </w:rPr>
        <w:t xml:space="preserve">collected under Part 98, and </w:t>
      </w:r>
      <w:r w:rsidR="0009370D">
        <w:rPr>
          <w:rFonts w:ascii="Courier New" w:hAnsi="Courier New" w:cs="Courier New"/>
        </w:rPr>
        <w:t>concluded</w:t>
      </w:r>
      <w:r w:rsidR="000D1C8D">
        <w:rPr>
          <w:rFonts w:ascii="Courier New" w:hAnsi="Courier New" w:cs="Courier New"/>
        </w:rPr>
        <w:t xml:space="preserve"> that the</w:t>
      </w:r>
      <w:r w:rsidR="0009370D">
        <w:rPr>
          <w:rFonts w:ascii="Courier New" w:hAnsi="Courier New" w:cs="Courier New"/>
        </w:rPr>
        <w:t>y</w:t>
      </w:r>
      <w:r w:rsidR="000D1C8D">
        <w:rPr>
          <w:rFonts w:ascii="Courier New" w:hAnsi="Courier New" w:cs="Courier New"/>
        </w:rPr>
        <w:t xml:space="preserve"> do not </w:t>
      </w:r>
      <w:r w:rsidR="00502BC8" w:rsidRPr="00EA6F91">
        <w:rPr>
          <w:rFonts w:ascii="Courier New" w:hAnsi="Courier New" w:cs="Courier New"/>
        </w:rPr>
        <w:t>duplicate other information collections</w:t>
      </w:r>
      <w:r w:rsidR="00C1665A">
        <w:rPr>
          <w:rFonts w:ascii="Courier New" w:hAnsi="Courier New" w:cs="Courier New"/>
        </w:rPr>
        <w:t>, as described below</w:t>
      </w:r>
      <w:r w:rsidR="00001D98" w:rsidRPr="00001D98">
        <w:rPr>
          <w:rFonts w:ascii="Courier New" w:hAnsi="Courier New"/>
        </w:rPr>
        <w:t>.</w:t>
      </w:r>
      <w:r w:rsidR="00CD4B34">
        <w:rPr>
          <w:rFonts w:ascii="Courier New" w:hAnsi="Courier New"/>
        </w:rPr>
        <w:t xml:space="preserve">  This conclusion</w:t>
      </w:r>
      <w:r w:rsidR="00663B19">
        <w:rPr>
          <w:rFonts w:ascii="Courier New" w:hAnsi="Courier New"/>
        </w:rPr>
        <w:t>, as described below,</w:t>
      </w:r>
      <w:r w:rsidR="00CD4B34">
        <w:rPr>
          <w:rFonts w:ascii="Courier New" w:hAnsi="Courier New"/>
        </w:rPr>
        <w:t xml:space="preserve"> applies to the proposed new data elements as well.</w:t>
      </w:r>
      <w:r w:rsidR="00001D98" w:rsidRPr="00001D98">
        <w:rPr>
          <w:rFonts w:ascii="Courier New" w:hAnsi="Courier New"/>
        </w:rPr>
        <w:t xml:space="preserve"> </w:t>
      </w:r>
    </w:p>
    <w:p w:rsidR="001B1F30" w:rsidRPr="00EA6F91" w:rsidRDefault="00001D98" w:rsidP="00001D98">
      <w:pPr>
        <w:spacing w:line="360" w:lineRule="auto"/>
        <w:ind w:firstLine="720"/>
        <w:rPr>
          <w:rFonts w:ascii="Courier New" w:hAnsi="Courier New" w:cs="Courier New"/>
        </w:rPr>
      </w:pPr>
      <w:r w:rsidRPr="00001D98">
        <w:rPr>
          <w:rFonts w:ascii="Courier New" w:hAnsi="Courier New"/>
        </w:rPr>
        <w:t>In developing the GHGRP, EPA reviewed monitoring methods</w:t>
      </w:r>
      <w:r w:rsidR="00184F43" w:rsidRPr="00001D98">
        <w:rPr>
          <w:rFonts w:ascii="Courier New" w:hAnsi="Courier New" w:cs="Courier New"/>
        </w:rPr>
        <w:t>,</w:t>
      </w:r>
      <w:r w:rsidR="00184F43">
        <w:rPr>
          <w:rFonts w:ascii="Courier New" w:hAnsi="Courier New" w:cs="Courier New"/>
        </w:rPr>
        <w:t xml:space="preserve"> </w:t>
      </w:r>
      <w:r w:rsidR="00FB0BB5" w:rsidRPr="00EA6F91">
        <w:rPr>
          <w:rFonts w:ascii="Courier New" w:hAnsi="Courier New" w:cs="Courier New"/>
        </w:rPr>
        <w:t>incl</w:t>
      </w:r>
      <w:r w:rsidR="00424962" w:rsidRPr="00EA6F91">
        <w:rPr>
          <w:rFonts w:ascii="Courier New" w:hAnsi="Courier New" w:cs="Courier New"/>
        </w:rPr>
        <w:t>uding:</w:t>
      </w:r>
    </w:p>
    <w:p w:rsidR="001B1F30" w:rsidRPr="00EA6F91" w:rsidRDefault="001B1F30" w:rsidP="001B1F30">
      <w:pPr>
        <w:ind w:left="720"/>
        <w:rPr>
          <w:rFonts w:ascii="Courier New" w:hAnsi="Courier New" w:cs="Courier New"/>
        </w:rPr>
      </w:pPr>
    </w:p>
    <w:p w:rsidR="001B1F30" w:rsidRPr="00EA6F91" w:rsidRDefault="00424962" w:rsidP="00F50464">
      <w:pPr>
        <w:numPr>
          <w:ilvl w:val="0"/>
          <w:numId w:val="10"/>
        </w:numPr>
        <w:rPr>
          <w:rFonts w:ascii="Courier New" w:hAnsi="Courier New" w:cs="Courier New"/>
        </w:rPr>
      </w:pPr>
      <w:r w:rsidRPr="00EA6F91">
        <w:rPr>
          <w:rFonts w:ascii="Courier New" w:hAnsi="Courier New" w:cs="Courier New"/>
        </w:rPr>
        <w:t>Federal</w:t>
      </w:r>
      <w:r w:rsidR="001B1F30" w:rsidRPr="00EA6F91">
        <w:rPr>
          <w:rFonts w:ascii="Courier New" w:hAnsi="Courier New" w:cs="Courier New"/>
        </w:rPr>
        <w:t xml:space="preserve"> programs</w:t>
      </w:r>
      <w:r w:rsidRPr="00EA6F91">
        <w:rPr>
          <w:rFonts w:ascii="Courier New" w:hAnsi="Courier New" w:cs="Courier New"/>
        </w:rPr>
        <w:t xml:space="preserve"> within the United States</w:t>
      </w:r>
      <w:r w:rsidR="001B1F30" w:rsidRPr="00EA6F91">
        <w:rPr>
          <w:rFonts w:ascii="Courier New" w:hAnsi="Courier New" w:cs="Courier New"/>
        </w:rPr>
        <w:t xml:space="preserve">, such as the </w:t>
      </w:r>
      <w:r w:rsidR="004B136C" w:rsidRPr="00EA6F91">
        <w:rPr>
          <w:rFonts w:ascii="Courier New" w:hAnsi="Courier New" w:cs="Courier New"/>
        </w:rPr>
        <w:t>Inventory</w:t>
      </w:r>
      <w:r w:rsidR="001B1F30" w:rsidRPr="00EA6F91">
        <w:rPr>
          <w:rFonts w:ascii="Courier New" w:hAnsi="Courier New" w:cs="Courier New"/>
        </w:rPr>
        <w:t xml:space="preserve">, the </w:t>
      </w:r>
      <w:r w:rsidR="004B136C" w:rsidRPr="00EA6F91">
        <w:rPr>
          <w:rFonts w:ascii="Courier New" w:hAnsi="Courier New" w:cs="Courier New"/>
        </w:rPr>
        <w:t xml:space="preserve">U.S. Department of Energy’s (DOE’s) Energy Information Administration’s (EIA’s) 1605b </w:t>
      </w:r>
      <w:r w:rsidR="001B1F30" w:rsidRPr="00EA6F91">
        <w:rPr>
          <w:rFonts w:ascii="Courier New" w:hAnsi="Courier New" w:cs="Courier New"/>
        </w:rPr>
        <w:t>program, the Acid Rain Program,</w:t>
      </w:r>
      <w:r w:rsidR="004B136C" w:rsidRPr="00EA6F91">
        <w:rPr>
          <w:rFonts w:ascii="Courier New" w:hAnsi="Courier New" w:cs="Courier New"/>
        </w:rPr>
        <w:t xml:space="preserve"> EPA Natural Gas STAR Program,</w:t>
      </w:r>
      <w:r w:rsidR="001B1F30" w:rsidRPr="00EA6F91">
        <w:rPr>
          <w:rFonts w:ascii="Courier New" w:hAnsi="Courier New" w:cs="Courier New"/>
        </w:rPr>
        <w:t xml:space="preserve"> and voluntary GHG partnership programs;</w:t>
      </w:r>
    </w:p>
    <w:p w:rsidR="001B1F30" w:rsidRPr="00EA6F91" w:rsidRDefault="001B1F30" w:rsidP="001B1F30">
      <w:pPr>
        <w:rPr>
          <w:rFonts w:ascii="Courier New" w:hAnsi="Courier New" w:cs="Courier New"/>
        </w:rPr>
      </w:pPr>
    </w:p>
    <w:p w:rsidR="001B1F30" w:rsidRPr="00EA6F91" w:rsidRDefault="001B1F30" w:rsidP="00F50464">
      <w:pPr>
        <w:numPr>
          <w:ilvl w:val="0"/>
          <w:numId w:val="10"/>
        </w:numPr>
        <w:rPr>
          <w:rFonts w:ascii="Courier New" w:hAnsi="Courier New" w:cs="Courier New"/>
        </w:rPr>
      </w:pPr>
      <w:r w:rsidRPr="00EA6F91">
        <w:rPr>
          <w:rFonts w:ascii="Courier New" w:hAnsi="Courier New" w:cs="Courier New"/>
        </w:rPr>
        <w:t>State and r</w:t>
      </w:r>
      <w:r w:rsidR="00760EFC" w:rsidRPr="00EA6F91">
        <w:rPr>
          <w:rFonts w:ascii="Courier New" w:hAnsi="Courier New" w:cs="Courier New"/>
        </w:rPr>
        <w:t>egional GHG reporting programs</w:t>
      </w:r>
      <w:r w:rsidRPr="00EA6F91">
        <w:rPr>
          <w:rFonts w:ascii="Courier New" w:hAnsi="Courier New" w:cs="Courier New"/>
        </w:rPr>
        <w:t>, such as The Climate Registry, the Regional Greenhouse Gas Initiative, the Western Regional Air Partnership, and programs in several states including California, New Mexico, Connecticut, and New Jersey;</w:t>
      </w:r>
    </w:p>
    <w:p w:rsidR="001B1F30" w:rsidRPr="00EA6F91" w:rsidRDefault="001B1F30" w:rsidP="001B1F30">
      <w:pPr>
        <w:rPr>
          <w:rFonts w:ascii="Courier New" w:hAnsi="Courier New" w:cs="Courier New"/>
        </w:rPr>
      </w:pPr>
    </w:p>
    <w:p w:rsidR="001B1F30" w:rsidRPr="00EA6F91" w:rsidRDefault="001B1F30" w:rsidP="00F50464">
      <w:pPr>
        <w:numPr>
          <w:ilvl w:val="0"/>
          <w:numId w:val="10"/>
        </w:numPr>
        <w:rPr>
          <w:rFonts w:ascii="Courier New" w:hAnsi="Courier New" w:cs="Courier New"/>
        </w:rPr>
      </w:pPr>
      <w:r w:rsidRPr="00EA6F91">
        <w:rPr>
          <w:rFonts w:ascii="Courier New" w:hAnsi="Courier New" w:cs="Courier New"/>
        </w:rPr>
        <w:t xml:space="preserve">Reporting protocols developed by nongovernmental organizations, such as the World Resources Institute/World Business Council for Sustainable Development; and </w:t>
      </w:r>
    </w:p>
    <w:p w:rsidR="001B1F30" w:rsidRPr="00EA6F91" w:rsidRDefault="001B1F30" w:rsidP="001B1F30">
      <w:pPr>
        <w:ind w:left="720"/>
        <w:rPr>
          <w:rFonts w:ascii="Courier New" w:hAnsi="Courier New" w:cs="Courier New"/>
        </w:rPr>
      </w:pPr>
    </w:p>
    <w:p w:rsidR="001B1F30" w:rsidRPr="00EA6F91" w:rsidRDefault="001B1F30" w:rsidP="00F50464">
      <w:pPr>
        <w:numPr>
          <w:ilvl w:val="0"/>
          <w:numId w:val="10"/>
        </w:numPr>
        <w:rPr>
          <w:rFonts w:ascii="Courier New" w:hAnsi="Courier New" w:cs="Courier New"/>
        </w:rPr>
      </w:pPr>
      <w:r w:rsidRPr="00EA6F91">
        <w:rPr>
          <w:rFonts w:ascii="Courier New" w:hAnsi="Courier New" w:cs="Courier New"/>
        </w:rPr>
        <w:t>Programs from industrial trade organizations, such a</w:t>
      </w:r>
      <w:r w:rsidR="00760EFC" w:rsidRPr="00EA6F91">
        <w:rPr>
          <w:rFonts w:ascii="Courier New" w:hAnsi="Courier New" w:cs="Courier New"/>
        </w:rPr>
        <w:t>s</w:t>
      </w:r>
      <w:r w:rsidRPr="00EA6F91">
        <w:rPr>
          <w:rFonts w:ascii="Courier New" w:hAnsi="Courier New" w:cs="Courier New"/>
        </w:rPr>
        <w:t xml:space="preserve"> the Interstate Natural Gas Association of America’s GHG Emission Estimation Guidelines, the American Petroleum Institute’s Compendium of G</w:t>
      </w:r>
      <w:r w:rsidR="00760EFC" w:rsidRPr="00EA6F91">
        <w:rPr>
          <w:rFonts w:ascii="Courier New" w:hAnsi="Courier New" w:cs="Courier New"/>
        </w:rPr>
        <w:t>HG</w:t>
      </w:r>
      <w:r w:rsidRPr="00EA6F91">
        <w:rPr>
          <w:rFonts w:ascii="Courier New" w:hAnsi="Courier New" w:cs="Courier New"/>
        </w:rPr>
        <w:t xml:space="preserve"> Estimation Methodologies for the Oil and Gas Industry, and the </w:t>
      </w:r>
      <w:r w:rsidR="00760EFC" w:rsidRPr="00EA6F91">
        <w:rPr>
          <w:rFonts w:ascii="Courier New" w:hAnsi="Courier New" w:cs="Courier New"/>
        </w:rPr>
        <w:t xml:space="preserve">World Business Council for Sustainable Development’s </w:t>
      </w:r>
      <w:r w:rsidRPr="00EA6F91">
        <w:rPr>
          <w:rFonts w:ascii="Courier New" w:hAnsi="Courier New" w:cs="Courier New"/>
        </w:rPr>
        <w:t xml:space="preserve">Cement </w:t>
      </w:r>
      <w:r w:rsidRPr="00EA6F91">
        <w:rPr>
          <w:rFonts w:ascii="Courier New" w:hAnsi="Courier New" w:cs="Courier New"/>
        </w:rPr>
        <w:lastRenderedPageBreak/>
        <w:t>Sustainability Initiative’s CO</w:t>
      </w:r>
      <w:r w:rsidRPr="00EA6F91">
        <w:rPr>
          <w:rFonts w:ascii="Courier New" w:hAnsi="Courier New" w:cs="Courier New"/>
          <w:vertAlign w:val="subscript"/>
        </w:rPr>
        <w:t>2</w:t>
      </w:r>
      <w:r w:rsidRPr="00EA6F91">
        <w:rPr>
          <w:rFonts w:ascii="Courier New" w:hAnsi="Courier New" w:cs="Courier New"/>
        </w:rPr>
        <w:t xml:space="preserve"> Accounting and Reporting Standard for the Cement Industry. </w:t>
      </w:r>
    </w:p>
    <w:p w:rsidR="004B136C" w:rsidRPr="00EA6F91" w:rsidRDefault="004B136C" w:rsidP="00BB1633">
      <w:pPr>
        <w:autoSpaceDE w:val="0"/>
        <w:autoSpaceDN w:val="0"/>
        <w:adjustRightInd w:val="0"/>
        <w:rPr>
          <w:rFonts w:ascii="Courier New" w:hAnsi="Courier New" w:cs="Courier New"/>
        </w:rPr>
      </w:pPr>
    </w:p>
    <w:p w:rsidR="00FB0BB5" w:rsidRPr="00EA6F91" w:rsidRDefault="00FB0BB5" w:rsidP="00EA6F91">
      <w:pPr>
        <w:spacing w:line="360" w:lineRule="auto"/>
        <w:ind w:firstLine="720"/>
        <w:rPr>
          <w:rFonts w:ascii="Courier New" w:hAnsi="Courier New" w:cs="Courier New"/>
        </w:rPr>
      </w:pPr>
      <w:r w:rsidRPr="00EA6F91">
        <w:rPr>
          <w:rFonts w:ascii="Courier New" w:hAnsi="Courier New" w:cs="Courier New"/>
        </w:rPr>
        <w:t xml:space="preserve">These programs led the way in reporting of GHG emissions before the </w:t>
      </w:r>
      <w:r w:rsidR="004C416B" w:rsidRPr="00EA6F91">
        <w:rPr>
          <w:rFonts w:ascii="Courier New" w:hAnsi="Courier New" w:cs="Courier New"/>
        </w:rPr>
        <w:t>federal</w:t>
      </w:r>
      <w:r w:rsidRPr="00EA6F91">
        <w:rPr>
          <w:rFonts w:ascii="Courier New" w:hAnsi="Courier New" w:cs="Courier New"/>
        </w:rPr>
        <w:t xml:space="preserve"> government acted</w:t>
      </w:r>
      <w:r w:rsidR="0009541D">
        <w:rPr>
          <w:rFonts w:ascii="Courier New" w:hAnsi="Courier New" w:cs="Courier New"/>
        </w:rPr>
        <w:t xml:space="preserve"> and</w:t>
      </w:r>
      <w:r w:rsidRPr="00EA6F91">
        <w:rPr>
          <w:rFonts w:ascii="Courier New" w:hAnsi="Courier New" w:cs="Courier New"/>
        </w:rPr>
        <w:t xml:space="preserve"> assist</w:t>
      </w:r>
      <w:r w:rsidR="00760EFC" w:rsidRPr="00EA6F91">
        <w:rPr>
          <w:rFonts w:ascii="Courier New" w:hAnsi="Courier New" w:cs="Courier New"/>
        </w:rPr>
        <w:t>ed</w:t>
      </w:r>
      <w:r w:rsidRPr="00EA6F91">
        <w:rPr>
          <w:rFonts w:ascii="Courier New" w:hAnsi="Courier New" w:cs="Courier New"/>
        </w:rPr>
        <w:t xml:space="preserve"> in quantifying the GHG reductions achieved by various policies</w:t>
      </w:r>
      <w:r w:rsidR="002C652C" w:rsidRPr="00EA6F91">
        <w:rPr>
          <w:rFonts w:ascii="Courier New" w:hAnsi="Courier New" w:cs="Courier New"/>
        </w:rPr>
        <w:t xml:space="preserve">. </w:t>
      </w:r>
      <w:r w:rsidRPr="00EA6F91">
        <w:rPr>
          <w:rFonts w:ascii="Courier New" w:hAnsi="Courier New" w:cs="Courier New"/>
        </w:rPr>
        <w:t xml:space="preserve">Many of these programs collect different or additional data as compared to </w:t>
      </w:r>
      <w:r w:rsidR="00A24C9A" w:rsidRPr="00EA6F91">
        <w:rPr>
          <w:rFonts w:ascii="Courier New" w:hAnsi="Courier New" w:cs="Courier New"/>
        </w:rPr>
        <w:t>the GHGRP</w:t>
      </w:r>
      <w:r w:rsidR="00FC21F3">
        <w:rPr>
          <w:rFonts w:ascii="Courier New" w:hAnsi="Courier New" w:cs="Courier New"/>
        </w:rPr>
        <w:t xml:space="preserve"> and </w:t>
      </w:r>
      <w:r w:rsidR="00EE666B">
        <w:rPr>
          <w:rFonts w:ascii="Courier New" w:hAnsi="Courier New" w:cs="Courier New"/>
        </w:rPr>
        <w:t>this proposal</w:t>
      </w:r>
      <w:r w:rsidR="002C652C" w:rsidRPr="00EA6F91">
        <w:rPr>
          <w:rFonts w:ascii="Courier New" w:hAnsi="Courier New" w:cs="Courier New"/>
        </w:rPr>
        <w:t xml:space="preserve">. </w:t>
      </w:r>
      <w:r w:rsidRPr="00EA6F91">
        <w:rPr>
          <w:rFonts w:ascii="Courier New" w:hAnsi="Courier New" w:cs="Courier New"/>
        </w:rPr>
        <w:t xml:space="preserve">For example, </w:t>
      </w:r>
      <w:r w:rsidR="004C416B" w:rsidRPr="00EA6F91">
        <w:rPr>
          <w:rFonts w:ascii="Courier New" w:hAnsi="Courier New" w:cs="Courier New"/>
        </w:rPr>
        <w:t>state</w:t>
      </w:r>
      <w:r w:rsidRPr="00EA6F91">
        <w:rPr>
          <w:rFonts w:ascii="Courier New" w:hAnsi="Courier New" w:cs="Courier New"/>
        </w:rPr>
        <w:t xml:space="preserve"> programs may include different data elements to support other programs (e.g., offsets)</w:t>
      </w:r>
      <w:r w:rsidR="002C652C" w:rsidRPr="00EA6F91">
        <w:rPr>
          <w:rFonts w:ascii="Courier New" w:hAnsi="Courier New" w:cs="Courier New"/>
        </w:rPr>
        <w:t xml:space="preserve">. </w:t>
      </w:r>
      <w:r w:rsidR="00E750AB" w:rsidRPr="00EA6F91">
        <w:rPr>
          <w:rFonts w:ascii="Courier New" w:hAnsi="Courier New" w:cs="Courier New"/>
        </w:rPr>
        <w:t xml:space="preserve">While some programs collect similar information on GHG emissions, the Agency has determined that the </w:t>
      </w:r>
      <w:r w:rsidR="004C416B" w:rsidRPr="00EA6F91">
        <w:rPr>
          <w:rFonts w:ascii="Courier New" w:hAnsi="Courier New" w:cs="Courier New"/>
        </w:rPr>
        <w:t>GHGRP</w:t>
      </w:r>
      <w:r w:rsidR="00E750AB" w:rsidRPr="00EA6F91">
        <w:rPr>
          <w:rFonts w:ascii="Courier New" w:hAnsi="Courier New" w:cs="Courier New"/>
        </w:rPr>
        <w:t xml:space="preserve"> supplement</w:t>
      </w:r>
      <w:r w:rsidR="004C416B" w:rsidRPr="00EA6F91">
        <w:rPr>
          <w:rFonts w:ascii="Courier New" w:hAnsi="Courier New" w:cs="Courier New"/>
        </w:rPr>
        <w:t>s</w:t>
      </w:r>
      <w:r w:rsidR="00E750AB" w:rsidRPr="00EA6F91">
        <w:rPr>
          <w:rFonts w:ascii="Courier New" w:hAnsi="Courier New" w:cs="Courier New"/>
        </w:rPr>
        <w:t xml:space="preserve"> and complement</w:t>
      </w:r>
      <w:r w:rsidR="004C416B" w:rsidRPr="00EA6F91">
        <w:rPr>
          <w:rFonts w:ascii="Courier New" w:hAnsi="Courier New" w:cs="Courier New"/>
        </w:rPr>
        <w:t>s</w:t>
      </w:r>
      <w:r w:rsidR="00E750AB" w:rsidRPr="00EA6F91">
        <w:rPr>
          <w:rFonts w:ascii="Courier New" w:hAnsi="Courier New" w:cs="Courier New"/>
        </w:rPr>
        <w:t>, rather than duplicate</w:t>
      </w:r>
      <w:r w:rsidR="004C416B" w:rsidRPr="00EA6F91">
        <w:rPr>
          <w:rFonts w:ascii="Courier New" w:hAnsi="Courier New" w:cs="Courier New"/>
        </w:rPr>
        <w:t>s</w:t>
      </w:r>
      <w:r w:rsidR="00E750AB" w:rsidRPr="00EA6F91">
        <w:rPr>
          <w:rFonts w:ascii="Courier New" w:hAnsi="Courier New" w:cs="Courier New"/>
        </w:rPr>
        <w:t xml:space="preserve">, existing programs’ data. </w:t>
      </w:r>
      <w:r w:rsidR="00E16E5B" w:rsidRPr="00EA6F91">
        <w:rPr>
          <w:rFonts w:ascii="Courier New" w:hAnsi="Courier New" w:cs="Courier New"/>
        </w:rPr>
        <w:t xml:space="preserve">Further, EPA has made significant efforts over the past </w:t>
      </w:r>
      <w:r w:rsidR="005F27C4">
        <w:rPr>
          <w:rFonts w:ascii="Courier New" w:hAnsi="Courier New" w:cs="Courier New"/>
        </w:rPr>
        <w:t>four</w:t>
      </w:r>
      <w:r w:rsidR="00E16E5B" w:rsidRPr="00EA6F91">
        <w:rPr>
          <w:rFonts w:ascii="Courier New" w:hAnsi="Courier New" w:cs="Courier New"/>
        </w:rPr>
        <w:t xml:space="preserve"> years to facilitate the reporting in the event a single entity has to report both the federal and state level. </w:t>
      </w:r>
      <w:r w:rsidR="00067AB0" w:rsidRPr="00EA6F91">
        <w:rPr>
          <w:rFonts w:ascii="Courier New" w:hAnsi="Courier New" w:cs="Courier New"/>
        </w:rPr>
        <w:t xml:space="preserve">For example, EPA has supported efforts by the California Air Resources Board to harmonize the reporting of information under </w:t>
      </w:r>
      <w:r w:rsidR="00D624C7" w:rsidRPr="00EA6F91">
        <w:rPr>
          <w:rFonts w:ascii="Courier New" w:hAnsi="Courier New" w:cs="Courier New"/>
        </w:rPr>
        <w:t>California’s</w:t>
      </w:r>
      <w:r w:rsidR="00067AB0" w:rsidRPr="00EA6F91">
        <w:rPr>
          <w:rFonts w:ascii="Courier New" w:hAnsi="Courier New" w:cs="Courier New"/>
        </w:rPr>
        <w:t xml:space="preserve"> Global Warming Solutions Act, AB32 with EPA’s GHGRP</w:t>
      </w:r>
      <w:r w:rsidR="004900E8" w:rsidRPr="00EA6F91">
        <w:rPr>
          <w:rFonts w:ascii="Courier New" w:hAnsi="Courier New" w:cs="Courier New"/>
        </w:rPr>
        <w:t xml:space="preserve">. The product of the </w:t>
      </w:r>
      <w:r w:rsidR="00067AB0" w:rsidRPr="00EA6F91">
        <w:rPr>
          <w:rFonts w:ascii="Courier New" w:hAnsi="Courier New" w:cs="Courier New"/>
        </w:rPr>
        <w:t xml:space="preserve">collaboration </w:t>
      </w:r>
      <w:r w:rsidR="004900E8" w:rsidRPr="00EA6F91">
        <w:rPr>
          <w:rFonts w:ascii="Courier New" w:hAnsi="Courier New" w:cs="Courier New"/>
        </w:rPr>
        <w:t>is referred to as California Electronic Greenhouse Gas Reporting Tool, or Cal e-GGRT.</w:t>
      </w:r>
    </w:p>
    <w:p w:rsidR="00502BC8" w:rsidRPr="00EA6F91" w:rsidRDefault="00001D98" w:rsidP="00001D98">
      <w:pPr>
        <w:spacing w:line="360" w:lineRule="auto"/>
        <w:ind w:firstLine="720"/>
        <w:rPr>
          <w:rFonts w:ascii="Courier New" w:hAnsi="Courier New" w:cs="Courier New"/>
        </w:rPr>
      </w:pPr>
      <w:r w:rsidRPr="00001D98">
        <w:rPr>
          <w:rFonts w:ascii="Courier New" w:hAnsi="Courier New"/>
        </w:rPr>
        <w:t>Documentation of EPA’s review of GHG monitoring protocols used by federal and state voluntary and mandatory GHG programs as well as GHG reporting rules can be found in the docket at EPA-HQ-OAR-2008-0508-056.</w:t>
      </w:r>
      <w:r>
        <w:t xml:space="preserve">  </w:t>
      </w:r>
      <w:r w:rsidR="0093336F" w:rsidRPr="00EA6F91">
        <w:rPr>
          <w:rFonts w:ascii="Courier New" w:hAnsi="Courier New" w:cs="Courier New"/>
        </w:rPr>
        <w:t xml:space="preserve">For further discussion on the relationship of the GHGRP to other programs, please refer to the preambles of each of the </w:t>
      </w:r>
      <w:r w:rsidR="004B136C" w:rsidRPr="00EA6F91">
        <w:rPr>
          <w:rFonts w:ascii="Courier New" w:hAnsi="Courier New" w:cs="Courier New"/>
        </w:rPr>
        <w:t xml:space="preserve">GHGRP </w:t>
      </w:r>
      <w:r w:rsidR="0093336F" w:rsidRPr="00EA6F91">
        <w:rPr>
          <w:rFonts w:ascii="Courier New" w:hAnsi="Courier New" w:cs="Courier New"/>
        </w:rPr>
        <w:t>rulemakings</w:t>
      </w:r>
      <w:r w:rsidR="005222D8" w:rsidRPr="00EA6F91">
        <w:rPr>
          <w:rFonts w:ascii="Courier New" w:hAnsi="Courier New" w:cs="Courier New"/>
        </w:rPr>
        <w:t xml:space="preserve">, </w:t>
      </w:r>
      <w:r w:rsidR="004B136C" w:rsidRPr="00EA6F91">
        <w:rPr>
          <w:rFonts w:ascii="Courier New" w:hAnsi="Courier New" w:cs="Courier New"/>
        </w:rPr>
        <w:t xml:space="preserve">the </w:t>
      </w:r>
      <w:r w:rsidR="005222D8" w:rsidRPr="00EA6F91">
        <w:rPr>
          <w:rFonts w:ascii="Courier New" w:hAnsi="Courier New" w:cs="Courier New"/>
        </w:rPr>
        <w:t>June 6, 2008 memorandum entitled Review of Existing Programs</w:t>
      </w:r>
      <w:r w:rsidR="005816DF" w:rsidRPr="00EA6F91">
        <w:rPr>
          <w:rFonts w:ascii="Courier New" w:hAnsi="Courier New" w:cs="Courier New"/>
        </w:rPr>
        <w:t xml:space="preserve"> (which can be found in the docket at EPA-HQ-OAR-2008-0508-0052)</w:t>
      </w:r>
      <w:r w:rsidR="005222D8" w:rsidRPr="00EA6F91">
        <w:rPr>
          <w:rFonts w:ascii="Courier New" w:hAnsi="Courier New" w:cs="Courier New"/>
        </w:rPr>
        <w:t xml:space="preserve">, </w:t>
      </w:r>
      <w:r w:rsidR="00760EFC" w:rsidRPr="00EA6F91">
        <w:rPr>
          <w:rFonts w:ascii="Courier New" w:hAnsi="Courier New" w:cs="Courier New"/>
        </w:rPr>
        <w:t>and</w:t>
      </w:r>
      <w:r w:rsidR="005222D8" w:rsidRPr="00EA6F91">
        <w:rPr>
          <w:rFonts w:ascii="Courier New" w:hAnsi="Courier New" w:cs="Courier New"/>
        </w:rPr>
        <w:t xml:space="preserve"> the January 27, 2009 memorandum entitled Review of Existing State Greenhouse Gas Reporting Rules</w:t>
      </w:r>
      <w:r w:rsidR="005816DF" w:rsidRPr="00EA6F91">
        <w:rPr>
          <w:rFonts w:ascii="Courier New" w:hAnsi="Courier New" w:cs="Courier New"/>
        </w:rPr>
        <w:t xml:space="preserve"> (which can be found in the docket at EPA-HQ-OAR-2008-0508-0054)</w:t>
      </w:r>
      <w:r w:rsidR="0093336F" w:rsidRPr="00EA6F91">
        <w:rPr>
          <w:rFonts w:ascii="Courier New" w:hAnsi="Courier New" w:cs="Courier New"/>
        </w:rPr>
        <w:t xml:space="preserve">. </w:t>
      </w:r>
      <w:r w:rsidR="00FB0BB5" w:rsidRPr="00EA6F91">
        <w:rPr>
          <w:rFonts w:ascii="Courier New" w:hAnsi="Courier New" w:cs="Courier New"/>
        </w:rPr>
        <w:t xml:space="preserve">Some GHG programs </w:t>
      </w:r>
      <w:r w:rsidR="00C71393" w:rsidRPr="00EA6F91">
        <w:rPr>
          <w:rFonts w:ascii="Courier New" w:hAnsi="Courier New" w:cs="Courier New"/>
        </w:rPr>
        <w:t>are described below:</w:t>
      </w:r>
      <w:r w:rsidR="00A47CF8" w:rsidRPr="00EA6F91">
        <w:rPr>
          <w:rFonts w:ascii="Courier New" w:hAnsi="Courier New" w:cs="Courier New"/>
        </w:rPr>
        <w:t xml:space="preserve"> </w:t>
      </w:r>
    </w:p>
    <w:p w:rsidR="00502BC8" w:rsidRPr="00EA6F91" w:rsidRDefault="00502BC8" w:rsidP="00BB1633">
      <w:pPr>
        <w:ind w:firstLine="720"/>
        <w:rPr>
          <w:rFonts w:ascii="Courier New" w:hAnsi="Courier New" w:cs="Courier New"/>
        </w:rPr>
      </w:pPr>
    </w:p>
    <w:p w:rsidR="00340553" w:rsidRPr="00EA6F91" w:rsidRDefault="00502BC8" w:rsidP="00F50464">
      <w:pPr>
        <w:numPr>
          <w:ilvl w:val="0"/>
          <w:numId w:val="11"/>
        </w:numPr>
        <w:rPr>
          <w:rFonts w:ascii="Courier New" w:hAnsi="Courier New" w:cs="Courier New"/>
        </w:rPr>
      </w:pPr>
      <w:r w:rsidRPr="00EA6F91">
        <w:rPr>
          <w:rFonts w:ascii="Courier New" w:hAnsi="Courier New" w:cs="Courier New"/>
        </w:rPr>
        <w:t xml:space="preserve">A number of </w:t>
      </w:r>
      <w:r w:rsidR="005B2A7D" w:rsidRPr="00EA6F91">
        <w:rPr>
          <w:rFonts w:ascii="Courier New" w:hAnsi="Courier New" w:cs="Courier New"/>
        </w:rPr>
        <w:t>EPA</w:t>
      </w:r>
      <w:r w:rsidR="00E022CB" w:rsidRPr="00EA6F91">
        <w:rPr>
          <w:rFonts w:ascii="Courier New" w:hAnsi="Courier New" w:cs="Courier New"/>
        </w:rPr>
        <w:t>’s</w:t>
      </w:r>
      <w:r w:rsidRPr="00EA6F91">
        <w:rPr>
          <w:rFonts w:ascii="Courier New" w:hAnsi="Courier New" w:cs="Courier New"/>
        </w:rPr>
        <w:t xml:space="preserve"> voluntary partnership programs include a </w:t>
      </w:r>
      <w:r w:rsidR="005963EB" w:rsidRPr="00EA6F91">
        <w:rPr>
          <w:rFonts w:ascii="Courier New" w:hAnsi="Courier New" w:cs="Courier New"/>
        </w:rPr>
        <w:t xml:space="preserve">GHG </w:t>
      </w:r>
      <w:r w:rsidRPr="00EA6F91">
        <w:rPr>
          <w:rFonts w:ascii="Courier New" w:hAnsi="Courier New" w:cs="Courier New"/>
        </w:rPr>
        <w:t>emissions and/or reductions reporting component (e.g., Natural Gas STAR program</w:t>
      </w:r>
      <w:r w:rsidR="0099779D" w:rsidRPr="00EA6F91">
        <w:rPr>
          <w:rFonts w:ascii="Courier New" w:hAnsi="Courier New" w:cs="Courier New"/>
        </w:rPr>
        <w:t>,</w:t>
      </w:r>
      <w:r w:rsidRPr="00EA6F91">
        <w:rPr>
          <w:rFonts w:ascii="Courier New" w:hAnsi="Courier New" w:cs="Courier New"/>
        </w:rPr>
        <w:t xml:space="preserve"> etc.).</w:t>
      </w:r>
      <w:r w:rsidR="00A47CF8" w:rsidRPr="00EA6F91">
        <w:rPr>
          <w:rFonts w:ascii="Courier New" w:hAnsi="Courier New" w:cs="Courier New"/>
        </w:rPr>
        <w:t xml:space="preserve"> </w:t>
      </w:r>
      <w:r w:rsidRPr="00EA6F91">
        <w:rPr>
          <w:rFonts w:ascii="Courier New" w:hAnsi="Courier New" w:cs="Courier New"/>
        </w:rPr>
        <w:t xml:space="preserve">However, </w:t>
      </w:r>
      <w:r w:rsidR="004C416B" w:rsidRPr="00EA6F91">
        <w:rPr>
          <w:rFonts w:ascii="Courier New" w:hAnsi="Courier New" w:cs="Courier New"/>
        </w:rPr>
        <w:t>the GHGRP has</w:t>
      </w:r>
      <w:r w:rsidRPr="00EA6F91">
        <w:rPr>
          <w:rFonts w:ascii="Courier New" w:hAnsi="Courier New" w:cs="Courier New"/>
        </w:rPr>
        <w:t xml:space="preserve"> much broader coverage than the voluntary programs and therefore help</w:t>
      </w:r>
      <w:r w:rsidR="004C416B" w:rsidRPr="00EA6F91">
        <w:rPr>
          <w:rFonts w:ascii="Courier New" w:hAnsi="Courier New" w:cs="Courier New"/>
        </w:rPr>
        <w:t>s</w:t>
      </w:r>
      <w:r w:rsidRPr="00EA6F91">
        <w:rPr>
          <w:rFonts w:ascii="Courier New" w:hAnsi="Courier New" w:cs="Courier New"/>
        </w:rPr>
        <w:t xml:space="preserve"> EPA learn more about emissions from facilities not included in current programs.</w:t>
      </w:r>
    </w:p>
    <w:p w:rsidR="00340553" w:rsidRPr="00EA6F91" w:rsidRDefault="00340553" w:rsidP="00340553">
      <w:pPr>
        <w:pStyle w:val="LightGrid-Accent31"/>
        <w:rPr>
          <w:rFonts w:ascii="Courier New" w:hAnsi="Courier New" w:cs="Courier New"/>
        </w:rPr>
      </w:pPr>
    </w:p>
    <w:p w:rsidR="00E750AB" w:rsidRPr="00EA6F91" w:rsidRDefault="00E750AB" w:rsidP="00F50464">
      <w:pPr>
        <w:numPr>
          <w:ilvl w:val="0"/>
          <w:numId w:val="11"/>
        </w:numPr>
        <w:rPr>
          <w:rFonts w:ascii="Courier New" w:hAnsi="Courier New" w:cs="Courier New"/>
        </w:rPr>
      </w:pPr>
      <w:r w:rsidRPr="00EA6F91">
        <w:rPr>
          <w:rFonts w:ascii="Courier New" w:hAnsi="Courier New" w:cs="Courier New"/>
        </w:rPr>
        <w:t>EPA reviewed the Inventory, which is an annual comprehensive top-down assessment of national greenhouses gas emissions</w:t>
      </w:r>
      <w:r w:rsidR="002C652C" w:rsidRPr="00EA6F91">
        <w:rPr>
          <w:rFonts w:ascii="Courier New" w:hAnsi="Courier New" w:cs="Courier New"/>
        </w:rPr>
        <w:t xml:space="preserve">. </w:t>
      </w:r>
      <w:r w:rsidRPr="00EA6F91">
        <w:rPr>
          <w:rFonts w:ascii="Courier New" w:hAnsi="Courier New" w:cs="Courier New"/>
        </w:rPr>
        <w:t xml:space="preserve">While the Inventory is </w:t>
      </w:r>
      <w:r w:rsidR="004900E8" w:rsidRPr="00EA6F91">
        <w:rPr>
          <w:rFonts w:ascii="Courier New" w:hAnsi="Courier New" w:cs="Courier New"/>
        </w:rPr>
        <w:t xml:space="preserve">generally </w:t>
      </w:r>
      <w:r w:rsidR="00CC2D05" w:rsidRPr="00EA6F91">
        <w:rPr>
          <w:rFonts w:ascii="Courier New" w:hAnsi="Courier New" w:cs="Courier New"/>
        </w:rPr>
        <w:t xml:space="preserve">compiled from national surveys (i.e., </w:t>
      </w:r>
      <w:r w:rsidRPr="00EA6F91">
        <w:rPr>
          <w:rFonts w:ascii="Courier New" w:hAnsi="Courier New" w:cs="Courier New"/>
        </w:rPr>
        <w:t>not broken down at the geographic or facility level</w:t>
      </w:r>
      <w:r w:rsidR="00CC2D05" w:rsidRPr="00EA6F91">
        <w:rPr>
          <w:rFonts w:ascii="Courier New" w:hAnsi="Courier New" w:cs="Courier New"/>
        </w:rPr>
        <w:t>)</w:t>
      </w:r>
      <w:r w:rsidRPr="00EA6F91">
        <w:rPr>
          <w:rFonts w:ascii="Courier New" w:hAnsi="Courier New" w:cs="Courier New"/>
        </w:rPr>
        <w:t xml:space="preserve">, the </w:t>
      </w:r>
      <w:r w:rsidR="00CC2D05" w:rsidRPr="00EA6F91">
        <w:rPr>
          <w:rFonts w:ascii="Courier New" w:hAnsi="Courier New" w:cs="Courier New"/>
        </w:rPr>
        <w:t>GHGRP</w:t>
      </w:r>
      <w:r w:rsidRPr="00EA6F91">
        <w:rPr>
          <w:rFonts w:ascii="Courier New" w:hAnsi="Courier New" w:cs="Courier New"/>
        </w:rPr>
        <w:t xml:space="preserve"> focuses on bottom-up data from individual facilities that exceed appropriate thresholds</w:t>
      </w:r>
      <w:r w:rsidR="002C652C" w:rsidRPr="00EA6F91">
        <w:rPr>
          <w:rFonts w:ascii="Courier New" w:hAnsi="Courier New" w:cs="Courier New"/>
        </w:rPr>
        <w:t xml:space="preserve">. </w:t>
      </w:r>
      <w:r w:rsidRPr="00EA6F91">
        <w:rPr>
          <w:rFonts w:ascii="Courier New" w:hAnsi="Courier New" w:cs="Courier New"/>
        </w:rPr>
        <w:t xml:space="preserve">The bottom-up approach to data collection in the </w:t>
      </w:r>
      <w:r w:rsidR="00CC2D05" w:rsidRPr="00EA6F91">
        <w:rPr>
          <w:rFonts w:ascii="Courier New" w:hAnsi="Courier New" w:cs="Courier New"/>
        </w:rPr>
        <w:t>GHGRP</w:t>
      </w:r>
      <w:r w:rsidRPr="00EA6F91">
        <w:rPr>
          <w:rFonts w:ascii="Courier New" w:hAnsi="Courier New" w:cs="Courier New"/>
        </w:rPr>
        <w:t xml:space="preserve"> </w:t>
      </w:r>
      <w:r w:rsidR="004900E8" w:rsidRPr="00EA6F91">
        <w:rPr>
          <w:rFonts w:ascii="Courier New" w:hAnsi="Courier New" w:cs="Courier New"/>
        </w:rPr>
        <w:t xml:space="preserve">can help reduce uncertainty in emissions estimates for specific industries, and more broadly, </w:t>
      </w:r>
      <w:r w:rsidRPr="00EA6F91">
        <w:rPr>
          <w:rFonts w:ascii="Courier New" w:hAnsi="Courier New" w:cs="Courier New"/>
        </w:rPr>
        <w:t>help</w:t>
      </w:r>
      <w:r w:rsidR="00CC2D05" w:rsidRPr="00EA6F91">
        <w:rPr>
          <w:rFonts w:ascii="Courier New" w:hAnsi="Courier New" w:cs="Courier New"/>
        </w:rPr>
        <w:t>s</w:t>
      </w:r>
      <w:r w:rsidRPr="00EA6F91">
        <w:rPr>
          <w:rFonts w:ascii="Courier New" w:hAnsi="Courier New" w:cs="Courier New"/>
        </w:rPr>
        <w:t xml:space="preserve"> EPA transition to </w:t>
      </w:r>
      <w:r w:rsidR="004900E8" w:rsidRPr="00EA6F91">
        <w:rPr>
          <w:rFonts w:ascii="Courier New" w:hAnsi="Courier New" w:cs="Courier New"/>
        </w:rPr>
        <w:t xml:space="preserve">use of </w:t>
      </w:r>
      <w:r w:rsidRPr="00EA6F91">
        <w:rPr>
          <w:rFonts w:ascii="Courier New" w:hAnsi="Courier New" w:cs="Courier New"/>
        </w:rPr>
        <w:t xml:space="preserve">the </w:t>
      </w:r>
      <w:r w:rsidR="00F13598" w:rsidRPr="00EA6F91">
        <w:rPr>
          <w:rFonts w:ascii="Courier New" w:hAnsi="Courier New" w:cs="Courier New"/>
        </w:rPr>
        <w:t xml:space="preserve">2006 </w:t>
      </w:r>
      <w:r w:rsidR="00A20241" w:rsidRPr="00EA6F91">
        <w:rPr>
          <w:rFonts w:ascii="Courier New" w:hAnsi="Courier New" w:cs="Courier New"/>
        </w:rPr>
        <w:t xml:space="preserve">IPCC </w:t>
      </w:r>
      <w:r w:rsidR="00F13598" w:rsidRPr="00EA6F91">
        <w:rPr>
          <w:rFonts w:ascii="Courier New" w:hAnsi="Courier New" w:cs="Courier New"/>
        </w:rPr>
        <w:t>Guidelines for National Greenhouse Gas Inventories, which will be required to meet international reporting obligations under the United Nations Framework Convention on Climate Change in the near future.</w:t>
      </w:r>
    </w:p>
    <w:p w:rsidR="00CC2D05" w:rsidRPr="00EA6F91" w:rsidRDefault="00CC2D05" w:rsidP="00CC2D05">
      <w:pPr>
        <w:ind w:left="1080"/>
        <w:rPr>
          <w:rFonts w:ascii="Courier New" w:hAnsi="Courier New" w:cs="Courier New"/>
        </w:rPr>
      </w:pPr>
    </w:p>
    <w:p w:rsidR="00E750AB" w:rsidRPr="008F7304" w:rsidRDefault="00E750AB" w:rsidP="008F7304">
      <w:pPr>
        <w:ind w:left="1080"/>
        <w:rPr>
          <w:rFonts w:ascii="Courier New" w:hAnsi="Courier New" w:cs="Courier New"/>
        </w:rPr>
      </w:pPr>
    </w:p>
    <w:p w:rsidR="0069266A" w:rsidRDefault="00FB0BB5" w:rsidP="008A4119">
      <w:pPr>
        <w:spacing w:line="360" w:lineRule="auto"/>
        <w:ind w:firstLine="720"/>
        <w:rPr>
          <w:rFonts w:ascii="Courier New" w:hAnsi="Courier New" w:cs="Courier New"/>
        </w:rPr>
      </w:pPr>
      <w:r w:rsidRPr="008A4119">
        <w:rPr>
          <w:rFonts w:ascii="Courier New" w:hAnsi="Courier New" w:cs="Courier New"/>
        </w:rPr>
        <w:t>As noted in the ICR for the</w:t>
      </w:r>
      <w:r w:rsidR="00133DBE" w:rsidRPr="008A4119">
        <w:rPr>
          <w:rFonts w:ascii="Courier New" w:hAnsi="Courier New" w:cs="Courier New"/>
        </w:rPr>
        <w:t xml:space="preserve"> 2009 GHG Reporting Rule</w:t>
      </w:r>
      <w:r w:rsidRPr="008A4119">
        <w:rPr>
          <w:rFonts w:ascii="Courier New" w:hAnsi="Courier New" w:cs="Courier New"/>
        </w:rPr>
        <w:t>, a</w:t>
      </w:r>
      <w:r w:rsidR="00117458" w:rsidRPr="008A4119">
        <w:rPr>
          <w:rFonts w:ascii="Courier New" w:hAnsi="Courier New" w:cs="Courier New"/>
        </w:rPr>
        <w:t xml:space="preserve"> number of programs at the </w:t>
      </w:r>
      <w:r w:rsidR="00557C7F" w:rsidRPr="008A4119">
        <w:rPr>
          <w:rFonts w:ascii="Courier New" w:hAnsi="Courier New" w:cs="Courier New"/>
        </w:rPr>
        <w:t xml:space="preserve">state, </w:t>
      </w:r>
      <w:r w:rsidR="008250BD" w:rsidRPr="008A4119">
        <w:rPr>
          <w:rFonts w:ascii="Courier New" w:hAnsi="Courier New" w:cs="Courier New"/>
        </w:rPr>
        <w:t>t</w:t>
      </w:r>
      <w:r w:rsidR="00117458" w:rsidRPr="008A4119">
        <w:rPr>
          <w:rFonts w:ascii="Courier New" w:hAnsi="Courier New" w:cs="Courier New"/>
        </w:rPr>
        <w:t>rib</w:t>
      </w:r>
      <w:r w:rsidR="008250BD" w:rsidRPr="008A4119">
        <w:rPr>
          <w:rFonts w:ascii="Courier New" w:hAnsi="Courier New" w:cs="Courier New"/>
        </w:rPr>
        <w:t>al, t</w:t>
      </w:r>
      <w:r w:rsidR="00117458" w:rsidRPr="008A4119">
        <w:rPr>
          <w:rFonts w:ascii="Courier New" w:hAnsi="Courier New" w:cs="Courier New"/>
        </w:rPr>
        <w:t xml:space="preserve">erritorial, and local level require emission sources in their respective jurisdictions to monitor and report </w:t>
      </w:r>
      <w:r w:rsidR="00D63E46" w:rsidRPr="008A4119">
        <w:rPr>
          <w:rFonts w:ascii="Courier New" w:hAnsi="Courier New" w:cs="Courier New"/>
        </w:rPr>
        <w:t xml:space="preserve">GHG </w:t>
      </w:r>
      <w:r w:rsidR="00117458" w:rsidRPr="008A4119">
        <w:rPr>
          <w:rFonts w:ascii="Courier New" w:hAnsi="Courier New" w:cs="Courier New"/>
        </w:rPr>
        <w:t xml:space="preserve">emissions. To reduce burden on reporters and program agencies, the Agency </w:t>
      </w:r>
      <w:r w:rsidR="00067AB0" w:rsidRPr="008A4119">
        <w:rPr>
          <w:rFonts w:ascii="Courier New" w:hAnsi="Courier New" w:cs="Courier New"/>
        </w:rPr>
        <w:t>plans to</w:t>
      </w:r>
      <w:r w:rsidR="00117458" w:rsidRPr="008A4119">
        <w:rPr>
          <w:rFonts w:ascii="Courier New" w:hAnsi="Courier New" w:cs="Courier New"/>
        </w:rPr>
        <w:t xml:space="preserve"> shar</w:t>
      </w:r>
      <w:r w:rsidR="00067AB0" w:rsidRPr="008A4119">
        <w:rPr>
          <w:rFonts w:ascii="Courier New" w:hAnsi="Courier New" w:cs="Courier New"/>
        </w:rPr>
        <w:t>e</w:t>
      </w:r>
      <w:r w:rsidR="00117458" w:rsidRPr="008A4119">
        <w:rPr>
          <w:rFonts w:ascii="Courier New" w:hAnsi="Courier New" w:cs="Courier New"/>
        </w:rPr>
        <w:t xml:space="preserve"> </w:t>
      </w:r>
      <w:r w:rsidR="00652BB6" w:rsidRPr="008A4119">
        <w:rPr>
          <w:rFonts w:ascii="Courier New" w:hAnsi="Courier New" w:cs="Courier New"/>
        </w:rPr>
        <w:t xml:space="preserve">reported </w:t>
      </w:r>
      <w:r w:rsidR="00117458" w:rsidRPr="008A4119">
        <w:rPr>
          <w:rFonts w:ascii="Courier New" w:hAnsi="Courier New" w:cs="Courier New"/>
        </w:rPr>
        <w:t>data</w:t>
      </w:r>
      <w:r w:rsidR="00EE666B" w:rsidRPr="008A4119">
        <w:rPr>
          <w:rFonts w:ascii="Courier New" w:hAnsi="Courier New" w:cs="Courier New"/>
        </w:rPr>
        <w:t>,</w:t>
      </w:r>
      <w:r w:rsidR="00117458" w:rsidRPr="008A4119">
        <w:rPr>
          <w:rFonts w:ascii="Courier New" w:hAnsi="Courier New" w:cs="Courier New"/>
        </w:rPr>
        <w:t xml:space="preserve"> with the exception</w:t>
      </w:r>
      <w:r w:rsidR="00117458" w:rsidRPr="008A4119">
        <w:rPr>
          <w:rFonts w:ascii="Courier New" w:hAnsi="Courier New" w:cs="Courier New"/>
          <w:vertAlign w:val="subscript"/>
        </w:rPr>
        <w:t xml:space="preserve"> </w:t>
      </w:r>
      <w:r w:rsidR="00117458" w:rsidRPr="008A4119">
        <w:rPr>
          <w:rFonts w:ascii="Courier New" w:hAnsi="Courier New" w:cs="Courier New"/>
        </w:rPr>
        <w:t xml:space="preserve">of any </w:t>
      </w:r>
      <w:r w:rsidR="00652BB6" w:rsidRPr="008A4119">
        <w:rPr>
          <w:rFonts w:ascii="Courier New" w:hAnsi="Courier New" w:cs="Courier New"/>
        </w:rPr>
        <w:t xml:space="preserve">information determined to be </w:t>
      </w:r>
      <w:r w:rsidR="00117458" w:rsidRPr="008A4119">
        <w:rPr>
          <w:rFonts w:ascii="Courier New" w:hAnsi="Courier New" w:cs="Courier New"/>
        </w:rPr>
        <w:t>CBI</w:t>
      </w:r>
      <w:r w:rsidR="00EE666B" w:rsidRPr="008A4119">
        <w:rPr>
          <w:rFonts w:ascii="Courier New" w:hAnsi="Courier New" w:cs="Courier New"/>
        </w:rPr>
        <w:t>,</w:t>
      </w:r>
      <w:r w:rsidR="00117458" w:rsidRPr="008A4119">
        <w:rPr>
          <w:rFonts w:ascii="Courier New" w:hAnsi="Courier New" w:cs="Courier New"/>
        </w:rPr>
        <w:t xml:space="preserve"> with relevant agencies or approved entities using, where practical, shared tools</w:t>
      </w:r>
      <w:r w:rsidR="004B136C" w:rsidRPr="008A4119">
        <w:rPr>
          <w:rFonts w:ascii="Courier New" w:hAnsi="Courier New" w:cs="Courier New"/>
        </w:rPr>
        <w:t>,</w:t>
      </w:r>
      <w:r w:rsidR="00117458" w:rsidRPr="008A4119">
        <w:rPr>
          <w:rFonts w:ascii="Courier New" w:hAnsi="Courier New" w:cs="Courier New"/>
        </w:rPr>
        <w:t xml:space="preserve"> and infrastructure.</w:t>
      </w:r>
    </w:p>
    <w:p w:rsidR="00AE16D4" w:rsidRPr="008F7304" w:rsidRDefault="0069266A" w:rsidP="00AE16D4">
      <w:pPr>
        <w:spacing w:line="360" w:lineRule="auto"/>
        <w:ind w:firstLine="720"/>
        <w:rPr>
          <w:rFonts w:ascii="Courier New" w:hAnsi="Courier New" w:cs="Courier New"/>
        </w:rPr>
      </w:pPr>
      <w:r>
        <w:rPr>
          <w:rFonts w:ascii="Courier New" w:hAnsi="Courier New"/>
        </w:rPr>
        <w:t>Based on this evaluation, this information collection request does not duplicate other information collections.</w:t>
      </w:r>
    </w:p>
    <w:p w:rsidR="00247880" w:rsidRDefault="00247880" w:rsidP="00AE16D4">
      <w:pPr>
        <w:pStyle w:val="Heading2"/>
        <w:spacing w:line="360" w:lineRule="auto"/>
        <w:ind w:firstLine="0"/>
        <w:rPr>
          <w:rFonts w:ascii="Courier New" w:hAnsi="Courier New" w:cs="Courier New"/>
        </w:rPr>
      </w:pPr>
      <w:bookmarkStart w:id="12" w:name="_Toc336985077"/>
      <w:bookmarkEnd w:id="10"/>
      <w:bookmarkEnd w:id="11"/>
    </w:p>
    <w:p w:rsidR="008A715C" w:rsidRPr="008F7304" w:rsidRDefault="0046780F" w:rsidP="00AE16D4">
      <w:pPr>
        <w:pStyle w:val="Heading2"/>
        <w:spacing w:line="360" w:lineRule="auto"/>
        <w:ind w:firstLine="0"/>
        <w:rPr>
          <w:rFonts w:ascii="Courier New" w:hAnsi="Courier New" w:cs="Courier New"/>
        </w:rPr>
      </w:pPr>
      <w:r w:rsidRPr="008F7304">
        <w:rPr>
          <w:rFonts w:ascii="Courier New" w:hAnsi="Courier New" w:cs="Courier New"/>
        </w:rPr>
        <w:t xml:space="preserve">3(b) Public Notice Required Prior to </w:t>
      </w:r>
      <w:r w:rsidR="00DA2441" w:rsidRPr="008F7304">
        <w:rPr>
          <w:rFonts w:ascii="Courier New" w:hAnsi="Courier New" w:cs="Courier New"/>
        </w:rPr>
        <w:t>Information Collection Request (</w:t>
      </w:r>
      <w:r w:rsidRPr="008F7304">
        <w:rPr>
          <w:rFonts w:ascii="Courier New" w:hAnsi="Courier New" w:cs="Courier New"/>
        </w:rPr>
        <w:t>ICR</w:t>
      </w:r>
      <w:r w:rsidR="00DA2441" w:rsidRPr="008F7304">
        <w:rPr>
          <w:rFonts w:ascii="Courier New" w:hAnsi="Courier New" w:cs="Courier New"/>
        </w:rPr>
        <w:t>)</w:t>
      </w:r>
      <w:r w:rsidRPr="008F7304">
        <w:rPr>
          <w:rFonts w:ascii="Courier New" w:hAnsi="Courier New" w:cs="Courier New"/>
        </w:rPr>
        <w:t xml:space="preserve"> Submissions to OMB</w:t>
      </w:r>
      <w:bookmarkEnd w:id="12"/>
    </w:p>
    <w:p w:rsidR="00BA5603" w:rsidRPr="008F7304" w:rsidRDefault="00745388" w:rsidP="00EA6F91">
      <w:pPr>
        <w:spacing w:line="360" w:lineRule="auto"/>
        <w:ind w:firstLine="720"/>
        <w:rPr>
          <w:rFonts w:ascii="Courier New" w:hAnsi="Courier New" w:cs="Courier New"/>
        </w:rPr>
      </w:pPr>
      <w:r w:rsidRPr="008F7304">
        <w:rPr>
          <w:rFonts w:ascii="Courier New" w:hAnsi="Courier New" w:cs="Courier New"/>
        </w:rPr>
        <w:t xml:space="preserve">A public notice of this </w:t>
      </w:r>
      <w:r w:rsidRPr="003570F0">
        <w:rPr>
          <w:rFonts w:ascii="Courier New" w:hAnsi="Courier New" w:cs="Courier New"/>
        </w:rPr>
        <w:t>c</w:t>
      </w:r>
      <w:r w:rsidRPr="008F7304">
        <w:rPr>
          <w:rFonts w:ascii="Courier New" w:hAnsi="Courier New" w:cs="Courier New"/>
        </w:rPr>
        <w:t xml:space="preserve">ollection is provided in the Federal Register notice of proposed rulemaking </w:t>
      </w:r>
      <w:r w:rsidR="00BA5603" w:rsidRPr="008F7304">
        <w:rPr>
          <w:rFonts w:ascii="Courier New" w:hAnsi="Courier New" w:cs="Courier New"/>
        </w:rPr>
        <w:t xml:space="preserve">for the Revisions </w:t>
      </w:r>
      <w:r w:rsidR="00BA5603" w:rsidRPr="008F7304">
        <w:rPr>
          <w:rFonts w:ascii="Courier New" w:hAnsi="Courier New" w:cs="Courier New"/>
        </w:rPr>
        <w:lastRenderedPageBreak/>
        <w:t>to Reporting and Recordkeeping Requirements, and Proposed Confidentiality Determinations under the Greenh</w:t>
      </w:r>
      <w:r w:rsidR="00BA5603" w:rsidRPr="003570F0">
        <w:rPr>
          <w:rFonts w:ascii="Courier New" w:hAnsi="Courier New" w:cs="Courier New"/>
        </w:rPr>
        <w:t>o</w:t>
      </w:r>
      <w:r w:rsidR="00BA5603" w:rsidRPr="008F7304">
        <w:rPr>
          <w:rFonts w:ascii="Courier New" w:hAnsi="Courier New" w:cs="Courier New"/>
        </w:rPr>
        <w:t>use Gas Reporting Program.</w:t>
      </w:r>
    </w:p>
    <w:p w:rsidR="00CB0EC3" w:rsidRPr="008F7304" w:rsidRDefault="00CB0EC3" w:rsidP="00CB0EC3">
      <w:pPr>
        <w:pStyle w:val="Heading2"/>
        <w:keepNext/>
        <w:keepLines/>
        <w:ind w:firstLine="0"/>
        <w:rPr>
          <w:rFonts w:ascii="Courier New" w:hAnsi="Courier New" w:cs="Courier New"/>
        </w:rPr>
      </w:pPr>
    </w:p>
    <w:p w:rsidR="008A715C" w:rsidRPr="008F7304" w:rsidRDefault="0046780F" w:rsidP="00AE16D4">
      <w:pPr>
        <w:pStyle w:val="Heading2"/>
        <w:keepNext/>
        <w:keepLines/>
        <w:spacing w:line="360" w:lineRule="auto"/>
        <w:ind w:firstLine="0"/>
        <w:rPr>
          <w:rFonts w:ascii="Courier New" w:hAnsi="Courier New" w:cs="Courier New"/>
        </w:rPr>
      </w:pPr>
      <w:bookmarkStart w:id="13" w:name="_Toc336985078"/>
      <w:r w:rsidRPr="008F7304">
        <w:rPr>
          <w:rFonts w:ascii="Courier New" w:hAnsi="Courier New" w:cs="Courier New"/>
        </w:rPr>
        <w:t xml:space="preserve">3(c) </w:t>
      </w:r>
      <w:r w:rsidR="008A715C" w:rsidRPr="008F7304">
        <w:rPr>
          <w:rFonts w:ascii="Courier New" w:hAnsi="Courier New" w:cs="Courier New"/>
        </w:rPr>
        <w:t>Consultations</w:t>
      </w:r>
      <w:bookmarkEnd w:id="13"/>
    </w:p>
    <w:p w:rsidR="0028780B" w:rsidRPr="00F82330" w:rsidRDefault="00A72A36" w:rsidP="00F82330">
      <w:pPr>
        <w:spacing w:line="360" w:lineRule="auto"/>
        <w:ind w:firstLine="720"/>
        <w:rPr>
          <w:rFonts w:ascii="Courier New" w:hAnsi="Courier New" w:cs="Courier New"/>
          <w:color w:val="000000"/>
        </w:rPr>
      </w:pPr>
      <w:r w:rsidRPr="00F82330">
        <w:rPr>
          <w:rFonts w:ascii="Courier New" w:hAnsi="Courier New"/>
        </w:rPr>
        <w:t xml:space="preserve">In 2010, the EPA proposed confidentiality determinations for the majority of data elements required to be reported under the GHGRP, as well as for the majority of source categories covered by the program. In </w:t>
      </w:r>
      <w:r w:rsidR="00F82330">
        <w:rPr>
          <w:rFonts w:ascii="Courier New" w:hAnsi="Courier New"/>
        </w:rPr>
        <w:t>a July 7, 2010</w:t>
      </w:r>
      <w:r w:rsidRPr="00F82330">
        <w:rPr>
          <w:rFonts w:ascii="Courier New" w:hAnsi="Courier New"/>
        </w:rPr>
        <w:t xml:space="preserve"> action, the EPA </w:t>
      </w:r>
      <w:r w:rsidR="00290619" w:rsidRPr="00F82330">
        <w:rPr>
          <w:rFonts w:ascii="Courier New" w:hAnsi="Courier New"/>
        </w:rPr>
        <w:t>propose</w:t>
      </w:r>
      <w:r w:rsidR="00290619">
        <w:rPr>
          <w:rFonts w:ascii="Courier New" w:hAnsi="Courier New"/>
        </w:rPr>
        <w:t>d</w:t>
      </w:r>
      <w:r w:rsidR="00290619" w:rsidRPr="00F82330">
        <w:rPr>
          <w:rFonts w:ascii="Courier New" w:hAnsi="Courier New"/>
        </w:rPr>
        <w:t xml:space="preserve"> </w:t>
      </w:r>
      <w:r w:rsidRPr="00F82330">
        <w:rPr>
          <w:rFonts w:ascii="Courier New" w:hAnsi="Courier New"/>
        </w:rPr>
        <w:t xml:space="preserve">that data elements categorized as “inputs to equations” </w:t>
      </w:r>
      <w:r w:rsidR="00F82330">
        <w:rPr>
          <w:rFonts w:ascii="Courier New" w:hAnsi="Courier New"/>
        </w:rPr>
        <w:t xml:space="preserve">data elements </w:t>
      </w:r>
      <w:r w:rsidRPr="00F82330">
        <w:rPr>
          <w:rFonts w:ascii="Courier New" w:hAnsi="Courier New"/>
        </w:rPr>
        <w:t xml:space="preserve">are emission data. </w:t>
      </w:r>
      <w:r w:rsidRPr="00F82330">
        <w:rPr>
          <w:rFonts w:ascii="Courier New" w:hAnsi="Courier New"/>
          <w:color w:val="000000"/>
        </w:rPr>
        <w:t>The CAA precludes “emission data” from being treated as confidential.</w:t>
      </w:r>
      <w:r w:rsidRPr="00F82330">
        <w:rPr>
          <w:rFonts w:ascii="Courier New" w:hAnsi="Courier New"/>
          <w:bCs/>
          <w:color w:val="000000"/>
        </w:rPr>
        <w:t xml:space="preserve"> </w:t>
      </w:r>
      <w:r w:rsidR="00624C97">
        <w:rPr>
          <w:rFonts w:ascii="Courier New" w:hAnsi="Courier New"/>
          <w:bCs/>
          <w:color w:val="000000"/>
        </w:rPr>
        <w:t>As further discussed in section 1(b), b</w:t>
      </w:r>
      <w:r w:rsidRPr="00F82330">
        <w:rPr>
          <w:rFonts w:ascii="Courier New" w:hAnsi="Courier New"/>
          <w:bCs/>
          <w:color w:val="000000"/>
        </w:rPr>
        <w:t>ased on subsequent industry concerns regarding the potential release of data elements categorized as “inputs to</w:t>
      </w:r>
      <w:r w:rsidR="006C2725">
        <w:rPr>
          <w:rFonts w:ascii="Courier New" w:hAnsi="Courier New"/>
          <w:bCs/>
          <w:color w:val="000000"/>
        </w:rPr>
        <w:t xml:space="preserve"> </w:t>
      </w:r>
      <w:r w:rsidRPr="00F82330">
        <w:rPr>
          <w:rFonts w:ascii="Courier New" w:hAnsi="Courier New"/>
          <w:bCs/>
          <w:color w:val="000000"/>
        </w:rPr>
        <w:t>equations”</w:t>
      </w:r>
      <w:r w:rsidR="00F82330">
        <w:rPr>
          <w:rFonts w:ascii="Courier New" w:hAnsi="Courier New"/>
          <w:bCs/>
          <w:color w:val="000000"/>
        </w:rPr>
        <w:t xml:space="preserve"> data elements,</w:t>
      </w:r>
      <w:r w:rsidRPr="00F82330">
        <w:rPr>
          <w:rFonts w:ascii="Courier New" w:hAnsi="Courier New"/>
          <w:bCs/>
          <w:color w:val="000000"/>
        </w:rPr>
        <w:t xml:space="preserve"> EPA deferred reporting of these data elements to allow EPA to complete its evaluation of the potential impact from the public</w:t>
      </w:r>
      <w:r w:rsidR="00830AD5">
        <w:rPr>
          <w:rFonts w:ascii="Courier New" w:hAnsi="Courier New"/>
          <w:bCs/>
          <w:color w:val="000000"/>
        </w:rPr>
        <w:t xml:space="preserve"> release of these data elements</w:t>
      </w:r>
      <w:r w:rsidRPr="00F82330">
        <w:rPr>
          <w:rFonts w:ascii="Courier New" w:hAnsi="Courier New"/>
          <w:bCs/>
          <w:color w:val="000000"/>
        </w:rPr>
        <w:t xml:space="preserve"> and, if appropriate, to propose amendments to Part 98 (see 75 FR 81355</w:t>
      </w:r>
      <w:r w:rsidR="00583EBB">
        <w:rPr>
          <w:rFonts w:ascii="Courier New" w:hAnsi="Courier New"/>
          <w:bCs/>
          <w:color w:val="000000"/>
        </w:rPr>
        <w:t>, December 27, 2010</w:t>
      </w:r>
      <w:r w:rsidRPr="00F82330">
        <w:rPr>
          <w:rFonts w:ascii="Courier New" w:hAnsi="Courier New"/>
          <w:bCs/>
          <w:color w:val="000000"/>
        </w:rPr>
        <w:t>).</w:t>
      </w:r>
      <w:r w:rsidR="00624C97">
        <w:rPr>
          <w:rFonts w:ascii="Courier New" w:hAnsi="Courier New"/>
          <w:bCs/>
          <w:color w:val="000000"/>
        </w:rPr>
        <w:t xml:space="preserve"> </w:t>
      </w:r>
      <w:r w:rsidR="00137DEA" w:rsidRPr="00F82330">
        <w:rPr>
          <w:rFonts w:ascii="Courier New" w:hAnsi="Courier New"/>
        </w:rPr>
        <w:t xml:space="preserve">After </w:t>
      </w:r>
      <w:r w:rsidR="00624C97">
        <w:rPr>
          <w:rFonts w:ascii="Courier New" w:hAnsi="Courier New"/>
        </w:rPr>
        <w:t xml:space="preserve">having completing its </w:t>
      </w:r>
      <w:r w:rsidR="00137DEA" w:rsidRPr="00F82330">
        <w:rPr>
          <w:rFonts w:ascii="Courier New" w:hAnsi="Courier New"/>
        </w:rPr>
        <w:t>evaluati</w:t>
      </w:r>
      <w:r w:rsidR="00624C97">
        <w:rPr>
          <w:rFonts w:ascii="Courier New" w:hAnsi="Courier New"/>
        </w:rPr>
        <w:t>o</w:t>
      </w:r>
      <w:r w:rsidR="00137DEA" w:rsidRPr="00F82330">
        <w:rPr>
          <w:rFonts w:ascii="Courier New" w:hAnsi="Courier New"/>
        </w:rPr>
        <w:t xml:space="preserve">n </w:t>
      </w:r>
      <w:r w:rsidR="00624C97">
        <w:rPr>
          <w:rFonts w:ascii="Courier New" w:hAnsi="Courier New"/>
        </w:rPr>
        <w:t xml:space="preserve">of </w:t>
      </w:r>
      <w:r w:rsidR="00137DEA" w:rsidRPr="00F82330">
        <w:rPr>
          <w:rFonts w:ascii="Courier New" w:hAnsi="Courier New"/>
        </w:rPr>
        <w:t xml:space="preserve">the potential impact, EPA </w:t>
      </w:r>
      <w:r w:rsidR="00624C97">
        <w:rPr>
          <w:rFonts w:ascii="Courier New" w:hAnsi="Courier New"/>
        </w:rPr>
        <w:t xml:space="preserve">is </w:t>
      </w:r>
      <w:r w:rsidR="00137DEA" w:rsidRPr="00F82330">
        <w:rPr>
          <w:rFonts w:ascii="Courier New" w:hAnsi="Courier New"/>
        </w:rPr>
        <w:t>propos</w:t>
      </w:r>
      <w:r w:rsidR="00624C97">
        <w:rPr>
          <w:rFonts w:ascii="Courier New" w:hAnsi="Courier New"/>
        </w:rPr>
        <w:t>ing</w:t>
      </w:r>
      <w:r w:rsidR="00137DEA" w:rsidRPr="00F82330">
        <w:rPr>
          <w:rFonts w:ascii="Courier New" w:hAnsi="Courier New"/>
        </w:rPr>
        <w:t xml:space="preserve"> </w:t>
      </w:r>
      <w:r w:rsidR="00583EBB">
        <w:rPr>
          <w:rFonts w:ascii="Courier New" w:hAnsi="Courier New"/>
        </w:rPr>
        <w:t xml:space="preserve">the </w:t>
      </w:r>
      <w:r w:rsidR="00137DEA" w:rsidRPr="00F82330">
        <w:rPr>
          <w:rFonts w:ascii="Courier New" w:hAnsi="Courier New"/>
        </w:rPr>
        <w:t xml:space="preserve">amendments </w:t>
      </w:r>
      <w:r w:rsidR="00583EBB">
        <w:rPr>
          <w:rFonts w:ascii="Courier New" w:hAnsi="Courier New"/>
        </w:rPr>
        <w:t xml:space="preserve">summarized in section 1(b) </w:t>
      </w:r>
      <w:r w:rsidR="00137DEA" w:rsidRPr="00F82330">
        <w:rPr>
          <w:rFonts w:ascii="Courier New" w:hAnsi="Courier New"/>
        </w:rPr>
        <w:t xml:space="preserve">to </w:t>
      </w:r>
      <w:r w:rsidRPr="00F82330">
        <w:rPr>
          <w:rFonts w:ascii="Courier New" w:hAnsi="Courier New"/>
        </w:rPr>
        <w:t xml:space="preserve">address </w:t>
      </w:r>
      <w:r w:rsidR="00D96F3E" w:rsidRPr="00F82330">
        <w:rPr>
          <w:rFonts w:ascii="Courier New" w:hAnsi="Courier New"/>
        </w:rPr>
        <w:t>this issue</w:t>
      </w:r>
      <w:r w:rsidR="00624C97">
        <w:rPr>
          <w:rFonts w:ascii="Courier New" w:hAnsi="Courier New"/>
        </w:rPr>
        <w:t>,</w:t>
      </w:r>
      <w:r w:rsidR="00D96F3E" w:rsidRPr="00F82330">
        <w:rPr>
          <w:rFonts w:ascii="Courier New" w:hAnsi="Courier New"/>
        </w:rPr>
        <w:t xml:space="preserve"> while allowing EPA to verify emissions</w:t>
      </w:r>
      <w:r w:rsidR="000E4E55" w:rsidRPr="00F82330">
        <w:rPr>
          <w:rFonts w:ascii="Courier New" w:hAnsi="Courier New"/>
        </w:rPr>
        <w:t xml:space="preserve"> and ensure compliance with the program</w:t>
      </w:r>
      <w:r w:rsidR="00D96F3E" w:rsidRPr="00F82330">
        <w:rPr>
          <w:rFonts w:ascii="Courier New" w:hAnsi="Courier New"/>
        </w:rPr>
        <w:t>.</w:t>
      </w:r>
    </w:p>
    <w:p w:rsidR="00137DEA" w:rsidRPr="00EA6F91" w:rsidRDefault="00137DEA" w:rsidP="00AE16D4">
      <w:pPr>
        <w:spacing w:line="360" w:lineRule="auto"/>
        <w:ind w:firstLine="720"/>
        <w:rPr>
          <w:rFonts w:ascii="Courier New" w:hAnsi="Courier New" w:cs="Courier New"/>
        </w:rPr>
      </w:pPr>
      <w:r w:rsidRPr="00EA6F91">
        <w:rPr>
          <w:rFonts w:ascii="Courier New" w:hAnsi="Courier New" w:cs="Courier New"/>
        </w:rPr>
        <w:t xml:space="preserve">The public will be provided </w:t>
      </w:r>
      <w:r w:rsidR="00F35717">
        <w:rPr>
          <w:rFonts w:ascii="Courier New" w:hAnsi="Courier New" w:cs="Courier New"/>
        </w:rPr>
        <w:t>an</w:t>
      </w:r>
      <w:r w:rsidRPr="00EA6F91">
        <w:rPr>
          <w:rFonts w:ascii="Courier New" w:hAnsi="Courier New" w:cs="Courier New"/>
        </w:rPr>
        <w:t xml:space="preserve"> opportunity </w:t>
      </w:r>
      <w:r w:rsidR="00F35717" w:rsidRPr="00EA6F91">
        <w:rPr>
          <w:rFonts w:ascii="Courier New" w:hAnsi="Courier New" w:cs="Courier New"/>
        </w:rPr>
        <w:t xml:space="preserve">during the comment period for the proposed rulemaking </w:t>
      </w:r>
      <w:r w:rsidRPr="00EA6F91">
        <w:rPr>
          <w:rFonts w:ascii="Courier New" w:hAnsi="Courier New" w:cs="Courier New"/>
        </w:rPr>
        <w:t>to review and comment on th</w:t>
      </w:r>
      <w:r w:rsidR="00F35717">
        <w:rPr>
          <w:rFonts w:ascii="Courier New" w:hAnsi="Courier New" w:cs="Courier New"/>
        </w:rPr>
        <w:t>is</w:t>
      </w:r>
      <w:r w:rsidRPr="00EA6F91">
        <w:rPr>
          <w:rFonts w:ascii="Courier New" w:hAnsi="Courier New" w:cs="Courier New"/>
        </w:rPr>
        <w:t xml:space="preserve"> burden estimate.</w:t>
      </w:r>
    </w:p>
    <w:p w:rsidR="00AE16D4" w:rsidRDefault="00AE16D4" w:rsidP="00AE16D4">
      <w:pPr>
        <w:pStyle w:val="Heading2"/>
        <w:spacing w:line="360" w:lineRule="auto"/>
        <w:ind w:firstLine="0"/>
        <w:rPr>
          <w:rFonts w:ascii="Courier New" w:hAnsi="Courier New" w:cs="Courier New"/>
        </w:rPr>
      </w:pPr>
      <w:bookmarkStart w:id="14" w:name="_Toc336985079"/>
    </w:p>
    <w:p w:rsidR="008A715C" w:rsidRPr="00EA6F91" w:rsidRDefault="008A715C" w:rsidP="00AE16D4">
      <w:pPr>
        <w:pStyle w:val="Heading2"/>
        <w:spacing w:line="360" w:lineRule="auto"/>
        <w:ind w:firstLine="0"/>
        <w:rPr>
          <w:rFonts w:ascii="Courier New" w:hAnsi="Courier New" w:cs="Courier New"/>
        </w:rPr>
      </w:pPr>
      <w:r w:rsidRPr="00EA6F91">
        <w:rPr>
          <w:rFonts w:ascii="Courier New" w:hAnsi="Courier New" w:cs="Courier New"/>
        </w:rPr>
        <w:t>3</w:t>
      </w:r>
      <w:r w:rsidR="0046780F" w:rsidRPr="00EA6F91">
        <w:rPr>
          <w:rFonts w:ascii="Courier New" w:hAnsi="Courier New" w:cs="Courier New"/>
        </w:rPr>
        <w:t xml:space="preserve">(d) </w:t>
      </w:r>
      <w:r w:rsidRPr="00EA6F91">
        <w:rPr>
          <w:rFonts w:ascii="Courier New" w:hAnsi="Courier New" w:cs="Courier New"/>
        </w:rPr>
        <w:t>Effects of Less Frequent Collection</w:t>
      </w:r>
      <w:bookmarkEnd w:id="14"/>
    </w:p>
    <w:p w:rsidR="00C20D69" w:rsidRPr="00EA6F91" w:rsidRDefault="00787E91" w:rsidP="00AE16D4">
      <w:pPr>
        <w:spacing w:line="360" w:lineRule="auto"/>
        <w:ind w:firstLine="720"/>
        <w:rPr>
          <w:rFonts w:ascii="Courier New" w:hAnsi="Courier New" w:cs="Courier New"/>
        </w:rPr>
      </w:pPr>
      <w:r w:rsidRPr="00EA6F91">
        <w:rPr>
          <w:rFonts w:ascii="Courier New" w:hAnsi="Courier New" w:cs="Courier New"/>
        </w:rPr>
        <w:t xml:space="preserve">The </w:t>
      </w:r>
      <w:r w:rsidR="00C179E6" w:rsidRPr="00EA6F91">
        <w:rPr>
          <w:rFonts w:ascii="Courier New" w:hAnsi="Courier New" w:cs="Courier New"/>
        </w:rPr>
        <w:t xml:space="preserve">frequency </w:t>
      </w:r>
      <w:r w:rsidRPr="00EA6F91">
        <w:rPr>
          <w:rFonts w:ascii="Courier New" w:hAnsi="Courier New" w:cs="Courier New"/>
        </w:rPr>
        <w:t xml:space="preserve">for </w:t>
      </w:r>
      <w:r w:rsidR="00735D18">
        <w:rPr>
          <w:rFonts w:ascii="Courier New" w:hAnsi="Courier New" w:cs="Courier New"/>
        </w:rPr>
        <w:t xml:space="preserve">reporting </w:t>
      </w:r>
      <w:r w:rsidRPr="00EA6F91">
        <w:rPr>
          <w:rFonts w:ascii="Courier New" w:hAnsi="Courier New" w:cs="Courier New"/>
        </w:rPr>
        <w:t xml:space="preserve">emissions </w:t>
      </w:r>
      <w:r w:rsidR="00290619">
        <w:rPr>
          <w:rFonts w:ascii="Courier New" w:hAnsi="Courier New" w:cs="Courier New"/>
        </w:rPr>
        <w:t>information</w:t>
      </w:r>
      <w:r w:rsidR="00583EBB">
        <w:rPr>
          <w:rFonts w:ascii="Courier New" w:hAnsi="Courier New" w:cs="Courier New"/>
        </w:rPr>
        <w:t xml:space="preserve"> </w:t>
      </w:r>
      <w:r w:rsidRPr="00EA6F91">
        <w:rPr>
          <w:rFonts w:ascii="Courier New" w:hAnsi="Courier New" w:cs="Courier New"/>
        </w:rPr>
        <w:t xml:space="preserve">to EPA </w:t>
      </w:r>
      <w:r w:rsidR="00735D18">
        <w:rPr>
          <w:rFonts w:ascii="Courier New" w:hAnsi="Courier New" w:cs="Courier New"/>
        </w:rPr>
        <w:t>under the GHGRP was originally</w:t>
      </w:r>
      <w:r w:rsidRPr="00EA6F91">
        <w:rPr>
          <w:rFonts w:ascii="Courier New" w:hAnsi="Courier New" w:cs="Courier New"/>
        </w:rPr>
        <w:t xml:space="preserve"> established to minimize the burden on </w:t>
      </w:r>
      <w:r w:rsidR="003D6B1F" w:rsidRPr="00EA6F91">
        <w:rPr>
          <w:rFonts w:ascii="Courier New" w:hAnsi="Courier New" w:cs="Courier New"/>
        </w:rPr>
        <w:t xml:space="preserve">owners and operators of affected </w:t>
      </w:r>
      <w:r w:rsidR="00ED62B6" w:rsidRPr="00EA6F91">
        <w:rPr>
          <w:rFonts w:ascii="Courier New" w:hAnsi="Courier New" w:cs="Courier New"/>
        </w:rPr>
        <w:t>facilities</w:t>
      </w:r>
      <w:r w:rsidRPr="00EA6F91">
        <w:rPr>
          <w:rFonts w:ascii="Courier New" w:hAnsi="Courier New" w:cs="Courier New"/>
        </w:rPr>
        <w:t xml:space="preserve">, </w:t>
      </w:r>
      <w:r w:rsidR="0090488F" w:rsidRPr="00EA6F91">
        <w:rPr>
          <w:rFonts w:ascii="Courier New" w:hAnsi="Courier New" w:cs="Courier New"/>
        </w:rPr>
        <w:t xml:space="preserve">while ensuring that the </w:t>
      </w:r>
      <w:r w:rsidR="003C24D4" w:rsidRPr="00EA6F91">
        <w:rPr>
          <w:rFonts w:ascii="Courier New" w:hAnsi="Courier New" w:cs="Courier New"/>
        </w:rPr>
        <w:t xml:space="preserve">GHGRP </w:t>
      </w:r>
      <w:r w:rsidR="00342A1F" w:rsidRPr="00EA6F91">
        <w:rPr>
          <w:rFonts w:ascii="Courier New" w:hAnsi="Courier New" w:cs="Courier New"/>
        </w:rPr>
        <w:t xml:space="preserve">collects facility-specific data of </w:t>
      </w:r>
      <w:r w:rsidR="00342A1F" w:rsidRPr="00EA6F91">
        <w:rPr>
          <w:rFonts w:ascii="Courier New" w:hAnsi="Courier New" w:cs="Courier New"/>
        </w:rPr>
        <w:lastRenderedPageBreak/>
        <w:t>sufficient quality to achieve the A</w:t>
      </w:r>
      <w:r w:rsidR="0090488F" w:rsidRPr="00EA6F91">
        <w:rPr>
          <w:rFonts w:ascii="Courier New" w:hAnsi="Courier New" w:cs="Courier New"/>
        </w:rPr>
        <w:t>gency’s objectives</w:t>
      </w:r>
      <w:r w:rsidR="00342A1F" w:rsidRPr="00EA6F91">
        <w:rPr>
          <w:rFonts w:ascii="Courier New" w:hAnsi="Courier New" w:cs="Courier New"/>
        </w:rPr>
        <w:t xml:space="preserve">. </w:t>
      </w:r>
      <w:r w:rsidR="00477E41" w:rsidRPr="00EA6F91">
        <w:rPr>
          <w:rFonts w:ascii="Courier New" w:hAnsi="Courier New" w:cs="Courier New"/>
        </w:rPr>
        <w:t>T</w:t>
      </w:r>
      <w:r w:rsidR="00806432" w:rsidRPr="00EA6F91">
        <w:rPr>
          <w:rFonts w:ascii="Courier New" w:hAnsi="Courier New" w:cs="Courier New"/>
        </w:rPr>
        <w:t xml:space="preserve">he </w:t>
      </w:r>
      <w:r w:rsidR="00894737" w:rsidRPr="00EA6F91">
        <w:rPr>
          <w:rFonts w:ascii="Courier New" w:hAnsi="Courier New" w:cs="Courier New"/>
        </w:rPr>
        <w:t>GHGRP</w:t>
      </w:r>
      <w:r w:rsidR="00806432" w:rsidRPr="00EA6F91">
        <w:rPr>
          <w:rFonts w:ascii="Courier New" w:hAnsi="Courier New" w:cs="Courier New"/>
        </w:rPr>
        <w:t xml:space="preserve"> </w:t>
      </w:r>
      <w:r w:rsidR="00F90A29" w:rsidRPr="00EA6F91">
        <w:rPr>
          <w:rFonts w:ascii="Courier New" w:hAnsi="Courier New" w:cs="Courier New"/>
        </w:rPr>
        <w:t>r</w:t>
      </w:r>
      <w:r w:rsidR="00806432" w:rsidRPr="00EA6F91">
        <w:rPr>
          <w:rFonts w:ascii="Courier New" w:hAnsi="Courier New" w:cs="Courier New"/>
        </w:rPr>
        <w:t>equire</w:t>
      </w:r>
      <w:r w:rsidR="00F90A29" w:rsidRPr="00EA6F91">
        <w:rPr>
          <w:rFonts w:ascii="Courier New" w:hAnsi="Courier New" w:cs="Courier New"/>
        </w:rPr>
        <w:t>s</w:t>
      </w:r>
      <w:r w:rsidR="00806432" w:rsidRPr="00EA6F91">
        <w:rPr>
          <w:rFonts w:ascii="Courier New" w:hAnsi="Courier New" w:cs="Courier New"/>
        </w:rPr>
        <w:t xml:space="preserve"> annual reporting</w:t>
      </w:r>
      <w:r w:rsidR="00D46608" w:rsidRPr="00EA6F91">
        <w:rPr>
          <w:rFonts w:ascii="Courier New" w:hAnsi="Courier New" w:cs="Courier New"/>
        </w:rPr>
        <w:t>, except for a limited nu</w:t>
      </w:r>
      <w:r w:rsidR="009420AC" w:rsidRPr="00EA6F91">
        <w:rPr>
          <w:rFonts w:ascii="Courier New" w:hAnsi="Courier New" w:cs="Courier New"/>
        </w:rPr>
        <w:t>mber of facilities that are already subject to more frequent reporting requirements.</w:t>
      </w:r>
      <w:r w:rsidR="00735D18">
        <w:rPr>
          <w:rFonts w:ascii="Courier New" w:hAnsi="Courier New" w:cs="Courier New"/>
        </w:rPr>
        <w:t xml:space="preserve"> This reporting frequency remains the same in these proposed revisions </w:t>
      </w:r>
      <w:r w:rsidR="00C975F6">
        <w:rPr>
          <w:rFonts w:ascii="Courier New" w:hAnsi="Courier New" w:cs="Courier New"/>
        </w:rPr>
        <w:t>to</w:t>
      </w:r>
      <w:r w:rsidR="00735D18">
        <w:rPr>
          <w:rFonts w:ascii="Courier New" w:hAnsi="Courier New" w:cs="Courier New"/>
        </w:rPr>
        <w:t xml:space="preserve"> Part 98.</w:t>
      </w:r>
    </w:p>
    <w:p w:rsidR="008F4D6B" w:rsidRPr="00EA6F91" w:rsidRDefault="00735D18" w:rsidP="00EA6F91">
      <w:pPr>
        <w:spacing w:line="360" w:lineRule="auto"/>
        <w:ind w:firstLine="720"/>
        <w:rPr>
          <w:rFonts w:ascii="Courier New" w:hAnsi="Courier New" w:cs="Courier New"/>
        </w:rPr>
      </w:pPr>
      <w:r>
        <w:rPr>
          <w:rFonts w:ascii="Courier New" w:hAnsi="Courier New" w:cs="Courier New"/>
        </w:rPr>
        <w:t>A</w:t>
      </w:r>
      <w:r w:rsidR="00CB48ED">
        <w:rPr>
          <w:rFonts w:ascii="Courier New" w:hAnsi="Courier New" w:cs="Courier New"/>
        </w:rPr>
        <w:t xml:space="preserve">nnual reporting will ensure that data are verified and made available to the public, </w:t>
      </w:r>
      <w:r w:rsidR="008F4D6B" w:rsidRPr="00EA6F91">
        <w:rPr>
          <w:rFonts w:ascii="Courier New" w:hAnsi="Courier New" w:cs="Courier New"/>
        </w:rPr>
        <w:t xml:space="preserve">as authorized by the CAA, and use </w:t>
      </w:r>
      <w:r w:rsidR="00CB48ED">
        <w:rPr>
          <w:rFonts w:ascii="Courier New" w:hAnsi="Courier New" w:cs="Courier New"/>
        </w:rPr>
        <w:t>the data</w:t>
      </w:r>
      <w:r w:rsidR="008F4D6B" w:rsidRPr="00EA6F91">
        <w:rPr>
          <w:rFonts w:ascii="Courier New" w:hAnsi="Courier New" w:cs="Courier New"/>
        </w:rPr>
        <w:t xml:space="preserve"> for the purposes described</w:t>
      </w:r>
      <w:r w:rsidR="00CB48ED">
        <w:rPr>
          <w:rFonts w:ascii="Courier New" w:hAnsi="Courier New" w:cs="Courier New"/>
        </w:rPr>
        <w:t xml:space="preserve"> in section 2(b)</w:t>
      </w:r>
      <w:r w:rsidR="008F4D6B" w:rsidRPr="00EA6F91">
        <w:rPr>
          <w:rFonts w:ascii="Courier New" w:hAnsi="Courier New" w:cs="Courier New"/>
        </w:rPr>
        <w:t xml:space="preserve">. If the information collection were not carried out on this schedule, the Agency would not be able to develop an informed tracking system of trends in GHG emissions across the country. </w:t>
      </w:r>
    </w:p>
    <w:p w:rsidR="00AE16D4" w:rsidRDefault="00AE16D4" w:rsidP="00AE16D4">
      <w:pPr>
        <w:pStyle w:val="Heading2"/>
        <w:spacing w:line="360" w:lineRule="auto"/>
        <w:ind w:firstLine="0"/>
        <w:rPr>
          <w:rFonts w:ascii="Courier New" w:hAnsi="Courier New" w:cs="Courier New"/>
        </w:rPr>
      </w:pPr>
      <w:bookmarkStart w:id="15" w:name="_Toc336985080"/>
    </w:p>
    <w:p w:rsidR="008A715C" w:rsidRPr="00EA6F91" w:rsidRDefault="0046780F" w:rsidP="00AE16D4">
      <w:pPr>
        <w:pStyle w:val="Heading2"/>
        <w:spacing w:line="360" w:lineRule="auto"/>
        <w:ind w:firstLine="0"/>
        <w:rPr>
          <w:rFonts w:ascii="Courier New" w:hAnsi="Courier New" w:cs="Courier New"/>
        </w:rPr>
      </w:pPr>
      <w:r w:rsidRPr="00EA6F91">
        <w:rPr>
          <w:rFonts w:ascii="Courier New" w:hAnsi="Courier New" w:cs="Courier New"/>
        </w:rPr>
        <w:t xml:space="preserve">3(e) </w:t>
      </w:r>
      <w:r w:rsidR="008A715C" w:rsidRPr="00EA6F91">
        <w:rPr>
          <w:rFonts w:ascii="Courier New" w:hAnsi="Courier New" w:cs="Courier New"/>
        </w:rPr>
        <w:t>General Guidelines</w:t>
      </w:r>
      <w:bookmarkEnd w:id="15"/>
    </w:p>
    <w:p w:rsidR="003C2302" w:rsidRPr="00F20BB4" w:rsidRDefault="00F35717" w:rsidP="003C2302">
      <w:pPr>
        <w:spacing w:line="360" w:lineRule="auto"/>
        <w:ind w:firstLine="720"/>
      </w:pPr>
      <w:r>
        <w:rPr>
          <w:rFonts w:ascii="Courier New" w:hAnsi="Courier New" w:cs="Courier New"/>
        </w:rPr>
        <w:t>N</w:t>
      </w:r>
      <w:r w:rsidRPr="002C56DF">
        <w:rPr>
          <w:rFonts w:ascii="Courier New" w:hAnsi="Courier New" w:cs="Courier New"/>
        </w:rPr>
        <w:t>one of the guidelines in 5 CFR 1320.5 would be exceeded</w:t>
      </w:r>
      <w:r>
        <w:rPr>
          <w:rFonts w:ascii="Courier New" w:hAnsi="Courier New" w:cs="Courier New"/>
        </w:rPr>
        <w:t>,</w:t>
      </w:r>
      <w:r w:rsidRPr="002C56DF">
        <w:rPr>
          <w:rFonts w:ascii="Courier New" w:hAnsi="Courier New" w:cs="Courier New"/>
        </w:rPr>
        <w:t xml:space="preserve"> </w:t>
      </w:r>
      <w:r>
        <w:rPr>
          <w:rFonts w:ascii="Courier New" w:hAnsi="Courier New" w:cs="Courier New"/>
        </w:rPr>
        <w:t>w</w:t>
      </w:r>
      <w:r w:rsidR="00FC21F3" w:rsidRPr="002C56DF">
        <w:rPr>
          <w:rFonts w:ascii="Courier New" w:hAnsi="Courier New" w:cs="Courier New"/>
        </w:rPr>
        <w:t xml:space="preserve">ith the exception of requiring records to be maintained for more than three years. </w:t>
      </w:r>
      <w:r w:rsidR="00D4566C" w:rsidRPr="002C56DF">
        <w:rPr>
          <w:rFonts w:ascii="Courier New" w:hAnsi="Courier New" w:cs="Courier New"/>
        </w:rPr>
        <w:t>EPA</w:t>
      </w:r>
      <w:r w:rsidR="00F40DC8" w:rsidRPr="002C56DF">
        <w:rPr>
          <w:rFonts w:ascii="Courier New" w:hAnsi="Courier New" w:cs="Courier New"/>
        </w:rPr>
        <w:t xml:space="preserve"> is proposing to require that </w:t>
      </w:r>
      <w:r w:rsidR="000F0D5D" w:rsidRPr="002C56DF">
        <w:rPr>
          <w:rFonts w:ascii="Courier New" w:hAnsi="Courier New" w:cs="Courier New"/>
        </w:rPr>
        <w:t>reporters us</w:t>
      </w:r>
      <w:r w:rsidR="00F40DC8" w:rsidRPr="002C56DF">
        <w:rPr>
          <w:rFonts w:ascii="Courier New" w:hAnsi="Courier New" w:cs="Courier New"/>
        </w:rPr>
        <w:t>ing</w:t>
      </w:r>
      <w:r w:rsidR="000F0D5D" w:rsidRPr="002C56DF">
        <w:rPr>
          <w:rFonts w:ascii="Courier New" w:hAnsi="Courier New" w:cs="Courier New"/>
        </w:rPr>
        <w:t xml:space="preserve"> the </w:t>
      </w:r>
      <w:r w:rsidR="00FC21F3" w:rsidRPr="002C56DF">
        <w:rPr>
          <w:rFonts w:ascii="Courier New" w:hAnsi="Courier New" w:cs="Courier New"/>
        </w:rPr>
        <w:t xml:space="preserve">proposed </w:t>
      </w:r>
      <w:r w:rsidR="003570F0" w:rsidRPr="002C56DF">
        <w:rPr>
          <w:rFonts w:ascii="Courier New" w:hAnsi="Courier New" w:cs="Courier New"/>
        </w:rPr>
        <w:t xml:space="preserve">inputs </w:t>
      </w:r>
      <w:r w:rsidR="000F0D5D" w:rsidRPr="002C56DF">
        <w:rPr>
          <w:rFonts w:ascii="Courier New" w:hAnsi="Courier New" w:cs="Courier New"/>
        </w:rPr>
        <w:t>verification tool retain</w:t>
      </w:r>
      <w:r w:rsidR="00F40DC8" w:rsidRPr="002C56DF">
        <w:rPr>
          <w:rFonts w:ascii="Courier New" w:hAnsi="Courier New" w:cs="Courier New"/>
        </w:rPr>
        <w:t xml:space="preserve"> </w:t>
      </w:r>
      <w:r w:rsidR="000F0D5D" w:rsidRPr="002C56DF">
        <w:rPr>
          <w:rFonts w:ascii="Courier New" w:hAnsi="Courier New" w:cs="Courier New"/>
        </w:rPr>
        <w:t xml:space="preserve">records for five years. </w:t>
      </w:r>
      <w:r w:rsidR="003C2302" w:rsidRPr="003C2302">
        <w:rPr>
          <w:rFonts w:ascii="Courier New" w:hAnsi="Courier New"/>
        </w:rPr>
        <w:t>Given the proposed verification approach described in Section 1(b), EPA considered whether the current record retention period and record format requirements would be sufficient to allow EPA to perform data verification. We considered:</w:t>
      </w:r>
    </w:p>
    <w:p w:rsidR="003C2302" w:rsidRPr="003C2302" w:rsidRDefault="003C2302" w:rsidP="003C2302">
      <w:pPr>
        <w:pStyle w:val="Bullet-GHGPreamble"/>
        <w:numPr>
          <w:ilvl w:val="0"/>
          <w:numId w:val="35"/>
        </w:numPr>
        <w:spacing w:before="80" w:after="80"/>
      </w:pPr>
      <w:r w:rsidRPr="003C2302">
        <w:t>The time we would need to follow up with reporters to further verify reported GHG emissions.</w:t>
      </w:r>
    </w:p>
    <w:p w:rsidR="003C2302" w:rsidRPr="003C2302" w:rsidRDefault="003C2302" w:rsidP="003C2302">
      <w:pPr>
        <w:pStyle w:val="Bullet-GHGPreamble"/>
        <w:numPr>
          <w:ilvl w:val="0"/>
          <w:numId w:val="0"/>
        </w:numPr>
        <w:spacing w:before="80" w:after="80"/>
        <w:ind w:left="360"/>
      </w:pPr>
    </w:p>
    <w:p w:rsidR="003C2302" w:rsidRDefault="003C2302" w:rsidP="003C2302">
      <w:pPr>
        <w:pStyle w:val="Bullet-GHGPreamble"/>
        <w:numPr>
          <w:ilvl w:val="0"/>
          <w:numId w:val="35"/>
        </w:numPr>
        <w:spacing w:before="80" w:after="80"/>
      </w:pPr>
      <w:r w:rsidRPr="003C2302">
        <w:t>The desirability of retaining multiple years of data records to allow for appropriate assessment of compliance and for analyses of trends for policy analysis purposes.</w:t>
      </w:r>
    </w:p>
    <w:p w:rsidR="003C2302" w:rsidRPr="003C2302" w:rsidRDefault="003C2302" w:rsidP="003C2302">
      <w:pPr>
        <w:pStyle w:val="Bullet-GHGPreamble"/>
        <w:numPr>
          <w:ilvl w:val="0"/>
          <w:numId w:val="0"/>
        </w:numPr>
        <w:spacing w:before="80" w:after="80"/>
        <w:ind w:left="720"/>
      </w:pPr>
    </w:p>
    <w:p w:rsidR="003C2302" w:rsidRPr="003C2302" w:rsidRDefault="003C2302" w:rsidP="003C2302">
      <w:pPr>
        <w:pStyle w:val="Bullet-GHGPreamblelast"/>
        <w:numPr>
          <w:ilvl w:val="0"/>
          <w:numId w:val="35"/>
        </w:numPr>
      </w:pPr>
      <w:r w:rsidRPr="003C2302">
        <w:t xml:space="preserve">The format of records, and whether the current format would be adequate for our verification process. For example, we considered whether records of “inputs to equations” data elements contained in multiple separate documents (as currently allowed under Part 98) would allow an EPA </w:t>
      </w:r>
      <w:r w:rsidRPr="003C2302">
        <w:lastRenderedPageBreak/>
        <w:t>inspector to efficiently analyze the consistency of the data elements and use the data elements to perform calculations to confirm reported GHG emissions.</w:t>
      </w:r>
      <w:r w:rsidRPr="003C2302" w:rsidDel="00A874D2">
        <w:t xml:space="preserve"> </w:t>
      </w:r>
    </w:p>
    <w:p w:rsidR="00A22BDD" w:rsidRPr="003C2302" w:rsidRDefault="003C2302" w:rsidP="003C2302">
      <w:pPr>
        <w:spacing w:line="360" w:lineRule="auto"/>
        <w:ind w:firstLine="720"/>
        <w:rPr>
          <w:rFonts w:ascii="Courier New" w:hAnsi="Courier New"/>
        </w:rPr>
      </w:pPr>
      <w:r w:rsidRPr="003C2302">
        <w:rPr>
          <w:rFonts w:ascii="Courier New" w:hAnsi="Courier New"/>
        </w:rPr>
        <w:t xml:space="preserve">Because there may be more direct follow-up activities under this alternative verification approach, we are proposing to extend the record retention period from 3 to 5 years. We have determined that 5 years is reasonable given the large number of reporters under the subparts identified in Table 2 of this preamble (over 2,000 facilities) and the likely increase in follow-up activities. It would be important that relevant records are available to the EPA for follow-up activities with facilities, including on-site audits if necessary, regarding potential errors, discrepancies, or questions. Should an EPA inspector visit a facility, it would be important to be able to examine not only the current year’s records but those from previous years as well, because previous years’ data would provide year-to-year comparisons, which are useful for verifying the current year’s data. A 5-year record retention period would ensure the availability of relevant records for the follow-up activities described above. </w:t>
      </w:r>
    </w:p>
    <w:p w:rsidR="00CB48ED" w:rsidRDefault="00CB48ED" w:rsidP="00AE16D4">
      <w:pPr>
        <w:spacing w:line="360" w:lineRule="auto"/>
        <w:rPr>
          <w:rFonts w:ascii="Courier New" w:hAnsi="Courier New" w:cs="Courier New"/>
        </w:rPr>
      </w:pPr>
    </w:p>
    <w:p w:rsidR="008A715C" w:rsidRPr="00AE16D4" w:rsidRDefault="0046780F" w:rsidP="00AE16D4">
      <w:pPr>
        <w:spacing w:line="360" w:lineRule="auto"/>
        <w:rPr>
          <w:rFonts w:ascii="Courier New" w:hAnsi="Courier New" w:cs="Courier New"/>
          <w:b/>
        </w:rPr>
      </w:pPr>
      <w:bookmarkStart w:id="16" w:name="_Toc336985081"/>
      <w:r w:rsidRPr="00AE16D4">
        <w:rPr>
          <w:rFonts w:ascii="Courier New" w:hAnsi="Courier New" w:cs="Courier New"/>
          <w:b/>
        </w:rPr>
        <w:t>3(f) Confidentiality</w:t>
      </w:r>
      <w:bookmarkEnd w:id="16"/>
    </w:p>
    <w:p w:rsidR="00820232" w:rsidRPr="00EA6F91" w:rsidRDefault="0083086C" w:rsidP="00FF6585">
      <w:pPr>
        <w:spacing w:line="360" w:lineRule="auto"/>
        <w:ind w:firstLine="720"/>
        <w:rPr>
          <w:rFonts w:ascii="Courier New" w:hAnsi="Courier New" w:cs="Courier New"/>
        </w:rPr>
      </w:pPr>
      <w:r w:rsidRPr="00EA6F91">
        <w:rPr>
          <w:rFonts w:ascii="Courier New" w:hAnsi="Courier New" w:cs="Courier New"/>
        </w:rPr>
        <w:t xml:space="preserve">Data collected under the </w:t>
      </w:r>
      <w:r w:rsidR="005B4001" w:rsidRPr="00EA6F91">
        <w:rPr>
          <w:rFonts w:ascii="Courier New" w:hAnsi="Courier New" w:cs="Courier New"/>
        </w:rPr>
        <w:t>GHGRP</w:t>
      </w:r>
      <w:r w:rsidRPr="00EA6F91">
        <w:rPr>
          <w:rFonts w:ascii="Courier New" w:hAnsi="Courier New" w:cs="Courier New"/>
        </w:rPr>
        <w:t xml:space="preserve"> must be</w:t>
      </w:r>
      <w:r w:rsidR="009420AC" w:rsidRPr="00EA6F91">
        <w:rPr>
          <w:rFonts w:ascii="Courier New" w:hAnsi="Courier New" w:cs="Courier New"/>
        </w:rPr>
        <w:t xml:space="preserve"> made</w:t>
      </w:r>
      <w:r w:rsidRPr="00EA6F91">
        <w:rPr>
          <w:rFonts w:ascii="Courier New" w:hAnsi="Courier New" w:cs="Courier New"/>
        </w:rPr>
        <w:t xml:space="preserve"> available to the public unless the data qualify for </w:t>
      </w:r>
      <w:r w:rsidR="004D2CAF" w:rsidRPr="00EA6F91">
        <w:rPr>
          <w:rFonts w:ascii="Courier New" w:hAnsi="Courier New" w:cs="Courier New"/>
        </w:rPr>
        <w:t xml:space="preserve">CBI </w:t>
      </w:r>
      <w:r w:rsidRPr="00EA6F91">
        <w:rPr>
          <w:rFonts w:ascii="Courier New" w:hAnsi="Courier New" w:cs="Courier New"/>
        </w:rPr>
        <w:t>treatment under the C</w:t>
      </w:r>
      <w:r w:rsidR="008D03DB" w:rsidRPr="00EA6F91">
        <w:rPr>
          <w:rFonts w:ascii="Courier New" w:hAnsi="Courier New" w:cs="Courier New"/>
        </w:rPr>
        <w:t>AA</w:t>
      </w:r>
      <w:r w:rsidR="004017A6" w:rsidRPr="00EA6F91">
        <w:rPr>
          <w:rFonts w:ascii="Courier New" w:hAnsi="Courier New" w:cs="Courier New"/>
        </w:rPr>
        <w:t xml:space="preserve"> and EPA regulations</w:t>
      </w:r>
      <w:r w:rsidRPr="00EA6F91">
        <w:rPr>
          <w:rFonts w:ascii="Courier New" w:hAnsi="Courier New" w:cs="Courier New"/>
        </w:rPr>
        <w:t xml:space="preserve">. </w:t>
      </w:r>
      <w:r w:rsidR="000E4E55" w:rsidRPr="00FF6585">
        <w:rPr>
          <w:rFonts w:ascii="Courier New" w:hAnsi="Courier New"/>
          <w:color w:val="000000"/>
        </w:rPr>
        <w:t>The CAA precludes “emission data” from being treated as confidential.</w:t>
      </w:r>
      <w:r w:rsidR="000E4E55" w:rsidRPr="00F20BB4">
        <w:rPr>
          <w:color w:val="000000"/>
        </w:rPr>
        <w:t xml:space="preserve"> </w:t>
      </w:r>
      <w:r w:rsidR="00D41DD5" w:rsidRPr="00EA6F91">
        <w:rPr>
          <w:rFonts w:ascii="Courier New" w:hAnsi="Courier New" w:cs="Courier New"/>
        </w:rPr>
        <w:t xml:space="preserve">For data reported under the CAA that are not emission data, </w:t>
      </w:r>
      <w:r w:rsidR="008B38A4" w:rsidRPr="00EA6F91">
        <w:rPr>
          <w:rFonts w:ascii="Courier New" w:hAnsi="Courier New" w:cs="Courier New"/>
        </w:rPr>
        <w:t xml:space="preserve">EPA typically makes </w:t>
      </w:r>
      <w:r w:rsidR="004D2CAF" w:rsidRPr="00EA6F91">
        <w:rPr>
          <w:rFonts w:ascii="Courier New" w:hAnsi="Courier New" w:cs="Courier New"/>
        </w:rPr>
        <w:t xml:space="preserve">CBI </w:t>
      </w:r>
      <w:r w:rsidR="008B38A4" w:rsidRPr="00EA6F91">
        <w:rPr>
          <w:rFonts w:ascii="Courier New" w:hAnsi="Courier New" w:cs="Courier New"/>
        </w:rPr>
        <w:t>determinations</w:t>
      </w:r>
      <w:r w:rsidR="00D41DD5" w:rsidRPr="00EA6F91">
        <w:rPr>
          <w:rFonts w:ascii="Courier New" w:hAnsi="Courier New" w:cs="Courier New"/>
        </w:rPr>
        <w:t xml:space="preserve"> </w:t>
      </w:r>
      <w:r w:rsidR="004017A6" w:rsidRPr="00EA6F91">
        <w:rPr>
          <w:rFonts w:ascii="Courier New" w:hAnsi="Courier New" w:cs="Courier New"/>
        </w:rPr>
        <w:t>under 40 CFR 2.301</w:t>
      </w:r>
      <w:r w:rsidR="00D41DD5" w:rsidRPr="00EA6F91">
        <w:rPr>
          <w:rFonts w:ascii="Courier New" w:hAnsi="Courier New" w:cs="Courier New"/>
        </w:rPr>
        <w:t xml:space="preserve"> on a case-by-case basis</w:t>
      </w:r>
      <w:r w:rsidR="008B38A4" w:rsidRPr="00EA6F91">
        <w:rPr>
          <w:rFonts w:ascii="Courier New" w:hAnsi="Courier New" w:cs="Courier New"/>
        </w:rPr>
        <w:t>. Due to the large number of entities report</w:t>
      </w:r>
      <w:r w:rsidR="006902DF" w:rsidRPr="00EA6F91">
        <w:rPr>
          <w:rFonts w:ascii="Courier New" w:hAnsi="Courier New" w:cs="Courier New"/>
        </w:rPr>
        <w:t>ing</w:t>
      </w:r>
      <w:r w:rsidR="008B38A4" w:rsidRPr="00EA6F91">
        <w:rPr>
          <w:rFonts w:ascii="Courier New" w:hAnsi="Courier New" w:cs="Courier New"/>
        </w:rPr>
        <w:t xml:space="preserve"> under the </w:t>
      </w:r>
      <w:r w:rsidR="005B4001" w:rsidRPr="00EA6F91">
        <w:rPr>
          <w:rFonts w:ascii="Courier New" w:hAnsi="Courier New" w:cs="Courier New"/>
        </w:rPr>
        <w:t>GHGRP</w:t>
      </w:r>
      <w:r w:rsidR="008B38A4" w:rsidRPr="00EA6F91">
        <w:rPr>
          <w:rFonts w:ascii="Courier New" w:hAnsi="Courier New" w:cs="Courier New"/>
        </w:rPr>
        <w:t xml:space="preserve"> and the large number of data reporting elements, EPA </w:t>
      </w:r>
      <w:r w:rsidR="00D41DD5" w:rsidRPr="00EA6F91">
        <w:rPr>
          <w:rFonts w:ascii="Courier New" w:hAnsi="Courier New" w:cs="Courier New"/>
        </w:rPr>
        <w:t xml:space="preserve">previously </w:t>
      </w:r>
      <w:r w:rsidR="008B38A4" w:rsidRPr="00EA6F91">
        <w:rPr>
          <w:rFonts w:ascii="Courier New" w:hAnsi="Courier New" w:cs="Courier New"/>
        </w:rPr>
        <w:t>concluded that case-by-case determinations would not result in timely release</w:t>
      </w:r>
      <w:r w:rsidR="00D94516" w:rsidRPr="00EA6F91">
        <w:rPr>
          <w:rFonts w:ascii="Courier New" w:hAnsi="Courier New" w:cs="Courier New"/>
        </w:rPr>
        <w:t xml:space="preserve"> of</w:t>
      </w:r>
      <w:r w:rsidR="004017A6" w:rsidRPr="00EA6F91">
        <w:rPr>
          <w:rFonts w:ascii="Courier New" w:hAnsi="Courier New" w:cs="Courier New"/>
        </w:rPr>
        <w:t xml:space="preserve"> emission and other</w:t>
      </w:r>
      <w:r w:rsidR="008B38A4" w:rsidRPr="00EA6F91">
        <w:rPr>
          <w:rFonts w:ascii="Courier New" w:hAnsi="Courier New" w:cs="Courier New"/>
        </w:rPr>
        <w:t xml:space="preserve"> non-</w:t>
      </w:r>
      <w:r w:rsidR="004D2CAF" w:rsidRPr="00EA6F91">
        <w:rPr>
          <w:rFonts w:ascii="Courier New" w:hAnsi="Courier New" w:cs="Courier New"/>
        </w:rPr>
        <w:t xml:space="preserve">CBI </w:t>
      </w:r>
      <w:r w:rsidR="008B38A4" w:rsidRPr="00EA6F91">
        <w:rPr>
          <w:rFonts w:ascii="Courier New" w:hAnsi="Courier New" w:cs="Courier New"/>
        </w:rPr>
        <w:t>data</w:t>
      </w:r>
      <w:r w:rsidR="000D44BA" w:rsidRPr="00EA6F91">
        <w:rPr>
          <w:rFonts w:ascii="Courier New" w:hAnsi="Courier New" w:cs="Courier New"/>
        </w:rPr>
        <w:t xml:space="preserve"> (</w:t>
      </w:r>
      <w:r w:rsidR="00DE1336">
        <w:rPr>
          <w:rFonts w:ascii="Courier New" w:hAnsi="Courier New" w:cs="Courier New"/>
        </w:rPr>
        <w:t xml:space="preserve">see proposed </w:t>
      </w:r>
      <w:r w:rsidR="00DE1336">
        <w:rPr>
          <w:rFonts w:ascii="Courier New" w:hAnsi="Courier New" w:cs="Courier New"/>
        </w:rPr>
        <w:lastRenderedPageBreak/>
        <w:t>CBI rule, July 7, 2010, 75 FR 39094</w:t>
      </w:r>
      <w:r w:rsidR="000D44BA" w:rsidRPr="00EA6F91">
        <w:rPr>
          <w:rFonts w:ascii="Courier New" w:hAnsi="Courier New" w:cs="Courier New"/>
        </w:rPr>
        <w:t>)</w:t>
      </w:r>
      <w:r w:rsidR="008B38A4" w:rsidRPr="00EA6F91">
        <w:rPr>
          <w:rFonts w:ascii="Courier New" w:hAnsi="Courier New" w:cs="Courier New"/>
        </w:rPr>
        <w:t xml:space="preserve">. </w:t>
      </w:r>
      <w:r w:rsidR="00672D93" w:rsidRPr="00EA6F91">
        <w:rPr>
          <w:rFonts w:ascii="Courier New" w:hAnsi="Courier New" w:cs="Courier New"/>
        </w:rPr>
        <w:t xml:space="preserve">Therefore, EPA has published CBI determinations for </w:t>
      </w:r>
      <w:r w:rsidR="000E4E55">
        <w:rPr>
          <w:rFonts w:ascii="Courier New" w:hAnsi="Courier New" w:cs="Courier New"/>
        </w:rPr>
        <w:t xml:space="preserve">most </w:t>
      </w:r>
      <w:r w:rsidR="00672D93" w:rsidRPr="00EA6F91">
        <w:rPr>
          <w:rFonts w:ascii="Courier New" w:hAnsi="Courier New" w:cs="Courier New"/>
        </w:rPr>
        <w:t>information reported under the GHGRP (</w:t>
      </w:r>
      <w:r w:rsidR="00F763CC" w:rsidRPr="00EA6F91">
        <w:rPr>
          <w:rFonts w:ascii="Courier New" w:hAnsi="Courier New" w:cs="Courier New"/>
        </w:rPr>
        <w:t>May 26, 2011</w:t>
      </w:r>
      <w:r w:rsidR="00672D93" w:rsidRPr="00EA6F91">
        <w:rPr>
          <w:rFonts w:ascii="Courier New" w:hAnsi="Courier New" w:cs="Courier New"/>
        </w:rPr>
        <w:t>,</w:t>
      </w:r>
      <w:r w:rsidR="00F763CC" w:rsidRPr="00EA6F91">
        <w:rPr>
          <w:rFonts w:ascii="Courier New" w:hAnsi="Courier New" w:cs="Courier New"/>
        </w:rPr>
        <w:t xml:space="preserve"> 76 FR 30782</w:t>
      </w:r>
      <w:r w:rsidR="00672D93" w:rsidRPr="00EA6F91">
        <w:rPr>
          <w:rFonts w:ascii="Courier New" w:hAnsi="Courier New" w:cs="Courier New"/>
        </w:rPr>
        <w:t xml:space="preserve">; </w:t>
      </w:r>
      <w:r w:rsidR="00DE1336">
        <w:rPr>
          <w:rFonts w:ascii="Courier New" w:hAnsi="Courier New" w:cs="Courier New"/>
        </w:rPr>
        <w:t xml:space="preserve">August 13, 2012, 77 FR 48072; August 24, 2012, 77 FR 51477; </w:t>
      </w:r>
      <w:r w:rsidR="00B95807" w:rsidRPr="00EA6F91">
        <w:rPr>
          <w:rFonts w:ascii="Courier New" w:hAnsi="Courier New" w:cs="Courier New"/>
        </w:rPr>
        <w:t>and in this proposed rule</w:t>
      </w:r>
      <w:r w:rsidR="00672D93" w:rsidRPr="00EA6F91">
        <w:rPr>
          <w:rFonts w:ascii="Courier New" w:hAnsi="Courier New" w:cs="Courier New"/>
        </w:rPr>
        <w:t>)</w:t>
      </w:r>
      <w:r w:rsidR="00F763CC" w:rsidRPr="00EA6F91">
        <w:rPr>
          <w:rFonts w:ascii="Courier New" w:hAnsi="Courier New" w:cs="Courier New"/>
        </w:rPr>
        <w:t xml:space="preserve">. </w:t>
      </w:r>
      <w:r w:rsidR="006902DF" w:rsidRPr="00EA6F91">
        <w:rPr>
          <w:rFonts w:ascii="Courier New" w:hAnsi="Courier New" w:cs="Courier New"/>
        </w:rPr>
        <w:t xml:space="preserve">These </w:t>
      </w:r>
      <w:r w:rsidR="004D2CAF" w:rsidRPr="00EA6F91">
        <w:rPr>
          <w:rFonts w:ascii="Courier New" w:hAnsi="Courier New" w:cs="Courier New"/>
        </w:rPr>
        <w:t xml:space="preserve">CBI </w:t>
      </w:r>
      <w:r w:rsidR="006902DF" w:rsidRPr="00EA6F91">
        <w:rPr>
          <w:rFonts w:ascii="Courier New" w:hAnsi="Courier New" w:cs="Courier New"/>
        </w:rPr>
        <w:t xml:space="preserve">determinations </w:t>
      </w:r>
      <w:r w:rsidR="00672D93" w:rsidRPr="00EA6F91">
        <w:rPr>
          <w:rFonts w:ascii="Courier New" w:hAnsi="Courier New" w:cs="Courier New"/>
        </w:rPr>
        <w:t>specify</w:t>
      </w:r>
      <w:r w:rsidR="006902DF" w:rsidRPr="00EA6F91">
        <w:rPr>
          <w:rFonts w:ascii="Courier New" w:hAnsi="Courier New" w:cs="Courier New"/>
        </w:rPr>
        <w:t xml:space="preserve"> which data reporting elements in </w:t>
      </w:r>
      <w:r w:rsidR="0075149E">
        <w:rPr>
          <w:rFonts w:ascii="Courier New" w:hAnsi="Courier New" w:cs="Courier New"/>
        </w:rPr>
        <w:t>P</w:t>
      </w:r>
      <w:r w:rsidR="006902DF" w:rsidRPr="00EA6F91">
        <w:rPr>
          <w:rFonts w:ascii="Courier New" w:hAnsi="Courier New" w:cs="Courier New"/>
        </w:rPr>
        <w:t>art 98</w:t>
      </w:r>
      <w:r w:rsidR="006E35FF">
        <w:rPr>
          <w:rFonts w:ascii="Courier New" w:hAnsi="Courier New" w:cs="Courier New"/>
        </w:rPr>
        <w:t>: (1)</w:t>
      </w:r>
      <w:r w:rsidR="006902DF" w:rsidRPr="00EA6F91">
        <w:rPr>
          <w:rFonts w:ascii="Courier New" w:hAnsi="Courier New" w:cs="Courier New"/>
        </w:rPr>
        <w:t xml:space="preserve"> </w:t>
      </w:r>
      <w:r w:rsidR="00672D93" w:rsidRPr="00EA6F91">
        <w:rPr>
          <w:rFonts w:ascii="Courier New" w:hAnsi="Courier New" w:cs="Courier New"/>
        </w:rPr>
        <w:t>are</w:t>
      </w:r>
      <w:r w:rsidR="006902DF" w:rsidRPr="00EA6F91">
        <w:rPr>
          <w:rFonts w:ascii="Courier New" w:hAnsi="Courier New" w:cs="Courier New"/>
        </w:rPr>
        <w:t xml:space="preserve"> CBI, </w:t>
      </w:r>
      <w:r w:rsidR="006E35FF">
        <w:rPr>
          <w:rFonts w:ascii="Courier New" w:hAnsi="Courier New" w:cs="Courier New"/>
        </w:rPr>
        <w:t>(2)</w:t>
      </w:r>
      <w:r w:rsidR="006E35FF" w:rsidRPr="00EA6F91">
        <w:rPr>
          <w:rFonts w:ascii="Courier New" w:hAnsi="Courier New" w:cs="Courier New"/>
        </w:rPr>
        <w:t xml:space="preserve"> </w:t>
      </w:r>
      <w:r w:rsidR="00672D93" w:rsidRPr="00EA6F91">
        <w:rPr>
          <w:rFonts w:ascii="Courier New" w:hAnsi="Courier New" w:cs="Courier New"/>
        </w:rPr>
        <w:t>are</w:t>
      </w:r>
      <w:r w:rsidR="006902DF" w:rsidRPr="00EA6F91">
        <w:rPr>
          <w:rFonts w:ascii="Courier New" w:hAnsi="Courier New" w:cs="Courier New"/>
        </w:rPr>
        <w:t xml:space="preserve"> non-CBI</w:t>
      </w:r>
      <w:r w:rsidR="00672D93" w:rsidRPr="00EA6F91">
        <w:rPr>
          <w:rFonts w:ascii="Courier New" w:hAnsi="Courier New" w:cs="Courier New"/>
        </w:rPr>
        <w:t xml:space="preserve">, </w:t>
      </w:r>
      <w:r w:rsidR="006902DF" w:rsidRPr="00EA6F91">
        <w:rPr>
          <w:rFonts w:ascii="Courier New" w:hAnsi="Courier New" w:cs="Courier New"/>
        </w:rPr>
        <w:t xml:space="preserve">and </w:t>
      </w:r>
      <w:r w:rsidR="006E35FF">
        <w:rPr>
          <w:rFonts w:ascii="Courier New" w:hAnsi="Courier New" w:cs="Courier New"/>
        </w:rPr>
        <w:t>(</w:t>
      </w:r>
      <w:r w:rsidR="000E4E55">
        <w:rPr>
          <w:rFonts w:ascii="Courier New" w:hAnsi="Courier New" w:cs="Courier New"/>
        </w:rPr>
        <w:t>3</w:t>
      </w:r>
      <w:r w:rsidR="006E35FF">
        <w:rPr>
          <w:rFonts w:ascii="Courier New" w:hAnsi="Courier New" w:cs="Courier New"/>
        </w:rPr>
        <w:t xml:space="preserve">) </w:t>
      </w:r>
      <w:r w:rsidR="00672D93" w:rsidRPr="00EA6F91">
        <w:rPr>
          <w:rFonts w:ascii="Courier New" w:hAnsi="Courier New" w:cs="Courier New"/>
        </w:rPr>
        <w:t>are</w:t>
      </w:r>
      <w:r w:rsidR="006902DF" w:rsidRPr="00EA6F91">
        <w:rPr>
          <w:rFonts w:ascii="Courier New" w:hAnsi="Courier New" w:cs="Courier New"/>
        </w:rPr>
        <w:t xml:space="preserve"> emission data</w:t>
      </w:r>
      <w:r w:rsidR="00672D93" w:rsidRPr="00EA6F91">
        <w:rPr>
          <w:rFonts w:ascii="Courier New" w:hAnsi="Courier New" w:cs="Courier New"/>
        </w:rPr>
        <w:t xml:space="preserve"> (i.e., </w:t>
      </w:r>
      <w:r w:rsidR="006902DF" w:rsidRPr="00EA6F91">
        <w:rPr>
          <w:rFonts w:ascii="Courier New" w:hAnsi="Courier New" w:cs="Courier New"/>
        </w:rPr>
        <w:t>ineligible for CBI protection</w:t>
      </w:r>
      <w:r w:rsidR="00672D93" w:rsidRPr="00EA6F91">
        <w:rPr>
          <w:rFonts w:ascii="Courier New" w:hAnsi="Courier New" w:cs="Courier New"/>
        </w:rPr>
        <w:t>)</w:t>
      </w:r>
      <w:r w:rsidR="006902DF" w:rsidRPr="00EA6F91">
        <w:rPr>
          <w:rFonts w:ascii="Courier New" w:hAnsi="Courier New" w:cs="Courier New"/>
        </w:rPr>
        <w:t xml:space="preserve">. </w:t>
      </w:r>
      <w:r w:rsidR="00672D93" w:rsidRPr="00EA6F91">
        <w:rPr>
          <w:rFonts w:ascii="Courier New" w:hAnsi="Courier New" w:cs="Courier New"/>
        </w:rPr>
        <w:t>All data determined by EPA to be CBI are</w:t>
      </w:r>
      <w:r w:rsidR="001116C1" w:rsidRPr="00EA6F91">
        <w:rPr>
          <w:rFonts w:ascii="Courier New" w:hAnsi="Courier New" w:cs="Courier New"/>
        </w:rPr>
        <w:t xml:space="preserve"> safeguarded </w:t>
      </w:r>
      <w:r w:rsidR="00D41DD5" w:rsidRPr="00EA6F91">
        <w:rPr>
          <w:rFonts w:ascii="Courier New" w:hAnsi="Courier New" w:cs="Courier New"/>
        </w:rPr>
        <w:t>in accordance with regulations in 40 CFR Chapter 1, Part 2, Subpart B.</w:t>
      </w:r>
    </w:p>
    <w:p w:rsidR="00AE16D4" w:rsidRDefault="00AE16D4" w:rsidP="00AE16D4">
      <w:pPr>
        <w:pStyle w:val="Heading2"/>
        <w:spacing w:line="360" w:lineRule="auto"/>
        <w:ind w:firstLine="0"/>
        <w:rPr>
          <w:rFonts w:ascii="Courier New" w:hAnsi="Courier New" w:cs="Courier New"/>
        </w:rPr>
      </w:pPr>
      <w:bookmarkStart w:id="17" w:name="_Toc336985082"/>
    </w:p>
    <w:p w:rsidR="008A715C" w:rsidRPr="00EA6F91" w:rsidRDefault="0046780F" w:rsidP="00AE16D4">
      <w:pPr>
        <w:pStyle w:val="Heading2"/>
        <w:spacing w:line="360" w:lineRule="auto"/>
        <w:ind w:firstLine="0"/>
        <w:rPr>
          <w:rFonts w:ascii="Courier New" w:hAnsi="Courier New" w:cs="Courier New"/>
        </w:rPr>
      </w:pPr>
      <w:r w:rsidRPr="00EA6F91">
        <w:rPr>
          <w:rFonts w:ascii="Courier New" w:hAnsi="Courier New" w:cs="Courier New"/>
        </w:rPr>
        <w:t>3(g) Sensitive Questions</w:t>
      </w:r>
      <w:bookmarkEnd w:id="17"/>
    </w:p>
    <w:p w:rsidR="008211C5" w:rsidRDefault="00944EF8" w:rsidP="00AE16D4">
      <w:pPr>
        <w:spacing w:line="360" w:lineRule="auto"/>
        <w:ind w:firstLine="720"/>
        <w:rPr>
          <w:rFonts w:ascii="Courier New" w:hAnsi="Courier New" w:cs="Courier New"/>
          <w:color w:val="000000"/>
        </w:rPr>
      </w:pPr>
      <w:r w:rsidRPr="00EA6F91">
        <w:rPr>
          <w:rFonts w:ascii="Courier New" w:hAnsi="Courier New" w:cs="Courier New"/>
          <w:color w:val="000000"/>
        </w:rPr>
        <w:t xml:space="preserve">The </w:t>
      </w:r>
      <w:r w:rsidR="00735D18">
        <w:rPr>
          <w:rFonts w:ascii="Courier New" w:hAnsi="Courier New" w:cs="Courier New"/>
          <w:color w:val="000000"/>
        </w:rPr>
        <w:t xml:space="preserve">revisions to </w:t>
      </w:r>
      <w:r w:rsidRPr="00EA6F91">
        <w:rPr>
          <w:rFonts w:ascii="Courier New" w:hAnsi="Courier New" w:cs="Courier New"/>
          <w:color w:val="000000"/>
        </w:rPr>
        <w:t xml:space="preserve">reporting or recordkeeping requirements in the </w:t>
      </w:r>
      <w:r w:rsidR="00735D18">
        <w:rPr>
          <w:rFonts w:ascii="Courier New" w:hAnsi="Courier New" w:cs="Courier New"/>
          <w:color w:val="000000"/>
        </w:rPr>
        <w:t>proposed revisions to Part 98</w:t>
      </w:r>
      <w:r w:rsidRPr="00EA6F91">
        <w:rPr>
          <w:rFonts w:ascii="Courier New" w:hAnsi="Courier New" w:cs="Courier New"/>
          <w:color w:val="000000"/>
        </w:rPr>
        <w:t xml:space="preserve"> do not include sensitive questions.</w:t>
      </w:r>
    </w:p>
    <w:p w:rsidR="00AE16D4" w:rsidRPr="00EA6F91" w:rsidRDefault="00AE16D4" w:rsidP="00AE16D4">
      <w:pPr>
        <w:spacing w:line="360" w:lineRule="auto"/>
        <w:ind w:firstLine="720"/>
        <w:rPr>
          <w:rFonts w:ascii="Courier New" w:hAnsi="Courier New" w:cs="Courier New"/>
          <w:color w:val="000000"/>
        </w:rPr>
      </w:pPr>
    </w:p>
    <w:p w:rsidR="00095BC1" w:rsidRPr="00EA6F91" w:rsidRDefault="00095BC1" w:rsidP="00AE16D4">
      <w:pPr>
        <w:pStyle w:val="Heading1"/>
        <w:spacing w:line="360" w:lineRule="auto"/>
        <w:rPr>
          <w:rFonts w:ascii="Courier New" w:hAnsi="Courier New" w:cs="Courier New"/>
        </w:rPr>
      </w:pPr>
      <w:bookmarkStart w:id="18" w:name="_Toc336985083"/>
      <w:r w:rsidRPr="00EA6F91">
        <w:rPr>
          <w:rFonts w:ascii="Courier New" w:hAnsi="Courier New" w:cs="Courier New"/>
        </w:rPr>
        <w:t>4.</w:t>
      </w:r>
      <w:r w:rsidRPr="00EA6F91">
        <w:rPr>
          <w:rFonts w:ascii="Courier New" w:hAnsi="Courier New" w:cs="Courier New"/>
        </w:rPr>
        <w:tab/>
        <w:t>THE RESPONDENTS AND THE INFORMATION REQUESTED</w:t>
      </w:r>
      <w:bookmarkEnd w:id="18"/>
    </w:p>
    <w:p w:rsidR="00095BC1" w:rsidRPr="00EA6F91" w:rsidRDefault="004E4440" w:rsidP="00AE16D4">
      <w:pPr>
        <w:spacing w:line="360" w:lineRule="auto"/>
        <w:ind w:firstLine="720"/>
        <w:rPr>
          <w:rFonts w:ascii="Courier New" w:hAnsi="Courier New" w:cs="Courier New"/>
        </w:rPr>
      </w:pPr>
      <w:r w:rsidRPr="00EA6F91">
        <w:rPr>
          <w:rFonts w:ascii="Courier New" w:hAnsi="Courier New" w:cs="Courier New"/>
        </w:rPr>
        <w:t xml:space="preserve">The respondents in this information collection include </w:t>
      </w:r>
      <w:r w:rsidR="00067AB0" w:rsidRPr="00EA6F91">
        <w:rPr>
          <w:rFonts w:ascii="Courier New" w:hAnsi="Courier New" w:cs="Courier New"/>
        </w:rPr>
        <w:t xml:space="preserve">owners and </w:t>
      </w:r>
      <w:r w:rsidRPr="00EA6F91">
        <w:rPr>
          <w:rFonts w:ascii="Courier New" w:hAnsi="Courier New" w:cs="Courier New"/>
        </w:rPr>
        <w:t xml:space="preserve">operators of facilities that </w:t>
      </w:r>
      <w:r w:rsidR="00F90A29" w:rsidRPr="00EA6F91">
        <w:rPr>
          <w:rFonts w:ascii="Courier New" w:hAnsi="Courier New" w:cs="Courier New"/>
        </w:rPr>
        <w:t>must</w:t>
      </w:r>
      <w:r w:rsidRPr="00EA6F91">
        <w:rPr>
          <w:rFonts w:ascii="Courier New" w:hAnsi="Courier New" w:cs="Courier New"/>
        </w:rPr>
        <w:t xml:space="preserve"> report </w:t>
      </w:r>
      <w:r w:rsidR="00B95F13">
        <w:rPr>
          <w:rFonts w:ascii="Courier New" w:hAnsi="Courier New" w:cs="Courier New"/>
        </w:rPr>
        <w:t>“</w:t>
      </w:r>
      <w:r w:rsidR="005E4386">
        <w:rPr>
          <w:rFonts w:ascii="Courier New" w:hAnsi="Courier New" w:cs="Courier New"/>
        </w:rPr>
        <w:t>inputs to equations</w:t>
      </w:r>
      <w:r w:rsidR="00B95F13">
        <w:rPr>
          <w:rFonts w:ascii="Courier New" w:hAnsi="Courier New" w:cs="Courier New"/>
        </w:rPr>
        <w:t>” data elements</w:t>
      </w:r>
      <w:r w:rsidR="005E4386">
        <w:rPr>
          <w:rFonts w:ascii="Courier New" w:hAnsi="Courier New" w:cs="Courier New"/>
        </w:rPr>
        <w:t xml:space="preserve"> for which reporting is deferred to 2015</w:t>
      </w:r>
      <w:r w:rsidR="00623F83" w:rsidRPr="00EA6F91">
        <w:rPr>
          <w:rFonts w:ascii="Courier New" w:hAnsi="Courier New" w:cs="Courier New"/>
        </w:rPr>
        <w:t xml:space="preserve"> to comply with </w:t>
      </w:r>
      <w:r w:rsidR="00EB583C">
        <w:rPr>
          <w:rFonts w:ascii="Courier New" w:hAnsi="Courier New" w:cs="Courier New"/>
        </w:rPr>
        <w:t>Part 98</w:t>
      </w:r>
      <w:r w:rsidRPr="00EA6F91">
        <w:rPr>
          <w:rFonts w:ascii="Courier New" w:hAnsi="Courier New" w:cs="Courier New"/>
        </w:rPr>
        <w:t xml:space="preserve">. To facilitate the analysis, EPA has divided respondents into groups that align with the source categories identified in </w:t>
      </w:r>
      <w:r w:rsidR="009F607E">
        <w:rPr>
          <w:rFonts w:ascii="Courier New" w:hAnsi="Courier New" w:cs="Courier New"/>
        </w:rPr>
        <w:t>Part 98</w:t>
      </w:r>
      <w:r w:rsidR="00D104E2" w:rsidRPr="00EA6F91">
        <w:rPr>
          <w:rFonts w:ascii="Courier New" w:hAnsi="Courier New" w:cs="Courier New"/>
        </w:rPr>
        <w:t>.</w:t>
      </w:r>
      <w:r w:rsidR="00ED239B" w:rsidRPr="00EA6F91">
        <w:rPr>
          <w:rFonts w:ascii="Courier New" w:hAnsi="Courier New" w:cs="Courier New"/>
        </w:rPr>
        <w:t xml:space="preserve"> </w:t>
      </w:r>
      <w:r w:rsidR="009F607E">
        <w:rPr>
          <w:rFonts w:ascii="Courier New" w:hAnsi="Courier New" w:cs="Courier New"/>
        </w:rPr>
        <w:t>These</w:t>
      </w:r>
      <w:r w:rsidR="009F607E" w:rsidRPr="00EA6F91">
        <w:rPr>
          <w:rFonts w:ascii="Courier New" w:hAnsi="Courier New" w:cs="Courier New"/>
        </w:rPr>
        <w:t xml:space="preserve"> industry sectors (i.e., GHG</w:t>
      </w:r>
      <w:r w:rsidR="009136E7">
        <w:rPr>
          <w:rFonts w:ascii="Courier New" w:hAnsi="Courier New" w:cs="Courier New"/>
        </w:rPr>
        <w:t>RP</w:t>
      </w:r>
      <w:r w:rsidR="009F607E" w:rsidRPr="00EA6F91">
        <w:rPr>
          <w:rFonts w:ascii="Courier New" w:hAnsi="Courier New" w:cs="Courier New"/>
        </w:rPr>
        <w:t xml:space="preserve"> subparts) participat</w:t>
      </w:r>
      <w:r w:rsidR="009F607E">
        <w:rPr>
          <w:rFonts w:ascii="Courier New" w:hAnsi="Courier New" w:cs="Courier New"/>
        </w:rPr>
        <w:t>ing</w:t>
      </w:r>
      <w:r w:rsidR="009F607E" w:rsidRPr="00EA6F91">
        <w:rPr>
          <w:rFonts w:ascii="Courier New" w:hAnsi="Courier New" w:cs="Courier New"/>
        </w:rPr>
        <w:t xml:space="preserve"> in </w:t>
      </w:r>
      <w:r w:rsidR="009F607E">
        <w:rPr>
          <w:rFonts w:ascii="Courier New" w:hAnsi="Courier New" w:cs="Courier New"/>
        </w:rPr>
        <w:t xml:space="preserve">this information collection are listed </w:t>
      </w:r>
      <w:r w:rsidR="00C975F6">
        <w:rPr>
          <w:rFonts w:ascii="Courier New" w:hAnsi="Courier New" w:cs="Courier New"/>
        </w:rPr>
        <w:t>in subsection 4(a)</w:t>
      </w:r>
      <w:r w:rsidR="009F607E">
        <w:rPr>
          <w:rFonts w:ascii="Courier New" w:hAnsi="Courier New" w:cs="Courier New"/>
        </w:rPr>
        <w:t>. Additionally t</w:t>
      </w:r>
      <w:r w:rsidR="00095BC1" w:rsidRPr="00EA6F91">
        <w:rPr>
          <w:rFonts w:ascii="Courier New" w:hAnsi="Courier New" w:cs="Courier New"/>
        </w:rPr>
        <w:t>his section</w:t>
      </w:r>
      <w:r w:rsidR="009F607E">
        <w:rPr>
          <w:rFonts w:ascii="Courier New" w:hAnsi="Courier New" w:cs="Courier New"/>
        </w:rPr>
        <w:t xml:space="preserve"> provides</w:t>
      </w:r>
      <w:r w:rsidR="00095BC1" w:rsidRPr="00EA6F91">
        <w:rPr>
          <w:rFonts w:ascii="Courier New" w:hAnsi="Courier New" w:cs="Courier New"/>
        </w:rPr>
        <w:t xml:space="preserve"> the data </w:t>
      </w:r>
      <w:r w:rsidR="0089372A">
        <w:rPr>
          <w:rFonts w:ascii="Courier New" w:hAnsi="Courier New" w:cs="Courier New"/>
        </w:rPr>
        <w:t>elements</w:t>
      </w:r>
      <w:r w:rsidR="00095BC1" w:rsidRPr="00EA6F91">
        <w:rPr>
          <w:rFonts w:ascii="Courier New" w:hAnsi="Courier New" w:cs="Courier New"/>
        </w:rPr>
        <w:t xml:space="preserve"> </w:t>
      </w:r>
      <w:r w:rsidR="00F90A29" w:rsidRPr="00EA6F91">
        <w:rPr>
          <w:rFonts w:ascii="Courier New" w:hAnsi="Courier New" w:cs="Courier New"/>
        </w:rPr>
        <w:t>required of</w:t>
      </w:r>
      <w:r w:rsidR="00095BC1" w:rsidRPr="00EA6F91">
        <w:rPr>
          <w:rFonts w:ascii="Courier New" w:hAnsi="Courier New" w:cs="Courier New"/>
        </w:rPr>
        <w:t xml:space="preserve"> program participants and the activities in which participants </w:t>
      </w:r>
      <w:r w:rsidR="00F90A29" w:rsidRPr="00EA6F91">
        <w:rPr>
          <w:rFonts w:ascii="Courier New" w:hAnsi="Courier New" w:cs="Courier New"/>
        </w:rPr>
        <w:t xml:space="preserve">must </w:t>
      </w:r>
      <w:r w:rsidR="00095BC1" w:rsidRPr="00EA6F91">
        <w:rPr>
          <w:rFonts w:ascii="Courier New" w:hAnsi="Courier New" w:cs="Courier New"/>
        </w:rPr>
        <w:t xml:space="preserve">engage to collect, assess, </w:t>
      </w:r>
      <w:r w:rsidR="005E4386">
        <w:rPr>
          <w:rFonts w:ascii="Courier New" w:hAnsi="Courier New" w:cs="Courier New"/>
        </w:rPr>
        <w:t xml:space="preserve">calculate, </w:t>
      </w:r>
      <w:r w:rsidR="00095BC1" w:rsidRPr="00EA6F91">
        <w:rPr>
          <w:rFonts w:ascii="Courier New" w:hAnsi="Courier New" w:cs="Courier New"/>
        </w:rPr>
        <w:t xml:space="preserve">and in some cases submit the required data </w:t>
      </w:r>
      <w:r w:rsidR="0089372A">
        <w:rPr>
          <w:rFonts w:ascii="Courier New" w:hAnsi="Courier New" w:cs="Courier New"/>
        </w:rPr>
        <w:t>elements</w:t>
      </w:r>
      <w:r w:rsidR="00095BC1" w:rsidRPr="00EA6F91">
        <w:rPr>
          <w:rFonts w:ascii="Courier New" w:hAnsi="Courier New" w:cs="Courier New"/>
        </w:rPr>
        <w:t xml:space="preserve">. </w:t>
      </w:r>
    </w:p>
    <w:p w:rsidR="00AE16D4" w:rsidRDefault="00AE16D4" w:rsidP="00AE16D4">
      <w:pPr>
        <w:pStyle w:val="Heading2"/>
        <w:widowControl w:val="0"/>
        <w:spacing w:line="360" w:lineRule="auto"/>
        <w:ind w:firstLine="0"/>
        <w:rPr>
          <w:rFonts w:ascii="Courier New" w:hAnsi="Courier New" w:cs="Courier New"/>
        </w:rPr>
      </w:pPr>
      <w:bookmarkStart w:id="19" w:name="_Toc336985084"/>
    </w:p>
    <w:p w:rsidR="00095BC1" w:rsidRPr="00EA6F91" w:rsidRDefault="00095BC1" w:rsidP="00AE16D4">
      <w:pPr>
        <w:pStyle w:val="Heading2"/>
        <w:widowControl w:val="0"/>
        <w:spacing w:line="360" w:lineRule="auto"/>
        <w:ind w:firstLine="0"/>
        <w:rPr>
          <w:rFonts w:ascii="Courier New" w:hAnsi="Courier New" w:cs="Courier New"/>
        </w:rPr>
      </w:pPr>
      <w:r w:rsidRPr="003810DD">
        <w:rPr>
          <w:rFonts w:ascii="Courier New" w:hAnsi="Courier New" w:cs="Courier New"/>
        </w:rPr>
        <w:t>4(a) Respondents/</w:t>
      </w:r>
      <w:r w:rsidR="00062186" w:rsidRPr="003810DD">
        <w:rPr>
          <w:rFonts w:ascii="Courier New" w:hAnsi="Courier New" w:cs="Courier New"/>
        </w:rPr>
        <w:t xml:space="preserve">North American Industrial Classification System (NAICS) </w:t>
      </w:r>
      <w:r w:rsidRPr="003810DD">
        <w:rPr>
          <w:rFonts w:ascii="Courier New" w:hAnsi="Courier New" w:cs="Courier New"/>
        </w:rPr>
        <w:t>Codes</w:t>
      </w:r>
      <w:bookmarkEnd w:id="19"/>
    </w:p>
    <w:p w:rsidR="00095BC1" w:rsidRPr="00EA6F91" w:rsidRDefault="00C64C98" w:rsidP="00EA6F91">
      <w:pPr>
        <w:spacing w:line="360" w:lineRule="auto"/>
        <w:ind w:firstLine="720"/>
        <w:rPr>
          <w:rFonts w:ascii="Courier New" w:hAnsi="Courier New" w:cs="Courier New"/>
        </w:rPr>
      </w:pPr>
      <w:r w:rsidRPr="00EA6F91">
        <w:rPr>
          <w:rFonts w:ascii="Courier New" w:hAnsi="Courier New" w:cs="Courier New"/>
        </w:rPr>
        <w:t xml:space="preserve">The proposed revisions to </w:t>
      </w:r>
      <w:r w:rsidR="0075149E">
        <w:rPr>
          <w:rFonts w:ascii="Courier New" w:hAnsi="Courier New" w:cs="Courier New"/>
        </w:rPr>
        <w:t>P</w:t>
      </w:r>
      <w:r w:rsidR="00FA081A" w:rsidRPr="00EA6F91">
        <w:rPr>
          <w:rFonts w:ascii="Courier New" w:hAnsi="Courier New" w:cs="Courier New"/>
        </w:rPr>
        <w:t>art 98</w:t>
      </w:r>
      <w:r w:rsidR="0075149E">
        <w:rPr>
          <w:rFonts w:ascii="Courier New" w:hAnsi="Courier New" w:cs="Courier New"/>
        </w:rPr>
        <w:t xml:space="preserve"> </w:t>
      </w:r>
      <w:r w:rsidRPr="00EA6F91">
        <w:rPr>
          <w:rFonts w:ascii="Courier New" w:hAnsi="Courier New" w:cs="Courier New"/>
        </w:rPr>
        <w:t xml:space="preserve">affect </w:t>
      </w:r>
      <w:r w:rsidR="00B34F3C" w:rsidRPr="00EA6F91">
        <w:rPr>
          <w:rFonts w:ascii="Courier New" w:hAnsi="Courier New" w:cs="Courier New"/>
        </w:rPr>
        <w:t xml:space="preserve">facilities subject to the </w:t>
      </w:r>
      <w:r w:rsidRPr="00EA6F91">
        <w:rPr>
          <w:rFonts w:ascii="Courier New" w:hAnsi="Courier New" w:cs="Courier New"/>
        </w:rPr>
        <w:t xml:space="preserve">subparts (i.e., industry sectors) listed in the following </w:t>
      </w:r>
      <w:r w:rsidRPr="00EA6F91">
        <w:rPr>
          <w:rFonts w:ascii="Courier New" w:hAnsi="Courier New" w:cs="Courier New"/>
        </w:rPr>
        <w:lastRenderedPageBreak/>
        <w:t xml:space="preserve">table. </w:t>
      </w:r>
      <w:r w:rsidR="005123CE" w:rsidRPr="00EA6F91">
        <w:rPr>
          <w:rFonts w:ascii="Courier New" w:hAnsi="Courier New" w:cs="Courier New"/>
        </w:rPr>
        <w:t>R</w:t>
      </w:r>
      <w:r w:rsidR="00095BC1" w:rsidRPr="00EA6F91">
        <w:rPr>
          <w:rFonts w:ascii="Courier New" w:hAnsi="Courier New" w:cs="Courier New"/>
        </w:rPr>
        <w:t>eporting facilities</w:t>
      </w:r>
      <w:r w:rsidR="00D63E46" w:rsidRPr="00EA6F91">
        <w:rPr>
          <w:rFonts w:ascii="Courier New" w:hAnsi="Courier New" w:cs="Courier New"/>
        </w:rPr>
        <w:t xml:space="preserve"> </w:t>
      </w:r>
      <w:r w:rsidR="00095BC1" w:rsidRPr="00EA6F91">
        <w:rPr>
          <w:rFonts w:ascii="Courier New" w:hAnsi="Courier New" w:cs="Courier New"/>
        </w:rPr>
        <w:t>include</w:t>
      </w:r>
      <w:r w:rsidR="00062186" w:rsidRPr="00EA6F91">
        <w:rPr>
          <w:rStyle w:val="CommentReference"/>
          <w:rFonts w:ascii="Courier New" w:hAnsi="Courier New" w:cs="Courier New"/>
          <w:sz w:val="24"/>
          <w:szCs w:val="24"/>
        </w:rPr>
        <w:t xml:space="preserve">, but </w:t>
      </w:r>
      <w:r w:rsidR="00AC1DE8" w:rsidRPr="00EA6F91">
        <w:rPr>
          <w:rStyle w:val="CommentReference"/>
          <w:rFonts w:ascii="Courier New" w:hAnsi="Courier New" w:cs="Courier New"/>
          <w:sz w:val="24"/>
          <w:szCs w:val="24"/>
        </w:rPr>
        <w:t>are not</w:t>
      </w:r>
      <w:r w:rsidR="00062186" w:rsidRPr="00EA6F91">
        <w:rPr>
          <w:rStyle w:val="CommentReference"/>
          <w:rFonts w:ascii="Courier New" w:hAnsi="Courier New" w:cs="Courier New"/>
          <w:sz w:val="24"/>
          <w:szCs w:val="24"/>
        </w:rPr>
        <w:t xml:space="preserve"> limited to</w:t>
      </w:r>
      <w:r w:rsidR="000D44BA" w:rsidRPr="00EA6F91">
        <w:rPr>
          <w:rFonts w:ascii="Courier New" w:hAnsi="Courier New" w:cs="Courier New"/>
        </w:rPr>
        <w:t>: (1)</w:t>
      </w:r>
      <w:r w:rsidR="00095BC1" w:rsidRPr="00EA6F91">
        <w:rPr>
          <w:rFonts w:ascii="Courier New" w:hAnsi="Courier New" w:cs="Courier New"/>
        </w:rPr>
        <w:t xml:space="preserve"> </w:t>
      </w:r>
      <w:r w:rsidRPr="00EA6F91">
        <w:rPr>
          <w:rFonts w:ascii="Courier New" w:hAnsi="Courier New" w:cs="Courier New"/>
        </w:rPr>
        <w:t xml:space="preserve">those </w:t>
      </w:r>
      <w:r w:rsidR="00095BC1" w:rsidRPr="00EA6F91">
        <w:rPr>
          <w:rFonts w:ascii="Courier New" w:hAnsi="Courier New" w:cs="Courier New"/>
        </w:rPr>
        <w:t xml:space="preserve">operating one or more units that exceed the </w:t>
      </w:r>
      <w:r w:rsidR="00AB6F4F" w:rsidRPr="00EA6F91">
        <w:rPr>
          <w:rFonts w:ascii="Courier New" w:hAnsi="Courier New" w:cs="Courier New"/>
        </w:rPr>
        <w:t>CO</w:t>
      </w:r>
      <w:r w:rsidR="00AB6F4F" w:rsidRPr="00EA6F91">
        <w:rPr>
          <w:rFonts w:ascii="Courier New" w:hAnsi="Courier New" w:cs="Courier New"/>
          <w:vertAlign w:val="subscript"/>
        </w:rPr>
        <w:t>2</w:t>
      </w:r>
      <w:r w:rsidR="00095BC1" w:rsidRPr="00EA6F91">
        <w:rPr>
          <w:rFonts w:ascii="Courier New" w:hAnsi="Courier New" w:cs="Courier New"/>
        </w:rPr>
        <w:t xml:space="preserve">e threshold for </w:t>
      </w:r>
      <w:r w:rsidRPr="00EA6F91">
        <w:rPr>
          <w:rFonts w:ascii="Courier New" w:hAnsi="Courier New" w:cs="Courier New"/>
        </w:rPr>
        <w:t>certain</w:t>
      </w:r>
      <w:r w:rsidR="00095BC1" w:rsidRPr="00EA6F91">
        <w:rPr>
          <w:rFonts w:ascii="Courier New" w:hAnsi="Courier New" w:cs="Courier New"/>
        </w:rPr>
        <w:t xml:space="preserve"> industry sectors listed below</w:t>
      </w:r>
      <w:r w:rsidRPr="00EA6F91">
        <w:rPr>
          <w:rFonts w:ascii="Courier New" w:hAnsi="Courier New" w:cs="Courier New"/>
        </w:rPr>
        <w:t xml:space="preserve"> (and listed in Table A-3 of </w:t>
      </w:r>
      <w:r w:rsidR="003810DD" w:rsidRPr="00EA6F91">
        <w:rPr>
          <w:rFonts w:ascii="Courier New" w:hAnsi="Courier New" w:cs="Courier New"/>
        </w:rPr>
        <w:t>40 CFR 98.2(a)(1)</w:t>
      </w:r>
      <w:r w:rsidRPr="00EA6F91">
        <w:rPr>
          <w:rFonts w:ascii="Courier New" w:hAnsi="Courier New" w:cs="Courier New"/>
        </w:rPr>
        <w:t>)</w:t>
      </w:r>
      <w:r w:rsidR="000D44BA" w:rsidRPr="00EA6F91">
        <w:rPr>
          <w:rFonts w:ascii="Courier New" w:hAnsi="Courier New" w:cs="Courier New"/>
        </w:rPr>
        <w:t>,</w:t>
      </w:r>
      <w:r w:rsidR="00673C8D" w:rsidRPr="00EA6F91">
        <w:rPr>
          <w:rFonts w:ascii="Courier New" w:hAnsi="Courier New" w:cs="Courier New"/>
        </w:rPr>
        <w:t xml:space="preserve"> </w:t>
      </w:r>
      <w:r w:rsidR="00B34F3C" w:rsidRPr="00EA6F91">
        <w:rPr>
          <w:rFonts w:ascii="Courier New" w:hAnsi="Courier New" w:cs="Courier New"/>
        </w:rPr>
        <w:t>and</w:t>
      </w:r>
      <w:r w:rsidR="00673C8D" w:rsidRPr="00EA6F91">
        <w:rPr>
          <w:rFonts w:ascii="Courier New" w:hAnsi="Courier New" w:cs="Courier New"/>
        </w:rPr>
        <w:t xml:space="preserve"> </w:t>
      </w:r>
      <w:r w:rsidR="000D44BA" w:rsidRPr="00EA6F91">
        <w:rPr>
          <w:rFonts w:ascii="Courier New" w:hAnsi="Courier New" w:cs="Courier New"/>
        </w:rPr>
        <w:t>(2)</w:t>
      </w:r>
      <w:r w:rsidRPr="00EA6F91">
        <w:rPr>
          <w:rFonts w:ascii="Courier New" w:hAnsi="Courier New" w:cs="Courier New"/>
        </w:rPr>
        <w:t xml:space="preserve"> </w:t>
      </w:r>
      <w:r w:rsidR="00095BC1" w:rsidRPr="00EA6F91">
        <w:rPr>
          <w:rFonts w:ascii="Courier New" w:hAnsi="Courier New" w:cs="Courier New"/>
        </w:rPr>
        <w:t xml:space="preserve">those </w:t>
      </w:r>
      <w:r w:rsidR="000D44BA" w:rsidRPr="00EA6F91">
        <w:rPr>
          <w:rFonts w:ascii="Courier New" w:hAnsi="Courier New" w:cs="Courier New"/>
        </w:rPr>
        <w:t xml:space="preserve">included </w:t>
      </w:r>
      <w:r w:rsidR="00095BC1" w:rsidRPr="00EA6F91">
        <w:rPr>
          <w:rFonts w:ascii="Courier New" w:hAnsi="Courier New" w:cs="Courier New"/>
        </w:rPr>
        <w:t xml:space="preserve">in </w:t>
      </w:r>
      <w:r w:rsidR="000D44BA" w:rsidRPr="00EA6F91">
        <w:rPr>
          <w:rFonts w:ascii="Courier New" w:hAnsi="Courier New" w:cs="Courier New"/>
        </w:rPr>
        <w:t>certain</w:t>
      </w:r>
      <w:r w:rsidRPr="00EA6F91">
        <w:rPr>
          <w:rFonts w:ascii="Courier New" w:hAnsi="Courier New" w:cs="Courier New"/>
        </w:rPr>
        <w:t xml:space="preserve"> industry sectors </w:t>
      </w:r>
      <w:r w:rsidR="003810DD">
        <w:rPr>
          <w:rFonts w:ascii="Courier New" w:hAnsi="Courier New" w:cs="Courier New"/>
        </w:rPr>
        <w:t>(</w:t>
      </w:r>
      <w:r w:rsidRPr="00EA6F91">
        <w:rPr>
          <w:rFonts w:ascii="Courier New" w:hAnsi="Courier New" w:cs="Courier New"/>
        </w:rPr>
        <w:t>listed below</w:t>
      </w:r>
      <w:r w:rsidR="003810DD">
        <w:rPr>
          <w:rFonts w:ascii="Courier New" w:hAnsi="Courier New" w:cs="Courier New"/>
        </w:rPr>
        <w:t>)</w:t>
      </w:r>
      <w:r w:rsidRPr="00EA6F91">
        <w:rPr>
          <w:rFonts w:ascii="Courier New" w:hAnsi="Courier New" w:cs="Courier New"/>
        </w:rPr>
        <w:t xml:space="preserve"> for </w:t>
      </w:r>
      <w:r w:rsidR="00095BC1" w:rsidRPr="00EA6F91">
        <w:rPr>
          <w:rFonts w:ascii="Courier New" w:hAnsi="Courier New" w:cs="Courier New"/>
        </w:rPr>
        <w:t xml:space="preserve">which all </w:t>
      </w:r>
      <w:r w:rsidRPr="00EA6F91">
        <w:rPr>
          <w:rFonts w:ascii="Courier New" w:hAnsi="Courier New" w:cs="Courier New"/>
        </w:rPr>
        <w:t xml:space="preserve">facilities </w:t>
      </w:r>
      <w:r w:rsidR="00095BC1" w:rsidRPr="00EA6F91">
        <w:rPr>
          <w:rFonts w:ascii="Courier New" w:hAnsi="Courier New" w:cs="Courier New"/>
        </w:rPr>
        <w:t>must report, such as petroleum refin</w:t>
      </w:r>
      <w:r w:rsidRPr="00EA6F91">
        <w:rPr>
          <w:rFonts w:ascii="Courier New" w:hAnsi="Courier New" w:cs="Courier New"/>
        </w:rPr>
        <w:t>eries</w:t>
      </w:r>
      <w:r w:rsidR="00673C8D" w:rsidRPr="00EA6F91">
        <w:rPr>
          <w:rFonts w:ascii="Courier New" w:hAnsi="Courier New" w:cs="Courier New"/>
        </w:rPr>
        <w:t xml:space="preserve">. </w:t>
      </w:r>
      <w:r w:rsidR="00095BC1" w:rsidRPr="00EA6F91">
        <w:rPr>
          <w:rFonts w:ascii="Courier New" w:hAnsi="Courier New" w:cs="Courier New"/>
        </w:rPr>
        <w:t xml:space="preserve">Industry sectors are listed by the corresponding subpart of </w:t>
      </w:r>
      <w:r w:rsidR="0075149E">
        <w:rPr>
          <w:rFonts w:ascii="Courier New" w:hAnsi="Courier New" w:cs="Courier New"/>
        </w:rPr>
        <w:t>P</w:t>
      </w:r>
      <w:r w:rsidR="00B34F3C" w:rsidRPr="00EA6F91">
        <w:rPr>
          <w:rFonts w:ascii="Courier New" w:hAnsi="Courier New" w:cs="Courier New"/>
        </w:rPr>
        <w:t>art 98</w:t>
      </w:r>
      <w:r w:rsidR="00095BC1" w:rsidRPr="00EA6F91">
        <w:rPr>
          <w:rFonts w:ascii="Courier New" w:hAnsi="Courier New" w:cs="Courier New"/>
        </w:rPr>
        <w:t xml:space="preserve"> and NAICS code for reference.</w:t>
      </w:r>
      <w:r w:rsidR="00A47CF8" w:rsidRPr="00EA6F91">
        <w:rPr>
          <w:rFonts w:ascii="Courier New" w:hAnsi="Courier New" w:cs="Courier New"/>
        </w:rPr>
        <w:t xml:space="preserve"> </w:t>
      </w:r>
      <w:r w:rsidR="00CF7255" w:rsidRPr="00EA6F91">
        <w:rPr>
          <w:rFonts w:ascii="Courier New" w:hAnsi="Courier New" w:cs="Courier New"/>
        </w:rPr>
        <w:t>The NAICS codes are not exhaustive, but rather provide a list of facilities and suppliers likely to be affected.</w:t>
      </w:r>
    </w:p>
    <w:p w:rsidR="00C269C1" w:rsidRPr="00EA6F91" w:rsidRDefault="00C269C1" w:rsidP="00901DAA">
      <w:pPr>
        <w:widowControl w:val="0"/>
        <w:rPr>
          <w:rFonts w:ascii="Courier New" w:hAnsi="Courier New" w:cs="Courier New"/>
        </w:rPr>
      </w:pP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tblPr>
      <w:tblGrid>
        <w:gridCol w:w="2554"/>
        <w:gridCol w:w="6788"/>
      </w:tblGrid>
      <w:tr w:rsidR="00095BC1" w:rsidRPr="00EA6F91" w:rsidTr="00085A6A">
        <w:trPr>
          <w:cantSplit/>
          <w:tblHeader/>
          <w:jc w:val="center"/>
        </w:trPr>
        <w:tc>
          <w:tcPr>
            <w:tcW w:w="2554" w:type="dxa"/>
            <w:tcBorders>
              <w:top w:val="single" w:sz="4" w:space="0" w:color="auto"/>
              <w:bottom w:val="single" w:sz="6" w:space="0" w:color="auto"/>
            </w:tcBorders>
            <w:shd w:val="clear" w:color="auto" w:fill="D9D9D9" w:themeFill="background1" w:themeFillShade="D9"/>
          </w:tcPr>
          <w:p w:rsidR="00095BC1" w:rsidRPr="00EA6F91" w:rsidRDefault="00963AFD" w:rsidP="00901DAA">
            <w:pPr>
              <w:widowControl w:val="0"/>
              <w:rPr>
                <w:rFonts w:ascii="Courier New" w:hAnsi="Courier New" w:cs="Courier New"/>
                <w:b/>
                <w:sz w:val="20"/>
                <w:szCs w:val="20"/>
                <w:u w:val="single"/>
              </w:rPr>
            </w:pPr>
            <w:r w:rsidRPr="00EA6F91">
              <w:rPr>
                <w:rFonts w:ascii="Courier New" w:hAnsi="Courier New" w:cs="Courier New"/>
                <w:b/>
                <w:sz w:val="20"/>
                <w:szCs w:val="20"/>
                <w:u w:val="single"/>
              </w:rPr>
              <w:t xml:space="preserve">Part and </w:t>
            </w:r>
            <w:r w:rsidR="00095BC1" w:rsidRPr="00EA6F91">
              <w:rPr>
                <w:rFonts w:ascii="Courier New" w:hAnsi="Courier New" w:cs="Courier New"/>
                <w:b/>
                <w:sz w:val="20"/>
                <w:szCs w:val="20"/>
                <w:u w:val="single"/>
              </w:rPr>
              <w:t>Subpart</w:t>
            </w:r>
          </w:p>
        </w:tc>
        <w:tc>
          <w:tcPr>
            <w:tcW w:w="6788" w:type="dxa"/>
            <w:tcBorders>
              <w:top w:val="single" w:sz="4" w:space="0" w:color="auto"/>
              <w:bottom w:val="single" w:sz="6" w:space="0" w:color="auto"/>
            </w:tcBorders>
            <w:shd w:val="clear" w:color="auto" w:fill="D9D9D9" w:themeFill="background1" w:themeFillShade="D9"/>
          </w:tcPr>
          <w:p w:rsidR="00095BC1" w:rsidRPr="00EA6F91" w:rsidRDefault="00095BC1" w:rsidP="00901DAA">
            <w:pPr>
              <w:widowControl w:val="0"/>
              <w:ind w:left="-18" w:firstLine="18"/>
              <w:rPr>
                <w:rFonts w:ascii="Courier New" w:hAnsi="Courier New" w:cs="Courier New"/>
                <w:b/>
                <w:bCs/>
                <w:sz w:val="20"/>
                <w:szCs w:val="20"/>
                <w:u w:val="single"/>
              </w:rPr>
            </w:pPr>
            <w:r w:rsidRPr="00EA6F91">
              <w:rPr>
                <w:rFonts w:ascii="Courier New" w:hAnsi="Courier New" w:cs="Courier New"/>
                <w:b/>
                <w:bCs/>
                <w:sz w:val="20"/>
                <w:szCs w:val="20"/>
                <w:u w:val="single"/>
              </w:rPr>
              <w:t>NAICS code(s)</w:t>
            </w:r>
          </w:p>
        </w:tc>
      </w:tr>
      <w:tr w:rsidR="00963AFD" w:rsidRPr="00EA6F91" w:rsidTr="00085A6A">
        <w:trPr>
          <w:cantSplit/>
          <w:jc w:val="center"/>
        </w:trPr>
        <w:tc>
          <w:tcPr>
            <w:tcW w:w="9342" w:type="dxa"/>
            <w:gridSpan w:val="2"/>
            <w:tcBorders>
              <w:top w:val="single" w:sz="6" w:space="0" w:color="auto"/>
            </w:tcBorders>
          </w:tcPr>
          <w:p w:rsidR="00963AFD" w:rsidRPr="00EA6F91" w:rsidRDefault="00F40DC8" w:rsidP="00901DAA">
            <w:pPr>
              <w:widowControl w:val="0"/>
              <w:ind w:left="-18" w:firstLine="18"/>
              <w:rPr>
                <w:rFonts w:ascii="Courier New" w:hAnsi="Courier New" w:cs="Courier New"/>
                <w:b/>
                <w:bCs/>
                <w:sz w:val="20"/>
                <w:szCs w:val="20"/>
              </w:rPr>
            </w:pPr>
            <w:r w:rsidRPr="00EA6F91">
              <w:rPr>
                <w:rFonts w:ascii="Courier New" w:hAnsi="Courier New" w:cs="Courier New"/>
                <w:b/>
                <w:bCs/>
                <w:sz w:val="20"/>
                <w:szCs w:val="20"/>
              </w:rPr>
              <w:t xml:space="preserve">40 CFR </w:t>
            </w:r>
            <w:r w:rsidR="00963AFD" w:rsidRPr="00EA6F91">
              <w:rPr>
                <w:rFonts w:ascii="Courier New" w:hAnsi="Courier New" w:cs="Courier New"/>
                <w:b/>
                <w:bCs/>
                <w:sz w:val="20"/>
                <w:szCs w:val="20"/>
              </w:rPr>
              <w:t>Part 98</w:t>
            </w:r>
          </w:p>
        </w:tc>
      </w:tr>
      <w:tr w:rsidR="00095BC1" w:rsidRPr="00EA6F91" w:rsidTr="00085A6A">
        <w:trPr>
          <w:cantSplit/>
          <w:jc w:val="center"/>
        </w:trPr>
        <w:tc>
          <w:tcPr>
            <w:tcW w:w="2554" w:type="dxa"/>
            <w:tcBorders>
              <w:top w:val="single" w:sz="6" w:space="0" w:color="auto"/>
            </w:tcBorders>
          </w:tcPr>
          <w:p w:rsidR="00095BC1" w:rsidRPr="00EA6F91" w:rsidRDefault="00095BC1" w:rsidP="00901DAA">
            <w:pPr>
              <w:widowControl w:val="0"/>
              <w:rPr>
                <w:rFonts w:ascii="Courier New" w:hAnsi="Courier New" w:cs="Courier New"/>
                <w:sz w:val="20"/>
                <w:szCs w:val="20"/>
              </w:rPr>
            </w:pPr>
            <w:r w:rsidRPr="00EA6F91">
              <w:rPr>
                <w:rFonts w:ascii="Courier New" w:hAnsi="Courier New" w:cs="Courier New"/>
                <w:sz w:val="20"/>
                <w:szCs w:val="20"/>
              </w:rPr>
              <w:t>C. General Stationary Fuel Combustion Sources</w:t>
            </w:r>
          </w:p>
        </w:tc>
        <w:tc>
          <w:tcPr>
            <w:tcW w:w="6788" w:type="dxa"/>
            <w:tcBorders>
              <w:top w:val="single" w:sz="6" w:space="0" w:color="auto"/>
            </w:tcBorders>
          </w:tcPr>
          <w:p w:rsidR="00095BC1" w:rsidRPr="00EA6F91" w:rsidRDefault="00095BC1" w:rsidP="00CF7255">
            <w:pPr>
              <w:widowControl w:val="0"/>
              <w:ind w:left="-18" w:firstLine="18"/>
              <w:rPr>
                <w:rFonts w:ascii="Courier New" w:hAnsi="Courier New" w:cs="Courier New"/>
                <w:sz w:val="20"/>
                <w:szCs w:val="20"/>
              </w:rPr>
            </w:pPr>
            <w:r w:rsidRPr="00EA6F91">
              <w:rPr>
                <w:rFonts w:ascii="Courier New" w:hAnsi="Courier New" w:cs="Courier New"/>
                <w:sz w:val="20"/>
                <w:szCs w:val="20"/>
              </w:rPr>
              <w:t>Facilities operating boilers, process heaters, incinerators, turbines, and internal combustion engines: 321 Manufacturers of lumber and wood products; 322 Pulp and paper mills; 325 Chemical manufacturers; 324 Petroleum refineries, and manufacturers of coal products; 316, 326, 339 Manufacturers of rubber and miscellaneous plastic products; 331 Steel works, blast furnaces; 332 Electroplating, plating, polishing, anodizing, and coloring; 336 Manufacturers of motor vehicle parts and accessories; 221 Electric, gas, and sanitary services; 622 Health services; 611 Educational services</w:t>
            </w:r>
          </w:p>
        </w:tc>
      </w:tr>
      <w:tr w:rsidR="00095BC1" w:rsidRPr="00EA6F91" w:rsidTr="00085A6A">
        <w:trPr>
          <w:cantSplit/>
          <w:jc w:val="center"/>
        </w:trPr>
        <w:tc>
          <w:tcPr>
            <w:tcW w:w="2554" w:type="dxa"/>
          </w:tcPr>
          <w:p w:rsidR="00095BC1" w:rsidRPr="00EA6F91" w:rsidRDefault="00095BC1" w:rsidP="00901DAA">
            <w:pPr>
              <w:widowControl w:val="0"/>
              <w:rPr>
                <w:rFonts w:ascii="Courier New" w:hAnsi="Courier New" w:cs="Courier New"/>
                <w:sz w:val="20"/>
                <w:szCs w:val="20"/>
              </w:rPr>
            </w:pPr>
            <w:r w:rsidRPr="00EA6F91">
              <w:rPr>
                <w:rFonts w:ascii="Courier New" w:hAnsi="Courier New" w:cs="Courier New"/>
                <w:sz w:val="20"/>
                <w:szCs w:val="20"/>
              </w:rPr>
              <w:t>E. Adipic Acid Production</w:t>
            </w:r>
          </w:p>
        </w:tc>
        <w:tc>
          <w:tcPr>
            <w:tcW w:w="6788" w:type="dxa"/>
          </w:tcPr>
          <w:p w:rsidR="00095BC1" w:rsidRPr="00EA6F91" w:rsidRDefault="00095BC1" w:rsidP="00901DAA">
            <w:pPr>
              <w:widowControl w:val="0"/>
              <w:rPr>
                <w:rFonts w:ascii="Courier New" w:hAnsi="Courier New" w:cs="Courier New"/>
                <w:sz w:val="20"/>
                <w:szCs w:val="20"/>
              </w:rPr>
            </w:pPr>
            <w:r w:rsidRPr="00EA6F91">
              <w:rPr>
                <w:rFonts w:ascii="Courier New" w:hAnsi="Courier New" w:cs="Courier New"/>
                <w:sz w:val="20"/>
                <w:szCs w:val="20"/>
              </w:rPr>
              <w:t>325199 Adipic acid manufacturing facilities</w:t>
            </w:r>
          </w:p>
        </w:tc>
      </w:tr>
      <w:tr w:rsidR="00095BC1" w:rsidRPr="00EA6F91" w:rsidTr="00085A6A">
        <w:trPr>
          <w:cantSplit/>
          <w:jc w:val="center"/>
        </w:trPr>
        <w:tc>
          <w:tcPr>
            <w:tcW w:w="2554" w:type="dxa"/>
          </w:tcPr>
          <w:p w:rsidR="00095BC1" w:rsidRPr="00EA6F91" w:rsidRDefault="00095BC1" w:rsidP="00901DAA">
            <w:pPr>
              <w:widowControl w:val="0"/>
              <w:rPr>
                <w:rFonts w:ascii="Courier New" w:hAnsi="Courier New" w:cs="Courier New"/>
                <w:sz w:val="20"/>
                <w:szCs w:val="20"/>
              </w:rPr>
            </w:pPr>
            <w:r w:rsidRPr="00EA6F91">
              <w:rPr>
                <w:rFonts w:ascii="Courier New" w:hAnsi="Courier New" w:cs="Courier New"/>
                <w:sz w:val="20"/>
                <w:szCs w:val="20"/>
              </w:rPr>
              <w:t>F. Aluminum Production</w:t>
            </w:r>
          </w:p>
        </w:tc>
        <w:tc>
          <w:tcPr>
            <w:tcW w:w="6788" w:type="dxa"/>
          </w:tcPr>
          <w:p w:rsidR="00095BC1" w:rsidRPr="00EA6F91" w:rsidRDefault="00095BC1" w:rsidP="00901DAA">
            <w:pPr>
              <w:widowControl w:val="0"/>
              <w:rPr>
                <w:rFonts w:ascii="Courier New" w:hAnsi="Courier New" w:cs="Courier New"/>
                <w:sz w:val="20"/>
                <w:szCs w:val="20"/>
              </w:rPr>
            </w:pPr>
            <w:r w:rsidRPr="00EA6F91">
              <w:rPr>
                <w:rFonts w:ascii="Courier New" w:hAnsi="Courier New" w:cs="Courier New"/>
                <w:sz w:val="20"/>
                <w:szCs w:val="20"/>
              </w:rPr>
              <w:t>331312 Primary Aluminum production facilities</w:t>
            </w:r>
          </w:p>
        </w:tc>
      </w:tr>
      <w:tr w:rsidR="00095BC1" w:rsidRPr="00EA6F91" w:rsidTr="00085A6A">
        <w:trPr>
          <w:cantSplit/>
          <w:jc w:val="center"/>
        </w:trPr>
        <w:tc>
          <w:tcPr>
            <w:tcW w:w="2554" w:type="dxa"/>
          </w:tcPr>
          <w:p w:rsidR="00095BC1" w:rsidRPr="00EA6F91" w:rsidRDefault="00095BC1" w:rsidP="00901DAA">
            <w:pPr>
              <w:widowControl w:val="0"/>
              <w:rPr>
                <w:rFonts w:ascii="Courier New" w:hAnsi="Courier New" w:cs="Courier New"/>
                <w:sz w:val="20"/>
                <w:szCs w:val="20"/>
              </w:rPr>
            </w:pPr>
            <w:r w:rsidRPr="00EA6F91">
              <w:rPr>
                <w:rFonts w:ascii="Courier New" w:hAnsi="Courier New" w:cs="Courier New"/>
                <w:sz w:val="20"/>
                <w:szCs w:val="20"/>
              </w:rPr>
              <w:t>G. Ammonia Manufacturing</w:t>
            </w:r>
          </w:p>
        </w:tc>
        <w:tc>
          <w:tcPr>
            <w:tcW w:w="6788" w:type="dxa"/>
          </w:tcPr>
          <w:p w:rsidR="00095BC1" w:rsidRPr="00EA6F91" w:rsidRDefault="00095BC1" w:rsidP="00901DAA">
            <w:pPr>
              <w:widowControl w:val="0"/>
              <w:rPr>
                <w:rFonts w:ascii="Courier New" w:hAnsi="Courier New" w:cs="Courier New"/>
                <w:sz w:val="20"/>
                <w:szCs w:val="20"/>
              </w:rPr>
            </w:pPr>
            <w:r w:rsidRPr="00EA6F91">
              <w:rPr>
                <w:rFonts w:ascii="Courier New" w:hAnsi="Courier New" w:cs="Courier New"/>
                <w:sz w:val="20"/>
                <w:szCs w:val="20"/>
              </w:rPr>
              <w:t>325311 Anhydrous and aqueous ammonia manufacturing facilities</w:t>
            </w:r>
          </w:p>
        </w:tc>
      </w:tr>
      <w:tr w:rsidR="00095BC1" w:rsidRPr="00EA6F91" w:rsidTr="00085A6A">
        <w:trPr>
          <w:cantSplit/>
          <w:jc w:val="center"/>
        </w:trPr>
        <w:tc>
          <w:tcPr>
            <w:tcW w:w="2554" w:type="dxa"/>
          </w:tcPr>
          <w:p w:rsidR="00095BC1" w:rsidRPr="00EA6F91" w:rsidRDefault="00095BC1" w:rsidP="00901DAA">
            <w:pPr>
              <w:widowControl w:val="0"/>
              <w:rPr>
                <w:rFonts w:ascii="Courier New" w:hAnsi="Courier New" w:cs="Courier New"/>
                <w:sz w:val="20"/>
                <w:szCs w:val="20"/>
              </w:rPr>
            </w:pPr>
            <w:r w:rsidRPr="00EA6F91">
              <w:rPr>
                <w:rFonts w:ascii="Courier New" w:hAnsi="Courier New" w:cs="Courier New"/>
                <w:sz w:val="20"/>
                <w:szCs w:val="20"/>
              </w:rPr>
              <w:t>H. Cement Production</w:t>
            </w:r>
          </w:p>
        </w:tc>
        <w:tc>
          <w:tcPr>
            <w:tcW w:w="6788" w:type="dxa"/>
          </w:tcPr>
          <w:p w:rsidR="00095BC1" w:rsidRPr="00EA6F91" w:rsidRDefault="00095BC1" w:rsidP="00901DAA">
            <w:pPr>
              <w:widowControl w:val="0"/>
              <w:rPr>
                <w:rFonts w:ascii="Courier New" w:hAnsi="Courier New" w:cs="Courier New"/>
                <w:sz w:val="20"/>
                <w:szCs w:val="20"/>
              </w:rPr>
            </w:pPr>
            <w:r w:rsidRPr="00EA6F91">
              <w:rPr>
                <w:rFonts w:ascii="Courier New" w:hAnsi="Courier New" w:cs="Courier New"/>
                <w:sz w:val="20"/>
                <w:szCs w:val="20"/>
              </w:rPr>
              <w:t xml:space="preserve">327310 </w:t>
            </w:r>
            <w:r w:rsidR="001238AF" w:rsidRPr="00EA6F91">
              <w:rPr>
                <w:rFonts w:ascii="Courier New" w:hAnsi="Courier New" w:cs="Courier New"/>
                <w:sz w:val="20"/>
                <w:szCs w:val="20"/>
              </w:rPr>
              <w:t>Portland Cement manufacturing plants</w:t>
            </w:r>
          </w:p>
        </w:tc>
      </w:tr>
      <w:tr w:rsidR="00BF0364" w:rsidRPr="00EA6F91" w:rsidTr="00085A6A">
        <w:trPr>
          <w:cantSplit/>
          <w:jc w:val="center"/>
        </w:trPr>
        <w:tc>
          <w:tcPr>
            <w:tcW w:w="2554" w:type="dxa"/>
          </w:tcPr>
          <w:p w:rsidR="00BF0364" w:rsidRPr="00EA6F91" w:rsidRDefault="00BF0364" w:rsidP="00901DAA">
            <w:pPr>
              <w:widowControl w:val="0"/>
              <w:rPr>
                <w:rFonts w:ascii="Courier New" w:hAnsi="Courier New" w:cs="Courier New"/>
                <w:sz w:val="20"/>
                <w:szCs w:val="20"/>
              </w:rPr>
            </w:pPr>
            <w:r w:rsidRPr="00EA6F91">
              <w:rPr>
                <w:rFonts w:ascii="Courier New" w:hAnsi="Courier New" w:cs="Courier New"/>
                <w:sz w:val="20"/>
                <w:szCs w:val="20"/>
              </w:rPr>
              <w:t>K. Ferroalloy Production</w:t>
            </w:r>
          </w:p>
        </w:tc>
        <w:tc>
          <w:tcPr>
            <w:tcW w:w="6788" w:type="dxa"/>
          </w:tcPr>
          <w:p w:rsidR="00BF0364" w:rsidRPr="00EA6F91" w:rsidRDefault="00BF0364" w:rsidP="00901DAA">
            <w:pPr>
              <w:widowControl w:val="0"/>
              <w:rPr>
                <w:rFonts w:ascii="Courier New" w:hAnsi="Courier New" w:cs="Courier New"/>
                <w:sz w:val="20"/>
                <w:szCs w:val="20"/>
              </w:rPr>
            </w:pPr>
            <w:r w:rsidRPr="00EA6F91">
              <w:rPr>
                <w:rFonts w:ascii="Courier New" w:hAnsi="Courier New" w:cs="Courier New"/>
                <w:sz w:val="20"/>
                <w:szCs w:val="20"/>
              </w:rPr>
              <w:t>331112 Ferroalloys manufacturing facilities</w:t>
            </w:r>
          </w:p>
        </w:tc>
      </w:tr>
      <w:tr w:rsidR="00BF0364" w:rsidRPr="00EA6F91" w:rsidTr="00085A6A">
        <w:trPr>
          <w:cantSplit/>
          <w:jc w:val="center"/>
        </w:trPr>
        <w:tc>
          <w:tcPr>
            <w:tcW w:w="2554" w:type="dxa"/>
          </w:tcPr>
          <w:p w:rsidR="00BF0364" w:rsidRPr="00EA6F91" w:rsidRDefault="00BF0364" w:rsidP="00901DAA">
            <w:pPr>
              <w:widowControl w:val="0"/>
              <w:rPr>
                <w:rFonts w:ascii="Courier New" w:hAnsi="Courier New" w:cs="Courier New"/>
                <w:sz w:val="20"/>
                <w:szCs w:val="20"/>
              </w:rPr>
            </w:pPr>
            <w:r w:rsidRPr="00EA6F91">
              <w:rPr>
                <w:rFonts w:ascii="Courier New" w:hAnsi="Courier New" w:cs="Courier New"/>
                <w:sz w:val="20"/>
                <w:szCs w:val="20"/>
              </w:rPr>
              <w:t>L</w:t>
            </w:r>
            <w:r w:rsidR="002C652C" w:rsidRPr="00EA6F91">
              <w:rPr>
                <w:rFonts w:ascii="Courier New" w:hAnsi="Courier New" w:cs="Courier New"/>
                <w:sz w:val="20"/>
                <w:szCs w:val="20"/>
              </w:rPr>
              <w:t xml:space="preserve">. </w:t>
            </w:r>
            <w:r w:rsidRPr="00EA6F91">
              <w:rPr>
                <w:rFonts w:ascii="Courier New" w:hAnsi="Courier New" w:cs="Courier New"/>
                <w:sz w:val="20"/>
                <w:szCs w:val="20"/>
              </w:rPr>
              <w:t>Fluorinated GHG Production</w:t>
            </w:r>
          </w:p>
        </w:tc>
        <w:tc>
          <w:tcPr>
            <w:tcW w:w="6788" w:type="dxa"/>
          </w:tcPr>
          <w:p w:rsidR="00BF0364" w:rsidRPr="00EA6F91" w:rsidRDefault="00BF0364" w:rsidP="00901DAA">
            <w:pPr>
              <w:widowControl w:val="0"/>
              <w:rPr>
                <w:rFonts w:ascii="Courier New" w:hAnsi="Courier New" w:cs="Courier New"/>
                <w:sz w:val="20"/>
                <w:szCs w:val="20"/>
              </w:rPr>
            </w:pPr>
            <w:r w:rsidRPr="00EA6F91">
              <w:rPr>
                <w:rFonts w:ascii="Courier New" w:hAnsi="Courier New" w:cs="Courier New"/>
                <w:sz w:val="20"/>
                <w:szCs w:val="20"/>
              </w:rPr>
              <w:t>325120 Industrial gases manufacturing facilities</w:t>
            </w:r>
          </w:p>
        </w:tc>
      </w:tr>
      <w:tr w:rsidR="00BF0364" w:rsidRPr="00EA6F91" w:rsidTr="00085A6A">
        <w:trPr>
          <w:cantSplit/>
          <w:jc w:val="center"/>
        </w:trPr>
        <w:tc>
          <w:tcPr>
            <w:tcW w:w="2554" w:type="dxa"/>
          </w:tcPr>
          <w:p w:rsidR="00BF0364" w:rsidRPr="00EA6F91" w:rsidRDefault="00BF0364" w:rsidP="00901DAA">
            <w:pPr>
              <w:widowControl w:val="0"/>
              <w:rPr>
                <w:rFonts w:ascii="Courier New" w:hAnsi="Courier New" w:cs="Courier New"/>
                <w:sz w:val="20"/>
                <w:szCs w:val="20"/>
              </w:rPr>
            </w:pPr>
            <w:r w:rsidRPr="00EA6F91">
              <w:rPr>
                <w:rFonts w:ascii="Courier New" w:hAnsi="Courier New" w:cs="Courier New"/>
                <w:sz w:val="20"/>
                <w:szCs w:val="20"/>
              </w:rPr>
              <w:t>N. Glass Production</w:t>
            </w:r>
          </w:p>
        </w:tc>
        <w:tc>
          <w:tcPr>
            <w:tcW w:w="6788" w:type="dxa"/>
          </w:tcPr>
          <w:p w:rsidR="00BF0364" w:rsidRPr="00EA6F91" w:rsidRDefault="00BF0364" w:rsidP="00901DAA">
            <w:pPr>
              <w:widowControl w:val="0"/>
              <w:rPr>
                <w:rFonts w:ascii="Courier New" w:hAnsi="Courier New" w:cs="Courier New"/>
                <w:sz w:val="20"/>
                <w:szCs w:val="20"/>
              </w:rPr>
            </w:pPr>
            <w:r w:rsidRPr="00EA6F91">
              <w:rPr>
                <w:rFonts w:ascii="Courier New" w:hAnsi="Courier New" w:cs="Courier New"/>
                <w:sz w:val="20"/>
                <w:szCs w:val="20"/>
              </w:rPr>
              <w:t>327211 Flat glass manufacturing facilities; 327213 Glass container manufacturing facilities; 327212 Other pressed and blown glass and glassware manufacturing facilities</w:t>
            </w:r>
          </w:p>
        </w:tc>
      </w:tr>
      <w:tr w:rsidR="00BF0364" w:rsidRPr="00EA6F91" w:rsidTr="00085A6A">
        <w:trPr>
          <w:cantSplit/>
          <w:jc w:val="center"/>
        </w:trPr>
        <w:tc>
          <w:tcPr>
            <w:tcW w:w="2554" w:type="dxa"/>
          </w:tcPr>
          <w:p w:rsidR="00BF0364" w:rsidRPr="00EA6F91" w:rsidRDefault="00BF0364" w:rsidP="00901DAA">
            <w:pPr>
              <w:widowControl w:val="0"/>
              <w:rPr>
                <w:rFonts w:ascii="Courier New" w:hAnsi="Courier New" w:cs="Courier New"/>
                <w:sz w:val="20"/>
                <w:szCs w:val="20"/>
              </w:rPr>
            </w:pPr>
            <w:r w:rsidRPr="00EA6F91">
              <w:rPr>
                <w:rFonts w:ascii="Courier New" w:hAnsi="Courier New" w:cs="Courier New"/>
                <w:sz w:val="20"/>
                <w:szCs w:val="20"/>
              </w:rPr>
              <w:t>O. HCFC-22 Production and HFC-23 Destruction</w:t>
            </w:r>
          </w:p>
        </w:tc>
        <w:tc>
          <w:tcPr>
            <w:tcW w:w="6788" w:type="dxa"/>
          </w:tcPr>
          <w:p w:rsidR="00BF0364" w:rsidRPr="00EA6F91" w:rsidRDefault="00BF0364" w:rsidP="00901DAA">
            <w:pPr>
              <w:widowControl w:val="0"/>
              <w:rPr>
                <w:rFonts w:ascii="Courier New" w:hAnsi="Courier New" w:cs="Courier New"/>
                <w:sz w:val="20"/>
                <w:szCs w:val="20"/>
              </w:rPr>
            </w:pPr>
            <w:r w:rsidRPr="00EA6F91">
              <w:rPr>
                <w:rFonts w:ascii="Courier New" w:hAnsi="Courier New" w:cs="Courier New"/>
                <w:sz w:val="20"/>
                <w:szCs w:val="20"/>
              </w:rPr>
              <w:t>325120 Chlorodifluoromethane manufacturing facilities</w:t>
            </w:r>
          </w:p>
        </w:tc>
      </w:tr>
      <w:tr w:rsidR="00BF0364" w:rsidRPr="00EA6F91" w:rsidTr="00085A6A">
        <w:trPr>
          <w:cantSplit/>
          <w:jc w:val="center"/>
        </w:trPr>
        <w:tc>
          <w:tcPr>
            <w:tcW w:w="2554" w:type="dxa"/>
          </w:tcPr>
          <w:p w:rsidR="00BF0364" w:rsidRPr="00EA6F91" w:rsidRDefault="00BF0364" w:rsidP="00901DAA">
            <w:pPr>
              <w:widowControl w:val="0"/>
              <w:rPr>
                <w:rFonts w:ascii="Courier New" w:hAnsi="Courier New" w:cs="Courier New"/>
                <w:sz w:val="20"/>
                <w:szCs w:val="20"/>
              </w:rPr>
            </w:pPr>
            <w:r w:rsidRPr="00EA6F91">
              <w:rPr>
                <w:rFonts w:ascii="Courier New" w:hAnsi="Courier New" w:cs="Courier New"/>
                <w:sz w:val="20"/>
                <w:szCs w:val="20"/>
              </w:rPr>
              <w:t>P. Hydrogen Production</w:t>
            </w:r>
          </w:p>
        </w:tc>
        <w:tc>
          <w:tcPr>
            <w:tcW w:w="6788" w:type="dxa"/>
          </w:tcPr>
          <w:p w:rsidR="00BF0364" w:rsidRPr="00EA6F91" w:rsidRDefault="00BF0364" w:rsidP="00901DAA">
            <w:pPr>
              <w:widowControl w:val="0"/>
              <w:rPr>
                <w:rFonts w:ascii="Courier New" w:hAnsi="Courier New" w:cs="Courier New"/>
                <w:sz w:val="20"/>
                <w:szCs w:val="20"/>
              </w:rPr>
            </w:pPr>
            <w:r w:rsidRPr="00EA6F91">
              <w:rPr>
                <w:rFonts w:ascii="Courier New" w:hAnsi="Courier New" w:cs="Courier New"/>
                <w:sz w:val="20"/>
                <w:szCs w:val="20"/>
              </w:rPr>
              <w:t>325120 Hydrogen manufacturing facilities</w:t>
            </w:r>
          </w:p>
        </w:tc>
      </w:tr>
      <w:tr w:rsidR="00BF0364" w:rsidRPr="00EA6F91" w:rsidTr="00085A6A">
        <w:trPr>
          <w:cantSplit/>
          <w:jc w:val="center"/>
        </w:trPr>
        <w:tc>
          <w:tcPr>
            <w:tcW w:w="2554" w:type="dxa"/>
          </w:tcPr>
          <w:p w:rsidR="00BF0364" w:rsidRPr="00EA6F91" w:rsidRDefault="00BF0364" w:rsidP="00901DAA">
            <w:pPr>
              <w:widowControl w:val="0"/>
              <w:rPr>
                <w:rFonts w:ascii="Courier New" w:hAnsi="Courier New" w:cs="Courier New"/>
                <w:sz w:val="20"/>
                <w:szCs w:val="20"/>
              </w:rPr>
            </w:pPr>
            <w:r w:rsidRPr="00EA6F91">
              <w:rPr>
                <w:rFonts w:ascii="Courier New" w:hAnsi="Courier New" w:cs="Courier New"/>
                <w:sz w:val="20"/>
                <w:szCs w:val="20"/>
              </w:rPr>
              <w:lastRenderedPageBreak/>
              <w:t>Q. Iron and Steel Production</w:t>
            </w:r>
          </w:p>
        </w:tc>
        <w:tc>
          <w:tcPr>
            <w:tcW w:w="6788" w:type="dxa"/>
          </w:tcPr>
          <w:p w:rsidR="00BF0364" w:rsidRPr="00EA6F91" w:rsidRDefault="00BF0364" w:rsidP="00901DAA">
            <w:pPr>
              <w:widowControl w:val="0"/>
              <w:rPr>
                <w:rFonts w:ascii="Courier New" w:hAnsi="Courier New" w:cs="Courier New"/>
                <w:sz w:val="20"/>
                <w:szCs w:val="20"/>
              </w:rPr>
            </w:pPr>
            <w:r w:rsidRPr="00EA6F91">
              <w:rPr>
                <w:rFonts w:ascii="Courier New" w:hAnsi="Courier New" w:cs="Courier New"/>
                <w:sz w:val="20"/>
                <w:szCs w:val="20"/>
              </w:rPr>
              <w:t>331111 Integrated iron and steel mills, steel companies, sinter plants, blast furnaces, basic oxygen process furnace (BOPF) shops</w:t>
            </w:r>
          </w:p>
        </w:tc>
      </w:tr>
      <w:tr w:rsidR="00BF0364" w:rsidRPr="00EA6F91" w:rsidTr="00085A6A">
        <w:trPr>
          <w:cantSplit/>
          <w:jc w:val="center"/>
        </w:trPr>
        <w:tc>
          <w:tcPr>
            <w:tcW w:w="2554" w:type="dxa"/>
          </w:tcPr>
          <w:p w:rsidR="00BF0364" w:rsidRPr="00EA6F91" w:rsidRDefault="00BF0364" w:rsidP="00901DAA">
            <w:pPr>
              <w:widowControl w:val="0"/>
              <w:rPr>
                <w:rFonts w:ascii="Courier New" w:hAnsi="Courier New" w:cs="Courier New"/>
                <w:sz w:val="20"/>
                <w:szCs w:val="20"/>
              </w:rPr>
            </w:pPr>
            <w:r w:rsidRPr="00EA6F91">
              <w:rPr>
                <w:rFonts w:ascii="Courier New" w:hAnsi="Courier New" w:cs="Courier New"/>
                <w:sz w:val="20"/>
                <w:szCs w:val="20"/>
              </w:rPr>
              <w:t>R. Lead Production</w:t>
            </w:r>
          </w:p>
        </w:tc>
        <w:tc>
          <w:tcPr>
            <w:tcW w:w="6788" w:type="dxa"/>
          </w:tcPr>
          <w:p w:rsidR="00BF0364" w:rsidRPr="00EA6F91" w:rsidRDefault="00BF0364" w:rsidP="00901DAA">
            <w:pPr>
              <w:widowControl w:val="0"/>
              <w:rPr>
                <w:rFonts w:ascii="Courier New" w:hAnsi="Courier New" w:cs="Courier New"/>
                <w:sz w:val="20"/>
                <w:szCs w:val="20"/>
              </w:rPr>
            </w:pPr>
            <w:r w:rsidRPr="00EA6F91">
              <w:rPr>
                <w:rFonts w:ascii="Courier New" w:hAnsi="Courier New" w:cs="Courier New"/>
                <w:sz w:val="20"/>
                <w:szCs w:val="20"/>
              </w:rPr>
              <w:t>331419 Primary lead smelting and refining facilities; 331492 Secondary lead smelting and refining facilities</w:t>
            </w:r>
          </w:p>
        </w:tc>
      </w:tr>
      <w:tr w:rsidR="00BF0364" w:rsidRPr="00EA6F91" w:rsidTr="00085A6A">
        <w:trPr>
          <w:cantSplit/>
          <w:jc w:val="center"/>
        </w:trPr>
        <w:tc>
          <w:tcPr>
            <w:tcW w:w="2554" w:type="dxa"/>
          </w:tcPr>
          <w:p w:rsidR="00BF0364" w:rsidRPr="00EA6F91" w:rsidRDefault="00BF0364" w:rsidP="00901DAA">
            <w:pPr>
              <w:widowControl w:val="0"/>
              <w:rPr>
                <w:rFonts w:ascii="Courier New" w:hAnsi="Courier New" w:cs="Courier New"/>
                <w:sz w:val="20"/>
                <w:szCs w:val="20"/>
              </w:rPr>
            </w:pPr>
            <w:r w:rsidRPr="00EA6F91">
              <w:rPr>
                <w:rFonts w:ascii="Courier New" w:hAnsi="Courier New" w:cs="Courier New"/>
                <w:sz w:val="20"/>
                <w:szCs w:val="20"/>
              </w:rPr>
              <w:t>S. Lime Manufacturing</w:t>
            </w:r>
          </w:p>
        </w:tc>
        <w:tc>
          <w:tcPr>
            <w:tcW w:w="6788" w:type="dxa"/>
          </w:tcPr>
          <w:p w:rsidR="00BF0364" w:rsidRPr="00EA6F91" w:rsidRDefault="00BF0364" w:rsidP="00901DAA">
            <w:pPr>
              <w:widowControl w:val="0"/>
              <w:rPr>
                <w:rFonts w:ascii="Courier New" w:hAnsi="Courier New" w:cs="Courier New"/>
                <w:sz w:val="20"/>
                <w:szCs w:val="20"/>
              </w:rPr>
            </w:pPr>
            <w:r w:rsidRPr="00EA6F91">
              <w:rPr>
                <w:rFonts w:ascii="Courier New" w:hAnsi="Courier New" w:cs="Courier New"/>
                <w:sz w:val="20"/>
                <w:szCs w:val="20"/>
              </w:rPr>
              <w:t>327410 Calcium oxide, calcium hydroxide, dolomitic hydrates manufacturing facilities</w:t>
            </w:r>
          </w:p>
        </w:tc>
      </w:tr>
      <w:tr w:rsidR="00BF0364" w:rsidRPr="00EA6F91" w:rsidTr="00085A6A">
        <w:trPr>
          <w:cantSplit/>
          <w:jc w:val="center"/>
        </w:trPr>
        <w:tc>
          <w:tcPr>
            <w:tcW w:w="2554" w:type="dxa"/>
          </w:tcPr>
          <w:p w:rsidR="00BF0364" w:rsidRPr="00EA6F91" w:rsidRDefault="00BF0364" w:rsidP="00901DAA">
            <w:pPr>
              <w:widowControl w:val="0"/>
              <w:rPr>
                <w:rFonts w:ascii="Courier New" w:hAnsi="Courier New" w:cs="Courier New"/>
                <w:sz w:val="20"/>
                <w:szCs w:val="20"/>
              </w:rPr>
            </w:pPr>
            <w:r w:rsidRPr="00EA6F91">
              <w:rPr>
                <w:rFonts w:ascii="Courier New" w:hAnsi="Courier New" w:cs="Courier New"/>
                <w:sz w:val="20"/>
                <w:szCs w:val="20"/>
              </w:rPr>
              <w:t>U. Miscellaneous Uses of Carbonate</w:t>
            </w:r>
          </w:p>
        </w:tc>
        <w:tc>
          <w:tcPr>
            <w:tcW w:w="6788" w:type="dxa"/>
          </w:tcPr>
          <w:p w:rsidR="00BF0364" w:rsidRPr="00EA6F91" w:rsidRDefault="00BF0364" w:rsidP="00901DAA">
            <w:pPr>
              <w:widowControl w:val="0"/>
              <w:rPr>
                <w:rFonts w:ascii="Courier New" w:hAnsi="Courier New" w:cs="Courier New"/>
                <w:sz w:val="20"/>
                <w:szCs w:val="20"/>
              </w:rPr>
            </w:pPr>
            <w:r w:rsidRPr="00EA6F91">
              <w:rPr>
                <w:rFonts w:ascii="Courier New" w:hAnsi="Courier New" w:cs="Courier New"/>
                <w:sz w:val="20"/>
                <w:szCs w:val="20"/>
              </w:rPr>
              <w:t>Facilities included elsewhere</w:t>
            </w:r>
          </w:p>
        </w:tc>
      </w:tr>
      <w:tr w:rsidR="00BF0364" w:rsidRPr="00EA6F91" w:rsidTr="00085A6A">
        <w:trPr>
          <w:cantSplit/>
          <w:jc w:val="center"/>
        </w:trPr>
        <w:tc>
          <w:tcPr>
            <w:tcW w:w="2554" w:type="dxa"/>
          </w:tcPr>
          <w:p w:rsidR="00BF0364" w:rsidRPr="00EA6F91" w:rsidRDefault="00BF0364" w:rsidP="00901DAA">
            <w:pPr>
              <w:widowControl w:val="0"/>
              <w:rPr>
                <w:rFonts w:ascii="Courier New" w:hAnsi="Courier New" w:cs="Courier New"/>
                <w:sz w:val="20"/>
                <w:szCs w:val="20"/>
              </w:rPr>
            </w:pPr>
            <w:r w:rsidRPr="00EA6F91">
              <w:rPr>
                <w:rFonts w:ascii="Courier New" w:hAnsi="Courier New" w:cs="Courier New"/>
                <w:sz w:val="20"/>
                <w:szCs w:val="20"/>
              </w:rPr>
              <w:t>V. Nitric Acid Production</w:t>
            </w:r>
          </w:p>
        </w:tc>
        <w:tc>
          <w:tcPr>
            <w:tcW w:w="6788" w:type="dxa"/>
          </w:tcPr>
          <w:p w:rsidR="00BF0364" w:rsidRPr="00EA6F91" w:rsidRDefault="00BF0364" w:rsidP="00901DAA">
            <w:pPr>
              <w:widowControl w:val="0"/>
              <w:rPr>
                <w:rFonts w:ascii="Courier New" w:hAnsi="Courier New" w:cs="Courier New"/>
                <w:sz w:val="20"/>
                <w:szCs w:val="20"/>
              </w:rPr>
            </w:pPr>
            <w:r w:rsidRPr="00EA6F91">
              <w:rPr>
                <w:rFonts w:ascii="Courier New" w:hAnsi="Courier New" w:cs="Courier New"/>
                <w:sz w:val="20"/>
                <w:szCs w:val="20"/>
              </w:rPr>
              <w:t>325311 Nitric acid manufacturing facilities</w:t>
            </w:r>
          </w:p>
        </w:tc>
      </w:tr>
      <w:tr w:rsidR="00390C9C" w:rsidRPr="00EA6F91" w:rsidTr="00085A6A">
        <w:trPr>
          <w:cantSplit/>
          <w:jc w:val="center"/>
        </w:trPr>
        <w:tc>
          <w:tcPr>
            <w:tcW w:w="2554" w:type="dxa"/>
          </w:tcPr>
          <w:p w:rsidR="00390C9C" w:rsidRPr="00390C9C" w:rsidRDefault="00390C9C" w:rsidP="00901DAA">
            <w:pPr>
              <w:widowControl w:val="0"/>
              <w:rPr>
                <w:rFonts w:ascii="Courier New" w:hAnsi="Courier New" w:cs="Courier New"/>
                <w:sz w:val="20"/>
                <w:szCs w:val="20"/>
              </w:rPr>
            </w:pPr>
            <w:r w:rsidRPr="00390C9C">
              <w:rPr>
                <w:rFonts w:ascii="Courier New" w:hAnsi="Courier New" w:cs="Courier New"/>
                <w:sz w:val="20"/>
                <w:szCs w:val="20"/>
              </w:rPr>
              <w:t xml:space="preserve">W. Petroleum and Natural Gas Systems </w:t>
            </w:r>
            <w:r w:rsidRPr="00390C9C">
              <w:rPr>
                <w:rFonts w:ascii="Courier New" w:hAnsi="Courier New" w:cs="Courier New"/>
                <w:sz w:val="20"/>
                <w:szCs w:val="20"/>
                <w:vertAlign w:val="superscript"/>
              </w:rPr>
              <w:t>1</w:t>
            </w:r>
          </w:p>
        </w:tc>
        <w:tc>
          <w:tcPr>
            <w:tcW w:w="6788" w:type="dxa"/>
          </w:tcPr>
          <w:p w:rsidR="00390C9C" w:rsidRPr="00390C9C" w:rsidRDefault="00390C9C" w:rsidP="00390C9C">
            <w:pPr>
              <w:widowControl w:val="0"/>
              <w:rPr>
                <w:rFonts w:ascii="Courier New" w:hAnsi="Courier New" w:cs="Courier New"/>
                <w:sz w:val="20"/>
                <w:szCs w:val="20"/>
              </w:rPr>
            </w:pPr>
            <w:r w:rsidRPr="00390C9C">
              <w:rPr>
                <w:rFonts w:ascii="Courier New" w:hAnsi="Courier New" w:cs="Courier New"/>
                <w:sz w:val="20"/>
                <w:szCs w:val="20"/>
              </w:rPr>
              <w:t>Pipeline transportation of natural gas, natural gas distribution facilities, extractors of crude petroleum and natural gas, natural gas liquid extraction facilities</w:t>
            </w:r>
          </w:p>
        </w:tc>
      </w:tr>
      <w:tr w:rsidR="00BF0364" w:rsidRPr="00EA6F91" w:rsidTr="00085A6A">
        <w:trPr>
          <w:cantSplit/>
          <w:jc w:val="center"/>
        </w:trPr>
        <w:tc>
          <w:tcPr>
            <w:tcW w:w="2554" w:type="dxa"/>
          </w:tcPr>
          <w:p w:rsidR="00BF0364" w:rsidRPr="00EA6F91" w:rsidRDefault="00BF0364" w:rsidP="00901DAA">
            <w:pPr>
              <w:widowControl w:val="0"/>
              <w:rPr>
                <w:rFonts w:ascii="Courier New" w:hAnsi="Courier New" w:cs="Courier New"/>
                <w:sz w:val="20"/>
                <w:szCs w:val="20"/>
              </w:rPr>
            </w:pPr>
            <w:r w:rsidRPr="00EA6F91">
              <w:rPr>
                <w:rFonts w:ascii="Courier New" w:hAnsi="Courier New" w:cs="Courier New"/>
                <w:sz w:val="20"/>
                <w:szCs w:val="20"/>
              </w:rPr>
              <w:t>X. Petrochemical Production</w:t>
            </w:r>
          </w:p>
        </w:tc>
        <w:tc>
          <w:tcPr>
            <w:tcW w:w="6788" w:type="dxa"/>
          </w:tcPr>
          <w:p w:rsidR="00BF0364" w:rsidRPr="00EA6F91" w:rsidRDefault="00BF0364" w:rsidP="00901DAA">
            <w:pPr>
              <w:widowControl w:val="0"/>
              <w:rPr>
                <w:rFonts w:ascii="Courier New" w:hAnsi="Courier New" w:cs="Courier New"/>
                <w:sz w:val="20"/>
                <w:szCs w:val="20"/>
              </w:rPr>
            </w:pPr>
            <w:r w:rsidRPr="00EA6F91">
              <w:rPr>
                <w:rFonts w:ascii="Courier New" w:hAnsi="Courier New" w:cs="Courier New"/>
                <w:sz w:val="20"/>
                <w:szCs w:val="20"/>
              </w:rPr>
              <w:t>32511 Ethylene dichloride manufacturing facilities; 325199 Acrylonitrile, ethylene oxide, methanol manufacturing facilities; 325110 Ethylene manufacturing facilities; 325182 Carbon black manufacturing facilities</w:t>
            </w:r>
          </w:p>
        </w:tc>
      </w:tr>
      <w:tr w:rsidR="00BF0364" w:rsidRPr="00EA6F91" w:rsidTr="00085A6A">
        <w:trPr>
          <w:cantSplit/>
          <w:jc w:val="center"/>
        </w:trPr>
        <w:tc>
          <w:tcPr>
            <w:tcW w:w="2554" w:type="dxa"/>
          </w:tcPr>
          <w:p w:rsidR="00BF0364" w:rsidRPr="00EA6F91" w:rsidRDefault="00BF0364" w:rsidP="00901DAA">
            <w:pPr>
              <w:widowControl w:val="0"/>
              <w:rPr>
                <w:rFonts w:ascii="Courier New" w:hAnsi="Courier New" w:cs="Courier New"/>
                <w:sz w:val="20"/>
                <w:szCs w:val="20"/>
              </w:rPr>
            </w:pPr>
            <w:r w:rsidRPr="00EA6F91">
              <w:rPr>
                <w:rFonts w:ascii="Courier New" w:hAnsi="Courier New" w:cs="Courier New"/>
                <w:sz w:val="20"/>
                <w:szCs w:val="20"/>
              </w:rPr>
              <w:t>Y. Petroleum Refineries</w:t>
            </w:r>
          </w:p>
        </w:tc>
        <w:tc>
          <w:tcPr>
            <w:tcW w:w="6788" w:type="dxa"/>
          </w:tcPr>
          <w:p w:rsidR="00BF0364" w:rsidRPr="00EA6F91" w:rsidRDefault="00BF0364" w:rsidP="00901DAA">
            <w:pPr>
              <w:widowControl w:val="0"/>
              <w:rPr>
                <w:rFonts w:ascii="Courier New" w:hAnsi="Courier New" w:cs="Courier New"/>
                <w:sz w:val="20"/>
                <w:szCs w:val="20"/>
              </w:rPr>
            </w:pPr>
            <w:r w:rsidRPr="00EA6F91">
              <w:rPr>
                <w:rFonts w:ascii="Courier New" w:hAnsi="Courier New" w:cs="Courier New"/>
                <w:sz w:val="20"/>
                <w:szCs w:val="20"/>
              </w:rPr>
              <w:t>324110 Petroleum refineries</w:t>
            </w:r>
          </w:p>
        </w:tc>
      </w:tr>
      <w:tr w:rsidR="00BF0364" w:rsidRPr="00EA6F91" w:rsidTr="00085A6A">
        <w:trPr>
          <w:cantSplit/>
          <w:jc w:val="center"/>
        </w:trPr>
        <w:tc>
          <w:tcPr>
            <w:tcW w:w="2554" w:type="dxa"/>
          </w:tcPr>
          <w:p w:rsidR="00BF0364" w:rsidRPr="00EA6F91" w:rsidRDefault="00BF0364" w:rsidP="00901DAA">
            <w:pPr>
              <w:widowControl w:val="0"/>
              <w:rPr>
                <w:rFonts w:ascii="Courier New" w:hAnsi="Courier New" w:cs="Courier New"/>
                <w:sz w:val="20"/>
                <w:szCs w:val="20"/>
              </w:rPr>
            </w:pPr>
            <w:r w:rsidRPr="00EA6F91">
              <w:rPr>
                <w:rFonts w:ascii="Courier New" w:hAnsi="Courier New" w:cs="Courier New"/>
                <w:sz w:val="20"/>
                <w:szCs w:val="20"/>
              </w:rPr>
              <w:t>Z. Phosphoric Acid Production</w:t>
            </w:r>
          </w:p>
        </w:tc>
        <w:tc>
          <w:tcPr>
            <w:tcW w:w="6788" w:type="dxa"/>
          </w:tcPr>
          <w:p w:rsidR="00BF0364" w:rsidRPr="00EA6F91" w:rsidRDefault="00BF0364" w:rsidP="00901DAA">
            <w:pPr>
              <w:widowControl w:val="0"/>
              <w:rPr>
                <w:rFonts w:ascii="Courier New" w:hAnsi="Courier New" w:cs="Courier New"/>
                <w:sz w:val="20"/>
                <w:szCs w:val="20"/>
              </w:rPr>
            </w:pPr>
            <w:r w:rsidRPr="00EA6F91">
              <w:rPr>
                <w:rFonts w:ascii="Courier New" w:hAnsi="Courier New" w:cs="Courier New"/>
                <w:sz w:val="20"/>
                <w:szCs w:val="20"/>
              </w:rPr>
              <w:t>325312 Phosphoric acid manufacturing facilities</w:t>
            </w:r>
          </w:p>
        </w:tc>
      </w:tr>
      <w:tr w:rsidR="00BF0364" w:rsidRPr="00EA6F91" w:rsidTr="00085A6A">
        <w:trPr>
          <w:cantSplit/>
          <w:jc w:val="center"/>
        </w:trPr>
        <w:tc>
          <w:tcPr>
            <w:tcW w:w="2554" w:type="dxa"/>
          </w:tcPr>
          <w:p w:rsidR="00BF0364" w:rsidRPr="00EA6F91" w:rsidRDefault="00BF0364" w:rsidP="00901DAA">
            <w:pPr>
              <w:widowControl w:val="0"/>
              <w:rPr>
                <w:rFonts w:ascii="Courier New" w:hAnsi="Courier New" w:cs="Courier New"/>
                <w:sz w:val="20"/>
                <w:szCs w:val="20"/>
              </w:rPr>
            </w:pPr>
            <w:r w:rsidRPr="00EA6F91">
              <w:rPr>
                <w:rFonts w:ascii="Courier New" w:hAnsi="Courier New" w:cs="Courier New"/>
                <w:sz w:val="20"/>
                <w:szCs w:val="20"/>
              </w:rPr>
              <w:t>AA. Pulp and Paper Manufacturing</w:t>
            </w:r>
          </w:p>
        </w:tc>
        <w:tc>
          <w:tcPr>
            <w:tcW w:w="6788" w:type="dxa"/>
          </w:tcPr>
          <w:p w:rsidR="00BF0364" w:rsidRPr="00EA6F91" w:rsidRDefault="00BF0364" w:rsidP="00901DAA">
            <w:pPr>
              <w:widowControl w:val="0"/>
              <w:rPr>
                <w:rFonts w:ascii="Courier New" w:hAnsi="Courier New" w:cs="Courier New"/>
                <w:sz w:val="20"/>
                <w:szCs w:val="20"/>
              </w:rPr>
            </w:pPr>
            <w:r w:rsidRPr="00EA6F91">
              <w:rPr>
                <w:rFonts w:ascii="Courier New" w:hAnsi="Courier New" w:cs="Courier New"/>
                <w:sz w:val="20"/>
                <w:szCs w:val="20"/>
              </w:rPr>
              <w:t>322110 Pulp mills; 322121 Paper mills; 322130 Paperboard mills</w:t>
            </w:r>
          </w:p>
        </w:tc>
      </w:tr>
      <w:tr w:rsidR="00BF0364" w:rsidRPr="00EA6F91" w:rsidTr="00085A6A">
        <w:trPr>
          <w:cantSplit/>
          <w:jc w:val="center"/>
        </w:trPr>
        <w:tc>
          <w:tcPr>
            <w:tcW w:w="2554" w:type="dxa"/>
          </w:tcPr>
          <w:p w:rsidR="00BF0364" w:rsidRPr="00EA6F91" w:rsidRDefault="00BF0364" w:rsidP="00901DAA">
            <w:pPr>
              <w:widowControl w:val="0"/>
              <w:rPr>
                <w:rFonts w:ascii="Courier New" w:hAnsi="Courier New" w:cs="Courier New"/>
                <w:sz w:val="20"/>
                <w:szCs w:val="20"/>
              </w:rPr>
            </w:pPr>
            <w:r w:rsidRPr="00EA6F91">
              <w:rPr>
                <w:rFonts w:ascii="Courier New" w:hAnsi="Courier New" w:cs="Courier New"/>
                <w:sz w:val="20"/>
                <w:szCs w:val="20"/>
              </w:rPr>
              <w:t>BB. Silicon Carbide Production</w:t>
            </w:r>
          </w:p>
        </w:tc>
        <w:tc>
          <w:tcPr>
            <w:tcW w:w="6788" w:type="dxa"/>
          </w:tcPr>
          <w:p w:rsidR="00BF0364" w:rsidRPr="00EA6F91" w:rsidRDefault="00BF0364" w:rsidP="00901DAA">
            <w:pPr>
              <w:widowControl w:val="0"/>
              <w:rPr>
                <w:rFonts w:ascii="Courier New" w:hAnsi="Courier New" w:cs="Courier New"/>
                <w:sz w:val="20"/>
                <w:szCs w:val="20"/>
              </w:rPr>
            </w:pPr>
            <w:r w:rsidRPr="00EA6F91">
              <w:rPr>
                <w:rFonts w:ascii="Courier New" w:hAnsi="Courier New" w:cs="Courier New"/>
                <w:sz w:val="20"/>
                <w:szCs w:val="20"/>
              </w:rPr>
              <w:t>327910 Silicon carbide abrasives manufacturing facilities</w:t>
            </w:r>
          </w:p>
        </w:tc>
      </w:tr>
      <w:tr w:rsidR="00BF0364" w:rsidRPr="00EA6F91" w:rsidTr="00085A6A">
        <w:trPr>
          <w:cantSplit/>
          <w:jc w:val="center"/>
        </w:trPr>
        <w:tc>
          <w:tcPr>
            <w:tcW w:w="2554" w:type="dxa"/>
          </w:tcPr>
          <w:p w:rsidR="00BF0364" w:rsidRPr="00EA6F91" w:rsidRDefault="00BF0364" w:rsidP="00901DAA">
            <w:pPr>
              <w:widowControl w:val="0"/>
              <w:rPr>
                <w:rFonts w:ascii="Courier New" w:hAnsi="Courier New" w:cs="Courier New"/>
                <w:sz w:val="20"/>
                <w:szCs w:val="20"/>
              </w:rPr>
            </w:pPr>
            <w:r w:rsidRPr="00EA6F91">
              <w:rPr>
                <w:rFonts w:ascii="Courier New" w:hAnsi="Courier New" w:cs="Courier New"/>
                <w:sz w:val="20"/>
                <w:szCs w:val="20"/>
              </w:rPr>
              <w:t>CC. Soda Ash Manufacturing</w:t>
            </w:r>
          </w:p>
        </w:tc>
        <w:tc>
          <w:tcPr>
            <w:tcW w:w="6788" w:type="dxa"/>
          </w:tcPr>
          <w:p w:rsidR="00BF0364" w:rsidRPr="00EA6F91" w:rsidRDefault="00BF0364" w:rsidP="00901DAA">
            <w:pPr>
              <w:widowControl w:val="0"/>
              <w:rPr>
                <w:rFonts w:ascii="Courier New" w:hAnsi="Courier New" w:cs="Courier New"/>
                <w:sz w:val="20"/>
                <w:szCs w:val="20"/>
              </w:rPr>
            </w:pPr>
            <w:r w:rsidRPr="00EA6F91">
              <w:rPr>
                <w:rFonts w:ascii="Courier New" w:hAnsi="Courier New" w:cs="Courier New"/>
                <w:sz w:val="20"/>
                <w:szCs w:val="20"/>
              </w:rPr>
              <w:t>325181 Alkalis and chlorine manufacturing facilities, 212391 Soda ash, natural, mining and/or beneficiation</w:t>
            </w:r>
          </w:p>
        </w:tc>
      </w:tr>
      <w:tr w:rsidR="00BF0364" w:rsidRPr="00EA6F91" w:rsidTr="00085A6A">
        <w:trPr>
          <w:cantSplit/>
          <w:jc w:val="center"/>
        </w:trPr>
        <w:tc>
          <w:tcPr>
            <w:tcW w:w="2554" w:type="dxa"/>
          </w:tcPr>
          <w:p w:rsidR="00BF0364" w:rsidRPr="00EA6F91" w:rsidRDefault="00BF0364" w:rsidP="00901DAA">
            <w:pPr>
              <w:widowControl w:val="0"/>
              <w:rPr>
                <w:rFonts w:ascii="Courier New" w:hAnsi="Courier New" w:cs="Courier New"/>
                <w:sz w:val="20"/>
                <w:szCs w:val="20"/>
              </w:rPr>
            </w:pPr>
            <w:r w:rsidRPr="00EA6F91">
              <w:rPr>
                <w:rFonts w:ascii="Courier New" w:hAnsi="Courier New" w:cs="Courier New"/>
                <w:sz w:val="20"/>
                <w:szCs w:val="20"/>
              </w:rPr>
              <w:t>EE. Titanium Dioxide Production</w:t>
            </w:r>
          </w:p>
        </w:tc>
        <w:tc>
          <w:tcPr>
            <w:tcW w:w="6788" w:type="dxa"/>
          </w:tcPr>
          <w:p w:rsidR="00BF0364" w:rsidRPr="00EA6F91" w:rsidRDefault="00BF0364" w:rsidP="00901DAA">
            <w:pPr>
              <w:widowControl w:val="0"/>
              <w:rPr>
                <w:rFonts w:ascii="Courier New" w:hAnsi="Courier New" w:cs="Courier New"/>
                <w:sz w:val="20"/>
                <w:szCs w:val="20"/>
              </w:rPr>
            </w:pPr>
            <w:r w:rsidRPr="00EA6F91">
              <w:rPr>
                <w:rFonts w:ascii="Courier New" w:hAnsi="Courier New" w:cs="Courier New"/>
                <w:sz w:val="20"/>
                <w:szCs w:val="20"/>
              </w:rPr>
              <w:t>325188 Titanium dioxide manufacturing facilities</w:t>
            </w:r>
          </w:p>
        </w:tc>
      </w:tr>
      <w:tr w:rsidR="00BF0364" w:rsidRPr="00EA6F91" w:rsidTr="00085A6A">
        <w:trPr>
          <w:cantSplit/>
          <w:jc w:val="center"/>
        </w:trPr>
        <w:tc>
          <w:tcPr>
            <w:tcW w:w="2554" w:type="dxa"/>
          </w:tcPr>
          <w:p w:rsidR="00BF0364" w:rsidRPr="00EA6F91" w:rsidRDefault="00BF0364" w:rsidP="00901DAA">
            <w:pPr>
              <w:widowControl w:val="0"/>
              <w:rPr>
                <w:rFonts w:ascii="Courier New" w:hAnsi="Courier New" w:cs="Courier New"/>
                <w:sz w:val="20"/>
                <w:szCs w:val="20"/>
              </w:rPr>
            </w:pPr>
            <w:r w:rsidRPr="00EA6F91">
              <w:rPr>
                <w:rFonts w:ascii="Courier New" w:hAnsi="Courier New" w:cs="Courier New"/>
                <w:sz w:val="20"/>
                <w:szCs w:val="20"/>
              </w:rPr>
              <w:t>GG. Zinc Production</w:t>
            </w:r>
          </w:p>
        </w:tc>
        <w:tc>
          <w:tcPr>
            <w:tcW w:w="6788" w:type="dxa"/>
          </w:tcPr>
          <w:p w:rsidR="00BF0364" w:rsidRPr="00EA6F91" w:rsidRDefault="00BF0364" w:rsidP="00901DAA">
            <w:pPr>
              <w:widowControl w:val="0"/>
              <w:rPr>
                <w:rFonts w:ascii="Courier New" w:hAnsi="Courier New" w:cs="Courier New"/>
                <w:sz w:val="20"/>
                <w:szCs w:val="20"/>
              </w:rPr>
            </w:pPr>
            <w:r w:rsidRPr="00EA6F91">
              <w:rPr>
                <w:rFonts w:ascii="Courier New" w:hAnsi="Courier New" w:cs="Courier New"/>
                <w:sz w:val="20"/>
                <w:szCs w:val="20"/>
              </w:rPr>
              <w:t>331419 Primary zinc refining facilities; 331492 Zinc dust reclaiming facilities, recovering from scrap and/or alloying purchased metals</w:t>
            </w:r>
          </w:p>
        </w:tc>
      </w:tr>
      <w:tr w:rsidR="00BF0364" w:rsidRPr="00EA6F91" w:rsidTr="00085A6A">
        <w:trPr>
          <w:cantSplit/>
          <w:jc w:val="center"/>
        </w:trPr>
        <w:tc>
          <w:tcPr>
            <w:tcW w:w="2554" w:type="dxa"/>
          </w:tcPr>
          <w:p w:rsidR="00BF0364" w:rsidRPr="00EA6F91" w:rsidRDefault="00717194" w:rsidP="00901DAA">
            <w:pPr>
              <w:widowControl w:val="0"/>
              <w:rPr>
                <w:rFonts w:ascii="Courier New" w:hAnsi="Courier New" w:cs="Courier New"/>
                <w:sz w:val="20"/>
                <w:szCs w:val="20"/>
              </w:rPr>
            </w:pPr>
            <w:r w:rsidRPr="00EA6F91">
              <w:rPr>
                <w:rFonts w:ascii="Courier New" w:hAnsi="Courier New" w:cs="Courier New"/>
                <w:sz w:val="20"/>
                <w:szCs w:val="20"/>
              </w:rPr>
              <w:t>II.</w:t>
            </w:r>
            <w:r w:rsidR="00BF0364" w:rsidRPr="00EA6F91">
              <w:rPr>
                <w:rFonts w:ascii="Courier New" w:hAnsi="Courier New" w:cs="Courier New"/>
                <w:sz w:val="20"/>
                <w:szCs w:val="20"/>
              </w:rPr>
              <w:t xml:space="preserve"> Industrial Wastewater Treatment</w:t>
            </w:r>
            <w:r w:rsidR="00390C9C">
              <w:rPr>
                <w:rFonts w:ascii="Courier New" w:hAnsi="Courier New" w:cs="Courier New"/>
                <w:sz w:val="20"/>
                <w:szCs w:val="20"/>
              </w:rPr>
              <w:t xml:space="preserve"> </w:t>
            </w:r>
            <w:r w:rsidR="00390C9C" w:rsidRPr="00390C9C">
              <w:rPr>
                <w:rFonts w:ascii="Courier New" w:hAnsi="Courier New" w:cs="Courier New"/>
                <w:sz w:val="20"/>
                <w:szCs w:val="20"/>
                <w:vertAlign w:val="superscript"/>
              </w:rPr>
              <w:t>1</w:t>
            </w:r>
          </w:p>
        </w:tc>
        <w:tc>
          <w:tcPr>
            <w:tcW w:w="6788" w:type="dxa"/>
          </w:tcPr>
          <w:p w:rsidR="00BF0364" w:rsidRPr="00EA6F91" w:rsidRDefault="00640A16" w:rsidP="00901DAA">
            <w:pPr>
              <w:widowControl w:val="0"/>
              <w:rPr>
                <w:rFonts w:ascii="Courier New" w:hAnsi="Courier New" w:cs="Courier New"/>
                <w:sz w:val="20"/>
                <w:szCs w:val="20"/>
              </w:rPr>
            </w:pPr>
            <w:r w:rsidRPr="00EA6F91">
              <w:rPr>
                <w:rFonts w:ascii="Courier New" w:hAnsi="Courier New" w:cs="Courier New"/>
                <w:sz w:val="20"/>
                <w:szCs w:val="20"/>
              </w:rPr>
              <w:t xml:space="preserve">322110 Pulp mills; </w:t>
            </w:r>
            <w:r w:rsidR="00BF0364" w:rsidRPr="00EA6F91">
              <w:rPr>
                <w:rFonts w:ascii="Courier New" w:hAnsi="Courier New" w:cs="Courier New"/>
                <w:sz w:val="20"/>
                <w:szCs w:val="20"/>
              </w:rPr>
              <w:t>322121 Paper mills</w:t>
            </w:r>
            <w:r w:rsidRPr="00EA6F91">
              <w:rPr>
                <w:rFonts w:ascii="Courier New" w:hAnsi="Courier New" w:cs="Courier New"/>
                <w:sz w:val="20"/>
                <w:szCs w:val="20"/>
              </w:rPr>
              <w:t xml:space="preserve">; </w:t>
            </w:r>
            <w:r w:rsidR="00BF0364" w:rsidRPr="00EA6F91">
              <w:rPr>
                <w:rFonts w:ascii="Courier New" w:hAnsi="Courier New" w:cs="Courier New"/>
                <w:sz w:val="20"/>
                <w:szCs w:val="20"/>
              </w:rPr>
              <w:t>322122 Newsprint mills</w:t>
            </w:r>
            <w:r w:rsidRPr="00EA6F91">
              <w:rPr>
                <w:rFonts w:ascii="Courier New" w:hAnsi="Courier New" w:cs="Courier New"/>
                <w:sz w:val="20"/>
                <w:szCs w:val="20"/>
              </w:rPr>
              <w:t xml:space="preserve">; </w:t>
            </w:r>
            <w:r w:rsidR="00BF0364" w:rsidRPr="00EA6F91">
              <w:rPr>
                <w:rFonts w:ascii="Courier New" w:hAnsi="Courier New" w:cs="Courier New"/>
                <w:sz w:val="20"/>
                <w:szCs w:val="20"/>
              </w:rPr>
              <w:t>322130 Paperboard mills</w:t>
            </w:r>
            <w:r w:rsidRPr="00EA6F91">
              <w:rPr>
                <w:rFonts w:ascii="Courier New" w:hAnsi="Courier New" w:cs="Courier New"/>
                <w:sz w:val="20"/>
                <w:szCs w:val="20"/>
              </w:rPr>
              <w:t xml:space="preserve">; </w:t>
            </w:r>
            <w:r w:rsidR="00BF0364" w:rsidRPr="00EA6F91">
              <w:rPr>
                <w:rFonts w:ascii="Courier New" w:hAnsi="Courier New" w:cs="Courier New"/>
                <w:sz w:val="20"/>
                <w:szCs w:val="20"/>
              </w:rPr>
              <w:t>311611 Meat processing facilities</w:t>
            </w:r>
            <w:r w:rsidRPr="00EA6F91">
              <w:rPr>
                <w:rFonts w:ascii="Courier New" w:hAnsi="Courier New" w:cs="Courier New"/>
                <w:sz w:val="20"/>
                <w:szCs w:val="20"/>
              </w:rPr>
              <w:t xml:space="preserve">; </w:t>
            </w:r>
            <w:r w:rsidR="00BF0364" w:rsidRPr="00EA6F91">
              <w:rPr>
                <w:rFonts w:ascii="Courier New" w:hAnsi="Courier New" w:cs="Courier New"/>
                <w:sz w:val="20"/>
                <w:szCs w:val="20"/>
              </w:rPr>
              <w:t>311411 Frozen fruit, juice, and vegetable manufacturing facilities</w:t>
            </w:r>
            <w:r w:rsidRPr="00EA6F91">
              <w:rPr>
                <w:rFonts w:ascii="Courier New" w:hAnsi="Courier New" w:cs="Courier New"/>
                <w:sz w:val="20"/>
                <w:szCs w:val="20"/>
              </w:rPr>
              <w:t xml:space="preserve">; </w:t>
            </w:r>
            <w:r w:rsidR="00BF0364" w:rsidRPr="00EA6F91">
              <w:rPr>
                <w:rFonts w:ascii="Courier New" w:hAnsi="Courier New" w:cs="Courier New"/>
                <w:sz w:val="20"/>
                <w:szCs w:val="20"/>
              </w:rPr>
              <w:t>311421 Fruit and vegetable canning facilities</w:t>
            </w:r>
            <w:r w:rsidRPr="00EA6F91">
              <w:rPr>
                <w:rFonts w:ascii="Courier New" w:hAnsi="Courier New" w:cs="Courier New"/>
                <w:sz w:val="20"/>
                <w:szCs w:val="20"/>
              </w:rPr>
              <w:t xml:space="preserve">; </w:t>
            </w:r>
            <w:r w:rsidR="00BF0364" w:rsidRPr="00EA6F91">
              <w:rPr>
                <w:rFonts w:ascii="Courier New" w:hAnsi="Courier New" w:cs="Courier New"/>
                <w:sz w:val="20"/>
                <w:szCs w:val="20"/>
              </w:rPr>
              <w:t>325193 Ethanol manufacturing facilities</w:t>
            </w:r>
            <w:r w:rsidRPr="00EA6F91">
              <w:rPr>
                <w:rFonts w:ascii="Courier New" w:hAnsi="Courier New" w:cs="Courier New"/>
                <w:sz w:val="20"/>
                <w:szCs w:val="20"/>
              </w:rPr>
              <w:t xml:space="preserve">; </w:t>
            </w:r>
            <w:r w:rsidR="00BF0364" w:rsidRPr="00EA6F91">
              <w:rPr>
                <w:rFonts w:ascii="Courier New" w:hAnsi="Courier New" w:cs="Courier New"/>
                <w:sz w:val="20"/>
                <w:szCs w:val="20"/>
              </w:rPr>
              <w:t>324110 Petroleum refineries</w:t>
            </w:r>
          </w:p>
        </w:tc>
      </w:tr>
    </w:tbl>
    <w:p w:rsidR="00390C9C" w:rsidRDefault="00390C9C" w:rsidP="00390C9C">
      <w:pPr>
        <w:pStyle w:val="footnote"/>
      </w:pPr>
      <w:r w:rsidRPr="00576BD3">
        <w:rPr>
          <w:vertAlign w:val="superscript"/>
        </w:rPr>
        <w:t>1</w:t>
      </w:r>
      <w:r>
        <w:t xml:space="preserve"> The EPA is not proposing amendments related to these categories; however, these categories were evaluated in the EPA’s analysis of the potential impact from the release of inputs to emission equations for which reporting was deferred to March 31, 2015. Refer to Section 1.B of this preamble for further discussion of this evaluation.</w:t>
      </w:r>
    </w:p>
    <w:p w:rsidR="00F3717A" w:rsidRPr="00EA6F91" w:rsidRDefault="00390C9C" w:rsidP="00901DAA">
      <w:pPr>
        <w:widowControl w:val="0"/>
        <w:rPr>
          <w:rFonts w:ascii="Courier New" w:hAnsi="Courier New" w:cs="Courier New"/>
        </w:rPr>
      </w:pPr>
      <w:r>
        <w:rPr>
          <w:rFonts w:ascii="Courier New" w:hAnsi="Courier New" w:cs="Courier New"/>
        </w:rPr>
        <w:t xml:space="preserve"> </w:t>
      </w:r>
    </w:p>
    <w:p w:rsidR="00AE16D4" w:rsidRDefault="00AE16D4" w:rsidP="00AE16D4">
      <w:pPr>
        <w:pStyle w:val="Heading2"/>
        <w:widowControl w:val="0"/>
        <w:spacing w:line="360" w:lineRule="auto"/>
        <w:ind w:firstLine="0"/>
        <w:rPr>
          <w:rFonts w:ascii="Courier New" w:hAnsi="Courier New" w:cs="Courier New"/>
        </w:rPr>
      </w:pPr>
      <w:bookmarkStart w:id="20" w:name="_Toc336985085"/>
    </w:p>
    <w:p w:rsidR="00095BC1" w:rsidRPr="00EA6F91" w:rsidRDefault="00095BC1" w:rsidP="00AE16D4">
      <w:pPr>
        <w:pStyle w:val="Heading2"/>
        <w:widowControl w:val="0"/>
        <w:spacing w:line="360" w:lineRule="auto"/>
        <w:ind w:firstLine="0"/>
        <w:rPr>
          <w:rFonts w:ascii="Courier New" w:hAnsi="Courier New" w:cs="Courier New"/>
        </w:rPr>
      </w:pPr>
      <w:r w:rsidRPr="00EA6F91">
        <w:rPr>
          <w:rFonts w:ascii="Courier New" w:hAnsi="Courier New" w:cs="Courier New"/>
        </w:rPr>
        <w:t>4(b) Information Requested</w:t>
      </w:r>
      <w:bookmarkEnd w:id="20"/>
      <w:r w:rsidR="00A07E35" w:rsidRPr="00EA6F91">
        <w:rPr>
          <w:rFonts w:ascii="Courier New" w:hAnsi="Courier New" w:cs="Courier New"/>
        </w:rPr>
        <w:t xml:space="preserve"> </w:t>
      </w:r>
    </w:p>
    <w:p w:rsidR="005F27C4" w:rsidRPr="00EA6F91" w:rsidRDefault="00095BC1" w:rsidP="005F27C4">
      <w:pPr>
        <w:spacing w:line="360" w:lineRule="auto"/>
        <w:ind w:firstLine="720"/>
        <w:rPr>
          <w:rFonts w:ascii="Courier New" w:hAnsi="Courier New" w:cs="Courier New"/>
        </w:rPr>
      </w:pPr>
      <w:r w:rsidRPr="006B1DEE">
        <w:rPr>
          <w:rFonts w:ascii="Courier New" w:hAnsi="Courier New" w:cs="Courier New"/>
        </w:rPr>
        <w:lastRenderedPageBreak/>
        <w:t>(i)</w:t>
      </w:r>
      <w:r w:rsidRPr="00EA6F91">
        <w:rPr>
          <w:rFonts w:ascii="Courier New" w:hAnsi="Courier New" w:cs="Courier New"/>
          <w:b/>
        </w:rPr>
        <w:t xml:space="preserve"> </w:t>
      </w:r>
      <w:r w:rsidRPr="006B1DEE">
        <w:rPr>
          <w:rFonts w:ascii="Courier New" w:hAnsi="Courier New" w:cs="Courier New"/>
          <w:u w:val="single"/>
        </w:rPr>
        <w:t>Data Items</w:t>
      </w:r>
      <w:r w:rsidR="006B1DEE">
        <w:rPr>
          <w:rFonts w:ascii="Courier New" w:hAnsi="Courier New" w:cs="Courier New"/>
          <w:u w:val="single"/>
        </w:rPr>
        <w:t>.</w:t>
      </w:r>
      <w:r w:rsidR="006B1DEE" w:rsidRPr="006B1DEE">
        <w:rPr>
          <w:rFonts w:ascii="Courier New" w:hAnsi="Courier New" w:cs="Courier New"/>
        </w:rPr>
        <w:t xml:space="preserve"> </w:t>
      </w:r>
      <w:r w:rsidR="00434435">
        <w:rPr>
          <w:rFonts w:ascii="Courier New" w:hAnsi="Courier New" w:cs="Courier New"/>
        </w:rPr>
        <w:t xml:space="preserve"> </w:t>
      </w:r>
      <w:r w:rsidR="005F27C4" w:rsidRPr="00EA6F91">
        <w:rPr>
          <w:rFonts w:ascii="Courier New" w:hAnsi="Courier New" w:cs="Courier New"/>
        </w:rPr>
        <w:t xml:space="preserve">EPA is proposing that 26 new data elements be reported. The following table specifies </w:t>
      </w:r>
      <w:r w:rsidR="00C77FD4">
        <w:rPr>
          <w:rFonts w:ascii="Courier New" w:hAnsi="Courier New" w:cs="Courier New"/>
        </w:rPr>
        <w:t xml:space="preserve">each </w:t>
      </w:r>
      <w:r w:rsidR="005F27C4" w:rsidRPr="00EA6F91">
        <w:rPr>
          <w:rFonts w:ascii="Courier New" w:hAnsi="Courier New" w:cs="Courier New"/>
        </w:rPr>
        <w:t>new data element</w:t>
      </w:r>
      <w:r w:rsidR="00C77FD4">
        <w:rPr>
          <w:rFonts w:ascii="Courier New" w:hAnsi="Courier New" w:cs="Courier New"/>
        </w:rPr>
        <w:t xml:space="preserve"> that would be reported, </w:t>
      </w:r>
      <w:r w:rsidR="0063630C">
        <w:rPr>
          <w:rFonts w:ascii="Courier New" w:hAnsi="Courier New" w:cs="Courier New"/>
        </w:rPr>
        <w:t>by</w:t>
      </w:r>
      <w:r w:rsidR="00C77FD4">
        <w:rPr>
          <w:rFonts w:ascii="Courier New" w:hAnsi="Courier New" w:cs="Courier New"/>
        </w:rPr>
        <w:t xml:space="preserve"> subpart</w:t>
      </w:r>
      <w:r w:rsidR="005F27C4" w:rsidRPr="00EA6F91">
        <w:rPr>
          <w:rFonts w:ascii="Courier New" w:hAnsi="Courier New" w:cs="Courier New"/>
        </w:rPr>
        <w:t>:</w:t>
      </w:r>
    </w:p>
    <w:p w:rsidR="005F27C4" w:rsidRPr="00EA6F91" w:rsidRDefault="005F27C4" w:rsidP="005F27C4">
      <w:pPr>
        <w:widowControl w:val="0"/>
        <w:rPr>
          <w:rFonts w:ascii="Courier New" w:hAnsi="Courier New" w:cs="Courier New"/>
        </w:rPr>
      </w:pPr>
    </w:p>
    <w:tbl>
      <w:tblPr>
        <w:tblW w:w="9466" w:type="dxa"/>
        <w:jc w:val="center"/>
        <w:tblInd w:w="93" w:type="dxa"/>
        <w:tblLook w:val="04A0"/>
      </w:tblPr>
      <w:tblGrid>
        <w:gridCol w:w="1057"/>
        <w:gridCol w:w="2089"/>
        <w:gridCol w:w="6320"/>
      </w:tblGrid>
      <w:tr w:rsidR="005F27C4" w:rsidRPr="00EA6F91" w:rsidTr="005F27C4">
        <w:trPr>
          <w:trHeight w:val="300"/>
          <w:tblHeader/>
          <w:jc w:val="center"/>
        </w:trPr>
        <w:tc>
          <w:tcPr>
            <w:tcW w:w="98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F27C4" w:rsidRPr="00EA6F91" w:rsidRDefault="005F27C4" w:rsidP="005F27C4">
            <w:pPr>
              <w:jc w:val="center"/>
              <w:rPr>
                <w:rFonts w:ascii="Courier New" w:hAnsi="Courier New" w:cs="Courier New"/>
                <w:b/>
                <w:sz w:val="20"/>
                <w:szCs w:val="20"/>
              </w:rPr>
            </w:pPr>
            <w:r w:rsidRPr="00EA6F91">
              <w:rPr>
                <w:rFonts w:ascii="Courier New" w:hAnsi="Courier New" w:cs="Courier New"/>
                <w:b/>
                <w:sz w:val="20"/>
                <w:szCs w:val="20"/>
              </w:rPr>
              <w:t>Subpart</w:t>
            </w:r>
          </w:p>
        </w:tc>
        <w:tc>
          <w:tcPr>
            <w:tcW w:w="209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5F27C4" w:rsidRPr="00EA6F91" w:rsidRDefault="005F27C4" w:rsidP="005F27C4">
            <w:pPr>
              <w:jc w:val="center"/>
              <w:rPr>
                <w:rFonts w:ascii="Courier New" w:hAnsi="Courier New" w:cs="Courier New"/>
                <w:b/>
                <w:sz w:val="20"/>
                <w:szCs w:val="20"/>
              </w:rPr>
            </w:pPr>
            <w:r w:rsidRPr="00EA6F91">
              <w:rPr>
                <w:rFonts w:ascii="Courier New" w:hAnsi="Courier New" w:cs="Courier New"/>
                <w:b/>
                <w:sz w:val="20"/>
                <w:szCs w:val="20"/>
              </w:rPr>
              <w:t>Subpart Name</w:t>
            </w:r>
          </w:p>
        </w:tc>
        <w:tc>
          <w:tcPr>
            <w:tcW w:w="638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5F27C4" w:rsidRPr="00EA6F91" w:rsidRDefault="005F27C4" w:rsidP="005F27C4">
            <w:pPr>
              <w:jc w:val="center"/>
              <w:rPr>
                <w:rFonts w:ascii="Courier New" w:hAnsi="Courier New" w:cs="Courier New"/>
                <w:b/>
                <w:sz w:val="20"/>
                <w:szCs w:val="20"/>
              </w:rPr>
            </w:pPr>
            <w:r w:rsidRPr="00EA6F91">
              <w:rPr>
                <w:rFonts w:ascii="Courier New" w:hAnsi="Courier New" w:cs="Courier New"/>
                <w:b/>
                <w:sz w:val="20"/>
                <w:szCs w:val="20"/>
              </w:rPr>
              <w:t>New Data Element Description</w:t>
            </w:r>
          </w:p>
        </w:tc>
      </w:tr>
      <w:tr w:rsidR="005F27C4" w:rsidRPr="00EA6F91" w:rsidTr="005F27C4">
        <w:trPr>
          <w:trHeight w:val="300"/>
          <w:jc w:val="center"/>
        </w:trPr>
        <w:tc>
          <w:tcPr>
            <w:tcW w:w="987" w:type="dxa"/>
            <w:vMerge w:val="restart"/>
            <w:tcBorders>
              <w:top w:val="single" w:sz="4" w:space="0" w:color="auto"/>
              <w:left w:val="single" w:sz="4" w:space="0" w:color="auto"/>
              <w:right w:val="single" w:sz="4" w:space="0" w:color="auto"/>
            </w:tcBorders>
            <w:shd w:val="clear" w:color="auto" w:fill="auto"/>
            <w:hideMark/>
          </w:tcPr>
          <w:p w:rsidR="005F27C4" w:rsidRPr="00EA6F91" w:rsidRDefault="005F27C4" w:rsidP="005F27C4">
            <w:pPr>
              <w:jc w:val="center"/>
              <w:rPr>
                <w:rFonts w:ascii="Courier New" w:hAnsi="Courier New" w:cs="Courier New"/>
                <w:sz w:val="20"/>
                <w:szCs w:val="20"/>
              </w:rPr>
            </w:pPr>
            <w:r w:rsidRPr="00EA6F91">
              <w:rPr>
                <w:rFonts w:ascii="Courier New" w:hAnsi="Courier New" w:cs="Courier New"/>
                <w:sz w:val="20"/>
                <w:szCs w:val="20"/>
              </w:rPr>
              <w:t>E</w:t>
            </w:r>
          </w:p>
        </w:tc>
        <w:tc>
          <w:tcPr>
            <w:tcW w:w="2094" w:type="dxa"/>
            <w:vMerge w:val="restart"/>
            <w:tcBorders>
              <w:top w:val="single" w:sz="4" w:space="0" w:color="auto"/>
              <w:left w:val="nil"/>
              <w:right w:val="single" w:sz="4" w:space="0" w:color="auto"/>
            </w:tcBorders>
            <w:shd w:val="clear" w:color="auto" w:fill="auto"/>
            <w:hideMark/>
          </w:tcPr>
          <w:p w:rsidR="005F27C4" w:rsidRPr="00EA6F91" w:rsidRDefault="005F27C4" w:rsidP="005F27C4">
            <w:pPr>
              <w:rPr>
                <w:rFonts w:ascii="Courier New" w:hAnsi="Courier New" w:cs="Courier New"/>
                <w:sz w:val="20"/>
                <w:szCs w:val="20"/>
              </w:rPr>
            </w:pPr>
            <w:r w:rsidRPr="00EA6F91">
              <w:rPr>
                <w:rFonts w:ascii="Courier New" w:hAnsi="Courier New" w:cs="Courier New"/>
                <w:sz w:val="20"/>
                <w:szCs w:val="20"/>
              </w:rPr>
              <w:t>Adipic Acid Production</w:t>
            </w:r>
          </w:p>
        </w:tc>
        <w:tc>
          <w:tcPr>
            <w:tcW w:w="6385" w:type="dxa"/>
            <w:tcBorders>
              <w:top w:val="nil"/>
              <w:left w:val="nil"/>
              <w:bottom w:val="single" w:sz="4" w:space="0" w:color="auto"/>
              <w:right w:val="single" w:sz="4" w:space="0" w:color="auto"/>
            </w:tcBorders>
            <w:shd w:val="clear" w:color="auto" w:fill="auto"/>
            <w:hideMark/>
          </w:tcPr>
          <w:p w:rsidR="005F27C4" w:rsidRPr="00EA6F91" w:rsidRDefault="005F27C4" w:rsidP="005F27C4">
            <w:pPr>
              <w:rPr>
                <w:rFonts w:ascii="Courier New" w:hAnsi="Courier New" w:cs="Courier New"/>
                <w:sz w:val="20"/>
                <w:szCs w:val="20"/>
              </w:rPr>
            </w:pPr>
            <w:r w:rsidRPr="00EA6F91">
              <w:rPr>
                <w:rFonts w:ascii="Courier New" w:hAnsi="Courier New" w:cs="Courier New"/>
                <w:sz w:val="20"/>
                <w:szCs w:val="20"/>
              </w:rPr>
              <w:t>Annual quantity of cyclohexane fed to all production lines (metric tons).</w:t>
            </w:r>
          </w:p>
        </w:tc>
      </w:tr>
      <w:tr w:rsidR="005F27C4" w:rsidRPr="00EA6F91" w:rsidTr="005F27C4">
        <w:trPr>
          <w:trHeight w:val="300"/>
          <w:jc w:val="center"/>
        </w:trPr>
        <w:tc>
          <w:tcPr>
            <w:tcW w:w="987" w:type="dxa"/>
            <w:vMerge/>
            <w:tcBorders>
              <w:left w:val="single" w:sz="4" w:space="0" w:color="auto"/>
              <w:right w:val="single" w:sz="4" w:space="0" w:color="auto"/>
            </w:tcBorders>
            <w:shd w:val="clear" w:color="auto" w:fill="auto"/>
            <w:hideMark/>
          </w:tcPr>
          <w:p w:rsidR="005F27C4" w:rsidRPr="00EA6F91" w:rsidRDefault="005F27C4" w:rsidP="005F27C4">
            <w:pPr>
              <w:jc w:val="center"/>
              <w:rPr>
                <w:rFonts w:ascii="Courier New" w:hAnsi="Courier New" w:cs="Courier New"/>
                <w:sz w:val="20"/>
                <w:szCs w:val="20"/>
              </w:rPr>
            </w:pPr>
          </w:p>
        </w:tc>
        <w:tc>
          <w:tcPr>
            <w:tcW w:w="2094" w:type="dxa"/>
            <w:vMerge/>
            <w:tcBorders>
              <w:left w:val="nil"/>
              <w:right w:val="single" w:sz="4" w:space="0" w:color="auto"/>
            </w:tcBorders>
            <w:shd w:val="clear" w:color="auto" w:fill="auto"/>
            <w:hideMark/>
          </w:tcPr>
          <w:p w:rsidR="005F27C4" w:rsidRPr="00EA6F91" w:rsidRDefault="005F27C4" w:rsidP="005F27C4">
            <w:pPr>
              <w:rPr>
                <w:rFonts w:ascii="Courier New" w:hAnsi="Courier New" w:cs="Courier New"/>
                <w:sz w:val="20"/>
                <w:szCs w:val="20"/>
              </w:rPr>
            </w:pPr>
          </w:p>
        </w:tc>
        <w:tc>
          <w:tcPr>
            <w:tcW w:w="6385" w:type="dxa"/>
            <w:tcBorders>
              <w:top w:val="nil"/>
              <w:left w:val="nil"/>
              <w:bottom w:val="single" w:sz="4" w:space="0" w:color="auto"/>
              <w:right w:val="single" w:sz="4" w:space="0" w:color="auto"/>
            </w:tcBorders>
            <w:shd w:val="clear" w:color="auto" w:fill="auto"/>
            <w:hideMark/>
          </w:tcPr>
          <w:p w:rsidR="005F27C4" w:rsidRPr="00EA6F91" w:rsidRDefault="005F27C4" w:rsidP="005F27C4">
            <w:pPr>
              <w:rPr>
                <w:rFonts w:ascii="Courier New" w:hAnsi="Courier New" w:cs="Courier New"/>
                <w:sz w:val="20"/>
                <w:szCs w:val="20"/>
              </w:rPr>
            </w:pPr>
            <w:r w:rsidRPr="00EA6F91">
              <w:rPr>
                <w:rFonts w:ascii="Courier New" w:hAnsi="Courier New" w:cs="Courier New"/>
                <w:sz w:val="20"/>
                <w:szCs w:val="20"/>
              </w:rPr>
              <w:t>Annual percent N</w:t>
            </w:r>
            <w:r w:rsidRPr="00EA6F91">
              <w:rPr>
                <w:rFonts w:ascii="Courier New" w:hAnsi="Courier New" w:cs="Courier New"/>
                <w:sz w:val="20"/>
                <w:szCs w:val="20"/>
                <w:vertAlign w:val="subscript"/>
              </w:rPr>
              <w:t>2</w:t>
            </w:r>
            <w:r w:rsidRPr="00EA6F91">
              <w:rPr>
                <w:rFonts w:ascii="Courier New" w:hAnsi="Courier New" w:cs="Courier New"/>
                <w:sz w:val="20"/>
                <w:szCs w:val="20"/>
              </w:rPr>
              <w:t>O emission reduction for all production units combined.</w:t>
            </w:r>
          </w:p>
        </w:tc>
      </w:tr>
      <w:tr w:rsidR="005F27C4" w:rsidRPr="00EA6F91" w:rsidTr="005F27C4">
        <w:trPr>
          <w:trHeight w:val="300"/>
          <w:jc w:val="center"/>
        </w:trPr>
        <w:tc>
          <w:tcPr>
            <w:tcW w:w="987" w:type="dxa"/>
            <w:vMerge w:val="restart"/>
            <w:tcBorders>
              <w:top w:val="single" w:sz="4" w:space="0" w:color="auto"/>
              <w:left w:val="single" w:sz="4" w:space="0" w:color="auto"/>
              <w:right w:val="single" w:sz="4" w:space="0" w:color="auto"/>
            </w:tcBorders>
            <w:shd w:val="clear" w:color="auto" w:fill="auto"/>
            <w:hideMark/>
          </w:tcPr>
          <w:p w:rsidR="005F27C4" w:rsidRPr="00EA6F91" w:rsidRDefault="005F27C4" w:rsidP="005F27C4">
            <w:pPr>
              <w:jc w:val="center"/>
              <w:rPr>
                <w:rFonts w:ascii="Courier New" w:hAnsi="Courier New" w:cs="Courier New"/>
                <w:sz w:val="20"/>
                <w:szCs w:val="20"/>
              </w:rPr>
            </w:pPr>
            <w:r w:rsidRPr="00EA6F91">
              <w:rPr>
                <w:rFonts w:ascii="Courier New" w:hAnsi="Courier New" w:cs="Courier New"/>
                <w:sz w:val="20"/>
                <w:szCs w:val="20"/>
              </w:rPr>
              <w:t>G</w:t>
            </w:r>
          </w:p>
        </w:tc>
        <w:tc>
          <w:tcPr>
            <w:tcW w:w="2094" w:type="dxa"/>
            <w:vMerge w:val="restart"/>
            <w:tcBorders>
              <w:top w:val="single" w:sz="4" w:space="0" w:color="auto"/>
              <w:left w:val="nil"/>
              <w:right w:val="single" w:sz="4" w:space="0" w:color="auto"/>
            </w:tcBorders>
            <w:shd w:val="clear" w:color="auto" w:fill="auto"/>
            <w:hideMark/>
          </w:tcPr>
          <w:p w:rsidR="005F27C4" w:rsidRPr="00EA6F91" w:rsidRDefault="005F27C4" w:rsidP="005F27C4">
            <w:pPr>
              <w:rPr>
                <w:rFonts w:ascii="Courier New" w:hAnsi="Courier New" w:cs="Courier New"/>
                <w:sz w:val="20"/>
                <w:szCs w:val="20"/>
              </w:rPr>
            </w:pPr>
            <w:r w:rsidRPr="00EA6F91">
              <w:rPr>
                <w:rFonts w:ascii="Courier New" w:hAnsi="Courier New" w:cs="Courier New"/>
                <w:sz w:val="20"/>
                <w:szCs w:val="20"/>
              </w:rPr>
              <w:t>Ammonia Production</w:t>
            </w:r>
          </w:p>
        </w:tc>
        <w:tc>
          <w:tcPr>
            <w:tcW w:w="6385" w:type="dxa"/>
            <w:tcBorders>
              <w:top w:val="nil"/>
              <w:left w:val="nil"/>
              <w:bottom w:val="single" w:sz="4" w:space="0" w:color="auto"/>
              <w:right w:val="single" w:sz="4" w:space="0" w:color="auto"/>
            </w:tcBorders>
            <w:shd w:val="clear" w:color="auto" w:fill="auto"/>
            <w:hideMark/>
          </w:tcPr>
          <w:p w:rsidR="005F27C4" w:rsidRPr="00EA6F91" w:rsidRDefault="005F27C4" w:rsidP="005F27C4">
            <w:pPr>
              <w:rPr>
                <w:rFonts w:ascii="Courier New" w:hAnsi="Courier New" w:cs="Courier New"/>
                <w:sz w:val="20"/>
                <w:szCs w:val="20"/>
              </w:rPr>
            </w:pPr>
            <w:r w:rsidRPr="00EA6F91">
              <w:rPr>
                <w:rFonts w:ascii="Courier New" w:hAnsi="Courier New" w:cs="Courier New"/>
                <w:sz w:val="20"/>
                <w:szCs w:val="20"/>
              </w:rPr>
              <w:t>Annual ammonia production (metric tons).</w:t>
            </w:r>
          </w:p>
        </w:tc>
      </w:tr>
      <w:tr w:rsidR="005F27C4" w:rsidRPr="00EA6F91" w:rsidTr="005F27C4">
        <w:trPr>
          <w:trHeight w:val="300"/>
          <w:jc w:val="center"/>
        </w:trPr>
        <w:tc>
          <w:tcPr>
            <w:tcW w:w="987" w:type="dxa"/>
            <w:vMerge/>
            <w:tcBorders>
              <w:left w:val="single" w:sz="4" w:space="0" w:color="auto"/>
              <w:right w:val="single" w:sz="4" w:space="0" w:color="auto"/>
            </w:tcBorders>
            <w:shd w:val="clear" w:color="auto" w:fill="auto"/>
            <w:hideMark/>
          </w:tcPr>
          <w:p w:rsidR="005F27C4" w:rsidRPr="00EA6F91" w:rsidRDefault="005F27C4" w:rsidP="005F27C4">
            <w:pPr>
              <w:jc w:val="center"/>
              <w:rPr>
                <w:rFonts w:ascii="Courier New" w:hAnsi="Courier New" w:cs="Courier New"/>
                <w:sz w:val="20"/>
                <w:szCs w:val="20"/>
              </w:rPr>
            </w:pPr>
          </w:p>
        </w:tc>
        <w:tc>
          <w:tcPr>
            <w:tcW w:w="2094" w:type="dxa"/>
            <w:vMerge/>
            <w:tcBorders>
              <w:left w:val="nil"/>
              <w:right w:val="single" w:sz="4" w:space="0" w:color="auto"/>
            </w:tcBorders>
            <w:shd w:val="clear" w:color="auto" w:fill="auto"/>
            <w:hideMark/>
          </w:tcPr>
          <w:p w:rsidR="005F27C4" w:rsidRPr="00EA6F91" w:rsidRDefault="005F27C4" w:rsidP="005F27C4">
            <w:pPr>
              <w:rPr>
                <w:rFonts w:ascii="Courier New" w:hAnsi="Courier New" w:cs="Courier New"/>
                <w:sz w:val="20"/>
                <w:szCs w:val="20"/>
              </w:rPr>
            </w:pPr>
          </w:p>
        </w:tc>
        <w:tc>
          <w:tcPr>
            <w:tcW w:w="6385" w:type="dxa"/>
            <w:tcBorders>
              <w:top w:val="nil"/>
              <w:left w:val="nil"/>
              <w:bottom w:val="single" w:sz="4" w:space="0" w:color="auto"/>
              <w:right w:val="single" w:sz="4" w:space="0" w:color="auto"/>
            </w:tcBorders>
            <w:shd w:val="clear" w:color="auto" w:fill="auto"/>
            <w:hideMark/>
          </w:tcPr>
          <w:p w:rsidR="005F27C4" w:rsidRPr="00EA6F91" w:rsidRDefault="005F27C4" w:rsidP="005F27C4">
            <w:pPr>
              <w:rPr>
                <w:rFonts w:ascii="Courier New" w:hAnsi="Courier New" w:cs="Courier New"/>
                <w:sz w:val="20"/>
                <w:szCs w:val="20"/>
              </w:rPr>
            </w:pPr>
            <w:r w:rsidRPr="00EA6F91">
              <w:rPr>
                <w:rFonts w:ascii="Courier New" w:hAnsi="Courier New" w:cs="Courier New"/>
                <w:sz w:val="20"/>
                <w:szCs w:val="20"/>
              </w:rPr>
              <w:t xml:space="preserve">Annual methanol production (metric tons), if this quantity is not reported under subpart X of 40 CFR part 98. </w:t>
            </w:r>
          </w:p>
        </w:tc>
      </w:tr>
      <w:tr w:rsidR="005F27C4" w:rsidRPr="00EA6F91" w:rsidTr="005F27C4">
        <w:trPr>
          <w:trHeight w:val="300"/>
          <w:jc w:val="center"/>
        </w:trPr>
        <w:tc>
          <w:tcPr>
            <w:tcW w:w="987" w:type="dxa"/>
            <w:vMerge w:val="restart"/>
            <w:tcBorders>
              <w:top w:val="single" w:sz="4" w:space="0" w:color="auto"/>
              <w:left w:val="single" w:sz="4" w:space="0" w:color="auto"/>
              <w:right w:val="single" w:sz="4" w:space="0" w:color="auto"/>
            </w:tcBorders>
            <w:shd w:val="clear" w:color="auto" w:fill="auto"/>
            <w:hideMark/>
          </w:tcPr>
          <w:p w:rsidR="005F27C4" w:rsidRPr="00EA6F91" w:rsidRDefault="005F27C4" w:rsidP="005F27C4">
            <w:pPr>
              <w:jc w:val="center"/>
              <w:rPr>
                <w:rFonts w:ascii="Courier New" w:hAnsi="Courier New" w:cs="Courier New"/>
                <w:sz w:val="20"/>
                <w:szCs w:val="20"/>
              </w:rPr>
            </w:pPr>
            <w:r w:rsidRPr="00EA6F91">
              <w:rPr>
                <w:rFonts w:ascii="Courier New" w:hAnsi="Courier New" w:cs="Courier New"/>
                <w:sz w:val="20"/>
                <w:szCs w:val="20"/>
              </w:rPr>
              <w:t>H</w:t>
            </w:r>
          </w:p>
        </w:tc>
        <w:tc>
          <w:tcPr>
            <w:tcW w:w="2094" w:type="dxa"/>
            <w:vMerge w:val="restart"/>
            <w:tcBorders>
              <w:top w:val="single" w:sz="4" w:space="0" w:color="auto"/>
              <w:left w:val="nil"/>
              <w:right w:val="single" w:sz="4" w:space="0" w:color="auto"/>
            </w:tcBorders>
            <w:shd w:val="clear" w:color="auto" w:fill="auto"/>
            <w:hideMark/>
          </w:tcPr>
          <w:p w:rsidR="005F27C4" w:rsidRPr="00EA6F91" w:rsidRDefault="005F27C4" w:rsidP="005F27C4">
            <w:pPr>
              <w:rPr>
                <w:rFonts w:ascii="Courier New" w:hAnsi="Courier New" w:cs="Courier New"/>
                <w:sz w:val="20"/>
                <w:szCs w:val="20"/>
              </w:rPr>
            </w:pPr>
            <w:r w:rsidRPr="00EA6F91">
              <w:rPr>
                <w:rFonts w:ascii="Courier New" w:hAnsi="Courier New" w:cs="Courier New"/>
                <w:sz w:val="20"/>
                <w:szCs w:val="20"/>
              </w:rPr>
              <w:t>Cement Production</w:t>
            </w:r>
          </w:p>
        </w:tc>
        <w:tc>
          <w:tcPr>
            <w:tcW w:w="6385" w:type="dxa"/>
            <w:tcBorders>
              <w:top w:val="nil"/>
              <w:left w:val="nil"/>
              <w:bottom w:val="single" w:sz="4" w:space="0" w:color="auto"/>
              <w:right w:val="single" w:sz="4" w:space="0" w:color="auto"/>
            </w:tcBorders>
            <w:shd w:val="clear" w:color="auto" w:fill="auto"/>
            <w:hideMark/>
          </w:tcPr>
          <w:p w:rsidR="005F27C4" w:rsidRPr="00EA6F91" w:rsidRDefault="005F27C4" w:rsidP="005F27C4">
            <w:pPr>
              <w:rPr>
                <w:rFonts w:ascii="Courier New" w:hAnsi="Courier New" w:cs="Courier New"/>
                <w:sz w:val="20"/>
                <w:szCs w:val="20"/>
              </w:rPr>
            </w:pPr>
            <w:r w:rsidRPr="00EA6F91">
              <w:rPr>
                <w:rFonts w:ascii="Courier New" w:hAnsi="Courier New" w:cs="Courier New"/>
                <w:sz w:val="20"/>
                <w:szCs w:val="20"/>
              </w:rPr>
              <w:t>Annual clinker production (metric tons).</w:t>
            </w:r>
          </w:p>
        </w:tc>
      </w:tr>
      <w:tr w:rsidR="005F27C4" w:rsidRPr="00EA6F91" w:rsidTr="005F27C4">
        <w:trPr>
          <w:trHeight w:val="300"/>
          <w:jc w:val="center"/>
        </w:trPr>
        <w:tc>
          <w:tcPr>
            <w:tcW w:w="987" w:type="dxa"/>
            <w:vMerge/>
            <w:tcBorders>
              <w:left w:val="single" w:sz="4" w:space="0" w:color="auto"/>
              <w:right w:val="single" w:sz="4" w:space="0" w:color="auto"/>
            </w:tcBorders>
            <w:shd w:val="clear" w:color="auto" w:fill="auto"/>
            <w:hideMark/>
          </w:tcPr>
          <w:p w:rsidR="005F27C4" w:rsidRPr="00EA6F91" w:rsidRDefault="005F27C4" w:rsidP="005F27C4">
            <w:pPr>
              <w:jc w:val="center"/>
              <w:rPr>
                <w:rFonts w:ascii="Courier New" w:hAnsi="Courier New" w:cs="Courier New"/>
                <w:sz w:val="20"/>
                <w:szCs w:val="20"/>
              </w:rPr>
            </w:pPr>
          </w:p>
        </w:tc>
        <w:tc>
          <w:tcPr>
            <w:tcW w:w="2094" w:type="dxa"/>
            <w:vMerge/>
            <w:tcBorders>
              <w:left w:val="nil"/>
              <w:right w:val="single" w:sz="4" w:space="0" w:color="auto"/>
            </w:tcBorders>
            <w:shd w:val="clear" w:color="auto" w:fill="auto"/>
            <w:hideMark/>
          </w:tcPr>
          <w:p w:rsidR="005F27C4" w:rsidRPr="00EA6F91" w:rsidRDefault="005F27C4" w:rsidP="005F27C4">
            <w:pPr>
              <w:rPr>
                <w:rFonts w:ascii="Courier New" w:hAnsi="Courier New" w:cs="Courier New"/>
                <w:sz w:val="20"/>
                <w:szCs w:val="20"/>
              </w:rPr>
            </w:pPr>
          </w:p>
        </w:tc>
        <w:tc>
          <w:tcPr>
            <w:tcW w:w="6385" w:type="dxa"/>
            <w:tcBorders>
              <w:top w:val="nil"/>
              <w:left w:val="nil"/>
              <w:bottom w:val="single" w:sz="4" w:space="0" w:color="auto"/>
              <w:right w:val="single" w:sz="4" w:space="0" w:color="auto"/>
            </w:tcBorders>
            <w:shd w:val="clear" w:color="auto" w:fill="auto"/>
            <w:hideMark/>
          </w:tcPr>
          <w:p w:rsidR="005F27C4" w:rsidRPr="00EA6F91" w:rsidRDefault="005F27C4" w:rsidP="005F27C4">
            <w:pPr>
              <w:rPr>
                <w:rFonts w:ascii="Courier New" w:hAnsi="Courier New" w:cs="Courier New"/>
                <w:sz w:val="20"/>
                <w:szCs w:val="20"/>
              </w:rPr>
            </w:pPr>
            <w:r w:rsidRPr="00EA6F91">
              <w:rPr>
                <w:rFonts w:ascii="Courier New" w:hAnsi="Courier New" w:cs="Courier New"/>
                <w:sz w:val="20"/>
                <w:szCs w:val="20"/>
              </w:rPr>
              <w:t>Annual average clinker CO</w:t>
            </w:r>
            <w:r w:rsidRPr="00EA6F91">
              <w:rPr>
                <w:rFonts w:ascii="Courier New" w:hAnsi="Courier New" w:cs="Courier New"/>
                <w:sz w:val="20"/>
                <w:szCs w:val="20"/>
                <w:vertAlign w:val="subscript"/>
              </w:rPr>
              <w:t>2</w:t>
            </w:r>
            <w:r w:rsidRPr="00EA6F91">
              <w:rPr>
                <w:rFonts w:ascii="Courier New" w:hAnsi="Courier New" w:cs="Courier New"/>
                <w:sz w:val="20"/>
                <w:szCs w:val="20"/>
              </w:rPr>
              <w:t xml:space="preserve"> emission factor for the facility, averaged across all kilns (metric tons CO</w:t>
            </w:r>
            <w:r w:rsidRPr="00EA6F91">
              <w:rPr>
                <w:rFonts w:ascii="Courier New" w:hAnsi="Courier New" w:cs="Courier New"/>
                <w:sz w:val="20"/>
                <w:szCs w:val="20"/>
                <w:vertAlign w:val="subscript"/>
              </w:rPr>
              <w:t>2</w:t>
            </w:r>
            <w:r w:rsidRPr="00EA6F91">
              <w:rPr>
                <w:rFonts w:ascii="Courier New" w:hAnsi="Courier New" w:cs="Courier New"/>
                <w:sz w:val="20"/>
                <w:szCs w:val="20"/>
              </w:rPr>
              <w:t>/metric ton clinker produced).</w:t>
            </w:r>
          </w:p>
        </w:tc>
      </w:tr>
      <w:tr w:rsidR="005F27C4" w:rsidRPr="00EA6F91" w:rsidTr="005F27C4">
        <w:trPr>
          <w:trHeight w:val="300"/>
          <w:jc w:val="center"/>
        </w:trPr>
        <w:tc>
          <w:tcPr>
            <w:tcW w:w="987" w:type="dxa"/>
            <w:vMerge/>
            <w:tcBorders>
              <w:left w:val="single" w:sz="4" w:space="0" w:color="auto"/>
              <w:bottom w:val="single" w:sz="4" w:space="0" w:color="auto"/>
              <w:right w:val="single" w:sz="4" w:space="0" w:color="auto"/>
            </w:tcBorders>
            <w:shd w:val="clear" w:color="auto" w:fill="auto"/>
            <w:hideMark/>
          </w:tcPr>
          <w:p w:rsidR="005F27C4" w:rsidRPr="00EA6F91" w:rsidRDefault="005F27C4" w:rsidP="005F27C4">
            <w:pPr>
              <w:jc w:val="center"/>
              <w:rPr>
                <w:rFonts w:ascii="Courier New" w:hAnsi="Courier New" w:cs="Courier New"/>
                <w:sz w:val="20"/>
                <w:szCs w:val="20"/>
              </w:rPr>
            </w:pPr>
          </w:p>
        </w:tc>
        <w:tc>
          <w:tcPr>
            <w:tcW w:w="2094" w:type="dxa"/>
            <w:vMerge/>
            <w:tcBorders>
              <w:left w:val="nil"/>
              <w:bottom w:val="single" w:sz="4" w:space="0" w:color="auto"/>
              <w:right w:val="single" w:sz="4" w:space="0" w:color="auto"/>
            </w:tcBorders>
            <w:shd w:val="clear" w:color="auto" w:fill="auto"/>
            <w:hideMark/>
          </w:tcPr>
          <w:p w:rsidR="005F27C4" w:rsidRPr="00EA6F91" w:rsidRDefault="005F27C4" w:rsidP="005F27C4">
            <w:pPr>
              <w:rPr>
                <w:rFonts w:ascii="Courier New" w:hAnsi="Courier New" w:cs="Courier New"/>
                <w:sz w:val="20"/>
                <w:szCs w:val="20"/>
              </w:rPr>
            </w:pPr>
          </w:p>
        </w:tc>
        <w:tc>
          <w:tcPr>
            <w:tcW w:w="6385" w:type="dxa"/>
            <w:tcBorders>
              <w:top w:val="nil"/>
              <w:left w:val="nil"/>
              <w:bottom w:val="single" w:sz="4" w:space="0" w:color="auto"/>
              <w:right w:val="single" w:sz="4" w:space="0" w:color="auto"/>
            </w:tcBorders>
            <w:shd w:val="clear" w:color="auto" w:fill="auto"/>
            <w:hideMark/>
          </w:tcPr>
          <w:p w:rsidR="005F27C4" w:rsidRPr="00EA6F91" w:rsidRDefault="005F27C4" w:rsidP="005F27C4">
            <w:pPr>
              <w:rPr>
                <w:rFonts w:ascii="Courier New" w:hAnsi="Courier New" w:cs="Courier New"/>
                <w:sz w:val="20"/>
                <w:szCs w:val="20"/>
              </w:rPr>
            </w:pPr>
            <w:r w:rsidRPr="00EA6F91">
              <w:rPr>
                <w:rFonts w:ascii="Courier New" w:hAnsi="Courier New" w:cs="Courier New"/>
                <w:sz w:val="20"/>
                <w:szCs w:val="20"/>
              </w:rPr>
              <w:t>Annual average cement kiln dust (CKD) CO</w:t>
            </w:r>
            <w:r w:rsidRPr="00EA6F91">
              <w:rPr>
                <w:rFonts w:ascii="Courier New" w:hAnsi="Courier New" w:cs="Courier New"/>
                <w:sz w:val="20"/>
                <w:szCs w:val="20"/>
                <w:vertAlign w:val="subscript"/>
              </w:rPr>
              <w:t>2</w:t>
            </w:r>
            <w:r w:rsidRPr="00EA6F91">
              <w:rPr>
                <w:rFonts w:ascii="Courier New" w:hAnsi="Courier New" w:cs="Courier New"/>
                <w:sz w:val="20"/>
                <w:szCs w:val="20"/>
              </w:rPr>
              <w:t xml:space="preserve"> emission factor for the facility, averaged across all kilns (metric tons CO</w:t>
            </w:r>
            <w:r w:rsidRPr="00EA6F91">
              <w:rPr>
                <w:rFonts w:ascii="Courier New" w:hAnsi="Courier New" w:cs="Courier New"/>
                <w:sz w:val="20"/>
                <w:szCs w:val="20"/>
                <w:vertAlign w:val="subscript"/>
              </w:rPr>
              <w:t>2</w:t>
            </w:r>
            <w:r w:rsidRPr="00EA6F91">
              <w:rPr>
                <w:rFonts w:ascii="Courier New" w:hAnsi="Courier New" w:cs="Courier New"/>
                <w:sz w:val="20"/>
                <w:szCs w:val="20"/>
              </w:rPr>
              <w:t>/metric ton CKD produced).</w:t>
            </w:r>
          </w:p>
        </w:tc>
      </w:tr>
      <w:tr w:rsidR="005F27C4" w:rsidRPr="00EA6F91" w:rsidTr="005F27C4">
        <w:trPr>
          <w:trHeight w:val="600"/>
          <w:jc w:val="center"/>
        </w:trPr>
        <w:tc>
          <w:tcPr>
            <w:tcW w:w="987" w:type="dxa"/>
            <w:vMerge w:val="restart"/>
            <w:tcBorders>
              <w:top w:val="nil"/>
              <w:left w:val="single" w:sz="4" w:space="0" w:color="auto"/>
              <w:right w:val="single" w:sz="4" w:space="0" w:color="auto"/>
            </w:tcBorders>
            <w:shd w:val="clear" w:color="auto" w:fill="auto"/>
            <w:hideMark/>
          </w:tcPr>
          <w:p w:rsidR="005F27C4" w:rsidRPr="00EA6F91" w:rsidRDefault="005F27C4" w:rsidP="005F27C4">
            <w:pPr>
              <w:jc w:val="center"/>
              <w:rPr>
                <w:rFonts w:ascii="Courier New" w:hAnsi="Courier New" w:cs="Courier New"/>
                <w:sz w:val="20"/>
                <w:szCs w:val="20"/>
              </w:rPr>
            </w:pPr>
            <w:r w:rsidRPr="00EA6F91">
              <w:rPr>
                <w:rFonts w:ascii="Courier New" w:hAnsi="Courier New" w:cs="Courier New"/>
                <w:sz w:val="20"/>
                <w:szCs w:val="20"/>
              </w:rPr>
              <w:t>P</w:t>
            </w:r>
          </w:p>
        </w:tc>
        <w:tc>
          <w:tcPr>
            <w:tcW w:w="2094" w:type="dxa"/>
            <w:vMerge w:val="restart"/>
            <w:tcBorders>
              <w:top w:val="nil"/>
              <w:left w:val="nil"/>
              <w:right w:val="single" w:sz="4" w:space="0" w:color="auto"/>
            </w:tcBorders>
            <w:shd w:val="clear" w:color="auto" w:fill="auto"/>
            <w:hideMark/>
          </w:tcPr>
          <w:p w:rsidR="005F27C4" w:rsidRPr="00EA6F91" w:rsidRDefault="005F27C4" w:rsidP="005F27C4">
            <w:pPr>
              <w:rPr>
                <w:rFonts w:ascii="Courier New" w:hAnsi="Courier New" w:cs="Courier New"/>
                <w:sz w:val="20"/>
                <w:szCs w:val="20"/>
              </w:rPr>
            </w:pPr>
            <w:r w:rsidRPr="00EA6F91">
              <w:rPr>
                <w:rFonts w:ascii="Courier New" w:hAnsi="Courier New" w:cs="Courier New"/>
                <w:sz w:val="20"/>
                <w:szCs w:val="20"/>
              </w:rPr>
              <w:t>Hydrogen Production</w:t>
            </w:r>
          </w:p>
        </w:tc>
        <w:tc>
          <w:tcPr>
            <w:tcW w:w="6385" w:type="dxa"/>
            <w:tcBorders>
              <w:top w:val="nil"/>
              <w:left w:val="nil"/>
              <w:bottom w:val="single" w:sz="4" w:space="0" w:color="auto"/>
              <w:right w:val="single" w:sz="4" w:space="0" w:color="auto"/>
            </w:tcBorders>
            <w:shd w:val="clear" w:color="auto" w:fill="auto"/>
            <w:hideMark/>
          </w:tcPr>
          <w:p w:rsidR="005F27C4" w:rsidRPr="00EA6F91" w:rsidRDefault="005F27C4" w:rsidP="005F27C4">
            <w:pPr>
              <w:rPr>
                <w:rFonts w:ascii="Courier New" w:hAnsi="Courier New" w:cs="Courier New"/>
                <w:sz w:val="20"/>
                <w:szCs w:val="20"/>
              </w:rPr>
            </w:pPr>
            <w:r w:rsidRPr="00EA6F91">
              <w:rPr>
                <w:rFonts w:ascii="Courier New" w:hAnsi="Courier New" w:cs="Courier New"/>
                <w:sz w:val="20"/>
                <w:szCs w:val="20"/>
              </w:rPr>
              <w:t>Name and annual quantity (metric tons) of each carbon-containing fuel and feedstock.</w:t>
            </w:r>
          </w:p>
        </w:tc>
      </w:tr>
      <w:tr w:rsidR="005F27C4" w:rsidRPr="00EA6F91" w:rsidTr="005F27C4">
        <w:trPr>
          <w:trHeight w:val="548"/>
          <w:jc w:val="center"/>
        </w:trPr>
        <w:tc>
          <w:tcPr>
            <w:tcW w:w="987" w:type="dxa"/>
            <w:vMerge/>
            <w:tcBorders>
              <w:left w:val="single" w:sz="4" w:space="0" w:color="auto"/>
              <w:bottom w:val="single" w:sz="4" w:space="0" w:color="auto"/>
              <w:right w:val="single" w:sz="4" w:space="0" w:color="auto"/>
            </w:tcBorders>
            <w:shd w:val="clear" w:color="auto" w:fill="auto"/>
            <w:hideMark/>
          </w:tcPr>
          <w:p w:rsidR="005F27C4" w:rsidRPr="00EA6F91" w:rsidRDefault="005F27C4" w:rsidP="005F27C4">
            <w:pPr>
              <w:jc w:val="center"/>
              <w:rPr>
                <w:rFonts w:ascii="Courier New" w:hAnsi="Courier New" w:cs="Courier New"/>
                <w:sz w:val="20"/>
                <w:szCs w:val="20"/>
              </w:rPr>
            </w:pPr>
          </w:p>
        </w:tc>
        <w:tc>
          <w:tcPr>
            <w:tcW w:w="2094" w:type="dxa"/>
            <w:vMerge/>
            <w:tcBorders>
              <w:left w:val="nil"/>
              <w:bottom w:val="single" w:sz="4" w:space="0" w:color="auto"/>
              <w:right w:val="single" w:sz="4" w:space="0" w:color="auto"/>
            </w:tcBorders>
            <w:shd w:val="clear" w:color="auto" w:fill="auto"/>
            <w:hideMark/>
          </w:tcPr>
          <w:p w:rsidR="005F27C4" w:rsidRPr="00EA6F91" w:rsidRDefault="005F27C4" w:rsidP="005F27C4">
            <w:pPr>
              <w:rPr>
                <w:rFonts w:ascii="Courier New" w:hAnsi="Courier New" w:cs="Courier New"/>
                <w:sz w:val="20"/>
                <w:szCs w:val="20"/>
              </w:rPr>
            </w:pPr>
          </w:p>
        </w:tc>
        <w:tc>
          <w:tcPr>
            <w:tcW w:w="6385" w:type="dxa"/>
            <w:tcBorders>
              <w:top w:val="nil"/>
              <w:left w:val="nil"/>
              <w:bottom w:val="single" w:sz="4" w:space="0" w:color="auto"/>
              <w:right w:val="single" w:sz="4" w:space="0" w:color="auto"/>
            </w:tcBorders>
            <w:shd w:val="clear" w:color="auto" w:fill="auto"/>
            <w:hideMark/>
          </w:tcPr>
          <w:p w:rsidR="005F27C4" w:rsidRPr="00EA6F91" w:rsidRDefault="005F27C4" w:rsidP="005F27C4">
            <w:pPr>
              <w:rPr>
                <w:rFonts w:ascii="Courier New" w:hAnsi="Courier New" w:cs="Courier New"/>
                <w:sz w:val="20"/>
                <w:szCs w:val="20"/>
              </w:rPr>
            </w:pPr>
            <w:r w:rsidRPr="00EA6F91">
              <w:rPr>
                <w:rFonts w:ascii="Courier New" w:hAnsi="Courier New" w:cs="Courier New"/>
                <w:sz w:val="20"/>
                <w:szCs w:val="20"/>
              </w:rPr>
              <w:t>Annual methanol production (metric tons), if this quantity is not reported under subpart X of 40 CFR part 98.</w:t>
            </w:r>
          </w:p>
        </w:tc>
      </w:tr>
      <w:tr w:rsidR="005F27C4" w:rsidRPr="00EA6F91" w:rsidTr="005F27C4">
        <w:trPr>
          <w:trHeight w:val="1772"/>
          <w:jc w:val="center"/>
        </w:trPr>
        <w:tc>
          <w:tcPr>
            <w:tcW w:w="987" w:type="dxa"/>
            <w:vMerge w:val="restart"/>
            <w:tcBorders>
              <w:top w:val="nil"/>
              <w:left w:val="single" w:sz="4" w:space="0" w:color="auto"/>
              <w:right w:val="single" w:sz="4" w:space="0" w:color="auto"/>
            </w:tcBorders>
            <w:shd w:val="clear" w:color="auto" w:fill="auto"/>
            <w:hideMark/>
          </w:tcPr>
          <w:p w:rsidR="005F27C4" w:rsidRPr="00EA6F91" w:rsidRDefault="005F27C4" w:rsidP="005F27C4">
            <w:pPr>
              <w:jc w:val="center"/>
              <w:rPr>
                <w:rFonts w:ascii="Courier New" w:hAnsi="Courier New" w:cs="Courier New"/>
                <w:sz w:val="20"/>
                <w:szCs w:val="20"/>
              </w:rPr>
            </w:pPr>
            <w:r w:rsidRPr="00EA6F91">
              <w:rPr>
                <w:rFonts w:ascii="Courier New" w:hAnsi="Courier New" w:cs="Courier New"/>
                <w:sz w:val="20"/>
                <w:szCs w:val="20"/>
              </w:rPr>
              <w:t>Q</w:t>
            </w:r>
          </w:p>
        </w:tc>
        <w:tc>
          <w:tcPr>
            <w:tcW w:w="2094" w:type="dxa"/>
            <w:vMerge w:val="restart"/>
            <w:tcBorders>
              <w:top w:val="nil"/>
              <w:left w:val="nil"/>
              <w:right w:val="single" w:sz="4" w:space="0" w:color="auto"/>
            </w:tcBorders>
            <w:shd w:val="clear" w:color="auto" w:fill="auto"/>
            <w:hideMark/>
          </w:tcPr>
          <w:p w:rsidR="005F27C4" w:rsidRPr="00EA6F91" w:rsidRDefault="005F27C4" w:rsidP="005F27C4">
            <w:pPr>
              <w:rPr>
                <w:rFonts w:ascii="Courier New" w:hAnsi="Courier New" w:cs="Courier New"/>
                <w:sz w:val="20"/>
                <w:szCs w:val="20"/>
              </w:rPr>
            </w:pPr>
            <w:r w:rsidRPr="00EA6F91">
              <w:rPr>
                <w:rFonts w:ascii="Courier New" w:hAnsi="Courier New" w:cs="Courier New"/>
                <w:sz w:val="20"/>
                <w:szCs w:val="20"/>
              </w:rPr>
              <w:t>Iron and Steel Production</w:t>
            </w:r>
          </w:p>
        </w:tc>
        <w:tc>
          <w:tcPr>
            <w:tcW w:w="6385" w:type="dxa"/>
            <w:tcBorders>
              <w:top w:val="nil"/>
              <w:left w:val="nil"/>
              <w:bottom w:val="single" w:sz="4" w:space="0" w:color="auto"/>
              <w:right w:val="single" w:sz="4" w:space="0" w:color="auto"/>
            </w:tcBorders>
            <w:shd w:val="clear" w:color="auto" w:fill="auto"/>
            <w:hideMark/>
          </w:tcPr>
          <w:p w:rsidR="005F27C4" w:rsidRPr="00EA6F91" w:rsidRDefault="005F27C4" w:rsidP="005F27C4">
            <w:pPr>
              <w:rPr>
                <w:rFonts w:ascii="Courier New" w:hAnsi="Courier New" w:cs="Courier New"/>
                <w:sz w:val="20"/>
                <w:szCs w:val="20"/>
              </w:rPr>
            </w:pPr>
            <w:r w:rsidRPr="00EA6F91">
              <w:rPr>
                <w:rFonts w:ascii="Courier New" w:hAnsi="Courier New" w:cs="Courier New"/>
                <w:sz w:val="20"/>
                <w:szCs w:val="20"/>
              </w:rPr>
              <w:t>If you use the carbon mass balance method in §98.173(b)(1) to determine CO</w:t>
            </w:r>
            <w:r w:rsidRPr="00EA6F91">
              <w:rPr>
                <w:rFonts w:ascii="Courier New" w:hAnsi="Courier New" w:cs="Courier New"/>
                <w:sz w:val="20"/>
                <w:szCs w:val="20"/>
                <w:vertAlign w:val="subscript"/>
              </w:rPr>
              <w:t>2</w:t>
            </w:r>
            <w:r w:rsidRPr="00EA6F91">
              <w:rPr>
                <w:rFonts w:ascii="Courier New" w:hAnsi="Courier New" w:cs="Courier New"/>
                <w:sz w:val="20"/>
                <w:szCs w:val="20"/>
              </w:rPr>
              <w:t xml:space="preserve"> emissions:  The annual mass (metric tons) of all gaseous, liquid, and solid fuels (combined) used in process units specified in Equations Q-1 through Q-7 of 40 CFR part 98, calculated as specified in a proposed new Equation Q-9 in the proposed rule amendments. Do not include fuel used in a stationary combustion unit where emissions are reported under subpart C of this part.</w:t>
            </w:r>
          </w:p>
        </w:tc>
      </w:tr>
      <w:tr w:rsidR="005F27C4" w:rsidRPr="00EA6F91" w:rsidTr="005F27C4">
        <w:trPr>
          <w:trHeight w:val="1313"/>
          <w:jc w:val="center"/>
        </w:trPr>
        <w:tc>
          <w:tcPr>
            <w:tcW w:w="987" w:type="dxa"/>
            <w:vMerge/>
            <w:tcBorders>
              <w:left w:val="single" w:sz="4" w:space="0" w:color="auto"/>
              <w:right w:val="single" w:sz="4" w:space="0" w:color="auto"/>
            </w:tcBorders>
            <w:shd w:val="clear" w:color="auto" w:fill="auto"/>
            <w:hideMark/>
          </w:tcPr>
          <w:p w:rsidR="005F27C4" w:rsidRPr="00EA6F91" w:rsidRDefault="005F27C4" w:rsidP="005F27C4">
            <w:pPr>
              <w:jc w:val="center"/>
              <w:rPr>
                <w:rFonts w:ascii="Courier New" w:hAnsi="Courier New" w:cs="Courier New"/>
                <w:sz w:val="20"/>
                <w:szCs w:val="20"/>
              </w:rPr>
            </w:pPr>
          </w:p>
        </w:tc>
        <w:tc>
          <w:tcPr>
            <w:tcW w:w="2094" w:type="dxa"/>
            <w:vMerge/>
            <w:tcBorders>
              <w:left w:val="nil"/>
              <w:right w:val="single" w:sz="4" w:space="0" w:color="auto"/>
            </w:tcBorders>
            <w:shd w:val="clear" w:color="auto" w:fill="auto"/>
            <w:hideMark/>
          </w:tcPr>
          <w:p w:rsidR="005F27C4" w:rsidRPr="00EA6F91" w:rsidRDefault="005F27C4" w:rsidP="005F27C4">
            <w:pPr>
              <w:rPr>
                <w:rFonts w:ascii="Courier New" w:hAnsi="Courier New" w:cs="Courier New"/>
                <w:sz w:val="20"/>
                <w:szCs w:val="20"/>
              </w:rPr>
            </w:pPr>
          </w:p>
        </w:tc>
        <w:tc>
          <w:tcPr>
            <w:tcW w:w="6385" w:type="dxa"/>
            <w:tcBorders>
              <w:top w:val="single" w:sz="4" w:space="0" w:color="auto"/>
              <w:left w:val="nil"/>
              <w:bottom w:val="single" w:sz="4" w:space="0" w:color="auto"/>
              <w:right w:val="single" w:sz="4" w:space="0" w:color="auto"/>
            </w:tcBorders>
            <w:shd w:val="clear" w:color="auto" w:fill="auto"/>
            <w:hideMark/>
          </w:tcPr>
          <w:p w:rsidR="005F27C4" w:rsidRPr="00EA6F91" w:rsidRDefault="005F27C4" w:rsidP="005F27C4">
            <w:pPr>
              <w:rPr>
                <w:rFonts w:ascii="Courier New" w:hAnsi="Courier New" w:cs="Courier New"/>
                <w:sz w:val="20"/>
                <w:szCs w:val="20"/>
              </w:rPr>
            </w:pPr>
            <w:r w:rsidRPr="00EA6F91">
              <w:rPr>
                <w:rFonts w:ascii="Courier New" w:hAnsi="Courier New" w:cs="Courier New"/>
                <w:sz w:val="20"/>
                <w:szCs w:val="20"/>
              </w:rPr>
              <w:t>If you use the carbon mass balance method in §98.173(b)(1) to determine CO</w:t>
            </w:r>
            <w:r w:rsidRPr="00EA6F91">
              <w:rPr>
                <w:rFonts w:ascii="Courier New" w:hAnsi="Courier New" w:cs="Courier New"/>
                <w:sz w:val="20"/>
                <w:szCs w:val="20"/>
                <w:vertAlign w:val="subscript"/>
              </w:rPr>
              <w:t>2</w:t>
            </w:r>
            <w:r w:rsidRPr="00EA6F91">
              <w:rPr>
                <w:rFonts w:ascii="Courier New" w:hAnsi="Courier New" w:cs="Courier New"/>
                <w:sz w:val="20"/>
                <w:szCs w:val="20"/>
              </w:rPr>
              <w:t xml:space="preserve"> emissions:  </w:t>
            </w:r>
            <w:r w:rsidRPr="00EA6F91">
              <w:rPr>
                <w:rFonts w:ascii="Courier New" w:eastAsiaTheme="minorEastAsia" w:hAnsi="Courier New" w:cs="Courier New"/>
                <w:sz w:val="20"/>
                <w:szCs w:val="20"/>
              </w:rPr>
              <w:t xml:space="preserve">The annual mass (metric tons) of all non-fuel material inputs </w:t>
            </w:r>
            <w:r w:rsidRPr="00EA6F91">
              <w:rPr>
                <w:rFonts w:ascii="Courier New" w:hAnsi="Courier New" w:cs="Courier New"/>
                <w:sz w:val="20"/>
                <w:szCs w:val="20"/>
              </w:rPr>
              <w:t xml:space="preserve">(combined) </w:t>
            </w:r>
            <w:r w:rsidRPr="00EA6F91">
              <w:rPr>
                <w:rFonts w:ascii="Courier New" w:eastAsiaTheme="minorEastAsia" w:hAnsi="Courier New" w:cs="Courier New"/>
                <w:sz w:val="20"/>
                <w:szCs w:val="20"/>
              </w:rPr>
              <w:t>specified in Equations Q-1 through Q-7</w:t>
            </w:r>
            <w:r w:rsidRPr="00EA6F91">
              <w:rPr>
                <w:rFonts w:ascii="Courier New" w:hAnsi="Courier New" w:cs="Courier New"/>
                <w:sz w:val="20"/>
                <w:szCs w:val="20"/>
              </w:rPr>
              <w:t xml:space="preserve"> of 40 CFR part 98</w:t>
            </w:r>
            <w:r w:rsidRPr="00EA6F91">
              <w:rPr>
                <w:rFonts w:ascii="Courier New" w:eastAsiaTheme="minorEastAsia" w:hAnsi="Courier New" w:cs="Courier New"/>
                <w:sz w:val="20"/>
                <w:szCs w:val="20"/>
              </w:rPr>
              <w:t xml:space="preserve">, calculated as specified in a </w:t>
            </w:r>
            <w:r w:rsidRPr="00EA6F91">
              <w:rPr>
                <w:rFonts w:ascii="Courier New" w:hAnsi="Courier New" w:cs="Courier New"/>
                <w:sz w:val="20"/>
                <w:szCs w:val="20"/>
              </w:rPr>
              <w:t xml:space="preserve">proposed </w:t>
            </w:r>
            <w:r w:rsidRPr="00EA6F91">
              <w:rPr>
                <w:rFonts w:ascii="Courier New" w:eastAsiaTheme="minorEastAsia" w:hAnsi="Courier New" w:cs="Courier New"/>
                <w:sz w:val="20"/>
                <w:szCs w:val="20"/>
              </w:rPr>
              <w:t xml:space="preserve">new Equation Q-10 </w:t>
            </w:r>
            <w:r w:rsidRPr="00EA6F91">
              <w:rPr>
                <w:rFonts w:ascii="Courier New" w:hAnsi="Courier New" w:cs="Courier New"/>
                <w:sz w:val="20"/>
                <w:szCs w:val="20"/>
              </w:rPr>
              <w:t>in the proposed rule amendments</w:t>
            </w:r>
            <w:r w:rsidRPr="00EA6F91">
              <w:rPr>
                <w:rFonts w:ascii="Courier New" w:eastAsiaTheme="minorEastAsia" w:hAnsi="Courier New" w:cs="Courier New"/>
                <w:sz w:val="20"/>
                <w:szCs w:val="20"/>
              </w:rPr>
              <w:t>.</w:t>
            </w:r>
          </w:p>
        </w:tc>
      </w:tr>
      <w:tr w:rsidR="005F27C4" w:rsidRPr="00EA6F91" w:rsidTr="005F27C4">
        <w:trPr>
          <w:trHeight w:val="1322"/>
          <w:jc w:val="center"/>
        </w:trPr>
        <w:tc>
          <w:tcPr>
            <w:tcW w:w="987" w:type="dxa"/>
            <w:vMerge/>
            <w:tcBorders>
              <w:left w:val="single" w:sz="4" w:space="0" w:color="auto"/>
              <w:right w:val="single" w:sz="4" w:space="0" w:color="auto"/>
            </w:tcBorders>
            <w:shd w:val="clear" w:color="auto" w:fill="auto"/>
            <w:hideMark/>
          </w:tcPr>
          <w:p w:rsidR="005F27C4" w:rsidRPr="00EA6F91" w:rsidRDefault="005F27C4" w:rsidP="005F27C4">
            <w:pPr>
              <w:jc w:val="center"/>
              <w:rPr>
                <w:rFonts w:ascii="Courier New" w:hAnsi="Courier New" w:cs="Courier New"/>
                <w:sz w:val="20"/>
                <w:szCs w:val="20"/>
              </w:rPr>
            </w:pPr>
          </w:p>
        </w:tc>
        <w:tc>
          <w:tcPr>
            <w:tcW w:w="2094" w:type="dxa"/>
            <w:vMerge/>
            <w:tcBorders>
              <w:left w:val="nil"/>
              <w:right w:val="single" w:sz="4" w:space="0" w:color="auto"/>
            </w:tcBorders>
            <w:shd w:val="clear" w:color="auto" w:fill="auto"/>
            <w:hideMark/>
          </w:tcPr>
          <w:p w:rsidR="005F27C4" w:rsidRPr="00EA6F91" w:rsidRDefault="005F27C4" w:rsidP="005F27C4">
            <w:pPr>
              <w:rPr>
                <w:rFonts w:ascii="Courier New" w:hAnsi="Courier New" w:cs="Courier New"/>
                <w:sz w:val="20"/>
                <w:szCs w:val="20"/>
              </w:rPr>
            </w:pPr>
          </w:p>
        </w:tc>
        <w:tc>
          <w:tcPr>
            <w:tcW w:w="6385" w:type="dxa"/>
            <w:tcBorders>
              <w:top w:val="single" w:sz="4" w:space="0" w:color="auto"/>
              <w:left w:val="nil"/>
              <w:bottom w:val="single" w:sz="4" w:space="0" w:color="auto"/>
              <w:right w:val="single" w:sz="4" w:space="0" w:color="auto"/>
            </w:tcBorders>
            <w:shd w:val="clear" w:color="auto" w:fill="auto"/>
            <w:hideMark/>
          </w:tcPr>
          <w:p w:rsidR="005F27C4" w:rsidRPr="00EA6F91" w:rsidRDefault="005F27C4" w:rsidP="005F27C4">
            <w:pPr>
              <w:rPr>
                <w:rFonts w:ascii="Courier New" w:eastAsiaTheme="minorEastAsia" w:hAnsi="Courier New" w:cs="Courier New"/>
                <w:sz w:val="20"/>
                <w:szCs w:val="20"/>
              </w:rPr>
            </w:pPr>
            <w:r w:rsidRPr="00EA6F91">
              <w:rPr>
                <w:rFonts w:ascii="Courier New" w:hAnsi="Courier New" w:cs="Courier New"/>
                <w:sz w:val="20"/>
                <w:szCs w:val="20"/>
              </w:rPr>
              <w:t>If you use the carbon mass balance method in §98.173(b)(1) to determine CO</w:t>
            </w:r>
            <w:r w:rsidRPr="00EA6F91">
              <w:rPr>
                <w:rFonts w:ascii="Courier New" w:hAnsi="Courier New" w:cs="Courier New"/>
                <w:sz w:val="20"/>
                <w:szCs w:val="20"/>
                <w:vertAlign w:val="subscript"/>
              </w:rPr>
              <w:t>2</w:t>
            </w:r>
            <w:r w:rsidRPr="00EA6F91">
              <w:rPr>
                <w:rFonts w:ascii="Courier New" w:hAnsi="Courier New" w:cs="Courier New"/>
                <w:sz w:val="20"/>
                <w:szCs w:val="20"/>
              </w:rPr>
              <w:t xml:space="preserve"> emissions:  </w:t>
            </w:r>
            <w:r w:rsidRPr="00EA6F91">
              <w:rPr>
                <w:rFonts w:ascii="Courier New" w:eastAsiaTheme="minorEastAsia" w:hAnsi="Courier New" w:cs="Courier New"/>
                <w:sz w:val="20"/>
                <w:szCs w:val="20"/>
              </w:rPr>
              <w:t xml:space="preserve">The annual mass (metric tons) of all solid and liquid products and byproducts </w:t>
            </w:r>
            <w:r w:rsidRPr="00EA6F91">
              <w:rPr>
                <w:rFonts w:ascii="Courier New" w:hAnsi="Courier New" w:cs="Courier New"/>
                <w:sz w:val="20"/>
                <w:szCs w:val="20"/>
              </w:rPr>
              <w:t xml:space="preserve">(combined) </w:t>
            </w:r>
            <w:r w:rsidRPr="00EA6F91">
              <w:rPr>
                <w:rFonts w:ascii="Courier New" w:eastAsiaTheme="minorEastAsia" w:hAnsi="Courier New" w:cs="Courier New"/>
                <w:sz w:val="20"/>
                <w:szCs w:val="20"/>
              </w:rPr>
              <w:t>specified in Equations Q-1 through Q-7</w:t>
            </w:r>
            <w:r w:rsidRPr="00EA6F91">
              <w:rPr>
                <w:rFonts w:ascii="Courier New" w:hAnsi="Courier New" w:cs="Courier New"/>
                <w:sz w:val="20"/>
                <w:szCs w:val="20"/>
              </w:rPr>
              <w:t xml:space="preserve"> of 40 CFR part 98</w:t>
            </w:r>
            <w:r w:rsidRPr="00EA6F91">
              <w:rPr>
                <w:rFonts w:ascii="Courier New" w:eastAsiaTheme="minorEastAsia" w:hAnsi="Courier New" w:cs="Courier New"/>
                <w:sz w:val="20"/>
                <w:szCs w:val="20"/>
              </w:rPr>
              <w:t xml:space="preserve">, calculated as specified in a </w:t>
            </w:r>
            <w:r w:rsidRPr="00EA6F91">
              <w:rPr>
                <w:rFonts w:ascii="Courier New" w:hAnsi="Courier New" w:cs="Courier New"/>
                <w:sz w:val="20"/>
                <w:szCs w:val="20"/>
              </w:rPr>
              <w:t xml:space="preserve">proposed </w:t>
            </w:r>
            <w:r w:rsidRPr="00EA6F91">
              <w:rPr>
                <w:rFonts w:ascii="Courier New" w:eastAsiaTheme="minorEastAsia" w:hAnsi="Courier New" w:cs="Courier New"/>
                <w:sz w:val="20"/>
                <w:szCs w:val="20"/>
              </w:rPr>
              <w:t xml:space="preserve">new Equation Q-11 </w:t>
            </w:r>
            <w:r w:rsidRPr="00EA6F91">
              <w:rPr>
                <w:rFonts w:ascii="Courier New" w:hAnsi="Courier New" w:cs="Courier New"/>
                <w:sz w:val="20"/>
                <w:szCs w:val="20"/>
              </w:rPr>
              <w:t>in the proposed rule amendments</w:t>
            </w:r>
            <w:r w:rsidRPr="00EA6F91">
              <w:rPr>
                <w:rFonts w:ascii="Courier New" w:eastAsiaTheme="minorEastAsia" w:hAnsi="Courier New" w:cs="Courier New"/>
                <w:sz w:val="20"/>
                <w:szCs w:val="20"/>
              </w:rPr>
              <w:t>.</w:t>
            </w:r>
          </w:p>
        </w:tc>
      </w:tr>
      <w:tr w:rsidR="005F27C4" w:rsidRPr="00EA6F91" w:rsidTr="005F27C4">
        <w:trPr>
          <w:trHeight w:val="1268"/>
          <w:jc w:val="center"/>
        </w:trPr>
        <w:tc>
          <w:tcPr>
            <w:tcW w:w="987" w:type="dxa"/>
            <w:vMerge/>
            <w:tcBorders>
              <w:left w:val="single" w:sz="4" w:space="0" w:color="auto"/>
              <w:right w:val="single" w:sz="4" w:space="0" w:color="auto"/>
            </w:tcBorders>
            <w:shd w:val="clear" w:color="auto" w:fill="auto"/>
            <w:hideMark/>
          </w:tcPr>
          <w:p w:rsidR="005F27C4" w:rsidRPr="00EA6F91" w:rsidRDefault="005F27C4" w:rsidP="005F27C4">
            <w:pPr>
              <w:jc w:val="center"/>
              <w:rPr>
                <w:rFonts w:ascii="Courier New" w:hAnsi="Courier New" w:cs="Courier New"/>
                <w:sz w:val="20"/>
                <w:szCs w:val="20"/>
              </w:rPr>
            </w:pPr>
          </w:p>
        </w:tc>
        <w:tc>
          <w:tcPr>
            <w:tcW w:w="2094" w:type="dxa"/>
            <w:vMerge/>
            <w:tcBorders>
              <w:left w:val="nil"/>
              <w:right w:val="single" w:sz="4" w:space="0" w:color="auto"/>
            </w:tcBorders>
            <w:shd w:val="clear" w:color="auto" w:fill="auto"/>
            <w:hideMark/>
          </w:tcPr>
          <w:p w:rsidR="005F27C4" w:rsidRPr="00EA6F91" w:rsidRDefault="005F27C4" w:rsidP="005F27C4">
            <w:pPr>
              <w:rPr>
                <w:rFonts w:ascii="Courier New" w:hAnsi="Courier New" w:cs="Courier New"/>
                <w:sz w:val="20"/>
                <w:szCs w:val="20"/>
              </w:rPr>
            </w:pPr>
          </w:p>
        </w:tc>
        <w:tc>
          <w:tcPr>
            <w:tcW w:w="6385" w:type="dxa"/>
            <w:tcBorders>
              <w:top w:val="nil"/>
              <w:left w:val="nil"/>
              <w:bottom w:val="single" w:sz="4" w:space="0" w:color="auto"/>
              <w:right w:val="single" w:sz="4" w:space="0" w:color="auto"/>
            </w:tcBorders>
            <w:shd w:val="clear" w:color="auto" w:fill="auto"/>
            <w:hideMark/>
          </w:tcPr>
          <w:p w:rsidR="005F27C4" w:rsidRPr="00EA6F91" w:rsidRDefault="005F27C4" w:rsidP="005F27C4">
            <w:pPr>
              <w:rPr>
                <w:rFonts w:ascii="Courier New" w:hAnsi="Courier New" w:cs="Courier New"/>
                <w:sz w:val="20"/>
                <w:szCs w:val="20"/>
              </w:rPr>
            </w:pPr>
            <w:r w:rsidRPr="00EA6F91">
              <w:rPr>
                <w:rFonts w:ascii="Courier New" w:hAnsi="Courier New" w:cs="Courier New"/>
                <w:sz w:val="20"/>
                <w:szCs w:val="20"/>
              </w:rPr>
              <w:t>If you use the carbon mass balance method in §98.173(b)(1) to determine CO</w:t>
            </w:r>
            <w:r w:rsidRPr="00EA6F91">
              <w:rPr>
                <w:rFonts w:ascii="Courier New" w:hAnsi="Courier New" w:cs="Courier New"/>
                <w:sz w:val="20"/>
                <w:szCs w:val="20"/>
                <w:vertAlign w:val="subscript"/>
              </w:rPr>
              <w:t>2</w:t>
            </w:r>
            <w:r w:rsidRPr="00EA6F91">
              <w:rPr>
                <w:rFonts w:ascii="Courier New" w:hAnsi="Courier New" w:cs="Courier New"/>
                <w:sz w:val="20"/>
                <w:szCs w:val="20"/>
              </w:rPr>
              <w:t xml:space="preserve"> emissions:  </w:t>
            </w:r>
            <w:r w:rsidRPr="00EA6F91">
              <w:rPr>
                <w:rFonts w:ascii="Courier New" w:eastAsiaTheme="minorEastAsia" w:hAnsi="Courier New" w:cs="Courier New"/>
                <w:sz w:val="20"/>
                <w:szCs w:val="20"/>
              </w:rPr>
              <w:t xml:space="preserve">The weighted average carbon content of all </w:t>
            </w:r>
            <w:r w:rsidRPr="00EA6F91">
              <w:rPr>
                <w:rFonts w:ascii="Courier New" w:hAnsi="Courier New" w:cs="Courier New"/>
                <w:sz w:val="20"/>
                <w:szCs w:val="20"/>
              </w:rPr>
              <w:t xml:space="preserve">gaseous, liquid, and solid fuels (combined) </w:t>
            </w:r>
            <w:r w:rsidRPr="00EA6F91">
              <w:rPr>
                <w:rFonts w:ascii="Courier New" w:eastAsiaTheme="minorEastAsia" w:hAnsi="Courier New" w:cs="Courier New"/>
                <w:sz w:val="20"/>
                <w:szCs w:val="20"/>
              </w:rPr>
              <w:t xml:space="preserve">included in proposed new Equation Q-9, calculated as specified in a </w:t>
            </w:r>
            <w:r w:rsidRPr="00EA6F91">
              <w:rPr>
                <w:rFonts w:ascii="Courier New" w:hAnsi="Courier New" w:cs="Courier New"/>
                <w:sz w:val="20"/>
                <w:szCs w:val="20"/>
              </w:rPr>
              <w:t xml:space="preserve">proposed </w:t>
            </w:r>
            <w:r w:rsidRPr="00EA6F91">
              <w:rPr>
                <w:rFonts w:ascii="Courier New" w:eastAsiaTheme="minorEastAsia" w:hAnsi="Courier New" w:cs="Courier New"/>
                <w:sz w:val="20"/>
                <w:szCs w:val="20"/>
              </w:rPr>
              <w:t xml:space="preserve">new Equation Q-12 </w:t>
            </w:r>
            <w:r w:rsidRPr="00EA6F91">
              <w:rPr>
                <w:rFonts w:ascii="Courier New" w:hAnsi="Courier New" w:cs="Courier New"/>
                <w:sz w:val="20"/>
                <w:szCs w:val="20"/>
              </w:rPr>
              <w:t>in the proposed rule amendments</w:t>
            </w:r>
            <w:r w:rsidRPr="00EA6F91">
              <w:rPr>
                <w:rFonts w:ascii="Courier New" w:eastAsiaTheme="minorEastAsia" w:hAnsi="Courier New" w:cs="Courier New"/>
                <w:sz w:val="20"/>
                <w:szCs w:val="20"/>
              </w:rPr>
              <w:t>.</w:t>
            </w:r>
          </w:p>
        </w:tc>
      </w:tr>
      <w:tr w:rsidR="005F27C4" w:rsidRPr="00EA6F91" w:rsidTr="005F27C4">
        <w:trPr>
          <w:trHeight w:val="1250"/>
          <w:jc w:val="center"/>
        </w:trPr>
        <w:tc>
          <w:tcPr>
            <w:tcW w:w="987" w:type="dxa"/>
            <w:vMerge/>
            <w:tcBorders>
              <w:left w:val="single" w:sz="4" w:space="0" w:color="auto"/>
              <w:right w:val="single" w:sz="4" w:space="0" w:color="auto"/>
            </w:tcBorders>
            <w:shd w:val="clear" w:color="auto" w:fill="auto"/>
            <w:hideMark/>
          </w:tcPr>
          <w:p w:rsidR="005F27C4" w:rsidRPr="00EA6F91" w:rsidRDefault="005F27C4" w:rsidP="005F27C4">
            <w:pPr>
              <w:jc w:val="center"/>
              <w:rPr>
                <w:rFonts w:ascii="Courier New" w:hAnsi="Courier New" w:cs="Courier New"/>
                <w:sz w:val="20"/>
                <w:szCs w:val="20"/>
              </w:rPr>
            </w:pPr>
          </w:p>
        </w:tc>
        <w:tc>
          <w:tcPr>
            <w:tcW w:w="2094" w:type="dxa"/>
            <w:vMerge/>
            <w:tcBorders>
              <w:left w:val="nil"/>
              <w:right w:val="single" w:sz="4" w:space="0" w:color="auto"/>
            </w:tcBorders>
            <w:shd w:val="clear" w:color="auto" w:fill="auto"/>
            <w:hideMark/>
          </w:tcPr>
          <w:p w:rsidR="005F27C4" w:rsidRPr="00EA6F91" w:rsidRDefault="005F27C4" w:rsidP="005F27C4">
            <w:pPr>
              <w:rPr>
                <w:rFonts w:ascii="Courier New" w:hAnsi="Courier New" w:cs="Courier New"/>
                <w:sz w:val="20"/>
                <w:szCs w:val="20"/>
              </w:rPr>
            </w:pPr>
          </w:p>
        </w:tc>
        <w:tc>
          <w:tcPr>
            <w:tcW w:w="6385" w:type="dxa"/>
            <w:tcBorders>
              <w:top w:val="single" w:sz="4" w:space="0" w:color="auto"/>
              <w:left w:val="nil"/>
              <w:bottom w:val="single" w:sz="4" w:space="0" w:color="auto"/>
              <w:right w:val="single" w:sz="4" w:space="0" w:color="auto"/>
            </w:tcBorders>
            <w:shd w:val="clear" w:color="auto" w:fill="auto"/>
            <w:hideMark/>
          </w:tcPr>
          <w:p w:rsidR="005F27C4" w:rsidRPr="00EA6F91" w:rsidRDefault="005F27C4" w:rsidP="005F27C4">
            <w:pPr>
              <w:rPr>
                <w:rFonts w:ascii="Courier New" w:eastAsiaTheme="minorEastAsia" w:hAnsi="Courier New" w:cs="Courier New"/>
                <w:sz w:val="20"/>
                <w:szCs w:val="20"/>
              </w:rPr>
            </w:pPr>
            <w:r w:rsidRPr="00EA6F91">
              <w:rPr>
                <w:rFonts w:ascii="Courier New" w:hAnsi="Courier New" w:cs="Courier New"/>
                <w:sz w:val="20"/>
                <w:szCs w:val="20"/>
              </w:rPr>
              <w:t>If you use the carbon mass balance method in §98.173(b)(1) to determine CO</w:t>
            </w:r>
            <w:r w:rsidRPr="00EA6F91">
              <w:rPr>
                <w:rFonts w:ascii="Courier New" w:hAnsi="Courier New" w:cs="Courier New"/>
                <w:sz w:val="20"/>
                <w:szCs w:val="20"/>
                <w:vertAlign w:val="subscript"/>
              </w:rPr>
              <w:t>2</w:t>
            </w:r>
            <w:r w:rsidRPr="00EA6F91">
              <w:rPr>
                <w:rFonts w:ascii="Courier New" w:hAnsi="Courier New" w:cs="Courier New"/>
                <w:sz w:val="20"/>
                <w:szCs w:val="20"/>
              </w:rPr>
              <w:t xml:space="preserve"> emissions:  </w:t>
            </w:r>
            <w:r w:rsidRPr="00EA6F91">
              <w:rPr>
                <w:rFonts w:ascii="Courier New" w:eastAsiaTheme="minorEastAsia" w:hAnsi="Courier New" w:cs="Courier New"/>
                <w:sz w:val="20"/>
                <w:szCs w:val="20"/>
              </w:rPr>
              <w:t xml:space="preserve">The weighted average carbon content of all non-fuel inputs to all furnaces </w:t>
            </w:r>
            <w:r w:rsidRPr="00EA6F91">
              <w:rPr>
                <w:rFonts w:ascii="Courier New" w:hAnsi="Courier New" w:cs="Courier New"/>
                <w:sz w:val="20"/>
                <w:szCs w:val="20"/>
              </w:rPr>
              <w:t xml:space="preserve">(combined) </w:t>
            </w:r>
            <w:r w:rsidRPr="00EA6F91">
              <w:rPr>
                <w:rFonts w:ascii="Courier New" w:eastAsiaTheme="minorEastAsia" w:hAnsi="Courier New" w:cs="Courier New"/>
                <w:sz w:val="20"/>
                <w:szCs w:val="20"/>
              </w:rPr>
              <w:t xml:space="preserve">included in </w:t>
            </w:r>
            <w:r w:rsidRPr="00EA6F91">
              <w:rPr>
                <w:rFonts w:ascii="Courier New" w:hAnsi="Courier New" w:cs="Courier New"/>
                <w:sz w:val="20"/>
                <w:szCs w:val="20"/>
              </w:rPr>
              <w:t xml:space="preserve">proposed new </w:t>
            </w:r>
            <w:r w:rsidRPr="00EA6F91">
              <w:rPr>
                <w:rFonts w:ascii="Courier New" w:eastAsiaTheme="minorEastAsia" w:hAnsi="Courier New" w:cs="Courier New"/>
                <w:sz w:val="20"/>
                <w:szCs w:val="20"/>
              </w:rPr>
              <w:t xml:space="preserve">Equation Q-10, calculated as specified in a </w:t>
            </w:r>
            <w:r w:rsidRPr="00EA6F91">
              <w:rPr>
                <w:rFonts w:ascii="Courier New" w:hAnsi="Courier New" w:cs="Courier New"/>
                <w:sz w:val="20"/>
                <w:szCs w:val="20"/>
              </w:rPr>
              <w:t xml:space="preserve">proposed </w:t>
            </w:r>
            <w:r w:rsidRPr="00EA6F91">
              <w:rPr>
                <w:rFonts w:ascii="Courier New" w:eastAsiaTheme="minorEastAsia" w:hAnsi="Courier New" w:cs="Courier New"/>
                <w:sz w:val="20"/>
                <w:szCs w:val="20"/>
              </w:rPr>
              <w:t xml:space="preserve">new Equation Q-13 </w:t>
            </w:r>
            <w:r w:rsidRPr="00EA6F91">
              <w:rPr>
                <w:rFonts w:ascii="Courier New" w:hAnsi="Courier New" w:cs="Courier New"/>
                <w:sz w:val="20"/>
                <w:szCs w:val="20"/>
              </w:rPr>
              <w:t>in the proposed rule amendments</w:t>
            </w:r>
            <w:r w:rsidRPr="00EA6F91">
              <w:rPr>
                <w:rFonts w:ascii="Courier New" w:eastAsiaTheme="minorEastAsia" w:hAnsi="Courier New" w:cs="Courier New"/>
                <w:sz w:val="20"/>
                <w:szCs w:val="20"/>
              </w:rPr>
              <w:t>.</w:t>
            </w:r>
          </w:p>
        </w:tc>
      </w:tr>
      <w:tr w:rsidR="005F27C4" w:rsidRPr="00EA6F91" w:rsidTr="005F27C4">
        <w:trPr>
          <w:trHeight w:val="1502"/>
          <w:jc w:val="center"/>
        </w:trPr>
        <w:tc>
          <w:tcPr>
            <w:tcW w:w="987" w:type="dxa"/>
            <w:vMerge/>
            <w:tcBorders>
              <w:left w:val="single" w:sz="4" w:space="0" w:color="auto"/>
              <w:right w:val="single" w:sz="4" w:space="0" w:color="auto"/>
            </w:tcBorders>
            <w:shd w:val="clear" w:color="auto" w:fill="auto"/>
            <w:hideMark/>
          </w:tcPr>
          <w:p w:rsidR="005F27C4" w:rsidRPr="00EA6F91" w:rsidRDefault="005F27C4" w:rsidP="005F27C4">
            <w:pPr>
              <w:jc w:val="center"/>
              <w:rPr>
                <w:rFonts w:ascii="Courier New" w:hAnsi="Courier New" w:cs="Courier New"/>
                <w:sz w:val="20"/>
                <w:szCs w:val="20"/>
              </w:rPr>
            </w:pPr>
          </w:p>
        </w:tc>
        <w:tc>
          <w:tcPr>
            <w:tcW w:w="2094" w:type="dxa"/>
            <w:vMerge/>
            <w:tcBorders>
              <w:left w:val="nil"/>
              <w:right w:val="single" w:sz="4" w:space="0" w:color="auto"/>
            </w:tcBorders>
            <w:shd w:val="clear" w:color="auto" w:fill="auto"/>
            <w:hideMark/>
          </w:tcPr>
          <w:p w:rsidR="005F27C4" w:rsidRPr="00EA6F91" w:rsidRDefault="005F27C4" w:rsidP="005F27C4">
            <w:pPr>
              <w:rPr>
                <w:rFonts w:ascii="Courier New" w:hAnsi="Courier New" w:cs="Courier New"/>
                <w:sz w:val="20"/>
                <w:szCs w:val="20"/>
              </w:rPr>
            </w:pPr>
          </w:p>
        </w:tc>
        <w:tc>
          <w:tcPr>
            <w:tcW w:w="6385" w:type="dxa"/>
            <w:tcBorders>
              <w:top w:val="single" w:sz="4" w:space="0" w:color="auto"/>
              <w:left w:val="nil"/>
              <w:bottom w:val="single" w:sz="4" w:space="0" w:color="auto"/>
              <w:right w:val="single" w:sz="4" w:space="0" w:color="auto"/>
            </w:tcBorders>
            <w:shd w:val="clear" w:color="auto" w:fill="auto"/>
            <w:hideMark/>
          </w:tcPr>
          <w:p w:rsidR="005F27C4" w:rsidRPr="00EA6F91" w:rsidRDefault="005F27C4" w:rsidP="005F27C4">
            <w:pPr>
              <w:rPr>
                <w:rFonts w:ascii="Courier New" w:eastAsiaTheme="minorEastAsia" w:hAnsi="Courier New" w:cs="Courier New"/>
                <w:sz w:val="20"/>
                <w:szCs w:val="20"/>
              </w:rPr>
            </w:pPr>
            <w:r w:rsidRPr="00EA6F91">
              <w:rPr>
                <w:rFonts w:ascii="Courier New" w:hAnsi="Courier New" w:cs="Courier New"/>
                <w:sz w:val="20"/>
                <w:szCs w:val="20"/>
              </w:rPr>
              <w:t>If you use the carbon mass balance method in §98.173(b)(1) to determine CO</w:t>
            </w:r>
            <w:r w:rsidRPr="00EA6F91">
              <w:rPr>
                <w:rFonts w:ascii="Courier New" w:hAnsi="Courier New" w:cs="Courier New"/>
                <w:sz w:val="20"/>
                <w:szCs w:val="20"/>
                <w:vertAlign w:val="subscript"/>
              </w:rPr>
              <w:t>2</w:t>
            </w:r>
            <w:r w:rsidRPr="00EA6F91">
              <w:rPr>
                <w:rFonts w:ascii="Courier New" w:hAnsi="Courier New" w:cs="Courier New"/>
                <w:sz w:val="20"/>
                <w:szCs w:val="20"/>
              </w:rPr>
              <w:t xml:space="preserve"> emissions:  </w:t>
            </w:r>
            <w:r w:rsidRPr="00EA6F91">
              <w:rPr>
                <w:rFonts w:ascii="Courier New" w:eastAsiaTheme="minorEastAsia" w:hAnsi="Courier New" w:cs="Courier New"/>
                <w:sz w:val="20"/>
                <w:szCs w:val="20"/>
              </w:rPr>
              <w:t xml:space="preserve">The weighted average carbon content of all solid and liquid products and byproducts from all furnaces </w:t>
            </w:r>
            <w:r w:rsidRPr="00EA6F91">
              <w:rPr>
                <w:rFonts w:ascii="Courier New" w:hAnsi="Courier New" w:cs="Courier New"/>
                <w:sz w:val="20"/>
                <w:szCs w:val="20"/>
              </w:rPr>
              <w:t xml:space="preserve">(combined) </w:t>
            </w:r>
            <w:r w:rsidRPr="00EA6F91">
              <w:rPr>
                <w:rFonts w:ascii="Courier New" w:eastAsiaTheme="minorEastAsia" w:hAnsi="Courier New" w:cs="Courier New"/>
                <w:sz w:val="20"/>
                <w:szCs w:val="20"/>
              </w:rPr>
              <w:t xml:space="preserve">included in a </w:t>
            </w:r>
            <w:r w:rsidRPr="00EA6F91">
              <w:rPr>
                <w:rFonts w:ascii="Courier New" w:hAnsi="Courier New" w:cs="Courier New"/>
                <w:sz w:val="20"/>
                <w:szCs w:val="20"/>
              </w:rPr>
              <w:t xml:space="preserve">proposed </w:t>
            </w:r>
            <w:r w:rsidRPr="00EA6F91">
              <w:rPr>
                <w:rFonts w:ascii="Courier New" w:eastAsiaTheme="minorEastAsia" w:hAnsi="Courier New" w:cs="Courier New"/>
                <w:sz w:val="20"/>
                <w:szCs w:val="20"/>
              </w:rPr>
              <w:t xml:space="preserve">new Equation Q-11 </w:t>
            </w:r>
            <w:r w:rsidRPr="00EA6F91">
              <w:rPr>
                <w:rFonts w:ascii="Courier New" w:hAnsi="Courier New" w:cs="Courier New"/>
                <w:sz w:val="20"/>
                <w:szCs w:val="20"/>
              </w:rPr>
              <w:t>in the proposed rule amendments</w:t>
            </w:r>
            <w:r w:rsidRPr="00EA6F91">
              <w:rPr>
                <w:rFonts w:ascii="Courier New" w:eastAsiaTheme="minorEastAsia" w:hAnsi="Courier New" w:cs="Courier New"/>
                <w:sz w:val="20"/>
                <w:szCs w:val="20"/>
              </w:rPr>
              <w:t>, calculated as specified in new Equation Q-14.</w:t>
            </w:r>
          </w:p>
        </w:tc>
      </w:tr>
      <w:tr w:rsidR="005F27C4" w:rsidRPr="00EA6F91" w:rsidTr="005F27C4">
        <w:trPr>
          <w:trHeight w:val="260"/>
          <w:jc w:val="center"/>
        </w:trPr>
        <w:tc>
          <w:tcPr>
            <w:tcW w:w="987" w:type="dxa"/>
            <w:tcBorders>
              <w:top w:val="single" w:sz="4" w:space="0" w:color="auto"/>
              <w:left w:val="single" w:sz="4" w:space="0" w:color="auto"/>
              <w:bottom w:val="single" w:sz="4" w:space="0" w:color="auto"/>
              <w:right w:val="single" w:sz="4" w:space="0" w:color="auto"/>
            </w:tcBorders>
            <w:shd w:val="clear" w:color="auto" w:fill="auto"/>
            <w:hideMark/>
          </w:tcPr>
          <w:p w:rsidR="005F27C4" w:rsidRPr="00EA6F91" w:rsidRDefault="005F27C4" w:rsidP="005F27C4">
            <w:pPr>
              <w:jc w:val="center"/>
              <w:rPr>
                <w:rFonts w:ascii="Courier New" w:hAnsi="Courier New" w:cs="Courier New"/>
                <w:sz w:val="20"/>
                <w:szCs w:val="20"/>
              </w:rPr>
            </w:pPr>
            <w:r w:rsidRPr="00EA6F91">
              <w:rPr>
                <w:rFonts w:ascii="Courier New" w:hAnsi="Courier New" w:cs="Courier New"/>
                <w:sz w:val="20"/>
                <w:szCs w:val="20"/>
              </w:rPr>
              <w:t>S</w:t>
            </w:r>
          </w:p>
        </w:tc>
        <w:tc>
          <w:tcPr>
            <w:tcW w:w="2094" w:type="dxa"/>
            <w:tcBorders>
              <w:top w:val="single" w:sz="4" w:space="0" w:color="auto"/>
              <w:left w:val="nil"/>
              <w:bottom w:val="single" w:sz="4" w:space="0" w:color="auto"/>
              <w:right w:val="single" w:sz="4" w:space="0" w:color="auto"/>
            </w:tcBorders>
            <w:shd w:val="clear" w:color="auto" w:fill="auto"/>
            <w:hideMark/>
          </w:tcPr>
          <w:p w:rsidR="005F27C4" w:rsidRPr="00EA6F91" w:rsidRDefault="005F27C4" w:rsidP="005F27C4">
            <w:pPr>
              <w:rPr>
                <w:rFonts w:ascii="Courier New" w:hAnsi="Courier New" w:cs="Courier New"/>
                <w:sz w:val="20"/>
                <w:szCs w:val="20"/>
              </w:rPr>
            </w:pPr>
            <w:r w:rsidRPr="00EA6F91">
              <w:rPr>
                <w:rFonts w:ascii="Courier New" w:hAnsi="Courier New" w:cs="Courier New"/>
                <w:sz w:val="20"/>
                <w:szCs w:val="20"/>
              </w:rPr>
              <w:t>Lime Manufacturing</w:t>
            </w:r>
          </w:p>
        </w:tc>
        <w:tc>
          <w:tcPr>
            <w:tcW w:w="6385" w:type="dxa"/>
            <w:tcBorders>
              <w:top w:val="nil"/>
              <w:left w:val="nil"/>
              <w:bottom w:val="single" w:sz="4" w:space="0" w:color="auto"/>
              <w:right w:val="single" w:sz="4" w:space="0" w:color="auto"/>
            </w:tcBorders>
            <w:shd w:val="clear" w:color="auto" w:fill="auto"/>
            <w:hideMark/>
          </w:tcPr>
          <w:p w:rsidR="005F27C4" w:rsidRPr="00EA6F91" w:rsidRDefault="005F27C4" w:rsidP="005F27C4">
            <w:pPr>
              <w:rPr>
                <w:rFonts w:ascii="Courier New" w:hAnsi="Courier New" w:cs="Courier New"/>
                <w:sz w:val="20"/>
                <w:szCs w:val="20"/>
              </w:rPr>
            </w:pPr>
            <w:r w:rsidRPr="00EA6F91">
              <w:rPr>
                <w:rFonts w:ascii="Courier New" w:hAnsi="Courier New" w:cs="Courier New"/>
                <w:sz w:val="20"/>
                <w:szCs w:val="20"/>
              </w:rPr>
              <w:t>Annual quantity (metric tons) of lime product sold, by type.</w:t>
            </w:r>
          </w:p>
        </w:tc>
      </w:tr>
      <w:tr w:rsidR="005F27C4" w:rsidRPr="00EA6F91" w:rsidTr="005F27C4">
        <w:trPr>
          <w:trHeight w:val="530"/>
          <w:jc w:val="center"/>
        </w:trPr>
        <w:tc>
          <w:tcPr>
            <w:tcW w:w="987" w:type="dxa"/>
            <w:tcBorders>
              <w:top w:val="single" w:sz="4" w:space="0" w:color="auto"/>
              <w:left w:val="single" w:sz="4" w:space="0" w:color="auto"/>
              <w:bottom w:val="single" w:sz="4" w:space="0" w:color="auto"/>
              <w:right w:val="single" w:sz="4" w:space="0" w:color="auto"/>
            </w:tcBorders>
            <w:shd w:val="clear" w:color="auto" w:fill="auto"/>
            <w:hideMark/>
          </w:tcPr>
          <w:p w:rsidR="005F27C4" w:rsidRPr="00EA6F91" w:rsidRDefault="005F27C4" w:rsidP="005F27C4">
            <w:pPr>
              <w:jc w:val="center"/>
              <w:rPr>
                <w:rFonts w:ascii="Courier New" w:hAnsi="Courier New" w:cs="Courier New"/>
                <w:sz w:val="20"/>
                <w:szCs w:val="20"/>
              </w:rPr>
            </w:pPr>
            <w:r w:rsidRPr="00EA6F91">
              <w:rPr>
                <w:rFonts w:ascii="Courier New" w:hAnsi="Courier New" w:cs="Courier New"/>
                <w:sz w:val="20"/>
                <w:szCs w:val="20"/>
              </w:rPr>
              <w:t>V</w:t>
            </w:r>
          </w:p>
        </w:tc>
        <w:tc>
          <w:tcPr>
            <w:tcW w:w="2094" w:type="dxa"/>
            <w:tcBorders>
              <w:left w:val="nil"/>
              <w:bottom w:val="single" w:sz="4" w:space="0" w:color="auto"/>
              <w:right w:val="single" w:sz="4" w:space="0" w:color="auto"/>
            </w:tcBorders>
            <w:shd w:val="clear" w:color="auto" w:fill="auto"/>
            <w:hideMark/>
          </w:tcPr>
          <w:p w:rsidR="005F27C4" w:rsidRPr="00EA6F91" w:rsidRDefault="005F27C4" w:rsidP="005F27C4">
            <w:pPr>
              <w:rPr>
                <w:rFonts w:ascii="Courier New" w:hAnsi="Courier New" w:cs="Courier New"/>
                <w:sz w:val="20"/>
                <w:szCs w:val="20"/>
              </w:rPr>
            </w:pPr>
            <w:r w:rsidRPr="00EA6F91">
              <w:rPr>
                <w:rFonts w:ascii="Courier New" w:hAnsi="Courier New" w:cs="Courier New"/>
                <w:sz w:val="20"/>
                <w:szCs w:val="20"/>
              </w:rPr>
              <w:t>Nitric Acid Production</w:t>
            </w:r>
          </w:p>
        </w:tc>
        <w:tc>
          <w:tcPr>
            <w:tcW w:w="6385" w:type="dxa"/>
            <w:tcBorders>
              <w:top w:val="nil"/>
              <w:left w:val="nil"/>
              <w:bottom w:val="single" w:sz="4" w:space="0" w:color="auto"/>
              <w:right w:val="single" w:sz="4" w:space="0" w:color="auto"/>
            </w:tcBorders>
            <w:shd w:val="clear" w:color="auto" w:fill="auto"/>
            <w:hideMark/>
          </w:tcPr>
          <w:p w:rsidR="005F27C4" w:rsidRPr="00EA6F91" w:rsidRDefault="005F27C4" w:rsidP="005F27C4">
            <w:pPr>
              <w:rPr>
                <w:rFonts w:ascii="Courier New" w:hAnsi="Courier New" w:cs="Courier New"/>
                <w:sz w:val="20"/>
                <w:szCs w:val="20"/>
              </w:rPr>
            </w:pPr>
            <w:r w:rsidRPr="00EA6F91">
              <w:rPr>
                <w:rFonts w:ascii="Courier New" w:hAnsi="Courier New" w:cs="Courier New"/>
                <w:sz w:val="20"/>
                <w:szCs w:val="20"/>
              </w:rPr>
              <w:t>Annual percent N</w:t>
            </w:r>
            <w:r w:rsidRPr="00EA6F91">
              <w:rPr>
                <w:rFonts w:ascii="Courier New" w:hAnsi="Courier New" w:cs="Courier New"/>
                <w:sz w:val="20"/>
                <w:szCs w:val="20"/>
                <w:vertAlign w:val="subscript"/>
              </w:rPr>
              <w:t>2</w:t>
            </w:r>
            <w:r w:rsidRPr="00EA6F91">
              <w:rPr>
                <w:rFonts w:ascii="Courier New" w:hAnsi="Courier New" w:cs="Courier New"/>
                <w:sz w:val="20"/>
                <w:szCs w:val="20"/>
              </w:rPr>
              <w:t>O emission reduction for all production units combined.</w:t>
            </w:r>
          </w:p>
        </w:tc>
      </w:tr>
      <w:tr w:rsidR="005F27C4" w:rsidRPr="00EA6F91" w:rsidTr="005F27C4">
        <w:trPr>
          <w:trHeight w:val="600"/>
          <w:jc w:val="center"/>
        </w:trPr>
        <w:tc>
          <w:tcPr>
            <w:tcW w:w="987" w:type="dxa"/>
            <w:vMerge w:val="restart"/>
            <w:tcBorders>
              <w:top w:val="single" w:sz="4" w:space="0" w:color="auto"/>
              <w:left w:val="single" w:sz="4" w:space="0" w:color="auto"/>
              <w:right w:val="single" w:sz="4" w:space="0" w:color="auto"/>
            </w:tcBorders>
            <w:shd w:val="clear" w:color="auto" w:fill="auto"/>
            <w:hideMark/>
          </w:tcPr>
          <w:p w:rsidR="005F27C4" w:rsidRPr="00EA6F91" w:rsidRDefault="005F27C4" w:rsidP="005F27C4">
            <w:pPr>
              <w:jc w:val="center"/>
              <w:rPr>
                <w:rFonts w:ascii="Courier New" w:hAnsi="Courier New" w:cs="Courier New"/>
                <w:sz w:val="20"/>
                <w:szCs w:val="20"/>
              </w:rPr>
            </w:pPr>
            <w:r w:rsidRPr="00EA6F91">
              <w:rPr>
                <w:rFonts w:ascii="Courier New" w:hAnsi="Courier New" w:cs="Courier New"/>
                <w:sz w:val="20"/>
                <w:szCs w:val="20"/>
              </w:rPr>
              <w:t>X</w:t>
            </w:r>
          </w:p>
        </w:tc>
        <w:tc>
          <w:tcPr>
            <w:tcW w:w="2094" w:type="dxa"/>
            <w:vMerge w:val="restart"/>
            <w:tcBorders>
              <w:left w:val="nil"/>
              <w:right w:val="single" w:sz="4" w:space="0" w:color="auto"/>
            </w:tcBorders>
            <w:shd w:val="clear" w:color="auto" w:fill="auto"/>
            <w:hideMark/>
          </w:tcPr>
          <w:p w:rsidR="005F27C4" w:rsidRPr="00EA6F91" w:rsidRDefault="005F27C4" w:rsidP="005F27C4">
            <w:pPr>
              <w:rPr>
                <w:rFonts w:ascii="Courier New" w:hAnsi="Courier New" w:cs="Courier New"/>
                <w:sz w:val="20"/>
                <w:szCs w:val="20"/>
              </w:rPr>
            </w:pPr>
            <w:r w:rsidRPr="00EA6F91">
              <w:rPr>
                <w:rFonts w:ascii="Courier New" w:hAnsi="Courier New" w:cs="Courier New"/>
                <w:sz w:val="20"/>
                <w:szCs w:val="20"/>
              </w:rPr>
              <w:t>Petrochemical Production</w:t>
            </w:r>
          </w:p>
        </w:tc>
        <w:tc>
          <w:tcPr>
            <w:tcW w:w="6385" w:type="dxa"/>
            <w:tcBorders>
              <w:top w:val="nil"/>
              <w:left w:val="nil"/>
              <w:bottom w:val="single" w:sz="4" w:space="0" w:color="auto"/>
              <w:right w:val="single" w:sz="4" w:space="0" w:color="auto"/>
            </w:tcBorders>
            <w:shd w:val="clear" w:color="auto" w:fill="auto"/>
            <w:hideMark/>
          </w:tcPr>
          <w:p w:rsidR="005F27C4" w:rsidRPr="00EA6F91" w:rsidRDefault="005F27C4" w:rsidP="00D419BF">
            <w:pPr>
              <w:rPr>
                <w:rFonts w:ascii="Courier New" w:hAnsi="Courier New" w:cs="Courier New"/>
                <w:sz w:val="20"/>
                <w:szCs w:val="20"/>
              </w:rPr>
            </w:pPr>
            <w:r w:rsidRPr="00EA6F91">
              <w:rPr>
                <w:rFonts w:ascii="Courier New" w:hAnsi="Courier New" w:cs="Courier New"/>
                <w:sz w:val="20"/>
                <w:szCs w:val="20"/>
              </w:rPr>
              <w:t>If using the mass balance method or CEMS method to calculate GHG emissions: Name and annual quantity (in metric tons) of each carbon-containing feedstock.</w:t>
            </w:r>
          </w:p>
        </w:tc>
      </w:tr>
      <w:tr w:rsidR="005F27C4" w:rsidRPr="00EA6F91" w:rsidTr="005F27C4">
        <w:trPr>
          <w:trHeight w:val="600"/>
          <w:jc w:val="center"/>
        </w:trPr>
        <w:tc>
          <w:tcPr>
            <w:tcW w:w="987" w:type="dxa"/>
            <w:vMerge/>
            <w:tcBorders>
              <w:left w:val="single" w:sz="4" w:space="0" w:color="auto"/>
              <w:bottom w:val="single" w:sz="4" w:space="0" w:color="auto"/>
              <w:right w:val="single" w:sz="4" w:space="0" w:color="auto"/>
            </w:tcBorders>
            <w:shd w:val="clear" w:color="auto" w:fill="auto"/>
            <w:hideMark/>
          </w:tcPr>
          <w:p w:rsidR="005F27C4" w:rsidRPr="00EA6F91" w:rsidRDefault="005F27C4" w:rsidP="005F27C4">
            <w:pPr>
              <w:jc w:val="center"/>
              <w:rPr>
                <w:rFonts w:ascii="Courier New" w:hAnsi="Courier New" w:cs="Courier New"/>
                <w:sz w:val="20"/>
                <w:szCs w:val="20"/>
              </w:rPr>
            </w:pPr>
          </w:p>
        </w:tc>
        <w:tc>
          <w:tcPr>
            <w:tcW w:w="2094" w:type="dxa"/>
            <w:vMerge/>
            <w:tcBorders>
              <w:left w:val="nil"/>
              <w:bottom w:val="single" w:sz="4" w:space="0" w:color="auto"/>
              <w:right w:val="single" w:sz="4" w:space="0" w:color="auto"/>
            </w:tcBorders>
            <w:shd w:val="clear" w:color="auto" w:fill="auto"/>
            <w:hideMark/>
          </w:tcPr>
          <w:p w:rsidR="005F27C4" w:rsidRPr="00EA6F91" w:rsidRDefault="005F27C4" w:rsidP="005F27C4">
            <w:pPr>
              <w:rPr>
                <w:rFonts w:ascii="Courier New" w:hAnsi="Courier New" w:cs="Courier New"/>
                <w:sz w:val="20"/>
                <w:szCs w:val="20"/>
              </w:rPr>
            </w:pPr>
          </w:p>
        </w:tc>
        <w:tc>
          <w:tcPr>
            <w:tcW w:w="6385" w:type="dxa"/>
            <w:tcBorders>
              <w:top w:val="nil"/>
              <w:left w:val="nil"/>
              <w:bottom w:val="single" w:sz="4" w:space="0" w:color="auto"/>
              <w:right w:val="single" w:sz="4" w:space="0" w:color="auto"/>
            </w:tcBorders>
            <w:shd w:val="clear" w:color="auto" w:fill="auto"/>
            <w:hideMark/>
          </w:tcPr>
          <w:p w:rsidR="005F27C4" w:rsidRPr="00EA6F91" w:rsidRDefault="005F27C4" w:rsidP="00D419BF">
            <w:pPr>
              <w:rPr>
                <w:rFonts w:ascii="Courier New" w:hAnsi="Courier New" w:cs="Courier New"/>
                <w:sz w:val="20"/>
                <w:szCs w:val="20"/>
              </w:rPr>
            </w:pPr>
            <w:r w:rsidRPr="00EA6F91">
              <w:rPr>
                <w:rFonts w:ascii="Courier New" w:hAnsi="Courier New" w:cs="Courier New"/>
                <w:sz w:val="20"/>
                <w:szCs w:val="20"/>
              </w:rPr>
              <w:t>If using the mass balance method or CEMS method to calculate GHG emissions: Name and annual quantity (in metric tons) of each carbon-containing co-product.</w:t>
            </w:r>
          </w:p>
        </w:tc>
      </w:tr>
      <w:tr w:rsidR="005F27C4" w:rsidRPr="00EA6F91" w:rsidTr="005F27C4">
        <w:trPr>
          <w:trHeight w:val="600"/>
          <w:jc w:val="center"/>
        </w:trPr>
        <w:tc>
          <w:tcPr>
            <w:tcW w:w="987" w:type="dxa"/>
            <w:vMerge w:val="restart"/>
            <w:tcBorders>
              <w:top w:val="nil"/>
              <w:left w:val="single" w:sz="4" w:space="0" w:color="auto"/>
              <w:right w:val="single" w:sz="4" w:space="0" w:color="auto"/>
            </w:tcBorders>
            <w:shd w:val="clear" w:color="auto" w:fill="auto"/>
            <w:hideMark/>
          </w:tcPr>
          <w:p w:rsidR="005F27C4" w:rsidRPr="00EA6F91" w:rsidRDefault="005F27C4" w:rsidP="005F27C4">
            <w:pPr>
              <w:jc w:val="center"/>
              <w:rPr>
                <w:rFonts w:ascii="Courier New" w:hAnsi="Courier New" w:cs="Courier New"/>
                <w:sz w:val="20"/>
                <w:szCs w:val="20"/>
              </w:rPr>
            </w:pPr>
            <w:r w:rsidRPr="00EA6F91">
              <w:rPr>
                <w:rFonts w:ascii="Courier New" w:hAnsi="Courier New" w:cs="Courier New"/>
                <w:sz w:val="20"/>
                <w:szCs w:val="20"/>
              </w:rPr>
              <w:t>Y</w:t>
            </w:r>
          </w:p>
        </w:tc>
        <w:tc>
          <w:tcPr>
            <w:tcW w:w="2094" w:type="dxa"/>
            <w:vMerge w:val="restart"/>
            <w:tcBorders>
              <w:top w:val="nil"/>
              <w:left w:val="nil"/>
              <w:right w:val="single" w:sz="4" w:space="0" w:color="auto"/>
            </w:tcBorders>
            <w:shd w:val="clear" w:color="auto" w:fill="auto"/>
            <w:hideMark/>
          </w:tcPr>
          <w:p w:rsidR="005F27C4" w:rsidRPr="00EA6F91" w:rsidRDefault="005F27C4" w:rsidP="005F27C4">
            <w:pPr>
              <w:rPr>
                <w:rFonts w:ascii="Courier New" w:hAnsi="Courier New" w:cs="Courier New"/>
                <w:sz w:val="20"/>
                <w:szCs w:val="20"/>
              </w:rPr>
            </w:pPr>
            <w:r w:rsidRPr="00EA6F91">
              <w:rPr>
                <w:rFonts w:ascii="Courier New" w:hAnsi="Courier New" w:cs="Courier New"/>
                <w:sz w:val="20"/>
                <w:szCs w:val="20"/>
              </w:rPr>
              <w:t>Petroleum Refineries</w:t>
            </w:r>
          </w:p>
        </w:tc>
        <w:tc>
          <w:tcPr>
            <w:tcW w:w="6385" w:type="dxa"/>
            <w:tcBorders>
              <w:top w:val="nil"/>
              <w:left w:val="nil"/>
              <w:bottom w:val="single" w:sz="4" w:space="0" w:color="auto"/>
              <w:right w:val="single" w:sz="4" w:space="0" w:color="auto"/>
            </w:tcBorders>
            <w:shd w:val="clear" w:color="auto" w:fill="auto"/>
            <w:hideMark/>
          </w:tcPr>
          <w:p w:rsidR="005F27C4" w:rsidRPr="00EA6F91" w:rsidRDefault="005F27C4" w:rsidP="005F27C4">
            <w:pPr>
              <w:rPr>
                <w:rFonts w:ascii="Courier New" w:hAnsi="Courier New" w:cs="Courier New"/>
                <w:sz w:val="20"/>
                <w:szCs w:val="20"/>
              </w:rPr>
            </w:pPr>
            <w:r w:rsidRPr="00EA6F91">
              <w:rPr>
                <w:rFonts w:ascii="Courier New" w:hAnsi="Courier New" w:cs="Courier New"/>
                <w:sz w:val="20"/>
                <w:szCs w:val="20"/>
              </w:rPr>
              <w:t>Annual quantity of flare gas combusted (in MMscf per year) (only when using Equation Y-3).</w:t>
            </w:r>
          </w:p>
        </w:tc>
      </w:tr>
      <w:tr w:rsidR="005F27C4" w:rsidRPr="00EA6F91" w:rsidTr="005F27C4">
        <w:trPr>
          <w:trHeight w:val="600"/>
          <w:jc w:val="center"/>
        </w:trPr>
        <w:tc>
          <w:tcPr>
            <w:tcW w:w="987" w:type="dxa"/>
            <w:vMerge/>
            <w:tcBorders>
              <w:left w:val="single" w:sz="4" w:space="0" w:color="auto"/>
              <w:right w:val="single" w:sz="4" w:space="0" w:color="auto"/>
            </w:tcBorders>
            <w:shd w:val="clear" w:color="auto" w:fill="auto"/>
            <w:hideMark/>
          </w:tcPr>
          <w:p w:rsidR="005F27C4" w:rsidRPr="00EA6F91" w:rsidRDefault="005F27C4" w:rsidP="005F27C4">
            <w:pPr>
              <w:jc w:val="center"/>
              <w:rPr>
                <w:rFonts w:ascii="Courier New" w:hAnsi="Courier New" w:cs="Courier New"/>
                <w:sz w:val="20"/>
                <w:szCs w:val="20"/>
              </w:rPr>
            </w:pPr>
          </w:p>
        </w:tc>
        <w:tc>
          <w:tcPr>
            <w:tcW w:w="2094" w:type="dxa"/>
            <w:vMerge/>
            <w:tcBorders>
              <w:left w:val="nil"/>
              <w:right w:val="single" w:sz="4" w:space="0" w:color="auto"/>
            </w:tcBorders>
            <w:shd w:val="clear" w:color="auto" w:fill="auto"/>
            <w:hideMark/>
          </w:tcPr>
          <w:p w:rsidR="005F27C4" w:rsidRPr="00EA6F91" w:rsidRDefault="005F27C4" w:rsidP="005F27C4">
            <w:pPr>
              <w:rPr>
                <w:rFonts w:ascii="Courier New" w:hAnsi="Courier New" w:cs="Courier New"/>
                <w:sz w:val="20"/>
                <w:szCs w:val="20"/>
              </w:rPr>
            </w:pPr>
          </w:p>
        </w:tc>
        <w:tc>
          <w:tcPr>
            <w:tcW w:w="6385" w:type="dxa"/>
            <w:tcBorders>
              <w:top w:val="nil"/>
              <w:left w:val="nil"/>
              <w:bottom w:val="single" w:sz="4" w:space="0" w:color="auto"/>
              <w:right w:val="single" w:sz="4" w:space="0" w:color="auto"/>
            </w:tcBorders>
            <w:shd w:val="clear" w:color="auto" w:fill="auto"/>
            <w:hideMark/>
          </w:tcPr>
          <w:p w:rsidR="005F27C4" w:rsidRPr="00EA6F91" w:rsidRDefault="005F27C4" w:rsidP="005F27C4">
            <w:pPr>
              <w:rPr>
                <w:rFonts w:ascii="Courier New" w:hAnsi="Courier New" w:cs="Courier New"/>
                <w:sz w:val="20"/>
                <w:szCs w:val="20"/>
              </w:rPr>
            </w:pPr>
            <w:r w:rsidRPr="00EA6F91">
              <w:rPr>
                <w:rFonts w:ascii="Courier New" w:hAnsi="Courier New" w:cs="Courier New"/>
                <w:sz w:val="20"/>
                <w:szCs w:val="20"/>
              </w:rPr>
              <w:t>Annual average molecular weight of flare gas combusted (in mmBtu per MMscf) (only when using Equation Y-3).</w:t>
            </w:r>
          </w:p>
        </w:tc>
      </w:tr>
      <w:tr w:rsidR="005F27C4" w:rsidRPr="00EA6F91" w:rsidTr="005F27C4">
        <w:trPr>
          <w:trHeight w:val="600"/>
          <w:jc w:val="center"/>
        </w:trPr>
        <w:tc>
          <w:tcPr>
            <w:tcW w:w="987" w:type="dxa"/>
            <w:vMerge/>
            <w:tcBorders>
              <w:left w:val="single" w:sz="4" w:space="0" w:color="auto"/>
              <w:bottom w:val="single" w:sz="4" w:space="0" w:color="auto"/>
              <w:right w:val="single" w:sz="4" w:space="0" w:color="auto"/>
            </w:tcBorders>
            <w:shd w:val="clear" w:color="auto" w:fill="auto"/>
            <w:hideMark/>
          </w:tcPr>
          <w:p w:rsidR="005F27C4" w:rsidRPr="00EA6F91" w:rsidRDefault="005F27C4" w:rsidP="005F27C4">
            <w:pPr>
              <w:jc w:val="center"/>
              <w:rPr>
                <w:rFonts w:ascii="Courier New" w:hAnsi="Courier New" w:cs="Courier New"/>
                <w:sz w:val="20"/>
                <w:szCs w:val="20"/>
              </w:rPr>
            </w:pPr>
          </w:p>
        </w:tc>
        <w:tc>
          <w:tcPr>
            <w:tcW w:w="2094" w:type="dxa"/>
            <w:vMerge/>
            <w:tcBorders>
              <w:left w:val="nil"/>
              <w:bottom w:val="single" w:sz="4" w:space="0" w:color="auto"/>
              <w:right w:val="single" w:sz="4" w:space="0" w:color="auto"/>
            </w:tcBorders>
            <w:shd w:val="clear" w:color="auto" w:fill="auto"/>
            <w:hideMark/>
          </w:tcPr>
          <w:p w:rsidR="005F27C4" w:rsidRPr="00EA6F91" w:rsidRDefault="005F27C4" w:rsidP="005F27C4">
            <w:pPr>
              <w:rPr>
                <w:rFonts w:ascii="Courier New" w:hAnsi="Courier New" w:cs="Courier New"/>
                <w:sz w:val="20"/>
                <w:szCs w:val="20"/>
              </w:rPr>
            </w:pPr>
          </w:p>
        </w:tc>
        <w:tc>
          <w:tcPr>
            <w:tcW w:w="6385" w:type="dxa"/>
            <w:tcBorders>
              <w:top w:val="nil"/>
              <w:left w:val="nil"/>
              <w:bottom w:val="single" w:sz="4" w:space="0" w:color="auto"/>
              <w:right w:val="single" w:sz="4" w:space="0" w:color="auto"/>
            </w:tcBorders>
            <w:shd w:val="clear" w:color="auto" w:fill="auto"/>
            <w:hideMark/>
          </w:tcPr>
          <w:p w:rsidR="005F27C4" w:rsidRPr="00EA6F91" w:rsidRDefault="005F27C4" w:rsidP="005F27C4">
            <w:pPr>
              <w:rPr>
                <w:rFonts w:ascii="Courier New" w:hAnsi="Courier New" w:cs="Courier New"/>
                <w:sz w:val="20"/>
                <w:szCs w:val="20"/>
              </w:rPr>
            </w:pPr>
            <w:r w:rsidRPr="00EA6F91">
              <w:rPr>
                <w:rFonts w:ascii="Courier New" w:hAnsi="Courier New" w:cs="Courier New"/>
                <w:sz w:val="20"/>
                <w:szCs w:val="20"/>
              </w:rPr>
              <w:t>Annual average carbon content of flare gas combusted (expressed as a decimal fraction)(only when using Equation Y-3).</w:t>
            </w:r>
          </w:p>
        </w:tc>
      </w:tr>
      <w:tr w:rsidR="005F27C4" w:rsidRPr="00EA6F91" w:rsidTr="005F27C4">
        <w:trPr>
          <w:trHeight w:val="600"/>
          <w:jc w:val="center"/>
        </w:trPr>
        <w:tc>
          <w:tcPr>
            <w:tcW w:w="987" w:type="dxa"/>
            <w:vMerge w:val="restart"/>
            <w:tcBorders>
              <w:top w:val="nil"/>
              <w:left w:val="single" w:sz="4" w:space="0" w:color="auto"/>
              <w:right w:val="single" w:sz="4" w:space="0" w:color="auto"/>
            </w:tcBorders>
            <w:shd w:val="clear" w:color="auto" w:fill="auto"/>
            <w:hideMark/>
          </w:tcPr>
          <w:p w:rsidR="005F27C4" w:rsidRPr="00EA6F91" w:rsidRDefault="005F27C4" w:rsidP="005F27C4">
            <w:pPr>
              <w:jc w:val="center"/>
              <w:rPr>
                <w:rFonts w:ascii="Courier New" w:hAnsi="Courier New" w:cs="Courier New"/>
                <w:sz w:val="20"/>
                <w:szCs w:val="20"/>
              </w:rPr>
            </w:pPr>
            <w:r w:rsidRPr="00EA6F91">
              <w:rPr>
                <w:rFonts w:ascii="Courier New" w:hAnsi="Courier New" w:cs="Courier New"/>
                <w:sz w:val="20"/>
                <w:szCs w:val="20"/>
              </w:rPr>
              <w:t>AA</w:t>
            </w:r>
          </w:p>
        </w:tc>
        <w:tc>
          <w:tcPr>
            <w:tcW w:w="2094" w:type="dxa"/>
            <w:vMerge w:val="restart"/>
            <w:tcBorders>
              <w:top w:val="nil"/>
              <w:left w:val="nil"/>
              <w:right w:val="single" w:sz="4" w:space="0" w:color="auto"/>
            </w:tcBorders>
            <w:shd w:val="clear" w:color="auto" w:fill="auto"/>
            <w:hideMark/>
          </w:tcPr>
          <w:p w:rsidR="005F27C4" w:rsidRPr="00EA6F91" w:rsidRDefault="005F27C4" w:rsidP="005F27C4">
            <w:pPr>
              <w:rPr>
                <w:rFonts w:ascii="Courier New" w:hAnsi="Courier New" w:cs="Courier New"/>
                <w:sz w:val="20"/>
                <w:szCs w:val="20"/>
              </w:rPr>
            </w:pPr>
            <w:r w:rsidRPr="00EA6F91">
              <w:rPr>
                <w:rFonts w:ascii="Courier New" w:hAnsi="Courier New" w:cs="Courier New"/>
                <w:sz w:val="20"/>
                <w:szCs w:val="20"/>
              </w:rPr>
              <w:t>Pulp and Paper Manufacturing</w:t>
            </w:r>
          </w:p>
        </w:tc>
        <w:tc>
          <w:tcPr>
            <w:tcW w:w="6385" w:type="dxa"/>
            <w:tcBorders>
              <w:top w:val="nil"/>
              <w:left w:val="nil"/>
              <w:bottom w:val="single" w:sz="4" w:space="0" w:color="auto"/>
              <w:right w:val="single" w:sz="4" w:space="0" w:color="auto"/>
            </w:tcBorders>
            <w:shd w:val="clear" w:color="auto" w:fill="auto"/>
            <w:hideMark/>
          </w:tcPr>
          <w:p w:rsidR="005F27C4" w:rsidRPr="00EA6F91" w:rsidRDefault="005F27C4" w:rsidP="005F27C4">
            <w:pPr>
              <w:rPr>
                <w:rFonts w:ascii="Courier New" w:hAnsi="Courier New" w:cs="Courier New"/>
                <w:sz w:val="20"/>
                <w:szCs w:val="20"/>
              </w:rPr>
            </w:pPr>
            <w:r w:rsidRPr="00EA6F91">
              <w:rPr>
                <w:rFonts w:ascii="Courier New" w:hAnsi="Courier New" w:cs="Courier New"/>
                <w:sz w:val="20"/>
                <w:szCs w:val="20"/>
              </w:rPr>
              <w:t>For each pulp mill lime kiln: Quantity of calcium oxide (CaO) produced (metric tons).</w:t>
            </w:r>
          </w:p>
        </w:tc>
      </w:tr>
      <w:tr w:rsidR="005F27C4" w:rsidRPr="00EA6F91" w:rsidTr="005F27C4">
        <w:trPr>
          <w:trHeight w:val="600"/>
          <w:jc w:val="center"/>
        </w:trPr>
        <w:tc>
          <w:tcPr>
            <w:tcW w:w="987" w:type="dxa"/>
            <w:vMerge/>
            <w:tcBorders>
              <w:left w:val="single" w:sz="4" w:space="0" w:color="auto"/>
              <w:right w:val="single" w:sz="4" w:space="0" w:color="auto"/>
            </w:tcBorders>
            <w:shd w:val="clear" w:color="auto" w:fill="auto"/>
            <w:hideMark/>
          </w:tcPr>
          <w:p w:rsidR="005F27C4" w:rsidRPr="00EA6F91" w:rsidRDefault="005F27C4" w:rsidP="005F27C4">
            <w:pPr>
              <w:jc w:val="center"/>
              <w:rPr>
                <w:rFonts w:ascii="Courier New" w:hAnsi="Courier New" w:cs="Courier New"/>
                <w:sz w:val="20"/>
                <w:szCs w:val="20"/>
              </w:rPr>
            </w:pPr>
          </w:p>
        </w:tc>
        <w:tc>
          <w:tcPr>
            <w:tcW w:w="2094" w:type="dxa"/>
            <w:vMerge/>
            <w:tcBorders>
              <w:left w:val="nil"/>
              <w:right w:val="single" w:sz="4" w:space="0" w:color="auto"/>
            </w:tcBorders>
            <w:shd w:val="clear" w:color="auto" w:fill="auto"/>
            <w:hideMark/>
          </w:tcPr>
          <w:p w:rsidR="005F27C4" w:rsidRPr="00EA6F91" w:rsidRDefault="005F27C4" w:rsidP="005F27C4">
            <w:pPr>
              <w:rPr>
                <w:rFonts w:ascii="Courier New" w:hAnsi="Courier New" w:cs="Courier New"/>
                <w:sz w:val="20"/>
                <w:szCs w:val="20"/>
              </w:rPr>
            </w:pPr>
          </w:p>
        </w:tc>
        <w:tc>
          <w:tcPr>
            <w:tcW w:w="6385" w:type="dxa"/>
            <w:tcBorders>
              <w:top w:val="nil"/>
              <w:left w:val="nil"/>
              <w:bottom w:val="single" w:sz="4" w:space="0" w:color="auto"/>
              <w:right w:val="single" w:sz="4" w:space="0" w:color="auto"/>
            </w:tcBorders>
            <w:shd w:val="clear" w:color="auto" w:fill="auto"/>
            <w:hideMark/>
          </w:tcPr>
          <w:p w:rsidR="005F27C4" w:rsidRPr="00EA6F91" w:rsidRDefault="005F27C4" w:rsidP="005F27C4">
            <w:pPr>
              <w:rPr>
                <w:rFonts w:ascii="Courier New" w:hAnsi="Courier New" w:cs="Courier New"/>
                <w:sz w:val="20"/>
                <w:szCs w:val="20"/>
              </w:rPr>
            </w:pPr>
            <w:r w:rsidRPr="00EA6F91">
              <w:rPr>
                <w:rFonts w:ascii="Courier New" w:hAnsi="Courier New" w:cs="Courier New"/>
                <w:sz w:val="20"/>
                <w:szCs w:val="20"/>
              </w:rPr>
              <w:t>For each pulp mill lime kiln: Percent of annual heat input, individually for each fossil fuel type.</w:t>
            </w:r>
          </w:p>
        </w:tc>
      </w:tr>
      <w:tr w:rsidR="005F27C4" w:rsidRPr="00EA6F91" w:rsidTr="005F27C4">
        <w:trPr>
          <w:trHeight w:val="1200"/>
          <w:jc w:val="center"/>
        </w:trPr>
        <w:tc>
          <w:tcPr>
            <w:tcW w:w="987" w:type="dxa"/>
            <w:vMerge/>
            <w:tcBorders>
              <w:left w:val="single" w:sz="4" w:space="0" w:color="auto"/>
              <w:right w:val="single" w:sz="4" w:space="0" w:color="auto"/>
            </w:tcBorders>
            <w:shd w:val="clear" w:color="auto" w:fill="auto"/>
            <w:hideMark/>
          </w:tcPr>
          <w:p w:rsidR="005F27C4" w:rsidRPr="00EA6F91" w:rsidRDefault="005F27C4" w:rsidP="005F27C4">
            <w:pPr>
              <w:jc w:val="center"/>
              <w:rPr>
                <w:rFonts w:ascii="Courier New" w:hAnsi="Courier New" w:cs="Courier New"/>
                <w:sz w:val="20"/>
                <w:szCs w:val="20"/>
              </w:rPr>
            </w:pPr>
          </w:p>
        </w:tc>
        <w:tc>
          <w:tcPr>
            <w:tcW w:w="2094" w:type="dxa"/>
            <w:vMerge/>
            <w:tcBorders>
              <w:left w:val="nil"/>
              <w:right w:val="single" w:sz="4" w:space="0" w:color="auto"/>
            </w:tcBorders>
            <w:shd w:val="clear" w:color="auto" w:fill="auto"/>
            <w:hideMark/>
          </w:tcPr>
          <w:p w:rsidR="005F27C4" w:rsidRPr="00EA6F91" w:rsidRDefault="005F27C4" w:rsidP="005F27C4">
            <w:pPr>
              <w:rPr>
                <w:rFonts w:ascii="Courier New" w:hAnsi="Courier New" w:cs="Courier New"/>
                <w:sz w:val="20"/>
                <w:szCs w:val="20"/>
              </w:rPr>
            </w:pPr>
          </w:p>
        </w:tc>
        <w:tc>
          <w:tcPr>
            <w:tcW w:w="6385" w:type="dxa"/>
            <w:tcBorders>
              <w:top w:val="nil"/>
              <w:left w:val="nil"/>
              <w:bottom w:val="single" w:sz="4" w:space="0" w:color="auto"/>
              <w:right w:val="single" w:sz="4" w:space="0" w:color="auto"/>
            </w:tcBorders>
            <w:shd w:val="clear" w:color="auto" w:fill="auto"/>
            <w:hideMark/>
          </w:tcPr>
          <w:p w:rsidR="005F27C4" w:rsidRPr="00EA6F91" w:rsidRDefault="005F27C4" w:rsidP="005F27C4">
            <w:pPr>
              <w:rPr>
                <w:rFonts w:ascii="Courier New" w:hAnsi="Courier New" w:cs="Courier New"/>
                <w:sz w:val="20"/>
                <w:szCs w:val="20"/>
              </w:rPr>
            </w:pPr>
            <w:r w:rsidRPr="00EA6F91">
              <w:rPr>
                <w:rFonts w:ascii="Courier New" w:hAnsi="Courier New" w:cs="Courier New"/>
                <w:sz w:val="20"/>
                <w:szCs w:val="20"/>
              </w:rPr>
              <w:t>For each chemical recovery furnace and chemical recovery combustion unit for which you are not using Equation C-2c to calculate CO</w:t>
            </w:r>
            <w:r w:rsidRPr="00EA6F91">
              <w:rPr>
                <w:rFonts w:ascii="Courier New" w:hAnsi="Courier New" w:cs="Courier New"/>
                <w:sz w:val="20"/>
                <w:szCs w:val="20"/>
                <w:vertAlign w:val="subscript"/>
              </w:rPr>
              <w:t>2</w:t>
            </w:r>
            <w:r w:rsidRPr="00EA6F91">
              <w:rPr>
                <w:rFonts w:ascii="Courier New" w:hAnsi="Courier New" w:cs="Courier New"/>
                <w:sz w:val="20"/>
                <w:szCs w:val="20"/>
              </w:rPr>
              <w:t xml:space="preserve"> emissions: Annual mass of steam generated (lb steam), individually for each fossil fuel type and for spent liquor solids.</w:t>
            </w:r>
          </w:p>
        </w:tc>
      </w:tr>
      <w:tr w:rsidR="005F27C4" w:rsidRPr="00EA6F91" w:rsidTr="005F27C4">
        <w:trPr>
          <w:trHeight w:val="260"/>
          <w:jc w:val="center"/>
        </w:trPr>
        <w:tc>
          <w:tcPr>
            <w:tcW w:w="987" w:type="dxa"/>
            <w:vMerge/>
            <w:tcBorders>
              <w:left w:val="single" w:sz="4" w:space="0" w:color="auto"/>
              <w:bottom w:val="single" w:sz="4" w:space="0" w:color="auto"/>
              <w:right w:val="single" w:sz="4" w:space="0" w:color="auto"/>
            </w:tcBorders>
            <w:shd w:val="clear" w:color="auto" w:fill="auto"/>
            <w:hideMark/>
          </w:tcPr>
          <w:p w:rsidR="005F27C4" w:rsidRPr="00EA6F91" w:rsidRDefault="005F27C4" w:rsidP="005F27C4">
            <w:pPr>
              <w:jc w:val="center"/>
              <w:rPr>
                <w:rFonts w:ascii="Courier New" w:hAnsi="Courier New" w:cs="Courier New"/>
                <w:sz w:val="20"/>
                <w:szCs w:val="20"/>
              </w:rPr>
            </w:pPr>
          </w:p>
        </w:tc>
        <w:tc>
          <w:tcPr>
            <w:tcW w:w="2094" w:type="dxa"/>
            <w:vMerge/>
            <w:tcBorders>
              <w:left w:val="nil"/>
              <w:bottom w:val="single" w:sz="4" w:space="0" w:color="auto"/>
              <w:right w:val="single" w:sz="4" w:space="0" w:color="auto"/>
            </w:tcBorders>
            <w:shd w:val="clear" w:color="auto" w:fill="auto"/>
            <w:hideMark/>
          </w:tcPr>
          <w:p w:rsidR="005F27C4" w:rsidRPr="00EA6F91" w:rsidRDefault="005F27C4" w:rsidP="005F27C4">
            <w:pPr>
              <w:rPr>
                <w:rFonts w:ascii="Courier New" w:hAnsi="Courier New" w:cs="Courier New"/>
                <w:sz w:val="20"/>
                <w:szCs w:val="20"/>
              </w:rPr>
            </w:pPr>
          </w:p>
        </w:tc>
        <w:tc>
          <w:tcPr>
            <w:tcW w:w="6385" w:type="dxa"/>
            <w:tcBorders>
              <w:top w:val="nil"/>
              <w:left w:val="nil"/>
              <w:bottom w:val="single" w:sz="4" w:space="0" w:color="auto"/>
              <w:right w:val="single" w:sz="4" w:space="0" w:color="auto"/>
            </w:tcBorders>
            <w:shd w:val="clear" w:color="auto" w:fill="auto"/>
            <w:hideMark/>
          </w:tcPr>
          <w:p w:rsidR="005F27C4" w:rsidRPr="00EA6F91" w:rsidRDefault="005F27C4" w:rsidP="005F27C4">
            <w:pPr>
              <w:rPr>
                <w:rFonts w:ascii="Courier New" w:hAnsi="Courier New" w:cs="Courier New"/>
                <w:sz w:val="20"/>
                <w:szCs w:val="20"/>
              </w:rPr>
            </w:pPr>
            <w:r w:rsidRPr="00EA6F91">
              <w:rPr>
                <w:rFonts w:ascii="Courier New" w:hAnsi="Courier New" w:cs="Courier New"/>
                <w:sz w:val="20"/>
                <w:szCs w:val="20"/>
              </w:rPr>
              <w:t xml:space="preserve">For each chemical recovery furnace and chemical </w:t>
            </w:r>
            <w:r w:rsidRPr="00EA6F91">
              <w:rPr>
                <w:rFonts w:ascii="Courier New" w:hAnsi="Courier New" w:cs="Courier New"/>
                <w:sz w:val="20"/>
                <w:szCs w:val="20"/>
              </w:rPr>
              <w:lastRenderedPageBreak/>
              <w:t>recovery combustion unit for which you are not using Equation C-2c to calculate CO</w:t>
            </w:r>
            <w:r w:rsidRPr="00EA6F91">
              <w:rPr>
                <w:rFonts w:ascii="Courier New" w:hAnsi="Courier New" w:cs="Courier New"/>
                <w:sz w:val="20"/>
                <w:szCs w:val="20"/>
                <w:vertAlign w:val="subscript"/>
              </w:rPr>
              <w:t>2</w:t>
            </w:r>
            <w:r w:rsidRPr="00EA6F91">
              <w:rPr>
                <w:rFonts w:ascii="Courier New" w:hAnsi="Courier New" w:cs="Courier New"/>
                <w:sz w:val="20"/>
                <w:szCs w:val="20"/>
              </w:rPr>
              <w:t xml:space="preserve"> emissions: Ratio of the unit’s maximum rated heat input capacity to its design rated steam output capacity (mmBtu/lb steam), individually for each fossil fuel type and for spent liquor solids.</w:t>
            </w:r>
          </w:p>
        </w:tc>
      </w:tr>
    </w:tbl>
    <w:p w:rsidR="00815F53" w:rsidRDefault="00815F53" w:rsidP="00815F53">
      <w:pPr>
        <w:widowControl w:val="0"/>
        <w:rPr>
          <w:rFonts w:ascii="Courier New" w:hAnsi="Courier New"/>
        </w:rPr>
      </w:pPr>
    </w:p>
    <w:p w:rsidR="008D16F4" w:rsidRDefault="0042093B" w:rsidP="0089372A">
      <w:pPr>
        <w:spacing w:before="240" w:line="360" w:lineRule="auto"/>
        <w:ind w:firstLine="720"/>
        <w:rPr>
          <w:rFonts w:ascii="Courier New" w:hAnsi="Courier New" w:cs="Courier New"/>
        </w:rPr>
      </w:pPr>
      <w:r w:rsidRPr="00271C1A">
        <w:rPr>
          <w:rFonts w:ascii="Courier New" w:hAnsi="Courier New"/>
        </w:rPr>
        <w:t xml:space="preserve">Additionally, </w:t>
      </w:r>
      <w:r w:rsidR="0089372A">
        <w:rPr>
          <w:rFonts w:ascii="Courier New" w:hAnsi="Courier New"/>
        </w:rPr>
        <w:t xml:space="preserve">for certain </w:t>
      </w:r>
      <w:r w:rsidR="003D594F">
        <w:rPr>
          <w:rFonts w:ascii="Courier New" w:hAnsi="Courier New"/>
        </w:rPr>
        <w:t xml:space="preserve">“inputs to equations” </w:t>
      </w:r>
      <w:r w:rsidR="0089372A">
        <w:rPr>
          <w:rFonts w:ascii="Courier New" w:hAnsi="Courier New"/>
        </w:rPr>
        <w:t xml:space="preserve">data elements already included in the GHGRP (i.e., already </w:t>
      </w:r>
      <w:r w:rsidR="0089372A" w:rsidRPr="00271C1A">
        <w:rPr>
          <w:rFonts w:ascii="Courier New" w:hAnsi="Courier New" w:cs="Courier New"/>
        </w:rPr>
        <w:t xml:space="preserve">included in </w:t>
      </w:r>
      <w:r w:rsidR="0089372A">
        <w:rPr>
          <w:rFonts w:ascii="Courier New" w:hAnsi="Courier New" w:cs="Courier New"/>
        </w:rPr>
        <w:t>the</w:t>
      </w:r>
      <w:r w:rsidR="0089372A" w:rsidRPr="00271C1A">
        <w:rPr>
          <w:rFonts w:ascii="Courier New" w:hAnsi="Courier New" w:cs="Courier New"/>
        </w:rPr>
        <w:t xml:space="preserve"> information collection request previously approved by OMB</w:t>
      </w:r>
      <w:r w:rsidR="0089372A">
        <w:rPr>
          <w:rFonts w:ascii="Courier New" w:hAnsi="Courier New" w:cs="Courier New"/>
        </w:rPr>
        <w:t xml:space="preserve"> for Part 98), </w:t>
      </w:r>
      <w:r w:rsidRPr="00271C1A">
        <w:rPr>
          <w:rFonts w:ascii="Courier New" w:hAnsi="Courier New"/>
        </w:rPr>
        <w:t xml:space="preserve">EPA is proposing to </w:t>
      </w:r>
      <w:r w:rsidR="0089372A">
        <w:rPr>
          <w:rFonts w:ascii="Courier New" w:hAnsi="Courier New"/>
        </w:rPr>
        <w:t>change</w:t>
      </w:r>
      <w:r w:rsidRPr="00271C1A">
        <w:rPr>
          <w:rFonts w:ascii="Courier New" w:hAnsi="Courier New"/>
        </w:rPr>
        <w:t xml:space="preserve"> </w:t>
      </w:r>
      <w:r w:rsidR="0063630C">
        <w:rPr>
          <w:rFonts w:ascii="Courier New" w:hAnsi="Courier New"/>
        </w:rPr>
        <w:t xml:space="preserve">the </w:t>
      </w:r>
      <w:r w:rsidRPr="00271C1A">
        <w:rPr>
          <w:rFonts w:ascii="Courier New" w:hAnsi="Courier New"/>
        </w:rPr>
        <w:t xml:space="preserve">current </w:t>
      </w:r>
      <w:r w:rsidR="0063630C" w:rsidRPr="00271C1A">
        <w:rPr>
          <w:rFonts w:ascii="Courier New" w:hAnsi="Courier New"/>
        </w:rPr>
        <w:t>recordkeeping and reporting</w:t>
      </w:r>
      <w:r w:rsidR="0089372A">
        <w:rPr>
          <w:rFonts w:ascii="Courier New" w:hAnsi="Courier New"/>
        </w:rPr>
        <w:t xml:space="preserve"> methods</w:t>
      </w:r>
      <w:r w:rsidR="003D594F">
        <w:rPr>
          <w:rFonts w:ascii="Courier New" w:hAnsi="Courier New"/>
        </w:rPr>
        <w:t xml:space="preserve"> used by respondents</w:t>
      </w:r>
      <w:r w:rsidR="0063630C">
        <w:rPr>
          <w:rFonts w:ascii="Courier New" w:hAnsi="Courier New" w:cs="Courier New"/>
        </w:rPr>
        <w:t>.</w:t>
      </w:r>
      <w:r w:rsidR="006B1DEE" w:rsidRPr="00271C1A">
        <w:rPr>
          <w:rFonts w:ascii="Courier New" w:hAnsi="Courier New" w:cs="Courier New"/>
        </w:rPr>
        <w:t xml:space="preserve"> </w:t>
      </w:r>
      <w:r w:rsidR="00C77FD4">
        <w:rPr>
          <w:rFonts w:ascii="Courier New" w:hAnsi="Courier New" w:cs="Courier New"/>
        </w:rPr>
        <w:t xml:space="preserve">These </w:t>
      </w:r>
      <w:r w:rsidR="0063630C">
        <w:rPr>
          <w:rFonts w:ascii="Courier New" w:hAnsi="Courier New" w:cs="Courier New"/>
        </w:rPr>
        <w:t xml:space="preserve">proposed </w:t>
      </w:r>
      <w:r w:rsidR="00C77FD4">
        <w:rPr>
          <w:rFonts w:ascii="Courier New" w:hAnsi="Courier New" w:cs="Courier New"/>
        </w:rPr>
        <w:t xml:space="preserve">revisions </w:t>
      </w:r>
      <w:r w:rsidR="008D16F4">
        <w:rPr>
          <w:rFonts w:ascii="Courier New" w:hAnsi="Courier New" w:cs="Courier New"/>
        </w:rPr>
        <w:t>d</w:t>
      </w:r>
      <w:r w:rsidR="00C77FD4">
        <w:rPr>
          <w:rFonts w:ascii="Courier New" w:hAnsi="Courier New" w:cs="Courier New"/>
        </w:rPr>
        <w:t xml:space="preserve">o not result in a change in the data </w:t>
      </w:r>
      <w:r w:rsidR="0089372A">
        <w:rPr>
          <w:rFonts w:ascii="Courier New" w:hAnsi="Courier New" w:cs="Courier New"/>
        </w:rPr>
        <w:t>elements</w:t>
      </w:r>
      <w:r w:rsidR="00C77FD4">
        <w:rPr>
          <w:rFonts w:ascii="Courier New" w:hAnsi="Courier New" w:cs="Courier New"/>
        </w:rPr>
        <w:t xml:space="preserve"> entered </w:t>
      </w:r>
      <w:r w:rsidR="008D16F4">
        <w:rPr>
          <w:rFonts w:ascii="Courier New" w:hAnsi="Courier New" w:cs="Courier New"/>
        </w:rPr>
        <w:t xml:space="preserve">by respondents </w:t>
      </w:r>
      <w:r w:rsidR="00C77FD4">
        <w:rPr>
          <w:rFonts w:ascii="Courier New" w:hAnsi="Courier New" w:cs="Courier New"/>
        </w:rPr>
        <w:t xml:space="preserve">into EPA’s e-GGRT system, but rather in the way that the data are received </w:t>
      </w:r>
      <w:r w:rsidR="003D594F">
        <w:rPr>
          <w:rFonts w:ascii="Courier New" w:hAnsi="Courier New" w:cs="Courier New"/>
        </w:rPr>
        <w:t xml:space="preserve">and used </w:t>
      </w:r>
      <w:r w:rsidR="00C77FD4">
        <w:rPr>
          <w:rFonts w:ascii="Courier New" w:hAnsi="Courier New" w:cs="Courier New"/>
        </w:rPr>
        <w:t xml:space="preserve">by the e-GGRT system. </w:t>
      </w:r>
      <w:r w:rsidR="008D16F4">
        <w:rPr>
          <w:rFonts w:ascii="Courier New" w:hAnsi="Courier New" w:cs="Courier New"/>
        </w:rPr>
        <w:t xml:space="preserve">Refer to section 4(b)(ii) for a discussion of changes in this required activity. </w:t>
      </w:r>
      <w:r w:rsidR="00062408">
        <w:rPr>
          <w:rFonts w:ascii="Courier New" w:hAnsi="Courier New" w:cs="Courier New"/>
        </w:rPr>
        <w:t>Refer to section 5(b) for more information about</w:t>
      </w:r>
      <w:r w:rsidR="0063630C">
        <w:rPr>
          <w:rFonts w:ascii="Courier New" w:hAnsi="Courier New" w:cs="Courier New"/>
        </w:rPr>
        <w:t xml:space="preserve"> EPA’s</w:t>
      </w:r>
      <w:r w:rsidR="00062408">
        <w:rPr>
          <w:rFonts w:ascii="Courier New" w:hAnsi="Courier New" w:cs="Courier New"/>
        </w:rPr>
        <w:t xml:space="preserve"> e-GGRT</w:t>
      </w:r>
      <w:r w:rsidR="0063630C">
        <w:rPr>
          <w:rFonts w:ascii="Courier New" w:hAnsi="Courier New" w:cs="Courier New"/>
        </w:rPr>
        <w:t xml:space="preserve"> system</w:t>
      </w:r>
      <w:r w:rsidR="00062408">
        <w:rPr>
          <w:rFonts w:ascii="Courier New" w:hAnsi="Courier New" w:cs="Courier New"/>
        </w:rPr>
        <w:t>.</w:t>
      </w:r>
      <w:r w:rsidR="008D16F4" w:rsidRPr="008D16F4">
        <w:rPr>
          <w:rFonts w:ascii="Courier New" w:hAnsi="Courier New" w:cs="Courier New"/>
        </w:rPr>
        <w:t xml:space="preserve"> </w:t>
      </w:r>
      <w:r w:rsidR="008D16F4" w:rsidRPr="00271C1A">
        <w:rPr>
          <w:rFonts w:ascii="Courier New" w:hAnsi="Courier New" w:cs="Courier New"/>
        </w:rPr>
        <w:t>The current requirement to maintain records of these data elements in any format selected by reporters would be replaced with a requirement to maintain a</w:t>
      </w:r>
      <w:r w:rsidR="008D16F4">
        <w:rPr>
          <w:rFonts w:ascii="Courier New" w:hAnsi="Courier New" w:cs="Courier New"/>
        </w:rPr>
        <w:t>n</w:t>
      </w:r>
      <w:r w:rsidR="008D16F4" w:rsidRPr="00271C1A">
        <w:rPr>
          <w:rFonts w:ascii="Courier New" w:hAnsi="Courier New" w:cs="Courier New"/>
        </w:rPr>
        <w:t xml:space="preserve"> electronic or hard copy of a file generated by the inputs verification tool, which lists the data elements entered into the tool. For any reporter subject to using the inputs verification tool, the retention period for maintaining all Part 98 records would be extended from three to five years. Refer to section 3(e) for EPA’s justification for this revision to the record retention period.</w:t>
      </w:r>
      <w:r w:rsidR="008D16F4">
        <w:rPr>
          <w:rFonts w:ascii="Courier New" w:hAnsi="Courier New" w:cs="Courier New"/>
        </w:rPr>
        <w:t xml:space="preserve"> </w:t>
      </w:r>
    </w:p>
    <w:p w:rsidR="008D16F4" w:rsidRDefault="008D16F4" w:rsidP="008D16F4">
      <w:pPr>
        <w:spacing w:line="360" w:lineRule="auto"/>
        <w:ind w:firstLine="720"/>
        <w:rPr>
          <w:rFonts w:ascii="Courier New" w:hAnsi="Courier New" w:cs="Courier New"/>
        </w:rPr>
      </w:pPr>
      <w:r>
        <w:rPr>
          <w:rFonts w:ascii="Courier New" w:hAnsi="Courier New" w:cs="Courier New"/>
        </w:rPr>
        <w:t xml:space="preserve">(ii)  </w:t>
      </w:r>
      <w:r w:rsidRPr="00F97534">
        <w:rPr>
          <w:rFonts w:ascii="Courier New" w:hAnsi="Courier New" w:cs="Courier New"/>
          <w:u w:val="single"/>
        </w:rPr>
        <w:t>Respondent Activities</w:t>
      </w:r>
      <w:r>
        <w:rPr>
          <w:rFonts w:ascii="Courier New" w:hAnsi="Courier New" w:cs="Courier New"/>
        </w:rPr>
        <w:t xml:space="preserve">.  Respondent activities associated with each required data </w:t>
      </w:r>
      <w:r w:rsidR="0089372A">
        <w:rPr>
          <w:rFonts w:ascii="Courier New" w:hAnsi="Courier New" w:cs="Courier New"/>
        </w:rPr>
        <w:t>element</w:t>
      </w:r>
      <w:r>
        <w:rPr>
          <w:rFonts w:ascii="Courier New" w:hAnsi="Courier New" w:cs="Courier New"/>
        </w:rPr>
        <w:t xml:space="preserve"> specified in section 4(b)(i) are identified below</w:t>
      </w:r>
      <w:r w:rsidR="001E3CCD">
        <w:rPr>
          <w:rFonts w:ascii="Courier New" w:hAnsi="Courier New" w:cs="Courier New"/>
        </w:rPr>
        <w:t xml:space="preserve">. Those respondent activities that would result in additional burden are also specified </w:t>
      </w:r>
      <w:r>
        <w:rPr>
          <w:rFonts w:ascii="Courier New" w:hAnsi="Courier New" w:cs="Courier New"/>
        </w:rPr>
        <w:t>in Table 1 of Attachment 1.</w:t>
      </w:r>
    </w:p>
    <w:p w:rsidR="008D16F4" w:rsidRDefault="008D16F4" w:rsidP="008D16F4">
      <w:pPr>
        <w:spacing w:line="360" w:lineRule="auto"/>
        <w:ind w:firstLine="720"/>
        <w:rPr>
          <w:rFonts w:ascii="Courier New" w:hAnsi="Courier New" w:cs="Courier New"/>
        </w:rPr>
      </w:pPr>
      <w:r w:rsidRPr="00ED651B">
        <w:rPr>
          <w:rFonts w:ascii="Courier New" w:hAnsi="Courier New" w:cs="Courier New"/>
          <w:u w:val="single"/>
        </w:rPr>
        <w:lastRenderedPageBreak/>
        <w:t xml:space="preserve">Reporting </w:t>
      </w:r>
      <w:r>
        <w:rPr>
          <w:rFonts w:ascii="Courier New" w:hAnsi="Courier New" w:cs="Courier New"/>
          <w:u w:val="single"/>
        </w:rPr>
        <w:t xml:space="preserve">Proposed </w:t>
      </w:r>
      <w:r w:rsidRPr="00ED651B">
        <w:rPr>
          <w:rFonts w:ascii="Courier New" w:hAnsi="Courier New" w:cs="Courier New"/>
          <w:u w:val="single"/>
        </w:rPr>
        <w:t>New Data Elements</w:t>
      </w:r>
      <w:r>
        <w:rPr>
          <w:rFonts w:ascii="Courier New" w:hAnsi="Courier New" w:cs="Courier New"/>
        </w:rPr>
        <w:t xml:space="preserve">.  For each of the </w:t>
      </w:r>
      <w:r w:rsidRPr="00EA6F91">
        <w:rPr>
          <w:rFonts w:ascii="Courier New" w:hAnsi="Courier New" w:cs="Courier New"/>
        </w:rPr>
        <w:t xml:space="preserve">26 new data elements </w:t>
      </w:r>
      <w:r>
        <w:rPr>
          <w:rFonts w:ascii="Courier New" w:hAnsi="Courier New" w:cs="Courier New"/>
        </w:rPr>
        <w:t>required to be</w:t>
      </w:r>
      <w:r w:rsidRPr="00EA6F91">
        <w:rPr>
          <w:rFonts w:ascii="Courier New" w:hAnsi="Courier New" w:cs="Courier New"/>
        </w:rPr>
        <w:t xml:space="preserve"> reported</w:t>
      </w:r>
      <w:r>
        <w:rPr>
          <w:rFonts w:ascii="Courier New" w:hAnsi="Courier New" w:cs="Courier New"/>
        </w:rPr>
        <w:t>, respondents would be required to calculate the data element using readily available data, and submit the value via e-GGRT</w:t>
      </w:r>
      <w:r w:rsidR="00062408">
        <w:rPr>
          <w:rFonts w:ascii="Courier New" w:hAnsi="Courier New" w:cs="Courier New"/>
        </w:rPr>
        <w:t xml:space="preserve"> </w:t>
      </w:r>
      <w:r>
        <w:rPr>
          <w:rFonts w:ascii="Courier New" w:hAnsi="Courier New" w:cs="Courier New"/>
        </w:rPr>
        <w:t>as part of the annual report</w:t>
      </w:r>
      <w:r w:rsidR="001E3CCD">
        <w:rPr>
          <w:rFonts w:ascii="Courier New" w:hAnsi="Courier New" w:cs="Courier New"/>
        </w:rPr>
        <w:t xml:space="preserve"> currently required under Part 98</w:t>
      </w:r>
      <w:r>
        <w:rPr>
          <w:rFonts w:ascii="Courier New" w:hAnsi="Courier New" w:cs="Courier New"/>
        </w:rPr>
        <w:t>.</w:t>
      </w:r>
      <w:r w:rsidRPr="0023363D">
        <w:rPr>
          <w:rFonts w:ascii="Courier New" w:hAnsi="Courier New" w:cs="Courier New"/>
        </w:rPr>
        <w:t xml:space="preserve"> </w:t>
      </w:r>
    </w:p>
    <w:p w:rsidR="000703D3" w:rsidRPr="00EA6F91" w:rsidRDefault="008D16F4" w:rsidP="00271C1A">
      <w:pPr>
        <w:spacing w:line="360" w:lineRule="auto"/>
        <w:ind w:firstLine="720"/>
        <w:rPr>
          <w:rFonts w:ascii="Courier New" w:hAnsi="Courier New" w:cs="Courier New"/>
        </w:rPr>
      </w:pPr>
      <w:r w:rsidRPr="008A4119">
        <w:rPr>
          <w:rFonts w:ascii="Courier New" w:hAnsi="Courier New" w:cs="Courier New"/>
          <w:u w:val="single"/>
        </w:rPr>
        <w:t>Training with Proposed Verification Tool</w:t>
      </w:r>
      <w:r w:rsidRPr="008A4119">
        <w:rPr>
          <w:rFonts w:ascii="Courier New" w:hAnsi="Courier New" w:cs="Courier New"/>
        </w:rPr>
        <w:t xml:space="preserve">. </w:t>
      </w:r>
      <w:r w:rsidR="003404E1" w:rsidRPr="008A4119">
        <w:rPr>
          <w:rFonts w:ascii="Courier New" w:hAnsi="Courier New" w:cs="Courier New"/>
        </w:rPr>
        <w:t xml:space="preserve"> </w:t>
      </w:r>
      <w:r w:rsidR="000F2CE3" w:rsidRPr="008A4119">
        <w:rPr>
          <w:rFonts w:ascii="Courier New" w:hAnsi="Courier New" w:cs="Courier New"/>
        </w:rPr>
        <w:t>During their first session using the proposed inputs verification tool, r</w:t>
      </w:r>
      <w:r w:rsidR="00B22B81" w:rsidRPr="008A4119">
        <w:rPr>
          <w:rFonts w:ascii="Courier New" w:hAnsi="Courier New" w:cs="Courier New"/>
        </w:rPr>
        <w:t>espondents</w:t>
      </w:r>
      <w:r w:rsidR="00410E0B" w:rsidRPr="008A4119">
        <w:rPr>
          <w:rFonts w:ascii="Courier New" w:hAnsi="Courier New" w:cs="Courier New"/>
        </w:rPr>
        <w:t xml:space="preserve"> </w:t>
      </w:r>
      <w:r w:rsidR="0063630C" w:rsidRPr="008A4119">
        <w:rPr>
          <w:rFonts w:ascii="Courier New" w:hAnsi="Courier New" w:cs="Courier New"/>
        </w:rPr>
        <w:t>would</w:t>
      </w:r>
      <w:r w:rsidR="00410E0B" w:rsidRPr="008A4119">
        <w:rPr>
          <w:rFonts w:ascii="Courier New" w:hAnsi="Courier New" w:cs="Courier New"/>
        </w:rPr>
        <w:t xml:space="preserve"> need to </w:t>
      </w:r>
      <w:r w:rsidR="000F2CE3" w:rsidRPr="008A4119">
        <w:rPr>
          <w:rFonts w:ascii="Courier New" w:hAnsi="Courier New" w:cs="Courier New"/>
        </w:rPr>
        <w:t xml:space="preserve">spend time </w:t>
      </w:r>
      <w:r w:rsidR="00410E0B" w:rsidRPr="008A4119">
        <w:rPr>
          <w:rFonts w:ascii="Courier New" w:hAnsi="Courier New" w:cs="Courier New"/>
        </w:rPr>
        <w:t>becom</w:t>
      </w:r>
      <w:r w:rsidR="000F2CE3" w:rsidRPr="008A4119">
        <w:rPr>
          <w:rFonts w:ascii="Courier New" w:hAnsi="Courier New" w:cs="Courier New"/>
        </w:rPr>
        <w:t xml:space="preserve">ing </w:t>
      </w:r>
      <w:r w:rsidR="00410E0B" w:rsidRPr="008A4119">
        <w:rPr>
          <w:rFonts w:ascii="Courier New" w:hAnsi="Courier New" w:cs="Courier New"/>
        </w:rPr>
        <w:t xml:space="preserve">familiar with </w:t>
      </w:r>
      <w:r w:rsidR="000F2CE3" w:rsidRPr="008A4119">
        <w:rPr>
          <w:rFonts w:ascii="Courier New" w:hAnsi="Courier New" w:cs="Courier New"/>
        </w:rPr>
        <w:t>how the tool operates within e-GGRT.</w:t>
      </w:r>
      <w:r w:rsidR="00410E0B" w:rsidRPr="008A4119">
        <w:rPr>
          <w:rFonts w:ascii="Courier New" w:hAnsi="Courier New" w:cs="Courier New"/>
        </w:rPr>
        <w:t xml:space="preserve"> </w:t>
      </w:r>
      <w:r w:rsidR="00B22B81" w:rsidRPr="008A4119">
        <w:rPr>
          <w:rFonts w:ascii="Courier New" w:hAnsi="Courier New" w:cs="Courier New"/>
        </w:rPr>
        <w:t xml:space="preserve">The proposed new requirement to use the inputs verification tool would not result in any change in the respondent activity of entering these data into e-GGRT. </w:t>
      </w:r>
      <w:r w:rsidR="00410E0B" w:rsidRPr="008A4119">
        <w:rPr>
          <w:rFonts w:ascii="Courier New" w:hAnsi="Courier New" w:cs="Courier New"/>
        </w:rPr>
        <w:t>R</w:t>
      </w:r>
      <w:r w:rsidR="00B22B81" w:rsidRPr="008A4119">
        <w:rPr>
          <w:rFonts w:ascii="Courier New" w:hAnsi="Courier New" w:cs="Courier New"/>
        </w:rPr>
        <w:t>espondents would access e-GGRT to enter their data, as currently required under the rule</w:t>
      </w:r>
      <w:r w:rsidR="000F2CE3" w:rsidRPr="008A4119">
        <w:rPr>
          <w:rFonts w:ascii="Courier New" w:hAnsi="Courier New" w:cs="Courier New"/>
        </w:rPr>
        <w:t>. H</w:t>
      </w:r>
      <w:r w:rsidR="00B22B81" w:rsidRPr="008A4119">
        <w:rPr>
          <w:rFonts w:ascii="Courier New" w:hAnsi="Courier New" w:cs="Courier New"/>
        </w:rPr>
        <w:t xml:space="preserve">owever, </w:t>
      </w:r>
      <w:r w:rsidR="008A4119" w:rsidRPr="008A4119">
        <w:rPr>
          <w:rFonts w:ascii="Courier New" w:hAnsi="Courier New"/>
        </w:rPr>
        <w:t xml:space="preserve">“inputs to equations” data elements would be entered into </w:t>
      </w:r>
      <w:r w:rsidR="008A4119">
        <w:rPr>
          <w:rFonts w:ascii="Courier New" w:hAnsi="Courier New"/>
        </w:rPr>
        <w:t>a</w:t>
      </w:r>
      <w:r w:rsidR="008A4119" w:rsidRPr="008A4119">
        <w:rPr>
          <w:rFonts w:ascii="Courier New" w:hAnsi="Courier New"/>
        </w:rPr>
        <w:t xml:space="preserve"> new inputs verification tool within e-GGRT and would not be reported to the EPA.</w:t>
      </w:r>
      <w:r w:rsidR="00B22B81">
        <w:rPr>
          <w:rFonts w:ascii="Courier New" w:hAnsi="Courier New" w:cs="Courier New"/>
        </w:rPr>
        <w:t xml:space="preserve"> </w:t>
      </w:r>
      <w:r w:rsidR="008F4F65">
        <w:rPr>
          <w:rFonts w:ascii="Courier New" w:hAnsi="Courier New" w:cs="Courier New"/>
        </w:rPr>
        <w:t xml:space="preserve">Refer to section 5(b) for further discussion about the tool. </w:t>
      </w:r>
      <w:r w:rsidR="001E3CCD">
        <w:rPr>
          <w:rFonts w:ascii="Courier New" w:hAnsi="Courier New" w:cs="Courier New"/>
        </w:rPr>
        <w:t xml:space="preserve">The table below </w:t>
      </w:r>
      <w:r w:rsidR="003404E1">
        <w:rPr>
          <w:rFonts w:ascii="Courier New" w:hAnsi="Courier New" w:cs="Courier New"/>
        </w:rPr>
        <w:t xml:space="preserve">specifies </w:t>
      </w:r>
      <w:r w:rsidR="001E3CCD">
        <w:rPr>
          <w:rFonts w:ascii="Courier New" w:hAnsi="Courier New" w:cs="Courier New"/>
        </w:rPr>
        <w:t xml:space="preserve">the number of </w:t>
      </w:r>
      <w:r w:rsidR="00B95F13">
        <w:rPr>
          <w:rFonts w:ascii="Courier New" w:hAnsi="Courier New" w:cs="Courier New"/>
        </w:rPr>
        <w:t>“inputs to equations” data elements</w:t>
      </w:r>
      <w:r w:rsidR="001E3CCD">
        <w:rPr>
          <w:rFonts w:ascii="Courier New" w:hAnsi="Courier New" w:cs="Courier New"/>
        </w:rPr>
        <w:t xml:space="preserve"> </w:t>
      </w:r>
      <w:r w:rsidR="003404E1">
        <w:rPr>
          <w:rFonts w:ascii="Courier New" w:hAnsi="Courier New" w:cs="Courier New"/>
        </w:rPr>
        <w:t xml:space="preserve">per subpart </w:t>
      </w:r>
      <w:r w:rsidR="001E3CCD">
        <w:rPr>
          <w:rFonts w:ascii="Courier New" w:hAnsi="Courier New" w:cs="Courier New"/>
        </w:rPr>
        <w:t>that respondents would enter into the inputs verification tool instead of directly into e-GGRT.</w:t>
      </w:r>
    </w:p>
    <w:tbl>
      <w:tblPr>
        <w:tblStyle w:val="TableGrid"/>
        <w:tblW w:w="9278" w:type="dxa"/>
        <w:jc w:val="center"/>
        <w:tblLayout w:type="fixed"/>
        <w:tblCellMar>
          <w:top w:w="29" w:type="dxa"/>
          <w:left w:w="115" w:type="dxa"/>
          <w:bottom w:w="29" w:type="dxa"/>
          <w:right w:w="115" w:type="dxa"/>
        </w:tblCellMar>
        <w:tblLook w:val="04A0"/>
      </w:tblPr>
      <w:tblGrid>
        <w:gridCol w:w="1129"/>
        <w:gridCol w:w="3324"/>
        <w:gridCol w:w="2203"/>
        <w:gridCol w:w="2622"/>
      </w:tblGrid>
      <w:tr w:rsidR="00271C1A" w:rsidRPr="00EA6F91" w:rsidTr="00271C1A">
        <w:trPr>
          <w:trHeight w:val="681"/>
          <w:tblHeader/>
          <w:jc w:val="center"/>
        </w:trPr>
        <w:tc>
          <w:tcPr>
            <w:tcW w:w="1129" w:type="dxa"/>
            <w:vMerge w:val="restart"/>
            <w:shd w:val="clear" w:color="auto" w:fill="D9D9D9" w:themeFill="background1" w:themeFillShade="D9"/>
            <w:vAlign w:val="center"/>
          </w:tcPr>
          <w:p w:rsidR="00271C1A" w:rsidRPr="00EA6F91" w:rsidRDefault="00271C1A" w:rsidP="00085A6A">
            <w:pPr>
              <w:pStyle w:val="TableHeader"/>
              <w:rPr>
                <w:rFonts w:ascii="Courier New" w:hAnsi="Courier New" w:cs="Courier New"/>
                <w:sz w:val="20"/>
                <w:szCs w:val="20"/>
              </w:rPr>
            </w:pPr>
            <w:r w:rsidRPr="00EA6F91">
              <w:rPr>
                <w:rFonts w:ascii="Courier New" w:hAnsi="Courier New" w:cs="Courier New"/>
                <w:sz w:val="20"/>
                <w:szCs w:val="20"/>
              </w:rPr>
              <w:t>Subpart</w:t>
            </w:r>
          </w:p>
        </w:tc>
        <w:tc>
          <w:tcPr>
            <w:tcW w:w="3324" w:type="dxa"/>
            <w:vMerge w:val="restart"/>
            <w:shd w:val="clear" w:color="auto" w:fill="D9D9D9" w:themeFill="background1" w:themeFillShade="D9"/>
            <w:vAlign w:val="center"/>
          </w:tcPr>
          <w:p w:rsidR="00271C1A" w:rsidRPr="00EA6F91" w:rsidRDefault="00271C1A" w:rsidP="00085A6A">
            <w:pPr>
              <w:pStyle w:val="TableHeader"/>
              <w:rPr>
                <w:rFonts w:ascii="Courier New" w:hAnsi="Courier New" w:cs="Courier New"/>
                <w:sz w:val="20"/>
                <w:szCs w:val="20"/>
              </w:rPr>
            </w:pPr>
            <w:r w:rsidRPr="00EA6F91">
              <w:rPr>
                <w:rFonts w:ascii="Courier New" w:hAnsi="Courier New" w:cs="Courier New"/>
                <w:sz w:val="20"/>
                <w:szCs w:val="20"/>
              </w:rPr>
              <w:t>Source Category</w:t>
            </w:r>
          </w:p>
        </w:tc>
        <w:tc>
          <w:tcPr>
            <w:tcW w:w="4825" w:type="dxa"/>
            <w:gridSpan w:val="2"/>
            <w:shd w:val="clear" w:color="auto" w:fill="D9D9D9" w:themeFill="background1" w:themeFillShade="D9"/>
            <w:vAlign w:val="center"/>
          </w:tcPr>
          <w:p w:rsidR="00271C1A" w:rsidRPr="00EA6F91" w:rsidRDefault="00271C1A" w:rsidP="00B95F13">
            <w:pPr>
              <w:pStyle w:val="TableHeader"/>
              <w:spacing w:before="0" w:after="0"/>
              <w:rPr>
                <w:rFonts w:ascii="Courier New" w:hAnsi="Courier New" w:cs="Courier New"/>
                <w:sz w:val="20"/>
                <w:szCs w:val="20"/>
              </w:rPr>
            </w:pPr>
            <w:r w:rsidRPr="00EA6F91">
              <w:rPr>
                <w:rFonts w:ascii="Courier New" w:hAnsi="Courier New" w:cs="Courier New"/>
                <w:color w:val="000000"/>
                <w:sz w:val="20"/>
                <w:szCs w:val="20"/>
              </w:rPr>
              <w:t xml:space="preserve">Number of </w:t>
            </w:r>
            <w:r w:rsidR="00B95F13">
              <w:rPr>
                <w:rFonts w:ascii="Courier New" w:hAnsi="Courier New" w:cs="Courier New"/>
              </w:rPr>
              <w:t>“Inputs to  Equations” Data Elements</w:t>
            </w:r>
          </w:p>
        </w:tc>
      </w:tr>
      <w:tr w:rsidR="00271C1A" w:rsidRPr="00EA6F91" w:rsidTr="00271C1A">
        <w:trPr>
          <w:tblHeader/>
          <w:jc w:val="center"/>
        </w:trPr>
        <w:tc>
          <w:tcPr>
            <w:tcW w:w="1129" w:type="dxa"/>
            <w:vMerge/>
            <w:shd w:val="clear" w:color="auto" w:fill="D9D9D9" w:themeFill="background1" w:themeFillShade="D9"/>
            <w:vAlign w:val="center"/>
          </w:tcPr>
          <w:p w:rsidR="00271C1A" w:rsidRPr="00EA6F91" w:rsidRDefault="00271C1A" w:rsidP="00085A6A">
            <w:pPr>
              <w:pStyle w:val="TableHeader"/>
              <w:spacing w:before="0" w:after="0"/>
              <w:rPr>
                <w:rFonts w:ascii="Courier New" w:hAnsi="Courier New" w:cs="Courier New"/>
                <w:sz w:val="20"/>
                <w:szCs w:val="20"/>
              </w:rPr>
            </w:pPr>
          </w:p>
        </w:tc>
        <w:tc>
          <w:tcPr>
            <w:tcW w:w="3324" w:type="dxa"/>
            <w:vMerge/>
            <w:shd w:val="clear" w:color="auto" w:fill="D9D9D9" w:themeFill="background1" w:themeFillShade="D9"/>
            <w:vAlign w:val="center"/>
          </w:tcPr>
          <w:p w:rsidR="00271C1A" w:rsidRPr="00EA6F91" w:rsidRDefault="00271C1A" w:rsidP="00085A6A">
            <w:pPr>
              <w:pStyle w:val="TableHeader"/>
              <w:spacing w:before="0" w:after="0"/>
              <w:rPr>
                <w:rFonts w:ascii="Courier New" w:hAnsi="Courier New" w:cs="Courier New"/>
                <w:sz w:val="20"/>
                <w:szCs w:val="20"/>
              </w:rPr>
            </w:pPr>
          </w:p>
        </w:tc>
        <w:tc>
          <w:tcPr>
            <w:tcW w:w="2203" w:type="dxa"/>
            <w:shd w:val="clear" w:color="auto" w:fill="D9D9D9" w:themeFill="background1" w:themeFillShade="D9"/>
            <w:vAlign w:val="center"/>
          </w:tcPr>
          <w:p w:rsidR="00271C1A" w:rsidRPr="00EA6F91" w:rsidRDefault="00271C1A" w:rsidP="00271C1A">
            <w:pPr>
              <w:pStyle w:val="TableHeader"/>
              <w:spacing w:before="0" w:after="0"/>
              <w:rPr>
                <w:rFonts w:ascii="Courier New" w:hAnsi="Courier New" w:cs="Courier New"/>
                <w:sz w:val="20"/>
                <w:szCs w:val="20"/>
              </w:rPr>
            </w:pPr>
            <w:r>
              <w:rPr>
                <w:rFonts w:ascii="Courier New" w:hAnsi="Courier New" w:cs="Courier New"/>
                <w:color w:val="000000"/>
                <w:sz w:val="20"/>
                <w:szCs w:val="20"/>
              </w:rPr>
              <w:t>Currently Required to be Reported</w:t>
            </w:r>
          </w:p>
        </w:tc>
        <w:tc>
          <w:tcPr>
            <w:tcW w:w="2622" w:type="dxa"/>
            <w:shd w:val="clear" w:color="auto" w:fill="D9D9D9" w:themeFill="background1" w:themeFillShade="D9"/>
            <w:vAlign w:val="center"/>
          </w:tcPr>
          <w:p w:rsidR="00271C1A" w:rsidRPr="00EA6F91" w:rsidRDefault="00271C1A" w:rsidP="00271C1A">
            <w:pPr>
              <w:pStyle w:val="TableHeader"/>
              <w:spacing w:before="0" w:after="0"/>
              <w:rPr>
                <w:rFonts w:ascii="Courier New" w:hAnsi="Courier New" w:cs="Courier New"/>
                <w:sz w:val="20"/>
                <w:szCs w:val="20"/>
              </w:rPr>
            </w:pPr>
            <w:r w:rsidRPr="00EA6F91">
              <w:rPr>
                <w:rFonts w:ascii="Courier New" w:hAnsi="Courier New" w:cs="Courier New"/>
                <w:sz w:val="20"/>
                <w:szCs w:val="20"/>
              </w:rPr>
              <w:t>Proposed Not to be Reported</w:t>
            </w:r>
            <w:r>
              <w:rPr>
                <w:rFonts w:ascii="Courier New" w:hAnsi="Courier New" w:cs="Courier New"/>
                <w:sz w:val="20"/>
                <w:szCs w:val="20"/>
              </w:rPr>
              <w:t>, But Instead to be Entered into the Proposed Inputs Verification Tool</w:t>
            </w:r>
          </w:p>
        </w:tc>
      </w:tr>
      <w:tr w:rsidR="000703D3" w:rsidRPr="00EA6F91" w:rsidTr="00271C1A">
        <w:trPr>
          <w:jc w:val="center"/>
        </w:trPr>
        <w:tc>
          <w:tcPr>
            <w:tcW w:w="1129" w:type="dxa"/>
          </w:tcPr>
          <w:p w:rsidR="000703D3" w:rsidRPr="00EA6F91" w:rsidRDefault="000703D3" w:rsidP="000703D3">
            <w:pPr>
              <w:jc w:val="center"/>
              <w:outlineLvl w:val="1"/>
              <w:rPr>
                <w:rFonts w:ascii="Courier New" w:hAnsi="Courier New" w:cs="Courier New"/>
                <w:bCs/>
                <w:iCs/>
                <w:sz w:val="20"/>
                <w:szCs w:val="20"/>
              </w:rPr>
            </w:pPr>
            <w:r w:rsidRPr="00EA6F91">
              <w:rPr>
                <w:rFonts w:ascii="Courier New" w:hAnsi="Courier New" w:cs="Courier New"/>
                <w:bCs/>
                <w:iCs/>
                <w:sz w:val="20"/>
                <w:szCs w:val="20"/>
              </w:rPr>
              <w:t>C</w:t>
            </w:r>
          </w:p>
        </w:tc>
        <w:tc>
          <w:tcPr>
            <w:tcW w:w="3324" w:type="dxa"/>
          </w:tcPr>
          <w:p w:rsidR="000703D3" w:rsidRPr="00EA6F91" w:rsidRDefault="000703D3" w:rsidP="000703D3">
            <w:pPr>
              <w:outlineLvl w:val="1"/>
              <w:rPr>
                <w:rFonts w:ascii="Courier New" w:hAnsi="Courier New" w:cs="Courier New"/>
                <w:bCs/>
                <w:iCs/>
                <w:sz w:val="20"/>
                <w:szCs w:val="20"/>
              </w:rPr>
            </w:pPr>
            <w:r w:rsidRPr="00EA6F91">
              <w:rPr>
                <w:rFonts w:ascii="Courier New" w:hAnsi="Courier New" w:cs="Courier New"/>
                <w:bCs/>
                <w:iCs/>
                <w:sz w:val="20"/>
                <w:szCs w:val="20"/>
              </w:rPr>
              <w:t>General Stationary Fuel Combustion Sources except Certain</w:t>
            </w:r>
            <w:r w:rsidR="00F40DC8" w:rsidRPr="00EA6F91">
              <w:rPr>
                <w:rFonts w:ascii="Courier New" w:hAnsi="Courier New" w:cs="Courier New"/>
                <w:sz w:val="20"/>
                <w:szCs w:val="20"/>
              </w:rPr>
              <w:t xml:space="preserve"> Combustion Units Connected to Devices Connected to the Local or Regional Power Grid</w:t>
            </w:r>
            <w:r w:rsidR="00F40DC8" w:rsidRPr="00EA6F91" w:rsidDel="00F40DC8">
              <w:rPr>
                <w:rFonts w:ascii="Courier New" w:hAnsi="Courier New" w:cs="Courier New"/>
                <w:bCs/>
                <w:iCs/>
                <w:sz w:val="20"/>
                <w:szCs w:val="20"/>
              </w:rPr>
              <w:t xml:space="preserve"> </w:t>
            </w:r>
            <w:r w:rsidR="00F40DC8" w:rsidRPr="00EA6F91">
              <w:rPr>
                <w:rFonts w:ascii="Courier New" w:hAnsi="Courier New" w:cs="Courier New"/>
                <w:bCs/>
                <w:iCs/>
                <w:sz w:val="20"/>
                <w:szCs w:val="20"/>
                <w:vertAlign w:val="superscript"/>
              </w:rPr>
              <w:t>1</w:t>
            </w:r>
          </w:p>
        </w:tc>
        <w:tc>
          <w:tcPr>
            <w:tcW w:w="2203" w:type="dxa"/>
            <w:vAlign w:val="center"/>
          </w:tcPr>
          <w:p w:rsidR="000703D3" w:rsidRPr="00EA6F91" w:rsidRDefault="00F40DC8" w:rsidP="00F40DC8">
            <w:pPr>
              <w:jc w:val="center"/>
              <w:rPr>
                <w:rFonts w:ascii="Courier New" w:hAnsi="Courier New" w:cs="Courier New"/>
                <w:color w:val="000000"/>
                <w:sz w:val="20"/>
                <w:szCs w:val="20"/>
              </w:rPr>
            </w:pPr>
            <w:r w:rsidRPr="00EA6F91">
              <w:rPr>
                <w:rFonts w:ascii="Courier New" w:hAnsi="Courier New" w:cs="Courier New"/>
                <w:color w:val="000000"/>
                <w:sz w:val="20"/>
                <w:szCs w:val="20"/>
              </w:rPr>
              <w:t>26</w:t>
            </w:r>
            <w:r w:rsidRPr="00EA6F91">
              <w:rPr>
                <w:rFonts w:ascii="Courier New" w:hAnsi="Courier New" w:cs="Courier New"/>
                <w:color w:val="000000"/>
                <w:sz w:val="20"/>
                <w:szCs w:val="20"/>
                <w:vertAlign w:val="superscript"/>
              </w:rPr>
              <w:t>2</w:t>
            </w:r>
          </w:p>
        </w:tc>
        <w:tc>
          <w:tcPr>
            <w:tcW w:w="2622" w:type="dxa"/>
            <w:vAlign w:val="center"/>
          </w:tcPr>
          <w:p w:rsidR="000703D3" w:rsidRPr="00EA6F91" w:rsidRDefault="00F40DC8" w:rsidP="00F40DC8">
            <w:pPr>
              <w:jc w:val="center"/>
              <w:outlineLvl w:val="1"/>
              <w:rPr>
                <w:rFonts w:ascii="Courier New" w:hAnsi="Courier New" w:cs="Courier New"/>
                <w:bCs/>
                <w:iCs/>
                <w:sz w:val="20"/>
                <w:szCs w:val="20"/>
              </w:rPr>
            </w:pPr>
            <w:r w:rsidRPr="00EA6F91">
              <w:rPr>
                <w:rFonts w:ascii="Courier New" w:hAnsi="Courier New" w:cs="Courier New"/>
                <w:bCs/>
                <w:iCs/>
                <w:color w:val="000000" w:themeColor="text1"/>
                <w:sz w:val="20"/>
                <w:szCs w:val="20"/>
              </w:rPr>
              <w:t>26</w:t>
            </w:r>
          </w:p>
        </w:tc>
      </w:tr>
      <w:tr w:rsidR="000703D3" w:rsidRPr="00EA6F91" w:rsidTr="00271C1A">
        <w:trPr>
          <w:jc w:val="center"/>
        </w:trPr>
        <w:tc>
          <w:tcPr>
            <w:tcW w:w="1129" w:type="dxa"/>
          </w:tcPr>
          <w:p w:rsidR="000703D3" w:rsidRPr="00EA6F91" w:rsidRDefault="000703D3" w:rsidP="000703D3">
            <w:pPr>
              <w:jc w:val="center"/>
              <w:outlineLvl w:val="1"/>
              <w:rPr>
                <w:rFonts w:ascii="Courier New" w:hAnsi="Courier New" w:cs="Courier New"/>
                <w:bCs/>
                <w:iCs/>
                <w:sz w:val="20"/>
                <w:szCs w:val="20"/>
              </w:rPr>
            </w:pPr>
            <w:r w:rsidRPr="00EA6F91">
              <w:rPr>
                <w:rFonts w:ascii="Courier New" w:hAnsi="Courier New" w:cs="Courier New"/>
                <w:bCs/>
                <w:iCs/>
                <w:sz w:val="20"/>
                <w:szCs w:val="20"/>
              </w:rPr>
              <w:t>E</w:t>
            </w:r>
          </w:p>
        </w:tc>
        <w:tc>
          <w:tcPr>
            <w:tcW w:w="3324" w:type="dxa"/>
          </w:tcPr>
          <w:p w:rsidR="000703D3" w:rsidRPr="00EA6F91" w:rsidRDefault="000703D3" w:rsidP="000703D3">
            <w:pPr>
              <w:outlineLvl w:val="1"/>
              <w:rPr>
                <w:rFonts w:ascii="Courier New" w:hAnsi="Courier New" w:cs="Courier New"/>
                <w:bCs/>
                <w:iCs/>
                <w:sz w:val="20"/>
                <w:szCs w:val="20"/>
              </w:rPr>
            </w:pPr>
            <w:r w:rsidRPr="00EA6F91">
              <w:rPr>
                <w:rFonts w:ascii="Courier New" w:hAnsi="Courier New" w:cs="Courier New"/>
                <w:bCs/>
                <w:iCs/>
                <w:sz w:val="20"/>
                <w:szCs w:val="20"/>
              </w:rPr>
              <w:t xml:space="preserve"> Adipic Acid Production</w:t>
            </w:r>
          </w:p>
        </w:tc>
        <w:tc>
          <w:tcPr>
            <w:tcW w:w="2203" w:type="dxa"/>
            <w:vAlign w:val="center"/>
          </w:tcPr>
          <w:p w:rsidR="000703D3" w:rsidRPr="00EA6F91" w:rsidRDefault="000703D3" w:rsidP="000703D3">
            <w:pPr>
              <w:jc w:val="center"/>
              <w:rPr>
                <w:rFonts w:ascii="Courier New" w:hAnsi="Courier New" w:cs="Courier New"/>
                <w:color w:val="000000"/>
                <w:sz w:val="20"/>
                <w:szCs w:val="20"/>
              </w:rPr>
            </w:pPr>
            <w:r w:rsidRPr="00EA6F91">
              <w:rPr>
                <w:rFonts w:ascii="Courier New" w:hAnsi="Courier New" w:cs="Courier New"/>
                <w:color w:val="000000"/>
                <w:sz w:val="20"/>
                <w:szCs w:val="20"/>
              </w:rPr>
              <w:t>21</w:t>
            </w:r>
          </w:p>
        </w:tc>
        <w:tc>
          <w:tcPr>
            <w:tcW w:w="2622" w:type="dxa"/>
            <w:vAlign w:val="center"/>
          </w:tcPr>
          <w:p w:rsidR="000703D3" w:rsidRPr="00EA6F91" w:rsidRDefault="000703D3" w:rsidP="000703D3">
            <w:pPr>
              <w:jc w:val="center"/>
              <w:outlineLvl w:val="1"/>
              <w:rPr>
                <w:rFonts w:ascii="Courier New" w:hAnsi="Courier New" w:cs="Courier New"/>
                <w:bCs/>
                <w:iCs/>
                <w:sz w:val="20"/>
                <w:szCs w:val="20"/>
              </w:rPr>
            </w:pPr>
            <w:r w:rsidRPr="00EA6F91">
              <w:rPr>
                <w:rFonts w:ascii="Courier New" w:hAnsi="Courier New" w:cs="Courier New"/>
                <w:bCs/>
                <w:iCs/>
                <w:color w:val="000000" w:themeColor="text1"/>
                <w:sz w:val="20"/>
                <w:szCs w:val="20"/>
              </w:rPr>
              <w:t>11</w:t>
            </w:r>
          </w:p>
        </w:tc>
      </w:tr>
      <w:tr w:rsidR="000703D3" w:rsidRPr="00EA6F91" w:rsidTr="00271C1A">
        <w:trPr>
          <w:jc w:val="center"/>
        </w:trPr>
        <w:tc>
          <w:tcPr>
            <w:tcW w:w="1129" w:type="dxa"/>
          </w:tcPr>
          <w:p w:rsidR="000703D3" w:rsidRPr="00EA6F91" w:rsidRDefault="000703D3" w:rsidP="000703D3">
            <w:pPr>
              <w:jc w:val="center"/>
              <w:outlineLvl w:val="1"/>
              <w:rPr>
                <w:rFonts w:ascii="Courier New" w:hAnsi="Courier New" w:cs="Courier New"/>
                <w:bCs/>
                <w:iCs/>
                <w:sz w:val="20"/>
                <w:szCs w:val="20"/>
              </w:rPr>
            </w:pPr>
            <w:r w:rsidRPr="00EA6F91">
              <w:rPr>
                <w:rFonts w:ascii="Courier New" w:hAnsi="Courier New" w:cs="Courier New"/>
                <w:bCs/>
                <w:iCs/>
                <w:sz w:val="20"/>
                <w:szCs w:val="20"/>
              </w:rPr>
              <w:t>F</w:t>
            </w:r>
          </w:p>
        </w:tc>
        <w:tc>
          <w:tcPr>
            <w:tcW w:w="3324" w:type="dxa"/>
          </w:tcPr>
          <w:p w:rsidR="000703D3" w:rsidRPr="00EA6F91" w:rsidRDefault="000703D3" w:rsidP="000703D3">
            <w:pPr>
              <w:outlineLvl w:val="1"/>
              <w:rPr>
                <w:rFonts w:ascii="Courier New" w:hAnsi="Courier New" w:cs="Courier New"/>
                <w:bCs/>
                <w:iCs/>
                <w:sz w:val="20"/>
                <w:szCs w:val="20"/>
              </w:rPr>
            </w:pPr>
            <w:r w:rsidRPr="00EA6F91">
              <w:rPr>
                <w:rFonts w:ascii="Courier New" w:hAnsi="Courier New" w:cs="Courier New"/>
                <w:bCs/>
                <w:iCs/>
                <w:sz w:val="20"/>
                <w:szCs w:val="20"/>
              </w:rPr>
              <w:t xml:space="preserve"> Aluminum Production</w:t>
            </w:r>
          </w:p>
        </w:tc>
        <w:tc>
          <w:tcPr>
            <w:tcW w:w="2203" w:type="dxa"/>
            <w:vAlign w:val="center"/>
          </w:tcPr>
          <w:p w:rsidR="000703D3" w:rsidRPr="00EA6F91" w:rsidRDefault="000703D3" w:rsidP="000703D3">
            <w:pPr>
              <w:jc w:val="center"/>
              <w:rPr>
                <w:rFonts w:ascii="Courier New" w:hAnsi="Courier New" w:cs="Courier New"/>
                <w:color w:val="000000"/>
                <w:sz w:val="20"/>
                <w:szCs w:val="20"/>
              </w:rPr>
            </w:pPr>
            <w:r w:rsidRPr="00EA6F91">
              <w:rPr>
                <w:rFonts w:ascii="Courier New" w:hAnsi="Courier New" w:cs="Courier New"/>
                <w:color w:val="000000"/>
                <w:sz w:val="20"/>
                <w:szCs w:val="20"/>
              </w:rPr>
              <w:t>29</w:t>
            </w:r>
          </w:p>
        </w:tc>
        <w:tc>
          <w:tcPr>
            <w:tcW w:w="2622" w:type="dxa"/>
            <w:vAlign w:val="center"/>
          </w:tcPr>
          <w:p w:rsidR="000703D3" w:rsidRPr="00EA6F91" w:rsidRDefault="000703D3" w:rsidP="000703D3">
            <w:pPr>
              <w:jc w:val="center"/>
              <w:outlineLvl w:val="1"/>
              <w:rPr>
                <w:rFonts w:ascii="Courier New" w:hAnsi="Courier New" w:cs="Courier New"/>
                <w:bCs/>
                <w:iCs/>
                <w:sz w:val="20"/>
                <w:szCs w:val="20"/>
              </w:rPr>
            </w:pPr>
            <w:r w:rsidRPr="00EA6F91">
              <w:rPr>
                <w:rFonts w:ascii="Courier New" w:hAnsi="Courier New" w:cs="Courier New"/>
                <w:bCs/>
                <w:iCs/>
                <w:color w:val="000000" w:themeColor="text1"/>
                <w:sz w:val="20"/>
                <w:szCs w:val="20"/>
              </w:rPr>
              <w:t>29</w:t>
            </w:r>
          </w:p>
        </w:tc>
      </w:tr>
      <w:tr w:rsidR="000703D3" w:rsidRPr="00EA6F91" w:rsidTr="00271C1A">
        <w:trPr>
          <w:jc w:val="center"/>
        </w:trPr>
        <w:tc>
          <w:tcPr>
            <w:tcW w:w="1129" w:type="dxa"/>
          </w:tcPr>
          <w:p w:rsidR="000703D3" w:rsidRPr="00EA6F91" w:rsidRDefault="000703D3" w:rsidP="000703D3">
            <w:pPr>
              <w:jc w:val="center"/>
              <w:outlineLvl w:val="1"/>
              <w:rPr>
                <w:rFonts w:ascii="Courier New" w:hAnsi="Courier New" w:cs="Courier New"/>
                <w:bCs/>
                <w:iCs/>
                <w:sz w:val="20"/>
                <w:szCs w:val="20"/>
              </w:rPr>
            </w:pPr>
            <w:r w:rsidRPr="00EA6F91">
              <w:rPr>
                <w:rFonts w:ascii="Courier New" w:hAnsi="Courier New" w:cs="Courier New"/>
                <w:bCs/>
                <w:iCs/>
                <w:sz w:val="20"/>
                <w:szCs w:val="20"/>
              </w:rPr>
              <w:t>G</w:t>
            </w:r>
          </w:p>
        </w:tc>
        <w:tc>
          <w:tcPr>
            <w:tcW w:w="3324" w:type="dxa"/>
          </w:tcPr>
          <w:p w:rsidR="000703D3" w:rsidRPr="00EA6F91" w:rsidRDefault="000703D3" w:rsidP="000703D3">
            <w:pPr>
              <w:outlineLvl w:val="1"/>
              <w:rPr>
                <w:rFonts w:ascii="Courier New" w:hAnsi="Courier New" w:cs="Courier New"/>
                <w:bCs/>
                <w:iCs/>
                <w:sz w:val="20"/>
                <w:szCs w:val="20"/>
              </w:rPr>
            </w:pPr>
            <w:r w:rsidRPr="00EA6F91">
              <w:rPr>
                <w:rFonts w:ascii="Courier New" w:hAnsi="Courier New" w:cs="Courier New"/>
                <w:bCs/>
                <w:iCs/>
                <w:sz w:val="20"/>
                <w:szCs w:val="20"/>
              </w:rPr>
              <w:t xml:space="preserve"> Ammonia Manufacturing</w:t>
            </w:r>
          </w:p>
        </w:tc>
        <w:tc>
          <w:tcPr>
            <w:tcW w:w="2203" w:type="dxa"/>
            <w:vAlign w:val="center"/>
          </w:tcPr>
          <w:p w:rsidR="000703D3" w:rsidRPr="00EA6F91" w:rsidRDefault="000703D3" w:rsidP="000703D3">
            <w:pPr>
              <w:jc w:val="center"/>
              <w:rPr>
                <w:rFonts w:ascii="Courier New" w:hAnsi="Courier New" w:cs="Courier New"/>
                <w:color w:val="000000"/>
                <w:sz w:val="20"/>
                <w:szCs w:val="20"/>
              </w:rPr>
            </w:pPr>
            <w:r w:rsidRPr="00EA6F91">
              <w:rPr>
                <w:rFonts w:ascii="Courier New" w:hAnsi="Courier New" w:cs="Courier New"/>
                <w:color w:val="000000"/>
                <w:sz w:val="20"/>
                <w:szCs w:val="20"/>
              </w:rPr>
              <w:t>8</w:t>
            </w:r>
          </w:p>
        </w:tc>
        <w:tc>
          <w:tcPr>
            <w:tcW w:w="2622" w:type="dxa"/>
            <w:vAlign w:val="center"/>
          </w:tcPr>
          <w:p w:rsidR="000703D3" w:rsidRPr="00EA6F91" w:rsidRDefault="000703D3" w:rsidP="000703D3">
            <w:pPr>
              <w:jc w:val="center"/>
              <w:outlineLvl w:val="1"/>
              <w:rPr>
                <w:rFonts w:ascii="Courier New" w:hAnsi="Courier New" w:cs="Courier New"/>
                <w:bCs/>
                <w:iCs/>
                <w:sz w:val="20"/>
                <w:szCs w:val="20"/>
              </w:rPr>
            </w:pPr>
            <w:r w:rsidRPr="00EA6F91">
              <w:rPr>
                <w:rFonts w:ascii="Courier New" w:hAnsi="Courier New" w:cs="Courier New"/>
                <w:bCs/>
                <w:iCs/>
                <w:color w:val="000000" w:themeColor="text1"/>
                <w:sz w:val="20"/>
                <w:szCs w:val="20"/>
              </w:rPr>
              <w:t>8</w:t>
            </w:r>
          </w:p>
        </w:tc>
      </w:tr>
      <w:tr w:rsidR="000703D3" w:rsidRPr="00EA6F91" w:rsidTr="00271C1A">
        <w:trPr>
          <w:jc w:val="center"/>
        </w:trPr>
        <w:tc>
          <w:tcPr>
            <w:tcW w:w="1129" w:type="dxa"/>
          </w:tcPr>
          <w:p w:rsidR="000703D3" w:rsidRPr="00EA6F91" w:rsidRDefault="000703D3" w:rsidP="000703D3">
            <w:pPr>
              <w:jc w:val="center"/>
              <w:outlineLvl w:val="1"/>
              <w:rPr>
                <w:rFonts w:ascii="Courier New" w:hAnsi="Courier New" w:cs="Courier New"/>
                <w:bCs/>
                <w:iCs/>
                <w:sz w:val="20"/>
                <w:szCs w:val="20"/>
              </w:rPr>
            </w:pPr>
            <w:r w:rsidRPr="00EA6F91">
              <w:rPr>
                <w:rFonts w:ascii="Courier New" w:hAnsi="Courier New" w:cs="Courier New"/>
                <w:bCs/>
                <w:iCs/>
                <w:sz w:val="20"/>
                <w:szCs w:val="20"/>
              </w:rPr>
              <w:t>H</w:t>
            </w:r>
          </w:p>
        </w:tc>
        <w:tc>
          <w:tcPr>
            <w:tcW w:w="3324" w:type="dxa"/>
          </w:tcPr>
          <w:p w:rsidR="000703D3" w:rsidRPr="00EA6F91" w:rsidRDefault="000703D3" w:rsidP="000703D3">
            <w:pPr>
              <w:outlineLvl w:val="1"/>
              <w:rPr>
                <w:rFonts w:ascii="Courier New" w:hAnsi="Courier New" w:cs="Courier New"/>
                <w:bCs/>
                <w:iCs/>
                <w:sz w:val="20"/>
                <w:szCs w:val="20"/>
              </w:rPr>
            </w:pPr>
            <w:r w:rsidRPr="00EA6F91">
              <w:rPr>
                <w:rFonts w:ascii="Courier New" w:hAnsi="Courier New" w:cs="Courier New"/>
                <w:bCs/>
                <w:iCs/>
                <w:sz w:val="20"/>
                <w:szCs w:val="20"/>
              </w:rPr>
              <w:t xml:space="preserve"> Cement Production</w:t>
            </w:r>
          </w:p>
        </w:tc>
        <w:tc>
          <w:tcPr>
            <w:tcW w:w="2203" w:type="dxa"/>
            <w:vAlign w:val="center"/>
          </w:tcPr>
          <w:p w:rsidR="000703D3" w:rsidRPr="00EA6F91" w:rsidRDefault="00F40DC8" w:rsidP="00F40DC8">
            <w:pPr>
              <w:jc w:val="center"/>
              <w:rPr>
                <w:rFonts w:ascii="Courier New" w:hAnsi="Courier New" w:cs="Courier New"/>
                <w:color w:val="000000"/>
                <w:sz w:val="20"/>
                <w:szCs w:val="20"/>
              </w:rPr>
            </w:pPr>
            <w:r w:rsidRPr="00EA6F91">
              <w:rPr>
                <w:rFonts w:ascii="Courier New" w:hAnsi="Courier New" w:cs="Courier New"/>
                <w:color w:val="000000"/>
                <w:sz w:val="20"/>
                <w:szCs w:val="20"/>
              </w:rPr>
              <w:t>16</w:t>
            </w:r>
          </w:p>
        </w:tc>
        <w:tc>
          <w:tcPr>
            <w:tcW w:w="2622" w:type="dxa"/>
            <w:vAlign w:val="center"/>
          </w:tcPr>
          <w:p w:rsidR="000703D3" w:rsidRPr="00EA6F91" w:rsidRDefault="000703D3" w:rsidP="000703D3">
            <w:pPr>
              <w:jc w:val="center"/>
              <w:outlineLvl w:val="1"/>
              <w:rPr>
                <w:rFonts w:ascii="Courier New" w:hAnsi="Courier New" w:cs="Courier New"/>
                <w:bCs/>
                <w:iCs/>
                <w:sz w:val="20"/>
                <w:szCs w:val="20"/>
              </w:rPr>
            </w:pPr>
            <w:r w:rsidRPr="00EA6F91">
              <w:rPr>
                <w:rFonts w:ascii="Courier New" w:hAnsi="Courier New" w:cs="Courier New"/>
                <w:bCs/>
                <w:iCs/>
                <w:color w:val="000000" w:themeColor="text1"/>
                <w:sz w:val="20"/>
                <w:szCs w:val="20"/>
              </w:rPr>
              <w:t>14</w:t>
            </w:r>
          </w:p>
        </w:tc>
      </w:tr>
      <w:tr w:rsidR="000703D3" w:rsidRPr="00EA6F91" w:rsidTr="00271C1A">
        <w:trPr>
          <w:jc w:val="center"/>
        </w:trPr>
        <w:tc>
          <w:tcPr>
            <w:tcW w:w="1129" w:type="dxa"/>
          </w:tcPr>
          <w:p w:rsidR="000703D3" w:rsidRPr="00EA6F91" w:rsidRDefault="000703D3" w:rsidP="000703D3">
            <w:pPr>
              <w:jc w:val="center"/>
              <w:outlineLvl w:val="1"/>
              <w:rPr>
                <w:rFonts w:ascii="Courier New" w:hAnsi="Courier New" w:cs="Courier New"/>
                <w:bCs/>
                <w:iCs/>
                <w:sz w:val="20"/>
                <w:szCs w:val="20"/>
              </w:rPr>
            </w:pPr>
            <w:r w:rsidRPr="00EA6F91">
              <w:rPr>
                <w:rFonts w:ascii="Courier New" w:hAnsi="Courier New" w:cs="Courier New"/>
                <w:bCs/>
                <w:iCs/>
                <w:sz w:val="20"/>
                <w:szCs w:val="20"/>
              </w:rPr>
              <w:lastRenderedPageBreak/>
              <w:t>K</w:t>
            </w:r>
          </w:p>
        </w:tc>
        <w:tc>
          <w:tcPr>
            <w:tcW w:w="3324" w:type="dxa"/>
          </w:tcPr>
          <w:p w:rsidR="000703D3" w:rsidRPr="00EA6F91" w:rsidRDefault="000703D3" w:rsidP="000703D3">
            <w:pPr>
              <w:outlineLvl w:val="1"/>
              <w:rPr>
                <w:rFonts w:ascii="Courier New" w:hAnsi="Courier New" w:cs="Courier New"/>
                <w:bCs/>
                <w:iCs/>
                <w:sz w:val="20"/>
                <w:szCs w:val="20"/>
              </w:rPr>
            </w:pPr>
            <w:r w:rsidRPr="00EA6F91">
              <w:rPr>
                <w:rFonts w:ascii="Courier New" w:hAnsi="Courier New" w:cs="Courier New"/>
                <w:bCs/>
                <w:iCs/>
                <w:sz w:val="20"/>
                <w:szCs w:val="20"/>
              </w:rPr>
              <w:t xml:space="preserve"> Ferroalloy Production</w:t>
            </w:r>
          </w:p>
        </w:tc>
        <w:tc>
          <w:tcPr>
            <w:tcW w:w="2203" w:type="dxa"/>
            <w:vAlign w:val="center"/>
          </w:tcPr>
          <w:p w:rsidR="000703D3" w:rsidRPr="00EA6F91" w:rsidRDefault="000703D3" w:rsidP="000703D3">
            <w:pPr>
              <w:jc w:val="center"/>
              <w:rPr>
                <w:rFonts w:ascii="Courier New" w:hAnsi="Courier New" w:cs="Courier New"/>
                <w:color w:val="000000"/>
                <w:sz w:val="20"/>
                <w:szCs w:val="20"/>
              </w:rPr>
            </w:pPr>
            <w:r w:rsidRPr="00EA6F91">
              <w:rPr>
                <w:rFonts w:ascii="Courier New" w:hAnsi="Courier New" w:cs="Courier New"/>
                <w:color w:val="000000"/>
                <w:sz w:val="20"/>
                <w:szCs w:val="20"/>
              </w:rPr>
              <w:t>13</w:t>
            </w:r>
          </w:p>
        </w:tc>
        <w:tc>
          <w:tcPr>
            <w:tcW w:w="2622" w:type="dxa"/>
            <w:vAlign w:val="center"/>
          </w:tcPr>
          <w:p w:rsidR="000703D3" w:rsidRPr="00EA6F91" w:rsidRDefault="000703D3" w:rsidP="000703D3">
            <w:pPr>
              <w:jc w:val="center"/>
              <w:outlineLvl w:val="1"/>
              <w:rPr>
                <w:rFonts w:ascii="Courier New" w:hAnsi="Courier New" w:cs="Courier New"/>
                <w:bCs/>
                <w:iCs/>
                <w:sz w:val="20"/>
                <w:szCs w:val="20"/>
              </w:rPr>
            </w:pPr>
            <w:r w:rsidRPr="00EA6F91">
              <w:rPr>
                <w:rFonts w:ascii="Courier New" w:hAnsi="Courier New" w:cs="Courier New"/>
                <w:bCs/>
                <w:iCs/>
                <w:color w:val="000000" w:themeColor="text1"/>
                <w:sz w:val="20"/>
                <w:szCs w:val="20"/>
              </w:rPr>
              <w:t>13</w:t>
            </w:r>
          </w:p>
        </w:tc>
      </w:tr>
      <w:tr w:rsidR="000703D3" w:rsidRPr="00EA6F91" w:rsidTr="00271C1A">
        <w:trPr>
          <w:jc w:val="center"/>
        </w:trPr>
        <w:tc>
          <w:tcPr>
            <w:tcW w:w="1129" w:type="dxa"/>
          </w:tcPr>
          <w:p w:rsidR="000703D3" w:rsidRPr="00EA6F91" w:rsidRDefault="000703D3" w:rsidP="000703D3">
            <w:pPr>
              <w:jc w:val="center"/>
              <w:outlineLvl w:val="1"/>
              <w:rPr>
                <w:rFonts w:ascii="Courier New" w:hAnsi="Courier New" w:cs="Courier New"/>
                <w:bCs/>
                <w:iCs/>
                <w:sz w:val="20"/>
                <w:szCs w:val="20"/>
              </w:rPr>
            </w:pPr>
            <w:r w:rsidRPr="00EA6F91">
              <w:rPr>
                <w:rFonts w:ascii="Courier New" w:hAnsi="Courier New" w:cs="Courier New"/>
                <w:bCs/>
                <w:iCs/>
                <w:sz w:val="20"/>
                <w:szCs w:val="20"/>
              </w:rPr>
              <w:t>L</w:t>
            </w:r>
          </w:p>
        </w:tc>
        <w:tc>
          <w:tcPr>
            <w:tcW w:w="3324" w:type="dxa"/>
            <w:vAlign w:val="bottom"/>
          </w:tcPr>
          <w:p w:rsidR="000703D3" w:rsidRPr="00EA6F91" w:rsidRDefault="000703D3" w:rsidP="000703D3">
            <w:pPr>
              <w:rPr>
                <w:rFonts w:ascii="Courier New" w:hAnsi="Courier New" w:cs="Courier New"/>
                <w:color w:val="000000"/>
                <w:sz w:val="20"/>
                <w:szCs w:val="20"/>
              </w:rPr>
            </w:pPr>
            <w:r w:rsidRPr="00EA6F91">
              <w:rPr>
                <w:rFonts w:ascii="Courier New" w:hAnsi="Courier New" w:cs="Courier New"/>
                <w:color w:val="000000"/>
                <w:sz w:val="20"/>
                <w:szCs w:val="20"/>
              </w:rPr>
              <w:t>Fluorinated Gas Production</w:t>
            </w:r>
          </w:p>
        </w:tc>
        <w:tc>
          <w:tcPr>
            <w:tcW w:w="2203" w:type="dxa"/>
            <w:vAlign w:val="center"/>
          </w:tcPr>
          <w:p w:rsidR="000703D3" w:rsidRPr="00EA6F91" w:rsidRDefault="00F40DC8" w:rsidP="00F40DC8">
            <w:pPr>
              <w:jc w:val="center"/>
              <w:rPr>
                <w:rFonts w:ascii="Courier New" w:hAnsi="Courier New" w:cs="Courier New"/>
                <w:color w:val="000000"/>
                <w:sz w:val="20"/>
                <w:szCs w:val="20"/>
              </w:rPr>
            </w:pPr>
            <w:r w:rsidRPr="00EA6F91">
              <w:rPr>
                <w:rFonts w:ascii="Courier New" w:hAnsi="Courier New" w:cs="Courier New"/>
                <w:color w:val="000000"/>
                <w:sz w:val="20"/>
                <w:szCs w:val="20"/>
              </w:rPr>
              <w:t>55</w:t>
            </w:r>
          </w:p>
        </w:tc>
        <w:tc>
          <w:tcPr>
            <w:tcW w:w="2622" w:type="dxa"/>
            <w:vAlign w:val="center"/>
          </w:tcPr>
          <w:p w:rsidR="000703D3" w:rsidRPr="00EA6F91" w:rsidRDefault="00F40DC8" w:rsidP="00F40DC8">
            <w:pPr>
              <w:jc w:val="center"/>
              <w:outlineLvl w:val="1"/>
              <w:rPr>
                <w:rFonts w:ascii="Courier New" w:hAnsi="Courier New" w:cs="Courier New"/>
                <w:bCs/>
                <w:iCs/>
                <w:sz w:val="20"/>
                <w:szCs w:val="20"/>
              </w:rPr>
            </w:pPr>
            <w:r w:rsidRPr="00EA6F91">
              <w:rPr>
                <w:rFonts w:ascii="Courier New" w:hAnsi="Courier New" w:cs="Courier New"/>
                <w:bCs/>
                <w:iCs/>
                <w:sz w:val="20"/>
                <w:szCs w:val="20"/>
              </w:rPr>
              <w:t>46</w:t>
            </w:r>
          </w:p>
        </w:tc>
      </w:tr>
      <w:tr w:rsidR="000703D3" w:rsidRPr="00EA6F91" w:rsidTr="00271C1A">
        <w:trPr>
          <w:jc w:val="center"/>
        </w:trPr>
        <w:tc>
          <w:tcPr>
            <w:tcW w:w="1129" w:type="dxa"/>
          </w:tcPr>
          <w:p w:rsidR="000703D3" w:rsidRPr="00EA6F91" w:rsidRDefault="000703D3" w:rsidP="000703D3">
            <w:pPr>
              <w:jc w:val="center"/>
              <w:outlineLvl w:val="1"/>
              <w:rPr>
                <w:rFonts w:ascii="Courier New" w:hAnsi="Courier New" w:cs="Courier New"/>
                <w:bCs/>
                <w:iCs/>
                <w:sz w:val="20"/>
                <w:szCs w:val="20"/>
              </w:rPr>
            </w:pPr>
            <w:r w:rsidRPr="00EA6F91">
              <w:rPr>
                <w:rFonts w:ascii="Courier New" w:hAnsi="Courier New" w:cs="Courier New"/>
                <w:bCs/>
                <w:iCs/>
                <w:sz w:val="20"/>
                <w:szCs w:val="20"/>
              </w:rPr>
              <w:t>N</w:t>
            </w:r>
          </w:p>
        </w:tc>
        <w:tc>
          <w:tcPr>
            <w:tcW w:w="3324" w:type="dxa"/>
          </w:tcPr>
          <w:p w:rsidR="000703D3" w:rsidRPr="00EA6F91" w:rsidRDefault="000703D3" w:rsidP="000703D3">
            <w:pPr>
              <w:outlineLvl w:val="1"/>
              <w:rPr>
                <w:rFonts w:ascii="Courier New" w:hAnsi="Courier New" w:cs="Courier New"/>
                <w:bCs/>
                <w:iCs/>
                <w:sz w:val="20"/>
                <w:szCs w:val="20"/>
              </w:rPr>
            </w:pPr>
            <w:r w:rsidRPr="00EA6F91">
              <w:rPr>
                <w:rFonts w:ascii="Courier New" w:hAnsi="Courier New" w:cs="Courier New"/>
                <w:bCs/>
                <w:iCs/>
                <w:sz w:val="20"/>
                <w:szCs w:val="20"/>
              </w:rPr>
              <w:t xml:space="preserve"> Glass Production</w:t>
            </w:r>
          </w:p>
        </w:tc>
        <w:tc>
          <w:tcPr>
            <w:tcW w:w="2203" w:type="dxa"/>
            <w:vAlign w:val="center"/>
          </w:tcPr>
          <w:p w:rsidR="000703D3" w:rsidRPr="00EA6F91" w:rsidRDefault="000703D3" w:rsidP="000703D3">
            <w:pPr>
              <w:jc w:val="center"/>
              <w:rPr>
                <w:rFonts w:ascii="Courier New" w:hAnsi="Courier New" w:cs="Courier New"/>
                <w:color w:val="000000"/>
                <w:sz w:val="20"/>
                <w:szCs w:val="20"/>
              </w:rPr>
            </w:pPr>
            <w:r w:rsidRPr="00EA6F91">
              <w:rPr>
                <w:rFonts w:ascii="Courier New" w:hAnsi="Courier New" w:cs="Courier New"/>
                <w:color w:val="000000"/>
                <w:sz w:val="20"/>
                <w:szCs w:val="20"/>
              </w:rPr>
              <w:t>3</w:t>
            </w:r>
          </w:p>
        </w:tc>
        <w:tc>
          <w:tcPr>
            <w:tcW w:w="2622" w:type="dxa"/>
            <w:vAlign w:val="center"/>
          </w:tcPr>
          <w:p w:rsidR="000703D3" w:rsidRPr="00EA6F91" w:rsidRDefault="00F40DC8" w:rsidP="000703D3">
            <w:pPr>
              <w:jc w:val="center"/>
              <w:outlineLvl w:val="1"/>
              <w:rPr>
                <w:rFonts w:ascii="Courier New" w:hAnsi="Courier New" w:cs="Courier New"/>
                <w:bCs/>
                <w:iCs/>
                <w:sz w:val="20"/>
                <w:szCs w:val="20"/>
              </w:rPr>
            </w:pPr>
            <w:r w:rsidRPr="00EA6F91">
              <w:rPr>
                <w:rFonts w:ascii="Courier New" w:hAnsi="Courier New" w:cs="Courier New"/>
                <w:bCs/>
                <w:iCs/>
                <w:color w:val="000000" w:themeColor="text1"/>
                <w:sz w:val="20"/>
                <w:szCs w:val="20"/>
              </w:rPr>
              <w:t>3</w:t>
            </w:r>
          </w:p>
        </w:tc>
      </w:tr>
      <w:tr w:rsidR="000703D3" w:rsidRPr="00EA6F91" w:rsidTr="00271C1A">
        <w:trPr>
          <w:jc w:val="center"/>
        </w:trPr>
        <w:tc>
          <w:tcPr>
            <w:tcW w:w="1129" w:type="dxa"/>
          </w:tcPr>
          <w:p w:rsidR="000703D3" w:rsidRPr="00EA6F91" w:rsidRDefault="000703D3" w:rsidP="000703D3">
            <w:pPr>
              <w:jc w:val="center"/>
              <w:outlineLvl w:val="1"/>
              <w:rPr>
                <w:rFonts w:ascii="Courier New" w:hAnsi="Courier New" w:cs="Courier New"/>
                <w:bCs/>
                <w:iCs/>
                <w:sz w:val="20"/>
                <w:szCs w:val="20"/>
              </w:rPr>
            </w:pPr>
            <w:r w:rsidRPr="00EA6F91">
              <w:rPr>
                <w:rFonts w:ascii="Courier New" w:hAnsi="Courier New" w:cs="Courier New"/>
                <w:bCs/>
                <w:iCs/>
                <w:sz w:val="20"/>
                <w:szCs w:val="20"/>
              </w:rPr>
              <w:t>O</w:t>
            </w:r>
          </w:p>
        </w:tc>
        <w:tc>
          <w:tcPr>
            <w:tcW w:w="3324" w:type="dxa"/>
          </w:tcPr>
          <w:p w:rsidR="000703D3" w:rsidRPr="00EA6F91" w:rsidRDefault="000703D3" w:rsidP="000703D3">
            <w:pPr>
              <w:outlineLvl w:val="1"/>
              <w:rPr>
                <w:rFonts w:ascii="Courier New" w:hAnsi="Courier New" w:cs="Courier New"/>
                <w:bCs/>
                <w:iCs/>
                <w:sz w:val="20"/>
                <w:szCs w:val="20"/>
              </w:rPr>
            </w:pPr>
            <w:r w:rsidRPr="00EA6F91">
              <w:rPr>
                <w:rFonts w:ascii="Courier New" w:hAnsi="Courier New" w:cs="Courier New"/>
                <w:bCs/>
                <w:iCs/>
                <w:sz w:val="20"/>
                <w:szCs w:val="20"/>
              </w:rPr>
              <w:t xml:space="preserve"> HCFC-22 Production and HFC-23 Destruction</w:t>
            </w:r>
          </w:p>
        </w:tc>
        <w:tc>
          <w:tcPr>
            <w:tcW w:w="2203" w:type="dxa"/>
            <w:vAlign w:val="center"/>
          </w:tcPr>
          <w:p w:rsidR="000703D3" w:rsidRPr="00EA6F91" w:rsidRDefault="000703D3" w:rsidP="000703D3">
            <w:pPr>
              <w:jc w:val="center"/>
              <w:rPr>
                <w:rFonts w:ascii="Courier New" w:hAnsi="Courier New" w:cs="Courier New"/>
                <w:color w:val="000000"/>
                <w:sz w:val="20"/>
                <w:szCs w:val="20"/>
              </w:rPr>
            </w:pPr>
            <w:r w:rsidRPr="00EA6F91">
              <w:rPr>
                <w:rFonts w:ascii="Courier New" w:hAnsi="Courier New" w:cs="Courier New"/>
                <w:color w:val="000000"/>
                <w:sz w:val="20"/>
                <w:szCs w:val="20"/>
              </w:rPr>
              <w:t>15</w:t>
            </w:r>
          </w:p>
        </w:tc>
        <w:tc>
          <w:tcPr>
            <w:tcW w:w="2622" w:type="dxa"/>
            <w:vAlign w:val="center"/>
          </w:tcPr>
          <w:p w:rsidR="000703D3" w:rsidRPr="00EA6F91" w:rsidRDefault="000703D3" w:rsidP="000703D3">
            <w:pPr>
              <w:jc w:val="center"/>
              <w:outlineLvl w:val="1"/>
              <w:rPr>
                <w:rFonts w:ascii="Courier New" w:hAnsi="Courier New" w:cs="Courier New"/>
                <w:bCs/>
                <w:iCs/>
                <w:sz w:val="20"/>
                <w:szCs w:val="20"/>
              </w:rPr>
            </w:pPr>
            <w:r w:rsidRPr="00EA6F91">
              <w:rPr>
                <w:rFonts w:ascii="Courier New" w:hAnsi="Courier New" w:cs="Courier New"/>
                <w:bCs/>
                <w:iCs/>
                <w:color w:val="000000" w:themeColor="text1"/>
                <w:sz w:val="20"/>
                <w:szCs w:val="20"/>
              </w:rPr>
              <w:t>12</w:t>
            </w:r>
          </w:p>
        </w:tc>
      </w:tr>
      <w:tr w:rsidR="000703D3" w:rsidRPr="00EA6F91" w:rsidTr="00271C1A">
        <w:trPr>
          <w:jc w:val="center"/>
        </w:trPr>
        <w:tc>
          <w:tcPr>
            <w:tcW w:w="1129" w:type="dxa"/>
          </w:tcPr>
          <w:p w:rsidR="000703D3" w:rsidRPr="00EA6F91" w:rsidRDefault="000703D3" w:rsidP="000703D3">
            <w:pPr>
              <w:jc w:val="center"/>
              <w:outlineLvl w:val="1"/>
              <w:rPr>
                <w:rFonts w:ascii="Courier New" w:hAnsi="Courier New" w:cs="Courier New"/>
                <w:bCs/>
                <w:iCs/>
                <w:sz w:val="20"/>
                <w:szCs w:val="20"/>
              </w:rPr>
            </w:pPr>
            <w:r w:rsidRPr="00EA6F91">
              <w:rPr>
                <w:rFonts w:ascii="Courier New" w:hAnsi="Courier New" w:cs="Courier New"/>
                <w:bCs/>
                <w:iCs/>
                <w:sz w:val="20"/>
                <w:szCs w:val="20"/>
              </w:rPr>
              <w:t>P</w:t>
            </w:r>
          </w:p>
        </w:tc>
        <w:tc>
          <w:tcPr>
            <w:tcW w:w="3324" w:type="dxa"/>
          </w:tcPr>
          <w:p w:rsidR="000703D3" w:rsidRPr="00EA6F91" w:rsidRDefault="000703D3" w:rsidP="000703D3">
            <w:pPr>
              <w:outlineLvl w:val="1"/>
              <w:rPr>
                <w:rFonts w:ascii="Courier New" w:hAnsi="Courier New" w:cs="Courier New"/>
                <w:bCs/>
                <w:iCs/>
                <w:sz w:val="20"/>
                <w:szCs w:val="20"/>
              </w:rPr>
            </w:pPr>
            <w:r w:rsidRPr="00EA6F91">
              <w:rPr>
                <w:rFonts w:ascii="Courier New" w:hAnsi="Courier New" w:cs="Courier New"/>
                <w:bCs/>
                <w:iCs/>
                <w:sz w:val="20"/>
                <w:szCs w:val="20"/>
              </w:rPr>
              <w:t xml:space="preserve"> Hydrogen Production</w:t>
            </w:r>
          </w:p>
        </w:tc>
        <w:tc>
          <w:tcPr>
            <w:tcW w:w="2203" w:type="dxa"/>
            <w:vAlign w:val="center"/>
          </w:tcPr>
          <w:p w:rsidR="000703D3" w:rsidRPr="00EA6F91" w:rsidRDefault="000703D3" w:rsidP="000703D3">
            <w:pPr>
              <w:jc w:val="center"/>
              <w:rPr>
                <w:rFonts w:ascii="Courier New" w:hAnsi="Courier New" w:cs="Courier New"/>
                <w:color w:val="000000"/>
                <w:sz w:val="20"/>
                <w:szCs w:val="20"/>
              </w:rPr>
            </w:pPr>
            <w:r w:rsidRPr="00EA6F91">
              <w:rPr>
                <w:rFonts w:ascii="Courier New" w:hAnsi="Courier New" w:cs="Courier New"/>
                <w:color w:val="000000"/>
                <w:sz w:val="20"/>
                <w:szCs w:val="20"/>
              </w:rPr>
              <w:t>7</w:t>
            </w:r>
          </w:p>
        </w:tc>
        <w:tc>
          <w:tcPr>
            <w:tcW w:w="2622" w:type="dxa"/>
            <w:vAlign w:val="center"/>
          </w:tcPr>
          <w:p w:rsidR="000703D3" w:rsidRPr="00EA6F91" w:rsidRDefault="000703D3" w:rsidP="000703D3">
            <w:pPr>
              <w:jc w:val="center"/>
              <w:outlineLvl w:val="1"/>
              <w:rPr>
                <w:rFonts w:ascii="Courier New" w:hAnsi="Courier New" w:cs="Courier New"/>
                <w:bCs/>
                <w:iCs/>
                <w:sz w:val="20"/>
                <w:szCs w:val="20"/>
              </w:rPr>
            </w:pPr>
            <w:r w:rsidRPr="00EA6F91">
              <w:rPr>
                <w:rFonts w:ascii="Courier New" w:hAnsi="Courier New" w:cs="Courier New"/>
                <w:bCs/>
                <w:iCs/>
                <w:color w:val="000000" w:themeColor="text1"/>
                <w:sz w:val="20"/>
                <w:szCs w:val="20"/>
              </w:rPr>
              <w:t>7</w:t>
            </w:r>
          </w:p>
        </w:tc>
      </w:tr>
      <w:tr w:rsidR="000703D3" w:rsidRPr="00EA6F91" w:rsidTr="00271C1A">
        <w:trPr>
          <w:jc w:val="center"/>
        </w:trPr>
        <w:tc>
          <w:tcPr>
            <w:tcW w:w="1129" w:type="dxa"/>
          </w:tcPr>
          <w:p w:rsidR="000703D3" w:rsidRPr="00EA6F91" w:rsidRDefault="000703D3" w:rsidP="000703D3">
            <w:pPr>
              <w:jc w:val="center"/>
              <w:outlineLvl w:val="1"/>
              <w:rPr>
                <w:rFonts w:ascii="Courier New" w:hAnsi="Courier New" w:cs="Courier New"/>
                <w:bCs/>
                <w:iCs/>
                <w:sz w:val="20"/>
                <w:szCs w:val="20"/>
              </w:rPr>
            </w:pPr>
            <w:r w:rsidRPr="00EA6F91">
              <w:rPr>
                <w:rFonts w:ascii="Courier New" w:hAnsi="Courier New" w:cs="Courier New"/>
                <w:bCs/>
                <w:iCs/>
                <w:sz w:val="20"/>
                <w:szCs w:val="20"/>
              </w:rPr>
              <w:t>Q</w:t>
            </w:r>
          </w:p>
        </w:tc>
        <w:tc>
          <w:tcPr>
            <w:tcW w:w="3324" w:type="dxa"/>
          </w:tcPr>
          <w:p w:rsidR="000703D3" w:rsidRPr="00EA6F91" w:rsidRDefault="000703D3" w:rsidP="000703D3">
            <w:pPr>
              <w:outlineLvl w:val="1"/>
              <w:rPr>
                <w:rFonts w:ascii="Courier New" w:hAnsi="Courier New" w:cs="Courier New"/>
                <w:bCs/>
                <w:iCs/>
                <w:sz w:val="20"/>
                <w:szCs w:val="20"/>
              </w:rPr>
            </w:pPr>
            <w:r w:rsidRPr="00EA6F91">
              <w:rPr>
                <w:rFonts w:ascii="Courier New" w:hAnsi="Courier New" w:cs="Courier New"/>
                <w:bCs/>
                <w:iCs/>
                <w:sz w:val="20"/>
                <w:szCs w:val="20"/>
              </w:rPr>
              <w:t xml:space="preserve"> Iron and Steel Production</w:t>
            </w:r>
          </w:p>
        </w:tc>
        <w:tc>
          <w:tcPr>
            <w:tcW w:w="2203" w:type="dxa"/>
            <w:vAlign w:val="center"/>
          </w:tcPr>
          <w:p w:rsidR="000703D3" w:rsidRPr="00EA6F91" w:rsidRDefault="000703D3" w:rsidP="000703D3">
            <w:pPr>
              <w:jc w:val="center"/>
              <w:rPr>
                <w:rFonts w:ascii="Courier New" w:hAnsi="Courier New" w:cs="Courier New"/>
                <w:color w:val="000000"/>
                <w:sz w:val="20"/>
                <w:szCs w:val="20"/>
              </w:rPr>
            </w:pPr>
            <w:r w:rsidRPr="00EA6F91">
              <w:rPr>
                <w:rFonts w:ascii="Courier New" w:hAnsi="Courier New" w:cs="Courier New"/>
                <w:color w:val="000000"/>
                <w:sz w:val="20"/>
                <w:szCs w:val="20"/>
              </w:rPr>
              <w:t>93</w:t>
            </w:r>
          </w:p>
        </w:tc>
        <w:tc>
          <w:tcPr>
            <w:tcW w:w="2622" w:type="dxa"/>
            <w:vAlign w:val="center"/>
          </w:tcPr>
          <w:p w:rsidR="000703D3" w:rsidRPr="00EA6F91" w:rsidRDefault="000703D3" w:rsidP="000703D3">
            <w:pPr>
              <w:jc w:val="center"/>
              <w:outlineLvl w:val="1"/>
              <w:rPr>
                <w:rFonts w:ascii="Courier New" w:hAnsi="Courier New" w:cs="Courier New"/>
                <w:bCs/>
                <w:iCs/>
                <w:sz w:val="20"/>
                <w:szCs w:val="20"/>
              </w:rPr>
            </w:pPr>
            <w:r w:rsidRPr="00EA6F91">
              <w:rPr>
                <w:rFonts w:ascii="Courier New" w:hAnsi="Courier New" w:cs="Courier New"/>
                <w:bCs/>
                <w:iCs/>
                <w:color w:val="000000" w:themeColor="text1"/>
                <w:sz w:val="20"/>
                <w:szCs w:val="20"/>
              </w:rPr>
              <w:t>92</w:t>
            </w:r>
          </w:p>
        </w:tc>
      </w:tr>
      <w:tr w:rsidR="000703D3" w:rsidRPr="00EA6F91" w:rsidTr="00271C1A">
        <w:trPr>
          <w:jc w:val="center"/>
        </w:trPr>
        <w:tc>
          <w:tcPr>
            <w:tcW w:w="1129" w:type="dxa"/>
          </w:tcPr>
          <w:p w:rsidR="000703D3" w:rsidRPr="00EA6F91" w:rsidRDefault="000703D3" w:rsidP="000703D3">
            <w:pPr>
              <w:jc w:val="center"/>
              <w:outlineLvl w:val="1"/>
              <w:rPr>
                <w:rFonts w:ascii="Courier New" w:hAnsi="Courier New" w:cs="Courier New"/>
                <w:bCs/>
                <w:iCs/>
                <w:sz w:val="20"/>
                <w:szCs w:val="20"/>
              </w:rPr>
            </w:pPr>
            <w:r w:rsidRPr="00EA6F91">
              <w:rPr>
                <w:rFonts w:ascii="Courier New" w:hAnsi="Courier New" w:cs="Courier New"/>
                <w:bCs/>
                <w:iCs/>
                <w:sz w:val="20"/>
                <w:szCs w:val="20"/>
              </w:rPr>
              <w:t>R</w:t>
            </w:r>
          </w:p>
        </w:tc>
        <w:tc>
          <w:tcPr>
            <w:tcW w:w="3324" w:type="dxa"/>
          </w:tcPr>
          <w:p w:rsidR="000703D3" w:rsidRPr="00EA6F91" w:rsidRDefault="000703D3" w:rsidP="000703D3">
            <w:pPr>
              <w:outlineLvl w:val="1"/>
              <w:rPr>
                <w:rFonts w:ascii="Courier New" w:hAnsi="Courier New" w:cs="Courier New"/>
                <w:bCs/>
                <w:iCs/>
                <w:sz w:val="20"/>
                <w:szCs w:val="20"/>
              </w:rPr>
            </w:pPr>
            <w:r w:rsidRPr="00EA6F91">
              <w:rPr>
                <w:rFonts w:ascii="Courier New" w:hAnsi="Courier New" w:cs="Courier New"/>
                <w:bCs/>
                <w:iCs/>
                <w:sz w:val="20"/>
                <w:szCs w:val="20"/>
              </w:rPr>
              <w:t xml:space="preserve"> Lead Production</w:t>
            </w:r>
          </w:p>
        </w:tc>
        <w:tc>
          <w:tcPr>
            <w:tcW w:w="2203" w:type="dxa"/>
            <w:vAlign w:val="center"/>
          </w:tcPr>
          <w:p w:rsidR="000703D3" w:rsidRPr="00EA6F91" w:rsidRDefault="000703D3" w:rsidP="000703D3">
            <w:pPr>
              <w:jc w:val="center"/>
              <w:rPr>
                <w:rFonts w:ascii="Courier New" w:hAnsi="Courier New" w:cs="Courier New"/>
                <w:color w:val="000000"/>
                <w:sz w:val="20"/>
                <w:szCs w:val="20"/>
              </w:rPr>
            </w:pPr>
            <w:r w:rsidRPr="00EA6F91">
              <w:rPr>
                <w:rFonts w:ascii="Courier New" w:hAnsi="Courier New" w:cs="Courier New"/>
                <w:color w:val="000000"/>
                <w:sz w:val="20"/>
                <w:szCs w:val="20"/>
              </w:rPr>
              <w:t>10</w:t>
            </w:r>
          </w:p>
        </w:tc>
        <w:tc>
          <w:tcPr>
            <w:tcW w:w="2622" w:type="dxa"/>
            <w:vAlign w:val="center"/>
          </w:tcPr>
          <w:p w:rsidR="000703D3" w:rsidRPr="00EA6F91" w:rsidRDefault="000703D3" w:rsidP="000703D3">
            <w:pPr>
              <w:jc w:val="center"/>
              <w:outlineLvl w:val="1"/>
              <w:rPr>
                <w:rFonts w:ascii="Courier New" w:hAnsi="Courier New" w:cs="Courier New"/>
                <w:bCs/>
                <w:iCs/>
                <w:sz w:val="20"/>
                <w:szCs w:val="20"/>
              </w:rPr>
            </w:pPr>
            <w:r w:rsidRPr="00EA6F91">
              <w:rPr>
                <w:rFonts w:ascii="Courier New" w:hAnsi="Courier New" w:cs="Courier New"/>
                <w:bCs/>
                <w:iCs/>
                <w:color w:val="000000" w:themeColor="text1"/>
                <w:sz w:val="20"/>
                <w:szCs w:val="20"/>
              </w:rPr>
              <w:t>10</w:t>
            </w:r>
          </w:p>
        </w:tc>
      </w:tr>
      <w:tr w:rsidR="000703D3" w:rsidRPr="00EA6F91" w:rsidTr="00271C1A">
        <w:trPr>
          <w:jc w:val="center"/>
        </w:trPr>
        <w:tc>
          <w:tcPr>
            <w:tcW w:w="1129" w:type="dxa"/>
          </w:tcPr>
          <w:p w:rsidR="000703D3" w:rsidRPr="00EA6F91" w:rsidRDefault="000703D3" w:rsidP="000703D3">
            <w:pPr>
              <w:jc w:val="center"/>
              <w:outlineLvl w:val="1"/>
              <w:rPr>
                <w:rFonts w:ascii="Courier New" w:hAnsi="Courier New" w:cs="Courier New"/>
                <w:bCs/>
                <w:iCs/>
                <w:sz w:val="20"/>
                <w:szCs w:val="20"/>
              </w:rPr>
            </w:pPr>
            <w:r w:rsidRPr="00EA6F91">
              <w:rPr>
                <w:rFonts w:ascii="Courier New" w:hAnsi="Courier New" w:cs="Courier New"/>
                <w:bCs/>
                <w:iCs/>
                <w:sz w:val="20"/>
                <w:szCs w:val="20"/>
              </w:rPr>
              <w:t>S</w:t>
            </w:r>
          </w:p>
        </w:tc>
        <w:tc>
          <w:tcPr>
            <w:tcW w:w="3324" w:type="dxa"/>
          </w:tcPr>
          <w:p w:rsidR="000703D3" w:rsidRPr="00EA6F91" w:rsidRDefault="000703D3" w:rsidP="000703D3">
            <w:pPr>
              <w:outlineLvl w:val="1"/>
              <w:rPr>
                <w:rFonts w:ascii="Courier New" w:hAnsi="Courier New" w:cs="Courier New"/>
                <w:bCs/>
                <w:iCs/>
                <w:sz w:val="20"/>
                <w:szCs w:val="20"/>
              </w:rPr>
            </w:pPr>
            <w:r w:rsidRPr="00EA6F91">
              <w:rPr>
                <w:rFonts w:ascii="Courier New" w:hAnsi="Courier New" w:cs="Courier New"/>
                <w:bCs/>
                <w:iCs/>
                <w:sz w:val="20"/>
                <w:szCs w:val="20"/>
              </w:rPr>
              <w:t xml:space="preserve"> Lime Manufacturing (non-CEMS)</w:t>
            </w:r>
          </w:p>
        </w:tc>
        <w:tc>
          <w:tcPr>
            <w:tcW w:w="2203" w:type="dxa"/>
            <w:vAlign w:val="center"/>
          </w:tcPr>
          <w:p w:rsidR="000703D3" w:rsidRPr="00EA6F91" w:rsidRDefault="000703D3" w:rsidP="000703D3">
            <w:pPr>
              <w:jc w:val="center"/>
              <w:rPr>
                <w:rFonts w:ascii="Courier New" w:hAnsi="Courier New" w:cs="Courier New"/>
                <w:color w:val="000000"/>
                <w:sz w:val="20"/>
                <w:szCs w:val="20"/>
              </w:rPr>
            </w:pPr>
            <w:r w:rsidRPr="00EA6F91">
              <w:rPr>
                <w:rFonts w:ascii="Courier New" w:hAnsi="Courier New" w:cs="Courier New"/>
                <w:color w:val="000000"/>
                <w:sz w:val="20"/>
                <w:szCs w:val="20"/>
              </w:rPr>
              <w:t>9</w:t>
            </w:r>
          </w:p>
        </w:tc>
        <w:tc>
          <w:tcPr>
            <w:tcW w:w="2622" w:type="dxa"/>
            <w:vAlign w:val="center"/>
          </w:tcPr>
          <w:p w:rsidR="000703D3" w:rsidRPr="00EA6F91" w:rsidRDefault="000703D3" w:rsidP="000703D3">
            <w:pPr>
              <w:jc w:val="center"/>
              <w:outlineLvl w:val="1"/>
              <w:rPr>
                <w:rFonts w:ascii="Courier New" w:hAnsi="Courier New" w:cs="Courier New"/>
                <w:bCs/>
                <w:iCs/>
                <w:sz w:val="20"/>
                <w:szCs w:val="20"/>
              </w:rPr>
            </w:pPr>
            <w:r w:rsidRPr="00EA6F91">
              <w:rPr>
                <w:rFonts w:ascii="Courier New" w:hAnsi="Courier New" w:cs="Courier New"/>
                <w:bCs/>
                <w:iCs/>
                <w:color w:val="000000" w:themeColor="text1"/>
                <w:sz w:val="20"/>
                <w:szCs w:val="20"/>
              </w:rPr>
              <w:t>9</w:t>
            </w:r>
          </w:p>
        </w:tc>
      </w:tr>
      <w:tr w:rsidR="000703D3" w:rsidRPr="00EA6F91" w:rsidTr="00271C1A">
        <w:trPr>
          <w:jc w:val="center"/>
        </w:trPr>
        <w:tc>
          <w:tcPr>
            <w:tcW w:w="1129" w:type="dxa"/>
          </w:tcPr>
          <w:p w:rsidR="000703D3" w:rsidRPr="00EA6F91" w:rsidRDefault="000703D3" w:rsidP="000703D3">
            <w:pPr>
              <w:jc w:val="center"/>
              <w:outlineLvl w:val="1"/>
              <w:rPr>
                <w:rFonts w:ascii="Courier New" w:hAnsi="Courier New" w:cs="Courier New"/>
                <w:bCs/>
                <w:iCs/>
                <w:sz w:val="20"/>
                <w:szCs w:val="20"/>
              </w:rPr>
            </w:pPr>
            <w:r w:rsidRPr="00EA6F91">
              <w:rPr>
                <w:rFonts w:ascii="Courier New" w:hAnsi="Courier New" w:cs="Courier New"/>
                <w:bCs/>
                <w:iCs/>
                <w:sz w:val="20"/>
                <w:szCs w:val="20"/>
              </w:rPr>
              <w:t>U</w:t>
            </w:r>
          </w:p>
        </w:tc>
        <w:tc>
          <w:tcPr>
            <w:tcW w:w="3324" w:type="dxa"/>
          </w:tcPr>
          <w:p w:rsidR="000703D3" w:rsidRPr="00EA6F91" w:rsidRDefault="000703D3" w:rsidP="000703D3">
            <w:pPr>
              <w:outlineLvl w:val="1"/>
              <w:rPr>
                <w:rFonts w:ascii="Courier New" w:hAnsi="Courier New" w:cs="Courier New"/>
                <w:bCs/>
                <w:iCs/>
                <w:sz w:val="20"/>
                <w:szCs w:val="20"/>
              </w:rPr>
            </w:pPr>
            <w:r w:rsidRPr="00EA6F91">
              <w:rPr>
                <w:rFonts w:ascii="Courier New" w:hAnsi="Courier New" w:cs="Courier New"/>
                <w:bCs/>
                <w:iCs/>
                <w:sz w:val="20"/>
                <w:szCs w:val="20"/>
              </w:rPr>
              <w:t xml:space="preserve"> Miscellaneous Uses of Carbonate</w:t>
            </w:r>
          </w:p>
        </w:tc>
        <w:tc>
          <w:tcPr>
            <w:tcW w:w="2203" w:type="dxa"/>
            <w:vAlign w:val="center"/>
          </w:tcPr>
          <w:p w:rsidR="000703D3" w:rsidRPr="00EA6F91" w:rsidRDefault="000703D3" w:rsidP="000703D3">
            <w:pPr>
              <w:jc w:val="center"/>
              <w:rPr>
                <w:rFonts w:ascii="Courier New" w:hAnsi="Courier New" w:cs="Courier New"/>
                <w:color w:val="000000"/>
                <w:sz w:val="20"/>
                <w:szCs w:val="20"/>
              </w:rPr>
            </w:pPr>
            <w:r w:rsidRPr="00EA6F91">
              <w:rPr>
                <w:rFonts w:ascii="Courier New" w:hAnsi="Courier New" w:cs="Courier New"/>
                <w:color w:val="000000"/>
                <w:sz w:val="20"/>
                <w:szCs w:val="20"/>
              </w:rPr>
              <w:t>6</w:t>
            </w:r>
          </w:p>
        </w:tc>
        <w:tc>
          <w:tcPr>
            <w:tcW w:w="2622" w:type="dxa"/>
            <w:vAlign w:val="center"/>
          </w:tcPr>
          <w:p w:rsidR="000703D3" w:rsidRPr="00EA6F91" w:rsidRDefault="00F40DC8" w:rsidP="000703D3">
            <w:pPr>
              <w:jc w:val="center"/>
              <w:outlineLvl w:val="1"/>
              <w:rPr>
                <w:rFonts w:ascii="Courier New" w:hAnsi="Courier New" w:cs="Courier New"/>
                <w:bCs/>
                <w:iCs/>
                <w:sz w:val="20"/>
                <w:szCs w:val="20"/>
              </w:rPr>
            </w:pPr>
            <w:r w:rsidRPr="00EA6F91">
              <w:rPr>
                <w:rFonts w:ascii="Courier New" w:hAnsi="Courier New" w:cs="Courier New"/>
                <w:bCs/>
                <w:iCs/>
                <w:color w:val="000000" w:themeColor="text1"/>
                <w:sz w:val="20"/>
                <w:szCs w:val="20"/>
              </w:rPr>
              <w:t>6</w:t>
            </w:r>
          </w:p>
        </w:tc>
      </w:tr>
      <w:tr w:rsidR="000703D3" w:rsidRPr="00EA6F91" w:rsidTr="00271C1A">
        <w:trPr>
          <w:jc w:val="center"/>
        </w:trPr>
        <w:tc>
          <w:tcPr>
            <w:tcW w:w="1129" w:type="dxa"/>
          </w:tcPr>
          <w:p w:rsidR="000703D3" w:rsidRPr="00EA6F91" w:rsidRDefault="000703D3" w:rsidP="000703D3">
            <w:pPr>
              <w:jc w:val="center"/>
              <w:outlineLvl w:val="1"/>
              <w:rPr>
                <w:rFonts w:ascii="Courier New" w:hAnsi="Courier New" w:cs="Courier New"/>
                <w:bCs/>
                <w:iCs/>
                <w:sz w:val="20"/>
                <w:szCs w:val="20"/>
              </w:rPr>
            </w:pPr>
            <w:r w:rsidRPr="00EA6F91">
              <w:rPr>
                <w:rFonts w:ascii="Courier New" w:hAnsi="Courier New" w:cs="Courier New"/>
                <w:bCs/>
                <w:iCs/>
                <w:sz w:val="20"/>
                <w:szCs w:val="20"/>
              </w:rPr>
              <w:t>V</w:t>
            </w:r>
          </w:p>
        </w:tc>
        <w:tc>
          <w:tcPr>
            <w:tcW w:w="3324" w:type="dxa"/>
          </w:tcPr>
          <w:p w:rsidR="000703D3" w:rsidRPr="00EA6F91" w:rsidRDefault="000703D3" w:rsidP="000703D3">
            <w:pPr>
              <w:outlineLvl w:val="1"/>
              <w:rPr>
                <w:rFonts w:ascii="Courier New" w:hAnsi="Courier New" w:cs="Courier New"/>
                <w:bCs/>
                <w:iCs/>
                <w:sz w:val="20"/>
                <w:szCs w:val="20"/>
              </w:rPr>
            </w:pPr>
            <w:r w:rsidRPr="00EA6F91">
              <w:rPr>
                <w:rFonts w:ascii="Courier New" w:hAnsi="Courier New" w:cs="Courier New"/>
                <w:bCs/>
                <w:iCs/>
                <w:sz w:val="20"/>
                <w:szCs w:val="20"/>
              </w:rPr>
              <w:t xml:space="preserve"> Nitric Acid Production</w:t>
            </w:r>
          </w:p>
        </w:tc>
        <w:tc>
          <w:tcPr>
            <w:tcW w:w="2203" w:type="dxa"/>
            <w:vAlign w:val="center"/>
          </w:tcPr>
          <w:p w:rsidR="000703D3" w:rsidRPr="00EA6F91" w:rsidRDefault="000703D3" w:rsidP="000703D3">
            <w:pPr>
              <w:jc w:val="center"/>
              <w:rPr>
                <w:rFonts w:ascii="Courier New" w:hAnsi="Courier New" w:cs="Courier New"/>
                <w:color w:val="000000"/>
                <w:sz w:val="20"/>
                <w:szCs w:val="20"/>
              </w:rPr>
            </w:pPr>
            <w:r w:rsidRPr="00EA6F91">
              <w:rPr>
                <w:rFonts w:ascii="Courier New" w:hAnsi="Courier New" w:cs="Courier New"/>
                <w:color w:val="000000"/>
                <w:sz w:val="20"/>
                <w:szCs w:val="20"/>
              </w:rPr>
              <w:t>21</w:t>
            </w:r>
          </w:p>
        </w:tc>
        <w:tc>
          <w:tcPr>
            <w:tcW w:w="2622" w:type="dxa"/>
            <w:vAlign w:val="center"/>
          </w:tcPr>
          <w:p w:rsidR="000703D3" w:rsidRPr="00EA6F91" w:rsidRDefault="00F40DC8" w:rsidP="00F40DC8">
            <w:pPr>
              <w:jc w:val="center"/>
              <w:outlineLvl w:val="1"/>
              <w:rPr>
                <w:rFonts w:ascii="Courier New" w:hAnsi="Courier New" w:cs="Courier New"/>
                <w:bCs/>
                <w:iCs/>
                <w:sz w:val="20"/>
                <w:szCs w:val="20"/>
              </w:rPr>
            </w:pPr>
            <w:r w:rsidRPr="00EA6F91">
              <w:rPr>
                <w:rFonts w:ascii="Courier New" w:hAnsi="Courier New" w:cs="Courier New"/>
                <w:bCs/>
                <w:iCs/>
                <w:color w:val="000000" w:themeColor="text1"/>
                <w:sz w:val="20"/>
                <w:szCs w:val="20"/>
              </w:rPr>
              <w:t>6</w:t>
            </w:r>
          </w:p>
        </w:tc>
      </w:tr>
      <w:tr w:rsidR="000703D3" w:rsidRPr="00EA6F91" w:rsidTr="00271C1A">
        <w:trPr>
          <w:jc w:val="center"/>
        </w:trPr>
        <w:tc>
          <w:tcPr>
            <w:tcW w:w="1129" w:type="dxa"/>
          </w:tcPr>
          <w:p w:rsidR="000703D3" w:rsidRPr="00EA6F91" w:rsidRDefault="000703D3" w:rsidP="000703D3">
            <w:pPr>
              <w:jc w:val="center"/>
              <w:outlineLvl w:val="1"/>
              <w:rPr>
                <w:rFonts w:ascii="Courier New" w:hAnsi="Courier New" w:cs="Courier New"/>
                <w:bCs/>
                <w:iCs/>
                <w:sz w:val="20"/>
                <w:szCs w:val="20"/>
              </w:rPr>
            </w:pPr>
            <w:r w:rsidRPr="00EA6F91">
              <w:rPr>
                <w:rFonts w:ascii="Courier New" w:hAnsi="Courier New" w:cs="Courier New"/>
                <w:bCs/>
                <w:iCs/>
                <w:sz w:val="20"/>
                <w:szCs w:val="20"/>
              </w:rPr>
              <w:t>X</w:t>
            </w:r>
          </w:p>
        </w:tc>
        <w:tc>
          <w:tcPr>
            <w:tcW w:w="3324" w:type="dxa"/>
          </w:tcPr>
          <w:p w:rsidR="000703D3" w:rsidRPr="00EA6F91" w:rsidRDefault="000703D3" w:rsidP="000703D3">
            <w:pPr>
              <w:outlineLvl w:val="1"/>
              <w:rPr>
                <w:rFonts w:ascii="Courier New" w:hAnsi="Courier New" w:cs="Courier New"/>
                <w:bCs/>
                <w:iCs/>
                <w:sz w:val="20"/>
                <w:szCs w:val="20"/>
              </w:rPr>
            </w:pPr>
            <w:r w:rsidRPr="00EA6F91">
              <w:rPr>
                <w:rFonts w:ascii="Courier New" w:hAnsi="Courier New" w:cs="Courier New"/>
                <w:bCs/>
                <w:iCs/>
                <w:sz w:val="20"/>
                <w:szCs w:val="20"/>
              </w:rPr>
              <w:t xml:space="preserve"> Petrochemical Production</w:t>
            </w:r>
          </w:p>
        </w:tc>
        <w:tc>
          <w:tcPr>
            <w:tcW w:w="2203" w:type="dxa"/>
            <w:vAlign w:val="center"/>
          </w:tcPr>
          <w:p w:rsidR="000703D3" w:rsidRPr="00EA6F91" w:rsidRDefault="000703D3" w:rsidP="000703D3">
            <w:pPr>
              <w:jc w:val="center"/>
              <w:rPr>
                <w:rFonts w:ascii="Courier New" w:hAnsi="Courier New" w:cs="Courier New"/>
                <w:color w:val="000000"/>
                <w:sz w:val="20"/>
                <w:szCs w:val="20"/>
              </w:rPr>
            </w:pPr>
            <w:r w:rsidRPr="00EA6F91">
              <w:rPr>
                <w:rFonts w:ascii="Courier New" w:hAnsi="Courier New" w:cs="Courier New"/>
                <w:color w:val="000000"/>
                <w:sz w:val="20"/>
                <w:szCs w:val="20"/>
              </w:rPr>
              <w:t>21</w:t>
            </w:r>
          </w:p>
        </w:tc>
        <w:tc>
          <w:tcPr>
            <w:tcW w:w="2622" w:type="dxa"/>
            <w:vAlign w:val="center"/>
          </w:tcPr>
          <w:p w:rsidR="000703D3" w:rsidRPr="00EA6F91" w:rsidRDefault="000703D3" w:rsidP="000703D3">
            <w:pPr>
              <w:jc w:val="center"/>
              <w:outlineLvl w:val="1"/>
              <w:rPr>
                <w:rFonts w:ascii="Courier New" w:hAnsi="Courier New" w:cs="Courier New"/>
                <w:bCs/>
                <w:iCs/>
                <w:sz w:val="20"/>
                <w:szCs w:val="20"/>
              </w:rPr>
            </w:pPr>
            <w:r w:rsidRPr="00EA6F91">
              <w:rPr>
                <w:rFonts w:ascii="Courier New" w:hAnsi="Courier New" w:cs="Courier New"/>
                <w:bCs/>
                <w:iCs/>
                <w:color w:val="000000" w:themeColor="text1"/>
                <w:sz w:val="20"/>
                <w:szCs w:val="20"/>
              </w:rPr>
              <w:t>21</w:t>
            </w:r>
          </w:p>
        </w:tc>
      </w:tr>
      <w:tr w:rsidR="000703D3" w:rsidRPr="00EA6F91" w:rsidTr="00271C1A">
        <w:trPr>
          <w:jc w:val="center"/>
        </w:trPr>
        <w:tc>
          <w:tcPr>
            <w:tcW w:w="1129" w:type="dxa"/>
          </w:tcPr>
          <w:p w:rsidR="000703D3" w:rsidRPr="00EA6F91" w:rsidRDefault="000703D3" w:rsidP="000703D3">
            <w:pPr>
              <w:jc w:val="center"/>
              <w:outlineLvl w:val="1"/>
              <w:rPr>
                <w:rFonts w:ascii="Courier New" w:hAnsi="Courier New" w:cs="Courier New"/>
                <w:bCs/>
                <w:iCs/>
                <w:sz w:val="20"/>
                <w:szCs w:val="20"/>
              </w:rPr>
            </w:pPr>
            <w:r w:rsidRPr="00EA6F91">
              <w:rPr>
                <w:rFonts w:ascii="Courier New" w:hAnsi="Courier New" w:cs="Courier New"/>
                <w:bCs/>
                <w:iCs/>
                <w:sz w:val="20"/>
                <w:szCs w:val="20"/>
              </w:rPr>
              <w:t>Y</w:t>
            </w:r>
          </w:p>
        </w:tc>
        <w:tc>
          <w:tcPr>
            <w:tcW w:w="3324" w:type="dxa"/>
          </w:tcPr>
          <w:p w:rsidR="000703D3" w:rsidRPr="00EA6F91" w:rsidRDefault="000703D3" w:rsidP="000703D3">
            <w:pPr>
              <w:outlineLvl w:val="1"/>
              <w:rPr>
                <w:rFonts w:ascii="Courier New" w:hAnsi="Courier New" w:cs="Courier New"/>
                <w:bCs/>
                <w:iCs/>
                <w:sz w:val="20"/>
                <w:szCs w:val="20"/>
              </w:rPr>
            </w:pPr>
            <w:r w:rsidRPr="00EA6F91">
              <w:rPr>
                <w:rFonts w:ascii="Courier New" w:hAnsi="Courier New" w:cs="Courier New"/>
                <w:bCs/>
                <w:iCs/>
                <w:sz w:val="20"/>
                <w:szCs w:val="20"/>
              </w:rPr>
              <w:t xml:space="preserve"> Petroleum Refineries </w:t>
            </w:r>
          </w:p>
        </w:tc>
        <w:tc>
          <w:tcPr>
            <w:tcW w:w="2203" w:type="dxa"/>
            <w:vAlign w:val="center"/>
          </w:tcPr>
          <w:p w:rsidR="000703D3" w:rsidRPr="00EA6F91" w:rsidRDefault="000703D3" w:rsidP="000703D3">
            <w:pPr>
              <w:jc w:val="center"/>
              <w:rPr>
                <w:rFonts w:ascii="Courier New" w:hAnsi="Courier New" w:cs="Courier New"/>
                <w:color w:val="000000"/>
                <w:sz w:val="20"/>
                <w:szCs w:val="20"/>
              </w:rPr>
            </w:pPr>
            <w:r w:rsidRPr="00EA6F91">
              <w:rPr>
                <w:rFonts w:ascii="Courier New" w:hAnsi="Courier New" w:cs="Courier New"/>
                <w:color w:val="000000"/>
                <w:sz w:val="20"/>
                <w:szCs w:val="20"/>
              </w:rPr>
              <w:t>80</w:t>
            </w:r>
          </w:p>
        </w:tc>
        <w:tc>
          <w:tcPr>
            <w:tcW w:w="2622" w:type="dxa"/>
            <w:vAlign w:val="center"/>
          </w:tcPr>
          <w:p w:rsidR="000703D3" w:rsidRPr="00EA6F91" w:rsidRDefault="00F40DC8" w:rsidP="00390C9C">
            <w:pPr>
              <w:jc w:val="center"/>
              <w:outlineLvl w:val="1"/>
              <w:rPr>
                <w:rFonts w:ascii="Courier New" w:hAnsi="Courier New" w:cs="Courier New"/>
                <w:bCs/>
                <w:iCs/>
                <w:sz w:val="20"/>
                <w:szCs w:val="20"/>
              </w:rPr>
            </w:pPr>
            <w:r w:rsidRPr="00EA6F91">
              <w:rPr>
                <w:rFonts w:ascii="Courier New" w:hAnsi="Courier New" w:cs="Courier New"/>
                <w:bCs/>
                <w:iCs/>
                <w:color w:val="000000" w:themeColor="text1"/>
                <w:sz w:val="20"/>
                <w:szCs w:val="20"/>
              </w:rPr>
              <w:t>7</w:t>
            </w:r>
            <w:r w:rsidR="00390C9C">
              <w:rPr>
                <w:rFonts w:ascii="Courier New" w:hAnsi="Courier New" w:cs="Courier New"/>
                <w:bCs/>
                <w:iCs/>
                <w:color w:val="000000" w:themeColor="text1"/>
                <w:sz w:val="20"/>
                <w:szCs w:val="20"/>
              </w:rPr>
              <w:t>5</w:t>
            </w:r>
          </w:p>
        </w:tc>
      </w:tr>
      <w:tr w:rsidR="000703D3" w:rsidRPr="00EA6F91" w:rsidTr="00271C1A">
        <w:trPr>
          <w:jc w:val="center"/>
        </w:trPr>
        <w:tc>
          <w:tcPr>
            <w:tcW w:w="1129" w:type="dxa"/>
          </w:tcPr>
          <w:p w:rsidR="000703D3" w:rsidRPr="00EA6F91" w:rsidRDefault="000703D3" w:rsidP="000703D3">
            <w:pPr>
              <w:jc w:val="center"/>
              <w:outlineLvl w:val="1"/>
              <w:rPr>
                <w:rFonts w:ascii="Courier New" w:hAnsi="Courier New" w:cs="Courier New"/>
                <w:bCs/>
                <w:iCs/>
                <w:sz w:val="20"/>
                <w:szCs w:val="20"/>
              </w:rPr>
            </w:pPr>
            <w:r w:rsidRPr="00EA6F91">
              <w:rPr>
                <w:rFonts w:ascii="Courier New" w:hAnsi="Courier New" w:cs="Courier New"/>
                <w:bCs/>
                <w:iCs/>
                <w:sz w:val="20"/>
                <w:szCs w:val="20"/>
              </w:rPr>
              <w:t>Z</w:t>
            </w:r>
          </w:p>
        </w:tc>
        <w:tc>
          <w:tcPr>
            <w:tcW w:w="3324" w:type="dxa"/>
          </w:tcPr>
          <w:p w:rsidR="000703D3" w:rsidRPr="00EA6F91" w:rsidRDefault="000703D3" w:rsidP="000703D3">
            <w:pPr>
              <w:outlineLvl w:val="1"/>
              <w:rPr>
                <w:rFonts w:ascii="Courier New" w:hAnsi="Courier New" w:cs="Courier New"/>
                <w:bCs/>
                <w:iCs/>
                <w:sz w:val="20"/>
                <w:szCs w:val="20"/>
              </w:rPr>
            </w:pPr>
            <w:r w:rsidRPr="00EA6F91">
              <w:rPr>
                <w:rFonts w:ascii="Courier New" w:hAnsi="Courier New" w:cs="Courier New"/>
                <w:bCs/>
                <w:iCs/>
                <w:sz w:val="20"/>
                <w:szCs w:val="20"/>
              </w:rPr>
              <w:t xml:space="preserve"> Phosphoric Acid Production </w:t>
            </w:r>
          </w:p>
        </w:tc>
        <w:tc>
          <w:tcPr>
            <w:tcW w:w="2203" w:type="dxa"/>
            <w:vAlign w:val="center"/>
          </w:tcPr>
          <w:p w:rsidR="000703D3" w:rsidRPr="00EA6F91" w:rsidRDefault="000703D3" w:rsidP="000703D3">
            <w:pPr>
              <w:jc w:val="center"/>
              <w:rPr>
                <w:rFonts w:ascii="Courier New" w:hAnsi="Courier New" w:cs="Courier New"/>
                <w:color w:val="000000"/>
                <w:sz w:val="20"/>
                <w:szCs w:val="20"/>
              </w:rPr>
            </w:pPr>
            <w:r w:rsidRPr="00EA6F91">
              <w:rPr>
                <w:rFonts w:ascii="Courier New" w:hAnsi="Courier New" w:cs="Courier New"/>
                <w:color w:val="000000"/>
                <w:sz w:val="20"/>
                <w:szCs w:val="20"/>
              </w:rPr>
              <w:t>4</w:t>
            </w:r>
          </w:p>
        </w:tc>
        <w:tc>
          <w:tcPr>
            <w:tcW w:w="2622" w:type="dxa"/>
            <w:vAlign w:val="center"/>
          </w:tcPr>
          <w:p w:rsidR="000703D3" w:rsidRPr="00EA6F91" w:rsidRDefault="000703D3" w:rsidP="000703D3">
            <w:pPr>
              <w:jc w:val="center"/>
              <w:outlineLvl w:val="1"/>
              <w:rPr>
                <w:rFonts w:ascii="Courier New" w:hAnsi="Courier New" w:cs="Courier New"/>
                <w:bCs/>
                <w:iCs/>
                <w:sz w:val="20"/>
                <w:szCs w:val="20"/>
              </w:rPr>
            </w:pPr>
            <w:r w:rsidRPr="00EA6F91">
              <w:rPr>
                <w:rFonts w:ascii="Courier New" w:hAnsi="Courier New" w:cs="Courier New"/>
                <w:bCs/>
                <w:iCs/>
                <w:color w:val="000000" w:themeColor="text1"/>
                <w:sz w:val="20"/>
                <w:szCs w:val="20"/>
              </w:rPr>
              <w:t>4</w:t>
            </w:r>
          </w:p>
        </w:tc>
      </w:tr>
      <w:tr w:rsidR="000703D3" w:rsidRPr="00EA6F91" w:rsidTr="00271C1A">
        <w:trPr>
          <w:jc w:val="center"/>
        </w:trPr>
        <w:tc>
          <w:tcPr>
            <w:tcW w:w="1129" w:type="dxa"/>
          </w:tcPr>
          <w:p w:rsidR="000703D3" w:rsidRPr="00EA6F91" w:rsidRDefault="000703D3" w:rsidP="000703D3">
            <w:pPr>
              <w:jc w:val="center"/>
              <w:outlineLvl w:val="1"/>
              <w:rPr>
                <w:rFonts w:ascii="Courier New" w:hAnsi="Courier New" w:cs="Courier New"/>
                <w:bCs/>
                <w:iCs/>
                <w:sz w:val="20"/>
                <w:szCs w:val="20"/>
              </w:rPr>
            </w:pPr>
            <w:r w:rsidRPr="00EA6F91">
              <w:rPr>
                <w:rFonts w:ascii="Courier New" w:hAnsi="Courier New" w:cs="Courier New"/>
                <w:bCs/>
                <w:iCs/>
                <w:sz w:val="20"/>
                <w:szCs w:val="20"/>
              </w:rPr>
              <w:t>AA</w:t>
            </w:r>
          </w:p>
        </w:tc>
        <w:tc>
          <w:tcPr>
            <w:tcW w:w="3324" w:type="dxa"/>
          </w:tcPr>
          <w:p w:rsidR="000703D3" w:rsidRPr="00EA6F91" w:rsidRDefault="000703D3" w:rsidP="000703D3">
            <w:pPr>
              <w:outlineLvl w:val="1"/>
              <w:rPr>
                <w:rFonts w:ascii="Courier New" w:hAnsi="Courier New" w:cs="Courier New"/>
                <w:bCs/>
                <w:iCs/>
                <w:sz w:val="20"/>
                <w:szCs w:val="20"/>
              </w:rPr>
            </w:pPr>
            <w:r w:rsidRPr="00EA6F91">
              <w:rPr>
                <w:rFonts w:ascii="Courier New" w:hAnsi="Courier New" w:cs="Courier New"/>
                <w:bCs/>
                <w:iCs/>
                <w:sz w:val="20"/>
                <w:szCs w:val="20"/>
              </w:rPr>
              <w:t xml:space="preserve"> Pulp and Paper Manufacturing</w:t>
            </w:r>
          </w:p>
        </w:tc>
        <w:tc>
          <w:tcPr>
            <w:tcW w:w="2203" w:type="dxa"/>
            <w:vAlign w:val="center"/>
          </w:tcPr>
          <w:p w:rsidR="000703D3" w:rsidRPr="00EA6F91" w:rsidRDefault="000703D3" w:rsidP="000703D3">
            <w:pPr>
              <w:jc w:val="center"/>
              <w:rPr>
                <w:rFonts w:ascii="Courier New" w:hAnsi="Courier New" w:cs="Courier New"/>
                <w:color w:val="000000"/>
                <w:sz w:val="20"/>
                <w:szCs w:val="20"/>
              </w:rPr>
            </w:pPr>
            <w:r w:rsidRPr="00EA6F91">
              <w:rPr>
                <w:rFonts w:ascii="Courier New" w:hAnsi="Courier New" w:cs="Courier New"/>
                <w:color w:val="000000"/>
                <w:sz w:val="20"/>
                <w:szCs w:val="20"/>
              </w:rPr>
              <w:t>31</w:t>
            </w:r>
          </w:p>
        </w:tc>
        <w:tc>
          <w:tcPr>
            <w:tcW w:w="2622" w:type="dxa"/>
            <w:vAlign w:val="center"/>
          </w:tcPr>
          <w:p w:rsidR="000703D3" w:rsidRPr="00EA6F91" w:rsidRDefault="000703D3" w:rsidP="000703D3">
            <w:pPr>
              <w:jc w:val="center"/>
              <w:outlineLvl w:val="1"/>
              <w:rPr>
                <w:rFonts w:ascii="Courier New" w:hAnsi="Courier New" w:cs="Courier New"/>
                <w:bCs/>
                <w:iCs/>
                <w:sz w:val="20"/>
                <w:szCs w:val="20"/>
              </w:rPr>
            </w:pPr>
            <w:r w:rsidRPr="00EA6F91">
              <w:rPr>
                <w:rFonts w:ascii="Courier New" w:hAnsi="Courier New" w:cs="Courier New"/>
                <w:bCs/>
                <w:iCs/>
                <w:color w:val="000000" w:themeColor="text1"/>
                <w:sz w:val="20"/>
                <w:szCs w:val="20"/>
              </w:rPr>
              <w:t>28</w:t>
            </w:r>
          </w:p>
        </w:tc>
      </w:tr>
      <w:tr w:rsidR="000703D3" w:rsidRPr="00EA6F91" w:rsidTr="00271C1A">
        <w:trPr>
          <w:jc w:val="center"/>
        </w:trPr>
        <w:tc>
          <w:tcPr>
            <w:tcW w:w="1129" w:type="dxa"/>
          </w:tcPr>
          <w:p w:rsidR="000703D3" w:rsidRPr="00EA6F91" w:rsidRDefault="000703D3" w:rsidP="000703D3">
            <w:pPr>
              <w:jc w:val="center"/>
              <w:outlineLvl w:val="1"/>
              <w:rPr>
                <w:rFonts w:ascii="Courier New" w:hAnsi="Courier New" w:cs="Courier New"/>
                <w:bCs/>
                <w:iCs/>
                <w:sz w:val="20"/>
                <w:szCs w:val="20"/>
              </w:rPr>
            </w:pPr>
            <w:r w:rsidRPr="00EA6F91">
              <w:rPr>
                <w:rFonts w:ascii="Courier New" w:hAnsi="Courier New" w:cs="Courier New"/>
                <w:bCs/>
                <w:iCs/>
                <w:sz w:val="20"/>
                <w:szCs w:val="20"/>
              </w:rPr>
              <w:t>BB</w:t>
            </w:r>
          </w:p>
        </w:tc>
        <w:tc>
          <w:tcPr>
            <w:tcW w:w="3324" w:type="dxa"/>
          </w:tcPr>
          <w:p w:rsidR="000703D3" w:rsidRPr="00EA6F91" w:rsidRDefault="000703D3" w:rsidP="000703D3">
            <w:pPr>
              <w:outlineLvl w:val="1"/>
              <w:rPr>
                <w:rFonts w:ascii="Courier New" w:hAnsi="Courier New" w:cs="Courier New"/>
                <w:bCs/>
                <w:iCs/>
                <w:sz w:val="20"/>
                <w:szCs w:val="20"/>
              </w:rPr>
            </w:pPr>
            <w:r w:rsidRPr="00EA6F91">
              <w:rPr>
                <w:rFonts w:ascii="Courier New" w:hAnsi="Courier New" w:cs="Courier New"/>
                <w:bCs/>
                <w:iCs/>
                <w:sz w:val="20"/>
                <w:szCs w:val="20"/>
              </w:rPr>
              <w:t xml:space="preserve"> Silicon Carbide Production </w:t>
            </w:r>
          </w:p>
        </w:tc>
        <w:tc>
          <w:tcPr>
            <w:tcW w:w="2203" w:type="dxa"/>
            <w:vAlign w:val="center"/>
          </w:tcPr>
          <w:p w:rsidR="000703D3" w:rsidRPr="00EA6F91" w:rsidRDefault="000703D3" w:rsidP="000703D3">
            <w:pPr>
              <w:jc w:val="center"/>
              <w:rPr>
                <w:rFonts w:ascii="Courier New" w:hAnsi="Courier New" w:cs="Courier New"/>
                <w:color w:val="000000"/>
                <w:sz w:val="20"/>
                <w:szCs w:val="20"/>
              </w:rPr>
            </w:pPr>
            <w:r w:rsidRPr="00EA6F91">
              <w:rPr>
                <w:rFonts w:ascii="Courier New" w:hAnsi="Courier New" w:cs="Courier New"/>
                <w:color w:val="000000"/>
                <w:sz w:val="20"/>
                <w:szCs w:val="20"/>
              </w:rPr>
              <w:t>3</w:t>
            </w:r>
          </w:p>
        </w:tc>
        <w:tc>
          <w:tcPr>
            <w:tcW w:w="2622" w:type="dxa"/>
            <w:vAlign w:val="center"/>
          </w:tcPr>
          <w:p w:rsidR="000703D3" w:rsidRPr="00EA6F91" w:rsidRDefault="000703D3" w:rsidP="000703D3">
            <w:pPr>
              <w:jc w:val="center"/>
              <w:outlineLvl w:val="1"/>
              <w:rPr>
                <w:rFonts w:ascii="Courier New" w:hAnsi="Courier New" w:cs="Courier New"/>
                <w:bCs/>
                <w:iCs/>
                <w:sz w:val="20"/>
                <w:szCs w:val="20"/>
              </w:rPr>
            </w:pPr>
            <w:r w:rsidRPr="00EA6F91">
              <w:rPr>
                <w:rFonts w:ascii="Courier New" w:hAnsi="Courier New" w:cs="Courier New"/>
                <w:bCs/>
                <w:iCs/>
                <w:color w:val="000000" w:themeColor="text1"/>
                <w:sz w:val="20"/>
                <w:szCs w:val="20"/>
              </w:rPr>
              <w:t>3</w:t>
            </w:r>
          </w:p>
        </w:tc>
      </w:tr>
      <w:tr w:rsidR="000703D3" w:rsidRPr="00EA6F91" w:rsidTr="00271C1A">
        <w:trPr>
          <w:jc w:val="center"/>
        </w:trPr>
        <w:tc>
          <w:tcPr>
            <w:tcW w:w="1129" w:type="dxa"/>
          </w:tcPr>
          <w:p w:rsidR="000703D3" w:rsidRPr="00EA6F91" w:rsidRDefault="000703D3" w:rsidP="000703D3">
            <w:pPr>
              <w:jc w:val="center"/>
              <w:outlineLvl w:val="1"/>
              <w:rPr>
                <w:rFonts w:ascii="Courier New" w:hAnsi="Courier New" w:cs="Courier New"/>
                <w:bCs/>
                <w:iCs/>
                <w:sz w:val="20"/>
                <w:szCs w:val="20"/>
              </w:rPr>
            </w:pPr>
            <w:r w:rsidRPr="00EA6F91">
              <w:rPr>
                <w:rFonts w:ascii="Courier New" w:hAnsi="Courier New" w:cs="Courier New"/>
                <w:bCs/>
                <w:iCs/>
                <w:sz w:val="20"/>
                <w:szCs w:val="20"/>
              </w:rPr>
              <w:t>CC</w:t>
            </w:r>
          </w:p>
        </w:tc>
        <w:tc>
          <w:tcPr>
            <w:tcW w:w="3324" w:type="dxa"/>
          </w:tcPr>
          <w:p w:rsidR="000703D3" w:rsidRPr="00EA6F91" w:rsidRDefault="000703D3" w:rsidP="000703D3">
            <w:pPr>
              <w:outlineLvl w:val="1"/>
              <w:rPr>
                <w:rFonts w:ascii="Courier New" w:hAnsi="Courier New" w:cs="Courier New"/>
                <w:bCs/>
                <w:iCs/>
                <w:sz w:val="20"/>
                <w:szCs w:val="20"/>
              </w:rPr>
            </w:pPr>
            <w:r w:rsidRPr="00EA6F91">
              <w:rPr>
                <w:rFonts w:ascii="Courier New" w:hAnsi="Courier New" w:cs="Courier New"/>
                <w:bCs/>
                <w:iCs/>
                <w:sz w:val="20"/>
                <w:szCs w:val="20"/>
              </w:rPr>
              <w:t xml:space="preserve"> Soda Ash Manufacturing</w:t>
            </w:r>
          </w:p>
        </w:tc>
        <w:tc>
          <w:tcPr>
            <w:tcW w:w="2203" w:type="dxa"/>
            <w:vAlign w:val="center"/>
          </w:tcPr>
          <w:p w:rsidR="000703D3" w:rsidRPr="00EA6F91" w:rsidRDefault="000703D3" w:rsidP="000703D3">
            <w:pPr>
              <w:jc w:val="center"/>
              <w:rPr>
                <w:rFonts w:ascii="Courier New" w:hAnsi="Courier New" w:cs="Courier New"/>
                <w:color w:val="000000"/>
                <w:sz w:val="20"/>
                <w:szCs w:val="20"/>
              </w:rPr>
            </w:pPr>
            <w:r w:rsidRPr="00EA6F91">
              <w:rPr>
                <w:rFonts w:ascii="Courier New" w:hAnsi="Courier New" w:cs="Courier New"/>
                <w:color w:val="000000"/>
                <w:sz w:val="20"/>
                <w:szCs w:val="20"/>
              </w:rPr>
              <w:t>10</w:t>
            </w:r>
          </w:p>
        </w:tc>
        <w:tc>
          <w:tcPr>
            <w:tcW w:w="2622" w:type="dxa"/>
            <w:vAlign w:val="center"/>
          </w:tcPr>
          <w:p w:rsidR="000703D3" w:rsidRPr="00EA6F91" w:rsidRDefault="000703D3" w:rsidP="000703D3">
            <w:pPr>
              <w:jc w:val="center"/>
              <w:outlineLvl w:val="1"/>
              <w:rPr>
                <w:rFonts w:ascii="Courier New" w:hAnsi="Courier New" w:cs="Courier New"/>
                <w:bCs/>
                <w:iCs/>
                <w:sz w:val="20"/>
                <w:szCs w:val="20"/>
              </w:rPr>
            </w:pPr>
            <w:r w:rsidRPr="00EA6F91">
              <w:rPr>
                <w:rFonts w:ascii="Courier New" w:hAnsi="Courier New" w:cs="Courier New"/>
                <w:bCs/>
                <w:iCs/>
                <w:color w:val="000000" w:themeColor="text1"/>
                <w:sz w:val="20"/>
                <w:szCs w:val="20"/>
              </w:rPr>
              <w:t>4</w:t>
            </w:r>
          </w:p>
        </w:tc>
      </w:tr>
      <w:tr w:rsidR="000703D3" w:rsidRPr="00EA6F91" w:rsidTr="00271C1A">
        <w:trPr>
          <w:jc w:val="center"/>
        </w:trPr>
        <w:tc>
          <w:tcPr>
            <w:tcW w:w="1129" w:type="dxa"/>
          </w:tcPr>
          <w:p w:rsidR="000703D3" w:rsidRPr="00EA6F91" w:rsidRDefault="000703D3" w:rsidP="000703D3">
            <w:pPr>
              <w:jc w:val="center"/>
              <w:outlineLvl w:val="1"/>
              <w:rPr>
                <w:rFonts w:ascii="Courier New" w:hAnsi="Courier New" w:cs="Courier New"/>
                <w:bCs/>
                <w:iCs/>
                <w:sz w:val="20"/>
                <w:szCs w:val="20"/>
              </w:rPr>
            </w:pPr>
            <w:r w:rsidRPr="00EA6F91">
              <w:rPr>
                <w:rFonts w:ascii="Courier New" w:hAnsi="Courier New" w:cs="Courier New"/>
                <w:bCs/>
                <w:iCs/>
                <w:sz w:val="20"/>
                <w:szCs w:val="20"/>
              </w:rPr>
              <w:t>EE</w:t>
            </w:r>
          </w:p>
        </w:tc>
        <w:tc>
          <w:tcPr>
            <w:tcW w:w="3324" w:type="dxa"/>
          </w:tcPr>
          <w:p w:rsidR="000703D3" w:rsidRPr="00EA6F91" w:rsidRDefault="000703D3" w:rsidP="000703D3">
            <w:pPr>
              <w:outlineLvl w:val="1"/>
              <w:rPr>
                <w:rFonts w:ascii="Courier New" w:hAnsi="Courier New" w:cs="Courier New"/>
                <w:bCs/>
                <w:iCs/>
                <w:sz w:val="20"/>
                <w:szCs w:val="20"/>
              </w:rPr>
            </w:pPr>
            <w:r w:rsidRPr="00EA6F91">
              <w:rPr>
                <w:rFonts w:ascii="Courier New" w:hAnsi="Courier New" w:cs="Courier New"/>
                <w:bCs/>
                <w:iCs/>
                <w:sz w:val="20"/>
                <w:szCs w:val="20"/>
              </w:rPr>
              <w:t xml:space="preserve"> Titanium Dioxide Production </w:t>
            </w:r>
          </w:p>
        </w:tc>
        <w:tc>
          <w:tcPr>
            <w:tcW w:w="2203" w:type="dxa"/>
            <w:vAlign w:val="center"/>
          </w:tcPr>
          <w:p w:rsidR="000703D3" w:rsidRPr="00EA6F91" w:rsidRDefault="000703D3" w:rsidP="000703D3">
            <w:pPr>
              <w:jc w:val="center"/>
              <w:rPr>
                <w:rFonts w:ascii="Courier New" w:hAnsi="Courier New" w:cs="Courier New"/>
                <w:color w:val="000000"/>
                <w:sz w:val="20"/>
                <w:szCs w:val="20"/>
              </w:rPr>
            </w:pPr>
            <w:r w:rsidRPr="00EA6F91">
              <w:rPr>
                <w:rFonts w:ascii="Courier New" w:hAnsi="Courier New" w:cs="Courier New"/>
                <w:color w:val="000000"/>
                <w:sz w:val="20"/>
                <w:szCs w:val="20"/>
              </w:rPr>
              <w:t>2</w:t>
            </w:r>
          </w:p>
        </w:tc>
        <w:tc>
          <w:tcPr>
            <w:tcW w:w="2622" w:type="dxa"/>
            <w:vAlign w:val="center"/>
          </w:tcPr>
          <w:p w:rsidR="000703D3" w:rsidRPr="00EA6F91" w:rsidRDefault="000703D3" w:rsidP="000703D3">
            <w:pPr>
              <w:jc w:val="center"/>
              <w:outlineLvl w:val="1"/>
              <w:rPr>
                <w:rFonts w:ascii="Courier New" w:hAnsi="Courier New" w:cs="Courier New"/>
                <w:bCs/>
                <w:iCs/>
                <w:sz w:val="20"/>
                <w:szCs w:val="20"/>
              </w:rPr>
            </w:pPr>
            <w:r w:rsidRPr="00EA6F91">
              <w:rPr>
                <w:rFonts w:ascii="Courier New" w:hAnsi="Courier New" w:cs="Courier New"/>
                <w:bCs/>
                <w:iCs/>
                <w:color w:val="000000" w:themeColor="text1"/>
                <w:sz w:val="20"/>
                <w:szCs w:val="20"/>
              </w:rPr>
              <w:t>2</w:t>
            </w:r>
          </w:p>
        </w:tc>
      </w:tr>
      <w:tr w:rsidR="000703D3" w:rsidRPr="00EA6F91" w:rsidTr="00271C1A">
        <w:trPr>
          <w:jc w:val="center"/>
        </w:trPr>
        <w:tc>
          <w:tcPr>
            <w:tcW w:w="1129" w:type="dxa"/>
          </w:tcPr>
          <w:p w:rsidR="000703D3" w:rsidRPr="00EA6F91" w:rsidRDefault="000703D3" w:rsidP="000703D3">
            <w:pPr>
              <w:jc w:val="center"/>
              <w:outlineLvl w:val="1"/>
              <w:rPr>
                <w:rFonts w:ascii="Courier New" w:hAnsi="Courier New" w:cs="Courier New"/>
                <w:bCs/>
                <w:iCs/>
                <w:sz w:val="20"/>
                <w:szCs w:val="20"/>
              </w:rPr>
            </w:pPr>
            <w:r w:rsidRPr="00EA6F91">
              <w:rPr>
                <w:rFonts w:ascii="Courier New" w:hAnsi="Courier New" w:cs="Courier New"/>
                <w:bCs/>
                <w:iCs/>
                <w:sz w:val="20"/>
                <w:szCs w:val="20"/>
              </w:rPr>
              <w:t>GG</w:t>
            </w:r>
          </w:p>
        </w:tc>
        <w:tc>
          <w:tcPr>
            <w:tcW w:w="3324" w:type="dxa"/>
          </w:tcPr>
          <w:p w:rsidR="000703D3" w:rsidRPr="00EA6F91" w:rsidRDefault="000703D3" w:rsidP="000703D3">
            <w:pPr>
              <w:outlineLvl w:val="1"/>
              <w:rPr>
                <w:rFonts w:ascii="Courier New" w:hAnsi="Courier New" w:cs="Courier New"/>
                <w:bCs/>
                <w:iCs/>
                <w:sz w:val="20"/>
                <w:szCs w:val="20"/>
              </w:rPr>
            </w:pPr>
            <w:r w:rsidRPr="00EA6F91">
              <w:rPr>
                <w:rFonts w:ascii="Courier New" w:hAnsi="Courier New" w:cs="Courier New"/>
                <w:bCs/>
                <w:iCs/>
                <w:sz w:val="20"/>
                <w:szCs w:val="20"/>
              </w:rPr>
              <w:t xml:space="preserve"> Zinc Production </w:t>
            </w:r>
          </w:p>
        </w:tc>
        <w:tc>
          <w:tcPr>
            <w:tcW w:w="2203" w:type="dxa"/>
            <w:vAlign w:val="center"/>
          </w:tcPr>
          <w:p w:rsidR="000703D3" w:rsidRPr="00EA6F91" w:rsidRDefault="000703D3" w:rsidP="000703D3">
            <w:pPr>
              <w:jc w:val="center"/>
              <w:rPr>
                <w:rFonts w:ascii="Courier New" w:hAnsi="Courier New" w:cs="Courier New"/>
                <w:color w:val="000000"/>
                <w:sz w:val="20"/>
                <w:szCs w:val="20"/>
              </w:rPr>
            </w:pPr>
            <w:r w:rsidRPr="00EA6F91">
              <w:rPr>
                <w:rFonts w:ascii="Courier New" w:hAnsi="Courier New" w:cs="Courier New"/>
                <w:color w:val="000000"/>
                <w:sz w:val="20"/>
                <w:szCs w:val="20"/>
              </w:rPr>
              <w:t>8</w:t>
            </w:r>
          </w:p>
        </w:tc>
        <w:tc>
          <w:tcPr>
            <w:tcW w:w="2622" w:type="dxa"/>
            <w:vAlign w:val="center"/>
          </w:tcPr>
          <w:p w:rsidR="000703D3" w:rsidRPr="00EA6F91" w:rsidRDefault="000703D3" w:rsidP="000703D3">
            <w:pPr>
              <w:jc w:val="center"/>
              <w:outlineLvl w:val="1"/>
              <w:rPr>
                <w:rFonts w:ascii="Courier New" w:hAnsi="Courier New" w:cs="Courier New"/>
                <w:bCs/>
                <w:iCs/>
                <w:sz w:val="20"/>
                <w:szCs w:val="20"/>
              </w:rPr>
            </w:pPr>
            <w:r w:rsidRPr="00EA6F91">
              <w:rPr>
                <w:rFonts w:ascii="Courier New" w:hAnsi="Courier New" w:cs="Courier New"/>
                <w:bCs/>
                <w:iCs/>
                <w:color w:val="000000" w:themeColor="text1"/>
                <w:sz w:val="20"/>
                <w:szCs w:val="20"/>
              </w:rPr>
              <w:t>8</w:t>
            </w:r>
          </w:p>
        </w:tc>
      </w:tr>
      <w:tr w:rsidR="000703D3" w:rsidRPr="00EA6F91" w:rsidTr="00271C1A">
        <w:trPr>
          <w:jc w:val="center"/>
        </w:trPr>
        <w:tc>
          <w:tcPr>
            <w:tcW w:w="1129" w:type="dxa"/>
          </w:tcPr>
          <w:p w:rsidR="000703D3" w:rsidRPr="00EA6F91" w:rsidRDefault="000703D3" w:rsidP="000703D3">
            <w:pPr>
              <w:jc w:val="center"/>
              <w:outlineLvl w:val="1"/>
              <w:rPr>
                <w:rFonts w:ascii="Courier New" w:hAnsi="Courier New" w:cs="Courier New"/>
                <w:bCs/>
                <w:iCs/>
                <w:sz w:val="20"/>
                <w:szCs w:val="20"/>
              </w:rPr>
            </w:pPr>
            <w:r w:rsidRPr="00EA6F91">
              <w:rPr>
                <w:rFonts w:ascii="Courier New" w:hAnsi="Courier New" w:cs="Courier New"/>
                <w:bCs/>
                <w:iCs/>
                <w:sz w:val="20"/>
                <w:szCs w:val="20"/>
              </w:rPr>
              <w:t>TT</w:t>
            </w:r>
          </w:p>
        </w:tc>
        <w:tc>
          <w:tcPr>
            <w:tcW w:w="3324" w:type="dxa"/>
            <w:vAlign w:val="bottom"/>
          </w:tcPr>
          <w:p w:rsidR="000703D3" w:rsidRPr="00EA6F91" w:rsidRDefault="000703D3" w:rsidP="000703D3">
            <w:pPr>
              <w:rPr>
                <w:rFonts w:ascii="Courier New" w:hAnsi="Courier New" w:cs="Courier New"/>
                <w:color w:val="000000"/>
                <w:sz w:val="20"/>
                <w:szCs w:val="20"/>
              </w:rPr>
            </w:pPr>
            <w:r w:rsidRPr="00EA6F91">
              <w:rPr>
                <w:rFonts w:ascii="Courier New" w:hAnsi="Courier New" w:cs="Courier New"/>
                <w:color w:val="000000"/>
                <w:sz w:val="20"/>
                <w:szCs w:val="20"/>
              </w:rPr>
              <w:t xml:space="preserve">Industrial Waste Landfills </w:t>
            </w:r>
          </w:p>
        </w:tc>
        <w:tc>
          <w:tcPr>
            <w:tcW w:w="2203" w:type="dxa"/>
          </w:tcPr>
          <w:p w:rsidR="000703D3" w:rsidRPr="00EA6F91" w:rsidRDefault="000703D3" w:rsidP="000703D3">
            <w:pPr>
              <w:jc w:val="center"/>
              <w:rPr>
                <w:rFonts w:ascii="Courier New" w:hAnsi="Courier New" w:cs="Courier New"/>
                <w:color w:val="000000"/>
                <w:sz w:val="20"/>
                <w:szCs w:val="20"/>
              </w:rPr>
            </w:pPr>
            <w:r w:rsidRPr="00EA6F91">
              <w:rPr>
                <w:rFonts w:ascii="Courier New" w:hAnsi="Courier New" w:cs="Courier New"/>
                <w:color w:val="000000"/>
                <w:sz w:val="20"/>
                <w:szCs w:val="20"/>
              </w:rPr>
              <w:t>3</w:t>
            </w:r>
          </w:p>
        </w:tc>
        <w:tc>
          <w:tcPr>
            <w:tcW w:w="2622" w:type="dxa"/>
            <w:vAlign w:val="center"/>
          </w:tcPr>
          <w:p w:rsidR="000703D3" w:rsidRPr="00EA6F91" w:rsidRDefault="000703D3" w:rsidP="000703D3">
            <w:pPr>
              <w:jc w:val="center"/>
              <w:rPr>
                <w:rFonts w:ascii="Courier New" w:hAnsi="Courier New" w:cs="Courier New"/>
                <w:color w:val="000000"/>
                <w:sz w:val="20"/>
                <w:szCs w:val="20"/>
              </w:rPr>
            </w:pPr>
            <w:r w:rsidRPr="00EA6F91">
              <w:rPr>
                <w:rFonts w:ascii="Courier New" w:hAnsi="Courier New" w:cs="Courier New"/>
                <w:color w:val="000000"/>
                <w:sz w:val="20"/>
                <w:szCs w:val="20"/>
              </w:rPr>
              <w:t>3</w:t>
            </w:r>
          </w:p>
        </w:tc>
      </w:tr>
    </w:tbl>
    <w:p w:rsidR="00D419BF" w:rsidRPr="00F20BB4" w:rsidRDefault="00F40DC8" w:rsidP="00D419BF">
      <w:pPr>
        <w:pStyle w:val="footnote"/>
      </w:pPr>
      <w:r w:rsidRPr="00271C1A">
        <w:rPr>
          <w:szCs w:val="20"/>
          <w:vertAlign w:val="superscript"/>
        </w:rPr>
        <w:t>1</w:t>
      </w:r>
      <w:r w:rsidRPr="00271C1A">
        <w:rPr>
          <w:szCs w:val="20"/>
        </w:rPr>
        <w:t xml:space="preserve"> </w:t>
      </w:r>
      <w:r w:rsidR="00D419BF" w:rsidRPr="00F20BB4">
        <w:t xml:space="preserve">The reporting requirements applicable to certain </w:t>
      </w:r>
      <w:r w:rsidR="00D419BF">
        <w:t xml:space="preserve">stationary fuel </w:t>
      </w:r>
      <w:r w:rsidR="00D419BF" w:rsidRPr="00F20BB4">
        <w:t xml:space="preserve">combustion </w:t>
      </w:r>
      <w:r w:rsidR="00D419BF">
        <w:t xml:space="preserve">sources </w:t>
      </w:r>
      <w:r w:rsidR="00D419BF" w:rsidRPr="00662457">
        <w:t>(e.g., individual units, aggregations of units, common pipes, or common stacks)</w:t>
      </w:r>
      <w:r w:rsidR="00D419BF" w:rsidRPr="00F20BB4">
        <w:t xml:space="preserve"> subject to subpart C remain the same under the proposed amendment. Subpart C would continue to require reporting of all applicable “inputs to equations” data elements </w:t>
      </w:r>
      <w:r w:rsidR="00D419BF" w:rsidRPr="00662457">
        <w:t>for stationary fuel combustion sources</w:t>
      </w:r>
      <w:r w:rsidR="00D419BF" w:rsidRPr="00F20BB4">
        <w:t xml:space="preserve"> that meet</w:t>
      </w:r>
      <w:r w:rsidR="00D419BF">
        <w:t xml:space="preserve"> both of</w:t>
      </w:r>
      <w:r w:rsidR="00D419BF" w:rsidRPr="00F20BB4">
        <w:t xml:space="preserve"> the following criteria: </w:t>
      </w:r>
      <w:r w:rsidR="00D419BF" w:rsidRPr="00CA2B04">
        <w:t xml:space="preserve">(1) the </w:t>
      </w:r>
      <w:r w:rsidR="00D419BF">
        <w:t xml:space="preserve">stationary fuel </w:t>
      </w:r>
      <w:r w:rsidR="00D419BF" w:rsidRPr="00CA2B04">
        <w:t xml:space="preserve">combustion </w:t>
      </w:r>
      <w:r w:rsidR="00D419BF">
        <w:t>source contains at least one combustion unit</w:t>
      </w:r>
      <w:r w:rsidR="00D419BF" w:rsidRPr="00CA2B04">
        <w:t xml:space="preserve"> connected to a </w:t>
      </w:r>
      <w:r w:rsidR="00D419BF">
        <w:t>fuel-fired electric generator</w:t>
      </w:r>
      <w:r w:rsidR="00D419BF" w:rsidRPr="00CA2B04">
        <w:t xml:space="preserve"> that has been granted access by the Public Utilities Commission to deliver power to the local or regional electric power grid (excluding generators connected to combustion units </w:t>
      </w:r>
      <w:r w:rsidR="00D419BF">
        <w:t xml:space="preserve">that are </w:t>
      </w:r>
      <w:r w:rsidR="00D419BF" w:rsidRPr="00CA2B04">
        <w:t xml:space="preserve">subject to subpart D of this part); and (2) </w:t>
      </w:r>
      <w:r w:rsidR="00D419BF" w:rsidRPr="00662457">
        <w:t>the stationary fuel combustion source is located at a facility for which the sum of the combined</w:t>
      </w:r>
      <w:r w:rsidR="00D419BF" w:rsidRPr="00CA2B04">
        <w:t xml:space="preserve"> nameplate capacit</w:t>
      </w:r>
      <w:r w:rsidR="00D419BF">
        <w:t>ies</w:t>
      </w:r>
      <w:r w:rsidR="00D419BF" w:rsidRPr="00CA2B04">
        <w:t xml:space="preserve"> </w:t>
      </w:r>
      <w:r w:rsidR="00D419BF" w:rsidRPr="00CA2B04">
        <w:lastRenderedPageBreak/>
        <w:t xml:space="preserve">for all such </w:t>
      </w:r>
      <w:r w:rsidR="00D419BF">
        <w:t>electric generators</w:t>
      </w:r>
      <w:r w:rsidR="00D419BF" w:rsidRPr="00CA2B04">
        <w:t xml:space="preserve"> is greater than or equal to 1 megawatt electric</w:t>
      </w:r>
      <w:r w:rsidR="00D419BF">
        <w:t xml:space="preserve"> output</w:t>
      </w:r>
      <w:r w:rsidR="00D419BF" w:rsidRPr="00CA2B04">
        <w:t xml:space="preserve">. Subpart C reporters would not report “inputs to equations” data elements for all other types of </w:t>
      </w:r>
      <w:r w:rsidR="00D419BF">
        <w:t xml:space="preserve">stationary fuel </w:t>
      </w:r>
      <w:r w:rsidR="00D419BF" w:rsidRPr="00CA2B04">
        <w:t xml:space="preserve">combustion </w:t>
      </w:r>
      <w:r w:rsidR="00D419BF">
        <w:t>sources</w:t>
      </w:r>
      <w:r w:rsidR="00D419BF" w:rsidRPr="00CA2B04">
        <w:t xml:space="preserve"> subject to subpart C.</w:t>
      </w:r>
    </w:p>
    <w:p w:rsidR="00CF7255" w:rsidRPr="00271C1A" w:rsidRDefault="00CF7255" w:rsidP="00F40DC8">
      <w:pPr>
        <w:widowControl w:val="0"/>
        <w:ind w:left="90"/>
        <w:rPr>
          <w:rFonts w:ascii="Courier New" w:hAnsi="Courier New" w:cs="Courier New"/>
          <w:sz w:val="20"/>
          <w:szCs w:val="20"/>
        </w:rPr>
      </w:pPr>
    </w:p>
    <w:p w:rsidR="00F40DC8" w:rsidRPr="00271C1A" w:rsidRDefault="00F40DC8" w:rsidP="00F40DC8">
      <w:pPr>
        <w:pStyle w:val="footnote"/>
        <w:ind w:left="90"/>
        <w:rPr>
          <w:szCs w:val="20"/>
        </w:rPr>
      </w:pPr>
      <w:r w:rsidRPr="00271C1A">
        <w:rPr>
          <w:szCs w:val="20"/>
          <w:vertAlign w:val="superscript"/>
        </w:rPr>
        <w:t xml:space="preserve">2 </w:t>
      </w:r>
      <w:r w:rsidRPr="00271C1A">
        <w:rPr>
          <w:szCs w:val="20"/>
        </w:rPr>
        <w:t>Includes one “inputs to equations” data element, 40 CFR 98.3(d)(3)(v), which is specified in subpart A of part 98 and applies to only certain reporters under subpart C of part 98.</w:t>
      </w:r>
    </w:p>
    <w:p w:rsidR="00F40DC8" w:rsidRPr="00EA6F91" w:rsidRDefault="00F40DC8" w:rsidP="00F40DC8">
      <w:pPr>
        <w:widowControl w:val="0"/>
        <w:ind w:left="90"/>
        <w:rPr>
          <w:rFonts w:ascii="Courier New" w:hAnsi="Courier New" w:cs="Courier New"/>
        </w:rPr>
      </w:pPr>
    </w:p>
    <w:p w:rsidR="00882ABA" w:rsidRPr="003404E1" w:rsidRDefault="001E3CCD" w:rsidP="00882ABA">
      <w:pPr>
        <w:spacing w:line="360" w:lineRule="auto"/>
        <w:ind w:firstLine="720"/>
        <w:rPr>
          <w:rFonts w:ascii="Courier New" w:hAnsi="Courier New" w:cs="Courier New"/>
        </w:rPr>
      </w:pPr>
      <w:r w:rsidRPr="001E3CCD">
        <w:rPr>
          <w:rFonts w:ascii="Courier New" w:hAnsi="Courier New" w:cs="Courier New"/>
          <w:u w:val="single"/>
        </w:rPr>
        <w:t>Record</w:t>
      </w:r>
      <w:r w:rsidR="00281A19">
        <w:rPr>
          <w:rFonts w:ascii="Courier New" w:hAnsi="Courier New" w:cs="Courier New"/>
          <w:u w:val="single"/>
        </w:rPr>
        <w:t>keeping</w:t>
      </w:r>
      <w:bookmarkStart w:id="21" w:name="_GoBack"/>
      <w:bookmarkEnd w:id="21"/>
      <w:r w:rsidRPr="001E3CCD">
        <w:rPr>
          <w:rFonts w:ascii="Courier New" w:hAnsi="Courier New" w:cs="Courier New"/>
          <w:u w:val="single"/>
        </w:rPr>
        <w:t xml:space="preserve"> </w:t>
      </w:r>
      <w:r w:rsidR="00281A19">
        <w:rPr>
          <w:rFonts w:ascii="Courier New" w:hAnsi="Courier New" w:cs="Courier New"/>
          <w:u w:val="single"/>
        </w:rPr>
        <w:t xml:space="preserve">for </w:t>
      </w:r>
      <w:r w:rsidR="00847072" w:rsidRPr="00847072">
        <w:rPr>
          <w:rFonts w:ascii="Courier New" w:hAnsi="Courier New" w:cs="Courier New"/>
          <w:u w:val="single"/>
        </w:rPr>
        <w:t>“Inputs to Equations” Data Elements</w:t>
      </w:r>
      <w:r w:rsidRPr="001E3CCD">
        <w:rPr>
          <w:rFonts w:ascii="Courier New" w:hAnsi="Courier New" w:cs="Courier New"/>
          <w:u w:val="single"/>
        </w:rPr>
        <w:t xml:space="preserve"> Entered into the Inputs Verification Tool</w:t>
      </w:r>
      <w:r>
        <w:rPr>
          <w:rFonts w:ascii="Courier New" w:hAnsi="Courier New" w:cs="Courier New"/>
        </w:rPr>
        <w:t>.</w:t>
      </w:r>
      <w:r w:rsidR="003404E1">
        <w:rPr>
          <w:rFonts w:ascii="Courier New" w:hAnsi="Courier New" w:cs="Courier New"/>
        </w:rPr>
        <w:t xml:space="preserve"> Respondents would be required to keep a record of a file generated by the inputs verification tool. After completing entry of </w:t>
      </w:r>
      <w:r w:rsidR="00152499">
        <w:rPr>
          <w:rFonts w:ascii="Courier New" w:hAnsi="Courier New" w:cs="Courier New"/>
        </w:rPr>
        <w:t>“inputs to equations” data elements</w:t>
      </w:r>
      <w:r w:rsidR="003404E1">
        <w:rPr>
          <w:rFonts w:ascii="Courier New" w:hAnsi="Courier New" w:cs="Courier New"/>
        </w:rPr>
        <w:t xml:space="preserve"> into the inputs verification tool, respondents would download </w:t>
      </w:r>
      <w:r w:rsidR="0063630C">
        <w:rPr>
          <w:rFonts w:ascii="Courier New" w:hAnsi="Courier New" w:cs="Courier New"/>
        </w:rPr>
        <w:t xml:space="preserve">this </w:t>
      </w:r>
      <w:r w:rsidR="003404E1">
        <w:rPr>
          <w:rFonts w:ascii="Courier New" w:hAnsi="Courier New" w:cs="Courier New"/>
        </w:rPr>
        <w:t xml:space="preserve">file </w:t>
      </w:r>
      <w:r w:rsidR="0063630C">
        <w:rPr>
          <w:rFonts w:ascii="Courier New" w:hAnsi="Courier New" w:cs="Courier New"/>
        </w:rPr>
        <w:t>(</w:t>
      </w:r>
      <w:r w:rsidR="003404E1">
        <w:rPr>
          <w:rFonts w:ascii="Courier New" w:hAnsi="Courier New" w:cs="Courier New"/>
        </w:rPr>
        <w:t>generated by the inputs verification tool</w:t>
      </w:r>
      <w:r w:rsidR="0063630C">
        <w:rPr>
          <w:rFonts w:ascii="Courier New" w:hAnsi="Courier New" w:cs="Courier New"/>
        </w:rPr>
        <w:t>)</w:t>
      </w:r>
      <w:r w:rsidR="003404E1">
        <w:rPr>
          <w:rFonts w:ascii="Courier New" w:hAnsi="Courier New" w:cs="Courier New"/>
        </w:rPr>
        <w:t xml:space="preserve"> and maintain an electronic or hard copy of the file. This new requirement replaces the current requirement </w:t>
      </w:r>
      <w:r w:rsidR="00B22B81" w:rsidRPr="00271C1A">
        <w:rPr>
          <w:rFonts w:ascii="Courier New" w:hAnsi="Courier New" w:cs="Courier New"/>
        </w:rPr>
        <w:t xml:space="preserve">to maintain records of these data elements in any format selected by </w:t>
      </w:r>
      <w:r w:rsidR="00B22B81" w:rsidRPr="003404E1">
        <w:rPr>
          <w:rFonts w:ascii="Courier New" w:hAnsi="Courier New" w:cs="Courier New"/>
        </w:rPr>
        <w:t>reporters</w:t>
      </w:r>
      <w:r w:rsidR="003404E1">
        <w:rPr>
          <w:rFonts w:ascii="Courier New" w:hAnsi="Courier New" w:cs="Courier New"/>
        </w:rPr>
        <w:t xml:space="preserve">. </w:t>
      </w:r>
      <w:r w:rsidR="00B476E6">
        <w:rPr>
          <w:rFonts w:ascii="Courier New" w:hAnsi="Courier New" w:cs="Courier New"/>
        </w:rPr>
        <w:t xml:space="preserve">As indicated in </w:t>
      </w:r>
      <w:r w:rsidR="003404E1">
        <w:rPr>
          <w:rFonts w:ascii="Courier New" w:hAnsi="Courier New" w:cs="Courier New"/>
        </w:rPr>
        <w:t>section 6</w:t>
      </w:r>
      <w:r w:rsidR="00B476E6">
        <w:rPr>
          <w:rFonts w:ascii="Courier New" w:hAnsi="Courier New" w:cs="Courier New"/>
        </w:rPr>
        <w:t>,</w:t>
      </w:r>
      <w:r w:rsidR="003404E1">
        <w:rPr>
          <w:rFonts w:ascii="Courier New" w:hAnsi="Courier New" w:cs="Courier New"/>
        </w:rPr>
        <w:t xml:space="preserve"> this format change would not result in any change in respondent burden</w:t>
      </w:r>
      <w:r w:rsidR="00DC7822">
        <w:rPr>
          <w:rFonts w:ascii="Courier New" w:hAnsi="Courier New" w:cs="Courier New"/>
        </w:rPr>
        <w:t xml:space="preserve"> to record these data</w:t>
      </w:r>
      <w:r w:rsidR="003404E1">
        <w:rPr>
          <w:rFonts w:ascii="Courier New" w:hAnsi="Courier New" w:cs="Courier New"/>
        </w:rPr>
        <w:t>, as compared to the burden for recording these data elements</w:t>
      </w:r>
      <w:r w:rsidR="00DC7822">
        <w:rPr>
          <w:rFonts w:ascii="Courier New" w:hAnsi="Courier New" w:cs="Courier New"/>
        </w:rPr>
        <w:t xml:space="preserve"> included in the </w:t>
      </w:r>
      <w:r w:rsidR="003404E1" w:rsidRPr="003404E1">
        <w:rPr>
          <w:rFonts w:ascii="Courier New" w:hAnsi="Courier New" w:cs="Courier New"/>
        </w:rPr>
        <w:t xml:space="preserve">information collection request </w:t>
      </w:r>
      <w:r w:rsidR="00DC7822">
        <w:rPr>
          <w:rFonts w:ascii="Courier New" w:hAnsi="Courier New" w:cs="Courier New"/>
        </w:rPr>
        <w:t xml:space="preserve">previously </w:t>
      </w:r>
      <w:r w:rsidR="003404E1" w:rsidRPr="003404E1">
        <w:rPr>
          <w:rFonts w:ascii="Courier New" w:hAnsi="Courier New" w:cs="Courier New"/>
        </w:rPr>
        <w:t>approved by OMB.</w:t>
      </w:r>
    </w:p>
    <w:p w:rsidR="00977879" w:rsidRDefault="00977879" w:rsidP="006B1DEE">
      <w:pPr>
        <w:pStyle w:val="Heading1"/>
        <w:spacing w:line="360" w:lineRule="auto"/>
        <w:rPr>
          <w:rFonts w:ascii="Courier New" w:hAnsi="Courier New"/>
        </w:rPr>
      </w:pPr>
      <w:bookmarkStart w:id="22" w:name="_Toc336985086"/>
    </w:p>
    <w:p w:rsidR="008A715C" w:rsidRPr="00EA6F91" w:rsidRDefault="008A715C" w:rsidP="006B1DEE">
      <w:pPr>
        <w:pStyle w:val="Heading1"/>
        <w:spacing w:line="360" w:lineRule="auto"/>
        <w:rPr>
          <w:rFonts w:ascii="Courier New" w:hAnsi="Courier New" w:cs="Courier New"/>
        </w:rPr>
      </w:pPr>
      <w:r w:rsidRPr="00EA6F91">
        <w:rPr>
          <w:rFonts w:ascii="Courier New" w:hAnsi="Courier New" w:cs="Courier New"/>
        </w:rPr>
        <w:t>5.</w:t>
      </w:r>
      <w:r w:rsidRPr="00EA6F91">
        <w:rPr>
          <w:rFonts w:ascii="Courier New" w:hAnsi="Courier New" w:cs="Courier New"/>
        </w:rPr>
        <w:tab/>
        <w:t>THE INFORMATION COLLECTED – AGENCY ACTIVITIES, COLLECTION METHOD</w:t>
      </w:r>
      <w:r w:rsidR="0046780F" w:rsidRPr="00EA6F91">
        <w:rPr>
          <w:rFonts w:ascii="Courier New" w:hAnsi="Courier New" w:cs="Courier New"/>
        </w:rPr>
        <w:t>S</w:t>
      </w:r>
      <w:r w:rsidRPr="00EA6F91">
        <w:rPr>
          <w:rFonts w:ascii="Courier New" w:hAnsi="Courier New" w:cs="Courier New"/>
        </w:rPr>
        <w:t>, AND INFORMATION MANAGEMENT</w:t>
      </w:r>
      <w:bookmarkEnd w:id="22"/>
    </w:p>
    <w:p w:rsidR="006B1DEE" w:rsidRDefault="006B1DEE" w:rsidP="006B1DEE">
      <w:pPr>
        <w:pStyle w:val="Heading2"/>
        <w:spacing w:line="360" w:lineRule="auto"/>
        <w:ind w:firstLine="0"/>
        <w:rPr>
          <w:rFonts w:ascii="Courier New" w:hAnsi="Courier New" w:cs="Courier New"/>
        </w:rPr>
      </w:pPr>
      <w:bookmarkStart w:id="23" w:name="_Toc336985087"/>
    </w:p>
    <w:p w:rsidR="008A715C" w:rsidRPr="00EA6F91" w:rsidRDefault="0046780F" w:rsidP="006B1DEE">
      <w:pPr>
        <w:pStyle w:val="Heading2"/>
        <w:spacing w:line="360" w:lineRule="auto"/>
        <w:ind w:firstLine="0"/>
        <w:rPr>
          <w:rFonts w:ascii="Courier New" w:hAnsi="Courier New" w:cs="Courier New"/>
        </w:rPr>
      </w:pPr>
      <w:r w:rsidRPr="00EA6F91">
        <w:rPr>
          <w:rFonts w:ascii="Courier New" w:hAnsi="Courier New" w:cs="Courier New"/>
        </w:rPr>
        <w:t xml:space="preserve">5(a) </w:t>
      </w:r>
      <w:r w:rsidR="008A715C" w:rsidRPr="00EA6F91">
        <w:rPr>
          <w:rFonts w:ascii="Courier New" w:hAnsi="Courier New" w:cs="Courier New"/>
        </w:rPr>
        <w:t>Agency Activities</w:t>
      </w:r>
      <w:bookmarkEnd w:id="23"/>
    </w:p>
    <w:p w:rsidR="007A5250" w:rsidRPr="00AB09B1" w:rsidRDefault="00CA763D" w:rsidP="006B1DEE">
      <w:pPr>
        <w:spacing w:line="360" w:lineRule="auto"/>
        <w:ind w:firstLine="720"/>
        <w:rPr>
          <w:rFonts w:ascii="Courier New" w:hAnsi="Courier New" w:cs="Courier New"/>
        </w:rPr>
      </w:pPr>
      <w:r w:rsidRPr="00AB09B1">
        <w:rPr>
          <w:rFonts w:ascii="Courier New" w:hAnsi="Courier New" w:cs="Courier New"/>
        </w:rPr>
        <w:t xml:space="preserve">EPA Headquarters </w:t>
      </w:r>
      <w:r w:rsidR="00BE58BB" w:rsidRPr="00AB09B1">
        <w:rPr>
          <w:rFonts w:ascii="Courier New" w:hAnsi="Courier New" w:cs="Courier New"/>
        </w:rPr>
        <w:t xml:space="preserve">activities include </w:t>
      </w:r>
      <w:r w:rsidR="00E00084" w:rsidRPr="00AB09B1">
        <w:rPr>
          <w:rFonts w:ascii="Courier New" w:hAnsi="Courier New" w:cs="Courier New"/>
        </w:rPr>
        <w:t xml:space="preserve">the </w:t>
      </w:r>
      <w:r w:rsidR="00BE58BB" w:rsidRPr="00AB09B1">
        <w:rPr>
          <w:rFonts w:ascii="Courier New" w:hAnsi="Courier New" w:cs="Courier New"/>
        </w:rPr>
        <w:t>monitoring and verification of emission reports, database and software maintenance, communication and outreach, and program evaluation.</w:t>
      </w:r>
    </w:p>
    <w:p w:rsidR="00ED3764" w:rsidRPr="00AB09B1" w:rsidRDefault="00ED3764" w:rsidP="00AB09B1">
      <w:pPr>
        <w:spacing w:line="360" w:lineRule="auto"/>
        <w:ind w:firstLine="720"/>
        <w:rPr>
          <w:rFonts w:ascii="Courier New" w:hAnsi="Courier New" w:cs="Courier New"/>
        </w:rPr>
      </w:pPr>
      <w:r w:rsidRPr="00AB09B1">
        <w:rPr>
          <w:rFonts w:ascii="Courier New" w:hAnsi="Courier New" w:cs="Courier New"/>
        </w:rPr>
        <w:t>This ICR reflects an incremental agency burden for program operation activities, which include monitoring and v</w:t>
      </w:r>
      <w:r w:rsidR="007627DD" w:rsidRPr="00AB09B1">
        <w:rPr>
          <w:rFonts w:ascii="Courier New" w:hAnsi="Courier New" w:cs="Courier New"/>
        </w:rPr>
        <w:t xml:space="preserve">erification of emission reports. Specifically, the additional </w:t>
      </w:r>
      <w:r w:rsidR="000F0FA9" w:rsidRPr="00AB09B1">
        <w:rPr>
          <w:rFonts w:ascii="Courier New" w:hAnsi="Courier New" w:cs="Courier New"/>
        </w:rPr>
        <w:t>burden for the review of new data elements for 10 subparts was</w:t>
      </w:r>
      <w:r w:rsidR="007627DD" w:rsidRPr="00AB09B1">
        <w:rPr>
          <w:rFonts w:ascii="Courier New" w:hAnsi="Courier New" w:cs="Courier New"/>
        </w:rPr>
        <w:t xml:space="preserve"> estimated. </w:t>
      </w:r>
    </w:p>
    <w:p w:rsidR="006B1DEE" w:rsidRDefault="006B1DEE" w:rsidP="006B1DEE">
      <w:pPr>
        <w:pStyle w:val="Heading2"/>
        <w:spacing w:line="360" w:lineRule="auto"/>
        <w:ind w:firstLine="0"/>
        <w:rPr>
          <w:rFonts w:ascii="Courier New" w:hAnsi="Courier New" w:cs="Courier New"/>
        </w:rPr>
      </w:pPr>
      <w:bookmarkStart w:id="24" w:name="_Toc336985088"/>
    </w:p>
    <w:p w:rsidR="008A715C" w:rsidRPr="00EA6F91" w:rsidRDefault="008A715C" w:rsidP="006B1DEE">
      <w:pPr>
        <w:pStyle w:val="Heading2"/>
        <w:spacing w:line="360" w:lineRule="auto"/>
        <w:ind w:firstLine="0"/>
        <w:rPr>
          <w:rFonts w:ascii="Courier New" w:hAnsi="Courier New" w:cs="Courier New"/>
        </w:rPr>
      </w:pPr>
      <w:r w:rsidRPr="00EA6F91">
        <w:rPr>
          <w:rFonts w:ascii="Courier New" w:hAnsi="Courier New" w:cs="Courier New"/>
        </w:rPr>
        <w:t>5</w:t>
      </w:r>
      <w:r w:rsidR="0046780F" w:rsidRPr="00EA6F91">
        <w:rPr>
          <w:rFonts w:ascii="Courier New" w:hAnsi="Courier New" w:cs="Courier New"/>
        </w:rPr>
        <w:t xml:space="preserve">(b) </w:t>
      </w:r>
      <w:r w:rsidRPr="00EA6F91">
        <w:rPr>
          <w:rFonts w:ascii="Courier New" w:hAnsi="Courier New" w:cs="Courier New"/>
        </w:rPr>
        <w:t>Collection Methodology and Management</w:t>
      </w:r>
      <w:bookmarkEnd w:id="24"/>
    </w:p>
    <w:p w:rsidR="00E33DDB" w:rsidRDefault="001411FA" w:rsidP="001D1903">
      <w:pPr>
        <w:spacing w:line="360" w:lineRule="auto"/>
        <w:ind w:firstLine="720"/>
        <w:rPr>
          <w:rFonts w:ascii="Courier New" w:eastAsia="Calibri" w:hAnsi="Courier New" w:cs="Courier New"/>
          <w:bCs/>
        </w:rPr>
      </w:pPr>
      <w:r w:rsidRPr="00AB09B1">
        <w:rPr>
          <w:rFonts w:ascii="Courier New" w:eastAsia="Calibri" w:hAnsi="Courier New" w:cs="Courier New"/>
          <w:bCs/>
        </w:rPr>
        <w:t xml:space="preserve">To collect data </w:t>
      </w:r>
      <w:r w:rsidR="00D30627">
        <w:rPr>
          <w:rFonts w:ascii="Courier New" w:eastAsia="Calibri" w:hAnsi="Courier New" w:cs="Courier New"/>
          <w:bCs/>
        </w:rPr>
        <w:t xml:space="preserve">currently </w:t>
      </w:r>
      <w:r w:rsidRPr="00AB09B1">
        <w:rPr>
          <w:rFonts w:ascii="Courier New" w:eastAsia="Calibri" w:hAnsi="Courier New" w:cs="Courier New"/>
          <w:bCs/>
        </w:rPr>
        <w:t xml:space="preserve">reported under the GHGRP, </w:t>
      </w:r>
      <w:r w:rsidR="00BB1633" w:rsidRPr="00AB09B1">
        <w:rPr>
          <w:rFonts w:ascii="Courier New" w:eastAsia="Calibri" w:hAnsi="Courier New" w:cs="Courier New"/>
          <w:bCs/>
        </w:rPr>
        <w:t xml:space="preserve">EPA </w:t>
      </w:r>
      <w:r w:rsidR="00D30627">
        <w:rPr>
          <w:rFonts w:ascii="Courier New" w:eastAsia="Calibri" w:hAnsi="Courier New" w:cs="Courier New"/>
          <w:bCs/>
        </w:rPr>
        <w:t xml:space="preserve">previously </w:t>
      </w:r>
      <w:r w:rsidR="00BB1633" w:rsidRPr="00AB09B1">
        <w:rPr>
          <w:rFonts w:ascii="Courier New" w:eastAsia="Calibri" w:hAnsi="Courier New" w:cs="Courier New"/>
          <w:bCs/>
        </w:rPr>
        <w:t>establish</w:t>
      </w:r>
      <w:r w:rsidR="00E33DDB" w:rsidRPr="00AB09B1">
        <w:rPr>
          <w:rFonts w:ascii="Courier New" w:eastAsia="Calibri" w:hAnsi="Courier New" w:cs="Courier New"/>
          <w:bCs/>
        </w:rPr>
        <w:t>ed</w:t>
      </w:r>
      <w:r w:rsidR="00BB1633" w:rsidRPr="00AB09B1">
        <w:rPr>
          <w:rFonts w:ascii="Courier New" w:eastAsia="Calibri" w:hAnsi="Courier New" w:cs="Courier New"/>
          <w:bCs/>
        </w:rPr>
        <w:t xml:space="preserve"> a central repository of inventory data for all respondents</w:t>
      </w:r>
      <w:r w:rsidR="00E33DDB" w:rsidRPr="00AB09B1">
        <w:rPr>
          <w:rFonts w:ascii="Courier New" w:eastAsia="Calibri" w:hAnsi="Courier New" w:cs="Courier New"/>
          <w:bCs/>
        </w:rPr>
        <w:t xml:space="preserve">, e-GGRT. </w:t>
      </w:r>
      <w:r w:rsidR="007C3783" w:rsidRPr="00AB09B1">
        <w:rPr>
          <w:rFonts w:ascii="Courier New" w:eastAsia="Calibri" w:hAnsi="Courier New" w:cs="Courier New"/>
          <w:bCs/>
        </w:rPr>
        <w:t>Respondents report da</w:t>
      </w:r>
      <w:r w:rsidR="001F26AD" w:rsidRPr="00AB09B1">
        <w:rPr>
          <w:rFonts w:ascii="Courier New" w:eastAsia="Calibri" w:hAnsi="Courier New" w:cs="Courier New"/>
          <w:bCs/>
        </w:rPr>
        <w:t xml:space="preserve">ta electronically, and EPA </w:t>
      </w:r>
      <w:r w:rsidR="007C3783" w:rsidRPr="00AB09B1">
        <w:rPr>
          <w:rFonts w:ascii="Courier New" w:eastAsia="Calibri" w:hAnsi="Courier New" w:cs="Courier New"/>
          <w:bCs/>
        </w:rPr>
        <w:t>store</w:t>
      </w:r>
      <w:r w:rsidR="00F13598" w:rsidRPr="00AB09B1">
        <w:rPr>
          <w:rFonts w:ascii="Courier New" w:eastAsia="Calibri" w:hAnsi="Courier New" w:cs="Courier New"/>
          <w:bCs/>
        </w:rPr>
        <w:t>s</w:t>
      </w:r>
      <w:r w:rsidR="007C3783" w:rsidRPr="00AB09B1">
        <w:rPr>
          <w:rFonts w:ascii="Courier New" w:eastAsia="Calibri" w:hAnsi="Courier New" w:cs="Courier New"/>
          <w:bCs/>
        </w:rPr>
        <w:t xml:space="preserve"> the data in the database. </w:t>
      </w:r>
      <w:r w:rsidR="001D1903">
        <w:rPr>
          <w:rFonts w:ascii="Courier New" w:eastAsia="Calibri" w:hAnsi="Courier New" w:cs="Courier New"/>
          <w:bCs/>
        </w:rPr>
        <w:t>The e-GGRT</w:t>
      </w:r>
      <w:r w:rsidR="00E33DDB" w:rsidRPr="00AB09B1">
        <w:rPr>
          <w:rFonts w:ascii="Courier New" w:eastAsia="Calibri" w:hAnsi="Courier New" w:cs="Courier New"/>
          <w:bCs/>
        </w:rPr>
        <w:t xml:space="preserve"> </w:t>
      </w:r>
      <w:r w:rsidR="001D1903">
        <w:rPr>
          <w:rFonts w:ascii="Courier New" w:eastAsia="Calibri" w:hAnsi="Courier New" w:cs="Courier New"/>
          <w:bCs/>
        </w:rPr>
        <w:t xml:space="preserve">system </w:t>
      </w:r>
      <w:r w:rsidR="00E00084" w:rsidRPr="00AB09B1">
        <w:rPr>
          <w:rFonts w:ascii="Courier New" w:eastAsia="Calibri" w:hAnsi="Courier New" w:cs="Courier New"/>
          <w:bCs/>
        </w:rPr>
        <w:t>has</w:t>
      </w:r>
      <w:r w:rsidR="001F26AD" w:rsidRPr="00AB09B1">
        <w:rPr>
          <w:rFonts w:ascii="Courier New" w:eastAsia="Calibri" w:hAnsi="Courier New" w:cs="Courier New"/>
          <w:bCs/>
        </w:rPr>
        <w:t xml:space="preserve"> an XML reporting schema that </w:t>
      </w:r>
      <w:r w:rsidR="00E33DDB" w:rsidRPr="00AB09B1">
        <w:rPr>
          <w:rFonts w:ascii="Courier New" w:eastAsia="Calibri" w:hAnsi="Courier New" w:cs="Courier New"/>
          <w:bCs/>
        </w:rPr>
        <w:t>allow</w:t>
      </w:r>
      <w:r w:rsidR="001F26AD" w:rsidRPr="00AB09B1">
        <w:rPr>
          <w:rFonts w:ascii="Courier New" w:eastAsia="Calibri" w:hAnsi="Courier New" w:cs="Courier New"/>
          <w:bCs/>
        </w:rPr>
        <w:t>s</w:t>
      </w:r>
      <w:r w:rsidR="00E33DDB" w:rsidRPr="00AB09B1">
        <w:rPr>
          <w:rFonts w:ascii="Courier New" w:eastAsia="Calibri" w:hAnsi="Courier New" w:cs="Courier New"/>
          <w:bCs/>
        </w:rPr>
        <w:t xml:space="preserve"> facilities to upload GHG data directly in lieu of using the web fo</w:t>
      </w:r>
      <w:r w:rsidR="007C3783" w:rsidRPr="00AB09B1">
        <w:rPr>
          <w:rFonts w:ascii="Courier New" w:eastAsia="Calibri" w:hAnsi="Courier New" w:cs="Courier New"/>
          <w:bCs/>
        </w:rPr>
        <w:t>rms provided through e-GGRT.</w:t>
      </w:r>
      <w:r w:rsidR="00E33DDB" w:rsidRPr="00AB09B1">
        <w:rPr>
          <w:rFonts w:ascii="Courier New" w:eastAsia="Calibri" w:hAnsi="Courier New" w:cs="Courier New"/>
          <w:bCs/>
        </w:rPr>
        <w:t xml:space="preserve"> </w:t>
      </w:r>
      <w:r w:rsidRPr="00AB09B1">
        <w:rPr>
          <w:rFonts w:ascii="Courier New" w:eastAsia="Calibri" w:hAnsi="Courier New" w:cs="Courier New"/>
          <w:bCs/>
        </w:rPr>
        <w:t xml:space="preserve">Under the proposed revisions to </w:t>
      </w:r>
      <w:r w:rsidR="0075149E">
        <w:rPr>
          <w:rFonts w:ascii="Courier New" w:eastAsia="Calibri" w:hAnsi="Courier New" w:cs="Courier New"/>
          <w:bCs/>
        </w:rPr>
        <w:t>P</w:t>
      </w:r>
      <w:r w:rsidRPr="00AB09B1">
        <w:rPr>
          <w:rFonts w:ascii="Courier New" w:eastAsia="Calibri" w:hAnsi="Courier New" w:cs="Courier New"/>
          <w:bCs/>
        </w:rPr>
        <w:t xml:space="preserve">art 98, </w:t>
      </w:r>
      <w:r w:rsidR="007627DD" w:rsidRPr="00AB09B1">
        <w:rPr>
          <w:rFonts w:ascii="Courier New" w:eastAsia="Calibri" w:hAnsi="Courier New" w:cs="Courier New"/>
          <w:bCs/>
        </w:rPr>
        <w:t xml:space="preserve">facilities </w:t>
      </w:r>
      <w:r w:rsidRPr="00AB09B1">
        <w:rPr>
          <w:rFonts w:ascii="Courier New" w:eastAsia="Calibri" w:hAnsi="Courier New" w:cs="Courier New"/>
          <w:bCs/>
        </w:rPr>
        <w:t>subject</w:t>
      </w:r>
      <w:r w:rsidR="007627DD" w:rsidRPr="00AB09B1">
        <w:rPr>
          <w:rFonts w:ascii="Courier New" w:eastAsia="Calibri" w:hAnsi="Courier New" w:cs="Courier New"/>
          <w:bCs/>
        </w:rPr>
        <w:t xml:space="preserve"> to the subparts listed in section 4(a) </w:t>
      </w:r>
      <w:r w:rsidR="002647E3" w:rsidRPr="00AB09B1">
        <w:rPr>
          <w:rFonts w:ascii="Courier New" w:eastAsia="Calibri" w:hAnsi="Courier New" w:cs="Courier New"/>
          <w:bCs/>
        </w:rPr>
        <w:t xml:space="preserve">would </w:t>
      </w:r>
      <w:r w:rsidR="001D1903">
        <w:rPr>
          <w:rFonts w:ascii="Courier New" w:eastAsia="Calibri" w:hAnsi="Courier New" w:cs="Courier New"/>
          <w:bCs/>
        </w:rPr>
        <w:t xml:space="preserve">report the proposed new data elements via e-GGRT. Additionally, for verification purposes, they would </w:t>
      </w:r>
      <w:r w:rsidR="002647E3" w:rsidRPr="00AB09B1">
        <w:rPr>
          <w:rFonts w:ascii="Courier New" w:eastAsia="Calibri" w:hAnsi="Courier New" w:cs="Courier New"/>
          <w:bCs/>
        </w:rPr>
        <w:t xml:space="preserve">enter </w:t>
      </w:r>
      <w:r w:rsidR="007627DD" w:rsidRPr="00AB09B1">
        <w:rPr>
          <w:rFonts w:ascii="Courier New" w:eastAsia="Calibri" w:hAnsi="Courier New" w:cs="Courier New"/>
          <w:bCs/>
        </w:rPr>
        <w:t xml:space="preserve">their </w:t>
      </w:r>
      <w:r w:rsidR="002647E3" w:rsidRPr="00AB09B1">
        <w:rPr>
          <w:rFonts w:ascii="Courier New" w:eastAsia="Calibri" w:hAnsi="Courier New" w:cs="Courier New"/>
          <w:bCs/>
        </w:rPr>
        <w:t xml:space="preserve">“inputs to equations” </w:t>
      </w:r>
      <w:r w:rsidR="007627DD" w:rsidRPr="00AB09B1">
        <w:rPr>
          <w:rFonts w:ascii="Courier New" w:eastAsia="Calibri" w:hAnsi="Courier New" w:cs="Courier New"/>
          <w:bCs/>
        </w:rPr>
        <w:t xml:space="preserve">data </w:t>
      </w:r>
      <w:r w:rsidR="002647E3" w:rsidRPr="00AB09B1">
        <w:rPr>
          <w:rFonts w:ascii="Courier New" w:eastAsia="Calibri" w:hAnsi="Courier New" w:cs="Courier New"/>
          <w:bCs/>
        </w:rPr>
        <w:t xml:space="preserve">elements into </w:t>
      </w:r>
      <w:r w:rsidR="00A21707">
        <w:rPr>
          <w:rFonts w:ascii="Courier New" w:eastAsia="Calibri" w:hAnsi="Courier New" w:cs="Courier New"/>
          <w:bCs/>
        </w:rPr>
        <w:t>a proposed new</w:t>
      </w:r>
      <w:r w:rsidR="007627DD" w:rsidRPr="00AB09B1">
        <w:rPr>
          <w:rFonts w:ascii="Courier New" w:eastAsia="Calibri" w:hAnsi="Courier New" w:cs="Courier New"/>
          <w:bCs/>
        </w:rPr>
        <w:t xml:space="preserve"> </w:t>
      </w:r>
      <w:r w:rsidR="001D1903">
        <w:rPr>
          <w:rFonts w:ascii="Courier New" w:eastAsia="Calibri" w:hAnsi="Courier New" w:cs="Courier New"/>
          <w:bCs/>
        </w:rPr>
        <w:t xml:space="preserve">inputs </w:t>
      </w:r>
      <w:r w:rsidR="007627DD" w:rsidRPr="00AB09B1">
        <w:rPr>
          <w:rFonts w:ascii="Courier New" w:eastAsia="Calibri" w:hAnsi="Courier New" w:cs="Courier New"/>
          <w:bCs/>
        </w:rPr>
        <w:t>verification tool</w:t>
      </w:r>
      <w:r w:rsidR="001D1903">
        <w:rPr>
          <w:rFonts w:ascii="Courier New" w:eastAsia="Calibri" w:hAnsi="Courier New" w:cs="Courier New"/>
          <w:bCs/>
        </w:rPr>
        <w:t xml:space="preserve"> embedded within e-GGRT</w:t>
      </w:r>
      <w:r w:rsidR="00C1464A" w:rsidRPr="00AB09B1">
        <w:rPr>
          <w:rFonts w:ascii="Courier New" w:eastAsia="Calibri" w:hAnsi="Courier New" w:cs="Courier New"/>
          <w:bCs/>
        </w:rPr>
        <w:t xml:space="preserve">, </w:t>
      </w:r>
      <w:r w:rsidR="001D1903">
        <w:rPr>
          <w:rFonts w:ascii="Courier New" w:eastAsia="Calibri" w:hAnsi="Courier New" w:cs="Courier New"/>
          <w:bCs/>
        </w:rPr>
        <w:t>without reporting these data</w:t>
      </w:r>
      <w:r w:rsidR="007627DD" w:rsidRPr="00AB09B1">
        <w:rPr>
          <w:rFonts w:ascii="Courier New" w:eastAsia="Calibri" w:hAnsi="Courier New" w:cs="Courier New"/>
          <w:bCs/>
        </w:rPr>
        <w:t>.</w:t>
      </w:r>
    </w:p>
    <w:p w:rsidR="00A21707" w:rsidRPr="00A21707" w:rsidRDefault="00A21707" w:rsidP="00A21707">
      <w:pPr>
        <w:spacing w:line="360" w:lineRule="auto"/>
        <w:ind w:firstLine="720"/>
        <w:rPr>
          <w:rFonts w:ascii="Courier New" w:eastAsia="Calibri" w:hAnsi="Courier New" w:cs="Courier New"/>
          <w:bCs/>
        </w:rPr>
      </w:pPr>
      <w:r w:rsidRPr="00A21707">
        <w:rPr>
          <w:rFonts w:ascii="Courier New" w:hAnsi="Courier New"/>
        </w:rPr>
        <w:t xml:space="preserve">The inputs verification tool would be deployed within e-GGRT and would be integrated without interrupting the current electronic reporting process. Reporters would enter </w:t>
      </w:r>
      <w:r w:rsidR="00152499">
        <w:rPr>
          <w:rFonts w:ascii="Courier New" w:hAnsi="Courier New" w:cs="Courier New"/>
        </w:rPr>
        <w:t>“inputs to equations” data elements</w:t>
      </w:r>
      <w:r w:rsidRPr="00A21707">
        <w:rPr>
          <w:rFonts w:ascii="Courier New" w:hAnsi="Courier New"/>
        </w:rPr>
        <w:t xml:space="preserve"> </w:t>
      </w:r>
      <w:r>
        <w:rPr>
          <w:rFonts w:ascii="Courier New" w:hAnsi="Courier New"/>
        </w:rPr>
        <w:t>(</w:t>
      </w:r>
      <w:r w:rsidRPr="00A21707">
        <w:rPr>
          <w:rFonts w:ascii="Courier New" w:hAnsi="Courier New"/>
        </w:rPr>
        <w:t>that EPA is proposing to remove from the reporting requirements</w:t>
      </w:r>
      <w:r>
        <w:rPr>
          <w:rFonts w:ascii="Courier New" w:hAnsi="Courier New"/>
        </w:rPr>
        <w:t>)</w:t>
      </w:r>
      <w:r w:rsidRPr="00A21707">
        <w:rPr>
          <w:rFonts w:ascii="Courier New" w:hAnsi="Courier New"/>
        </w:rPr>
        <w:t xml:space="preserve"> into e-GGRT along with the data required to be reported in the annual report. The tool would use the</w:t>
      </w:r>
      <w:r>
        <w:rPr>
          <w:rFonts w:ascii="Courier New" w:hAnsi="Courier New"/>
        </w:rPr>
        <w:t>se</w:t>
      </w:r>
      <w:r w:rsidRPr="00A21707">
        <w:rPr>
          <w:rFonts w:ascii="Courier New" w:hAnsi="Courier New"/>
        </w:rPr>
        <w:t xml:space="preserve"> entered inputs to </w:t>
      </w:r>
      <w:r>
        <w:rPr>
          <w:rFonts w:ascii="Courier New" w:hAnsi="Courier New"/>
        </w:rPr>
        <w:t xml:space="preserve">emission </w:t>
      </w:r>
      <w:r w:rsidRPr="00A21707">
        <w:rPr>
          <w:rFonts w:ascii="Courier New" w:hAnsi="Courier New"/>
        </w:rPr>
        <w:t xml:space="preserve">equations data elements to calculate the equation outputs, conduct electronic verification checks on the data elements, and generate a verification summary. The tool would not retain the entered </w:t>
      </w:r>
      <w:r w:rsidR="00152499">
        <w:rPr>
          <w:rFonts w:ascii="Courier New" w:hAnsi="Courier New" w:cs="Courier New"/>
        </w:rPr>
        <w:t>“inputs to equations” data elements</w:t>
      </w:r>
      <w:r w:rsidRPr="00A21707">
        <w:rPr>
          <w:rFonts w:ascii="Courier New" w:hAnsi="Courier New"/>
        </w:rPr>
        <w:t xml:space="preserve"> for which the EPA is proposing that the reporting requirement be removed. Accordingly, the EPA would not have access to these </w:t>
      </w:r>
      <w:r w:rsidR="00152499">
        <w:rPr>
          <w:rFonts w:ascii="Courier New" w:hAnsi="Courier New" w:cs="Courier New"/>
        </w:rPr>
        <w:t>“inputs to equations” data elements</w:t>
      </w:r>
      <w:r w:rsidRPr="00A21707">
        <w:rPr>
          <w:rFonts w:ascii="Courier New" w:hAnsi="Courier New"/>
        </w:rPr>
        <w:t>. Instead, the EPA would rely on the verification summary, which would become accessible to the EPA when annual reports are submitted, as a first step for conducting verification once the annual report is submitted.</w:t>
      </w:r>
    </w:p>
    <w:p w:rsidR="00E33DDB" w:rsidRPr="00AB09B1" w:rsidRDefault="00E33DDB" w:rsidP="00AB09B1">
      <w:pPr>
        <w:spacing w:line="360" w:lineRule="auto"/>
        <w:ind w:firstLine="720"/>
        <w:rPr>
          <w:rFonts w:ascii="Courier New" w:eastAsia="Calibri" w:hAnsi="Courier New" w:cs="Courier New"/>
          <w:bCs/>
        </w:rPr>
      </w:pPr>
      <w:r w:rsidRPr="00AB09B1">
        <w:rPr>
          <w:rFonts w:ascii="Courier New" w:eastAsia="Calibri" w:hAnsi="Courier New" w:cs="Courier New"/>
          <w:bCs/>
        </w:rPr>
        <w:lastRenderedPageBreak/>
        <w:t xml:space="preserve">The new </w:t>
      </w:r>
      <w:r w:rsidR="001D1903">
        <w:rPr>
          <w:rFonts w:ascii="Courier New" w:eastAsia="Calibri" w:hAnsi="Courier New" w:cs="Courier New"/>
          <w:bCs/>
        </w:rPr>
        <w:t xml:space="preserve">inputs verification </w:t>
      </w:r>
      <w:r w:rsidR="00062408">
        <w:rPr>
          <w:rFonts w:ascii="Courier New" w:eastAsia="Calibri" w:hAnsi="Courier New" w:cs="Courier New"/>
          <w:bCs/>
        </w:rPr>
        <w:t>tool</w:t>
      </w:r>
      <w:r w:rsidRPr="00AB09B1">
        <w:rPr>
          <w:rFonts w:ascii="Courier New" w:eastAsia="Calibri" w:hAnsi="Courier New" w:cs="Courier New"/>
          <w:bCs/>
        </w:rPr>
        <w:t xml:space="preserve"> </w:t>
      </w:r>
      <w:r w:rsidR="001D1903">
        <w:rPr>
          <w:rFonts w:ascii="Courier New" w:eastAsia="Calibri" w:hAnsi="Courier New" w:cs="Courier New"/>
          <w:bCs/>
        </w:rPr>
        <w:t xml:space="preserve">within e-GGRT </w:t>
      </w:r>
      <w:r w:rsidRPr="00AB09B1">
        <w:rPr>
          <w:rFonts w:ascii="Courier New" w:eastAsia="Calibri" w:hAnsi="Courier New" w:cs="Courier New"/>
          <w:bCs/>
        </w:rPr>
        <w:t xml:space="preserve">follows Agency standards for design, security, data element and reporting format conformance, and accessibility. EPA </w:t>
      </w:r>
      <w:r w:rsidR="007C3783" w:rsidRPr="00AB09B1">
        <w:rPr>
          <w:rFonts w:ascii="Courier New" w:eastAsia="Calibri" w:hAnsi="Courier New" w:cs="Courier New"/>
          <w:bCs/>
        </w:rPr>
        <w:t xml:space="preserve">designed the </w:t>
      </w:r>
      <w:r w:rsidR="00C87EF0">
        <w:rPr>
          <w:rFonts w:ascii="Courier New" w:eastAsia="Calibri" w:hAnsi="Courier New" w:cs="Courier New"/>
          <w:bCs/>
        </w:rPr>
        <w:t>system</w:t>
      </w:r>
      <w:r w:rsidR="007C3783" w:rsidRPr="00AB09B1">
        <w:rPr>
          <w:rFonts w:ascii="Courier New" w:eastAsia="Calibri" w:hAnsi="Courier New" w:cs="Courier New"/>
          <w:bCs/>
        </w:rPr>
        <w:t xml:space="preserve"> in an</w:t>
      </w:r>
      <w:r w:rsidRPr="00AB09B1">
        <w:rPr>
          <w:rFonts w:ascii="Courier New" w:eastAsia="Calibri" w:hAnsi="Courier New" w:cs="Courier New"/>
          <w:bCs/>
        </w:rPr>
        <w:t xml:space="preserve"> attempt to minimize respondents’ burden by </w:t>
      </w:r>
      <w:r w:rsidR="004D715C">
        <w:rPr>
          <w:rFonts w:ascii="Courier New" w:eastAsia="Calibri" w:hAnsi="Courier New" w:cs="Courier New"/>
          <w:bCs/>
        </w:rPr>
        <w:t>embedding</w:t>
      </w:r>
      <w:r w:rsidRPr="00AB09B1">
        <w:rPr>
          <w:rFonts w:ascii="Courier New" w:eastAsia="Calibri" w:hAnsi="Courier New" w:cs="Courier New"/>
          <w:bCs/>
        </w:rPr>
        <w:t xml:space="preserve"> the new </w:t>
      </w:r>
      <w:r w:rsidR="00C87EF0">
        <w:rPr>
          <w:rFonts w:ascii="Courier New" w:eastAsia="Calibri" w:hAnsi="Courier New" w:cs="Courier New"/>
          <w:bCs/>
        </w:rPr>
        <w:t xml:space="preserve">inputs verification tool </w:t>
      </w:r>
      <w:r w:rsidRPr="00AB09B1">
        <w:rPr>
          <w:rFonts w:ascii="Courier New" w:eastAsia="Calibri" w:hAnsi="Courier New" w:cs="Courier New"/>
          <w:bCs/>
        </w:rPr>
        <w:t>with</w:t>
      </w:r>
      <w:r w:rsidR="00C87EF0">
        <w:rPr>
          <w:rFonts w:ascii="Courier New" w:eastAsia="Calibri" w:hAnsi="Courier New" w:cs="Courier New"/>
          <w:bCs/>
        </w:rPr>
        <w:t>in</w:t>
      </w:r>
      <w:r w:rsidRPr="00AB09B1">
        <w:rPr>
          <w:rFonts w:ascii="Courier New" w:eastAsia="Calibri" w:hAnsi="Courier New" w:cs="Courier New"/>
          <w:bCs/>
        </w:rPr>
        <w:t xml:space="preserve"> </w:t>
      </w:r>
      <w:r w:rsidR="004D715C">
        <w:rPr>
          <w:rFonts w:ascii="Courier New" w:eastAsia="Calibri" w:hAnsi="Courier New" w:cs="Courier New"/>
          <w:bCs/>
        </w:rPr>
        <w:t>e-GGRT</w:t>
      </w:r>
      <w:r w:rsidRPr="00AB09B1">
        <w:rPr>
          <w:rFonts w:ascii="Courier New" w:eastAsia="Calibri" w:hAnsi="Courier New" w:cs="Courier New"/>
          <w:bCs/>
        </w:rPr>
        <w:t xml:space="preserve">. </w:t>
      </w:r>
    </w:p>
    <w:p w:rsidR="006B1DEE" w:rsidRDefault="006B1DEE" w:rsidP="006B1DEE">
      <w:pPr>
        <w:pStyle w:val="Heading2"/>
        <w:spacing w:line="360" w:lineRule="auto"/>
        <w:rPr>
          <w:rFonts w:ascii="Courier New" w:hAnsi="Courier New" w:cs="Courier New"/>
        </w:rPr>
      </w:pPr>
      <w:bookmarkStart w:id="25" w:name="_Toc336985089"/>
    </w:p>
    <w:p w:rsidR="008A715C" w:rsidRPr="00EA6F91" w:rsidRDefault="0046780F" w:rsidP="006B1DEE">
      <w:pPr>
        <w:pStyle w:val="Heading2"/>
        <w:spacing w:line="360" w:lineRule="auto"/>
        <w:ind w:firstLine="0"/>
        <w:rPr>
          <w:rFonts w:ascii="Courier New" w:hAnsi="Courier New" w:cs="Courier New"/>
        </w:rPr>
      </w:pPr>
      <w:r w:rsidRPr="00EA6F91">
        <w:rPr>
          <w:rFonts w:ascii="Courier New" w:hAnsi="Courier New" w:cs="Courier New"/>
        </w:rPr>
        <w:t xml:space="preserve">5(c) </w:t>
      </w:r>
      <w:r w:rsidR="008A715C" w:rsidRPr="00EA6F91">
        <w:rPr>
          <w:rFonts w:ascii="Courier New" w:hAnsi="Courier New" w:cs="Courier New"/>
        </w:rPr>
        <w:t>Small Entity Flexibility</w:t>
      </w:r>
      <w:bookmarkEnd w:id="25"/>
    </w:p>
    <w:p w:rsidR="00B368FA" w:rsidRDefault="00B368FA" w:rsidP="006064D5">
      <w:pPr>
        <w:spacing w:line="360" w:lineRule="auto"/>
        <w:ind w:firstLine="720"/>
        <w:rPr>
          <w:rFonts w:ascii="Courier New" w:hAnsi="Courier New" w:cs="Courier New"/>
          <w:bCs/>
          <w:color w:val="000000"/>
        </w:rPr>
      </w:pPr>
    </w:p>
    <w:p w:rsidR="002376B7" w:rsidRPr="002376B7" w:rsidRDefault="002376B7" w:rsidP="002376B7">
      <w:pPr>
        <w:spacing w:line="360" w:lineRule="auto"/>
        <w:ind w:firstLine="720"/>
        <w:rPr>
          <w:rFonts w:ascii="Courier New" w:hAnsi="Courier New" w:cs="Courier New"/>
          <w:bCs/>
          <w:color w:val="000000"/>
        </w:rPr>
      </w:pPr>
      <w:r w:rsidRPr="002376B7">
        <w:rPr>
          <w:rFonts w:ascii="Courier New" w:hAnsi="Courier New" w:cs="Courier New"/>
          <w:bCs/>
          <w:color w:val="000000"/>
        </w:rPr>
        <w:t xml:space="preserve">This information collection </w:t>
      </w:r>
      <w:r w:rsidRPr="002376B7">
        <w:rPr>
          <w:rFonts w:ascii="Courier New" w:hAnsi="Courier New"/>
        </w:rPr>
        <w:t>will not have a significant economic impact on a substantial number of small entities.</w:t>
      </w:r>
      <w:r w:rsidR="006064D5" w:rsidRPr="006064D5">
        <w:rPr>
          <w:rFonts w:ascii="Courier New" w:hAnsi="Courier New" w:cs="Courier New"/>
        </w:rPr>
        <w:t xml:space="preserve"> </w:t>
      </w:r>
      <w:r w:rsidR="006064D5">
        <w:rPr>
          <w:rFonts w:ascii="Courier New" w:hAnsi="Courier New" w:cs="Courier New"/>
        </w:rPr>
        <w:t xml:space="preserve">Nonetheless, </w:t>
      </w:r>
      <w:r w:rsidR="006064D5" w:rsidRPr="006064D5">
        <w:rPr>
          <w:rFonts w:ascii="Courier New" w:hAnsi="Courier New" w:cs="Courier New"/>
        </w:rPr>
        <w:t xml:space="preserve">EPA has tried to reduce the impact of this </w:t>
      </w:r>
      <w:r w:rsidR="00D82A8D">
        <w:rPr>
          <w:rFonts w:ascii="Courier New" w:hAnsi="Courier New" w:cs="Courier New"/>
        </w:rPr>
        <w:t xml:space="preserve">information collection </w:t>
      </w:r>
      <w:r w:rsidR="006064D5" w:rsidRPr="006064D5">
        <w:rPr>
          <w:rFonts w:ascii="Courier New" w:hAnsi="Courier New" w:cs="Courier New"/>
        </w:rPr>
        <w:t>on small entities</w:t>
      </w:r>
      <w:r w:rsidR="006064D5" w:rsidRPr="006064D5">
        <w:rPr>
          <w:rFonts w:ascii="Courier New" w:hAnsi="Courier New" w:cs="Courier New"/>
          <w:b/>
        </w:rPr>
        <w:t xml:space="preserve">. </w:t>
      </w:r>
      <w:r w:rsidR="006064D5" w:rsidRPr="006064D5">
        <w:rPr>
          <w:rFonts w:ascii="Courier New" w:hAnsi="Courier New" w:cs="Courier New"/>
        </w:rPr>
        <w:t xml:space="preserve">The EPA supports a “help desk” for the </w:t>
      </w:r>
      <w:r w:rsidR="006064D5">
        <w:rPr>
          <w:rFonts w:ascii="Courier New" w:hAnsi="Courier New" w:cs="Courier New"/>
        </w:rPr>
        <w:t>GHGRP</w:t>
      </w:r>
      <w:r w:rsidR="006064D5" w:rsidRPr="006064D5">
        <w:rPr>
          <w:rFonts w:ascii="Courier New" w:hAnsi="Courier New" w:cs="Courier New"/>
        </w:rPr>
        <w:t>, which would be available to answer questions on the provisions in this rulemaking.</w:t>
      </w:r>
    </w:p>
    <w:p w:rsidR="006B1DEE" w:rsidRDefault="006B1DEE" w:rsidP="006B1DEE">
      <w:pPr>
        <w:pStyle w:val="Heading2"/>
        <w:keepNext/>
        <w:keepLines/>
        <w:spacing w:line="360" w:lineRule="auto"/>
        <w:rPr>
          <w:rFonts w:ascii="Courier New" w:hAnsi="Courier New" w:cs="Courier New"/>
        </w:rPr>
      </w:pPr>
      <w:bookmarkStart w:id="26" w:name="_Toc336985090"/>
    </w:p>
    <w:p w:rsidR="00764258" w:rsidRPr="00EA6F91" w:rsidRDefault="0046780F" w:rsidP="006B1DEE">
      <w:pPr>
        <w:pStyle w:val="Heading2"/>
        <w:keepNext/>
        <w:keepLines/>
        <w:spacing w:line="360" w:lineRule="auto"/>
        <w:ind w:firstLine="0"/>
        <w:rPr>
          <w:rFonts w:ascii="Courier New" w:hAnsi="Courier New" w:cs="Courier New"/>
        </w:rPr>
      </w:pPr>
      <w:r w:rsidRPr="00EA6F91">
        <w:rPr>
          <w:rFonts w:ascii="Courier New" w:hAnsi="Courier New" w:cs="Courier New"/>
        </w:rPr>
        <w:t>5(d) Collection Schedule</w:t>
      </w:r>
      <w:bookmarkEnd w:id="26"/>
    </w:p>
    <w:p w:rsidR="005E46F6" w:rsidRPr="00AB09B1" w:rsidRDefault="00CF5ABA" w:rsidP="00CF5ABA">
      <w:pPr>
        <w:spacing w:line="360" w:lineRule="auto"/>
        <w:ind w:firstLine="720"/>
        <w:rPr>
          <w:rFonts w:ascii="Courier New" w:hAnsi="Courier New" w:cs="Courier New"/>
          <w:b/>
        </w:rPr>
      </w:pPr>
      <w:r>
        <w:rPr>
          <w:rFonts w:ascii="Courier New" w:hAnsi="Courier New" w:cs="Courier New"/>
        </w:rPr>
        <w:t xml:space="preserve">All data </w:t>
      </w:r>
      <w:r w:rsidR="0089372A">
        <w:rPr>
          <w:rFonts w:ascii="Courier New" w:hAnsi="Courier New" w:cs="Courier New"/>
        </w:rPr>
        <w:t>elements</w:t>
      </w:r>
      <w:r>
        <w:rPr>
          <w:rFonts w:ascii="Courier New" w:hAnsi="Courier New" w:cs="Courier New"/>
        </w:rPr>
        <w:t xml:space="preserve"> under this information collection would be submitted on an annual basis as part of the respondent’s annual report required under Part 98. </w:t>
      </w:r>
    </w:p>
    <w:p w:rsidR="006B1DEE" w:rsidRDefault="006B1DEE" w:rsidP="006B1DEE">
      <w:pPr>
        <w:pStyle w:val="Heading1"/>
        <w:spacing w:line="360" w:lineRule="auto"/>
        <w:rPr>
          <w:rFonts w:ascii="Courier New" w:hAnsi="Courier New" w:cs="Courier New"/>
        </w:rPr>
      </w:pPr>
      <w:bookmarkStart w:id="27" w:name="_Toc336985091"/>
    </w:p>
    <w:p w:rsidR="00764258" w:rsidRPr="00EA6F91" w:rsidRDefault="00764258" w:rsidP="006B1DEE">
      <w:pPr>
        <w:pStyle w:val="Heading1"/>
        <w:spacing w:line="360" w:lineRule="auto"/>
        <w:rPr>
          <w:rFonts w:ascii="Courier New" w:hAnsi="Courier New" w:cs="Courier New"/>
        </w:rPr>
      </w:pPr>
      <w:r w:rsidRPr="00EA6F91">
        <w:rPr>
          <w:rFonts w:ascii="Courier New" w:hAnsi="Courier New" w:cs="Courier New"/>
        </w:rPr>
        <w:t>6.</w:t>
      </w:r>
      <w:r w:rsidRPr="00EA6F91">
        <w:rPr>
          <w:rFonts w:ascii="Courier New" w:hAnsi="Courier New" w:cs="Courier New"/>
        </w:rPr>
        <w:tab/>
        <w:t xml:space="preserve">ESTIMATING THE BURDEN AND COST OF </w:t>
      </w:r>
      <w:r w:rsidR="009209AB" w:rsidRPr="00EA6F91">
        <w:rPr>
          <w:rFonts w:ascii="Courier New" w:hAnsi="Courier New" w:cs="Courier New"/>
        </w:rPr>
        <w:t xml:space="preserve">THE </w:t>
      </w:r>
      <w:r w:rsidRPr="00EA6F91">
        <w:rPr>
          <w:rFonts w:ascii="Courier New" w:hAnsi="Courier New" w:cs="Courier New"/>
        </w:rPr>
        <w:t>COLLECTION</w:t>
      </w:r>
      <w:bookmarkEnd w:id="27"/>
    </w:p>
    <w:p w:rsidR="00D34B38" w:rsidRPr="00AB09B1" w:rsidRDefault="00D34B38" w:rsidP="006B1DEE">
      <w:pPr>
        <w:spacing w:line="360" w:lineRule="auto"/>
        <w:ind w:firstLine="720"/>
        <w:rPr>
          <w:rFonts w:ascii="Courier New" w:hAnsi="Courier New" w:cs="Courier New"/>
        </w:rPr>
      </w:pPr>
      <w:r w:rsidRPr="00AB09B1">
        <w:rPr>
          <w:rFonts w:ascii="Courier New" w:hAnsi="Courier New" w:cs="Courier New"/>
        </w:rPr>
        <w:t xml:space="preserve">This section presents EPA’s estimates of the burden and costs to respondents associated with the activities described in </w:t>
      </w:r>
      <w:r w:rsidR="00F477DE" w:rsidRPr="00AB09B1">
        <w:rPr>
          <w:rFonts w:ascii="Courier New" w:hAnsi="Courier New" w:cs="Courier New"/>
        </w:rPr>
        <w:t>section</w:t>
      </w:r>
      <w:r w:rsidRPr="00AB09B1">
        <w:rPr>
          <w:rFonts w:ascii="Courier New" w:hAnsi="Courier New" w:cs="Courier New"/>
        </w:rPr>
        <w:t xml:space="preserve"> 4 as well as the </w:t>
      </w:r>
      <w:r w:rsidR="008250BD" w:rsidRPr="00AB09B1">
        <w:rPr>
          <w:rFonts w:ascii="Courier New" w:hAnsi="Courier New" w:cs="Courier New"/>
        </w:rPr>
        <w:t>federal</w:t>
      </w:r>
      <w:r w:rsidRPr="00AB09B1">
        <w:rPr>
          <w:rFonts w:ascii="Courier New" w:hAnsi="Courier New" w:cs="Courier New"/>
        </w:rPr>
        <w:t xml:space="preserve"> burden hours and costs </w:t>
      </w:r>
      <w:r w:rsidR="009E7A27" w:rsidRPr="00AB09B1">
        <w:rPr>
          <w:rFonts w:ascii="Courier New" w:hAnsi="Courier New" w:cs="Courier New"/>
        </w:rPr>
        <w:t xml:space="preserve">associated with the activities described in </w:t>
      </w:r>
      <w:r w:rsidR="00F477DE" w:rsidRPr="00AB09B1">
        <w:rPr>
          <w:rFonts w:ascii="Courier New" w:hAnsi="Courier New" w:cs="Courier New"/>
        </w:rPr>
        <w:t>s</w:t>
      </w:r>
      <w:r w:rsidR="009E7A27" w:rsidRPr="00AB09B1">
        <w:rPr>
          <w:rFonts w:ascii="Courier New" w:hAnsi="Courier New" w:cs="Courier New"/>
        </w:rPr>
        <w:t>ection 5(a)</w:t>
      </w:r>
      <w:r w:rsidRPr="00AB09B1">
        <w:rPr>
          <w:rFonts w:ascii="Courier New" w:hAnsi="Courier New" w:cs="Courier New"/>
        </w:rPr>
        <w:t>.</w:t>
      </w:r>
      <w:r w:rsidR="00A47CF8" w:rsidRPr="00AB09B1">
        <w:rPr>
          <w:rFonts w:ascii="Courier New" w:hAnsi="Courier New" w:cs="Courier New"/>
        </w:rPr>
        <w:t xml:space="preserve"> </w:t>
      </w:r>
      <w:r w:rsidRPr="00AB09B1">
        <w:rPr>
          <w:rFonts w:ascii="Courier New" w:hAnsi="Courier New" w:cs="Courier New"/>
        </w:rPr>
        <w:t xml:space="preserve">Section 6(a) provides estimates of burden </w:t>
      </w:r>
      <w:r w:rsidR="008B755E" w:rsidRPr="00AB09B1">
        <w:rPr>
          <w:rFonts w:ascii="Courier New" w:hAnsi="Courier New" w:cs="Courier New"/>
        </w:rPr>
        <w:t>(</w:t>
      </w:r>
      <w:r w:rsidRPr="00AB09B1">
        <w:rPr>
          <w:rFonts w:ascii="Courier New" w:hAnsi="Courier New" w:cs="Courier New"/>
        </w:rPr>
        <w:t>hours</w:t>
      </w:r>
      <w:r w:rsidR="008B755E" w:rsidRPr="00AB09B1">
        <w:rPr>
          <w:rFonts w:ascii="Courier New" w:hAnsi="Courier New" w:cs="Courier New"/>
        </w:rPr>
        <w:t>)</w:t>
      </w:r>
      <w:r w:rsidRPr="00AB09B1">
        <w:rPr>
          <w:rFonts w:ascii="Courier New" w:hAnsi="Courier New" w:cs="Courier New"/>
        </w:rPr>
        <w:t xml:space="preserve"> for all respondent types.</w:t>
      </w:r>
      <w:r w:rsidR="00A47CF8" w:rsidRPr="00AB09B1">
        <w:rPr>
          <w:rFonts w:ascii="Courier New" w:hAnsi="Courier New" w:cs="Courier New"/>
        </w:rPr>
        <w:t xml:space="preserve"> </w:t>
      </w:r>
      <w:r w:rsidRPr="00AB09B1">
        <w:rPr>
          <w:rFonts w:ascii="Courier New" w:hAnsi="Courier New" w:cs="Courier New"/>
        </w:rPr>
        <w:t>Section 6(b) contains estimates of respondent costs for the information collection.</w:t>
      </w:r>
      <w:r w:rsidR="00A47CF8" w:rsidRPr="00AB09B1">
        <w:rPr>
          <w:rFonts w:ascii="Courier New" w:hAnsi="Courier New" w:cs="Courier New"/>
        </w:rPr>
        <w:t xml:space="preserve"> </w:t>
      </w:r>
      <w:r w:rsidRPr="00AB09B1">
        <w:rPr>
          <w:rFonts w:ascii="Courier New" w:hAnsi="Courier New" w:cs="Courier New"/>
        </w:rPr>
        <w:t xml:space="preserve">Section 6(c) summarizes </w:t>
      </w:r>
      <w:r w:rsidR="008250BD" w:rsidRPr="00AB09B1">
        <w:rPr>
          <w:rFonts w:ascii="Courier New" w:hAnsi="Courier New" w:cs="Courier New"/>
        </w:rPr>
        <w:t>federal</w:t>
      </w:r>
      <w:r w:rsidRPr="00AB09B1">
        <w:rPr>
          <w:rFonts w:ascii="Courier New" w:hAnsi="Courier New" w:cs="Courier New"/>
        </w:rPr>
        <w:t xml:space="preserve"> burden and costs.</w:t>
      </w:r>
      <w:r w:rsidR="00A47CF8" w:rsidRPr="00AB09B1">
        <w:rPr>
          <w:rFonts w:ascii="Courier New" w:hAnsi="Courier New" w:cs="Courier New"/>
        </w:rPr>
        <w:t xml:space="preserve"> </w:t>
      </w:r>
      <w:r w:rsidRPr="00AB09B1">
        <w:rPr>
          <w:rFonts w:ascii="Courier New" w:hAnsi="Courier New" w:cs="Courier New"/>
        </w:rPr>
        <w:t>Section 6(d) describes the respondent universe and the total burden and cost of this collection to respondents.</w:t>
      </w:r>
      <w:r w:rsidR="00A47CF8" w:rsidRPr="00AB09B1">
        <w:rPr>
          <w:rFonts w:ascii="Courier New" w:hAnsi="Courier New" w:cs="Courier New"/>
        </w:rPr>
        <w:t xml:space="preserve"> </w:t>
      </w:r>
      <w:r w:rsidRPr="00AB09B1">
        <w:rPr>
          <w:rFonts w:ascii="Courier New" w:hAnsi="Courier New" w:cs="Courier New"/>
        </w:rPr>
        <w:t xml:space="preserve">Section 6(e) presents the bottom line burden and cost. </w:t>
      </w:r>
      <w:r w:rsidR="008C4D1B" w:rsidRPr="00AB09B1">
        <w:rPr>
          <w:rFonts w:ascii="Courier New" w:hAnsi="Courier New" w:cs="Courier New"/>
        </w:rPr>
        <w:t xml:space="preserve">Section 6(f) provides reasons for any change in burden. </w:t>
      </w:r>
      <w:r w:rsidRPr="00AB09B1">
        <w:rPr>
          <w:rFonts w:ascii="Courier New" w:hAnsi="Courier New" w:cs="Courier New"/>
        </w:rPr>
        <w:lastRenderedPageBreak/>
        <w:t xml:space="preserve">The burden statement for this information collection is in </w:t>
      </w:r>
      <w:r w:rsidR="00F477DE" w:rsidRPr="00AB09B1">
        <w:rPr>
          <w:rFonts w:ascii="Courier New" w:hAnsi="Courier New" w:cs="Courier New"/>
        </w:rPr>
        <w:t>s</w:t>
      </w:r>
      <w:r w:rsidRPr="00AB09B1">
        <w:rPr>
          <w:rFonts w:ascii="Courier New" w:hAnsi="Courier New" w:cs="Courier New"/>
        </w:rPr>
        <w:t>ection 6(</w:t>
      </w:r>
      <w:r w:rsidR="008C4D1B" w:rsidRPr="00AB09B1">
        <w:rPr>
          <w:rFonts w:ascii="Courier New" w:hAnsi="Courier New" w:cs="Courier New"/>
        </w:rPr>
        <w:t>g</w:t>
      </w:r>
      <w:r w:rsidRPr="00AB09B1">
        <w:rPr>
          <w:rFonts w:ascii="Courier New" w:hAnsi="Courier New" w:cs="Courier New"/>
        </w:rPr>
        <w:t xml:space="preserve">). </w:t>
      </w:r>
    </w:p>
    <w:p w:rsidR="006B1DEE" w:rsidRDefault="006B1DEE" w:rsidP="006B1DEE">
      <w:pPr>
        <w:pStyle w:val="Heading2"/>
        <w:spacing w:line="360" w:lineRule="auto"/>
        <w:ind w:firstLine="0"/>
        <w:rPr>
          <w:rFonts w:ascii="Courier New" w:hAnsi="Courier New" w:cs="Courier New"/>
        </w:rPr>
      </w:pPr>
      <w:bookmarkStart w:id="28" w:name="_Toc336985092"/>
    </w:p>
    <w:p w:rsidR="00D34B38" w:rsidRPr="00EA6F91" w:rsidRDefault="00D34B38" w:rsidP="006B1DEE">
      <w:pPr>
        <w:pStyle w:val="Heading2"/>
        <w:spacing w:line="360" w:lineRule="auto"/>
        <w:ind w:firstLine="0"/>
        <w:rPr>
          <w:rFonts w:ascii="Courier New" w:hAnsi="Courier New" w:cs="Courier New"/>
        </w:rPr>
      </w:pPr>
      <w:r w:rsidRPr="00EA6F91">
        <w:rPr>
          <w:rFonts w:ascii="Courier New" w:hAnsi="Courier New" w:cs="Courier New"/>
        </w:rPr>
        <w:t>6(a) Estimating Respondent Burden</w:t>
      </w:r>
      <w:bookmarkEnd w:id="28"/>
    </w:p>
    <w:p w:rsidR="00D34B38" w:rsidRPr="00AB09B1" w:rsidRDefault="00276A0C" w:rsidP="00AB09B1">
      <w:pPr>
        <w:spacing w:line="360" w:lineRule="auto"/>
        <w:ind w:firstLine="720"/>
        <w:rPr>
          <w:rFonts w:ascii="Courier New" w:hAnsi="Courier New" w:cs="Courier New"/>
        </w:rPr>
      </w:pPr>
      <w:r>
        <w:rPr>
          <w:rFonts w:ascii="Courier New" w:hAnsi="Courier New" w:cs="Courier New"/>
        </w:rPr>
        <w:t xml:space="preserve">EPA estimates the </w:t>
      </w:r>
      <w:r>
        <w:rPr>
          <w:rFonts w:ascii="Courier New" w:hAnsi="Courier New"/>
        </w:rPr>
        <w:t xml:space="preserve">labor hours for the </w:t>
      </w:r>
      <w:r w:rsidRPr="00CF5ABA">
        <w:rPr>
          <w:rFonts w:ascii="Courier New" w:hAnsi="Courier New"/>
        </w:rPr>
        <w:t xml:space="preserve">first-year </w:t>
      </w:r>
      <w:r>
        <w:rPr>
          <w:rFonts w:ascii="Courier New" w:hAnsi="Courier New"/>
        </w:rPr>
        <w:t xml:space="preserve">activity of </w:t>
      </w:r>
      <w:r w:rsidR="0087264C">
        <w:rPr>
          <w:rFonts w:ascii="Courier New" w:hAnsi="Courier New"/>
        </w:rPr>
        <w:t xml:space="preserve">training to </w:t>
      </w:r>
      <w:r w:rsidR="003012B8">
        <w:rPr>
          <w:rFonts w:ascii="Courier New" w:hAnsi="Courier New"/>
        </w:rPr>
        <w:t>use</w:t>
      </w:r>
      <w:r w:rsidRPr="00CF5ABA">
        <w:rPr>
          <w:rFonts w:ascii="Courier New" w:hAnsi="Courier New"/>
        </w:rPr>
        <w:t xml:space="preserve"> </w:t>
      </w:r>
      <w:r w:rsidR="0087264C">
        <w:rPr>
          <w:rFonts w:ascii="Courier New" w:hAnsi="Courier New"/>
        </w:rPr>
        <w:t xml:space="preserve">the </w:t>
      </w:r>
      <w:r w:rsidR="003012B8">
        <w:rPr>
          <w:rFonts w:ascii="Courier New" w:hAnsi="Courier New"/>
        </w:rPr>
        <w:t xml:space="preserve">proposed inputs </w:t>
      </w:r>
      <w:r w:rsidRPr="00CF5ABA">
        <w:rPr>
          <w:rFonts w:ascii="Courier New" w:hAnsi="Courier New"/>
        </w:rPr>
        <w:t>verification tool</w:t>
      </w:r>
      <w:r w:rsidR="0087264C">
        <w:rPr>
          <w:rFonts w:ascii="Courier New" w:hAnsi="Courier New"/>
        </w:rPr>
        <w:t xml:space="preserve"> </w:t>
      </w:r>
      <w:r>
        <w:rPr>
          <w:rFonts w:ascii="Courier New" w:hAnsi="Courier New"/>
        </w:rPr>
        <w:t>to be 1</w:t>
      </w:r>
      <w:r w:rsidR="00F20AD6">
        <w:rPr>
          <w:rFonts w:ascii="Courier New" w:hAnsi="Courier New"/>
        </w:rPr>
        <w:t>.2</w:t>
      </w:r>
      <w:r>
        <w:rPr>
          <w:rFonts w:ascii="Courier New" w:hAnsi="Courier New"/>
        </w:rPr>
        <w:t xml:space="preserve"> hour per </w:t>
      </w:r>
      <w:r w:rsidR="00F20AD6">
        <w:rPr>
          <w:rFonts w:ascii="Courier New" w:hAnsi="Courier New"/>
        </w:rPr>
        <w:t xml:space="preserve">applicable </w:t>
      </w:r>
      <w:r>
        <w:rPr>
          <w:rFonts w:ascii="Courier New" w:hAnsi="Courier New"/>
        </w:rPr>
        <w:t xml:space="preserve">respondent. EPA estimates the labor hours for the </w:t>
      </w:r>
      <w:r w:rsidRPr="00CF5ABA">
        <w:rPr>
          <w:rFonts w:ascii="Courier New" w:hAnsi="Courier New"/>
        </w:rPr>
        <w:t xml:space="preserve">annual </w:t>
      </w:r>
      <w:r>
        <w:rPr>
          <w:rFonts w:ascii="Courier New" w:hAnsi="Courier New"/>
        </w:rPr>
        <w:t xml:space="preserve">activity of </w:t>
      </w:r>
      <w:r w:rsidRPr="00CF5ABA">
        <w:rPr>
          <w:rFonts w:ascii="Courier New" w:hAnsi="Courier New"/>
        </w:rPr>
        <w:t>reporting of new data elements</w:t>
      </w:r>
      <w:r>
        <w:rPr>
          <w:rFonts w:ascii="Courier New" w:hAnsi="Courier New"/>
        </w:rPr>
        <w:t xml:space="preserve"> to average 1</w:t>
      </w:r>
      <w:r w:rsidR="00F63855">
        <w:rPr>
          <w:rFonts w:ascii="Courier New" w:hAnsi="Courier New"/>
        </w:rPr>
        <w:t>.</w:t>
      </w:r>
      <w:r w:rsidR="00F20AD6">
        <w:rPr>
          <w:rFonts w:ascii="Courier New" w:hAnsi="Courier New"/>
        </w:rPr>
        <w:t>8</w:t>
      </w:r>
      <w:r>
        <w:rPr>
          <w:rFonts w:ascii="Courier New" w:hAnsi="Courier New"/>
        </w:rPr>
        <w:t xml:space="preserve"> hour per </w:t>
      </w:r>
      <w:r w:rsidR="00F20AD6">
        <w:rPr>
          <w:rFonts w:ascii="Courier New" w:hAnsi="Courier New"/>
        </w:rPr>
        <w:t xml:space="preserve">applicable </w:t>
      </w:r>
      <w:r>
        <w:rPr>
          <w:rFonts w:ascii="Courier New" w:hAnsi="Courier New"/>
        </w:rPr>
        <w:t>respondent</w:t>
      </w:r>
      <w:r w:rsidRPr="00CF5ABA">
        <w:rPr>
          <w:rFonts w:ascii="Courier New" w:hAnsi="Courier New"/>
        </w:rPr>
        <w:t>.</w:t>
      </w:r>
      <w:r w:rsidR="004522A4">
        <w:rPr>
          <w:rFonts w:ascii="Courier New" w:hAnsi="Courier New"/>
        </w:rPr>
        <w:t xml:space="preserve"> </w:t>
      </w:r>
      <w:r w:rsidR="003012B8">
        <w:rPr>
          <w:rFonts w:ascii="Courier New" w:hAnsi="Courier New"/>
        </w:rPr>
        <w:t>Tables 1 through 3 in Attachment 1 present an itemized breakdown of the reporting requirements for the respondents, according to a</w:t>
      </w:r>
      <w:r w:rsidR="00C061A4">
        <w:rPr>
          <w:rFonts w:ascii="Courier New" w:hAnsi="Courier New" w:cs="Courier New"/>
        </w:rPr>
        <w:t xml:space="preserve">ctivity and </w:t>
      </w:r>
      <w:r w:rsidR="006A4FE9">
        <w:rPr>
          <w:rFonts w:ascii="Courier New" w:hAnsi="Courier New" w:cs="Courier New"/>
        </w:rPr>
        <w:t>sector</w:t>
      </w:r>
      <w:r w:rsidR="00C061A4" w:rsidRPr="00AB09B1">
        <w:rPr>
          <w:rFonts w:ascii="Courier New" w:hAnsi="Courier New" w:cs="Courier New"/>
        </w:rPr>
        <w:t>.</w:t>
      </w:r>
    </w:p>
    <w:p w:rsidR="006B1DEE" w:rsidRDefault="006B1DEE" w:rsidP="006B1DEE">
      <w:pPr>
        <w:pStyle w:val="Heading2"/>
        <w:spacing w:line="360" w:lineRule="auto"/>
        <w:ind w:firstLine="0"/>
        <w:rPr>
          <w:rFonts w:ascii="Courier New" w:hAnsi="Courier New" w:cs="Courier New"/>
        </w:rPr>
      </w:pPr>
      <w:bookmarkStart w:id="29" w:name="_Toc336985093"/>
    </w:p>
    <w:p w:rsidR="00D34B38" w:rsidRPr="00EA6F91" w:rsidRDefault="00D34B38" w:rsidP="006B1DEE">
      <w:pPr>
        <w:pStyle w:val="Heading2"/>
        <w:spacing w:line="360" w:lineRule="auto"/>
        <w:ind w:firstLine="0"/>
        <w:rPr>
          <w:rFonts w:ascii="Courier New" w:hAnsi="Courier New" w:cs="Courier New"/>
        </w:rPr>
      </w:pPr>
      <w:r w:rsidRPr="00EA6F91">
        <w:rPr>
          <w:rFonts w:ascii="Courier New" w:hAnsi="Courier New" w:cs="Courier New"/>
        </w:rPr>
        <w:t>6(b)</w:t>
      </w:r>
      <w:r w:rsidR="00A47CF8" w:rsidRPr="00EA6F91">
        <w:rPr>
          <w:rFonts w:ascii="Courier New" w:hAnsi="Courier New" w:cs="Courier New"/>
        </w:rPr>
        <w:t xml:space="preserve"> </w:t>
      </w:r>
      <w:r w:rsidRPr="00EA6F91">
        <w:rPr>
          <w:rFonts w:ascii="Courier New" w:hAnsi="Courier New" w:cs="Courier New"/>
        </w:rPr>
        <w:t>Estimating Respondent Costs</w:t>
      </w:r>
      <w:bookmarkEnd w:id="29"/>
    </w:p>
    <w:p w:rsidR="00452B05" w:rsidRDefault="00010BF2" w:rsidP="00AB09B1">
      <w:pPr>
        <w:spacing w:line="360" w:lineRule="auto"/>
        <w:ind w:firstLine="720"/>
        <w:rPr>
          <w:rFonts w:ascii="Courier New" w:hAnsi="Courier New" w:cs="Courier New"/>
        </w:rPr>
      </w:pPr>
      <w:r>
        <w:rPr>
          <w:rFonts w:ascii="Courier New" w:hAnsi="Courier New" w:cs="Courier New"/>
        </w:rPr>
        <w:t>All</w:t>
      </w:r>
      <w:r w:rsidR="00875CCA" w:rsidRPr="00AB09B1">
        <w:rPr>
          <w:rFonts w:ascii="Courier New" w:hAnsi="Courier New" w:cs="Courier New"/>
        </w:rPr>
        <w:t xml:space="preserve"> costs to the regulated industry resulting from information collection activities for the proposed GHGRP are labor costs </w:t>
      </w:r>
      <w:r w:rsidR="00620EAF" w:rsidRPr="00AB09B1">
        <w:rPr>
          <w:rFonts w:ascii="Courier New" w:hAnsi="Courier New" w:cs="Courier New"/>
        </w:rPr>
        <w:t xml:space="preserve">(i.e., the cost of labor </w:t>
      </w:r>
      <w:r w:rsidR="009E7A27" w:rsidRPr="00AB09B1">
        <w:rPr>
          <w:rFonts w:ascii="Courier New" w:hAnsi="Courier New" w:cs="Courier New"/>
        </w:rPr>
        <w:t xml:space="preserve">by </w:t>
      </w:r>
      <w:r w:rsidR="00620EAF" w:rsidRPr="00AB09B1">
        <w:rPr>
          <w:rFonts w:ascii="Courier New" w:hAnsi="Courier New" w:cs="Courier New"/>
        </w:rPr>
        <w:t xml:space="preserve">facility staff to meet the </w:t>
      </w:r>
      <w:r w:rsidR="00623F83" w:rsidRPr="00AB09B1">
        <w:rPr>
          <w:rFonts w:ascii="Courier New" w:hAnsi="Courier New" w:cs="Courier New"/>
        </w:rPr>
        <w:t xml:space="preserve">rule’s </w:t>
      </w:r>
      <w:r w:rsidR="00620EAF" w:rsidRPr="00AB09B1">
        <w:rPr>
          <w:rFonts w:ascii="Courier New" w:hAnsi="Courier New" w:cs="Courier New"/>
        </w:rPr>
        <w:t>information collection requirements</w:t>
      </w:r>
      <w:r w:rsidR="00623F83" w:rsidRPr="00AB09B1">
        <w:rPr>
          <w:rFonts w:ascii="Courier New" w:hAnsi="Courier New" w:cs="Courier New"/>
        </w:rPr>
        <w:t>)</w:t>
      </w:r>
      <w:r w:rsidR="00875CCA" w:rsidRPr="00AB09B1">
        <w:rPr>
          <w:rFonts w:ascii="Courier New" w:hAnsi="Courier New" w:cs="Courier New"/>
        </w:rPr>
        <w:t>.</w:t>
      </w:r>
      <w:r w:rsidR="00276A0C">
        <w:rPr>
          <w:rFonts w:ascii="Courier New" w:hAnsi="Courier New" w:cs="Courier New"/>
        </w:rPr>
        <w:t xml:space="preserve"> </w:t>
      </w:r>
      <w:r w:rsidR="00452B05" w:rsidRPr="00AB09B1">
        <w:rPr>
          <w:rFonts w:ascii="Courier New" w:hAnsi="Courier New" w:cs="Courier New"/>
        </w:rPr>
        <w:t>To calculate labor costs, EPA estimated Bureau of Labor Statistics</w:t>
      </w:r>
      <w:r w:rsidR="004451EE" w:rsidRPr="00AB09B1">
        <w:rPr>
          <w:rFonts w:ascii="Courier New" w:hAnsi="Courier New" w:cs="Courier New"/>
        </w:rPr>
        <w:t xml:space="preserve"> using an approach consistent with the ICRs associated with the GHGRP currently approved by OMB</w:t>
      </w:r>
      <w:r w:rsidR="007D507D">
        <w:rPr>
          <w:rFonts w:ascii="Courier New" w:hAnsi="Courier New" w:cs="Courier New"/>
        </w:rPr>
        <w:t>.</w:t>
      </w:r>
      <w:r w:rsidR="007D507D">
        <w:rPr>
          <w:rStyle w:val="FootnoteReference"/>
          <w:rFonts w:ascii="Courier New" w:hAnsi="Courier New" w:cs="Courier New"/>
        </w:rPr>
        <w:footnoteReference w:id="4"/>
      </w:r>
      <w:r w:rsidR="00AA6D4E" w:rsidRPr="00AB09B1">
        <w:rPr>
          <w:rFonts w:ascii="Courier New" w:hAnsi="Courier New" w:cs="Courier New"/>
        </w:rPr>
        <w:t xml:space="preserve"> </w:t>
      </w:r>
      <w:r w:rsidR="00452B05" w:rsidRPr="00AB09B1">
        <w:rPr>
          <w:rFonts w:ascii="Courier New" w:hAnsi="Courier New" w:cs="Courier New"/>
        </w:rPr>
        <w:t>For all subparts the labor rates are:</w:t>
      </w:r>
      <w:r w:rsidR="00ED239B" w:rsidRPr="00AB09B1">
        <w:rPr>
          <w:rFonts w:ascii="Courier New" w:hAnsi="Courier New" w:cs="Courier New"/>
        </w:rPr>
        <w:t xml:space="preserve"> </w:t>
      </w:r>
      <w:r w:rsidR="00452B05" w:rsidRPr="00AB09B1">
        <w:rPr>
          <w:rFonts w:ascii="Courier New" w:hAnsi="Courier New" w:cs="Courier New"/>
        </w:rPr>
        <w:t>$</w:t>
      </w:r>
      <w:r w:rsidR="00AA6D4E" w:rsidRPr="00AB09B1">
        <w:rPr>
          <w:rFonts w:ascii="Courier New" w:hAnsi="Courier New" w:cs="Courier New"/>
        </w:rPr>
        <w:t xml:space="preserve">59.12 for technical workers, $77.23 for managers, </w:t>
      </w:r>
      <w:r w:rsidR="002A7953" w:rsidRPr="00AB09B1">
        <w:rPr>
          <w:rFonts w:ascii="Courier New" w:hAnsi="Courier New" w:cs="Courier New"/>
        </w:rPr>
        <w:t xml:space="preserve">$31.35 for clerical support, and $109.94 for legal support. </w:t>
      </w:r>
    </w:p>
    <w:p w:rsidR="00B476E6" w:rsidRDefault="00490BC2" w:rsidP="006B1DEE">
      <w:pPr>
        <w:spacing w:line="360" w:lineRule="auto"/>
        <w:ind w:firstLine="720"/>
        <w:rPr>
          <w:rFonts w:ascii="Courier New" w:hAnsi="Courier New" w:cs="Courier New"/>
        </w:rPr>
      </w:pPr>
      <w:r>
        <w:rPr>
          <w:rFonts w:ascii="Courier New" w:hAnsi="Courier New" w:cs="Courier New"/>
        </w:rPr>
        <w:t xml:space="preserve">For </w:t>
      </w:r>
      <w:r w:rsidRPr="00EA6F91">
        <w:rPr>
          <w:rFonts w:ascii="Courier New" w:hAnsi="Courier New" w:cs="Courier New"/>
        </w:rPr>
        <w:t>the one-time activity of training to use the verification tool</w:t>
      </w:r>
      <w:r>
        <w:rPr>
          <w:rFonts w:ascii="Courier New" w:hAnsi="Courier New" w:cs="Courier New"/>
        </w:rPr>
        <w:t xml:space="preserve">, EPA estimates the cost per </w:t>
      </w:r>
      <w:r w:rsidR="00CB474C">
        <w:rPr>
          <w:rFonts w:ascii="Courier New" w:hAnsi="Courier New" w:cs="Courier New"/>
        </w:rPr>
        <w:t xml:space="preserve">applicable </w:t>
      </w:r>
      <w:r>
        <w:rPr>
          <w:rFonts w:ascii="Courier New" w:hAnsi="Courier New" w:cs="Courier New"/>
        </w:rPr>
        <w:t xml:space="preserve">respondent </w:t>
      </w:r>
      <w:r w:rsidR="00276A0C">
        <w:rPr>
          <w:rFonts w:ascii="Courier New" w:hAnsi="Courier New" w:cs="Courier New"/>
        </w:rPr>
        <w:t>to</w:t>
      </w:r>
      <w:r>
        <w:rPr>
          <w:rFonts w:ascii="Courier New" w:hAnsi="Courier New" w:cs="Courier New"/>
        </w:rPr>
        <w:t xml:space="preserve"> be $</w:t>
      </w:r>
      <w:r w:rsidR="00CB474C">
        <w:rPr>
          <w:rFonts w:ascii="Courier New" w:hAnsi="Courier New" w:cs="Courier New"/>
        </w:rPr>
        <w:t>66</w:t>
      </w:r>
      <w:r>
        <w:rPr>
          <w:rFonts w:ascii="Courier New" w:hAnsi="Courier New" w:cs="Courier New"/>
        </w:rPr>
        <w:t xml:space="preserve">. For the annual activity of reporting the proposed </w:t>
      </w:r>
      <w:r w:rsidRPr="00EA6F91">
        <w:rPr>
          <w:rFonts w:ascii="Courier New" w:hAnsi="Courier New" w:cs="Courier New"/>
        </w:rPr>
        <w:t>new data elements</w:t>
      </w:r>
      <w:r>
        <w:rPr>
          <w:rFonts w:ascii="Courier New" w:hAnsi="Courier New" w:cs="Courier New"/>
        </w:rPr>
        <w:t>,</w:t>
      </w:r>
      <w:r w:rsidRPr="00490BC2">
        <w:rPr>
          <w:rFonts w:ascii="Courier New" w:hAnsi="Courier New" w:cs="Courier New"/>
        </w:rPr>
        <w:t xml:space="preserve"> </w:t>
      </w:r>
      <w:r>
        <w:rPr>
          <w:rFonts w:ascii="Courier New" w:hAnsi="Courier New" w:cs="Courier New"/>
        </w:rPr>
        <w:t xml:space="preserve">EPA estimates the </w:t>
      </w:r>
      <w:r w:rsidR="006A4FE9">
        <w:rPr>
          <w:rFonts w:ascii="Courier New" w:hAnsi="Courier New" w:cs="Courier New"/>
        </w:rPr>
        <w:t xml:space="preserve">average </w:t>
      </w:r>
      <w:r w:rsidR="00CB474C">
        <w:rPr>
          <w:rFonts w:ascii="Courier New" w:hAnsi="Courier New" w:cs="Courier New"/>
        </w:rPr>
        <w:t xml:space="preserve">annual </w:t>
      </w:r>
      <w:r>
        <w:rPr>
          <w:rFonts w:ascii="Courier New" w:hAnsi="Courier New" w:cs="Courier New"/>
        </w:rPr>
        <w:t xml:space="preserve">cost per </w:t>
      </w:r>
      <w:r w:rsidR="00CB474C">
        <w:rPr>
          <w:rFonts w:ascii="Courier New" w:hAnsi="Courier New" w:cs="Courier New"/>
        </w:rPr>
        <w:t xml:space="preserve">applicable </w:t>
      </w:r>
      <w:r>
        <w:rPr>
          <w:rFonts w:ascii="Courier New" w:hAnsi="Courier New" w:cs="Courier New"/>
        </w:rPr>
        <w:t xml:space="preserve">respondent </w:t>
      </w:r>
      <w:r w:rsidR="00276A0C">
        <w:rPr>
          <w:rFonts w:ascii="Courier New" w:hAnsi="Courier New" w:cs="Courier New"/>
        </w:rPr>
        <w:t>to</w:t>
      </w:r>
      <w:r>
        <w:rPr>
          <w:rFonts w:ascii="Courier New" w:hAnsi="Courier New" w:cs="Courier New"/>
        </w:rPr>
        <w:t xml:space="preserve"> </w:t>
      </w:r>
      <w:r w:rsidR="006A4FE9">
        <w:rPr>
          <w:rFonts w:ascii="Courier New" w:hAnsi="Courier New" w:cs="Courier New"/>
        </w:rPr>
        <w:t>be</w:t>
      </w:r>
      <w:r w:rsidR="002C5327">
        <w:rPr>
          <w:rFonts w:ascii="Courier New" w:hAnsi="Courier New" w:cs="Courier New"/>
        </w:rPr>
        <w:t xml:space="preserve"> </w:t>
      </w:r>
      <w:r>
        <w:rPr>
          <w:rFonts w:ascii="Courier New" w:hAnsi="Courier New" w:cs="Courier New"/>
        </w:rPr>
        <w:t>$</w:t>
      </w:r>
      <w:r w:rsidR="00CB474C">
        <w:rPr>
          <w:rFonts w:ascii="Courier New" w:hAnsi="Courier New" w:cs="Courier New"/>
        </w:rPr>
        <w:t>103</w:t>
      </w:r>
      <w:r>
        <w:rPr>
          <w:rFonts w:ascii="Courier New" w:hAnsi="Courier New" w:cs="Courier New"/>
        </w:rPr>
        <w:t xml:space="preserve">. </w:t>
      </w:r>
      <w:r w:rsidR="00265B77" w:rsidRPr="00AB09B1">
        <w:rPr>
          <w:rFonts w:ascii="Courier New" w:hAnsi="Courier New" w:cs="Courier New"/>
        </w:rPr>
        <w:t xml:space="preserve">EPA estimates that the annual </w:t>
      </w:r>
      <w:r w:rsidR="006A4FE9">
        <w:rPr>
          <w:rFonts w:ascii="Courier New" w:hAnsi="Courier New" w:cs="Courier New"/>
        </w:rPr>
        <w:t xml:space="preserve">average </w:t>
      </w:r>
      <w:r w:rsidR="00265B77" w:rsidRPr="00AB09B1">
        <w:rPr>
          <w:rFonts w:ascii="Courier New" w:hAnsi="Courier New" w:cs="Courier New"/>
        </w:rPr>
        <w:t xml:space="preserve">cost to all </w:t>
      </w:r>
      <w:r w:rsidR="00F7742E">
        <w:rPr>
          <w:rFonts w:ascii="Courier New" w:hAnsi="Courier New" w:cs="Courier New"/>
        </w:rPr>
        <w:t xml:space="preserve">respondents </w:t>
      </w:r>
      <w:r w:rsidR="006A4FE9">
        <w:rPr>
          <w:rFonts w:ascii="Courier New" w:hAnsi="Courier New" w:cs="Courier New"/>
        </w:rPr>
        <w:t>to be</w:t>
      </w:r>
      <w:r w:rsidR="00F7742E">
        <w:rPr>
          <w:rFonts w:ascii="Courier New" w:hAnsi="Courier New" w:cs="Courier New"/>
        </w:rPr>
        <w:t xml:space="preserve"> </w:t>
      </w:r>
      <w:r w:rsidR="00265B77" w:rsidRPr="00C126A0">
        <w:rPr>
          <w:rFonts w:ascii="Courier New" w:hAnsi="Courier New" w:cs="Courier New"/>
        </w:rPr>
        <w:t>$</w:t>
      </w:r>
      <w:r w:rsidR="003D43CF">
        <w:rPr>
          <w:rFonts w:ascii="Courier New" w:hAnsi="Courier New" w:cs="Courier New"/>
        </w:rPr>
        <w:t>206,713</w:t>
      </w:r>
      <w:r w:rsidR="00265B77" w:rsidRPr="00AB09B1">
        <w:rPr>
          <w:rFonts w:ascii="Courier New" w:hAnsi="Courier New" w:cs="Courier New"/>
        </w:rPr>
        <w:t xml:space="preserve"> </w:t>
      </w:r>
      <w:r w:rsidR="006A4FE9">
        <w:rPr>
          <w:rFonts w:ascii="Courier New" w:hAnsi="Courier New" w:cs="Courier New"/>
        </w:rPr>
        <w:t xml:space="preserve">for </w:t>
      </w:r>
      <w:r w:rsidR="006A4FE9">
        <w:rPr>
          <w:rFonts w:ascii="Courier New" w:hAnsi="Courier New" w:cs="Courier New"/>
        </w:rPr>
        <w:lastRenderedPageBreak/>
        <w:t>each of</w:t>
      </w:r>
      <w:r w:rsidR="00265B77" w:rsidRPr="00AB09B1">
        <w:rPr>
          <w:rFonts w:ascii="Courier New" w:hAnsi="Courier New" w:cs="Courier New"/>
        </w:rPr>
        <w:t xml:space="preserve"> the three years covered by this information collection. </w:t>
      </w:r>
      <w:r w:rsidR="006A4FE9">
        <w:rPr>
          <w:rFonts w:ascii="Courier New" w:hAnsi="Courier New" w:cs="Courier New"/>
        </w:rPr>
        <w:t xml:space="preserve">Respondent costs by sector and activity are presented in </w:t>
      </w:r>
      <w:r w:rsidR="00EB1DF7" w:rsidRPr="00AB09B1">
        <w:rPr>
          <w:rFonts w:ascii="Courier New" w:hAnsi="Courier New" w:cs="Courier New"/>
        </w:rPr>
        <w:t>Attachment 1</w:t>
      </w:r>
      <w:r w:rsidR="00875CCA" w:rsidRPr="00AB09B1">
        <w:rPr>
          <w:rFonts w:ascii="Courier New" w:hAnsi="Courier New" w:cs="Courier New"/>
        </w:rPr>
        <w:t>.</w:t>
      </w:r>
      <w:r w:rsidR="007D507D">
        <w:rPr>
          <w:rFonts w:ascii="Courier New" w:hAnsi="Courier New" w:cs="Courier New"/>
        </w:rPr>
        <w:t xml:space="preserve"> </w:t>
      </w:r>
    </w:p>
    <w:p w:rsidR="006B1DEE" w:rsidRDefault="006B1DEE" w:rsidP="006B1DEE">
      <w:pPr>
        <w:pStyle w:val="Heading2"/>
        <w:spacing w:line="360" w:lineRule="auto"/>
        <w:ind w:firstLine="0"/>
        <w:rPr>
          <w:rFonts w:ascii="Courier New" w:hAnsi="Courier New" w:cs="Courier New"/>
        </w:rPr>
      </w:pPr>
      <w:bookmarkStart w:id="30" w:name="_Toc336985094"/>
    </w:p>
    <w:p w:rsidR="00D34B38" w:rsidRPr="00EA6F91" w:rsidRDefault="00D34B38" w:rsidP="006B1DEE">
      <w:pPr>
        <w:pStyle w:val="Heading2"/>
        <w:spacing w:line="360" w:lineRule="auto"/>
        <w:ind w:firstLine="0"/>
        <w:rPr>
          <w:rFonts w:ascii="Courier New" w:hAnsi="Courier New" w:cs="Courier New"/>
        </w:rPr>
      </w:pPr>
      <w:r w:rsidRPr="00EA6F91">
        <w:rPr>
          <w:rFonts w:ascii="Courier New" w:hAnsi="Courier New" w:cs="Courier New"/>
        </w:rPr>
        <w:t>6(c) Estimating Agency Burden and Cost</w:t>
      </w:r>
      <w:bookmarkEnd w:id="30"/>
    </w:p>
    <w:p w:rsidR="0065316C" w:rsidRPr="00AB09B1" w:rsidRDefault="003C702F" w:rsidP="00AB09B1">
      <w:pPr>
        <w:spacing w:line="360" w:lineRule="auto"/>
        <w:ind w:firstLine="720"/>
        <w:rPr>
          <w:rFonts w:ascii="Courier New" w:hAnsi="Courier New" w:cs="Courier New"/>
          <w:bCs/>
        </w:rPr>
      </w:pPr>
      <w:r w:rsidRPr="00AB09B1">
        <w:rPr>
          <w:rFonts w:ascii="Courier New" w:hAnsi="Courier New" w:cs="Courier New"/>
          <w:bCs/>
        </w:rPr>
        <w:t xml:space="preserve">This section describes the burden and cost to the </w:t>
      </w:r>
      <w:r w:rsidR="008250BD" w:rsidRPr="00AB09B1">
        <w:rPr>
          <w:rFonts w:ascii="Courier New" w:hAnsi="Courier New" w:cs="Courier New"/>
          <w:bCs/>
        </w:rPr>
        <w:t>federal</w:t>
      </w:r>
      <w:r w:rsidRPr="00AB09B1">
        <w:rPr>
          <w:rFonts w:ascii="Courier New" w:hAnsi="Courier New" w:cs="Courier New"/>
          <w:bCs/>
        </w:rPr>
        <w:t xml:space="preserve"> government associated with this information collection</w:t>
      </w:r>
      <w:r w:rsidR="0065316C" w:rsidRPr="00AB09B1">
        <w:rPr>
          <w:rFonts w:ascii="Courier New" w:hAnsi="Courier New" w:cs="Courier New"/>
          <w:bCs/>
        </w:rPr>
        <w:t xml:space="preserve">, and the details are provided in </w:t>
      </w:r>
      <w:r w:rsidR="00EB1DF7" w:rsidRPr="00AB09B1">
        <w:rPr>
          <w:rFonts w:ascii="Courier New" w:hAnsi="Courier New" w:cs="Courier New"/>
          <w:bCs/>
        </w:rPr>
        <w:t>Attachment 2</w:t>
      </w:r>
      <w:r w:rsidRPr="00AB09B1">
        <w:rPr>
          <w:rFonts w:ascii="Courier New" w:hAnsi="Courier New" w:cs="Courier New"/>
          <w:bCs/>
        </w:rPr>
        <w:t>.</w:t>
      </w:r>
      <w:r w:rsidR="00ED239B" w:rsidRPr="00AB09B1">
        <w:rPr>
          <w:rFonts w:ascii="Courier New" w:hAnsi="Courier New" w:cs="Courier New"/>
          <w:bCs/>
        </w:rPr>
        <w:t xml:space="preserve"> </w:t>
      </w:r>
      <w:r w:rsidR="00E20A86" w:rsidRPr="00AB09B1">
        <w:rPr>
          <w:rFonts w:ascii="Courier New" w:hAnsi="Courier New" w:cs="Courier New"/>
          <w:bCs/>
        </w:rPr>
        <w:t xml:space="preserve">For the proposed rule, the </w:t>
      </w:r>
      <w:r w:rsidR="0065316C" w:rsidRPr="00AB09B1">
        <w:rPr>
          <w:rFonts w:ascii="Courier New" w:hAnsi="Courier New" w:cs="Courier New"/>
          <w:bCs/>
        </w:rPr>
        <w:t>incremental</w:t>
      </w:r>
      <w:r w:rsidR="00E20A86" w:rsidRPr="00AB09B1">
        <w:rPr>
          <w:rFonts w:ascii="Courier New" w:hAnsi="Courier New" w:cs="Courier New"/>
          <w:bCs/>
        </w:rPr>
        <w:t xml:space="preserve"> burden to EPA </w:t>
      </w:r>
      <w:r w:rsidR="0065316C" w:rsidRPr="00AB09B1">
        <w:rPr>
          <w:rFonts w:ascii="Courier New" w:hAnsi="Courier New" w:cs="Courier New"/>
          <w:bCs/>
        </w:rPr>
        <w:t>is associated with the</w:t>
      </w:r>
      <w:r w:rsidR="00E20A86" w:rsidRPr="00AB09B1">
        <w:rPr>
          <w:rFonts w:ascii="Courier New" w:hAnsi="Courier New" w:cs="Courier New"/>
          <w:bCs/>
        </w:rPr>
        <w:t xml:space="preserve"> additional time to review the new data elements </w:t>
      </w:r>
      <w:r w:rsidR="00044EC1" w:rsidRPr="00AB09B1">
        <w:rPr>
          <w:rFonts w:ascii="Courier New" w:hAnsi="Courier New" w:cs="Courier New"/>
          <w:bCs/>
        </w:rPr>
        <w:t>that would be</w:t>
      </w:r>
      <w:r w:rsidR="00E20A86" w:rsidRPr="00AB09B1">
        <w:rPr>
          <w:rFonts w:ascii="Courier New" w:hAnsi="Courier New" w:cs="Courier New"/>
          <w:bCs/>
        </w:rPr>
        <w:t xml:space="preserve"> reported (see </w:t>
      </w:r>
      <w:r w:rsidR="00F477DE" w:rsidRPr="00AB09B1">
        <w:rPr>
          <w:rFonts w:ascii="Courier New" w:hAnsi="Courier New" w:cs="Courier New"/>
          <w:bCs/>
        </w:rPr>
        <w:t>s</w:t>
      </w:r>
      <w:r w:rsidR="00E20A86" w:rsidRPr="00AB09B1">
        <w:rPr>
          <w:rFonts w:ascii="Courier New" w:hAnsi="Courier New" w:cs="Courier New"/>
          <w:bCs/>
        </w:rPr>
        <w:t xml:space="preserve">ection 4(b)(i)). </w:t>
      </w:r>
    </w:p>
    <w:p w:rsidR="003C702F" w:rsidRPr="00AB09B1" w:rsidRDefault="0065316C" w:rsidP="00AB09B1">
      <w:pPr>
        <w:spacing w:line="360" w:lineRule="auto"/>
        <w:ind w:firstLine="720"/>
        <w:rPr>
          <w:rFonts w:ascii="Courier New" w:hAnsi="Courier New" w:cs="Courier New"/>
          <w:bCs/>
        </w:rPr>
      </w:pPr>
      <w:r w:rsidRPr="00AB09B1">
        <w:rPr>
          <w:rFonts w:ascii="Courier New" w:hAnsi="Courier New" w:cs="Courier New"/>
          <w:bCs/>
        </w:rPr>
        <w:t xml:space="preserve">Note that </w:t>
      </w:r>
      <w:r w:rsidR="00E20A86" w:rsidRPr="00152499">
        <w:rPr>
          <w:rFonts w:ascii="Courier New" w:hAnsi="Courier New" w:cs="Courier New"/>
          <w:bCs/>
        </w:rPr>
        <w:t>“</w:t>
      </w:r>
      <w:r w:rsidRPr="00152499">
        <w:rPr>
          <w:rFonts w:ascii="Courier New" w:hAnsi="Courier New" w:cs="Courier New"/>
          <w:bCs/>
        </w:rPr>
        <w:t>i</w:t>
      </w:r>
      <w:r w:rsidR="00E20A86" w:rsidRPr="00152499">
        <w:rPr>
          <w:rFonts w:ascii="Courier New" w:hAnsi="Courier New" w:cs="Courier New"/>
          <w:bCs/>
        </w:rPr>
        <w:t>nputs to equations”</w:t>
      </w:r>
      <w:r w:rsidR="00E20A86" w:rsidRPr="00AB09B1">
        <w:rPr>
          <w:rFonts w:ascii="Courier New" w:hAnsi="Courier New" w:cs="Courier New"/>
          <w:bCs/>
        </w:rPr>
        <w:t xml:space="preserve"> data elements will not be reported for multiple subparts and a reduction in EPA costs could be estimated. However, no costs were subtracted from the burden estimate because the verification summaries will still allow EPA </w:t>
      </w:r>
      <w:r w:rsidRPr="00AB09B1">
        <w:rPr>
          <w:rFonts w:ascii="Courier New" w:hAnsi="Courier New" w:cs="Courier New"/>
          <w:bCs/>
        </w:rPr>
        <w:t>to</w:t>
      </w:r>
      <w:r w:rsidR="00E20A86" w:rsidRPr="00AB09B1">
        <w:rPr>
          <w:rFonts w:ascii="Courier New" w:hAnsi="Courier New" w:cs="Courier New"/>
          <w:bCs/>
        </w:rPr>
        <w:t xml:space="preserve"> </w:t>
      </w:r>
      <w:r w:rsidR="0041141A">
        <w:rPr>
          <w:rFonts w:ascii="Courier New" w:hAnsi="Courier New" w:cs="Courier New"/>
          <w:bCs/>
        </w:rPr>
        <w:t xml:space="preserve">verify the </w:t>
      </w:r>
      <w:r w:rsidR="00E20A86" w:rsidRPr="00AB09B1">
        <w:rPr>
          <w:rFonts w:ascii="Courier New" w:hAnsi="Courier New" w:cs="Courier New"/>
          <w:bCs/>
        </w:rPr>
        <w:t xml:space="preserve">data. Additionally, there is no certainty that the amount of verification of data will be any less, and additional verification items may be incorporated. </w:t>
      </w:r>
    </w:p>
    <w:p w:rsidR="00E20A86" w:rsidRPr="00AB09B1" w:rsidRDefault="00E20A86" w:rsidP="00AB09B1">
      <w:pPr>
        <w:spacing w:line="360" w:lineRule="auto"/>
        <w:ind w:firstLine="720"/>
        <w:rPr>
          <w:rFonts w:ascii="Courier New" w:hAnsi="Courier New" w:cs="Courier New"/>
          <w:bCs/>
        </w:rPr>
      </w:pPr>
      <w:r w:rsidRPr="00AB09B1">
        <w:rPr>
          <w:rFonts w:ascii="Courier New" w:hAnsi="Courier New" w:cs="Courier New"/>
          <w:bCs/>
        </w:rPr>
        <w:t xml:space="preserve">The average annual Agency cost during the three years of the ICR is estimated to be </w:t>
      </w:r>
      <w:r w:rsidR="0065316C" w:rsidRPr="00C126A0">
        <w:rPr>
          <w:rFonts w:ascii="Courier New" w:hAnsi="Courier New" w:cs="Courier New"/>
          <w:bCs/>
        </w:rPr>
        <w:t>$</w:t>
      </w:r>
      <w:r w:rsidR="008C434D">
        <w:rPr>
          <w:rFonts w:ascii="Courier New" w:hAnsi="Courier New" w:cs="Courier New"/>
          <w:bCs/>
        </w:rPr>
        <w:t>14,661 (325 hours)</w:t>
      </w:r>
      <w:r w:rsidR="0065316C" w:rsidRPr="00C126A0">
        <w:rPr>
          <w:rFonts w:ascii="Courier New" w:hAnsi="Courier New" w:cs="Courier New"/>
          <w:bCs/>
        </w:rPr>
        <w:t>.</w:t>
      </w:r>
    </w:p>
    <w:p w:rsidR="0065316C" w:rsidRPr="00AB09B1" w:rsidRDefault="0065316C" w:rsidP="00AB09B1">
      <w:pPr>
        <w:spacing w:line="360" w:lineRule="auto"/>
        <w:ind w:firstLine="720"/>
        <w:rPr>
          <w:rFonts w:ascii="Courier New" w:hAnsi="Courier New" w:cs="Courier New"/>
          <w:color w:val="000000"/>
        </w:rPr>
      </w:pPr>
      <w:r w:rsidRPr="00AB09B1">
        <w:rPr>
          <w:rFonts w:ascii="Courier New" w:hAnsi="Courier New" w:cs="Courier New"/>
          <w:color w:val="000000"/>
        </w:rPr>
        <w:t>This cost is based on the average hourly labor rate as follows:</w:t>
      </w:r>
    </w:p>
    <w:p w:rsidR="0065316C" w:rsidRPr="00AB09B1" w:rsidRDefault="0065316C" w:rsidP="00AB09B1">
      <w:pPr>
        <w:spacing w:line="360" w:lineRule="auto"/>
        <w:ind w:firstLine="720"/>
        <w:rPr>
          <w:rFonts w:ascii="Courier New" w:hAnsi="Courier New" w:cs="Courier New"/>
          <w:color w:val="000000"/>
        </w:rPr>
      </w:pPr>
    </w:p>
    <w:p w:rsidR="0065316C" w:rsidRPr="00EA6F91" w:rsidRDefault="0065316C" w:rsidP="0065316C">
      <w:pPr>
        <w:pBdr>
          <w:top w:val="single" w:sz="6" w:space="0" w:color="FFFFFF"/>
          <w:left w:val="single" w:sz="6" w:space="0" w:color="FFFFFF"/>
          <w:bottom w:val="single" w:sz="6" w:space="0" w:color="FFFFFF"/>
          <w:right w:val="single" w:sz="6" w:space="0" w:color="FFFFFF"/>
        </w:pBdr>
        <w:tabs>
          <w:tab w:val="left" w:pos="-1440"/>
        </w:tabs>
        <w:ind w:left="2880" w:hanging="2160"/>
        <w:rPr>
          <w:rFonts w:ascii="Courier New" w:hAnsi="Courier New" w:cs="Courier New"/>
          <w:color w:val="000000"/>
        </w:rPr>
      </w:pPr>
      <w:r w:rsidRPr="00EA6F91">
        <w:rPr>
          <w:rFonts w:ascii="Courier New" w:hAnsi="Courier New" w:cs="Courier New"/>
          <w:color w:val="000000"/>
        </w:rPr>
        <w:t xml:space="preserve">           Managerial</w:t>
      </w:r>
      <w:r w:rsidRPr="00EA6F91">
        <w:rPr>
          <w:rFonts w:ascii="Courier New" w:hAnsi="Courier New" w:cs="Courier New"/>
          <w:color w:val="000000"/>
        </w:rPr>
        <w:tab/>
        <w:t xml:space="preserve">$62.27 (GS-13, Step 5, $38.92 + 60%) </w:t>
      </w:r>
    </w:p>
    <w:p w:rsidR="0065316C" w:rsidRPr="00EA6F91" w:rsidRDefault="0065316C" w:rsidP="0065316C">
      <w:pPr>
        <w:pBdr>
          <w:top w:val="single" w:sz="6" w:space="0" w:color="FFFFFF"/>
          <w:left w:val="single" w:sz="6" w:space="0" w:color="FFFFFF"/>
          <w:bottom w:val="single" w:sz="6" w:space="0" w:color="FFFFFF"/>
          <w:right w:val="single" w:sz="6" w:space="0" w:color="FFFFFF"/>
        </w:pBdr>
        <w:tabs>
          <w:tab w:val="left" w:pos="-1440"/>
        </w:tabs>
        <w:ind w:left="2880" w:hanging="2160"/>
        <w:rPr>
          <w:rFonts w:ascii="Courier New" w:hAnsi="Courier New" w:cs="Courier New"/>
          <w:color w:val="000000"/>
        </w:rPr>
      </w:pPr>
      <w:r w:rsidRPr="00EA6F91">
        <w:rPr>
          <w:rFonts w:ascii="Courier New" w:hAnsi="Courier New" w:cs="Courier New"/>
          <w:color w:val="000000"/>
        </w:rPr>
        <w:t xml:space="preserve">           Technical</w:t>
      </w:r>
      <w:r w:rsidRPr="00EA6F91">
        <w:rPr>
          <w:rFonts w:ascii="Courier New" w:hAnsi="Courier New" w:cs="Courier New"/>
          <w:color w:val="000000"/>
        </w:rPr>
        <w:tab/>
        <w:t>$46.21 (GS-12, Step 1, $28.88 + 60%)</w:t>
      </w:r>
    </w:p>
    <w:p w:rsidR="0065316C" w:rsidRPr="00EA6F91" w:rsidRDefault="0065316C" w:rsidP="0065316C">
      <w:pPr>
        <w:pBdr>
          <w:top w:val="single" w:sz="6" w:space="0" w:color="FFFFFF"/>
          <w:left w:val="single" w:sz="6" w:space="0" w:color="FFFFFF"/>
          <w:bottom w:val="single" w:sz="6" w:space="0" w:color="FFFFFF"/>
          <w:right w:val="single" w:sz="6" w:space="0" w:color="FFFFFF"/>
        </w:pBdr>
        <w:tabs>
          <w:tab w:val="left" w:pos="-1440"/>
        </w:tabs>
        <w:ind w:left="2880" w:hanging="2160"/>
        <w:rPr>
          <w:rFonts w:ascii="Courier New" w:hAnsi="Courier New" w:cs="Courier New"/>
          <w:color w:val="000000"/>
        </w:rPr>
      </w:pPr>
      <w:r w:rsidRPr="00EA6F91">
        <w:rPr>
          <w:rFonts w:ascii="Courier New" w:hAnsi="Courier New" w:cs="Courier New"/>
          <w:color w:val="000000"/>
        </w:rPr>
        <w:t xml:space="preserve">           Clerical</w:t>
      </w:r>
      <w:r w:rsidRPr="00EA6F91">
        <w:rPr>
          <w:rFonts w:ascii="Courier New" w:hAnsi="Courier New" w:cs="Courier New"/>
          <w:color w:val="000000"/>
        </w:rPr>
        <w:tab/>
        <w:t>$25.01 (GS-6, Step 3, $15.63 + 60%)</w:t>
      </w:r>
    </w:p>
    <w:p w:rsidR="0065316C" w:rsidRPr="00EA6F91" w:rsidRDefault="0065316C" w:rsidP="0065316C">
      <w:pPr>
        <w:pBdr>
          <w:top w:val="single" w:sz="6" w:space="0" w:color="FFFFFF"/>
          <w:left w:val="single" w:sz="6" w:space="0" w:color="FFFFFF"/>
          <w:bottom w:val="single" w:sz="6" w:space="0" w:color="FFFFFF"/>
          <w:right w:val="single" w:sz="6" w:space="0" w:color="FFFFFF"/>
        </w:pBdr>
        <w:rPr>
          <w:rFonts w:ascii="Courier New" w:hAnsi="Courier New" w:cs="Courier New"/>
          <w:color w:val="000000"/>
        </w:rPr>
      </w:pPr>
    </w:p>
    <w:p w:rsidR="0065316C" w:rsidRPr="00AB09B1" w:rsidRDefault="0065316C" w:rsidP="00AB09B1">
      <w:pPr>
        <w:spacing w:line="360" w:lineRule="auto"/>
        <w:ind w:firstLine="720"/>
        <w:rPr>
          <w:rFonts w:ascii="Courier New" w:hAnsi="Courier New" w:cs="Courier New"/>
          <w:bCs/>
        </w:rPr>
      </w:pPr>
      <w:r w:rsidRPr="00AB09B1">
        <w:rPr>
          <w:rFonts w:ascii="Courier New" w:hAnsi="Courier New" w:cs="Courier New"/>
          <w:color w:val="000000"/>
        </w:rPr>
        <w:t>These rates are from the Office of Personnel Management (OPM), 2011 General Schedule, which excludes locality rates of pay.</w:t>
      </w:r>
      <w:r w:rsidR="005A143F" w:rsidRPr="00AB09B1">
        <w:rPr>
          <w:rFonts w:ascii="Courier New" w:hAnsi="Courier New" w:cs="Courier New"/>
          <w:color w:val="000000"/>
        </w:rPr>
        <w:t xml:space="preserve"> </w:t>
      </w:r>
      <w:r w:rsidRPr="00AB09B1">
        <w:rPr>
          <w:rFonts w:ascii="Courier New" w:hAnsi="Courier New" w:cs="Courier New"/>
          <w:color w:val="000000"/>
        </w:rPr>
        <w:t>The rates have been increased by 60% to account for the benefit packages available to government employees</w:t>
      </w:r>
      <w:r w:rsidRPr="00AB09B1">
        <w:rPr>
          <w:rFonts w:ascii="Courier New" w:hAnsi="Courier New" w:cs="Courier New"/>
        </w:rPr>
        <w:t>.</w:t>
      </w:r>
    </w:p>
    <w:p w:rsidR="006B1DEE" w:rsidRDefault="006B1DEE" w:rsidP="006B1DEE">
      <w:pPr>
        <w:pStyle w:val="Heading2"/>
        <w:spacing w:line="360" w:lineRule="auto"/>
        <w:ind w:firstLine="0"/>
        <w:rPr>
          <w:rFonts w:ascii="Courier New" w:hAnsi="Courier New" w:cs="Courier New"/>
        </w:rPr>
      </w:pPr>
      <w:bookmarkStart w:id="31" w:name="_Toc336985095"/>
    </w:p>
    <w:p w:rsidR="00D34B38" w:rsidRPr="00EA6F91" w:rsidRDefault="00D34B38" w:rsidP="006B1DEE">
      <w:pPr>
        <w:pStyle w:val="Heading2"/>
        <w:spacing w:line="360" w:lineRule="auto"/>
        <w:ind w:firstLine="0"/>
        <w:rPr>
          <w:rFonts w:ascii="Courier New" w:hAnsi="Courier New" w:cs="Courier New"/>
        </w:rPr>
      </w:pPr>
      <w:r w:rsidRPr="00EA6F91">
        <w:rPr>
          <w:rFonts w:ascii="Courier New" w:hAnsi="Courier New" w:cs="Courier New"/>
        </w:rPr>
        <w:t>6(d) Estimating the Respondent Universe and Total Burden and Costs</w:t>
      </w:r>
      <w:bookmarkEnd w:id="31"/>
    </w:p>
    <w:p w:rsidR="00C126A0" w:rsidRDefault="000D76A8" w:rsidP="006B1DEE">
      <w:pPr>
        <w:spacing w:line="360" w:lineRule="auto"/>
        <w:ind w:firstLine="720"/>
        <w:rPr>
          <w:rFonts w:ascii="Courier New" w:hAnsi="Courier New" w:cs="Courier New"/>
        </w:rPr>
      </w:pPr>
      <w:r>
        <w:rPr>
          <w:rFonts w:ascii="Courier New" w:hAnsi="Courier New" w:cs="Courier New"/>
        </w:rPr>
        <w:t>EPA estimates that 5,736</w:t>
      </w:r>
      <w:r w:rsidR="00C126A0" w:rsidRPr="00AB09B1">
        <w:rPr>
          <w:rFonts w:ascii="Courier New" w:hAnsi="Courier New" w:cs="Courier New"/>
        </w:rPr>
        <w:t xml:space="preserve"> respon</w:t>
      </w:r>
      <w:r w:rsidR="00C126A0">
        <w:rPr>
          <w:rFonts w:ascii="Courier New" w:hAnsi="Courier New" w:cs="Courier New"/>
        </w:rPr>
        <w:t xml:space="preserve">dents </w:t>
      </w:r>
      <w:r>
        <w:rPr>
          <w:rFonts w:ascii="Courier New" w:hAnsi="Courier New" w:cs="Courier New"/>
        </w:rPr>
        <w:t xml:space="preserve">will </w:t>
      </w:r>
      <w:r w:rsidR="00C126A0">
        <w:rPr>
          <w:rFonts w:ascii="Courier New" w:hAnsi="Courier New" w:cs="Courier New"/>
        </w:rPr>
        <w:t xml:space="preserve">complete </w:t>
      </w:r>
      <w:r w:rsidR="00C126A0" w:rsidRPr="00EA6F91">
        <w:rPr>
          <w:rFonts w:ascii="Courier New" w:hAnsi="Courier New" w:cs="Courier New"/>
        </w:rPr>
        <w:t>the one-time activity of training to use the verification tool</w:t>
      </w:r>
      <w:r w:rsidR="00B07EA5">
        <w:rPr>
          <w:rFonts w:ascii="Courier New" w:hAnsi="Courier New" w:cs="Courier New"/>
        </w:rPr>
        <w:t xml:space="preserve">, and that </w:t>
      </w:r>
      <w:r w:rsidR="007D507D">
        <w:rPr>
          <w:rFonts w:ascii="Courier New" w:hAnsi="Courier New" w:cs="Courier New"/>
        </w:rPr>
        <w:t xml:space="preserve">the burden and costs for such respondents </w:t>
      </w:r>
      <w:r w:rsidR="007D507D" w:rsidRPr="00AB09B1">
        <w:rPr>
          <w:rFonts w:ascii="Courier New" w:hAnsi="Courier New" w:cs="Courier New"/>
        </w:rPr>
        <w:t>over the three years covered by this information collection</w:t>
      </w:r>
      <w:r w:rsidR="007D507D">
        <w:rPr>
          <w:rFonts w:ascii="Courier New" w:hAnsi="Courier New" w:cs="Courier New"/>
        </w:rPr>
        <w:t xml:space="preserve"> are </w:t>
      </w:r>
      <w:r w:rsidR="0087264C">
        <w:rPr>
          <w:rFonts w:ascii="Courier New" w:hAnsi="Courier New" w:cs="Courier New"/>
        </w:rPr>
        <w:t>6,596</w:t>
      </w:r>
      <w:r w:rsidR="007D507D">
        <w:rPr>
          <w:rFonts w:ascii="Courier New" w:hAnsi="Courier New" w:cs="Courier New"/>
        </w:rPr>
        <w:t xml:space="preserve"> hours and $</w:t>
      </w:r>
      <w:r w:rsidR="0087264C">
        <w:rPr>
          <w:rFonts w:ascii="Courier New" w:hAnsi="Courier New" w:cs="Courier New"/>
        </w:rPr>
        <w:t>379,244</w:t>
      </w:r>
      <w:r w:rsidR="007D507D">
        <w:rPr>
          <w:rFonts w:ascii="Courier New" w:hAnsi="Courier New" w:cs="Courier New"/>
        </w:rPr>
        <w:t xml:space="preserve">. EPA estimates that </w:t>
      </w:r>
      <w:r w:rsidR="00B07EA5">
        <w:rPr>
          <w:rFonts w:ascii="Courier New" w:hAnsi="Courier New" w:cs="Courier New"/>
        </w:rPr>
        <w:t>78</w:t>
      </w:r>
      <w:r w:rsidR="006A45EF">
        <w:rPr>
          <w:rFonts w:ascii="Courier New" w:hAnsi="Courier New" w:cs="Courier New"/>
        </w:rPr>
        <w:t>1</w:t>
      </w:r>
      <w:r w:rsidR="00C126A0">
        <w:rPr>
          <w:rFonts w:ascii="Courier New" w:hAnsi="Courier New" w:cs="Courier New"/>
        </w:rPr>
        <w:t xml:space="preserve"> respondents per year </w:t>
      </w:r>
      <w:r w:rsidR="00B07EA5">
        <w:rPr>
          <w:rFonts w:ascii="Courier New" w:hAnsi="Courier New" w:cs="Courier New"/>
        </w:rPr>
        <w:t xml:space="preserve">will </w:t>
      </w:r>
      <w:r w:rsidR="00C126A0">
        <w:rPr>
          <w:rFonts w:ascii="Courier New" w:hAnsi="Courier New" w:cs="Courier New"/>
        </w:rPr>
        <w:t xml:space="preserve">complete </w:t>
      </w:r>
      <w:r w:rsidR="00C126A0" w:rsidRPr="00EA6F91">
        <w:rPr>
          <w:rFonts w:ascii="Courier New" w:hAnsi="Courier New" w:cs="Courier New"/>
        </w:rPr>
        <w:t xml:space="preserve">the </w:t>
      </w:r>
      <w:r w:rsidR="00C126A0">
        <w:rPr>
          <w:rFonts w:ascii="Courier New" w:hAnsi="Courier New" w:cs="Courier New"/>
        </w:rPr>
        <w:t xml:space="preserve">annual activity of reporting the </w:t>
      </w:r>
      <w:r w:rsidR="00B07EA5">
        <w:rPr>
          <w:rFonts w:ascii="Courier New" w:hAnsi="Courier New" w:cs="Courier New"/>
        </w:rPr>
        <w:t xml:space="preserve">proposed </w:t>
      </w:r>
      <w:r w:rsidR="00C126A0" w:rsidRPr="00EA6F91">
        <w:rPr>
          <w:rFonts w:ascii="Courier New" w:hAnsi="Courier New" w:cs="Courier New"/>
        </w:rPr>
        <w:t>new data elements</w:t>
      </w:r>
      <w:r w:rsidR="007D507D">
        <w:rPr>
          <w:rFonts w:ascii="Courier New" w:hAnsi="Courier New" w:cs="Courier New"/>
        </w:rPr>
        <w:t>,</w:t>
      </w:r>
      <w:r w:rsidR="007D507D" w:rsidRPr="007D507D">
        <w:rPr>
          <w:rFonts w:ascii="Courier New" w:hAnsi="Courier New" w:cs="Courier New"/>
        </w:rPr>
        <w:t xml:space="preserve"> </w:t>
      </w:r>
      <w:r w:rsidR="007D507D">
        <w:rPr>
          <w:rFonts w:ascii="Courier New" w:hAnsi="Courier New" w:cs="Courier New"/>
        </w:rPr>
        <w:t xml:space="preserve">and that the burden and costs for such respondents </w:t>
      </w:r>
      <w:r w:rsidR="007D507D" w:rsidRPr="00AB09B1">
        <w:rPr>
          <w:rFonts w:ascii="Courier New" w:hAnsi="Courier New" w:cs="Courier New"/>
        </w:rPr>
        <w:t>over the three years covered by this information collection</w:t>
      </w:r>
      <w:r w:rsidR="007D507D">
        <w:rPr>
          <w:rFonts w:ascii="Courier New" w:hAnsi="Courier New" w:cs="Courier New"/>
        </w:rPr>
        <w:t xml:space="preserve"> are </w:t>
      </w:r>
      <w:r w:rsidR="0087264C">
        <w:rPr>
          <w:rFonts w:ascii="Courier New" w:hAnsi="Courier New" w:cs="Courier New"/>
        </w:rPr>
        <w:t>4,190</w:t>
      </w:r>
      <w:r w:rsidR="007D507D">
        <w:rPr>
          <w:rFonts w:ascii="Courier New" w:hAnsi="Courier New" w:cs="Courier New"/>
        </w:rPr>
        <w:t xml:space="preserve"> hours and $</w:t>
      </w:r>
      <w:r w:rsidR="006A45EF">
        <w:rPr>
          <w:rFonts w:ascii="Courier New" w:hAnsi="Courier New" w:cs="Courier New"/>
        </w:rPr>
        <w:t>240</w:t>
      </w:r>
      <w:r w:rsidR="00B87C8D">
        <w:rPr>
          <w:rFonts w:ascii="Courier New" w:hAnsi="Courier New" w:cs="Courier New"/>
        </w:rPr>
        <w:t>,8</w:t>
      </w:r>
      <w:r w:rsidR="006A45EF">
        <w:rPr>
          <w:rFonts w:ascii="Courier New" w:hAnsi="Courier New" w:cs="Courier New"/>
        </w:rPr>
        <w:t>9</w:t>
      </w:r>
      <w:r w:rsidR="0087264C">
        <w:rPr>
          <w:rFonts w:ascii="Courier New" w:hAnsi="Courier New" w:cs="Courier New"/>
        </w:rPr>
        <w:t>5</w:t>
      </w:r>
      <w:r w:rsidR="00C126A0" w:rsidRPr="00AB09B1">
        <w:rPr>
          <w:rFonts w:ascii="Courier New" w:hAnsi="Courier New" w:cs="Courier New"/>
        </w:rPr>
        <w:t>.</w:t>
      </w:r>
      <w:r w:rsidR="00C126A0" w:rsidRPr="00C714D7">
        <w:rPr>
          <w:rFonts w:ascii="Courier New" w:hAnsi="Courier New" w:cs="Courier New"/>
        </w:rPr>
        <w:t xml:space="preserve"> </w:t>
      </w:r>
      <w:r w:rsidR="007D507D">
        <w:rPr>
          <w:rFonts w:ascii="Courier New" w:hAnsi="Courier New" w:cs="Courier New"/>
        </w:rPr>
        <w:t>Based on these</w:t>
      </w:r>
      <w:r w:rsidR="00B07EA5">
        <w:rPr>
          <w:rFonts w:ascii="Courier New" w:hAnsi="Courier New" w:cs="Courier New"/>
        </w:rPr>
        <w:t xml:space="preserve"> estimates</w:t>
      </w:r>
      <w:r w:rsidR="007D507D">
        <w:rPr>
          <w:rFonts w:ascii="Courier New" w:hAnsi="Courier New" w:cs="Courier New"/>
        </w:rPr>
        <w:t>,</w:t>
      </w:r>
      <w:r w:rsidR="00B07EA5">
        <w:rPr>
          <w:rFonts w:ascii="Courier New" w:hAnsi="Courier New" w:cs="Courier New"/>
        </w:rPr>
        <w:t xml:space="preserve"> the </w:t>
      </w:r>
      <w:r w:rsidR="00C126A0">
        <w:rPr>
          <w:rFonts w:ascii="Courier New" w:hAnsi="Courier New" w:cs="Courier New"/>
        </w:rPr>
        <w:t xml:space="preserve">total burden and costs for all respondents </w:t>
      </w:r>
      <w:r w:rsidR="00C126A0" w:rsidRPr="00AB09B1">
        <w:rPr>
          <w:rFonts w:ascii="Courier New" w:hAnsi="Courier New" w:cs="Courier New"/>
        </w:rPr>
        <w:t>over the three years covered by this information collection</w:t>
      </w:r>
      <w:r w:rsidR="00B07EA5">
        <w:rPr>
          <w:rFonts w:ascii="Courier New" w:hAnsi="Courier New" w:cs="Courier New"/>
        </w:rPr>
        <w:t xml:space="preserve"> </w:t>
      </w:r>
      <w:r w:rsidR="006B3A1D">
        <w:rPr>
          <w:rFonts w:ascii="Courier New" w:hAnsi="Courier New" w:cs="Courier New"/>
        </w:rPr>
        <w:t>would be</w:t>
      </w:r>
      <w:r w:rsidR="00B07EA5">
        <w:rPr>
          <w:rFonts w:ascii="Courier New" w:hAnsi="Courier New" w:cs="Courier New"/>
        </w:rPr>
        <w:t xml:space="preserve"> </w:t>
      </w:r>
      <w:r w:rsidR="004522A4">
        <w:rPr>
          <w:rFonts w:ascii="Courier New" w:hAnsi="Courier New" w:cs="Courier New"/>
        </w:rPr>
        <w:t>10,786</w:t>
      </w:r>
      <w:r w:rsidR="00B07EA5">
        <w:rPr>
          <w:rFonts w:ascii="Courier New" w:hAnsi="Courier New" w:cs="Courier New"/>
        </w:rPr>
        <w:t xml:space="preserve"> hours and $</w:t>
      </w:r>
      <w:r w:rsidR="004522A4">
        <w:rPr>
          <w:rFonts w:ascii="Courier New" w:hAnsi="Courier New" w:cs="Courier New"/>
        </w:rPr>
        <w:t>620,140</w:t>
      </w:r>
      <w:r w:rsidR="00C126A0" w:rsidRPr="00AB09B1">
        <w:rPr>
          <w:rFonts w:ascii="Courier New" w:hAnsi="Courier New" w:cs="Courier New"/>
        </w:rPr>
        <w:t>.</w:t>
      </w:r>
    </w:p>
    <w:p w:rsidR="006B1DEE" w:rsidRDefault="006B1DEE" w:rsidP="006B1DEE">
      <w:pPr>
        <w:pStyle w:val="Heading2"/>
        <w:spacing w:line="360" w:lineRule="auto"/>
        <w:ind w:firstLine="0"/>
        <w:rPr>
          <w:rFonts w:ascii="Courier New" w:hAnsi="Courier New" w:cs="Courier New"/>
        </w:rPr>
      </w:pPr>
      <w:bookmarkStart w:id="32" w:name="_Toc336985096"/>
    </w:p>
    <w:p w:rsidR="006E60EE" w:rsidRPr="00EA6F91" w:rsidRDefault="00D34B38" w:rsidP="006B1DEE">
      <w:pPr>
        <w:pStyle w:val="Heading2"/>
        <w:spacing w:line="360" w:lineRule="auto"/>
        <w:ind w:firstLine="0"/>
        <w:rPr>
          <w:rFonts w:ascii="Courier New" w:hAnsi="Courier New" w:cs="Courier New"/>
        </w:rPr>
      </w:pPr>
      <w:r w:rsidRPr="00EA6F91">
        <w:rPr>
          <w:rFonts w:ascii="Courier New" w:hAnsi="Courier New" w:cs="Courier New"/>
        </w:rPr>
        <w:t>6(e) Bottom Line Burden Hours and Costs</w:t>
      </w:r>
      <w:bookmarkEnd w:id="32"/>
    </w:p>
    <w:p w:rsidR="00D2425D" w:rsidRPr="006B1DEE" w:rsidRDefault="00D2425D" w:rsidP="006B1DEE">
      <w:pPr>
        <w:spacing w:line="360" w:lineRule="auto"/>
        <w:ind w:firstLine="720"/>
        <w:rPr>
          <w:rFonts w:ascii="Courier New" w:hAnsi="Courier New" w:cs="Courier New"/>
          <w:color w:val="000000"/>
        </w:rPr>
      </w:pPr>
      <w:r w:rsidRPr="006B1DEE">
        <w:rPr>
          <w:rFonts w:ascii="Courier New" w:hAnsi="Courier New" w:cs="Courier New"/>
          <w:bCs/>
          <w:color w:val="000000"/>
        </w:rPr>
        <w:t xml:space="preserve">(i) </w:t>
      </w:r>
      <w:r w:rsidRPr="006B1DEE">
        <w:rPr>
          <w:rFonts w:ascii="Courier New" w:hAnsi="Courier New" w:cs="Courier New"/>
          <w:bCs/>
          <w:color w:val="000000"/>
          <w:u w:val="single"/>
        </w:rPr>
        <w:t>Respondent Tally</w:t>
      </w:r>
      <w:r w:rsidR="006B1DEE" w:rsidRPr="006B1DEE">
        <w:rPr>
          <w:rFonts w:ascii="Courier New" w:hAnsi="Courier New" w:cs="Courier New"/>
          <w:bCs/>
          <w:color w:val="000000"/>
        </w:rPr>
        <w:t>.</w:t>
      </w:r>
      <w:r w:rsidR="006B1DEE">
        <w:rPr>
          <w:rFonts w:ascii="Courier New" w:hAnsi="Courier New" w:cs="Courier New"/>
          <w:bCs/>
          <w:color w:val="000000"/>
        </w:rPr>
        <w:t xml:space="preserve"> </w:t>
      </w:r>
      <w:r w:rsidR="00176098">
        <w:rPr>
          <w:rFonts w:ascii="Courier New" w:hAnsi="Courier New" w:cs="Courier New"/>
          <w:bCs/>
          <w:color w:val="000000"/>
        </w:rPr>
        <w:t xml:space="preserve">A breakdown for each of the proposed collection, reporting, and recordkeeping activities is presented in Attachment 1. </w:t>
      </w:r>
      <w:r w:rsidR="00664DAC">
        <w:rPr>
          <w:rFonts w:ascii="Courier New" w:hAnsi="Courier New" w:cs="Courier New"/>
          <w:bCs/>
          <w:color w:val="000000"/>
        </w:rPr>
        <w:t xml:space="preserve">EPA estimates </w:t>
      </w:r>
      <w:r w:rsidR="00664DAC">
        <w:rPr>
          <w:rFonts w:ascii="Courier New" w:hAnsi="Courier New" w:cs="Courier New"/>
          <w:color w:val="000000"/>
        </w:rPr>
        <w:t>t</w:t>
      </w:r>
      <w:r w:rsidRPr="006B1DEE">
        <w:rPr>
          <w:rFonts w:ascii="Courier New" w:hAnsi="Courier New" w:cs="Courier New"/>
          <w:color w:val="000000"/>
        </w:rPr>
        <w:t xml:space="preserve">he </w:t>
      </w:r>
      <w:r w:rsidR="00092E90" w:rsidRPr="006B1DEE">
        <w:rPr>
          <w:rFonts w:ascii="Courier New" w:hAnsi="Courier New" w:cs="Courier New"/>
          <w:color w:val="000000"/>
        </w:rPr>
        <w:t xml:space="preserve">average </w:t>
      </w:r>
      <w:r w:rsidRPr="006B1DEE">
        <w:rPr>
          <w:rFonts w:ascii="Courier New" w:hAnsi="Courier New" w:cs="Courier New"/>
          <w:color w:val="000000"/>
        </w:rPr>
        <w:t xml:space="preserve">annual </w:t>
      </w:r>
      <w:r w:rsidR="00092E90" w:rsidRPr="006B1DEE">
        <w:rPr>
          <w:rFonts w:ascii="Courier New" w:hAnsi="Courier New" w:cs="Courier New"/>
          <w:color w:val="000000"/>
        </w:rPr>
        <w:t xml:space="preserve">respondent burden and cost over the three years </w:t>
      </w:r>
      <w:r w:rsidR="00664DAC">
        <w:rPr>
          <w:rFonts w:ascii="Courier New" w:hAnsi="Courier New" w:cs="Courier New"/>
          <w:color w:val="000000"/>
        </w:rPr>
        <w:t>of this information collection</w:t>
      </w:r>
      <w:r w:rsidR="00092E90" w:rsidRPr="006B1DEE">
        <w:rPr>
          <w:rFonts w:ascii="Courier New" w:hAnsi="Courier New" w:cs="Courier New"/>
          <w:color w:val="000000"/>
        </w:rPr>
        <w:t xml:space="preserve"> to </w:t>
      </w:r>
      <w:r w:rsidR="00092E90" w:rsidRPr="00664DAC">
        <w:rPr>
          <w:rFonts w:ascii="Courier New" w:hAnsi="Courier New" w:cs="Courier New"/>
          <w:color w:val="000000"/>
        </w:rPr>
        <w:t xml:space="preserve">be </w:t>
      </w:r>
      <w:r w:rsidR="007A2D98">
        <w:rPr>
          <w:rFonts w:ascii="Courier New" w:hAnsi="Courier New" w:cs="Courier New"/>
          <w:color w:val="000000"/>
        </w:rPr>
        <w:t>2,199</w:t>
      </w:r>
      <w:r w:rsidR="00B634D3">
        <w:rPr>
          <w:rFonts w:ascii="Courier New" w:hAnsi="Courier New" w:cs="Courier New"/>
          <w:color w:val="000000"/>
        </w:rPr>
        <w:t xml:space="preserve"> labor hours at a cost of $</w:t>
      </w:r>
      <w:r w:rsidR="007A2D98">
        <w:rPr>
          <w:rFonts w:ascii="Courier New" w:hAnsi="Courier New" w:cs="Courier New"/>
          <w:color w:val="000000"/>
        </w:rPr>
        <w:t>189,622</w:t>
      </w:r>
      <w:r w:rsidR="00B634D3">
        <w:rPr>
          <w:rFonts w:ascii="Courier New" w:hAnsi="Courier New" w:cs="Courier New"/>
          <w:color w:val="000000"/>
        </w:rPr>
        <w:t xml:space="preserve"> </w:t>
      </w:r>
      <w:r w:rsidR="007A2D98">
        <w:rPr>
          <w:rFonts w:ascii="Courier New" w:hAnsi="Courier New" w:cs="Courier New"/>
          <w:color w:val="000000"/>
        </w:rPr>
        <w:t xml:space="preserve">per year </w:t>
      </w:r>
      <w:r w:rsidR="00B634D3">
        <w:rPr>
          <w:rFonts w:ascii="Courier New" w:hAnsi="Courier New" w:cs="Courier New"/>
          <w:color w:val="000000"/>
        </w:rPr>
        <w:t xml:space="preserve">for the one-time activity of </w:t>
      </w:r>
      <w:r w:rsidR="006A45EF" w:rsidRPr="00EA6F91">
        <w:rPr>
          <w:rFonts w:ascii="Courier New" w:hAnsi="Courier New" w:cs="Courier New"/>
        </w:rPr>
        <w:t>training to use the verification tool</w:t>
      </w:r>
      <w:r w:rsidR="00B634D3">
        <w:rPr>
          <w:rFonts w:ascii="Courier New" w:hAnsi="Courier New" w:cs="Courier New"/>
          <w:color w:val="000000"/>
        </w:rPr>
        <w:t xml:space="preserve"> and </w:t>
      </w:r>
      <w:r w:rsidR="007A2D98">
        <w:rPr>
          <w:rFonts w:ascii="Courier New" w:hAnsi="Courier New" w:cs="Courier New"/>
          <w:color w:val="000000"/>
        </w:rPr>
        <w:t>1,397</w:t>
      </w:r>
      <w:r w:rsidR="00B634D3">
        <w:rPr>
          <w:rFonts w:ascii="Courier New" w:hAnsi="Courier New" w:cs="Courier New"/>
          <w:color w:val="000000"/>
        </w:rPr>
        <w:t xml:space="preserve"> labor hours at a cost of $</w:t>
      </w:r>
      <w:r w:rsidR="006A45EF">
        <w:rPr>
          <w:rFonts w:ascii="Courier New" w:hAnsi="Courier New" w:cs="Courier New"/>
          <w:color w:val="000000"/>
        </w:rPr>
        <w:t>80,298</w:t>
      </w:r>
      <w:r w:rsidR="00B634D3">
        <w:rPr>
          <w:rFonts w:ascii="Courier New" w:hAnsi="Courier New" w:cs="Courier New"/>
          <w:color w:val="000000"/>
        </w:rPr>
        <w:t xml:space="preserve"> </w:t>
      </w:r>
      <w:r w:rsidR="007A2D98">
        <w:rPr>
          <w:rFonts w:ascii="Courier New" w:hAnsi="Courier New" w:cs="Courier New"/>
          <w:color w:val="000000"/>
        </w:rPr>
        <w:t xml:space="preserve">per year </w:t>
      </w:r>
      <w:r w:rsidR="00B634D3">
        <w:rPr>
          <w:rFonts w:ascii="Courier New" w:hAnsi="Courier New" w:cs="Courier New"/>
          <w:color w:val="000000"/>
        </w:rPr>
        <w:t xml:space="preserve">for the annual activity of </w:t>
      </w:r>
      <w:r w:rsidR="006A45EF">
        <w:rPr>
          <w:rFonts w:ascii="Courier New" w:hAnsi="Courier New" w:cs="Courier New"/>
        </w:rPr>
        <w:t xml:space="preserve">reporting the proposed </w:t>
      </w:r>
      <w:r w:rsidR="006A45EF" w:rsidRPr="00EA6F91">
        <w:rPr>
          <w:rFonts w:ascii="Courier New" w:hAnsi="Courier New" w:cs="Courier New"/>
        </w:rPr>
        <w:t>new data elements</w:t>
      </w:r>
      <w:r w:rsidR="00B634D3">
        <w:rPr>
          <w:rFonts w:ascii="Courier New" w:hAnsi="Courier New" w:cs="Courier New"/>
          <w:color w:val="000000"/>
        </w:rPr>
        <w:t xml:space="preserve">. Based on these estimates, the </w:t>
      </w:r>
      <w:r w:rsidR="00B634D3" w:rsidRPr="006B1DEE">
        <w:rPr>
          <w:rFonts w:ascii="Courier New" w:hAnsi="Courier New" w:cs="Courier New"/>
          <w:color w:val="000000"/>
        </w:rPr>
        <w:t xml:space="preserve">average annual respondent burden and cost over the three years </w:t>
      </w:r>
      <w:r w:rsidR="00B634D3">
        <w:rPr>
          <w:rFonts w:ascii="Courier New" w:hAnsi="Courier New" w:cs="Courier New"/>
          <w:color w:val="000000"/>
        </w:rPr>
        <w:t>of this information collection</w:t>
      </w:r>
      <w:r w:rsidR="00B634D3" w:rsidRPr="00664DAC">
        <w:rPr>
          <w:rFonts w:ascii="Courier New" w:hAnsi="Courier New" w:cs="Courier New"/>
          <w:color w:val="000000"/>
        </w:rPr>
        <w:t xml:space="preserve"> </w:t>
      </w:r>
      <w:r w:rsidR="00B634D3">
        <w:rPr>
          <w:rFonts w:ascii="Courier New" w:hAnsi="Courier New" w:cs="Courier New"/>
          <w:color w:val="000000"/>
        </w:rPr>
        <w:t xml:space="preserve">would be </w:t>
      </w:r>
      <w:r w:rsidR="007A2D98">
        <w:rPr>
          <w:rFonts w:ascii="Courier New" w:hAnsi="Courier New" w:cs="Courier New"/>
          <w:color w:val="000000"/>
        </w:rPr>
        <w:t>3,595</w:t>
      </w:r>
      <w:r w:rsidR="00092E90" w:rsidRPr="006B1DEE">
        <w:rPr>
          <w:rFonts w:ascii="Courier New" w:hAnsi="Courier New" w:cs="Courier New"/>
          <w:color w:val="000000"/>
        </w:rPr>
        <w:t xml:space="preserve"> labor hours at a cost of $</w:t>
      </w:r>
      <w:r w:rsidR="007A2D98">
        <w:rPr>
          <w:rFonts w:ascii="Courier New" w:hAnsi="Courier New" w:cs="Courier New"/>
          <w:color w:val="000000"/>
        </w:rPr>
        <w:t>206,713</w:t>
      </w:r>
      <w:r w:rsidR="00BC778F">
        <w:rPr>
          <w:rFonts w:ascii="Courier New" w:hAnsi="Courier New" w:cs="Courier New"/>
          <w:color w:val="000000"/>
        </w:rPr>
        <w:t xml:space="preserve"> per year</w:t>
      </w:r>
      <w:r w:rsidR="00954CDB" w:rsidRPr="006B1DEE">
        <w:rPr>
          <w:rFonts w:ascii="Courier New" w:hAnsi="Courier New" w:cs="Courier New"/>
          <w:color w:val="000000"/>
        </w:rPr>
        <w:t>.</w:t>
      </w:r>
    </w:p>
    <w:p w:rsidR="00BB2048" w:rsidRPr="006B1DEE" w:rsidRDefault="00D2425D" w:rsidP="006B1DEE">
      <w:pPr>
        <w:spacing w:line="360" w:lineRule="auto"/>
        <w:ind w:firstLine="720"/>
        <w:rPr>
          <w:rFonts w:ascii="Courier New" w:hAnsi="Courier New" w:cs="Courier New"/>
          <w:b/>
          <w:bCs/>
          <w:color w:val="000000"/>
        </w:rPr>
      </w:pPr>
      <w:r w:rsidRPr="006B1DEE">
        <w:rPr>
          <w:rFonts w:ascii="Courier New" w:hAnsi="Courier New" w:cs="Courier New"/>
          <w:bCs/>
          <w:color w:val="000000"/>
        </w:rPr>
        <w:t xml:space="preserve">(ii) </w:t>
      </w:r>
      <w:r w:rsidRPr="006B1DEE">
        <w:rPr>
          <w:rFonts w:ascii="Courier New" w:hAnsi="Courier New" w:cs="Courier New"/>
          <w:bCs/>
          <w:color w:val="000000"/>
          <w:u w:val="single"/>
        </w:rPr>
        <w:t>The Agency Tally</w:t>
      </w:r>
      <w:r w:rsidR="006B1DEE" w:rsidRPr="006B1DEE">
        <w:rPr>
          <w:rFonts w:ascii="Courier New" w:hAnsi="Courier New" w:cs="Courier New"/>
          <w:bCs/>
          <w:color w:val="000000"/>
        </w:rPr>
        <w:t xml:space="preserve">. </w:t>
      </w:r>
      <w:r w:rsidR="00176098">
        <w:rPr>
          <w:rFonts w:ascii="Courier New" w:hAnsi="Courier New" w:cs="Courier New"/>
          <w:bCs/>
          <w:color w:val="000000"/>
        </w:rPr>
        <w:t xml:space="preserve">The bottom line Agency burden hours and costs are presented in Attachment 2. </w:t>
      </w:r>
      <w:r w:rsidRPr="006B1DEE">
        <w:rPr>
          <w:rFonts w:ascii="Courier New" w:hAnsi="Courier New" w:cs="Courier New"/>
          <w:color w:val="000000"/>
        </w:rPr>
        <w:t xml:space="preserve">The average annual </w:t>
      </w:r>
      <w:r w:rsidRPr="006B1DEE">
        <w:rPr>
          <w:rFonts w:ascii="Courier New" w:hAnsi="Courier New" w:cs="Courier New"/>
          <w:color w:val="000000"/>
        </w:rPr>
        <w:lastRenderedPageBreak/>
        <w:t xml:space="preserve">Agency burden and cost over </w:t>
      </w:r>
      <w:r w:rsidR="00196DE2" w:rsidRPr="006B1DEE">
        <w:rPr>
          <w:rFonts w:ascii="Courier New" w:hAnsi="Courier New" w:cs="Courier New"/>
          <w:color w:val="000000"/>
        </w:rPr>
        <w:t xml:space="preserve">the </w:t>
      </w:r>
      <w:r w:rsidRPr="006B1DEE">
        <w:rPr>
          <w:rFonts w:ascii="Courier New" w:hAnsi="Courier New" w:cs="Courier New"/>
          <w:color w:val="000000"/>
        </w:rPr>
        <w:t xml:space="preserve">three years </w:t>
      </w:r>
      <w:r w:rsidR="00664DAC">
        <w:rPr>
          <w:rFonts w:ascii="Courier New" w:hAnsi="Courier New" w:cs="Courier New"/>
          <w:color w:val="000000"/>
        </w:rPr>
        <w:t>of this information collection</w:t>
      </w:r>
      <w:r w:rsidRPr="006B1DEE">
        <w:rPr>
          <w:rFonts w:ascii="Courier New" w:hAnsi="Courier New" w:cs="Courier New"/>
          <w:color w:val="000000"/>
        </w:rPr>
        <w:t xml:space="preserve"> </w:t>
      </w:r>
      <w:r w:rsidR="00B634D3">
        <w:rPr>
          <w:rFonts w:ascii="Courier New" w:hAnsi="Courier New" w:cs="Courier New"/>
          <w:color w:val="000000"/>
        </w:rPr>
        <w:t>would</w:t>
      </w:r>
      <w:r w:rsidRPr="006B1DEE">
        <w:rPr>
          <w:rFonts w:ascii="Courier New" w:hAnsi="Courier New" w:cs="Courier New"/>
          <w:color w:val="000000"/>
        </w:rPr>
        <w:t xml:space="preserve"> be </w:t>
      </w:r>
      <w:r w:rsidR="00FF0D8A">
        <w:rPr>
          <w:rFonts w:ascii="Courier New" w:hAnsi="Courier New" w:cs="Courier New"/>
          <w:color w:val="000000"/>
        </w:rPr>
        <w:t>325</w:t>
      </w:r>
      <w:r w:rsidRPr="00664DAC">
        <w:rPr>
          <w:rFonts w:ascii="Courier New" w:hAnsi="Courier New" w:cs="Courier New"/>
          <w:color w:val="000000"/>
        </w:rPr>
        <w:t xml:space="preserve"> labor hours at a cost of </w:t>
      </w:r>
      <w:r w:rsidR="00196DE2" w:rsidRPr="00664DAC">
        <w:rPr>
          <w:rFonts w:ascii="Courier New" w:hAnsi="Courier New" w:cs="Courier New"/>
          <w:color w:val="000000"/>
        </w:rPr>
        <w:t>$</w:t>
      </w:r>
      <w:r w:rsidR="00852E7E">
        <w:rPr>
          <w:rFonts w:ascii="Courier New" w:hAnsi="Courier New" w:cs="Courier New"/>
          <w:color w:val="000000"/>
        </w:rPr>
        <w:t>1</w:t>
      </w:r>
      <w:r w:rsidR="00FF0D8A">
        <w:rPr>
          <w:rFonts w:ascii="Courier New" w:hAnsi="Courier New" w:cs="Courier New"/>
          <w:color w:val="000000"/>
        </w:rPr>
        <w:t>4,661</w:t>
      </w:r>
      <w:r w:rsidRPr="00664DAC">
        <w:rPr>
          <w:rFonts w:ascii="Courier New" w:hAnsi="Courier New" w:cs="Courier New"/>
          <w:color w:val="000000"/>
        </w:rPr>
        <w:t>.</w:t>
      </w:r>
      <w:bookmarkStart w:id="33" w:name="_Toc199057246"/>
      <w:r w:rsidR="00BB2048" w:rsidRPr="006B1DEE">
        <w:rPr>
          <w:rFonts w:ascii="Courier New" w:hAnsi="Courier New" w:cs="Courier New"/>
          <w:b/>
          <w:bCs/>
          <w:color w:val="000000"/>
        </w:rPr>
        <w:tab/>
      </w:r>
    </w:p>
    <w:p w:rsidR="00196DE2" w:rsidRPr="006B1DEE" w:rsidRDefault="00196DE2" w:rsidP="006B1DEE">
      <w:pPr>
        <w:spacing w:line="360" w:lineRule="auto"/>
        <w:ind w:firstLine="720"/>
        <w:rPr>
          <w:rFonts w:ascii="Courier New" w:hAnsi="Courier New" w:cs="Courier New"/>
          <w:color w:val="000000"/>
        </w:rPr>
      </w:pPr>
    </w:p>
    <w:p w:rsidR="00BB2048" w:rsidRPr="006B1DEE" w:rsidRDefault="00BB2048" w:rsidP="006B1DEE">
      <w:pPr>
        <w:spacing w:line="360" w:lineRule="auto"/>
        <w:rPr>
          <w:rFonts w:ascii="Courier New" w:hAnsi="Courier New" w:cs="Courier New"/>
          <w:b/>
        </w:rPr>
      </w:pPr>
      <w:bookmarkStart w:id="34" w:name="_Toc336985097"/>
      <w:r w:rsidRPr="006B1DEE">
        <w:rPr>
          <w:rFonts w:ascii="Courier New" w:hAnsi="Courier New" w:cs="Courier New"/>
          <w:b/>
        </w:rPr>
        <w:t>6(f)</w:t>
      </w:r>
      <w:r w:rsidRPr="006B1DEE">
        <w:rPr>
          <w:rFonts w:ascii="Courier New" w:hAnsi="Courier New" w:cs="Courier New"/>
          <w:b/>
        </w:rPr>
        <w:tab/>
        <w:t>Reasons for Change in Burden</w:t>
      </w:r>
      <w:bookmarkEnd w:id="33"/>
      <w:bookmarkEnd w:id="34"/>
    </w:p>
    <w:p w:rsidR="006E2F35" w:rsidRPr="00AB09B1" w:rsidRDefault="00CB3168" w:rsidP="006B1DEE">
      <w:pPr>
        <w:spacing w:line="360" w:lineRule="auto"/>
        <w:ind w:firstLine="720"/>
        <w:rPr>
          <w:rFonts w:ascii="Courier New" w:hAnsi="Courier New" w:cs="Courier New"/>
          <w:color w:val="000000"/>
        </w:rPr>
      </w:pPr>
      <w:r>
        <w:rPr>
          <w:rFonts w:ascii="Courier New" w:hAnsi="Courier New" w:cs="Courier New"/>
          <w:color w:val="000000"/>
        </w:rPr>
        <w:t>The overall reporting for Part 98 would increase slightly</w:t>
      </w:r>
      <w:r w:rsidRPr="00CB3168">
        <w:rPr>
          <w:rFonts w:ascii="Courier New" w:hAnsi="Courier New" w:cs="Courier New"/>
          <w:color w:val="000000"/>
        </w:rPr>
        <w:t xml:space="preserve"> </w:t>
      </w:r>
      <w:r>
        <w:rPr>
          <w:rFonts w:ascii="Courier New" w:hAnsi="Courier New" w:cs="Courier New"/>
          <w:color w:val="000000"/>
        </w:rPr>
        <w:t xml:space="preserve">due to these proposed revisions to Part 98. Refer to section 4 for a summary of the </w:t>
      </w:r>
      <w:r w:rsidR="002A6D02">
        <w:rPr>
          <w:rFonts w:ascii="Courier New" w:hAnsi="Courier New" w:cs="Courier New"/>
          <w:color w:val="000000"/>
        </w:rPr>
        <w:t xml:space="preserve">proposed new data </w:t>
      </w:r>
      <w:r w:rsidR="0089372A">
        <w:rPr>
          <w:rFonts w:ascii="Courier New" w:hAnsi="Courier New" w:cs="Courier New"/>
          <w:color w:val="000000"/>
        </w:rPr>
        <w:t>elements</w:t>
      </w:r>
      <w:r w:rsidR="002A6D02">
        <w:rPr>
          <w:rFonts w:ascii="Courier New" w:hAnsi="Courier New" w:cs="Courier New"/>
          <w:color w:val="000000"/>
        </w:rPr>
        <w:t xml:space="preserve"> and respondent activities that would increase the respondent burden</w:t>
      </w:r>
      <w:r>
        <w:rPr>
          <w:rFonts w:ascii="Courier New" w:hAnsi="Courier New" w:cs="Courier New"/>
          <w:color w:val="000000"/>
        </w:rPr>
        <w:t xml:space="preserve">. </w:t>
      </w:r>
      <w:r w:rsidR="00913ED4">
        <w:rPr>
          <w:rFonts w:ascii="Courier New" w:hAnsi="Courier New" w:cs="Courier New"/>
        </w:rPr>
        <w:t xml:space="preserve">EPA estimates the increase in burden for all respondents to be </w:t>
      </w:r>
      <w:r w:rsidR="00BC778F">
        <w:rPr>
          <w:rFonts w:ascii="Courier New" w:hAnsi="Courier New" w:cs="Courier New"/>
        </w:rPr>
        <w:t>10,786</w:t>
      </w:r>
      <w:r w:rsidR="00913ED4">
        <w:rPr>
          <w:rFonts w:ascii="Courier New" w:hAnsi="Courier New" w:cs="Courier New"/>
        </w:rPr>
        <w:t xml:space="preserve"> hours over the first three years of this information collection request, consisting of </w:t>
      </w:r>
      <w:r w:rsidR="00BC778F">
        <w:rPr>
          <w:rFonts w:ascii="Courier New" w:hAnsi="Courier New" w:cs="Courier New"/>
        </w:rPr>
        <w:t>6,596</w:t>
      </w:r>
      <w:r w:rsidR="00913ED4">
        <w:rPr>
          <w:rFonts w:ascii="Courier New" w:hAnsi="Courier New" w:cs="Courier New"/>
        </w:rPr>
        <w:t xml:space="preserve"> hours for </w:t>
      </w:r>
      <w:r w:rsidR="00913ED4">
        <w:rPr>
          <w:rFonts w:ascii="Courier New" w:hAnsi="Courier New"/>
        </w:rPr>
        <w:t xml:space="preserve">the </w:t>
      </w:r>
      <w:r w:rsidR="00913ED4" w:rsidRPr="00CF5ABA">
        <w:rPr>
          <w:rFonts w:ascii="Courier New" w:hAnsi="Courier New"/>
        </w:rPr>
        <w:t xml:space="preserve">first-year </w:t>
      </w:r>
      <w:r w:rsidR="00913ED4">
        <w:rPr>
          <w:rFonts w:ascii="Courier New" w:hAnsi="Courier New"/>
        </w:rPr>
        <w:t xml:space="preserve">activity of </w:t>
      </w:r>
      <w:r w:rsidR="00913ED4" w:rsidRPr="00CF5ABA">
        <w:rPr>
          <w:rFonts w:ascii="Courier New" w:hAnsi="Courier New"/>
        </w:rPr>
        <w:t>learning new procedures for the verification tool</w:t>
      </w:r>
      <w:r w:rsidR="00913ED4">
        <w:rPr>
          <w:rFonts w:ascii="Courier New" w:hAnsi="Courier New"/>
        </w:rPr>
        <w:t xml:space="preserve"> and </w:t>
      </w:r>
      <w:r w:rsidR="00BC778F">
        <w:rPr>
          <w:rFonts w:ascii="Courier New" w:hAnsi="Courier New"/>
        </w:rPr>
        <w:t>4,190</w:t>
      </w:r>
      <w:r w:rsidR="00913ED4">
        <w:rPr>
          <w:rFonts w:ascii="Courier New" w:hAnsi="Courier New"/>
        </w:rPr>
        <w:t xml:space="preserve"> hours for the </w:t>
      </w:r>
      <w:r w:rsidR="00913ED4" w:rsidRPr="00CF5ABA">
        <w:rPr>
          <w:rFonts w:ascii="Courier New" w:hAnsi="Courier New"/>
        </w:rPr>
        <w:t xml:space="preserve">annual </w:t>
      </w:r>
      <w:r w:rsidR="00913ED4">
        <w:rPr>
          <w:rFonts w:ascii="Courier New" w:hAnsi="Courier New"/>
        </w:rPr>
        <w:t xml:space="preserve">activity of </w:t>
      </w:r>
      <w:r w:rsidR="00913ED4" w:rsidRPr="00CF5ABA">
        <w:rPr>
          <w:rFonts w:ascii="Courier New" w:hAnsi="Courier New"/>
        </w:rPr>
        <w:t>reporting of new data elements</w:t>
      </w:r>
      <w:r w:rsidR="00913ED4">
        <w:rPr>
          <w:rFonts w:ascii="Courier New" w:hAnsi="Courier New"/>
        </w:rPr>
        <w:t>.</w:t>
      </w:r>
      <w:r w:rsidR="002A6D02">
        <w:rPr>
          <w:rFonts w:ascii="Courier New" w:hAnsi="Courier New"/>
        </w:rPr>
        <w:t xml:space="preserve"> Refer to section 6(a) for further discussion of the increase to respondent burden.</w:t>
      </w:r>
    </w:p>
    <w:p w:rsidR="006B1DEE" w:rsidRDefault="006B1DEE" w:rsidP="006B1DEE">
      <w:pPr>
        <w:pStyle w:val="Heading2"/>
        <w:widowControl w:val="0"/>
        <w:spacing w:line="360" w:lineRule="auto"/>
        <w:rPr>
          <w:rFonts w:ascii="Courier New" w:hAnsi="Courier New" w:cs="Courier New"/>
        </w:rPr>
      </w:pPr>
      <w:bookmarkStart w:id="35" w:name="_Toc336985098"/>
    </w:p>
    <w:p w:rsidR="00115E6D" w:rsidRPr="00EA6F91" w:rsidRDefault="009209AB" w:rsidP="006B1DEE">
      <w:pPr>
        <w:pStyle w:val="Heading2"/>
        <w:widowControl w:val="0"/>
        <w:spacing w:line="360" w:lineRule="auto"/>
        <w:ind w:firstLine="0"/>
        <w:rPr>
          <w:rFonts w:ascii="Courier New" w:hAnsi="Courier New" w:cs="Courier New"/>
        </w:rPr>
      </w:pPr>
      <w:r w:rsidRPr="00EA6F91">
        <w:rPr>
          <w:rFonts w:ascii="Courier New" w:hAnsi="Courier New" w:cs="Courier New"/>
        </w:rPr>
        <w:t>6(</w:t>
      </w:r>
      <w:r w:rsidR="00BB2048" w:rsidRPr="00EA6F91">
        <w:rPr>
          <w:rFonts w:ascii="Courier New" w:hAnsi="Courier New" w:cs="Courier New"/>
        </w:rPr>
        <w:t>g</w:t>
      </w:r>
      <w:r w:rsidR="00115E6D" w:rsidRPr="00EA6F91">
        <w:rPr>
          <w:rFonts w:ascii="Courier New" w:hAnsi="Courier New" w:cs="Courier New"/>
        </w:rPr>
        <w:t>) Burden Statement</w:t>
      </w:r>
      <w:bookmarkEnd w:id="35"/>
    </w:p>
    <w:p w:rsidR="008A1C7A" w:rsidRDefault="00F63855" w:rsidP="006B1DEE">
      <w:pPr>
        <w:spacing w:line="360" w:lineRule="auto"/>
        <w:ind w:firstLine="720"/>
        <w:rPr>
          <w:rFonts w:ascii="Courier New" w:hAnsi="Courier New"/>
        </w:rPr>
      </w:pPr>
      <w:r>
        <w:rPr>
          <w:rFonts w:ascii="Courier New" w:hAnsi="Courier New" w:cs="Courier New"/>
        </w:rPr>
        <w:t xml:space="preserve">Attachment 1 presents the average annual respondent burden for each sector and activity. For </w:t>
      </w:r>
      <w:r w:rsidR="008A1C7A">
        <w:rPr>
          <w:rFonts w:ascii="Courier New" w:hAnsi="Courier New" w:cs="Courier New"/>
        </w:rPr>
        <w:t>the 5,736 respondents</w:t>
      </w:r>
      <w:r>
        <w:rPr>
          <w:rFonts w:ascii="Courier New" w:hAnsi="Courier New" w:cs="Courier New"/>
        </w:rPr>
        <w:t xml:space="preserve"> subject to</w:t>
      </w:r>
      <w:r w:rsidR="0059364B">
        <w:rPr>
          <w:rFonts w:ascii="Courier New" w:hAnsi="Courier New" w:cs="Courier New"/>
        </w:rPr>
        <w:t xml:space="preserve"> the 24 subparts required to </w:t>
      </w:r>
      <w:r>
        <w:rPr>
          <w:rFonts w:ascii="Courier New" w:hAnsi="Courier New" w:cs="Courier New"/>
        </w:rPr>
        <w:t xml:space="preserve">report “inputs to emission equations” data elements, EPA estimates the public reporting burden </w:t>
      </w:r>
      <w:r w:rsidR="00AB29BC">
        <w:rPr>
          <w:rFonts w:ascii="Courier New" w:hAnsi="Courier New" w:cs="Courier New"/>
        </w:rPr>
        <w:t xml:space="preserve">for </w:t>
      </w:r>
      <w:r w:rsidR="00AB29BC" w:rsidRPr="00CF5ABA">
        <w:rPr>
          <w:rFonts w:ascii="Courier New" w:hAnsi="Courier New"/>
        </w:rPr>
        <w:t xml:space="preserve">learning new procedures for the </w:t>
      </w:r>
      <w:r w:rsidR="0059364B">
        <w:rPr>
          <w:rFonts w:ascii="Courier New" w:hAnsi="Courier New"/>
        </w:rPr>
        <w:t xml:space="preserve">inputs </w:t>
      </w:r>
      <w:r w:rsidR="00AB29BC" w:rsidRPr="00CF5ABA">
        <w:rPr>
          <w:rFonts w:ascii="Courier New" w:hAnsi="Courier New"/>
        </w:rPr>
        <w:t xml:space="preserve">verification tool </w:t>
      </w:r>
      <w:r w:rsidR="00AB29BC">
        <w:rPr>
          <w:rFonts w:ascii="Courier New" w:hAnsi="Courier New"/>
        </w:rPr>
        <w:t xml:space="preserve">to be </w:t>
      </w:r>
      <w:r>
        <w:rPr>
          <w:rFonts w:ascii="Courier New" w:hAnsi="Courier New" w:cs="Courier New"/>
        </w:rPr>
        <w:t>1</w:t>
      </w:r>
      <w:r w:rsidR="00FE7E5C">
        <w:rPr>
          <w:rFonts w:ascii="Courier New" w:hAnsi="Courier New" w:cs="Courier New"/>
        </w:rPr>
        <w:t>.2</w:t>
      </w:r>
      <w:r>
        <w:rPr>
          <w:rFonts w:ascii="Courier New" w:hAnsi="Courier New" w:cs="Courier New"/>
        </w:rPr>
        <w:t xml:space="preserve"> </w:t>
      </w:r>
      <w:r>
        <w:rPr>
          <w:rFonts w:ascii="Courier New" w:hAnsi="Courier New"/>
        </w:rPr>
        <w:t>hour</w:t>
      </w:r>
      <w:r w:rsidR="00FE7E5C">
        <w:rPr>
          <w:rFonts w:ascii="Courier New" w:hAnsi="Courier New"/>
        </w:rPr>
        <w:t>s</w:t>
      </w:r>
      <w:r>
        <w:rPr>
          <w:rFonts w:ascii="Courier New" w:hAnsi="Courier New"/>
        </w:rPr>
        <w:t xml:space="preserve"> per respondent for </w:t>
      </w:r>
      <w:r w:rsidR="0059364B">
        <w:rPr>
          <w:rFonts w:ascii="Courier New" w:hAnsi="Courier New"/>
        </w:rPr>
        <w:t xml:space="preserve">only </w:t>
      </w:r>
      <w:r>
        <w:rPr>
          <w:rFonts w:ascii="Courier New" w:hAnsi="Courier New"/>
        </w:rPr>
        <w:t xml:space="preserve">the </w:t>
      </w:r>
      <w:r w:rsidRPr="00CF5ABA">
        <w:rPr>
          <w:rFonts w:ascii="Courier New" w:hAnsi="Courier New"/>
        </w:rPr>
        <w:t>first</w:t>
      </w:r>
      <w:r>
        <w:rPr>
          <w:rFonts w:ascii="Courier New" w:hAnsi="Courier New"/>
        </w:rPr>
        <w:t xml:space="preserve"> </w:t>
      </w:r>
      <w:r w:rsidRPr="00CF5ABA">
        <w:rPr>
          <w:rFonts w:ascii="Courier New" w:hAnsi="Courier New"/>
        </w:rPr>
        <w:t>year</w:t>
      </w:r>
      <w:r w:rsidR="00AB29BC">
        <w:rPr>
          <w:rFonts w:ascii="Courier New" w:hAnsi="Courier New"/>
        </w:rPr>
        <w:t xml:space="preserve"> of the 3-year information collection period</w:t>
      </w:r>
      <w:r>
        <w:rPr>
          <w:rFonts w:ascii="Courier New" w:hAnsi="Courier New"/>
        </w:rPr>
        <w:t>.</w:t>
      </w:r>
      <w:r w:rsidRPr="00CF5ABA">
        <w:rPr>
          <w:rFonts w:ascii="Courier New" w:hAnsi="Courier New"/>
        </w:rPr>
        <w:t xml:space="preserve"> </w:t>
      </w:r>
      <w:r w:rsidR="008A1C7A">
        <w:rPr>
          <w:rFonts w:ascii="Courier New" w:hAnsi="Courier New"/>
        </w:rPr>
        <w:t xml:space="preserve">For all such respondents, the average annual </w:t>
      </w:r>
      <w:r w:rsidR="008A1C7A" w:rsidRPr="00AB09B1">
        <w:rPr>
          <w:rFonts w:ascii="Courier New" w:hAnsi="Courier New" w:cs="Courier New"/>
          <w:color w:val="000000"/>
        </w:rPr>
        <w:t xml:space="preserve">respondent burden </w:t>
      </w:r>
      <w:r w:rsidR="008A1C7A">
        <w:rPr>
          <w:rFonts w:ascii="Courier New" w:hAnsi="Courier New" w:cs="Courier New"/>
          <w:color w:val="000000"/>
        </w:rPr>
        <w:t xml:space="preserve">over the 3-year </w:t>
      </w:r>
      <w:r w:rsidR="008A1C7A" w:rsidRPr="00AB09B1">
        <w:rPr>
          <w:rFonts w:ascii="Courier New" w:hAnsi="Courier New" w:cs="Courier New"/>
          <w:color w:val="000000"/>
        </w:rPr>
        <w:t xml:space="preserve">collection of information </w:t>
      </w:r>
      <w:r w:rsidR="008A1C7A">
        <w:rPr>
          <w:rFonts w:ascii="Courier New" w:hAnsi="Courier New" w:cs="Courier New"/>
          <w:color w:val="000000"/>
        </w:rPr>
        <w:t xml:space="preserve">period </w:t>
      </w:r>
      <w:r w:rsidR="008A1C7A" w:rsidRPr="00AB09B1">
        <w:rPr>
          <w:rFonts w:ascii="Courier New" w:hAnsi="Courier New" w:cs="Courier New"/>
          <w:color w:val="000000"/>
        </w:rPr>
        <w:t xml:space="preserve">is estimated to </w:t>
      </w:r>
      <w:r w:rsidR="008A1C7A" w:rsidRPr="002C5327">
        <w:rPr>
          <w:rFonts w:ascii="Courier New" w:hAnsi="Courier New" w:cs="Courier New"/>
          <w:color w:val="000000"/>
        </w:rPr>
        <w:t xml:space="preserve">be </w:t>
      </w:r>
      <w:r w:rsidR="00FE7E5C">
        <w:rPr>
          <w:rFonts w:ascii="Courier New" w:hAnsi="Courier New" w:cs="Courier New"/>
          <w:color w:val="000000"/>
        </w:rPr>
        <w:t>2,199</w:t>
      </w:r>
      <w:r w:rsidR="008A1C7A">
        <w:rPr>
          <w:rFonts w:ascii="Courier New" w:hAnsi="Courier New" w:cs="Courier New"/>
          <w:color w:val="000000"/>
        </w:rPr>
        <w:t xml:space="preserve"> </w:t>
      </w:r>
      <w:r w:rsidR="008A1C7A" w:rsidRPr="002C5327">
        <w:rPr>
          <w:rFonts w:ascii="Courier New" w:hAnsi="Courier New" w:cs="Courier New"/>
          <w:color w:val="000000"/>
        </w:rPr>
        <w:t>hours</w:t>
      </w:r>
      <w:r w:rsidR="00AE2E91">
        <w:rPr>
          <w:rFonts w:ascii="Courier New" w:hAnsi="Courier New" w:cs="Courier New"/>
          <w:color w:val="000000"/>
        </w:rPr>
        <w:t>, or 0.4 hours per respondent</w:t>
      </w:r>
      <w:r w:rsidR="008A1C7A" w:rsidRPr="002C5327">
        <w:rPr>
          <w:rFonts w:ascii="Courier New" w:hAnsi="Courier New" w:cs="Courier New"/>
          <w:color w:val="000000"/>
        </w:rPr>
        <w:t>.</w:t>
      </w:r>
    </w:p>
    <w:p w:rsidR="008A1C7A" w:rsidRDefault="00AB29BC" w:rsidP="006B1DEE">
      <w:pPr>
        <w:spacing w:line="360" w:lineRule="auto"/>
        <w:ind w:firstLine="720"/>
        <w:rPr>
          <w:rFonts w:ascii="Courier New" w:hAnsi="Courier New" w:cs="Courier New"/>
          <w:color w:val="000000"/>
        </w:rPr>
      </w:pPr>
      <w:r>
        <w:rPr>
          <w:rFonts w:ascii="Courier New" w:hAnsi="Courier New"/>
        </w:rPr>
        <w:t xml:space="preserve">For </w:t>
      </w:r>
      <w:r w:rsidR="008A1C7A">
        <w:rPr>
          <w:rFonts w:ascii="Courier New" w:hAnsi="Courier New"/>
        </w:rPr>
        <w:t>the 78</w:t>
      </w:r>
      <w:r w:rsidR="00FE7E5C">
        <w:rPr>
          <w:rFonts w:ascii="Courier New" w:hAnsi="Courier New"/>
        </w:rPr>
        <w:t>1</w:t>
      </w:r>
      <w:r w:rsidR="008A1C7A">
        <w:rPr>
          <w:rFonts w:ascii="Courier New" w:hAnsi="Courier New"/>
        </w:rPr>
        <w:t xml:space="preserve"> respondents</w:t>
      </w:r>
      <w:r>
        <w:rPr>
          <w:rFonts w:ascii="Courier New" w:hAnsi="Courier New"/>
        </w:rPr>
        <w:t xml:space="preserve"> subject to subparts</w:t>
      </w:r>
      <w:r w:rsidR="0059364B">
        <w:rPr>
          <w:rFonts w:ascii="Courier New" w:hAnsi="Courier New"/>
        </w:rPr>
        <w:t xml:space="preserve"> E, G, H, P, Q, S, V, X, Y, and AA</w:t>
      </w:r>
      <w:r>
        <w:rPr>
          <w:rFonts w:ascii="Courier New" w:hAnsi="Courier New"/>
        </w:rPr>
        <w:t xml:space="preserve">, </w:t>
      </w:r>
      <w:r w:rsidR="0059364B">
        <w:rPr>
          <w:rFonts w:ascii="Courier New" w:hAnsi="Courier New" w:cs="Courier New"/>
        </w:rPr>
        <w:t xml:space="preserve">EPA estimates the public burden for </w:t>
      </w:r>
      <w:r w:rsidR="00F63855" w:rsidRPr="00CF5ABA">
        <w:rPr>
          <w:rFonts w:ascii="Courier New" w:hAnsi="Courier New"/>
        </w:rPr>
        <w:t>reporting new data elements</w:t>
      </w:r>
      <w:r w:rsidR="00F63855">
        <w:rPr>
          <w:rFonts w:ascii="Courier New" w:hAnsi="Courier New"/>
        </w:rPr>
        <w:t xml:space="preserve"> to average 1.</w:t>
      </w:r>
      <w:r w:rsidR="00FE7E5C">
        <w:rPr>
          <w:rFonts w:ascii="Courier New" w:hAnsi="Courier New"/>
        </w:rPr>
        <w:t>8</w:t>
      </w:r>
      <w:r w:rsidR="00F63855">
        <w:rPr>
          <w:rFonts w:ascii="Courier New" w:hAnsi="Courier New"/>
        </w:rPr>
        <w:t xml:space="preserve"> hour per respondent</w:t>
      </w:r>
      <w:r w:rsidR="0059364B">
        <w:rPr>
          <w:rFonts w:ascii="Courier New" w:hAnsi="Courier New"/>
        </w:rPr>
        <w:t xml:space="preserve"> per year</w:t>
      </w:r>
      <w:r w:rsidR="00F63855" w:rsidRPr="00CF5ABA">
        <w:rPr>
          <w:rFonts w:ascii="Courier New" w:hAnsi="Courier New"/>
        </w:rPr>
        <w:t>.</w:t>
      </w:r>
      <w:r w:rsidR="00F63855">
        <w:rPr>
          <w:rFonts w:ascii="Courier New" w:hAnsi="Courier New"/>
        </w:rPr>
        <w:t xml:space="preserve"> </w:t>
      </w:r>
      <w:r w:rsidR="0059364B">
        <w:rPr>
          <w:rFonts w:ascii="Courier New" w:hAnsi="Courier New"/>
        </w:rPr>
        <w:t xml:space="preserve">This estimate includes the time to gather available data, calculate the new data element, </w:t>
      </w:r>
      <w:r w:rsidR="00052F54">
        <w:rPr>
          <w:rFonts w:ascii="Courier New" w:hAnsi="Courier New"/>
        </w:rPr>
        <w:t xml:space="preserve">and </w:t>
      </w:r>
      <w:r w:rsidR="0059364B">
        <w:rPr>
          <w:rFonts w:ascii="Courier New" w:hAnsi="Courier New"/>
        </w:rPr>
        <w:t xml:space="preserve">enter the data element </w:t>
      </w:r>
      <w:r w:rsidR="0059364B">
        <w:rPr>
          <w:rFonts w:ascii="Courier New" w:hAnsi="Courier New"/>
        </w:rPr>
        <w:lastRenderedPageBreak/>
        <w:t xml:space="preserve">into e-GGRT. For all </w:t>
      </w:r>
      <w:r w:rsidR="008A1C7A">
        <w:rPr>
          <w:rFonts w:ascii="Courier New" w:hAnsi="Courier New"/>
        </w:rPr>
        <w:t xml:space="preserve">such </w:t>
      </w:r>
      <w:r w:rsidR="0059364B">
        <w:rPr>
          <w:rFonts w:ascii="Courier New" w:hAnsi="Courier New"/>
        </w:rPr>
        <w:t xml:space="preserve">respondents, the average annual </w:t>
      </w:r>
      <w:r w:rsidR="003E446D" w:rsidRPr="00AB09B1">
        <w:rPr>
          <w:rFonts w:ascii="Courier New" w:hAnsi="Courier New" w:cs="Courier New"/>
          <w:color w:val="000000"/>
        </w:rPr>
        <w:t xml:space="preserve">respondent burden </w:t>
      </w:r>
      <w:r w:rsidR="0059364B">
        <w:rPr>
          <w:rFonts w:ascii="Courier New" w:hAnsi="Courier New" w:cs="Courier New"/>
          <w:color w:val="000000"/>
        </w:rPr>
        <w:t xml:space="preserve">over the 3-year </w:t>
      </w:r>
      <w:r w:rsidR="003E446D" w:rsidRPr="00AB09B1">
        <w:rPr>
          <w:rFonts w:ascii="Courier New" w:hAnsi="Courier New" w:cs="Courier New"/>
          <w:color w:val="000000"/>
        </w:rPr>
        <w:t xml:space="preserve">collection of information </w:t>
      </w:r>
      <w:r w:rsidR="0059364B">
        <w:rPr>
          <w:rFonts w:ascii="Courier New" w:hAnsi="Courier New" w:cs="Courier New"/>
          <w:color w:val="000000"/>
        </w:rPr>
        <w:t xml:space="preserve">period </w:t>
      </w:r>
      <w:r w:rsidR="003E446D" w:rsidRPr="00AB09B1">
        <w:rPr>
          <w:rFonts w:ascii="Courier New" w:hAnsi="Courier New" w:cs="Courier New"/>
          <w:color w:val="000000"/>
        </w:rPr>
        <w:t xml:space="preserve">is estimated to </w:t>
      </w:r>
      <w:r w:rsidR="0059364B" w:rsidRPr="002C5327">
        <w:rPr>
          <w:rFonts w:ascii="Courier New" w:hAnsi="Courier New" w:cs="Courier New"/>
          <w:color w:val="000000"/>
        </w:rPr>
        <w:t>be</w:t>
      </w:r>
      <w:r w:rsidR="00ED3F7B" w:rsidRPr="002C5327">
        <w:rPr>
          <w:rFonts w:ascii="Courier New" w:hAnsi="Courier New" w:cs="Courier New"/>
          <w:color w:val="000000"/>
        </w:rPr>
        <w:t xml:space="preserve"> </w:t>
      </w:r>
      <w:r w:rsidR="00FE7E5C">
        <w:rPr>
          <w:rFonts w:ascii="Courier New" w:hAnsi="Courier New" w:cs="Courier New"/>
          <w:color w:val="000000"/>
        </w:rPr>
        <w:t>1,397</w:t>
      </w:r>
      <w:r w:rsidR="002F7A1B" w:rsidRPr="002C5327">
        <w:rPr>
          <w:rFonts w:ascii="Courier New" w:hAnsi="Courier New" w:cs="Courier New"/>
          <w:color w:val="000000"/>
        </w:rPr>
        <w:t xml:space="preserve"> </w:t>
      </w:r>
      <w:r w:rsidR="0052066E" w:rsidRPr="002C5327">
        <w:rPr>
          <w:rFonts w:ascii="Courier New" w:hAnsi="Courier New" w:cs="Courier New"/>
          <w:color w:val="000000"/>
        </w:rPr>
        <w:t>hours</w:t>
      </w:r>
      <w:r w:rsidR="009C6B1B" w:rsidRPr="002C5327">
        <w:rPr>
          <w:rFonts w:ascii="Courier New" w:hAnsi="Courier New" w:cs="Courier New"/>
          <w:color w:val="000000"/>
        </w:rPr>
        <w:t xml:space="preserve">. </w:t>
      </w:r>
    </w:p>
    <w:p w:rsidR="00BA3C28" w:rsidRPr="00AB09B1" w:rsidRDefault="008A1C7A" w:rsidP="006B1DEE">
      <w:pPr>
        <w:spacing w:line="360" w:lineRule="auto"/>
        <w:ind w:firstLine="720"/>
        <w:rPr>
          <w:rFonts w:ascii="Courier New" w:hAnsi="Courier New" w:cs="Courier New"/>
          <w:color w:val="000000"/>
        </w:rPr>
      </w:pPr>
      <w:r>
        <w:rPr>
          <w:rFonts w:ascii="Courier New" w:hAnsi="Courier New"/>
        </w:rPr>
        <w:t xml:space="preserve">For all respondents, the average annual </w:t>
      </w:r>
      <w:r w:rsidRPr="00AB09B1">
        <w:rPr>
          <w:rFonts w:ascii="Courier New" w:hAnsi="Courier New" w:cs="Courier New"/>
          <w:color w:val="000000"/>
        </w:rPr>
        <w:t xml:space="preserve">respondent burden </w:t>
      </w:r>
      <w:r>
        <w:rPr>
          <w:rFonts w:ascii="Courier New" w:hAnsi="Courier New" w:cs="Courier New"/>
          <w:color w:val="000000"/>
        </w:rPr>
        <w:t xml:space="preserve">over the 3-year </w:t>
      </w:r>
      <w:r w:rsidRPr="00AB09B1">
        <w:rPr>
          <w:rFonts w:ascii="Courier New" w:hAnsi="Courier New" w:cs="Courier New"/>
          <w:color w:val="000000"/>
        </w:rPr>
        <w:t xml:space="preserve">collection of information </w:t>
      </w:r>
      <w:r>
        <w:rPr>
          <w:rFonts w:ascii="Courier New" w:hAnsi="Courier New" w:cs="Courier New"/>
          <w:color w:val="000000"/>
        </w:rPr>
        <w:t xml:space="preserve">period </w:t>
      </w:r>
      <w:r w:rsidRPr="00AB09B1">
        <w:rPr>
          <w:rFonts w:ascii="Courier New" w:hAnsi="Courier New" w:cs="Courier New"/>
          <w:color w:val="000000"/>
        </w:rPr>
        <w:t xml:space="preserve">is estimated to </w:t>
      </w:r>
      <w:r w:rsidRPr="002C5327">
        <w:rPr>
          <w:rFonts w:ascii="Courier New" w:hAnsi="Courier New" w:cs="Courier New"/>
          <w:color w:val="000000"/>
        </w:rPr>
        <w:t xml:space="preserve">be </w:t>
      </w:r>
      <w:r w:rsidR="00FE7E5C">
        <w:rPr>
          <w:rFonts w:ascii="Courier New" w:hAnsi="Courier New" w:cs="Courier New"/>
          <w:color w:val="000000"/>
        </w:rPr>
        <w:t>3,595</w:t>
      </w:r>
      <w:r w:rsidRPr="002C5327">
        <w:rPr>
          <w:rFonts w:ascii="Courier New" w:hAnsi="Courier New" w:cs="Courier New"/>
          <w:color w:val="000000"/>
        </w:rPr>
        <w:t xml:space="preserve"> hours.</w:t>
      </w:r>
      <w:r>
        <w:rPr>
          <w:rFonts w:ascii="Courier New" w:hAnsi="Courier New" w:cs="Courier New"/>
          <w:color w:val="000000"/>
        </w:rPr>
        <w:t xml:space="preserve"> </w:t>
      </w:r>
      <w:r w:rsidR="003E446D" w:rsidRPr="002C5327">
        <w:rPr>
          <w:rFonts w:ascii="Courier New" w:hAnsi="Courier New" w:cs="Courier New"/>
          <w:color w:val="000000"/>
        </w:rPr>
        <w:t>The</w:t>
      </w:r>
      <w:r w:rsidR="00ED3F7B" w:rsidRPr="002C5327">
        <w:rPr>
          <w:rFonts w:ascii="Courier New" w:hAnsi="Courier New" w:cs="Courier New"/>
          <w:color w:val="000000"/>
        </w:rPr>
        <w:t xml:space="preserve"> average annual</w:t>
      </w:r>
      <w:r w:rsidR="003E446D" w:rsidRPr="002C5327">
        <w:rPr>
          <w:rFonts w:ascii="Courier New" w:hAnsi="Courier New" w:cs="Courier New"/>
          <w:color w:val="000000"/>
        </w:rPr>
        <w:t xml:space="preserve"> burden to EPA</w:t>
      </w:r>
      <w:r w:rsidR="00ED3F7B" w:rsidRPr="002C5327">
        <w:rPr>
          <w:rFonts w:ascii="Courier New" w:hAnsi="Courier New" w:cs="Courier New"/>
          <w:color w:val="000000"/>
        </w:rPr>
        <w:t xml:space="preserve"> for this period</w:t>
      </w:r>
      <w:r w:rsidR="003E446D" w:rsidRPr="002C5327">
        <w:rPr>
          <w:rFonts w:ascii="Courier New" w:hAnsi="Courier New" w:cs="Courier New"/>
          <w:color w:val="000000"/>
        </w:rPr>
        <w:t xml:space="preserve"> is estimated to be </w:t>
      </w:r>
      <w:r w:rsidR="00847072" w:rsidRPr="00847072">
        <w:rPr>
          <w:rFonts w:ascii="Courier New" w:hAnsi="Courier New" w:cs="Courier New"/>
          <w:color w:val="000000"/>
        </w:rPr>
        <w:t>330</w:t>
      </w:r>
      <w:r w:rsidR="005F3100" w:rsidRPr="002C5327">
        <w:rPr>
          <w:rFonts w:ascii="Courier New" w:hAnsi="Courier New" w:cs="Courier New"/>
          <w:color w:val="000000"/>
        </w:rPr>
        <w:t xml:space="preserve"> </w:t>
      </w:r>
      <w:r w:rsidR="003E446D" w:rsidRPr="002C5327">
        <w:rPr>
          <w:rFonts w:ascii="Courier New" w:hAnsi="Courier New" w:cs="Courier New"/>
          <w:color w:val="000000"/>
        </w:rPr>
        <w:t>hours</w:t>
      </w:r>
      <w:r w:rsidR="00F6237D" w:rsidRPr="00AB09B1">
        <w:rPr>
          <w:rFonts w:ascii="Courier New" w:hAnsi="Courier New" w:cs="Courier New"/>
          <w:color w:val="000000"/>
        </w:rPr>
        <w:t xml:space="preserve"> </w:t>
      </w:r>
      <w:r w:rsidR="00BD5E2C" w:rsidRPr="00AB09B1">
        <w:rPr>
          <w:rFonts w:ascii="Courier New" w:hAnsi="Courier New" w:cs="Courier New"/>
          <w:color w:val="000000"/>
        </w:rPr>
        <w:t xml:space="preserve">for oversight </w:t>
      </w:r>
      <w:r w:rsidR="008C6909" w:rsidRPr="00AB09B1">
        <w:rPr>
          <w:rFonts w:ascii="Courier New" w:hAnsi="Courier New" w:cs="Courier New"/>
          <w:color w:val="000000"/>
        </w:rPr>
        <w:t>activities</w:t>
      </w:r>
      <w:r w:rsidR="00BD5E2C" w:rsidRPr="00AB09B1">
        <w:rPr>
          <w:rFonts w:ascii="Courier New" w:hAnsi="Courier New" w:cs="Courier New"/>
          <w:color w:val="000000"/>
        </w:rPr>
        <w:t>.</w:t>
      </w:r>
    </w:p>
    <w:p w:rsidR="003E446D" w:rsidRPr="00AB09B1" w:rsidRDefault="003E446D" w:rsidP="00AB09B1">
      <w:pPr>
        <w:spacing w:line="360" w:lineRule="auto"/>
        <w:ind w:firstLine="720"/>
        <w:rPr>
          <w:rFonts w:ascii="Courier New" w:hAnsi="Courier New" w:cs="Courier New"/>
          <w:color w:val="000000"/>
        </w:rPr>
      </w:pPr>
      <w:r w:rsidRPr="00AB09B1">
        <w:rPr>
          <w:rFonts w:ascii="Courier New" w:hAnsi="Courier New" w:cs="Courier New"/>
          <w:color w:val="000000"/>
        </w:rPr>
        <w:t xml:space="preserve">Burden means the total time, effort, or financial </w:t>
      </w:r>
      <w:r w:rsidR="004514C1" w:rsidRPr="00AB09B1">
        <w:rPr>
          <w:rFonts w:ascii="Courier New" w:hAnsi="Courier New" w:cs="Courier New"/>
          <w:color w:val="000000"/>
        </w:rPr>
        <w:t>r</w:t>
      </w:r>
      <w:r w:rsidRPr="00AB09B1">
        <w:rPr>
          <w:rFonts w:ascii="Courier New" w:hAnsi="Courier New" w:cs="Courier New"/>
          <w:color w:val="000000"/>
        </w:rPr>
        <w:t xml:space="preserve">esources expended by persons to generate, maintain, retain, or disclose or provide information to or for a </w:t>
      </w:r>
      <w:r w:rsidR="008250BD" w:rsidRPr="00AB09B1">
        <w:rPr>
          <w:rFonts w:ascii="Courier New" w:hAnsi="Courier New" w:cs="Courier New"/>
          <w:color w:val="000000"/>
        </w:rPr>
        <w:t>federal</w:t>
      </w:r>
      <w:r w:rsidRPr="00AB09B1">
        <w:rPr>
          <w:rFonts w:ascii="Courier New" w:hAnsi="Courier New" w:cs="Courier New"/>
          <w:color w:val="000000"/>
        </w:rPr>
        <w:t xml:space="preserve"> agency. This includes the time needed to review instructions; develop, acquire, install, and utilize technology and systems for</w:t>
      </w:r>
      <w:r w:rsidR="00F6237D" w:rsidRPr="00AB09B1">
        <w:rPr>
          <w:rFonts w:ascii="Courier New" w:hAnsi="Courier New" w:cs="Courier New"/>
          <w:color w:val="000000"/>
        </w:rPr>
        <w:t xml:space="preserve"> </w:t>
      </w:r>
      <w:r w:rsidRPr="00AB09B1">
        <w:rPr>
          <w:rFonts w:ascii="Courier New" w:hAnsi="Courier New" w:cs="Courier New"/>
          <w:color w:val="000000"/>
        </w:rPr>
        <w:t>the purposes of collecting, validating, and verifying information, processing and maintaining information, and</w:t>
      </w:r>
      <w:r w:rsidR="004514C1" w:rsidRPr="00AB09B1">
        <w:rPr>
          <w:rFonts w:ascii="Courier New" w:hAnsi="Courier New" w:cs="Courier New"/>
          <w:color w:val="000000"/>
        </w:rPr>
        <w:t xml:space="preserve"> </w:t>
      </w:r>
      <w:r w:rsidRPr="00AB09B1">
        <w:rPr>
          <w:rFonts w:ascii="Courier New" w:hAnsi="Courier New" w:cs="Courier New"/>
          <w:color w:val="000000"/>
        </w:rPr>
        <w:t>disclosing and providing information; adjust the existing ways to comply with any previously applicable instructions and requirements; train personnel to respond to a collection of information; search data sources; complete and review the collection of information; and transmit or otherwise disclose the information.</w:t>
      </w:r>
    </w:p>
    <w:p w:rsidR="003E446D" w:rsidRPr="00AB09B1" w:rsidRDefault="003E446D" w:rsidP="00AB09B1">
      <w:pPr>
        <w:spacing w:line="360" w:lineRule="auto"/>
        <w:ind w:firstLine="720"/>
        <w:rPr>
          <w:rFonts w:ascii="Courier New" w:hAnsi="Courier New" w:cs="Courier New"/>
          <w:color w:val="000000"/>
        </w:rPr>
      </w:pPr>
      <w:r w:rsidRPr="00AB09B1">
        <w:rPr>
          <w:rFonts w:ascii="Courier New" w:hAnsi="Courier New" w:cs="Courier New"/>
          <w:color w:val="000000"/>
        </w:rPr>
        <w:t xml:space="preserve">An agency may not conduct or sponsor, and a person is not required to respond to, a collection of information unless it displays a currently valid OMB control number. The OMB control numbers for </w:t>
      </w:r>
      <w:r w:rsidR="00833ED1" w:rsidRPr="00AB09B1">
        <w:rPr>
          <w:rFonts w:ascii="Courier New" w:hAnsi="Courier New" w:cs="Courier New"/>
          <w:color w:val="000000"/>
        </w:rPr>
        <w:t xml:space="preserve">EPA’s </w:t>
      </w:r>
      <w:r w:rsidRPr="00AB09B1">
        <w:rPr>
          <w:rFonts w:ascii="Courier New" w:hAnsi="Courier New" w:cs="Courier New"/>
          <w:color w:val="000000"/>
        </w:rPr>
        <w:t xml:space="preserve">regulations are listed in </w:t>
      </w:r>
      <w:r w:rsidR="000F5127" w:rsidRPr="00AB09B1">
        <w:rPr>
          <w:rFonts w:ascii="Courier New" w:hAnsi="Courier New" w:cs="Courier New"/>
          <w:color w:val="000000"/>
        </w:rPr>
        <w:t>40 CFR Part</w:t>
      </w:r>
      <w:r w:rsidRPr="00AB09B1">
        <w:rPr>
          <w:rFonts w:ascii="Courier New" w:hAnsi="Courier New" w:cs="Courier New"/>
          <w:color w:val="000000"/>
        </w:rPr>
        <w:t xml:space="preserve"> </w:t>
      </w:r>
      <w:r w:rsidR="00452B05" w:rsidRPr="00AB09B1">
        <w:rPr>
          <w:rFonts w:ascii="Courier New" w:hAnsi="Courier New" w:cs="Courier New"/>
          <w:color w:val="000000"/>
        </w:rPr>
        <w:t>9</w:t>
      </w:r>
      <w:r w:rsidR="004514C1" w:rsidRPr="00AB09B1">
        <w:rPr>
          <w:rFonts w:ascii="Courier New" w:hAnsi="Courier New" w:cs="Courier New"/>
          <w:color w:val="000000"/>
        </w:rPr>
        <w:t>.</w:t>
      </w:r>
    </w:p>
    <w:p w:rsidR="005A143F" w:rsidRPr="00BD1B37" w:rsidRDefault="003E446D" w:rsidP="00BD1B37">
      <w:pPr>
        <w:spacing w:line="360" w:lineRule="auto"/>
        <w:ind w:firstLine="720"/>
        <w:rPr>
          <w:rFonts w:ascii="Courier New" w:hAnsi="Courier New" w:cs="Courier New"/>
          <w:color w:val="000000"/>
        </w:rPr>
        <w:sectPr w:rsidR="005A143F" w:rsidRPr="00BD1B37" w:rsidSect="00AB1467">
          <w:footerReference w:type="default" r:id="rId9"/>
          <w:pgSz w:w="12240" w:h="15840" w:code="1"/>
          <w:pgMar w:top="1440" w:right="1440" w:bottom="1440" w:left="1440" w:header="720" w:footer="432" w:gutter="0"/>
          <w:pgNumType w:start="1"/>
          <w:cols w:space="720"/>
          <w:docGrid w:linePitch="360"/>
        </w:sectPr>
      </w:pPr>
      <w:r w:rsidRPr="00BD1B37">
        <w:rPr>
          <w:rFonts w:ascii="Courier New" w:hAnsi="Courier New" w:cs="Courier New"/>
          <w:color w:val="000000"/>
        </w:rPr>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BD1B37" w:rsidRPr="00BD1B37">
        <w:rPr>
          <w:rFonts w:ascii="Courier New" w:hAnsi="Courier New"/>
          <w:color w:val="000000"/>
        </w:rPr>
        <w:t>EPA–HQ–OAR–2010-0929</w:t>
      </w:r>
      <w:r w:rsidRPr="00BD1B37">
        <w:rPr>
          <w:rFonts w:ascii="Courier New" w:hAnsi="Courier New" w:cs="Courier New"/>
          <w:color w:val="000000"/>
        </w:rPr>
        <w:t xml:space="preserve">, which is available for online viewing at </w:t>
      </w:r>
      <w:r w:rsidR="00803CDD" w:rsidRPr="00BD1B37">
        <w:rPr>
          <w:rFonts w:ascii="Courier New" w:hAnsi="Courier New" w:cs="Courier New"/>
          <w:color w:val="000000"/>
        </w:rPr>
        <w:t>http://</w:t>
      </w:r>
      <w:r w:rsidRPr="00BD1B37">
        <w:rPr>
          <w:rFonts w:ascii="Courier New" w:hAnsi="Courier New" w:cs="Courier New"/>
          <w:color w:val="000000"/>
        </w:rPr>
        <w:t xml:space="preserve">www.regulations.gov, or in person viewing at the Air and Radiation docket in the EPA Docket Center (EPA/DC), </w:t>
      </w:r>
      <w:r w:rsidR="002C13A8">
        <w:rPr>
          <w:rFonts w:ascii="Courier New" w:hAnsi="Courier New" w:cs="Courier New"/>
          <w:color w:val="000000"/>
        </w:rPr>
        <w:t>William Jefferson Clinton Federal Building</w:t>
      </w:r>
      <w:r w:rsidR="002C13A8" w:rsidRPr="00BD1B37">
        <w:rPr>
          <w:rFonts w:ascii="Courier New" w:hAnsi="Courier New" w:cs="Courier New"/>
          <w:color w:val="000000"/>
        </w:rPr>
        <w:t xml:space="preserve"> </w:t>
      </w:r>
      <w:r w:rsidR="002C13A8">
        <w:rPr>
          <w:rFonts w:ascii="Courier New" w:hAnsi="Courier New" w:cs="Courier New"/>
          <w:color w:val="000000"/>
        </w:rPr>
        <w:t xml:space="preserve">- </w:t>
      </w:r>
      <w:r w:rsidRPr="00BD1B37">
        <w:rPr>
          <w:rFonts w:ascii="Courier New" w:hAnsi="Courier New" w:cs="Courier New"/>
          <w:color w:val="000000"/>
        </w:rPr>
        <w:t>West, Room</w:t>
      </w:r>
      <w:r w:rsidR="00E5659B" w:rsidRPr="00BD1B37">
        <w:rPr>
          <w:rFonts w:ascii="Courier New" w:hAnsi="Courier New" w:cs="Courier New"/>
          <w:color w:val="000000"/>
        </w:rPr>
        <w:t xml:space="preserve"> </w:t>
      </w:r>
      <w:r w:rsidR="00F315E4" w:rsidRPr="00BD1B37">
        <w:rPr>
          <w:rFonts w:ascii="Courier New" w:hAnsi="Courier New" w:cs="Courier New"/>
          <w:color w:val="000000"/>
        </w:rPr>
        <w:t>3334</w:t>
      </w:r>
      <w:r w:rsidRPr="00BD1B37">
        <w:rPr>
          <w:rFonts w:ascii="Courier New" w:hAnsi="Courier New" w:cs="Courier New"/>
          <w:color w:val="000000"/>
        </w:rPr>
        <w:t xml:space="preserve">, 1301 </w:t>
      </w:r>
      <w:r w:rsidRPr="00BD1B37">
        <w:rPr>
          <w:rFonts w:ascii="Courier New" w:hAnsi="Courier New" w:cs="Courier New"/>
          <w:color w:val="000000"/>
        </w:rPr>
        <w:lastRenderedPageBreak/>
        <w:t xml:space="preserve">Constitution Avenue, NW, Washington, D.C. The EPA Docket Center Public Reading Room is open from 8:30 a.m. to 4:30 p.m., Monday through Friday, excluding legal holidays. The telephone number for the Reading Room is (202) 566-1744, and the telephone number for the Air and Radiation docket is (202) 566-1742. An electronic version of the public docket is available at </w:t>
      </w:r>
      <w:r w:rsidR="00803CDD" w:rsidRPr="00BD1B37">
        <w:rPr>
          <w:rFonts w:ascii="Courier New" w:hAnsi="Courier New" w:cs="Courier New"/>
          <w:color w:val="000000"/>
        </w:rPr>
        <w:t>http://</w:t>
      </w:r>
      <w:r w:rsidRPr="00BD1B37">
        <w:rPr>
          <w:rFonts w:ascii="Courier New" w:hAnsi="Courier New" w:cs="Courier New"/>
          <w:color w:val="000000"/>
        </w:rPr>
        <w:t>www.regulations.gov. This site can be used to submit or view public comments, access the index listing of the contents of the public docket, and to access those documents in the public docket that are available electronically. When in the system, select “search,” then key in the Docket ID</w:t>
      </w:r>
      <w:r w:rsidR="000D6D57" w:rsidRPr="00BD1B37">
        <w:rPr>
          <w:rFonts w:ascii="Courier New" w:hAnsi="Courier New" w:cs="Courier New"/>
          <w:color w:val="000000"/>
        </w:rPr>
        <w:t xml:space="preserve"> </w:t>
      </w:r>
      <w:r w:rsidRPr="00BD1B37">
        <w:rPr>
          <w:rFonts w:ascii="Courier New" w:hAnsi="Courier New" w:cs="Courier New"/>
          <w:color w:val="000000"/>
        </w:rPr>
        <w:t xml:space="preserve">Number identified above. Also, you can send comments to the Office of Information and Regulatory Affairs, Office of Management and Budget, 725 17th Street, NW, Washington, D.C. 20503, Attention: Desk Officer for EPA. Please include the EPA Docket ID Number </w:t>
      </w:r>
      <w:r w:rsidR="00BD1B37" w:rsidRPr="00BD1B37">
        <w:rPr>
          <w:rFonts w:ascii="Courier New" w:hAnsi="Courier New"/>
          <w:color w:val="000000"/>
        </w:rPr>
        <w:t>EPA–HQ–OAR–2010-0929</w:t>
      </w:r>
      <w:r w:rsidRPr="00BD1B37">
        <w:rPr>
          <w:rFonts w:ascii="Courier New" w:hAnsi="Courier New" w:cs="Courier New"/>
          <w:color w:val="000000"/>
        </w:rPr>
        <w:t xml:space="preserve">and OMB Control Number </w:t>
      </w:r>
      <w:r w:rsidR="004E655D" w:rsidRPr="00BD1B37">
        <w:rPr>
          <w:rFonts w:ascii="Courier New" w:hAnsi="Courier New" w:cs="Courier New"/>
          <w:color w:val="000000"/>
        </w:rPr>
        <w:t>2060</w:t>
      </w:r>
      <w:r w:rsidRPr="00BD1B37">
        <w:rPr>
          <w:rFonts w:ascii="Courier New" w:hAnsi="Courier New" w:cs="Courier New"/>
          <w:color w:val="000000"/>
        </w:rPr>
        <w:t>-</w:t>
      </w:r>
      <w:r w:rsidR="002C13A8">
        <w:rPr>
          <w:rFonts w:ascii="Courier New" w:hAnsi="Courier New" w:cs="Courier New"/>
          <w:color w:val="000000"/>
        </w:rPr>
        <w:t>0629</w:t>
      </w:r>
      <w:r w:rsidR="001926E6" w:rsidRPr="00BD1B37">
        <w:rPr>
          <w:rFonts w:ascii="Courier New" w:hAnsi="Courier New" w:cs="Courier New"/>
          <w:color w:val="000000"/>
        </w:rPr>
        <w:t xml:space="preserve"> on</w:t>
      </w:r>
      <w:r w:rsidRPr="00BD1B37">
        <w:rPr>
          <w:rFonts w:ascii="Courier New" w:hAnsi="Courier New" w:cs="Courier New"/>
          <w:color w:val="000000"/>
        </w:rPr>
        <w:t xml:space="preserve"> any correspondence</w:t>
      </w:r>
      <w:r w:rsidR="00E211FC" w:rsidRPr="00BD1B37">
        <w:rPr>
          <w:rFonts w:ascii="Courier New" w:hAnsi="Courier New" w:cs="Courier New"/>
          <w:color w:val="000000"/>
        </w:rPr>
        <w:t>.</w:t>
      </w:r>
      <w:r w:rsidR="00ED239B" w:rsidRPr="00BD1B37">
        <w:rPr>
          <w:rFonts w:ascii="Courier New" w:hAnsi="Courier New" w:cs="Courier New"/>
          <w:color w:val="000000"/>
        </w:rPr>
        <w:t xml:space="preserve"> </w:t>
      </w:r>
    </w:p>
    <w:p w:rsidR="009F181C" w:rsidRPr="00EA6F91" w:rsidRDefault="009F181C" w:rsidP="009F181C">
      <w:pPr>
        <w:tabs>
          <w:tab w:val="center" w:pos="4680"/>
          <w:tab w:val="left" w:pos="5040"/>
          <w:tab w:val="left" w:pos="5760"/>
          <w:tab w:val="left" w:pos="6480"/>
          <w:tab w:val="left" w:pos="7200"/>
          <w:tab w:val="left" w:pos="7920"/>
          <w:tab w:val="left" w:pos="8640"/>
          <w:tab w:val="left" w:pos="9360"/>
        </w:tabs>
        <w:jc w:val="center"/>
        <w:rPr>
          <w:rFonts w:ascii="Courier New" w:hAnsi="Courier New" w:cs="Courier New"/>
          <w:b/>
        </w:rPr>
      </w:pPr>
      <w:r w:rsidRPr="00EA6F91">
        <w:rPr>
          <w:rFonts w:ascii="Courier New" w:hAnsi="Courier New" w:cs="Courier New"/>
          <w:b/>
        </w:rPr>
        <w:lastRenderedPageBreak/>
        <w:t>ATTACHMENT 1</w:t>
      </w:r>
    </w:p>
    <w:p w:rsidR="009F181C" w:rsidRPr="00EA6F91" w:rsidRDefault="009F181C" w:rsidP="009F18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p>
    <w:p w:rsidR="009F181C" w:rsidRPr="00EA6F91" w:rsidRDefault="009F181C" w:rsidP="009F181C">
      <w:pPr>
        <w:tabs>
          <w:tab w:val="center" w:pos="4680"/>
          <w:tab w:val="left" w:pos="5040"/>
          <w:tab w:val="left" w:pos="5760"/>
          <w:tab w:val="left" w:pos="6480"/>
          <w:tab w:val="left" w:pos="7200"/>
          <w:tab w:val="left" w:pos="7920"/>
          <w:tab w:val="left" w:pos="8640"/>
          <w:tab w:val="left" w:pos="9360"/>
        </w:tabs>
        <w:rPr>
          <w:rFonts w:ascii="Courier New" w:hAnsi="Courier New" w:cs="Courier New"/>
          <w:b/>
        </w:rPr>
      </w:pPr>
      <w:r w:rsidRPr="00EA6F91">
        <w:rPr>
          <w:rFonts w:ascii="Courier New" w:hAnsi="Courier New" w:cs="Courier New"/>
          <w:b/>
        </w:rPr>
        <w:tab/>
        <w:t>TABLES 1, 2, 3, and 4</w:t>
      </w:r>
    </w:p>
    <w:p w:rsidR="009F181C" w:rsidRPr="00EA6F91" w:rsidRDefault="009F181C" w:rsidP="009F18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p>
    <w:p w:rsidR="009F181C" w:rsidRPr="00EA6F91" w:rsidRDefault="009F181C" w:rsidP="009F18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p>
    <w:p w:rsidR="009F181C" w:rsidRPr="00EA6F91" w:rsidRDefault="009F181C" w:rsidP="009F18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p>
    <w:p w:rsidR="009F181C" w:rsidRPr="00EA6F91" w:rsidRDefault="009F181C" w:rsidP="009F18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Courier New" w:hAnsi="Courier New" w:cs="Courier New"/>
        </w:rPr>
      </w:pPr>
      <w:r w:rsidRPr="00EA6F91">
        <w:rPr>
          <w:rFonts w:ascii="Courier New" w:hAnsi="Courier New" w:cs="Courier New"/>
        </w:rPr>
        <w:t>Tables 1 - 3:</w:t>
      </w:r>
      <w:r w:rsidRPr="00EA6F91">
        <w:rPr>
          <w:rFonts w:ascii="Courier New" w:hAnsi="Courier New" w:cs="Courier New"/>
        </w:rPr>
        <w:tab/>
        <w:t>Annual Respondent Burden and Cost of Recordkeeping and Reporting Requirements for Revisions to Reporting, Recordkeeping, and Verification Requirements under the Greenhouse Gas Reporting Program - Years 1-3</w:t>
      </w:r>
    </w:p>
    <w:p w:rsidR="009F181C" w:rsidRPr="00EA6F91" w:rsidRDefault="009F181C" w:rsidP="009F18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p>
    <w:p w:rsidR="009F181C" w:rsidRPr="00EA6F91" w:rsidRDefault="009F181C" w:rsidP="009F18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Courier New" w:hAnsi="Courier New" w:cs="Courier New"/>
        </w:rPr>
      </w:pPr>
      <w:r w:rsidRPr="00EA6F91">
        <w:rPr>
          <w:rFonts w:ascii="Courier New" w:hAnsi="Courier New" w:cs="Courier New"/>
        </w:rPr>
        <w:t>Table 4:</w:t>
      </w:r>
      <w:r w:rsidRPr="00EA6F91">
        <w:rPr>
          <w:rFonts w:ascii="Courier New" w:hAnsi="Courier New" w:cs="Courier New"/>
        </w:rPr>
        <w:tab/>
        <w:t>Summary of Annual Respondent Burden and Cost of Recordkeeping and Reporting Requirements for Revisions to Reporting, Recordkeeping, and Verification Requirements under the Greenhouse Gas Reporting Program</w:t>
      </w:r>
    </w:p>
    <w:p w:rsidR="009F181C" w:rsidRPr="00EA6F91" w:rsidRDefault="009F181C" w:rsidP="009F18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p>
    <w:p w:rsidR="009F181C" w:rsidRPr="00EA6F91" w:rsidRDefault="009F181C" w:rsidP="009F181C">
      <w:pPr>
        <w:tabs>
          <w:tab w:val="center" w:pos="4680"/>
        </w:tabs>
        <w:jc w:val="center"/>
        <w:rPr>
          <w:rFonts w:ascii="Courier New" w:hAnsi="Courier New" w:cs="Courier New"/>
          <w:b/>
          <w:color w:val="000000"/>
        </w:rPr>
      </w:pPr>
      <w:r w:rsidRPr="00EA6F91">
        <w:rPr>
          <w:rFonts w:ascii="Courier New" w:hAnsi="Courier New" w:cs="Courier New"/>
          <w:b/>
          <w:color w:val="000000"/>
        </w:rPr>
        <w:br w:type="page"/>
      </w:r>
      <w:r w:rsidRPr="00EA6F91">
        <w:rPr>
          <w:rFonts w:ascii="Courier New" w:hAnsi="Courier New" w:cs="Courier New"/>
          <w:b/>
          <w:color w:val="000000"/>
        </w:rPr>
        <w:lastRenderedPageBreak/>
        <w:t>ATTACHMENT 2</w:t>
      </w:r>
    </w:p>
    <w:p w:rsidR="009F181C" w:rsidRPr="00EA6F91" w:rsidRDefault="009F181C" w:rsidP="009F181C">
      <w:pPr>
        <w:tabs>
          <w:tab w:val="left" w:pos="-1180"/>
          <w:tab w:val="left" w:pos="-720"/>
          <w:tab w:val="left" w:pos="0"/>
          <w:tab w:val="left" w:pos="270"/>
          <w:tab w:val="left" w:pos="1440"/>
        </w:tabs>
        <w:rPr>
          <w:rFonts w:ascii="Courier New" w:hAnsi="Courier New" w:cs="Courier New"/>
          <w:color w:val="000000"/>
        </w:rPr>
      </w:pPr>
    </w:p>
    <w:p w:rsidR="009F181C" w:rsidRPr="00EA6F91" w:rsidRDefault="009F181C" w:rsidP="009F181C">
      <w:pPr>
        <w:tabs>
          <w:tab w:val="center" w:pos="4680"/>
        </w:tabs>
        <w:rPr>
          <w:rFonts w:ascii="Courier New" w:hAnsi="Courier New" w:cs="Courier New"/>
          <w:b/>
          <w:color w:val="000000"/>
        </w:rPr>
      </w:pPr>
      <w:r w:rsidRPr="00EA6F91">
        <w:rPr>
          <w:rFonts w:ascii="Courier New" w:hAnsi="Courier New" w:cs="Courier New"/>
          <w:b/>
          <w:color w:val="000000"/>
        </w:rPr>
        <w:tab/>
        <w:t>TABLES 5, 6, 7, and 8</w:t>
      </w:r>
    </w:p>
    <w:p w:rsidR="009F181C" w:rsidRPr="00EA6F91" w:rsidRDefault="009F181C" w:rsidP="009F181C">
      <w:pPr>
        <w:tabs>
          <w:tab w:val="left" w:pos="-1180"/>
          <w:tab w:val="left" w:pos="-720"/>
          <w:tab w:val="left" w:pos="0"/>
          <w:tab w:val="left" w:pos="270"/>
          <w:tab w:val="left" w:pos="1440"/>
        </w:tabs>
        <w:rPr>
          <w:rFonts w:ascii="Courier New" w:hAnsi="Courier New" w:cs="Courier New"/>
          <w:color w:val="000000"/>
        </w:rPr>
      </w:pPr>
    </w:p>
    <w:p w:rsidR="009F181C" w:rsidRPr="00EA6F91" w:rsidRDefault="009F181C" w:rsidP="009F181C">
      <w:pPr>
        <w:tabs>
          <w:tab w:val="left" w:pos="-1180"/>
          <w:tab w:val="left" w:pos="-720"/>
          <w:tab w:val="left" w:pos="0"/>
          <w:tab w:val="left" w:pos="270"/>
          <w:tab w:val="left" w:pos="1440"/>
        </w:tabs>
        <w:rPr>
          <w:rFonts w:ascii="Courier New" w:hAnsi="Courier New" w:cs="Courier New"/>
          <w:color w:val="000000"/>
        </w:rPr>
      </w:pPr>
    </w:p>
    <w:p w:rsidR="009F181C" w:rsidRPr="00EA6F91" w:rsidRDefault="009F181C" w:rsidP="009F181C">
      <w:pPr>
        <w:tabs>
          <w:tab w:val="left" w:pos="-1180"/>
          <w:tab w:val="left" w:pos="-720"/>
          <w:tab w:val="left" w:pos="0"/>
          <w:tab w:val="left" w:pos="270"/>
          <w:tab w:val="left" w:pos="1440"/>
        </w:tabs>
        <w:rPr>
          <w:rFonts w:ascii="Courier New" w:hAnsi="Courier New" w:cs="Courier New"/>
          <w:color w:val="000000"/>
        </w:rPr>
      </w:pPr>
    </w:p>
    <w:p w:rsidR="009F181C" w:rsidRPr="00EA6F91" w:rsidRDefault="009F181C" w:rsidP="009F181C">
      <w:pPr>
        <w:tabs>
          <w:tab w:val="left" w:pos="-1180"/>
          <w:tab w:val="left" w:pos="-720"/>
          <w:tab w:val="left" w:pos="0"/>
          <w:tab w:val="left" w:pos="270"/>
          <w:tab w:val="left" w:pos="1440"/>
        </w:tabs>
        <w:ind w:left="1440" w:hanging="1440"/>
        <w:rPr>
          <w:rFonts w:ascii="Courier New" w:hAnsi="Courier New" w:cs="Courier New"/>
          <w:color w:val="000000"/>
        </w:rPr>
      </w:pPr>
      <w:r w:rsidRPr="00EA6F91">
        <w:rPr>
          <w:rFonts w:ascii="Courier New" w:hAnsi="Courier New" w:cs="Courier New"/>
          <w:color w:val="000000"/>
        </w:rPr>
        <w:t>Tables 5 - 7:</w:t>
      </w:r>
      <w:r w:rsidRPr="00EA6F91">
        <w:rPr>
          <w:rFonts w:ascii="Courier New" w:hAnsi="Courier New" w:cs="Courier New"/>
          <w:color w:val="000000"/>
        </w:rPr>
        <w:tab/>
        <w:t>Annual Designated Administrator Burden and Cost of Recordkeeping and Reporting Requirements for Revisions to Reporting, Recordkeeping, and Verification Requirements under the Greenhouse Gas Reporting Program - Years 1-3</w:t>
      </w:r>
    </w:p>
    <w:p w:rsidR="009F181C" w:rsidRPr="00EA6F91" w:rsidRDefault="009F181C" w:rsidP="009F181C">
      <w:pPr>
        <w:tabs>
          <w:tab w:val="left" w:pos="-1180"/>
          <w:tab w:val="left" w:pos="-720"/>
          <w:tab w:val="left" w:pos="0"/>
          <w:tab w:val="left" w:pos="270"/>
          <w:tab w:val="left" w:pos="1440"/>
        </w:tabs>
        <w:rPr>
          <w:rFonts w:ascii="Courier New" w:hAnsi="Courier New" w:cs="Courier New"/>
          <w:color w:val="000000"/>
        </w:rPr>
      </w:pPr>
    </w:p>
    <w:p w:rsidR="009F181C" w:rsidRPr="00EA6F91" w:rsidRDefault="009F181C" w:rsidP="009F181C">
      <w:pPr>
        <w:tabs>
          <w:tab w:val="left" w:pos="-1180"/>
          <w:tab w:val="left" w:pos="-720"/>
          <w:tab w:val="left" w:pos="0"/>
          <w:tab w:val="left" w:pos="270"/>
          <w:tab w:val="left" w:pos="1440"/>
        </w:tabs>
        <w:ind w:left="1440" w:hanging="1440"/>
        <w:rPr>
          <w:rFonts w:ascii="Courier New" w:hAnsi="Courier New" w:cs="Courier New"/>
          <w:color w:val="000000"/>
        </w:rPr>
      </w:pPr>
      <w:r w:rsidRPr="00EA6F91">
        <w:rPr>
          <w:rFonts w:ascii="Courier New" w:hAnsi="Courier New" w:cs="Courier New"/>
          <w:color w:val="000000"/>
        </w:rPr>
        <w:t>Table 8:</w:t>
      </w:r>
      <w:r w:rsidRPr="00EA6F91">
        <w:rPr>
          <w:rFonts w:ascii="Courier New" w:hAnsi="Courier New" w:cs="Courier New"/>
          <w:color w:val="000000"/>
        </w:rPr>
        <w:tab/>
        <w:t xml:space="preserve">Summary of Annual Designated Administrator Burden and Cost of Recordkeeping and Reporting Requirements </w:t>
      </w:r>
      <w:r w:rsidRPr="00EA6F91">
        <w:rPr>
          <w:rFonts w:ascii="Courier New" w:hAnsi="Courier New" w:cs="Courier New"/>
        </w:rPr>
        <w:t xml:space="preserve">for </w:t>
      </w:r>
      <w:r w:rsidR="00052F54" w:rsidRPr="00EA6F91">
        <w:rPr>
          <w:rFonts w:ascii="Courier New" w:hAnsi="Courier New" w:cs="Courier New"/>
        </w:rPr>
        <w:t>Revisions to Reporting, Recordkeeping, and Verification Requirements under the Greenhouse Gas Reporting Program</w:t>
      </w:r>
    </w:p>
    <w:p w:rsidR="009F181C" w:rsidRPr="00A42F25" w:rsidRDefault="009F181C" w:rsidP="008B2928">
      <w:pPr>
        <w:widowControl w:val="0"/>
        <w:autoSpaceDE w:val="0"/>
        <w:autoSpaceDN w:val="0"/>
        <w:adjustRightInd w:val="0"/>
        <w:ind w:firstLine="720"/>
        <w:rPr>
          <w:sz w:val="23"/>
          <w:szCs w:val="23"/>
        </w:rPr>
      </w:pPr>
    </w:p>
    <w:sectPr w:rsidR="009F181C" w:rsidRPr="00A42F25" w:rsidSect="00AB1467">
      <w:footerReference w:type="default" r:id="rId10"/>
      <w:pgSz w:w="12240" w:h="15840" w:code="1"/>
      <w:pgMar w:top="1440" w:right="1440" w:bottom="1440" w:left="1440" w:header="720" w:footer="432"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1BD1" w:rsidRPr="00A42F25" w:rsidRDefault="00821BD1">
      <w:pPr>
        <w:rPr>
          <w:sz w:val="23"/>
          <w:szCs w:val="23"/>
        </w:rPr>
      </w:pPr>
      <w:r w:rsidRPr="00A42F25">
        <w:rPr>
          <w:sz w:val="23"/>
          <w:szCs w:val="23"/>
        </w:rPr>
        <w:separator/>
      </w:r>
    </w:p>
  </w:endnote>
  <w:endnote w:type="continuationSeparator" w:id="0">
    <w:p w:rsidR="00821BD1" w:rsidRPr="00A42F25" w:rsidRDefault="00821BD1">
      <w:pPr>
        <w:rPr>
          <w:sz w:val="23"/>
          <w:szCs w:val="23"/>
        </w:rPr>
      </w:pPr>
      <w:r w:rsidRPr="00A42F25">
        <w:rPr>
          <w:sz w:val="23"/>
          <w:szCs w:val="23"/>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P MathA">
    <w:altName w:val="Symbol"/>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3A8" w:rsidRPr="00A42F25" w:rsidRDefault="002C13A8" w:rsidP="00053711">
    <w:pPr>
      <w:pStyle w:val="Footer"/>
      <w:tabs>
        <w:tab w:val="clear" w:pos="4680"/>
        <w:tab w:val="clear" w:pos="9360"/>
        <w:tab w:val="left" w:pos="4695"/>
        <w:tab w:val="center" w:pos="5760"/>
        <w:tab w:val="right" w:pos="12960"/>
      </w:tabs>
      <w:rPr>
        <w:sz w:val="23"/>
        <w:szCs w:val="23"/>
      </w:rPr>
    </w:pPr>
    <w:r w:rsidRPr="00A42F25">
      <w:rPr>
        <w:i/>
        <w:sz w:val="17"/>
        <w:szCs w:val="17"/>
      </w:rPr>
      <w:tab/>
      <w:t xml:space="preserve"> Page </w:t>
    </w:r>
    <w:r w:rsidR="0011205A" w:rsidRPr="00A42F25">
      <w:rPr>
        <w:i/>
        <w:sz w:val="17"/>
        <w:szCs w:val="17"/>
      </w:rPr>
      <w:fldChar w:fldCharType="begin"/>
    </w:r>
    <w:r w:rsidRPr="00A42F25">
      <w:rPr>
        <w:i/>
        <w:sz w:val="17"/>
        <w:szCs w:val="17"/>
      </w:rPr>
      <w:instrText xml:space="preserve"> PAGE </w:instrText>
    </w:r>
    <w:r w:rsidR="0011205A" w:rsidRPr="00A42F25">
      <w:rPr>
        <w:i/>
        <w:sz w:val="17"/>
        <w:szCs w:val="17"/>
      </w:rPr>
      <w:fldChar w:fldCharType="separate"/>
    </w:r>
    <w:r w:rsidR="00FF0D8A">
      <w:rPr>
        <w:i/>
        <w:noProof/>
        <w:sz w:val="17"/>
        <w:szCs w:val="17"/>
      </w:rPr>
      <w:t>28</w:t>
    </w:r>
    <w:r w:rsidR="0011205A" w:rsidRPr="00A42F25">
      <w:rPr>
        <w:i/>
        <w:sz w:val="17"/>
        <w:szCs w:val="17"/>
      </w:rPr>
      <w:fldChar w:fldCharType="end"/>
    </w:r>
    <w:r w:rsidRPr="00A42F25">
      <w:rPr>
        <w:i/>
        <w:sz w:val="17"/>
        <w:szCs w:val="17"/>
      </w:rPr>
      <w:t xml:space="preserve">                                                              </w:t>
    </w:r>
    <w:r>
      <w:rPr>
        <w:i/>
        <w:sz w:val="17"/>
        <w:szCs w:val="17"/>
      </w:rPr>
      <w:t>August</w:t>
    </w:r>
    <w:r w:rsidRPr="00A42F25">
      <w:rPr>
        <w:i/>
        <w:sz w:val="17"/>
        <w:szCs w:val="17"/>
      </w:rPr>
      <w:t xml:space="preserve"> 2013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3A8" w:rsidRPr="00A42F25" w:rsidRDefault="002C13A8" w:rsidP="00053711">
    <w:pPr>
      <w:pStyle w:val="Footer"/>
      <w:tabs>
        <w:tab w:val="clear" w:pos="4680"/>
        <w:tab w:val="clear" w:pos="9360"/>
        <w:tab w:val="left" w:pos="4695"/>
        <w:tab w:val="center" w:pos="5760"/>
        <w:tab w:val="right" w:pos="12960"/>
      </w:tabs>
      <w:rPr>
        <w:sz w:val="23"/>
        <w:szCs w:val="23"/>
      </w:rPr>
    </w:pPr>
    <w:r w:rsidRPr="00A42F25">
      <w:rPr>
        <w:i/>
        <w:sz w:val="17"/>
        <w:szCs w:val="17"/>
      </w:rPr>
      <w:tab/>
    </w:r>
    <w:r>
      <w:rPr>
        <w:i/>
        <w:sz w:val="17"/>
        <w:szCs w:val="17"/>
      </w:rPr>
      <w:t>August</w:t>
    </w:r>
    <w:r w:rsidRPr="00A42F25">
      <w:rPr>
        <w:i/>
        <w:sz w:val="17"/>
        <w:szCs w:val="17"/>
      </w:rPr>
      <w:t xml:space="preserve"> 2013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1BD1" w:rsidRPr="00A42F25" w:rsidRDefault="00821BD1">
      <w:pPr>
        <w:rPr>
          <w:sz w:val="23"/>
          <w:szCs w:val="23"/>
        </w:rPr>
      </w:pPr>
      <w:r w:rsidRPr="00A42F25">
        <w:rPr>
          <w:sz w:val="23"/>
          <w:szCs w:val="23"/>
        </w:rPr>
        <w:separator/>
      </w:r>
    </w:p>
  </w:footnote>
  <w:footnote w:type="continuationSeparator" w:id="0">
    <w:p w:rsidR="00821BD1" w:rsidRPr="00A42F25" w:rsidRDefault="00821BD1">
      <w:pPr>
        <w:rPr>
          <w:sz w:val="23"/>
          <w:szCs w:val="23"/>
        </w:rPr>
      </w:pPr>
      <w:r w:rsidRPr="00A42F25">
        <w:rPr>
          <w:sz w:val="23"/>
          <w:szCs w:val="23"/>
        </w:rPr>
        <w:continuationSeparator/>
      </w:r>
    </w:p>
  </w:footnote>
  <w:footnote w:id="1">
    <w:p w:rsidR="002C13A8" w:rsidRDefault="002C13A8">
      <w:pPr>
        <w:pStyle w:val="FootnoteText"/>
      </w:pPr>
      <w:r>
        <w:rPr>
          <w:rStyle w:val="FootnoteReference"/>
        </w:rPr>
        <w:footnoteRef/>
      </w:r>
      <w:r>
        <w:t xml:space="preserve"> Using the same evaluation procedures, we evaluated all data elements for which reporting was deferred to March 31, 2013 (Table A-6 to Part 98) </w:t>
      </w:r>
      <w:r w:rsidRPr="00D23218">
        <w:t xml:space="preserve">and </w:t>
      </w:r>
      <w:r>
        <w:t xml:space="preserve">took </w:t>
      </w:r>
      <w:r w:rsidRPr="00D23218">
        <w:t xml:space="preserve">no further action. </w:t>
      </w:r>
      <w:r>
        <w:t>As a result, applicable facilities were required to report these data by April 1, 2013.</w:t>
      </w:r>
    </w:p>
  </w:footnote>
  <w:footnote w:id="2">
    <w:p w:rsidR="002C13A8" w:rsidRDefault="002C13A8">
      <w:pPr>
        <w:pStyle w:val="FootnoteText"/>
      </w:pPr>
      <w:r>
        <w:rPr>
          <w:rStyle w:val="FootnoteReference"/>
        </w:rPr>
        <w:footnoteRef/>
      </w:r>
      <w:r>
        <w:t xml:space="preserve"> S</w:t>
      </w:r>
      <w:r w:rsidRPr="009372A0">
        <w:t xml:space="preserve">tationary fuel combustion sources </w:t>
      </w:r>
      <w:r>
        <w:t xml:space="preserve">subject to subpart </w:t>
      </w:r>
      <w:r w:rsidRPr="00D75E4B">
        <w:t xml:space="preserve">C (e.g., </w:t>
      </w:r>
      <w:r w:rsidRPr="00097C9E">
        <w:t>individual units, aggregations of units, common pipes, or common stacks</w:t>
      </w:r>
      <w:r w:rsidRPr="009372A0">
        <w:t xml:space="preserve">) </w:t>
      </w:r>
      <w:r>
        <w:t xml:space="preserve">are </w:t>
      </w:r>
      <w:r w:rsidRPr="009372A0">
        <w:t>not affected by the proposed amendments</w:t>
      </w:r>
      <w:r>
        <w:t xml:space="preserve"> if they </w:t>
      </w:r>
      <w:r w:rsidRPr="009372A0">
        <w:t>meet both of the following criteria: (1) the stationary fuel combustion source contains at least one combustion unit connected to a fuel-fired electric generator that has been granted access by the Public Utilities Commission to deliver power to the local or regional electric power grid (excluding generators connected to combustion units subject to subpart D of Part 98); and (2) the stationary fuel combustion source is located at a facility for which the sum of the nameplate capacities for all such electric generators is greater than or equal to 1 megawatt electric</w:t>
      </w:r>
      <w:r>
        <w:t xml:space="preserve"> output</w:t>
      </w:r>
      <w:r w:rsidRPr="009372A0">
        <w:t>. Refer to Section III.A.3 of this preamble for a discussion of the EPA’s rationale for proposing that combustion units meeting these criteria not be affected by the proposed amendments.</w:t>
      </w:r>
    </w:p>
  </w:footnote>
  <w:footnote w:id="3">
    <w:p w:rsidR="002C13A8" w:rsidRDefault="002C13A8">
      <w:pPr>
        <w:pStyle w:val="FootnoteText"/>
      </w:pPr>
      <w:r>
        <w:rPr>
          <w:rStyle w:val="FootnoteReference"/>
        </w:rPr>
        <w:footnoteRef/>
      </w:r>
      <w:r>
        <w:t xml:space="preserve"> </w:t>
      </w:r>
      <w:r>
        <w:rPr>
          <w:rFonts w:cs="Courier New"/>
        </w:rPr>
        <w:t xml:space="preserve">All data reported in the annual report via e-GGRT are retained in e-GGRT. </w:t>
      </w:r>
      <w:r>
        <w:t xml:space="preserve">Data entered into the inputs verification tool would not be reported (or otherwise accessible) to EPA. The tool would use entered data to conduct electronic verification of reported data and generate a verification summary made available to EPA for verification purposes. </w:t>
      </w:r>
      <w:r>
        <w:rPr>
          <w:rFonts w:cs="Courier New"/>
        </w:rPr>
        <w:t xml:space="preserve">All “inputs to equations” data elements not reported in the annual report would be kept on record by reporters. </w:t>
      </w:r>
      <w:r>
        <w:t xml:space="preserve">Refer to section 5(b) for further discussion of the proposed tool. </w:t>
      </w:r>
    </w:p>
  </w:footnote>
  <w:footnote w:id="4">
    <w:p w:rsidR="002C13A8" w:rsidRDefault="002C13A8">
      <w:pPr>
        <w:pStyle w:val="FootnoteText"/>
      </w:pPr>
      <w:r>
        <w:rPr>
          <w:rStyle w:val="FootnoteReference"/>
        </w:rPr>
        <w:footnoteRef/>
      </w:r>
      <w:r>
        <w:t xml:space="preserve"> </w:t>
      </w:r>
      <w:r w:rsidRPr="00A42F25">
        <w:rPr>
          <w:rFonts w:ascii="Times New Roman" w:hAnsi="Times New Roman"/>
          <w:sz w:val="19"/>
          <w:szCs w:val="19"/>
        </w:rPr>
        <w:t>May 2011 National Industry-Specific Occupational Employment and Wage Estimates (</w:t>
      </w:r>
      <w:hyperlink r:id="rId1" w:history="1">
        <w:r w:rsidRPr="00A42F25">
          <w:rPr>
            <w:rStyle w:val="Hyperlink"/>
            <w:rFonts w:ascii="Times New Roman" w:hAnsi="Times New Roman"/>
            <w:sz w:val="19"/>
            <w:szCs w:val="19"/>
          </w:rPr>
          <w:t>http://www.bls.gov/oes/current/oessrci.htm</w:t>
        </w:r>
      </w:hyperlink>
      <w:r w:rsidRPr="00A42F25">
        <w:rPr>
          <w:rFonts w:ascii="Times New Roman" w:hAnsi="Times New Roman"/>
          <w:sz w:val="19"/>
          <w:szCs w:val="19"/>
        </w:rPr>
        <w:t>) and Employer Costs for Employee Compensation for June of 2011 (</w:t>
      </w:r>
      <w:hyperlink r:id="rId2" w:history="1">
        <w:r w:rsidRPr="00A42F25">
          <w:rPr>
            <w:rStyle w:val="Hyperlink"/>
            <w:rFonts w:ascii="Times New Roman" w:hAnsi="Times New Roman"/>
            <w:sz w:val="19"/>
            <w:szCs w:val="19"/>
          </w:rPr>
          <w:t>http://www.bls.gov/news.release/archives/ecec_09082011.pdf</w:t>
        </w:r>
      </w:hyperlink>
      <w:r w:rsidRPr="00A42F25">
        <w:rPr>
          <w:rFonts w:ascii="Times New Roman" w:hAnsi="Times New Roman"/>
          <w:sz w:val="19"/>
          <w:szCs w:val="19"/>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D13C9"/>
    <w:multiLevelType w:val="hybridMultilevel"/>
    <w:tmpl w:val="99200474"/>
    <w:lvl w:ilvl="0" w:tplc="735ADC70">
      <w:start w:val="5"/>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nsid w:val="06662B57"/>
    <w:multiLevelType w:val="hybridMultilevel"/>
    <w:tmpl w:val="7C9273F6"/>
    <w:lvl w:ilvl="0" w:tplc="E264AFCA">
      <w:start w:val="1"/>
      <w:numFmt w:val="bullet"/>
      <w:pStyle w:val="Bullet-GHGPreamble"/>
      <w:lvlText w:val=""/>
      <w:lvlJc w:val="left"/>
      <w:pPr>
        <w:tabs>
          <w:tab w:val="num" w:pos="720"/>
        </w:tabs>
        <w:ind w:left="720" w:hanging="720"/>
      </w:pPr>
      <w:rPr>
        <w:rFonts w:ascii="WP MathA" w:hAnsi="WP MathA" w:hint="default"/>
        <w:sz w:val="24"/>
      </w:rPr>
    </w:lvl>
    <w:lvl w:ilvl="1" w:tplc="04090019">
      <w:start w:val="1"/>
      <w:numFmt w:val="lowerLetter"/>
      <w:lvlText w:val="%2."/>
      <w:lvlJc w:val="left"/>
      <w:pPr>
        <w:tabs>
          <w:tab w:val="num" w:pos="2340"/>
        </w:tabs>
        <w:ind w:left="2340" w:hanging="360"/>
      </w:pPr>
    </w:lvl>
    <w:lvl w:ilvl="2" w:tplc="04090001">
      <w:start w:val="1"/>
      <w:numFmt w:val="bullet"/>
      <w:lvlText w:val=""/>
      <w:lvlJc w:val="left"/>
      <w:pPr>
        <w:tabs>
          <w:tab w:val="num" w:pos="1800"/>
        </w:tabs>
        <w:ind w:left="1800" w:hanging="360"/>
      </w:pPr>
      <w:rPr>
        <w:rFonts w:ascii="Symbol" w:hAnsi="Symbol" w:hint="default"/>
      </w:r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2">
    <w:nsid w:val="07975042"/>
    <w:multiLevelType w:val="hybridMultilevel"/>
    <w:tmpl w:val="816ECFD8"/>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
    <w:nsid w:val="0ACA09F4"/>
    <w:multiLevelType w:val="hybridMultilevel"/>
    <w:tmpl w:val="063A6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D23008"/>
    <w:multiLevelType w:val="hybridMultilevel"/>
    <w:tmpl w:val="7B7491B2"/>
    <w:lvl w:ilvl="0" w:tplc="E42E3FC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1162EE"/>
    <w:multiLevelType w:val="hybridMultilevel"/>
    <w:tmpl w:val="522481CA"/>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18856A84"/>
    <w:multiLevelType w:val="hybridMultilevel"/>
    <w:tmpl w:val="41E8DD42"/>
    <w:lvl w:ilvl="0" w:tplc="B2808384">
      <w:start w:val="1"/>
      <w:numFmt w:val="bullet"/>
      <w:pStyle w:val="bullets-3rdlevel"/>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Helv"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Helv"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Helv"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7">
    <w:nsid w:val="18D13240"/>
    <w:multiLevelType w:val="hybridMultilevel"/>
    <w:tmpl w:val="B9440A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673A66"/>
    <w:multiLevelType w:val="hybridMultilevel"/>
    <w:tmpl w:val="2F0E72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7462F5"/>
    <w:multiLevelType w:val="hybridMultilevel"/>
    <w:tmpl w:val="B8840E48"/>
    <w:lvl w:ilvl="0" w:tplc="6DA24778">
      <w:start w:val="1"/>
      <w:numFmt w:val="bullet"/>
      <w:pStyle w:val="Bullet-GHGPreamblelast"/>
      <w:lvlText w:val=""/>
      <w:lvlJc w:val="left"/>
      <w:pPr>
        <w:ind w:left="720" w:hanging="360"/>
      </w:pPr>
      <w:rPr>
        <w:rFonts w:ascii="Symbol" w:hAnsi="Symbol" w:hint="default"/>
        <w:b w:val="0"/>
        <w:i w:val="0"/>
        <w:caps w:val="0"/>
        <w:strike w:val="0"/>
        <w:dstrike w:val="0"/>
        <w:vanish w:val="0"/>
        <w:color w:val="auto"/>
        <w:spacing w:val="52"/>
        <w:w w:val="100"/>
        <w:kern w:val="0"/>
        <w:position w:val="0"/>
        <w:sz w:val="24"/>
        <w:u w:val="none"/>
        <w:vertAlign w:val="baseline"/>
      </w:rPr>
    </w:lvl>
    <w:lvl w:ilvl="1" w:tplc="5DE0CF42" w:tentative="1">
      <w:start w:val="1"/>
      <w:numFmt w:val="bullet"/>
      <w:lvlText w:val="o"/>
      <w:lvlJc w:val="left"/>
      <w:pPr>
        <w:ind w:left="1440" w:hanging="360"/>
      </w:pPr>
      <w:rPr>
        <w:rFonts w:ascii="Courier New" w:hAnsi="Courier New" w:hint="default"/>
      </w:rPr>
    </w:lvl>
    <w:lvl w:ilvl="2" w:tplc="93A25172" w:tentative="1">
      <w:start w:val="1"/>
      <w:numFmt w:val="bullet"/>
      <w:lvlText w:val=""/>
      <w:lvlJc w:val="left"/>
      <w:pPr>
        <w:ind w:left="2160" w:hanging="360"/>
      </w:pPr>
      <w:rPr>
        <w:rFonts w:ascii="Wingdings" w:hAnsi="Wingdings" w:hint="default"/>
      </w:rPr>
    </w:lvl>
    <w:lvl w:ilvl="3" w:tplc="F6BAF166" w:tentative="1">
      <w:start w:val="1"/>
      <w:numFmt w:val="bullet"/>
      <w:lvlText w:val=""/>
      <w:lvlJc w:val="left"/>
      <w:pPr>
        <w:ind w:left="2880" w:hanging="360"/>
      </w:pPr>
      <w:rPr>
        <w:rFonts w:ascii="Symbol" w:hAnsi="Symbol" w:hint="default"/>
      </w:rPr>
    </w:lvl>
    <w:lvl w:ilvl="4" w:tplc="83BC6AFA" w:tentative="1">
      <w:start w:val="1"/>
      <w:numFmt w:val="bullet"/>
      <w:lvlText w:val="o"/>
      <w:lvlJc w:val="left"/>
      <w:pPr>
        <w:ind w:left="3600" w:hanging="360"/>
      </w:pPr>
      <w:rPr>
        <w:rFonts w:ascii="Courier New" w:hAnsi="Courier New" w:hint="default"/>
      </w:rPr>
    </w:lvl>
    <w:lvl w:ilvl="5" w:tplc="5344EFA2" w:tentative="1">
      <w:start w:val="1"/>
      <w:numFmt w:val="bullet"/>
      <w:lvlText w:val=""/>
      <w:lvlJc w:val="left"/>
      <w:pPr>
        <w:ind w:left="4320" w:hanging="360"/>
      </w:pPr>
      <w:rPr>
        <w:rFonts w:ascii="Wingdings" w:hAnsi="Wingdings" w:hint="default"/>
      </w:rPr>
    </w:lvl>
    <w:lvl w:ilvl="6" w:tplc="D2E41E4E" w:tentative="1">
      <w:start w:val="1"/>
      <w:numFmt w:val="bullet"/>
      <w:lvlText w:val=""/>
      <w:lvlJc w:val="left"/>
      <w:pPr>
        <w:ind w:left="5040" w:hanging="360"/>
      </w:pPr>
      <w:rPr>
        <w:rFonts w:ascii="Symbol" w:hAnsi="Symbol" w:hint="default"/>
      </w:rPr>
    </w:lvl>
    <w:lvl w:ilvl="7" w:tplc="02FA849E" w:tentative="1">
      <w:start w:val="1"/>
      <w:numFmt w:val="bullet"/>
      <w:lvlText w:val="o"/>
      <w:lvlJc w:val="left"/>
      <w:pPr>
        <w:ind w:left="5760" w:hanging="360"/>
      </w:pPr>
      <w:rPr>
        <w:rFonts w:ascii="Courier New" w:hAnsi="Courier New" w:hint="default"/>
      </w:rPr>
    </w:lvl>
    <w:lvl w:ilvl="8" w:tplc="1C461D7C" w:tentative="1">
      <w:start w:val="1"/>
      <w:numFmt w:val="bullet"/>
      <w:lvlText w:val=""/>
      <w:lvlJc w:val="left"/>
      <w:pPr>
        <w:ind w:left="6480" w:hanging="360"/>
      </w:pPr>
      <w:rPr>
        <w:rFonts w:ascii="Wingdings" w:hAnsi="Wingdings" w:hint="default"/>
      </w:rPr>
    </w:lvl>
  </w:abstractNum>
  <w:abstractNum w:abstractNumId="10">
    <w:nsid w:val="209C44C4"/>
    <w:multiLevelType w:val="hybridMultilevel"/>
    <w:tmpl w:val="CE460206"/>
    <w:lvl w:ilvl="0" w:tplc="0409000F">
      <w:start w:val="1"/>
      <w:numFmt w:val="decimal"/>
      <w:lvlText w:val="%1."/>
      <w:lvlJc w:val="left"/>
      <w:pPr>
        <w:tabs>
          <w:tab w:val="num" w:pos="1080"/>
        </w:tabs>
        <w:ind w:left="1080" w:hanging="360"/>
      </w:pPr>
    </w:lvl>
    <w:lvl w:ilvl="1" w:tplc="E6446E5A">
      <w:start w:val="1"/>
      <w:numFmt w:val="decimal"/>
      <w:lvlText w:val="%2."/>
      <w:lvlJc w:val="left"/>
      <w:pPr>
        <w:tabs>
          <w:tab w:val="num" w:pos="1980"/>
        </w:tabs>
        <w:ind w:left="198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21ED46DF"/>
    <w:multiLevelType w:val="hybridMultilevel"/>
    <w:tmpl w:val="55FE6E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F5E62FF"/>
    <w:multiLevelType w:val="hybridMultilevel"/>
    <w:tmpl w:val="1FC8B3EE"/>
    <w:lvl w:ilvl="0" w:tplc="735ADC70">
      <w:start w:val="5"/>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nsid w:val="306C5517"/>
    <w:multiLevelType w:val="hybridMultilevel"/>
    <w:tmpl w:val="17E02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4613B44"/>
    <w:multiLevelType w:val="hybridMultilevel"/>
    <w:tmpl w:val="8A241432"/>
    <w:lvl w:ilvl="0" w:tplc="0409000F">
      <w:start w:val="1"/>
      <w:numFmt w:val="decimal"/>
      <w:lvlText w:val="%1."/>
      <w:lvlJc w:val="left"/>
      <w:pPr>
        <w:tabs>
          <w:tab w:val="num" w:pos="900"/>
        </w:tabs>
        <w:ind w:left="900" w:hanging="360"/>
      </w:pPr>
    </w:lvl>
    <w:lvl w:ilvl="1" w:tplc="04090019">
      <w:start w:val="1"/>
      <w:numFmt w:val="lowerLetter"/>
      <w:lvlText w:val="%2."/>
      <w:lvlJc w:val="left"/>
      <w:pPr>
        <w:tabs>
          <w:tab w:val="num" w:pos="1260"/>
        </w:tabs>
        <w:ind w:left="1260" w:hanging="360"/>
      </w:pPr>
    </w:lvl>
    <w:lvl w:ilvl="2" w:tplc="3C6A369C">
      <w:start w:val="1"/>
      <w:numFmt w:val="decimal"/>
      <w:lvlText w:val="(%3)"/>
      <w:lvlJc w:val="left"/>
      <w:pPr>
        <w:tabs>
          <w:tab w:val="num" w:pos="2520"/>
        </w:tabs>
        <w:ind w:left="2520" w:hanging="360"/>
      </w:pPr>
      <w:rPr>
        <w:rFonts w:hint="default"/>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5">
    <w:nsid w:val="37DC3647"/>
    <w:multiLevelType w:val="multilevel"/>
    <w:tmpl w:val="BE82302C"/>
    <w:lvl w:ilvl="0">
      <w:start w:val="1"/>
      <w:numFmt w:val="decimal"/>
      <w:pStyle w:val="List1"/>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6">
    <w:nsid w:val="3A8A6E79"/>
    <w:multiLevelType w:val="hybridMultilevel"/>
    <w:tmpl w:val="CD8A9C1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3C7C2F50"/>
    <w:multiLevelType w:val="hybridMultilevel"/>
    <w:tmpl w:val="F740E2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CF003DA"/>
    <w:multiLevelType w:val="hybridMultilevel"/>
    <w:tmpl w:val="454621B6"/>
    <w:lvl w:ilvl="0" w:tplc="9D28B166">
      <w:start w:val="1"/>
      <w:numFmt w:val="bullet"/>
      <w:pStyle w:val="GHGPreamble-level4"/>
      <w:lvlText w:val=""/>
      <w:lvlJc w:val="left"/>
      <w:pPr>
        <w:tabs>
          <w:tab w:val="num" w:pos="360"/>
        </w:tabs>
        <w:ind w:left="360" w:hanging="360"/>
      </w:pPr>
      <w:rPr>
        <w:rFonts w:ascii="WP MathA" w:hAnsi="WP MathA" w:hint="default"/>
      </w:rPr>
    </w:lvl>
    <w:lvl w:ilvl="1" w:tplc="04090001">
      <w:start w:val="1"/>
      <w:numFmt w:val="bullet"/>
      <w:lvlText w:val=""/>
      <w:lvlJc w:val="left"/>
      <w:pPr>
        <w:tabs>
          <w:tab w:val="num" w:pos="360"/>
        </w:tabs>
        <w:ind w:left="360" w:hanging="360"/>
      </w:pPr>
      <w:rPr>
        <w:rFonts w:ascii="Symbol" w:hAnsi="Symbol" w:hint="default"/>
      </w:r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26D643D2">
      <w:start w:val="1"/>
      <w:numFmt w:val="lowerRoman"/>
      <w:pStyle w:val="GHGPreamble-level4"/>
      <w:lvlText w:val="%6."/>
      <w:lvlJc w:val="right"/>
      <w:pPr>
        <w:tabs>
          <w:tab w:val="num" w:pos="3240"/>
        </w:tabs>
        <w:ind w:left="3240" w:hanging="180"/>
      </w:pPr>
    </w:lvl>
    <w:lvl w:ilvl="6" w:tplc="04090001">
      <w:start w:val="1"/>
      <w:numFmt w:val="bullet"/>
      <w:lvlText w:val=""/>
      <w:lvlJc w:val="left"/>
      <w:pPr>
        <w:tabs>
          <w:tab w:val="num" w:pos="3960"/>
        </w:tabs>
        <w:ind w:left="3960" w:hanging="360"/>
      </w:pPr>
      <w:rPr>
        <w:rFonts w:ascii="Symbol" w:hAnsi="Symbol" w:hint="default"/>
      </w:r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9">
    <w:nsid w:val="3E242FA1"/>
    <w:multiLevelType w:val="hybridMultilevel"/>
    <w:tmpl w:val="64B4EC30"/>
    <w:lvl w:ilvl="0" w:tplc="481A6CA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0D20426"/>
    <w:multiLevelType w:val="hybridMultilevel"/>
    <w:tmpl w:val="848A2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14C3636"/>
    <w:multiLevelType w:val="hybridMultilevel"/>
    <w:tmpl w:val="F1862BB0"/>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41C43821"/>
    <w:multiLevelType w:val="hybridMultilevel"/>
    <w:tmpl w:val="F746F4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47CF220F"/>
    <w:multiLevelType w:val="hybridMultilevel"/>
    <w:tmpl w:val="C1240046"/>
    <w:lvl w:ilvl="0" w:tplc="9E3E3DB4">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9004563"/>
    <w:multiLevelType w:val="hybridMultilevel"/>
    <w:tmpl w:val="750A8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903431E"/>
    <w:multiLevelType w:val="hybridMultilevel"/>
    <w:tmpl w:val="1A5698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4AEA3B5F"/>
    <w:multiLevelType w:val="hybridMultilevel"/>
    <w:tmpl w:val="F5BCC0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4DF43C1B"/>
    <w:multiLevelType w:val="hybridMultilevel"/>
    <w:tmpl w:val="3008E8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54503E0C"/>
    <w:multiLevelType w:val="multilevel"/>
    <w:tmpl w:val="F9BE7FB2"/>
    <w:lvl w:ilvl="0">
      <w:start w:val="1"/>
      <w:numFmt w:val="lowerLetter"/>
      <w:pStyle w:val="GHGLevels"/>
      <w:lvlText w:val="(%1)"/>
      <w:lvlJc w:val="left"/>
      <w:pPr>
        <w:tabs>
          <w:tab w:val="num" w:pos="1152"/>
        </w:tabs>
        <w:ind w:left="0" w:firstLine="72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4"/>
        <w:szCs w:val="0"/>
        <w:u w:val="none" w:color="000000"/>
        <w:effect w:val="none"/>
        <w:bdr w:val="none" w:sz="0" w:space="0" w:color="000000"/>
        <w:shd w:val="clear" w:color="000000" w:fill="000000"/>
        <w:vertAlign w:val="baseline"/>
        <w:em w:val="none"/>
        <w:specVanish w:val="0"/>
      </w:rPr>
    </w:lvl>
    <w:lvl w:ilvl="1">
      <w:start w:val="1"/>
      <w:numFmt w:val="decimal"/>
      <w:lvlText w:val="(%2)  "/>
      <w:lvlJc w:val="left"/>
      <w:pPr>
        <w:tabs>
          <w:tab w:val="num" w:pos="2049"/>
        </w:tabs>
        <w:ind w:left="903" w:firstLine="717"/>
      </w:pPr>
      <w:rPr>
        <w:rFonts w:ascii="Times New Roman" w:hAnsi="Times New Roman" w:hint="default"/>
        <w:b w:val="0"/>
        <w:i w:val="0"/>
        <w:sz w:val="24"/>
        <w:u w:val="none"/>
      </w:rPr>
    </w:lvl>
    <w:lvl w:ilvl="2">
      <w:start w:val="1"/>
      <w:numFmt w:val="lowerRoman"/>
      <w:lvlText w:val="(%3)"/>
      <w:lvlJc w:val="left"/>
      <w:pPr>
        <w:tabs>
          <w:tab w:val="num" w:pos="1152"/>
        </w:tabs>
        <w:ind w:left="3" w:firstLine="717"/>
      </w:pPr>
      <w:rPr>
        <w:rFonts w:ascii="Times New Roman" w:hAnsi="Times New Roman" w:hint="default"/>
        <w:sz w:val="24"/>
      </w:rPr>
    </w:lvl>
    <w:lvl w:ilvl="3">
      <w:start w:val="1"/>
      <w:numFmt w:val="upperLetter"/>
      <w:lvlText w:val="(%4)"/>
      <w:lvlJc w:val="left"/>
      <w:pPr>
        <w:tabs>
          <w:tab w:val="num" w:pos="1152"/>
        </w:tabs>
        <w:ind w:left="3" w:firstLine="720"/>
      </w:pPr>
      <w:rPr>
        <w:rFonts w:hint="default"/>
      </w:rPr>
    </w:lvl>
    <w:lvl w:ilvl="4">
      <w:start w:val="1"/>
      <w:numFmt w:val="decimal"/>
      <w:lvlText w:val="(%5)"/>
      <w:lvlJc w:val="left"/>
      <w:pPr>
        <w:tabs>
          <w:tab w:val="num" w:pos="1152"/>
        </w:tabs>
        <w:ind w:left="3" w:firstLine="72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5">
      <w:start w:val="1"/>
      <w:numFmt w:val="lowerRoman"/>
      <w:suff w:val="space"/>
      <w:lvlText w:val="(%6)"/>
      <w:lvlJc w:val="left"/>
      <w:pPr>
        <w:ind w:left="2166" w:hanging="360"/>
      </w:pPr>
      <w:rPr>
        <w:rFonts w:ascii="Times New Roman" w:hAnsi="Times New Roman" w:cs="Times New Roman" w:hint="default"/>
        <w:b w:val="0"/>
        <w:bCs w:val="0"/>
        <w:i/>
        <w:iCs w:val="0"/>
        <w:caps w:val="0"/>
        <w:smallCaps w:val="0"/>
        <w:strike w:val="0"/>
        <w:dstrike w:val="0"/>
        <w:noProof w:val="0"/>
        <w:snapToGrid w:val="0"/>
        <w:vanish w:val="0"/>
        <w:color w:val="000000"/>
        <w:spacing w:val="0"/>
        <w:w w:val="0"/>
        <w:kern w:val="0"/>
        <w:position w:val="0"/>
        <w:sz w:val="24"/>
        <w:szCs w:val="0"/>
        <w:u w:val="none" w:color="000000"/>
        <w:effect w:val="none"/>
        <w:bdr w:val="none" w:sz="0" w:space="0" w:color="000000"/>
        <w:shd w:val="clear" w:color="000000" w:fill="000000"/>
        <w:vertAlign w:val="baseline"/>
        <w:em w:val="none"/>
        <w:specVanish w:val="0"/>
      </w:rPr>
    </w:lvl>
    <w:lvl w:ilvl="6">
      <w:start w:val="1"/>
      <w:numFmt w:val="decimal"/>
      <w:suff w:val="space"/>
      <w:lvlText w:val="%7."/>
      <w:lvlJc w:val="left"/>
      <w:pPr>
        <w:ind w:left="2526" w:hanging="360"/>
      </w:pPr>
      <w:rPr>
        <w:rFonts w:hint="default"/>
        <w:b w:val="0"/>
        <w:i/>
      </w:rPr>
    </w:lvl>
    <w:lvl w:ilvl="7">
      <w:start w:val="1"/>
      <w:numFmt w:val="lowerLetter"/>
      <w:lvlText w:val="%8."/>
      <w:lvlJc w:val="left"/>
      <w:pPr>
        <w:tabs>
          <w:tab w:val="num" w:pos="2886"/>
        </w:tabs>
        <w:ind w:left="2886" w:hanging="360"/>
      </w:pPr>
      <w:rPr>
        <w:rFonts w:hint="default"/>
      </w:rPr>
    </w:lvl>
    <w:lvl w:ilvl="8">
      <w:start w:val="1"/>
      <w:numFmt w:val="lowerRoman"/>
      <w:lvlText w:val="%9."/>
      <w:lvlJc w:val="left"/>
      <w:pPr>
        <w:tabs>
          <w:tab w:val="num" w:pos="3246"/>
        </w:tabs>
        <w:ind w:left="3246" w:hanging="360"/>
      </w:pPr>
      <w:rPr>
        <w:rFonts w:hint="default"/>
      </w:rPr>
    </w:lvl>
  </w:abstractNum>
  <w:abstractNum w:abstractNumId="29">
    <w:nsid w:val="5AE96598"/>
    <w:multiLevelType w:val="hybridMultilevel"/>
    <w:tmpl w:val="77CC3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4EF65D9"/>
    <w:multiLevelType w:val="hybridMultilevel"/>
    <w:tmpl w:val="68DE6D5C"/>
    <w:lvl w:ilvl="0" w:tplc="04090001">
      <w:start w:val="1"/>
      <w:numFmt w:val="bullet"/>
      <w:lvlText w:val=""/>
      <w:lvlJc w:val="left"/>
      <w:pPr>
        <w:tabs>
          <w:tab w:val="num" w:pos="1080"/>
        </w:tabs>
        <w:ind w:left="1080" w:hanging="360"/>
      </w:pPr>
      <w:rPr>
        <w:rFonts w:ascii="Symbol" w:hAnsi="Symbol" w:hint="default"/>
      </w:rPr>
    </w:lvl>
    <w:lvl w:ilvl="1" w:tplc="CF3E035C">
      <w:start w:val="1"/>
      <w:numFmt w:val="bullet"/>
      <w:lvlText w:val="_"/>
      <w:lvlJc w:val="left"/>
      <w:pPr>
        <w:tabs>
          <w:tab w:val="num" w:pos="1440"/>
        </w:tabs>
        <w:ind w:left="1440" w:hanging="360"/>
      </w:pPr>
      <w:rPr>
        <w:rFonts w:ascii="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6522B2D"/>
    <w:multiLevelType w:val="multilevel"/>
    <w:tmpl w:val="D0F02B5C"/>
    <w:lvl w:ilvl="0">
      <w:start w:val="1"/>
      <w:numFmt w:val="upperRoman"/>
      <w:pStyle w:val="Level3-GHGPreamble"/>
      <w:suff w:val="space"/>
      <w:lvlText w:val="%1. "/>
      <w:lvlJc w:val="left"/>
      <w:pPr>
        <w:ind w:left="-180" w:firstLine="0"/>
      </w:pPr>
      <w:rPr>
        <w:rFonts w:ascii="Courier New" w:hAnsi="Courier New" w:hint="default"/>
        <w:b/>
        <w:i w:val="0"/>
        <w:sz w:val="24"/>
      </w:rPr>
    </w:lvl>
    <w:lvl w:ilvl="1">
      <w:start w:val="1"/>
      <w:numFmt w:val="upperLetter"/>
      <w:pStyle w:val="Level2-GHGPreamble"/>
      <w:suff w:val="space"/>
      <w:lvlText w:val="%2. "/>
      <w:lvlJc w:val="left"/>
      <w:pPr>
        <w:ind w:left="0" w:firstLine="0"/>
      </w:pPr>
      <w:rPr>
        <w:rFonts w:ascii="Courier New" w:hAnsi="Courier New" w:hint="default"/>
        <w:color w:val="auto"/>
        <w:sz w:val="24"/>
      </w:rPr>
    </w:lvl>
    <w:lvl w:ilvl="2">
      <w:start w:val="1"/>
      <w:numFmt w:val="decimal"/>
      <w:pStyle w:val="Level3-GHGPreamble"/>
      <w:suff w:val="space"/>
      <w:lvlText w:val="%3. "/>
      <w:lvlJc w:val="left"/>
      <w:pPr>
        <w:ind w:left="0" w:firstLine="0"/>
      </w:pPr>
      <w:rPr>
        <w:rFonts w:ascii="Courier New" w:hAnsi="Courier New" w:hint="default"/>
        <w:sz w:val="24"/>
      </w:rPr>
    </w:lvl>
    <w:lvl w:ilvl="3">
      <w:start w:val="1"/>
      <w:numFmt w:val="lowerLetter"/>
      <w:pStyle w:val="Level4-GHGPreamble"/>
      <w:suff w:val="space"/>
      <w:lvlText w:val="%4. "/>
      <w:lvlJc w:val="left"/>
      <w:pPr>
        <w:ind w:left="0" w:firstLine="0"/>
      </w:pPr>
      <w:rPr>
        <w:rFonts w:hint="default"/>
        <w:b w:val="0"/>
        <w:i w:val="0"/>
      </w:rPr>
    </w:lvl>
    <w:lvl w:ilvl="4">
      <w:start w:val="1"/>
      <w:numFmt w:val="lowerRoman"/>
      <w:pStyle w:val="Level5-GHGPreamble"/>
      <w:suff w:val="space"/>
      <w:lvlText w:val="%5. "/>
      <w:lvlJc w:val="left"/>
      <w:pPr>
        <w:ind w:left="-180" w:firstLine="0"/>
      </w:pPr>
      <w:rPr>
        <w:rFonts w:ascii="Courier New" w:hAnsi="Courier New" w:hint="default"/>
        <w:b w:val="0"/>
        <w:i w:val="0"/>
        <w:color w:val="auto"/>
        <w:sz w:val="24"/>
      </w:rPr>
    </w:lvl>
    <w:lvl w:ilvl="5">
      <w:start w:val="1"/>
      <w:numFmt w:val="decimal"/>
      <w:lvlText w:val="%1.%2.%3.%4.%5.%6"/>
      <w:lvlJc w:val="left"/>
      <w:pPr>
        <w:tabs>
          <w:tab w:val="num" w:pos="4500"/>
        </w:tabs>
        <w:ind w:left="4500" w:hanging="1080"/>
      </w:pPr>
      <w:rPr>
        <w:rFonts w:hint="default"/>
      </w:rPr>
    </w:lvl>
    <w:lvl w:ilvl="6">
      <w:start w:val="1"/>
      <w:numFmt w:val="decimal"/>
      <w:lvlText w:val="%1.%2.%3.%4.%5.%6.%7"/>
      <w:lvlJc w:val="left"/>
      <w:pPr>
        <w:tabs>
          <w:tab w:val="num" w:pos="5580"/>
        </w:tabs>
        <w:ind w:left="5580" w:hanging="1440"/>
      </w:pPr>
      <w:rPr>
        <w:rFonts w:hint="default"/>
      </w:rPr>
    </w:lvl>
    <w:lvl w:ilvl="7">
      <w:start w:val="1"/>
      <w:numFmt w:val="decimal"/>
      <w:lvlText w:val="%1.%2.%3.%4.%5.%6.%7.%8"/>
      <w:lvlJc w:val="left"/>
      <w:pPr>
        <w:tabs>
          <w:tab w:val="num" w:pos="6300"/>
        </w:tabs>
        <w:ind w:left="6300" w:hanging="1440"/>
      </w:pPr>
      <w:rPr>
        <w:rFonts w:hint="default"/>
      </w:rPr>
    </w:lvl>
    <w:lvl w:ilvl="8">
      <w:start w:val="1"/>
      <w:numFmt w:val="decimal"/>
      <w:lvlText w:val="%1.%2.%3.%4.%5.%6.%7.%8.%9"/>
      <w:lvlJc w:val="left"/>
      <w:pPr>
        <w:tabs>
          <w:tab w:val="num" w:pos="7380"/>
        </w:tabs>
        <w:ind w:left="7380" w:hanging="1800"/>
      </w:pPr>
      <w:rPr>
        <w:rFonts w:hint="default"/>
      </w:rPr>
    </w:lvl>
  </w:abstractNum>
  <w:abstractNum w:abstractNumId="32">
    <w:nsid w:val="6DB162B9"/>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3">
    <w:nsid w:val="6E8B2999"/>
    <w:multiLevelType w:val="hybridMultilevel"/>
    <w:tmpl w:val="1BA6F6B6"/>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15"/>
  </w:num>
  <w:num w:numId="2">
    <w:abstractNumId w:val="31"/>
  </w:num>
  <w:num w:numId="3">
    <w:abstractNumId w:val="1"/>
  </w:num>
  <w:num w:numId="4">
    <w:abstractNumId w:val="10"/>
  </w:num>
  <w:num w:numId="5">
    <w:abstractNumId w:val="18"/>
  </w:num>
  <w:num w:numId="6">
    <w:abstractNumId w:val="32"/>
  </w:num>
  <w:num w:numId="7">
    <w:abstractNumId w:val="28"/>
  </w:num>
  <w:num w:numId="8">
    <w:abstractNumId w:val="14"/>
  </w:num>
  <w:num w:numId="9">
    <w:abstractNumId w:val="16"/>
  </w:num>
  <w:num w:numId="10">
    <w:abstractNumId w:val="33"/>
  </w:num>
  <w:num w:numId="11">
    <w:abstractNumId w:val="30"/>
  </w:num>
  <w:num w:numId="12">
    <w:abstractNumId w:val="21"/>
  </w:num>
  <w:num w:numId="13">
    <w:abstractNumId w:val="19"/>
  </w:num>
  <w:num w:numId="14">
    <w:abstractNumId w:val="0"/>
  </w:num>
  <w:num w:numId="15">
    <w:abstractNumId w:val="6"/>
  </w:num>
  <w:num w:numId="16">
    <w:abstractNumId w:val="12"/>
  </w:num>
  <w:num w:numId="17">
    <w:abstractNumId w:val="23"/>
  </w:num>
  <w:num w:numId="18">
    <w:abstractNumId w:val="4"/>
  </w:num>
  <w:num w:numId="19">
    <w:abstractNumId w:val="17"/>
  </w:num>
  <w:num w:numId="20">
    <w:abstractNumId w:val="29"/>
  </w:num>
  <w:num w:numId="21">
    <w:abstractNumId w:val="22"/>
  </w:num>
  <w:num w:numId="22">
    <w:abstractNumId w:val="9"/>
  </w:num>
  <w:num w:numId="23">
    <w:abstractNumId w:val="7"/>
  </w:num>
  <w:num w:numId="24">
    <w:abstractNumId w:val="25"/>
  </w:num>
  <w:num w:numId="25">
    <w:abstractNumId w:val="26"/>
  </w:num>
  <w:num w:numId="26">
    <w:abstractNumId w:val="3"/>
  </w:num>
  <w:num w:numId="27">
    <w:abstractNumId w:val="27"/>
  </w:num>
  <w:num w:numId="28">
    <w:abstractNumId w:val="8"/>
  </w:num>
  <w:num w:numId="29">
    <w:abstractNumId w:val="24"/>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num>
  <w:num w:numId="32">
    <w:abstractNumId w:val="13"/>
  </w:num>
  <w:num w:numId="33">
    <w:abstractNumId w:val="2"/>
  </w:num>
  <w:num w:numId="34">
    <w:abstractNumId w:val="11"/>
  </w:num>
  <w:num w:numId="35">
    <w:abstractNumId w:val="20"/>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8"/>
  <w:defaultTabStop w:val="720"/>
  <w:drawingGridHorizontalSpacing w:val="120"/>
  <w:displayHorizontalDrawingGridEvery w:val="2"/>
  <w:characterSpacingControl w:val="doNotCompress"/>
  <w:hdrShapeDefaults>
    <o:shapedefaults v:ext="edit" spidmax="17410"/>
  </w:hdrShapeDefaults>
  <w:footnotePr>
    <w:footnote w:id="-1"/>
    <w:footnote w:id="0"/>
  </w:footnotePr>
  <w:endnotePr>
    <w:endnote w:id="-1"/>
    <w:endnote w:id="0"/>
  </w:endnotePr>
  <w:compat/>
  <w:rsids>
    <w:rsidRoot w:val="00F77394"/>
    <w:rsid w:val="00000B7D"/>
    <w:rsid w:val="0000135D"/>
    <w:rsid w:val="00001D98"/>
    <w:rsid w:val="00003F06"/>
    <w:rsid w:val="00005125"/>
    <w:rsid w:val="00006050"/>
    <w:rsid w:val="000067C8"/>
    <w:rsid w:val="000074A5"/>
    <w:rsid w:val="00007B66"/>
    <w:rsid w:val="000108B8"/>
    <w:rsid w:val="00010BF2"/>
    <w:rsid w:val="00011417"/>
    <w:rsid w:val="00012240"/>
    <w:rsid w:val="00012AAA"/>
    <w:rsid w:val="0001563F"/>
    <w:rsid w:val="00016E59"/>
    <w:rsid w:val="000170F7"/>
    <w:rsid w:val="00017383"/>
    <w:rsid w:val="00017BE4"/>
    <w:rsid w:val="00021369"/>
    <w:rsid w:val="0002175B"/>
    <w:rsid w:val="00022691"/>
    <w:rsid w:val="0002436E"/>
    <w:rsid w:val="000263D8"/>
    <w:rsid w:val="00027091"/>
    <w:rsid w:val="00027F70"/>
    <w:rsid w:val="00030419"/>
    <w:rsid w:val="00030ABC"/>
    <w:rsid w:val="00033D68"/>
    <w:rsid w:val="0003433C"/>
    <w:rsid w:val="00035007"/>
    <w:rsid w:val="00035226"/>
    <w:rsid w:val="00035CD2"/>
    <w:rsid w:val="00037432"/>
    <w:rsid w:val="0003779D"/>
    <w:rsid w:val="00041B70"/>
    <w:rsid w:val="00042E32"/>
    <w:rsid w:val="00043A2C"/>
    <w:rsid w:val="0004449C"/>
    <w:rsid w:val="00044EC1"/>
    <w:rsid w:val="00046165"/>
    <w:rsid w:val="00047A9E"/>
    <w:rsid w:val="00047D2E"/>
    <w:rsid w:val="000508AF"/>
    <w:rsid w:val="00050986"/>
    <w:rsid w:val="00050B1B"/>
    <w:rsid w:val="00051B92"/>
    <w:rsid w:val="00052F54"/>
    <w:rsid w:val="00053711"/>
    <w:rsid w:val="00054FAA"/>
    <w:rsid w:val="00056D06"/>
    <w:rsid w:val="00057540"/>
    <w:rsid w:val="00060046"/>
    <w:rsid w:val="00060537"/>
    <w:rsid w:val="000611DF"/>
    <w:rsid w:val="0006159B"/>
    <w:rsid w:val="000618D2"/>
    <w:rsid w:val="00062186"/>
    <w:rsid w:val="00062408"/>
    <w:rsid w:val="00062A8E"/>
    <w:rsid w:val="00063223"/>
    <w:rsid w:val="000644A7"/>
    <w:rsid w:val="000649B3"/>
    <w:rsid w:val="0006639B"/>
    <w:rsid w:val="00066503"/>
    <w:rsid w:val="000669E4"/>
    <w:rsid w:val="00067AB0"/>
    <w:rsid w:val="000703D3"/>
    <w:rsid w:val="00072130"/>
    <w:rsid w:val="000733BE"/>
    <w:rsid w:val="00073AE4"/>
    <w:rsid w:val="000750A5"/>
    <w:rsid w:val="0007687E"/>
    <w:rsid w:val="00077FA4"/>
    <w:rsid w:val="0008179B"/>
    <w:rsid w:val="000822B0"/>
    <w:rsid w:val="00082B05"/>
    <w:rsid w:val="00082E8A"/>
    <w:rsid w:val="00083966"/>
    <w:rsid w:val="00083B3F"/>
    <w:rsid w:val="000849CD"/>
    <w:rsid w:val="000856F4"/>
    <w:rsid w:val="00085A6A"/>
    <w:rsid w:val="00086CAF"/>
    <w:rsid w:val="00092E90"/>
    <w:rsid w:val="0009370D"/>
    <w:rsid w:val="00094391"/>
    <w:rsid w:val="0009478B"/>
    <w:rsid w:val="0009541D"/>
    <w:rsid w:val="00095BB2"/>
    <w:rsid w:val="00095BC1"/>
    <w:rsid w:val="00096321"/>
    <w:rsid w:val="00097C9E"/>
    <w:rsid w:val="000A0E14"/>
    <w:rsid w:val="000A1D87"/>
    <w:rsid w:val="000A401E"/>
    <w:rsid w:val="000A487F"/>
    <w:rsid w:val="000A5D20"/>
    <w:rsid w:val="000A7EB5"/>
    <w:rsid w:val="000B0C37"/>
    <w:rsid w:val="000B1CD3"/>
    <w:rsid w:val="000B3157"/>
    <w:rsid w:val="000B3A55"/>
    <w:rsid w:val="000B3B3C"/>
    <w:rsid w:val="000B501F"/>
    <w:rsid w:val="000B57DF"/>
    <w:rsid w:val="000B674D"/>
    <w:rsid w:val="000B7216"/>
    <w:rsid w:val="000B72A1"/>
    <w:rsid w:val="000B7B9C"/>
    <w:rsid w:val="000C01FD"/>
    <w:rsid w:val="000C0DB4"/>
    <w:rsid w:val="000C106E"/>
    <w:rsid w:val="000C2140"/>
    <w:rsid w:val="000C2700"/>
    <w:rsid w:val="000C3171"/>
    <w:rsid w:val="000C5197"/>
    <w:rsid w:val="000C6958"/>
    <w:rsid w:val="000C703C"/>
    <w:rsid w:val="000C7CBD"/>
    <w:rsid w:val="000D061E"/>
    <w:rsid w:val="000D1A27"/>
    <w:rsid w:val="000D1C8D"/>
    <w:rsid w:val="000D2A0A"/>
    <w:rsid w:val="000D3AAF"/>
    <w:rsid w:val="000D422D"/>
    <w:rsid w:val="000D44BA"/>
    <w:rsid w:val="000D5AE9"/>
    <w:rsid w:val="000D64A2"/>
    <w:rsid w:val="000D6711"/>
    <w:rsid w:val="000D6D57"/>
    <w:rsid w:val="000D76A8"/>
    <w:rsid w:val="000E15DE"/>
    <w:rsid w:val="000E246C"/>
    <w:rsid w:val="000E25DE"/>
    <w:rsid w:val="000E4CF6"/>
    <w:rsid w:val="000E4E55"/>
    <w:rsid w:val="000E4E99"/>
    <w:rsid w:val="000E5064"/>
    <w:rsid w:val="000E65E8"/>
    <w:rsid w:val="000E6886"/>
    <w:rsid w:val="000E7132"/>
    <w:rsid w:val="000F0CBF"/>
    <w:rsid w:val="000F0D5D"/>
    <w:rsid w:val="000F0FA9"/>
    <w:rsid w:val="000F1633"/>
    <w:rsid w:val="000F2CE3"/>
    <w:rsid w:val="000F3256"/>
    <w:rsid w:val="000F4628"/>
    <w:rsid w:val="000F5127"/>
    <w:rsid w:val="000F67C7"/>
    <w:rsid w:val="000F6973"/>
    <w:rsid w:val="00101AE0"/>
    <w:rsid w:val="00102312"/>
    <w:rsid w:val="00103839"/>
    <w:rsid w:val="001063E3"/>
    <w:rsid w:val="001073F8"/>
    <w:rsid w:val="00110021"/>
    <w:rsid w:val="001105EA"/>
    <w:rsid w:val="00110AF7"/>
    <w:rsid w:val="001114C7"/>
    <w:rsid w:val="001116C1"/>
    <w:rsid w:val="0011205A"/>
    <w:rsid w:val="00112B62"/>
    <w:rsid w:val="00115308"/>
    <w:rsid w:val="00115E6D"/>
    <w:rsid w:val="001172A2"/>
    <w:rsid w:val="00117458"/>
    <w:rsid w:val="00117762"/>
    <w:rsid w:val="00117A41"/>
    <w:rsid w:val="001200C6"/>
    <w:rsid w:val="00121014"/>
    <w:rsid w:val="0012252D"/>
    <w:rsid w:val="00123896"/>
    <w:rsid w:val="001238AF"/>
    <w:rsid w:val="00124B02"/>
    <w:rsid w:val="00124E18"/>
    <w:rsid w:val="0012551E"/>
    <w:rsid w:val="0012733D"/>
    <w:rsid w:val="00133DBE"/>
    <w:rsid w:val="0013466D"/>
    <w:rsid w:val="00135FD2"/>
    <w:rsid w:val="00136C76"/>
    <w:rsid w:val="0013714C"/>
    <w:rsid w:val="00137A5F"/>
    <w:rsid w:val="00137DEA"/>
    <w:rsid w:val="00140140"/>
    <w:rsid w:val="001411FA"/>
    <w:rsid w:val="00144688"/>
    <w:rsid w:val="0014577C"/>
    <w:rsid w:val="00146A12"/>
    <w:rsid w:val="0014768F"/>
    <w:rsid w:val="00152499"/>
    <w:rsid w:val="001546DA"/>
    <w:rsid w:val="001563ED"/>
    <w:rsid w:val="00156F18"/>
    <w:rsid w:val="001575EF"/>
    <w:rsid w:val="0016221D"/>
    <w:rsid w:val="001646B3"/>
    <w:rsid w:val="0016601C"/>
    <w:rsid w:val="00166D66"/>
    <w:rsid w:val="00167272"/>
    <w:rsid w:val="001733B8"/>
    <w:rsid w:val="00173ACE"/>
    <w:rsid w:val="00173C18"/>
    <w:rsid w:val="00176098"/>
    <w:rsid w:val="00176A45"/>
    <w:rsid w:val="00176FFF"/>
    <w:rsid w:val="001812DE"/>
    <w:rsid w:val="001839DB"/>
    <w:rsid w:val="00183F95"/>
    <w:rsid w:val="00184F43"/>
    <w:rsid w:val="00186C80"/>
    <w:rsid w:val="00187508"/>
    <w:rsid w:val="001877C8"/>
    <w:rsid w:val="001900A5"/>
    <w:rsid w:val="00191267"/>
    <w:rsid w:val="001926E6"/>
    <w:rsid w:val="00193293"/>
    <w:rsid w:val="00194118"/>
    <w:rsid w:val="00194387"/>
    <w:rsid w:val="001945D8"/>
    <w:rsid w:val="00196DE2"/>
    <w:rsid w:val="001972DE"/>
    <w:rsid w:val="001A492B"/>
    <w:rsid w:val="001A684D"/>
    <w:rsid w:val="001A7397"/>
    <w:rsid w:val="001B016B"/>
    <w:rsid w:val="001B0674"/>
    <w:rsid w:val="001B084F"/>
    <w:rsid w:val="001B1A69"/>
    <w:rsid w:val="001B1F30"/>
    <w:rsid w:val="001B1FB3"/>
    <w:rsid w:val="001B4132"/>
    <w:rsid w:val="001B4808"/>
    <w:rsid w:val="001B61DE"/>
    <w:rsid w:val="001B698A"/>
    <w:rsid w:val="001C41FB"/>
    <w:rsid w:val="001C42AC"/>
    <w:rsid w:val="001C637A"/>
    <w:rsid w:val="001D1903"/>
    <w:rsid w:val="001D4F25"/>
    <w:rsid w:val="001D52F7"/>
    <w:rsid w:val="001D63E4"/>
    <w:rsid w:val="001D6A6D"/>
    <w:rsid w:val="001E0AE8"/>
    <w:rsid w:val="001E1D4F"/>
    <w:rsid w:val="001E3A07"/>
    <w:rsid w:val="001E3CCD"/>
    <w:rsid w:val="001E40DB"/>
    <w:rsid w:val="001E517E"/>
    <w:rsid w:val="001E652F"/>
    <w:rsid w:val="001E792B"/>
    <w:rsid w:val="001F088E"/>
    <w:rsid w:val="001F1A2B"/>
    <w:rsid w:val="001F20FC"/>
    <w:rsid w:val="001F26AD"/>
    <w:rsid w:val="001F27AF"/>
    <w:rsid w:val="001F4CA7"/>
    <w:rsid w:val="001F5075"/>
    <w:rsid w:val="001F50C6"/>
    <w:rsid w:val="001F630D"/>
    <w:rsid w:val="001F651D"/>
    <w:rsid w:val="001F7826"/>
    <w:rsid w:val="002000F5"/>
    <w:rsid w:val="00203189"/>
    <w:rsid w:val="002031D0"/>
    <w:rsid w:val="00203F95"/>
    <w:rsid w:val="00204742"/>
    <w:rsid w:val="002056E0"/>
    <w:rsid w:val="00206007"/>
    <w:rsid w:val="00206D19"/>
    <w:rsid w:val="00207E2D"/>
    <w:rsid w:val="00210A4E"/>
    <w:rsid w:val="00210CB1"/>
    <w:rsid w:val="002114DA"/>
    <w:rsid w:val="00211B5B"/>
    <w:rsid w:val="00213005"/>
    <w:rsid w:val="00213284"/>
    <w:rsid w:val="00213773"/>
    <w:rsid w:val="00214C13"/>
    <w:rsid w:val="00215B06"/>
    <w:rsid w:val="00215EFA"/>
    <w:rsid w:val="00216606"/>
    <w:rsid w:val="002167DC"/>
    <w:rsid w:val="00217243"/>
    <w:rsid w:val="002215AB"/>
    <w:rsid w:val="00222A83"/>
    <w:rsid w:val="00223239"/>
    <w:rsid w:val="00223F00"/>
    <w:rsid w:val="00224C19"/>
    <w:rsid w:val="00225E6D"/>
    <w:rsid w:val="00230517"/>
    <w:rsid w:val="00232932"/>
    <w:rsid w:val="0023363D"/>
    <w:rsid w:val="002354C7"/>
    <w:rsid w:val="002376B7"/>
    <w:rsid w:val="00240389"/>
    <w:rsid w:val="0024060C"/>
    <w:rsid w:val="00241EC9"/>
    <w:rsid w:val="00243FB2"/>
    <w:rsid w:val="00244E71"/>
    <w:rsid w:val="00245F49"/>
    <w:rsid w:val="00247880"/>
    <w:rsid w:val="002506BC"/>
    <w:rsid w:val="00253056"/>
    <w:rsid w:val="00253447"/>
    <w:rsid w:val="00255A14"/>
    <w:rsid w:val="00255CAB"/>
    <w:rsid w:val="0025658F"/>
    <w:rsid w:val="00256623"/>
    <w:rsid w:val="00257B9B"/>
    <w:rsid w:val="002641B1"/>
    <w:rsid w:val="002647E3"/>
    <w:rsid w:val="00265B77"/>
    <w:rsid w:val="0026675B"/>
    <w:rsid w:val="00266A35"/>
    <w:rsid w:val="00266CC1"/>
    <w:rsid w:val="00271C1A"/>
    <w:rsid w:val="00272932"/>
    <w:rsid w:val="00275F08"/>
    <w:rsid w:val="00276A0C"/>
    <w:rsid w:val="00277129"/>
    <w:rsid w:val="00280151"/>
    <w:rsid w:val="002813B2"/>
    <w:rsid w:val="00281A19"/>
    <w:rsid w:val="00282BBA"/>
    <w:rsid w:val="00283071"/>
    <w:rsid w:val="00283C38"/>
    <w:rsid w:val="00284944"/>
    <w:rsid w:val="00284FE4"/>
    <w:rsid w:val="00287187"/>
    <w:rsid w:val="0028780B"/>
    <w:rsid w:val="00290619"/>
    <w:rsid w:val="00290DC8"/>
    <w:rsid w:val="00291175"/>
    <w:rsid w:val="002948A7"/>
    <w:rsid w:val="00294DB0"/>
    <w:rsid w:val="002A02E8"/>
    <w:rsid w:val="002A0983"/>
    <w:rsid w:val="002A0ACD"/>
    <w:rsid w:val="002A0C74"/>
    <w:rsid w:val="002A0E5F"/>
    <w:rsid w:val="002A4BC8"/>
    <w:rsid w:val="002A5B3A"/>
    <w:rsid w:val="002A6896"/>
    <w:rsid w:val="002A6D02"/>
    <w:rsid w:val="002A7953"/>
    <w:rsid w:val="002B033F"/>
    <w:rsid w:val="002B1503"/>
    <w:rsid w:val="002B2241"/>
    <w:rsid w:val="002B3277"/>
    <w:rsid w:val="002B3C5A"/>
    <w:rsid w:val="002B4F65"/>
    <w:rsid w:val="002B73D8"/>
    <w:rsid w:val="002C04B7"/>
    <w:rsid w:val="002C07AA"/>
    <w:rsid w:val="002C13A8"/>
    <w:rsid w:val="002C14C0"/>
    <w:rsid w:val="002C2276"/>
    <w:rsid w:val="002C23D6"/>
    <w:rsid w:val="002C44AD"/>
    <w:rsid w:val="002C5327"/>
    <w:rsid w:val="002C54FB"/>
    <w:rsid w:val="002C56DF"/>
    <w:rsid w:val="002C5BE8"/>
    <w:rsid w:val="002C652C"/>
    <w:rsid w:val="002D0D98"/>
    <w:rsid w:val="002D492C"/>
    <w:rsid w:val="002D5CA5"/>
    <w:rsid w:val="002D6C60"/>
    <w:rsid w:val="002D7165"/>
    <w:rsid w:val="002E2337"/>
    <w:rsid w:val="002E3A26"/>
    <w:rsid w:val="002E45B7"/>
    <w:rsid w:val="002E4A28"/>
    <w:rsid w:val="002E5A93"/>
    <w:rsid w:val="002E70BE"/>
    <w:rsid w:val="002F0739"/>
    <w:rsid w:val="002F2B04"/>
    <w:rsid w:val="002F4351"/>
    <w:rsid w:val="002F4958"/>
    <w:rsid w:val="002F5D1A"/>
    <w:rsid w:val="002F62A2"/>
    <w:rsid w:val="002F6991"/>
    <w:rsid w:val="002F727B"/>
    <w:rsid w:val="002F7A1B"/>
    <w:rsid w:val="0030037A"/>
    <w:rsid w:val="00300514"/>
    <w:rsid w:val="003012B8"/>
    <w:rsid w:val="00303B6B"/>
    <w:rsid w:val="00303CC0"/>
    <w:rsid w:val="003053EA"/>
    <w:rsid w:val="00306557"/>
    <w:rsid w:val="00306606"/>
    <w:rsid w:val="00306791"/>
    <w:rsid w:val="00307A06"/>
    <w:rsid w:val="00307B1A"/>
    <w:rsid w:val="00310193"/>
    <w:rsid w:val="00310F53"/>
    <w:rsid w:val="00311016"/>
    <w:rsid w:val="003120F4"/>
    <w:rsid w:val="00312236"/>
    <w:rsid w:val="0031346B"/>
    <w:rsid w:val="003146B8"/>
    <w:rsid w:val="003152DE"/>
    <w:rsid w:val="00316C51"/>
    <w:rsid w:val="00317C66"/>
    <w:rsid w:val="00320911"/>
    <w:rsid w:val="00320ABF"/>
    <w:rsid w:val="00322087"/>
    <w:rsid w:val="0032222D"/>
    <w:rsid w:val="00325D8A"/>
    <w:rsid w:val="003272B9"/>
    <w:rsid w:val="00330380"/>
    <w:rsid w:val="00331E1F"/>
    <w:rsid w:val="003373CA"/>
    <w:rsid w:val="00337A93"/>
    <w:rsid w:val="0034009E"/>
    <w:rsid w:val="003404E1"/>
    <w:rsid w:val="00340553"/>
    <w:rsid w:val="00342372"/>
    <w:rsid w:val="003429D5"/>
    <w:rsid w:val="00342A1F"/>
    <w:rsid w:val="0034365D"/>
    <w:rsid w:val="00343D38"/>
    <w:rsid w:val="003446F4"/>
    <w:rsid w:val="00345714"/>
    <w:rsid w:val="00345743"/>
    <w:rsid w:val="00346553"/>
    <w:rsid w:val="003507A5"/>
    <w:rsid w:val="00350C35"/>
    <w:rsid w:val="00352B70"/>
    <w:rsid w:val="00354794"/>
    <w:rsid w:val="00354813"/>
    <w:rsid w:val="003570F0"/>
    <w:rsid w:val="003603FC"/>
    <w:rsid w:val="00361B84"/>
    <w:rsid w:val="00363493"/>
    <w:rsid w:val="00363CFC"/>
    <w:rsid w:val="00364E5A"/>
    <w:rsid w:val="00365120"/>
    <w:rsid w:val="003651B0"/>
    <w:rsid w:val="00365B22"/>
    <w:rsid w:val="003677EB"/>
    <w:rsid w:val="0037235D"/>
    <w:rsid w:val="00375A0F"/>
    <w:rsid w:val="003763BD"/>
    <w:rsid w:val="003769B2"/>
    <w:rsid w:val="00377773"/>
    <w:rsid w:val="0038016C"/>
    <w:rsid w:val="003810DD"/>
    <w:rsid w:val="003814CE"/>
    <w:rsid w:val="003822CD"/>
    <w:rsid w:val="003836D0"/>
    <w:rsid w:val="003838B3"/>
    <w:rsid w:val="00383A4B"/>
    <w:rsid w:val="00384009"/>
    <w:rsid w:val="00386F2B"/>
    <w:rsid w:val="00387376"/>
    <w:rsid w:val="00387EA4"/>
    <w:rsid w:val="00390C9C"/>
    <w:rsid w:val="00391528"/>
    <w:rsid w:val="00394C54"/>
    <w:rsid w:val="003953E6"/>
    <w:rsid w:val="003A0154"/>
    <w:rsid w:val="003A12D8"/>
    <w:rsid w:val="003A1913"/>
    <w:rsid w:val="003A38DD"/>
    <w:rsid w:val="003A4C5A"/>
    <w:rsid w:val="003A5159"/>
    <w:rsid w:val="003A5F50"/>
    <w:rsid w:val="003B1CFA"/>
    <w:rsid w:val="003B1D43"/>
    <w:rsid w:val="003B211A"/>
    <w:rsid w:val="003B290F"/>
    <w:rsid w:val="003B2C76"/>
    <w:rsid w:val="003B3139"/>
    <w:rsid w:val="003B458C"/>
    <w:rsid w:val="003B5D80"/>
    <w:rsid w:val="003B661D"/>
    <w:rsid w:val="003C0DED"/>
    <w:rsid w:val="003C1628"/>
    <w:rsid w:val="003C2302"/>
    <w:rsid w:val="003C24D4"/>
    <w:rsid w:val="003C44FB"/>
    <w:rsid w:val="003C6069"/>
    <w:rsid w:val="003C702F"/>
    <w:rsid w:val="003D0995"/>
    <w:rsid w:val="003D1389"/>
    <w:rsid w:val="003D2994"/>
    <w:rsid w:val="003D43CF"/>
    <w:rsid w:val="003D594F"/>
    <w:rsid w:val="003D6B1F"/>
    <w:rsid w:val="003D7BC6"/>
    <w:rsid w:val="003E0422"/>
    <w:rsid w:val="003E1B81"/>
    <w:rsid w:val="003E272B"/>
    <w:rsid w:val="003E2C28"/>
    <w:rsid w:val="003E3973"/>
    <w:rsid w:val="003E3A81"/>
    <w:rsid w:val="003E4152"/>
    <w:rsid w:val="003E418F"/>
    <w:rsid w:val="003E42A0"/>
    <w:rsid w:val="003E446D"/>
    <w:rsid w:val="003E594E"/>
    <w:rsid w:val="003E7BB9"/>
    <w:rsid w:val="003E7FAA"/>
    <w:rsid w:val="003F16AF"/>
    <w:rsid w:val="003F78F1"/>
    <w:rsid w:val="003F7C76"/>
    <w:rsid w:val="004017A6"/>
    <w:rsid w:val="00401826"/>
    <w:rsid w:val="00402EA1"/>
    <w:rsid w:val="0040353D"/>
    <w:rsid w:val="00403B25"/>
    <w:rsid w:val="004049D9"/>
    <w:rsid w:val="00410E0B"/>
    <w:rsid w:val="0041141A"/>
    <w:rsid w:val="004125A3"/>
    <w:rsid w:val="0041392E"/>
    <w:rsid w:val="004158BB"/>
    <w:rsid w:val="00417375"/>
    <w:rsid w:val="00420855"/>
    <w:rsid w:val="0042093B"/>
    <w:rsid w:val="00421BE3"/>
    <w:rsid w:val="00421E6A"/>
    <w:rsid w:val="00422395"/>
    <w:rsid w:val="0042374D"/>
    <w:rsid w:val="00424962"/>
    <w:rsid w:val="00426954"/>
    <w:rsid w:val="0042790B"/>
    <w:rsid w:val="004313F8"/>
    <w:rsid w:val="00431EB5"/>
    <w:rsid w:val="00434435"/>
    <w:rsid w:val="004379C6"/>
    <w:rsid w:val="004414B0"/>
    <w:rsid w:val="00441798"/>
    <w:rsid w:val="004425E8"/>
    <w:rsid w:val="00442EB4"/>
    <w:rsid w:val="004437D0"/>
    <w:rsid w:val="00444D1F"/>
    <w:rsid w:val="004451EE"/>
    <w:rsid w:val="0044737D"/>
    <w:rsid w:val="004514C1"/>
    <w:rsid w:val="004522A4"/>
    <w:rsid w:val="004527BC"/>
    <w:rsid w:val="00452B05"/>
    <w:rsid w:val="00452ED7"/>
    <w:rsid w:val="00453789"/>
    <w:rsid w:val="004547AC"/>
    <w:rsid w:val="004548D1"/>
    <w:rsid w:val="004550A0"/>
    <w:rsid w:val="0045575F"/>
    <w:rsid w:val="00455946"/>
    <w:rsid w:val="00455E56"/>
    <w:rsid w:val="00456E4C"/>
    <w:rsid w:val="00457A4C"/>
    <w:rsid w:val="00461AC2"/>
    <w:rsid w:val="004669F5"/>
    <w:rsid w:val="00466C94"/>
    <w:rsid w:val="0046780F"/>
    <w:rsid w:val="00467A8E"/>
    <w:rsid w:val="00470836"/>
    <w:rsid w:val="0047117A"/>
    <w:rsid w:val="00472399"/>
    <w:rsid w:val="00472792"/>
    <w:rsid w:val="004734A9"/>
    <w:rsid w:val="004735A1"/>
    <w:rsid w:val="004756B1"/>
    <w:rsid w:val="00477E41"/>
    <w:rsid w:val="00481BE6"/>
    <w:rsid w:val="00482007"/>
    <w:rsid w:val="00486133"/>
    <w:rsid w:val="0048624E"/>
    <w:rsid w:val="0048790A"/>
    <w:rsid w:val="004900E8"/>
    <w:rsid w:val="00490BC2"/>
    <w:rsid w:val="00492674"/>
    <w:rsid w:val="00493570"/>
    <w:rsid w:val="00493E44"/>
    <w:rsid w:val="004945A5"/>
    <w:rsid w:val="00494BFE"/>
    <w:rsid w:val="0049548F"/>
    <w:rsid w:val="004955BA"/>
    <w:rsid w:val="00497333"/>
    <w:rsid w:val="004A0E59"/>
    <w:rsid w:val="004A2BCA"/>
    <w:rsid w:val="004A2C26"/>
    <w:rsid w:val="004A2F46"/>
    <w:rsid w:val="004A7C99"/>
    <w:rsid w:val="004B07DE"/>
    <w:rsid w:val="004B136C"/>
    <w:rsid w:val="004B52A6"/>
    <w:rsid w:val="004B5D5A"/>
    <w:rsid w:val="004B64F4"/>
    <w:rsid w:val="004C1DC4"/>
    <w:rsid w:val="004C316D"/>
    <w:rsid w:val="004C416B"/>
    <w:rsid w:val="004C49F1"/>
    <w:rsid w:val="004C5792"/>
    <w:rsid w:val="004C789E"/>
    <w:rsid w:val="004D0FC5"/>
    <w:rsid w:val="004D1EC1"/>
    <w:rsid w:val="004D2CAF"/>
    <w:rsid w:val="004D32EA"/>
    <w:rsid w:val="004D64EB"/>
    <w:rsid w:val="004D6F92"/>
    <w:rsid w:val="004D715C"/>
    <w:rsid w:val="004D7710"/>
    <w:rsid w:val="004E07BF"/>
    <w:rsid w:val="004E2234"/>
    <w:rsid w:val="004E286E"/>
    <w:rsid w:val="004E317F"/>
    <w:rsid w:val="004E4440"/>
    <w:rsid w:val="004E5E65"/>
    <w:rsid w:val="004E655D"/>
    <w:rsid w:val="004E7872"/>
    <w:rsid w:val="004F0FC6"/>
    <w:rsid w:val="004F28DB"/>
    <w:rsid w:val="004F5137"/>
    <w:rsid w:val="004F591F"/>
    <w:rsid w:val="004F6A9D"/>
    <w:rsid w:val="00500602"/>
    <w:rsid w:val="00501843"/>
    <w:rsid w:val="00501961"/>
    <w:rsid w:val="00502BC8"/>
    <w:rsid w:val="00503354"/>
    <w:rsid w:val="00503442"/>
    <w:rsid w:val="00505749"/>
    <w:rsid w:val="00505781"/>
    <w:rsid w:val="00505CC5"/>
    <w:rsid w:val="005071C9"/>
    <w:rsid w:val="00510B3F"/>
    <w:rsid w:val="00510DBD"/>
    <w:rsid w:val="005123CE"/>
    <w:rsid w:val="0051249F"/>
    <w:rsid w:val="0051519E"/>
    <w:rsid w:val="00516946"/>
    <w:rsid w:val="0052066E"/>
    <w:rsid w:val="005213E3"/>
    <w:rsid w:val="005222D8"/>
    <w:rsid w:val="00523922"/>
    <w:rsid w:val="00525433"/>
    <w:rsid w:val="0052589D"/>
    <w:rsid w:val="00525DC9"/>
    <w:rsid w:val="00526D3A"/>
    <w:rsid w:val="00530A44"/>
    <w:rsid w:val="00531916"/>
    <w:rsid w:val="00531DE2"/>
    <w:rsid w:val="00534B6A"/>
    <w:rsid w:val="00542591"/>
    <w:rsid w:val="00542D86"/>
    <w:rsid w:val="005435CB"/>
    <w:rsid w:val="00545A70"/>
    <w:rsid w:val="00545FB3"/>
    <w:rsid w:val="0054778F"/>
    <w:rsid w:val="00552982"/>
    <w:rsid w:val="00552D8D"/>
    <w:rsid w:val="005532DA"/>
    <w:rsid w:val="005546CF"/>
    <w:rsid w:val="00554C54"/>
    <w:rsid w:val="00555512"/>
    <w:rsid w:val="00555D7B"/>
    <w:rsid w:val="00555FDF"/>
    <w:rsid w:val="00556FDE"/>
    <w:rsid w:val="00557453"/>
    <w:rsid w:val="00557C7F"/>
    <w:rsid w:val="005625D7"/>
    <w:rsid w:val="0056364F"/>
    <w:rsid w:val="0056374A"/>
    <w:rsid w:val="00572C8F"/>
    <w:rsid w:val="00573B02"/>
    <w:rsid w:val="00574C3D"/>
    <w:rsid w:val="00574EE2"/>
    <w:rsid w:val="005750B2"/>
    <w:rsid w:val="00575898"/>
    <w:rsid w:val="005758FB"/>
    <w:rsid w:val="00576C30"/>
    <w:rsid w:val="00581166"/>
    <w:rsid w:val="005816DF"/>
    <w:rsid w:val="005829E7"/>
    <w:rsid w:val="00583AE6"/>
    <w:rsid w:val="00583EBB"/>
    <w:rsid w:val="00584D6D"/>
    <w:rsid w:val="00584D99"/>
    <w:rsid w:val="005854DC"/>
    <w:rsid w:val="0058675F"/>
    <w:rsid w:val="00590FAC"/>
    <w:rsid w:val="00591400"/>
    <w:rsid w:val="00592D7C"/>
    <w:rsid w:val="005931C9"/>
    <w:rsid w:val="0059364B"/>
    <w:rsid w:val="00593E97"/>
    <w:rsid w:val="005942F9"/>
    <w:rsid w:val="0059595A"/>
    <w:rsid w:val="005963EB"/>
    <w:rsid w:val="00597128"/>
    <w:rsid w:val="005A143F"/>
    <w:rsid w:val="005A1642"/>
    <w:rsid w:val="005A6C12"/>
    <w:rsid w:val="005B015E"/>
    <w:rsid w:val="005B03F6"/>
    <w:rsid w:val="005B21B0"/>
    <w:rsid w:val="005B2A7D"/>
    <w:rsid w:val="005B4001"/>
    <w:rsid w:val="005B46DD"/>
    <w:rsid w:val="005B5044"/>
    <w:rsid w:val="005B72D0"/>
    <w:rsid w:val="005C1A05"/>
    <w:rsid w:val="005C27A8"/>
    <w:rsid w:val="005C4B8B"/>
    <w:rsid w:val="005C67F0"/>
    <w:rsid w:val="005C735D"/>
    <w:rsid w:val="005D02AA"/>
    <w:rsid w:val="005D419A"/>
    <w:rsid w:val="005D5363"/>
    <w:rsid w:val="005D5993"/>
    <w:rsid w:val="005D5E71"/>
    <w:rsid w:val="005D7E9B"/>
    <w:rsid w:val="005E28FD"/>
    <w:rsid w:val="005E296F"/>
    <w:rsid w:val="005E412C"/>
    <w:rsid w:val="005E4386"/>
    <w:rsid w:val="005E46F6"/>
    <w:rsid w:val="005E4D25"/>
    <w:rsid w:val="005E6165"/>
    <w:rsid w:val="005E7EDB"/>
    <w:rsid w:val="005F14E6"/>
    <w:rsid w:val="005F27C4"/>
    <w:rsid w:val="005F3100"/>
    <w:rsid w:val="005F3AAB"/>
    <w:rsid w:val="005F3AEE"/>
    <w:rsid w:val="005F671E"/>
    <w:rsid w:val="005F755C"/>
    <w:rsid w:val="005F7599"/>
    <w:rsid w:val="00600C9C"/>
    <w:rsid w:val="006016E3"/>
    <w:rsid w:val="00601C7D"/>
    <w:rsid w:val="0060278C"/>
    <w:rsid w:val="00603219"/>
    <w:rsid w:val="00603347"/>
    <w:rsid w:val="006053B8"/>
    <w:rsid w:val="00605DDB"/>
    <w:rsid w:val="0060615B"/>
    <w:rsid w:val="0060625E"/>
    <w:rsid w:val="006062A5"/>
    <w:rsid w:val="006064D5"/>
    <w:rsid w:val="0060713F"/>
    <w:rsid w:val="006079BE"/>
    <w:rsid w:val="00611F6F"/>
    <w:rsid w:val="006126BE"/>
    <w:rsid w:val="00613E47"/>
    <w:rsid w:val="00613F61"/>
    <w:rsid w:val="00616132"/>
    <w:rsid w:val="006203B7"/>
    <w:rsid w:val="006208D8"/>
    <w:rsid w:val="00620BB5"/>
    <w:rsid w:val="00620D0C"/>
    <w:rsid w:val="00620EAF"/>
    <w:rsid w:val="006219D5"/>
    <w:rsid w:val="00622082"/>
    <w:rsid w:val="00623F83"/>
    <w:rsid w:val="00624462"/>
    <w:rsid w:val="00624C97"/>
    <w:rsid w:val="00626690"/>
    <w:rsid w:val="00626F5D"/>
    <w:rsid w:val="006338B3"/>
    <w:rsid w:val="00633A1B"/>
    <w:rsid w:val="00634823"/>
    <w:rsid w:val="00635D5B"/>
    <w:rsid w:val="0063630C"/>
    <w:rsid w:val="00640A16"/>
    <w:rsid w:val="006413AA"/>
    <w:rsid w:val="00641BCB"/>
    <w:rsid w:val="0064203F"/>
    <w:rsid w:val="006423E8"/>
    <w:rsid w:val="00642C87"/>
    <w:rsid w:val="00645B3F"/>
    <w:rsid w:val="00645BA2"/>
    <w:rsid w:val="00646832"/>
    <w:rsid w:val="00646C1E"/>
    <w:rsid w:val="00647580"/>
    <w:rsid w:val="0064763C"/>
    <w:rsid w:val="00651A74"/>
    <w:rsid w:val="00651D86"/>
    <w:rsid w:val="00652BB6"/>
    <w:rsid w:val="0065316C"/>
    <w:rsid w:val="0065326D"/>
    <w:rsid w:val="0065466D"/>
    <w:rsid w:val="0065636C"/>
    <w:rsid w:val="00661379"/>
    <w:rsid w:val="00663B19"/>
    <w:rsid w:val="00663B2C"/>
    <w:rsid w:val="00664149"/>
    <w:rsid w:val="00664DAC"/>
    <w:rsid w:val="0066628D"/>
    <w:rsid w:val="006666D4"/>
    <w:rsid w:val="00667FEE"/>
    <w:rsid w:val="00670D67"/>
    <w:rsid w:val="006726C1"/>
    <w:rsid w:val="00672D93"/>
    <w:rsid w:val="006731BD"/>
    <w:rsid w:val="00673C8D"/>
    <w:rsid w:val="0067458D"/>
    <w:rsid w:val="00676041"/>
    <w:rsid w:val="00676B61"/>
    <w:rsid w:val="00677F02"/>
    <w:rsid w:val="00680887"/>
    <w:rsid w:val="00680A2F"/>
    <w:rsid w:val="00680AB3"/>
    <w:rsid w:val="006824A3"/>
    <w:rsid w:val="00683298"/>
    <w:rsid w:val="00683B63"/>
    <w:rsid w:val="00684827"/>
    <w:rsid w:val="00685A03"/>
    <w:rsid w:val="00685A57"/>
    <w:rsid w:val="006902DF"/>
    <w:rsid w:val="00690E93"/>
    <w:rsid w:val="00690FC8"/>
    <w:rsid w:val="0069266A"/>
    <w:rsid w:val="00693A32"/>
    <w:rsid w:val="00694BB2"/>
    <w:rsid w:val="00695586"/>
    <w:rsid w:val="0069691E"/>
    <w:rsid w:val="006A2BEB"/>
    <w:rsid w:val="006A35D1"/>
    <w:rsid w:val="006A38E5"/>
    <w:rsid w:val="006A3AAA"/>
    <w:rsid w:val="006A45EF"/>
    <w:rsid w:val="006A4CFE"/>
    <w:rsid w:val="006A4E24"/>
    <w:rsid w:val="006A4FE9"/>
    <w:rsid w:val="006A57FD"/>
    <w:rsid w:val="006A6B76"/>
    <w:rsid w:val="006A720A"/>
    <w:rsid w:val="006B07A1"/>
    <w:rsid w:val="006B0917"/>
    <w:rsid w:val="006B1DEE"/>
    <w:rsid w:val="006B37BE"/>
    <w:rsid w:val="006B3A1D"/>
    <w:rsid w:val="006B4E92"/>
    <w:rsid w:val="006B5DC8"/>
    <w:rsid w:val="006B6055"/>
    <w:rsid w:val="006B62F6"/>
    <w:rsid w:val="006C0021"/>
    <w:rsid w:val="006C0E9E"/>
    <w:rsid w:val="006C0EF9"/>
    <w:rsid w:val="006C2725"/>
    <w:rsid w:val="006C2747"/>
    <w:rsid w:val="006C3455"/>
    <w:rsid w:val="006C42D1"/>
    <w:rsid w:val="006C5B3E"/>
    <w:rsid w:val="006D09FC"/>
    <w:rsid w:val="006D0D6D"/>
    <w:rsid w:val="006D21B5"/>
    <w:rsid w:val="006D3842"/>
    <w:rsid w:val="006D4202"/>
    <w:rsid w:val="006D7866"/>
    <w:rsid w:val="006E05D4"/>
    <w:rsid w:val="006E15DD"/>
    <w:rsid w:val="006E1BED"/>
    <w:rsid w:val="006E22D4"/>
    <w:rsid w:val="006E2784"/>
    <w:rsid w:val="006E2F35"/>
    <w:rsid w:val="006E314E"/>
    <w:rsid w:val="006E3251"/>
    <w:rsid w:val="006E35FF"/>
    <w:rsid w:val="006E42B9"/>
    <w:rsid w:val="006E60EE"/>
    <w:rsid w:val="006E694A"/>
    <w:rsid w:val="006F06C9"/>
    <w:rsid w:val="006F2748"/>
    <w:rsid w:val="006F2E64"/>
    <w:rsid w:val="007000FA"/>
    <w:rsid w:val="007003B2"/>
    <w:rsid w:val="0070046A"/>
    <w:rsid w:val="00700D35"/>
    <w:rsid w:val="00701410"/>
    <w:rsid w:val="007026E8"/>
    <w:rsid w:val="007038A7"/>
    <w:rsid w:val="00703D77"/>
    <w:rsid w:val="00704E1A"/>
    <w:rsid w:val="0071123D"/>
    <w:rsid w:val="00711E77"/>
    <w:rsid w:val="00712E91"/>
    <w:rsid w:val="0071301E"/>
    <w:rsid w:val="007131F9"/>
    <w:rsid w:val="007135AF"/>
    <w:rsid w:val="007143DA"/>
    <w:rsid w:val="0071445C"/>
    <w:rsid w:val="00716FE7"/>
    <w:rsid w:val="00717194"/>
    <w:rsid w:val="007214BC"/>
    <w:rsid w:val="007217F3"/>
    <w:rsid w:val="007219F8"/>
    <w:rsid w:val="00725B88"/>
    <w:rsid w:val="00725D86"/>
    <w:rsid w:val="00726C49"/>
    <w:rsid w:val="00727C47"/>
    <w:rsid w:val="00731785"/>
    <w:rsid w:val="0073269B"/>
    <w:rsid w:val="00732862"/>
    <w:rsid w:val="007338CE"/>
    <w:rsid w:val="007341BD"/>
    <w:rsid w:val="007353A9"/>
    <w:rsid w:val="00735763"/>
    <w:rsid w:val="00735D18"/>
    <w:rsid w:val="0073609B"/>
    <w:rsid w:val="0073654A"/>
    <w:rsid w:val="00736FFA"/>
    <w:rsid w:val="00740335"/>
    <w:rsid w:val="007416E8"/>
    <w:rsid w:val="00741FB7"/>
    <w:rsid w:val="00743364"/>
    <w:rsid w:val="00745388"/>
    <w:rsid w:val="0074599A"/>
    <w:rsid w:val="00745A9F"/>
    <w:rsid w:val="007468FB"/>
    <w:rsid w:val="0075149E"/>
    <w:rsid w:val="00753062"/>
    <w:rsid w:val="00753481"/>
    <w:rsid w:val="00753798"/>
    <w:rsid w:val="00753E79"/>
    <w:rsid w:val="0075413D"/>
    <w:rsid w:val="00754BB7"/>
    <w:rsid w:val="0075687A"/>
    <w:rsid w:val="00757101"/>
    <w:rsid w:val="007571A7"/>
    <w:rsid w:val="00760EFC"/>
    <w:rsid w:val="007612DD"/>
    <w:rsid w:val="007627DD"/>
    <w:rsid w:val="00764258"/>
    <w:rsid w:val="00765509"/>
    <w:rsid w:val="00765C4E"/>
    <w:rsid w:val="00766087"/>
    <w:rsid w:val="00771087"/>
    <w:rsid w:val="00771B41"/>
    <w:rsid w:val="007735B8"/>
    <w:rsid w:val="00774071"/>
    <w:rsid w:val="00774CA7"/>
    <w:rsid w:val="00775368"/>
    <w:rsid w:val="00775703"/>
    <w:rsid w:val="00775A4C"/>
    <w:rsid w:val="00776878"/>
    <w:rsid w:val="00780699"/>
    <w:rsid w:val="00783702"/>
    <w:rsid w:val="007845E4"/>
    <w:rsid w:val="007866A0"/>
    <w:rsid w:val="00787733"/>
    <w:rsid w:val="00787E91"/>
    <w:rsid w:val="00790306"/>
    <w:rsid w:val="00790742"/>
    <w:rsid w:val="00791B81"/>
    <w:rsid w:val="0079298D"/>
    <w:rsid w:val="007933EB"/>
    <w:rsid w:val="007946B3"/>
    <w:rsid w:val="00797200"/>
    <w:rsid w:val="007A23EA"/>
    <w:rsid w:val="007A2BC7"/>
    <w:rsid w:val="007A2D98"/>
    <w:rsid w:val="007A3902"/>
    <w:rsid w:val="007A39B9"/>
    <w:rsid w:val="007A3ABD"/>
    <w:rsid w:val="007A4182"/>
    <w:rsid w:val="007A5250"/>
    <w:rsid w:val="007A772D"/>
    <w:rsid w:val="007B0C65"/>
    <w:rsid w:val="007B1312"/>
    <w:rsid w:val="007B1587"/>
    <w:rsid w:val="007B1DB6"/>
    <w:rsid w:val="007B2432"/>
    <w:rsid w:val="007B4552"/>
    <w:rsid w:val="007B5E20"/>
    <w:rsid w:val="007B6915"/>
    <w:rsid w:val="007B719A"/>
    <w:rsid w:val="007B7504"/>
    <w:rsid w:val="007C09C1"/>
    <w:rsid w:val="007C13A6"/>
    <w:rsid w:val="007C1F28"/>
    <w:rsid w:val="007C3161"/>
    <w:rsid w:val="007C3783"/>
    <w:rsid w:val="007C380A"/>
    <w:rsid w:val="007C3EE0"/>
    <w:rsid w:val="007C79C5"/>
    <w:rsid w:val="007C7E45"/>
    <w:rsid w:val="007D01D8"/>
    <w:rsid w:val="007D288F"/>
    <w:rsid w:val="007D2DC9"/>
    <w:rsid w:val="007D3120"/>
    <w:rsid w:val="007D3AA0"/>
    <w:rsid w:val="007D5042"/>
    <w:rsid w:val="007D507D"/>
    <w:rsid w:val="007D65DC"/>
    <w:rsid w:val="007D7244"/>
    <w:rsid w:val="007E0A21"/>
    <w:rsid w:val="007E0CF5"/>
    <w:rsid w:val="007E1710"/>
    <w:rsid w:val="007E2F76"/>
    <w:rsid w:val="007E41BE"/>
    <w:rsid w:val="007E4306"/>
    <w:rsid w:val="007E48A5"/>
    <w:rsid w:val="007E4EB9"/>
    <w:rsid w:val="007E6E5F"/>
    <w:rsid w:val="007E7075"/>
    <w:rsid w:val="007E7234"/>
    <w:rsid w:val="007F2172"/>
    <w:rsid w:val="007F2216"/>
    <w:rsid w:val="007F2258"/>
    <w:rsid w:val="007F5125"/>
    <w:rsid w:val="007F6D7C"/>
    <w:rsid w:val="007F7C2C"/>
    <w:rsid w:val="00801ABD"/>
    <w:rsid w:val="00801DFA"/>
    <w:rsid w:val="00803AE0"/>
    <w:rsid w:val="00803CDD"/>
    <w:rsid w:val="00805146"/>
    <w:rsid w:val="0080517A"/>
    <w:rsid w:val="00806428"/>
    <w:rsid w:val="00806432"/>
    <w:rsid w:val="008067C3"/>
    <w:rsid w:val="008076CD"/>
    <w:rsid w:val="008127E1"/>
    <w:rsid w:val="00813B27"/>
    <w:rsid w:val="008141BA"/>
    <w:rsid w:val="00815420"/>
    <w:rsid w:val="00815F53"/>
    <w:rsid w:val="00816FC5"/>
    <w:rsid w:val="0081734D"/>
    <w:rsid w:val="0081778C"/>
    <w:rsid w:val="0081785B"/>
    <w:rsid w:val="00817B81"/>
    <w:rsid w:val="00817D7F"/>
    <w:rsid w:val="00820232"/>
    <w:rsid w:val="008206C9"/>
    <w:rsid w:val="00820E29"/>
    <w:rsid w:val="008211C5"/>
    <w:rsid w:val="00821BD1"/>
    <w:rsid w:val="008227A1"/>
    <w:rsid w:val="00822A7E"/>
    <w:rsid w:val="00823B13"/>
    <w:rsid w:val="00823E4A"/>
    <w:rsid w:val="00824D23"/>
    <w:rsid w:val="008250BD"/>
    <w:rsid w:val="00826A2D"/>
    <w:rsid w:val="00827DF9"/>
    <w:rsid w:val="00827EDF"/>
    <w:rsid w:val="0083086C"/>
    <w:rsid w:val="00830AD5"/>
    <w:rsid w:val="00833ED1"/>
    <w:rsid w:val="008356C8"/>
    <w:rsid w:val="0083732A"/>
    <w:rsid w:val="00837413"/>
    <w:rsid w:val="008409F5"/>
    <w:rsid w:val="00842F01"/>
    <w:rsid w:val="00843592"/>
    <w:rsid w:val="00845113"/>
    <w:rsid w:val="00845D03"/>
    <w:rsid w:val="00847072"/>
    <w:rsid w:val="008512FD"/>
    <w:rsid w:val="0085187A"/>
    <w:rsid w:val="00852E7E"/>
    <w:rsid w:val="0085596D"/>
    <w:rsid w:val="00856268"/>
    <w:rsid w:val="0086327D"/>
    <w:rsid w:val="00864209"/>
    <w:rsid w:val="00867759"/>
    <w:rsid w:val="008677C7"/>
    <w:rsid w:val="00867AAB"/>
    <w:rsid w:val="00867EAA"/>
    <w:rsid w:val="00870252"/>
    <w:rsid w:val="00870667"/>
    <w:rsid w:val="0087264C"/>
    <w:rsid w:val="00872B65"/>
    <w:rsid w:val="00873168"/>
    <w:rsid w:val="0087415B"/>
    <w:rsid w:val="00874A18"/>
    <w:rsid w:val="00875CCA"/>
    <w:rsid w:val="00876C57"/>
    <w:rsid w:val="008800A7"/>
    <w:rsid w:val="00880391"/>
    <w:rsid w:val="00882ABA"/>
    <w:rsid w:val="008838A8"/>
    <w:rsid w:val="008845F4"/>
    <w:rsid w:val="008873B7"/>
    <w:rsid w:val="008903C9"/>
    <w:rsid w:val="008905EE"/>
    <w:rsid w:val="0089372A"/>
    <w:rsid w:val="0089373C"/>
    <w:rsid w:val="0089424D"/>
    <w:rsid w:val="00894737"/>
    <w:rsid w:val="008947BE"/>
    <w:rsid w:val="00894FB6"/>
    <w:rsid w:val="00897264"/>
    <w:rsid w:val="00897E9E"/>
    <w:rsid w:val="008A1C7A"/>
    <w:rsid w:val="008A3AE9"/>
    <w:rsid w:val="008A4119"/>
    <w:rsid w:val="008A438F"/>
    <w:rsid w:val="008A4474"/>
    <w:rsid w:val="008A64E9"/>
    <w:rsid w:val="008A6DFA"/>
    <w:rsid w:val="008A715C"/>
    <w:rsid w:val="008A724D"/>
    <w:rsid w:val="008B0148"/>
    <w:rsid w:val="008B1377"/>
    <w:rsid w:val="008B2928"/>
    <w:rsid w:val="008B38A4"/>
    <w:rsid w:val="008B4492"/>
    <w:rsid w:val="008B755E"/>
    <w:rsid w:val="008C0237"/>
    <w:rsid w:val="008C18E6"/>
    <w:rsid w:val="008C434D"/>
    <w:rsid w:val="008C4D1B"/>
    <w:rsid w:val="008C5386"/>
    <w:rsid w:val="008C5C5C"/>
    <w:rsid w:val="008C5FEE"/>
    <w:rsid w:val="008C656A"/>
    <w:rsid w:val="008C6830"/>
    <w:rsid w:val="008C6909"/>
    <w:rsid w:val="008C6AB7"/>
    <w:rsid w:val="008C6E90"/>
    <w:rsid w:val="008C7701"/>
    <w:rsid w:val="008D03DB"/>
    <w:rsid w:val="008D0835"/>
    <w:rsid w:val="008D16F4"/>
    <w:rsid w:val="008D1DB4"/>
    <w:rsid w:val="008D20EE"/>
    <w:rsid w:val="008D4A83"/>
    <w:rsid w:val="008D78F6"/>
    <w:rsid w:val="008D7EA1"/>
    <w:rsid w:val="008E04ED"/>
    <w:rsid w:val="008E1E3C"/>
    <w:rsid w:val="008E4A94"/>
    <w:rsid w:val="008E7948"/>
    <w:rsid w:val="008F08E5"/>
    <w:rsid w:val="008F1820"/>
    <w:rsid w:val="008F1F87"/>
    <w:rsid w:val="008F2000"/>
    <w:rsid w:val="008F38F8"/>
    <w:rsid w:val="008F4D6B"/>
    <w:rsid w:val="008F4F65"/>
    <w:rsid w:val="008F57A0"/>
    <w:rsid w:val="008F69C8"/>
    <w:rsid w:val="008F7304"/>
    <w:rsid w:val="0090199F"/>
    <w:rsid w:val="00901DAA"/>
    <w:rsid w:val="009039E6"/>
    <w:rsid w:val="00903DA7"/>
    <w:rsid w:val="0090488F"/>
    <w:rsid w:val="00907AAA"/>
    <w:rsid w:val="00910815"/>
    <w:rsid w:val="009110CC"/>
    <w:rsid w:val="00911CC1"/>
    <w:rsid w:val="00912739"/>
    <w:rsid w:val="00912FD6"/>
    <w:rsid w:val="009130B9"/>
    <w:rsid w:val="009136E7"/>
    <w:rsid w:val="00913875"/>
    <w:rsid w:val="0091391D"/>
    <w:rsid w:val="00913ED4"/>
    <w:rsid w:val="0091483A"/>
    <w:rsid w:val="00916CF7"/>
    <w:rsid w:val="00920206"/>
    <w:rsid w:val="009209AB"/>
    <w:rsid w:val="0092444B"/>
    <w:rsid w:val="00926D7C"/>
    <w:rsid w:val="00927827"/>
    <w:rsid w:val="00927C31"/>
    <w:rsid w:val="00927DA1"/>
    <w:rsid w:val="00927F26"/>
    <w:rsid w:val="00931BC5"/>
    <w:rsid w:val="0093336F"/>
    <w:rsid w:val="00933656"/>
    <w:rsid w:val="00933874"/>
    <w:rsid w:val="009339AA"/>
    <w:rsid w:val="00933BC2"/>
    <w:rsid w:val="00934A97"/>
    <w:rsid w:val="00936802"/>
    <w:rsid w:val="009372ED"/>
    <w:rsid w:val="009410C8"/>
    <w:rsid w:val="00941B8E"/>
    <w:rsid w:val="009420AC"/>
    <w:rsid w:val="0094447A"/>
    <w:rsid w:val="00944EF8"/>
    <w:rsid w:val="00947540"/>
    <w:rsid w:val="00947FF4"/>
    <w:rsid w:val="0095094B"/>
    <w:rsid w:val="009512DD"/>
    <w:rsid w:val="00952CDD"/>
    <w:rsid w:val="00953E00"/>
    <w:rsid w:val="009543E6"/>
    <w:rsid w:val="0095474A"/>
    <w:rsid w:val="00954CDB"/>
    <w:rsid w:val="00956F0E"/>
    <w:rsid w:val="00962C1A"/>
    <w:rsid w:val="009636EF"/>
    <w:rsid w:val="00963AFD"/>
    <w:rsid w:val="0096452E"/>
    <w:rsid w:val="00965687"/>
    <w:rsid w:val="009674CB"/>
    <w:rsid w:val="00967DF8"/>
    <w:rsid w:val="009721D0"/>
    <w:rsid w:val="00974DB2"/>
    <w:rsid w:val="00977879"/>
    <w:rsid w:val="00977913"/>
    <w:rsid w:val="0098020E"/>
    <w:rsid w:val="0098075E"/>
    <w:rsid w:val="009839A2"/>
    <w:rsid w:val="00984F2B"/>
    <w:rsid w:val="00986FDD"/>
    <w:rsid w:val="00990399"/>
    <w:rsid w:val="00990EFD"/>
    <w:rsid w:val="009914DF"/>
    <w:rsid w:val="0099204B"/>
    <w:rsid w:val="009924EF"/>
    <w:rsid w:val="00994460"/>
    <w:rsid w:val="00994ECF"/>
    <w:rsid w:val="0099779D"/>
    <w:rsid w:val="009A1073"/>
    <w:rsid w:val="009A21A6"/>
    <w:rsid w:val="009A2720"/>
    <w:rsid w:val="009A3B58"/>
    <w:rsid w:val="009A4692"/>
    <w:rsid w:val="009A4D56"/>
    <w:rsid w:val="009A500D"/>
    <w:rsid w:val="009A717D"/>
    <w:rsid w:val="009A794A"/>
    <w:rsid w:val="009B25E0"/>
    <w:rsid w:val="009B2896"/>
    <w:rsid w:val="009B36DE"/>
    <w:rsid w:val="009B469F"/>
    <w:rsid w:val="009B4D20"/>
    <w:rsid w:val="009B56DE"/>
    <w:rsid w:val="009B7260"/>
    <w:rsid w:val="009B7528"/>
    <w:rsid w:val="009C2F80"/>
    <w:rsid w:val="009C3439"/>
    <w:rsid w:val="009C4B48"/>
    <w:rsid w:val="009C6B1B"/>
    <w:rsid w:val="009C6B9A"/>
    <w:rsid w:val="009D0EF0"/>
    <w:rsid w:val="009D150F"/>
    <w:rsid w:val="009D2956"/>
    <w:rsid w:val="009D38AD"/>
    <w:rsid w:val="009D3ECF"/>
    <w:rsid w:val="009D535B"/>
    <w:rsid w:val="009D7214"/>
    <w:rsid w:val="009D7E6B"/>
    <w:rsid w:val="009E11E8"/>
    <w:rsid w:val="009E2810"/>
    <w:rsid w:val="009E3A7D"/>
    <w:rsid w:val="009E487B"/>
    <w:rsid w:val="009E4A5D"/>
    <w:rsid w:val="009E4C8D"/>
    <w:rsid w:val="009E5A93"/>
    <w:rsid w:val="009E5F5E"/>
    <w:rsid w:val="009E6EDC"/>
    <w:rsid w:val="009E7A27"/>
    <w:rsid w:val="009F002B"/>
    <w:rsid w:val="009F0761"/>
    <w:rsid w:val="009F0C1F"/>
    <w:rsid w:val="009F0CE2"/>
    <w:rsid w:val="009F181C"/>
    <w:rsid w:val="009F2F2C"/>
    <w:rsid w:val="009F31DB"/>
    <w:rsid w:val="009F3399"/>
    <w:rsid w:val="009F5349"/>
    <w:rsid w:val="009F5445"/>
    <w:rsid w:val="009F607E"/>
    <w:rsid w:val="009F61AB"/>
    <w:rsid w:val="009F6791"/>
    <w:rsid w:val="009F6CDA"/>
    <w:rsid w:val="009F7053"/>
    <w:rsid w:val="009F75F2"/>
    <w:rsid w:val="00A00147"/>
    <w:rsid w:val="00A00570"/>
    <w:rsid w:val="00A01160"/>
    <w:rsid w:val="00A018D7"/>
    <w:rsid w:val="00A01F75"/>
    <w:rsid w:val="00A032A9"/>
    <w:rsid w:val="00A03913"/>
    <w:rsid w:val="00A03BF6"/>
    <w:rsid w:val="00A048DB"/>
    <w:rsid w:val="00A04F15"/>
    <w:rsid w:val="00A07AB0"/>
    <w:rsid w:val="00A07C1B"/>
    <w:rsid w:val="00A07E35"/>
    <w:rsid w:val="00A11D85"/>
    <w:rsid w:val="00A11DE9"/>
    <w:rsid w:val="00A14A43"/>
    <w:rsid w:val="00A1564B"/>
    <w:rsid w:val="00A20241"/>
    <w:rsid w:val="00A20853"/>
    <w:rsid w:val="00A21707"/>
    <w:rsid w:val="00A21752"/>
    <w:rsid w:val="00A225B0"/>
    <w:rsid w:val="00A22BDD"/>
    <w:rsid w:val="00A23D31"/>
    <w:rsid w:val="00A24197"/>
    <w:rsid w:val="00A247D3"/>
    <w:rsid w:val="00A24C9A"/>
    <w:rsid w:val="00A25A91"/>
    <w:rsid w:val="00A277C7"/>
    <w:rsid w:val="00A27F16"/>
    <w:rsid w:val="00A310BC"/>
    <w:rsid w:val="00A3129C"/>
    <w:rsid w:val="00A32947"/>
    <w:rsid w:val="00A33F41"/>
    <w:rsid w:val="00A349EC"/>
    <w:rsid w:val="00A349F4"/>
    <w:rsid w:val="00A34CD0"/>
    <w:rsid w:val="00A3553D"/>
    <w:rsid w:val="00A37B25"/>
    <w:rsid w:val="00A4002D"/>
    <w:rsid w:val="00A400B5"/>
    <w:rsid w:val="00A40F6F"/>
    <w:rsid w:val="00A419B0"/>
    <w:rsid w:val="00A4290C"/>
    <w:rsid w:val="00A429AC"/>
    <w:rsid w:val="00A42F25"/>
    <w:rsid w:val="00A43E5A"/>
    <w:rsid w:val="00A4696E"/>
    <w:rsid w:val="00A477DB"/>
    <w:rsid w:val="00A47ACF"/>
    <w:rsid w:val="00A47BEE"/>
    <w:rsid w:val="00A47CF8"/>
    <w:rsid w:val="00A47DB5"/>
    <w:rsid w:val="00A519FB"/>
    <w:rsid w:val="00A52196"/>
    <w:rsid w:val="00A534EC"/>
    <w:rsid w:val="00A60B11"/>
    <w:rsid w:val="00A616D6"/>
    <w:rsid w:val="00A644FE"/>
    <w:rsid w:val="00A64612"/>
    <w:rsid w:val="00A64704"/>
    <w:rsid w:val="00A64CE4"/>
    <w:rsid w:val="00A709C3"/>
    <w:rsid w:val="00A72A36"/>
    <w:rsid w:val="00A766BB"/>
    <w:rsid w:val="00A807B5"/>
    <w:rsid w:val="00A8254D"/>
    <w:rsid w:val="00A84892"/>
    <w:rsid w:val="00A8518D"/>
    <w:rsid w:val="00A862E5"/>
    <w:rsid w:val="00A875D7"/>
    <w:rsid w:val="00A877C8"/>
    <w:rsid w:val="00A90B9C"/>
    <w:rsid w:val="00A91C5E"/>
    <w:rsid w:val="00A93453"/>
    <w:rsid w:val="00A94CE5"/>
    <w:rsid w:val="00A94D01"/>
    <w:rsid w:val="00A94E4F"/>
    <w:rsid w:val="00AA0AFD"/>
    <w:rsid w:val="00AA0EAC"/>
    <w:rsid w:val="00AA4592"/>
    <w:rsid w:val="00AA56F1"/>
    <w:rsid w:val="00AA6D4E"/>
    <w:rsid w:val="00AA6F8D"/>
    <w:rsid w:val="00AB09B1"/>
    <w:rsid w:val="00AB1467"/>
    <w:rsid w:val="00AB2747"/>
    <w:rsid w:val="00AB284F"/>
    <w:rsid w:val="00AB29BC"/>
    <w:rsid w:val="00AB42C4"/>
    <w:rsid w:val="00AB48A5"/>
    <w:rsid w:val="00AB57C2"/>
    <w:rsid w:val="00AB616C"/>
    <w:rsid w:val="00AB6F4F"/>
    <w:rsid w:val="00AC1DE8"/>
    <w:rsid w:val="00AC2689"/>
    <w:rsid w:val="00AC3955"/>
    <w:rsid w:val="00AC5D5F"/>
    <w:rsid w:val="00AC5F11"/>
    <w:rsid w:val="00AC69F3"/>
    <w:rsid w:val="00AC769E"/>
    <w:rsid w:val="00AD031E"/>
    <w:rsid w:val="00AD438A"/>
    <w:rsid w:val="00AD4FE8"/>
    <w:rsid w:val="00AD5B22"/>
    <w:rsid w:val="00AD7699"/>
    <w:rsid w:val="00AD7D12"/>
    <w:rsid w:val="00AE15F4"/>
    <w:rsid w:val="00AE16D4"/>
    <w:rsid w:val="00AE1BBE"/>
    <w:rsid w:val="00AE1CDF"/>
    <w:rsid w:val="00AE1FE5"/>
    <w:rsid w:val="00AE2D60"/>
    <w:rsid w:val="00AE2E91"/>
    <w:rsid w:val="00AE2FEF"/>
    <w:rsid w:val="00AE3FEF"/>
    <w:rsid w:val="00AE6333"/>
    <w:rsid w:val="00AF00C1"/>
    <w:rsid w:val="00AF053F"/>
    <w:rsid w:val="00AF1EE3"/>
    <w:rsid w:val="00AF340D"/>
    <w:rsid w:val="00AF3922"/>
    <w:rsid w:val="00AF51B6"/>
    <w:rsid w:val="00AF56B3"/>
    <w:rsid w:val="00AF62E2"/>
    <w:rsid w:val="00AF6C5B"/>
    <w:rsid w:val="00AF75B7"/>
    <w:rsid w:val="00B01E33"/>
    <w:rsid w:val="00B03AFE"/>
    <w:rsid w:val="00B05236"/>
    <w:rsid w:val="00B060A4"/>
    <w:rsid w:val="00B06A43"/>
    <w:rsid w:val="00B06A4E"/>
    <w:rsid w:val="00B06C02"/>
    <w:rsid w:val="00B077B7"/>
    <w:rsid w:val="00B07EA5"/>
    <w:rsid w:val="00B10DBC"/>
    <w:rsid w:val="00B125C7"/>
    <w:rsid w:val="00B13CFB"/>
    <w:rsid w:val="00B14D7F"/>
    <w:rsid w:val="00B15AB8"/>
    <w:rsid w:val="00B162AD"/>
    <w:rsid w:val="00B20C32"/>
    <w:rsid w:val="00B22B81"/>
    <w:rsid w:val="00B23F7D"/>
    <w:rsid w:val="00B245FB"/>
    <w:rsid w:val="00B25A40"/>
    <w:rsid w:val="00B2633E"/>
    <w:rsid w:val="00B27708"/>
    <w:rsid w:val="00B309C9"/>
    <w:rsid w:val="00B30FDE"/>
    <w:rsid w:val="00B31BCD"/>
    <w:rsid w:val="00B31DB4"/>
    <w:rsid w:val="00B32620"/>
    <w:rsid w:val="00B33206"/>
    <w:rsid w:val="00B34F3C"/>
    <w:rsid w:val="00B368F5"/>
    <w:rsid w:val="00B368FA"/>
    <w:rsid w:val="00B420C8"/>
    <w:rsid w:val="00B43CE8"/>
    <w:rsid w:val="00B44AF8"/>
    <w:rsid w:val="00B476E6"/>
    <w:rsid w:val="00B50581"/>
    <w:rsid w:val="00B51FBF"/>
    <w:rsid w:val="00B54A21"/>
    <w:rsid w:val="00B5609D"/>
    <w:rsid w:val="00B5706A"/>
    <w:rsid w:val="00B57CA9"/>
    <w:rsid w:val="00B617B9"/>
    <w:rsid w:val="00B620C9"/>
    <w:rsid w:val="00B6233B"/>
    <w:rsid w:val="00B62A26"/>
    <w:rsid w:val="00B62E9B"/>
    <w:rsid w:val="00B634D3"/>
    <w:rsid w:val="00B643EC"/>
    <w:rsid w:val="00B64E3F"/>
    <w:rsid w:val="00B66D31"/>
    <w:rsid w:val="00B67AB7"/>
    <w:rsid w:val="00B704E2"/>
    <w:rsid w:val="00B70B6F"/>
    <w:rsid w:val="00B71BE5"/>
    <w:rsid w:val="00B71F99"/>
    <w:rsid w:val="00B72FD5"/>
    <w:rsid w:val="00B738E1"/>
    <w:rsid w:val="00B76059"/>
    <w:rsid w:val="00B77E85"/>
    <w:rsid w:val="00B81639"/>
    <w:rsid w:val="00B82DEB"/>
    <w:rsid w:val="00B83274"/>
    <w:rsid w:val="00B83F2B"/>
    <w:rsid w:val="00B85CA3"/>
    <w:rsid w:val="00B867CD"/>
    <w:rsid w:val="00B86978"/>
    <w:rsid w:val="00B87C8D"/>
    <w:rsid w:val="00B900B8"/>
    <w:rsid w:val="00B901B5"/>
    <w:rsid w:val="00B90817"/>
    <w:rsid w:val="00B91DEA"/>
    <w:rsid w:val="00B93168"/>
    <w:rsid w:val="00B95807"/>
    <w:rsid w:val="00B95F13"/>
    <w:rsid w:val="00B96C47"/>
    <w:rsid w:val="00B97463"/>
    <w:rsid w:val="00BA277C"/>
    <w:rsid w:val="00BA3C28"/>
    <w:rsid w:val="00BA5603"/>
    <w:rsid w:val="00BA5C51"/>
    <w:rsid w:val="00BA6FD5"/>
    <w:rsid w:val="00BB1633"/>
    <w:rsid w:val="00BB1EAB"/>
    <w:rsid w:val="00BB2048"/>
    <w:rsid w:val="00BB2590"/>
    <w:rsid w:val="00BB5532"/>
    <w:rsid w:val="00BB6CAD"/>
    <w:rsid w:val="00BB701F"/>
    <w:rsid w:val="00BB73B4"/>
    <w:rsid w:val="00BB76DA"/>
    <w:rsid w:val="00BC4339"/>
    <w:rsid w:val="00BC4DEA"/>
    <w:rsid w:val="00BC4E69"/>
    <w:rsid w:val="00BC5D6A"/>
    <w:rsid w:val="00BC6B0C"/>
    <w:rsid w:val="00BC778F"/>
    <w:rsid w:val="00BD094B"/>
    <w:rsid w:val="00BD1B37"/>
    <w:rsid w:val="00BD301E"/>
    <w:rsid w:val="00BD3CB2"/>
    <w:rsid w:val="00BD4AF9"/>
    <w:rsid w:val="00BD5504"/>
    <w:rsid w:val="00BD5804"/>
    <w:rsid w:val="00BD5E2C"/>
    <w:rsid w:val="00BD7ADE"/>
    <w:rsid w:val="00BE063B"/>
    <w:rsid w:val="00BE0898"/>
    <w:rsid w:val="00BE092F"/>
    <w:rsid w:val="00BE1A44"/>
    <w:rsid w:val="00BE278A"/>
    <w:rsid w:val="00BE429E"/>
    <w:rsid w:val="00BE4355"/>
    <w:rsid w:val="00BE5758"/>
    <w:rsid w:val="00BE58BB"/>
    <w:rsid w:val="00BE5E7C"/>
    <w:rsid w:val="00BE79CD"/>
    <w:rsid w:val="00BF0019"/>
    <w:rsid w:val="00BF0364"/>
    <w:rsid w:val="00BF0AF5"/>
    <w:rsid w:val="00BF123D"/>
    <w:rsid w:val="00BF3602"/>
    <w:rsid w:val="00BF3DA8"/>
    <w:rsid w:val="00BF429A"/>
    <w:rsid w:val="00BF47A3"/>
    <w:rsid w:val="00BF48C0"/>
    <w:rsid w:val="00BF4F06"/>
    <w:rsid w:val="00BF6044"/>
    <w:rsid w:val="00BF6AD1"/>
    <w:rsid w:val="00BF7C4E"/>
    <w:rsid w:val="00C008D8"/>
    <w:rsid w:val="00C040B4"/>
    <w:rsid w:val="00C051DC"/>
    <w:rsid w:val="00C05B55"/>
    <w:rsid w:val="00C061A4"/>
    <w:rsid w:val="00C126A0"/>
    <w:rsid w:val="00C1308B"/>
    <w:rsid w:val="00C13607"/>
    <w:rsid w:val="00C138CE"/>
    <w:rsid w:val="00C141F1"/>
    <w:rsid w:val="00C1464A"/>
    <w:rsid w:val="00C15311"/>
    <w:rsid w:val="00C153E4"/>
    <w:rsid w:val="00C15FBD"/>
    <w:rsid w:val="00C1665A"/>
    <w:rsid w:val="00C173D8"/>
    <w:rsid w:val="00C179E6"/>
    <w:rsid w:val="00C20349"/>
    <w:rsid w:val="00C20D69"/>
    <w:rsid w:val="00C20F25"/>
    <w:rsid w:val="00C21D95"/>
    <w:rsid w:val="00C23550"/>
    <w:rsid w:val="00C23BCF"/>
    <w:rsid w:val="00C24B1D"/>
    <w:rsid w:val="00C24F0C"/>
    <w:rsid w:val="00C269C1"/>
    <w:rsid w:val="00C3499F"/>
    <w:rsid w:val="00C34C84"/>
    <w:rsid w:val="00C34E3E"/>
    <w:rsid w:val="00C36FEE"/>
    <w:rsid w:val="00C41528"/>
    <w:rsid w:val="00C41C1D"/>
    <w:rsid w:val="00C4213B"/>
    <w:rsid w:val="00C42CF9"/>
    <w:rsid w:val="00C43020"/>
    <w:rsid w:val="00C4323C"/>
    <w:rsid w:val="00C435CB"/>
    <w:rsid w:val="00C44D0D"/>
    <w:rsid w:val="00C45818"/>
    <w:rsid w:val="00C46468"/>
    <w:rsid w:val="00C46F3A"/>
    <w:rsid w:val="00C4737F"/>
    <w:rsid w:val="00C47845"/>
    <w:rsid w:val="00C50CA9"/>
    <w:rsid w:val="00C52CB6"/>
    <w:rsid w:val="00C53B5C"/>
    <w:rsid w:val="00C54485"/>
    <w:rsid w:val="00C55046"/>
    <w:rsid w:val="00C55499"/>
    <w:rsid w:val="00C55CA0"/>
    <w:rsid w:val="00C55CD4"/>
    <w:rsid w:val="00C562A3"/>
    <w:rsid w:val="00C56A0D"/>
    <w:rsid w:val="00C57829"/>
    <w:rsid w:val="00C60241"/>
    <w:rsid w:val="00C6066F"/>
    <w:rsid w:val="00C60816"/>
    <w:rsid w:val="00C60E09"/>
    <w:rsid w:val="00C638C3"/>
    <w:rsid w:val="00C63F24"/>
    <w:rsid w:val="00C64C98"/>
    <w:rsid w:val="00C67049"/>
    <w:rsid w:val="00C6739B"/>
    <w:rsid w:val="00C71393"/>
    <w:rsid w:val="00C714D7"/>
    <w:rsid w:val="00C71728"/>
    <w:rsid w:val="00C718F5"/>
    <w:rsid w:val="00C73420"/>
    <w:rsid w:val="00C73A2E"/>
    <w:rsid w:val="00C74FBA"/>
    <w:rsid w:val="00C75DCB"/>
    <w:rsid w:val="00C76B78"/>
    <w:rsid w:val="00C77FD4"/>
    <w:rsid w:val="00C80721"/>
    <w:rsid w:val="00C80968"/>
    <w:rsid w:val="00C80E7C"/>
    <w:rsid w:val="00C83A98"/>
    <w:rsid w:val="00C87078"/>
    <w:rsid w:val="00C87EF0"/>
    <w:rsid w:val="00C9343A"/>
    <w:rsid w:val="00C936EB"/>
    <w:rsid w:val="00C9469B"/>
    <w:rsid w:val="00C94BD3"/>
    <w:rsid w:val="00C951BC"/>
    <w:rsid w:val="00C9634D"/>
    <w:rsid w:val="00C96D74"/>
    <w:rsid w:val="00C973D6"/>
    <w:rsid w:val="00C975F6"/>
    <w:rsid w:val="00C9791B"/>
    <w:rsid w:val="00CA1911"/>
    <w:rsid w:val="00CA31D7"/>
    <w:rsid w:val="00CA3286"/>
    <w:rsid w:val="00CA405C"/>
    <w:rsid w:val="00CA4766"/>
    <w:rsid w:val="00CA5224"/>
    <w:rsid w:val="00CA587C"/>
    <w:rsid w:val="00CA763D"/>
    <w:rsid w:val="00CB08C8"/>
    <w:rsid w:val="00CB0EC3"/>
    <w:rsid w:val="00CB0EC5"/>
    <w:rsid w:val="00CB20E6"/>
    <w:rsid w:val="00CB3168"/>
    <w:rsid w:val="00CB474C"/>
    <w:rsid w:val="00CB474E"/>
    <w:rsid w:val="00CB48ED"/>
    <w:rsid w:val="00CB5A51"/>
    <w:rsid w:val="00CB6355"/>
    <w:rsid w:val="00CC24DD"/>
    <w:rsid w:val="00CC2D05"/>
    <w:rsid w:val="00CC2D17"/>
    <w:rsid w:val="00CC3B43"/>
    <w:rsid w:val="00CC659D"/>
    <w:rsid w:val="00CD2F9D"/>
    <w:rsid w:val="00CD3C52"/>
    <w:rsid w:val="00CD3EF5"/>
    <w:rsid w:val="00CD4B34"/>
    <w:rsid w:val="00CD6B3C"/>
    <w:rsid w:val="00CD6D0D"/>
    <w:rsid w:val="00CE0787"/>
    <w:rsid w:val="00CE100F"/>
    <w:rsid w:val="00CE1069"/>
    <w:rsid w:val="00CE1DC0"/>
    <w:rsid w:val="00CE2072"/>
    <w:rsid w:val="00CE21D5"/>
    <w:rsid w:val="00CE2479"/>
    <w:rsid w:val="00CE2F5B"/>
    <w:rsid w:val="00CE7E0B"/>
    <w:rsid w:val="00CF0CBF"/>
    <w:rsid w:val="00CF18E5"/>
    <w:rsid w:val="00CF1A11"/>
    <w:rsid w:val="00CF4F91"/>
    <w:rsid w:val="00CF5ABA"/>
    <w:rsid w:val="00CF71A9"/>
    <w:rsid w:val="00CF7255"/>
    <w:rsid w:val="00D004E0"/>
    <w:rsid w:val="00D008FA"/>
    <w:rsid w:val="00D00EC7"/>
    <w:rsid w:val="00D03688"/>
    <w:rsid w:val="00D104E2"/>
    <w:rsid w:val="00D1063F"/>
    <w:rsid w:val="00D127C6"/>
    <w:rsid w:val="00D13294"/>
    <w:rsid w:val="00D134BA"/>
    <w:rsid w:val="00D14C49"/>
    <w:rsid w:val="00D14CA5"/>
    <w:rsid w:val="00D1570A"/>
    <w:rsid w:val="00D158C8"/>
    <w:rsid w:val="00D163D0"/>
    <w:rsid w:val="00D20CD8"/>
    <w:rsid w:val="00D2140F"/>
    <w:rsid w:val="00D219B9"/>
    <w:rsid w:val="00D21A0D"/>
    <w:rsid w:val="00D21E6C"/>
    <w:rsid w:val="00D228CF"/>
    <w:rsid w:val="00D2371B"/>
    <w:rsid w:val="00D239AE"/>
    <w:rsid w:val="00D240CC"/>
    <w:rsid w:val="00D2425D"/>
    <w:rsid w:val="00D2644D"/>
    <w:rsid w:val="00D26C02"/>
    <w:rsid w:val="00D26C07"/>
    <w:rsid w:val="00D27759"/>
    <w:rsid w:val="00D27C60"/>
    <w:rsid w:val="00D3055E"/>
    <w:rsid w:val="00D30627"/>
    <w:rsid w:val="00D31CD4"/>
    <w:rsid w:val="00D33481"/>
    <w:rsid w:val="00D34026"/>
    <w:rsid w:val="00D3466D"/>
    <w:rsid w:val="00D34B38"/>
    <w:rsid w:val="00D3506A"/>
    <w:rsid w:val="00D374F2"/>
    <w:rsid w:val="00D40742"/>
    <w:rsid w:val="00D419BF"/>
    <w:rsid w:val="00D41DD5"/>
    <w:rsid w:val="00D4389A"/>
    <w:rsid w:val="00D43C18"/>
    <w:rsid w:val="00D44A28"/>
    <w:rsid w:val="00D44E46"/>
    <w:rsid w:val="00D4566C"/>
    <w:rsid w:val="00D45C81"/>
    <w:rsid w:val="00D4656C"/>
    <w:rsid w:val="00D46608"/>
    <w:rsid w:val="00D474D6"/>
    <w:rsid w:val="00D47C93"/>
    <w:rsid w:val="00D507C6"/>
    <w:rsid w:val="00D52350"/>
    <w:rsid w:val="00D52893"/>
    <w:rsid w:val="00D53137"/>
    <w:rsid w:val="00D56F1F"/>
    <w:rsid w:val="00D5767A"/>
    <w:rsid w:val="00D57DD2"/>
    <w:rsid w:val="00D6009F"/>
    <w:rsid w:val="00D610E9"/>
    <w:rsid w:val="00D624C7"/>
    <w:rsid w:val="00D62D4B"/>
    <w:rsid w:val="00D62DC0"/>
    <w:rsid w:val="00D636ED"/>
    <w:rsid w:val="00D63A14"/>
    <w:rsid w:val="00D63A89"/>
    <w:rsid w:val="00D63E46"/>
    <w:rsid w:val="00D652C2"/>
    <w:rsid w:val="00D653BF"/>
    <w:rsid w:val="00D67F76"/>
    <w:rsid w:val="00D724F6"/>
    <w:rsid w:val="00D742AD"/>
    <w:rsid w:val="00D742EA"/>
    <w:rsid w:val="00D74E47"/>
    <w:rsid w:val="00D75741"/>
    <w:rsid w:val="00D75D69"/>
    <w:rsid w:val="00D75E4B"/>
    <w:rsid w:val="00D761BF"/>
    <w:rsid w:val="00D766FA"/>
    <w:rsid w:val="00D766FB"/>
    <w:rsid w:val="00D82A8D"/>
    <w:rsid w:val="00D834D4"/>
    <w:rsid w:val="00D83581"/>
    <w:rsid w:val="00D85363"/>
    <w:rsid w:val="00D90947"/>
    <w:rsid w:val="00D924C2"/>
    <w:rsid w:val="00D92BF7"/>
    <w:rsid w:val="00D94516"/>
    <w:rsid w:val="00D96F3E"/>
    <w:rsid w:val="00D97CA5"/>
    <w:rsid w:val="00D97CC7"/>
    <w:rsid w:val="00DA0933"/>
    <w:rsid w:val="00DA13D2"/>
    <w:rsid w:val="00DA1BFD"/>
    <w:rsid w:val="00DA2441"/>
    <w:rsid w:val="00DA25FD"/>
    <w:rsid w:val="00DA3F49"/>
    <w:rsid w:val="00DA493F"/>
    <w:rsid w:val="00DA5961"/>
    <w:rsid w:val="00DA7215"/>
    <w:rsid w:val="00DA761B"/>
    <w:rsid w:val="00DB05E1"/>
    <w:rsid w:val="00DB0851"/>
    <w:rsid w:val="00DB0F07"/>
    <w:rsid w:val="00DB1FA7"/>
    <w:rsid w:val="00DB2CC9"/>
    <w:rsid w:val="00DB3713"/>
    <w:rsid w:val="00DB48E2"/>
    <w:rsid w:val="00DB4BFD"/>
    <w:rsid w:val="00DB4C48"/>
    <w:rsid w:val="00DB5773"/>
    <w:rsid w:val="00DB748F"/>
    <w:rsid w:val="00DC1450"/>
    <w:rsid w:val="00DC2D47"/>
    <w:rsid w:val="00DC4622"/>
    <w:rsid w:val="00DC4DD4"/>
    <w:rsid w:val="00DC62E9"/>
    <w:rsid w:val="00DC6527"/>
    <w:rsid w:val="00DC65CD"/>
    <w:rsid w:val="00DC746C"/>
    <w:rsid w:val="00DC7822"/>
    <w:rsid w:val="00DC7C98"/>
    <w:rsid w:val="00DD0B30"/>
    <w:rsid w:val="00DD1CAC"/>
    <w:rsid w:val="00DD20BB"/>
    <w:rsid w:val="00DD36C8"/>
    <w:rsid w:val="00DD515C"/>
    <w:rsid w:val="00DD5281"/>
    <w:rsid w:val="00DD549E"/>
    <w:rsid w:val="00DD6185"/>
    <w:rsid w:val="00DE1336"/>
    <w:rsid w:val="00DE1551"/>
    <w:rsid w:val="00DE1DC3"/>
    <w:rsid w:val="00DF0023"/>
    <w:rsid w:val="00DF194C"/>
    <w:rsid w:val="00DF3895"/>
    <w:rsid w:val="00DF4BF6"/>
    <w:rsid w:val="00DF5A8A"/>
    <w:rsid w:val="00E00084"/>
    <w:rsid w:val="00E0022F"/>
    <w:rsid w:val="00E007C2"/>
    <w:rsid w:val="00E022CB"/>
    <w:rsid w:val="00E0230D"/>
    <w:rsid w:val="00E025FC"/>
    <w:rsid w:val="00E02BC1"/>
    <w:rsid w:val="00E047B6"/>
    <w:rsid w:val="00E047D3"/>
    <w:rsid w:val="00E07725"/>
    <w:rsid w:val="00E07A29"/>
    <w:rsid w:val="00E105E3"/>
    <w:rsid w:val="00E11A0E"/>
    <w:rsid w:val="00E11DFC"/>
    <w:rsid w:val="00E16437"/>
    <w:rsid w:val="00E16E5B"/>
    <w:rsid w:val="00E17211"/>
    <w:rsid w:val="00E17C14"/>
    <w:rsid w:val="00E20A86"/>
    <w:rsid w:val="00E211FC"/>
    <w:rsid w:val="00E26D35"/>
    <w:rsid w:val="00E27715"/>
    <w:rsid w:val="00E31A3A"/>
    <w:rsid w:val="00E3219A"/>
    <w:rsid w:val="00E33DDB"/>
    <w:rsid w:val="00E356AD"/>
    <w:rsid w:val="00E358AE"/>
    <w:rsid w:val="00E36AC8"/>
    <w:rsid w:val="00E41424"/>
    <w:rsid w:val="00E451C1"/>
    <w:rsid w:val="00E476AE"/>
    <w:rsid w:val="00E515A4"/>
    <w:rsid w:val="00E5178F"/>
    <w:rsid w:val="00E53C7A"/>
    <w:rsid w:val="00E53F7E"/>
    <w:rsid w:val="00E54576"/>
    <w:rsid w:val="00E54A73"/>
    <w:rsid w:val="00E5659B"/>
    <w:rsid w:val="00E57601"/>
    <w:rsid w:val="00E57FCE"/>
    <w:rsid w:val="00E614A1"/>
    <w:rsid w:val="00E61D7E"/>
    <w:rsid w:val="00E638D7"/>
    <w:rsid w:val="00E6403E"/>
    <w:rsid w:val="00E64CBE"/>
    <w:rsid w:val="00E64E37"/>
    <w:rsid w:val="00E65C48"/>
    <w:rsid w:val="00E66369"/>
    <w:rsid w:val="00E66CDC"/>
    <w:rsid w:val="00E67301"/>
    <w:rsid w:val="00E726C5"/>
    <w:rsid w:val="00E750AB"/>
    <w:rsid w:val="00E757C7"/>
    <w:rsid w:val="00E75D52"/>
    <w:rsid w:val="00E75FCB"/>
    <w:rsid w:val="00E772C5"/>
    <w:rsid w:val="00E775DD"/>
    <w:rsid w:val="00E804E2"/>
    <w:rsid w:val="00E810B3"/>
    <w:rsid w:val="00E834AD"/>
    <w:rsid w:val="00E84F11"/>
    <w:rsid w:val="00E84FB1"/>
    <w:rsid w:val="00E8518E"/>
    <w:rsid w:val="00E8634A"/>
    <w:rsid w:val="00E865E9"/>
    <w:rsid w:val="00E86C07"/>
    <w:rsid w:val="00E87111"/>
    <w:rsid w:val="00E87D73"/>
    <w:rsid w:val="00E87F51"/>
    <w:rsid w:val="00E92171"/>
    <w:rsid w:val="00E925B9"/>
    <w:rsid w:val="00E92801"/>
    <w:rsid w:val="00E94AD7"/>
    <w:rsid w:val="00E965AE"/>
    <w:rsid w:val="00EA01EB"/>
    <w:rsid w:val="00EA027E"/>
    <w:rsid w:val="00EA0388"/>
    <w:rsid w:val="00EA11E5"/>
    <w:rsid w:val="00EA1923"/>
    <w:rsid w:val="00EA2971"/>
    <w:rsid w:val="00EA2CD6"/>
    <w:rsid w:val="00EA3874"/>
    <w:rsid w:val="00EA3D25"/>
    <w:rsid w:val="00EA52F2"/>
    <w:rsid w:val="00EA60B7"/>
    <w:rsid w:val="00EA6431"/>
    <w:rsid w:val="00EA6F91"/>
    <w:rsid w:val="00EB1DF7"/>
    <w:rsid w:val="00EB4998"/>
    <w:rsid w:val="00EB583C"/>
    <w:rsid w:val="00EB626E"/>
    <w:rsid w:val="00EC2C7D"/>
    <w:rsid w:val="00EC3F1E"/>
    <w:rsid w:val="00EC4BA6"/>
    <w:rsid w:val="00EC52EB"/>
    <w:rsid w:val="00EC55CA"/>
    <w:rsid w:val="00EC55E3"/>
    <w:rsid w:val="00EC5AFF"/>
    <w:rsid w:val="00EC60DD"/>
    <w:rsid w:val="00EC74D1"/>
    <w:rsid w:val="00EC78AD"/>
    <w:rsid w:val="00EC7F53"/>
    <w:rsid w:val="00ED083B"/>
    <w:rsid w:val="00ED239B"/>
    <w:rsid w:val="00ED33FA"/>
    <w:rsid w:val="00ED3764"/>
    <w:rsid w:val="00ED3F7B"/>
    <w:rsid w:val="00ED4490"/>
    <w:rsid w:val="00ED5683"/>
    <w:rsid w:val="00ED5BB5"/>
    <w:rsid w:val="00ED5CCD"/>
    <w:rsid w:val="00ED62B6"/>
    <w:rsid w:val="00ED6393"/>
    <w:rsid w:val="00ED651B"/>
    <w:rsid w:val="00EE15EF"/>
    <w:rsid w:val="00EE2D6B"/>
    <w:rsid w:val="00EE35FC"/>
    <w:rsid w:val="00EE5B21"/>
    <w:rsid w:val="00EE6291"/>
    <w:rsid w:val="00EE666B"/>
    <w:rsid w:val="00EE6A4F"/>
    <w:rsid w:val="00EE7250"/>
    <w:rsid w:val="00EE73AB"/>
    <w:rsid w:val="00EE7CD8"/>
    <w:rsid w:val="00EF188F"/>
    <w:rsid w:val="00EF1FE4"/>
    <w:rsid w:val="00EF2BBC"/>
    <w:rsid w:val="00EF46EB"/>
    <w:rsid w:val="00EF611F"/>
    <w:rsid w:val="00F01A40"/>
    <w:rsid w:val="00F03D6C"/>
    <w:rsid w:val="00F04199"/>
    <w:rsid w:val="00F04A86"/>
    <w:rsid w:val="00F05FB0"/>
    <w:rsid w:val="00F11BFD"/>
    <w:rsid w:val="00F1211F"/>
    <w:rsid w:val="00F1231A"/>
    <w:rsid w:val="00F12792"/>
    <w:rsid w:val="00F13598"/>
    <w:rsid w:val="00F14124"/>
    <w:rsid w:val="00F14D47"/>
    <w:rsid w:val="00F202D9"/>
    <w:rsid w:val="00F20AD6"/>
    <w:rsid w:val="00F21EFC"/>
    <w:rsid w:val="00F22853"/>
    <w:rsid w:val="00F23F9E"/>
    <w:rsid w:val="00F261ED"/>
    <w:rsid w:val="00F30A9F"/>
    <w:rsid w:val="00F315E4"/>
    <w:rsid w:val="00F31A13"/>
    <w:rsid w:val="00F33C88"/>
    <w:rsid w:val="00F34D43"/>
    <w:rsid w:val="00F35717"/>
    <w:rsid w:val="00F36CA3"/>
    <w:rsid w:val="00F3717A"/>
    <w:rsid w:val="00F37F0C"/>
    <w:rsid w:val="00F37FBF"/>
    <w:rsid w:val="00F40DC8"/>
    <w:rsid w:val="00F4151A"/>
    <w:rsid w:val="00F4151D"/>
    <w:rsid w:val="00F4237E"/>
    <w:rsid w:val="00F43805"/>
    <w:rsid w:val="00F451B6"/>
    <w:rsid w:val="00F46404"/>
    <w:rsid w:val="00F46C02"/>
    <w:rsid w:val="00F4711D"/>
    <w:rsid w:val="00F477DE"/>
    <w:rsid w:val="00F503C5"/>
    <w:rsid w:val="00F50464"/>
    <w:rsid w:val="00F513D4"/>
    <w:rsid w:val="00F51CCC"/>
    <w:rsid w:val="00F5520E"/>
    <w:rsid w:val="00F6237D"/>
    <w:rsid w:val="00F63855"/>
    <w:rsid w:val="00F64359"/>
    <w:rsid w:val="00F658C8"/>
    <w:rsid w:val="00F659C7"/>
    <w:rsid w:val="00F6687C"/>
    <w:rsid w:val="00F6761C"/>
    <w:rsid w:val="00F67BBA"/>
    <w:rsid w:val="00F70903"/>
    <w:rsid w:val="00F70CB0"/>
    <w:rsid w:val="00F70D63"/>
    <w:rsid w:val="00F71BDC"/>
    <w:rsid w:val="00F72A38"/>
    <w:rsid w:val="00F74AD7"/>
    <w:rsid w:val="00F76064"/>
    <w:rsid w:val="00F76285"/>
    <w:rsid w:val="00F763CC"/>
    <w:rsid w:val="00F76456"/>
    <w:rsid w:val="00F769F8"/>
    <w:rsid w:val="00F77394"/>
    <w:rsid w:val="00F7742E"/>
    <w:rsid w:val="00F77DBF"/>
    <w:rsid w:val="00F82330"/>
    <w:rsid w:val="00F831F6"/>
    <w:rsid w:val="00F83EB8"/>
    <w:rsid w:val="00F85A8E"/>
    <w:rsid w:val="00F85C2C"/>
    <w:rsid w:val="00F869ED"/>
    <w:rsid w:val="00F87166"/>
    <w:rsid w:val="00F87B80"/>
    <w:rsid w:val="00F90A29"/>
    <w:rsid w:val="00F9320B"/>
    <w:rsid w:val="00F9330A"/>
    <w:rsid w:val="00F94095"/>
    <w:rsid w:val="00F942F5"/>
    <w:rsid w:val="00F960ED"/>
    <w:rsid w:val="00F9692A"/>
    <w:rsid w:val="00F9724A"/>
    <w:rsid w:val="00F97534"/>
    <w:rsid w:val="00FA081A"/>
    <w:rsid w:val="00FA150A"/>
    <w:rsid w:val="00FA3C81"/>
    <w:rsid w:val="00FA4A1E"/>
    <w:rsid w:val="00FA5B0B"/>
    <w:rsid w:val="00FA6563"/>
    <w:rsid w:val="00FA783F"/>
    <w:rsid w:val="00FB05A0"/>
    <w:rsid w:val="00FB0BB5"/>
    <w:rsid w:val="00FB0D73"/>
    <w:rsid w:val="00FB0DF0"/>
    <w:rsid w:val="00FB158B"/>
    <w:rsid w:val="00FB249B"/>
    <w:rsid w:val="00FB5CE1"/>
    <w:rsid w:val="00FB700D"/>
    <w:rsid w:val="00FC00E2"/>
    <w:rsid w:val="00FC092E"/>
    <w:rsid w:val="00FC21F3"/>
    <w:rsid w:val="00FC36EB"/>
    <w:rsid w:val="00FC5BD8"/>
    <w:rsid w:val="00FD2DE1"/>
    <w:rsid w:val="00FD42B4"/>
    <w:rsid w:val="00FD7A22"/>
    <w:rsid w:val="00FE159C"/>
    <w:rsid w:val="00FE1DBB"/>
    <w:rsid w:val="00FE209F"/>
    <w:rsid w:val="00FE3960"/>
    <w:rsid w:val="00FE5DC5"/>
    <w:rsid w:val="00FE6099"/>
    <w:rsid w:val="00FE622A"/>
    <w:rsid w:val="00FE734F"/>
    <w:rsid w:val="00FE7E5C"/>
    <w:rsid w:val="00FE7FDA"/>
    <w:rsid w:val="00FF0D8A"/>
    <w:rsid w:val="00FF463C"/>
    <w:rsid w:val="00FF51CC"/>
    <w:rsid w:val="00FF6585"/>
    <w:rsid w:val="00FF699D"/>
    <w:rsid w:val="00FF6A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D86"/>
    <w:rPr>
      <w:sz w:val="24"/>
      <w:szCs w:val="24"/>
    </w:rPr>
  </w:style>
  <w:style w:type="paragraph" w:styleId="Heading1">
    <w:name w:val="heading 1"/>
    <w:basedOn w:val="1"/>
    <w:next w:val="Normal"/>
    <w:qFormat/>
    <w:rsid w:val="007E7234"/>
    <w:pPr>
      <w:outlineLvl w:val="0"/>
    </w:pPr>
  </w:style>
  <w:style w:type="paragraph" w:styleId="Heading2">
    <w:name w:val="heading 2"/>
    <w:basedOn w:val="Normal"/>
    <w:next w:val="Normal"/>
    <w:link w:val="Heading2Char"/>
    <w:qFormat/>
    <w:rsid w:val="007E7234"/>
    <w:pPr>
      <w:ind w:firstLine="720"/>
      <w:outlineLvl w:val="1"/>
    </w:pPr>
    <w:rPr>
      <w:b/>
    </w:rPr>
  </w:style>
  <w:style w:type="paragraph" w:styleId="Heading9">
    <w:name w:val="heading 9"/>
    <w:basedOn w:val="Normal"/>
    <w:next w:val="Normal"/>
    <w:link w:val="Heading9Char"/>
    <w:semiHidden/>
    <w:unhideWhenUsed/>
    <w:qFormat/>
    <w:rsid w:val="00124B02"/>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1">
    <w:name w:val="List 1"/>
    <w:basedOn w:val="Heading1"/>
    <w:rsid w:val="0031346B"/>
    <w:pPr>
      <w:numPr>
        <w:numId w:val="1"/>
      </w:numPr>
      <w:jc w:val="center"/>
    </w:pPr>
    <w:rPr>
      <w:sz w:val="28"/>
    </w:rPr>
  </w:style>
  <w:style w:type="paragraph" w:customStyle="1" w:styleId="Level2-GHGPreamble">
    <w:name w:val="_Level 2-GHG Preamble"/>
    <w:link w:val="Level2-GHGPreambleCharChar"/>
    <w:autoRedefine/>
    <w:uiPriority w:val="99"/>
    <w:rsid w:val="008947BE"/>
    <w:pPr>
      <w:numPr>
        <w:ilvl w:val="1"/>
        <w:numId w:val="2"/>
      </w:numPr>
      <w:spacing w:after="100"/>
    </w:pPr>
    <w:rPr>
      <w:rFonts w:ascii="Courier New" w:hAnsi="Courier New" w:cs="Courier New"/>
      <w:b/>
      <w:sz w:val="24"/>
      <w:szCs w:val="24"/>
      <w:u w:val="single"/>
    </w:rPr>
  </w:style>
  <w:style w:type="paragraph" w:customStyle="1" w:styleId="Level3-GHGPreamble">
    <w:name w:val="_Level 3-GHG Preamble"/>
    <w:link w:val="Level3-GHGPreambleCharChar"/>
    <w:autoRedefine/>
    <w:rsid w:val="006203B7"/>
    <w:pPr>
      <w:numPr>
        <w:ilvl w:val="2"/>
        <w:numId w:val="2"/>
      </w:numPr>
      <w:spacing w:after="100"/>
    </w:pPr>
    <w:rPr>
      <w:rFonts w:ascii="Courier New" w:hAnsi="Courier New" w:cs="Courier New"/>
      <w:noProof/>
      <w:sz w:val="24"/>
      <w:szCs w:val="24"/>
      <w:u w:val="single"/>
    </w:rPr>
  </w:style>
  <w:style w:type="paragraph" w:customStyle="1" w:styleId="Level5-GHGPreamble">
    <w:name w:val="_Level 5-GHG Preamble"/>
    <w:rsid w:val="006203B7"/>
    <w:pPr>
      <w:numPr>
        <w:ilvl w:val="4"/>
        <w:numId w:val="2"/>
      </w:numPr>
    </w:pPr>
    <w:rPr>
      <w:rFonts w:ascii="Courier New" w:hAnsi="Courier New"/>
      <w:color w:val="000000"/>
      <w:sz w:val="24"/>
      <w:szCs w:val="24"/>
      <w:u w:val="single"/>
    </w:rPr>
  </w:style>
  <w:style w:type="paragraph" w:customStyle="1" w:styleId="Level4-GHGPreamble">
    <w:name w:val="_Level 4-GHG Preamble"/>
    <w:autoRedefine/>
    <w:rsid w:val="006203B7"/>
    <w:pPr>
      <w:numPr>
        <w:ilvl w:val="3"/>
        <w:numId w:val="2"/>
      </w:numPr>
      <w:spacing w:after="100"/>
    </w:pPr>
    <w:rPr>
      <w:rFonts w:ascii="Courier New" w:hAnsi="Courier New"/>
      <w:bCs/>
      <w:iCs/>
      <w:color w:val="000000"/>
      <w:sz w:val="24"/>
      <w:szCs w:val="24"/>
      <w:u w:val="single"/>
    </w:rPr>
  </w:style>
  <w:style w:type="paragraph" w:customStyle="1" w:styleId="StyleGHGPreamble-level2CourierNewUnderline">
    <w:name w:val="Style _GHG Preamble-level2 + Courier New Underline"/>
    <w:basedOn w:val="Level2-GHGPreamble"/>
    <w:link w:val="StyleGHGPreamble-level2CourierNewUnderlineChar"/>
    <w:semiHidden/>
    <w:rsid w:val="006203B7"/>
    <w:pPr>
      <w:ind w:left="360"/>
    </w:pPr>
  </w:style>
  <w:style w:type="character" w:customStyle="1" w:styleId="StyleGHGPreamble-level2CourierNewUnderlineChar">
    <w:name w:val="Style _GHG Preamble-level2 + Courier New Underline Char"/>
    <w:link w:val="StyleGHGPreamble-level2CourierNewUnderline"/>
    <w:semiHidden/>
    <w:rsid w:val="006203B7"/>
    <w:rPr>
      <w:rFonts w:ascii="Courier New" w:hAnsi="Courier New" w:cs="Courier New"/>
      <w:b/>
      <w:sz w:val="24"/>
      <w:szCs w:val="24"/>
      <w:u w:val="single"/>
    </w:rPr>
  </w:style>
  <w:style w:type="character" w:styleId="CommentReference">
    <w:name w:val="annotation reference"/>
    <w:uiPriority w:val="99"/>
    <w:rsid w:val="00501961"/>
    <w:rPr>
      <w:sz w:val="16"/>
      <w:szCs w:val="16"/>
    </w:rPr>
  </w:style>
  <w:style w:type="paragraph" w:styleId="CommentText">
    <w:name w:val="annotation text"/>
    <w:basedOn w:val="Normal"/>
    <w:link w:val="CommentTextChar"/>
    <w:uiPriority w:val="99"/>
    <w:rsid w:val="00501961"/>
    <w:rPr>
      <w:rFonts w:ascii="Courier New" w:hAnsi="Courier New"/>
      <w:sz w:val="20"/>
      <w:szCs w:val="20"/>
    </w:rPr>
  </w:style>
  <w:style w:type="paragraph" w:styleId="BalloonText">
    <w:name w:val="Balloon Text"/>
    <w:basedOn w:val="Normal"/>
    <w:semiHidden/>
    <w:rsid w:val="00501961"/>
    <w:rPr>
      <w:rFonts w:ascii="Tahoma" w:hAnsi="Tahoma" w:cs="Tahoma"/>
      <w:sz w:val="16"/>
      <w:szCs w:val="16"/>
    </w:rPr>
  </w:style>
  <w:style w:type="paragraph" w:customStyle="1" w:styleId="Paragraph-Format-GHGPreamble">
    <w:name w:val="_Paragraph-Format-GHG Preamble"/>
    <w:link w:val="Paragraph-Format-GHGPreambleChar"/>
    <w:autoRedefine/>
    <w:rsid w:val="00CE2479"/>
    <w:pPr>
      <w:spacing w:after="100"/>
      <w:ind w:firstLine="720"/>
    </w:pPr>
    <w:rPr>
      <w:rFonts w:ascii="Courier New" w:hAnsi="Courier New" w:cs="Courier New"/>
      <w:sz w:val="24"/>
      <w:szCs w:val="24"/>
    </w:rPr>
  </w:style>
  <w:style w:type="character" w:customStyle="1" w:styleId="Paragraph-Format-GHGPreambleChar">
    <w:name w:val="_Paragraph-Format-GHG Preamble Char"/>
    <w:link w:val="Paragraph-Format-GHGPreamble"/>
    <w:rsid w:val="00CE2479"/>
    <w:rPr>
      <w:rFonts w:ascii="Courier New" w:hAnsi="Courier New" w:cs="Courier New"/>
      <w:sz w:val="24"/>
      <w:szCs w:val="24"/>
      <w:lang w:val="en-US" w:eastAsia="en-US" w:bidi="ar-SA"/>
    </w:rPr>
  </w:style>
  <w:style w:type="paragraph" w:customStyle="1" w:styleId="Bullet-GHGPreamble">
    <w:name w:val="_Bullet-GHG Preamble"/>
    <w:link w:val="Bullet-GHGPreambleCharChar"/>
    <w:rsid w:val="00787E91"/>
    <w:pPr>
      <w:numPr>
        <w:numId w:val="3"/>
      </w:numPr>
      <w:spacing w:after="100"/>
    </w:pPr>
    <w:rPr>
      <w:rFonts w:ascii="Courier New" w:hAnsi="Courier New"/>
      <w:sz w:val="24"/>
      <w:szCs w:val="24"/>
    </w:rPr>
  </w:style>
  <w:style w:type="character" w:customStyle="1" w:styleId="Bullet-GHGPreambleCharChar">
    <w:name w:val="_Bullet-GHG Preamble Char Char"/>
    <w:link w:val="Bullet-GHGPreamble"/>
    <w:uiPriority w:val="99"/>
    <w:rsid w:val="00787E91"/>
    <w:rPr>
      <w:rFonts w:ascii="Courier New" w:hAnsi="Courier New"/>
      <w:sz w:val="24"/>
      <w:szCs w:val="24"/>
    </w:rPr>
  </w:style>
  <w:style w:type="character" w:customStyle="1" w:styleId="Level3-GHGPreambleCharChar">
    <w:name w:val="_Level 3-GHG Preamble Char Char"/>
    <w:link w:val="Level3-GHGPreamble"/>
    <w:rsid w:val="00787E91"/>
    <w:rPr>
      <w:rFonts w:ascii="Courier New" w:hAnsi="Courier New" w:cs="Courier New"/>
      <w:noProof/>
      <w:sz w:val="24"/>
      <w:szCs w:val="24"/>
      <w:u w:val="single"/>
    </w:rPr>
  </w:style>
  <w:style w:type="character" w:styleId="Strong">
    <w:name w:val="Strong"/>
    <w:qFormat/>
    <w:rsid w:val="00787E91"/>
    <w:rPr>
      <w:b/>
      <w:bCs/>
    </w:rPr>
  </w:style>
  <w:style w:type="paragraph" w:styleId="FootnoteText">
    <w:name w:val="footnote text"/>
    <w:aliases w:val=" Char,Char, Char4,Char4,ALTS FOOTNOTE,fn,Footnote Text - Preamble,Footnote Text Char1,Footnote Text Char Char,Footnote Text Char1 Char Char,Footnote Text Char Char Char Char,Footnote Text Char Char1"/>
    <w:basedOn w:val="Normal"/>
    <w:link w:val="FootnoteTextChar"/>
    <w:semiHidden/>
    <w:rsid w:val="00787E91"/>
    <w:rPr>
      <w:rFonts w:ascii="Courier New" w:hAnsi="Courier New"/>
      <w:sz w:val="20"/>
      <w:szCs w:val="20"/>
    </w:rPr>
  </w:style>
  <w:style w:type="character" w:styleId="FootnoteReference">
    <w:name w:val="footnote reference"/>
    <w:semiHidden/>
    <w:rsid w:val="00787E91"/>
    <w:rPr>
      <w:vertAlign w:val="superscript"/>
    </w:rPr>
  </w:style>
  <w:style w:type="character" w:styleId="Hyperlink">
    <w:name w:val="Hyperlink"/>
    <w:uiPriority w:val="99"/>
    <w:rsid w:val="007D5042"/>
    <w:rPr>
      <w:color w:val="0000FF"/>
      <w:u w:val="single"/>
    </w:rPr>
  </w:style>
  <w:style w:type="paragraph" w:styleId="TOC2">
    <w:name w:val="toc 2"/>
    <w:aliases w:val="TOC 2-GHG Preamble"/>
    <w:next w:val="Normal"/>
    <w:autoRedefine/>
    <w:uiPriority w:val="39"/>
    <w:rsid w:val="00F3717A"/>
    <w:pPr>
      <w:ind w:left="900" w:hanging="360"/>
    </w:pPr>
    <w:rPr>
      <w:sz w:val="24"/>
      <w:szCs w:val="24"/>
    </w:rPr>
  </w:style>
  <w:style w:type="paragraph" w:styleId="CommentSubject">
    <w:name w:val="annotation subject"/>
    <w:basedOn w:val="CommentText"/>
    <w:next w:val="CommentText"/>
    <w:link w:val="CommentSubjectChar"/>
    <w:rsid w:val="00962C1A"/>
    <w:rPr>
      <w:rFonts w:ascii="Times New Roman" w:hAnsi="Times New Roman"/>
      <w:b/>
      <w:bCs/>
    </w:rPr>
  </w:style>
  <w:style w:type="character" w:customStyle="1" w:styleId="CommentTextChar">
    <w:name w:val="Comment Text Char"/>
    <w:link w:val="CommentText"/>
    <w:uiPriority w:val="99"/>
    <w:rsid w:val="00962C1A"/>
    <w:rPr>
      <w:rFonts w:ascii="Courier New" w:hAnsi="Courier New" w:cs="Courier New"/>
    </w:rPr>
  </w:style>
  <w:style w:type="character" w:customStyle="1" w:styleId="CommentSubjectChar">
    <w:name w:val="Comment Subject Char"/>
    <w:basedOn w:val="CommentTextChar"/>
    <w:link w:val="CommentSubject"/>
    <w:rsid w:val="00962C1A"/>
    <w:rPr>
      <w:rFonts w:ascii="Courier New" w:hAnsi="Courier New" w:cs="Courier New"/>
    </w:rPr>
  </w:style>
  <w:style w:type="paragraph" w:customStyle="1" w:styleId="LightList-Accent31">
    <w:name w:val="Light List - Accent 31"/>
    <w:hidden/>
    <w:uiPriority w:val="99"/>
    <w:semiHidden/>
    <w:rsid w:val="00962C1A"/>
    <w:rPr>
      <w:sz w:val="24"/>
      <w:szCs w:val="24"/>
    </w:rPr>
  </w:style>
  <w:style w:type="paragraph" w:styleId="Header">
    <w:name w:val="header"/>
    <w:basedOn w:val="Normal"/>
    <w:link w:val="HeaderChar"/>
    <w:rsid w:val="008D20EE"/>
    <w:pPr>
      <w:tabs>
        <w:tab w:val="center" w:pos="4680"/>
        <w:tab w:val="right" w:pos="9360"/>
      </w:tabs>
    </w:pPr>
  </w:style>
  <w:style w:type="character" w:customStyle="1" w:styleId="HeaderChar">
    <w:name w:val="Header Char"/>
    <w:link w:val="Header"/>
    <w:rsid w:val="008D20EE"/>
    <w:rPr>
      <w:sz w:val="24"/>
      <w:szCs w:val="24"/>
    </w:rPr>
  </w:style>
  <w:style w:type="paragraph" w:styleId="Footer">
    <w:name w:val="footer"/>
    <w:basedOn w:val="Normal"/>
    <w:link w:val="FooterChar"/>
    <w:uiPriority w:val="99"/>
    <w:rsid w:val="008D20EE"/>
    <w:pPr>
      <w:tabs>
        <w:tab w:val="center" w:pos="4680"/>
        <w:tab w:val="right" w:pos="9360"/>
      </w:tabs>
    </w:pPr>
  </w:style>
  <w:style w:type="character" w:customStyle="1" w:styleId="FooterChar">
    <w:name w:val="Footer Char"/>
    <w:link w:val="Footer"/>
    <w:uiPriority w:val="99"/>
    <w:rsid w:val="008D20EE"/>
    <w:rPr>
      <w:sz w:val="24"/>
      <w:szCs w:val="24"/>
    </w:rPr>
  </w:style>
  <w:style w:type="character" w:styleId="PageNumber">
    <w:name w:val="page number"/>
    <w:basedOn w:val="DefaultParagraphFont"/>
    <w:rsid w:val="008D20EE"/>
  </w:style>
  <w:style w:type="paragraph" w:styleId="TOC1">
    <w:name w:val="toc 1"/>
    <w:basedOn w:val="Normal"/>
    <w:next w:val="Normal"/>
    <w:autoRedefine/>
    <w:uiPriority w:val="39"/>
    <w:rsid w:val="00287187"/>
  </w:style>
  <w:style w:type="paragraph" w:customStyle="1" w:styleId="GHGPreamble-level4">
    <w:name w:val="_GHG Preamble-level4"/>
    <w:semiHidden/>
    <w:rsid w:val="00287187"/>
    <w:pPr>
      <w:numPr>
        <w:ilvl w:val="5"/>
        <w:numId w:val="5"/>
      </w:numPr>
      <w:tabs>
        <w:tab w:val="num" w:pos="1440"/>
      </w:tabs>
      <w:ind w:left="1440" w:hanging="360"/>
    </w:pPr>
    <w:rPr>
      <w:color w:val="000000"/>
      <w:sz w:val="24"/>
      <w:szCs w:val="24"/>
    </w:rPr>
  </w:style>
  <w:style w:type="numbering" w:styleId="111111">
    <w:name w:val="Outline List 2"/>
    <w:basedOn w:val="NoList"/>
    <w:semiHidden/>
    <w:rsid w:val="00287187"/>
    <w:pPr>
      <w:numPr>
        <w:numId w:val="6"/>
      </w:numPr>
    </w:pPr>
  </w:style>
  <w:style w:type="paragraph" w:customStyle="1" w:styleId="GHGLevels">
    <w:name w:val="GHG Levels"/>
    <w:basedOn w:val="Normal"/>
    <w:link w:val="GHGLevelsCharChar"/>
    <w:rsid w:val="00556FDE"/>
    <w:pPr>
      <w:numPr>
        <w:numId w:val="7"/>
      </w:numPr>
      <w:spacing w:before="80" w:after="80"/>
    </w:pPr>
    <w:rPr>
      <w:bCs/>
    </w:rPr>
  </w:style>
  <w:style w:type="character" w:customStyle="1" w:styleId="GHGLevelsCharChar">
    <w:name w:val="GHG Levels Char Char"/>
    <w:link w:val="GHGLevels"/>
    <w:rsid w:val="00556FDE"/>
    <w:rPr>
      <w:bCs/>
      <w:sz w:val="24"/>
      <w:szCs w:val="24"/>
    </w:rPr>
  </w:style>
  <w:style w:type="table" w:styleId="TableGrid">
    <w:name w:val="Table Grid"/>
    <w:basedOn w:val="TableNormal"/>
    <w:uiPriority w:val="59"/>
    <w:rsid w:val="00241E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3">
    <w:name w:val="Body Text 3"/>
    <w:basedOn w:val="Normal"/>
    <w:semiHidden/>
    <w:rsid w:val="00EA52F2"/>
    <w:pPr>
      <w:spacing w:after="120"/>
    </w:pPr>
    <w:rPr>
      <w:rFonts w:ascii="Courier New" w:hAnsi="Courier New" w:cs="Courier New"/>
      <w:sz w:val="16"/>
      <w:szCs w:val="16"/>
    </w:rPr>
  </w:style>
  <w:style w:type="paragraph" w:customStyle="1" w:styleId="ExhibitTitle">
    <w:name w:val="Exhibit Title"/>
    <w:basedOn w:val="Normal"/>
    <w:link w:val="ExhibitTitleChar"/>
    <w:qFormat/>
    <w:rsid w:val="00F67BBA"/>
    <w:pPr>
      <w:keepLines/>
      <w:autoSpaceDE w:val="0"/>
      <w:autoSpaceDN w:val="0"/>
      <w:adjustRightInd w:val="0"/>
      <w:ind w:left="720"/>
      <w:jc w:val="center"/>
    </w:pPr>
    <w:rPr>
      <w:rFonts w:ascii="Arial" w:hAnsi="Arial" w:cs="Arial"/>
      <w:b/>
      <w:szCs w:val="28"/>
    </w:rPr>
  </w:style>
  <w:style w:type="character" w:customStyle="1" w:styleId="ExhibitTitleChar">
    <w:name w:val="Exhibit Title Char"/>
    <w:link w:val="ExhibitTitle"/>
    <w:rsid w:val="00F67BBA"/>
    <w:rPr>
      <w:rFonts w:ascii="Arial" w:hAnsi="Arial" w:cs="Arial"/>
      <w:b/>
      <w:sz w:val="24"/>
      <w:szCs w:val="28"/>
      <w:lang w:val="en-US" w:eastAsia="en-US" w:bidi="ar-SA"/>
    </w:rPr>
  </w:style>
  <w:style w:type="paragraph" w:customStyle="1" w:styleId="GHGPARAGRAPH">
    <w:name w:val="GHG PARAGRAPH"/>
    <w:link w:val="GHGPARAGRAPHCharChar"/>
    <w:rsid w:val="007F2258"/>
    <w:pPr>
      <w:spacing w:before="80" w:after="80"/>
      <w:ind w:firstLine="720"/>
    </w:pPr>
    <w:rPr>
      <w:rFonts w:ascii="Courier New" w:hAnsi="Courier New" w:cs="Courier New"/>
      <w:bCs/>
      <w:noProof/>
      <w:sz w:val="24"/>
      <w:szCs w:val="24"/>
    </w:rPr>
  </w:style>
  <w:style w:type="character" w:customStyle="1" w:styleId="GHGPARAGRAPHCharChar">
    <w:name w:val="GHG PARAGRAPH Char Char"/>
    <w:link w:val="GHGPARAGRAPH"/>
    <w:rsid w:val="007F2258"/>
    <w:rPr>
      <w:rFonts w:ascii="Courier New" w:hAnsi="Courier New" w:cs="Courier New"/>
      <w:bCs/>
      <w:noProof/>
      <w:sz w:val="24"/>
      <w:szCs w:val="24"/>
      <w:lang w:val="en-US" w:eastAsia="en-US" w:bidi="ar-SA"/>
    </w:rPr>
  </w:style>
  <w:style w:type="character" w:customStyle="1" w:styleId="FootnoteTextChar">
    <w:name w:val="Footnote Text Char"/>
    <w:aliases w:val=" Char Char,Char Char, Char4 Char,Char4 Char,ALTS FOOTNOTE Char,fn Char,Footnote Text - Preamble Char,Footnote Text Char1 Char,Footnote Text Char Char Char,Footnote Text Char1 Char Char Char,Footnote Text Char Char Char Char Char"/>
    <w:link w:val="FootnoteText"/>
    <w:locked/>
    <w:rsid w:val="00452B05"/>
    <w:rPr>
      <w:rFonts w:ascii="Courier New" w:hAnsi="Courier New" w:cs="Courier New"/>
    </w:rPr>
  </w:style>
  <w:style w:type="paragraph" w:customStyle="1" w:styleId="BodyText1">
    <w:name w:val="Body Text1"/>
    <w:aliases w:val="bt,body tx,indent,flush,memo body text"/>
    <w:basedOn w:val="Normal"/>
    <w:link w:val="bodytextChar"/>
    <w:uiPriority w:val="99"/>
    <w:rsid w:val="00B85CA3"/>
    <w:pPr>
      <w:spacing w:after="240" w:line="360" w:lineRule="atLeast"/>
      <w:ind w:firstLine="720"/>
    </w:pPr>
    <w:rPr>
      <w:szCs w:val="20"/>
    </w:rPr>
  </w:style>
  <w:style w:type="paragraph" w:customStyle="1" w:styleId="bullets-3rdlevel">
    <w:name w:val="bullets-3rd level"/>
    <w:uiPriority w:val="99"/>
    <w:rsid w:val="00B85CA3"/>
    <w:pPr>
      <w:numPr>
        <w:numId w:val="15"/>
      </w:numPr>
      <w:tabs>
        <w:tab w:val="clear" w:pos="2160"/>
      </w:tabs>
      <w:spacing w:after="120"/>
      <w:ind w:left="1800"/>
    </w:pPr>
    <w:rPr>
      <w:sz w:val="24"/>
    </w:rPr>
  </w:style>
  <w:style w:type="character" w:customStyle="1" w:styleId="bodytextChar">
    <w:name w:val="body text Char"/>
    <w:aliases w:val="bt Char,body tx Char,indent Char,flush Char"/>
    <w:link w:val="BodyText1"/>
    <w:uiPriority w:val="99"/>
    <w:rsid w:val="00B85CA3"/>
    <w:rPr>
      <w:sz w:val="24"/>
    </w:rPr>
  </w:style>
  <w:style w:type="character" w:styleId="FollowedHyperlink">
    <w:name w:val="FollowedHyperlink"/>
    <w:rsid w:val="00AF3922"/>
    <w:rPr>
      <w:color w:val="800080"/>
      <w:u w:val="single"/>
    </w:rPr>
  </w:style>
  <w:style w:type="paragraph" w:customStyle="1" w:styleId="GHGPARAGRAPH0">
    <w:name w:val="__GHG PARAGRAPH"/>
    <w:link w:val="GHGPARAGRAPHCharChar0"/>
    <w:rsid w:val="002000F5"/>
    <w:pPr>
      <w:spacing w:line="480" w:lineRule="auto"/>
      <w:ind w:firstLine="720"/>
    </w:pPr>
    <w:rPr>
      <w:rFonts w:ascii="Courier New" w:hAnsi="Courier New" w:cs="Courier New"/>
      <w:bCs/>
      <w:noProof/>
      <w:sz w:val="24"/>
      <w:szCs w:val="24"/>
    </w:rPr>
  </w:style>
  <w:style w:type="character" w:customStyle="1" w:styleId="GHGPARAGRAPHCharChar0">
    <w:name w:val="__GHG PARAGRAPH Char Char"/>
    <w:link w:val="GHGPARAGRAPH0"/>
    <w:rsid w:val="002000F5"/>
    <w:rPr>
      <w:rFonts w:ascii="Courier New" w:hAnsi="Courier New" w:cs="Courier New"/>
      <w:bCs/>
      <w:noProof/>
      <w:sz w:val="24"/>
      <w:szCs w:val="24"/>
      <w:lang w:val="en-US" w:eastAsia="en-US" w:bidi="ar-SA"/>
    </w:rPr>
  </w:style>
  <w:style w:type="character" w:customStyle="1" w:styleId="CommentTextChar1">
    <w:name w:val="Comment Text Char1"/>
    <w:uiPriority w:val="99"/>
    <w:rsid w:val="000750A5"/>
    <w:rPr>
      <w:rFonts w:ascii="Courier New" w:hAnsi="Courier New" w:cs="Courier New"/>
    </w:rPr>
  </w:style>
  <w:style w:type="paragraph" w:customStyle="1" w:styleId="LightGrid-Accent31">
    <w:name w:val="Light Grid - Accent 31"/>
    <w:basedOn w:val="Normal"/>
    <w:uiPriority w:val="34"/>
    <w:qFormat/>
    <w:rsid w:val="008800A7"/>
    <w:pPr>
      <w:ind w:left="720"/>
    </w:pPr>
  </w:style>
  <w:style w:type="paragraph" w:styleId="DocumentMap">
    <w:name w:val="Document Map"/>
    <w:basedOn w:val="Normal"/>
    <w:link w:val="DocumentMapChar"/>
    <w:rsid w:val="008905EE"/>
    <w:rPr>
      <w:rFonts w:ascii="Tahoma" w:hAnsi="Tahoma"/>
      <w:sz w:val="16"/>
      <w:szCs w:val="16"/>
    </w:rPr>
  </w:style>
  <w:style w:type="character" w:customStyle="1" w:styleId="DocumentMapChar">
    <w:name w:val="Document Map Char"/>
    <w:link w:val="DocumentMap"/>
    <w:rsid w:val="008905EE"/>
    <w:rPr>
      <w:rFonts w:ascii="Tahoma" w:hAnsi="Tahoma" w:cs="Tahoma"/>
      <w:sz w:val="16"/>
      <w:szCs w:val="16"/>
    </w:rPr>
  </w:style>
  <w:style w:type="paragraph" w:customStyle="1" w:styleId="LightGrid-Accent310">
    <w:name w:val="Light Grid - Accent 31"/>
    <w:basedOn w:val="Normal"/>
    <w:uiPriority w:val="34"/>
    <w:qFormat/>
    <w:rsid w:val="00B368FA"/>
    <w:pPr>
      <w:ind w:left="720"/>
    </w:pPr>
  </w:style>
  <w:style w:type="character" w:customStyle="1" w:styleId="Level2-GHGPreambleCharChar">
    <w:name w:val="_Level 2-GHG Preamble Char Char"/>
    <w:link w:val="Level2-GHGPreamble"/>
    <w:uiPriority w:val="99"/>
    <w:rsid w:val="008947BE"/>
    <w:rPr>
      <w:rFonts w:ascii="Courier New" w:hAnsi="Courier New" w:cs="Courier New"/>
      <w:b/>
      <w:sz w:val="24"/>
      <w:szCs w:val="24"/>
      <w:u w:val="single"/>
    </w:rPr>
  </w:style>
  <w:style w:type="paragraph" w:customStyle="1" w:styleId="MediumGrid1-Accent21">
    <w:name w:val="Medium Grid 1 - Accent 21"/>
    <w:basedOn w:val="Normal"/>
    <w:uiPriority w:val="34"/>
    <w:qFormat/>
    <w:rsid w:val="00455E56"/>
    <w:pPr>
      <w:ind w:left="720"/>
    </w:pPr>
  </w:style>
  <w:style w:type="paragraph" w:customStyle="1" w:styleId="Default">
    <w:name w:val="Default"/>
    <w:rsid w:val="00F9330A"/>
    <w:pPr>
      <w:autoSpaceDE w:val="0"/>
      <w:autoSpaceDN w:val="0"/>
      <w:adjustRightInd w:val="0"/>
    </w:pPr>
    <w:rPr>
      <w:color w:val="000000"/>
      <w:sz w:val="24"/>
      <w:szCs w:val="24"/>
    </w:rPr>
  </w:style>
  <w:style w:type="paragraph" w:customStyle="1" w:styleId="CM5">
    <w:name w:val="CM5"/>
    <w:basedOn w:val="Default"/>
    <w:next w:val="Default"/>
    <w:uiPriority w:val="99"/>
    <w:rsid w:val="00F9330A"/>
    <w:rPr>
      <w:color w:val="auto"/>
    </w:rPr>
  </w:style>
  <w:style w:type="paragraph" w:styleId="NormalWeb">
    <w:name w:val="Normal (Web)"/>
    <w:basedOn w:val="Normal"/>
    <w:uiPriority w:val="99"/>
    <w:unhideWhenUsed/>
    <w:rsid w:val="00312236"/>
    <w:pPr>
      <w:spacing w:before="100" w:beforeAutospacing="1" w:after="100" w:afterAutospacing="1"/>
    </w:pPr>
  </w:style>
  <w:style w:type="paragraph" w:customStyle="1" w:styleId="CM65">
    <w:name w:val="CM65"/>
    <w:basedOn w:val="Default"/>
    <w:next w:val="Default"/>
    <w:uiPriority w:val="99"/>
    <w:rsid w:val="00A4002D"/>
    <w:rPr>
      <w:rFonts w:ascii="Candara" w:hAnsi="Candara"/>
      <w:color w:val="auto"/>
    </w:rPr>
  </w:style>
  <w:style w:type="paragraph" w:customStyle="1" w:styleId="CM63">
    <w:name w:val="CM63"/>
    <w:basedOn w:val="Default"/>
    <w:next w:val="Default"/>
    <w:uiPriority w:val="99"/>
    <w:rsid w:val="00A4002D"/>
    <w:rPr>
      <w:rFonts w:ascii="Candara" w:hAnsi="Candara"/>
      <w:color w:val="auto"/>
    </w:rPr>
  </w:style>
  <w:style w:type="paragraph" w:customStyle="1" w:styleId="MediumList2-Accent21">
    <w:name w:val="Medium List 2 - Accent 21"/>
    <w:hidden/>
    <w:uiPriority w:val="99"/>
    <w:semiHidden/>
    <w:rsid w:val="00E87D73"/>
    <w:rPr>
      <w:sz w:val="24"/>
      <w:szCs w:val="24"/>
    </w:rPr>
  </w:style>
  <w:style w:type="character" w:customStyle="1" w:styleId="Heading2Char">
    <w:name w:val="Heading 2 Char"/>
    <w:link w:val="Heading2"/>
    <w:rsid w:val="007E7234"/>
    <w:rPr>
      <w:b/>
      <w:sz w:val="24"/>
      <w:szCs w:val="24"/>
    </w:rPr>
  </w:style>
  <w:style w:type="paragraph" w:customStyle="1" w:styleId="1">
    <w:name w:val="1"/>
    <w:basedOn w:val="Normal"/>
    <w:link w:val="1Char"/>
    <w:qFormat/>
    <w:rsid w:val="007E7234"/>
    <w:rPr>
      <w:b/>
    </w:rPr>
  </w:style>
  <w:style w:type="character" w:customStyle="1" w:styleId="1Char">
    <w:name w:val="1 Char"/>
    <w:link w:val="1"/>
    <w:rsid w:val="007E7234"/>
    <w:rPr>
      <w:b/>
      <w:sz w:val="24"/>
      <w:szCs w:val="24"/>
    </w:rPr>
  </w:style>
  <w:style w:type="character" w:styleId="Emphasis">
    <w:name w:val="Emphasis"/>
    <w:qFormat/>
    <w:rsid w:val="007E7234"/>
    <w:rPr>
      <w:i/>
      <w:iCs/>
    </w:rPr>
  </w:style>
  <w:style w:type="paragraph" w:customStyle="1" w:styleId="ColorfulShading-Accent11">
    <w:name w:val="Colorful Shading - Accent 11"/>
    <w:hidden/>
    <w:uiPriority w:val="99"/>
    <w:semiHidden/>
    <w:rsid w:val="00F34D43"/>
    <w:rPr>
      <w:sz w:val="24"/>
      <w:szCs w:val="24"/>
    </w:rPr>
  </w:style>
  <w:style w:type="paragraph" w:customStyle="1" w:styleId="GHGPARAGRAPH1">
    <w:name w:val="____GHG PARAGRAPH"/>
    <w:basedOn w:val="Normal"/>
    <w:next w:val="Normal"/>
    <w:link w:val="GHGPARAGRAPHChar"/>
    <w:qFormat/>
    <w:rsid w:val="007131F9"/>
    <w:pPr>
      <w:spacing w:line="480" w:lineRule="auto"/>
      <w:ind w:firstLine="720"/>
    </w:pPr>
    <w:rPr>
      <w:rFonts w:ascii="Courier New" w:hAnsi="Courier New" w:cs="Courier New"/>
      <w:bCs/>
    </w:rPr>
  </w:style>
  <w:style w:type="paragraph" w:styleId="Revision">
    <w:name w:val="Revision"/>
    <w:hidden/>
    <w:uiPriority w:val="99"/>
    <w:semiHidden/>
    <w:rsid w:val="006413AA"/>
    <w:rPr>
      <w:sz w:val="24"/>
      <w:szCs w:val="24"/>
    </w:rPr>
  </w:style>
  <w:style w:type="paragraph" w:customStyle="1" w:styleId="TABLEFOOTNOTES">
    <w:name w:val="TABLE FOOTNOTES"/>
    <w:basedOn w:val="Normal"/>
    <w:link w:val="TABLEFOOTNOTESChar"/>
    <w:qFormat/>
    <w:rsid w:val="000703D3"/>
    <w:pPr>
      <w:tabs>
        <w:tab w:val="left" w:pos="360"/>
      </w:tabs>
      <w:spacing w:after="40"/>
      <w:ind w:left="216" w:hanging="216"/>
    </w:pPr>
    <w:rPr>
      <w:sz w:val="20"/>
      <w:szCs w:val="20"/>
    </w:rPr>
  </w:style>
  <w:style w:type="character" w:customStyle="1" w:styleId="TABLEFOOTNOTESChar">
    <w:name w:val="TABLE FOOTNOTES Char"/>
    <w:basedOn w:val="DefaultParagraphFont"/>
    <w:link w:val="TABLEFOOTNOTES"/>
    <w:rsid w:val="000703D3"/>
  </w:style>
  <w:style w:type="paragraph" w:customStyle="1" w:styleId="TableHeader">
    <w:name w:val="Table Header"/>
    <w:next w:val="Default"/>
    <w:uiPriority w:val="99"/>
    <w:rsid w:val="000703D3"/>
    <w:pPr>
      <w:keepNext/>
      <w:spacing w:before="60" w:after="60"/>
      <w:jc w:val="center"/>
    </w:pPr>
    <w:rPr>
      <w:rFonts w:eastAsiaTheme="minorHAnsi"/>
      <w:b/>
      <w:sz w:val="22"/>
      <w:szCs w:val="24"/>
    </w:rPr>
  </w:style>
  <w:style w:type="paragraph" w:customStyle="1" w:styleId="footnote">
    <w:name w:val="footnote"/>
    <w:basedOn w:val="Normal"/>
    <w:link w:val="footnoteChar"/>
    <w:rsid w:val="00F40DC8"/>
    <w:pPr>
      <w:autoSpaceDE w:val="0"/>
      <w:autoSpaceDN w:val="0"/>
      <w:adjustRightInd w:val="0"/>
      <w:spacing w:after="40"/>
    </w:pPr>
    <w:rPr>
      <w:rFonts w:ascii="Courier New" w:hAnsi="Courier New" w:cs="Courier New"/>
      <w:sz w:val="20"/>
    </w:rPr>
  </w:style>
  <w:style w:type="character" w:customStyle="1" w:styleId="footnoteChar">
    <w:name w:val="footnote Char"/>
    <w:basedOn w:val="DefaultParagraphFont"/>
    <w:link w:val="footnote"/>
    <w:locked/>
    <w:rsid w:val="00F40DC8"/>
    <w:rPr>
      <w:rFonts w:ascii="Courier New" w:hAnsi="Courier New" w:cs="Courier New"/>
      <w:szCs w:val="24"/>
    </w:rPr>
  </w:style>
  <w:style w:type="paragraph" w:styleId="ListParagraph">
    <w:name w:val="List Paragraph"/>
    <w:basedOn w:val="Normal"/>
    <w:uiPriority w:val="34"/>
    <w:qFormat/>
    <w:rsid w:val="00F40DC8"/>
    <w:pPr>
      <w:ind w:left="720"/>
      <w:contextualSpacing/>
    </w:pPr>
  </w:style>
  <w:style w:type="character" w:customStyle="1" w:styleId="Bullet-GHGPreambleChar">
    <w:name w:val="_Bullet-GHG Preamble Char"/>
    <w:basedOn w:val="DefaultParagraphFont"/>
    <w:locked/>
    <w:rsid w:val="00310193"/>
    <w:rPr>
      <w:rFonts w:ascii="Courier New" w:hAnsi="Courier New"/>
      <w:sz w:val="24"/>
      <w:szCs w:val="24"/>
    </w:rPr>
  </w:style>
  <w:style w:type="paragraph" w:customStyle="1" w:styleId="Bullet-GHGPreamblelast">
    <w:name w:val="_Bullet-GHG Preamble_last"/>
    <w:qFormat/>
    <w:rsid w:val="00310193"/>
    <w:pPr>
      <w:numPr>
        <w:numId w:val="22"/>
      </w:numPr>
      <w:spacing w:before="80" w:after="240"/>
    </w:pPr>
    <w:rPr>
      <w:rFonts w:ascii="Courier New" w:hAnsi="Courier New"/>
      <w:sz w:val="24"/>
      <w:szCs w:val="24"/>
    </w:rPr>
  </w:style>
  <w:style w:type="paragraph" w:styleId="EndnoteText">
    <w:name w:val="endnote text"/>
    <w:basedOn w:val="Normal"/>
    <w:link w:val="EndnoteTextChar"/>
    <w:rsid w:val="000E5064"/>
    <w:rPr>
      <w:sz w:val="20"/>
      <w:szCs w:val="20"/>
    </w:rPr>
  </w:style>
  <w:style w:type="character" w:customStyle="1" w:styleId="EndnoteTextChar">
    <w:name w:val="Endnote Text Char"/>
    <w:basedOn w:val="DefaultParagraphFont"/>
    <w:link w:val="EndnoteText"/>
    <w:rsid w:val="000E5064"/>
  </w:style>
  <w:style w:type="character" w:styleId="EndnoteReference">
    <w:name w:val="endnote reference"/>
    <w:basedOn w:val="DefaultParagraphFont"/>
    <w:rsid w:val="000E5064"/>
    <w:rPr>
      <w:vertAlign w:val="superscript"/>
    </w:rPr>
  </w:style>
  <w:style w:type="character" w:customStyle="1" w:styleId="GHGPARAGRAPHChar">
    <w:name w:val="____GHG PARAGRAPH Char"/>
    <w:link w:val="GHGPARAGRAPH1"/>
    <w:locked/>
    <w:rsid w:val="00CF5ABA"/>
    <w:rPr>
      <w:rFonts w:ascii="Courier New" w:hAnsi="Courier New" w:cs="Courier New"/>
      <w:bCs/>
      <w:sz w:val="24"/>
      <w:szCs w:val="24"/>
    </w:rPr>
  </w:style>
  <w:style w:type="character" w:customStyle="1" w:styleId="CommentTextChar4">
    <w:name w:val="Comment Text Char4"/>
    <w:basedOn w:val="DefaultParagraphFont"/>
    <w:uiPriority w:val="99"/>
    <w:locked/>
    <w:rsid w:val="00A72A36"/>
    <w:rPr>
      <w:rFonts w:ascii="Courier New" w:hAnsi="Courier New" w:cs="Courier New"/>
      <w:lang w:val="en-US" w:eastAsia="en-US" w:bidi="ar-SA"/>
    </w:rPr>
  </w:style>
  <w:style w:type="character" w:customStyle="1" w:styleId="Heading9Char">
    <w:name w:val="Heading 9 Char"/>
    <w:basedOn w:val="DefaultParagraphFont"/>
    <w:link w:val="Heading9"/>
    <w:rsid w:val="00124B02"/>
    <w:rPr>
      <w:rFonts w:asciiTheme="majorHAnsi" w:eastAsiaTheme="majorEastAsia" w:hAnsiTheme="majorHAnsi" w:cstheme="majorBidi"/>
      <w:i/>
      <w:iCs/>
      <w:color w:val="404040" w:themeColor="text1" w:themeTint="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D86"/>
    <w:rPr>
      <w:sz w:val="24"/>
      <w:szCs w:val="24"/>
    </w:rPr>
  </w:style>
  <w:style w:type="paragraph" w:styleId="Heading1">
    <w:name w:val="heading 1"/>
    <w:basedOn w:val="1"/>
    <w:next w:val="Normal"/>
    <w:qFormat/>
    <w:rsid w:val="007E7234"/>
    <w:pPr>
      <w:outlineLvl w:val="0"/>
    </w:pPr>
  </w:style>
  <w:style w:type="paragraph" w:styleId="Heading2">
    <w:name w:val="heading 2"/>
    <w:basedOn w:val="Normal"/>
    <w:next w:val="Normal"/>
    <w:link w:val="Heading2Char"/>
    <w:qFormat/>
    <w:rsid w:val="007E7234"/>
    <w:pPr>
      <w:ind w:firstLine="720"/>
      <w:outlineLvl w:val="1"/>
    </w:pPr>
    <w:rPr>
      <w:b/>
    </w:rPr>
  </w:style>
  <w:style w:type="paragraph" w:styleId="Heading9">
    <w:name w:val="heading 9"/>
    <w:basedOn w:val="Normal"/>
    <w:next w:val="Normal"/>
    <w:link w:val="Heading9Char"/>
    <w:semiHidden/>
    <w:unhideWhenUsed/>
    <w:qFormat/>
    <w:rsid w:val="00124B02"/>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1">
    <w:name w:val="List 1"/>
    <w:basedOn w:val="Heading1"/>
    <w:rsid w:val="0031346B"/>
    <w:pPr>
      <w:numPr>
        <w:numId w:val="1"/>
      </w:numPr>
      <w:jc w:val="center"/>
    </w:pPr>
    <w:rPr>
      <w:sz w:val="28"/>
    </w:rPr>
  </w:style>
  <w:style w:type="paragraph" w:customStyle="1" w:styleId="Level2-GHGPreamble">
    <w:name w:val="_Level 2-GHG Preamble"/>
    <w:link w:val="Level2-GHGPreambleCharChar"/>
    <w:autoRedefine/>
    <w:uiPriority w:val="99"/>
    <w:rsid w:val="008947BE"/>
    <w:pPr>
      <w:numPr>
        <w:ilvl w:val="1"/>
        <w:numId w:val="2"/>
      </w:numPr>
      <w:spacing w:after="100"/>
    </w:pPr>
    <w:rPr>
      <w:rFonts w:ascii="Courier New" w:hAnsi="Courier New" w:cs="Courier New"/>
      <w:b/>
      <w:sz w:val="24"/>
      <w:szCs w:val="24"/>
      <w:u w:val="single"/>
    </w:rPr>
  </w:style>
  <w:style w:type="paragraph" w:customStyle="1" w:styleId="Level3-GHGPreamble">
    <w:name w:val="_Level 3-GHG Preamble"/>
    <w:link w:val="Level3-GHGPreambleCharChar"/>
    <w:autoRedefine/>
    <w:rsid w:val="006203B7"/>
    <w:pPr>
      <w:numPr>
        <w:ilvl w:val="2"/>
        <w:numId w:val="2"/>
      </w:numPr>
      <w:spacing w:after="100"/>
    </w:pPr>
    <w:rPr>
      <w:rFonts w:ascii="Courier New" w:hAnsi="Courier New" w:cs="Courier New"/>
      <w:noProof/>
      <w:sz w:val="24"/>
      <w:szCs w:val="24"/>
      <w:u w:val="single"/>
    </w:rPr>
  </w:style>
  <w:style w:type="paragraph" w:customStyle="1" w:styleId="Level5-GHGPreamble">
    <w:name w:val="_Level 5-GHG Preamble"/>
    <w:rsid w:val="006203B7"/>
    <w:pPr>
      <w:numPr>
        <w:ilvl w:val="4"/>
        <w:numId w:val="2"/>
      </w:numPr>
    </w:pPr>
    <w:rPr>
      <w:rFonts w:ascii="Courier New" w:hAnsi="Courier New"/>
      <w:color w:val="000000"/>
      <w:sz w:val="24"/>
      <w:szCs w:val="24"/>
      <w:u w:val="single"/>
    </w:rPr>
  </w:style>
  <w:style w:type="paragraph" w:customStyle="1" w:styleId="Level4-GHGPreamble">
    <w:name w:val="_Level 4-GHG Preamble"/>
    <w:autoRedefine/>
    <w:rsid w:val="006203B7"/>
    <w:pPr>
      <w:numPr>
        <w:ilvl w:val="3"/>
        <w:numId w:val="2"/>
      </w:numPr>
      <w:spacing w:after="100"/>
    </w:pPr>
    <w:rPr>
      <w:rFonts w:ascii="Courier New" w:hAnsi="Courier New"/>
      <w:bCs/>
      <w:iCs/>
      <w:color w:val="000000"/>
      <w:sz w:val="24"/>
      <w:szCs w:val="24"/>
      <w:u w:val="single"/>
    </w:rPr>
  </w:style>
  <w:style w:type="paragraph" w:customStyle="1" w:styleId="StyleGHGPreamble-level2CourierNewUnderline">
    <w:name w:val="Style _GHG Preamble-level2 + Courier New Underline"/>
    <w:basedOn w:val="Level2-GHGPreamble"/>
    <w:link w:val="StyleGHGPreamble-level2CourierNewUnderlineChar"/>
    <w:semiHidden/>
    <w:rsid w:val="006203B7"/>
    <w:pPr>
      <w:ind w:left="360"/>
    </w:pPr>
  </w:style>
  <w:style w:type="character" w:customStyle="1" w:styleId="StyleGHGPreamble-level2CourierNewUnderlineChar">
    <w:name w:val="Style _GHG Preamble-level2 + Courier New Underline Char"/>
    <w:link w:val="StyleGHGPreamble-level2CourierNewUnderline"/>
    <w:semiHidden/>
    <w:rsid w:val="006203B7"/>
    <w:rPr>
      <w:rFonts w:ascii="Courier New" w:hAnsi="Courier New" w:cs="Courier New"/>
      <w:b/>
      <w:sz w:val="24"/>
      <w:szCs w:val="24"/>
      <w:u w:val="single"/>
    </w:rPr>
  </w:style>
  <w:style w:type="character" w:styleId="CommentReference">
    <w:name w:val="annotation reference"/>
    <w:uiPriority w:val="99"/>
    <w:rsid w:val="00501961"/>
    <w:rPr>
      <w:sz w:val="16"/>
      <w:szCs w:val="16"/>
    </w:rPr>
  </w:style>
  <w:style w:type="paragraph" w:styleId="CommentText">
    <w:name w:val="annotation text"/>
    <w:basedOn w:val="Normal"/>
    <w:link w:val="CommentTextChar"/>
    <w:uiPriority w:val="99"/>
    <w:rsid w:val="00501961"/>
    <w:rPr>
      <w:rFonts w:ascii="Courier New" w:hAnsi="Courier New"/>
      <w:sz w:val="20"/>
      <w:szCs w:val="20"/>
    </w:rPr>
  </w:style>
  <w:style w:type="paragraph" w:styleId="BalloonText">
    <w:name w:val="Balloon Text"/>
    <w:basedOn w:val="Normal"/>
    <w:semiHidden/>
    <w:rsid w:val="00501961"/>
    <w:rPr>
      <w:rFonts w:ascii="Tahoma" w:hAnsi="Tahoma" w:cs="Tahoma"/>
      <w:sz w:val="16"/>
      <w:szCs w:val="16"/>
    </w:rPr>
  </w:style>
  <w:style w:type="paragraph" w:customStyle="1" w:styleId="Paragraph-Format-GHGPreamble">
    <w:name w:val="_Paragraph-Format-GHG Preamble"/>
    <w:link w:val="Paragraph-Format-GHGPreambleChar"/>
    <w:autoRedefine/>
    <w:rsid w:val="00CE2479"/>
    <w:pPr>
      <w:spacing w:after="100"/>
      <w:ind w:firstLine="720"/>
    </w:pPr>
    <w:rPr>
      <w:rFonts w:ascii="Courier New" w:hAnsi="Courier New" w:cs="Courier New"/>
      <w:sz w:val="24"/>
      <w:szCs w:val="24"/>
    </w:rPr>
  </w:style>
  <w:style w:type="character" w:customStyle="1" w:styleId="Paragraph-Format-GHGPreambleChar">
    <w:name w:val="_Paragraph-Format-GHG Preamble Char"/>
    <w:link w:val="Paragraph-Format-GHGPreamble"/>
    <w:rsid w:val="00CE2479"/>
    <w:rPr>
      <w:rFonts w:ascii="Courier New" w:hAnsi="Courier New" w:cs="Courier New"/>
      <w:sz w:val="24"/>
      <w:szCs w:val="24"/>
      <w:lang w:val="en-US" w:eastAsia="en-US" w:bidi="ar-SA"/>
    </w:rPr>
  </w:style>
  <w:style w:type="paragraph" w:customStyle="1" w:styleId="Bullet-GHGPreamble">
    <w:name w:val="_Bullet-GHG Preamble"/>
    <w:link w:val="Bullet-GHGPreambleCharChar"/>
    <w:rsid w:val="00787E91"/>
    <w:pPr>
      <w:numPr>
        <w:numId w:val="3"/>
      </w:numPr>
      <w:spacing w:after="100"/>
    </w:pPr>
    <w:rPr>
      <w:rFonts w:ascii="Courier New" w:hAnsi="Courier New"/>
      <w:sz w:val="24"/>
      <w:szCs w:val="24"/>
    </w:rPr>
  </w:style>
  <w:style w:type="character" w:customStyle="1" w:styleId="Bullet-GHGPreambleCharChar">
    <w:name w:val="_Bullet-GHG Preamble Char Char"/>
    <w:link w:val="Bullet-GHGPreamble"/>
    <w:uiPriority w:val="99"/>
    <w:rsid w:val="00787E91"/>
    <w:rPr>
      <w:rFonts w:ascii="Courier New" w:hAnsi="Courier New"/>
      <w:sz w:val="24"/>
      <w:szCs w:val="24"/>
    </w:rPr>
  </w:style>
  <w:style w:type="character" w:customStyle="1" w:styleId="Level3-GHGPreambleCharChar">
    <w:name w:val="_Level 3-GHG Preamble Char Char"/>
    <w:link w:val="Level3-GHGPreamble"/>
    <w:rsid w:val="00787E91"/>
    <w:rPr>
      <w:rFonts w:ascii="Courier New" w:hAnsi="Courier New" w:cs="Courier New"/>
      <w:noProof/>
      <w:sz w:val="24"/>
      <w:szCs w:val="24"/>
      <w:u w:val="single"/>
    </w:rPr>
  </w:style>
  <w:style w:type="character" w:styleId="Strong">
    <w:name w:val="Strong"/>
    <w:qFormat/>
    <w:rsid w:val="00787E91"/>
    <w:rPr>
      <w:b/>
      <w:bCs/>
    </w:rPr>
  </w:style>
  <w:style w:type="paragraph" w:styleId="FootnoteText">
    <w:name w:val="footnote text"/>
    <w:aliases w:val=" Char,Char, Char4,Char4,ALTS FOOTNOTE,fn,Footnote Text - Preamble,Footnote Text Char1,Footnote Text Char Char,Footnote Text Char1 Char Char,Footnote Text Char Char Char Char,Footnote Text Char Char1"/>
    <w:basedOn w:val="Normal"/>
    <w:link w:val="FootnoteTextChar"/>
    <w:semiHidden/>
    <w:rsid w:val="00787E91"/>
    <w:rPr>
      <w:rFonts w:ascii="Courier New" w:hAnsi="Courier New"/>
      <w:sz w:val="20"/>
      <w:szCs w:val="20"/>
    </w:rPr>
  </w:style>
  <w:style w:type="character" w:styleId="FootnoteReference">
    <w:name w:val="footnote reference"/>
    <w:semiHidden/>
    <w:rsid w:val="00787E91"/>
    <w:rPr>
      <w:vertAlign w:val="superscript"/>
    </w:rPr>
  </w:style>
  <w:style w:type="character" w:styleId="Hyperlink">
    <w:name w:val="Hyperlink"/>
    <w:uiPriority w:val="99"/>
    <w:rsid w:val="007D5042"/>
    <w:rPr>
      <w:color w:val="0000FF"/>
      <w:u w:val="single"/>
    </w:rPr>
  </w:style>
  <w:style w:type="paragraph" w:styleId="TOC2">
    <w:name w:val="toc 2"/>
    <w:aliases w:val="TOC 2-GHG Preamble"/>
    <w:next w:val="Normal"/>
    <w:autoRedefine/>
    <w:uiPriority w:val="39"/>
    <w:rsid w:val="00F3717A"/>
    <w:pPr>
      <w:ind w:left="900" w:hanging="360"/>
    </w:pPr>
    <w:rPr>
      <w:sz w:val="24"/>
      <w:szCs w:val="24"/>
    </w:rPr>
  </w:style>
  <w:style w:type="paragraph" w:styleId="CommentSubject">
    <w:name w:val="annotation subject"/>
    <w:basedOn w:val="CommentText"/>
    <w:next w:val="CommentText"/>
    <w:link w:val="CommentSubjectChar"/>
    <w:rsid w:val="00962C1A"/>
    <w:rPr>
      <w:rFonts w:ascii="Times New Roman" w:hAnsi="Times New Roman"/>
      <w:b/>
      <w:bCs/>
    </w:rPr>
  </w:style>
  <w:style w:type="character" w:customStyle="1" w:styleId="CommentTextChar">
    <w:name w:val="Comment Text Char"/>
    <w:link w:val="CommentText"/>
    <w:uiPriority w:val="99"/>
    <w:rsid w:val="00962C1A"/>
    <w:rPr>
      <w:rFonts w:ascii="Courier New" w:hAnsi="Courier New" w:cs="Courier New"/>
    </w:rPr>
  </w:style>
  <w:style w:type="character" w:customStyle="1" w:styleId="CommentSubjectChar">
    <w:name w:val="Comment Subject Char"/>
    <w:basedOn w:val="CommentTextChar"/>
    <w:link w:val="CommentSubject"/>
    <w:rsid w:val="00962C1A"/>
    <w:rPr>
      <w:rFonts w:ascii="Courier New" w:hAnsi="Courier New" w:cs="Courier New"/>
    </w:rPr>
  </w:style>
  <w:style w:type="paragraph" w:customStyle="1" w:styleId="LightList-Accent31">
    <w:name w:val="Light List - Accent 31"/>
    <w:hidden/>
    <w:uiPriority w:val="99"/>
    <w:semiHidden/>
    <w:rsid w:val="00962C1A"/>
    <w:rPr>
      <w:sz w:val="24"/>
      <w:szCs w:val="24"/>
    </w:rPr>
  </w:style>
  <w:style w:type="paragraph" w:styleId="Header">
    <w:name w:val="header"/>
    <w:basedOn w:val="Normal"/>
    <w:link w:val="HeaderChar"/>
    <w:rsid w:val="008D20EE"/>
    <w:pPr>
      <w:tabs>
        <w:tab w:val="center" w:pos="4680"/>
        <w:tab w:val="right" w:pos="9360"/>
      </w:tabs>
    </w:pPr>
  </w:style>
  <w:style w:type="character" w:customStyle="1" w:styleId="HeaderChar">
    <w:name w:val="Header Char"/>
    <w:link w:val="Header"/>
    <w:rsid w:val="008D20EE"/>
    <w:rPr>
      <w:sz w:val="24"/>
      <w:szCs w:val="24"/>
    </w:rPr>
  </w:style>
  <w:style w:type="paragraph" w:styleId="Footer">
    <w:name w:val="footer"/>
    <w:basedOn w:val="Normal"/>
    <w:link w:val="FooterChar"/>
    <w:uiPriority w:val="99"/>
    <w:rsid w:val="008D20EE"/>
    <w:pPr>
      <w:tabs>
        <w:tab w:val="center" w:pos="4680"/>
        <w:tab w:val="right" w:pos="9360"/>
      </w:tabs>
    </w:pPr>
  </w:style>
  <w:style w:type="character" w:customStyle="1" w:styleId="FooterChar">
    <w:name w:val="Footer Char"/>
    <w:link w:val="Footer"/>
    <w:uiPriority w:val="99"/>
    <w:rsid w:val="008D20EE"/>
    <w:rPr>
      <w:sz w:val="24"/>
      <w:szCs w:val="24"/>
    </w:rPr>
  </w:style>
  <w:style w:type="character" w:styleId="PageNumber">
    <w:name w:val="page number"/>
    <w:basedOn w:val="DefaultParagraphFont"/>
    <w:rsid w:val="008D20EE"/>
  </w:style>
  <w:style w:type="paragraph" w:styleId="TOC1">
    <w:name w:val="toc 1"/>
    <w:basedOn w:val="Normal"/>
    <w:next w:val="Normal"/>
    <w:autoRedefine/>
    <w:uiPriority w:val="39"/>
    <w:rsid w:val="00287187"/>
  </w:style>
  <w:style w:type="paragraph" w:customStyle="1" w:styleId="GHGPreamble-level4">
    <w:name w:val="_GHG Preamble-level4"/>
    <w:semiHidden/>
    <w:rsid w:val="00287187"/>
    <w:pPr>
      <w:numPr>
        <w:ilvl w:val="5"/>
        <w:numId w:val="5"/>
      </w:numPr>
      <w:tabs>
        <w:tab w:val="num" w:pos="1440"/>
      </w:tabs>
      <w:ind w:left="1440" w:hanging="360"/>
    </w:pPr>
    <w:rPr>
      <w:color w:val="000000"/>
      <w:sz w:val="24"/>
      <w:szCs w:val="24"/>
    </w:rPr>
  </w:style>
  <w:style w:type="numbering" w:styleId="111111">
    <w:name w:val="Outline List 2"/>
    <w:basedOn w:val="NoList"/>
    <w:semiHidden/>
    <w:rsid w:val="00287187"/>
    <w:pPr>
      <w:numPr>
        <w:numId w:val="6"/>
      </w:numPr>
    </w:pPr>
  </w:style>
  <w:style w:type="paragraph" w:customStyle="1" w:styleId="GHGLevels">
    <w:name w:val="GHG Levels"/>
    <w:basedOn w:val="Normal"/>
    <w:link w:val="GHGLevelsCharChar"/>
    <w:rsid w:val="00556FDE"/>
    <w:pPr>
      <w:numPr>
        <w:numId w:val="7"/>
      </w:numPr>
      <w:spacing w:before="80" w:after="80"/>
    </w:pPr>
    <w:rPr>
      <w:bCs/>
    </w:rPr>
  </w:style>
  <w:style w:type="character" w:customStyle="1" w:styleId="GHGLevelsCharChar">
    <w:name w:val="GHG Levels Char Char"/>
    <w:link w:val="GHGLevels"/>
    <w:rsid w:val="00556FDE"/>
    <w:rPr>
      <w:bCs/>
      <w:sz w:val="24"/>
      <w:szCs w:val="24"/>
    </w:rPr>
  </w:style>
  <w:style w:type="table" w:styleId="TableGrid">
    <w:name w:val="Table Grid"/>
    <w:basedOn w:val="TableNormal"/>
    <w:uiPriority w:val="59"/>
    <w:rsid w:val="00241E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3">
    <w:name w:val="Body Text 3"/>
    <w:basedOn w:val="Normal"/>
    <w:semiHidden/>
    <w:rsid w:val="00EA52F2"/>
    <w:pPr>
      <w:spacing w:after="120"/>
    </w:pPr>
    <w:rPr>
      <w:rFonts w:ascii="Courier New" w:hAnsi="Courier New" w:cs="Courier New"/>
      <w:sz w:val="16"/>
      <w:szCs w:val="16"/>
    </w:rPr>
  </w:style>
  <w:style w:type="paragraph" w:customStyle="1" w:styleId="ExhibitTitle">
    <w:name w:val="Exhibit Title"/>
    <w:basedOn w:val="Normal"/>
    <w:link w:val="ExhibitTitleChar"/>
    <w:qFormat/>
    <w:rsid w:val="00F67BBA"/>
    <w:pPr>
      <w:keepLines/>
      <w:autoSpaceDE w:val="0"/>
      <w:autoSpaceDN w:val="0"/>
      <w:adjustRightInd w:val="0"/>
      <w:ind w:left="720"/>
      <w:jc w:val="center"/>
    </w:pPr>
    <w:rPr>
      <w:rFonts w:ascii="Arial" w:hAnsi="Arial" w:cs="Arial"/>
      <w:b/>
      <w:szCs w:val="28"/>
    </w:rPr>
  </w:style>
  <w:style w:type="character" w:customStyle="1" w:styleId="ExhibitTitleChar">
    <w:name w:val="Exhibit Title Char"/>
    <w:link w:val="ExhibitTitle"/>
    <w:rsid w:val="00F67BBA"/>
    <w:rPr>
      <w:rFonts w:ascii="Arial" w:hAnsi="Arial" w:cs="Arial"/>
      <w:b/>
      <w:sz w:val="24"/>
      <w:szCs w:val="28"/>
      <w:lang w:val="en-US" w:eastAsia="en-US" w:bidi="ar-SA"/>
    </w:rPr>
  </w:style>
  <w:style w:type="paragraph" w:customStyle="1" w:styleId="GHGPARAGRAPH">
    <w:name w:val="GHG PARAGRAPH"/>
    <w:link w:val="GHGPARAGRAPHCharChar"/>
    <w:rsid w:val="007F2258"/>
    <w:pPr>
      <w:spacing w:before="80" w:after="80"/>
      <w:ind w:firstLine="720"/>
    </w:pPr>
    <w:rPr>
      <w:rFonts w:ascii="Courier New" w:hAnsi="Courier New" w:cs="Courier New"/>
      <w:bCs/>
      <w:noProof/>
      <w:sz w:val="24"/>
      <w:szCs w:val="24"/>
    </w:rPr>
  </w:style>
  <w:style w:type="character" w:customStyle="1" w:styleId="GHGPARAGRAPHCharChar">
    <w:name w:val="GHG PARAGRAPH Char Char"/>
    <w:link w:val="GHGPARAGRAPH"/>
    <w:rsid w:val="007F2258"/>
    <w:rPr>
      <w:rFonts w:ascii="Courier New" w:hAnsi="Courier New" w:cs="Courier New"/>
      <w:bCs/>
      <w:noProof/>
      <w:sz w:val="24"/>
      <w:szCs w:val="24"/>
      <w:lang w:val="en-US" w:eastAsia="en-US" w:bidi="ar-SA"/>
    </w:rPr>
  </w:style>
  <w:style w:type="character" w:customStyle="1" w:styleId="FootnoteTextChar">
    <w:name w:val="Footnote Text Char"/>
    <w:aliases w:val=" Char Char,Char Char, Char4 Char,Char4 Char,ALTS FOOTNOTE Char,fn Char,Footnote Text - Preamble Char,Footnote Text Char1 Char,Footnote Text Char Char Char,Footnote Text Char1 Char Char Char,Footnote Text Char Char Char Char Char"/>
    <w:link w:val="FootnoteText"/>
    <w:locked/>
    <w:rsid w:val="00452B05"/>
    <w:rPr>
      <w:rFonts w:ascii="Courier New" w:hAnsi="Courier New" w:cs="Courier New"/>
    </w:rPr>
  </w:style>
  <w:style w:type="paragraph" w:customStyle="1" w:styleId="BodyText1">
    <w:name w:val="Body Text1"/>
    <w:aliases w:val="bt,body tx,indent,flush,memo body text"/>
    <w:basedOn w:val="Normal"/>
    <w:link w:val="bodytextChar"/>
    <w:uiPriority w:val="99"/>
    <w:rsid w:val="00B85CA3"/>
    <w:pPr>
      <w:spacing w:after="240" w:line="360" w:lineRule="atLeast"/>
      <w:ind w:firstLine="720"/>
    </w:pPr>
    <w:rPr>
      <w:szCs w:val="20"/>
    </w:rPr>
  </w:style>
  <w:style w:type="paragraph" w:customStyle="1" w:styleId="bullets-3rdlevel">
    <w:name w:val="bullets-3rd level"/>
    <w:uiPriority w:val="99"/>
    <w:rsid w:val="00B85CA3"/>
    <w:pPr>
      <w:numPr>
        <w:numId w:val="15"/>
      </w:numPr>
      <w:tabs>
        <w:tab w:val="clear" w:pos="2160"/>
      </w:tabs>
      <w:spacing w:after="120"/>
      <w:ind w:left="1800"/>
    </w:pPr>
    <w:rPr>
      <w:sz w:val="24"/>
    </w:rPr>
  </w:style>
  <w:style w:type="character" w:customStyle="1" w:styleId="bodytextChar">
    <w:name w:val="body text Char"/>
    <w:aliases w:val="bt Char,body tx Char,indent Char,flush Char"/>
    <w:link w:val="BodyText1"/>
    <w:uiPriority w:val="99"/>
    <w:rsid w:val="00B85CA3"/>
    <w:rPr>
      <w:sz w:val="24"/>
    </w:rPr>
  </w:style>
  <w:style w:type="character" w:styleId="FollowedHyperlink">
    <w:name w:val="FollowedHyperlink"/>
    <w:rsid w:val="00AF3922"/>
    <w:rPr>
      <w:color w:val="800080"/>
      <w:u w:val="single"/>
    </w:rPr>
  </w:style>
  <w:style w:type="paragraph" w:customStyle="1" w:styleId="GHGPARAGRAPH0">
    <w:name w:val="__GHG PARAGRAPH"/>
    <w:link w:val="GHGPARAGRAPHCharChar0"/>
    <w:rsid w:val="002000F5"/>
    <w:pPr>
      <w:spacing w:line="480" w:lineRule="auto"/>
      <w:ind w:firstLine="720"/>
    </w:pPr>
    <w:rPr>
      <w:rFonts w:ascii="Courier New" w:hAnsi="Courier New" w:cs="Courier New"/>
      <w:bCs/>
      <w:noProof/>
      <w:sz w:val="24"/>
      <w:szCs w:val="24"/>
    </w:rPr>
  </w:style>
  <w:style w:type="character" w:customStyle="1" w:styleId="GHGPARAGRAPHCharChar0">
    <w:name w:val="__GHG PARAGRAPH Char Char"/>
    <w:link w:val="GHGPARAGRAPH0"/>
    <w:rsid w:val="002000F5"/>
    <w:rPr>
      <w:rFonts w:ascii="Courier New" w:hAnsi="Courier New" w:cs="Courier New"/>
      <w:bCs/>
      <w:noProof/>
      <w:sz w:val="24"/>
      <w:szCs w:val="24"/>
      <w:lang w:val="en-US" w:eastAsia="en-US" w:bidi="ar-SA"/>
    </w:rPr>
  </w:style>
  <w:style w:type="character" w:customStyle="1" w:styleId="CommentTextChar1">
    <w:name w:val="Comment Text Char1"/>
    <w:uiPriority w:val="99"/>
    <w:rsid w:val="000750A5"/>
    <w:rPr>
      <w:rFonts w:ascii="Courier New" w:hAnsi="Courier New" w:cs="Courier New"/>
    </w:rPr>
  </w:style>
  <w:style w:type="paragraph" w:customStyle="1" w:styleId="LightGrid-Accent31">
    <w:name w:val="Light Grid - Accent 31"/>
    <w:basedOn w:val="Normal"/>
    <w:uiPriority w:val="34"/>
    <w:qFormat/>
    <w:rsid w:val="008800A7"/>
    <w:pPr>
      <w:ind w:left="720"/>
    </w:pPr>
  </w:style>
  <w:style w:type="paragraph" w:styleId="DocumentMap">
    <w:name w:val="Document Map"/>
    <w:basedOn w:val="Normal"/>
    <w:link w:val="DocumentMapChar"/>
    <w:rsid w:val="008905EE"/>
    <w:rPr>
      <w:rFonts w:ascii="Tahoma" w:hAnsi="Tahoma"/>
      <w:sz w:val="16"/>
      <w:szCs w:val="16"/>
    </w:rPr>
  </w:style>
  <w:style w:type="character" w:customStyle="1" w:styleId="DocumentMapChar">
    <w:name w:val="Document Map Char"/>
    <w:link w:val="DocumentMap"/>
    <w:rsid w:val="008905EE"/>
    <w:rPr>
      <w:rFonts w:ascii="Tahoma" w:hAnsi="Tahoma" w:cs="Tahoma"/>
      <w:sz w:val="16"/>
      <w:szCs w:val="16"/>
    </w:rPr>
  </w:style>
  <w:style w:type="paragraph" w:customStyle="1" w:styleId="LightGrid-Accent310">
    <w:name w:val="Light Grid - Accent 31"/>
    <w:basedOn w:val="Normal"/>
    <w:uiPriority w:val="34"/>
    <w:qFormat/>
    <w:rsid w:val="00B368FA"/>
    <w:pPr>
      <w:ind w:left="720"/>
    </w:pPr>
  </w:style>
  <w:style w:type="character" w:customStyle="1" w:styleId="Level2-GHGPreambleCharChar">
    <w:name w:val="_Level 2-GHG Preamble Char Char"/>
    <w:link w:val="Level2-GHGPreamble"/>
    <w:uiPriority w:val="99"/>
    <w:rsid w:val="008947BE"/>
    <w:rPr>
      <w:rFonts w:ascii="Courier New" w:hAnsi="Courier New" w:cs="Courier New"/>
      <w:b/>
      <w:sz w:val="24"/>
      <w:szCs w:val="24"/>
      <w:u w:val="single"/>
    </w:rPr>
  </w:style>
  <w:style w:type="paragraph" w:customStyle="1" w:styleId="MediumGrid1-Accent21">
    <w:name w:val="Medium Grid 1 - Accent 21"/>
    <w:basedOn w:val="Normal"/>
    <w:uiPriority w:val="34"/>
    <w:qFormat/>
    <w:rsid w:val="00455E56"/>
    <w:pPr>
      <w:ind w:left="720"/>
    </w:pPr>
  </w:style>
  <w:style w:type="paragraph" w:customStyle="1" w:styleId="Default">
    <w:name w:val="Default"/>
    <w:rsid w:val="00F9330A"/>
    <w:pPr>
      <w:autoSpaceDE w:val="0"/>
      <w:autoSpaceDN w:val="0"/>
      <w:adjustRightInd w:val="0"/>
    </w:pPr>
    <w:rPr>
      <w:color w:val="000000"/>
      <w:sz w:val="24"/>
      <w:szCs w:val="24"/>
    </w:rPr>
  </w:style>
  <w:style w:type="paragraph" w:customStyle="1" w:styleId="CM5">
    <w:name w:val="CM5"/>
    <w:basedOn w:val="Default"/>
    <w:next w:val="Default"/>
    <w:uiPriority w:val="99"/>
    <w:rsid w:val="00F9330A"/>
    <w:rPr>
      <w:color w:val="auto"/>
    </w:rPr>
  </w:style>
  <w:style w:type="paragraph" w:styleId="NormalWeb">
    <w:name w:val="Normal (Web)"/>
    <w:basedOn w:val="Normal"/>
    <w:uiPriority w:val="99"/>
    <w:unhideWhenUsed/>
    <w:rsid w:val="00312236"/>
    <w:pPr>
      <w:spacing w:before="100" w:beforeAutospacing="1" w:after="100" w:afterAutospacing="1"/>
    </w:pPr>
  </w:style>
  <w:style w:type="paragraph" w:customStyle="1" w:styleId="CM65">
    <w:name w:val="CM65"/>
    <w:basedOn w:val="Default"/>
    <w:next w:val="Default"/>
    <w:uiPriority w:val="99"/>
    <w:rsid w:val="00A4002D"/>
    <w:rPr>
      <w:rFonts w:ascii="Candara" w:hAnsi="Candara"/>
      <w:color w:val="auto"/>
    </w:rPr>
  </w:style>
  <w:style w:type="paragraph" w:customStyle="1" w:styleId="CM63">
    <w:name w:val="CM63"/>
    <w:basedOn w:val="Default"/>
    <w:next w:val="Default"/>
    <w:uiPriority w:val="99"/>
    <w:rsid w:val="00A4002D"/>
    <w:rPr>
      <w:rFonts w:ascii="Candara" w:hAnsi="Candara"/>
      <w:color w:val="auto"/>
    </w:rPr>
  </w:style>
  <w:style w:type="paragraph" w:customStyle="1" w:styleId="MediumList2-Accent21">
    <w:name w:val="Medium List 2 - Accent 21"/>
    <w:hidden/>
    <w:uiPriority w:val="99"/>
    <w:semiHidden/>
    <w:rsid w:val="00E87D73"/>
    <w:rPr>
      <w:sz w:val="24"/>
      <w:szCs w:val="24"/>
    </w:rPr>
  </w:style>
  <w:style w:type="character" w:customStyle="1" w:styleId="Heading2Char">
    <w:name w:val="Heading 2 Char"/>
    <w:link w:val="Heading2"/>
    <w:rsid w:val="007E7234"/>
    <w:rPr>
      <w:b/>
      <w:sz w:val="24"/>
      <w:szCs w:val="24"/>
    </w:rPr>
  </w:style>
  <w:style w:type="paragraph" w:customStyle="1" w:styleId="1">
    <w:name w:val="1"/>
    <w:basedOn w:val="Normal"/>
    <w:link w:val="1Char"/>
    <w:qFormat/>
    <w:rsid w:val="007E7234"/>
    <w:rPr>
      <w:b/>
    </w:rPr>
  </w:style>
  <w:style w:type="character" w:customStyle="1" w:styleId="1Char">
    <w:name w:val="1 Char"/>
    <w:link w:val="1"/>
    <w:rsid w:val="007E7234"/>
    <w:rPr>
      <w:b/>
      <w:sz w:val="24"/>
      <w:szCs w:val="24"/>
    </w:rPr>
  </w:style>
  <w:style w:type="character" w:styleId="Emphasis">
    <w:name w:val="Emphasis"/>
    <w:qFormat/>
    <w:rsid w:val="007E7234"/>
    <w:rPr>
      <w:i/>
      <w:iCs/>
    </w:rPr>
  </w:style>
  <w:style w:type="paragraph" w:customStyle="1" w:styleId="ColorfulShading-Accent11">
    <w:name w:val="Colorful Shading - Accent 11"/>
    <w:hidden/>
    <w:uiPriority w:val="99"/>
    <w:semiHidden/>
    <w:rsid w:val="00F34D43"/>
    <w:rPr>
      <w:sz w:val="24"/>
      <w:szCs w:val="24"/>
    </w:rPr>
  </w:style>
  <w:style w:type="paragraph" w:customStyle="1" w:styleId="GHGPARAGRAPH1">
    <w:name w:val="____GHG PARAGRAPH"/>
    <w:basedOn w:val="Normal"/>
    <w:next w:val="Normal"/>
    <w:link w:val="GHGPARAGRAPHChar"/>
    <w:qFormat/>
    <w:rsid w:val="007131F9"/>
    <w:pPr>
      <w:spacing w:line="480" w:lineRule="auto"/>
      <w:ind w:firstLine="720"/>
    </w:pPr>
    <w:rPr>
      <w:rFonts w:ascii="Courier New" w:hAnsi="Courier New" w:cs="Courier New"/>
      <w:bCs/>
    </w:rPr>
  </w:style>
  <w:style w:type="paragraph" w:styleId="Revision">
    <w:name w:val="Revision"/>
    <w:hidden/>
    <w:uiPriority w:val="99"/>
    <w:semiHidden/>
    <w:rsid w:val="006413AA"/>
    <w:rPr>
      <w:sz w:val="24"/>
      <w:szCs w:val="24"/>
    </w:rPr>
  </w:style>
  <w:style w:type="paragraph" w:customStyle="1" w:styleId="TABLEFOOTNOTES">
    <w:name w:val="TABLE FOOTNOTES"/>
    <w:basedOn w:val="Normal"/>
    <w:link w:val="TABLEFOOTNOTESChar"/>
    <w:qFormat/>
    <w:rsid w:val="000703D3"/>
    <w:pPr>
      <w:tabs>
        <w:tab w:val="left" w:pos="360"/>
      </w:tabs>
      <w:spacing w:after="40"/>
      <w:ind w:left="216" w:hanging="216"/>
    </w:pPr>
    <w:rPr>
      <w:sz w:val="20"/>
      <w:szCs w:val="20"/>
    </w:rPr>
  </w:style>
  <w:style w:type="character" w:customStyle="1" w:styleId="TABLEFOOTNOTESChar">
    <w:name w:val="TABLE FOOTNOTES Char"/>
    <w:basedOn w:val="DefaultParagraphFont"/>
    <w:link w:val="TABLEFOOTNOTES"/>
    <w:rsid w:val="000703D3"/>
  </w:style>
  <w:style w:type="paragraph" w:customStyle="1" w:styleId="TableHeader">
    <w:name w:val="Table Header"/>
    <w:next w:val="Default"/>
    <w:uiPriority w:val="99"/>
    <w:rsid w:val="000703D3"/>
    <w:pPr>
      <w:keepNext/>
      <w:spacing w:before="60" w:after="60"/>
      <w:jc w:val="center"/>
    </w:pPr>
    <w:rPr>
      <w:rFonts w:eastAsiaTheme="minorHAnsi"/>
      <w:b/>
      <w:sz w:val="22"/>
      <w:szCs w:val="24"/>
    </w:rPr>
  </w:style>
  <w:style w:type="paragraph" w:customStyle="1" w:styleId="footnote">
    <w:name w:val="footnote"/>
    <w:basedOn w:val="Normal"/>
    <w:link w:val="footnoteChar"/>
    <w:rsid w:val="00F40DC8"/>
    <w:pPr>
      <w:autoSpaceDE w:val="0"/>
      <w:autoSpaceDN w:val="0"/>
      <w:adjustRightInd w:val="0"/>
      <w:spacing w:after="40"/>
    </w:pPr>
    <w:rPr>
      <w:rFonts w:ascii="Courier New" w:hAnsi="Courier New" w:cs="Courier New"/>
      <w:sz w:val="20"/>
    </w:rPr>
  </w:style>
  <w:style w:type="character" w:customStyle="1" w:styleId="footnoteChar">
    <w:name w:val="footnote Char"/>
    <w:basedOn w:val="DefaultParagraphFont"/>
    <w:link w:val="footnote"/>
    <w:locked/>
    <w:rsid w:val="00F40DC8"/>
    <w:rPr>
      <w:rFonts w:ascii="Courier New" w:hAnsi="Courier New" w:cs="Courier New"/>
      <w:szCs w:val="24"/>
    </w:rPr>
  </w:style>
  <w:style w:type="paragraph" w:styleId="ListParagraph">
    <w:name w:val="List Paragraph"/>
    <w:basedOn w:val="Normal"/>
    <w:uiPriority w:val="34"/>
    <w:qFormat/>
    <w:rsid w:val="00F40DC8"/>
    <w:pPr>
      <w:ind w:left="720"/>
      <w:contextualSpacing/>
    </w:pPr>
  </w:style>
  <w:style w:type="character" w:customStyle="1" w:styleId="Bullet-GHGPreambleChar">
    <w:name w:val="_Bullet-GHG Preamble Char"/>
    <w:basedOn w:val="DefaultParagraphFont"/>
    <w:locked/>
    <w:rsid w:val="00310193"/>
    <w:rPr>
      <w:rFonts w:ascii="Courier New" w:hAnsi="Courier New"/>
      <w:sz w:val="24"/>
      <w:szCs w:val="24"/>
    </w:rPr>
  </w:style>
  <w:style w:type="paragraph" w:customStyle="1" w:styleId="Bullet-GHGPreamblelast">
    <w:name w:val="_Bullet-GHG Preamble_last"/>
    <w:qFormat/>
    <w:rsid w:val="00310193"/>
    <w:pPr>
      <w:numPr>
        <w:numId w:val="22"/>
      </w:numPr>
      <w:spacing w:before="80" w:after="240"/>
    </w:pPr>
    <w:rPr>
      <w:rFonts w:ascii="Courier New" w:hAnsi="Courier New"/>
      <w:sz w:val="24"/>
      <w:szCs w:val="24"/>
    </w:rPr>
  </w:style>
  <w:style w:type="paragraph" w:styleId="EndnoteText">
    <w:name w:val="endnote text"/>
    <w:basedOn w:val="Normal"/>
    <w:link w:val="EndnoteTextChar"/>
    <w:rsid w:val="000E5064"/>
    <w:rPr>
      <w:sz w:val="20"/>
      <w:szCs w:val="20"/>
    </w:rPr>
  </w:style>
  <w:style w:type="character" w:customStyle="1" w:styleId="EndnoteTextChar">
    <w:name w:val="Endnote Text Char"/>
    <w:basedOn w:val="DefaultParagraphFont"/>
    <w:link w:val="EndnoteText"/>
    <w:rsid w:val="000E5064"/>
  </w:style>
  <w:style w:type="character" w:styleId="EndnoteReference">
    <w:name w:val="endnote reference"/>
    <w:basedOn w:val="DefaultParagraphFont"/>
    <w:rsid w:val="000E5064"/>
    <w:rPr>
      <w:vertAlign w:val="superscript"/>
    </w:rPr>
  </w:style>
  <w:style w:type="character" w:customStyle="1" w:styleId="GHGPARAGRAPHChar">
    <w:name w:val="____GHG PARAGRAPH Char"/>
    <w:link w:val="GHGPARAGRAPH1"/>
    <w:locked/>
    <w:rsid w:val="00CF5ABA"/>
    <w:rPr>
      <w:rFonts w:ascii="Courier New" w:hAnsi="Courier New" w:cs="Courier New"/>
      <w:bCs/>
      <w:sz w:val="24"/>
      <w:szCs w:val="24"/>
    </w:rPr>
  </w:style>
  <w:style w:type="character" w:customStyle="1" w:styleId="CommentTextChar4">
    <w:name w:val="Comment Text Char4"/>
    <w:basedOn w:val="DefaultParagraphFont"/>
    <w:uiPriority w:val="99"/>
    <w:locked/>
    <w:rsid w:val="00A72A36"/>
    <w:rPr>
      <w:rFonts w:ascii="Courier New" w:hAnsi="Courier New" w:cs="Courier New"/>
      <w:lang w:val="en-US" w:eastAsia="en-US" w:bidi="ar-SA"/>
    </w:rPr>
  </w:style>
  <w:style w:type="character" w:customStyle="1" w:styleId="Heading9Char">
    <w:name w:val="Heading 9 Char"/>
    <w:basedOn w:val="DefaultParagraphFont"/>
    <w:link w:val="Heading9"/>
    <w:rsid w:val="00124B02"/>
    <w:rPr>
      <w:rFonts w:asciiTheme="majorHAnsi" w:eastAsiaTheme="majorEastAsia" w:hAnsiTheme="majorHAnsi" w:cstheme="majorBidi"/>
      <w:i/>
      <w:iCs/>
      <w:color w:val="404040" w:themeColor="text1" w:themeTint="BF"/>
    </w:rPr>
  </w:style>
</w:styles>
</file>

<file path=word/webSettings.xml><?xml version="1.0" encoding="utf-8"?>
<w:webSettings xmlns:r="http://schemas.openxmlformats.org/officeDocument/2006/relationships" xmlns:w="http://schemas.openxmlformats.org/wordprocessingml/2006/main">
  <w:divs>
    <w:div w:id="2973565">
      <w:bodyDiv w:val="1"/>
      <w:marLeft w:val="0"/>
      <w:marRight w:val="0"/>
      <w:marTop w:val="0"/>
      <w:marBottom w:val="0"/>
      <w:divBdr>
        <w:top w:val="none" w:sz="0" w:space="0" w:color="auto"/>
        <w:left w:val="none" w:sz="0" w:space="0" w:color="auto"/>
        <w:bottom w:val="none" w:sz="0" w:space="0" w:color="auto"/>
        <w:right w:val="none" w:sz="0" w:space="0" w:color="auto"/>
      </w:divBdr>
    </w:div>
    <w:div w:id="3434799">
      <w:bodyDiv w:val="1"/>
      <w:marLeft w:val="0"/>
      <w:marRight w:val="0"/>
      <w:marTop w:val="0"/>
      <w:marBottom w:val="0"/>
      <w:divBdr>
        <w:top w:val="none" w:sz="0" w:space="0" w:color="auto"/>
        <w:left w:val="none" w:sz="0" w:space="0" w:color="auto"/>
        <w:bottom w:val="none" w:sz="0" w:space="0" w:color="auto"/>
        <w:right w:val="none" w:sz="0" w:space="0" w:color="auto"/>
      </w:divBdr>
    </w:div>
    <w:div w:id="4986076">
      <w:bodyDiv w:val="1"/>
      <w:marLeft w:val="0"/>
      <w:marRight w:val="0"/>
      <w:marTop w:val="0"/>
      <w:marBottom w:val="0"/>
      <w:divBdr>
        <w:top w:val="none" w:sz="0" w:space="0" w:color="auto"/>
        <w:left w:val="none" w:sz="0" w:space="0" w:color="auto"/>
        <w:bottom w:val="none" w:sz="0" w:space="0" w:color="auto"/>
        <w:right w:val="none" w:sz="0" w:space="0" w:color="auto"/>
      </w:divBdr>
    </w:div>
    <w:div w:id="5791406">
      <w:bodyDiv w:val="1"/>
      <w:marLeft w:val="0"/>
      <w:marRight w:val="0"/>
      <w:marTop w:val="0"/>
      <w:marBottom w:val="0"/>
      <w:divBdr>
        <w:top w:val="none" w:sz="0" w:space="0" w:color="auto"/>
        <w:left w:val="none" w:sz="0" w:space="0" w:color="auto"/>
        <w:bottom w:val="none" w:sz="0" w:space="0" w:color="auto"/>
        <w:right w:val="none" w:sz="0" w:space="0" w:color="auto"/>
      </w:divBdr>
    </w:div>
    <w:div w:id="5863288">
      <w:bodyDiv w:val="1"/>
      <w:marLeft w:val="0"/>
      <w:marRight w:val="0"/>
      <w:marTop w:val="0"/>
      <w:marBottom w:val="0"/>
      <w:divBdr>
        <w:top w:val="none" w:sz="0" w:space="0" w:color="auto"/>
        <w:left w:val="none" w:sz="0" w:space="0" w:color="auto"/>
        <w:bottom w:val="none" w:sz="0" w:space="0" w:color="auto"/>
        <w:right w:val="none" w:sz="0" w:space="0" w:color="auto"/>
      </w:divBdr>
    </w:div>
    <w:div w:id="5863914">
      <w:bodyDiv w:val="1"/>
      <w:marLeft w:val="0"/>
      <w:marRight w:val="0"/>
      <w:marTop w:val="0"/>
      <w:marBottom w:val="0"/>
      <w:divBdr>
        <w:top w:val="none" w:sz="0" w:space="0" w:color="auto"/>
        <w:left w:val="none" w:sz="0" w:space="0" w:color="auto"/>
        <w:bottom w:val="none" w:sz="0" w:space="0" w:color="auto"/>
        <w:right w:val="none" w:sz="0" w:space="0" w:color="auto"/>
      </w:divBdr>
    </w:div>
    <w:div w:id="12461748">
      <w:bodyDiv w:val="1"/>
      <w:marLeft w:val="0"/>
      <w:marRight w:val="0"/>
      <w:marTop w:val="0"/>
      <w:marBottom w:val="0"/>
      <w:divBdr>
        <w:top w:val="none" w:sz="0" w:space="0" w:color="auto"/>
        <w:left w:val="none" w:sz="0" w:space="0" w:color="auto"/>
        <w:bottom w:val="none" w:sz="0" w:space="0" w:color="auto"/>
        <w:right w:val="none" w:sz="0" w:space="0" w:color="auto"/>
      </w:divBdr>
    </w:div>
    <w:div w:id="12995167">
      <w:bodyDiv w:val="1"/>
      <w:marLeft w:val="0"/>
      <w:marRight w:val="0"/>
      <w:marTop w:val="0"/>
      <w:marBottom w:val="0"/>
      <w:divBdr>
        <w:top w:val="none" w:sz="0" w:space="0" w:color="auto"/>
        <w:left w:val="none" w:sz="0" w:space="0" w:color="auto"/>
        <w:bottom w:val="none" w:sz="0" w:space="0" w:color="auto"/>
        <w:right w:val="none" w:sz="0" w:space="0" w:color="auto"/>
      </w:divBdr>
    </w:div>
    <w:div w:id="18161614">
      <w:bodyDiv w:val="1"/>
      <w:marLeft w:val="0"/>
      <w:marRight w:val="0"/>
      <w:marTop w:val="0"/>
      <w:marBottom w:val="0"/>
      <w:divBdr>
        <w:top w:val="none" w:sz="0" w:space="0" w:color="auto"/>
        <w:left w:val="none" w:sz="0" w:space="0" w:color="auto"/>
        <w:bottom w:val="none" w:sz="0" w:space="0" w:color="auto"/>
        <w:right w:val="none" w:sz="0" w:space="0" w:color="auto"/>
      </w:divBdr>
    </w:div>
    <w:div w:id="39941035">
      <w:bodyDiv w:val="1"/>
      <w:marLeft w:val="0"/>
      <w:marRight w:val="0"/>
      <w:marTop w:val="0"/>
      <w:marBottom w:val="0"/>
      <w:divBdr>
        <w:top w:val="none" w:sz="0" w:space="0" w:color="auto"/>
        <w:left w:val="none" w:sz="0" w:space="0" w:color="auto"/>
        <w:bottom w:val="none" w:sz="0" w:space="0" w:color="auto"/>
        <w:right w:val="none" w:sz="0" w:space="0" w:color="auto"/>
      </w:divBdr>
    </w:div>
    <w:div w:id="51659367">
      <w:bodyDiv w:val="1"/>
      <w:marLeft w:val="0"/>
      <w:marRight w:val="0"/>
      <w:marTop w:val="0"/>
      <w:marBottom w:val="0"/>
      <w:divBdr>
        <w:top w:val="none" w:sz="0" w:space="0" w:color="auto"/>
        <w:left w:val="none" w:sz="0" w:space="0" w:color="auto"/>
        <w:bottom w:val="none" w:sz="0" w:space="0" w:color="auto"/>
        <w:right w:val="none" w:sz="0" w:space="0" w:color="auto"/>
      </w:divBdr>
    </w:div>
    <w:div w:id="56707058">
      <w:bodyDiv w:val="1"/>
      <w:marLeft w:val="0"/>
      <w:marRight w:val="0"/>
      <w:marTop w:val="0"/>
      <w:marBottom w:val="0"/>
      <w:divBdr>
        <w:top w:val="none" w:sz="0" w:space="0" w:color="auto"/>
        <w:left w:val="none" w:sz="0" w:space="0" w:color="auto"/>
        <w:bottom w:val="none" w:sz="0" w:space="0" w:color="auto"/>
        <w:right w:val="none" w:sz="0" w:space="0" w:color="auto"/>
      </w:divBdr>
    </w:div>
    <w:div w:id="59866675">
      <w:bodyDiv w:val="1"/>
      <w:marLeft w:val="0"/>
      <w:marRight w:val="0"/>
      <w:marTop w:val="0"/>
      <w:marBottom w:val="0"/>
      <w:divBdr>
        <w:top w:val="none" w:sz="0" w:space="0" w:color="auto"/>
        <w:left w:val="none" w:sz="0" w:space="0" w:color="auto"/>
        <w:bottom w:val="none" w:sz="0" w:space="0" w:color="auto"/>
        <w:right w:val="none" w:sz="0" w:space="0" w:color="auto"/>
      </w:divBdr>
    </w:div>
    <w:div w:id="62723975">
      <w:bodyDiv w:val="1"/>
      <w:marLeft w:val="0"/>
      <w:marRight w:val="0"/>
      <w:marTop w:val="0"/>
      <w:marBottom w:val="0"/>
      <w:divBdr>
        <w:top w:val="none" w:sz="0" w:space="0" w:color="auto"/>
        <w:left w:val="none" w:sz="0" w:space="0" w:color="auto"/>
        <w:bottom w:val="none" w:sz="0" w:space="0" w:color="auto"/>
        <w:right w:val="none" w:sz="0" w:space="0" w:color="auto"/>
      </w:divBdr>
    </w:div>
    <w:div w:id="63841742">
      <w:bodyDiv w:val="1"/>
      <w:marLeft w:val="0"/>
      <w:marRight w:val="0"/>
      <w:marTop w:val="0"/>
      <w:marBottom w:val="0"/>
      <w:divBdr>
        <w:top w:val="none" w:sz="0" w:space="0" w:color="auto"/>
        <w:left w:val="none" w:sz="0" w:space="0" w:color="auto"/>
        <w:bottom w:val="none" w:sz="0" w:space="0" w:color="auto"/>
        <w:right w:val="none" w:sz="0" w:space="0" w:color="auto"/>
      </w:divBdr>
    </w:div>
    <w:div w:id="67657020">
      <w:bodyDiv w:val="1"/>
      <w:marLeft w:val="0"/>
      <w:marRight w:val="0"/>
      <w:marTop w:val="0"/>
      <w:marBottom w:val="0"/>
      <w:divBdr>
        <w:top w:val="none" w:sz="0" w:space="0" w:color="auto"/>
        <w:left w:val="none" w:sz="0" w:space="0" w:color="auto"/>
        <w:bottom w:val="none" w:sz="0" w:space="0" w:color="auto"/>
        <w:right w:val="none" w:sz="0" w:space="0" w:color="auto"/>
      </w:divBdr>
    </w:div>
    <w:div w:id="68236782">
      <w:bodyDiv w:val="1"/>
      <w:marLeft w:val="0"/>
      <w:marRight w:val="0"/>
      <w:marTop w:val="0"/>
      <w:marBottom w:val="0"/>
      <w:divBdr>
        <w:top w:val="none" w:sz="0" w:space="0" w:color="auto"/>
        <w:left w:val="none" w:sz="0" w:space="0" w:color="auto"/>
        <w:bottom w:val="none" w:sz="0" w:space="0" w:color="auto"/>
        <w:right w:val="none" w:sz="0" w:space="0" w:color="auto"/>
      </w:divBdr>
    </w:div>
    <w:div w:id="69621621">
      <w:bodyDiv w:val="1"/>
      <w:marLeft w:val="0"/>
      <w:marRight w:val="0"/>
      <w:marTop w:val="0"/>
      <w:marBottom w:val="0"/>
      <w:divBdr>
        <w:top w:val="none" w:sz="0" w:space="0" w:color="auto"/>
        <w:left w:val="none" w:sz="0" w:space="0" w:color="auto"/>
        <w:bottom w:val="none" w:sz="0" w:space="0" w:color="auto"/>
        <w:right w:val="none" w:sz="0" w:space="0" w:color="auto"/>
      </w:divBdr>
    </w:div>
    <w:div w:id="76677849">
      <w:bodyDiv w:val="1"/>
      <w:marLeft w:val="0"/>
      <w:marRight w:val="0"/>
      <w:marTop w:val="0"/>
      <w:marBottom w:val="0"/>
      <w:divBdr>
        <w:top w:val="none" w:sz="0" w:space="0" w:color="auto"/>
        <w:left w:val="none" w:sz="0" w:space="0" w:color="auto"/>
        <w:bottom w:val="none" w:sz="0" w:space="0" w:color="auto"/>
        <w:right w:val="none" w:sz="0" w:space="0" w:color="auto"/>
      </w:divBdr>
    </w:div>
    <w:div w:id="80807584">
      <w:bodyDiv w:val="1"/>
      <w:marLeft w:val="0"/>
      <w:marRight w:val="0"/>
      <w:marTop w:val="0"/>
      <w:marBottom w:val="0"/>
      <w:divBdr>
        <w:top w:val="none" w:sz="0" w:space="0" w:color="auto"/>
        <w:left w:val="none" w:sz="0" w:space="0" w:color="auto"/>
        <w:bottom w:val="none" w:sz="0" w:space="0" w:color="auto"/>
        <w:right w:val="none" w:sz="0" w:space="0" w:color="auto"/>
      </w:divBdr>
    </w:div>
    <w:div w:id="81683114">
      <w:bodyDiv w:val="1"/>
      <w:marLeft w:val="0"/>
      <w:marRight w:val="0"/>
      <w:marTop w:val="0"/>
      <w:marBottom w:val="0"/>
      <w:divBdr>
        <w:top w:val="none" w:sz="0" w:space="0" w:color="auto"/>
        <w:left w:val="none" w:sz="0" w:space="0" w:color="auto"/>
        <w:bottom w:val="none" w:sz="0" w:space="0" w:color="auto"/>
        <w:right w:val="none" w:sz="0" w:space="0" w:color="auto"/>
      </w:divBdr>
    </w:div>
    <w:div w:id="94175796">
      <w:bodyDiv w:val="1"/>
      <w:marLeft w:val="0"/>
      <w:marRight w:val="0"/>
      <w:marTop w:val="0"/>
      <w:marBottom w:val="0"/>
      <w:divBdr>
        <w:top w:val="none" w:sz="0" w:space="0" w:color="auto"/>
        <w:left w:val="none" w:sz="0" w:space="0" w:color="auto"/>
        <w:bottom w:val="none" w:sz="0" w:space="0" w:color="auto"/>
        <w:right w:val="none" w:sz="0" w:space="0" w:color="auto"/>
      </w:divBdr>
    </w:div>
    <w:div w:id="107824837">
      <w:bodyDiv w:val="1"/>
      <w:marLeft w:val="0"/>
      <w:marRight w:val="0"/>
      <w:marTop w:val="0"/>
      <w:marBottom w:val="0"/>
      <w:divBdr>
        <w:top w:val="none" w:sz="0" w:space="0" w:color="auto"/>
        <w:left w:val="none" w:sz="0" w:space="0" w:color="auto"/>
        <w:bottom w:val="none" w:sz="0" w:space="0" w:color="auto"/>
        <w:right w:val="none" w:sz="0" w:space="0" w:color="auto"/>
      </w:divBdr>
    </w:div>
    <w:div w:id="125317425">
      <w:bodyDiv w:val="1"/>
      <w:marLeft w:val="0"/>
      <w:marRight w:val="0"/>
      <w:marTop w:val="0"/>
      <w:marBottom w:val="0"/>
      <w:divBdr>
        <w:top w:val="none" w:sz="0" w:space="0" w:color="auto"/>
        <w:left w:val="none" w:sz="0" w:space="0" w:color="auto"/>
        <w:bottom w:val="none" w:sz="0" w:space="0" w:color="auto"/>
        <w:right w:val="none" w:sz="0" w:space="0" w:color="auto"/>
      </w:divBdr>
    </w:div>
    <w:div w:id="127016276">
      <w:bodyDiv w:val="1"/>
      <w:marLeft w:val="0"/>
      <w:marRight w:val="0"/>
      <w:marTop w:val="0"/>
      <w:marBottom w:val="0"/>
      <w:divBdr>
        <w:top w:val="none" w:sz="0" w:space="0" w:color="auto"/>
        <w:left w:val="none" w:sz="0" w:space="0" w:color="auto"/>
        <w:bottom w:val="none" w:sz="0" w:space="0" w:color="auto"/>
        <w:right w:val="none" w:sz="0" w:space="0" w:color="auto"/>
      </w:divBdr>
    </w:div>
    <w:div w:id="131220713">
      <w:bodyDiv w:val="1"/>
      <w:marLeft w:val="0"/>
      <w:marRight w:val="0"/>
      <w:marTop w:val="0"/>
      <w:marBottom w:val="0"/>
      <w:divBdr>
        <w:top w:val="none" w:sz="0" w:space="0" w:color="auto"/>
        <w:left w:val="none" w:sz="0" w:space="0" w:color="auto"/>
        <w:bottom w:val="none" w:sz="0" w:space="0" w:color="auto"/>
        <w:right w:val="none" w:sz="0" w:space="0" w:color="auto"/>
      </w:divBdr>
    </w:div>
    <w:div w:id="133835786">
      <w:bodyDiv w:val="1"/>
      <w:marLeft w:val="0"/>
      <w:marRight w:val="0"/>
      <w:marTop w:val="0"/>
      <w:marBottom w:val="0"/>
      <w:divBdr>
        <w:top w:val="none" w:sz="0" w:space="0" w:color="auto"/>
        <w:left w:val="none" w:sz="0" w:space="0" w:color="auto"/>
        <w:bottom w:val="none" w:sz="0" w:space="0" w:color="auto"/>
        <w:right w:val="none" w:sz="0" w:space="0" w:color="auto"/>
      </w:divBdr>
    </w:div>
    <w:div w:id="134487876">
      <w:bodyDiv w:val="1"/>
      <w:marLeft w:val="0"/>
      <w:marRight w:val="0"/>
      <w:marTop w:val="0"/>
      <w:marBottom w:val="0"/>
      <w:divBdr>
        <w:top w:val="none" w:sz="0" w:space="0" w:color="auto"/>
        <w:left w:val="none" w:sz="0" w:space="0" w:color="auto"/>
        <w:bottom w:val="none" w:sz="0" w:space="0" w:color="auto"/>
        <w:right w:val="none" w:sz="0" w:space="0" w:color="auto"/>
      </w:divBdr>
    </w:div>
    <w:div w:id="159082057">
      <w:bodyDiv w:val="1"/>
      <w:marLeft w:val="0"/>
      <w:marRight w:val="0"/>
      <w:marTop w:val="0"/>
      <w:marBottom w:val="0"/>
      <w:divBdr>
        <w:top w:val="none" w:sz="0" w:space="0" w:color="auto"/>
        <w:left w:val="none" w:sz="0" w:space="0" w:color="auto"/>
        <w:bottom w:val="none" w:sz="0" w:space="0" w:color="auto"/>
        <w:right w:val="none" w:sz="0" w:space="0" w:color="auto"/>
      </w:divBdr>
    </w:div>
    <w:div w:id="167411230">
      <w:bodyDiv w:val="1"/>
      <w:marLeft w:val="0"/>
      <w:marRight w:val="0"/>
      <w:marTop w:val="0"/>
      <w:marBottom w:val="0"/>
      <w:divBdr>
        <w:top w:val="none" w:sz="0" w:space="0" w:color="auto"/>
        <w:left w:val="none" w:sz="0" w:space="0" w:color="auto"/>
        <w:bottom w:val="none" w:sz="0" w:space="0" w:color="auto"/>
        <w:right w:val="none" w:sz="0" w:space="0" w:color="auto"/>
      </w:divBdr>
    </w:div>
    <w:div w:id="179055013">
      <w:bodyDiv w:val="1"/>
      <w:marLeft w:val="0"/>
      <w:marRight w:val="0"/>
      <w:marTop w:val="0"/>
      <w:marBottom w:val="0"/>
      <w:divBdr>
        <w:top w:val="none" w:sz="0" w:space="0" w:color="auto"/>
        <w:left w:val="none" w:sz="0" w:space="0" w:color="auto"/>
        <w:bottom w:val="none" w:sz="0" w:space="0" w:color="auto"/>
        <w:right w:val="none" w:sz="0" w:space="0" w:color="auto"/>
      </w:divBdr>
    </w:div>
    <w:div w:id="188179310">
      <w:bodyDiv w:val="1"/>
      <w:marLeft w:val="0"/>
      <w:marRight w:val="0"/>
      <w:marTop w:val="0"/>
      <w:marBottom w:val="0"/>
      <w:divBdr>
        <w:top w:val="none" w:sz="0" w:space="0" w:color="auto"/>
        <w:left w:val="none" w:sz="0" w:space="0" w:color="auto"/>
        <w:bottom w:val="none" w:sz="0" w:space="0" w:color="auto"/>
        <w:right w:val="none" w:sz="0" w:space="0" w:color="auto"/>
      </w:divBdr>
    </w:div>
    <w:div w:id="190918493">
      <w:bodyDiv w:val="1"/>
      <w:marLeft w:val="0"/>
      <w:marRight w:val="0"/>
      <w:marTop w:val="0"/>
      <w:marBottom w:val="0"/>
      <w:divBdr>
        <w:top w:val="none" w:sz="0" w:space="0" w:color="auto"/>
        <w:left w:val="none" w:sz="0" w:space="0" w:color="auto"/>
        <w:bottom w:val="none" w:sz="0" w:space="0" w:color="auto"/>
        <w:right w:val="none" w:sz="0" w:space="0" w:color="auto"/>
      </w:divBdr>
    </w:div>
    <w:div w:id="214052231">
      <w:bodyDiv w:val="1"/>
      <w:marLeft w:val="0"/>
      <w:marRight w:val="0"/>
      <w:marTop w:val="0"/>
      <w:marBottom w:val="0"/>
      <w:divBdr>
        <w:top w:val="none" w:sz="0" w:space="0" w:color="auto"/>
        <w:left w:val="none" w:sz="0" w:space="0" w:color="auto"/>
        <w:bottom w:val="none" w:sz="0" w:space="0" w:color="auto"/>
        <w:right w:val="none" w:sz="0" w:space="0" w:color="auto"/>
      </w:divBdr>
    </w:div>
    <w:div w:id="219173897">
      <w:bodyDiv w:val="1"/>
      <w:marLeft w:val="0"/>
      <w:marRight w:val="0"/>
      <w:marTop w:val="0"/>
      <w:marBottom w:val="0"/>
      <w:divBdr>
        <w:top w:val="none" w:sz="0" w:space="0" w:color="auto"/>
        <w:left w:val="none" w:sz="0" w:space="0" w:color="auto"/>
        <w:bottom w:val="none" w:sz="0" w:space="0" w:color="auto"/>
        <w:right w:val="none" w:sz="0" w:space="0" w:color="auto"/>
      </w:divBdr>
    </w:div>
    <w:div w:id="223879966">
      <w:bodyDiv w:val="1"/>
      <w:marLeft w:val="0"/>
      <w:marRight w:val="0"/>
      <w:marTop w:val="0"/>
      <w:marBottom w:val="0"/>
      <w:divBdr>
        <w:top w:val="none" w:sz="0" w:space="0" w:color="auto"/>
        <w:left w:val="none" w:sz="0" w:space="0" w:color="auto"/>
        <w:bottom w:val="none" w:sz="0" w:space="0" w:color="auto"/>
        <w:right w:val="none" w:sz="0" w:space="0" w:color="auto"/>
      </w:divBdr>
    </w:div>
    <w:div w:id="247005270">
      <w:bodyDiv w:val="1"/>
      <w:marLeft w:val="0"/>
      <w:marRight w:val="0"/>
      <w:marTop w:val="0"/>
      <w:marBottom w:val="0"/>
      <w:divBdr>
        <w:top w:val="none" w:sz="0" w:space="0" w:color="auto"/>
        <w:left w:val="none" w:sz="0" w:space="0" w:color="auto"/>
        <w:bottom w:val="none" w:sz="0" w:space="0" w:color="auto"/>
        <w:right w:val="none" w:sz="0" w:space="0" w:color="auto"/>
      </w:divBdr>
    </w:div>
    <w:div w:id="256597176">
      <w:bodyDiv w:val="1"/>
      <w:marLeft w:val="0"/>
      <w:marRight w:val="0"/>
      <w:marTop w:val="0"/>
      <w:marBottom w:val="0"/>
      <w:divBdr>
        <w:top w:val="none" w:sz="0" w:space="0" w:color="auto"/>
        <w:left w:val="none" w:sz="0" w:space="0" w:color="auto"/>
        <w:bottom w:val="none" w:sz="0" w:space="0" w:color="auto"/>
        <w:right w:val="none" w:sz="0" w:space="0" w:color="auto"/>
      </w:divBdr>
    </w:div>
    <w:div w:id="264270522">
      <w:bodyDiv w:val="1"/>
      <w:marLeft w:val="0"/>
      <w:marRight w:val="0"/>
      <w:marTop w:val="0"/>
      <w:marBottom w:val="0"/>
      <w:divBdr>
        <w:top w:val="none" w:sz="0" w:space="0" w:color="auto"/>
        <w:left w:val="none" w:sz="0" w:space="0" w:color="auto"/>
        <w:bottom w:val="none" w:sz="0" w:space="0" w:color="auto"/>
        <w:right w:val="none" w:sz="0" w:space="0" w:color="auto"/>
      </w:divBdr>
    </w:div>
    <w:div w:id="267278124">
      <w:bodyDiv w:val="1"/>
      <w:marLeft w:val="0"/>
      <w:marRight w:val="0"/>
      <w:marTop w:val="0"/>
      <w:marBottom w:val="0"/>
      <w:divBdr>
        <w:top w:val="none" w:sz="0" w:space="0" w:color="auto"/>
        <w:left w:val="none" w:sz="0" w:space="0" w:color="auto"/>
        <w:bottom w:val="none" w:sz="0" w:space="0" w:color="auto"/>
        <w:right w:val="none" w:sz="0" w:space="0" w:color="auto"/>
      </w:divBdr>
    </w:div>
    <w:div w:id="284120104">
      <w:bodyDiv w:val="1"/>
      <w:marLeft w:val="0"/>
      <w:marRight w:val="0"/>
      <w:marTop w:val="0"/>
      <w:marBottom w:val="0"/>
      <w:divBdr>
        <w:top w:val="none" w:sz="0" w:space="0" w:color="auto"/>
        <w:left w:val="none" w:sz="0" w:space="0" w:color="auto"/>
        <w:bottom w:val="none" w:sz="0" w:space="0" w:color="auto"/>
        <w:right w:val="none" w:sz="0" w:space="0" w:color="auto"/>
      </w:divBdr>
    </w:div>
    <w:div w:id="305279491">
      <w:bodyDiv w:val="1"/>
      <w:marLeft w:val="0"/>
      <w:marRight w:val="0"/>
      <w:marTop w:val="0"/>
      <w:marBottom w:val="0"/>
      <w:divBdr>
        <w:top w:val="none" w:sz="0" w:space="0" w:color="auto"/>
        <w:left w:val="none" w:sz="0" w:space="0" w:color="auto"/>
        <w:bottom w:val="none" w:sz="0" w:space="0" w:color="auto"/>
        <w:right w:val="none" w:sz="0" w:space="0" w:color="auto"/>
      </w:divBdr>
    </w:div>
    <w:div w:id="307714537">
      <w:bodyDiv w:val="1"/>
      <w:marLeft w:val="0"/>
      <w:marRight w:val="0"/>
      <w:marTop w:val="0"/>
      <w:marBottom w:val="0"/>
      <w:divBdr>
        <w:top w:val="none" w:sz="0" w:space="0" w:color="auto"/>
        <w:left w:val="none" w:sz="0" w:space="0" w:color="auto"/>
        <w:bottom w:val="none" w:sz="0" w:space="0" w:color="auto"/>
        <w:right w:val="none" w:sz="0" w:space="0" w:color="auto"/>
      </w:divBdr>
    </w:div>
    <w:div w:id="307978220">
      <w:bodyDiv w:val="1"/>
      <w:marLeft w:val="0"/>
      <w:marRight w:val="0"/>
      <w:marTop w:val="0"/>
      <w:marBottom w:val="0"/>
      <w:divBdr>
        <w:top w:val="none" w:sz="0" w:space="0" w:color="auto"/>
        <w:left w:val="none" w:sz="0" w:space="0" w:color="auto"/>
        <w:bottom w:val="none" w:sz="0" w:space="0" w:color="auto"/>
        <w:right w:val="none" w:sz="0" w:space="0" w:color="auto"/>
      </w:divBdr>
    </w:div>
    <w:div w:id="322584708">
      <w:bodyDiv w:val="1"/>
      <w:marLeft w:val="0"/>
      <w:marRight w:val="0"/>
      <w:marTop w:val="0"/>
      <w:marBottom w:val="0"/>
      <w:divBdr>
        <w:top w:val="none" w:sz="0" w:space="0" w:color="auto"/>
        <w:left w:val="none" w:sz="0" w:space="0" w:color="auto"/>
        <w:bottom w:val="none" w:sz="0" w:space="0" w:color="auto"/>
        <w:right w:val="none" w:sz="0" w:space="0" w:color="auto"/>
      </w:divBdr>
    </w:div>
    <w:div w:id="339891167">
      <w:bodyDiv w:val="1"/>
      <w:marLeft w:val="0"/>
      <w:marRight w:val="0"/>
      <w:marTop w:val="0"/>
      <w:marBottom w:val="0"/>
      <w:divBdr>
        <w:top w:val="none" w:sz="0" w:space="0" w:color="auto"/>
        <w:left w:val="none" w:sz="0" w:space="0" w:color="auto"/>
        <w:bottom w:val="none" w:sz="0" w:space="0" w:color="auto"/>
        <w:right w:val="none" w:sz="0" w:space="0" w:color="auto"/>
      </w:divBdr>
    </w:div>
    <w:div w:id="342368275">
      <w:bodyDiv w:val="1"/>
      <w:marLeft w:val="0"/>
      <w:marRight w:val="0"/>
      <w:marTop w:val="0"/>
      <w:marBottom w:val="0"/>
      <w:divBdr>
        <w:top w:val="none" w:sz="0" w:space="0" w:color="auto"/>
        <w:left w:val="none" w:sz="0" w:space="0" w:color="auto"/>
        <w:bottom w:val="none" w:sz="0" w:space="0" w:color="auto"/>
        <w:right w:val="none" w:sz="0" w:space="0" w:color="auto"/>
      </w:divBdr>
    </w:div>
    <w:div w:id="355809236">
      <w:bodyDiv w:val="1"/>
      <w:marLeft w:val="0"/>
      <w:marRight w:val="0"/>
      <w:marTop w:val="0"/>
      <w:marBottom w:val="0"/>
      <w:divBdr>
        <w:top w:val="none" w:sz="0" w:space="0" w:color="auto"/>
        <w:left w:val="none" w:sz="0" w:space="0" w:color="auto"/>
        <w:bottom w:val="none" w:sz="0" w:space="0" w:color="auto"/>
        <w:right w:val="none" w:sz="0" w:space="0" w:color="auto"/>
      </w:divBdr>
    </w:div>
    <w:div w:id="383061509">
      <w:bodyDiv w:val="1"/>
      <w:marLeft w:val="0"/>
      <w:marRight w:val="0"/>
      <w:marTop w:val="0"/>
      <w:marBottom w:val="0"/>
      <w:divBdr>
        <w:top w:val="none" w:sz="0" w:space="0" w:color="auto"/>
        <w:left w:val="none" w:sz="0" w:space="0" w:color="auto"/>
        <w:bottom w:val="none" w:sz="0" w:space="0" w:color="auto"/>
        <w:right w:val="none" w:sz="0" w:space="0" w:color="auto"/>
      </w:divBdr>
    </w:div>
    <w:div w:id="389769325">
      <w:bodyDiv w:val="1"/>
      <w:marLeft w:val="0"/>
      <w:marRight w:val="0"/>
      <w:marTop w:val="0"/>
      <w:marBottom w:val="0"/>
      <w:divBdr>
        <w:top w:val="none" w:sz="0" w:space="0" w:color="auto"/>
        <w:left w:val="none" w:sz="0" w:space="0" w:color="auto"/>
        <w:bottom w:val="none" w:sz="0" w:space="0" w:color="auto"/>
        <w:right w:val="none" w:sz="0" w:space="0" w:color="auto"/>
      </w:divBdr>
    </w:div>
    <w:div w:id="417865721">
      <w:bodyDiv w:val="1"/>
      <w:marLeft w:val="0"/>
      <w:marRight w:val="0"/>
      <w:marTop w:val="0"/>
      <w:marBottom w:val="0"/>
      <w:divBdr>
        <w:top w:val="none" w:sz="0" w:space="0" w:color="auto"/>
        <w:left w:val="none" w:sz="0" w:space="0" w:color="auto"/>
        <w:bottom w:val="none" w:sz="0" w:space="0" w:color="auto"/>
        <w:right w:val="none" w:sz="0" w:space="0" w:color="auto"/>
      </w:divBdr>
    </w:div>
    <w:div w:id="422798880">
      <w:bodyDiv w:val="1"/>
      <w:marLeft w:val="0"/>
      <w:marRight w:val="5"/>
      <w:marTop w:val="0"/>
      <w:marBottom w:val="543"/>
      <w:divBdr>
        <w:top w:val="none" w:sz="0" w:space="0" w:color="auto"/>
        <w:left w:val="none" w:sz="0" w:space="0" w:color="auto"/>
        <w:bottom w:val="none" w:sz="0" w:space="0" w:color="auto"/>
        <w:right w:val="none" w:sz="0" w:space="0" w:color="auto"/>
      </w:divBdr>
      <w:divsChild>
        <w:div w:id="50925366">
          <w:marLeft w:val="2051"/>
          <w:marRight w:val="0"/>
          <w:marTop w:val="408"/>
          <w:marBottom w:val="272"/>
          <w:divBdr>
            <w:top w:val="none" w:sz="0" w:space="0" w:color="auto"/>
            <w:left w:val="none" w:sz="0" w:space="0" w:color="auto"/>
            <w:bottom w:val="none" w:sz="0" w:space="0" w:color="auto"/>
            <w:right w:val="none" w:sz="0" w:space="0" w:color="auto"/>
          </w:divBdr>
        </w:div>
      </w:divsChild>
    </w:div>
    <w:div w:id="426342283">
      <w:bodyDiv w:val="1"/>
      <w:marLeft w:val="0"/>
      <w:marRight w:val="0"/>
      <w:marTop w:val="0"/>
      <w:marBottom w:val="0"/>
      <w:divBdr>
        <w:top w:val="none" w:sz="0" w:space="0" w:color="auto"/>
        <w:left w:val="none" w:sz="0" w:space="0" w:color="auto"/>
        <w:bottom w:val="none" w:sz="0" w:space="0" w:color="auto"/>
        <w:right w:val="none" w:sz="0" w:space="0" w:color="auto"/>
      </w:divBdr>
    </w:div>
    <w:div w:id="432746852">
      <w:bodyDiv w:val="1"/>
      <w:marLeft w:val="0"/>
      <w:marRight w:val="0"/>
      <w:marTop w:val="0"/>
      <w:marBottom w:val="0"/>
      <w:divBdr>
        <w:top w:val="none" w:sz="0" w:space="0" w:color="auto"/>
        <w:left w:val="none" w:sz="0" w:space="0" w:color="auto"/>
        <w:bottom w:val="none" w:sz="0" w:space="0" w:color="auto"/>
        <w:right w:val="none" w:sz="0" w:space="0" w:color="auto"/>
      </w:divBdr>
    </w:div>
    <w:div w:id="448091735">
      <w:bodyDiv w:val="1"/>
      <w:marLeft w:val="0"/>
      <w:marRight w:val="0"/>
      <w:marTop w:val="0"/>
      <w:marBottom w:val="0"/>
      <w:divBdr>
        <w:top w:val="none" w:sz="0" w:space="0" w:color="auto"/>
        <w:left w:val="none" w:sz="0" w:space="0" w:color="auto"/>
        <w:bottom w:val="none" w:sz="0" w:space="0" w:color="auto"/>
        <w:right w:val="none" w:sz="0" w:space="0" w:color="auto"/>
      </w:divBdr>
    </w:div>
    <w:div w:id="448158559">
      <w:bodyDiv w:val="1"/>
      <w:marLeft w:val="0"/>
      <w:marRight w:val="5"/>
      <w:marTop w:val="0"/>
      <w:marBottom w:val="670"/>
      <w:divBdr>
        <w:top w:val="none" w:sz="0" w:space="0" w:color="auto"/>
        <w:left w:val="none" w:sz="0" w:space="0" w:color="auto"/>
        <w:bottom w:val="none" w:sz="0" w:space="0" w:color="auto"/>
        <w:right w:val="none" w:sz="0" w:space="0" w:color="auto"/>
      </w:divBdr>
      <w:divsChild>
        <w:div w:id="1121388145">
          <w:marLeft w:val="2528"/>
          <w:marRight w:val="0"/>
          <w:marTop w:val="502"/>
          <w:marBottom w:val="335"/>
          <w:divBdr>
            <w:top w:val="none" w:sz="0" w:space="0" w:color="auto"/>
            <w:left w:val="none" w:sz="0" w:space="0" w:color="auto"/>
            <w:bottom w:val="none" w:sz="0" w:space="0" w:color="auto"/>
            <w:right w:val="none" w:sz="0" w:space="0" w:color="auto"/>
          </w:divBdr>
        </w:div>
      </w:divsChild>
    </w:div>
    <w:div w:id="448283061">
      <w:bodyDiv w:val="1"/>
      <w:marLeft w:val="0"/>
      <w:marRight w:val="0"/>
      <w:marTop w:val="0"/>
      <w:marBottom w:val="0"/>
      <w:divBdr>
        <w:top w:val="none" w:sz="0" w:space="0" w:color="auto"/>
        <w:left w:val="none" w:sz="0" w:space="0" w:color="auto"/>
        <w:bottom w:val="none" w:sz="0" w:space="0" w:color="auto"/>
        <w:right w:val="none" w:sz="0" w:space="0" w:color="auto"/>
      </w:divBdr>
    </w:div>
    <w:div w:id="449014365">
      <w:bodyDiv w:val="1"/>
      <w:marLeft w:val="0"/>
      <w:marRight w:val="0"/>
      <w:marTop w:val="0"/>
      <w:marBottom w:val="0"/>
      <w:divBdr>
        <w:top w:val="none" w:sz="0" w:space="0" w:color="auto"/>
        <w:left w:val="none" w:sz="0" w:space="0" w:color="auto"/>
        <w:bottom w:val="none" w:sz="0" w:space="0" w:color="auto"/>
        <w:right w:val="none" w:sz="0" w:space="0" w:color="auto"/>
      </w:divBdr>
    </w:div>
    <w:div w:id="451630613">
      <w:bodyDiv w:val="1"/>
      <w:marLeft w:val="0"/>
      <w:marRight w:val="0"/>
      <w:marTop w:val="0"/>
      <w:marBottom w:val="0"/>
      <w:divBdr>
        <w:top w:val="none" w:sz="0" w:space="0" w:color="auto"/>
        <w:left w:val="none" w:sz="0" w:space="0" w:color="auto"/>
        <w:bottom w:val="none" w:sz="0" w:space="0" w:color="auto"/>
        <w:right w:val="none" w:sz="0" w:space="0" w:color="auto"/>
      </w:divBdr>
    </w:div>
    <w:div w:id="469053146">
      <w:bodyDiv w:val="1"/>
      <w:marLeft w:val="0"/>
      <w:marRight w:val="0"/>
      <w:marTop w:val="0"/>
      <w:marBottom w:val="0"/>
      <w:divBdr>
        <w:top w:val="none" w:sz="0" w:space="0" w:color="auto"/>
        <w:left w:val="none" w:sz="0" w:space="0" w:color="auto"/>
        <w:bottom w:val="none" w:sz="0" w:space="0" w:color="auto"/>
        <w:right w:val="none" w:sz="0" w:space="0" w:color="auto"/>
      </w:divBdr>
    </w:div>
    <w:div w:id="491915957">
      <w:bodyDiv w:val="1"/>
      <w:marLeft w:val="0"/>
      <w:marRight w:val="0"/>
      <w:marTop w:val="0"/>
      <w:marBottom w:val="0"/>
      <w:divBdr>
        <w:top w:val="none" w:sz="0" w:space="0" w:color="auto"/>
        <w:left w:val="none" w:sz="0" w:space="0" w:color="auto"/>
        <w:bottom w:val="none" w:sz="0" w:space="0" w:color="auto"/>
        <w:right w:val="none" w:sz="0" w:space="0" w:color="auto"/>
      </w:divBdr>
    </w:div>
    <w:div w:id="512500599">
      <w:bodyDiv w:val="1"/>
      <w:marLeft w:val="0"/>
      <w:marRight w:val="0"/>
      <w:marTop w:val="0"/>
      <w:marBottom w:val="0"/>
      <w:divBdr>
        <w:top w:val="none" w:sz="0" w:space="0" w:color="auto"/>
        <w:left w:val="none" w:sz="0" w:space="0" w:color="auto"/>
        <w:bottom w:val="none" w:sz="0" w:space="0" w:color="auto"/>
        <w:right w:val="none" w:sz="0" w:space="0" w:color="auto"/>
      </w:divBdr>
    </w:div>
    <w:div w:id="516700385">
      <w:bodyDiv w:val="1"/>
      <w:marLeft w:val="0"/>
      <w:marRight w:val="0"/>
      <w:marTop w:val="0"/>
      <w:marBottom w:val="0"/>
      <w:divBdr>
        <w:top w:val="none" w:sz="0" w:space="0" w:color="auto"/>
        <w:left w:val="none" w:sz="0" w:space="0" w:color="auto"/>
        <w:bottom w:val="none" w:sz="0" w:space="0" w:color="auto"/>
        <w:right w:val="none" w:sz="0" w:space="0" w:color="auto"/>
      </w:divBdr>
    </w:div>
    <w:div w:id="528493763">
      <w:bodyDiv w:val="1"/>
      <w:marLeft w:val="0"/>
      <w:marRight w:val="0"/>
      <w:marTop w:val="0"/>
      <w:marBottom w:val="0"/>
      <w:divBdr>
        <w:top w:val="none" w:sz="0" w:space="0" w:color="auto"/>
        <w:left w:val="none" w:sz="0" w:space="0" w:color="auto"/>
        <w:bottom w:val="none" w:sz="0" w:space="0" w:color="auto"/>
        <w:right w:val="none" w:sz="0" w:space="0" w:color="auto"/>
      </w:divBdr>
    </w:div>
    <w:div w:id="534778742">
      <w:bodyDiv w:val="1"/>
      <w:marLeft w:val="0"/>
      <w:marRight w:val="0"/>
      <w:marTop w:val="0"/>
      <w:marBottom w:val="0"/>
      <w:divBdr>
        <w:top w:val="none" w:sz="0" w:space="0" w:color="auto"/>
        <w:left w:val="none" w:sz="0" w:space="0" w:color="auto"/>
        <w:bottom w:val="none" w:sz="0" w:space="0" w:color="auto"/>
        <w:right w:val="none" w:sz="0" w:space="0" w:color="auto"/>
      </w:divBdr>
    </w:div>
    <w:div w:id="583534818">
      <w:bodyDiv w:val="1"/>
      <w:marLeft w:val="0"/>
      <w:marRight w:val="0"/>
      <w:marTop w:val="0"/>
      <w:marBottom w:val="0"/>
      <w:divBdr>
        <w:top w:val="none" w:sz="0" w:space="0" w:color="auto"/>
        <w:left w:val="none" w:sz="0" w:space="0" w:color="auto"/>
        <w:bottom w:val="none" w:sz="0" w:space="0" w:color="auto"/>
        <w:right w:val="none" w:sz="0" w:space="0" w:color="auto"/>
      </w:divBdr>
    </w:div>
    <w:div w:id="598291584">
      <w:bodyDiv w:val="1"/>
      <w:marLeft w:val="0"/>
      <w:marRight w:val="0"/>
      <w:marTop w:val="0"/>
      <w:marBottom w:val="0"/>
      <w:divBdr>
        <w:top w:val="none" w:sz="0" w:space="0" w:color="auto"/>
        <w:left w:val="none" w:sz="0" w:space="0" w:color="auto"/>
        <w:bottom w:val="none" w:sz="0" w:space="0" w:color="auto"/>
        <w:right w:val="none" w:sz="0" w:space="0" w:color="auto"/>
      </w:divBdr>
    </w:div>
    <w:div w:id="599066742">
      <w:bodyDiv w:val="1"/>
      <w:marLeft w:val="0"/>
      <w:marRight w:val="0"/>
      <w:marTop w:val="0"/>
      <w:marBottom w:val="0"/>
      <w:divBdr>
        <w:top w:val="none" w:sz="0" w:space="0" w:color="auto"/>
        <w:left w:val="none" w:sz="0" w:space="0" w:color="auto"/>
        <w:bottom w:val="none" w:sz="0" w:space="0" w:color="auto"/>
        <w:right w:val="none" w:sz="0" w:space="0" w:color="auto"/>
      </w:divBdr>
    </w:div>
    <w:div w:id="600604302">
      <w:bodyDiv w:val="1"/>
      <w:marLeft w:val="0"/>
      <w:marRight w:val="0"/>
      <w:marTop w:val="0"/>
      <w:marBottom w:val="0"/>
      <w:divBdr>
        <w:top w:val="none" w:sz="0" w:space="0" w:color="auto"/>
        <w:left w:val="none" w:sz="0" w:space="0" w:color="auto"/>
        <w:bottom w:val="none" w:sz="0" w:space="0" w:color="auto"/>
        <w:right w:val="none" w:sz="0" w:space="0" w:color="auto"/>
      </w:divBdr>
    </w:div>
    <w:div w:id="651642653">
      <w:bodyDiv w:val="1"/>
      <w:marLeft w:val="0"/>
      <w:marRight w:val="0"/>
      <w:marTop w:val="0"/>
      <w:marBottom w:val="0"/>
      <w:divBdr>
        <w:top w:val="none" w:sz="0" w:space="0" w:color="auto"/>
        <w:left w:val="none" w:sz="0" w:space="0" w:color="auto"/>
        <w:bottom w:val="none" w:sz="0" w:space="0" w:color="auto"/>
        <w:right w:val="none" w:sz="0" w:space="0" w:color="auto"/>
      </w:divBdr>
    </w:div>
    <w:div w:id="661616809">
      <w:bodyDiv w:val="1"/>
      <w:marLeft w:val="0"/>
      <w:marRight w:val="0"/>
      <w:marTop w:val="0"/>
      <w:marBottom w:val="0"/>
      <w:divBdr>
        <w:top w:val="none" w:sz="0" w:space="0" w:color="auto"/>
        <w:left w:val="none" w:sz="0" w:space="0" w:color="auto"/>
        <w:bottom w:val="none" w:sz="0" w:space="0" w:color="auto"/>
        <w:right w:val="none" w:sz="0" w:space="0" w:color="auto"/>
      </w:divBdr>
    </w:div>
    <w:div w:id="670329289">
      <w:bodyDiv w:val="1"/>
      <w:marLeft w:val="0"/>
      <w:marRight w:val="0"/>
      <w:marTop w:val="0"/>
      <w:marBottom w:val="0"/>
      <w:divBdr>
        <w:top w:val="none" w:sz="0" w:space="0" w:color="auto"/>
        <w:left w:val="none" w:sz="0" w:space="0" w:color="auto"/>
        <w:bottom w:val="none" w:sz="0" w:space="0" w:color="auto"/>
        <w:right w:val="none" w:sz="0" w:space="0" w:color="auto"/>
      </w:divBdr>
    </w:div>
    <w:div w:id="696200129">
      <w:bodyDiv w:val="1"/>
      <w:marLeft w:val="0"/>
      <w:marRight w:val="0"/>
      <w:marTop w:val="0"/>
      <w:marBottom w:val="0"/>
      <w:divBdr>
        <w:top w:val="none" w:sz="0" w:space="0" w:color="auto"/>
        <w:left w:val="none" w:sz="0" w:space="0" w:color="auto"/>
        <w:bottom w:val="none" w:sz="0" w:space="0" w:color="auto"/>
        <w:right w:val="none" w:sz="0" w:space="0" w:color="auto"/>
      </w:divBdr>
    </w:div>
    <w:div w:id="710769389">
      <w:bodyDiv w:val="1"/>
      <w:marLeft w:val="0"/>
      <w:marRight w:val="0"/>
      <w:marTop w:val="0"/>
      <w:marBottom w:val="0"/>
      <w:divBdr>
        <w:top w:val="none" w:sz="0" w:space="0" w:color="auto"/>
        <w:left w:val="none" w:sz="0" w:space="0" w:color="auto"/>
        <w:bottom w:val="none" w:sz="0" w:space="0" w:color="auto"/>
        <w:right w:val="none" w:sz="0" w:space="0" w:color="auto"/>
      </w:divBdr>
    </w:div>
    <w:div w:id="739714970">
      <w:bodyDiv w:val="1"/>
      <w:marLeft w:val="0"/>
      <w:marRight w:val="0"/>
      <w:marTop w:val="0"/>
      <w:marBottom w:val="0"/>
      <w:divBdr>
        <w:top w:val="none" w:sz="0" w:space="0" w:color="auto"/>
        <w:left w:val="none" w:sz="0" w:space="0" w:color="auto"/>
        <w:bottom w:val="none" w:sz="0" w:space="0" w:color="auto"/>
        <w:right w:val="none" w:sz="0" w:space="0" w:color="auto"/>
      </w:divBdr>
    </w:div>
    <w:div w:id="779446591">
      <w:bodyDiv w:val="1"/>
      <w:marLeft w:val="0"/>
      <w:marRight w:val="0"/>
      <w:marTop w:val="0"/>
      <w:marBottom w:val="0"/>
      <w:divBdr>
        <w:top w:val="none" w:sz="0" w:space="0" w:color="auto"/>
        <w:left w:val="none" w:sz="0" w:space="0" w:color="auto"/>
        <w:bottom w:val="none" w:sz="0" w:space="0" w:color="auto"/>
        <w:right w:val="none" w:sz="0" w:space="0" w:color="auto"/>
      </w:divBdr>
    </w:div>
    <w:div w:id="810563591">
      <w:bodyDiv w:val="1"/>
      <w:marLeft w:val="0"/>
      <w:marRight w:val="0"/>
      <w:marTop w:val="0"/>
      <w:marBottom w:val="0"/>
      <w:divBdr>
        <w:top w:val="none" w:sz="0" w:space="0" w:color="auto"/>
        <w:left w:val="none" w:sz="0" w:space="0" w:color="auto"/>
        <w:bottom w:val="none" w:sz="0" w:space="0" w:color="auto"/>
        <w:right w:val="none" w:sz="0" w:space="0" w:color="auto"/>
      </w:divBdr>
    </w:div>
    <w:div w:id="820732944">
      <w:bodyDiv w:val="1"/>
      <w:marLeft w:val="0"/>
      <w:marRight w:val="0"/>
      <w:marTop w:val="0"/>
      <w:marBottom w:val="0"/>
      <w:divBdr>
        <w:top w:val="none" w:sz="0" w:space="0" w:color="auto"/>
        <w:left w:val="none" w:sz="0" w:space="0" w:color="auto"/>
        <w:bottom w:val="none" w:sz="0" w:space="0" w:color="auto"/>
        <w:right w:val="none" w:sz="0" w:space="0" w:color="auto"/>
      </w:divBdr>
    </w:div>
    <w:div w:id="825047246">
      <w:bodyDiv w:val="1"/>
      <w:marLeft w:val="0"/>
      <w:marRight w:val="0"/>
      <w:marTop w:val="0"/>
      <w:marBottom w:val="0"/>
      <w:divBdr>
        <w:top w:val="none" w:sz="0" w:space="0" w:color="auto"/>
        <w:left w:val="none" w:sz="0" w:space="0" w:color="auto"/>
        <w:bottom w:val="none" w:sz="0" w:space="0" w:color="auto"/>
        <w:right w:val="none" w:sz="0" w:space="0" w:color="auto"/>
      </w:divBdr>
    </w:div>
    <w:div w:id="843858968">
      <w:bodyDiv w:val="1"/>
      <w:marLeft w:val="0"/>
      <w:marRight w:val="0"/>
      <w:marTop w:val="0"/>
      <w:marBottom w:val="0"/>
      <w:divBdr>
        <w:top w:val="none" w:sz="0" w:space="0" w:color="auto"/>
        <w:left w:val="none" w:sz="0" w:space="0" w:color="auto"/>
        <w:bottom w:val="none" w:sz="0" w:space="0" w:color="auto"/>
        <w:right w:val="none" w:sz="0" w:space="0" w:color="auto"/>
      </w:divBdr>
    </w:div>
    <w:div w:id="848910849">
      <w:bodyDiv w:val="1"/>
      <w:marLeft w:val="0"/>
      <w:marRight w:val="0"/>
      <w:marTop w:val="0"/>
      <w:marBottom w:val="0"/>
      <w:divBdr>
        <w:top w:val="none" w:sz="0" w:space="0" w:color="auto"/>
        <w:left w:val="none" w:sz="0" w:space="0" w:color="auto"/>
        <w:bottom w:val="none" w:sz="0" w:space="0" w:color="auto"/>
        <w:right w:val="none" w:sz="0" w:space="0" w:color="auto"/>
      </w:divBdr>
    </w:div>
    <w:div w:id="863398408">
      <w:bodyDiv w:val="1"/>
      <w:marLeft w:val="0"/>
      <w:marRight w:val="0"/>
      <w:marTop w:val="0"/>
      <w:marBottom w:val="0"/>
      <w:divBdr>
        <w:top w:val="none" w:sz="0" w:space="0" w:color="auto"/>
        <w:left w:val="none" w:sz="0" w:space="0" w:color="auto"/>
        <w:bottom w:val="none" w:sz="0" w:space="0" w:color="auto"/>
        <w:right w:val="none" w:sz="0" w:space="0" w:color="auto"/>
      </w:divBdr>
    </w:div>
    <w:div w:id="863787861">
      <w:bodyDiv w:val="1"/>
      <w:marLeft w:val="0"/>
      <w:marRight w:val="0"/>
      <w:marTop w:val="0"/>
      <w:marBottom w:val="0"/>
      <w:divBdr>
        <w:top w:val="none" w:sz="0" w:space="0" w:color="auto"/>
        <w:left w:val="none" w:sz="0" w:space="0" w:color="auto"/>
        <w:bottom w:val="none" w:sz="0" w:space="0" w:color="auto"/>
        <w:right w:val="none" w:sz="0" w:space="0" w:color="auto"/>
      </w:divBdr>
    </w:div>
    <w:div w:id="866793481">
      <w:bodyDiv w:val="1"/>
      <w:marLeft w:val="0"/>
      <w:marRight w:val="0"/>
      <w:marTop w:val="0"/>
      <w:marBottom w:val="0"/>
      <w:divBdr>
        <w:top w:val="none" w:sz="0" w:space="0" w:color="auto"/>
        <w:left w:val="none" w:sz="0" w:space="0" w:color="auto"/>
        <w:bottom w:val="none" w:sz="0" w:space="0" w:color="auto"/>
        <w:right w:val="none" w:sz="0" w:space="0" w:color="auto"/>
      </w:divBdr>
    </w:div>
    <w:div w:id="870728203">
      <w:bodyDiv w:val="1"/>
      <w:marLeft w:val="0"/>
      <w:marRight w:val="0"/>
      <w:marTop w:val="0"/>
      <w:marBottom w:val="0"/>
      <w:divBdr>
        <w:top w:val="none" w:sz="0" w:space="0" w:color="auto"/>
        <w:left w:val="none" w:sz="0" w:space="0" w:color="auto"/>
        <w:bottom w:val="none" w:sz="0" w:space="0" w:color="auto"/>
        <w:right w:val="none" w:sz="0" w:space="0" w:color="auto"/>
      </w:divBdr>
    </w:div>
    <w:div w:id="873149893">
      <w:bodyDiv w:val="1"/>
      <w:marLeft w:val="0"/>
      <w:marRight w:val="0"/>
      <w:marTop w:val="0"/>
      <w:marBottom w:val="0"/>
      <w:divBdr>
        <w:top w:val="none" w:sz="0" w:space="0" w:color="auto"/>
        <w:left w:val="none" w:sz="0" w:space="0" w:color="auto"/>
        <w:bottom w:val="none" w:sz="0" w:space="0" w:color="auto"/>
        <w:right w:val="none" w:sz="0" w:space="0" w:color="auto"/>
      </w:divBdr>
    </w:div>
    <w:div w:id="873346610">
      <w:bodyDiv w:val="1"/>
      <w:marLeft w:val="0"/>
      <w:marRight w:val="0"/>
      <w:marTop w:val="0"/>
      <w:marBottom w:val="0"/>
      <w:divBdr>
        <w:top w:val="none" w:sz="0" w:space="0" w:color="auto"/>
        <w:left w:val="none" w:sz="0" w:space="0" w:color="auto"/>
        <w:bottom w:val="none" w:sz="0" w:space="0" w:color="auto"/>
        <w:right w:val="none" w:sz="0" w:space="0" w:color="auto"/>
      </w:divBdr>
    </w:div>
    <w:div w:id="888882520">
      <w:bodyDiv w:val="1"/>
      <w:marLeft w:val="0"/>
      <w:marRight w:val="0"/>
      <w:marTop w:val="0"/>
      <w:marBottom w:val="0"/>
      <w:divBdr>
        <w:top w:val="none" w:sz="0" w:space="0" w:color="auto"/>
        <w:left w:val="none" w:sz="0" w:space="0" w:color="auto"/>
        <w:bottom w:val="none" w:sz="0" w:space="0" w:color="auto"/>
        <w:right w:val="none" w:sz="0" w:space="0" w:color="auto"/>
      </w:divBdr>
    </w:div>
    <w:div w:id="888956025">
      <w:bodyDiv w:val="1"/>
      <w:marLeft w:val="0"/>
      <w:marRight w:val="0"/>
      <w:marTop w:val="0"/>
      <w:marBottom w:val="0"/>
      <w:divBdr>
        <w:top w:val="none" w:sz="0" w:space="0" w:color="auto"/>
        <w:left w:val="none" w:sz="0" w:space="0" w:color="auto"/>
        <w:bottom w:val="none" w:sz="0" w:space="0" w:color="auto"/>
        <w:right w:val="none" w:sz="0" w:space="0" w:color="auto"/>
      </w:divBdr>
    </w:div>
    <w:div w:id="892932489">
      <w:bodyDiv w:val="1"/>
      <w:marLeft w:val="0"/>
      <w:marRight w:val="0"/>
      <w:marTop w:val="0"/>
      <w:marBottom w:val="0"/>
      <w:divBdr>
        <w:top w:val="none" w:sz="0" w:space="0" w:color="auto"/>
        <w:left w:val="none" w:sz="0" w:space="0" w:color="auto"/>
        <w:bottom w:val="none" w:sz="0" w:space="0" w:color="auto"/>
        <w:right w:val="none" w:sz="0" w:space="0" w:color="auto"/>
      </w:divBdr>
    </w:div>
    <w:div w:id="894776172">
      <w:bodyDiv w:val="1"/>
      <w:marLeft w:val="0"/>
      <w:marRight w:val="0"/>
      <w:marTop w:val="0"/>
      <w:marBottom w:val="0"/>
      <w:divBdr>
        <w:top w:val="none" w:sz="0" w:space="0" w:color="auto"/>
        <w:left w:val="none" w:sz="0" w:space="0" w:color="auto"/>
        <w:bottom w:val="none" w:sz="0" w:space="0" w:color="auto"/>
        <w:right w:val="none" w:sz="0" w:space="0" w:color="auto"/>
      </w:divBdr>
    </w:div>
    <w:div w:id="900672947">
      <w:bodyDiv w:val="1"/>
      <w:marLeft w:val="0"/>
      <w:marRight w:val="0"/>
      <w:marTop w:val="0"/>
      <w:marBottom w:val="0"/>
      <w:divBdr>
        <w:top w:val="none" w:sz="0" w:space="0" w:color="auto"/>
        <w:left w:val="none" w:sz="0" w:space="0" w:color="auto"/>
        <w:bottom w:val="none" w:sz="0" w:space="0" w:color="auto"/>
        <w:right w:val="none" w:sz="0" w:space="0" w:color="auto"/>
      </w:divBdr>
    </w:div>
    <w:div w:id="915625890">
      <w:bodyDiv w:val="1"/>
      <w:marLeft w:val="0"/>
      <w:marRight w:val="0"/>
      <w:marTop w:val="0"/>
      <w:marBottom w:val="0"/>
      <w:divBdr>
        <w:top w:val="none" w:sz="0" w:space="0" w:color="auto"/>
        <w:left w:val="none" w:sz="0" w:space="0" w:color="auto"/>
        <w:bottom w:val="none" w:sz="0" w:space="0" w:color="auto"/>
        <w:right w:val="none" w:sz="0" w:space="0" w:color="auto"/>
      </w:divBdr>
    </w:div>
    <w:div w:id="940261647">
      <w:bodyDiv w:val="1"/>
      <w:marLeft w:val="0"/>
      <w:marRight w:val="0"/>
      <w:marTop w:val="0"/>
      <w:marBottom w:val="0"/>
      <w:divBdr>
        <w:top w:val="none" w:sz="0" w:space="0" w:color="auto"/>
        <w:left w:val="none" w:sz="0" w:space="0" w:color="auto"/>
        <w:bottom w:val="none" w:sz="0" w:space="0" w:color="auto"/>
        <w:right w:val="none" w:sz="0" w:space="0" w:color="auto"/>
      </w:divBdr>
    </w:div>
    <w:div w:id="942226552">
      <w:bodyDiv w:val="1"/>
      <w:marLeft w:val="0"/>
      <w:marRight w:val="0"/>
      <w:marTop w:val="0"/>
      <w:marBottom w:val="0"/>
      <w:divBdr>
        <w:top w:val="none" w:sz="0" w:space="0" w:color="auto"/>
        <w:left w:val="none" w:sz="0" w:space="0" w:color="auto"/>
        <w:bottom w:val="none" w:sz="0" w:space="0" w:color="auto"/>
        <w:right w:val="none" w:sz="0" w:space="0" w:color="auto"/>
      </w:divBdr>
    </w:div>
    <w:div w:id="970130388">
      <w:bodyDiv w:val="1"/>
      <w:marLeft w:val="0"/>
      <w:marRight w:val="0"/>
      <w:marTop w:val="0"/>
      <w:marBottom w:val="0"/>
      <w:divBdr>
        <w:top w:val="none" w:sz="0" w:space="0" w:color="auto"/>
        <w:left w:val="none" w:sz="0" w:space="0" w:color="auto"/>
        <w:bottom w:val="none" w:sz="0" w:space="0" w:color="auto"/>
        <w:right w:val="none" w:sz="0" w:space="0" w:color="auto"/>
      </w:divBdr>
    </w:div>
    <w:div w:id="974409856">
      <w:bodyDiv w:val="1"/>
      <w:marLeft w:val="0"/>
      <w:marRight w:val="0"/>
      <w:marTop w:val="0"/>
      <w:marBottom w:val="0"/>
      <w:divBdr>
        <w:top w:val="none" w:sz="0" w:space="0" w:color="auto"/>
        <w:left w:val="none" w:sz="0" w:space="0" w:color="auto"/>
        <w:bottom w:val="none" w:sz="0" w:space="0" w:color="auto"/>
        <w:right w:val="none" w:sz="0" w:space="0" w:color="auto"/>
      </w:divBdr>
    </w:div>
    <w:div w:id="999503866">
      <w:bodyDiv w:val="1"/>
      <w:marLeft w:val="0"/>
      <w:marRight w:val="0"/>
      <w:marTop w:val="0"/>
      <w:marBottom w:val="0"/>
      <w:divBdr>
        <w:top w:val="none" w:sz="0" w:space="0" w:color="auto"/>
        <w:left w:val="none" w:sz="0" w:space="0" w:color="auto"/>
        <w:bottom w:val="none" w:sz="0" w:space="0" w:color="auto"/>
        <w:right w:val="none" w:sz="0" w:space="0" w:color="auto"/>
      </w:divBdr>
    </w:div>
    <w:div w:id="999848148">
      <w:bodyDiv w:val="1"/>
      <w:marLeft w:val="0"/>
      <w:marRight w:val="0"/>
      <w:marTop w:val="0"/>
      <w:marBottom w:val="0"/>
      <w:divBdr>
        <w:top w:val="none" w:sz="0" w:space="0" w:color="auto"/>
        <w:left w:val="none" w:sz="0" w:space="0" w:color="auto"/>
        <w:bottom w:val="none" w:sz="0" w:space="0" w:color="auto"/>
        <w:right w:val="none" w:sz="0" w:space="0" w:color="auto"/>
      </w:divBdr>
    </w:div>
    <w:div w:id="999965622">
      <w:bodyDiv w:val="1"/>
      <w:marLeft w:val="0"/>
      <w:marRight w:val="0"/>
      <w:marTop w:val="0"/>
      <w:marBottom w:val="0"/>
      <w:divBdr>
        <w:top w:val="none" w:sz="0" w:space="0" w:color="auto"/>
        <w:left w:val="none" w:sz="0" w:space="0" w:color="auto"/>
        <w:bottom w:val="none" w:sz="0" w:space="0" w:color="auto"/>
        <w:right w:val="none" w:sz="0" w:space="0" w:color="auto"/>
      </w:divBdr>
    </w:div>
    <w:div w:id="1011681500">
      <w:bodyDiv w:val="1"/>
      <w:marLeft w:val="0"/>
      <w:marRight w:val="0"/>
      <w:marTop w:val="0"/>
      <w:marBottom w:val="0"/>
      <w:divBdr>
        <w:top w:val="none" w:sz="0" w:space="0" w:color="auto"/>
        <w:left w:val="none" w:sz="0" w:space="0" w:color="auto"/>
        <w:bottom w:val="none" w:sz="0" w:space="0" w:color="auto"/>
        <w:right w:val="none" w:sz="0" w:space="0" w:color="auto"/>
      </w:divBdr>
    </w:div>
    <w:div w:id="1025520166">
      <w:bodyDiv w:val="1"/>
      <w:marLeft w:val="0"/>
      <w:marRight w:val="0"/>
      <w:marTop w:val="0"/>
      <w:marBottom w:val="0"/>
      <w:divBdr>
        <w:top w:val="none" w:sz="0" w:space="0" w:color="auto"/>
        <w:left w:val="none" w:sz="0" w:space="0" w:color="auto"/>
        <w:bottom w:val="none" w:sz="0" w:space="0" w:color="auto"/>
        <w:right w:val="none" w:sz="0" w:space="0" w:color="auto"/>
      </w:divBdr>
    </w:div>
    <w:div w:id="1027605403">
      <w:bodyDiv w:val="1"/>
      <w:marLeft w:val="0"/>
      <w:marRight w:val="0"/>
      <w:marTop w:val="0"/>
      <w:marBottom w:val="0"/>
      <w:divBdr>
        <w:top w:val="none" w:sz="0" w:space="0" w:color="auto"/>
        <w:left w:val="none" w:sz="0" w:space="0" w:color="auto"/>
        <w:bottom w:val="none" w:sz="0" w:space="0" w:color="auto"/>
        <w:right w:val="none" w:sz="0" w:space="0" w:color="auto"/>
      </w:divBdr>
    </w:div>
    <w:div w:id="1034379701">
      <w:bodyDiv w:val="1"/>
      <w:marLeft w:val="0"/>
      <w:marRight w:val="0"/>
      <w:marTop w:val="0"/>
      <w:marBottom w:val="0"/>
      <w:divBdr>
        <w:top w:val="none" w:sz="0" w:space="0" w:color="auto"/>
        <w:left w:val="none" w:sz="0" w:space="0" w:color="auto"/>
        <w:bottom w:val="none" w:sz="0" w:space="0" w:color="auto"/>
        <w:right w:val="none" w:sz="0" w:space="0" w:color="auto"/>
      </w:divBdr>
    </w:div>
    <w:div w:id="1037125132">
      <w:bodyDiv w:val="1"/>
      <w:marLeft w:val="0"/>
      <w:marRight w:val="0"/>
      <w:marTop w:val="0"/>
      <w:marBottom w:val="0"/>
      <w:divBdr>
        <w:top w:val="none" w:sz="0" w:space="0" w:color="auto"/>
        <w:left w:val="none" w:sz="0" w:space="0" w:color="auto"/>
        <w:bottom w:val="none" w:sz="0" w:space="0" w:color="auto"/>
        <w:right w:val="none" w:sz="0" w:space="0" w:color="auto"/>
      </w:divBdr>
    </w:div>
    <w:div w:id="1056590718">
      <w:bodyDiv w:val="1"/>
      <w:marLeft w:val="0"/>
      <w:marRight w:val="0"/>
      <w:marTop w:val="0"/>
      <w:marBottom w:val="0"/>
      <w:divBdr>
        <w:top w:val="none" w:sz="0" w:space="0" w:color="auto"/>
        <w:left w:val="none" w:sz="0" w:space="0" w:color="auto"/>
        <w:bottom w:val="none" w:sz="0" w:space="0" w:color="auto"/>
        <w:right w:val="none" w:sz="0" w:space="0" w:color="auto"/>
      </w:divBdr>
    </w:div>
    <w:div w:id="1064255705">
      <w:bodyDiv w:val="1"/>
      <w:marLeft w:val="0"/>
      <w:marRight w:val="5"/>
      <w:marTop w:val="0"/>
      <w:marBottom w:val="670"/>
      <w:divBdr>
        <w:top w:val="none" w:sz="0" w:space="0" w:color="auto"/>
        <w:left w:val="none" w:sz="0" w:space="0" w:color="auto"/>
        <w:bottom w:val="none" w:sz="0" w:space="0" w:color="auto"/>
        <w:right w:val="none" w:sz="0" w:space="0" w:color="auto"/>
      </w:divBdr>
      <w:divsChild>
        <w:div w:id="1859466142">
          <w:marLeft w:val="2528"/>
          <w:marRight w:val="0"/>
          <w:marTop w:val="502"/>
          <w:marBottom w:val="335"/>
          <w:divBdr>
            <w:top w:val="none" w:sz="0" w:space="0" w:color="auto"/>
            <w:left w:val="none" w:sz="0" w:space="0" w:color="auto"/>
            <w:bottom w:val="none" w:sz="0" w:space="0" w:color="auto"/>
            <w:right w:val="none" w:sz="0" w:space="0" w:color="auto"/>
          </w:divBdr>
        </w:div>
      </w:divsChild>
    </w:div>
    <w:div w:id="1072580010">
      <w:bodyDiv w:val="1"/>
      <w:marLeft w:val="0"/>
      <w:marRight w:val="0"/>
      <w:marTop w:val="0"/>
      <w:marBottom w:val="0"/>
      <w:divBdr>
        <w:top w:val="none" w:sz="0" w:space="0" w:color="auto"/>
        <w:left w:val="none" w:sz="0" w:space="0" w:color="auto"/>
        <w:bottom w:val="none" w:sz="0" w:space="0" w:color="auto"/>
        <w:right w:val="none" w:sz="0" w:space="0" w:color="auto"/>
      </w:divBdr>
    </w:div>
    <w:div w:id="1081828253">
      <w:bodyDiv w:val="1"/>
      <w:marLeft w:val="0"/>
      <w:marRight w:val="0"/>
      <w:marTop w:val="0"/>
      <w:marBottom w:val="0"/>
      <w:divBdr>
        <w:top w:val="none" w:sz="0" w:space="0" w:color="auto"/>
        <w:left w:val="none" w:sz="0" w:space="0" w:color="auto"/>
        <w:bottom w:val="none" w:sz="0" w:space="0" w:color="auto"/>
        <w:right w:val="none" w:sz="0" w:space="0" w:color="auto"/>
      </w:divBdr>
    </w:div>
    <w:div w:id="1085493904">
      <w:bodyDiv w:val="1"/>
      <w:marLeft w:val="0"/>
      <w:marRight w:val="0"/>
      <w:marTop w:val="0"/>
      <w:marBottom w:val="0"/>
      <w:divBdr>
        <w:top w:val="none" w:sz="0" w:space="0" w:color="auto"/>
        <w:left w:val="none" w:sz="0" w:space="0" w:color="auto"/>
        <w:bottom w:val="none" w:sz="0" w:space="0" w:color="auto"/>
        <w:right w:val="none" w:sz="0" w:space="0" w:color="auto"/>
      </w:divBdr>
    </w:div>
    <w:div w:id="1121650049">
      <w:bodyDiv w:val="1"/>
      <w:marLeft w:val="0"/>
      <w:marRight w:val="0"/>
      <w:marTop w:val="0"/>
      <w:marBottom w:val="0"/>
      <w:divBdr>
        <w:top w:val="none" w:sz="0" w:space="0" w:color="auto"/>
        <w:left w:val="none" w:sz="0" w:space="0" w:color="auto"/>
        <w:bottom w:val="none" w:sz="0" w:space="0" w:color="auto"/>
        <w:right w:val="none" w:sz="0" w:space="0" w:color="auto"/>
      </w:divBdr>
    </w:div>
    <w:div w:id="1123038473">
      <w:bodyDiv w:val="1"/>
      <w:marLeft w:val="0"/>
      <w:marRight w:val="0"/>
      <w:marTop w:val="0"/>
      <w:marBottom w:val="0"/>
      <w:divBdr>
        <w:top w:val="none" w:sz="0" w:space="0" w:color="auto"/>
        <w:left w:val="none" w:sz="0" w:space="0" w:color="auto"/>
        <w:bottom w:val="none" w:sz="0" w:space="0" w:color="auto"/>
        <w:right w:val="none" w:sz="0" w:space="0" w:color="auto"/>
      </w:divBdr>
    </w:div>
    <w:div w:id="1123421444">
      <w:bodyDiv w:val="1"/>
      <w:marLeft w:val="0"/>
      <w:marRight w:val="0"/>
      <w:marTop w:val="0"/>
      <w:marBottom w:val="0"/>
      <w:divBdr>
        <w:top w:val="none" w:sz="0" w:space="0" w:color="auto"/>
        <w:left w:val="none" w:sz="0" w:space="0" w:color="auto"/>
        <w:bottom w:val="none" w:sz="0" w:space="0" w:color="auto"/>
        <w:right w:val="none" w:sz="0" w:space="0" w:color="auto"/>
      </w:divBdr>
    </w:div>
    <w:div w:id="1135954684">
      <w:bodyDiv w:val="1"/>
      <w:marLeft w:val="0"/>
      <w:marRight w:val="0"/>
      <w:marTop w:val="0"/>
      <w:marBottom w:val="0"/>
      <w:divBdr>
        <w:top w:val="none" w:sz="0" w:space="0" w:color="auto"/>
        <w:left w:val="none" w:sz="0" w:space="0" w:color="auto"/>
        <w:bottom w:val="none" w:sz="0" w:space="0" w:color="auto"/>
        <w:right w:val="none" w:sz="0" w:space="0" w:color="auto"/>
      </w:divBdr>
    </w:div>
    <w:div w:id="1150246573">
      <w:bodyDiv w:val="1"/>
      <w:marLeft w:val="0"/>
      <w:marRight w:val="0"/>
      <w:marTop w:val="0"/>
      <w:marBottom w:val="0"/>
      <w:divBdr>
        <w:top w:val="none" w:sz="0" w:space="0" w:color="auto"/>
        <w:left w:val="none" w:sz="0" w:space="0" w:color="auto"/>
        <w:bottom w:val="none" w:sz="0" w:space="0" w:color="auto"/>
        <w:right w:val="none" w:sz="0" w:space="0" w:color="auto"/>
      </w:divBdr>
    </w:div>
    <w:div w:id="1153568229">
      <w:bodyDiv w:val="1"/>
      <w:marLeft w:val="0"/>
      <w:marRight w:val="0"/>
      <w:marTop w:val="0"/>
      <w:marBottom w:val="0"/>
      <w:divBdr>
        <w:top w:val="none" w:sz="0" w:space="0" w:color="auto"/>
        <w:left w:val="none" w:sz="0" w:space="0" w:color="auto"/>
        <w:bottom w:val="none" w:sz="0" w:space="0" w:color="auto"/>
        <w:right w:val="none" w:sz="0" w:space="0" w:color="auto"/>
      </w:divBdr>
    </w:div>
    <w:div w:id="1166821587">
      <w:bodyDiv w:val="1"/>
      <w:marLeft w:val="0"/>
      <w:marRight w:val="0"/>
      <w:marTop w:val="0"/>
      <w:marBottom w:val="0"/>
      <w:divBdr>
        <w:top w:val="none" w:sz="0" w:space="0" w:color="auto"/>
        <w:left w:val="none" w:sz="0" w:space="0" w:color="auto"/>
        <w:bottom w:val="none" w:sz="0" w:space="0" w:color="auto"/>
        <w:right w:val="none" w:sz="0" w:space="0" w:color="auto"/>
      </w:divBdr>
    </w:div>
    <w:div w:id="1177691930">
      <w:bodyDiv w:val="1"/>
      <w:marLeft w:val="0"/>
      <w:marRight w:val="0"/>
      <w:marTop w:val="0"/>
      <w:marBottom w:val="0"/>
      <w:divBdr>
        <w:top w:val="none" w:sz="0" w:space="0" w:color="auto"/>
        <w:left w:val="none" w:sz="0" w:space="0" w:color="auto"/>
        <w:bottom w:val="none" w:sz="0" w:space="0" w:color="auto"/>
        <w:right w:val="none" w:sz="0" w:space="0" w:color="auto"/>
      </w:divBdr>
    </w:div>
    <w:div w:id="1187408160">
      <w:bodyDiv w:val="1"/>
      <w:marLeft w:val="0"/>
      <w:marRight w:val="0"/>
      <w:marTop w:val="0"/>
      <w:marBottom w:val="0"/>
      <w:divBdr>
        <w:top w:val="none" w:sz="0" w:space="0" w:color="auto"/>
        <w:left w:val="none" w:sz="0" w:space="0" w:color="auto"/>
        <w:bottom w:val="none" w:sz="0" w:space="0" w:color="auto"/>
        <w:right w:val="none" w:sz="0" w:space="0" w:color="auto"/>
      </w:divBdr>
    </w:div>
    <w:div w:id="1197506494">
      <w:bodyDiv w:val="1"/>
      <w:marLeft w:val="0"/>
      <w:marRight w:val="0"/>
      <w:marTop w:val="0"/>
      <w:marBottom w:val="0"/>
      <w:divBdr>
        <w:top w:val="none" w:sz="0" w:space="0" w:color="auto"/>
        <w:left w:val="none" w:sz="0" w:space="0" w:color="auto"/>
        <w:bottom w:val="none" w:sz="0" w:space="0" w:color="auto"/>
        <w:right w:val="none" w:sz="0" w:space="0" w:color="auto"/>
      </w:divBdr>
    </w:div>
    <w:div w:id="1198272349">
      <w:bodyDiv w:val="1"/>
      <w:marLeft w:val="0"/>
      <w:marRight w:val="0"/>
      <w:marTop w:val="0"/>
      <w:marBottom w:val="0"/>
      <w:divBdr>
        <w:top w:val="none" w:sz="0" w:space="0" w:color="auto"/>
        <w:left w:val="none" w:sz="0" w:space="0" w:color="auto"/>
        <w:bottom w:val="none" w:sz="0" w:space="0" w:color="auto"/>
        <w:right w:val="none" w:sz="0" w:space="0" w:color="auto"/>
      </w:divBdr>
    </w:div>
    <w:div w:id="1208952484">
      <w:bodyDiv w:val="1"/>
      <w:marLeft w:val="0"/>
      <w:marRight w:val="0"/>
      <w:marTop w:val="0"/>
      <w:marBottom w:val="0"/>
      <w:divBdr>
        <w:top w:val="none" w:sz="0" w:space="0" w:color="auto"/>
        <w:left w:val="none" w:sz="0" w:space="0" w:color="auto"/>
        <w:bottom w:val="none" w:sz="0" w:space="0" w:color="auto"/>
        <w:right w:val="none" w:sz="0" w:space="0" w:color="auto"/>
      </w:divBdr>
    </w:div>
    <w:div w:id="1209296547">
      <w:bodyDiv w:val="1"/>
      <w:marLeft w:val="0"/>
      <w:marRight w:val="0"/>
      <w:marTop w:val="0"/>
      <w:marBottom w:val="0"/>
      <w:divBdr>
        <w:top w:val="none" w:sz="0" w:space="0" w:color="auto"/>
        <w:left w:val="none" w:sz="0" w:space="0" w:color="auto"/>
        <w:bottom w:val="none" w:sz="0" w:space="0" w:color="auto"/>
        <w:right w:val="none" w:sz="0" w:space="0" w:color="auto"/>
      </w:divBdr>
    </w:div>
    <w:div w:id="1216506917">
      <w:bodyDiv w:val="1"/>
      <w:marLeft w:val="0"/>
      <w:marRight w:val="0"/>
      <w:marTop w:val="0"/>
      <w:marBottom w:val="0"/>
      <w:divBdr>
        <w:top w:val="none" w:sz="0" w:space="0" w:color="auto"/>
        <w:left w:val="none" w:sz="0" w:space="0" w:color="auto"/>
        <w:bottom w:val="none" w:sz="0" w:space="0" w:color="auto"/>
        <w:right w:val="none" w:sz="0" w:space="0" w:color="auto"/>
      </w:divBdr>
      <w:divsChild>
        <w:div w:id="1587232224">
          <w:marLeft w:val="0"/>
          <w:marRight w:val="0"/>
          <w:marTop w:val="0"/>
          <w:marBottom w:val="0"/>
          <w:divBdr>
            <w:top w:val="none" w:sz="0" w:space="0" w:color="auto"/>
            <w:left w:val="none" w:sz="0" w:space="0" w:color="auto"/>
            <w:bottom w:val="none" w:sz="0" w:space="0" w:color="auto"/>
            <w:right w:val="none" w:sz="0" w:space="0" w:color="auto"/>
          </w:divBdr>
          <w:divsChild>
            <w:div w:id="1617523142">
              <w:marLeft w:val="0"/>
              <w:marRight w:val="0"/>
              <w:marTop w:val="0"/>
              <w:marBottom w:val="0"/>
              <w:divBdr>
                <w:top w:val="none" w:sz="0" w:space="0" w:color="auto"/>
                <w:left w:val="none" w:sz="0" w:space="0" w:color="auto"/>
                <w:bottom w:val="none" w:sz="0" w:space="0" w:color="auto"/>
                <w:right w:val="none" w:sz="0" w:space="0" w:color="auto"/>
              </w:divBdr>
              <w:divsChild>
                <w:div w:id="295919245">
                  <w:marLeft w:val="0"/>
                  <w:marRight w:val="0"/>
                  <w:marTop w:val="0"/>
                  <w:marBottom w:val="0"/>
                  <w:divBdr>
                    <w:top w:val="none" w:sz="0" w:space="0" w:color="auto"/>
                    <w:left w:val="none" w:sz="0" w:space="0" w:color="auto"/>
                    <w:bottom w:val="none" w:sz="0" w:space="0" w:color="auto"/>
                    <w:right w:val="none" w:sz="0" w:space="0" w:color="auto"/>
                  </w:divBdr>
                  <w:divsChild>
                    <w:div w:id="140734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0629942">
      <w:bodyDiv w:val="1"/>
      <w:marLeft w:val="0"/>
      <w:marRight w:val="0"/>
      <w:marTop w:val="0"/>
      <w:marBottom w:val="0"/>
      <w:divBdr>
        <w:top w:val="none" w:sz="0" w:space="0" w:color="auto"/>
        <w:left w:val="none" w:sz="0" w:space="0" w:color="auto"/>
        <w:bottom w:val="none" w:sz="0" w:space="0" w:color="auto"/>
        <w:right w:val="none" w:sz="0" w:space="0" w:color="auto"/>
      </w:divBdr>
    </w:div>
    <w:div w:id="1234311742">
      <w:bodyDiv w:val="1"/>
      <w:marLeft w:val="0"/>
      <w:marRight w:val="0"/>
      <w:marTop w:val="0"/>
      <w:marBottom w:val="0"/>
      <w:divBdr>
        <w:top w:val="none" w:sz="0" w:space="0" w:color="auto"/>
        <w:left w:val="none" w:sz="0" w:space="0" w:color="auto"/>
        <w:bottom w:val="none" w:sz="0" w:space="0" w:color="auto"/>
        <w:right w:val="none" w:sz="0" w:space="0" w:color="auto"/>
      </w:divBdr>
    </w:div>
    <w:div w:id="1251887489">
      <w:bodyDiv w:val="1"/>
      <w:marLeft w:val="0"/>
      <w:marRight w:val="0"/>
      <w:marTop w:val="0"/>
      <w:marBottom w:val="0"/>
      <w:divBdr>
        <w:top w:val="none" w:sz="0" w:space="0" w:color="auto"/>
        <w:left w:val="none" w:sz="0" w:space="0" w:color="auto"/>
        <w:bottom w:val="none" w:sz="0" w:space="0" w:color="auto"/>
        <w:right w:val="none" w:sz="0" w:space="0" w:color="auto"/>
      </w:divBdr>
    </w:div>
    <w:div w:id="1275406396">
      <w:bodyDiv w:val="1"/>
      <w:marLeft w:val="0"/>
      <w:marRight w:val="0"/>
      <w:marTop w:val="0"/>
      <w:marBottom w:val="0"/>
      <w:divBdr>
        <w:top w:val="none" w:sz="0" w:space="0" w:color="auto"/>
        <w:left w:val="none" w:sz="0" w:space="0" w:color="auto"/>
        <w:bottom w:val="none" w:sz="0" w:space="0" w:color="auto"/>
        <w:right w:val="none" w:sz="0" w:space="0" w:color="auto"/>
      </w:divBdr>
    </w:div>
    <w:div w:id="1279726354">
      <w:bodyDiv w:val="1"/>
      <w:marLeft w:val="0"/>
      <w:marRight w:val="0"/>
      <w:marTop w:val="0"/>
      <w:marBottom w:val="0"/>
      <w:divBdr>
        <w:top w:val="none" w:sz="0" w:space="0" w:color="auto"/>
        <w:left w:val="none" w:sz="0" w:space="0" w:color="auto"/>
        <w:bottom w:val="none" w:sz="0" w:space="0" w:color="auto"/>
        <w:right w:val="none" w:sz="0" w:space="0" w:color="auto"/>
      </w:divBdr>
    </w:div>
    <w:div w:id="1291745203">
      <w:bodyDiv w:val="1"/>
      <w:marLeft w:val="0"/>
      <w:marRight w:val="0"/>
      <w:marTop w:val="0"/>
      <w:marBottom w:val="0"/>
      <w:divBdr>
        <w:top w:val="none" w:sz="0" w:space="0" w:color="auto"/>
        <w:left w:val="none" w:sz="0" w:space="0" w:color="auto"/>
        <w:bottom w:val="none" w:sz="0" w:space="0" w:color="auto"/>
        <w:right w:val="none" w:sz="0" w:space="0" w:color="auto"/>
      </w:divBdr>
    </w:div>
    <w:div w:id="1298757397">
      <w:bodyDiv w:val="1"/>
      <w:marLeft w:val="0"/>
      <w:marRight w:val="0"/>
      <w:marTop w:val="0"/>
      <w:marBottom w:val="0"/>
      <w:divBdr>
        <w:top w:val="none" w:sz="0" w:space="0" w:color="auto"/>
        <w:left w:val="none" w:sz="0" w:space="0" w:color="auto"/>
        <w:bottom w:val="none" w:sz="0" w:space="0" w:color="auto"/>
        <w:right w:val="none" w:sz="0" w:space="0" w:color="auto"/>
      </w:divBdr>
    </w:div>
    <w:div w:id="1315646023">
      <w:bodyDiv w:val="1"/>
      <w:marLeft w:val="0"/>
      <w:marRight w:val="0"/>
      <w:marTop w:val="0"/>
      <w:marBottom w:val="0"/>
      <w:divBdr>
        <w:top w:val="none" w:sz="0" w:space="0" w:color="auto"/>
        <w:left w:val="none" w:sz="0" w:space="0" w:color="auto"/>
        <w:bottom w:val="none" w:sz="0" w:space="0" w:color="auto"/>
        <w:right w:val="none" w:sz="0" w:space="0" w:color="auto"/>
      </w:divBdr>
    </w:div>
    <w:div w:id="1324822711">
      <w:bodyDiv w:val="1"/>
      <w:marLeft w:val="0"/>
      <w:marRight w:val="0"/>
      <w:marTop w:val="0"/>
      <w:marBottom w:val="0"/>
      <w:divBdr>
        <w:top w:val="none" w:sz="0" w:space="0" w:color="auto"/>
        <w:left w:val="none" w:sz="0" w:space="0" w:color="auto"/>
        <w:bottom w:val="none" w:sz="0" w:space="0" w:color="auto"/>
        <w:right w:val="none" w:sz="0" w:space="0" w:color="auto"/>
      </w:divBdr>
    </w:div>
    <w:div w:id="1331300545">
      <w:bodyDiv w:val="1"/>
      <w:marLeft w:val="0"/>
      <w:marRight w:val="0"/>
      <w:marTop w:val="0"/>
      <w:marBottom w:val="0"/>
      <w:divBdr>
        <w:top w:val="none" w:sz="0" w:space="0" w:color="auto"/>
        <w:left w:val="none" w:sz="0" w:space="0" w:color="auto"/>
        <w:bottom w:val="none" w:sz="0" w:space="0" w:color="auto"/>
        <w:right w:val="none" w:sz="0" w:space="0" w:color="auto"/>
      </w:divBdr>
    </w:div>
    <w:div w:id="1331832117">
      <w:bodyDiv w:val="1"/>
      <w:marLeft w:val="0"/>
      <w:marRight w:val="0"/>
      <w:marTop w:val="0"/>
      <w:marBottom w:val="0"/>
      <w:divBdr>
        <w:top w:val="none" w:sz="0" w:space="0" w:color="auto"/>
        <w:left w:val="none" w:sz="0" w:space="0" w:color="auto"/>
        <w:bottom w:val="none" w:sz="0" w:space="0" w:color="auto"/>
        <w:right w:val="none" w:sz="0" w:space="0" w:color="auto"/>
      </w:divBdr>
    </w:div>
    <w:div w:id="1349718341">
      <w:bodyDiv w:val="1"/>
      <w:marLeft w:val="0"/>
      <w:marRight w:val="0"/>
      <w:marTop w:val="0"/>
      <w:marBottom w:val="0"/>
      <w:divBdr>
        <w:top w:val="none" w:sz="0" w:space="0" w:color="auto"/>
        <w:left w:val="none" w:sz="0" w:space="0" w:color="auto"/>
        <w:bottom w:val="none" w:sz="0" w:space="0" w:color="auto"/>
        <w:right w:val="none" w:sz="0" w:space="0" w:color="auto"/>
      </w:divBdr>
    </w:div>
    <w:div w:id="1360820407">
      <w:bodyDiv w:val="1"/>
      <w:marLeft w:val="0"/>
      <w:marRight w:val="0"/>
      <w:marTop w:val="0"/>
      <w:marBottom w:val="0"/>
      <w:divBdr>
        <w:top w:val="none" w:sz="0" w:space="0" w:color="auto"/>
        <w:left w:val="none" w:sz="0" w:space="0" w:color="auto"/>
        <w:bottom w:val="none" w:sz="0" w:space="0" w:color="auto"/>
        <w:right w:val="none" w:sz="0" w:space="0" w:color="auto"/>
      </w:divBdr>
    </w:div>
    <w:div w:id="1367221195">
      <w:bodyDiv w:val="1"/>
      <w:marLeft w:val="0"/>
      <w:marRight w:val="0"/>
      <w:marTop w:val="0"/>
      <w:marBottom w:val="0"/>
      <w:divBdr>
        <w:top w:val="none" w:sz="0" w:space="0" w:color="auto"/>
        <w:left w:val="none" w:sz="0" w:space="0" w:color="auto"/>
        <w:bottom w:val="none" w:sz="0" w:space="0" w:color="auto"/>
        <w:right w:val="none" w:sz="0" w:space="0" w:color="auto"/>
      </w:divBdr>
    </w:div>
    <w:div w:id="1368136895">
      <w:bodyDiv w:val="1"/>
      <w:marLeft w:val="0"/>
      <w:marRight w:val="0"/>
      <w:marTop w:val="0"/>
      <w:marBottom w:val="0"/>
      <w:divBdr>
        <w:top w:val="none" w:sz="0" w:space="0" w:color="auto"/>
        <w:left w:val="none" w:sz="0" w:space="0" w:color="auto"/>
        <w:bottom w:val="none" w:sz="0" w:space="0" w:color="auto"/>
        <w:right w:val="none" w:sz="0" w:space="0" w:color="auto"/>
      </w:divBdr>
    </w:div>
    <w:div w:id="1372993854">
      <w:bodyDiv w:val="1"/>
      <w:marLeft w:val="0"/>
      <w:marRight w:val="0"/>
      <w:marTop w:val="0"/>
      <w:marBottom w:val="0"/>
      <w:divBdr>
        <w:top w:val="none" w:sz="0" w:space="0" w:color="auto"/>
        <w:left w:val="none" w:sz="0" w:space="0" w:color="auto"/>
        <w:bottom w:val="none" w:sz="0" w:space="0" w:color="auto"/>
        <w:right w:val="none" w:sz="0" w:space="0" w:color="auto"/>
      </w:divBdr>
    </w:div>
    <w:div w:id="1375542643">
      <w:bodyDiv w:val="1"/>
      <w:marLeft w:val="0"/>
      <w:marRight w:val="0"/>
      <w:marTop w:val="0"/>
      <w:marBottom w:val="0"/>
      <w:divBdr>
        <w:top w:val="none" w:sz="0" w:space="0" w:color="auto"/>
        <w:left w:val="none" w:sz="0" w:space="0" w:color="auto"/>
        <w:bottom w:val="none" w:sz="0" w:space="0" w:color="auto"/>
        <w:right w:val="none" w:sz="0" w:space="0" w:color="auto"/>
      </w:divBdr>
    </w:div>
    <w:div w:id="1378582432">
      <w:bodyDiv w:val="1"/>
      <w:marLeft w:val="0"/>
      <w:marRight w:val="0"/>
      <w:marTop w:val="0"/>
      <w:marBottom w:val="0"/>
      <w:divBdr>
        <w:top w:val="none" w:sz="0" w:space="0" w:color="auto"/>
        <w:left w:val="none" w:sz="0" w:space="0" w:color="auto"/>
        <w:bottom w:val="none" w:sz="0" w:space="0" w:color="auto"/>
        <w:right w:val="none" w:sz="0" w:space="0" w:color="auto"/>
      </w:divBdr>
    </w:div>
    <w:div w:id="1384712490">
      <w:bodyDiv w:val="1"/>
      <w:marLeft w:val="0"/>
      <w:marRight w:val="0"/>
      <w:marTop w:val="0"/>
      <w:marBottom w:val="0"/>
      <w:divBdr>
        <w:top w:val="none" w:sz="0" w:space="0" w:color="auto"/>
        <w:left w:val="none" w:sz="0" w:space="0" w:color="auto"/>
        <w:bottom w:val="none" w:sz="0" w:space="0" w:color="auto"/>
        <w:right w:val="none" w:sz="0" w:space="0" w:color="auto"/>
      </w:divBdr>
    </w:div>
    <w:div w:id="1386679873">
      <w:bodyDiv w:val="1"/>
      <w:marLeft w:val="0"/>
      <w:marRight w:val="5"/>
      <w:marTop w:val="0"/>
      <w:marBottom w:val="670"/>
      <w:divBdr>
        <w:top w:val="none" w:sz="0" w:space="0" w:color="auto"/>
        <w:left w:val="none" w:sz="0" w:space="0" w:color="auto"/>
        <w:bottom w:val="none" w:sz="0" w:space="0" w:color="auto"/>
        <w:right w:val="none" w:sz="0" w:space="0" w:color="auto"/>
      </w:divBdr>
      <w:divsChild>
        <w:div w:id="1945458326">
          <w:marLeft w:val="2528"/>
          <w:marRight w:val="0"/>
          <w:marTop w:val="502"/>
          <w:marBottom w:val="335"/>
          <w:divBdr>
            <w:top w:val="none" w:sz="0" w:space="0" w:color="auto"/>
            <w:left w:val="none" w:sz="0" w:space="0" w:color="auto"/>
            <w:bottom w:val="none" w:sz="0" w:space="0" w:color="auto"/>
            <w:right w:val="none" w:sz="0" w:space="0" w:color="auto"/>
          </w:divBdr>
        </w:div>
      </w:divsChild>
    </w:div>
    <w:div w:id="1390038267">
      <w:bodyDiv w:val="1"/>
      <w:marLeft w:val="0"/>
      <w:marRight w:val="0"/>
      <w:marTop w:val="0"/>
      <w:marBottom w:val="0"/>
      <w:divBdr>
        <w:top w:val="none" w:sz="0" w:space="0" w:color="auto"/>
        <w:left w:val="none" w:sz="0" w:space="0" w:color="auto"/>
        <w:bottom w:val="none" w:sz="0" w:space="0" w:color="auto"/>
        <w:right w:val="none" w:sz="0" w:space="0" w:color="auto"/>
      </w:divBdr>
    </w:div>
    <w:div w:id="1409115957">
      <w:bodyDiv w:val="1"/>
      <w:marLeft w:val="0"/>
      <w:marRight w:val="0"/>
      <w:marTop w:val="0"/>
      <w:marBottom w:val="0"/>
      <w:divBdr>
        <w:top w:val="none" w:sz="0" w:space="0" w:color="auto"/>
        <w:left w:val="none" w:sz="0" w:space="0" w:color="auto"/>
        <w:bottom w:val="none" w:sz="0" w:space="0" w:color="auto"/>
        <w:right w:val="none" w:sz="0" w:space="0" w:color="auto"/>
      </w:divBdr>
    </w:div>
    <w:div w:id="1419789870">
      <w:bodyDiv w:val="1"/>
      <w:marLeft w:val="0"/>
      <w:marRight w:val="0"/>
      <w:marTop w:val="0"/>
      <w:marBottom w:val="0"/>
      <w:divBdr>
        <w:top w:val="none" w:sz="0" w:space="0" w:color="auto"/>
        <w:left w:val="none" w:sz="0" w:space="0" w:color="auto"/>
        <w:bottom w:val="none" w:sz="0" w:space="0" w:color="auto"/>
        <w:right w:val="none" w:sz="0" w:space="0" w:color="auto"/>
      </w:divBdr>
    </w:div>
    <w:div w:id="1424566635">
      <w:bodyDiv w:val="1"/>
      <w:marLeft w:val="0"/>
      <w:marRight w:val="0"/>
      <w:marTop w:val="0"/>
      <w:marBottom w:val="0"/>
      <w:divBdr>
        <w:top w:val="none" w:sz="0" w:space="0" w:color="auto"/>
        <w:left w:val="none" w:sz="0" w:space="0" w:color="auto"/>
        <w:bottom w:val="none" w:sz="0" w:space="0" w:color="auto"/>
        <w:right w:val="none" w:sz="0" w:space="0" w:color="auto"/>
      </w:divBdr>
    </w:div>
    <w:div w:id="1428766621">
      <w:bodyDiv w:val="1"/>
      <w:marLeft w:val="0"/>
      <w:marRight w:val="0"/>
      <w:marTop w:val="0"/>
      <w:marBottom w:val="0"/>
      <w:divBdr>
        <w:top w:val="none" w:sz="0" w:space="0" w:color="auto"/>
        <w:left w:val="none" w:sz="0" w:space="0" w:color="auto"/>
        <w:bottom w:val="none" w:sz="0" w:space="0" w:color="auto"/>
        <w:right w:val="none" w:sz="0" w:space="0" w:color="auto"/>
      </w:divBdr>
    </w:div>
    <w:div w:id="1437091406">
      <w:bodyDiv w:val="1"/>
      <w:marLeft w:val="0"/>
      <w:marRight w:val="0"/>
      <w:marTop w:val="0"/>
      <w:marBottom w:val="0"/>
      <w:divBdr>
        <w:top w:val="none" w:sz="0" w:space="0" w:color="auto"/>
        <w:left w:val="none" w:sz="0" w:space="0" w:color="auto"/>
        <w:bottom w:val="none" w:sz="0" w:space="0" w:color="auto"/>
        <w:right w:val="none" w:sz="0" w:space="0" w:color="auto"/>
      </w:divBdr>
    </w:div>
    <w:div w:id="1437751291">
      <w:bodyDiv w:val="1"/>
      <w:marLeft w:val="0"/>
      <w:marRight w:val="0"/>
      <w:marTop w:val="0"/>
      <w:marBottom w:val="0"/>
      <w:divBdr>
        <w:top w:val="none" w:sz="0" w:space="0" w:color="auto"/>
        <w:left w:val="none" w:sz="0" w:space="0" w:color="auto"/>
        <w:bottom w:val="none" w:sz="0" w:space="0" w:color="auto"/>
        <w:right w:val="none" w:sz="0" w:space="0" w:color="auto"/>
      </w:divBdr>
    </w:div>
    <w:div w:id="1439593832">
      <w:bodyDiv w:val="1"/>
      <w:marLeft w:val="0"/>
      <w:marRight w:val="0"/>
      <w:marTop w:val="0"/>
      <w:marBottom w:val="0"/>
      <w:divBdr>
        <w:top w:val="none" w:sz="0" w:space="0" w:color="auto"/>
        <w:left w:val="none" w:sz="0" w:space="0" w:color="auto"/>
        <w:bottom w:val="none" w:sz="0" w:space="0" w:color="auto"/>
        <w:right w:val="none" w:sz="0" w:space="0" w:color="auto"/>
      </w:divBdr>
    </w:div>
    <w:div w:id="1440834103">
      <w:bodyDiv w:val="1"/>
      <w:marLeft w:val="0"/>
      <w:marRight w:val="0"/>
      <w:marTop w:val="0"/>
      <w:marBottom w:val="0"/>
      <w:divBdr>
        <w:top w:val="none" w:sz="0" w:space="0" w:color="auto"/>
        <w:left w:val="none" w:sz="0" w:space="0" w:color="auto"/>
        <w:bottom w:val="none" w:sz="0" w:space="0" w:color="auto"/>
        <w:right w:val="none" w:sz="0" w:space="0" w:color="auto"/>
      </w:divBdr>
    </w:div>
    <w:div w:id="1461457501">
      <w:bodyDiv w:val="1"/>
      <w:marLeft w:val="0"/>
      <w:marRight w:val="0"/>
      <w:marTop w:val="0"/>
      <w:marBottom w:val="0"/>
      <w:divBdr>
        <w:top w:val="none" w:sz="0" w:space="0" w:color="auto"/>
        <w:left w:val="none" w:sz="0" w:space="0" w:color="auto"/>
        <w:bottom w:val="none" w:sz="0" w:space="0" w:color="auto"/>
        <w:right w:val="none" w:sz="0" w:space="0" w:color="auto"/>
      </w:divBdr>
    </w:div>
    <w:div w:id="1462573552">
      <w:bodyDiv w:val="1"/>
      <w:marLeft w:val="0"/>
      <w:marRight w:val="0"/>
      <w:marTop w:val="0"/>
      <w:marBottom w:val="0"/>
      <w:divBdr>
        <w:top w:val="none" w:sz="0" w:space="0" w:color="auto"/>
        <w:left w:val="none" w:sz="0" w:space="0" w:color="auto"/>
        <w:bottom w:val="none" w:sz="0" w:space="0" w:color="auto"/>
        <w:right w:val="none" w:sz="0" w:space="0" w:color="auto"/>
      </w:divBdr>
    </w:div>
    <w:div w:id="1464349293">
      <w:bodyDiv w:val="1"/>
      <w:marLeft w:val="0"/>
      <w:marRight w:val="0"/>
      <w:marTop w:val="0"/>
      <w:marBottom w:val="0"/>
      <w:divBdr>
        <w:top w:val="none" w:sz="0" w:space="0" w:color="auto"/>
        <w:left w:val="none" w:sz="0" w:space="0" w:color="auto"/>
        <w:bottom w:val="none" w:sz="0" w:space="0" w:color="auto"/>
        <w:right w:val="none" w:sz="0" w:space="0" w:color="auto"/>
      </w:divBdr>
    </w:div>
    <w:div w:id="1472751603">
      <w:bodyDiv w:val="1"/>
      <w:marLeft w:val="0"/>
      <w:marRight w:val="0"/>
      <w:marTop w:val="0"/>
      <w:marBottom w:val="0"/>
      <w:divBdr>
        <w:top w:val="none" w:sz="0" w:space="0" w:color="auto"/>
        <w:left w:val="none" w:sz="0" w:space="0" w:color="auto"/>
        <w:bottom w:val="none" w:sz="0" w:space="0" w:color="auto"/>
        <w:right w:val="none" w:sz="0" w:space="0" w:color="auto"/>
      </w:divBdr>
      <w:divsChild>
        <w:div w:id="131410469">
          <w:marLeft w:val="0"/>
          <w:marRight w:val="0"/>
          <w:marTop w:val="0"/>
          <w:marBottom w:val="0"/>
          <w:divBdr>
            <w:top w:val="none" w:sz="0" w:space="0" w:color="auto"/>
            <w:left w:val="none" w:sz="0" w:space="0" w:color="auto"/>
            <w:bottom w:val="none" w:sz="0" w:space="0" w:color="auto"/>
            <w:right w:val="none" w:sz="0" w:space="0" w:color="auto"/>
          </w:divBdr>
        </w:div>
      </w:divsChild>
    </w:div>
    <w:div w:id="1482849836">
      <w:bodyDiv w:val="1"/>
      <w:marLeft w:val="0"/>
      <w:marRight w:val="0"/>
      <w:marTop w:val="0"/>
      <w:marBottom w:val="0"/>
      <w:divBdr>
        <w:top w:val="none" w:sz="0" w:space="0" w:color="auto"/>
        <w:left w:val="none" w:sz="0" w:space="0" w:color="auto"/>
        <w:bottom w:val="none" w:sz="0" w:space="0" w:color="auto"/>
        <w:right w:val="none" w:sz="0" w:space="0" w:color="auto"/>
      </w:divBdr>
      <w:divsChild>
        <w:div w:id="844368782">
          <w:marLeft w:val="0"/>
          <w:marRight w:val="0"/>
          <w:marTop w:val="0"/>
          <w:marBottom w:val="0"/>
          <w:divBdr>
            <w:top w:val="none" w:sz="0" w:space="0" w:color="auto"/>
            <w:left w:val="none" w:sz="0" w:space="0" w:color="auto"/>
            <w:bottom w:val="none" w:sz="0" w:space="0" w:color="auto"/>
            <w:right w:val="none" w:sz="0" w:space="0" w:color="auto"/>
          </w:divBdr>
        </w:div>
      </w:divsChild>
    </w:div>
    <w:div w:id="1503472213">
      <w:bodyDiv w:val="1"/>
      <w:marLeft w:val="0"/>
      <w:marRight w:val="0"/>
      <w:marTop w:val="0"/>
      <w:marBottom w:val="0"/>
      <w:divBdr>
        <w:top w:val="none" w:sz="0" w:space="0" w:color="auto"/>
        <w:left w:val="none" w:sz="0" w:space="0" w:color="auto"/>
        <w:bottom w:val="none" w:sz="0" w:space="0" w:color="auto"/>
        <w:right w:val="none" w:sz="0" w:space="0" w:color="auto"/>
      </w:divBdr>
    </w:div>
    <w:div w:id="1506289122">
      <w:bodyDiv w:val="1"/>
      <w:marLeft w:val="0"/>
      <w:marRight w:val="0"/>
      <w:marTop w:val="0"/>
      <w:marBottom w:val="0"/>
      <w:divBdr>
        <w:top w:val="none" w:sz="0" w:space="0" w:color="auto"/>
        <w:left w:val="none" w:sz="0" w:space="0" w:color="auto"/>
        <w:bottom w:val="none" w:sz="0" w:space="0" w:color="auto"/>
        <w:right w:val="none" w:sz="0" w:space="0" w:color="auto"/>
      </w:divBdr>
    </w:div>
    <w:div w:id="1525825028">
      <w:bodyDiv w:val="1"/>
      <w:marLeft w:val="0"/>
      <w:marRight w:val="0"/>
      <w:marTop w:val="0"/>
      <w:marBottom w:val="0"/>
      <w:divBdr>
        <w:top w:val="none" w:sz="0" w:space="0" w:color="auto"/>
        <w:left w:val="none" w:sz="0" w:space="0" w:color="auto"/>
        <w:bottom w:val="none" w:sz="0" w:space="0" w:color="auto"/>
        <w:right w:val="none" w:sz="0" w:space="0" w:color="auto"/>
      </w:divBdr>
    </w:div>
    <w:div w:id="1549102103">
      <w:bodyDiv w:val="1"/>
      <w:marLeft w:val="0"/>
      <w:marRight w:val="0"/>
      <w:marTop w:val="0"/>
      <w:marBottom w:val="0"/>
      <w:divBdr>
        <w:top w:val="none" w:sz="0" w:space="0" w:color="auto"/>
        <w:left w:val="none" w:sz="0" w:space="0" w:color="auto"/>
        <w:bottom w:val="none" w:sz="0" w:space="0" w:color="auto"/>
        <w:right w:val="none" w:sz="0" w:space="0" w:color="auto"/>
      </w:divBdr>
    </w:div>
    <w:div w:id="1561742997">
      <w:bodyDiv w:val="1"/>
      <w:marLeft w:val="0"/>
      <w:marRight w:val="0"/>
      <w:marTop w:val="0"/>
      <w:marBottom w:val="0"/>
      <w:divBdr>
        <w:top w:val="none" w:sz="0" w:space="0" w:color="auto"/>
        <w:left w:val="none" w:sz="0" w:space="0" w:color="auto"/>
        <w:bottom w:val="none" w:sz="0" w:space="0" w:color="auto"/>
        <w:right w:val="none" w:sz="0" w:space="0" w:color="auto"/>
      </w:divBdr>
    </w:div>
    <w:div w:id="1568106783">
      <w:bodyDiv w:val="1"/>
      <w:marLeft w:val="0"/>
      <w:marRight w:val="0"/>
      <w:marTop w:val="0"/>
      <w:marBottom w:val="0"/>
      <w:divBdr>
        <w:top w:val="none" w:sz="0" w:space="0" w:color="auto"/>
        <w:left w:val="none" w:sz="0" w:space="0" w:color="auto"/>
        <w:bottom w:val="none" w:sz="0" w:space="0" w:color="auto"/>
        <w:right w:val="none" w:sz="0" w:space="0" w:color="auto"/>
      </w:divBdr>
    </w:div>
    <w:div w:id="1578326427">
      <w:bodyDiv w:val="1"/>
      <w:marLeft w:val="0"/>
      <w:marRight w:val="0"/>
      <w:marTop w:val="0"/>
      <w:marBottom w:val="0"/>
      <w:divBdr>
        <w:top w:val="none" w:sz="0" w:space="0" w:color="auto"/>
        <w:left w:val="none" w:sz="0" w:space="0" w:color="auto"/>
        <w:bottom w:val="none" w:sz="0" w:space="0" w:color="auto"/>
        <w:right w:val="none" w:sz="0" w:space="0" w:color="auto"/>
      </w:divBdr>
    </w:div>
    <w:div w:id="1579552831">
      <w:bodyDiv w:val="1"/>
      <w:marLeft w:val="0"/>
      <w:marRight w:val="0"/>
      <w:marTop w:val="0"/>
      <w:marBottom w:val="0"/>
      <w:divBdr>
        <w:top w:val="none" w:sz="0" w:space="0" w:color="auto"/>
        <w:left w:val="none" w:sz="0" w:space="0" w:color="auto"/>
        <w:bottom w:val="none" w:sz="0" w:space="0" w:color="auto"/>
        <w:right w:val="none" w:sz="0" w:space="0" w:color="auto"/>
      </w:divBdr>
    </w:div>
    <w:div w:id="1586574602">
      <w:bodyDiv w:val="1"/>
      <w:marLeft w:val="0"/>
      <w:marRight w:val="0"/>
      <w:marTop w:val="0"/>
      <w:marBottom w:val="0"/>
      <w:divBdr>
        <w:top w:val="none" w:sz="0" w:space="0" w:color="auto"/>
        <w:left w:val="none" w:sz="0" w:space="0" w:color="auto"/>
        <w:bottom w:val="none" w:sz="0" w:space="0" w:color="auto"/>
        <w:right w:val="none" w:sz="0" w:space="0" w:color="auto"/>
      </w:divBdr>
    </w:div>
    <w:div w:id="1588347711">
      <w:bodyDiv w:val="1"/>
      <w:marLeft w:val="0"/>
      <w:marRight w:val="0"/>
      <w:marTop w:val="0"/>
      <w:marBottom w:val="0"/>
      <w:divBdr>
        <w:top w:val="none" w:sz="0" w:space="0" w:color="auto"/>
        <w:left w:val="none" w:sz="0" w:space="0" w:color="auto"/>
        <w:bottom w:val="none" w:sz="0" w:space="0" w:color="auto"/>
        <w:right w:val="none" w:sz="0" w:space="0" w:color="auto"/>
      </w:divBdr>
    </w:div>
    <w:div w:id="1593314798">
      <w:bodyDiv w:val="1"/>
      <w:marLeft w:val="0"/>
      <w:marRight w:val="0"/>
      <w:marTop w:val="0"/>
      <w:marBottom w:val="0"/>
      <w:divBdr>
        <w:top w:val="none" w:sz="0" w:space="0" w:color="auto"/>
        <w:left w:val="none" w:sz="0" w:space="0" w:color="auto"/>
        <w:bottom w:val="none" w:sz="0" w:space="0" w:color="auto"/>
        <w:right w:val="none" w:sz="0" w:space="0" w:color="auto"/>
      </w:divBdr>
    </w:div>
    <w:div w:id="1595432075">
      <w:bodyDiv w:val="1"/>
      <w:marLeft w:val="0"/>
      <w:marRight w:val="0"/>
      <w:marTop w:val="0"/>
      <w:marBottom w:val="0"/>
      <w:divBdr>
        <w:top w:val="none" w:sz="0" w:space="0" w:color="auto"/>
        <w:left w:val="none" w:sz="0" w:space="0" w:color="auto"/>
        <w:bottom w:val="none" w:sz="0" w:space="0" w:color="auto"/>
        <w:right w:val="none" w:sz="0" w:space="0" w:color="auto"/>
      </w:divBdr>
    </w:div>
    <w:div w:id="1596593314">
      <w:bodyDiv w:val="1"/>
      <w:marLeft w:val="0"/>
      <w:marRight w:val="0"/>
      <w:marTop w:val="0"/>
      <w:marBottom w:val="0"/>
      <w:divBdr>
        <w:top w:val="none" w:sz="0" w:space="0" w:color="auto"/>
        <w:left w:val="none" w:sz="0" w:space="0" w:color="auto"/>
        <w:bottom w:val="none" w:sz="0" w:space="0" w:color="auto"/>
        <w:right w:val="none" w:sz="0" w:space="0" w:color="auto"/>
      </w:divBdr>
    </w:div>
    <w:div w:id="1635328429">
      <w:bodyDiv w:val="1"/>
      <w:marLeft w:val="0"/>
      <w:marRight w:val="5"/>
      <w:marTop w:val="0"/>
      <w:marBottom w:val="670"/>
      <w:divBdr>
        <w:top w:val="none" w:sz="0" w:space="0" w:color="auto"/>
        <w:left w:val="none" w:sz="0" w:space="0" w:color="auto"/>
        <w:bottom w:val="none" w:sz="0" w:space="0" w:color="auto"/>
        <w:right w:val="none" w:sz="0" w:space="0" w:color="auto"/>
      </w:divBdr>
      <w:divsChild>
        <w:div w:id="1142767406">
          <w:marLeft w:val="2528"/>
          <w:marRight w:val="0"/>
          <w:marTop w:val="502"/>
          <w:marBottom w:val="335"/>
          <w:divBdr>
            <w:top w:val="none" w:sz="0" w:space="0" w:color="auto"/>
            <w:left w:val="none" w:sz="0" w:space="0" w:color="auto"/>
            <w:bottom w:val="none" w:sz="0" w:space="0" w:color="auto"/>
            <w:right w:val="none" w:sz="0" w:space="0" w:color="auto"/>
          </w:divBdr>
        </w:div>
      </w:divsChild>
    </w:div>
    <w:div w:id="1645693459">
      <w:bodyDiv w:val="1"/>
      <w:marLeft w:val="0"/>
      <w:marRight w:val="0"/>
      <w:marTop w:val="0"/>
      <w:marBottom w:val="0"/>
      <w:divBdr>
        <w:top w:val="none" w:sz="0" w:space="0" w:color="auto"/>
        <w:left w:val="none" w:sz="0" w:space="0" w:color="auto"/>
        <w:bottom w:val="none" w:sz="0" w:space="0" w:color="auto"/>
        <w:right w:val="none" w:sz="0" w:space="0" w:color="auto"/>
      </w:divBdr>
    </w:div>
    <w:div w:id="1653411361">
      <w:bodyDiv w:val="1"/>
      <w:marLeft w:val="0"/>
      <w:marRight w:val="0"/>
      <w:marTop w:val="0"/>
      <w:marBottom w:val="0"/>
      <w:divBdr>
        <w:top w:val="none" w:sz="0" w:space="0" w:color="auto"/>
        <w:left w:val="none" w:sz="0" w:space="0" w:color="auto"/>
        <w:bottom w:val="none" w:sz="0" w:space="0" w:color="auto"/>
        <w:right w:val="none" w:sz="0" w:space="0" w:color="auto"/>
      </w:divBdr>
    </w:div>
    <w:div w:id="1661689500">
      <w:bodyDiv w:val="1"/>
      <w:marLeft w:val="0"/>
      <w:marRight w:val="0"/>
      <w:marTop w:val="0"/>
      <w:marBottom w:val="0"/>
      <w:divBdr>
        <w:top w:val="none" w:sz="0" w:space="0" w:color="auto"/>
        <w:left w:val="none" w:sz="0" w:space="0" w:color="auto"/>
        <w:bottom w:val="none" w:sz="0" w:space="0" w:color="auto"/>
        <w:right w:val="none" w:sz="0" w:space="0" w:color="auto"/>
      </w:divBdr>
    </w:div>
    <w:div w:id="1663317825">
      <w:bodyDiv w:val="1"/>
      <w:marLeft w:val="0"/>
      <w:marRight w:val="0"/>
      <w:marTop w:val="0"/>
      <w:marBottom w:val="0"/>
      <w:divBdr>
        <w:top w:val="none" w:sz="0" w:space="0" w:color="auto"/>
        <w:left w:val="none" w:sz="0" w:space="0" w:color="auto"/>
        <w:bottom w:val="none" w:sz="0" w:space="0" w:color="auto"/>
        <w:right w:val="none" w:sz="0" w:space="0" w:color="auto"/>
      </w:divBdr>
    </w:div>
    <w:div w:id="1668358904">
      <w:bodyDiv w:val="1"/>
      <w:marLeft w:val="0"/>
      <w:marRight w:val="0"/>
      <w:marTop w:val="0"/>
      <w:marBottom w:val="0"/>
      <w:divBdr>
        <w:top w:val="none" w:sz="0" w:space="0" w:color="auto"/>
        <w:left w:val="none" w:sz="0" w:space="0" w:color="auto"/>
        <w:bottom w:val="none" w:sz="0" w:space="0" w:color="auto"/>
        <w:right w:val="none" w:sz="0" w:space="0" w:color="auto"/>
      </w:divBdr>
    </w:div>
    <w:div w:id="1681085950">
      <w:bodyDiv w:val="1"/>
      <w:marLeft w:val="0"/>
      <w:marRight w:val="0"/>
      <w:marTop w:val="0"/>
      <w:marBottom w:val="0"/>
      <w:divBdr>
        <w:top w:val="none" w:sz="0" w:space="0" w:color="auto"/>
        <w:left w:val="none" w:sz="0" w:space="0" w:color="auto"/>
        <w:bottom w:val="none" w:sz="0" w:space="0" w:color="auto"/>
        <w:right w:val="none" w:sz="0" w:space="0" w:color="auto"/>
      </w:divBdr>
    </w:div>
    <w:div w:id="1682048402">
      <w:bodyDiv w:val="1"/>
      <w:marLeft w:val="0"/>
      <w:marRight w:val="0"/>
      <w:marTop w:val="0"/>
      <w:marBottom w:val="0"/>
      <w:divBdr>
        <w:top w:val="none" w:sz="0" w:space="0" w:color="auto"/>
        <w:left w:val="none" w:sz="0" w:space="0" w:color="auto"/>
        <w:bottom w:val="none" w:sz="0" w:space="0" w:color="auto"/>
        <w:right w:val="none" w:sz="0" w:space="0" w:color="auto"/>
      </w:divBdr>
    </w:div>
    <w:div w:id="1684628345">
      <w:bodyDiv w:val="1"/>
      <w:marLeft w:val="0"/>
      <w:marRight w:val="0"/>
      <w:marTop w:val="0"/>
      <w:marBottom w:val="0"/>
      <w:divBdr>
        <w:top w:val="none" w:sz="0" w:space="0" w:color="auto"/>
        <w:left w:val="none" w:sz="0" w:space="0" w:color="auto"/>
        <w:bottom w:val="none" w:sz="0" w:space="0" w:color="auto"/>
        <w:right w:val="none" w:sz="0" w:space="0" w:color="auto"/>
      </w:divBdr>
    </w:div>
    <w:div w:id="1698047758">
      <w:bodyDiv w:val="1"/>
      <w:marLeft w:val="0"/>
      <w:marRight w:val="0"/>
      <w:marTop w:val="0"/>
      <w:marBottom w:val="0"/>
      <w:divBdr>
        <w:top w:val="none" w:sz="0" w:space="0" w:color="auto"/>
        <w:left w:val="none" w:sz="0" w:space="0" w:color="auto"/>
        <w:bottom w:val="none" w:sz="0" w:space="0" w:color="auto"/>
        <w:right w:val="none" w:sz="0" w:space="0" w:color="auto"/>
      </w:divBdr>
    </w:div>
    <w:div w:id="1703942929">
      <w:bodyDiv w:val="1"/>
      <w:marLeft w:val="0"/>
      <w:marRight w:val="0"/>
      <w:marTop w:val="0"/>
      <w:marBottom w:val="0"/>
      <w:divBdr>
        <w:top w:val="none" w:sz="0" w:space="0" w:color="auto"/>
        <w:left w:val="none" w:sz="0" w:space="0" w:color="auto"/>
        <w:bottom w:val="none" w:sz="0" w:space="0" w:color="auto"/>
        <w:right w:val="none" w:sz="0" w:space="0" w:color="auto"/>
      </w:divBdr>
    </w:div>
    <w:div w:id="1715153371">
      <w:bodyDiv w:val="1"/>
      <w:marLeft w:val="0"/>
      <w:marRight w:val="0"/>
      <w:marTop w:val="0"/>
      <w:marBottom w:val="0"/>
      <w:divBdr>
        <w:top w:val="none" w:sz="0" w:space="0" w:color="auto"/>
        <w:left w:val="none" w:sz="0" w:space="0" w:color="auto"/>
        <w:bottom w:val="none" w:sz="0" w:space="0" w:color="auto"/>
        <w:right w:val="none" w:sz="0" w:space="0" w:color="auto"/>
      </w:divBdr>
    </w:div>
    <w:div w:id="1752893275">
      <w:bodyDiv w:val="1"/>
      <w:marLeft w:val="0"/>
      <w:marRight w:val="0"/>
      <w:marTop w:val="0"/>
      <w:marBottom w:val="0"/>
      <w:divBdr>
        <w:top w:val="none" w:sz="0" w:space="0" w:color="auto"/>
        <w:left w:val="none" w:sz="0" w:space="0" w:color="auto"/>
        <w:bottom w:val="none" w:sz="0" w:space="0" w:color="auto"/>
        <w:right w:val="none" w:sz="0" w:space="0" w:color="auto"/>
      </w:divBdr>
    </w:div>
    <w:div w:id="1759062501">
      <w:bodyDiv w:val="1"/>
      <w:marLeft w:val="0"/>
      <w:marRight w:val="0"/>
      <w:marTop w:val="0"/>
      <w:marBottom w:val="0"/>
      <w:divBdr>
        <w:top w:val="none" w:sz="0" w:space="0" w:color="auto"/>
        <w:left w:val="none" w:sz="0" w:space="0" w:color="auto"/>
        <w:bottom w:val="none" w:sz="0" w:space="0" w:color="auto"/>
        <w:right w:val="none" w:sz="0" w:space="0" w:color="auto"/>
      </w:divBdr>
    </w:div>
    <w:div w:id="1770852520">
      <w:bodyDiv w:val="1"/>
      <w:marLeft w:val="0"/>
      <w:marRight w:val="0"/>
      <w:marTop w:val="0"/>
      <w:marBottom w:val="0"/>
      <w:divBdr>
        <w:top w:val="none" w:sz="0" w:space="0" w:color="auto"/>
        <w:left w:val="none" w:sz="0" w:space="0" w:color="auto"/>
        <w:bottom w:val="none" w:sz="0" w:space="0" w:color="auto"/>
        <w:right w:val="none" w:sz="0" w:space="0" w:color="auto"/>
      </w:divBdr>
    </w:div>
    <w:div w:id="1772159828">
      <w:bodyDiv w:val="1"/>
      <w:marLeft w:val="0"/>
      <w:marRight w:val="0"/>
      <w:marTop w:val="0"/>
      <w:marBottom w:val="0"/>
      <w:divBdr>
        <w:top w:val="none" w:sz="0" w:space="0" w:color="auto"/>
        <w:left w:val="none" w:sz="0" w:space="0" w:color="auto"/>
        <w:bottom w:val="none" w:sz="0" w:space="0" w:color="auto"/>
        <w:right w:val="none" w:sz="0" w:space="0" w:color="auto"/>
      </w:divBdr>
    </w:div>
    <w:div w:id="1780224776">
      <w:bodyDiv w:val="1"/>
      <w:marLeft w:val="0"/>
      <w:marRight w:val="0"/>
      <w:marTop w:val="0"/>
      <w:marBottom w:val="0"/>
      <w:divBdr>
        <w:top w:val="none" w:sz="0" w:space="0" w:color="auto"/>
        <w:left w:val="none" w:sz="0" w:space="0" w:color="auto"/>
        <w:bottom w:val="none" w:sz="0" w:space="0" w:color="auto"/>
        <w:right w:val="none" w:sz="0" w:space="0" w:color="auto"/>
      </w:divBdr>
    </w:div>
    <w:div w:id="1783919352">
      <w:bodyDiv w:val="1"/>
      <w:marLeft w:val="0"/>
      <w:marRight w:val="0"/>
      <w:marTop w:val="0"/>
      <w:marBottom w:val="0"/>
      <w:divBdr>
        <w:top w:val="none" w:sz="0" w:space="0" w:color="auto"/>
        <w:left w:val="none" w:sz="0" w:space="0" w:color="auto"/>
        <w:bottom w:val="none" w:sz="0" w:space="0" w:color="auto"/>
        <w:right w:val="none" w:sz="0" w:space="0" w:color="auto"/>
      </w:divBdr>
    </w:div>
    <w:div w:id="1785029050">
      <w:bodyDiv w:val="1"/>
      <w:marLeft w:val="0"/>
      <w:marRight w:val="0"/>
      <w:marTop w:val="0"/>
      <w:marBottom w:val="0"/>
      <w:divBdr>
        <w:top w:val="none" w:sz="0" w:space="0" w:color="auto"/>
        <w:left w:val="none" w:sz="0" w:space="0" w:color="auto"/>
        <w:bottom w:val="none" w:sz="0" w:space="0" w:color="auto"/>
        <w:right w:val="none" w:sz="0" w:space="0" w:color="auto"/>
      </w:divBdr>
      <w:divsChild>
        <w:div w:id="215747698">
          <w:marLeft w:val="0"/>
          <w:marRight w:val="0"/>
          <w:marTop w:val="0"/>
          <w:marBottom w:val="0"/>
          <w:divBdr>
            <w:top w:val="none" w:sz="0" w:space="0" w:color="auto"/>
            <w:left w:val="none" w:sz="0" w:space="0" w:color="auto"/>
            <w:bottom w:val="none" w:sz="0" w:space="0" w:color="auto"/>
            <w:right w:val="none" w:sz="0" w:space="0" w:color="auto"/>
          </w:divBdr>
        </w:div>
      </w:divsChild>
    </w:div>
    <w:div w:id="1810636144">
      <w:bodyDiv w:val="1"/>
      <w:marLeft w:val="0"/>
      <w:marRight w:val="0"/>
      <w:marTop w:val="0"/>
      <w:marBottom w:val="0"/>
      <w:divBdr>
        <w:top w:val="none" w:sz="0" w:space="0" w:color="auto"/>
        <w:left w:val="none" w:sz="0" w:space="0" w:color="auto"/>
        <w:bottom w:val="none" w:sz="0" w:space="0" w:color="auto"/>
        <w:right w:val="none" w:sz="0" w:space="0" w:color="auto"/>
      </w:divBdr>
    </w:div>
    <w:div w:id="1843081387">
      <w:bodyDiv w:val="1"/>
      <w:marLeft w:val="0"/>
      <w:marRight w:val="0"/>
      <w:marTop w:val="0"/>
      <w:marBottom w:val="0"/>
      <w:divBdr>
        <w:top w:val="none" w:sz="0" w:space="0" w:color="auto"/>
        <w:left w:val="none" w:sz="0" w:space="0" w:color="auto"/>
        <w:bottom w:val="none" w:sz="0" w:space="0" w:color="auto"/>
        <w:right w:val="none" w:sz="0" w:space="0" w:color="auto"/>
      </w:divBdr>
    </w:div>
    <w:div w:id="1867063982">
      <w:bodyDiv w:val="1"/>
      <w:marLeft w:val="0"/>
      <w:marRight w:val="0"/>
      <w:marTop w:val="0"/>
      <w:marBottom w:val="0"/>
      <w:divBdr>
        <w:top w:val="none" w:sz="0" w:space="0" w:color="auto"/>
        <w:left w:val="none" w:sz="0" w:space="0" w:color="auto"/>
        <w:bottom w:val="none" w:sz="0" w:space="0" w:color="auto"/>
        <w:right w:val="none" w:sz="0" w:space="0" w:color="auto"/>
      </w:divBdr>
    </w:div>
    <w:div w:id="1873112622">
      <w:bodyDiv w:val="1"/>
      <w:marLeft w:val="0"/>
      <w:marRight w:val="0"/>
      <w:marTop w:val="0"/>
      <w:marBottom w:val="0"/>
      <w:divBdr>
        <w:top w:val="none" w:sz="0" w:space="0" w:color="auto"/>
        <w:left w:val="none" w:sz="0" w:space="0" w:color="auto"/>
        <w:bottom w:val="none" w:sz="0" w:space="0" w:color="auto"/>
        <w:right w:val="none" w:sz="0" w:space="0" w:color="auto"/>
      </w:divBdr>
    </w:div>
    <w:div w:id="1882017570">
      <w:bodyDiv w:val="1"/>
      <w:marLeft w:val="0"/>
      <w:marRight w:val="0"/>
      <w:marTop w:val="0"/>
      <w:marBottom w:val="0"/>
      <w:divBdr>
        <w:top w:val="none" w:sz="0" w:space="0" w:color="auto"/>
        <w:left w:val="none" w:sz="0" w:space="0" w:color="auto"/>
        <w:bottom w:val="none" w:sz="0" w:space="0" w:color="auto"/>
        <w:right w:val="none" w:sz="0" w:space="0" w:color="auto"/>
      </w:divBdr>
    </w:div>
    <w:div w:id="1889099324">
      <w:bodyDiv w:val="1"/>
      <w:marLeft w:val="0"/>
      <w:marRight w:val="0"/>
      <w:marTop w:val="0"/>
      <w:marBottom w:val="0"/>
      <w:divBdr>
        <w:top w:val="none" w:sz="0" w:space="0" w:color="auto"/>
        <w:left w:val="none" w:sz="0" w:space="0" w:color="auto"/>
        <w:bottom w:val="none" w:sz="0" w:space="0" w:color="auto"/>
        <w:right w:val="none" w:sz="0" w:space="0" w:color="auto"/>
      </w:divBdr>
    </w:div>
    <w:div w:id="1890727435">
      <w:bodyDiv w:val="1"/>
      <w:marLeft w:val="0"/>
      <w:marRight w:val="0"/>
      <w:marTop w:val="0"/>
      <w:marBottom w:val="0"/>
      <w:divBdr>
        <w:top w:val="none" w:sz="0" w:space="0" w:color="auto"/>
        <w:left w:val="none" w:sz="0" w:space="0" w:color="auto"/>
        <w:bottom w:val="none" w:sz="0" w:space="0" w:color="auto"/>
        <w:right w:val="none" w:sz="0" w:space="0" w:color="auto"/>
      </w:divBdr>
      <w:divsChild>
        <w:div w:id="1818643981">
          <w:marLeft w:val="0"/>
          <w:marRight w:val="0"/>
          <w:marTop w:val="0"/>
          <w:marBottom w:val="0"/>
          <w:divBdr>
            <w:top w:val="none" w:sz="0" w:space="0" w:color="auto"/>
            <w:left w:val="none" w:sz="0" w:space="0" w:color="auto"/>
            <w:bottom w:val="none" w:sz="0" w:space="0" w:color="auto"/>
            <w:right w:val="none" w:sz="0" w:space="0" w:color="auto"/>
          </w:divBdr>
        </w:div>
      </w:divsChild>
    </w:div>
    <w:div w:id="1894847767">
      <w:bodyDiv w:val="1"/>
      <w:marLeft w:val="0"/>
      <w:marRight w:val="0"/>
      <w:marTop w:val="0"/>
      <w:marBottom w:val="0"/>
      <w:divBdr>
        <w:top w:val="none" w:sz="0" w:space="0" w:color="auto"/>
        <w:left w:val="none" w:sz="0" w:space="0" w:color="auto"/>
        <w:bottom w:val="none" w:sz="0" w:space="0" w:color="auto"/>
        <w:right w:val="none" w:sz="0" w:space="0" w:color="auto"/>
      </w:divBdr>
    </w:div>
    <w:div w:id="1919292348">
      <w:bodyDiv w:val="1"/>
      <w:marLeft w:val="0"/>
      <w:marRight w:val="0"/>
      <w:marTop w:val="0"/>
      <w:marBottom w:val="0"/>
      <w:divBdr>
        <w:top w:val="none" w:sz="0" w:space="0" w:color="auto"/>
        <w:left w:val="none" w:sz="0" w:space="0" w:color="auto"/>
        <w:bottom w:val="none" w:sz="0" w:space="0" w:color="auto"/>
        <w:right w:val="none" w:sz="0" w:space="0" w:color="auto"/>
      </w:divBdr>
    </w:div>
    <w:div w:id="1925064396">
      <w:bodyDiv w:val="1"/>
      <w:marLeft w:val="0"/>
      <w:marRight w:val="0"/>
      <w:marTop w:val="0"/>
      <w:marBottom w:val="0"/>
      <w:divBdr>
        <w:top w:val="none" w:sz="0" w:space="0" w:color="auto"/>
        <w:left w:val="none" w:sz="0" w:space="0" w:color="auto"/>
        <w:bottom w:val="none" w:sz="0" w:space="0" w:color="auto"/>
        <w:right w:val="none" w:sz="0" w:space="0" w:color="auto"/>
      </w:divBdr>
    </w:div>
    <w:div w:id="1927883251">
      <w:bodyDiv w:val="1"/>
      <w:marLeft w:val="0"/>
      <w:marRight w:val="0"/>
      <w:marTop w:val="0"/>
      <w:marBottom w:val="0"/>
      <w:divBdr>
        <w:top w:val="none" w:sz="0" w:space="0" w:color="auto"/>
        <w:left w:val="none" w:sz="0" w:space="0" w:color="auto"/>
        <w:bottom w:val="none" w:sz="0" w:space="0" w:color="auto"/>
        <w:right w:val="none" w:sz="0" w:space="0" w:color="auto"/>
      </w:divBdr>
    </w:div>
    <w:div w:id="1949197712">
      <w:bodyDiv w:val="1"/>
      <w:marLeft w:val="0"/>
      <w:marRight w:val="0"/>
      <w:marTop w:val="0"/>
      <w:marBottom w:val="0"/>
      <w:divBdr>
        <w:top w:val="none" w:sz="0" w:space="0" w:color="auto"/>
        <w:left w:val="none" w:sz="0" w:space="0" w:color="auto"/>
        <w:bottom w:val="none" w:sz="0" w:space="0" w:color="auto"/>
        <w:right w:val="none" w:sz="0" w:space="0" w:color="auto"/>
      </w:divBdr>
    </w:div>
    <w:div w:id="1956019346">
      <w:bodyDiv w:val="1"/>
      <w:marLeft w:val="0"/>
      <w:marRight w:val="0"/>
      <w:marTop w:val="0"/>
      <w:marBottom w:val="0"/>
      <w:divBdr>
        <w:top w:val="none" w:sz="0" w:space="0" w:color="auto"/>
        <w:left w:val="none" w:sz="0" w:space="0" w:color="auto"/>
        <w:bottom w:val="none" w:sz="0" w:space="0" w:color="auto"/>
        <w:right w:val="none" w:sz="0" w:space="0" w:color="auto"/>
      </w:divBdr>
    </w:div>
    <w:div w:id="1984848239">
      <w:bodyDiv w:val="1"/>
      <w:marLeft w:val="0"/>
      <w:marRight w:val="0"/>
      <w:marTop w:val="0"/>
      <w:marBottom w:val="0"/>
      <w:divBdr>
        <w:top w:val="none" w:sz="0" w:space="0" w:color="auto"/>
        <w:left w:val="none" w:sz="0" w:space="0" w:color="auto"/>
        <w:bottom w:val="none" w:sz="0" w:space="0" w:color="auto"/>
        <w:right w:val="none" w:sz="0" w:space="0" w:color="auto"/>
      </w:divBdr>
    </w:div>
    <w:div w:id="1985115852">
      <w:bodyDiv w:val="1"/>
      <w:marLeft w:val="0"/>
      <w:marRight w:val="0"/>
      <w:marTop w:val="0"/>
      <w:marBottom w:val="0"/>
      <w:divBdr>
        <w:top w:val="none" w:sz="0" w:space="0" w:color="auto"/>
        <w:left w:val="none" w:sz="0" w:space="0" w:color="auto"/>
        <w:bottom w:val="none" w:sz="0" w:space="0" w:color="auto"/>
        <w:right w:val="none" w:sz="0" w:space="0" w:color="auto"/>
      </w:divBdr>
    </w:div>
    <w:div w:id="1992296502">
      <w:bodyDiv w:val="1"/>
      <w:marLeft w:val="0"/>
      <w:marRight w:val="0"/>
      <w:marTop w:val="0"/>
      <w:marBottom w:val="0"/>
      <w:divBdr>
        <w:top w:val="none" w:sz="0" w:space="0" w:color="auto"/>
        <w:left w:val="none" w:sz="0" w:space="0" w:color="auto"/>
        <w:bottom w:val="none" w:sz="0" w:space="0" w:color="auto"/>
        <w:right w:val="none" w:sz="0" w:space="0" w:color="auto"/>
      </w:divBdr>
    </w:div>
    <w:div w:id="2011252227">
      <w:bodyDiv w:val="1"/>
      <w:marLeft w:val="0"/>
      <w:marRight w:val="0"/>
      <w:marTop w:val="0"/>
      <w:marBottom w:val="0"/>
      <w:divBdr>
        <w:top w:val="none" w:sz="0" w:space="0" w:color="auto"/>
        <w:left w:val="none" w:sz="0" w:space="0" w:color="auto"/>
        <w:bottom w:val="none" w:sz="0" w:space="0" w:color="auto"/>
        <w:right w:val="none" w:sz="0" w:space="0" w:color="auto"/>
      </w:divBdr>
    </w:div>
    <w:div w:id="2046439062">
      <w:bodyDiv w:val="1"/>
      <w:marLeft w:val="0"/>
      <w:marRight w:val="0"/>
      <w:marTop w:val="0"/>
      <w:marBottom w:val="0"/>
      <w:divBdr>
        <w:top w:val="none" w:sz="0" w:space="0" w:color="auto"/>
        <w:left w:val="none" w:sz="0" w:space="0" w:color="auto"/>
        <w:bottom w:val="none" w:sz="0" w:space="0" w:color="auto"/>
        <w:right w:val="none" w:sz="0" w:space="0" w:color="auto"/>
      </w:divBdr>
    </w:div>
    <w:div w:id="2052076706">
      <w:bodyDiv w:val="1"/>
      <w:marLeft w:val="0"/>
      <w:marRight w:val="0"/>
      <w:marTop w:val="0"/>
      <w:marBottom w:val="0"/>
      <w:divBdr>
        <w:top w:val="none" w:sz="0" w:space="0" w:color="auto"/>
        <w:left w:val="none" w:sz="0" w:space="0" w:color="auto"/>
        <w:bottom w:val="none" w:sz="0" w:space="0" w:color="auto"/>
        <w:right w:val="none" w:sz="0" w:space="0" w:color="auto"/>
      </w:divBdr>
    </w:div>
    <w:div w:id="2077048255">
      <w:bodyDiv w:val="1"/>
      <w:marLeft w:val="0"/>
      <w:marRight w:val="0"/>
      <w:marTop w:val="0"/>
      <w:marBottom w:val="0"/>
      <w:divBdr>
        <w:top w:val="none" w:sz="0" w:space="0" w:color="auto"/>
        <w:left w:val="none" w:sz="0" w:space="0" w:color="auto"/>
        <w:bottom w:val="none" w:sz="0" w:space="0" w:color="auto"/>
        <w:right w:val="none" w:sz="0" w:space="0" w:color="auto"/>
      </w:divBdr>
    </w:div>
    <w:div w:id="2091847590">
      <w:bodyDiv w:val="1"/>
      <w:marLeft w:val="0"/>
      <w:marRight w:val="0"/>
      <w:marTop w:val="0"/>
      <w:marBottom w:val="0"/>
      <w:divBdr>
        <w:top w:val="none" w:sz="0" w:space="0" w:color="auto"/>
        <w:left w:val="none" w:sz="0" w:space="0" w:color="auto"/>
        <w:bottom w:val="none" w:sz="0" w:space="0" w:color="auto"/>
        <w:right w:val="none" w:sz="0" w:space="0" w:color="auto"/>
      </w:divBdr>
    </w:div>
    <w:div w:id="2106420927">
      <w:bodyDiv w:val="1"/>
      <w:marLeft w:val="0"/>
      <w:marRight w:val="0"/>
      <w:marTop w:val="0"/>
      <w:marBottom w:val="0"/>
      <w:divBdr>
        <w:top w:val="none" w:sz="0" w:space="0" w:color="auto"/>
        <w:left w:val="none" w:sz="0" w:space="0" w:color="auto"/>
        <w:bottom w:val="none" w:sz="0" w:space="0" w:color="auto"/>
        <w:right w:val="none" w:sz="0" w:space="0" w:color="auto"/>
      </w:divBdr>
    </w:div>
    <w:div w:id="2115585518">
      <w:bodyDiv w:val="1"/>
      <w:marLeft w:val="0"/>
      <w:marRight w:val="0"/>
      <w:marTop w:val="0"/>
      <w:marBottom w:val="0"/>
      <w:divBdr>
        <w:top w:val="none" w:sz="0" w:space="0" w:color="auto"/>
        <w:left w:val="none" w:sz="0" w:space="0" w:color="auto"/>
        <w:bottom w:val="none" w:sz="0" w:space="0" w:color="auto"/>
        <w:right w:val="none" w:sz="0" w:space="0" w:color="auto"/>
      </w:divBdr>
    </w:div>
    <w:div w:id="2125610995">
      <w:bodyDiv w:val="1"/>
      <w:marLeft w:val="0"/>
      <w:marRight w:val="0"/>
      <w:marTop w:val="0"/>
      <w:marBottom w:val="0"/>
      <w:divBdr>
        <w:top w:val="none" w:sz="0" w:space="0" w:color="auto"/>
        <w:left w:val="none" w:sz="0" w:space="0" w:color="auto"/>
        <w:bottom w:val="none" w:sz="0" w:space="0" w:color="auto"/>
        <w:right w:val="none" w:sz="0" w:space="0" w:color="auto"/>
      </w:divBdr>
    </w:div>
    <w:div w:id="2128114287">
      <w:bodyDiv w:val="1"/>
      <w:marLeft w:val="0"/>
      <w:marRight w:val="0"/>
      <w:marTop w:val="0"/>
      <w:marBottom w:val="0"/>
      <w:divBdr>
        <w:top w:val="none" w:sz="0" w:space="0" w:color="auto"/>
        <w:left w:val="none" w:sz="0" w:space="0" w:color="auto"/>
        <w:bottom w:val="none" w:sz="0" w:space="0" w:color="auto"/>
        <w:right w:val="none" w:sz="0" w:space="0" w:color="auto"/>
      </w:divBdr>
    </w:div>
    <w:div w:id="2129543991">
      <w:bodyDiv w:val="1"/>
      <w:marLeft w:val="0"/>
      <w:marRight w:val="0"/>
      <w:marTop w:val="0"/>
      <w:marBottom w:val="0"/>
      <w:divBdr>
        <w:top w:val="none" w:sz="0" w:space="0" w:color="auto"/>
        <w:left w:val="none" w:sz="0" w:space="0" w:color="auto"/>
        <w:bottom w:val="none" w:sz="0" w:space="0" w:color="auto"/>
        <w:right w:val="none" w:sz="0" w:space="0" w:color="auto"/>
      </w:divBdr>
    </w:div>
    <w:div w:id="2130515792">
      <w:bodyDiv w:val="1"/>
      <w:marLeft w:val="0"/>
      <w:marRight w:val="0"/>
      <w:marTop w:val="0"/>
      <w:marBottom w:val="0"/>
      <w:divBdr>
        <w:top w:val="none" w:sz="0" w:space="0" w:color="auto"/>
        <w:left w:val="none" w:sz="0" w:space="0" w:color="auto"/>
        <w:bottom w:val="none" w:sz="0" w:space="0" w:color="auto"/>
        <w:right w:val="none" w:sz="0" w:space="0" w:color="auto"/>
      </w:divBdr>
    </w:div>
    <w:div w:id="2134443892">
      <w:bodyDiv w:val="1"/>
      <w:marLeft w:val="0"/>
      <w:marRight w:val="0"/>
      <w:marTop w:val="0"/>
      <w:marBottom w:val="0"/>
      <w:divBdr>
        <w:top w:val="none" w:sz="0" w:space="0" w:color="auto"/>
        <w:left w:val="none" w:sz="0" w:space="0" w:color="auto"/>
        <w:bottom w:val="none" w:sz="0" w:space="0" w:color="auto"/>
        <w:right w:val="none" w:sz="0" w:space="0" w:color="auto"/>
      </w:divBdr>
    </w:div>
    <w:div w:id="2147114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hgdata.epa.gov/ghgp/main.d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_rels/footnotes.xml.rels><?xml version="1.0" encoding="UTF-8" standalone="yes"?>
<Relationships xmlns="http://schemas.openxmlformats.org/package/2006/relationships"><Relationship Id="rId2" Type="http://schemas.openxmlformats.org/officeDocument/2006/relationships/hyperlink" Target="http://www.bls.gov/news.release/archives/ecec_09082011.pdf" TargetMode="External"/><Relationship Id="rId1" Type="http://schemas.openxmlformats.org/officeDocument/2006/relationships/hyperlink" Target="http://www.bls.gov/oes/current/oessrci.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AE90B6-E6D9-4127-A93B-1BD92E2E4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7630</Words>
  <Characters>43491</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INFORMATION COLLECTION REQUEST</vt:lpstr>
    </vt:vector>
  </TitlesOfParts>
  <Company>CadmusGroup Inc</Company>
  <LinksUpToDate>false</LinksUpToDate>
  <CharactersWithSpaces>51019</CharactersWithSpaces>
  <SharedDoc>false</SharedDoc>
  <HLinks>
    <vt:vector size="198" baseType="variant">
      <vt:variant>
        <vt:i4>7995507</vt:i4>
      </vt:variant>
      <vt:variant>
        <vt:i4>183</vt:i4>
      </vt:variant>
      <vt:variant>
        <vt:i4>0</vt:i4>
      </vt:variant>
      <vt:variant>
        <vt:i4>5</vt:i4>
      </vt:variant>
      <vt:variant>
        <vt:lpwstr>http://ghgdata.epa.gov/ghgp/main.do</vt:lpwstr>
      </vt:variant>
      <vt:variant>
        <vt:lpwstr/>
      </vt:variant>
      <vt:variant>
        <vt:i4>1572918</vt:i4>
      </vt:variant>
      <vt:variant>
        <vt:i4>176</vt:i4>
      </vt:variant>
      <vt:variant>
        <vt:i4>0</vt:i4>
      </vt:variant>
      <vt:variant>
        <vt:i4>5</vt:i4>
      </vt:variant>
      <vt:variant>
        <vt:lpwstr/>
      </vt:variant>
      <vt:variant>
        <vt:lpwstr>_Toc336329165</vt:lpwstr>
      </vt:variant>
      <vt:variant>
        <vt:i4>1572918</vt:i4>
      </vt:variant>
      <vt:variant>
        <vt:i4>170</vt:i4>
      </vt:variant>
      <vt:variant>
        <vt:i4>0</vt:i4>
      </vt:variant>
      <vt:variant>
        <vt:i4>5</vt:i4>
      </vt:variant>
      <vt:variant>
        <vt:lpwstr/>
      </vt:variant>
      <vt:variant>
        <vt:lpwstr>_Toc336329164</vt:lpwstr>
      </vt:variant>
      <vt:variant>
        <vt:i4>1572918</vt:i4>
      </vt:variant>
      <vt:variant>
        <vt:i4>164</vt:i4>
      </vt:variant>
      <vt:variant>
        <vt:i4>0</vt:i4>
      </vt:variant>
      <vt:variant>
        <vt:i4>5</vt:i4>
      </vt:variant>
      <vt:variant>
        <vt:lpwstr/>
      </vt:variant>
      <vt:variant>
        <vt:lpwstr>_Toc336329163</vt:lpwstr>
      </vt:variant>
      <vt:variant>
        <vt:i4>1572918</vt:i4>
      </vt:variant>
      <vt:variant>
        <vt:i4>158</vt:i4>
      </vt:variant>
      <vt:variant>
        <vt:i4>0</vt:i4>
      </vt:variant>
      <vt:variant>
        <vt:i4>5</vt:i4>
      </vt:variant>
      <vt:variant>
        <vt:lpwstr/>
      </vt:variant>
      <vt:variant>
        <vt:lpwstr>_Toc336329162</vt:lpwstr>
      </vt:variant>
      <vt:variant>
        <vt:i4>1572918</vt:i4>
      </vt:variant>
      <vt:variant>
        <vt:i4>152</vt:i4>
      </vt:variant>
      <vt:variant>
        <vt:i4>0</vt:i4>
      </vt:variant>
      <vt:variant>
        <vt:i4>5</vt:i4>
      </vt:variant>
      <vt:variant>
        <vt:lpwstr/>
      </vt:variant>
      <vt:variant>
        <vt:lpwstr>_Toc336329161</vt:lpwstr>
      </vt:variant>
      <vt:variant>
        <vt:i4>1572918</vt:i4>
      </vt:variant>
      <vt:variant>
        <vt:i4>146</vt:i4>
      </vt:variant>
      <vt:variant>
        <vt:i4>0</vt:i4>
      </vt:variant>
      <vt:variant>
        <vt:i4>5</vt:i4>
      </vt:variant>
      <vt:variant>
        <vt:lpwstr/>
      </vt:variant>
      <vt:variant>
        <vt:lpwstr>_Toc336329160</vt:lpwstr>
      </vt:variant>
      <vt:variant>
        <vt:i4>1769526</vt:i4>
      </vt:variant>
      <vt:variant>
        <vt:i4>140</vt:i4>
      </vt:variant>
      <vt:variant>
        <vt:i4>0</vt:i4>
      </vt:variant>
      <vt:variant>
        <vt:i4>5</vt:i4>
      </vt:variant>
      <vt:variant>
        <vt:lpwstr/>
      </vt:variant>
      <vt:variant>
        <vt:lpwstr>_Toc336329159</vt:lpwstr>
      </vt:variant>
      <vt:variant>
        <vt:i4>1769526</vt:i4>
      </vt:variant>
      <vt:variant>
        <vt:i4>134</vt:i4>
      </vt:variant>
      <vt:variant>
        <vt:i4>0</vt:i4>
      </vt:variant>
      <vt:variant>
        <vt:i4>5</vt:i4>
      </vt:variant>
      <vt:variant>
        <vt:lpwstr/>
      </vt:variant>
      <vt:variant>
        <vt:lpwstr>_Toc336329158</vt:lpwstr>
      </vt:variant>
      <vt:variant>
        <vt:i4>1769526</vt:i4>
      </vt:variant>
      <vt:variant>
        <vt:i4>128</vt:i4>
      </vt:variant>
      <vt:variant>
        <vt:i4>0</vt:i4>
      </vt:variant>
      <vt:variant>
        <vt:i4>5</vt:i4>
      </vt:variant>
      <vt:variant>
        <vt:lpwstr/>
      </vt:variant>
      <vt:variant>
        <vt:lpwstr>_Toc336329157</vt:lpwstr>
      </vt:variant>
      <vt:variant>
        <vt:i4>1769526</vt:i4>
      </vt:variant>
      <vt:variant>
        <vt:i4>122</vt:i4>
      </vt:variant>
      <vt:variant>
        <vt:i4>0</vt:i4>
      </vt:variant>
      <vt:variant>
        <vt:i4>5</vt:i4>
      </vt:variant>
      <vt:variant>
        <vt:lpwstr/>
      </vt:variant>
      <vt:variant>
        <vt:lpwstr>_Toc336329156</vt:lpwstr>
      </vt:variant>
      <vt:variant>
        <vt:i4>1769526</vt:i4>
      </vt:variant>
      <vt:variant>
        <vt:i4>116</vt:i4>
      </vt:variant>
      <vt:variant>
        <vt:i4>0</vt:i4>
      </vt:variant>
      <vt:variant>
        <vt:i4>5</vt:i4>
      </vt:variant>
      <vt:variant>
        <vt:lpwstr/>
      </vt:variant>
      <vt:variant>
        <vt:lpwstr>_Toc336329155</vt:lpwstr>
      </vt:variant>
      <vt:variant>
        <vt:i4>1769526</vt:i4>
      </vt:variant>
      <vt:variant>
        <vt:i4>110</vt:i4>
      </vt:variant>
      <vt:variant>
        <vt:i4>0</vt:i4>
      </vt:variant>
      <vt:variant>
        <vt:i4>5</vt:i4>
      </vt:variant>
      <vt:variant>
        <vt:lpwstr/>
      </vt:variant>
      <vt:variant>
        <vt:lpwstr>_Toc336329154</vt:lpwstr>
      </vt:variant>
      <vt:variant>
        <vt:i4>1769526</vt:i4>
      </vt:variant>
      <vt:variant>
        <vt:i4>104</vt:i4>
      </vt:variant>
      <vt:variant>
        <vt:i4>0</vt:i4>
      </vt:variant>
      <vt:variant>
        <vt:i4>5</vt:i4>
      </vt:variant>
      <vt:variant>
        <vt:lpwstr/>
      </vt:variant>
      <vt:variant>
        <vt:lpwstr>_Toc336329153</vt:lpwstr>
      </vt:variant>
      <vt:variant>
        <vt:i4>1769526</vt:i4>
      </vt:variant>
      <vt:variant>
        <vt:i4>98</vt:i4>
      </vt:variant>
      <vt:variant>
        <vt:i4>0</vt:i4>
      </vt:variant>
      <vt:variant>
        <vt:i4>5</vt:i4>
      </vt:variant>
      <vt:variant>
        <vt:lpwstr/>
      </vt:variant>
      <vt:variant>
        <vt:lpwstr>_Toc336329152</vt:lpwstr>
      </vt:variant>
      <vt:variant>
        <vt:i4>1769526</vt:i4>
      </vt:variant>
      <vt:variant>
        <vt:i4>92</vt:i4>
      </vt:variant>
      <vt:variant>
        <vt:i4>0</vt:i4>
      </vt:variant>
      <vt:variant>
        <vt:i4>5</vt:i4>
      </vt:variant>
      <vt:variant>
        <vt:lpwstr/>
      </vt:variant>
      <vt:variant>
        <vt:lpwstr>_Toc336329151</vt:lpwstr>
      </vt:variant>
      <vt:variant>
        <vt:i4>1769526</vt:i4>
      </vt:variant>
      <vt:variant>
        <vt:i4>86</vt:i4>
      </vt:variant>
      <vt:variant>
        <vt:i4>0</vt:i4>
      </vt:variant>
      <vt:variant>
        <vt:i4>5</vt:i4>
      </vt:variant>
      <vt:variant>
        <vt:lpwstr/>
      </vt:variant>
      <vt:variant>
        <vt:lpwstr>_Toc336329150</vt:lpwstr>
      </vt:variant>
      <vt:variant>
        <vt:i4>1703990</vt:i4>
      </vt:variant>
      <vt:variant>
        <vt:i4>80</vt:i4>
      </vt:variant>
      <vt:variant>
        <vt:i4>0</vt:i4>
      </vt:variant>
      <vt:variant>
        <vt:i4>5</vt:i4>
      </vt:variant>
      <vt:variant>
        <vt:lpwstr/>
      </vt:variant>
      <vt:variant>
        <vt:lpwstr>_Toc336329149</vt:lpwstr>
      </vt:variant>
      <vt:variant>
        <vt:i4>1703990</vt:i4>
      </vt:variant>
      <vt:variant>
        <vt:i4>74</vt:i4>
      </vt:variant>
      <vt:variant>
        <vt:i4>0</vt:i4>
      </vt:variant>
      <vt:variant>
        <vt:i4>5</vt:i4>
      </vt:variant>
      <vt:variant>
        <vt:lpwstr/>
      </vt:variant>
      <vt:variant>
        <vt:lpwstr>_Toc336329148</vt:lpwstr>
      </vt:variant>
      <vt:variant>
        <vt:i4>1703990</vt:i4>
      </vt:variant>
      <vt:variant>
        <vt:i4>68</vt:i4>
      </vt:variant>
      <vt:variant>
        <vt:i4>0</vt:i4>
      </vt:variant>
      <vt:variant>
        <vt:i4>5</vt:i4>
      </vt:variant>
      <vt:variant>
        <vt:lpwstr/>
      </vt:variant>
      <vt:variant>
        <vt:lpwstr>_Toc336329147</vt:lpwstr>
      </vt:variant>
      <vt:variant>
        <vt:i4>1703990</vt:i4>
      </vt:variant>
      <vt:variant>
        <vt:i4>62</vt:i4>
      </vt:variant>
      <vt:variant>
        <vt:i4>0</vt:i4>
      </vt:variant>
      <vt:variant>
        <vt:i4>5</vt:i4>
      </vt:variant>
      <vt:variant>
        <vt:lpwstr/>
      </vt:variant>
      <vt:variant>
        <vt:lpwstr>_Toc336329146</vt:lpwstr>
      </vt:variant>
      <vt:variant>
        <vt:i4>1703990</vt:i4>
      </vt:variant>
      <vt:variant>
        <vt:i4>56</vt:i4>
      </vt:variant>
      <vt:variant>
        <vt:i4>0</vt:i4>
      </vt:variant>
      <vt:variant>
        <vt:i4>5</vt:i4>
      </vt:variant>
      <vt:variant>
        <vt:lpwstr/>
      </vt:variant>
      <vt:variant>
        <vt:lpwstr>_Toc336329145</vt:lpwstr>
      </vt:variant>
      <vt:variant>
        <vt:i4>1703990</vt:i4>
      </vt:variant>
      <vt:variant>
        <vt:i4>50</vt:i4>
      </vt:variant>
      <vt:variant>
        <vt:i4>0</vt:i4>
      </vt:variant>
      <vt:variant>
        <vt:i4>5</vt:i4>
      </vt:variant>
      <vt:variant>
        <vt:lpwstr/>
      </vt:variant>
      <vt:variant>
        <vt:lpwstr>_Toc336329144</vt:lpwstr>
      </vt:variant>
      <vt:variant>
        <vt:i4>1703990</vt:i4>
      </vt:variant>
      <vt:variant>
        <vt:i4>44</vt:i4>
      </vt:variant>
      <vt:variant>
        <vt:i4>0</vt:i4>
      </vt:variant>
      <vt:variant>
        <vt:i4>5</vt:i4>
      </vt:variant>
      <vt:variant>
        <vt:lpwstr/>
      </vt:variant>
      <vt:variant>
        <vt:lpwstr>_Toc336329143</vt:lpwstr>
      </vt:variant>
      <vt:variant>
        <vt:i4>1703990</vt:i4>
      </vt:variant>
      <vt:variant>
        <vt:i4>38</vt:i4>
      </vt:variant>
      <vt:variant>
        <vt:i4>0</vt:i4>
      </vt:variant>
      <vt:variant>
        <vt:i4>5</vt:i4>
      </vt:variant>
      <vt:variant>
        <vt:lpwstr/>
      </vt:variant>
      <vt:variant>
        <vt:lpwstr>_Toc336329142</vt:lpwstr>
      </vt:variant>
      <vt:variant>
        <vt:i4>1703990</vt:i4>
      </vt:variant>
      <vt:variant>
        <vt:i4>32</vt:i4>
      </vt:variant>
      <vt:variant>
        <vt:i4>0</vt:i4>
      </vt:variant>
      <vt:variant>
        <vt:i4>5</vt:i4>
      </vt:variant>
      <vt:variant>
        <vt:lpwstr/>
      </vt:variant>
      <vt:variant>
        <vt:lpwstr>_Toc336329141</vt:lpwstr>
      </vt:variant>
      <vt:variant>
        <vt:i4>1703990</vt:i4>
      </vt:variant>
      <vt:variant>
        <vt:i4>26</vt:i4>
      </vt:variant>
      <vt:variant>
        <vt:i4>0</vt:i4>
      </vt:variant>
      <vt:variant>
        <vt:i4>5</vt:i4>
      </vt:variant>
      <vt:variant>
        <vt:lpwstr/>
      </vt:variant>
      <vt:variant>
        <vt:lpwstr>_Toc336329140</vt:lpwstr>
      </vt:variant>
      <vt:variant>
        <vt:i4>1900598</vt:i4>
      </vt:variant>
      <vt:variant>
        <vt:i4>20</vt:i4>
      </vt:variant>
      <vt:variant>
        <vt:i4>0</vt:i4>
      </vt:variant>
      <vt:variant>
        <vt:i4>5</vt:i4>
      </vt:variant>
      <vt:variant>
        <vt:lpwstr/>
      </vt:variant>
      <vt:variant>
        <vt:lpwstr>_Toc336329139</vt:lpwstr>
      </vt:variant>
      <vt:variant>
        <vt:i4>1900598</vt:i4>
      </vt:variant>
      <vt:variant>
        <vt:i4>14</vt:i4>
      </vt:variant>
      <vt:variant>
        <vt:i4>0</vt:i4>
      </vt:variant>
      <vt:variant>
        <vt:i4>5</vt:i4>
      </vt:variant>
      <vt:variant>
        <vt:lpwstr/>
      </vt:variant>
      <vt:variant>
        <vt:lpwstr>_Toc336329138</vt:lpwstr>
      </vt:variant>
      <vt:variant>
        <vt:i4>1900598</vt:i4>
      </vt:variant>
      <vt:variant>
        <vt:i4>8</vt:i4>
      </vt:variant>
      <vt:variant>
        <vt:i4>0</vt:i4>
      </vt:variant>
      <vt:variant>
        <vt:i4>5</vt:i4>
      </vt:variant>
      <vt:variant>
        <vt:lpwstr/>
      </vt:variant>
      <vt:variant>
        <vt:lpwstr>_Toc336329137</vt:lpwstr>
      </vt:variant>
      <vt:variant>
        <vt:i4>1900598</vt:i4>
      </vt:variant>
      <vt:variant>
        <vt:i4>2</vt:i4>
      </vt:variant>
      <vt:variant>
        <vt:i4>0</vt:i4>
      </vt:variant>
      <vt:variant>
        <vt:i4>5</vt:i4>
      </vt:variant>
      <vt:variant>
        <vt:lpwstr/>
      </vt:variant>
      <vt:variant>
        <vt:lpwstr>_Toc336329136</vt:lpwstr>
      </vt:variant>
      <vt:variant>
        <vt:i4>1441846</vt:i4>
      </vt:variant>
      <vt:variant>
        <vt:i4>3</vt:i4>
      </vt:variant>
      <vt:variant>
        <vt:i4>0</vt:i4>
      </vt:variant>
      <vt:variant>
        <vt:i4>5</vt:i4>
      </vt:variant>
      <vt:variant>
        <vt:lpwstr>http://www.bls.gov/news.release/archives/ecec_09082011.pdf</vt:lpwstr>
      </vt:variant>
      <vt:variant>
        <vt:lpwstr/>
      </vt:variant>
      <vt:variant>
        <vt:i4>3473521</vt:i4>
      </vt:variant>
      <vt:variant>
        <vt:i4>0</vt:i4>
      </vt:variant>
      <vt:variant>
        <vt:i4>0</vt:i4>
      </vt:variant>
      <vt:variant>
        <vt:i4>5</vt:i4>
      </vt:variant>
      <vt:variant>
        <vt:lpwstr>http://www.bls.gov/oes/current/oessrci.htm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COLLECTION REQUEST</dc:title>
  <dc:creator>Teresa</dc:creator>
  <cp:lastModifiedBy>Courtney Kerwin</cp:lastModifiedBy>
  <cp:revision>5</cp:revision>
  <cp:lastPrinted>2013-08-08T18:21:00Z</cp:lastPrinted>
  <dcterms:created xsi:type="dcterms:W3CDTF">2013-08-26T13:15:00Z</dcterms:created>
  <dcterms:modified xsi:type="dcterms:W3CDTF">2013-08-26T13:23:00Z</dcterms:modified>
</cp:coreProperties>
</file>