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3407F" w:rsidRPr="00BD0FD5" w:rsidRDefault="00B3407F" w:rsidP="0092596C">
      <w:pPr>
        <w:spacing w:after="0" w:line="240" w:lineRule="auto"/>
        <w:jc w:val="center"/>
        <w:rPr>
          <w:rFonts w:ascii="Times New Roman" w:hAnsi="Times New Roman"/>
          <w:sz w:val="24"/>
          <w:szCs w:val="24"/>
        </w:rPr>
      </w:pPr>
      <w:r w:rsidRPr="00BD0FD5">
        <w:rPr>
          <w:rFonts w:ascii="Times New Roman" w:hAnsi="Times New Roman"/>
          <w:sz w:val="24"/>
          <w:szCs w:val="24"/>
        </w:rPr>
        <w:t>Supporting Statement</w:t>
      </w:r>
    </w:p>
    <w:p w:rsidR="007D1EDB" w:rsidRDefault="00B3407F" w:rsidP="009D4D24">
      <w:pPr>
        <w:spacing w:after="0" w:line="240" w:lineRule="auto"/>
        <w:jc w:val="center"/>
        <w:rPr>
          <w:rFonts w:ascii="Times New Roman" w:hAnsi="Times New Roman"/>
          <w:b/>
          <w:sz w:val="24"/>
          <w:szCs w:val="24"/>
        </w:rPr>
      </w:pPr>
      <w:r w:rsidRPr="00BD0FD5">
        <w:rPr>
          <w:rFonts w:ascii="Times New Roman" w:hAnsi="Times New Roman"/>
          <w:b/>
          <w:sz w:val="24"/>
          <w:szCs w:val="24"/>
        </w:rPr>
        <w:t>FERC-725</w:t>
      </w:r>
      <w:r w:rsidR="007D1EDB">
        <w:rPr>
          <w:rFonts w:ascii="Times New Roman" w:hAnsi="Times New Roman"/>
          <w:b/>
          <w:sz w:val="24"/>
          <w:szCs w:val="24"/>
        </w:rPr>
        <w:t>A</w:t>
      </w:r>
      <w:r w:rsidRPr="00BD0FD5">
        <w:rPr>
          <w:rFonts w:ascii="Times New Roman" w:hAnsi="Times New Roman"/>
          <w:b/>
          <w:sz w:val="24"/>
          <w:szCs w:val="24"/>
        </w:rPr>
        <w:t>,</w:t>
      </w:r>
      <w:r w:rsidR="008F16EE" w:rsidRPr="00BD0FD5">
        <w:rPr>
          <w:rFonts w:ascii="Times New Roman" w:hAnsi="Times New Roman"/>
          <w:b/>
          <w:sz w:val="24"/>
          <w:szCs w:val="24"/>
        </w:rPr>
        <w:t xml:space="preserve"> Mandatory Reliability Standards</w:t>
      </w:r>
      <w:r w:rsidR="007D1EDB">
        <w:rPr>
          <w:rFonts w:ascii="Times New Roman" w:hAnsi="Times New Roman"/>
          <w:b/>
          <w:sz w:val="24"/>
          <w:szCs w:val="24"/>
        </w:rPr>
        <w:t xml:space="preserve"> for the Bulk Power System</w:t>
      </w:r>
    </w:p>
    <w:p w:rsidR="00B3407F" w:rsidRPr="00BD0FD5" w:rsidRDefault="007E12BA" w:rsidP="009D4D24">
      <w:pPr>
        <w:spacing w:after="0" w:line="240" w:lineRule="auto"/>
        <w:jc w:val="center"/>
        <w:rPr>
          <w:rFonts w:ascii="Times New Roman" w:hAnsi="Times New Roman"/>
          <w:sz w:val="24"/>
          <w:szCs w:val="24"/>
        </w:rPr>
      </w:pPr>
      <w:r w:rsidRPr="00FF0862">
        <w:rPr>
          <w:rFonts w:ascii="Times New Roman" w:hAnsi="Times New Roman"/>
          <w:sz w:val="24"/>
          <w:szCs w:val="24"/>
        </w:rPr>
        <w:t>EOP-004-2 Event Reporting</w:t>
      </w:r>
    </w:p>
    <w:p w:rsidR="00FD66F1" w:rsidRPr="00BD0FD5" w:rsidRDefault="00FD66F1" w:rsidP="0092596C">
      <w:pPr>
        <w:spacing w:after="0" w:line="240" w:lineRule="auto"/>
        <w:rPr>
          <w:rFonts w:ascii="Times New Roman" w:hAnsi="Times New Roman" w:cs="Times New Roman"/>
          <w:sz w:val="24"/>
          <w:szCs w:val="24"/>
        </w:rPr>
      </w:pPr>
    </w:p>
    <w:p w:rsidR="00333EE2" w:rsidRPr="00BD0FD5" w:rsidRDefault="00333EE2" w:rsidP="00333EE2">
      <w:pPr>
        <w:spacing w:after="0" w:line="240" w:lineRule="auto"/>
        <w:rPr>
          <w:rFonts w:ascii="Times New Roman" w:hAnsi="Times New Roman" w:cs="Times New Roman"/>
          <w:sz w:val="24"/>
          <w:szCs w:val="24"/>
        </w:rPr>
      </w:pPr>
      <w:r w:rsidRPr="00BD0FD5">
        <w:rPr>
          <w:rFonts w:ascii="Times New Roman" w:hAnsi="Times New Roman" w:cs="Times New Roman"/>
          <w:sz w:val="24"/>
          <w:szCs w:val="24"/>
        </w:rPr>
        <w:t xml:space="preserve">In </w:t>
      </w:r>
      <w:r w:rsidR="007A7A19" w:rsidRPr="00BD0FD5">
        <w:rPr>
          <w:rFonts w:ascii="Times New Roman" w:hAnsi="Times New Roman" w:cs="Times New Roman"/>
          <w:sz w:val="24"/>
          <w:szCs w:val="24"/>
        </w:rPr>
        <w:t xml:space="preserve">Docket </w:t>
      </w:r>
      <w:r w:rsidR="008F16EE" w:rsidRPr="00BD0FD5">
        <w:rPr>
          <w:rFonts w:ascii="Times New Roman" w:hAnsi="Times New Roman" w:cs="Times New Roman"/>
          <w:sz w:val="24"/>
          <w:szCs w:val="24"/>
        </w:rPr>
        <w:t>RD13-3</w:t>
      </w:r>
      <w:r w:rsidR="00DD2B39">
        <w:rPr>
          <w:rFonts w:ascii="Times New Roman" w:hAnsi="Times New Roman" w:cs="Times New Roman"/>
          <w:sz w:val="24"/>
          <w:szCs w:val="24"/>
        </w:rPr>
        <w:t>-000</w:t>
      </w:r>
      <w:r w:rsidR="008F16EE" w:rsidRPr="00BD0FD5">
        <w:rPr>
          <w:rFonts w:ascii="Times New Roman" w:hAnsi="Times New Roman" w:cs="Times New Roman"/>
          <w:sz w:val="24"/>
          <w:szCs w:val="24"/>
        </w:rPr>
        <w:t xml:space="preserve"> </w:t>
      </w:r>
      <w:r w:rsidR="007A7A19" w:rsidRPr="00BD0FD5">
        <w:rPr>
          <w:rFonts w:ascii="Times New Roman" w:hAnsi="Times New Roman" w:cs="Times New Roman"/>
          <w:sz w:val="24"/>
          <w:szCs w:val="24"/>
        </w:rPr>
        <w:t>t</w:t>
      </w:r>
      <w:r w:rsidR="008F16EE" w:rsidRPr="00BD0FD5">
        <w:rPr>
          <w:rFonts w:ascii="Times New Roman" w:hAnsi="Times New Roman" w:cs="Times New Roman"/>
          <w:sz w:val="24"/>
          <w:szCs w:val="24"/>
        </w:rPr>
        <w:t>he Commission</w:t>
      </w:r>
      <w:r w:rsidR="007A7A19" w:rsidRPr="00BD0FD5">
        <w:rPr>
          <w:rFonts w:ascii="Times New Roman" w:hAnsi="Times New Roman" w:cs="Times New Roman"/>
          <w:sz w:val="24"/>
          <w:szCs w:val="24"/>
        </w:rPr>
        <w:t xml:space="preserve"> approve</w:t>
      </w:r>
      <w:r w:rsidR="008F16EE" w:rsidRPr="00BD0FD5">
        <w:rPr>
          <w:rFonts w:ascii="Times New Roman" w:hAnsi="Times New Roman" w:cs="Times New Roman"/>
          <w:sz w:val="24"/>
          <w:szCs w:val="24"/>
        </w:rPr>
        <w:t>d</w:t>
      </w:r>
      <w:r w:rsidR="007A7A19" w:rsidRPr="00BD0FD5">
        <w:rPr>
          <w:rFonts w:ascii="Times New Roman" w:hAnsi="Times New Roman" w:cs="Times New Roman"/>
          <w:sz w:val="24"/>
          <w:szCs w:val="24"/>
        </w:rPr>
        <w:t xml:space="preserve"> Reliability Standard </w:t>
      </w:r>
      <w:r w:rsidR="008F16EE" w:rsidRPr="00BD0FD5">
        <w:rPr>
          <w:rFonts w:ascii="Times New Roman" w:hAnsi="Times New Roman" w:cs="Times New Roman"/>
          <w:sz w:val="24"/>
          <w:szCs w:val="24"/>
        </w:rPr>
        <w:t>EOP-004-2</w:t>
      </w:r>
      <w:r w:rsidR="007A7A19" w:rsidRPr="00BD0FD5">
        <w:rPr>
          <w:rFonts w:ascii="Times New Roman" w:hAnsi="Times New Roman" w:cs="Times New Roman"/>
          <w:sz w:val="24"/>
          <w:szCs w:val="24"/>
        </w:rPr>
        <w:t xml:space="preserve">, </w:t>
      </w:r>
      <w:r w:rsidR="00656F55" w:rsidRPr="00BD0FD5">
        <w:rPr>
          <w:rFonts w:ascii="Times New Roman" w:hAnsi="Times New Roman" w:cs="Times New Roman"/>
          <w:sz w:val="24"/>
          <w:szCs w:val="24"/>
        </w:rPr>
        <w:t xml:space="preserve">submitted by the North American Electric Reliability Corporation (NERC), the Commission-certified Electric Reliability Organization (ERO).  </w:t>
      </w:r>
      <w:r w:rsidR="008F16EE" w:rsidRPr="00BD0FD5">
        <w:rPr>
          <w:rFonts w:ascii="Times New Roman" w:hAnsi="Times New Roman" w:cs="Times New Roman"/>
          <w:sz w:val="24"/>
          <w:szCs w:val="24"/>
        </w:rPr>
        <w:t>Reliability Standard EOP-004-2 identifies types of reportable events and thresholds for reporting, requires responsible entities to have an operating plan for reporting applicable events to NERC and other entities (including law enforcement), and requires reporting of threshold events within a 24 hour period</w:t>
      </w:r>
      <w:r w:rsidR="00656F55" w:rsidRPr="00BD0FD5">
        <w:rPr>
          <w:rFonts w:ascii="Times New Roman" w:hAnsi="Times New Roman" w:cs="Times New Roman"/>
          <w:sz w:val="24"/>
          <w:szCs w:val="24"/>
        </w:rPr>
        <w:t xml:space="preserve">.  </w:t>
      </w:r>
    </w:p>
    <w:p w:rsidR="00656F55" w:rsidRPr="00BD0FD5" w:rsidRDefault="00656F55" w:rsidP="00333EE2">
      <w:pPr>
        <w:spacing w:after="0" w:line="240" w:lineRule="auto"/>
        <w:rPr>
          <w:rFonts w:ascii="Times New Roman" w:hAnsi="Times New Roman"/>
          <w:sz w:val="24"/>
          <w:szCs w:val="24"/>
        </w:rPr>
      </w:pPr>
    </w:p>
    <w:p w:rsidR="0081469B" w:rsidRPr="00BD0FD5" w:rsidRDefault="00656F55" w:rsidP="0081469B">
      <w:pPr>
        <w:spacing w:after="0" w:line="240" w:lineRule="auto"/>
        <w:rPr>
          <w:rFonts w:ascii="Times New Roman" w:hAnsi="Times New Roman"/>
          <w:sz w:val="24"/>
          <w:szCs w:val="24"/>
        </w:rPr>
      </w:pPr>
      <w:r w:rsidRPr="00BD0FD5">
        <w:rPr>
          <w:rFonts w:ascii="Times New Roman" w:hAnsi="Times New Roman"/>
          <w:sz w:val="24"/>
          <w:szCs w:val="24"/>
        </w:rPr>
        <w:t>The existing</w:t>
      </w:r>
      <w:r w:rsidR="00333EE2" w:rsidRPr="00BD0FD5">
        <w:rPr>
          <w:rFonts w:ascii="Times New Roman" w:hAnsi="Times New Roman"/>
          <w:sz w:val="24"/>
          <w:szCs w:val="24"/>
        </w:rPr>
        <w:t xml:space="preserve"> information collection requireme</w:t>
      </w:r>
      <w:r w:rsidR="007A7A19" w:rsidRPr="00BD0FD5">
        <w:rPr>
          <w:rFonts w:ascii="Times New Roman" w:hAnsi="Times New Roman"/>
          <w:sz w:val="24"/>
          <w:szCs w:val="24"/>
        </w:rPr>
        <w:t xml:space="preserve">nts in the </w:t>
      </w:r>
      <w:r w:rsidR="00DD2B39">
        <w:rPr>
          <w:rFonts w:ascii="Times New Roman" w:hAnsi="Times New Roman"/>
          <w:sz w:val="24"/>
          <w:szCs w:val="24"/>
        </w:rPr>
        <w:t xml:space="preserve">currently effective </w:t>
      </w:r>
      <w:r w:rsidR="007A7A19" w:rsidRPr="00BD0FD5">
        <w:rPr>
          <w:rFonts w:ascii="Times New Roman" w:hAnsi="Times New Roman"/>
          <w:sz w:val="24"/>
          <w:szCs w:val="24"/>
        </w:rPr>
        <w:t>Reliability Standard</w:t>
      </w:r>
      <w:r w:rsidR="00DD2B39">
        <w:rPr>
          <w:rFonts w:ascii="Times New Roman" w:hAnsi="Times New Roman"/>
          <w:sz w:val="24"/>
          <w:szCs w:val="24"/>
        </w:rPr>
        <w:t>,</w:t>
      </w:r>
      <w:r w:rsidR="007A7A19" w:rsidRPr="00BD0FD5">
        <w:rPr>
          <w:rFonts w:ascii="Times New Roman" w:hAnsi="Times New Roman"/>
          <w:sz w:val="24"/>
          <w:szCs w:val="24"/>
        </w:rPr>
        <w:t xml:space="preserve"> </w:t>
      </w:r>
      <w:r w:rsidR="008C4831" w:rsidRPr="00BD0FD5">
        <w:rPr>
          <w:rFonts w:ascii="Times New Roman" w:hAnsi="Times New Roman"/>
          <w:sz w:val="24"/>
          <w:szCs w:val="24"/>
        </w:rPr>
        <w:t>EOP-004</w:t>
      </w:r>
      <w:r w:rsidR="00DD2B39">
        <w:rPr>
          <w:rFonts w:ascii="Times New Roman" w:hAnsi="Times New Roman"/>
          <w:sz w:val="24"/>
          <w:szCs w:val="24"/>
        </w:rPr>
        <w:t>-1,</w:t>
      </w:r>
      <w:r w:rsidR="00333EE2" w:rsidRPr="00BD0FD5">
        <w:rPr>
          <w:rFonts w:ascii="Times New Roman" w:hAnsi="Times New Roman"/>
          <w:sz w:val="24"/>
          <w:szCs w:val="24"/>
        </w:rPr>
        <w:t xml:space="preserve"> are approved by OMB under FERC-725A (</w:t>
      </w:r>
      <w:r w:rsidR="001F1AD2" w:rsidRPr="00BD0FD5">
        <w:rPr>
          <w:rFonts w:ascii="Times New Roman" w:hAnsi="Times New Roman"/>
          <w:sz w:val="24"/>
          <w:szCs w:val="24"/>
        </w:rPr>
        <w:t>OMB Control No.</w:t>
      </w:r>
      <w:r w:rsidR="00333EE2" w:rsidRPr="00BD0FD5">
        <w:rPr>
          <w:rFonts w:ascii="Times New Roman" w:hAnsi="Times New Roman"/>
          <w:sz w:val="24"/>
          <w:szCs w:val="24"/>
        </w:rPr>
        <w:t xml:space="preserve">1902-0244).  </w:t>
      </w:r>
    </w:p>
    <w:p w:rsidR="0002242D" w:rsidRPr="00BD0FD5" w:rsidRDefault="0002242D" w:rsidP="0092596C">
      <w:pPr>
        <w:spacing w:after="0" w:line="240" w:lineRule="auto"/>
        <w:rPr>
          <w:rFonts w:ascii="Times New Roman" w:hAnsi="Times New Roman" w:cs="Times New Roman"/>
          <w:sz w:val="24"/>
          <w:szCs w:val="24"/>
        </w:rPr>
      </w:pPr>
    </w:p>
    <w:p w:rsidR="00A72E7B" w:rsidRPr="00BD0FD5" w:rsidRDefault="00A72E7B" w:rsidP="0092596C">
      <w:pPr>
        <w:pStyle w:val="ListParagraph"/>
        <w:numPr>
          <w:ilvl w:val="0"/>
          <w:numId w:val="1"/>
        </w:numPr>
        <w:spacing w:after="0" w:line="240" w:lineRule="auto"/>
        <w:ind w:left="360"/>
        <w:rPr>
          <w:rFonts w:ascii="Times New Roman" w:hAnsi="Times New Roman" w:cs="Times New Roman"/>
          <w:b/>
          <w:sz w:val="24"/>
          <w:szCs w:val="24"/>
        </w:rPr>
      </w:pPr>
      <w:r w:rsidRPr="00BD0FD5">
        <w:rPr>
          <w:rFonts w:ascii="Times New Roman" w:hAnsi="Times New Roman" w:cs="Times New Roman"/>
          <w:b/>
          <w:sz w:val="24"/>
          <w:szCs w:val="24"/>
        </w:rPr>
        <w:t>CIRCUMSTANCES THAT MAKE THE COLLECTION OF INFORMATION NECESSARY</w:t>
      </w:r>
    </w:p>
    <w:p w:rsidR="00A72E7B" w:rsidRPr="00BD0FD5" w:rsidRDefault="00A72E7B" w:rsidP="0092596C">
      <w:pPr>
        <w:spacing w:after="0" w:line="240" w:lineRule="auto"/>
        <w:rPr>
          <w:rFonts w:ascii="Times New Roman" w:hAnsi="Times New Roman" w:cs="Times New Roman"/>
          <w:sz w:val="24"/>
          <w:szCs w:val="24"/>
        </w:rPr>
      </w:pPr>
    </w:p>
    <w:p w:rsidR="00DF401D" w:rsidRPr="00BD0FD5" w:rsidRDefault="00DF401D" w:rsidP="0092596C">
      <w:pPr>
        <w:pStyle w:val="FERCparanumber"/>
        <w:widowControl/>
        <w:numPr>
          <w:ilvl w:val="0"/>
          <w:numId w:val="0"/>
        </w:numPr>
        <w:spacing w:line="240" w:lineRule="auto"/>
        <w:rPr>
          <w:sz w:val="24"/>
        </w:rPr>
      </w:pPr>
      <w:r w:rsidRPr="00BD0FD5">
        <w:rPr>
          <w:sz w:val="24"/>
        </w:rPr>
        <w:t>On August 8, 2005, The Electricity Modernization Act of 2005, which is Title XII of the Energy Policy Act of 2005 (EPAct 2005), was enacted into law.</w:t>
      </w:r>
      <w:r w:rsidRPr="00BD0FD5">
        <w:rPr>
          <w:rStyle w:val="FootnoteReference"/>
          <w:sz w:val="24"/>
          <w:vertAlign w:val="superscript"/>
        </w:rPr>
        <w:footnoteReference w:id="1"/>
      </w:r>
      <w:r w:rsidRPr="00BD0FD5">
        <w:rPr>
          <w:sz w:val="24"/>
        </w:rPr>
        <w:t xml:space="preserve">  EPAct 2005 added a new section 215 to the Federal Power Act (FPA), which requires a Commission-certified Electric Reliability Organization (ERO) to develop mandatory and enforceable Reliability Standards, subject to Commission review and approval.  Once approved</w:t>
      </w:r>
      <w:r w:rsidR="0081469B" w:rsidRPr="00BD0FD5">
        <w:rPr>
          <w:sz w:val="24"/>
        </w:rPr>
        <w:t>,</w:t>
      </w:r>
      <w:r w:rsidRPr="00BD0FD5">
        <w:rPr>
          <w:sz w:val="24"/>
        </w:rPr>
        <w:t xml:space="preserve"> the Reliability Standards may be enforced by the ERO, subject to Commission oversight</w:t>
      </w:r>
      <w:r w:rsidR="00DD2B39">
        <w:rPr>
          <w:sz w:val="24"/>
        </w:rPr>
        <w:t>, or by the Commission independently</w:t>
      </w:r>
      <w:r w:rsidRPr="00BD0FD5">
        <w:rPr>
          <w:sz w:val="24"/>
        </w:rPr>
        <w:t xml:space="preserve">. </w:t>
      </w:r>
    </w:p>
    <w:p w:rsidR="00DF401D" w:rsidRPr="00BD0FD5" w:rsidRDefault="00DF401D" w:rsidP="0092596C">
      <w:pPr>
        <w:spacing w:after="0" w:line="240" w:lineRule="auto"/>
        <w:rPr>
          <w:rFonts w:ascii="Times New Roman" w:hAnsi="Times New Roman" w:cs="Times New Roman"/>
          <w:sz w:val="24"/>
          <w:szCs w:val="24"/>
        </w:rPr>
      </w:pPr>
    </w:p>
    <w:p w:rsidR="008F16EE" w:rsidRPr="00BD0FD5" w:rsidRDefault="00E05FA3" w:rsidP="008F16EE">
      <w:pPr>
        <w:pStyle w:val="FERCparanumber"/>
        <w:widowControl/>
        <w:numPr>
          <w:ilvl w:val="0"/>
          <w:numId w:val="0"/>
        </w:numPr>
        <w:spacing w:after="240" w:line="240" w:lineRule="auto"/>
        <w:rPr>
          <w:sz w:val="24"/>
        </w:rPr>
      </w:pPr>
      <w:r w:rsidRPr="00BD0FD5">
        <w:rPr>
          <w:sz w:val="24"/>
        </w:rPr>
        <w:t xml:space="preserve">On March 16, 2007, in Order No. 693, pursuant to section 215(d) of the FPA, the Commission approved 83 of 107 proposed Reliability Standards, six of the eight proposed regional differences, and the North American Electric Reliability Corporation (NERC) </w:t>
      </w:r>
      <w:r w:rsidRPr="00BD0FD5">
        <w:rPr>
          <w:i/>
          <w:sz w:val="24"/>
        </w:rPr>
        <w:t>Glossary of Terms Used in Reliability Standards</w:t>
      </w:r>
      <w:r w:rsidRPr="00BD0FD5">
        <w:rPr>
          <w:sz w:val="24"/>
        </w:rPr>
        <w:t xml:space="preserve"> (NERC Glossary), </w:t>
      </w:r>
      <w:r w:rsidR="008F16EE" w:rsidRPr="00BD0FD5">
        <w:rPr>
          <w:sz w:val="24"/>
        </w:rPr>
        <w:t>including the currently-effective Disturbance Reporting Reliability Standard, EOP-004-1.</w:t>
      </w:r>
      <w:r w:rsidR="008F16EE" w:rsidRPr="00BD0FD5">
        <w:rPr>
          <w:b/>
          <w:sz w:val="24"/>
          <w:vertAlign w:val="superscript"/>
        </w:rPr>
        <w:footnoteReference w:id="2"/>
      </w:r>
      <w:r w:rsidR="008F16EE" w:rsidRPr="00BD0FD5">
        <w:rPr>
          <w:sz w:val="24"/>
        </w:rPr>
        <w:t xml:space="preserve">  </w:t>
      </w:r>
    </w:p>
    <w:p w:rsidR="008F16EE" w:rsidRPr="00BD0FD5" w:rsidRDefault="008F16EE" w:rsidP="008F16EE">
      <w:pPr>
        <w:tabs>
          <w:tab w:val="left" w:pos="720"/>
        </w:tabs>
        <w:autoSpaceDE w:val="0"/>
        <w:autoSpaceDN w:val="0"/>
        <w:adjustRightInd w:val="0"/>
        <w:spacing w:after="240" w:line="240" w:lineRule="auto"/>
        <w:rPr>
          <w:rFonts w:ascii="Times New Roman" w:eastAsia="Times New Roman" w:hAnsi="Times New Roman" w:cs="Times New Roman"/>
          <w:sz w:val="24"/>
          <w:szCs w:val="24"/>
        </w:rPr>
      </w:pPr>
      <w:r w:rsidRPr="00BD0FD5">
        <w:rPr>
          <w:rFonts w:ascii="Times New Roman" w:eastAsia="Times New Roman" w:hAnsi="Times New Roman" w:cs="Times New Roman"/>
          <w:sz w:val="24"/>
          <w:szCs w:val="24"/>
        </w:rPr>
        <w:t>In Order No. 693, the Commission also approved Reliability Standard CIP-001-1 - Sabotage Reporting.  In addition, the Commission directed that NERC develop certain modifications to the standard, to further define the term sabotage</w:t>
      </w:r>
      <w:r w:rsidR="00DD2B39">
        <w:rPr>
          <w:rFonts w:ascii="Times New Roman" w:eastAsia="Times New Roman" w:hAnsi="Times New Roman" w:cs="Times New Roman"/>
          <w:sz w:val="24"/>
          <w:szCs w:val="24"/>
        </w:rPr>
        <w:t>,</w:t>
      </w:r>
      <w:r w:rsidRPr="00BD0FD5">
        <w:rPr>
          <w:rFonts w:ascii="Times New Roman" w:eastAsia="Times New Roman" w:hAnsi="Times New Roman" w:cs="Times New Roman"/>
          <w:sz w:val="24"/>
          <w:szCs w:val="24"/>
        </w:rPr>
        <w:t xml:space="preserve"> provide guidance on triggering events, specify baseline requirements for recognizing sabotage events, incorporate periodic review of sabotage reporting procedures, and require that applicable entities contact appropriate governmental authorities within a specified time period.</w:t>
      </w:r>
      <w:r w:rsidRPr="00BD0FD5">
        <w:rPr>
          <w:rFonts w:ascii="Times New Roman" w:eastAsia="Times New Roman" w:hAnsi="Times New Roman" w:cs="Times New Roman"/>
          <w:b/>
          <w:sz w:val="24"/>
          <w:szCs w:val="24"/>
          <w:vertAlign w:val="superscript"/>
        </w:rPr>
        <w:footnoteReference w:id="3"/>
      </w:r>
    </w:p>
    <w:p w:rsidR="00190012" w:rsidRPr="00BD0FD5" w:rsidRDefault="008F16EE" w:rsidP="008F16EE">
      <w:pPr>
        <w:spacing w:after="0" w:line="240" w:lineRule="auto"/>
        <w:rPr>
          <w:rFonts w:ascii="Times New Roman" w:hAnsi="Times New Roman" w:cs="Times New Roman"/>
          <w:sz w:val="24"/>
          <w:szCs w:val="24"/>
        </w:rPr>
      </w:pPr>
      <w:r w:rsidRPr="00BD0FD5">
        <w:rPr>
          <w:rFonts w:ascii="Times New Roman" w:eastAsia="Times New Roman" w:hAnsi="Times New Roman" w:cs="Times New Roman"/>
          <w:sz w:val="24"/>
          <w:szCs w:val="24"/>
        </w:rPr>
        <w:lastRenderedPageBreak/>
        <w:t>Project 2009-1 -- Disturbance and Sabotage Reporting was initiated in April 2009, by PJM Interconnection, LLC, as a request for revision to existing standard CIP-001-1.</w:t>
      </w:r>
      <w:r w:rsidRPr="00BD0FD5">
        <w:rPr>
          <w:rFonts w:ascii="Times New Roman" w:eastAsia="Times New Roman" w:hAnsi="Times New Roman" w:cs="Times New Roman"/>
          <w:b/>
          <w:sz w:val="24"/>
          <w:szCs w:val="24"/>
          <w:vertAlign w:val="superscript"/>
        </w:rPr>
        <w:footnoteReference w:id="4"/>
      </w:r>
      <w:r w:rsidRPr="00BD0FD5">
        <w:rPr>
          <w:rFonts w:ascii="Times New Roman" w:eastAsia="Times New Roman" w:hAnsi="Times New Roman" w:cs="Times New Roman"/>
          <w:sz w:val="24"/>
          <w:szCs w:val="24"/>
        </w:rPr>
        <w:t xml:space="preserve">  The standard drafting team developed EOP-004-2, Event Reporting, as a means of combining the requirements of EOP-004-1 and CIP-001 into a single reporting standard.</w:t>
      </w:r>
      <w:r w:rsidRPr="00BD0FD5">
        <w:rPr>
          <w:rFonts w:ascii="Times New Roman" w:eastAsia="Times New Roman" w:hAnsi="Times New Roman" w:cs="Times New Roman"/>
          <w:b/>
          <w:sz w:val="24"/>
          <w:szCs w:val="24"/>
          <w:vertAlign w:val="superscript"/>
        </w:rPr>
        <w:footnoteReference w:id="5"/>
      </w:r>
      <w:r w:rsidR="00656F55" w:rsidRPr="00BD0FD5">
        <w:rPr>
          <w:rFonts w:ascii="Times New Roman" w:hAnsi="Times New Roman" w:cs="Times New Roman"/>
          <w:sz w:val="24"/>
          <w:szCs w:val="24"/>
        </w:rPr>
        <w:t xml:space="preserve">  </w:t>
      </w:r>
    </w:p>
    <w:p w:rsidR="00EB3E6F" w:rsidRPr="00BD0FD5" w:rsidRDefault="00EB3E6F" w:rsidP="0092596C">
      <w:pPr>
        <w:spacing w:after="0" w:line="240" w:lineRule="auto"/>
        <w:rPr>
          <w:rFonts w:ascii="Times New Roman" w:hAnsi="Times New Roman" w:cs="Times New Roman"/>
          <w:sz w:val="24"/>
          <w:szCs w:val="24"/>
        </w:rPr>
      </w:pPr>
    </w:p>
    <w:p w:rsidR="00A72E7B" w:rsidRPr="00BD0FD5" w:rsidRDefault="00EB3E6F" w:rsidP="0092596C">
      <w:pPr>
        <w:pStyle w:val="ListParagraph"/>
        <w:numPr>
          <w:ilvl w:val="0"/>
          <w:numId w:val="1"/>
        </w:numPr>
        <w:spacing w:after="0" w:line="240" w:lineRule="auto"/>
        <w:ind w:left="360"/>
        <w:rPr>
          <w:rFonts w:ascii="Times New Roman" w:hAnsi="Times New Roman" w:cs="Times New Roman"/>
          <w:b/>
          <w:sz w:val="24"/>
          <w:szCs w:val="24"/>
        </w:rPr>
      </w:pPr>
      <w:r w:rsidRPr="00BD0FD5">
        <w:rPr>
          <w:rFonts w:ascii="Times New Roman" w:hAnsi="Times New Roman" w:cs="Times New Roman"/>
          <w:b/>
          <w:sz w:val="24"/>
          <w:szCs w:val="24"/>
        </w:rPr>
        <w:t>HOW, BY WHOM, AND FOR WHAT PURPOSE THE INFORMATION IS TO BE USED AND THE CONSEQUENCES OF NOT COLLECTING THE INFORMATION</w:t>
      </w:r>
    </w:p>
    <w:p w:rsidR="009A6326" w:rsidRPr="00BD0FD5" w:rsidRDefault="009A6326" w:rsidP="009A6326">
      <w:pPr>
        <w:spacing w:after="0" w:line="240" w:lineRule="auto"/>
        <w:rPr>
          <w:rFonts w:ascii="Times New Roman" w:hAnsi="Times New Roman" w:cs="Times New Roman"/>
          <w:sz w:val="24"/>
          <w:szCs w:val="24"/>
        </w:rPr>
      </w:pPr>
    </w:p>
    <w:p w:rsidR="00DD2B39" w:rsidRDefault="00DD2B39" w:rsidP="00847B85">
      <w:pPr>
        <w:autoSpaceDE w:val="0"/>
        <w:autoSpaceDN w:val="0"/>
        <w:adjustRightInd w:val="0"/>
        <w:spacing w:after="240" w:line="240" w:lineRule="auto"/>
        <w:rPr>
          <w:rFonts w:ascii="Times New Roman" w:eastAsia="Times New Roman" w:hAnsi="Times New Roman" w:cs="Times New Roman"/>
          <w:sz w:val="24"/>
          <w:szCs w:val="24"/>
        </w:rPr>
      </w:pPr>
      <w:r w:rsidRPr="00BD0FD5">
        <w:rPr>
          <w:rFonts w:ascii="Times New Roman" w:eastAsia="Times New Roman" w:hAnsi="Times New Roman" w:cs="Times New Roman"/>
          <w:sz w:val="24"/>
          <w:szCs w:val="24"/>
        </w:rPr>
        <w:t>Currently</w:t>
      </w:r>
      <w:r w:rsidR="008C4831" w:rsidRPr="00BD0FD5">
        <w:rPr>
          <w:rFonts w:ascii="Times New Roman" w:eastAsia="Times New Roman" w:hAnsi="Times New Roman" w:cs="Times New Roman"/>
          <w:sz w:val="24"/>
          <w:szCs w:val="24"/>
        </w:rPr>
        <w:t xml:space="preserve">-effective Reliability Standard EOP-004-1 contains the requirements for reporting and analyzing disturbances, while CIP-001-2a addresses sabotage reporting.  </w:t>
      </w:r>
      <w:r w:rsidRPr="00BD0FD5">
        <w:rPr>
          <w:rFonts w:ascii="Times New Roman" w:eastAsia="Times New Roman" w:hAnsi="Times New Roman" w:cs="Times New Roman"/>
          <w:color w:val="000000"/>
          <w:sz w:val="24"/>
          <w:szCs w:val="24"/>
        </w:rPr>
        <w:t xml:space="preserve">Proposed </w:t>
      </w:r>
      <w:r w:rsidR="008C4831" w:rsidRPr="00BD0FD5">
        <w:rPr>
          <w:rFonts w:ascii="Times New Roman" w:eastAsia="Times New Roman" w:hAnsi="Times New Roman" w:cs="Times New Roman"/>
          <w:color w:val="000000"/>
          <w:sz w:val="24"/>
          <w:szCs w:val="24"/>
        </w:rPr>
        <w:t>Reliability Standard EOP-004-2 merges EOP-004-1 and CIP-001-2a, and represents a</w:t>
      </w:r>
      <w:r>
        <w:rPr>
          <w:rFonts w:ascii="Times New Roman" w:eastAsia="Times New Roman" w:hAnsi="Times New Roman" w:cs="Times New Roman"/>
          <w:color w:val="000000"/>
          <w:sz w:val="24"/>
          <w:szCs w:val="24"/>
        </w:rPr>
        <w:t>n</w:t>
      </w:r>
      <w:r w:rsidR="008C4831" w:rsidRPr="00BD0FD5">
        <w:rPr>
          <w:rFonts w:ascii="Times New Roman" w:eastAsia="Times New Roman" w:hAnsi="Times New Roman" w:cs="Times New Roman"/>
          <w:color w:val="000000"/>
          <w:sz w:val="24"/>
          <w:szCs w:val="24"/>
        </w:rPr>
        <w:t xml:space="preserve"> improvement in the identification and reporting of events.</w:t>
      </w:r>
      <w:r w:rsidR="008C4831" w:rsidRPr="00BD0FD5">
        <w:rPr>
          <w:rFonts w:ascii="Times New Roman" w:eastAsia="Times New Roman" w:hAnsi="Times New Roman" w:cs="Times New Roman"/>
          <w:b/>
          <w:color w:val="000000"/>
          <w:sz w:val="24"/>
          <w:szCs w:val="24"/>
          <w:vertAlign w:val="superscript"/>
        </w:rPr>
        <w:footnoteReference w:id="6"/>
      </w:r>
      <w:r w:rsidR="008C4831" w:rsidRPr="00BD0FD5">
        <w:rPr>
          <w:rFonts w:ascii="Times New Roman" w:eastAsia="Times New Roman" w:hAnsi="Times New Roman" w:cs="Times New Roman"/>
          <w:color w:val="000000"/>
          <w:sz w:val="24"/>
          <w:szCs w:val="24"/>
        </w:rPr>
        <w:t xml:space="preserve">  </w:t>
      </w:r>
      <w:r w:rsidRPr="00BD0FD5">
        <w:rPr>
          <w:rFonts w:ascii="Times New Roman" w:eastAsia="Times New Roman" w:hAnsi="Times New Roman" w:cs="Times New Roman"/>
          <w:sz w:val="24"/>
          <w:szCs w:val="24"/>
        </w:rPr>
        <w:t xml:space="preserve">Proposed </w:t>
      </w:r>
      <w:r w:rsidR="008C4831" w:rsidRPr="00BD0FD5">
        <w:rPr>
          <w:rFonts w:ascii="Times New Roman" w:eastAsia="Times New Roman" w:hAnsi="Times New Roman" w:cs="Times New Roman"/>
          <w:sz w:val="24"/>
          <w:szCs w:val="24"/>
        </w:rPr>
        <w:t>Reliability Standard EOP-004-2 provides a comprehensive approach to reporting disturbances and events that have the potential to impact the reliability of the bulk electric system in accordance with several Commission directives.</w:t>
      </w:r>
      <w:r w:rsidR="008C4831" w:rsidRPr="00BD0FD5">
        <w:rPr>
          <w:rFonts w:ascii="Times New Roman" w:eastAsia="Times New Roman" w:hAnsi="Times New Roman" w:cs="Times New Roman"/>
          <w:b/>
          <w:sz w:val="24"/>
          <w:szCs w:val="24"/>
          <w:vertAlign w:val="superscript"/>
        </w:rPr>
        <w:footnoteReference w:id="7"/>
      </w:r>
      <w:r w:rsidR="008C4831" w:rsidRPr="00BD0FD5">
        <w:rPr>
          <w:rFonts w:ascii="Times New Roman" w:eastAsia="Times New Roman" w:hAnsi="Times New Roman" w:cs="Times New Roman"/>
          <w:sz w:val="24"/>
          <w:szCs w:val="24"/>
        </w:rPr>
        <w:t xml:space="preserve">  </w:t>
      </w:r>
    </w:p>
    <w:p w:rsidR="00954E34" w:rsidRPr="00BD0FD5" w:rsidRDefault="00954E34" w:rsidP="00954E34">
      <w:pPr>
        <w:autoSpaceDE w:val="0"/>
        <w:autoSpaceDN w:val="0"/>
        <w:adjustRightInd w:val="0"/>
        <w:spacing w:after="0" w:line="240" w:lineRule="auto"/>
        <w:rPr>
          <w:rFonts w:ascii="Times New Roman" w:hAnsi="Times New Roman" w:cs="Times New Roman"/>
          <w:sz w:val="24"/>
          <w:szCs w:val="24"/>
        </w:rPr>
      </w:pPr>
      <w:r w:rsidRPr="00BD0FD5">
        <w:rPr>
          <w:rFonts w:ascii="Times New Roman" w:hAnsi="Times New Roman" w:cs="Times New Roman"/>
          <w:sz w:val="24"/>
          <w:szCs w:val="24"/>
        </w:rPr>
        <w:t>The current approved definition of Disturbance from the NERC Glossary of Terms is:</w:t>
      </w:r>
    </w:p>
    <w:p w:rsidR="00954E34" w:rsidRPr="00BD0FD5" w:rsidRDefault="00954E34" w:rsidP="00954E34">
      <w:pPr>
        <w:autoSpaceDE w:val="0"/>
        <w:autoSpaceDN w:val="0"/>
        <w:adjustRightInd w:val="0"/>
        <w:spacing w:after="0" w:line="240" w:lineRule="auto"/>
        <w:rPr>
          <w:rFonts w:ascii="Times New Roman" w:hAnsi="Times New Roman" w:cs="Times New Roman"/>
          <w:sz w:val="24"/>
          <w:szCs w:val="24"/>
        </w:rPr>
      </w:pPr>
    </w:p>
    <w:p w:rsidR="00954E34" w:rsidRPr="00BD0FD5" w:rsidRDefault="00954E34" w:rsidP="00954E34">
      <w:pPr>
        <w:pStyle w:val="ListParagraph"/>
        <w:numPr>
          <w:ilvl w:val="0"/>
          <w:numId w:val="20"/>
        </w:numPr>
        <w:autoSpaceDE w:val="0"/>
        <w:autoSpaceDN w:val="0"/>
        <w:adjustRightInd w:val="0"/>
        <w:spacing w:after="0" w:line="240" w:lineRule="auto"/>
        <w:rPr>
          <w:rFonts w:ascii="Times New Roman" w:hAnsi="Times New Roman" w:cs="Times New Roman"/>
          <w:sz w:val="24"/>
          <w:szCs w:val="24"/>
        </w:rPr>
      </w:pPr>
      <w:r w:rsidRPr="00BD0FD5">
        <w:rPr>
          <w:rFonts w:ascii="Times New Roman" w:hAnsi="Times New Roman" w:cs="Times New Roman"/>
          <w:sz w:val="24"/>
          <w:szCs w:val="24"/>
        </w:rPr>
        <w:t>An unplanned event that produces an abnormal system condition.</w:t>
      </w:r>
    </w:p>
    <w:p w:rsidR="00954E34" w:rsidRPr="007D1EDB" w:rsidRDefault="00954E34" w:rsidP="00954E34">
      <w:pPr>
        <w:pStyle w:val="ListParagraph"/>
        <w:numPr>
          <w:ilvl w:val="0"/>
          <w:numId w:val="20"/>
        </w:numPr>
        <w:autoSpaceDE w:val="0"/>
        <w:autoSpaceDN w:val="0"/>
        <w:adjustRightInd w:val="0"/>
        <w:spacing w:after="0" w:line="240" w:lineRule="auto"/>
        <w:rPr>
          <w:rFonts w:ascii="Times New Roman" w:hAnsi="Times New Roman" w:cs="Times New Roman"/>
          <w:sz w:val="24"/>
          <w:szCs w:val="24"/>
        </w:rPr>
      </w:pPr>
      <w:r w:rsidRPr="00BD0FD5">
        <w:rPr>
          <w:rFonts w:ascii="Times New Roman" w:hAnsi="Times New Roman" w:cs="Times New Roman"/>
          <w:sz w:val="24"/>
          <w:szCs w:val="24"/>
        </w:rPr>
        <w:t xml:space="preserve">Any perturbation to the </w:t>
      </w:r>
      <w:r w:rsidRPr="007D1EDB">
        <w:rPr>
          <w:rFonts w:ascii="Times New Roman" w:hAnsi="Times New Roman" w:cs="Times New Roman"/>
          <w:sz w:val="24"/>
          <w:szCs w:val="24"/>
        </w:rPr>
        <w:t>electric system.</w:t>
      </w:r>
    </w:p>
    <w:p w:rsidR="008C4831" w:rsidRPr="00BD0FD5" w:rsidRDefault="00954E34" w:rsidP="00954E34">
      <w:pPr>
        <w:pStyle w:val="ListParagraph"/>
        <w:numPr>
          <w:ilvl w:val="0"/>
          <w:numId w:val="20"/>
        </w:numPr>
        <w:tabs>
          <w:tab w:val="left" w:pos="720"/>
        </w:tabs>
        <w:autoSpaceDE w:val="0"/>
        <w:autoSpaceDN w:val="0"/>
        <w:adjustRightInd w:val="0"/>
        <w:spacing w:after="240" w:line="240" w:lineRule="auto"/>
        <w:rPr>
          <w:rFonts w:ascii="Times New Roman" w:eastAsia="Times New Roman" w:hAnsi="Times New Roman" w:cs="Times New Roman"/>
          <w:sz w:val="24"/>
          <w:szCs w:val="24"/>
        </w:rPr>
      </w:pPr>
      <w:r w:rsidRPr="007D1EDB">
        <w:rPr>
          <w:rFonts w:ascii="Times New Roman" w:hAnsi="Times New Roman" w:cs="Times New Roman"/>
          <w:sz w:val="24"/>
          <w:szCs w:val="24"/>
        </w:rPr>
        <w:t>The unexpected change in A</w:t>
      </w:r>
      <w:r w:rsidR="009F534F" w:rsidRPr="007D1EDB">
        <w:rPr>
          <w:rFonts w:ascii="Times New Roman" w:hAnsi="Times New Roman" w:cs="Times New Roman"/>
          <w:sz w:val="24"/>
          <w:szCs w:val="24"/>
        </w:rPr>
        <w:t>rea Control Error (A</w:t>
      </w:r>
      <w:r w:rsidRPr="007D1EDB">
        <w:rPr>
          <w:rFonts w:ascii="Times New Roman" w:hAnsi="Times New Roman" w:cs="Times New Roman"/>
          <w:sz w:val="24"/>
          <w:szCs w:val="24"/>
        </w:rPr>
        <w:t>CE</w:t>
      </w:r>
      <w:r w:rsidR="009F534F" w:rsidRPr="007D1EDB">
        <w:rPr>
          <w:rFonts w:ascii="Times New Roman" w:hAnsi="Times New Roman" w:cs="Times New Roman"/>
          <w:sz w:val="24"/>
          <w:szCs w:val="24"/>
        </w:rPr>
        <w:t>)</w:t>
      </w:r>
      <w:r w:rsidRPr="007D1EDB">
        <w:rPr>
          <w:rFonts w:ascii="Times New Roman" w:hAnsi="Times New Roman" w:cs="Times New Roman"/>
          <w:sz w:val="24"/>
          <w:szCs w:val="24"/>
        </w:rPr>
        <w:t xml:space="preserve"> that</w:t>
      </w:r>
      <w:r w:rsidRPr="00BD0FD5">
        <w:rPr>
          <w:rFonts w:ascii="Times New Roman" w:hAnsi="Times New Roman" w:cs="Times New Roman"/>
          <w:sz w:val="24"/>
          <w:szCs w:val="24"/>
        </w:rPr>
        <w:t xml:space="preserve"> is caused by the sudden failure of generation or interruption of load.</w:t>
      </w:r>
    </w:p>
    <w:p w:rsidR="008C4831" w:rsidRPr="00BD0FD5" w:rsidRDefault="008C4831" w:rsidP="008C4831">
      <w:pPr>
        <w:tabs>
          <w:tab w:val="left" w:pos="720"/>
        </w:tabs>
        <w:autoSpaceDE w:val="0"/>
        <w:autoSpaceDN w:val="0"/>
        <w:adjustRightInd w:val="0"/>
        <w:spacing w:after="240" w:line="240" w:lineRule="auto"/>
        <w:rPr>
          <w:rFonts w:ascii="Times New Roman" w:eastAsia="Times New Roman" w:hAnsi="Times New Roman" w:cs="Times New Roman"/>
          <w:sz w:val="24"/>
          <w:szCs w:val="24"/>
        </w:rPr>
      </w:pPr>
      <w:r w:rsidRPr="00BD0FD5">
        <w:rPr>
          <w:rFonts w:ascii="Times New Roman" w:eastAsia="Times New Roman" w:hAnsi="Times New Roman" w:cs="Times New Roman"/>
          <w:sz w:val="24"/>
          <w:szCs w:val="24"/>
        </w:rPr>
        <w:t>As proposed, EOP-</w:t>
      </w:r>
      <w:r w:rsidRPr="00BD0FD5">
        <w:rPr>
          <w:rFonts w:ascii="Times New Roman" w:eastAsia="Times New Roman" w:hAnsi="Times New Roman" w:cs="Times New Roman"/>
          <w:color w:val="000000"/>
          <w:sz w:val="24"/>
          <w:szCs w:val="24"/>
        </w:rPr>
        <w:t>004-2 would require the following:</w:t>
      </w:r>
    </w:p>
    <w:p w:rsidR="008C4831" w:rsidRPr="00BD0FD5" w:rsidRDefault="008C4831" w:rsidP="008C4831">
      <w:pPr>
        <w:widowControl w:val="0"/>
        <w:numPr>
          <w:ilvl w:val="0"/>
          <w:numId w:val="19"/>
        </w:numPr>
        <w:autoSpaceDE w:val="0"/>
        <w:autoSpaceDN w:val="0"/>
        <w:adjustRightInd w:val="0"/>
        <w:spacing w:after="240" w:line="240" w:lineRule="auto"/>
        <w:rPr>
          <w:rFonts w:ascii="Times New Roman" w:eastAsia="Times New Roman" w:hAnsi="Times New Roman" w:cs="Times New Roman"/>
          <w:sz w:val="24"/>
          <w:szCs w:val="24"/>
        </w:rPr>
      </w:pPr>
      <w:r w:rsidRPr="00BD0FD5">
        <w:rPr>
          <w:rFonts w:ascii="Times New Roman" w:eastAsia="Times New Roman" w:hAnsi="Times New Roman" w:cs="Times New Roman"/>
          <w:sz w:val="24"/>
          <w:szCs w:val="24"/>
        </w:rPr>
        <w:t>Responsible entities</w:t>
      </w:r>
      <w:r w:rsidRPr="00BD0FD5">
        <w:rPr>
          <w:rStyle w:val="FootnoteReference"/>
          <w:rFonts w:ascii="Times New Roman" w:eastAsia="Times New Roman" w:hAnsi="Times New Roman" w:cs="Times New Roman"/>
          <w:sz w:val="24"/>
          <w:szCs w:val="24"/>
          <w:vertAlign w:val="superscript"/>
        </w:rPr>
        <w:footnoteReference w:id="8"/>
      </w:r>
      <w:r w:rsidRPr="00BD0FD5">
        <w:rPr>
          <w:rFonts w:ascii="Times New Roman" w:eastAsia="Times New Roman" w:hAnsi="Times New Roman" w:cs="Times New Roman"/>
          <w:sz w:val="24"/>
          <w:szCs w:val="24"/>
        </w:rPr>
        <w:t xml:space="preserve"> must have an operating plan for reporting applicable events to NERC and others (e.g., Regional Entities, applicable reliability coordinators, and law enforcement), including procedures for reporting the specific events at thresholds identified in Attachment 1 (Requirement R1);</w:t>
      </w:r>
    </w:p>
    <w:p w:rsidR="008C4831" w:rsidRPr="00BD0FD5" w:rsidRDefault="008C4831" w:rsidP="008C4831">
      <w:pPr>
        <w:widowControl w:val="0"/>
        <w:numPr>
          <w:ilvl w:val="0"/>
          <w:numId w:val="19"/>
        </w:numPr>
        <w:autoSpaceDE w:val="0"/>
        <w:autoSpaceDN w:val="0"/>
        <w:adjustRightInd w:val="0"/>
        <w:spacing w:after="240" w:line="240" w:lineRule="auto"/>
        <w:rPr>
          <w:rFonts w:ascii="Times New Roman" w:eastAsia="Times New Roman" w:hAnsi="Times New Roman" w:cs="Times New Roman"/>
          <w:sz w:val="24"/>
          <w:szCs w:val="24"/>
        </w:rPr>
      </w:pPr>
      <w:r w:rsidRPr="00BD0FD5">
        <w:rPr>
          <w:rFonts w:ascii="Times New Roman" w:eastAsia="Times New Roman" w:hAnsi="Times New Roman" w:cs="Times New Roman"/>
          <w:sz w:val="24"/>
          <w:szCs w:val="24"/>
        </w:rPr>
        <w:t xml:space="preserve">Responsible entities must report events as defined in their operating plan “within 24 hours of recognition of meeting an event type threshold for reporting,” or by the end of the next business day if the event occurs on a weekend (Requirement R2); and </w:t>
      </w:r>
    </w:p>
    <w:p w:rsidR="008C4831" w:rsidRPr="00BD0FD5" w:rsidRDefault="008C4831" w:rsidP="008C4831">
      <w:pPr>
        <w:widowControl w:val="0"/>
        <w:numPr>
          <w:ilvl w:val="0"/>
          <w:numId w:val="19"/>
        </w:numPr>
        <w:autoSpaceDE w:val="0"/>
        <w:autoSpaceDN w:val="0"/>
        <w:adjustRightInd w:val="0"/>
        <w:spacing w:after="240" w:line="240" w:lineRule="auto"/>
        <w:rPr>
          <w:rFonts w:ascii="Times New Roman" w:eastAsia="Times New Roman" w:hAnsi="Times New Roman" w:cs="Times New Roman"/>
          <w:sz w:val="24"/>
          <w:szCs w:val="24"/>
        </w:rPr>
      </w:pPr>
      <w:r w:rsidRPr="00BD0FD5">
        <w:rPr>
          <w:rFonts w:ascii="Times New Roman" w:eastAsia="Times New Roman" w:hAnsi="Times New Roman" w:cs="Times New Roman"/>
          <w:sz w:val="24"/>
          <w:szCs w:val="24"/>
        </w:rPr>
        <w:t xml:space="preserve">Responsible entities must validate contact information contained in the operating plan on an annual basis (Requirement R3).  </w:t>
      </w:r>
    </w:p>
    <w:p w:rsidR="008C4831" w:rsidRPr="00BD0FD5" w:rsidRDefault="008C4831" w:rsidP="008C4831">
      <w:pPr>
        <w:tabs>
          <w:tab w:val="left" w:pos="720"/>
        </w:tabs>
        <w:autoSpaceDE w:val="0"/>
        <w:autoSpaceDN w:val="0"/>
        <w:adjustRightInd w:val="0"/>
        <w:spacing w:after="240" w:line="240" w:lineRule="auto"/>
        <w:rPr>
          <w:rFonts w:ascii="Times New Roman" w:eastAsia="Times New Roman" w:hAnsi="Times New Roman" w:cs="Times New Roman"/>
          <w:sz w:val="24"/>
          <w:szCs w:val="24"/>
        </w:rPr>
      </w:pPr>
      <w:r w:rsidRPr="00BD0FD5">
        <w:rPr>
          <w:rFonts w:ascii="Times New Roman" w:eastAsia="Times New Roman" w:hAnsi="Times New Roman" w:cs="Times New Roman"/>
          <w:sz w:val="24"/>
          <w:szCs w:val="24"/>
        </w:rPr>
        <w:lastRenderedPageBreak/>
        <w:t xml:space="preserve">Reliability Standard EOP-004-2 includes two attachments.  Attachment 1 (Reportable Events) identifies types of events and thresholds for reporting, such as damage or destruction of a facility, physical threats to facilities, firm load loss, and generation loss.  Attachment 2 is a standardized form for event reporting.  </w:t>
      </w:r>
      <w:r w:rsidR="00DD2B39" w:rsidRPr="00BD0FD5">
        <w:rPr>
          <w:rFonts w:ascii="Times New Roman" w:eastAsia="Times New Roman" w:hAnsi="Times New Roman" w:cs="Times New Roman"/>
          <w:sz w:val="24"/>
          <w:szCs w:val="24"/>
        </w:rPr>
        <w:t xml:space="preserve">To </w:t>
      </w:r>
      <w:r w:rsidRPr="00BD0FD5">
        <w:rPr>
          <w:rFonts w:ascii="Times New Roman" w:eastAsia="Times New Roman" w:hAnsi="Times New Roman" w:cs="Times New Roman"/>
          <w:sz w:val="24"/>
          <w:szCs w:val="24"/>
        </w:rPr>
        <w:t>minimize administrative burden, U.S. entities may elect to use DOE Form OE-417 (Emergency Incident and Disturbance Report), rather than Attachment 2, to report under EOP-004-2.</w:t>
      </w:r>
      <w:r w:rsidRPr="00BD0FD5">
        <w:rPr>
          <w:rFonts w:ascii="Times New Roman" w:eastAsia="Times New Roman" w:hAnsi="Times New Roman" w:cs="Times New Roman"/>
          <w:b/>
          <w:sz w:val="24"/>
          <w:szCs w:val="24"/>
          <w:vertAlign w:val="superscript"/>
        </w:rPr>
        <w:footnoteReference w:id="9"/>
      </w:r>
      <w:r w:rsidRPr="00BD0FD5">
        <w:rPr>
          <w:rFonts w:ascii="Times New Roman" w:eastAsia="Times New Roman" w:hAnsi="Times New Roman" w:cs="Times New Roman"/>
          <w:sz w:val="24"/>
          <w:szCs w:val="24"/>
        </w:rPr>
        <w:t xml:space="preserve"> </w:t>
      </w:r>
    </w:p>
    <w:p w:rsidR="00F63BAB" w:rsidRPr="00BD0FD5" w:rsidRDefault="008C4831" w:rsidP="008C4831">
      <w:pPr>
        <w:tabs>
          <w:tab w:val="left" w:pos="720"/>
        </w:tabs>
        <w:autoSpaceDE w:val="0"/>
        <w:autoSpaceDN w:val="0"/>
        <w:adjustRightInd w:val="0"/>
        <w:spacing w:after="240" w:line="240" w:lineRule="auto"/>
        <w:rPr>
          <w:rFonts w:ascii="Times New Roman" w:eastAsia="Times New Roman" w:hAnsi="Times New Roman" w:cs="Times New Roman"/>
          <w:sz w:val="24"/>
          <w:szCs w:val="24"/>
        </w:rPr>
      </w:pPr>
      <w:r w:rsidRPr="00BD0FD5">
        <w:rPr>
          <w:rFonts w:ascii="Times New Roman" w:eastAsia="Times New Roman" w:hAnsi="Times New Roman" w:cs="Times New Roman"/>
          <w:color w:val="000000"/>
          <w:sz w:val="24"/>
          <w:szCs w:val="24"/>
        </w:rPr>
        <w:t xml:space="preserve">EOP-004-2 includes clear criteria for reporting and consistent reporting timelines.  </w:t>
      </w:r>
      <w:r w:rsidR="00DD2B39">
        <w:rPr>
          <w:rFonts w:ascii="Times New Roman" w:eastAsia="Times New Roman" w:hAnsi="Times New Roman" w:cs="Times New Roman"/>
          <w:color w:val="000000"/>
          <w:sz w:val="24"/>
          <w:szCs w:val="24"/>
        </w:rPr>
        <w:t xml:space="preserve">In addition, </w:t>
      </w:r>
      <w:r w:rsidRPr="00BD0FD5">
        <w:rPr>
          <w:rFonts w:ascii="Times New Roman" w:eastAsia="Times New Roman" w:hAnsi="Times New Roman" w:cs="Times New Roman"/>
          <w:color w:val="000000"/>
          <w:sz w:val="24"/>
          <w:szCs w:val="24"/>
        </w:rPr>
        <w:t>the proposed reporting requirements will “allow governmental authorities and critical infrastructure members the opportunity to react in a meaningful manner” to disturbance or other event information, thereby “support[ing] reliability principles and ultimately help[ing] to protect against future malicious physical attacks.”</w:t>
      </w:r>
      <w:r w:rsidRPr="00BD0FD5">
        <w:rPr>
          <w:rFonts w:ascii="Times New Roman" w:eastAsia="Times New Roman" w:hAnsi="Times New Roman" w:cs="Times New Roman"/>
          <w:b/>
          <w:color w:val="000000"/>
          <w:sz w:val="24"/>
          <w:szCs w:val="24"/>
          <w:vertAlign w:val="superscript"/>
        </w:rPr>
        <w:footnoteReference w:id="10"/>
      </w:r>
      <w:r w:rsidRPr="00BD0FD5">
        <w:rPr>
          <w:rFonts w:ascii="Times New Roman" w:eastAsia="Times New Roman" w:hAnsi="Times New Roman" w:cs="Times New Roman"/>
          <w:color w:val="000000"/>
          <w:sz w:val="24"/>
          <w:szCs w:val="24"/>
        </w:rPr>
        <w:t xml:space="preserve">  </w:t>
      </w:r>
    </w:p>
    <w:p w:rsidR="00EB3E6F" w:rsidRPr="00BD0FD5" w:rsidRDefault="00EB3E6F" w:rsidP="0092596C">
      <w:pPr>
        <w:pStyle w:val="ListParagraph"/>
        <w:numPr>
          <w:ilvl w:val="0"/>
          <w:numId w:val="1"/>
        </w:numPr>
        <w:spacing w:after="0" w:line="240" w:lineRule="auto"/>
        <w:ind w:left="360"/>
        <w:rPr>
          <w:rFonts w:ascii="Times New Roman" w:hAnsi="Times New Roman" w:cs="Times New Roman"/>
          <w:b/>
          <w:sz w:val="24"/>
          <w:szCs w:val="24"/>
        </w:rPr>
      </w:pPr>
      <w:r w:rsidRPr="00BD0FD5">
        <w:rPr>
          <w:rFonts w:ascii="Times New Roman" w:hAnsi="Times New Roman" w:cs="Times New Roman"/>
          <w:b/>
          <w:sz w:val="24"/>
          <w:szCs w:val="24"/>
        </w:rPr>
        <w:t>DESCRIBE ANY CONSIDERATION OF THE USE OF IMPROVED INFORMATION TECHNOLOGY TO REDUCE THE BURDEN AND TECHNICAL OR LEGAL OBSTACLES TO REDUCING BURDEN</w:t>
      </w:r>
    </w:p>
    <w:p w:rsidR="00EB3E6F" w:rsidRPr="00BD0FD5" w:rsidRDefault="00EB3E6F" w:rsidP="0092596C">
      <w:pPr>
        <w:spacing w:after="0" w:line="240" w:lineRule="auto"/>
        <w:rPr>
          <w:rFonts w:ascii="Times New Roman" w:hAnsi="Times New Roman" w:cs="Times New Roman"/>
          <w:sz w:val="24"/>
          <w:szCs w:val="24"/>
        </w:rPr>
      </w:pPr>
    </w:p>
    <w:p w:rsidR="00C00D70" w:rsidRPr="00BD0FD5" w:rsidRDefault="00C00D70" w:rsidP="0092596C">
      <w:pPr>
        <w:spacing w:after="0" w:line="240" w:lineRule="auto"/>
        <w:rPr>
          <w:rFonts w:ascii="Times New Roman" w:hAnsi="Times New Roman" w:cs="Times New Roman"/>
          <w:sz w:val="24"/>
          <w:szCs w:val="24"/>
        </w:rPr>
      </w:pPr>
      <w:r w:rsidRPr="00BD0FD5">
        <w:rPr>
          <w:rFonts w:ascii="Times New Roman" w:hAnsi="Times New Roman" w:cs="Times New Roman"/>
          <w:sz w:val="24"/>
          <w:szCs w:val="24"/>
        </w:rPr>
        <w:t>The use of current or improved technology is not covered in Reliability Standards, and is therefore left to the discretion of each reporting entity.</w:t>
      </w:r>
      <w:r w:rsidR="00DD0209" w:rsidRPr="00DD0209">
        <w:t xml:space="preserve"> </w:t>
      </w:r>
      <w:r w:rsidR="00DD0209" w:rsidRPr="00DD0209">
        <w:rPr>
          <w:rFonts w:ascii="Times New Roman" w:hAnsi="Times New Roman" w:cs="Times New Roman"/>
          <w:sz w:val="24"/>
          <w:szCs w:val="24"/>
        </w:rPr>
        <w:t>We think that nearly all of the respondents are likely to make and keep related records in an electronic format.  Each of the eight Regional Entities has a well-established compliance portal for registered entities to electronically submit compliance information and reports.  The compliance portals allow documents developed by the registered entities to be attached and uploaded to the Regional Entity’s portal.  Compliance data can also be submitted by filling out data forms on the portals.  These portals are accessible through an internet browser password protected user interface.</w:t>
      </w:r>
    </w:p>
    <w:p w:rsidR="00EB3E6F" w:rsidRPr="00BD0FD5" w:rsidRDefault="00EB3E6F" w:rsidP="0092596C">
      <w:pPr>
        <w:spacing w:after="0" w:line="240" w:lineRule="auto"/>
        <w:rPr>
          <w:rFonts w:ascii="Times New Roman" w:hAnsi="Times New Roman" w:cs="Times New Roman"/>
          <w:sz w:val="24"/>
          <w:szCs w:val="24"/>
        </w:rPr>
      </w:pPr>
    </w:p>
    <w:p w:rsidR="00EB3E6F" w:rsidRPr="00BD0FD5" w:rsidRDefault="00EB3E6F" w:rsidP="0092596C">
      <w:pPr>
        <w:pStyle w:val="ListParagraph"/>
        <w:numPr>
          <w:ilvl w:val="0"/>
          <w:numId w:val="1"/>
        </w:numPr>
        <w:spacing w:after="0" w:line="240" w:lineRule="auto"/>
        <w:ind w:left="360"/>
        <w:rPr>
          <w:rFonts w:ascii="Times New Roman" w:hAnsi="Times New Roman" w:cs="Times New Roman"/>
          <w:b/>
          <w:sz w:val="24"/>
          <w:szCs w:val="24"/>
        </w:rPr>
      </w:pPr>
      <w:r w:rsidRPr="00BD0FD5">
        <w:rPr>
          <w:rFonts w:ascii="Times New Roman" w:hAnsi="Times New Roman" w:cs="Times New Roman"/>
          <w:b/>
          <w:sz w:val="24"/>
          <w:szCs w:val="24"/>
        </w:rPr>
        <w:t>DESCRIBE EFFORTS TO IDENTIF</w:t>
      </w:r>
      <w:r w:rsidR="00E05FA3" w:rsidRPr="00BD0FD5">
        <w:rPr>
          <w:rFonts w:ascii="Times New Roman" w:hAnsi="Times New Roman" w:cs="Times New Roman"/>
          <w:b/>
          <w:sz w:val="24"/>
          <w:szCs w:val="24"/>
        </w:rPr>
        <w:t>Y</w:t>
      </w:r>
      <w:r w:rsidRPr="00BD0FD5">
        <w:rPr>
          <w:rFonts w:ascii="Times New Roman" w:hAnsi="Times New Roman" w:cs="Times New Roman"/>
          <w:b/>
          <w:sz w:val="24"/>
          <w:szCs w:val="24"/>
        </w:rPr>
        <w:t xml:space="preserve"> DUPLICATION AND SHOW SPECIFICALLY WHY ANY SIMILAR INFORMATION ALREADY AVAILABLE CANNOT BE USED OR MODIFIED FOR USE FOR THE PURPOSE(S) DESCRIBED IN INSTRUCTION NO. 2</w:t>
      </w:r>
    </w:p>
    <w:p w:rsidR="00EB3E6F" w:rsidRPr="00BD0FD5" w:rsidRDefault="00EB3E6F" w:rsidP="0092596C">
      <w:pPr>
        <w:spacing w:after="0" w:line="240" w:lineRule="auto"/>
        <w:rPr>
          <w:rFonts w:ascii="Times New Roman" w:hAnsi="Times New Roman" w:cs="Times New Roman"/>
          <w:sz w:val="24"/>
          <w:szCs w:val="24"/>
        </w:rPr>
      </w:pPr>
    </w:p>
    <w:p w:rsidR="00330A2A" w:rsidRPr="00BD0FD5" w:rsidRDefault="00330A2A" w:rsidP="0092596C">
      <w:pPr>
        <w:spacing w:after="0" w:line="240" w:lineRule="auto"/>
        <w:rPr>
          <w:rFonts w:ascii="Times New Roman" w:hAnsi="Times New Roman" w:cs="Times New Roman"/>
          <w:sz w:val="24"/>
          <w:szCs w:val="24"/>
        </w:rPr>
      </w:pPr>
      <w:r w:rsidRPr="00BD0FD5">
        <w:rPr>
          <w:rFonts w:ascii="Times New Roman" w:hAnsi="Times New Roman" w:cs="Times New Roman"/>
          <w:sz w:val="24"/>
          <w:szCs w:val="24"/>
        </w:rPr>
        <w:t>The following paragraphs are excerpted from NERC’s Petition</w:t>
      </w:r>
      <w:r w:rsidR="00DD2B39">
        <w:rPr>
          <w:rFonts w:ascii="Times New Roman" w:hAnsi="Times New Roman" w:cs="Times New Roman"/>
          <w:sz w:val="24"/>
          <w:szCs w:val="24"/>
        </w:rPr>
        <w:t xml:space="preserve"> seeking approval of proposed Reliability Standard EOP-004-2</w:t>
      </w:r>
      <w:r w:rsidRPr="00BD0FD5">
        <w:rPr>
          <w:rFonts w:ascii="Times New Roman" w:hAnsi="Times New Roman" w:cs="Times New Roman"/>
          <w:sz w:val="24"/>
          <w:szCs w:val="24"/>
        </w:rPr>
        <w:t xml:space="preserve"> (Pages 16-17)</w:t>
      </w:r>
      <w:r w:rsidR="00DD2B39">
        <w:rPr>
          <w:rFonts w:ascii="Times New Roman" w:hAnsi="Times New Roman" w:cs="Times New Roman"/>
          <w:sz w:val="24"/>
          <w:szCs w:val="24"/>
        </w:rPr>
        <w:t>, submitted in FERC Docket No. RD13-3-000</w:t>
      </w:r>
      <w:r w:rsidRPr="00BD0FD5">
        <w:rPr>
          <w:rFonts w:ascii="Times New Roman" w:hAnsi="Times New Roman" w:cs="Times New Roman"/>
          <w:sz w:val="24"/>
          <w:szCs w:val="24"/>
        </w:rPr>
        <w:t>:</w:t>
      </w:r>
    </w:p>
    <w:p w:rsidR="00330A2A" w:rsidRPr="00BD0FD5" w:rsidRDefault="00330A2A" w:rsidP="00787FED">
      <w:pPr>
        <w:spacing w:after="0" w:line="240" w:lineRule="auto"/>
        <w:rPr>
          <w:rFonts w:ascii="Times New Roman" w:hAnsi="Times New Roman" w:cs="Times New Roman"/>
          <w:sz w:val="24"/>
          <w:szCs w:val="24"/>
        </w:rPr>
      </w:pPr>
    </w:p>
    <w:p w:rsidR="00787FED" w:rsidRPr="00BD0FD5" w:rsidRDefault="00787FED" w:rsidP="00330A2A">
      <w:pPr>
        <w:spacing w:after="0" w:line="240" w:lineRule="auto"/>
        <w:ind w:left="720"/>
        <w:rPr>
          <w:rFonts w:ascii="Times New Roman" w:hAnsi="Times New Roman" w:cs="Times New Roman"/>
          <w:sz w:val="24"/>
          <w:szCs w:val="24"/>
        </w:rPr>
      </w:pPr>
      <w:r w:rsidRPr="00BD0FD5">
        <w:rPr>
          <w:rFonts w:ascii="Times New Roman" w:hAnsi="Times New Roman" w:cs="Times New Roman"/>
          <w:sz w:val="24"/>
          <w:szCs w:val="24"/>
        </w:rPr>
        <w:t xml:space="preserve">The DOE Office of Electricity Delivery and Energy Reliability uses Form OE-417, “Emergency Incident and Disturbance Report,” to monitor major system incidents on electric power systems.  Tracking disturbances that impact the integrated generating and transmission facilities is an important part of DOE’s responsibilities, along with examining issues associated with insufficient capacity reserves. </w:t>
      </w:r>
      <w:r w:rsidR="00330A2A" w:rsidRPr="00BD0FD5">
        <w:rPr>
          <w:rFonts w:ascii="Times New Roman" w:hAnsi="Times New Roman" w:cs="Times New Roman"/>
          <w:sz w:val="24"/>
          <w:szCs w:val="24"/>
        </w:rPr>
        <w:t xml:space="preserve"> </w:t>
      </w:r>
      <w:r w:rsidRPr="00BD0FD5">
        <w:rPr>
          <w:rFonts w:ascii="Times New Roman" w:hAnsi="Times New Roman" w:cs="Times New Roman"/>
          <w:sz w:val="24"/>
          <w:szCs w:val="24"/>
        </w:rPr>
        <w:t xml:space="preserve">The form collects information on electric emergency incidents and disturbances for DOE’s use in fulfilling its overall national security and other energy management responsibilities. </w:t>
      </w:r>
      <w:r w:rsidR="00330A2A" w:rsidRPr="00BD0FD5">
        <w:rPr>
          <w:rFonts w:ascii="Times New Roman" w:hAnsi="Times New Roman" w:cs="Times New Roman"/>
          <w:sz w:val="24"/>
          <w:szCs w:val="24"/>
        </w:rPr>
        <w:t xml:space="preserve"> </w:t>
      </w:r>
      <w:r w:rsidRPr="00BD0FD5">
        <w:rPr>
          <w:rFonts w:ascii="Times New Roman" w:hAnsi="Times New Roman" w:cs="Times New Roman"/>
          <w:sz w:val="24"/>
          <w:szCs w:val="24"/>
        </w:rPr>
        <w:t xml:space="preserve">The form is a mandatory filing whenever an electrical incident or disturbance is sufficiently large enough to cross the reporting thresholds. </w:t>
      </w:r>
      <w:r w:rsidR="00330A2A" w:rsidRPr="00BD0FD5">
        <w:rPr>
          <w:rFonts w:ascii="Times New Roman" w:hAnsi="Times New Roman" w:cs="Times New Roman"/>
          <w:sz w:val="24"/>
          <w:szCs w:val="24"/>
        </w:rPr>
        <w:t xml:space="preserve"> </w:t>
      </w:r>
      <w:r w:rsidRPr="00BD0FD5">
        <w:rPr>
          <w:rFonts w:ascii="Times New Roman" w:hAnsi="Times New Roman" w:cs="Times New Roman"/>
          <w:sz w:val="24"/>
          <w:szCs w:val="24"/>
        </w:rPr>
        <w:t xml:space="preserve">Reporting coverage for the Form OE-417 </w:t>
      </w:r>
      <w:r w:rsidRPr="00BD0FD5">
        <w:rPr>
          <w:rFonts w:ascii="Times New Roman" w:hAnsi="Times New Roman" w:cs="Times New Roman"/>
          <w:sz w:val="24"/>
          <w:szCs w:val="24"/>
        </w:rPr>
        <w:lastRenderedPageBreak/>
        <w:t>includes all 50 States, the District of Columbia, Puerto Rico, the U.S. Virgin Islands, and the U.S. Trust Territories.</w:t>
      </w:r>
    </w:p>
    <w:p w:rsidR="00787FED" w:rsidRPr="00BD0FD5" w:rsidRDefault="00787FED" w:rsidP="00330A2A">
      <w:pPr>
        <w:spacing w:after="0" w:line="240" w:lineRule="auto"/>
        <w:ind w:left="720"/>
        <w:rPr>
          <w:rFonts w:ascii="Times New Roman" w:hAnsi="Times New Roman" w:cs="Times New Roman"/>
          <w:sz w:val="24"/>
          <w:szCs w:val="24"/>
        </w:rPr>
      </w:pPr>
    </w:p>
    <w:p w:rsidR="00EB3E6F" w:rsidRPr="00BD0FD5" w:rsidRDefault="00787FED" w:rsidP="00330A2A">
      <w:pPr>
        <w:spacing w:after="0" w:line="240" w:lineRule="auto"/>
        <w:ind w:left="720"/>
        <w:rPr>
          <w:rFonts w:ascii="Times New Roman" w:hAnsi="Times New Roman" w:cs="Times New Roman"/>
          <w:sz w:val="24"/>
          <w:szCs w:val="24"/>
        </w:rPr>
      </w:pPr>
      <w:r w:rsidRPr="00BD0FD5">
        <w:rPr>
          <w:rFonts w:ascii="Times New Roman" w:hAnsi="Times New Roman" w:cs="Times New Roman"/>
          <w:sz w:val="24"/>
          <w:szCs w:val="24"/>
        </w:rPr>
        <w:t>In an effort to minimize administrative burden, U.S. entities may use the DOE OE-417</w:t>
      </w:r>
      <w:r w:rsidR="00330A2A" w:rsidRPr="00BD0FD5">
        <w:rPr>
          <w:rFonts w:ascii="Times New Roman" w:hAnsi="Times New Roman" w:cs="Times New Roman"/>
          <w:sz w:val="24"/>
          <w:szCs w:val="24"/>
        </w:rPr>
        <w:t xml:space="preserve"> </w:t>
      </w:r>
      <w:r w:rsidRPr="00BD0FD5">
        <w:rPr>
          <w:rFonts w:ascii="Times New Roman" w:hAnsi="Times New Roman" w:cs="Times New Roman"/>
          <w:sz w:val="24"/>
          <w:szCs w:val="24"/>
        </w:rPr>
        <w:t>form, rather than Attachme</w:t>
      </w:r>
      <w:r w:rsidR="00330A2A" w:rsidRPr="00BD0FD5">
        <w:rPr>
          <w:rFonts w:ascii="Times New Roman" w:hAnsi="Times New Roman" w:cs="Times New Roman"/>
          <w:sz w:val="24"/>
          <w:szCs w:val="24"/>
        </w:rPr>
        <w:t xml:space="preserve">nt 2, to report under EOP-004. </w:t>
      </w:r>
      <w:r w:rsidRPr="00BD0FD5">
        <w:rPr>
          <w:rFonts w:ascii="Times New Roman" w:hAnsi="Times New Roman" w:cs="Times New Roman"/>
          <w:sz w:val="24"/>
          <w:szCs w:val="24"/>
        </w:rPr>
        <w:t xml:space="preserve"> Pursuant to the DOE’s new online</w:t>
      </w:r>
      <w:r w:rsidR="00330A2A" w:rsidRPr="00BD0FD5">
        <w:rPr>
          <w:rFonts w:ascii="Times New Roman" w:hAnsi="Times New Roman" w:cs="Times New Roman"/>
          <w:sz w:val="24"/>
          <w:szCs w:val="24"/>
        </w:rPr>
        <w:t xml:space="preserve"> </w:t>
      </w:r>
      <w:r w:rsidRPr="00BD0FD5">
        <w:rPr>
          <w:rFonts w:ascii="Times New Roman" w:hAnsi="Times New Roman" w:cs="Times New Roman"/>
          <w:sz w:val="24"/>
          <w:szCs w:val="24"/>
        </w:rPr>
        <w:t>process, entities may record email addresses associated with their Operating Plan so that when</w:t>
      </w:r>
      <w:r w:rsidR="00330A2A" w:rsidRPr="00BD0FD5">
        <w:rPr>
          <w:rFonts w:ascii="Times New Roman" w:hAnsi="Times New Roman" w:cs="Times New Roman"/>
          <w:sz w:val="24"/>
          <w:szCs w:val="24"/>
        </w:rPr>
        <w:t xml:space="preserve"> </w:t>
      </w:r>
      <w:r w:rsidRPr="00BD0FD5">
        <w:rPr>
          <w:rFonts w:ascii="Times New Roman" w:hAnsi="Times New Roman" w:cs="Times New Roman"/>
          <w:sz w:val="24"/>
          <w:szCs w:val="24"/>
        </w:rPr>
        <w:t>the report is submitted to DOE, it will automatically be forwarded to the posted email addresses,</w:t>
      </w:r>
      <w:r w:rsidR="00330A2A" w:rsidRPr="00BD0FD5">
        <w:rPr>
          <w:rFonts w:ascii="Times New Roman" w:hAnsi="Times New Roman" w:cs="Times New Roman"/>
          <w:sz w:val="24"/>
          <w:szCs w:val="24"/>
        </w:rPr>
        <w:t xml:space="preserve"> </w:t>
      </w:r>
      <w:r w:rsidRPr="00BD0FD5">
        <w:rPr>
          <w:rFonts w:ascii="Times New Roman" w:hAnsi="Times New Roman" w:cs="Times New Roman"/>
          <w:sz w:val="24"/>
          <w:szCs w:val="24"/>
        </w:rPr>
        <w:t>thereby eliminating some administrative burden to forward the report to multiple organizations</w:t>
      </w:r>
      <w:r w:rsidR="00330A2A" w:rsidRPr="00BD0FD5">
        <w:rPr>
          <w:rFonts w:ascii="Times New Roman" w:hAnsi="Times New Roman" w:cs="Times New Roman"/>
          <w:sz w:val="24"/>
          <w:szCs w:val="24"/>
        </w:rPr>
        <w:t xml:space="preserve"> </w:t>
      </w:r>
      <w:r w:rsidRPr="00BD0FD5">
        <w:rPr>
          <w:rFonts w:ascii="Times New Roman" w:hAnsi="Times New Roman" w:cs="Times New Roman"/>
          <w:sz w:val="24"/>
          <w:szCs w:val="24"/>
        </w:rPr>
        <w:t>and agencies.</w:t>
      </w:r>
      <w:r w:rsidR="00330A2A" w:rsidRPr="00BD0FD5">
        <w:rPr>
          <w:rStyle w:val="FootnoteReference"/>
          <w:rFonts w:ascii="Times New Roman" w:hAnsi="Times New Roman" w:cs="Times New Roman"/>
          <w:sz w:val="24"/>
          <w:szCs w:val="24"/>
          <w:vertAlign w:val="superscript"/>
        </w:rPr>
        <w:footnoteReference w:id="11"/>
      </w:r>
      <w:r w:rsidR="00330A2A" w:rsidRPr="00BD0FD5">
        <w:rPr>
          <w:rFonts w:ascii="Times New Roman" w:hAnsi="Times New Roman" w:cs="Times New Roman"/>
          <w:sz w:val="24"/>
          <w:szCs w:val="24"/>
        </w:rPr>
        <w:t xml:space="preserve">  </w:t>
      </w:r>
      <w:r w:rsidRPr="00BD0FD5">
        <w:rPr>
          <w:rFonts w:ascii="Times New Roman" w:hAnsi="Times New Roman" w:cs="Times New Roman"/>
          <w:sz w:val="24"/>
          <w:szCs w:val="24"/>
        </w:rPr>
        <w:t>This approach is consistent with the Commission’s suggestion in Order No. 693</w:t>
      </w:r>
      <w:r w:rsidR="00330A2A" w:rsidRPr="00BD0FD5">
        <w:rPr>
          <w:rFonts w:ascii="Times New Roman" w:hAnsi="Times New Roman" w:cs="Times New Roman"/>
          <w:sz w:val="24"/>
          <w:szCs w:val="24"/>
        </w:rPr>
        <w:t xml:space="preserve"> </w:t>
      </w:r>
      <w:r w:rsidRPr="00BD0FD5">
        <w:rPr>
          <w:rFonts w:ascii="Times New Roman" w:hAnsi="Times New Roman" w:cs="Times New Roman"/>
          <w:sz w:val="24"/>
          <w:szCs w:val="24"/>
        </w:rPr>
        <w:t>for NERC to “consider consolidation of the sabotage reporting forms and the sabotage reporting</w:t>
      </w:r>
      <w:r w:rsidR="00330A2A" w:rsidRPr="00BD0FD5">
        <w:rPr>
          <w:rFonts w:ascii="Times New Roman" w:hAnsi="Times New Roman" w:cs="Times New Roman"/>
          <w:sz w:val="24"/>
          <w:szCs w:val="24"/>
        </w:rPr>
        <w:t xml:space="preserve"> </w:t>
      </w:r>
      <w:r w:rsidRPr="00BD0FD5">
        <w:rPr>
          <w:rFonts w:ascii="Times New Roman" w:hAnsi="Times New Roman" w:cs="Times New Roman"/>
          <w:sz w:val="24"/>
          <w:szCs w:val="24"/>
        </w:rPr>
        <w:t>channels with the appropriate governmen</w:t>
      </w:r>
      <w:bookmarkStart w:id="0" w:name="_GoBack"/>
      <w:bookmarkEnd w:id="0"/>
      <w:r w:rsidRPr="00BD0FD5">
        <w:rPr>
          <w:rFonts w:ascii="Times New Roman" w:hAnsi="Times New Roman" w:cs="Times New Roman"/>
          <w:sz w:val="24"/>
          <w:szCs w:val="24"/>
        </w:rPr>
        <w:t>tal authorities to minimize the impact of these reporting</w:t>
      </w:r>
      <w:r w:rsidR="00330A2A" w:rsidRPr="00BD0FD5">
        <w:rPr>
          <w:rFonts w:ascii="Times New Roman" w:hAnsi="Times New Roman" w:cs="Times New Roman"/>
          <w:sz w:val="24"/>
          <w:szCs w:val="24"/>
        </w:rPr>
        <w:t xml:space="preserve"> requirements on all entities.”</w:t>
      </w:r>
      <w:r w:rsidR="00330A2A" w:rsidRPr="00BD0FD5">
        <w:rPr>
          <w:rStyle w:val="FootnoteReference"/>
          <w:rFonts w:ascii="Times New Roman" w:hAnsi="Times New Roman" w:cs="Times New Roman"/>
          <w:sz w:val="24"/>
          <w:szCs w:val="24"/>
          <w:vertAlign w:val="superscript"/>
        </w:rPr>
        <w:footnoteReference w:id="12"/>
      </w:r>
    </w:p>
    <w:p w:rsidR="00C00D70" w:rsidRPr="00BD0FD5" w:rsidRDefault="00C00D70" w:rsidP="0092596C">
      <w:pPr>
        <w:spacing w:after="0" w:line="240" w:lineRule="auto"/>
        <w:rPr>
          <w:rFonts w:ascii="Times New Roman" w:hAnsi="Times New Roman" w:cs="Times New Roman"/>
          <w:sz w:val="24"/>
          <w:szCs w:val="24"/>
        </w:rPr>
      </w:pPr>
    </w:p>
    <w:p w:rsidR="00EB3E6F" w:rsidRPr="00BD0FD5" w:rsidRDefault="00EB3E6F" w:rsidP="0092596C">
      <w:pPr>
        <w:pStyle w:val="ListParagraph"/>
        <w:numPr>
          <w:ilvl w:val="0"/>
          <w:numId w:val="1"/>
        </w:numPr>
        <w:spacing w:after="0" w:line="240" w:lineRule="auto"/>
        <w:ind w:left="360"/>
        <w:rPr>
          <w:rFonts w:ascii="Times New Roman" w:hAnsi="Times New Roman" w:cs="Times New Roman"/>
          <w:b/>
          <w:sz w:val="24"/>
          <w:szCs w:val="24"/>
        </w:rPr>
      </w:pPr>
      <w:r w:rsidRPr="00BD0FD5">
        <w:rPr>
          <w:rFonts w:ascii="Times New Roman" w:hAnsi="Times New Roman" w:cs="Times New Roman"/>
          <w:b/>
          <w:sz w:val="24"/>
          <w:szCs w:val="24"/>
        </w:rPr>
        <w:t>METHODS USED TO MINIMIZE THE BURDEN IN COLLECTION OF INFORMATION INVOLVING SMALL ENTITIES</w:t>
      </w:r>
    </w:p>
    <w:p w:rsidR="00EB3E6F" w:rsidRPr="00BD0FD5" w:rsidRDefault="00EB3E6F" w:rsidP="0092596C">
      <w:pPr>
        <w:spacing w:after="0" w:line="240" w:lineRule="auto"/>
        <w:rPr>
          <w:rFonts w:ascii="Times New Roman" w:hAnsi="Times New Roman" w:cs="Times New Roman"/>
          <w:sz w:val="24"/>
          <w:szCs w:val="24"/>
        </w:rPr>
      </w:pPr>
    </w:p>
    <w:p w:rsidR="00C00D70" w:rsidRPr="00BD0FD5" w:rsidRDefault="002E7D81" w:rsidP="0092596C">
      <w:pPr>
        <w:spacing w:after="0" w:line="240" w:lineRule="auto"/>
        <w:rPr>
          <w:rFonts w:ascii="Times New Roman" w:hAnsi="Times New Roman" w:cs="Times New Roman"/>
          <w:sz w:val="24"/>
          <w:szCs w:val="24"/>
        </w:rPr>
      </w:pPr>
      <w:r w:rsidRPr="00BD0FD5">
        <w:rPr>
          <w:rFonts w:ascii="Times New Roman" w:hAnsi="Times New Roman" w:cs="Times New Roman"/>
          <w:sz w:val="24"/>
          <w:szCs w:val="24"/>
        </w:rPr>
        <w:t xml:space="preserve">The revised Reliability Standard EOP-004-2 will require a minimal initial effort in the first year and should lead to a net burden reduction in future years, thus working to reduce the burden on any small </w:t>
      </w:r>
      <w:r w:rsidR="00AD4CC5" w:rsidRPr="00BD0FD5">
        <w:rPr>
          <w:rFonts w:ascii="Times New Roman" w:hAnsi="Times New Roman" w:cs="Times New Roman"/>
          <w:sz w:val="24"/>
          <w:szCs w:val="24"/>
        </w:rPr>
        <w:t>entity compl</w:t>
      </w:r>
      <w:r w:rsidR="00577CC7" w:rsidRPr="00BD0FD5">
        <w:rPr>
          <w:rFonts w:ascii="Times New Roman" w:hAnsi="Times New Roman" w:cs="Times New Roman"/>
          <w:sz w:val="24"/>
          <w:szCs w:val="24"/>
        </w:rPr>
        <w:t>y</w:t>
      </w:r>
      <w:r w:rsidR="00AD4CC5" w:rsidRPr="00BD0FD5">
        <w:rPr>
          <w:rFonts w:ascii="Times New Roman" w:hAnsi="Times New Roman" w:cs="Times New Roman"/>
          <w:sz w:val="24"/>
          <w:szCs w:val="24"/>
        </w:rPr>
        <w:t>ing</w:t>
      </w:r>
      <w:r w:rsidRPr="00BD0FD5">
        <w:rPr>
          <w:rFonts w:ascii="Times New Roman" w:hAnsi="Times New Roman" w:cs="Times New Roman"/>
          <w:sz w:val="24"/>
          <w:szCs w:val="24"/>
        </w:rPr>
        <w:t xml:space="preserve"> with EOP-004-2.</w:t>
      </w:r>
      <w:r w:rsidR="00D119C3" w:rsidRPr="00BD0FD5">
        <w:rPr>
          <w:rFonts w:ascii="Times New Roman" w:hAnsi="Times New Roman" w:cs="Times New Roman"/>
          <w:sz w:val="24"/>
          <w:szCs w:val="24"/>
        </w:rPr>
        <w:t xml:space="preserve"> </w:t>
      </w:r>
      <w:r w:rsidR="00C00D70" w:rsidRPr="00BD0FD5">
        <w:rPr>
          <w:rFonts w:ascii="Times New Roman" w:hAnsi="Times New Roman" w:cs="Times New Roman"/>
          <w:sz w:val="24"/>
          <w:szCs w:val="24"/>
        </w:rPr>
        <w:t xml:space="preserve">  </w:t>
      </w:r>
    </w:p>
    <w:p w:rsidR="00C00D70" w:rsidRPr="00BD0FD5" w:rsidRDefault="00C00D70" w:rsidP="0092596C">
      <w:pPr>
        <w:spacing w:after="0" w:line="240" w:lineRule="auto"/>
        <w:rPr>
          <w:rFonts w:ascii="Times New Roman" w:hAnsi="Times New Roman" w:cs="Times New Roman"/>
          <w:sz w:val="24"/>
          <w:szCs w:val="24"/>
        </w:rPr>
      </w:pPr>
    </w:p>
    <w:p w:rsidR="00C00D70" w:rsidRPr="00BD0FD5" w:rsidRDefault="00C00D70" w:rsidP="0092596C">
      <w:pPr>
        <w:spacing w:after="0" w:line="240" w:lineRule="auto"/>
        <w:rPr>
          <w:rFonts w:ascii="Times New Roman" w:hAnsi="Times New Roman" w:cs="Times New Roman"/>
          <w:sz w:val="24"/>
          <w:szCs w:val="24"/>
        </w:rPr>
      </w:pPr>
      <w:r w:rsidRPr="00BD0FD5">
        <w:rPr>
          <w:rFonts w:ascii="Times New Roman" w:hAnsi="Times New Roman" w:cs="Times New Roman"/>
          <w:sz w:val="24"/>
          <w:szCs w:val="24"/>
        </w:rPr>
        <w:t xml:space="preserve">In general, small entities may </w:t>
      </w:r>
      <w:r w:rsidR="00B86284" w:rsidRPr="00BD0FD5">
        <w:rPr>
          <w:rFonts w:ascii="Times New Roman" w:hAnsi="Times New Roman" w:cs="Times New Roman"/>
          <w:sz w:val="24"/>
          <w:szCs w:val="24"/>
        </w:rPr>
        <w:t xml:space="preserve">reduce their burden by taking part in a joint registration organization or </w:t>
      </w:r>
      <w:r w:rsidRPr="00BD0FD5">
        <w:rPr>
          <w:rFonts w:ascii="Times New Roman" w:hAnsi="Times New Roman" w:cs="Times New Roman"/>
          <w:sz w:val="24"/>
          <w:szCs w:val="24"/>
        </w:rPr>
        <w:t>a coordinated functional registration</w:t>
      </w:r>
      <w:r w:rsidR="00B86284" w:rsidRPr="00BD0FD5">
        <w:rPr>
          <w:rFonts w:ascii="Times New Roman" w:hAnsi="Times New Roman" w:cs="Times New Roman"/>
          <w:sz w:val="24"/>
          <w:szCs w:val="24"/>
        </w:rPr>
        <w:t>.  These options allow an entity to share its compliance burden with other entities.</w:t>
      </w:r>
    </w:p>
    <w:p w:rsidR="00EB3E6F" w:rsidRPr="00BD0FD5" w:rsidRDefault="00EB3E6F" w:rsidP="0092596C">
      <w:pPr>
        <w:spacing w:after="0" w:line="240" w:lineRule="auto"/>
        <w:rPr>
          <w:rFonts w:ascii="Times New Roman" w:hAnsi="Times New Roman" w:cs="Times New Roman"/>
          <w:sz w:val="24"/>
          <w:szCs w:val="24"/>
        </w:rPr>
      </w:pPr>
    </w:p>
    <w:p w:rsidR="00EB3E6F" w:rsidRPr="00BD0FD5" w:rsidRDefault="00EB3E6F" w:rsidP="0092596C">
      <w:pPr>
        <w:pStyle w:val="ListParagraph"/>
        <w:numPr>
          <w:ilvl w:val="0"/>
          <w:numId w:val="1"/>
        </w:numPr>
        <w:spacing w:after="0" w:line="240" w:lineRule="auto"/>
        <w:ind w:left="360"/>
        <w:rPr>
          <w:rFonts w:ascii="Times New Roman" w:hAnsi="Times New Roman" w:cs="Times New Roman"/>
          <w:b/>
          <w:sz w:val="24"/>
          <w:szCs w:val="24"/>
        </w:rPr>
      </w:pPr>
      <w:r w:rsidRPr="00BD0FD5">
        <w:rPr>
          <w:rFonts w:ascii="Times New Roman" w:hAnsi="Times New Roman" w:cs="Times New Roman"/>
          <w:b/>
          <w:sz w:val="24"/>
          <w:szCs w:val="24"/>
        </w:rPr>
        <w:t>CONSEQUENCE TO FEDERAL PROGRAM IF COLLECTION WERE CONDUCTED LESS FREQUENTLY</w:t>
      </w:r>
    </w:p>
    <w:p w:rsidR="00EB3E6F" w:rsidRPr="00BD0FD5" w:rsidRDefault="00EB3E6F" w:rsidP="0092596C">
      <w:pPr>
        <w:spacing w:after="0" w:line="240" w:lineRule="auto"/>
        <w:rPr>
          <w:rFonts w:ascii="Times New Roman" w:hAnsi="Times New Roman" w:cs="Times New Roman"/>
          <w:sz w:val="24"/>
          <w:szCs w:val="24"/>
        </w:rPr>
      </w:pPr>
    </w:p>
    <w:p w:rsidR="00B86284" w:rsidRPr="00BD0FD5" w:rsidRDefault="002E7D81" w:rsidP="0092596C">
      <w:pPr>
        <w:spacing w:after="0" w:line="240" w:lineRule="auto"/>
        <w:rPr>
          <w:rFonts w:ascii="Times New Roman" w:hAnsi="Times New Roman" w:cs="Times New Roman"/>
          <w:sz w:val="24"/>
          <w:szCs w:val="24"/>
        </w:rPr>
      </w:pPr>
      <w:r w:rsidRPr="00BD0FD5">
        <w:rPr>
          <w:rFonts w:ascii="Times New Roman" w:hAnsi="Times New Roman" w:cs="Times New Roman"/>
          <w:sz w:val="24"/>
          <w:szCs w:val="24"/>
        </w:rPr>
        <w:t>The standard requires entities to report certain disturbance events within 24 hours of meeting an event type threshold or by the end of the next business day if the event occurs on a weekend.  Other paperwork related requirements are one-time or done on a yearly basis.</w:t>
      </w:r>
      <w:r w:rsidR="007C31D6" w:rsidRPr="00BD0FD5">
        <w:rPr>
          <w:rFonts w:ascii="Times New Roman" w:hAnsi="Times New Roman" w:cs="Times New Roman"/>
          <w:sz w:val="24"/>
          <w:szCs w:val="24"/>
        </w:rPr>
        <w:t xml:space="preserve">  If the disturbance events were reported less frequently, it would undermine NERC’s (and others’) ability to mitigate the current event and prepare for a possible next event.</w:t>
      </w:r>
      <w:r w:rsidRPr="00BD0FD5">
        <w:rPr>
          <w:rFonts w:ascii="Times New Roman" w:hAnsi="Times New Roman" w:cs="Times New Roman"/>
          <w:sz w:val="24"/>
          <w:szCs w:val="24"/>
        </w:rPr>
        <w:t xml:space="preserve">  </w:t>
      </w:r>
    </w:p>
    <w:p w:rsidR="002E7D81" w:rsidRPr="00BD0FD5" w:rsidRDefault="002E7D81" w:rsidP="0092596C">
      <w:pPr>
        <w:spacing w:after="0" w:line="240" w:lineRule="auto"/>
        <w:rPr>
          <w:rFonts w:ascii="Times New Roman" w:hAnsi="Times New Roman" w:cs="Times New Roman"/>
          <w:sz w:val="24"/>
          <w:szCs w:val="24"/>
        </w:rPr>
      </w:pPr>
    </w:p>
    <w:p w:rsidR="00EB3E6F" w:rsidRPr="00BD0FD5" w:rsidRDefault="00EB3E6F" w:rsidP="0092596C">
      <w:pPr>
        <w:pStyle w:val="ListParagraph"/>
        <w:numPr>
          <w:ilvl w:val="0"/>
          <w:numId w:val="1"/>
        </w:numPr>
        <w:spacing w:after="0" w:line="240" w:lineRule="auto"/>
        <w:ind w:left="360"/>
        <w:rPr>
          <w:rFonts w:ascii="Times New Roman" w:hAnsi="Times New Roman" w:cs="Times New Roman"/>
          <w:b/>
          <w:sz w:val="24"/>
          <w:szCs w:val="24"/>
        </w:rPr>
      </w:pPr>
      <w:r w:rsidRPr="00BD0FD5">
        <w:rPr>
          <w:rFonts w:ascii="Times New Roman" w:hAnsi="Times New Roman" w:cs="Times New Roman"/>
          <w:b/>
          <w:sz w:val="24"/>
          <w:szCs w:val="24"/>
        </w:rPr>
        <w:t>EXPLAIN ANY SPECIAL CIRCUMSTANCES RELATING TO THE INFORMATION COLLECTION</w:t>
      </w:r>
    </w:p>
    <w:p w:rsidR="00EB3E6F" w:rsidRPr="00BD0FD5" w:rsidRDefault="00EB3E6F" w:rsidP="0092596C">
      <w:pPr>
        <w:spacing w:after="0" w:line="240" w:lineRule="auto"/>
        <w:rPr>
          <w:rFonts w:ascii="Times New Roman" w:hAnsi="Times New Roman" w:cs="Times New Roman"/>
          <w:sz w:val="24"/>
          <w:szCs w:val="24"/>
        </w:rPr>
      </w:pPr>
    </w:p>
    <w:p w:rsidR="00C60EDC" w:rsidRPr="00BD0FD5" w:rsidRDefault="00C60EDC" w:rsidP="00C60EDC">
      <w:pPr>
        <w:spacing w:after="0" w:line="240" w:lineRule="auto"/>
        <w:rPr>
          <w:rFonts w:ascii="Times New Roman" w:hAnsi="Times New Roman"/>
          <w:sz w:val="24"/>
          <w:szCs w:val="24"/>
        </w:rPr>
      </w:pPr>
      <w:r w:rsidRPr="00BD0FD5">
        <w:rPr>
          <w:rFonts w:ascii="Times New Roman" w:hAnsi="Times New Roman"/>
          <w:sz w:val="24"/>
          <w:szCs w:val="24"/>
        </w:rPr>
        <w:t xml:space="preserve">There </w:t>
      </w:r>
      <w:r w:rsidR="00EE4C15">
        <w:rPr>
          <w:rFonts w:ascii="Times New Roman" w:hAnsi="Times New Roman"/>
          <w:sz w:val="24"/>
          <w:szCs w:val="24"/>
        </w:rPr>
        <w:t>are</w:t>
      </w:r>
      <w:r w:rsidR="00705F66" w:rsidRPr="00BD0FD5">
        <w:rPr>
          <w:rFonts w:ascii="Times New Roman" w:hAnsi="Times New Roman"/>
          <w:sz w:val="24"/>
          <w:szCs w:val="24"/>
        </w:rPr>
        <w:t xml:space="preserve"> </w:t>
      </w:r>
      <w:r w:rsidR="00EE4C15">
        <w:rPr>
          <w:rFonts w:ascii="Times New Roman" w:hAnsi="Times New Roman"/>
          <w:sz w:val="24"/>
          <w:szCs w:val="24"/>
        </w:rPr>
        <w:t>two</w:t>
      </w:r>
      <w:r w:rsidRPr="00BD0FD5">
        <w:rPr>
          <w:rFonts w:ascii="Times New Roman" w:hAnsi="Times New Roman"/>
          <w:sz w:val="24"/>
          <w:szCs w:val="24"/>
        </w:rPr>
        <w:t xml:space="preserve"> special circumstances as described in 5 CFR 1320.5(d)(2) related to this information collection.</w:t>
      </w:r>
    </w:p>
    <w:p w:rsidR="00C60EDC" w:rsidRPr="00BD0FD5" w:rsidRDefault="00C60EDC" w:rsidP="00C60EDC">
      <w:pPr>
        <w:spacing w:after="0" w:line="240" w:lineRule="auto"/>
        <w:rPr>
          <w:rFonts w:ascii="Times New Roman" w:hAnsi="Times New Roman"/>
          <w:sz w:val="24"/>
          <w:szCs w:val="24"/>
        </w:rPr>
      </w:pPr>
    </w:p>
    <w:p w:rsidR="00C60EDC" w:rsidRPr="00BD0FD5" w:rsidRDefault="000A441A" w:rsidP="00C60EDC">
      <w:pPr>
        <w:spacing w:after="0" w:line="240" w:lineRule="auto"/>
        <w:rPr>
          <w:rFonts w:ascii="Times New Roman" w:hAnsi="Times New Roman"/>
          <w:sz w:val="24"/>
          <w:szCs w:val="24"/>
        </w:rPr>
      </w:pPr>
      <w:r w:rsidRPr="00BD0FD5">
        <w:rPr>
          <w:rFonts w:ascii="Times New Roman" w:hAnsi="Times New Roman"/>
          <w:sz w:val="24"/>
          <w:szCs w:val="24"/>
        </w:rPr>
        <w:t xml:space="preserve">The data retention requirement in the Reliability Standard </w:t>
      </w:r>
      <w:r w:rsidR="0056728B" w:rsidRPr="00BD0FD5">
        <w:rPr>
          <w:rFonts w:ascii="Times New Roman" w:hAnsi="Times New Roman"/>
          <w:sz w:val="24"/>
          <w:szCs w:val="24"/>
        </w:rPr>
        <w:t xml:space="preserve">indicates that entities maintain data or evidence to show compliance with the requirements since the last audit.  Reliability audits are generally every three years, but </w:t>
      </w:r>
      <w:r w:rsidR="00577CC7" w:rsidRPr="00BD0FD5">
        <w:rPr>
          <w:rFonts w:ascii="Times New Roman" w:hAnsi="Times New Roman"/>
          <w:sz w:val="24"/>
          <w:szCs w:val="24"/>
        </w:rPr>
        <w:t>timing is such that they could</w:t>
      </w:r>
      <w:r w:rsidR="0056728B" w:rsidRPr="00BD0FD5">
        <w:rPr>
          <w:rFonts w:ascii="Times New Roman" w:hAnsi="Times New Roman"/>
          <w:sz w:val="24"/>
          <w:szCs w:val="24"/>
        </w:rPr>
        <w:t xml:space="preserve"> be more than three years</w:t>
      </w:r>
      <w:r w:rsidR="00577CC7" w:rsidRPr="00BD0FD5">
        <w:rPr>
          <w:rFonts w:ascii="Times New Roman" w:hAnsi="Times New Roman"/>
          <w:sz w:val="24"/>
          <w:szCs w:val="24"/>
        </w:rPr>
        <w:t xml:space="preserve"> apart</w:t>
      </w:r>
      <w:r w:rsidR="0056728B" w:rsidRPr="00BD0FD5">
        <w:rPr>
          <w:rFonts w:ascii="Times New Roman" w:hAnsi="Times New Roman"/>
          <w:sz w:val="24"/>
          <w:szCs w:val="24"/>
        </w:rPr>
        <w:t>.</w:t>
      </w:r>
    </w:p>
    <w:p w:rsidR="00C60EDC" w:rsidRPr="00BD0FD5" w:rsidRDefault="00C60EDC" w:rsidP="00C60EDC">
      <w:pPr>
        <w:spacing w:after="0" w:line="240" w:lineRule="auto"/>
        <w:rPr>
          <w:rFonts w:ascii="Times New Roman" w:hAnsi="Times New Roman"/>
          <w:sz w:val="24"/>
          <w:szCs w:val="24"/>
        </w:rPr>
      </w:pPr>
    </w:p>
    <w:p w:rsidR="000A441A" w:rsidRDefault="000A441A" w:rsidP="00C60EDC">
      <w:pPr>
        <w:spacing w:after="0" w:line="240" w:lineRule="auto"/>
        <w:rPr>
          <w:rFonts w:ascii="Times New Roman" w:hAnsi="Times New Roman"/>
          <w:sz w:val="24"/>
          <w:szCs w:val="24"/>
        </w:rPr>
      </w:pPr>
      <w:r w:rsidRPr="00BD0FD5">
        <w:rPr>
          <w:rFonts w:ascii="Times New Roman" w:hAnsi="Times New Roman"/>
          <w:sz w:val="24"/>
          <w:szCs w:val="24"/>
        </w:rPr>
        <w:t xml:space="preserve">This is the language adopted by the standards </w:t>
      </w:r>
      <w:r w:rsidR="00DD0209" w:rsidRPr="00BD0FD5">
        <w:rPr>
          <w:rFonts w:ascii="Times New Roman" w:hAnsi="Times New Roman"/>
          <w:sz w:val="24"/>
          <w:szCs w:val="24"/>
        </w:rPr>
        <w:t>draft</w:t>
      </w:r>
      <w:r w:rsidR="00DD0209">
        <w:rPr>
          <w:rFonts w:ascii="Times New Roman" w:hAnsi="Times New Roman"/>
          <w:sz w:val="24"/>
          <w:szCs w:val="24"/>
        </w:rPr>
        <w:t>ing</w:t>
      </w:r>
      <w:r w:rsidR="00DD0209" w:rsidRPr="00BD0FD5">
        <w:rPr>
          <w:rFonts w:ascii="Times New Roman" w:hAnsi="Times New Roman"/>
          <w:sz w:val="24"/>
          <w:szCs w:val="24"/>
        </w:rPr>
        <w:t xml:space="preserve"> </w:t>
      </w:r>
      <w:r w:rsidRPr="00BD0FD5">
        <w:rPr>
          <w:rFonts w:ascii="Times New Roman" w:hAnsi="Times New Roman"/>
          <w:sz w:val="24"/>
          <w:szCs w:val="24"/>
        </w:rPr>
        <w:t>team and approved by industry representatives during the balloting process.  As such, this is the data retention period deemed necessary for the reliability purposes contained in this standard.</w:t>
      </w:r>
    </w:p>
    <w:p w:rsidR="00EE4C15" w:rsidRDefault="00EE4C15" w:rsidP="00C60EDC">
      <w:pPr>
        <w:spacing w:after="0" w:line="240" w:lineRule="auto"/>
        <w:rPr>
          <w:rFonts w:ascii="Times New Roman" w:hAnsi="Times New Roman"/>
          <w:sz w:val="24"/>
          <w:szCs w:val="24"/>
        </w:rPr>
      </w:pPr>
    </w:p>
    <w:p w:rsidR="00EE4C15" w:rsidRDefault="00EE4C15" w:rsidP="00C60EDC">
      <w:pPr>
        <w:spacing w:after="0" w:line="240" w:lineRule="auto"/>
        <w:rPr>
          <w:rFonts w:ascii="Times New Roman" w:hAnsi="Times New Roman"/>
          <w:sz w:val="24"/>
          <w:szCs w:val="24"/>
        </w:rPr>
      </w:pPr>
      <w:r>
        <w:rPr>
          <w:rFonts w:ascii="Times New Roman" w:hAnsi="Times New Roman"/>
          <w:sz w:val="24"/>
          <w:szCs w:val="24"/>
        </w:rPr>
        <w:t>The reporting requirement is event driven, and as such, an entity may be required to report more often than quarterly.</w:t>
      </w:r>
      <w:r w:rsidR="00A03A01">
        <w:rPr>
          <w:rFonts w:ascii="Times New Roman" w:hAnsi="Times New Roman"/>
          <w:sz w:val="24"/>
          <w:szCs w:val="24"/>
        </w:rPr>
        <w:t xml:space="preserve">  NERC is responsible for ensuring the reliability of the bulk electric system.  Near real-time event reporting is necessary to support this function.  </w:t>
      </w:r>
    </w:p>
    <w:p w:rsidR="00A03A01" w:rsidRDefault="00A03A01" w:rsidP="00C60EDC">
      <w:pPr>
        <w:spacing w:after="0" w:line="240" w:lineRule="auto"/>
        <w:rPr>
          <w:rFonts w:ascii="Times New Roman" w:hAnsi="Times New Roman"/>
          <w:sz w:val="24"/>
          <w:szCs w:val="24"/>
        </w:rPr>
      </w:pPr>
    </w:p>
    <w:p w:rsidR="00A03A01" w:rsidRPr="00A03A01" w:rsidRDefault="00A03A01" w:rsidP="00A03A01">
      <w:pPr>
        <w:spacing w:after="0" w:line="240" w:lineRule="auto"/>
        <w:rPr>
          <w:rFonts w:ascii="Times New Roman" w:hAnsi="Times New Roman"/>
          <w:sz w:val="24"/>
          <w:szCs w:val="24"/>
        </w:rPr>
      </w:pPr>
      <w:r w:rsidRPr="00A03A01">
        <w:rPr>
          <w:rFonts w:ascii="Times New Roman" w:hAnsi="Times New Roman"/>
          <w:sz w:val="24"/>
          <w:szCs w:val="24"/>
        </w:rPr>
        <w:t>Emergency electric incidents and disturbances leading to interruptions of power, such as rotating blackouts, could lead to disruptions of critical infrastructures</w:t>
      </w:r>
      <w:r>
        <w:rPr>
          <w:rFonts w:ascii="Times New Roman" w:hAnsi="Times New Roman"/>
          <w:sz w:val="24"/>
          <w:szCs w:val="24"/>
        </w:rPr>
        <w:t>.</w:t>
      </w:r>
      <w:r w:rsidRPr="00A03A01">
        <w:rPr>
          <w:rFonts w:ascii="Times New Roman" w:hAnsi="Times New Roman"/>
          <w:sz w:val="24"/>
          <w:szCs w:val="24"/>
        </w:rPr>
        <w:t xml:space="preserve"> </w:t>
      </w:r>
      <w:r>
        <w:rPr>
          <w:rFonts w:ascii="Times New Roman" w:hAnsi="Times New Roman"/>
          <w:sz w:val="24"/>
          <w:szCs w:val="24"/>
        </w:rPr>
        <w:t xml:space="preserve"> </w:t>
      </w:r>
      <w:r w:rsidRPr="00A03A01">
        <w:rPr>
          <w:rFonts w:ascii="Times New Roman" w:hAnsi="Times New Roman"/>
          <w:sz w:val="24"/>
          <w:szCs w:val="24"/>
        </w:rPr>
        <w:t>The national security, economic prosperity, and social wellbeing of the nation depends on the continuing reliability of our increasingly complex and interdependent infrastructures, the key one of which is electric power.</w:t>
      </w:r>
    </w:p>
    <w:p w:rsidR="00EB3E6F" w:rsidRDefault="00A03A01" w:rsidP="0092596C">
      <w:pPr>
        <w:spacing w:after="0" w:line="240" w:lineRule="auto"/>
        <w:rPr>
          <w:rFonts w:ascii="Times New Roman" w:hAnsi="Times New Roman" w:cs="Times New Roman"/>
          <w:sz w:val="26"/>
          <w:szCs w:val="26"/>
        </w:rPr>
      </w:pPr>
      <w:r>
        <w:rPr>
          <w:rFonts w:ascii="Times New Roman" w:hAnsi="Times New Roman" w:cs="Times New Roman"/>
          <w:sz w:val="26"/>
          <w:szCs w:val="26"/>
        </w:rPr>
        <w:t>Emergency event</w:t>
      </w:r>
      <w:r w:rsidRPr="003376E5">
        <w:rPr>
          <w:rFonts w:ascii="Times New Roman" w:hAnsi="Times New Roman" w:cs="Times New Roman"/>
          <w:sz w:val="26"/>
          <w:szCs w:val="26"/>
        </w:rPr>
        <w:t xml:space="preserve"> reporting allows entities to gain an early understanding of the scope of an event, enabling requests for assistance from other entities within the industry with appropriate expertise and from other governmental agencies who otherwise might not know about the event.  While assistance would not always be in real time, operational planning and system planning can benefit from outside expertise to support planning for physical and cyber security, and even to support and improve day-ahead and week-ahead operational planning.  Moreover, patterns of simple events can trigger further analysis and recognition of the possibility that corrective measures should be taken to prevent even more egregious events that might ensue if left unchecked.</w:t>
      </w:r>
    </w:p>
    <w:p w:rsidR="00A03A01" w:rsidRDefault="00A03A01" w:rsidP="0092596C">
      <w:pPr>
        <w:spacing w:after="0" w:line="240" w:lineRule="auto"/>
        <w:rPr>
          <w:rFonts w:ascii="Times New Roman" w:hAnsi="Times New Roman" w:cs="Times New Roman"/>
          <w:sz w:val="26"/>
          <w:szCs w:val="26"/>
        </w:rPr>
      </w:pPr>
    </w:p>
    <w:p w:rsidR="00A03A01" w:rsidRDefault="00A03A01" w:rsidP="0092596C">
      <w:pPr>
        <w:spacing w:after="0" w:line="240" w:lineRule="auto"/>
        <w:rPr>
          <w:rFonts w:ascii="Times New Roman" w:hAnsi="Times New Roman" w:cs="Times New Roman"/>
          <w:sz w:val="26"/>
          <w:szCs w:val="26"/>
        </w:rPr>
      </w:pPr>
      <w:r>
        <w:rPr>
          <w:rFonts w:ascii="Times New Roman" w:hAnsi="Times New Roman" w:cs="Times New Roman"/>
          <w:sz w:val="26"/>
          <w:szCs w:val="26"/>
        </w:rPr>
        <w:t>For these reasons we consider the reporting requirement necessary.</w:t>
      </w:r>
    </w:p>
    <w:p w:rsidR="00A03A01" w:rsidRPr="00BD0FD5" w:rsidRDefault="00A03A01" w:rsidP="0092596C">
      <w:pPr>
        <w:spacing w:after="0" w:line="240" w:lineRule="auto"/>
        <w:rPr>
          <w:rFonts w:ascii="Times New Roman" w:hAnsi="Times New Roman" w:cs="Times New Roman"/>
          <w:sz w:val="24"/>
          <w:szCs w:val="24"/>
        </w:rPr>
      </w:pPr>
    </w:p>
    <w:p w:rsidR="00EB3E6F" w:rsidRPr="00BD0FD5" w:rsidRDefault="00EB3E6F" w:rsidP="0092596C">
      <w:pPr>
        <w:pStyle w:val="ListParagraph"/>
        <w:numPr>
          <w:ilvl w:val="0"/>
          <w:numId w:val="1"/>
        </w:numPr>
        <w:spacing w:after="0" w:line="240" w:lineRule="auto"/>
        <w:ind w:left="360"/>
        <w:rPr>
          <w:rFonts w:ascii="Times New Roman" w:hAnsi="Times New Roman" w:cs="Times New Roman"/>
          <w:b/>
          <w:sz w:val="24"/>
          <w:szCs w:val="24"/>
        </w:rPr>
      </w:pPr>
      <w:r w:rsidRPr="00BD0FD5">
        <w:rPr>
          <w:rFonts w:ascii="Times New Roman" w:hAnsi="Times New Roman" w:cs="Times New Roman"/>
          <w:b/>
          <w:sz w:val="24"/>
          <w:szCs w:val="24"/>
        </w:rPr>
        <w:t>DESCRIBE EFFORTS TO CONSULT OUTSIDE THE AGENCY: SUMMARIZE PUBLIC COMMENTS AND THE AGENCY’S RESPONSE</w:t>
      </w:r>
    </w:p>
    <w:p w:rsidR="00EB3E6F" w:rsidRPr="00BD0FD5" w:rsidRDefault="00EB3E6F" w:rsidP="0092596C">
      <w:pPr>
        <w:spacing w:after="0" w:line="240" w:lineRule="auto"/>
        <w:rPr>
          <w:rFonts w:ascii="Times New Roman" w:hAnsi="Times New Roman" w:cs="Times New Roman"/>
          <w:sz w:val="24"/>
          <w:szCs w:val="24"/>
        </w:rPr>
      </w:pPr>
    </w:p>
    <w:p w:rsidR="0072126E" w:rsidRPr="00BD0FD5" w:rsidRDefault="0072126E" w:rsidP="0092596C">
      <w:pPr>
        <w:spacing w:after="0" w:line="240" w:lineRule="auto"/>
        <w:rPr>
          <w:rFonts w:ascii="Times New Roman" w:hAnsi="Times New Roman"/>
          <w:bCs/>
          <w:sz w:val="24"/>
          <w:szCs w:val="24"/>
        </w:rPr>
      </w:pPr>
      <w:r w:rsidRPr="00BD0FD5">
        <w:rPr>
          <w:rFonts w:ascii="Times New Roman" w:hAnsi="Times New Roman"/>
          <w:bCs/>
          <w:sz w:val="24"/>
          <w:szCs w:val="24"/>
        </w:rPr>
        <w:t xml:space="preserve">The ERO process to </w:t>
      </w:r>
      <w:r w:rsidR="00DD2B39">
        <w:rPr>
          <w:rFonts w:ascii="Times New Roman" w:hAnsi="Times New Roman"/>
          <w:bCs/>
          <w:sz w:val="24"/>
          <w:szCs w:val="24"/>
        </w:rPr>
        <w:t xml:space="preserve">develop proposed </w:t>
      </w:r>
      <w:r w:rsidRPr="00BD0FD5">
        <w:rPr>
          <w:rFonts w:ascii="Times New Roman" w:hAnsi="Times New Roman"/>
          <w:bCs/>
          <w:sz w:val="24"/>
          <w:szCs w:val="24"/>
        </w:rPr>
        <w:t xml:space="preserve">Reliability Standards is a collaborative process </w:t>
      </w:r>
      <w:r w:rsidR="00DD2B39">
        <w:rPr>
          <w:rFonts w:ascii="Times New Roman" w:hAnsi="Times New Roman"/>
          <w:bCs/>
          <w:sz w:val="24"/>
          <w:szCs w:val="24"/>
        </w:rPr>
        <w:t xml:space="preserve">involving </w:t>
      </w:r>
      <w:r w:rsidRPr="00BD0FD5">
        <w:rPr>
          <w:rFonts w:ascii="Times New Roman" w:hAnsi="Times New Roman"/>
          <w:bCs/>
          <w:sz w:val="24"/>
          <w:szCs w:val="24"/>
        </w:rPr>
        <w:t>the ERO, Regional Entities and other stakeholders developing and reviewing drafts, and providing comments, with the final proposed standard submitted to the FERC for review and approval.</w:t>
      </w:r>
      <w:r w:rsidRPr="00BD0FD5">
        <w:rPr>
          <w:rFonts w:ascii="Times New Roman" w:hAnsi="Times New Roman"/>
          <w:b/>
          <w:bCs/>
          <w:sz w:val="24"/>
          <w:szCs w:val="24"/>
          <w:vertAlign w:val="superscript"/>
        </w:rPr>
        <w:footnoteReference w:id="13"/>
      </w:r>
      <w:r w:rsidRPr="00BD0FD5">
        <w:rPr>
          <w:rFonts w:ascii="Times New Roman" w:hAnsi="Times New Roman"/>
          <w:bCs/>
          <w:sz w:val="24"/>
          <w:szCs w:val="24"/>
        </w:rPr>
        <w:t xml:space="preserve">  </w:t>
      </w:r>
    </w:p>
    <w:p w:rsidR="0030268B" w:rsidRPr="00BD0FD5" w:rsidRDefault="0030268B" w:rsidP="0092596C">
      <w:pPr>
        <w:spacing w:after="0" w:line="240" w:lineRule="auto"/>
        <w:rPr>
          <w:rFonts w:ascii="Times New Roman" w:hAnsi="Times New Roman"/>
          <w:bCs/>
          <w:sz w:val="24"/>
          <w:szCs w:val="24"/>
        </w:rPr>
      </w:pPr>
    </w:p>
    <w:p w:rsidR="0030268B" w:rsidRPr="00BD0FD5" w:rsidRDefault="0030268B" w:rsidP="00BD0FD5">
      <w:pPr>
        <w:tabs>
          <w:tab w:val="left" w:pos="720"/>
        </w:tabs>
        <w:autoSpaceDE w:val="0"/>
        <w:autoSpaceDN w:val="0"/>
        <w:adjustRightInd w:val="0"/>
        <w:spacing w:after="240" w:line="240" w:lineRule="auto"/>
        <w:rPr>
          <w:rFonts w:ascii="Times New Roman" w:hAnsi="Times New Roman"/>
          <w:bCs/>
          <w:sz w:val="24"/>
          <w:szCs w:val="24"/>
        </w:rPr>
      </w:pPr>
      <w:r w:rsidRPr="00BD0FD5">
        <w:rPr>
          <w:rFonts w:ascii="Times New Roman" w:hAnsi="Times New Roman"/>
          <w:bCs/>
          <w:sz w:val="24"/>
          <w:szCs w:val="24"/>
        </w:rPr>
        <w:t>Following NERC’s submission to the Commission for approval of the Reliability Standard, the Commission issued a notice of filing (January 2, 2013</w:t>
      </w:r>
      <w:r w:rsidR="00BD0FD5">
        <w:rPr>
          <w:rFonts w:ascii="Times New Roman" w:hAnsi="Times New Roman"/>
          <w:bCs/>
          <w:sz w:val="24"/>
          <w:szCs w:val="24"/>
        </w:rPr>
        <w:t xml:space="preserve">).  </w:t>
      </w:r>
      <w:r w:rsidR="00BD0FD5" w:rsidRPr="00BD0FD5">
        <w:rPr>
          <w:rFonts w:ascii="Times New Roman" w:eastAsia="Times New Roman" w:hAnsi="Times New Roman" w:cs="Times New Roman"/>
          <w:sz w:val="24"/>
          <w:szCs w:val="24"/>
        </w:rPr>
        <w:t xml:space="preserve">Seven Independent System Operators and Regional Transmission Organizations (Joint ISOs/RTOs) filed </w:t>
      </w:r>
      <w:r w:rsidR="00DD2B39">
        <w:rPr>
          <w:rFonts w:ascii="Times New Roman" w:eastAsia="Times New Roman" w:hAnsi="Times New Roman" w:cs="Times New Roman"/>
          <w:sz w:val="24"/>
          <w:szCs w:val="24"/>
        </w:rPr>
        <w:t xml:space="preserve">joint </w:t>
      </w:r>
      <w:r w:rsidR="00BD0FD5" w:rsidRPr="00BD0FD5">
        <w:rPr>
          <w:rFonts w:ascii="Times New Roman" w:eastAsia="Times New Roman" w:hAnsi="Times New Roman" w:cs="Times New Roman"/>
          <w:sz w:val="24"/>
          <w:szCs w:val="24"/>
        </w:rPr>
        <w:t>comments.</w:t>
      </w:r>
      <w:r w:rsidR="00BD0FD5" w:rsidRPr="00BD0FD5">
        <w:rPr>
          <w:rFonts w:ascii="Times New Roman" w:eastAsia="Times New Roman" w:hAnsi="Times New Roman" w:cs="Times New Roman"/>
          <w:b/>
          <w:sz w:val="24"/>
          <w:szCs w:val="24"/>
          <w:vertAlign w:val="superscript"/>
        </w:rPr>
        <w:footnoteReference w:id="14"/>
      </w:r>
      <w:r w:rsidR="00BD0FD5">
        <w:rPr>
          <w:rFonts w:ascii="Times New Roman" w:eastAsia="Times New Roman" w:hAnsi="Times New Roman" w:cs="Times New Roman"/>
          <w:sz w:val="24"/>
          <w:szCs w:val="24"/>
        </w:rPr>
        <w:t xml:space="preserve">  </w:t>
      </w:r>
    </w:p>
    <w:p w:rsidR="006A5231" w:rsidRPr="00BD0FD5" w:rsidRDefault="006A5231" w:rsidP="0030268B">
      <w:pPr>
        <w:spacing w:after="0" w:line="240" w:lineRule="auto"/>
        <w:rPr>
          <w:rFonts w:ascii="Times New Roman" w:hAnsi="Times New Roman"/>
          <w:bCs/>
          <w:sz w:val="24"/>
          <w:szCs w:val="24"/>
          <w:u w:val="single"/>
        </w:rPr>
      </w:pPr>
      <w:r w:rsidRPr="00BD0FD5">
        <w:rPr>
          <w:rFonts w:ascii="Times New Roman" w:hAnsi="Times New Roman"/>
          <w:bCs/>
          <w:sz w:val="24"/>
          <w:szCs w:val="24"/>
          <w:u w:val="single"/>
        </w:rPr>
        <w:t>Comments</w:t>
      </w:r>
    </w:p>
    <w:p w:rsidR="006A5231" w:rsidRPr="00BD0FD5" w:rsidRDefault="006A5231" w:rsidP="0030268B">
      <w:pPr>
        <w:spacing w:after="0" w:line="240" w:lineRule="auto"/>
        <w:rPr>
          <w:rFonts w:ascii="Times New Roman" w:hAnsi="Times New Roman"/>
          <w:bCs/>
          <w:sz w:val="24"/>
          <w:szCs w:val="24"/>
          <w:u w:val="single"/>
        </w:rPr>
      </w:pPr>
    </w:p>
    <w:p w:rsidR="0030268B" w:rsidRPr="00BD0FD5" w:rsidRDefault="0030268B" w:rsidP="006A5231">
      <w:pPr>
        <w:autoSpaceDE w:val="0"/>
        <w:autoSpaceDN w:val="0"/>
        <w:adjustRightInd w:val="0"/>
        <w:spacing w:after="240" w:line="240" w:lineRule="auto"/>
        <w:rPr>
          <w:rFonts w:ascii="Times New Roman" w:eastAsia="Times New Roman" w:hAnsi="Times New Roman" w:cs="Times New Roman"/>
          <w:sz w:val="24"/>
          <w:szCs w:val="24"/>
        </w:rPr>
      </w:pPr>
      <w:r w:rsidRPr="00BD0FD5">
        <w:rPr>
          <w:rFonts w:ascii="Times New Roman" w:eastAsia="Times New Roman" w:hAnsi="Times New Roman" w:cs="Times New Roman"/>
          <w:sz w:val="24"/>
          <w:szCs w:val="24"/>
        </w:rPr>
        <w:t>Joint ISOs/RTOs assert</w:t>
      </w:r>
      <w:r w:rsidR="00DD2B39">
        <w:rPr>
          <w:rFonts w:ascii="Times New Roman" w:eastAsia="Times New Roman" w:hAnsi="Times New Roman" w:cs="Times New Roman"/>
          <w:sz w:val="24"/>
          <w:szCs w:val="24"/>
        </w:rPr>
        <w:t>ed</w:t>
      </w:r>
      <w:r w:rsidRPr="00BD0FD5">
        <w:rPr>
          <w:rFonts w:ascii="Times New Roman" w:eastAsia="Times New Roman" w:hAnsi="Times New Roman" w:cs="Times New Roman"/>
          <w:sz w:val="24"/>
          <w:szCs w:val="24"/>
        </w:rPr>
        <w:t xml:space="preserve"> that event reporting does not provide for “reliable operations” and, therefore, should not be incorporated in mandatory Reliability Standards.  Joint ISOs/RTOs contend that event reporting is “an </w:t>
      </w:r>
      <w:r w:rsidRPr="00BD0FD5">
        <w:rPr>
          <w:rFonts w:ascii="Times New Roman" w:eastAsia="Times New Roman" w:hAnsi="Times New Roman" w:cs="Times New Roman"/>
          <w:i/>
          <w:sz w:val="24"/>
          <w:szCs w:val="24"/>
        </w:rPr>
        <w:t xml:space="preserve">ex post </w:t>
      </w:r>
      <w:r w:rsidRPr="00BD0FD5">
        <w:rPr>
          <w:rFonts w:ascii="Times New Roman" w:eastAsia="Times New Roman" w:hAnsi="Times New Roman" w:cs="Times New Roman"/>
          <w:sz w:val="24"/>
          <w:szCs w:val="24"/>
        </w:rPr>
        <w:t>activity” that provides only prospective benefits to system reliability.</w:t>
      </w:r>
      <w:r w:rsidRPr="00BD0FD5">
        <w:rPr>
          <w:rFonts w:ascii="Times New Roman" w:eastAsia="Times New Roman" w:hAnsi="Times New Roman" w:cs="Times New Roman"/>
          <w:b/>
          <w:sz w:val="24"/>
          <w:szCs w:val="24"/>
          <w:vertAlign w:val="superscript"/>
        </w:rPr>
        <w:footnoteReference w:id="15"/>
      </w:r>
      <w:r w:rsidRPr="00BD0FD5">
        <w:rPr>
          <w:rFonts w:ascii="Times New Roman" w:eastAsia="Times New Roman" w:hAnsi="Times New Roman" w:cs="Times New Roman"/>
          <w:sz w:val="24"/>
          <w:szCs w:val="24"/>
        </w:rPr>
        <w:t xml:space="preserve">  Joint ISOs/RTOs argue that the Commission should “distinguish between an obligation that is a ‘requirement . . . to provide for reliable operation of the bulk-power system,’ as those terms are defined in Section 215, and those obligations that do not, such as administrative record-keeping and ex-post reporting tasks.”</w:t>
      </w:r>
      <w:r w:rsidRPr="00BD0FD5">
        <w:rPr>
          <w:rFonts w:ascii="Times New Roman" w:eastAsia="Times New Roman" w:hAnsi="Times New Roman" w:cs="Times New Roman"/>
          <w:b/>
          <w:sz w:val="24"/>
          <w:szCs w:val="24"/>
          <w:vertAlign w:val="superscript"/>
        </w:rPr>
        <w:footnoteReference w:id="16"/>
      </w:r>
      <w:r w:rsidRPr="00BD0FD5">
        <w:rPr>
          <w:rFonts w:ascii="Times New Roman" w:eastAsia="Times New Roman" w:hAnsi="Times New Roman" w:cs="Times New Roman"/>
          <w:sz w:val="24"/>
          <w:szCs w:val="24"/>
        </w:rPr>
        <w:t xml:space="preserve">  Joint ISOs/RTOs further maintain</w:t>
      </w:r>
      <w:r w:rsidR="00DD2B39">
        <w:rPr>
          <w:rFonts w:ascii="Times New Roman" w:eastAsia="Times New Roman" w:hAnsi="Times New Roman" w:cs="Times New Roman"/>
          <w:sz w:val="24"/>
          <w:szCs w:val="24"/>
        </w:rPr>
        <w:t xml:space="preserve">ed </w:t>
      </w:r>
      <w:r w:rsidRPr="00BD0FD5">
        <w:rPr>
          <w:rFonts w:ascii="Times New Roman" w:eastAsia="Times New Roman" w:hAnsi="Times New Roman" w:cs="Times New Roman"/>
          <w:sz w:val="24"/>
          <w:szCs w:val="24"/>
        </w:rPr>
        <w:t>that the event reporting requirements in EOP-004-2 are redundant to other federal regulations, and that they expose registered entities to unnecessary liability and burden.</w:t>
      </w:r>
      <w:r w:rsidRPr="00BD0FD5">
        <w:rPr>
          <w:rFonts w:ascii="Times New Roman" w:eastAsia="Times New Roman" w:hAnsi="Times New Roman" w:cs="Times New Roman"/>
          <w:b/>
          <w:sz w:val="24"/>
          <w:szCs w:val="24"/>
          <w:vertAlign w:val="superscript"/>
        </w:rPr>
        <w:footnoteReference w:id="17"/>
      </w:r>
      <w:r w:rsidRPr="00BD0FD5">
        <w:rPr>
          <w:rFonts w:ascii="Times New Roman" w:eastAsia="Times New Roman" w:hAnsi="Times New Roman" w:cs="Times New Roman"/>
          <w:sz w:val="24"/>
          <w:szCs w:val="24"/>
        </w:rPr>
        <w:t xml:space="preserve">  Based on these arguments, Joint ISOs/RTOs </w:t>
      </w:r>
      <w:r w:rsidR="00DD2B39">
        <w:rPr>
          <w:rFonts w:ascii="Times New Roman" w:eastAsia="Times New Roman" w:hAnsi="Times New Roman" w:cs="Times New Roman"/>
          <w:sz w:val="24"/>
          <w:szCs w:val="24"/>
        </w:rPr>
        <w:t xml:space="preserve">took </w:t>
      </w:r>
      <w:r w:rsidRPr="00BD0FD5">
        <w:rPr>
          <w:rFonts w:ascii="Times New Roman" w:eastAsia="Times New Roman" w:hAnsi="Times New Roman" w:cs="Times New Roman"/>
          <w:sz w:val="24"/>
          <w:szCs w:val="24"/>
        </w:rPr>
        <w:t xml:space="preserve">the position that the Commission should not only reject EOP-004-2, but should also consider retiring or otherwise revisiting the existing Reliability Standards governing disturbance and sabotage reporting (EOP-004-1 and CIP-001-2a).  </w:t>
      </w:r>
    </w:p>
    <w:p w:rsidR="0030268B" w:rsidRPr="00BD0FD5" w:rsidRDefault="0030268B" w:rsidP="0030268B">
      <w:pPr>
        <w:spacing w:after="0" w:line="240" w:lineRule="auto"/>
        <w:rPr>
          <w:rFonts w:ascii="Times New Roman" w:hAnsi="Times New Roman"/>
          <w:bCs/>
          <w:sz w:val="24"/>
          <w:szCs w:val="24"/>
        </w:rPr>
      </w:pPr>
      <w:r w:rsidRPr="00BD0FD5">
        <w:rPr>
          <w:rFonts w:ascii="Times New Roman" w:eastAsia="Times New Roman" w:hAnsi="Times New Roman" w:cs="Times New Roman"/>
          <w:sz w:val="24"/>
          <w:szCs w:val="24"/>
        </w:rPr>
        <w:t>Joint ISOs/RTOs argue</w:t>
      </w:r>
      <w:r w:rsidR="00DD2B39">
        <w:rPr>
          <w:rFonts w:ascii="Times New Roman" w:eastAsia="Times New Roman" w:hAnsi="Times New Roman" w:cs="Times New Roman"/>
          <w:sz w:val="24"/>
          <w:szCs w:val="24"/>
        </w:rPr>
        <w:t>d</w:t>
      </w:r>
      <w:r w:rsidRPr="00BD0FD5">
        <w:rPr>
          <w:rFonts w:ascii="Times New Roman" w:eastAsia="Times New Roman" w:hAnsi="Times New Roman" w:cs="Times New Roman"/>
          <w:sz w:val="24"/>
          <w:szCs w:val="24"/>
        </w:rPr>
        <w:t>, in the alternative, that if the Commission approves EOP-004-2, the Commission should direct certain modifications.</w:t>
      </w:r>
      <w:r w:rsidRPr="00BD0FD5">
        <w:rPr>
          <w:rFonts w:ascii="Times New Roman" w:eastAsia="Times New Roman" w:hAnsi="Times New Roman" w:cs="Times New Roman"/>
          <w:b/>
          <w:sz w:val="24"/>
          <w:szCs w:val="24"/>
          <w:vertAlign w:val="superscript"/>
        </w:rPr>
        <w:footnoteReference w:id="18"/>
      </w:r>
      <w:r w:rsidRPr="00BD0FD5">
        <w:rPr>
          <w:rFonts w:ascii="Times New Roman" w:eastAsia="Times New Roman" w:hAnsi="Times New Roman" w:cs="Times New Roman"/>
          <w:sz w:val="24"/>
          <w:szCs w:val="24"/>
        </w:rPr>
        <w:t xml:space="preserve">  In particular, Joint ISOs/RTOs advocate (1) limiting reportable events “to those that give third parties the opportunity to act to mitigate the impact of the event” such as vandalism;</w:t>
      </w:r>
      <w:r w:rsidRPr="00BD0FD5">
        <w:rPr>
          <w:rFonts w:ascii="Times New Roman" w:eastAsia="Times New Roman" w:hAnsi="Times New Roman" w:cs="Times New Roman"/>
          <w:b/>
          <w:sz w:val="24"/>
          <w:szCs w:val="24"/>
          <w:vertAlign w:val="superscript"/>
        </w:rPr>
        <w:footnoteReference w:id="19"/>
      </w:r>
      <w:r w:rsidRPr="00BD0FD5">
        <w:rPr>
          <w:rFonts w:ascii="Times New Roman" w:eastAsia="Times New Roman" w:hAnsi="Times New Roman" w:cs="Times New Roman"/>
          <w:sz w:val="24"/>
          <w:szCs w:val="24"/>
        </w:rPr>
        <w:t xml:space="preserve"> and (2) limiting the scope of entities to receive reports to those that can act to mitigate the actual event.  Joint</w:t>
      </w:r>
      <w:r w:rsidR="00E32FBE" w:rsidRPr="00BD0FD5">
        <w:rPr>
          <w:rFonts w:ascii="Times New Roman" w:eastAsia="Times New Roman" w:hAnsi="Times New Roman" w:cs="Times New Roman"/>
          <w:sz w:val="24"/>
          <w:szCs w:val="24"/>
        </w:rPr>
        <w:t xml:space="preserve"> </w:t>
      </w:r>
      <w:r w:rsidRPr="00BD0FD5">
        <w:rPr>
          <w:rFonts w:ascii="Times New Roman" w:eastAsia="Times New Roman" w:hAnsi="Times New Roman" w:cs="Times New Roman"/>
          <w:sz w:val="24"/>
          <w:szCs w:val="24"/>
        </w:rPr>
        <w:t>ISOs/RTOs further maintain</w:t>
      </w:r>
      <w:r w:rsidR="00DD2B39">
        <w:rPr>
          <w:rFonts w:ascii="Times New Roman" w:eastAsia="Times New Roman" w:hAnsi="Times New Roman" w:cs="Times New Roman"/>
          <w:sz w:val="24"/>
          <w:szCs w:val="24"/>
        </w:rPr>
        <w:t>ed</w:t>
      </w:r>
      <w:r w:rsidRPr="00BD0FD5">
        <w:rPr>
          <w:rFonts w:ascii="Times New Roman" w:eastAsia="Times New Roman" w:hAnsi="Times New Roman" w:cs="Times New Roman"/>
          <w:sz w:val="24"/>
          <w:szCs w:val="24"/>
        </w:rPr>
        <w:t xml:space="preserve"> that certain thresholds for reportable events in Attachment 1 should be modified to remove ambiguities.  Joint ISOs/RTOs provide one example of such ambiguity, claiming that, while Attachment 1 requires reporting when “[d]amage or destruction of a Facility . . . results in actions to avoid a BES emergency,” reliability coordinators and balancing authorities take actions on a daily basis to “avoid a BES Emergency” without knowing whether the underlying system conditions resulted from damage or destruction to a facility.  According to Joint ISOs/RTOs, the reliability coordinator or balancing authority will often not have the information to determine whether to submit a report.  Finally, Joint ISOs/RTOs assert</w:t>
      </w:r>
      <w:r w:rsidR="00DD2B39">
        <w:rPr>
          <w:rFonts w:ascii="Times New Roman" w:eastAsia="Times New Roman" w:hAnsi="Times New Roman" w:cs="Times New Roman"/>
          <w:sz w:val="24"/>
          <w:szCs w:val="24"/>
        </w:rPr>
        <w:t>ed</w:t>
      </w:r>
      <w:r w:rsidRPr="00BD0FD5">
        <w:rPr>
          <w:rFonts w:ascii="Times New Roman" w:eastAsia="Times New Roman" w:hAnsi="Times New Roman" w:cs="Times New Roman"/>
          <w:sz w:val="24"/>
          <w:szCs w:val="24"/>
        </w:rPr>
        <w:t xml:space="preserve"> that a strict 24-hour reporting obligation is overly-stringent and provides no reliability benefit since registered entities would have separately mitigated the event.</w:t>
      </w:r>
    </w:p>
    <w:p w:rsidR="0030268B" w:rsidRPr="00BD0FD5" w:rsidRDefault="0030268B" w:rsidP="0092596C">
      <w:pPr>
        <w:spacing w:after="0" w:line="240" w:lineRule="auto"/>
        <w:rPr>
          <w:rFonts w:ascii="Times New Roman" w:hAnsi="Times New Roman"/>
          <w:sz w:val="24"/>
          <w:szCs w:val="24"/>
        </w:rPr>
      </w:pPr>
    </w:p>
    <w:p w:rsidR="006A5231" w:rsidRPr="00BD0FD5" w:rsidRDefault="006A5231" w:rsidP="0092596C">
      <w:pPr>
        <w:spacing w:after="0" w:line="240" w:lineRule="auto"/>
        <w:rPr>
          <w:rFonts w:ascii="Times New Roman" w:hAnsi="Times New Roman"/>
          <w:sz w:val="24"/>
          <w:szCs w:val="24"/>
          <w:u w:val="single"/>
        </w:rPr>
      </w:pPr>
      <w:r w:rsidRPr="00BD0FD5">
        <w:rPr>
          <w:rFonts w:ascii="Times New Roman" w:hAnsi="Times New Roman"/>
          <w:sz w:val="24"/>
          <w:szCs w:val="24"/>
          <w:u w:val="single"/>
        </w:rPr>
        <w:t>Commission Response</w:t>
      </w:r>
    </w:p>
    <w:p w:rsidR="006A5231" w:rsidRPr="00BD0FD5" w:rsidRDefault="006A5231" w:rsidP="0092596C">
      <w:pPr>
        <w:spacing w:after="0" w:line="240" w:lineRule="auto"/>
        <w:rPr>
          <w:rFonts w:ascii="Times New Roman" w:hAnsi="Times New Roman"/>
          <w:sz w:val="24"/>
          <w:szCs w:val="24"/>
          <w:u w:val="single"/>
        </w:rPr>
      </w:pPr>
    </w:p>
    <w:p w:rsidR="00210748" w:rsidRDefault="00DD2B39" w:rsidP="006A5231">
      <w:pPr>
        <w:tabs>
          <w:tab w:val="left" w:pos="720"/>
        </w:tabs>
        <w:autoSpaceDE w:val="0"/>
        <w:autoSpaceDN w:val="0"/>
        <w:adjustRightInd w:val="0"/>
        <w:spacing w:after="24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Commission rejected </w:t>
      </w:r>
      <w:r w:rsidR="006A5231" w:rsidRPr="00BD0FD5">
        <w:rPr>
          <w:rFonts w:ascii="Times New Roman" w:eastAsia="Times New Roman" w:hAnsi="Times New Roman" w:cs="Times New Roman"/>
          <w:sz w:val="24"/>
          <w:szCs w:val="24"/>
        </w:rPr>
        <w:t xml:space="preserve">Joint ISOs/RTOs’ </w:t>
      </w:r>
      <w:r>
        <w:rPr>
          <w:rFonts w:ascii="Times New Roman" w:eastAsia="Times New Roman" w:hAnsi="Times New Roman" w:cs="Times New Roman"/>
          <w:sz w:val="24"/>
          <w:szCs w:val="24"/>
        </w:rPr>
        <w:t xml:space="preserve">request to </w:t>
      </w:r>
      <w:r w:rsidR="006A5231" w:rsidRPr="00BD0FD5">
        <w:rPr>
          <w:rFonts w:ascii="Times New Roman" w:eastAsia="Times New Roman" w:hAnsi="Times New Roman" w:cs="Times New Roman"/>
          <w:sz w:val="24"/>
          <w:szCs w:val="24"/>
        </w:rPr>
        <w:t>reject or direct modification of the proposed standard</w:t>
      </w:r>
      <w:r w:rsidR="00032AB7">
        <w:rPr>
          <w:rFonts w:ascii="Times New Roman" w:eastAsia="Times New Roman" w:hAnsi="Times New Roman" w:cs="Times New Roman"/>
          <w:sz w:val="24"/>
          <w:szCs w:val="24"/>
        </w:rPr>
        <w:t xml:space="preserve">, explaining its decision as follows: </w:t>
      </w:r>
    </w:p>
    <w:p w:rsidR="006A5231" w:rsidRPr="00BD0FD5" w:rsidRDefault="006A5231" w:rsidP="006A5231">
      <w:pPr>
        <w:tabs>
          <w:tab w:val="left" w:pos="720"/>
        </w:tabs>
        <w:autoSpaceDE w:val="0"/>
        <w:autoSpaceDN w:val="0"/>
        <w:adjustRightInd w:val="0"/>
        <w:spacing w:after="240" w:line="240" w:lineRule="auto"/>
        <w:rPr>
          <w:rFonts w:ascii="Times New Roman" w:eastAsia="Times New Roman" w:hAnsi="Times New Roman" w:cs="Times New Roman"/>
          <w:sz w:val="24"/>
          <w:szCs w:val="24"/>
        </w:rPr>
      </w:pPr>
      <w:r w:rsidRPr="00BD0FD5">
        <w:rPr>
          <w:rFonts w:ascii="Times New Roman" w:eastAsia="Times New Roman" w:hAnsi="Times New Roman" w:cs="Times New Roman"/>
          <w:sz w:val="24"/>
          <w:szCs w:val="24"/>
        </w:rPr>
        <w:t xml:space="preserve">First, we reject Joint ISOs/RTOs’ argument that event reporting is not a proper subject for Reliability Standards because it is prospective in nature and is not directly related to or otherwise </w:t>
      </w:r>
      <w:r w:rsidRPr="00BD0FD5">
        <w:rPr>
          <w:rFonts w:ascii="Times New Roman" w:eastAsia="Times New Roman" w:hAnsi="Times New Roman" w:cs="Times New Roman"/>
          <w:sz w:val="24"/>
          <w:szCs w:val="24"/>
        </w:rPr>
        <w:lastRenderedPageBreak/>
        <w:t>supportive of “reliable operations” as that term is used in FPA section 215.  The prospective benefits from certain aspects of the reporting requirements are not only valuable, but also a sufficient basis for imposition of a mandatory and enforceable reliability requirement.</w:t>
      </w:r>
      <w:r w:rsidRPr="00BD0FD5">
        <w:rPr>
          <w:rFonts w:ascii="Times New Roman" w:eastAsia="Times New Roman" w:hAnsi="Times New Roman" w:cs="Times New Roman"/>
          <w:b/>
          <w:sz w:val="24"/>
          <w:szCs w:val="24"/>
        </w:rPr>
        <w:t xml:space="preserve">  </w:t>
      </w:r>
      <w:r w:rsidRPr="00BD0FD5">
        <w:rPr>
          <w:rFonts w:ascii="Times New Roman" w:eastAsia="Times New Roman" w:hAnsi="Times New Roman" w:cs="Times New Roman"/>
          <w:sz w:val="24"/>
          <w:szCs w:val="24"/>
        </w:rPr>
        <w:t>Events reporting allow entities to gain an early understanding of the scope of an event, enabling requests for assistance from other entities within the industry with appropriate expertise and from other governmental agencies who otherwise might not know about the event.  While assistance would not always be in real time, operational planning and system planning can benefit from outside expertise to support planning for physical and cyber security, and even to support and improve day-ahead and week-ahead operational planning.  Moreover, patterns of simple events can trigger further analysis and recognition of the possibility that corrective measures should be taken to prevent even more egregious events that might ensue if left unchecked.</w:t>
      </w:r>
      <w:r w:rsidRPr="00BD0FD5">
        <w:rPr>
          <w:rFonts w:ascii="Times New Roman" w:eastAsia="Times New Roman" w:hAnsi="Times New Roman" w:cs="Times New Roman"/>
          <w:b/>
          <w:sz w:val="24"/>
          <w:szCs w:val="24"/>
          <w:vertAlign w:val="superscript"/>
        </w:rPr>
        <w:footnoteReference w:id="20"/>
      </w:r>
    </w:p>
    <w:p w:rsidR="006A5231" w:rsidRPr="00BD0FD5" w:rsidRDefault="006A5231" w:rsidP="006A5231">
      <w:pPr>
        <w:tabs>
          <w:tab w:val="left" w:pos="720"/>
        </w:tabs>
        <w:autoSpaceDE w:val="0"/>
        <w:autoSpaceDN w:val="0"/>
        <w:adjustRightInd w:val="0"/>
        <w:spacing w:after="240" w:line="240" w:lineRule="auto"/>
        <w:rPr>
          <w:rFonts w:ascii="Times New Roman" w:eastAsia="Times New Roman" w:hAnsi="Times New Roman" w:cs="Times New Roman"/>
          <w:sz w:val="24"/>
          <w:szCs w:val="24"/>
        </w:rPr>
      </w:pPr>
      <w:r w:rsidRPr="00BD0FD5">
        <w:rPr>
          <w:rFonts w:ascii="Times New Roman" w:eastAsia="Times New Roman" w:hAnsi="Times New Roman" w:cs="Times New Roman"/>
          <w:sz w:val="24"/>
          <w:szCs w:val="24"/>
        </w:rPr>
        <w:t xml:space="preserve">Moreover, EOP-004-2 has been designed to minimize redundancies and multiple reporting obligations to the extent possible, by allowing responsible entities to report an event either through submission of its Attachment 2 </w:t>
      </w:r>
      <w:r w:rsidRPr="00BD0FD5">
        <w:rPr>
          <w:rFonts w:ascii="Times New Roman" w:eastAsia="Times New Roman" w:hAnsi="Times New Roman" w:cs="Times New Roman"/>
          <w:i/>
          <w:sz w:val="24"/>
          <w:szCs w:val="24"/>
        </w:rPr>
        <w:t xml:space="preserve">or </w:t>
      </w:r>
      <w:r w:rsidRPr="00BD0FD5">
        <w:rPr>
          <w:rFonts w:ascii="Times New Roman" w:eastAsia="Times New Roman" w:hAnsi="Times New Roman" w:cs="Times New Roman"/>
          <w:sz w:val="24"/>
          <w:szCs w:val="24"/>
        </w:rPr>
        <w:t>DOE Form OE-417.</w:t>
      </w:r>
      <w:r w:rsidRPr="00BD0FD5">
        <w:rPr>
          <w:rFonts w:ascii="Times New Roman" w:eastAsia="Times New Roman" w:hAnsi="Times New Roman" w:cs="Times New Roman"/>
          <w:b/>
          <w:sz w:val="24"/>
          <w:szCs w:val="24"/>
          <w:vertAlign w:val="superscript"/>
        </w:rPr>
        <w:footnoteReference w:id="21"/>
      </w:r>
      <w:r w:rsidRPr="00BD0FD5">
        <w:rPr>
          <w:rFonts w:ascii="Times New Roman" w:eastAsia="Times New Roman" w:hAnsi="Times New Roman" w:cs="Times New Roman"/>
          <w:sz w:val="24"/>
          <w:szCs w:val="24"/>
        </w:rPr>
        <w:t xml:space="preserve">    </w:t>
      </w:r>
    </w:p>
    <w:p w:rsidR="006A5231" w:rsidRPr="00BD0FD5" w:rsidRDefault="006A5231" w:rsidP="006A5231">
      <w:pPr>
        <w:tabs>
          <w:tab w:val="left" w:pos="720"/>
        </w:tabs>
        <w:autoSpaceDE w:val="0"/>
        <w:autoSpaceDN w:val="0"/>
        <w:adjustRightInd w:val="0"/>
        <w:spacing w:after="240" w:line="240" w:lineRule="auto"/>
        <w:rPr>
          <w:rFonts w:ascii="Times New Roman" w:eastAsia="Times New Roman" w:hAnsi="Times New Roman" w:cs="Times New Roman"/>
          <w:sz w:val="24"/>
          <w:szCs w:val="24"/>
        </w:rPr>
      </w:pPr>
      <w:r w:rsidRPr="00BD0FD5">
        <w:rPr>
          <w:rFonts w:ascii="Times New Roman" w:eastAsia="Times New Roman" w:hAnsi="Times New Roman" w:cs="Times New Roman"/>
          <w:sz w:val="24"/>
          <w:szCs w:val="24"/>
        </w:rPr>
        <w:t xml:space="preserve">Nor are we persuaded by Joint ISOs/RTOs that EOP-004-2, if adopted, requires modification.  We find no reason to require NERC to limit reportable events to those that give third parties time to act to mitigate the event, or to limit the recipients of such reports to those that can act to mitigate actual, real-time events.  It is unclear that such events could be readily identified, leading to greater confusion concerning reporting requirements and a possible loss of information about those mitigable events.  More importantly, as noted above, we do not agree that FPA section 215 limits the scope of Reliability Standards to those that directly affect real-time operations, and therefore do not agree with the underlying basis for Joint ISOs/RTOs’ proposed modification.    </w:t>
      </w:r>
    </w:p>
    <w:p w:rsidR="006A5231" w:rsidRPr="00BD0FD5" w:rsidRDefault="006A5231" w:rsidP="006A5231">
      <w:pPr>
        <w:tabs>
          <w:tab w:val="left" w:pos="720"/>
        </w:tabs>
        <w:autoSpaceDE w:val="0"/>
        <w:autoSpaceDN w:val="0"/>
        <w:adjustRightInd w:val="0"/>
        <w:spacing w:after="240" w:line="240" w:lineRule="auto"/>
        <w:rPr>
          <w:rFonts w:ascii="Times New Roman" w:eastAsia="Times New Roman" w:hAnsi="Times New Roman" w:cs="Times New Roman"/>
          <w:sz w:val="24"/>
          <w:szCs w:val="24"/>
        </w:rPr>
      </w:pPr>
      <w:r w:rsidRPr="00BD0FD5">
        <w:rPr>
          <w:rFonts w:ascii="Times New Roman" w:eastAsia="Times New Roman" w:hAnsi="Times New Roman" w:cs="Times New Roman"/>
          <w:sz w:val="24"/>
          <w:szCs w:val="24"/>
        </w:rPr>
        <w:t xml:space="preserve">Further, based on the one example provided by Joint ISOs/RTOs, we are not persuaded that the triggering events delineated in Attachment 1 require clarification.  Joint ISOs/RTOs contend that, while Attachment 1 requires reporting when “[d]amage or destruction of a Facility . . . results in actions to avoid a BES emergency,” reliability coordinators and balancing authorities may take actions to avoid a BES Emergency without knowing whether the underlying system conditions resulted from damage or destruction to a facility.  Requirement R2 of EOP-004-2 requires reporting of an event “within 24 hours of recognition of meeting an event type threshold . . . .”  NERC explains that the language of Requirement R2 is based on “recognition” of an event threshold because “an entity may not be immediately aware of destruction or damage to a remote piece of equipment” </w:t>
      </w:r>
      <w:r w:rsidR="00BD0FD5" w:rsidRPr="00BD0FD5">
        <w:rPr>
          <w:rFonts w:ascii="Times New Roman" w:eastAsia="Times New Roman" w:hAnsi="Times New Roman" w:cs="Times New Roman"/>
          <w:sz w:val="24"/>
          <w:szCs w:val="24"/>
        </w:rPr>
        <w:t>and “</w:t>
      </w:r>
      <w:r w:rsidRPr="00BD0FD5">
        <w:rPr>
          <w:rFonts w:ascii="Times New Roman" w:eastAsia="Times New Roman" w:hAnsi="Times New Roman" w:cs="Times New Roman"/>
          <w:sz w:val="24"/>
          <w:szCs w:val="24"/>
        </w:rPr>
        <w:t>requiring Responsible Entities to constantly monitor all equipment and property for destruction or damage would be a waste of resources . . . .”</w:t>
      </w:r>
      <w:r w:rsidRPr="00BD0FD5">
        <w:rPr>
          <w:rFonts w:ascii="Times New Roman" w:eastAsia="Times New Roman" w:hAnsi="Times New Roman" w:cs="Times New Roman"/>
          <w:b/>
          <w:sz w:val="24"/>
          <w:szCs w:val="24"/>
          <w:vertAlign w:val="superscript"/>
        </w:rPr>
        <w:footnoteReference w:id="22"/>
      </w:r>
      <w:r w:rsidRPr="00BD0FD5">
        <w:rPr>
          <w:rFonts w:ascii="Times New Roman" w:eastAsia="Times New Roman" w:hAnsi="Times New Roman" w:cs="Times New Roman"/>
          <w:sz w:val="24"/>
          <w:szCs w:val="24"/>
        </w:rPr>
        <w:t xml:space="preserve">  We agree that NERC has developed a practical solution to reporting that, rather than creating ambiguity, provides a more clear and rational trigger for reporting. </w:t>
      </w:r>
    </w:p>
    <w:p w:rsidR="006A5231" w:rsidRPr="00BD0FD5" w:rsidRDefault="006A5231" w:rsidP="006A5231">
      <w:pPr>
        <w:spacing w:after="0" w:line="240" w:lineRule="auto"/>
        <w:rPr>
          <w:rFonts w:ascii="Times New Roman" w:hAnsi="Times New Roman"/>
          <w:sz w:val="24"/>
          <w:szCs w:val="24"/>
        </w:rPr>
      </w:pPr>
      <w:r w:rsidRPr="00BD0FD5">
        <w:rPr>
          <w:rFonts w:ascii="Times New Roman" w:eastAsia="Times New Roman" w:hAnsi="Times New Roman" w:cs="Times New Roman"/>
          <w:sz w:val="24"/>
          <w:szCs w:val="24"/>
        </w:rPr>
        <w:lastRenderedPageBreak/>
        <w:t>Finally, we reject Joint ISOs/RTOs’ objection that the 24-hour reporting window is too stringent.  As indicated by the Attachment 2 standardized Event Reporting Form, entities are only required to provide limited, specified information pertaining to an event.  No underlying investigation or analysis is required.  If Joint ISOs/RTOs believe that improvements can be made to EOP-004-2, through clarifying language or other modifications as the industry gains experience with EOP-004-2’s revised reporting requirements, they can seek to do so through NERC’s standard development process.</w:t>
      </w:r>
    </w:p>
    <w:p w:rsidR="006A5231" w:rsidRPr="00BD0FD5" w:rsidRDefault="006A5231" w:rsidP="0092596C">
      <w:pPr>
        <w:spacing w:after="0" w:line="240" w:lineRule="auto"/>
        <w:rPr>
          <w:rFonts w:ascii="Times New Roman" w:hAnsi="Times New Roman"/>
          <w:sz w:val="24"/>
          <w:szCs w:val="24"/>
        </w:rPr>
      </w:pPr>
    </w:p>
    <w:p w:rsidR="006A5231" w:rsidRPr="00BD0FD5" w:rsidRDefault="006A5231" w:rsidP="0092596C">
      <w:pPr>
        <w:spacing w:after="0" w:line="240" w:lineRule="auto"/>
        <w:rPr>
          <w:rFonts w:ascii="Times New Roman" w:hAnsi="Times New Roman"/>
          <w:sz w:val="24"/>
          <w:szCs w:val="24"/>
          <w:u w:val="single"/>
        </w:rPr>
      </w:pPr>
      <w:r w:rsidRPr="00BD0FD5">
        <w:rPr>
          <w:rFonts w:ascii="Times New Roman" w:hAnsi="Times New Roman"/>
          <w:sz w:val="24"/>
          <w:szCs w:val="24"/>
          <w:u w:val="single"/>
        </w:rPr>
        <w:t>Additional Comment Opportunity</w:t>
      </w:r>
    </w:p>
    <w:p w:rsidR="006A5231" w:rsidRPr="00BD0FD5" w:rsidRDefault="006A5231" w:rsidP="0092596C">
      <w:pPr>
        <w:spacing w:after="0" w:line="240" w:lineRule="auto"/>
        <w:rPr>
          <w:rFonts w:ascii="Times New Roman" w:hAnsi="Times New Roman"/>
          <w:sz w:val="24"/>
          <w:szCs w:val="24"/>
        </w:rPr>
      </w:pPr>
    </w:p>
    <w:p w:rsidR="0030268B" w:rsidRPr="00BD0FD5" w:rsidRDefault="0030268B" w:rsidP="0092596C">
      <w:pPr>
        <w:spacing w:after="0" w:line="240" w:lineRule="auto"/>
        <w:rPr>
          <w:rFonts w:ascii="Times New Roman" w:hAnsi="Times New Roman"/>
          <w:bCs/>
          <w:sz w:val="24"/>
          <w:szCs w:val="24"/>
        </w:rPr>
      </w:pPr>
      <w:r w:rsidRPr="00BD0FD5">
        <w:rPr>
          <w:rFonts w:ascii="Times New Roman" w:hAnsi="Times New Roman"/>
          <w:bCs/>
          <w:sz w:val="24"/>
          <w:szCs w:val="24"/>
        </w:rPr>
        <w:t xml:space="preserve">The Commission Order, in Docket No. RD13-3 solicited comments on the information collection </w:t>
      </w:r>
      <w:r w:rsidRPr="00D60B08">
        <w:rPr>
          <w:rFonts w:ascii="Times New Roman" w:hAnsi="Times New Roman"/>
          <w:bCs/>
          <w:sz w:val="24"/>
          <w:szCs w:val="24"/>
        </w:rPr>
        <w:t>requirements.  No comments were received in response to the Order.</w:t>
      </w:r>
      <w:r w:rsidRPr="00BD0FD5">
        <w:rPr>
          <w:rFonts w:ascii="Times New Roman" w:hAnsi="Times New Roman"/>
          <w:bCs/>
          <w:sz w:val="24"/>
          <w:szCs w:val="24"/>
        </w:rPr>
        <w:t xml:space="preserve">  </w:t>
      </w:r>
    </w:p>
    <w:p w:rsidR="00EB3E6F" w:rsidRPr="00BD0FD5" w:rsidRDefault="00EB3E6F" w:rsidP="0092596C">
      <w:pPr>
        <w:spacing w:after="0" w:line="240" w:lineRule="auto"/>
        <w:rPr>
          <w:rFonts w:ascii="Times New Roman" w:hAnsi="Times New Roman" w:cs="Times New Roman"/>
          <w:sz w:val="24"/>
          <w:szCs w:val="24"/>
        </w:rPr>
      </w:pPr>
    </w:p>
    <w:p w:rsidR="00EB3E6F" w:rsidRPr="00BD0FD5" w:rsidRDefault="00D80FBD" w:rsidP="0092596C">
      <w:pPr>
        <w:pStyle w:val="ListParagraph"/>
        <w:numPr>
          <w:ilvl w:val="0"/>
          <w:numId w:val="1"/>
        </w:numPr>
        <w:spacing w:after="0" w:line="240" w:lineRule="auto"/>
        <w:ind w:left="360"/>
        <w:rPr>
          <w:rFonts w:ascii="Times New Roman" w:hAnsi="Times New Roman" w:cs="Times New Roman"/>
          <w:b/>
          <w:sz w:val="24"/>
          <w:szCs w:val="24"/>
        </w:rPr>
      </w:pPr>
      <w:r w:rsidRPr="00BD0FD5">
        <w:rPr>
          <w:rFonts w:ascii="Times New Roman" w:hAnsi="Times New Roman" w:cs="Times New Roman"/>
          <w:b/>
          <w:sz w:val="24"/>
          <w:szCs w:val="24"/>
        </w:rPr>
        <w:t>EXPLAIN ANY PAYMENT OR GIFTS TO RESPONDENTS</w:t>
      </w:r>
    </w:p>
    <w:p w:rsidR="00D80FBD" w:rsidRPr="00BD0FD5" w:rsidRDefault="00D80FBD" w:rsidP="0092596C">
      <w:pPr>
        <w:spacing w:after="0" w:line="240" w:lineRule="auto"/>
        <w:rPr>
          <w:rFonts w:ascii="Times New Roman" w:hAnsi="Times New Roman" w:cs="Times New Roman"/>
          <w:sz w:val="24"/>
          <w:szCs w:val="24"/>
        </w:rPr>
      </w:pPr>
    </w:p>
    <w:p w:rsidR="0072126E" w:rsidRPr="00BD0FD5" w:rsidRDefault="0072126E" w:rsidP="0092596C">
      <w:pPr>
        <w:spacing w:after="0" w:line="240" w:lineRule="auto"/>
        <w:rPr>
          <w:rFonts w:ascii="Times New Roman" w:hAnsi="Times New Roman"/>
          <w:sz w:val="24"/>
          <w:szCs w:val="24"/>
        </w:rPr>
      </w:pPr>
      <w:r w:rsidRPr="00BD0FD5">
        <w:rPr>
          <w:rFonts w:ascii="Times New Roman" w:hAnsi="Times New Roman"/>
          <w:sz w:val="24"/>
          <w:szCs w:val="24"/>
        </w:rPr>
        <w:t>The Commission does not make payments or provide gifts for respondents related to this collection.</w:t>
      </w:r>
    </w:p>
    <w:p w:rsidR="00D80FBD" w:rsidRPr="00BD0FD5" w:rsidRDefault="00D80FBD" w:rsidP="0092596C">
      <w:pPr>
        <w:spacing w:after="0" w:line="240" w:lineRule="auto"/>
        <w:rPr>
          <w:rFonts w:ascii="Times New Roman" w:hAnsi="Times New Roman" w:cs="Times New Roman"/>
          <w:sz w:val="24"/>
          <w:szCs w:val="24"/>
        </w:rPr>
      </w:pPr>
    </w:p>
    <w:p w:rsidR="00D80FBD" w:rsidRPr="00BD0FD5" w:rsidRDefault="00D80FBD" w:rsidP="0092596C">
      <w:pPr>
        <w:pStyle w:val="ListParagraph"/>
        <w:numPr>
          <w:ilvl w:val="0"/>
          <w:numId w:val="1"/>
        </w:numPr>
        <w:spacing w:after="0" w:line="240" w:lineRule="auto"/>
        <w:ind w:left="360"/>
        <w:rPr>
          <w:rFonts w:ascii="Times New Roman" w:hAnsi="Times New Roman" w:cs="Times New Roman"/>
          <w:b/>
          <w:sz w:val="24"/>
          <w:szCs w:val="24"/>
        </w:rPr>
      </w:pPr>
      <w:r w:rsidRPr="00BD0FD5">
        <w:rPr>
          <w:rFonts w:ascii="Times New Roman" w:hAnsi="Times New Roman" w:cs="Times New Roman"/>
          <w:b/>
          <w:sz w:val="24"/>
          <w:szCs w:val="24"/>
        </w:rPr>
        <w:t>DESCRIBE ANY ASSURANCE OF CONFIDENTIALITY PROVIDED TO RESPONDENTS</w:t>
      </w:r>
    </w:p>
    <w:p w:rsidR="00182858" w:rsidRPr="00BD0FD5" w:rsidRDefault="00182858" w:rsidP="0092596C">
      <w:pPr>
        <w:spacing w:after="0" w:line="240" w:lineRule="auto"/>
        <w:rPr>
          <w:rFonts w:ascii="Times New Roman" w:hAnsi="Times New Roman" w:cs="Times New Roman"/>
          <w:sz w:val="24"/>
          <w:szCs w:val="24"/>
        </w:rPr>
      </w:pPr>
    </w:p>
    <w:p w:rsidR="00D80FBD" w:rsidRPr="00BD0FD5" w:rsidRDefault="004552E9" w:rsidP="0092596C">
      <w:pPr>
        <w:spacing w:after="0" w:line="240" w:lineRule="auto"/>
        <w:rPr>
          <w:rFonts w:ascii="Times New Roman" w:hAnsi="Times New Roman" w:cs="Times New Roman"/>
          <w:sz w:val="24"/>
          <w:szCs w:val="24"/>
        </w:rPr>
      </w:pPr>
      <w:r w:rsidRPr="00BD0FD5">
        <w:rPr>
          <w:rFonts w:ascii="Times New Roman" w:hAnsi="Times New Roman" w:cs="Times New Roman"/>
          <w:sz w:val="24"/>
          <w:szCs w:val="24"/>
        </w:rPr>
        <w:t>There are no specific assurances of confidentiality mentioned to respondents.</w:t>
      </w:r>
    </w:p>
    <w:p w:rsidR="00D80FBD" w:rsidRPr="00BD0FD5" w:rsidRDefault="00D80FBD" w:rsidP="0092596C">
      <w:pPr>
        <w:spacing w:after="0" w:line="240" w:lineRule="auto"/>
        <w:rPr>
          <w:rFonts w:ascii="Times New Roman" w:hAnsi="Times New Roman" w:cs="Times New Roman"/>
          <w:sz w:val="24"/>
          <w:szCs w:val="24"/>
        </w:rPr>
      </w:pPr>
    </w:p>
    <w:p w:rsidR="00D80FBD" w:rsidRPr="00BD0FD5" w:rsidRDefault="00D80FBD" w:rsidP="0092596C">
      <w:pPr>
        <w:pStyle w:val="ListParagraph"/>
        <w:numPr>
          <w:ilvl w:val="0"/>
          <w:numId w:val="1"/>
        </w:numPr>
        <w:spacing w:after="0" w:line="240" w:lineRule="auto"/>
        <w:ind w:left="360"/>
        <w:rPr>
          <w:rFonts w:ascii="Times New Roman" w:hAnsi="Times New Roman" w:cs="Times New Roman"/>
          <w:b/>
          <w:sz w:val="24"/>
          <w:szCs w:val="24"/>
        </w:rPr>
      </w:pPr>
      <w:r w:rsidRPr="00BD0FD5">
        <w:rPr>
          <w:rFonts w:ascii="Times New Roman" w:hAnsi="Times New Roman" w:cs="Times New Roman"/>
          <w:b/>
          <w:sz w:val="24"/>
          <w:szCs w:val="24"/>
        </w:rPr>
        <w:t>PROVIDE ADDITIONAL JUSTIFICATION FOR ANY QUESTIONS OF A SENSITIVE NATURE</w:t>
      </w:r>
    </w:p>
    <w:p w:rsidR="00D80FBD" w:rsidRPr="00BD0FD5" w:rsidRDefault="00D80FBD" w:rsidP="0092596C">
      <w:pPr>
        <w:spacing w:after="0" w:line="240" w:lineRule="auto"/>
        <w:rPr>
          <w:rFonts w:ascii="Times New Roman" w:hAnsi="Times New Roman" w:cs="Times New Roman"/>
          <w:sz w:val="24"/>
          <w:szCs w:val="24"/>
        </w:rPr>
      </w:pPr>
    </w:p>
    <w:p w:rsidR="00A4336A" w:rsidRPr="00BD0FD5" w:rsidRDefault="00A4336A" w:rsidP="0092596C">
      <w:pPr>
        <w:spacing w:after="0" w:line="240" w:lineRule="auto"/>
        <w:rPr>
          <w:rFonts w:ascii="Times New Roman" w:hAnsi="Times New Roman"/>
          <w:sz w:val="24"/>
          <w:szCs w:val="24"/>
        </w:rPr>
      </w:pPr>
      <w:r w:rsidRPr="00BD0FD5">
        <w:rPr>
          <w:rFonts w:ascii="Times New Roman" w:hAnsi="Times New Roman"/>
          <w:sz w:val="24"/>
          <w:szCs w:val="24"/>
        </w:rPr>
        <w:t>This collection does not include any questions of a sensitive nature.</w:t>
      </w:r>
    </w:p>
    <w:p w:rsidR="00D80FBD" w:rsidRPr="00BD0FD5" w:rsidRDefault="00D80FBD" w:rsidP="0092596C">
      <w:pPr>
        <w:spacing w:after="0" w:line="240" w:lineRule="auto"/>
        <w:rPr>
          <w:rFonts w:ascii="Times New Roman" w:hAnsi="Times New Roman" w:cs="Times New Roman"/>
          <w:sz w:val="24"/>
          <w:szCs w:val="24"/>
        </w:rPr>
      </w:pPr>
    </w:p>
    <w:p w:rsidR="00D80FBD" w:rsidRPr="00BD0FD5" w:rsidRDefault="00D80FBD" w:rsidP="0092596C">
      <w:pPr>
        <w:pStyle w:val="ListParagraph"/>
        <w:numPr>
          <w:ilvl w:val="0"/>
          <w:numId w:val="1"/>
        </w:numPr>
        <w:spacing w:after="0" w:line="240" w:lineRule="auto"/>
        <w:ind w:left="360"/>
        <w:rPr>
          <w:rFonts w:ascii="Times New Roman" w:hAnsi="Times New Roman" w:cs="Times New Roman"/>
          <w:b/>
          <w:sz w:val="24"/>
          <w:szCs w:val="24"/>
        </w:rPr>
      </w:pPr>
      <w:r w:rsidRPr="00BD0FD5">
        <w:rPr>
          <w:rFonts w:ascii="Times New Roman" w:hAnsi="Times New Roman" w:cs="Times New Roman"/>
          <w:b/>
          <w:sz w:val="24"/>
          <w:szCs w:val="24"/>
        </w:rPr>
        <w:t>ESTIMATED BURDEN OF COLLECTION OF INFORMATION</w:t>
      </w:r>
    </w:p>
    <w:p w:rsidR="00A4336A" w:rsidRPr="00BD0FD5" w:rsidRDefault="00A4336A" w:rsidP="0092596C">
      <w:pPr>
        <w:spacing w:after="0" w:line="240" w:lineRule="auto"/>
        <w:rPr>
          <w:rFonts w:ascii="Times New Roman" w:hAnsi="Times New Roman" w:cs="Times New Roman"/>
          <w:sz w:val="24"/>
          <w:szCs w:val="24"/>
        </w:rPr>
      </w:pPr>
    </w:p>
    <w:p w:rsidR="006A5231" w:rsidRPr="00BD0FD5" w:rsidRDefault="006A5231" w:rsidP="0004709E">
      <w:pPr>
        <w:tabs>
          <w:tab w:val="left" w:pos="720"/>
        </w:tabs>
        <w:autoSpaceDE w:val="0"/>
        <w:autoSpaceDN w:val="0"/>
        <w:adjustRightInd w:val="0"/>
        <w:spacing w:after="240" w:line="240" w:lineRule="auto"/>
        <w:rPr>
          <w:rFonts w:ascii="Times New Roman" w:eastAsia="Times New Roman" w:hAnsi="Times New Roman" w:cs="Times New Roman"/>
          <w:sz w:val="24"/>
          <w:szCs w:val="24"/>
        </w:rPr>
      </w:pPr>
      <w:r w:rsidRPr="00BD0FD5">
        <w:rPr>
          <w:rFonts w:ascii="Times New Roman" w:eastAsia="Times New Roman" w:hAnsi="Times New Roman" w:cs="Times New Roman"/>
          <w:sz w:val="24"/>
          <w:szCs w:val="24"/>
        </w:rPr>
        <w:t>Rather than creating entirely new obligations to report a system disturbance, the revised Reliability Standard, EOP-004-2, primarily clarifies the thresholds that can trigger a reporting obligation, and reduces the reporting burden for certain individual respondents due to the use of a simplified form in Attachment 2.  However, the revised Reliability Standard would increase the reporting burden for some individual entities, because it would apply for the first time to transmission owners and generator owners.  We do not anticipate a large increase in the number of respondents because the existing Reliability Standard applies to transmission operators and generator operators, which includes the majority of the entities registered as transmission owners and generator owners.</w:t>
      </w:r>
    </w:p>
    <w:p w:rsidR="006A5231" w:rsidRPr="00BD0FD5" w:rsidRDefault="006A5231" w:rsidP="0004709E">
      <w:pPr>
        <w:tabs>
          <w:tab w:val="left" w:pos="720"/>
        </w:tabs>
        <w:autoSpaceDE w:val="0"/>
        <w:autoSpaceDN w:val="0"/>
        <w:adjustRightInd w:val="0"/>
        <w:spacing w:after="240" w:line="240" w:lineRule="auto"/>
        <w:rPr>
          <w:rFonts w:ascii="Times New Roman" w:eastAsia="Times New Roman" w:hAnsi="Times New Roman" w:cs="Times New Roman"/>
          <w:sz w:val="24"/>
          <w:szCs w:val="24"/>
        </w:rPr>
      </w:pPr>
      <w:r w:rsidRPr="00BD0FD5">
        <w:rPr>
          <w:rFonts w:ascii="Times New Roman" w:eastAsia="Times New Roman" w:hAnsi="Times New Roman" w:cs="Times New Roman"/>
          <w:sz w:val="24"/>
          <w:szCs w:val="24"/>
        </w:rPr>
        <w:t>Our estimate below regarding the number of respondents is based on the NERC compliance registry as of March 2013.</w:t>
      </w:r>
      <w:r w:rsidRPr="00BD0FD5">
        <w:rPr>
          <w:rFonts w:ascii="Times New Roman" w:eastAsia="Times New Roman" w:hAnsi="Times New Roman" w:cs="Times New Roman"/>
          <w:b/>
          <w:sz w:val="24"/>
          <w:szCs w:val="24"/>
        </w:rPr>
        <w:t xml:space="preserve"> </w:t>
      </w:r>
      <w:r w:rsidRPr="00BD0FD5">
        <w:rPr>
          <w:rFonts w:ascii="Times New Roman" w:eastAsia="Times New Roman" w:hAnsi="Times New Roman" w:cs="Times New Roman"/>
          <w:sz w:val="24"/>
          <w:szCs w:val="24"/>
        </w:rPr>
        <w:t xml:space="preserve"> According to the registry, there are 7 transmission owners</w:t>
      </w:r>
      <w:r w:rsidR="00270229">
        <w:rPr>
          <w:rFonts w:ascii="Times New Roman" w:eastAsia="Times New Roman" w:hAnsi="Times New Roman" w:cs="Times New Roman"/>
          <w:sz w:val="24"/>
          <w:szCs w:val="24"/>
        </w:rPr>
        <w:t xml:space="preserve"> (TO)</w:t>
      </w:r>
      <w:r w:rsidRPr="00BD0FD5">
        <w:rPr>
          <w:rFonts w:ascii="Times New Roman" w:eastAsia="Times New Roman" w:hAnsi="Times New Roman" w:cs="Times New Roman"/>
          <w:sz w:val="24"/>
          <w:szCs w:val="24"/>
        </w:rPr>
        <w:t xml:space="preserve"> that are not also transmission operators</w:t>
      </w:r>
      <w:r w:rsidR="00270229">
        <w:rPr>
          <w:rFonts w:ascii="Times New Roman" w:eastAsia="Times New Roman" w:hAnsi="Times New Roman" w:cs="Times New Roman"/>
          <w:sz w:val="24"/>
          <w:szCs w:val="24"/>
        </w:rPr>
        <w:t xml:space="preserve"> (TOP)</w:t>
      </w:r>
      <w:r w:rsidRPr="00BD0FD5">
        <w:rPr>
          <w:rFonts w:ascii="Times New Roman" w:eastAsia="Times New Roman" w:hAnsi="Times New Roman" w:cs="Times New Roman"/>
          <w:sz w:val="24"/>
          <w:szCs w:val="24"/>
        </w:rPr>
        <w:t>, 128 generator owners</w:t>
      </w:r>
      <w:r w:rsidR="00270229">
        <w:rPr>
          <w:rFonts w:ascii="Times New Roman" w:eastAsia="Times New Roman" w:hAnsi="Times New Roman" w:cs="Times New Roman"/>
          <w:sz w:val="24"/>
          <w:szCs w:val="24"/>
        </w:rPr>
        <w:t xml:space="preserve"> (GO)</w:t>
      </w:r>
      <w:r w:rsidRPr="00BD0FD5">
        <w:rPr>
          <w:rFonts w:ascii="Times New Roman" w:eastAsia="Times New Roman" w:hAnsi="Times New Roman" w:cs="Times New Roman"/>
          <w:sz w:val="24"/>
          <w:szCs w:val="24"/>
        </w:rPr>
        <w:t xml:space="preserve"> that are not also generator operators</w:t>
      </w:r>
      <w:r w:rsidR="00270229">
        <w:rPr>
          <w:rFonts w:ascii="Times New Roman" w:eastAsia="Times New Roman" w:hAnsi="Times New Roman" w:cs="Times New Roman"/>
          <w:sz w:val="24"/>
          <w:szCs w:val="24"/>
        </w:rPr>
        <w:t xml:space="preserve"> (GOP)</w:t>
      </w:r>
      <w:r w:rsidRPr="00BD0FD5">
        <w:rPr>
          <w:rFonts w:ascii="Times New Roman" w:eastAsia="Times New Roman" w:hAnsi="Times New Roman" w:cs="Times New Roman"/>
          <w:sz w:val="24"/>
          <w:szCs w:val="24"/>
        </w:rPr>
        <w:t>, and 101 distribution providers</w:t>
      </w:r>
      <w:r w:rsidR="00270229">
        <w:rPr>
          <w:rFonts w:ascii="Times New Roman" w:eastAsia="Times New Roman" w:hAnsi="Times New Roman" w:cs="Times New Roman"/>
          <w:sz w:val="24"/>
          <w:szCs w:val="24"/>
        </w:rPr>
        <w:t xml:space="preserve"> (DP)</w:t>
      </w:r>
      <w:r w:rsidRPr="00BD0FD5">
        <w:rPr>
          <w:rFonts w:ascii="Times New Roman" w:eastAsia="Times New Roman" w:hAnsi="Times New Roman" w:cs="Times New Roman"/>
          <w:sz w:val="24"/>
          <w:szCs w:val="24"/>
        </w:rPr>
        <w:t xml:space="preserve"> that are not also registered as another functional entity covered by the current event reporting standards.  Thus, we estimate that a total of 236 entities may be subject to the event reporting requirements of EOP-004-2 for the first </w:t>
      </w:r>
      <w:r w:rsidRPr="00BD0FD5">
        <w:rPr>
          <w:rFonts w:ascii="Times New Roman" w:eastAsia="Times New Roman" w:hAnsi="Times New Roman" w:cs="Times New Roman"/>
          <w:sz w:val="24"/>
          <w:szCs w:val="24"/>
        </w:rPr>
        <w:lastRenderedPageBreak/>
        <w:t>time.</w:t>
      </w:r>
      <w:r w:rsidRPr="00BD0FD5">
        <w:rPr>
          <w:rFonts w:ascii="Times New Roman" w:eastAsia="Times New Roman" w:hAnsi="Times New Roman" w:cs="Times New Roman"/>
          <w:b/>
          <w:sz w:val="24"/>
          <w:szCs w:val="24"/>
          <w:vertAlign w:val="superscript"/>
        </w:rPr>
        <w:footnoteReference w:id="23"/>
      </w:r>
      <w:r w:rsidR="00583863">
        <w:rPr>
          <w:rFonts w:ascii="Times New Roman" w:eastAsia="Times New Roman" w:hAnsi="Times New Roman" w:cs="Times New Roman"/>
          <w:sz w:val="24"/>
          <w:szCs w:val="24"/>
        </w:rPr>
        <w:t xml:space="preserve">  NERC included these new entities in the Reliability Standard because they are entities that are directly impacted by an event</w:t>
      </w:r>
      <w:r w:rsidR="00CA6D5C">
        <w:rPr>
          <w:rFonts w:ascii="Times New Roman" w:eastAsia="Times New Roman" w:hAnsi="Times New Roman" w:cs="Times New Roman"/>
          <w:sz w:val="24"/>
          <w:szCs w:val="24"/>
        </w:rPr>
        <w:t>.</w:t>
      </w:r>
      <w:r w:rsidRPr="00BD0FD5">
        <w:rPr>
          <w:rFonts w:ascii="Times New Roman" w:eastAsia="Times New Roman" w:hAnsi="Times New Roman" w:cs="Times New Roman"/>
          <w:sz w:val="24"/>
          <w:szCs w:val="24"/>
        </w:rPr>
        <w:t xml:space="preserve">  </w:t>
      </w:r>
    </w:p>
    <w:p w:rsidR="006A5231" w:rsidRPr="00BD0FD5" w:rsidRDefault="006A5231" w:rsidP="0004709E">
      <w:pPr>
        <w:tabs>
          <w:tab w:val="left" w:pos="720"/>
        </w:tabs>
        <w:autoSpaceDE w:val="0"/>
        <w:autoSpaceDN w:val="0"/>
        <w:adjustRightInd w:val="0"/>
        <w:spacing w:after="240" w:line="240" w:lineRule="auto"/>
        <w:rPr>
          <w:rFonts w:ascii="Times New Roman" w:eastAsia="Times New Roman" w:hAnsi="Times New Roman" w:cs="Times New Roman"/>
          <w:sz w:val="24"/>
          <w:szCs w:val="24"/>
        </w:rPr>
      </w:pPr>
      <w:r w:rsidRPr="00BD0FD5">
        <w:rPr>
          <w:rFonts w:ascii="Times New Roman" w:eastAsia="Times New Roman" w:hAnsi="Times New Roman" w:cs="Times New Roman"/>
          <w:sz w:val="24"/>
          <w:szCs w:val="24"/>
        </w:rPr>
        <w:t xml:space="preserve">The number of annual reports required could vary widely based on the individual entity and the extent of its facilities.  The estimate below is based on an assumption that, on average, 25 percent of the entities covered by EOP-004-2 will have one reportable event per year.  As demonstrated below, the primary increase in cost associated with the revised standard is expected in Year 1, when newly covered entities must develop an operating plan for reporting.  In Years 2 and 3, an overall </w:t>
      </w:r>
      <w:r w:rsidRPr="00BD0FD5">
        <w:rPr>
          <w:rFonts w:ascii="Times New Roman" w:eastAsia="Times New Roman" w:hAnsi="Times New Roman" w:cs="Times New Roman"/>
          <w:i/>
          <w:sz w:val="24"/>
          <w:szCs w:val="24"/>
        </w:rPr>
        <w:t>reduction</w:t>
      </w:r>
      <w:r w:rsidRPr="00BD0FD5">
        <w:rPr>
          <w:rFonts w:ascii="Times New Roman" w:eastAsia="Times New Roman" w:hAnsi="Times New Roman" w:cs="Times New Roman"/>
          <w:sz w:val="24"/>
          <w:szCs w:val="24"/>
        </w:rPr>
        <w:t xml:space="preserve"> in reporting and recordkeeping burden is expected, due to the simplified reporting form: </w:t>
      </w:r>
    </w:p>
    <w:tbl>
      <w:tblPr>
        <w:tblW w:w="480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368"/>
        <w:gridCol w:w="1441"/>
        <w:gridCol w:w="1351"/>
        <w:gridCol w:w="1439"/>
        <w:gridCol w:w="1259"/>
        <w:gridCol w:w="1174"/>
        <w:gridCol w:w="1169"/>
      </w:tblGrid>
      <w:tr w:rsidR="00DC3363" w:rsidRPr="007D1EDB" w:rsidTr="00DC3363">
        <w:trPr>
          <w:cantSplit/>
          <w:trHeight w:val="510"/>
        </w:trPr>
        <w:tc>
          <w:tcPr>
            <w:tcW w:w="744" w:type="pct"/>
            <w:vMerge w:val="restart"/>
          </w:tcPr>
          <w:p w:rsidR="00DC3363" w:rsidRPr="007D1EDB" w:rsidRDefault="00DC3363" w:rsidP="006A5231">
            <w:pPr>
              <w:spacing w:after="0" w:line="240" w:lineRule="auto"/>
              <w:jc w:val="center"/>
              <w:rPr>
                <w:rFonts w:ascii="Times New Roman" w:eastAsia="Times New Roman" w:hAnsi="Times New Roman" w:cs="Times New Roman"/>
                <w:b/>
                <w:bCs/>
                <w:color w:val="000000"/>
                <w:sz w:val="20"/>
                <w:szCs w:val="20"/>
              </w:rPr>
            </w:pPr>
            <w:r w:rsidRPr="007D1EDB">
              <w:rPr>
                <w:rFonts w:ascii="Times New Roman" w:eastAsia="Times New Roman" w:hAnsi="Times New Roman" w:cs="Times New Roman"/>
                <w:b/>
                <w:bCs/>
                <w:color w:val="000000"/>
                <w:sz w:val="20"/>
                <w:szCs w:val="20"/>
              </w:rPr>
              <w:t>Type of Respondent</w:t>
            </w:r>
          </w:p>
        </w:tc>
        <w:tc>
          <w:tcPr>
            <w:tcW w:w="783" w:type="pct"/>
            <w:vMerge w:val="restart"/>
          </w:tcPr>
          <w:p w:rsidR="00DC3363" w:rsidRPr="007D1EDB" w:rsidRDefault="00DC3363" w:rsidP="007D1EDB">
            <w:pPr>
              <w:spacing w:after="0" w:line="240" w:lineRule="auto"/>
              <w:jc w:val="center"/>
              <w:rPr>
                <w:rFonts w:ascii="Times New Roman" w:eastAsia="Times New Roman" w:hAnsi="Times New Roman" w:cs="Times New Roman"/>
                <w:b/>
                <w:bCs/>
                <w:color w:val="000000"/>
                <w:sz w:val="20"/>
                <w:szCs w:val="20"/>
              </w:rPr>
            </w:pPr>
            <w:r w:rsidRPr="007D1EDB">
              <w:rPr>
                <w:rFonts w:ascii="Times New Roman" w:eastAsia="Times New Roman" w:hAnsi="Times New Roman" w:cs="Times New Roman"/>
                <w:b/>
                <w:bCs/>
                <w:color w:val="000000"/>
                <w:sz w:val="20"/>
                <w:szCs w:val="20"/>
              </w:rPr>
              <w:t xml:space="preserve">Reporting/ Record-keeping Requirement </w:t>
            </w:r>
          </w:p>
        </w:tc>
        <w:tc>
          <w:tcPr>
            <w:tcW w:w="734" w:type="pct"/>
          </w:tcPr>
          <w:p w:rsidR="00DC3363" w:rsidRPr="007D1EDB" w:rsidRDefault="00DC3363" w:rsidP="006A5231">
            <w:pPr>
              <w:spacing w:after="0" w:line="240" w:lineRule="auto"/>
              <w:jc w:val="center"/>
              <w:rPr>
                <w:rFonts w:ascii="Times New Roman" w:eastAsia="Times New Roman" w:hAnsi="Times New Roman" w:cs="Times New Roman"/>
                <w:b/>
                <w:bCs/>
                <w:color w:val="000000"/>
                <w:sz w:val="20"/>
                <w:szCs w:val="20"/>
              </w:rPr>
            </w:pPr>
            <w:r w:rsidRPr="007D1EDB">
              <w:rPr>
                <w:rFonts w:ascii="Times New Roman" w:eastAsia="Times New Roman" w:hAnsi="Times New Roman" w:cs="Times New Roman"/>
                <w:b/>
                <w:bCs/>
                <w:color w:val="000000"/>
                <w:sz w:val="20"/>
                <w:szCs w:val="20"/>
              </w:rPr>
              <w:t>Number of Respondents</w:t>
            </w:r>
          </w:p>
        </w:tc>
        <w:tc>
          <w:tcPr>
            <w:tcW w:w="782" w:type="pct"/>
          </w:tcPr>
          <w:p w:rsidR="00DC3363" w:rsidRPr="007D1EDB" w:rsidRDefault="00DC3363" w:rsidP="006A5231">
            <w:pPr>
              <w:spacing w:after="0" w:line="240" w:lineRule="auto"/>
              <w:jc w:val="center"/>
              <w:rPr>
                <w:rFonts w:ascii="Times New Roman" w:eastAsia="Times New Roman" w:hAnsi="Times New Roman" w:cs="Times New Roman"/>
                <w:b/>
                <w:bCs/>
                <w:color w:val="000000"/>
                <w:sz w:val="20"/>
                <w:szCs w:val="20"/>
              </w:rPr>
            </w:pPr>
            <w:r w:rsidRPr="007D1EDB">
              <w:rPr>
                <w:rFonts w:ascii="Times New Roman" w:eastAsia="Times New Roman" w:hAnsi="Times New Roman" w:cs="Times New Roman"/>
                <w:b/>
                <w:bCs/>
                <w:color w:val="000000"/>
                <w:sz w:val="20"/>
                <w:szCs w:val="20"/>
              </w:rPr>
              <w:t>Number of Responses Per Respondent</w:t>
            </w:r>
          </w:p>
        </w:tc>
        <w:tc>
          <w:tcPr>
            <w:tcW w:w="684" w:type="pct"/>
          </w:tcPr>
          <w:p w:rsidR="00DC3363" w:rsidRPr="007D1EDB" w:rsidRDefault="00DC3363" w:rsidP="006A5231">
            <w:pPr>
              <w:spacing w:after="0" w:line="240" w:lineRule="auto"/>
              <w:jc w:val="center"/>
              <w:rPr>
                <w:rFonts w:ascii="Times New Roman" w:eastAsia="Times New Roman" w:hAnsi="Times New Roman" w:cs="Times New Roman"/>
                <w:b/>
                <w:bCs/>
                <w:color w:val="000000"/>
                <w:sz w:val="20"/>
                <w:szCs w:val="20"/>
              </w:rPr>
            </w:pPr>
            <w:r w:rsidRPr="007D1EDB">
              <w:rPr>
                <w:rFonts w:ascii="Times New Roman" w:eastAsia="Times New Roman" w:hAnsi="Times New Roman" w:cs="Times New Roman"/>
                <w:b/>
                <w:bCs/>
                <w:color w:val="000000"/>
                <w:sz w:val="20"/>
                <w:szCs w:val="20"/>
              </w:rPr>
              <w:t>Total Number of Responses</w:t>
            </w:r>
          </w:p>
        </w:tc>
        <w:tc>
          <w:tcPr>
            <w:tcW w:w="638" w:type="pct"/>
          </w:tcPr>
          <w:p w:rsidR="00DC3363" w:rsidRPr="007D1EDB" w:rsidRDefault="00DC3363" w:rsidP="006A5231">
            <w:pPr>
              <w:spacing w:after="0" w:line="240" w:lineRule="auto"/>
              <w:jc w:val="center"/>
              <w:rPr>
                <w:rFonts w:ascii="Times New Roman" w:eastAsia="Times New Roman" w:hAnsi="Times New Roman" w:cs="Times New Roman"/>
                <w:b/>
                <w:bCs/>
                <w:color w:val="000000"/>
                <w:sz w:val="20"/>
                <w:szCs w:val="20"/>
              </w:rPr>
            </w:pPr>
            <w:r w:rsidRPr="007D1EDB">
              <w:rPr>
                <w:rFonts w:ascii="Times New Roman" w:eastAsia="Times New Roman" w:hAnsi="Times New Roman" w:cs="Times New Roman"/>
                <w:b/>
                <w:bCs/>
                <w:color w:val="000000"/>
                <w:sz w:val="20"/>
                <w:szCs w:val="20"/>
              </w:rPr>
              <w:t>Average Burden Hours per Response</w:t>
            </w:r>
          </w:p>
        </w:tc>
        <w:tc>
          <w:tcPr>
            <w:tcW w:w="635" w:type="pct"/>
          </w:tcPr>
          <w:p w:rsidR="00DC3363" w:rsidRPr="007D1EDB" w:rsidRDefault="00DC3363" w:rsidP="006A5231">
            <w:pPr>
              <w:spacing w:after="0" w:line="240" w:lineRule="auto"/>
              <w:jc w:val="center"/>
              <w:rPr>
                <w:rFonts w:ascii="Times New Roman" w:eastAsia="Times New Roman" w:hAnsi="Times New Roman" w:cs="Times New Roman"/>
                <w:b/>
                <w:bCs/>
                <w:color w:val="000000"/>
                <w:sz w:val="20"/>
                <w:szCs w:val="20"/>
              </w:rPr>
            </w:pPr>
            <w:r w:rsidRPr="007D1EDB">
              <w:rPr>
                <w:rFonts w:ascii="Times New Roman" w:eastAsia="Times New Roman" w:hAnsi="Times New Roman" w:cs="Times New Roman"/>
                <w:b/>
                <w:bCs/>
                <w:color w:val="000000"/>
                <w:sz w:val="20"/>
                <w:szCs w:val="20"/>
              </w:rPr>
              <w:t>Estimated Total Annual Burden</w:t>
            </w:r>
          </w:p>
        </w:tc>
      </w:tr>
      <w:tr w:rsidR="00DC3363" w:rsidRPr="007D1EDB" w:rsidTr="00DC3363">
        <w:trPr>
          <w:cantSplit/>
          <w:trHeight w:val="315"/>
        </w:trPr>
        <w:tc>
          <w:tcPr>
            <w:tcW w:w="744" w:type="pct"/>
            <w:vMerge/>
          </w:tcPr>
          <w:p w:rsidR="00DC3363" w:rsidRPr="007D1EDB" w:rsidRDefault="00DC3363" w:rsidP="006A5231">
            <w:pPr>
              <w:spacing w:after="0" w:line="240" w:lineRule="auto"/>
              <w:jc w:val="center"/>
              <w:rPr>
                <w:rFonts w:ascii="Times New Roman" w:eastAsia="Times New Roman" w:hAnsi="Times New Roman" w:cs="Times New Roman"/>
                <w:b/>
                <w:bCs/>
                <w:color w:val="000000"/>
                <w:sz w:val="20"/>
                <w:szCs w:val="20"/>
              </w:rPr>
            </w:pPr>
          </w:p>
        </w:tc>
        <w:tc>
          <w:tcPr>
            <w:tcW w:w="783" w:type="pct"/>
            <w:vMerge/>
          </w:tcPr>
          <w:p w:rsidR="00DC3363" w:rsidRPr="007D1EDB" w:rsidRDefault="00DC3363" w:rsidP="006A5231">
            <w:pPr>
              <w:spacing w:after="0" w:line="240" w:lineRule="auto"/>
              <w:jc w:val="center"/>
              <w:rPr>
                <w:rFonts w:ascii="Times New Roman" w:eastAsia="Times New Roman" w:hAnsi="Times New Roman" w:cs="Times New Roman"/>
                <w:b/>
                <w:bCs/>
                <w:color w:val="000000"/>
                <w:sz w:val="20"/>
                <w:szCs w:val="20"/>
              </w:rPr>
            </w:pPr>
          </w:p>
        </w:tc>
        <w:tc>
          <w:tcPr>
            <w:tcW w:w="734" w:type="pct"/>
          </w:tcPr>
          <w:p w:rsidR="00DC3363" w:rsidRPr="007D1EDB" w:rsidRDefault="00DC3363" w:rsidP="006A5231">
            <w:pPr>
              <w:spacing w:after="0" w:line="240" w:lineRule="auto"/>
              <w:jc w:val="center"/>
              <w:rPr>
                <w:rFonts w:ascii="Times New Roman" w:eastAsia="Times New Roman" w:hAnsi="Times New Roman" w:cs="Times New Roman"/>
                <w:b/>
                <w:bCs/>
                <w:color w:val="000000"/>
                <w:sz w:val="20"/>
                <w:szCs w:val="20"/>
              </w:rPr>
            </w:pPr>
            <w:r w:rsidRPr="007D1EDB">
              <w:rPr>
                <w:rFonts w:ascii="Times New Roman" w:eastAsia="Times New Roman" w:hAnsi="Times New Roman" w:cs="Times New Roman"/>
                <w:b/>
                <w:bCs/>
                <w:color w:val="000000"/>
                <w:sz w:val="20"/>
                <w:szCs w:val="20"/>
              </w:rPr>
              <w:t>(A)</w:t>
            </w:r>
          </w:p>
        </w:tc>
        <w:tc>
          <w:tcPr>
            <w:tcW w:w="782" w:type="pct"/>
          </w:tcPr>
          <w:p w:rsidR="00DC3363" w:rsidRPr="007D1EDB" w:rsidRDefault="00DC3363" w:rsidP="006A5231">
            <w:pPr>
              <w:spacing w:after="0" w:line="240" w:lineRule="auto"/>
              <w:jc w:val="center"/>
              <w:rPr>
                <w:rFonts w:ascii="Times New Roman" w:eastAsia="Times New Roman" w:hAnsi="Times New Roman" w:cs="Times New Roman"/>
                <w:b/>
                <w:bCs/>
                <w:color w:val="000000"/>
                <w:sz w:val="20"/>
                <w:szCs w:val="20"/>
              </w:rPr>
            </w:pPr>
            <w:r w:rsidRPr="007D1EDB">
              <w:rPr>
                <w:rFonts w:ascii="Times New Roman" w:eastAsia="Times New Roman" w:hAnsi="Times New Roman" w:cs="Times New Roman"/>
                <w:b/>
                <w:bCs/>
                <w:color w:val="000000"/>
                <w:sz w:val="20"/>
                <w:szCs w:val="20"/>
              </w:rPr>
              <w:t>(B)</w:t>
            </w:r>
          </w:p>
        </w:tc>
        <w:tc>
          <w:tcPr>
            <w:tcW w:w="684" w:type="pct"/>
          </w:tcPr>
          <w:p w:rsidR="00DC3363" w:rsidRPr="007D1EDB" w:rsidRDefault="00DC3363" w:rsidP="006A5231">
            <w:pPr>
              <w:spacing w:after="0" w:line="240" w:lineRule="auto"/>
              <w:jc w:val="center"/>
              <w:rPr>
                <w:rFonts w:ascii="Times New Roman" w:eastAsia="Times New Roman" w:hAnsi="Times New Roman" w:cs="Times New Roman"/>
                <w:b/>
                <w:bCs/>
                <w:color w:val="000000"/>
                <w:sz w:val="20"/>
                <w:szCs w:val="20"/>
              </w:rPr>
            </w:pPr>
            <w:r w:rsidRPr="007D1EDB">
              <w:rPr>
                <w:rFonts w:ascii="Times New Roman" w:eastAsia="Times New Roman" w:hAnsi="Times New Roman" w:cs="Times New Roman"/>
                <w:b/>
                <w:bCs/>
                <w:color w:val="000000"/>
                <w:sz w:val="20"/>
                <w:szCs w:val="20"/>
              </w:rPr>
              <w:t>(A)x(B)=(C)</w:t>
            </w:r>
          </w:p>
        </w:tc>
        <w:tc>
          <w:tcPr>
            <w:tcW w:w="638" w:type="pct"/>
          </w:tcPr>
          <w:p w:rsidR="00DC3363" w:rsidRPr="007D1EDB" w:rsidRDefault="00DC3363" w:rsidP="006A5231">
            <w:pPr>
              <w:spacing w:after="0" w:line="240" w:lineRule="auto"/>
              <w:jc w:val="center"/>
              <w:rPr>
                <w:rFonts w:ascii="Times New Roman" w:eastAsia="Times New Roman" w:hAnsi="Times New Roman" w:cs="Times New Roman"/>
                <w:b/>
                <w:bCs/>
                <w:color w:val="000000"/>
                <w:sz w:val="20"/>
                <w:szCs w:val="20"/>
              </w:rPr>
            </w:pPr>
            <w:r w:rsidRPr="007D1EDB">
              <w:rPr>
                <w:rFonts w:ascii="Times New Roman" w:eastAsia="Times New Roman" w:hAnsi="Times New Roman" w:cs="Times New Roman"/>
                <w:b/>
                <w:bCs/>
                <w:color w:val="000000"/>
                <w:sz w:val="20"/>
                <w:szCs w:val="20"/>
              </w:rPr>
              <w:t>(D)</w:t>
            </w:r>
          </w:p>
        </w:tc>
        <w:tc>
          <w:tcPr>
            <w:tcW w:w="635" w:type="pct"/>
          </w:tcPr>
          <w:p w:rsidR="00DC3363" w:rsidRPr="007D1EDB" w:rsidRDefault="00DC3363" w:rsidP="006A5231">
            <w:pPr>
              <w:spacing w:after="0" w:line="240" w:lineRule="auto"/>
              <w:jc w:val="center"/>
              <w:rPr>
                <w:rFonts w:ascii="Times New Roman" w:eastAsia="Times New Roman" w:hAnsi="Times New Roman" w:cs="Times New Roman"/>
                <w:b/>
                <w:bCs/>
                <w:color w:val="000000"/>
                <w:sz w:val="20"/>
                <w:szCs w:val="20"/>
              </w:rPr>
            </w:pPr>
            <w:r w:rsidRPr="007D1EDB">
              <w:rPr>
                <w:rFonts w:ascii="Times New Roman" w:eastAsia="Times New Roman" w:hAnsi="Times New Roman" w:cs="Times New Roman"/>
                <w:b/>
                <w:bCs/>
                <w:color w:val="000000"/>
                <w:sz w:val="20"/>
                <w:szCs w:val="20"/>
              </w:rPr>
              <w:t>(C)x(D)</w:t>
            </w:r>
          </w:p>
        </w:tc>
      </w:tr>
      <w:tr w:rsidR="00DC3363" w:rsidRPr="007D1EDB" w:rsidTr="00DC3363">
        <w:trPr>
          <w:cantSplit/>
          <w:trHeight w:val="780"/>
        </w:trPr>
        <w:tc>
          <w:tcPr>
            <w:tcW w:w="744" w:type="pct"/>
            <w:vMerge w:val="restart"/>
          </w:tcPr>
          <w:p w:rsidR="00DC3363" w:rsidRPr="007D1EDB" w:rsidRDefault="00DC3363" w:rsidP="006A5231">
            <w:pPr>
              <w:spacing w:after="0" w:line="240" w:lineRule="auto"/>
              <w:jc w:val="center"/>
              <w:rPr>
                <w:rFonts w:ascii="Times New Roman" w:eastAsia="Times New Roman" w:hAnsi="Times New Roman" w:cs="Times New Roman"/>
                <w:color w:val="000000"/>
                <w:sz w:val="20"/>
                <w:szCs w:val="20"/>
              </w:rPr>
            </w:pPr>
            <w:r w:rsidRPr="007D1EDB">
              <w:rPr>
                <w:rFonts w:ascii="Times New Roman" w:eastAsia="Times New Roman" w:hAnsi="Times New Roman" w:cs="Times New Roman"/>
                <w:color w:val="000000"/>
                <w:sz w:val="20"/>
                <w:szCs w:val="20"/>
              </w:rPr>
              <w:t>New Entities (GO, TO,</w:t>
            </w:r>
            <w:r w:rsidRPr="007D1EDB">
              <w:rPr>
                <w:rFonts w:ascii="Times New Roman" w:eastAsia="Times New Roman" w:hAnsi="Times New Roman" w:cs="Times New Roman"/>
                <w:color w:val="000000"/>
                <w:sz w:val="20"/>
                <w:szCs w:val="20"/>
              </w:rPr>
              <w:br/>
              <w:t>DP)</w:t>
            </w:r>
          </w:p>
        </w:tc>
        <w:tc>
          <w:tcPr>
            <w:tcW w:w="783" w:type="pct"/>
          </w:tcPr>
          <w:p w:rsidR="00DC3363" w:rsidRPr="007D1EDB" w:rsidRDefault="00DC3363" w:rsidP="006A5231">
            <w:pPr>
              <w:spacing w:after="0" w:line="240" w:lineRule="auto"/>
              <w:jc w:val="center"/>
              <w:rPr>
                <w:rFonts w:ascii="Times New Roman" w:eastAsia="Times New Roman" w:hAnsi="Times New Roman" w:cs="Times New Roman"/>
                <w:color w:val="000000"/>
                <w:sz w:val="20"/>
                <w:szCs w:val="20"/>
              </w:rPr>
            </w:pPr>
            <w:r w:rsidRPr="007D1EDB">
              <w:rPr>
                <w:rFonts w:ascii="Times New Roman" w:eastAsia="Times New Roman" w:hAnsi="Times New Roman" w:cs="Times New Roman"/>
                <w:color w:val="000000"/>
                <w:sz w:val="20"/>
                <w:szCs w:val="20"/>
              </w:rPr>
              <w:t xml:space="preserve">Developing </w:t>
            </w:r>
            <w:r w:rsidRPr="007D1EDB">
              <w:rPr>
                <w:rFonts w:ascii="Times New Roman" w:eastAsia="Times New Roman" w:hAnsi="Times New Roman" w:cs="Times New Roman"/>
                <w:color w:val="000000"/>
                <w:sz w:val="20"/>
                <w:szCs w:val="20"/>
              </w:rPr>
              <w:br/>
              <w:t xml:space="preserve">Operating Plan </w:t>
            </w:r>
            <w:r w:rsidRPr="007D1EDB">
              <w:rPr>
                <w:rFonts w:ascii="Times New Roman" w:eastAsia="Times New Roman" w:hAnsi="Times New Roman" w:cs="Times New Roman"/>
                <w:color w:val="000000"/>
                <w:sz w:val="20"/>
                <w:szCs w:val="20"/>
              </w:rPr>
              <w:br/>
              <w:t>(Yr 1 Only)</w:t>
            </w:r>
          </w:p>
        </w:tc>
        <w:tc>
          <w:tcPr>
            <w:tcW w:w="734" w:type="pct"/>
          </w:tcPr>
          <w:p w:rsidR="00DC3363" w:rsidRPr="007D1EDB" w:rsidRDefault="00DC3363" w:rsidP="006A5231">
            <w:pPr>
              <w:spacing w:after="0" w:line="240" w:lineRule="auto"/>
              <w:jc w:val="center"/>
              <w:rPr>
                <w:rFonts w:ascii="Times New Roman" w:eastAsia="Times New Roman" w:hAnsi="Times New Roman" w:cs="Times New Roman"/>
                <w:color w:val="000000"/>
                <w:sz w:val="20"/>
                <w:szCs w:val="20"/>
              </w:rPr>
            </w:pPr>
            <w:r w:rsidRPr="007D1EDB">
              <w:rPr>
                <w:rFonts w:ascii="Times New Roman" w:eastAsia="Times New Roman" w:hAnsi="Times New Roman" w:cs="Times New Roman"/>
                <w:color w:val="000000"/>
                <w:sz w:val="20"/>
                <w:szCs w:val="20"/>
              </w:rPr>
              <w:t>236</w:t>
            </w:r>
          </w:p>
        </w:tc>
        <w:tc>
          <w:tcPr>
            <w:tcW w:w="782" w:type="pct"/>
          </w:tcPr>
          <w:p w:rsidR="00DC3363" w:rsidRPr="007D1EDB" w:rsidRDefault="00DC3363" w:rsidP="006A5231">
            <w:pPr>
              <w:spacing w:after="0" w:line="240" w:lineRule="auto"/>
              <w:jc w:val="center"/>
              <w:rPr>
                <w:rFonts w:ascii="Times New Roman" w:eastAsia="Times New Roman" w:hAnsi="Times New Roman" w:cs="Times New Roman"/>
                <w:color w:val="000000"/>
                <w:sz w:val="20"/>
                <w:szCs w:val="20"/>
              </w:rPr>
            </w:pPr>
            <w:r w:rsidRPr="007D1EDB">
              <w:rPr>
                <w:rFonts w:ascii="Times New Roman" w:eastAsia="Times New Roman" w:hAnsi="Times New Roman" w:cs="Times New Roman"/>
                <w:color w:val="000000"/>
                <w:sz w:val="20"/>
                <w:szCs w:val="20"/>
              </w:rPr>
              <w:t>1</w:t>
            </w:r>
          </w:p>
        </w:tc>
        <w:tc>
          <w:tcPr>
            <w:tcW w:w="684" w:type="pct"/>
          </w:tcPr>
          <w:p w:rsidR="00DC3363" w:rsidRPr="007D1EDB" w:rsidRDefault="00DC3363" w:rsidP="006A5231">
            <w:pPr>
              <w:spacing w:after="0" w:line="240" w:lineRule="auto"/>
              <w:jc w:val="center"/>
              <w:rPr>
                <w:rFonts w:ascii="Times New Roman" w:eastAsia="Times New Roman" w:hAnsi="Times New Roman" w:cs="Times New Roman"/>
                <w:color w:val="000000"/>
                <w:sz w:val="20"/>
                <w:szCs w:val="20"/>
              </w:rPr>
            </w:pPr>
            <w:r w:rsidRPr="007D1EDB">
              <w:rPr>
                <w:rFonts w:ascii="Times New Roman" w:eastAsia="Times New Roman" w:hAnsi="Times New Roman" w:cs="Times New Roman"/>
                <w:color w:val="000000"/>
                <w:sz w:val="20"/>
                <w:szCs w:val="20"/>
              </w:rPr>
              <w:t>236</w:t>
            </w:r>
          </w:p>
        </w:tc>
        <w:tc>
          <w:tcPr>
            <w:tcW w:w="638" w:type="pct"/>
          </w:tcPr>
          <w:p w:rsidR="00DC3363" w:rsidRPr="007D1EDB" w:rsidRDefault="00DC3363" w:rsidP="006A5231">
            <w:pPr>
              <w:spacing w:after="0" w:line="240" w:lineRule="auto"/>
              <w:jc w:val="center"/>
              <w:rPr>
                <w:rFonts w:ascii="Times New Roman" w:eastAsia="Times New Roman" w:hAnsi="Times New Roman" w:cs="Times New Roman"/>
                <w:color w:val="000000"/>
                <w:sz w:val="20"/>
                <w:szCs w:val="20"/>
              </w:rPr>
            </w:pPr>
            <w:r w:rsidRPr="007D1EDB">
              <w:rPr>
                <w:rFonts w:ascii="Times New Roman" w:eastAsia="Times New Roman" w:hAnsi="Times New Roman" w:cs="Times New Roman"/>
                <w:color w:val="000000"/>
                <w:sz w:val="20"/>
                <w:szCs w:val="20"/>
              </w:rPr>
              <w:t>8</w:t>
            </w:r>
          </w:p>
        </w:tc>
        <w:tc>
          <w:tcPr>
            <w:tcW w:w="635" w:type="pct"/>
          </w:tcPr>
          <w:p w:rsidR="00DC3363" w:rsidRPr="007D1EDB" w:rsidRDefault="00DC3363" w:rsidP="006A5231">
            <w:pPr>
              <w:spacing w:after="0" w:line="240" w:lineRule="auto"/>
              <w:jc w:val="center"/>
              <w:rPr>
                <w:rFonts w:ascii="Times New Roman" w:eastAsia="Times New Roman" w:hAnsi="Times New Roman" w:cs="Times New Roman"/>
                <w:color w:val="000000"/>
                <w:sz w:val="20"/>
                <w:szCs w:val="20"/>
              </w:rPr>
            </w:pPr>
            <w:r w:rsidRPr="007D1EDB">
              <w:rPr>
                <w:rFonts w:ascii="Times New Roman" w:eastAsia="Times New Roman" w:hAnsi="Times New Roman" w:cs="Times New Roman"/>
                <w:color w:val="000000"/>
                <w:sz w:val="20"/>
                <w:szCs w:val="20"/>
              </w:rPr>
              <w:t>1,888</w:t>
            </w:r>
          </w:p>
        </w:tc>
      </w:tr>
      <w:tr w:rsidR="00DC3363" w:rsidRPr="007D1EDB" w:rsidTr="00DC3363">
        <w:trPr>
          <w:cantSplit/>
          <w:trHeight w:val="780"/>
        </w:trPr>
        <w:tc>
          <w:tcPr>
            <w:tcW w:w="744" w:type="pct"/>
            <w:vMerge/>
          </w:tcPr>
          <w:p w:rsidR="00DC3363" w:rsidRPr="007D1EDB" w:rsidRDefault="00DC3363" w:rsidP="006A5231">
            <w:pPr>
              <w:spacing w:after="0" w:line="240" w:lineRule="auto"/>
              <w:jc w:val="center"/>
              <w:rPr>
                <w:rFonts w:ascii="Times New Roman" w:eastAsia="Times New Roman" w:hAnsi="Times New Roman" w:cs="Times New Roman"/>
                <w:color w:val="000000"/>
                <w:sz w:val="20"/>
                <w:szCs w:val="20"/>
              </w:rPr>
            </w:pPr>
          </w:p>
        </w:tc>
        <w:tc>
          <w:tcPr>
            <w:tcW w:w="783" w:type="pct"/>
          </w:tcPr>
          <w:p w:rsidR="00DC3363" w:rsidRPr="007D1EDB" w:rsidRDefault="00DC3363" w:rsidP="006A5231">
            <w:pPr>
              <w:spacing w:after="0" w:line="240" w:lineRule="auto"/>
              <w:jc w:val="center"/>
              <w:rPr>
                <w:rFonts w:ascii="Times New Roman" w:eastAsia="Times New Roman" w:hAnsi="Times New Roman" w:cs="Times New Roman"/>
                <w:color w:val="000000"/>
                <w:sz w:val="20"/>
                <w:szCs w:val="20"/>
              </w:rPr>
            </w:pPr>
            <w:r w:rsidRPr="007D1EDB">
              <w:rPr>
                <w:rFonts w:ascii="Times New Roman" w:eastAsia="Times New Roman" w:hAnsi="Times New Roman" w:cs="Times New Roman"/>
                <w:color w:val="000000"/>
                <w:sz w:val="20"/>
                <w:szCs w:val="20"/>
              </w:rPr>
              <w:t xml:space="preserve">Reporting Event </w:t>
            </w:r>
            <w:r w:rsidRPr="007D1EDB">
              <w:rPr>
                <w:rFonts w:ascii="Times New Roman" w:eastAsia="Times New Roman" w:hAnsi="Times New Roman" w:cs="Times New Roman"/>
                <w:color w:val="000000"/>
                <w:sz w:val="20"/>
                <w:szCs w:val="20"/>
              </w:rPr>
              <w:br/>
              <w:t>(Yr</w:t>
            </w:r>
            <w:r>
              <w:rPr>
                <w:rFonts w:ascii="Times New Roman" w:eastAsia="Times New Roman" w:hAnsi="Times New Roman" w:cs="Times New Roman"/>
                <w:color w:val="000000"/>
                <w:sz w:val="20"/>
                <w:szCs w:val="20"/>
              </w:rPr>
              <w:t>s</w:t>
            </w:r>
            <w:r w:rsidRPr="007D1EDB">
              <w:rPr>
                <w:rFonts w:ascii="Times New Roman" w:eastAsia="Times New Roman" w:hAnsi="Times New Roman" w:cs="Times New Roman"/>
                <w:color w:val="000000"/>
                <w:sz w:val="20"/>
                <w:szCs w:val="20"/>
              </w:rPr>
              <w:t xml:space="preserve"> 1, 2, and 3)</w:t>
            </w:r>
          </w:p>
        </w:tc>
        <w:tc>
          <w:tcPr>
            <w:tcW w:w="734" w:type="pct"/>
          </w:tcPr>
          <w:p w:rsidR="00DC3363" w:rsidRPr="007D1EDB" w:rsidRDefault="00DC3363" w:rsidP="006A5231">
            <w:pPr>
              <w:spacing w:after="0" w:line="240" w:lineRule="auto"/>
              <w:jc w:val="center"/>
              <w:rPr>
                <w:rFonts w:ascii="Times New Roman" w:eastAsia="Times New Roman" w:hAnsi="Times New Roman" w:cs="Times New Roman"/>
                <w:color w:val="000000"/>
                <w:sz w:val="20"/>
                <w:szCs w:val="20"/>
              </w:rPr>
            </w:pPr>
            <w:r w:rsidRPr="007D1EDB">
              <w:rPr>
                <w:rFonts w:ascii="Times New Roman" w:eastAsia="Times New Roman" w:hAnsi="Times New Roman" w:cs="Times New Roman"/>
                <w:color w:val="000000"/>
                <w:sz w:val="20"/>
                <w:szCs w:val="20"/>
              </w:rPr>
              <w:t>59</w:t>
            </w:r>
          </w:p>
        </w:tc>
        <w:tc>
          <w:tcPr>
            <w:tcW w:w="782" w:type="pct"/>
          </w:tcPr>
          <w:p w:rsidR="00DC3363" w:rsidRPr="007D1EDB" w:rsidRDefault="00DC3363" w:rsidP="006A5231">
            <w:pPr>
              <w:spacing w:after="0" w:line="240" w:lineRule="auto"/>
              <w:jc w:val="center"/>
              <w:rPr>
                <w:rFonts w:ascii="Times New Roman" w:eastAsia="Times New Roman" w:hAnsi="Times New Roman" w:cs="Times New Roman"/>
                <w:color w:val="000000"/>
                <w:sz w:val="20"/>
                <w:szCs w:val="20"/>
              </w:rPr>
            </w:pPr>
            <w:r w:rsidRPr="007D1EDB">
              <w:rPr>
                <w:rFonts w:ascii="Times New Roman" w:eastAsia="Times New Roman" w:hAnsi="Times New Roman" w:cs="Times New Roman"/>
                <w:color w:val="000000"/>
                <w:sz w:val="20"/>
                <w:szCs w:val="20"/>
              </w:rPr>
              <w:t>1</w:t>
            </w:r>
          </w:p>
        </w:tc>
        <w:tc>
          <w:tcPr>
            <w:tcW w:w="684" w:type="pct"/>
          </w:tcPr>
          <w:p w:rsidR="00DC3363" w:rsidRPr="007D1EDB" w:rsidRDefault="00DC3363" w:rsidP="006A5231">
            <w:pPr>
              <w:spacing w:after="0" w:line="240" w:lineRule="auto"/>
              <w:jc w:val="center"/>
              <w:rPr>
                <w:rFonts w:ascii="Times New Roman" w:eastAsia="Times New Roman" w:hAnsi="Times New Roman" w:cs="Times New Roman"/>
                <w:color w:val="000000"/>
                <w:sz w:val="20"/>
                <w:szCs w:val="20"/>
              </w:rPr>
            </w:pPr>
            <w:r w:rsidRPr="007D1EDB">
              <w:rPr>
                <w:rFonts w:ascii="Times New Roman" w:eastAsia="Times New Roman" w:hAnsi="Times New Roman" w:cs="Times New Roman"/>
                <w:color w:val="000000"/>
                <w:sz w:val="20"/>
                <w:szCs w:val="20"/>
              </w:rPr>
              <w:t>59</w:t>
            </w:r>
          </w:p>
        </w:tc>
        <w:tc>
          <w:tcPr>
            <w:tcW w:w="638" w:type="pct"/>
          </w:tcPr>
          <w:p w:rsidR="00DC3363" w:rsidRPr="007D1EDB" w:rsidRDefault="00DC3363" w:rsidP="006A5231">
            <w:pPr>
              <w:spacing w:after="0" w:line="240" w:lineRule="auto"/>
              <w:jc w:val="center"/>
              <w:rPr>
                <w:rFonts w:ascii="Times New Roman" w:eastAsia="Times New Roman" w:hAnsi="Times New Roman" w:cs="Times New Roman"/>
                <w:color w:val="000000"/>
                <w:sz w:val="20"/>
                <w:szCs w:val="20"/>
              </w:rPr>
            </w:pPr>
            <w:r w:rsidRPr="007D1EDB">
              <w:rPr>
                <w:rFonts w:ascii="Times New Roman" w:eastAsia="Times New Roman" w:hAnsi="Times New Roman" w:cs="Times New Roman"/>
                <w:color w:val="000000"/>
                <w:sz w:val="20"/>
                <w:szCs w:val="20"/>
              </w:rPr>
              <w:t xml:space="preserve">0.17 </w:t>
            </w:r>
          </w:p>
        </w:tc>
        <w:tc>
          <w:tcPr>
            <w:tcW w:w="635" w:type="pct"/>
          </w:tcPr>
          <w:p w:rsidR="00DC3363" w:rsidRPr="007D1EDB" w:rsidRDefault="00DC3363" w:rsidP="006A5231">
            <w:pPr>
              <w:spacing w:after="0" w:line="240" w:lineRule="auto"/>
              <w:jc w:val="center"/>
              <w:rPr>
                <w:rFonts w:ascii="Times New Roman" w:eastAsia="Times New Roman" w:hAnsi="Times New Roman" w:cs="Times New Roman"/>
                <w:color w:val="000000"/>
                <w:sz w:val="20"/>
                <w:szCs w:val="20"/>
              </w:rPr>
            </w:pPr>
            <w:r w:rsidRPr="007D1EDB">
              <w:rPr>
                <w:rFonts w:ascii="Times New Roman" w:eastAsia="Times New Roman" w:hAnsi="Times New Roman" w:cs="Times New Roman"/>
                <w:color w:val="000000"/>
                <w:sz w:val="20"/>
                <w:szCs w:val="20"/>
              </w:rPr>
              <w:t>10.03</w:t>
            </w:r>
          </w:p>
        </w:tc>
      </w:tr>
      <w:tr w:rsidR="00DC3363" w:rsidRPr="007D1EDB" w:rsidTr="00DC3363">
        <w:trPr>
          <w:cantSplit/>
          <w:trHeight w:val="780"/>
        </w:trPr>
        <w:tc>
          <w:tcPr>
            <w:tcW w:w="744" w:type="pct"/>
          </w:tcPr>
          <w:p w:rsidR="00DC3363" w:rsidRPr="007D1EDB" w:rsidRDefault="00DC3363" w:rsidP="006A5231">
            <w:pPr>
              <w:spacing w:after="0" w:line="240" w:lineRule="auto"/>
              <w:jc w:val="center"/>
              <w:rPr>
                <w:rFonts w:ascii="Times New Roman" w:eastAsia="Times New Roman" w:hAnsi="Times New Roman" w:cs="Times New Roman"/>
                <w:color w:val="000000"/>
                <w:sz w:val="20"/>
                <w:szCs w:val="20"/>
              </w:rPr>
            </w:pPr>
            <w:r w:rsidRPr="007D1EDB">
              <w:rPr>
                <w:rFonts w:ascii="Times New Roman" w:eastAsia="Times New Roman" w:hAnsi="Times New Roman" w:cs="Times New Roman"/>
                <w:color w:val="000000"/>
                <w:sz w:val="20"/>
                <w:szCs w:val="20"/>
              </w:rPr>
              <w:t xml:space="preserve">Entities Subject to Existing Reporting Requirements </w:t>
            </w:r>
          </w:p>
        </w:tc>
        <w:tc>
          <w:tcPr>
            <w:tcW w:w="783" w:type="pct"/>
          </w:tcPr>
          <w:p w:rsidR="00DC3363" w:rsidRPr="007D1EDB" w:rsidRDefault="00DC3363" w:rsidP="006A5231">
            <w:pPr>
              <w:spacing w:after="0" w:line="240" w:lineRule="auto"/>
              <w:jc w:val="center"/>
              <w:rPr>
                <w:rFonts w:ascii="Times New Roman" w:eastAsia="Times New Roman" w:hAnsi="Times New Roman" w:cs="Times New Roman"/>
                <w:color w:val="000000"/>
                <w:sz w:val="20"/>
                <w:szCs w:val="20"/>
              </w:rPr>
            </w:pPr>
            <w:r w:rsidRPr="007D1EDB">
              <w:rPr>
                <w:rFonts w:ascii="Times New Roman" w:eastAsia="Times New Roman" w:hAnsi="Times New Roman" w:cs="Times New Roman"/>
                <w:color w:val="000000"/>
                <w:sz w:val="20"/>
                <w:szCs w:val="20"/>
              </w:rPr>
              <w:t xml:space="preserve">Conforming Operating Plan to New Thresholds </w:t>
            </w:r>
            <w:r w:rsidRPr="007D1EDB">
              <w:rPr>
                <w:rFonts w:ascii="Times New Roman" w:eastAsia="Times New Roman" w:hAnsi="Times New Roman" w:cs="Times New Roman"/>
                <w:color w:val="000000"/>
                <w:sz w:val="20"/>
                <w:szCs w:val="20"/>
              </w:rPr>
              <w:br/>
              <w:t>(Yr 1 Only)</w:t>
            </w:r>
          </w:p>
        </w:tc>
        <w:tc>
          <w:tcPr>
            <w:tcW w:w="734" w:type="pct"/>
          </w:tcPr>
          <w:p w:rsidR="00DC3363" w:rsidRPr="007D1EDB" w:rsidRDefault="00DC3363" w:rsidP="006A5231">
            <w:pPr>
              <w:spacing w:after="0" w:line="240" w:lineRule="auto"/>
              <w:jc w:val="center"/>
              <w:rPr>
                <w:rFonts w:ascii="Times New Roman" w:eastAsia="Times New Roman" w:hAnsi="Times New Roman" w:cs="Times New Roman"/>
                <w:color w:val="000000"/>
                <w:sz w:val="20"/>
                <w:szCs w:val="20"/>
              </w:rPr>
            </w:pPr>
            <w:r w:rsidRPr="007D1EDB">
              <w:rPr>
                <w:rFonts w:ascii="Times New Roman" w:eastAsia="Times New Roman" w:hAnsi="Times New Roman" w:cs="Times New Roman"/>
                <w:color w:val="000000"/>
                <w:sz w:val="20"/>
                <w:szCs w:val="20"/>
              </w:rPr>
              <w:t>1164</w:t>
            </w:r>
          </w:p>
        </w:tc>
        <w:tc>
          <w:tcPr>
            <w:tcW w:w="782" w:type="pct"/>
          </w:tcPr>
          <w:p w:rsidR="00DC3363" w:rsidRPr="007D1EDB" w:rsidRDefault="00DC3363" w:rsidP="006A5231">
            <w:pPr>
              <w:spacing w:after="0" w:line="240" w:lineRule="auto"/>
              <w:jc w:val="center"/>
              <w:rPr>
                <w:rFonts w:ascii="Times New Roman" w:eastAsia="Times New Roman" w:hAnsi="Times New Roman" w:cs="Times New Roman"/>
                <w:color w:val="000000"/>
                <w:sz w:val="20"/>
                <w:szCs w:val="20"/>
              </w:rPr>
            </w:pPr>
            <w:r w:rsidRPr="007D1EDB">
              <w:rPr>
                <w:rFonts w:ascii="Times New Roman" w:eastAsia="Times New Roman" w:hAnsi="Times New Roman" w:cs="Times New Roman"/>
                <w:color w:val="000000"/>
                <w:sz w:val="20"/>
                <w:szCs w:val="20"/>
              </w:rPr>
              <w:t>1</w:t>
            </w:r>
          </w:p>
        </w:tc>
        <w:tc>
          <w:tcPr>
            <w:tcW w:w="684" w:type="pct"/>
          </w:tcPr>
          <w:p w:rsidR="00DC3363" w:rsidRPr="007D1EDB" w:rsidRDefault="00DC3363" w:rsidP="006A5231">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1164</w:t>
            </w:r>
          </w:p>
        </w:tc>
        <w:tc>
          <w:tcPr>
            <w:tcW w:w="638" w:type="pct"/>
          </w:tcPr>
          <w:p w:rsidR="00DC3363" w:rsidRPr="007D1EDB" w:rsidRDefault="00DC3363" w:rsidP="006A5231">
            <w:pPr>
              <w:spacing w:after="0" w:line="240" w:lineRule="auto"/>
              <w:jc w:val="center"/>
              <w:rPr>
                <w:rFonts w:ascii="Times New Roman" w:eastAsia="Times New Roman" w:hAnsi="Times New Roman" w:cs="Times New Roman"/>
                <w:color w:val="000000"/>
                <w:sz w:val="20"/>
                <w:szCs w:val="20"/>
              </w:rPr>
            </w:pPr>
            <w:r w:rsidRPr="007D1EDB">
              <w:rPr>
                <w:rFonts w:ascii="Times New Roman" w:eastAsia="Times New Roman" w:hAnsi="Times New Roman" w:cs="Times New Roman"/>
                <w:color w:val="000000"/>
                <w:sz w:val="20"/>
                <w:szCs w:val="20"/>
              </w:rPr>
              <w:t>2</w:t>
            </w:r>
          </w:p>
        </w:tc>
        <w:tc>
          <w:tcPr>
            <w:tcW w:w="635" w:type="pct"/>
          </w:tcPr>
          <w:p w:rsidR="00DC3363" w:rsidRPr="007D1EDB" w:rsidRDefault="00DC3363" w:rsidP="006A5231">
            <w:pPr>
              <w:spacing w:after="0" w:line="240" w:lineRule="auto"/>
              <w:jc w:val="center"/>
              <w:rPr>
                <w:rFonts w:ascii="Times New Roman" w:eastAsia="Times New Roman" w:hAnsi="Times New Roman" w:cs="Times New Roman"/>
                <w:color w:val="000000"/>
                <w:sz w:val="20"/>
                <w:szCs w:val="20"/>
              </w:rPr>
            </w:pPr>
            <w:r w:rsidRPr="007D1EDB">
              <w:rPr>
                <w:rFonts w:ascii="Times New Roman" w:eastAsia="Times New Roman" w:hAnsi="Times New Roman" w:cs="Times New Roman"/>
                <w:color w:val="000000"/>
                <w:sz w:val="20"/>
                <w:szCs w:val="20"/>
              </w:rPr>
              <w:t>2,328</w:t>
            </w:r>
          </w:p>
        </w:tc>
      </w:tr>
      <w:tr w:rsidR="00DC3363" w:rsidRPr="007D1EDB" w:rsidTr="00DC3363">
        <w:trPr>
          <w:cantSplit/>
          <w:trHeight w:val="780"/>
        </w:trPr>
        <w:tc>
          <w:tcPr>
            <w:tcW w:w="744" w:type="pct"/>
          </w:tcPr>
          <w:p w:rsidR="00DC3363" w:rsidRPr="007D1EDB" w:rsidRDefault="00DC3363" w:rsidP="006A5231">
            <w:pPr>
              <w:spacing w:after="0" w:line="240" w:lineRule="auto"/>
              <w:jc w:val="center"/>
              <w:rPr>
                <w:rFonts w:ascii="Times New Roman" w:eastAsia="Times New Roman" w:hAnsi="Times New Roman" w:cs="Times New Roman"/>
                <w:color w:val="000000"/>
                <w:sz w:val="20"/>
                <w:szCs w:val="20"/>
              </w:rPr>
            </w:pPr>
          </w:p>
        </w:tc>
        <w:tc>
          <w:tcPr>
            <w:tcW w:w="783" w:type="pct"/>
          </w:tcPr>
          <w:p w:rsidR="00DC3363" w:rsidRPr="007D1EDB" w:rsidRDefault="00DC3363" w:rsidP="006A5231">
            <w:pPr>
              <w:spacing w:after="0" w:line="240" w:lineRule="auto"/>
              <w:jc w:val="center"/>
              <w:rPr>
                <w:rFonts w:ascii="Times New Roman" w:eastAsia="Times New Roman" w:hAnsi="Times New Roman" w:cs="Times New Roman"/>
                <w:color w:val="000000"/>
                <w:sz w:val="20"/>
                <w:szCs w:val="20"/>
              </w:rPr>
            </w:pPr>
            <w:r w:rsidRPr="007D1EDB">
              <w:rPr>
                <w:rFonts w:ascii="Times New Roman" w:eastAsia="Times New Roman" w:hAnsi="Times New Roman" w:cs="Times New Roman"/>
                <w:color w:val="000000"/>
                <w:sz w:val="20"/>
                <w:szCs w:val="20"/>
              </w:rPr>
              <w:t xml:space="preserve">Reporting Event (using new form) </w:t>
            </w:r>
            <w:r w:rsidRPr="007D1EDB">
              <w:rPr>
                <w:rFonts w:ascii="Times New Roman" w:eastAsia="Times New Roman" w:hAnsi="Times New Roman" w:cs="Times New Roman"/>
                <w:color w:val="000000"/>
                <w:sz w:val="20"/>
                <w:szCs w:val="20"/>
              </w:rPr>
              <w:br/>
              <w:t>(Yrs 1, 2, and 3)</w:t>
            </w:r>
          </w:p>
        </w:tc>
        <w:tc>
          <w:tcPr>
            <w:tcW w:w="734" w:type="pct"/>
          </w:tcPr>
          <w:p w:rsidR="00DC3363" w:rsidRPr="007D1EDB" w:rsidRDefault="00DC3363" w:rsidP="006A5231">
            <w:pPr>
              <w:spacing w:after="0" w:line="240" w:lineRule="auto"/>
              <w:jc w:val="center"/>
              <w:rPr>
                <w:rFonts w:ascii="Times New Roman" w:eastAsia="Times New Roman" w:hAnsi="Times New Roman" w:cs="Times New Roman"/>
                <w:color w:val="000000"/>
                <w:sz w:val="20"/>
                <w:szCs w:val="20"/>
              </w:rPr>
            </w:pPr>
            <w:r w:rsidRPr="007D1EDB">
              <w:rPr>
                <w:rFonts w:ascii="Times New Roman" w:eastAsia="Times New Roman" w:hAnsi="Times New Roman" w:cs="Times New Roman"/>
                <w:color w:val="000000"/>
                <w:sz w:val="20"/>
                <w:szCs w:val="20"/>
              </w:rPr>
              <w:t>291</w:t>
            </w:r>
          </w:p>
        </w:tc>
        <w:tc>
          <w:tcPr>
            <w:tcW w:w="782" w:type="pct"/>
          </w:tcPr>
          <w:p w:rsidR="00DC3363" w:rsidRPr="007D1EDB" w:rsidRDefault="00DC3363" w:rsidP="006A5231">
            <w:pPr>
              <w:spacing w:after="0" w:line="240" w:lineRule="auto"/>
              <w:jc w:val="center"/>
              <w:rPr>
                <w:rFonts w:ascii="Times New Roman" w:eastAsia="Times New Roman" w:hAnsi="Times New Roman" w:cs="Times New Roman"/>
                <w:color w:val="000000"/>
                <w:sz w:val="20"/>
                <w:szCs w:val="20"/>
              </w:rPr>
            </w:pPr>
            <w:r w:rsidRPr="007D1EDB">
              <w:rPr>
                <w:rFonts w:ascii="Times New Roman" w:eastAsia="Times New Roman" w:hAnsi="Times New Roman" w:cs="Times New Roman"/>
                <w:color w:val="000000"/>
                <w:sz w:val="20"/>
                <w:szCs w:val="20"/>
              </w:rPr>
              <w:t>1</w:t>
            </w:r>
          </w:p>
        </w:tc>
        <w:tc>
          <w:tcPr>
            <w:tcW w:w="684" w:type="pct"/>
          </w:tcPr>
          <w:p w:rsidR="00DC3363" w:rsidRPr="007D1EDB" w:rsidRDefault="00DC3363" w:rsidP="006A5231">
            <w:pPr>
              <w:spacing w:after="0" w:line="240" w:lineRule="auto"/>
              <w:jc w:val="center"/>
              <w:rPr>
                <w:rFonts w:ascii="Times New Roman" w:eastAsia="Times New Roman" w:hAnsi="Times New Roman" w:cs="Times New Roman"/>
                <w:color w:val="000000"/>
                <w:sz w:val="20"/>
                <w:szCs w:val="20"/>
              </w:rPr>
            </w:pPr>
            <w:r w:rsidRPr="007D1EDB">
              <w:rPr>
                <w:rFonts w:ascii="Times New Roman" w:eastAsia="Times New Roman" w:hAnsi="Times New Roman" w:cs="Times New Roman"/>
                <w:color w:val="000000"/>
                <w:sz w:val="20"/>
                <w:szCs w:val="20"/>
              </w:rPr>
              <w:t>291</w:t>
            </w:r>
          </w:p>
        </w:tc>
        <w:tc>
          <w:tcPr>
            <w:tcW w:w="638" w:type="pct"/>
          </w:tcPr>
          <w:p w:rsidR="00DC3363" w:rsidRPr="007D1EDB" w:rsidRDefault="00DC3363" w:rsidP="006A5231">
            <w:pPr>
              <w:spacing w:after="0" w:line="240" w:lineRule="auto"/>
              <w:jc w:val="center"/>
              <w:rPr>
                <w:rFonts w:ascii="Times New Roman" w:eastAsia="Times New Roman" w:hAnsi="Times New Roman" w:cs="Times New Roman"/>
                <w:color w:val="000000"/>
                <w:sz w:val="20"/>
                <w:szCs w:val="20"/>
              </w:rPr>
            </w:pPr>
            <w:r w:rsidRPr="007D1EDB">
              <w:rPr>
                <w:rFonts w:ascii="Times New Roman" w:eastAsia="Times New Roman" w:hAnsi="Times New Roman" w:cs="Times New Roman"/>
                <w:color w:val="000000"/>
                <w:sz w:val="20"/>
                <w:szCs w:val="20"/>
              </w:rPr>
              <w:t>-0.33</w:t>
            </w:r>
            <w:r>
              <w:rPr>
                <w:rFonts w:ascii="Times New Roman" w:eastAsia="Times New Roman" w:hAnsi="Times New Roman" w:cs="Times New Roman"/>
                <w:color w:val="000000"/>
                <w:sz w:val="20"/>
                <w:szCs w:val="20"/>
              </w:rPr>
              <w:t xml:space="preserve"> (reduction from current burden)</w:t>
            </w:r>
          </w:p>
        </w:tc>
        <w:tc>
          <w:tcPr>
            <w:tcW w:w="635" w:type="pct"/>
          </w:tcPr>
          <w:p w:rsidR="00DC3363" w:rsidRPr="007D1EDB" w:rsidRDefault="00DC3363" w:rsidP="006A5231">
            <w:pPr>
              <w:spacing w:after="0" w:line="240" w:lineRule="auto"/>
              <w:jc w:val="center"/>
              <w:rPr>
                <w:rFonts w:ascii="Times New Roman" w:eastAsia="Times New Roman" w:hAnsi="Times New Roman" w:cs="Times New Roman"/>
                <w:color w:val="000000"/>
                <w:sz w:val="20"/>
                <w:szCs w:val="20"/>
              </w:rPr>
            </w:pPr>
            <w:r w:rsidRPr="007D1EDB">
              <w:rPr>
                <w:rFonts w:ascii="Times New Roman" w:eastAsia="Times New Roman" w:hAnsi="Times New Roman" w:cs="Times New Roman"/>
                <w:color w:val="000000"/>
                <w:sz w:val="20"/>
                <w:szCs w:val="20"/>
              </w:rPr>
              <w:t>-96.03</w:t>
            </w:r>
            <w:r>
              <w:rPr>
                <w:rFonts w:ascii="Times New Roman" w:eastAsia="Times New Roman" w:hAnsi="Times New Roman" w:cs="Times New Roman"/>
                <w:color w:val="000000"/>
                <w:sz w:val="20"/>
                <w:szCs w:val="20"/>
              </w:rPr>
              <w:t xml:space="preserve"> (reduction from current burden)</w:t>
            </w:r>
          </w:p>
        </w:tc>
      </w:tr>
      <w:tr w:rsidR="00DC3363" w:rsidRPr="007D1EDB" w:rsidTr="00DC3363">
        <w:trPr>
          <w:cantSplit/>
          <w:trHeight w:val="780"/>
        </w:trPr>
        <w:tc>
          <w:tcPr>
            <w:tcW w:w="744" w:type="pct"/>
          </w:tcPr>
          <w:p w:rsidR="00DC3363" w:rsidRPr="007D1EDB" w:rsidRDefault="00DC3363" w:rsidP="00107834">
            <w:pPr>
              <w:spacing w:after="0" w:line="240" w:lineRule="auto"/>
              <w:jc w:val="center"/>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One-Time Total Burden (Year 1 Only)</w:t>
            </w:r>
            <w:r>
              <w:rPr>
                <w:rStyle w:val="CommentReference"/>
              </w:rPr>
              <w:t xml:space="preserve"> </w:t>
            </w:r>
          </w:p>
        </w:tc>
        <w:tc>
          <w:tcPr>
            <w:tcW w:w="783" w:type="pct"/>
          </w:tcPr>
          <w:p w:rsidR="00DC3363" w:rsidRPr="007D1EDB" w:rsidRDefault="00DC3363" w:rsidP="006A5231">
            <w:pPr>
              <w:spacing w:after="0" w:line="240" w:lineRule="auto"/>
              <w:jc w:val="center"/>
              <w:rPr>
                <w:rFonts w:ascii="Times New Roman" w:eastAsia="Times New Roman" w:hAnsi="Times New Roman" w:cs="Times New Roman"/>
                <w:color w:val="000000"/>
                <w:sz w:val="20"/>
                <w:szCs w:val="20"/>
              </w:rPr>
            </w:pPr>
          </w:p>
        </w:tc>
        <w:tc>
          <w:tcPr>
            <w:tcW w:w="734" w:type="pct"/>
          </w:tcPr>
          <w:p w:rsidR="00DC3363" w:rsidRPr="007D1EDB" w:rsidRDefault="00DC3363" w:rsidP="006A5231">
            <w:pPr>
              <w:spacing w:after="0" w:line="240" w:lineRule="auto"/>
              <w:jc w:val="center"/>
              <w:rPr>
                <w:rFonts w:ascii="Times New Roman" w:eastAsia="Times New Roman" w:hAnsi="Times New Roman" w:cs="Times New Roman"/>
                <w:color w:val="000000"/>
                <w:sz w:val="20"/>
                <w:szCs w:val="20"/>
              </w:rPr>
            </w:pPr>
          </w:p>
        </w:tc>
        <w:tc>
          <w:tcPr>
            <w:tcW w:w="782" w:type="pct"/>
          </w:tcPr>
          <w:p w:rsidR="00DC3363" w:rsidRPr="007D1EDB" w:rsidRDefault="00DC3363" w:rsidP="006A5231">
            <w:pPr>
              <w:spacing w:after="0" w:line="240" w:lineRule="auto"/>
              <w:jc w:val="center"/>
              <w:rPr>
                <w:rFonts w:ascii="Times New Roman" w:eastAsia="Times New Roman" w:hAnsi="Times New Roman" w:cs="Times New Roman"/>
                <w:color w:val="000000"/>
                <w:sz w:val="20"/>
                <w:szCs w:val="20"/>
              </w:rPr>
            </w:pPr>
          </w:p>
        </w:tc>
        <w:tc>
          <w:tcPr>
            <w:tcW w:w="684" w:type="pct"/>
          </w:tcPr>
          <w:p w:rsidR="00DC3363" w:rsidRPr="007D1EDB" w:rsidRDefault="00DC3363" w:rsidP="006A5231">
            <w:pPr>
              <w:spacing w:after="0" w:line="240" w:lineRule="auto"/>
              <w:jc w:val="center"/>
              <w:rPr>
                <w:rFonts w:ascii="Times New Roman" w:eastAsia="Times New Roman" w:hAnsi="Times New Roman" w:cs="Times New Roman"/>
                <w:color w:val="000000"/>
                <w:sz w:val="20"/>
                <w:szCs w:val="20"/>
              </w:rPr>
            </w:pPr>
          </w:p>
        </w:tc>
        <w:tc>
          <w:tcPr>
            <w:tcW w:w="638" w:type="pct"/>
          </w:tcPr>
          <w:p w:rsidR="00DC3363" w:rsidRPr="007D1EDB" w:rsidRDefault="00DC3363" w:rsidP="006A5231">
            <w:pPr>
              <w:spacing w:after="0" w:line="240" w:lineRule="auto"/>
              <w:jc w:val="center"/>
              <w:rPr>
                <w:rFonts w:ascii="Times New Roman" w:eastAsia="Times New Roman" w:hAnsi="Times New Roman" w:cs="Times New Roman"/>
                <w:color w:val="000000"/>
                <w:sz w:val="20"/>
                <w:szCs w:val="20"/>
              </w:rPr>
            </w:pPr>
          </w:p>
        </w:tc>
        <w:tc>
          <w:tcPr>
            <w:tcW w:w="635" w:type="pct"/>
          </w:tcPr>
          <w:p w:rsidR="00DC3363" w:rsidRPr="007D1EDB" w:rsidRDefault="00DC3363" w:rsidP="00270229">
            <w:pPr>
              <w:spacing w:after="0" w:line="240" w:lineRule="auto"/>
              <w:jc w:val="center"/>
              <w:rPr>
                <w:rFonts w:ascii="Times New Roman" w:eastAsia="Times New Roman" w:hAnsi="Times New Roman" w:cs="Times New Roman"/>
                <w:b/>
                <w:color w:val="000000"/>
                <w:sz w:val="20"/>
                <w:szCs w:val="20"/>
              </w:rPr>
            </w:pPr>
            <w:r w:rsidRPr="007D1EDB">
              <w:rPr>
                <w:rFonts w:ascii="Times New Roman" w:eastAsia="Times New Roman" w:hAnsi="Times New Roman" w:cs="Times New Roman"/>
                <w:b/>
                <w:color w:val="000000"/>
                <w:sz w:val="20"/>
                <w:szCs w:val="20"/>
              </w:rPr>
              <w:t>4,</w:t>
            </w:r>
            <w:r>
              <w:rPr>
                <w:rFonts w:ascii="Times New Roman" w:eastAsia="Times New Roman" w:hAnsi="Times New Roman" w:cs="Times New Roman"/>
                <w:b/>
                <w:color w:val="000000"/>
                <w:sz w:val="20"/>
                <w:szCs w:val="20"/>
              </w:rPr>
              <w:t>216</w:t>
            </w:r>
          </w:p>
        </w:tc>
      </w:tr>
      <w:tr w:rsidR="00DC3363" w:rsidRPr="007D1EDB" w:rsidTr="00DC3363">
        <w:trPr>
          <w:cantSplit/>
          <w:trHeight w:val="780"/>
        </w:trPr>
        <w:tc>
          <w:tcPr>
            <w:tcW w:w="744" w:type="pct"/>
          </w:tcPr>
          <w:p w:rsidR="00DC3363" w:rsidRPr="007D1EDB" w:rsidRDefault="00DC3363" w:rsidP="00270229">
            <w:pPr>
              <w:spacing w:after="0" w:line="240" w:lineRule="auto"/>
              <w:jc w:val="center"/>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Net Total Reporting Event Burden for Each Year</w:t>
            </w:r>
            <w:r w:rsidRPr="007D1EDB">
              <w:rPr>
                <w:rFonts w:ascii="Times New Roman" w:eastAsia="Times New Roman" w:hAnsi="Times New Roman" w:cs="Times New Roman"/>
                <w:b/>
                <w:color w:val="000000"/>
                <w:sz w:val="20"/>
                <w:szCs w:val="20"/>
              </w:rPr>
              <w:t xml:space="preserve"> </w:t>
            </w:r>
          </w:p>
        </w:tc>
        <w:tc>
          <w:tcPr>
            <w:tcW w:w="783" w:type="pct"/>
          </w:tcPr>
          <w:p w:rsidR="00DC3363" w:rsidRPr="007D1EDB" w:rsidRDefault="00DC3363" w:rsidP="006A5231">
            <w:pPr>
              <w:spacing w:after="0" w:line="240" w:lineRule="auto"/>
              <w:jc w:val="center"/>
              <w:rPr>
                <w:rFonts w:ascii="Times New Roman" w:eastAsia="Times New Roman" w:hAnsi="Times New Roman" w:cs="Times New Roman"/>
                <w:color w:val="000000"/>
                <w:sz w:val="20"/>
                <w:szCs w:val="20"/>
              </w:rPr>
            </w:pPr>
          </w:p>
        </w:tc>
        <w:tc>
          <w:tcPr>
            <w:tcW w:w="734" w:type="pct"/>
          </w:tcPr>
          <w:p w:rsidR="00DC3363" w:rsidRPr="007D1EDB" w:rsidRDefault="00DC3363" w:rsidP="006A5231">
            <w:pPr>
              <w:spacing w:after="0" w:line="240" w:lineRule="auto"/>
              <w:jc w:val="center"/>
              <w:rPr>
                <w:rFonts w:ascii="Times New Roman" w:eastAsia="Times New Roman" w:hAnsi="Times New Roman" w:cs="Times New Roman"/>
                <w:color w:val="000000"/>
                <w:sz w:val="20"/>
                <w:szCs w:val="20"/>
              </w:rPr>
            </w:pPr>
          </w:p>
        </w:tc>
        <w:tc>
          <w:tcPr>
            <w:tcW w:w="782" w:type="pct"/>
          </w:tcPr>
          <w:p w:rsidR="00DC3363" w:rsidRPr="007D1EDB" w:rsidRDefault="00DC3363" w:rsidP="006A5231">
            <w:pPr>
              <w:spacing w:after="0" w:line="240" w:lineRule="auto"/>
              <w:jc w:val="center"/>
              <w:rPr>
                <w:rFonts w:ascii="Times New Roman" w:eastAsia="Times New Roman" w:hAnsi="Times New Roman" w:cs="Times New Roman"/>
                <w:color w:val="000000"/>
                <w:sz w:val="20"/>
                <w:szCs w:val="20"/>
              </w:rPr>
            </w:pPr>
          </w:p>
        </w:tc>
        <w:tc>
          <w:tcPr>
            <w:tcW w:w="684" w:type="pct"/>
          </w:tcPr>
          <w:p w:rsidR="00DC3363" w:rsidRPr="007D1EDB" w:rsidRDefault="00DC3363" w:rsidP="006A5231">
            <w:pPr>
              <w:spacing w:after="0" w:line="240" w:lineRule="auto"/>
              <w:jc w:val="center"/>
              <w:rPr>
                <w:rFonts w:ascii="Times New Roman" w:eastAsia="Times New Roman" w:hAnsi="Times New Roman" w:cs="Times New Roman"/>
                <w:color w:val="000000"/>
                <w:sz w:val="20"/>
                <w:szCs w:val="20"/>
              </w:rPr>
            </w:pPr>
          </w:p>
        </w:tc>
        <w:tc>
          <w:tcPr>
            <w:tcW w:w="638" w:type="pct"/>
          </w:tcPr>
          <w:p w:rsidR="00DC3363" w:rsidRPr="007D1EDB" w:rsidRDefault="00DC3363" w:rsidP="006A5231">
            <w:pPr>
              <w:spacing w:after="0" w:line="240" w:lineRule="auto"/>
              <w:jc w:val="center"/>
              <w:rPr>
                <w:rFonts w:ascii="Times New Roman" w:eastAsia="Times New Roman" w:hAnsi="Times New Roman" w:cs="Times New Roman"/>
                <w:color w:val="000000"/>
                <w:sz w:val="20"/>
                <w:szCs w:val="20"/>
              </w:rPr>
            </w:pPr>
          </w:p>
        </w:tc>
        <w:tc>
          <w:tcPr>
            <w:tcW w:w="635" w:type="pct"/>
          </w:tcPr>
          <w:p w:rsidR="00DC3363" w:rsidRDefault="00DC3363" w:rsidP="006A5231">
            <w:pPr>
              <w:spacing w:after="0" w:line="240" w:lineRule="auto"/>
              <w:jc w:val="center"/>
              <w:rPr>
                <w:rFonts w:ascii="Times New Roman" w:eastAsia="Times New Roman" w:hAnsi="Times New Roman" w:cs="Times New Roman"/>
                <w:b/>
                <w:color w:val="000000"/>
                <w:sz w:val="20"/>
                <w:szCs w:val="20"/>
              </w:rPr>
            </w:pPr>
            <w:r w:rsidRPr="007D1EDB">
              <w:rPr>
                <w:rFonts w:ascii="Times New Roman" w:eastAsia="Times New Roman" w:hAnsi="Times New Roman" w:cs="Times New Roman"/>
                <w:b/>
                <w:color w:val="000000"/>
                <w:sz w:val="20"/>
                <w:szCs w:val="20"/>
              </w:rPr>
              <w:t>-86</w:t>
            </w:r>
            <w:r w:rsidRPr="007D1EDB">
              <w:rPr>
                <w:rStyle w:val="FootnoteReference"/>
                <w:rFonts w:ascii="Times New Roman" w:eastAsia="Times New Roman" w:hAnsi="Times New Roman" w:cs="Times New Roman"/>
                <w:b/>
                <w:color w:val="000000"/>
                <w:sz w:val="20"/>
                <w:szCs w:val="20"/>
                <w:vertAlign w:val="superscript"/>
              </w:rPr>
              <w:footnoteReference w:id="24"/>
            </w:r>
            <w:r w:rsidRPr="007D1EDB">
              <w:rPr>
                <w:rFonts w:ascii="Times New Roman" w:eastAsia="Times New Roman" w:hAnsi="Times New Roman" w:cs="Times New Roman"/>
                <w:b/>
                <w:color w:val="000000"/>
                <w:sz w:val="20"/>
                <w:szCs w:val="20"/>
              </w:rPr>
              <w:t xml:space="preserve"> </w:t>
            </w:r>
          </w:p>
          <w:p w:rsidR="00DC3363" w:rsidRPr="007D1EDB" w:rsidRDefault="00DC3363" w:rsidP="006A5231">
            <w:pPr>
              <w:spacing w:after="0" w:line="240" w:lineRule="auto"/>
              <w:jc w:val="center"/>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(reduction from current burden)</w:t>
            </w:r>
          </w:p>
        </w:tc>
      </w:tr>
    </w:tbl>
    <w:p w:rsidR="0004709E" w:rsidRPr="00BD0FD5" w:rsidRDefault="0004709E" w:rsidP="006A5231">
      <w:pPr>
        <w:widowControl w:val="0"/>
        <w:autoSpaceDE w:val="0"/>
        <w:autoSpaceDN w:val="0"/>
        <w:adjustRightInd w:val="0"/>
        <w:spacing w:after="240" w:line="240" w:lineRule="auto"/>
        <w:ind w:left="360"/>
        <w:rPr>
          <w:rFonts w:ascii="Times New Roman" w:eastAsia="Times New Roman" w:hAnsi="Times New Roman" w:cs="Times New Roman"/>
          <w:sz w:val="24"/>
          <w:szCs w:val="24"/>
        </w:rPr>
      </w:pPr>
    </w:p>
    <w:p w:rsidR="006A5231" w:rsidRPr="00BD0FD5" w:rsidRDefault="006A5231" w:rsidP="006A5231">
      <w:pPr>
        <w:widowControl w:val="0"/>
        <w:autoSpaceDE w:val="0"/>
        <w:autoSpaceDN w:val="0"/>
        <w:adjustRightInd w:val="0"/>
        <w:spacing w:after="240" w:line="240" w:lineRule="auto"/>
        <w:ind w:left="360"/>
        <w:rPr>
          <w:rFonts w:ascii="Times New Roman" w:eastAsia="Times New Roman" w:hAnsi="Times New Roman" w:cs="Times New Roman"/>
          <w:sz w:val="24"/>
          <w:szCs w:val="24"/>
        </w:rPr>
      </w:pPr>
      <w:r w:rsidRPr="00BD0FD5">
        <w:rPr>
          <w:rFonts w:ascii="Times New Roman" w:eastAsia="Times New Roman" w:hAnsi="Times New Roman" w:cs="Times New Roman"/>
          <w:sz w:val="24"/>
          <w:szCs w:val="24"/>
        </w:rPr>
        <w:t>The estimated breakdown of annual cost is as follows:</w:t>
      </w:r>
    </w:p>
    <w:p w:rsidR="006A5231" w:rsidRPr="00BD0FD5" w:rsidRDefault="006A5231" w:rsidP="006A5231">
      <w:pPr>
        <w:widowControl w:val="0"/>
        <w:numPr>
          <w:ilvl w:val="0"/>
          <w:numId w:val="21"/>
        </w:numPr>
        <w:autoSpaceDE w:val="0"/>
        <w:autoSpaceDN w:val="0"/>
        <w:adjustRightInd w:val="0"/>
        <w:spacing w:after="240" w:line="240" w:lineRule="auto"/>
        <w:ind w:left="1080"/>
        <w:rPr>
          <w:rFonts w:ascii="Times New Roman" w:eastAsia="Times New Roman" w:hAnsi="Times New Roman" w:cs="Times New Roman"/>
          <w:sz w:val="24"/>
          <w:szCs w:val="24"/>
        </w:rPr>
      </w:pPr>
      <w:r w:rsidRPr="00BD0FD5">
        <w:rPr>
          <w:rFonts w:ascii="Times New Roman" w:eastAsia="Times New Roman" w:hAnsi="Times New Roman" w:cs="Times New Roman"/>
          <w:sz w:val="24"/>
          <w:szCs w:val="24"/>
        </w:rPr>
        <w:lastRenderedPageBreak/>
        <w:t>Year 1</w:t>
      </w:r>
    </w:p>
    <w:p w:rsidR="006A5231" w:rsidRPr="00BD0FD5" w:rsidRDefault="006A5231" w:rsidP="006A5231">
      <w:pPr>
        <w:widowControl w:val="0"/>
        <w:numPr>
          <w:ilvl w:val="1"/>
          <w:numId w:val="21"/>
        </w:numPr>
        <w:autoSpaceDE w:val="0"/>
        <w:autoSpaceDN w:val="0"/>
        <w:adjustRightInd w:val="0"/>
        <w:spacing w:after="240" w:line="240" w:lineRule="auto"/>
        <w:rPr>
          <w:rFonts w:ascii="Times New Roman" w:eastAsia="Times New Roman" w:hAnsi="Times New Roman" w:cs="Times New Roman"/>
          <w:sz w:val="24"/>
          <w:szCs w:val="24"/>
        </w:rPr>
      </w:pPr>
      <w:r w:rsidRPr="00BD0FD5">
        <w:rPr>
          <w:rFonts w:ascii="Times New Roman" w:eastAsia="Times New Roman" w:hAnsi="Times New Roman" w:cs="Times New Roman"/>
          <w:sz w:val="24"/>
          <w:szCs w:val="24"/>
        </w:rPr>
        <w:t>New Entities, Development of Operating Plan: 236 entities * 1 response/entity * (8 hours/response * $60/hour</w:t>
      </w:r>
      <w:r w:rsidRPr="00BD0FD5">
        <w:rPr>
          <w:rFonts w:ascii="Times New Roman" w:eastAsia="Times New Roman" w:hAnsi="Times New Roman" w:cs="Times New Roman"/>
          <w:sz w:val="24"/>
          <w:szCs w:val="24"/>
          <w:vertAlign w:val="superscript"/>
        </w:rPr>
        <w:footnoteReference w:id="25"/>
      </w:r>
      <w:r w:rsidRPr="00BD0FD5">
        <w:rPr>
          <w:rFonts w:ascii="Times New Roman" w:eastAsia="Times New Roman" w:hAnsi="Times New Roman" w:cs="Times New Roman"/>
          <w:sz w:val="24"/>
          <w:szCs w:val="24"/>
        </w:rPr>
        <w:t>)</w:t>
      </w:r>
      <w:bookmarkStart w:id="1" w:name="OLE_LINK1"/>
      <w:bookmarkStart w:id="2" w:name="OLE_LINK2"/>
      <w:r w:rsidRPr="00BD0FD5">
        <w:rPr>
          <w:rFonts w:ascii="Times New Roman" w:eastAsia="Times New Roman" w:hAnsi="Times New Roman" w:cs="Times New Roman"/>
          <w:sz w:val="24"/>
          <w:szCs w:val="24"/>
        </w:rPr>
        <w:t xml:space="preserve"> </w:t>
      </w:r>
      <w:bookmarkEnd w:id="1"/>
      <w:bookmarkEnd w:id="2"/>
      <w:r w:rsidRPr="00BD0FD5">
        <w:rPr>
          <w:rFonts w:ascii="Times New Roman" w:eastAsia="Times New Roman" w:hAnsi="Times New Roman" w:cs="Times New Roman"/>
          <w:sz w:val="24"/>
          <w:szCs w:val="24"/>
        </w:rPr>
        <w:t>= $113,280.</w:t>
      </w:r>
    </w:p>
    <w:p w:rsidR="006A5231" w:rsidRPr="00BD0FD5" w:rsidRDefault="006A5231" w:rsidP="006A5231">
      <w:pPr>
        <w:widowControl w:val="0"/>
        <w:numPr>
          <w:ilvl w:val="1"/>
          <w:numId w:val="21"/>
        </w:numPr>
        <w:autoSpaceDE w:val="0"/>
        <w:autoSpaceDN w:val="0"/>
        <w:adjustRightInd w:val="0"/>
        <w:spacing w:after="240" w:line="240" w:lineRule="auto"/>
        <w:rPr>
          <w:rFonts w:ascii="Times New Roman" w:eastAsia="Times New Roman" w:hAnsi="Times New Roman" w:cs="Times New Roman"/>
          <w:sz w:val="24"/>
          <w:szCs w:val="24"/>
        </w:rPr>
      </w:pPr>
      <w:r w:rsidRPr="00BD0FD5">
        <w:rPr>
          <w:rFonts w:ascii="Times New Roman" w:eastAsia="Times New Roman" w:hAnsi="Times New Roman" w:cs="Times New Roman"/>
          <w:sz w:val="24"/>
          <w:szCs w:val="24"/>
        </w:rPr>
        <w:t>New Entities, Event Reporting: 59 entities * 1 response/entity * (.17 hours/response * $60/hour) = $601.80.</w:t>
      </w:r>
    </w:p>
    <w:p w:rsidR="006A5231" w:rsidRPr="00BD0FD5" w:rsidRDefault="006A5231" w:rsidP="006A5231">
      <w:pPr>
        <w:widowControl w:val="0"/>
        <w:numPr>
          <w:ilvl w:val="1"/>
          <w:numId w:val="21"/>
        </w:numPr>
        <w:autoSpaceDE w:val="0"/>
        <w:autoSpaceDN w:val="0"/>
        <w:adjustRightInd w:val="0"/>
        <w:spacing w:after="240" w:line="240" w:lineRule="auto"/>
        <w:rPr>
          <w:rFonts w:ascii="Times New Roman" w:eastAsia="Times New Roman" w:hAnsi="Times New Roman" w:cs="Times New Roman"/>
          <w:sz w:val="24"/>
          <w:szCs w:val="24"/>
        </w:rPr>
      </w:pPr>
      <w:r w:rsidRPr="00BD0FD5">
        <w:rPr>
          <w:rFonts w:ascii="Times New Roman" w:eastAsia="Times New Roman" w:hAnsi="Times New Roman" w:cs="Times New Roman"/>
          <w:sz w:val="24"/>
          <w:szCs w:val="24"/>
        </w:rPr>
        <w:t>Current Responsible Entities, Conforming Operating Plan: 1164 entities * 1 response/entity * (2 hours/response * $60/hour) = $139,680.</w:t>
      </w:r>
    </w:p>
    <w:p w:rsidR="006A5231" w:rsidRPr="00BD0FD5" w:rsidRDefault="006A5231" w:rsidP="006A5231">
      <w:pPr>
        <w:widowControl w:val="0"/>
        <w:numPr>
          <w:ilvl w:val="1"/>
          <w:numId w:val="21"/>
        </w:numPr>
        <w:autoSpaceDE w:val="0"/>
        <w:autoSpaceDN w:val="0"/>
        <w:adjustRightInd w:val="0"/>
        <w:spacing w:after="240" w:line="240" w:lineRule="auto"/>
        <w:rPr>
          <w:rFonts w:ascii="Times New Roman" w:eastAsia="Times New Roman" w:hAnsi="Times New Roman" w:cs="Times New Roman"/>
          <w:sz w:val="24"/>
          <w:szCs w:val="24"/>
        </w:rPr>
      </w:pPr>
      <w:r w:rsidRPr="00BD0FD5">
        <w:rPr>
          <w:rFonts w:ascii="Times New Roman" w:eastAsia="Times New Roman" w:hAnsi="Times New Roman" w:cs="Times New Roman"/>
          <w:sz w:val="24"/>
          <w:szCs w:val="24"/>
        </w:rPr>
        <w:t>Current Responsible Entities, Event Reporting Using New Event Reporting Form: 291 entities * 1 response/entity * [(.17 hours/response - .5 hours/response)</w:t>
      </w:r>
      <w:bookmarkStart w:id="3" w:name="_Ref367368627"/>
      <w:r w:rsidRPr="00BD0FD5">
        <w:rPr>
          <w:rFonts w:ascii="Times New Roman" w:eastAsia="Times New Roman" w:hAnsi="Times New Roman" w:cs="Times New Roman"/>
          <w:sz w:val="24"/>
          <w:szCs w:val="24"/>
          <w:vertAlign w:val="superscript"/>
        </w:rPr>
        <w:footnoteReference w:id="26"/>
      </w:r>
      <w:bookmarkEnd w:id="3"/>
      <w:r w:rsidRPr="00BD0FD5">
        <w:rPr>
          <w:rFonts w:ascii="Times New Roman" w:eastAsia="Times New Roman" w:hAnsi="Times New Roman" w:cs="Times New Roman"/>
          <w:sz w:val="24"/>
          <w:szCs w:val="24"/>
        </w:rPr>
        <w:t xml:space="preserve"> * $60/hour] = ($5,761.80).</w:t>
      </w:r>
    </w:p>
    <w:p w:rsidR="006A5231" w:rsidRPr="00BD0FD5" w:rsidRDefault="006A5231" w:rsidP="006A5231">
      <w:pPr>
        <w:keepNext/>
        <w:widowControl w:val="0"/>
        <w:numPr>
          <w:ilvl w:val="0"/>
          <w:numId w:val="21"/>
        </w:numPr>
        <w:autoSpaceDE w:val="0"/>
        <w:autoSpaceDN w:val="0"/>
        <w:adjustRightInd w:val="0"/>
        <w:spacing w:after="240" w:line="240" w:lineRule="auto"/>
        <w:ind w:left="1080"/>
        <w:rPr>
          <w:rFonts w:ascii="Times New Roman" w:eastAsia="Times New Roman" w:hAnsi="Times New Roman" w:cs="Times New Roman"/>
          <w:sz w:val="24"/>
          <w:szCs w:val="24"/>
        </w:rPr>
      </w:pPr>
      <w:r w:rsidRPr="00BD0FD5">
        <w:rPr>
          <w:rFonts w:ascii="Times New Roman" w:eastAsia="Times New Roman" w:hAnsi="Times New Roman" w:cs="Times New Roman"/>
          <w:sz w:val="24"/>
          <w:szCs w:val="24"/>
        </w:rPr>
        <w:t>Year 2 and ongoing</w:t>
      </w:r>
    </w:p>
    <w:p w:rsidR="006A5231" w:rsidRPr="00BD0FD5" w:rsidRDefault="006A5231" w:rsidP="006A5231">
      <w:pPr>
        <w:widowControl w:val="0"/>
        <w:numPr>
          <w:ilvl w:val="1"/>
          <w:numId w:val="21"/>
        </w:numPr>
        <w:autoSpaceDE w:val="0"/>
        <w:autoSpaceDN w:val="0"/>
        <w:adjustRightInd w:val="0"/>
        <w:spacing w:after="240" w:line="240" w:lineRule="auto"/>
        <w:rPr>
          <w:rFonts w:ascii="Times New Roman" w:eastAsia="Times New Roman" w:hAnsi="Times New Roman" w:cs="Times New Roman"/>
          <w:sz w:val="24"/>
          <w:szCs w:val="24"/>
        </w:rPr>
      </w:pPr>
      <w:r w:rsidRPr="00BD0FD5">
        <w:rPr>
          <w:rFonts w:ascii="Times New Roman" w:eastAsia="Times New Roman" w:hAnsi="Times New Roman" w:cs="Times New Roman"/>
          <w:sz w:val="24"/>
          <w:szCs w:val="24"/>
        </w:rPr>
        <w:t>New Entities, Using “Event Reporting Form”: 59 entities * 1 response/entity * (.17 hours/response * $60/hour) = $601.80.</w:t>
      </w:r>
    </w:p>
    <w:p w:rsidR="005B74EF" w:rsidRDefault="006A5231" w:rsidP="006A5231">
      <w:pPr>
        <w:pStyle w:val="FERCparanumber"/>
        <w:numPr>
          <w:ilvl w:val="1"/>
          <w:numId w:val="21"/>
        </w:numPr>
        <w:spacing w:line="240" w:lineRule="auto"/>
        <w:rPr>
          <w:sz w:val="24"/>
        </w:rPr>
      </w:pPr>
      <w:r w:rsidRPr="00BD0FD5">
        <w:rPr>
          <w:sz w:val="24"/>
        </w:rPr>
        <w:t>Old Entities, Using “Event Reporting Form”: 291 entities * 1 response/entity * [(.17 hours/response - .5 hours/response)</w:t>
      </w:r>
      <w:r w:rsidR="00FF0862" w:rsidRPr="00107834">
        <w:rPr>
          <w:sz w:val="24"/>
          <w:vertAlign w:val="superscript"/>
        </w:rPr>
        <w:fldChar w:fldCharType="begin"/>
      </w:r>
      <w:r w:rsidR="00FF0862" w:rsidRPr="00107834">
        <w:rPr>
          <w:sz w:val="24"/>
          <w:vertAlign w:val="superscript"/>
        </w:rPr>
        <w:instrText xml:space="preserve"> NOTEREF _Ref367368627 \h </w:instrText>
      </w:r>
      <w:r w:rsidR="00FF0862">
        <w:rPr>
          <w:sz w:val="24"/>
          <w:vertAlign w:val="superscript"/>
        </w:rPr>
        <w:instrText xml:space="preserve"> \* MERGEFORMAT </w:instrText>
      </w:r>
      <w:r w:rsidR="00FF0862" w:rsidRPr="00107834">
        <w:rPr>
          <w:sz w:val="24"/>
          <w:vertAlign w:val="superscript"/>
        </w:rPr>
      </w:r>
      <w:r w:rsidR="00FF0862" w:rsidRPr="00107834">
        <w:rPr>
          <w:sz w:val="24"/>
          <w:vertAlign w:val="superscript"/>
        </w:rPr>
        <w:fldChar w:fldCharType="separate"/>
      </w:r>
      <w:r w:rsidR="00DC3363">
        <w:rPr>
          <w:sz w:val="24"/>
          <w:vertAlign w:val="superscript"/>
        </w:rPr>
        <w:t>26</w:t>
      </w:r>
      <w:r w:rsidR="00FF0862" w:rsidRPr="00107834">
        <w:rPr>
          <w:sz w:val="24"/>
          <w:vertAlign w:val="superscript"/>
        </w:rPr>
        <w:fldChar w:fldCharType="end"/>
      </w:r>
      <w:r w:rsidRPr="00BD0FD5">
        <w:rPr>
          <w:sz w:val="24"/>
        </w:rPr>
        <w:t xml:space="preserve"> * $60/hour] = ($5,761.80).</w:t>
      </w:r>
    </w:p>
    <w:p w:rsidR="00BA57C6" w:rsidRDefault="00BA57C6" w:rsidP="00BA57C6">
      <w:pPr>
        <w:pStyle w:val="FERCparanumber"/>
        <w:numPr>
          <w:ilvl w:val="0"/>
          <w:numId w:val="0"/>
        </w:numPr>
        <w:spacing w:line="240" w:lineRule="auto"/>
        <w:rPr>
          <w:sz w:val="24"/>
        </w:rPr>
      </w:pPr>
    </w:p>
    <w:p w:rsidR="00BA57C6" w:rsidRPr="00BA57C6" w:rsidRDefault="00BA57C6" w:rsidP="00BA57C6">
      <w:pPr>
        <w:spacing w:after="0" w:line="240" w:lineRule="auto"/>
        <w:rPr>
          <w:rFonts w:ascii="Times New Roman" w:eastAsia="Calibri" w:hAnsi="Times New Roman" w:cs="Times New Roman"/>
          <w:sz w:val="26"/>
          <w:szCs w:val="26"/>
        </w:rPr>
      </w:pPr>
      <w:r w:rsidRPr="00BA57C6">
        <w:rPr>
          <w:rFonts w:ascii="Times New Roman" w:eastAsia="Calibri" w:hAnsi="Times New Roman" w:cs="Times New Roman"/>
          <w:sz w:val="26"/>
          <w:szCs w:val="26"/>
        </w:rPr>
        <w:t>The existing burden inventory for the entire FERC-725A collection is estimated at 1,829,523 burden hours.  FERC</w:t>
      </w:r>
      <w:r w:rsidR="00FF0862">
        <w:rPr>
          <w:rFonts w:ascii="Times New Roman" w:eastAsia="Calibri" w:hAnsi="Times New Roman" w:cs="Times New Roman"/>
          <w:sz w:val="26"/>
          <w:szCs w:val="26"/>
        </w:rPr>
        <w:t>-</w:t>
      </w:r>
      <w:r w:rsidRPr="00BA57C6">
        <w:rPr>
          <w:rFonts w:ascii="Times New Roman" w:eastAsia="Calibri" w:hAnsi="Times New Roman" w:cs="Times New Roman"/>
          <w:sz w:val="26"/>
          <w:szCs w:val="26"/>
        </w:rPr>
        <w:t>725A contains the information collection requirements for nearly all of the US wide Reliability Standards.  The collection started in 2007 when FERC approved 83 Reliability Standards with an estimated 1,252,680 burden hours.</w:t>
      </w:r>
    </w:p>
    <w:p w:rsidR="00BA57C6" w:rsidRPr="00BA57C6" w:rsidRDefault="00BA57C6" w:rsidP="00BA57C6">
      <w:pPr>
        <w:spacing w:after="0" w:line="240" w:lineRule="auto"/>
        <w:rPr>
          <w:rFonts w:ascii="Times New Roman" w:eastAsia="Calibri" w:hAnsi="Times New Roman" w:cs="Times New Roman"/>
          <w:sz w:val="26"/>
          <w:szCs w:val="26"/>
        </w:rPr>
      </w:pPr>
    </w:p>
    <w:p w:rsidR="00BA57C6" w:rsidRPr="00BA57C6" w:rsidRDefault="00BA57C6" w:rsidP="00BA57C6">
      <w:pPr>
        <w:spacing w:after="0" w:line="240" w:lineRule="auto"/>
        <w:rPr>
          <w:rFonts w:ascii="Times New Roman" w:eastAsia="Calibri" w:hAnsi="Times New Roman" w:cs="Times New Roman"/>
          <w:sz w:val="26"/>
          <w:szCs w:val="26"/>
        </w:rPr>
      </w:pPr>
      <w:r w:rsidRPr="00BA57C6">
        <w:rPr>
          <w:rFonts w:ascii="Times New Roman" w:eastAsia="Calibri" w:hAnsi="Times New Roman" w:cs="Times New Roman"/>
          <w:sz w:val="26"/>
          <w:szCs w:val="26"/>
        </w:rPr>
        <w:t xml:space="preserve">Since that time NERC has revised many of the original standards (as well as proposed new standards) resulting in many incremental additions to the total burden hours (a total of approximately 575,000 burden hours).  One of the most notable additions occurred in 2011(ICR # 201012-1902-005) when we closely evaluated the number of respondents and found that there were approximately 500 more than we previously estimated.  This adjustment increased the total burden for the FERC-725A by approximately 450,000 hours.   </w:t>
      </w:r>
    </w:p>
    <w:p w:rsidR="006A5231" w:rsidRPr="00BD0FD5" w:rsidRDefault="006A5231" w:rsidP="006A5231">
      <w:pPr>
        <w:pStyle w:val="FERCparanumber"/>
        <w:numPr>
          <w:ilvl w:val="0"/>
          <w:numId w:val="0"/>
        </w:numPr>
        <w:spacing w:line="240" w:lineRule="auto"/>
        <w:rPr>
          <w:sz w:val="24"/>
        </w:rPr>
      </w:pPr>
    </w:p>
    <w:p w:rsidR="00D80FBD" w:rsidRPr="00BD0FD5" w:rsidRDefault="00E636D7" w:rsidP="0092596C">
      <w:pPr>
        <w:pStyle w:val="ListParagraph"/>
        <w:numPr>
          <w:ilvl w:val="0"/>
          <w:numId w:val="1"/>
        </w:numPr>
        <w:spacing w:after="0" w:line="240" w:lineRule="auto"/>
        <w:ind w:left="360"/>
        <w:rPr>
          <w:rFonts w:ascii="Times New Roman" w:hAnsi="Times New Roman" w:cs="Times New Roman"/>
          <w:b/>
          <w:sz w:val="24"/>
          <w:szCs w:val="24"/>
        </w:rPr>
      </w:pPr>
      <w:r w:rsidRPr="00BD0FD5">
        <w:rPr>
          <w:rFonts w:ascii="Times New Roman" w:hAnsi="Times New Roman" w:cs="Times New Roman"/>
          <w:b/>
          <w:sz w:val="24"/>
          <w:szCs w:val="24"/>
        </w:rPr>
        <w:t>ESTIMATE OF THE TOTAL ANNUAL COST BURDEN TO RESPONDENTS</w:t>
      </w:r>
    </w:p>
    <w:p w:rsidR="00E636D7" w:rsidRPr="00BD0FD5" w:rsidRDefault="00E636D7" w:rsidP="0092596C">
      <w:pPr>
        <w:spacing w:after="0" w:line="240" w:lineRule="auto"/>
        <w:rPr>
          <w:rFonts w:ascii="Times New Roman" w:hAnsi="Times New Roman" w:cs="Times New Roman"/>
          <w:sz w:val="24"/>
          <w:szCs w:val="24"/>
        </w:rPr>
      </w:pPr>
    </w:p>
    <w:p w:rsidR="004552E9" w:rsidRPr="00BD0FD5" w:rsidRDefault="004552E9" w:rsidP="0092596C">
      <w:pPr>
        <w:spacing w:after="0" w:line="240" w:lineRule="auto"/>
        <w:rPr>
          <w:rFonts w:ascii="Times New Roman" w:hAnsi="Times New Roman"/>
          <w:sz w:val="24"/>
          <w:szCs w:val="24"/>
        </w:rPr>
      </w:pPr>
      <w:r w:rsidRPr="00BD0FD5">
        <w:rPr>
          <w:rFonts w:ascii="Times New Roman" w:hAnsi="Times New Roman"/>
          <w:sz w:val="24"/>
          <w:szCs w:val="24"/>
        </w:rPr>
        <w:lastRenderedPageBreak/>
        <w:t xml:space="preserve">There is no start-up or other non-labor hour cost associated with </w:t>
      </w:r>
      <w:r w:rsidR="006A5231" w:rsidRPr="00BD0FD5">
        <w:rPr>
          <w:rFonts w:ascii="Times New Roman" w:hAnsi="Times New Roman"/>
          <w:sz w:val="24"/>
          <w:szCs w:val="24"/>
        </w:rPr>
        <w:t>this collection</w:t>
      </w:r>
      <w:r w:rsidRPr="00BD0FD5">
        <w:rPr>
          <w:rFonts w:ascii="Times New Roman" w:hAnsi="Times New Roman"/>
          <w:sz w:val="24"/>
          <w:szCs w:val="24"/>
        </w:rPr>
        <w:t xml:space="preserve">.  </w:t>
      </w:r>
    </w:p>
    <w:p w:rsidR="00E636D7" w:rsidRPr="00BD0FD5" w:rsidRDefault="00E636D7" w:rsidP="0092596C">
      <w:pPr>
        <w:spacing w:after="0" w:line="240" w:lineRule="auto"/>
        <w:rPr>
          <w:rFonts w:ascii="Times New Roman" w:hAnsi="Times New Roman" w:cs="Times New Roman"/>
          <w:sz w:val="24"/>
          <w:szCs w:val="24"/>
        </w:rPr>
      </w:pPr>
    </w:p>
    <w:p w:rsidR="00E636D7" w:rsidRPr="00BD0FD5" w:rsidRDefault="00A276F5" w:rsidP="0092596C">
      <w:pPr>
        <w:pStyle w:val="ListParagraph"/>
        <w:numPr>
          <w:ilvl w:val="0"/>
          <w:numId w:val="1"/>
        </w:numPr>
        <w:spacing w:after="0" w:line="240" w:lineRule="auto"/>
        <w:ind w:left="360"/>
        <w:rPr>
          <w:rFonts w:ascii="Times New Roman" w:hAnsi="Times New Roman" w:cs="Times New Roman"/>
          <w:b/>
          <w:sz w:val="24"/>
          <w:szCs w:val="24"/>
        </w:rPr>
      </w:pPr>
      <w:r w:rsidRPr="00BD0FD5">
        <w:rPr>
          <w:rFonts w:ascii="Times New Roman" w:hAnsi="Times New Roman" w:cs="Times New Roman"/>
          <w:b/>
          <w:sz w:val="24"/>
          <w:szCs w:val="24"/>
        </w:rPr>
        <w:t>ESTIMATED ANNUALIZED COST TO FEDERAL GOVERNMENT</w:t>
      </w:r>
    </w:p>
    <w:p w:rsidR="00A276F5" w:rsidRPr="00BD0FD5" w:rsidRDefault="00A276F5" w:rsidP="0092596C">
      <w:pPr>
        <w:spacing w:after="0" w:line="240" w:lineRule="auto"/>
        <w:rPr>
          <w:rFonts w:ascii="Times New Roman" w:hAnsi="Times New Roman" w:cs="Times New Roman"/>
          <w:sz w:val="24"/>
          <w:szCs w:val="24"/>
        </w:rPr>
      </w:pPr>
    </w:p>
    <w:p w:rsidR="004552E9" w:rsidRPr="00BD0FD5" w:rsidRDefault="004552E9" w:rsidP="0092596C">
      <w:pPr>
        <w:spacing w:after="0" w:line="240" w:lineRule="auto"/>
        <w:rPr>
          <w:rFonts w:ascii="Times New Roman" w:hAnsi="Times New Roman"/>
          <w:sz w:val="24"/>
          <w:szCs w:val="24"/>
        </w:rPr>
      </w:pPr>
      <w:r w:rsidRPr="00BD0FD5">
        <w:rPr>
          <w:rFonts w:ascii="Times New Roman" w:hAnsi="Times New Roman"/>
          <w:sz w:val="24"/>
          <w:szCs w:val="24"/>
        </w:rPr>
        <w:t xml:space="preserve">The Regional Entities and NERC do most of the data processing, monitoring and compliance work for Reliability Standards.  Any involvement by the Commission is covered under the FERC-725 collection (1902-0225) and is not part of this request or package.  </w:t>
      </w:r>
    </w:p>
    <w:p w:rsidR="004552E9" w:rsidRPr="00BD0FD5" w:rsidRDefault="004552E9" w:rsidP="0092596C">
      <w:pPr>
        <w:spacing w:after="0" w:line="240" w:lineRule="auto"/>
        <w:rPr>
          <w:rFonts w:ascii="Times New Roman" w:hAnsi="Times New Roman"/>
          <w:sz w:val="24"/>
          <w:szCs w:val="24"/>
        </w:rPr>
      </w:pPr>
    </w:p>
    <w:p w:rsidR="00A276F5" w:rsidRPr="00BD0FD5" w:rsidRDefault="004552E9" w:rsidP="0092596C">
      <w:pPr>
        <w:spacing w:after="0" w:line="240" w:lineRule="auto"/>
        <w:rPr>
          <w:rFonts w:ascii="Times New Roman" w:hAnsi="Times New Roman" w:cs="Times New Roman"/>
          <w:sz w:val="24"/>
          <w:szCs w:val="24"/>
        </w:rPr>
      </w:pPr>
      <w:r w:rsidRPr="00BD0FD5">
        <w:rPr>
          <w:rFonts w:ascii="Times New Roman" w:hAnsi="Times New Roman"/>
          <w:sz w:val="24"/>
          <w:szCs w:val="24"/>
        </w:rPr>
        <w:t>The Commission does incur the costs associated with obtaining OMB clearance under the Paperwork Reduction Act for this Collection.  FERC estimates</w:t>
      </w:r>
      <w:r w:rsidR="00DB14A2" w:rsidRPr="00BD0FD5">
        <w:rPr>
          <w:rFonts w:ascii="Times New Roman" w:hAnsi="Times New Roman"/>
          <w:sz w:val="24"/>
          <w:szCs w:val="24"/>
        </w:rPr>
        <w:t xml:space="preserve"> $2,250 as</w:t>
      </w:r>
      <w:r w:rsidRPr="00BD0FD5">
        <w:rPr>
          <w:rFonts w:ascii="Times New Roman" w:hAnsi="Times New Roman"/>
          <w:sz w:val="24"/>
          <w:szCs w:val="24"/>
        </w:rPr>
        <w:t xml:space="preserve"> the annual cost</w:t>
      </w:r>
      <w:r w:rsidR="00DB14A2" w:rsidRPr="00BD0FD5">
        <w:rPr>
          <w:rFonts w:ascii="Times New Roman" w:hAnsi="Times New Roman"/>
          <w:sz w:val="24"/>
          <w:szCs w:val="24"/>
        </w:rPr>
        <w:t xml:space="preserve"> for this effort</w:t>
      </w:r>
      <w:r w:rsidRPr="00BD0FD5">
        <w:rPr>
          <w:rFonts w:ascii="Times New Roman" w:hAnsi="Times New Roman"/>
          <w:sz w:val="24"/>
          <w:szCs w:val="24"/>
        </w:rPr>
        <w:t>.</w:t>
      </w:r>
      <w:r w:rsidRPr="00BD0FD5">
        <w:rPr>
          <w:rStyle w:val="FootnoteReference"/>
          <w:rFonts w:ascii="Times New Roman" w:hAnsi="Times New Roman"/>
          <w:sz w:val="24"/>
          <w:szCs w:val="24"/>
          <w:vertAlign w:val="superscript"/>
        </w:rPr>
        <w:footnoteReference w:id="27"/>
      </w:r>
    </w:p>
    <w:p w:rsidR="00A276F5" w:rsidRPr="00BD0FD5" w:rsidRDefault="00A276F5" w:rsidP="0092596C">
      <w:pPr>
        <w:spacing w:after="0" w:line="240" w:lineRule="auto"/>
        <w:rPr>
          <w:rFonts w:ascii="Times New Roman" w:hAnsi="Times New Roman" w:cs="Times New Roman"/>
          <w:sz w:val="24"/>
          <w:szCs w:val="24"/>
        </w:rPr>
      </w:pPr>
    </w:p>
    <w:p w:rsidR="00A276F5" w:rsidRPr="00BD0FD5" w:rsidRDefault="00A276F5" w:rsidP="0092596C">
      <w:pPr>
        <w:pStyle w:val="ListParagraph"/>
        <w:numPr>
          <w:ilvl w:val="0"/>
          <w:numId w:val="1"/>
        </w:numPr>
        <w:spacing w:after="0" w:line="240" w:lineRule="auto"/>
        <w:ind w:left="360"/>
        <w:rPr>
          <w:rFonts w:ascii="Times New Roman" w:hAnsi="Times New Roman" w:cs="Times New Roman"/>
          <w:b/>
          <w:sz w:val="24"/>
          <w:szCs w:val="24"/>
        </w:rPr>
      </w:pPr>
      <w:r w:rsidRPr="00BD0FD5">
        <w:rPr>
          <w:rFonts w:ascii="Times New Roman" w:hAnsi="Times New Roman" w:cs="Times New Roman"/>
          <w:b/>
          <w:sz w:val="24"/>
          <w:szCs w:val="24"/>
        </w:rPr>
        <w:t>REASONS FOR CHANGES IN BURDEN INCLUDING THE NEED FOR ANY INCREASE</w:t>
      </w:r>
    </w:p>
    <w:p w:rsidR="00DB14A2" w:rsidRPr="00BD0FD5" w:rsidRDefault="00DB14A2" w:rsidP="00DB14A2">
      <w:pPr>
        <w:spacing w:after="0" w:line="240" w:lineRule="auto"/>
        <w:rPr>
          <w:rFonts w:ascii="Times New Roman" w:hAnsi="Times New Roman" w:cs="Times New Roman"/>
          <w:sz w:val="24"/>
          <w:szCs w:val="24"/>
          <w:u w:val="single"/>
        </w:rPr>
      </w:pPr>
    </w:p>
    <w:p w:rsidR="0004709E" w:rsidRDefault="00DF739D" w:rsidP="0092596C">
      <w:pPr>
        <w:spacing w:after="0" w:line="240" w:lineRule="auto"/>
        <w:rPr>
          <w:rFonts w:ascii="Times New Roman" w:hAnsi="Times New Roman" w:cs="Times New Roman"/>
          <w:sz w:val="24"/>
          <w:szCs w:val="24"/>
        </w:rPr>
      </w:pPr>
      <w:r w:rsidRPr="00BD0FD5">
        <w:rPr>
          <w:rFonts w:ascii="Times New Roman" w:hAnsi="Times New Roman" w:cs="Times New Roman"/>
          <w:sz w:val="24"/>
          <w:szCs w:val="24"/>
        </w:rPr>
        <w:t>The change in burden is</w:t>
      </w:r>
      <w:r w:rsidR="0004709E" w:rsidRPr="00BD0FD5">
        <w:rPr>
          <w:rFonts w:ascii="Times New Roman" w:hAnsi="Times New Roman" w:cs="Times New Roman"/>
          <w:sz w:val="24"/>
          <w:szCs w:val="24"/>
        </w:rPr>
        <w:t xml:space="preserve"> due to the Commission approving the revised EOP-004 Reliability Standard.  </w:t>
      </w:r>
      <w:r w:rsidR="00107834">
        <w:rPr>
          <w:rFonts w:ascii="Times New Roman" w:hAnsi="Times New Roman" w:cs="Times New Roman"/>
          <w:sz w:val="24"/>
          <w:szCs w:val="24"/>
        </w:rPr>
        <w:t>As stated in item #1 above, t</w:t>
      </w:r>
      <w:r w:rsidR="00107834" w:rsidRPr="00BD0FD5">
        <w:rPr>
          <w:rFonts w:ascii="Times New Roman" w:eastAsia="Times New Roman" w:hAnsi="Times New Roman" w:cs="Times New Roman"/>
          <w:sz w:val="24"/>
          <w:szCs w:val="24"/>
        </w:rPr>
        <w:t>he standard drafting team developed EOP-004-2, Event Reporting, as a means of combining the requirements of EOP-004-1 and CIP-001 into a single reporting standard.</w:t>
      </w:r>
      <w:r w:rsidR="00107834">
        <w:rPr>
          <w:rFonts w:ascii="Times New Roman" w:eastAsia="Times New Roman" w:hAnsi="Times New Roman" w:cs="Times New Roman"/>
          <w:sz w:val="24"/>
          <w:szCs w:val="24"/>
        </w:rPr>
        <w:t xml:space="preserve">  </w:t>
      </w:r>
      <w:r w:rsidR="0004709E" w:rsidRPr="00BD0FD5">
        <w:rPr>
          <w:rFonts w:ascii="Times New Roman" w:hAnsi="Times New Roman" w:cs="Times New Roman"/>
          <w:sz w:val="24"/>
          <w:szCs w:val="24"/>
        </w:rPr>
        <w:t>To comply with the standard, newly applicable entities will have to develop an operating plan.  The entities that had to comply with similar requirements prior to the changes discussed here</w:t>
      </w:r>
      <w:r w:rsidR="002B502D" w:rsidRPr="00BD0FD5">
        <w:rPr>
          <w:rFonts w:ascii="Times New Roman" w:hAnsi="Times New Roman" w:cs="Times New Roman"/>
          <w:sz w:val="24"/>
          <w:szCs w:val="24"/>
        </w:rPr>
        <w:t xml:space="preserve"> should see a burden reduction</w:t>
      </w:r>
      <w:r w:rsidR="003F119D">
        <w:rPr>
          <w:rFonts w:ascii="Times New Roman" w:hAnsi="Times New Roman" w:cs="Times New Roman"/>
          <w:sz w:val="24"/>
          <w:szCs w:val="24"/>
        </w:rPr>
        <w:t xml:space="preserve"> starting in year 2</w:t>
      </w:r>
      <w:r w:rsidR="002B502D" w:rsidRPr="00BD0FD5">
        <w:rPr>
          <w:rFonts w:ascii="Times New Roman" w:hAnsi="Times New Roman" w:cs="Times New Roman"/>
          <w:sz w:val="24"/>
          <w:szCs w:val="24"/>
        </w:rPr>
        <w:t xml:space="preserve"> </w:t>
      </w:r>
      <w:r w:rsidR="0004709E" w:rsidRPr="00BD0FD5">
        <w:rPr>
          <w:rFonts w:ascii="Times New Roman" w:hAnsi="Times New Roman" w:cs="Times New Roman"/>
          <w:sz w:val="24"/>
          <w:szCs w:val="24"/>
        </w:rPr>
        <w:t>due to a more streamlined reporting form.</w:t>
      </w:r>
      <w:r w:rsidR="0004709E" w:rsidRPr="00BD0FD5">
        <w:rPr>
          <w:rStyle w:val="FootnoteReference"/>
          <w:rFonts w:ascii="Times New Roman" w:hAnsi="Times New Roman" w:cs="Times New Roman"/>
          <w:sz w:val="24"/>
          <w:szCs w:val="24"/>
          <w:vertAlign w:val="superscript"/>
        </w:rPr>
        <w:footnoteReference w:id="28"/>
      </w:r>
    </w:p>
    <w:p w:rsidR="00DF739D" w:rsidRPr="00BD0FD5" w:rsidRDefault="00DF739D" w:rsidP="0092596C">
      <w:pPr>
        <w:spacing w:after="0" w:line="240" w:lineRule="auto"/>
        <w:rPr>
          <w:rFonts w:ascii="Times New Roman" w:hAnsi="Times New Roman" w:cs="Times New Roman"/>
          <w:sz w:val="24"/>
          <w:szCs w:val="24"/>
        </w:rPr>
      </w:pPr>
    </w:p>
    <w:p w:rsidR="00107834" w:rsidRPr="00BD0FD5" w:rsidRDefault="0092596C" w:rsidP="00107834">
      <w:pPr>
        <w:spacing w:after="0" w:line="240" w:lineRule="auto"/>
        <w:rPr>
          <w:rFonts w:ascii="Times New Roman" w:hAnsi="Times New Roman" w:cs="Times New Roman"/>
          <w:sz w:val="24"/>
          <w:szCs w:val="24"/>
        </w:rPr>
      </w:pPr>
      <w:r w:rsidRPr="00BD0FD5">
        <w:rPr>
          <w:rFonts w:ascii="Times New Roman" w:hAnsi="Times New Roman" w:cs="Times New Roman"/>
          <w:sz w:val="24"/>
          <w:szCs w:val="24"/>
        </w:rPr>
        <w:t>The following table s</w:t>
      </w:r>
      <w:r w:rsidR="0004709E" w:rsidRPr="00BD0FD5">
        <w:rPr>
          <w:rFonts w:ascii="Times New Roman" w:hAnsi="Times New Roman" w:cs="Times New Roman"/>
          <w:sz w:val="24"/>
          <w:szCs w:val="24"/>
        </w:rPr>
        <w:t>ummarizes the burden change</w:t>
      </w:r>
      <w:r w:rsidRPr="00BD0FD5">
        <w:rPr>
          <w:rFonts w:ascii="Times New Roman" w:hAnsi="Times New Roman" w:cs="Times New Roman"/>
          <w:sz w:val="24"/>
          <w:szCs w:val="24"/>
        </w:rPr>
        <w:t>.</w:t>
      </w:r>
      <w:r w:rsidR="00107834">
        <w:rPr>
          <w:rFonts w:ascii="Times New Roman" w:hAnsi="Times New Roman" w:cs="Times New Roman"/>
          <w:sz w:val="24"/>
          <w:szCs w:val="24"/>
        </w:rPr>
        <w:t xml:space="preserve">  The 4,130 hours added to the inventory is the sum of the one-time burden (4,216 hours) and the ongoing burden (reduction of 86 hours) (4,216</w:t>
      </w:r>
      <w:r w:rsidR="00DC3363">
        <w:rPr>
          <w:rFonts w:ascii="Times New Roman" w:hAnsi="Times New Roman" w:cs="Times New Roman"/>
          <w:sz w:val="24"/>
          <w:szCs w:val="24"/>
        </w:rPr>
        <w:t xml:space="preserve"> </w:t>
      </w:r>
      <w:r w:rsidR="00107834">
        <w:rPr>
          <w:rFonts w:ascii="Times New Roman" w:hAnsi="Times New Roman" w:cs="Times New Roman"/>
          <w:sz w:val="24"/>
          <w:szCs w:val="24"/>
        </w:rPr>
        <w:t>-</w:t>
      </w:r>
      <w:r w:rsidR="00DC3363">
        <w:rPr>
          <w:rFonts w:ascii="Times New Roman" w:hAnsi="Times New Roman" w:cs="Times New Roman"/>
          <w:sz w:val="24"/>
          <w:szCs w:val="24"/>
        </w:rPr>
        <w:t xml:space="preserve"> </w:t>
      </w:r>
      <w:r w:rsidR="00107834">
        <w:rPr>
          <w:rFonts w:ascii="Times New Roman" w:hAnsi="Times New Roman" w:cs="Times New Roman"/>
          <w:sz w:val="24"/>
          <w:szCs w:val="24"/>
        </w:rPr>
        <w:t xml:space="preserve">86 = 4,130).  FERC intends to remove the one-time burden from this collection after it is completed. </w:t>
      </w:r>
    </w:p>
    <w:p w:rsidR="0092596C" w:rsidRPr="00BD0FD5" w:rsidRDefault="0092596C" w:rsidP="0092596C">
      <w:pPr>
        <w:spacing w:after="0" w:line="240" w:lineRule="auto"/>
        <w:rPr>
          <w:rFonts w:ascii="Times New Roman" w:hAnsi="Times New Roman" w:cs="Times New Roman"/>
          <w:sz w:val="24"/>
          <w:szCs w:val="24"/>
        </w:rPr>
      </w:pPr>
    </w:p>
    <w:tbl>
      <w:tblPr>
        <w:tblW w:w="936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79"/>
        <w:gridCol w:w="1461"/>
        <w:gridCol w:w="1620"/>
        <w:gridCol w:w="1800"/>
        <w:gridCol w:w="1800"/>
      </w:tblGrid>
      <w:tr w:rsidR="0092596C" w:rsidRPr="00BD0FD5" w:rsidTr="0092596C">
        <w:trPr>
          <w:trHeight w:val="870"/>
        </w:trPr>
        <w:tc>
          <w:tcPr>
            <w:tcW w:w="2679" w:type="dxa"/>
            <w:shd w:val="clear" w:color="auto" w:fill="D9D9D9"/>
            <w:vAlign w:val="bottom"/>
          </w:tcPr>
          <w:p w:rsidR="0092596C" w:rsidRPr="00BD0FD5" w:rsidRDefault="0092596C" w:rsidP="00776623">
            <w:pPr>
              <w:spacing w:after="0" w:line="240" w:lineRule="auto"/>
              <w:jc w:val="center"/>
              <w:rPr>
                <w:rFonts w:ascii="Times New Roman" w:hAnsi="Times New Roman"/>
                <w:b/>
                <w:sz w:val="24"/>
                <w:szCs w:val="24"/>
              </w:rPr>
            </w:pPr>
            <w:r w:rsidRPr="007D1EDB">
              <w:rPr>
                <w:rFonts w:ascii="Times New Roman" w:hAnsi="Times New Roman"/>
                <w:b/>
                <w:sz w:val="24"/>
                <w:szCs w:val="24"/>
              </w:rPr>
              <w:t>FERC-725</w:t>
            </w:r>
            <w:r w:rsidR="007D1EDB" w:rsidRPr="007D1EDB">
              <w:rPr>
                <w:rFonts w:ascii="Times New Roman" w:hAnsi="Times New Roman"/>
                <w:b/>
                <w:sz w:val="24"/>
                <w:szCs w:val="24"/>
              </w:rPr>
              <w:t>A</w:t>
            </w:r>
          </w:p>
        </w:tc>
        <w:tc>
          <w:tcPr>
            <w:tcW w:w="1461" w:type="dxa"/>
            <w:shd w:val="clear" w:color="auto" w:fill="D9D9D9"/>
            <w:vAlign w:val="bottom"/>
          </w:tcPr>
          <w:p w:rsidR="0092596C" w:rsidRPr="00BD0FD5" w:rsidRDefault="0092596C" w:rsidP="0092596C">
            <w:pPr>
              <w:spacing w:after="0" w:line="240" w:lineRule="auto"/>
              <w:jc w:val="center"/>
              <w:rPr>
                <w:rFonts w:ascii="Times New Roman" w:hAnsi="Times New Roman"/>
                <w:b/>
                <w:sz w:val="24"/>
                <w:szCs w:val="24"/>
              </w:rPr>
            </w:pPr>
            <w:r w:rsidRPr="00BD0FD5">
              <w:rPr>
                <w:rFonts w:ascii="Times New Roman" w:hAnsi="Times New Roman"/>
                <w:b/>
                <w:sz w:val="24"/>
                <w:szCs w:val="24"/>
              </w:rPr>
              <w:t>Total Request</w:t>
            </w:r>
          </w:p>
        </w:tc>
        <w:tc>
          <w:tcPr>
            <w:tcW w:w="1620" w:type="dxa"/>
            <w:shd w:val="clear" w:color="auto" w:fill="D9D9D9"/>
            <w:vAlign w:val="bottom"/>
          </w:tcPr>
          <w:p w:rsidR="0092596C" w:rsidRPr="00BD0FD5" w:rsidRDefault="0092596C" w:rsidP="0092596C">
            <w:pPr>
              <w:spacing w:after="0" w:line="240" w:lineRule="auto"/>
              <w:jc w:val="center"/>
              <w:rPr>
                <w:rFonts w:ascii="Times New Roman" w:hAnsi="Times New Roman"/>
                <w:b/>
                <w:sz w:val="24"/>
                <w:szCs w:val="24"/>
              </w:rPr>
            </w:pPr>
            <w:r w:rsidRPr="00BD0FD5">
              <w:rPr>
                <w:rFonts w:ascii="Times New Roman" w:hAnsi="Times New Roman"/>
                <w:b/>
                <w:sz w:val="24"/>
                <w:szCs w:val="24"/>
              </w:rPr>
              <w:t>Previously Approved</w:t>
            </w:r>
          </w:p>
        </w:tc>
        <w:tc>
          <w:tcPr>
            <w:tcW w:w="1800" w:type="dxa"/>
            <w:shd w:val="clear" w:color="auto" w:fill="D9D9D9"/>
            <w:vAlign w:val="bottom"/>
          </w:tcPr>
          <w:p w:rsidR="0092596C" w:rsidRPr="00BD0FD5" w:rsidRDefault="0092596C" w:rsidP="0092596C">
            <w:pPr>
              <w:spacing w:after="0" w:line="240" w:lineRule="auto"/>
              <w:jc w:val="center"/>
              <w:rPr>
                <w:rFonts w:ascii="Times New Roman" w:hAnsi="Times New Roman"/>
                <w:b/>
                <w:sz w:val="24"/>
                <w:szCs w:val="24"/>
              </w:rPr>
            </w:pPr>
            <w:r w:rsidRPr="00BD0FD5">
              <w:rPr>
                <w:rFonts w:ascii="Times New Roman" w:hAnsi="Times New Roman"/>
                <w:b/>
                <w:sz w:val="24"/>
                <w:szCs w:val="24"/>
              </w:rPr>
              <w:t>Change due to Adjustment in Estimate</w:t>
            </w:r>
          </w:p>
        </w:tc>
        <w:tc>
          <w:tcPr>
            <w:tcW w:w="1800" w:type="dxa"/>
            <w:shd w:val="clear" w:color="auto" w:fill="D9D9D9"/>
            <w:vAlign w:val="bottom"/>
          </w:tcPr>
          <w:p w:rsidR="0092596C" w:rsidRPr="00BD0FD5" w:rsidRDefault="0092596C" w:rsidP="0092596C">
            <w:pPr>
              <w:spacing w:after="0" w:line="240" w:lineRule="auto"/>
              <w:jc w:val="center"/>
              <w:rPr>
                <w:rFonts w:ascii="Times New Roman" w:hAnsi="Times New Roman"/>
                <w:b/>
                <w:sz w:val="24"/>
                <w:szCs w:val="24"/>
              </w:rPr>
            </w:pPr>
            <w:r w:rsidRPr="00BD0FD5">
              <w:rPr>
                <w:rFonts w:ascii="Times New Roman" w:hAnsi="Times New Roman"/>
                <w:b/>
                <w:sz w:val="24"/>
                <w:szCs w:val="24"/>
              </w:rPr>
              <w:t>Change Due to Agency Discretion</w:t>
            </w:r>
          </w:p>
        </w:tc>
      </w:tr>
      <w:tr w:rsidR="0092596C" w:rsidRPr="00BD0FD5" w:rsidTr="0092596C">
        <w:trPr>
          <w:trHeight w:val="591"/>
        </w:trPr>
        <w:tc>
          <w:tcPr>
            <w:tcW w:w="2679" w:type="dxa"/>
          </w:tcPr>
          <w:p w:rsidR="0092596C" w:rsidRPr="00BD0FD5" w:rsidRDefault="0092596C" w:rsidP="0092596C">
            <w:pPr>
              <w:spacing w:after="0" w:line="240" w:lineRule="auto"/>
              <w:jc w:val="center"/>
              <w:rPr>
                <w:rFonts w:ascii="Times New Roman" w:hAnsi="Times New Roman"/>
                <w:sz w:val="24"/>
                <w:szCs w:val="24"/>
              </w:rPr>
            </w:pPr>
            <w:r w:rsidRPr="00BD0FD5">
              <w:rPr>
                <w:rFonts w:ascii="Times New Roman" w:hAnsi="Times New Roman"/>
                <w:sz w:val="24"/>
                <w:szCs w:val="24"/>
              </w:rPr>
              <w:t>Annual Number of Responses</w:t>
            </w:r>
          </w:p>
        </w:tc>
        <w:tc>
          <w:tcPr>
            <w:tcW w:w="1461" w:type="dxa"/>
            <w:vAlign w:val="center"/>
          </w:tcPr>
          <w:p w:rsidR="0004709E" w:rsidRPr="00BD0FD5" w:rsidRDefault="00071443" w:rsidP="0092596C">
            <w:pPr>
              <w:spacing w:after="0" w:line="240" w:lineRule="auto"/>
              <w:jc w:val="right"/>
              <w:rPr>
                <w:rFonts w:ascii="Times New Roman" w:hAnsi="Times New Roman"/>
                <w:sz w:val="24"/>
                <w:szCs w:val="24"/>
              </w:rPr>
            </w:pPr>
            <w:r>
              <w:rPr>
                <w:rFonts w:ascii="Times New Roman" w:hAnsi="Times New Roman"/>
                <w:sz w:val="24"/>
                <w:szCs w:val="24"/>
              </w:rPr>
              <w:t>3,770</w:t>
            </w:r>
          </w:p>
        </w:tc>
        <w:tc>
          <w:tcPr>
            <w:tcW w:w="1620" w:type="dxa"/>
            <w:vAlign w:val="center"/>
          </w:tcPr>
          <w:p w:rsidR="0092596C" w:rsidRPr="00BD0FD5" w:rsidRDefault="00BA57C6" w:rsidP="0092596C">
            <w:pPr>
              <w:spacing w:after="0" w:line="240" w:lineRule="auto"/>
              <w:jc w:val="right"/>
              <w:rPr>
                <w:rFonts w:ascii="Times New Roman" w:hAnsi="Times New Roman"/>
                <w:sz w:val="24"/>
                <w:szCs w:val="24"/>
              </w:rPr>
            </w:pPr>
            <w:r>
              <w:rPr>
                <w:rFonts w:ascii="Times New Roman" w:hAnsi="Times New Roman"/>
                <w:sz w:val="24"/>
                <w:szCs w:val="24"/>
              </w:rPr>
              <w:t>2,370</w:t>
            </w:r>
          </w:p>
        </w:tc>
        <w:tc>
          <w:tcPr>
            <w:tcW w:w="1800" w:type="dxa"/>
            <w:vAlign w:val="center"/>
          </w:tcPr>
          <w:p w:rsidR="0092596C" w:rsidRPr="00BD0FD5" w:rsidRDefault="0092596C" w:rsidP="0092596C">
            <w:pPr>
              <w:spacing w:after="0" w:line="240" w:lineRule="auto"/>
              <w:jc w:val="right"/>
              <w:rPr>
                <w:rFonts w:ascii="Times New Roman" w:hAnsi="Times New Roman"/>
                <w:sz w:val="24"/>
                <w:szCs w:val="24"/>
              </w:rPr>
            </w:pPr>
            <w:r w:rsidRPr="00BD0FD5">
              <w:rPr>
                <w:rFonts w:ascii="Times New Roman" w:hAnsi="Times New Roman"/>
                <w:sz w:val="24"/>
                <w:szCs w:val="24"/>
              </w:rPr>
              <w:t>-</w:t>
            </w:r>
          </w:p>
        </w:tc>
        <w:tc>
          <w:tcPr>
            <w:tcW w:w="1800" w:type="dxa"/>
            <w:vAlign w:val="center"/>
          </w:tcPr>
          <w:p w:rsidR="0004709E" w:rsidRPr="00BD0FD5" w:rsidRDefault="00071443" w:rsidP="00107834">
            <w:pPr>
              <w:spacing w:after="0" w:line="240" w:lineRule="auto"/>
              <w:jc w:val="right"/>
              <w:rPr>
                <w:rFonts w:ascii="Times New Roman" w:hAnsi="Times New Roman"/>
                <w:sz w:val="24"/>
                <w:szCs w:val="24"/>
              </w:rPr>
            </w:pPr>
            <w:r>
              <w:rPr>
                <w:rFonts w:ascii="Times New Roman" w:hAnsi="Times New Roman"/>
                <w:sz w:val="24"/>
                <w:szCs w:val="24"/>
              </w:rPr>
              <w:t>1,400</w:t>
            </w:r>
          </w:p>
        </w:tc>
      </w:tr>
      <w:tr w:rsidR="0092596C" w:rsidRPr="00BD0FD5" w:rsidTr="0092596C">
        <w:trPr>
          <w:trHeight w:val="575"/>
        </w:trPr>
        <w:tc>
          <w:tcPr>
            <w:tcW w:w="2679" w:type="dxa"/>
          </w:tcPr>
          <w:p w:rsidR="0092596C" w:rsidRPr="00BD0FD5" w:rsidRDefault="0092596C" w:rsidP="0092596C">
            <w:pPr>
              <w:spacing w:after="0" w:line="240" w:lineRule="auto"/>
              <w:jc w:val="center"/>
              <w:rPr>
                <w:rFonts w:ascii="Times New Roman" w:hAnsi="Times New Roman"/>
                <w:sz w:val="24"/>
                <w:szCs w:val="24"/>
              </w:rPr>
            </w:pPr>
            <w:r w:rsidRPr="00BD0FD5">
              <w:rPr>
                <w:rFonts w:ascii="Times New Roman" w:hAnsi="Times New Roman"/>
                <w:sz w:val="24"/>
                <w:szCs w:val="24"/>
              </w:rPr>
              <w:t>Annual Time Burden (Hr)</w:t>
            </w:r>
          </w:p>
        </w:tc>
        <w:tc>
          <w:tcPr>
            <w:tcW w:w="1461" w:type="dxa"/>
            <w:vAlign w:val="center"/>
          </w:tcPr>
          <w:p w:rsidR="0004709E" w:rsidRPr="00BD0FD5" w:rsidRDefault="00071443" w:rsidP="00107834">
            <w:pPr>
              <w:spacing w:after="0" w:line="240" w:lineRule="auto"/>
              <w:jc w:val="right"/>
              <w:rPr>
                <w:rFonts w:ascii="Times New Roman" w:hAnsi="Times New Roman"/>
                <w:sz w:val="24"/>
                <w:szCs w:val="24"/>
              </w:rPr>
            </w:pPr>
            <w:r>
              <w:rPr>
                <w:rFonts w:ascii="Times New Roman" w:hAnsi="Times New Roman"/>
                <w:sz w:val="24"/>
                <w:szCs w:val="24"/>
              </w:rPr>
              <w:t>1,833,653</w:t>
            </w:r>
          </w:p>
        </w:tc>
        <w:tc>
          <w:tcPr>
            <w:tcW w:w="1620" w:type="dxa"/>
            <w:vAlign w:val="center"/>
          </w:tcPr>
          <w:p w:rsidR="0092596C" w:rsidRPr="00BD0FD5" w:rsidRDefault="00BA57C6" w:rsidP="0092596C">
            <w:pPr>
              <w:spacing w:after="0" w:line="240" w:lineRule="auto"/>
              <w:jc w:val="right"/>
              <w:rPr>
                <w:rFonts w:ascii="Times New Roman" w:hAnsi="Times New Roman"/>
                <w:sz w:val="24"/>
                <w:szCs w:val="24"/>
              </w:rPr>
            </w:pPr>
            <w:r>
              <w:rPr>
                <w:rFonts w:ascii="Times New Roman" w:hAnsi="Times New Roman"/>
                <w:sz w:val="24"/>
                <w:szCs w:val="24"/>
              </w:rPr>
              <w:t>1,829,523</w:t>
            </w:r>
          </w:p>
        </w:tc>
        <w:tc>
          <w:tcPr>
            <w:tcW w:w="1800" w:type="dxa"/>
            <w:vAlign w:val="center"/>
          </w:tcPr>
          <w:p w:rsidR="0092596C" w:rsidRPr="00BD0FD5" w:rsidRDefault="0092596C" w:rsidP="0092596C">
            <w:pPr>
              <w:spacing w:after="0" w:line="240" w:lineRule="auto"/>
              <w:jc w:val="right"/>
              <w:rPr>
                <w:rFonts w:ascii="Times New Roman" w:hAnsi="Times New Roman"/>
                <w:sz w:val="24"/>
                <w:szCs w:val="24"/>
              </w:rPr>
            </w:pPr>
            <w:r w:rsidRPr="00BD0FD5">
              <w:rPr>
                <w:rFonts w:ascii="Times New Roman" w:hAnsi="Times New Roman"/>
                <w:sz w:val="24"/>
                <w:szCs w:val="24"/>
              </w:rPr>
              <w:t>-</w:t>
            </w:r>
          </w:p>
        </w:tc>
        <w:tc>
          <w:tcPr>
            <w:tcW w:w="1800" w:type="dxa"/>
            <w:vAlign w:val="center"/>
          </w:tcPr>
          <w:p w:rsidR="0004709E" w:rsidRPr="00BD0FD5" w:rsidRDefault="00071443" w:rsidP="00107834">
            <w:pPr>
              <w:spacing w:after="0" w:line="240" w:lineRule="auto"/>
              <w:jc w:val="right"/>
              <w:rPr>
                <w:rFonts w:ascii="Times New Roman" w:hAnsi="Times New Roman"/>
                <w:sz w:val="24"/>
                <w:szCs w:val="24"/>
              </w:rPr>
            </w:pPr>
            <w:r>
              <w:rPr>
                <w:rFonts w:ascii="Times New Roman" w:hAnsi="Times New Roman"/>
                <w:sz w:val="24"/>
                <w:szCs w:val="24"/>
              </w:rPr>
              <w:t>4,130</w:t>
            </w:r>
          </w:p>
        </w:tc>
      </w:tr>
      <w:tr w:rsidR="0092596C" w:rsidRPr="00BD0FD5" w:rsidTr="0092596C">
        <w:trPr>
          <w:trHeight w:val="295"/>
        </w:trPr>
        <w:tc>
          <w:tcPr>
            <w:tcW w:w="2679" w:type="dxa"/>
          </w:tcPr>
          <w:p w:rsidR="0092596C" w:rsidRPr="00BD0FD5" w:rsidRDefault="0092596C" w:rsidP="0092596C">
            <w:pPr>
              <w:spacing w:after="0" w:line="240" w:lineRule="auto"/>
              <w:jc w:val="center"/>
              <w:rPr>
                <w:rFonts w:ascii="Times New Roman" w:hAnsi="Times New Roman"/>
                <w:sz w:val="24"/>
                <w:szCs w:val="24"/>
              </w:rPr>
            </w:pPr>
            <w:r w:rsidRPr="00BD0FD5">
              <w:rPr>
                <w:rFonts w:ascii="Times New Roman" w:hAnsi="Times New Roman"/>
                <w:sz w:val="24"/>
                <w:szCs w:val="24"/>
              </w:rPr>
              <w:t>Annual Cost Burden ($)</w:t>
            </w:r>
          </w:p>
        </w:tc>
        <w:tc>
          <w:tcPr>
            <w:tcW w:w="1461" w:type="dxa"/>
            <w:vAlign w:val="center"/>
          </w:tcPr>
          <w:p w:rsidR="0004709E" w:rsidRPr="00BD0FD5" w:rsidRDefault="009C7ADC" w:rsidP="00107834">
            <w:pPr>
              <w:spacing w:after="0" w:line="240" w:lineRule="auto"/>
              <w:jc w:val="right"/>
              <w:rPr>
                <w:rFonts w:ascii="Times New Roman" w:hAnsi="Times New Roman"/>
                <w:sz w:val="24"/>
                <w:szCs w:val="24"/>
              </w:rPr>
            </w:pPr>
            <w:r>
              <w:rPr>
                <w:rFonts w:ascii="Times New Roman" w:hAnsi="Times New Roman"/>
                <w:sz w:val="24"/>
                <w:szCs w:val="24"/>
              </w:rPr>
              <w:t>126,725</w:t>
            </w:r>
          </w:p>
        </w:tc>
        <w:tc>
          <w:tcPr>
            <w:tcW w:w="1620" w:type="dxa"/>
            <w:vAlign w:val="center"/>
          </w:tcPr>
          <w:p w:rsidR="0092596C" w:rsidRPr="00BD0FD5" w:rsidRDefault="00BA57C6" w:rsidP="0092596C">
            <w:pPr>
              <w:spacing w:after="0" w:line="240" w:lineRule="auto"/>
              <w:jc w:val="right"/>
              <w:rPr>
                <w:rFonts w:ascii="Times New Roman" w:hAnsi="Times New Roman"/>
                <w:sz w:val="24"/>
                <w:szCs w:val="24"/>
              </w:rPr>
            </w:pPr>
            <w:r>
              <w:rPr>
                <w:rFonts w:ascii="Times New Roman" w:hAnsi="Times New Roman"/>
                <w:sz w:val="24"/>
                <w:szCs w:val="24"/>
              </w:rPr>
              <w:t>126,725</w:t>
            </w:r>
          </w:p>
        </w:tc>
        <w:tc>
          <w:tcPr>
            <w:tcW w:w="1800" w:type="dxa"/>
            <w:vAlign w:val="center"/>
          </w:tcPr>
          <w:p w:rsidR="0092596C" w:rsidRPr="00BD0FD5" w:rsidRDefault="0092596C" w:rsidP="0092596C">
            <w:pPr>
              <w:spacing w:after="0" w:line="240" w:lineRule="auto"/>
              <w:jc w:val="right"/>
              <w:rPr>
                <w:rFonts w:ascii="Times New Roman" w:hAnsi="Times New Roman"/>
                <w:sz w:val="24"/>
                <w:szCs w:val="24"/>
              </w:rPr>
            </w:pPr>
            <w:r w:rsidRPr="00BD0FD5">
              <w:rPr>
                <w:rFonts w:ascii="Times New Roman" w:hAnsi="Times New Roman"/>
                <w:sz w:val="24"/>
                <w:szCs w:val="24"/>
              </w:rPr>
              <w:t>-</w:t>
            </w:r>
          </w:p>
        </w:tc>
        <w:tc>
          <w:tcPr>
            <w:tcW w:w="1800" w:type="dxa"/>
            <w:vAlign w:val="center"/>
          </w:tcPr>
          <w:p w:rsidR="0092596C" w:rsidRPr="00BD0FD5" w:rsidRDefault="00580974" w:rsidP="0092596C">
            <w:pPr>
              <w:spacing w:after="0" w:line="240" w:lineRule="auto"/>
              <w:jc w:val="right"/>
              <w:rPr>
                <w:rFonts w:ascii="Times New Roman" w:hAnsi="Times New Roman"/>
                <w:sz w:val="24"/>
                <w:szCs w:val="24"/>
              </w:rPr>
            </w:pPr>
            <w:r w:rsidRPr="00BD0FD5">
              <w:rPr>
                <w:rFonts w:ascii="Times New Roman" w:hAnsi="Times New Roman"/>
                <w:sz w:val="24"/>
                <w:szCs w:val="24"/>
              </w:rPr>
              <w:t>-</w:t>
            </w:r>
          </w:p>
        </w:tc>
      </w:tr>
    </w:tbl>
    <w:p w:rsidR="00970FE4" w:rsidRPr="00BD0FD5" w:rsidRDefault="00970FE4" w:rsidP="0092596C">
      <w:pPr>
        <w:spacing w:after="0" w:line="240" w:lineRule="auto"/>
        <w:rPr>
          <w:rFonts w:ascii="Times New Roman" w:hAnsi="Times New Roman" w:cs="Times New Roman"/>
          <w:sz w:val="24"/>
          <w:szCs w:val="24"/>
        </w:rPr>
      </w:pPr>
    </w:p>
    <w:p w:rsidR="00A276F5" w:rsidRPr="00BD0FD5" w:rsidRDefault="00414F32" w:rsidP="0092596C">
      <w:pPr>
        <w:pStyle w:val="ListParagraph"/>
        <w:numPr>
          <w:ilvl w:val="0"/>
          <w:numId w:val="1"/>
        </w:numPr>
        <w:spacing w:after="0" w:line="240" w:lineRule="auto"/>
        <w:ind w:left="360"/>
        <w:rPr>
          <w:rFonts w:ascii="Times New Roman" w:hAnsi="Times New Roman" w:cs="Times New Roman"/>
          <w:b/>
          <w:sz w:val="24"/>
          <w:szCs w:val="24"/>
        </w:rPr>
      </w:pPr>
      <w:r w:rsidRPr="00BD0FD5">
        <w:rPr>
          <w:rFonts w:ascii="Times New Roman" w:hAnsi="Times New Roman" w:cs="Times New Roman"/>
          <w:b/>
          <w:sz w:val="24"/>
          <w:szCs w:val="24"/>
        </w:rPr>
        <w:t>TIME SCHEDULE FOR PUBLICATION OF DATA</w:t>
      </w:r>
    </w:p>
    <w:p w:rsidR="00826750" w:rsidRPr="00BD0FD5" w:rsidRDefault="00826750" w:rsidP="0092596C">
      <w:pPr>
        <w:spacing w:after="0" w:line="240" w:lineRule="auto"/>
        <w:rPr>
          <w:rFonts w:ascii="Times New Roman" w:hAnsi="Times New Roman" w:cs="Times New Roman"/>
          <w:sz w:val="24"/>
          <w:szCs w:val="24"/>
        </w:rPr>
      </w:pPr>
    </w:p>
    <w:p w:rsidR="00414F32" w:rsidRPr="00BD0FD5" w:rsidRDefault="00826750" w:rsidP="0092596C">
      <w:pPr>
        <w:spacing w:after="0" w:line="240" w:lineRule="auto"/>
        <w:rPr>
          <w:rFonts w:ascii="Times New Roman" w:hAnsi="Times New Roman" w:cs="Times New Roman"/>
          <w:sz w:val="24"/>
          <w:szCs w:val="24"/>
        </w:rPr>
      </w:pPr>
      <w:r w:rsidRPr="00BD0FD5">
        <w:rPr>
          <w:rFonts w:ascii="Times New Roman" w:hAnsi="Times New Roman" w:cs="Times New Roman"/>
          <w:sz w:val="24"/>
          <w:szCs w:val="24"/>
        </w:rPr>
        <w:t>There are no data publications as part of this collection</w:t>
      </w:r>
    </w:p>
    <w:p w:rsidR="00414F32" w:rsidRPr="00BD0FD5" w:rsidRDefault="00414F32" w:rsidP="0092596C">
      <w:pPr>
        <w:spacing w:after="0" w:line="240" w:lineRule="auto"/>
        <w:rPr>
          <w:rFonts w:ascii="Times New Roman" w:hAnsi="Times New Roman" w:cs="Times New Roman"/>
          <w:sz w:val="24"/>
          <w:szCs w:val="24"/>
        </w:rPr>
      </w:pPr>
    </w:p>
    <w:p w:rsidR="00414F32" w:rsidRPr="00BD0FD5" w:rsidRDefault="00414F32" w:rsidP="0092596C">
      <w:pPr>
        <w:pStyle w:val="ListParagraph"/>
        <w:numPr>
          <w:ilvl w:val="0"/>
          <w:numId w:val="1"/>
        </w:numPr>
        <w:spacing w:after="0" w:line="240" w:lineRule="auto"/>
        <w:ind w:left="360"/>
        <w:rPr>
          <w:rFonts w:ascii="Times New Roman" w:hAnsi="Times New Roman" w:cs="Times New Roman"/>
          <w:b/>
          <w:sz w:val="24"/>
          <w:szCs w:val="24"/>
        </w:rPr>
      </w:pPr>
      <w:r w:rsidRPr="00BD0FD5">
        <w:rPr>
          <w:rFonts w:ascii="Times New Roman" w:hAnsi="Times New Roman" w:cs="Times New Roman"/>
          <w:b/>
          <w:sz w:val="24"/>
          <w:szCs w:val="24"/>
        </w:rPr>
        <w:lastRenderedPageBreak/>
        <w:t>DISPLAY OF EXPIRATION DATE</w:t>
      </w:r>
    </w:p>
    <w:p w:rsidR="00414F32" w:rsidRPr="00BD0FD5" w:rsidRDefault="00414F32" w:rsidP="0092596C">
      <w:pPr>
        <w:spacing w:after="0" w:line="240" w:lineRule="auto"/>
        <w:rPr>
          <w:rFonts w:ascii="Times New Roman" w:hAnsi="Times New Roman" w:cs="Times New Roman"/>
          <w:sz w:val="24"/>
          <w:szCs w:val="24"/>
        </w:rPr>
      </w:pPr>
    </w:p>
    <w:p w:rsidR="00B16372" w:rsidRPr="00BD0FD5" w:rsidRDefault="00B16372" w:rsidP="0092596C">
      <w:pPr>
        <w:spacing w:after="0" w:line="240" w:lineRule="auto"/>
        <w:rPr>
          <w:rFonts w:ascii="Times New Roman" w:hAnsi="Times New Roman" w:cs="Times New Roman"/>
          <w:sz w:val="24"/>
          <w:szCs w:val="24"/>
        </w:rPr>
      </w:pPr>
      <w:r w:rsidRPr="00BD0FD5">
        <w:rPr>
          <w:rFonts w:ascii="Times New Roman" w:hAnsi="Times New Roman" w:cs="Times New Roman"/>
          <w:sz w:val="24"/>
          <w:szCs w:val="24"/>
        </w:rPr>
        <w:t>It is not appropriate to display the expiration date because the information is not collected on a preformatted form</w:t>
      </w:r>
      <w:r w:rsidR="003F119D">
        <w:rPr>
          <w:rFonts w:ascii="Times New Roman" w:hAnsi="Times New Roman" w:cs="Times New Roman"/>
          <w:sz w:val="24"/>
          <w:szCs w:val="24"/>
        </w:rPr>
        <w:t xml:space="preserve"> or is part of a Reliability Standard, which do not display OMB expiration dates.</w:t>
      </w:r>
    </w:p>
    <w:p w:rsidR="00414F32" w:rsidRPr="00BD0FD5" w:rsidRDefault="00414F32" w:rsidP="0092596C">
      <w:pPr>
        <w:spacing w:after="0" w:line="240" w:lineRule="auto"/>
        <w:rPr>
          <w:rFonts w:ascii="Times New Roman" w:hAnsi="Times New Roman" w:cs="Times New Roman"/>
          <w:sz w:val="24"/>
          <w:szCs w:val="24"/>
        </w:rPr>
      </w:pPr>
    </w:p>
    <w:p w:rsidR="00414F32" w:rsidRPr="00BD0FD5" w:rsidRDefault="00414F32" w:rsidP="0092596C">
      <w:pPr>
        <w:pStyle w:val="ListParagraph"/>
        <w:numPr>
          <w:ilvl w:val="0"/>
          <w:numId w:val="1"/>
        </w:numPr>
        <w:spacing w:after="0" w:line="240" w:lineRule="auto"/>
        <w:ind w:left="360"/>
        <w:rPr>
          <w:rFonts w:ascii="Times New Roman" w:hAnsi="Times New Roman" w:cs="Times New Roman"/>
          <w:b/>
          <w:sz w:val="24"/>
          <w:szCs w:val="24"/>
        </w:rPr>
      </w:pPr>
      <w:r w:rsidRPr="00BD0FD5">
        <w:rPr>
          <w:rFonts w:ascii="Times New Roman" w:hAnsi="Times New Roman" w:cs="Times New Roman"/>
          <w:b/>
          <w:sz w:val="24"/>
          <w:szCs w:val="24"/>
        </w:rPr>
        <w:t>EXCEPTIONS TO THE CERTIFICATION STATEMENT</w:t>
      </w:r>
    </w:p>
    <w:p w:rsidR="0057700F" w:rsidRPr="00BD0FD5" w:rsidRDefault="0057700F" w:rsidP="0092596C">
      <w:pPr>
        <w:spacing w:after="0" w:line="240" w:lineRule="auto"/>
        <w:rPr>
          <w:rFonts w:ascii="Times New Roman" w:hAnsi="Times New Roman" w:cs="Times New Roman"/>
          <w:b/>
          <w:sz w:val="24"/>
          <w:szCs w:val="24"/>
        </w:rPr>
      </w:pPr>
    </w:p>
    <w:p w:rsidR="00B16372" w:rsidRPr="00BD0FD5" w:rsidRDefault="00B16372" w:rsidP="0092596C">
      <w:pPr>
        <w:spacing w:after="0" w:line="240" w:lineRule="auto"/>
        <w:rPr>
          <w:rFonts w:ascii="Times New Roman" w:hAnsi="Times New Roman" w:cs="Times New Roman"/>
          <w:b/>
          <w:sz w:val="24"/>
          <w:szCs w:val="24"/>
        </w:rPr>
      </w:pPr>
      <w:r w:rsidRPr="00BD0FD5">
        <w:rPr>
          <w:rFonts w:ascii="Times New Roman" w:eastAsia="Calibri" w:hAnsi="Times New Roman" w:cs="Times New Roman"/>
          <w:sz w:val="24"/>
          <w:szCs w:val="24"/>
        </w:rPr>
        <w:t>The Commission does not use statistical methods for this collection.  Therefore</w:t>
      </w:r>
      <w:r w:rsidR="003D69FC" w:rsidRPr="00BD0FD5">
        <w:rPr>
          <w:rFonts w:ascii="Times New Roman" w:eastAsia="Calibri" w:hAnsi="Times New Roman" w:cs="Times New Roman"/>
          <w:sz w:val="24"/>
          <w:szCs w:val="24"/>
        </w:rPr>
        <w:t>,</w:t>
      </w:r>
      <w:r w:rsidRPr="00BD0FD5">
        <w:rPr>
          <w:rFonts w:ascii="Times New Roman" w:eastAsia="Calibri" w:hAnsi="Times New Roman" w:cs="Times New Roman"/>
          <w:sz w:val="24"/>
          <w:szCs w:val="24"/>
        </w:rPr>
        <w:t xml:space="preserve"> the Commission does not certify that the collection uses statistical methods.</w:t>
      </w:r>
    </w:p>
    <w:p w:rsidR="00970FE4" w:rsidRPr="00BD0FD5" w:rsidRDefault="00970FE4" w:rsidP="0092596C">
      <w:pPr>
        <w:spacing w:after="0" w:line="240" w:lineRule="auto"/>
        <w:rPr>
          <w:rFonts w:ascii="Times New Roman" w:hAnsi="Times New Roman" w:cs="Times New Roman"/>
          <w:sz w:val="24"/>
          <w:szCs w:val="24"/>
        </w:rPr>
      </w:pPr>
    </w:p>
    <w:p w:rsidR="00414F32" w:rsidRPr="00BD0FD5" w:rsidRDefault="00414F32" w:rsidP="0092596C">
      <w:pPr>
        <w:spacing w:after="0" w:line="240" w:lineRule="auto"/>
        <w:rPr>
          <w:rFonts w:ascii="Times New Roman" w:hAnsi="Times New Roman" w:cs="Times New Roman"/>
          <w:sz w:val="24"/>
          <w:szCs w:val="24"/>
        </w:rPr>
      </w:pPr>
    </w:p>
    <w:sectPr w:rsidR="00414F32" w:rsidRPr="00BD0FD5">
      <w:headerReference w:type="default" r:id="rId9"/>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83863" w:rsidRDefault="00583863" w:rsidP="00FD66F1">
      <w:pPr>
        <w:spacing w:after="0" w:line="240" w:lineRule="auto"/>
      </w:pPr>
      <w:r>
        <w:separator/>
      </w:r>
    </w:p>
  </w:endnote>
  <w:endnote w:type="continuationSeparator" w:id="0">
    <w:p w:rsidR="00583863" w:rsidRDefault="00583863" w:rsidP="00FD66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76411206"/>
      <w:docPartObj>
        <w:docPartGallery w:val="Page Numbers (Bottom of Page)"/>
        <w:docPartUnique/>
      </w:docPartObj>
    </w:sdtPr>
    <w:sdtEndPr>
      <w:rPr>
        <w:noProof/>
      </w:rPr>
    </w:sdtEndPr>
    <w:sdtContent>
      <w:p w:rsidR="00583863" w:rsidRDefault="00583863">
        <w:pPr>
          <w:pStyle w:val="Footer"/>
          <w:jc w:val="right"/>
        </w:pPr>
        <w:r w:rsidRPr="00781137">
          <w:rPr>
            <w:rFonts w:ascii="Times New Roman" w:hAnsi="Times New Roman" w:cs="Times New Roman"/>
          </w:rPr>
          <w:fldChar w:fldCharType="begin"/>
        </w:r>
        <w:r w:rsidRPr="00781137">
          <w:rPr>
            <w:rFonts w:ascii="Times New Roman" w:hAnsi="Times New Roman" w:cs="Times New Roman"/>
          </w:rPr>
          <w:instrText xml:space="preserve"> PAGE   \* MERGEFORMAT </w:instrText>
        </w:r>
        <w:r w:rsidRPr="00781137">
          <w:rPr>
            <w:rFonts w:ascii="Times New Roman" w:hAnsi="Times New Roman" w:cs="Times New Roman"/>
          </w:rPr>
          <w:fldChar w:fldCharType="separate"/>
        </w:r>
        <w:r w:rsidR="000541C7">
          <w:rPr>
            <w:rFonts w:ascii="Times New Roman" w:hAnsi="Times New Roman" w:cs="Times New Roman"/>
            <w:noProof/>
          </w:rPr>
          <w:t>1</w:t>
        </w:r>
        <w:r w:rsidRPr="00781137">
          <w:rPr>
            <w:rFonts w:ascii="Times New Roman" w:hAnsi="Times New Roman" w:cs="Times New Roman"/>
            <w:noProof/>
          </w:rPr>
          <w:fldChar w:fldCharType="end"/>
        </w:r>
      </w:p>
    </w:sdtContent>
  </w:sdt>
  <w:p w:rsidR="00583863" w:rsidRDefault="0058386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83863" w:rsidRDefault="00583863" w:rsidP="00FD66F1">
      <w:pPr>
        <w:spacing w:after="0" w:line="240" w:lineRule="auto"/>
      </w:pPr>
      <w:r>
        <w:separator/>
      </w:r>
    </w:p>
  </w:footnote>
  <w:footnote w:type="continuationSeparator" w:id="0">
    <w:p w:rsidR="00583863" w:rsidRDefault="00583863" w:rsidP="00FD66F1">
      <w:pPr>
        <w:spacing w:after="0" w:line="240" w:lineRule="auto"/>
      </w:pPr>
      <w:r>
        <w:continuationSeparator/>
      </w:r>
    </w:p>
  </w:footnote>
  <w:footnote w:id="1">
    <w:p w:rsidR="00583863" w:rsidRPr="007F7801" w:rsidRDefault="00583863" w:rsidP="007B3E16">
      <w:pPr>
        <w:pStyle w:val="FootnoteText"/>
        <w:ind w:firstLine="720"/>
        <w:rPr>
          <w:sz w:val="22"/>
          <w:szCs w:val="22"/>
        </w:rPr>
      </w:pPr>
      <w:r w:rsidRPr="007F7801">
        <w:rPr>
          <w:rStyle w:val="FootnoteReference"/>
          <w:sz w:val="22"/>
          <w:szCs w:val="22"/>
          <w:vertAlign w:val="superscript"/>
        </w:rPr>
        <w:footnoteRef/>
      </w:r>
      <w:r w:rsidRPr="007F7801">
        <w:rPr>
          <w:sz w:val="22"/>
          <w:szCs w:val="22"/>
        </w:rPr>
        <w:t xml:space="preserve"> The Energy Policy Act of 2005, Pub. L. No 109-58, Title XII, Subtitle A, 119 Stat. 594, 941 (2005), codified at 16 U.S.C. 824o (200</w:t>
      </w:r>
      <w:r>
        <w:rPr>
          <w:sz w:val="22"/>
          <w:szCs w:val="22"/>
        </w:rPr>
        <w:t>6</w:t>
      </w:r>
      <w:r w:rsidRPr="007F7801">
        <w:rPr>
          <w:sz w:val="22"/>
          <w:szCs w:val="22"/>
        </w:rPr>
        <w:t>).</w:t>
      </w:r>
    </w:p>
  </w:footnote>
  <w:footnote w:id="2">
    <w:p w:rsidR="00583863" w:rsidRPr="007F7801" w:rsidRDefault="00583863" w:rsidP="007F7801">
      <w:pPr>
        <w:pStyle w:val="FootnoteText"/>
        <w:ind w:firstLine="720"/>
        <w:rPr>
          <w:sz w:val="22"/>
          <w:szCs w:val="22"/>
        </w:rPr>
      </w:pPr>
      <w:r w:rsidRPr="007F7801">
        <w:rPr>
          <w:rStyle w:val="FootnoteReference"/>
          <w:sz w:val="22"/>
          <w:szCs w:val="22"/>
          <w:vertAlign w:val="superscript"/>
        </w:rPr>
        <w:footnoteRef/>
      </w:r>
      <w:r w:rsidRPr="007F7801">
        <w:rPr>
          <w:sz w:val="22"/>
          <w:szCs w:val="22"/>
        </w:rPr>
        <w:t xml:space="preserve"> </w:t>
      </w:r>
      <w:r w:rsidRPr="007F7801">
        <w:rPr>
          <w:i/>
          <w:sz w:val="22"/>
          <w:szCs w:val="22"/>
        </w:rPr>
        <w:t xml:space="preserve">Mandatory Reliability Standards for the Bulk-Power System, </w:t>
      </w:r>
      <w:r w:rsidRPr="007F7801">
        <w:rPr>
          <w:sz w:val="22"/>
          <w:szCs w:val="22"/>
        </w:rPr>
        <w:t xml:space="preserve">Order No. 693, FERC Stats. &amp; Regs. ¶ 31,242 at P 617, </w:t>
      </w:r>
      <w:r w:rsidRPr="007F7801">
        <w:rPr>
          <w:i/>
          <w:sz w:val="22"/>
          <w:szCs w:val="22"/>
        </w:rPr>
        <w:t xml:space="preserve">order on reh’g, </w:t>
      </w:r>
      <w:r w:rsidRPr="007F7801">
        <w:rPr>
          <w:sz w:val="22"/>
          <w:szCs w:val="22"/>
        </w:rPr>
        <w:t xml:space="preserve">Order No. 693-A, 120 FERC ¶ 61,053 (2007).  </w:t>
      </w:r>
    </w:p>
  </w:footnote>
  <w:footnote w:id="3">
    <w:p w:rsidR="00583863" w:rsidRPr="007F7801" w:rsidRDefault="00583863" w:rsidP="007F7801">
      <w:pPr>
        <w:pStyle w:val="FootnoteText"/>
        <w:ind w:firstLine="720"/>
        <w:rPr>
          <w:sz w:val="22"/>
          <w:szCs w:val="22"/>
        </w:rPr>
      </w:pPr>
      <w:r w:rsidRPr="007F7801">
        <w:rPr>
          <w:rStyle w:val="FootnoteReference"/>
          <w:sz w:val="22"/>
          <w:szCs w:val="22"/>
          <w:vertAlign w:val="superscript"/>
        </w:rPr>
        <w:footnoteRef/>
      </w:r>
      <w:r w:rsidRPr="007F7801">
        <w:rPr>
          <w:sz w:val="22"/>
          <w:szCs w:val="22"/>
        </w:rPr>
        <w:t xml:space="preserve"> Order No. 693, FERC Stats. &amp; Regs. ¶ 31,242 at P 471.  The Commission subsequently approved an interpretation of CIP-001-1 (Letter Order issued on Feb. 2, 2011 in Docket No. RR10-11-000, accepting NERC’s clarification regarding the “appropriate parties” to which reports of a sabotage event must be made), as well as a regional modification to CIP-001-1a (Letter Order issued on August 2, 2011 in Docket RD11-6-000, approving a regional variance for ERCOT to add transmission owners and generator owners as responsible entities).  Thus, the currently-effective version of the sabotage reporting standard is CIP-001-2a.  </w:t>
      </w:r>
    </w:p>
  </w:footnote>
  <w:footnote w:id="4">
    <w:p w:rsidR="00583863" w:rsidRPr="007F7801" w:rsidRDefault="00583863" w:rsidP="007F7801">
      <w:pPr>
        <w:pStyle w:val="FootnoteText"/>
        <w:ind w:firstLine="720"/>
        <w:rPr>
          <w:sz w:val="22"/>
          <w:szCs w:val="22"/>
        </w:rPr>
      </w:pPr>
      <w:r w:rsidRPr="007F7801">
        <w:rPr>
          <w:rStyle w:val="FootnoteReference"/>
          <w:sz w:val="22"/>
          <w:szCs w:val="22"/>
          <w:vertAlign w:val="superscript"/>
        </w:rPr>
        <w:footnoteRef/>
      </w:r>
      <w:r w:rsidRPr="007F7801">
        <w:rPr>
          <w:sz w:val="22"/>
          <w:szCs w:val="22"/>
        </w:rPr>
        <w:t xml:space="preserve"> NERC Petition</w:t>
      </w:r>
      <w:r>
        <w:rPr>
          <w:sz w:val="22"/>
          <w:szCs w:val="22"/>
        </w:rPr>
        <w:t>, FERC Docket No. RD13-3-000,</w:t>
      </w:r>
      <w:r w:rsidRPr="007F7801">
        <w:rPr>
          <w:sz w:val="22"/>
          <w:szCs w:val="22"/>
        </w:rPr>
        <w:t xml:space="preserve"> at 7.</w:t>
      </w:r>
    </w:p>
  </w:footnote>
  <w:footnote w:id="5">
    <w:p w:rsidR="00583863" w:rsidRPr="007F7801" w:rsidRDefault="00583863" w:rsidP="007F7801">
      <w:pPr>
        <w:pStyle w:val="FootnoteText"/>
        <w:ind w:firstLine="720"/>
        <w:rPr>
          <w:sz w:val="22"/>
          <w:szCs w:val="22"/>
        </w:rPr>
      </w:pPr>
      <w:r w:rsidRPr="007F7801">
        <w:rPr>
          <w:rStyle w:val="FootnoteReference"/>
          <w:sz w:val="22"/>
          <w:szCs w:val="22"/>
          <w:vertAlign w:val="superscript"/>
        </w:rPr>
        <w:footnoteRef/>
      </w:r>
      <w:r w:rsidRPr="007F7801">
        <w:rPr>
          <w:sz w:val="22"/>
          <w:szCs w:val="22"/>
        </w:rPr>
        <w:t xml:space="preserve"> </w:t>
      </w:r>
      <w:r w:rsidRPr="007F7801">
        <w:rPr>
          <w:i/>
          <w:sz w:val="22"/>
          <w:szCs w:val="22"/>
        </w:rPr>
        <w:t xml:space="preserve">Id. </w:t>
      </w:r>
      <w:r w:rsidRPr="007F7801">
        <w:rPr>
          <w:sz w:val="22"/>
          <w:szCs w:val="22"/>
        </w:rPr>
        <w:t>at 8.</w:t>
      </w:r>
    </w:p>
  </w:footnote>
  <w:footnote w:id="6">
    <w:p w:rsidR="00583863" w:rsidRPr="007F7801" w:rsidRDefault="00583863" w:rsidP="007F7801">
      <w:pPr>
        <w:pStyle w:val="FootnoteText"/>
        <w:ind w:firstLine="720"/>
        <w:rPr>
          <w:sz w:val="22"/>
          <w:szCs w:val="22"/>
        </w:rPr>
      </w:pPr>
      <w:r w:rsidRPr="007F7801">
        <w:rPr>
          <w:rStyle w:val="FootnoteReference"/>
          <w:sz w:val="22"/>
          <w:szCs w:val="22"/>
          <w:vertAlign w:val="superscript"/>
        </w:rPr>
        <w:footnoteRef/>
      </w:r>
      <w:r w:rsidRPr="007F7801">
        <w:rPr>
          <w:sz w:val="22"/>
          <w:szCs w:val="22"/>
        </w:rPr>
        <w:t xml:space="preserve"> </w:t>
      </w:r>
      <w:r w:rsidRPr="007F7801">
        <w:rPr>
          <w:i/>
          <w:sz w:val="22"/>
          <w:szCs w:val="22"/>
        </w:rPr>
        <w:t xml:space="preserve">Id. </w:t>
      </w:r>
      <w:r w:rsidRPr="007F7801">
        <w:rPr>
          <w:sz w:val="22"/>
          <w:szCs w:val="22"/>
        </w:rPr>
        <w:t xml:space="preserve">at 5. </w:t>
      </w:r>
    </w:p>
  </w:footnote>
  <w:footnote w:id="7">
    <w:p w:rsidR="00583863" w:rsidRPr="007F7801" w:rsidRDefault="00583863" w:rsidP="007F7801">
      <w:pPr>
        <w:pStyle w:val="FootnoteText"/>
        <w:ind w:firstLine="720"/>
        <w:rPr>
          <w:sz w:val="22"/>
          <w:szCs w:val="22"/>
        </w:rPr>
      </w:pPr>
      <w:r w:rsidRPr="007F7801">
        <w:rPr>
          <w:rStyle w:val="FootnoteReference"/>
          <w:sz w:val="22"/>
          <w:szCs w:val="22"/>
          <w:vertAlign w:val="superscript"/>
        </w:rPr>
        <w:footnoteRef/>
      </w:r>
      <w:r w:rsidRPr="007F7801">
        <w:rPr>
          <w:sz w:val="22"/>
          <w:szCs w:val="22"/>
        </w:rPr>
        <w:t xml:space="preserve"> </w:t>
      </w:r>
      <w:r w:rsidRPr="007F7801">
        <w:rPr>
          <w:i/>
          <w:sz w:val="22"/>
          <w:szCs w:val="22"/>
        </w:rPr>
        <w:t xml:space="preserve">Id. </w:t>
      </w:r>
      <w:r w:rsidRPr="007F7801">
        <w:rPr>
          <w:sz w:val="22"/>
          <w:szCs w:val="22"/>
        </w:rPr>
        <w:t>at 3.</w:t>
      </w:r>
    </w:p>
  </w:footnote>
  <w:footnote w:id="8">
    <w:p w:rsidR="00583863" w:rsidRPr="007F7801" w:rsidRDefault="00583863" w:rsidP="007F7801">
      <w:pPr>
        <w:pStyle w:val="FootnoteText"/>
        <w:ind w:firstLine="720"/>
        <w:rPr>
          <w:sz w:val="22"/>
          <w:szCs w:val="22"/>
        </w:rPr>
      </w:pPr>
      <w:r w:rsidRPr="007F7801">
        <w:rPr>
          <w:rStyle w:val="FootnoteReference"/>
          <w:sz w:val="22"/>
          <w:szCs w:val="22"/>
          <w:vertAlign w:val="superscript"/>
        </w:rPr>
        <w:footnoteRef/>
      </w:r>
      <w:r w:rsidRPr="007F7801">
        <w:rPr>
          <w:sz w:val="22"/>
          <w:szCs w:val="22"/>
        </w:rPr>
        <w:t xml:space="preserve"> Responsible Entities for this standard are: Reliability Coordinator, Balancing Authority, Transmission Owner, Transmission Operator, Generator Owner, Generator Operator, and Distribution Provider.</w:t>
      </w:r>
    </w:p>
  </w:footnote>
  <w:footnote w:id="9">
    <w:p w:rsidR="00583863" w:rsidRPr="007F7801" w:rsidRDefault="00583863" w:rsidP="007F7801">
      <w:pPr>
        <w:pStyle w:val="FootnoteText"/>
        <w:ind w:firstLine="720"/>
        <w:rPr>
          <w:sz w:val="22"/>
          <w:szCs w:val="22"/>
        </w:rPr>
      </w:pPr>
      <w:r w:rsidRPr="007F7801">
        <w:rPr>
          <w:rStyle w:val="FootnoteReference"/>
          <w:sz w:val="22"/>
          <w:szCs w:val="22"/>
          <w:vertAlign w:val="superscript"/>
        </w:rPr>
        <w:footnoteRef/>
      </w:r>
      <w:r w:rsidRPr="007F7801">
        <w:rPr>
          <w:sz w:val="22"/>
          <w:szCs w:val="22"/>
        </w:rPr>
        <w:t xml:space="preserve"> </w:t>
      </w:r>
      <w:r w:rsidRPr="007F7801">
        <w:rPr>
          <w:i/>
          <w:sz w:val="22"/>
          <w:szCs w:val="22"/>
        </w:rPr>
        <w:t xml:space="preserve">Id. </w:t>
      </w:r>
      <w:r w:rsidRPr="007F7801">
        <w:rPr>
          <w:sz w:val="22"/>
          <w:szCs w:val="22"/>
        </w:rPr>
        <w:t xml:space="preserve">at 16. </w:t>
      </w:r>
    </w:p>
  </w:footnote>
  <w:footnote w:id="10">
    <w:p w:rsidR="00583863" w:rsidRPr="007F7801" w:rsidRDefault="00583863" w:rsidP="007F7801">
      <w:pPr>
        <w:pStyle w:val="FootnoteText"/>
        <w:ind w:firstLine="720"/>
        <w:rPr>
          <w:sz w:val="22"/>
          <w:szCs w:val="22"/>
        </w:rPr>
      </w:pPr>
      <w:r w:rsidRPr="007F7801">
        <w:rPr>
          <w:rStyle w:val="FootnoteReference"/>
          <w:sz w:val="22"/>
          <w:szCs w:val="22"/>
          <w:vertAlign w:val="superscript"/>
        </w:rPr>
        <w:footnoteRef/>
      </w:r>
      <w:r w:rsidRPr="007F7801">
        <w:rPr>
          <w:sz w:val="22"/>
          <w:szCs w:val="22"/>
        </w:rPr>
        <w:t xml:space="preserve"> </w:t>
      </w:r>
      <w:r w:rsidRPr="007F7801">
        <w:rPr>
          <w:i/>
          <w:sz w:val="22"/>
          <w:szCs w:val="22"/>
        </w:rPr>
        <w:t xml:space="preserve">Id. </w:t>
      </w:r>
      <w:r w:rsidRPr="007F7801">
        <w:rPr>
          <w:sz w:val="22"/>
          <w:szCs w:val="22"/>
        </w:rPr>
        <w:t xml:space="preserve">at 4. </w:t>
      </w:r>
    </w:p>
  </w:footnote>
  <w:footnote w:id="11">
    <w:p w:rsidR="00583863" w:rsidRPr="007F7801" w:rsidRDefault="00583863" w:rsidP="007F7801">
      <w:pPr>
        <w:pStyle w:val="FootnoteText"/>
        <w:ind w:firstLine="720"/>
        <w:rPr>
          <w:sz w:val="22"/>
          <w:szCs w:val="22"/>
        </w:rPr>
      </w:pPr>
      <w:r w:rsidRPr="007F7801">
        <w:rPr>
          <w:rStyle w:val="FootnoteReference"/>
          <w:sz w:val="22"/>
          <w:szCs w:val="22"/>
          <w:vertAlign w:val="superscript"/>
        </w:rPr>
        <w:footnoteRef/>
      </w:r>
      <w:r w:rsidRPr="007F7801">
        <w:rPr>
          <w:sz w:val="22"/>
          <w:szCs w:val="22"/>
        </w:rPr>
        <w:t xml:space="preserve"> </w:t>
      </w:r>
      <w:r w:rsidRPr="007F7801">
        <w:rPr>
          <w:i/>
          <w:iCs/>
          <w:color w:val="000000"/>
          <w:sz w:val="22"/>
          <w:szCs w:val="22"/>
        </w:rPr>
        <w:t xml:space="preserve">See </w:t>
      </w:r>
      <w:r w:rsidRPr="007F7801">
        <w:rPr>
          <w:color w:val="0000FF"/>
          <w:sz w:val="22"/>
          <w:szCs w:val="22"/>
        </w:rPr>
        <w:t>http://www.oe.netl.doe.gov/oe417.aspx</w:t>
      </w:r>
      <w:r w:rsidRPr="007F7801">
        <w:rPr>
          <w:color w:val="000000"/>
          <w:sz w:val="22"/>
          <w:szCs w:val="22"/>
        </w:rPr>
        <w:t>.</w:t>
      </w:r>
    </w:p>
  </w:footnote>
  <w:footnote w:id="12">
    <w:p w:rsidR="00583863" w:rsidRPr="007F7801" w:rsidRDefault="00583863" w:rsidP="007F7801">
      <w:pPr>
        <w:pStyle w:val="FootnoteText"/>
        <w:ind w:firstLine="720"/>
        <w:rPr>
          <w:sz w:val="22"/>
          <w:szCs w:val="22"/>
        </w:rPr>
      </w:pPr>
      <w:r w:rsidRPr="007F7801">
        <w:rPr>
          <w:rStyle w:val="FootnoteReference"/>
          <w:sz w:val="22"/>
          <w:szCs w:val="22"/>
          <w:vertAlign w:val="superscript"/>
        </w:rPr>
        <w:footnoteRef/>
      </w:r>
      <w:r w:rsidRPr="007F7801">
        <w:rPr>
          <w:sz w:val="22"/>
          <w:szCs w:val="22"/>
        </w:rPr>
        <w:t xml:space="preserve"> Order No. 693 at P 471.</w:t>
      </w:r>
    </w:p>
  </w:footnote>
  <w:footnote w:id="13">
    <w:p w:rsidR="00583863" w:rsidRPr="007F7801" w:rsidRDefault="00583863" w:rsidP="007F7801">
      <w:pPr>
        <w:pStyle w:val="FootnoteText"/>
        <w:ind w:firstLine="720"/>
        <w:rPr>
          <w:sz w:val="22"/>
          <w:szCs w:val="22"/>
        </w:rPr>
      </w:pPr>
      <w:r w:rsidRPr="007F7801">
        <w:rPr>
          <w:rStyle w:val="FootnoteReference"/>
          <w:sz w:val="22"/>
          <w:szCs w:val="22"/>
          <w:vertAlign w:val="superscript"/>
        </w:rPr>
        <w:footnoteRef/>
      </w:r>
      <w:r w:rsidRPr="007F7801">
        <w:rPr>
          <w:sz w:val="22"/>
          <w:szCs w:val="22"/>
        </w:rPr>
        <w:t xml:space="preserve"> Details of the current ERO Reliability Standard processes are available on the NERC website at </w:t>
      </w:r>
      <w:hyperlink r:id="rId1" w:history="1">
        <w:r w:rsidRPr="007F7801">
          <w:rPr>
            <w:rStyle w:val="Hyperlink"/>
            <w:sz w:val="22"/>
            <w:szCs w:val="22"/>
          </w:rPr>
          <w:t>http://www.nerc.com/FilingsOrders/us/RuleOfProcedureDL/Appendix_3A_StandardProcessesManual_20130626.pdf</w:t>
        </w:r>
      </w:hyperlink>
      <w:r w:rsidRPr="007F7801">
        <w:rPr>
          <w:sz w:val="22"/>
          <w:szCs w:val="22"/>
        </w:rPr>
        <w:t xml:space="preserve">. </w:t>
      </w:r>
    </w:p>
  </w:footnote>
  <w:footnote w:id="14">
    <w:p w:rsidR="00583863" w:rsidRPr="007F7801" w:rsidRDefault="00583863" w:rsidP="00BD0FD5">
      <w:pPr>
        <w:pStyle w:val="FootnoteText"/>
        <w:ind w:firstLine="720"/>
        <w:rPr>
          <w:sz w:val="22"/>
          <w:szCs w:val="22"/>
        </w:rPr>
      </w:pPr>
      <w:r w:rsidRPr="007F7801">
        <w:rPr>
          <w:rStyle w:val="FootnoteReference"/>
          <w:sz w:val="22"/>
          <w:szCs w:val="22"/>
          <w:vertAlign w:val="superscript"/>
        </w:rPr>
        <w:footnoteRef/>
      </w:r>
      <w:r w:rsidRPr="007F7801">
        <w:rPr>
          <w:sz w:val="22"/>
          <w:szCs w:val="22"/>
        </w:rPr>
        <w:t xml:space="preserve"> Joint ISOs/RTOs are the California Independent System Operator Corporation; Electric Reliability Council of Texas, Inc.; Ontario’s Independent Electricity System Operator; ISO New England Inc.; Midwest Independent Transmission System Operator, Inc.; New York Independent System Operator, Inc.; and Southwest Power Pool, Inc. </w:t>
      </w:r>
    </w:p>
  </w:footnote>
  <w:footnote w:id="15">
    <w:p w:rsidR="00583863" w:rsidRPr="007F7801" w:rsidRDefault="00583863" w:rsidP="007F7801">
      <w:pPr>
        <w:pStyle w:val="FootnoteText"/>
        <w:ind w:firstLine="720"/>
        <w:rPr>
          <w:sz w:val="22"/>
          <w:szCs w:val="22"/>
        </w:rPr>
      </w:pPr>
      <w:r w:rsidRPr="007F7801">
        <w:rPr>
          <w:rStyle w:val="FootnoteReference"/>
          <w:sz w:val="22"/>
          <w:szCs w:val="22"/>
          <w:vertAlign w:val="superscript"/>
        </w:rPr>
        <w:footnoteRef/>
      </w:r>
      <w:r w:rsidRPr="007F7801">
        <w:rPr>
          <w:sz w:val="22"/>
          <w:szCs w:val="22"/>
        </w:rPr>
        <w:t xml:space="preserve"> Comments of Joint ISOs/RTOs at 6.</w:t>
      </w:r>
    </w:p>
  </w:footnote>
  <w:footnote w:id="16">
    <w:p w:rsidR="00583863" w:rsidRPr="007F7801" w:rsidRDefault="00583863" w:rsidP="007F7801">
      <w:pPr>
        <w:pStyle w:val="FootnoteText"/>
        <w:ind w:firstLine="720"/>
        <w:rPr>
          <w:sz w:val="22"/>
          <w:szCs w:val="22"/>
        </w:rPr>
      </w:pPr>
      <w:r w:rsidRPr="007F7801">
        <w:rPr>
          <w:rStyle w:val="FootnoteReference"/>
          <w:sz w:val="22"/>
          <w:szCs w:val="22"/>
          <w:vertAlign w:val="superscript"/>
        </w:rPr>
        <w:footnoteRef/>
      </w:r>
      <w:r w:rsidRPr="007F7801">
        <w:rPr>
          <w:sz w:val="22"/>
          <w:szCs w:val="22"/>
        </w:rPr>
        <w:t xml:space="preserve"> </w:t>
      </w:r>
      <w:r w:rsidRPr="007F7801">
        <w:rPr>
          <w:i/>
          <w:sz w:val="22"/>
          <w:szCs w:val="22"/>
        </w:rPr>
        <w:t>Id</w:t>
      </w:r>
      <w:r w:rsidRPr="007F7801">
        <w:rPr>
          <w:sz w:val="22"/>
          <w:szCs w:val="22"/>
        </w:rPr>
        <w:t xml:space="preserve">. at 5 (quoting from FPA section 215). </w:t>
      </w:r>
    </w:p>
  </w:footnote>
  <w:footnote w:id="17">
    <w:p w:rsidR="00583863" w:rsidRPr="007F7801" w:rsidRDefault="00583863" w:rsidP="007F7801">
      <w:pPr>
        <w:pStyle w:val="FootnoteText"/>
        <w:ind w:firstLine="720"/>
        <w:rPr>
          <w:sz w:val="22"/>
          <w:szCs w:val="22"/>
        </w:rPr>
      </w:pPr>
      <w:r w:rsidRPr="007F7801">
        <w:rPr>
          <w:rStyle w:val="FootnoteReference"/>
          <w:sz w:val="22"/>
          <w:szCs w:val="22"/>
          <w:vertAlign w:val="superscript"/>
        </w:rPr>
        <w:footnoteRef/>
      </w:r>
      <w:r w:rsidRPr="007F7801">
        <w:rPr>
          <w:sz w:val="22"/>
          <w:szCs w:val="22"/>
        </w:rPr>
        <w:t xml:space="preserve"> </w:t>
      </w:r>
      <w:r w:rsidRPr="007F7801">
        <w:rPr>
          <w:i/>
          <w:sz w:val="22"/>
          <w:szCs w:val="22"/>
        </w:rPr>
        <w:t xml:space="preserve">See id. </w:t>
      </w:r>
      <w:r w:rsidRPr="007F7801">
        <w:rPr>
          <w:sz w:val="22"/>
          <w:szCs w:val="22"/>
        </w:rPr>
        <w:t xml:space="preserve">at 7. </w:t>
      </w:r>
    </w:p>
  </w:footnote>
  <w:footnote w:id="18">
    <w:p w:rsidR="00583863" w:rsidRPr="007F7801" w:rsidRDefault="00583863" w:rsidP="007F7801">
      <w:pPr>
        <w:pStyle w:val="FootnoteText"/>
        <w:ind w:firstLine="720"/>
        <w:rPr>
          <w:sz w:val="22"/>
          <w:szCs w:val="22"/>
        </w:rPr>
      </w:pPr>
      <w:r w:rsidRPr="007F7801">
        <w:rPr>
          <w:rStyle w:val="FootnoteReference"/>
          <w:sz w:val="22"/>
          <w:szCs w:val="22"/>
          <w:vertAlign w:val="superscript"/>
        </w:rPr>
        <w:footnoteRef/>
      </w:r>
      <w:r w:rsidRPr="007F7801">
        <w:rPr>
          <w:sz w:val="22"/>
          <w:szCs w:val="22"/>
        </w:rPr>
        <w:t xml:space="preserve"> </w:t>
      </w:r>
      <w:r w:rsidRPr="007F7801">
        <w:rPr>
          <w:i/>
          <w:sz w:val="22"/>
          <w:szCs w:val="22"/>
        </w:rPr>
        <w:t>Id</w:t>
      </w:r>
      <w:r w:rsidRPr="007F7801">
        <w:rPr>
          <w:sz w:val="22"/>
          <w:szCs w:val="22"/>
        </w:rPr>
        <w:t xml:space="preserve">. at 8-14.  Joint ISOs/RTOs acknowledge that, “[i]f the Commission disagrees with the Joint ISOs/RTOs’ position that event reporting should not be included in the Reliability Standards . . . , proposed standard EOP-004-2 is an improvement over the two events reporting standards it would replace . . . .”  </w:t>
      </w:r>
      <w:r w:rsidRPr="007F7801">
        <w:rPr>
          <w:i/>
          <w:sz w:val="22"/>
          <w:szCs w:val="22"/>
        </w:rPr>
        <w:t>Id</w:t>
      </w:r>
      <w:r w:rsidRPr="007F7801">
        <w:rPr>
          <w:sz w:val="22"/>
          <w:szCs w:val="22"/>
        </w:rPr>
        <w:t>. at 8.</w:t>
      </w:r>
    </w:p>
  </w:footnote>
  <w:footnote w:id="19">
    <w:p w:rsidR="00583863" w:rsidRPr="007F7801" w:rsidRDefault="00583863" w:rsidP="007F7801">
      <w:pPr>
        <w:pStyle w:val="FootnoteText"/>
        <w:ind w:firstLine="720"/>
        <w:rPr>
          <w:sz w:val="22"/>
          <w:szCs w:val="22"/>
        </w:rPr>
      </w:pPr>
      <w:r w:rsidRPr="007F7801">
        <w:rPr>
          <w:rStyle w:val="FootnoteReference"/>
          <w:sz w:val="22"/>
          <w:szCs w:val="22"/>
          <w:vertAlign w:val="superscript"/>
        </w:rPr>
        <w:footnoteRef/>
      </w:r>
      <w:r w:rsidRPr="007F7801">
        <w:rPr>
          <w:sz w:val="22"/>
          <w:szCs w:val="22"/>
        </w:rPr>
        <w:t xml:space="preserve"> </w:t>
      </w:r>
      <w:r w:rsidRPr="007F7801">
        <w:rPr>
          <w:i/>
          <w:sz w:val="22"/>
          <w:szCs w:val="22"/>
        </w:rPr>
        <w:t xml:space="preserve">Id. </w:t>
      </w:r>
      <w:r w:rsidRPr="007F7801">
        <w:rPr>
          <w:sz w:val="22"/>
          <w:szCs w:val="22"/>
        </w:rPr>
        <w:t>at 9.</w:t>
      </w:r>
    </w:p>
  </w:footnote>
  <w:footnote w:id="20">
    <w:p w:rsidR="00583863" w:rsidRPr="007F7801" w:rsidRDefault="00583863" w:rsidP="007F7801">
      <w:pPr>
        <w:pStyle w:val="FootnoteText"/>
        <w:ind w:firstLine="720"/>
        <w:rPr>
          <w:sz w:val="22"/>
          <w:szCs w:val="22"/>
        </w:rPr>
      </w:pPr>
      <w:r w:rsidRPr="007F7801">
        <w:rPr>
          <w:rStyle w:val="FootnoteReference"/>
          <w:sz w:val="22"/>
          <w:szCs w:val="22"/>
          <w:vertAlign w:val="superscript"/>
        </w:rPr>
        <w:footnoteRef/>
      </w:r>
      <w:r w:rsidRPr="007F7801">
        <w:rPr>
          <w:sz w:val="22"/>
          <w:szCs w:val="22"/>
        </w:rPr>
        <w:t xml:space="preserve"> We have previously approved Reliability Standards that do not affect “real-time operations” yet still support the reliable operation of the Bulk-Power System, including Reliability Standards within the several different transmission categories including personnel performance, training and qualifications (PER); transmission planning (TPL); and facility connection and coordination (FAC-001 and FAC-002).  </w:t>
      </w:r>
      <w:r w:rsidRPr="007F7801">
        <w:rPr>
          <w:b/>
          <w:sz w:val="22"/>
          <w:szCs w:val="22"/>
        </w:rPr>
        <w:t xml:space="preserve"> </w:t>
      </w:r>
    </w:p>
  </w:footnote>
  <w:footnote w:id="21">
    <w:p w:rsidR="00583863" w:rsidRPr="007F7801" w:rsidRDefault="00583863" w:rsidP="007F7801">
      <w:pPr>
        <w:pStyle w:val="FootnoteText"/>
        <w:ind w:firstLine="720"/>
        <w:rPr>
          <w:sz w:val="22"/>
          <w:szCs w:val="22"/>
        </w:rPr>
      </w:pPr>
      <w:r w:rsidRPr="007F7801">
        <w:rPr>
          <w:rStyle w:val="FootnoteReference"/>
          <w:sz w:val="22"/>
          <w:szCs w:val="22"/>
          <w:vertAlign w:val="superscript"/>
        </w:rPr>
        <w:footnoteRef/>
      </w:r>
      <w:r w:rsidRPr="007F7801">
        <w:rPr>
          <w:sz w:val="22"/>
          <w:szCs w:val="22"/>
        </w:rPr>
        <w:t xml:space="preserve"> </w:t>
      </w:r>
      <w:r w:rsidRPr="007F7801">
        <w:rPr>
          <w:i/>
          <w:sz w:val="22"/>
          <w:szCs w:val="22"/>
        </w:rPr>
        <w:t>See</w:t>
      </w:r>
      <w:r w:rsidRPr="007F7801">
        <w:rPr>
          <w:sz w:val="22"/>
          <w:szCs w:val="22"/>
        </w:rPr>
        <w:t xml:space="preserve"> NERC Petition at 16.</w:t>
      </w:r>
    </w:p>
  </w:footnote>
  <w:footnote w:id="22">
    <w:p w:rsidR="00583863" w:rsidRPr="007F7801" w:rsidRDefault="00583863" w:rsidP="007F7801">
      <w:pPr>
        <w:pStyle w:val="FootnoteText"/>
        <w:ind w:firstLine="720"/>
        <w:rPr>
          <w:sz w:val="22"/>
          <w:szCs w:val="22"/>
        </w:rPr>
      </w:pPr>
      <w:r w:rsidRPr="007F7801">
        <w:rPr>
          <w:rStyle w:val="FootnoteReference"/>
          <w:sz w:val="22"/>
          <w:szCs w:val="22"/>
          <w:vertAlign w:val="superscript"/>
        </w:rPr>
        <w:footnoteRef/>
      </w:r>
      <w:r w:rsidRPr="007F7801">
        <w:rPr>
          <w:sz w:val="22"/>
          <w:szCs w:val="22"/>
        </w:rPr>
        <w:t xml:space="preserve"> NERC Petition at 13.</w:t>
      </w:r>
    </w:p>
  </w:footnote>
  <w:footnote w:id="23">
    <w:p w:rsidR="00583863" w:rsidRPr="007F7801" w:rsidRDefault="00583863" w:rsidP="007F7801">
      <w:pPr>
        <w:pStyle w:val="FootnoteText"/>
        <w:ind w:firstLine="720"/>
        <w:rPr>
          <w:sz w:val="22"/>
          <w:szCs w:val="22"/>
        </w:rPr>
      </w:pPr>
      <w:r w:rsidRPr="007F7801">
        <w:rPr>
          <w:rStyle w:val="FootnoteReference"/>
          <w:sz w:val="22"/>
          <w:szCs w:val="22"/>
          <w:vertAlign w:val="superscript"/>
        </w:rPr>
        <w:footnoteRef/>
      </w:r>
      <w:r w:rsidRPr="007F7801">
        <w:rPr>
          <w:sz w:val="22"/>
          <w:szCs w:val="22"/>
        </w:rPr>
        <w:t xml:space="preserve"> Although distribution providers are included as responsible entities under the revised Reliability Standard, their reporting obligations will be </w:t>
      </w:r>
      <w:r w:rsidRPr="007F7801">
        <w:rPr>
          <w:i/>
          <w:sz w:val="22"/>
          <w:szCs w:val="22"/>
        </w:rPr>
        <w:t>de minimis</w:t>
      </w:r>
      <w:r w:rsidRPr="007F7801">
        <w:rPr>
          <w:sz w:val="22"/>
          <w:szCs w:val="22"/>
        </w:rPr>
        <w:t xml:space="preserve">, as explained in the Guidelines and Technical Basis attached to the revised standard.  </w:t>
      </w:r>
      <w:r w:rsidRPr="007F7801">
        <w:rPr>
          <w:i/>
          <w:sz w:val="22"/>
          <w:szCs w:val="22"/>
        </w:rPr>
        <w:t xml:space="preserve">See </w:t>
      </w:r>
      <w:r w:rsidRPr="007F7801">
        <w:rPr>
          <w:sz w:val="22"/>
          <w:szCs w:val="22"/>
        </w:rPr>
        <w:t xml:space="preserve">NERC Petition, Ex. B at 13.  For purposes of this analysis, however, we included distribution providers as part of the assumed number of reports per year.  </w:t>
      </w:r>
    </w:p>
  </w:footnote>
  <w:footnote w:id="24">
    <w:p w:rsidR="00583863" w:rsidRPr="007F7801" w:rsidRDefault="00583863" w:rsidP="007F7801">
      <w:pPr>
        <w:pStyle w:val="FootnoteText"/>
        <w:ind w:firstLine="720"/>
        <w:rPr>
          <w:sz w:val="22"/>
          <w:szCs w:val="22"/>
        </w:rPr>
      </w:pPr>
      <w:r w:rsidRPr="007F7801">
        <w:rPr>
          <w:rStyle w:val="FootnoteReference"/>
          <w:sz w:val="22"/>
          <w:szCs w:val="22"/>
          <w:vertAlign w:val="superscript"/>
        </w:rPr>
        <w:footnoteRef/>
      </w:r>
      <w:r w:rsidRPr="007F7801">
        <w:rPr>
          <w:sz w:val="22"/>
          <w:szCs w:val="22"/>
        </w:rPr>
        <w:t xml:space="preserve"> In the Order approving the EOP Reliability Standard we incorrectly used “-81” in this cell.</w:t>
      </w:r>
    </w:p>
  </w:footnote>
  <w:footnote w:id="25">
    <w:p w:rsidR="00583863" w:rsidRPr="007F7801" w:rsidRDefault="00583863" w:rsidP="007F7801">
      <w:pPr>
        <w:pStyle w:val="FootnoteText"/>
        <w:ind w:firstLine="720"/>
        <w:rPr>
          <w:sz w:val="22"/>
          <w:szCs w:val="22"/>
        </w:rPr>
      </w:pPr>
      <w:r w:rsidRPr="007F7801">
        <w:rPr>
          <w:rStyle w:val="FootnoteReference"/>
          <w:sz w:val="22"/>
          <w:szCs w:val="22"/>
          <w:vertAlign w:val="superscript"/>
        </w:rPr>
        <w:footnoteRef/>
      </w:r>
      <w:r w:rsidRPr="007F7801">
        <w:rPr>
          <w:sz w:val="22"/>
          <w:szCs w:val="22"/>
        </w:rPr>
        <w:t xml:space="preserve"> For the burden categories above, the estimated hourly loaded cost (salary plus benefits) for an engineer was assumed to be $60/hour, based on salaries as reported by the Bureau of Labor Statistics (BLS) (http://bls.gov/oes/current/naics2_22.htm).  Loaded costs are BLS rates divided by 0.703 and rounded to the nearest dollar (http://www.bls.gov/news.release/ecec.nr0.htm).</w:t>
      </w:r>
    </w:p>
  </w:footnote>
  <w:footnote w:id="26">
    <w:p w:rsidR="00583863" w:rsidRPr="007F7801" w:rsidRDefault="00583863" w:rsidP="007F7801">
      <w:pPr>
        <w:pStyle w:val="FootnoteText"/>
        <w:ind w:firstLine="720"/>
        <w:rPr>
          <w:sz w:val="22"/>
          <w:szCs w:val="22"/>
        </w:rPr>
      </w:pPr>
      <w:r w:rsidRPr="007F7801">
        <w:rPr>
          <w:rStyle w:val="FootnoteReference"/>
          <w:sz w:val="22"/>
          <w:szCs w:val="22"/>
          <w:vertAlign w:val="superscript"/>
        </w:rPr>
        <w:footnoteRef/>
      </w:r>
      <w:r w:rsidRPr="007F7801">
        <w:rPr>
          <w:sz w:val="22"/>
          <w:szCs w:val="22"/>
        </w:rPr>
        <w:t xml:space="preserve"> It is estimated that the average time to complete the required event report under Reliability Standard EOP-004-1 is 30 minutes, versus an estimated 10 minutes under the proposed Reliability Standard, EOP-004-2. </w:t>
      </w:r>
      <w:r w:rsidRPr="007F7801">
        <w:rPr>
          <w:b/>
          <w:sz w:val="22"/>
          <w:szCs w:val="22"/>
        </w:rPr>
        <w:t xml:space="preserve">  </w:t>
      </w:r>
    </w:p>
  </w:footnote>
  <w:footnote w:id="27">
    <w:p w:rsidR="00583863" w:rsidRPr="007F7801" w:rsidRDefault="00583863" w:rsidP="007F7801">
      <w:pPr>
        <w:pStyle w:val="FootnoteText"/>
        <w:ind w:firstLine="720"/>
        <w:rPr>
          <w:sz w:val="22"/>
          <w:szCs w:val="22"/>
        </w:rPr>
      </w:pPr>
      <w:r w:rsidRPr="007F7801">
        <w:rPr>
          <w:rStyle w:val="FootnoteReference"/>
          <w:sz w:val="22"/>
          <w:szCs w:val="22"/>
          <w:vertAlign w:val="superscript"/>
        </w:rPr>
        <w:footnoteRef/>
      </w:r>
      <w:r w:rsidRPr="007F7801">
        <w:rPr>
          <w:sz w:val="22"/>
          <w:szCs w:val="22"/>
        </w:rPr>
        <w:t xml:space="preserve"> This is based on an estimate of work done by the Information Clearance team and other FERC staff as well as a small non-labor cost related to publishing material in the Federal Register.  </w:t>
      </w:r>
    </w:p>
  </w:footnote>
  <w:footnote w:id="28">
    <w:p w:rsidR="00583863" w:rsidRPr="007F7801" w:rsidRDefault="00583863" w:rsidP="007F7801">
      <w:pPr>
        <w:pStyle w:val="FootnoteText"/>
        <w:ind w:firstLine="720"/>
        <w:rPr>
          <w:sz w:val="22"/>
          <w:szCs w:val="22"/>
        </w:rPr>
      </w:pPr>
      <w:r w:rsidRPr="00107834">
        <w:rPr>
          <w:rStyle w:val="FootnoteReference"/>
          <w:sz w:val="22"/>
          <w:szCs w:val="22"/>
          <w:vertAlign w:val="superscript"/>
        </w:rPr>
        <w:footnoteRef/>
      </w:r>
      <w:r w:rsidRPr="00107834">
        <w:rPr>
          <w:sz w:val="22"/>
          <w:szCs w:val="22"/>
          <w:vertAlign w:val="superscript"/>
        </w:rPr>
        <w:t xml:space="preserve"> </w:t>
      </w:r>
      <w:r w:rsidRPr="00107834">
        <w:rPr>
          <w:sz w:val="22"/>
          <w:szCs w:val="22"/>
        </w:rPr>
        <w:t>The form is part of the Reliability Standard attached as a supplementary document in FERC’s submission to OMB.</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83863" w:rsidRDefault="00583863" w:rsidP="00B3407F">
    <w:pPr>
      <w:pStyle w:val="Header"/>
      <w:rPr>
        <w:rFonts w:ascii="Times New Roman" w:hAnsi="Times New Roman"/>
        <w:sz w:val="24"/>
        <w:szCs w:val="24"/>
      </w:rPr>
    </w:pPr>
    <w:r>
      <w:rPr>
        <w:rFonts w:ascii="Times New Roman" w:hAnsi="Times New Roman"/>
        <w:sz w:val="24"/>
        <w:szCs w:val="24"/>
      </w:rPr>
      <w:t xml:space="preserve">FERC-725A (OMB Control No.:1902-0244) </w:t>
    </w:r>
  </w:p>
  <w:p w:rsidR="00583863" w:rsidRDefault="00583863" w:rsidP="00B3407F">
    <w:pPr>
      <w:pStyle w:val="Header"/>
      <w:rPr>
        <w:rFonts w:ascii="Times New Roman" w:hAnsi="Times New Roman"/>
        <w:sz w:val="24"/>
        <w:szCs w:val="24"/>
      </w:rPr>
    </w:pPr>
    <w:r>
      <w:rPr>
        <w:rFonts w:ascii="Times New Roman" w:hAnsi="Times New Roman"/>
        <w:sz w:val="24"/>
        <w:szCs w:val="24"/>
      </w:rPr>
      <w:t>Order in Docket No. RD13-3-000, issued 6/20/2013 (Updated: 11/19/13)</w:t>
    </w:r>
  </w:p>
  <w:p w:rsidR="00583863" w:rsidRDefault="00583863" w:rsidP="00B3407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DAE65B0C"/>
    <w:lvl w:ilvl="0">
      <w:start w:val="1"/>
      <w:numFmt w:val="decimal"/>
      <w:pStyle w:val="ListNumber5"/>
      <w:lvlText w:val="%1."/>
      <w:lvlJc w:val="left"/>
      <w:pPr>
        <w:tabs>
          <w:tab w:val="num" w:pos="1800"/>
        </w:tabs>
        <w:ind w:left="1800" w:hanging="360"/>
      </w:pPr>
    </w:lvl>
  </w:abstractNum>
  <w:abstractNum w:abstractNumId="1">
    <w:nsid w:val="FFFFFF7D"/>
    <w:multiLevelType w:val="singleLevel"/>
    <w:tmpl w:val="5E44C7CE"/>
    <w:lvl w:ilvl="0">
      <w:start w:val="1"/>
      <w:numFmt w:val="decimal"/>
      <w:pStyle w:val="ListNumber4"/>
      <w:lvlText w:val="%1."/>
      <w:lvlJc w:val="left"/>
      <w:pPr>
        <w:tabs>
          <w:tab w:val="num" w:pos="1440"/>
        </w:tabs>
        <w:ind w:left="1440" w:hanging="360"/>
      </w:pPr>
    </w:lvl>
  </w:abstractNum>
  <w:abstractNum w:abstractNumId="2">
    <w:nsid w:val="FFFFFF7E"/>
    <w:multiLevelType w:val="singleLevel"/>
    <w:tmpl w:val="7D861206"/>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6CC05C60"/>
    <w:lvl w:ilvl="0">
      <w:start w:val="1"/>
      <w:numFmt w:val="decimal"/>
      <w:pStyle w:val="ListNumber2"/>
      <w:lvlText w:val="%1."/>
      <w:lvlJc w:val="left"/>
      <w:pPr>
        <w:tabs>
          <w:tab w:val="num" w:pos="720"/>
        </w:tabs>
        <w:ind w:left="720" w:hanging="360"/>
      </w:pPr>
    </w:lvl>
  </w:abstractNum>
  <w:abstractNum w:abstractNumId="4">
    <w:nsid w:val="FFFFFF80"/>
    <w:multiLevelType w:val="singleLevel"/>
    <w:tmpl w:val="126633CE"/>
    <w:lvl w:ilvl="0">
      <w:start w:val="1"/>
      <w:numFmt w:val="bullet"/>
      <w:pStyle w:val="ListBullet5"/>
      <w:lvlText w:val=""/>
      <w:lvlJc w:val="left"/>
      <w:pPr>
        <w:tabs>
          <w:tab w:val="num" w:pos="1800"/>
        </w:tabs>
        <w:ind w:left="1800" w:hanging="360"/>
      </w:pPr>
      <w:rPr>
        <w:rFonts w:ascii="Symbol" w:hAnsi="Symbol" w:hint="default"/>
      </w:rPr>
    </w:lvl>
  </w:abstractNum>
  <w:abstractNum w:abstractNumId="5">
    <w:nsid w:val="FFFFFF81"/>
    <w:multiLevelType w:val="singleLevel"/>
    <w:tmpl w:val="F14A59B6"/>
    <w:lvl w:ilvl="0">
      <w:start w:val="1"/>
      <w:numFmt w:val="bullet"/>
      <w:pStyle w:val="ListBullet4"/>
      <w:lvlText w:val=""/>
      <w:lvlJc w:val="left"/>
      <w:pPr>
        <w:tabs>
          <w:tab w:val="num" w:pos="1440"/>
        </w:tabs>
        <w:ind w:left="1440" w:hanging="360"/>
      </w:pPr>
      <w:rPr>
        <w:rFonts w:ascii="Symbol" w:hAnsi="Symbol" w:hint="default"/>
      </w:rPr>
    </w:lvl>
  </w:abstractNum>
  <w:abstractNum w:abstractNumId="6">
    <w:nsid w:val="FFFFFF82"/>
    <w:multiLevelType w:val="singleLevel"/>
    <w:tmpl w:val="BABA118A"/>
    <w:lvl w:ilvl="0">
      <w:start w:val="1"/>
      <w:numFmt w:val="bullet"/>
      <w:pStyle w:val="ListBullet3"/>
      <w:lvlText w:val=""/>
      <w:lvlJc w:val="left"/>
      <w:pPr>
        <w:tabs>
          <w:tab w:val="num" w:pos="1080"/>
        </w:tabs>
        <w:ind w:left="1080" w:hanging="360"/>
      </w:pPr>
      <w:rPr>
        <w:rFonts w:ascii="Symbol" w:hAnsi="Symbol" w:hint="default"/>
      </w:rPr>
    </w:lvl>
  </w:abstractNum>
  <w:abstractNum w:abstractNumId="7">
    <w:nsid w:val="FFFFFF83"/>
    <w:multiLevelType w:val="singleLevel"/>
    <w:tmpl w:val="0BB2FB5A"/>
    <w:lvl w:ilvl="0">
      <w:start w:val="1"/>
      <w:numFmt w:val="bullet"/>
      <w:pStyle w:val="ListBullet2"/>
      <w:lvlText w:val=""/>
      <w:lvlJc w:val="left"/>
      <w:pPr>
        <w:tabs>
          <w:tab w:val="num" w:pos="720"/>
        </w:tabs>
        <w:ind w:left="720" w:hanging="360"/>
      </w:pPr>
      <w:rPr>
        <w:rFonts w:ascii="Symbol" w:hAnsi="Symbol" w:hint="default"/>
      </w:rPr>
    </w:lvl>
  </w:abstractNum>
  <w:abstractNum w:abstractNumId="8">
    <w:nsid w:val="FFFFFF88"/>
    <w:multiLevelType w:val="singleLevel"/>
    <w:tmpl w:val="5A689938"/>
    <w:lvl w:ilvl="0">
      <w:start w:val="1"/>
      <w:numFmt w:val="decimal"/>
      <w:pStyle w:val="ListNumber"/>
      <w:lvlText w:val="%1."/>
      <w:lvlJc w:val="left"/>
      <w:pPr>
        <w:tabs>
          <w:tab w:val="num" w:pos="360"/>
        </w:tabs>
        <w:ind w:left="360" w:hanging="360"/>
      </w:pPr>
    </w:lvl>
  </w:abstractNum>
  <w:abstractNum w:abstractNumId="9">
    <w:nsid w:val="FFFFFF89"/>
    <w:multiLevelType w:val="singleLevel"/>
    <w:tmpl w:val="6FC679F4"/>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D616BCF"/>
    <w:multiLevelType w:val="hybridMultilevel"/>
    <w:tmpl w:val="D5E44010"/>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12E80CF9"/>
    <w:multiLevelType w:val="hybridMultilevel"/>
    <w:tmpl w:val="C65E7E40"/>
    <w:lvl w:ilvl="0" w:tplc="04090001">
      <w:start w:val="1"/>
      <w:numFmt w:val="bullet"/>
      <w:lvlText w:val=""/>
      <w:lvlJc w:val="left"/>
      <w:pPr>
        <w:tabs>
          <w:tab w:val="num" w:pos="490"/>
        </w:tabs>
        <w:ind w:left="490" w:hanging="360"/>
      </w:pPr>
      <w:rPr>
        <w:rFonts w:ascii="Symbol" w:hAnsi="Symbol" w:hint="default"/>
      </w:rPr>
    </w:lvl>
    <w:lvl w:ilvl="1" w:tplc="04090003" w:tentative="1">
      <w:start w:val="1"/>
      <w:numFmt w:val="bullet"/>
      <w:lvlText w:val="o"/>
      <w:lvlJc w:val="left"/>
      <w:pPr>
        <w:tabs>
          <w:tab w:val="num" w:pos="1210"/>
        </w:tabs>
        <w:ind w:left="1210" w:hanging="360"/>
      </w:pPr>
      <w:rPr>
        <w:rFonts w:ascii="Courier New" w:hAnsi="Courier New" w:hint="default"/>
      </w:rPr>
    </w:lvl>
    <w:lvl w:ilvl="2" w:tplc="04090005" w:tentative="1">
      <w:start w:val="1"/>
      <w:numFmt w:val="bullet"/>
      <w:lvlText w:val=""/>
      <w:lvlJc w:val="left"/>
      <w:pPr>
        <w:tabs>
          <w:tab w:val="num" w:pos="1930"/>
        </w:tabs>
        <w:ind w:left="1930" w:hanging="360"/>
      </w:pPr>
      <w:rPr>
        <w:rFonts w:ascii="Wingdings" w:hAnsi="Wingdings" w:hint="default"/>
      </w:rPr>
    </w:lvl>
    <w:lvl w:ilvl="3" w:tplc="04090001" w:tentative="1">
      <w:start w:val="1"/>
      <w:numFmt w:val="bullet"/>
      <w:lvlText w:val=""/>
      <w:lvlJc w:val="left"/>
      <w:pPr>
        <w:tabs>
          <w:tab w:val="num" w:pos="2650"/>
        </w:tabs>
        <w:ind w:left="2650" w:hanging="360"/>
      </w:pPr>
      <w:rPr>
        <w:rFonts w:ascii="Symbol" w:hAnsi="Symbol" w:hint="default"/>
      </w:rPr>
    </w:lvl>
    <w:lvl w:ilvl="4" w:tplc="04090003" w:tentative="1">
      <w:start w:val="1"/>
      <w:numFmt w:val="bullet"/>
      <w:lvlText w:val="o"/>
      <w:lvlJc w:val="left"/>
      <w:pPr>
        <w:tabs>
          <w:tab w:val="num" w:pos="3370"/>
        </w:tabs>
        <w:ind w:left="3370" w:hanging="360"/>
      </w:pPr>
      <w:rPr>
        <w:rFonts w:ascii="Courier New" w:hAnsi="Courier New" w:hint="default"/>
      </w:rPr>
    </w:lvl>
    <w:lvl w:ilvl="5" w:tplc="04090005" w:tentative="1">
      <w:start w:val="1"/>
      <w:numFmt w:val="bullet"/>
      <w:lvlText w:val=""/>
      <w:lvlJc w:val="left"/>
      <w:pPr>
        <w:tabs>
          <w:tab w:val="num" w:pos="4090"/>
        </w:tabs>
        <w:ind w:left="4090" w:hanging="360"/>
      </w:pPr>
      <w:rPr>
        <w:rFonts w:ascii="Wingdings" w:hAnsi="Wingdings" w:hint="default"/>
      </w:rPr>
    </w:lvl>
    <w:lvl w:ilvl="6" w:tplc="04090001" w:tentative="1">
      <w:start w:val="1"/>
      <w:numFmt w:val="bullet"/>
      <w:lvlText w:val=""/>
      <w:lvlJc w:val="left"/>
      <w:pPr>
        <w:tabs>
          <w:tab w:val="num" w:pos="4810"/>
        </w:tabs>
        <w:ind w:left="4810" w:hanging="360"/>
      </w:pPr>
      <w:rPr>
        <w:rFonts w:ascii="Symbol" w:hAnsi="Symbol" w:hint="default"/>
      </w:rPr>
    </w:lvl>
    <w:lvl w:ilvl="7" w:tplc="04090003" w:tentative="1">
      <w:start w:val="1"/>
      <w:numFmt w:val="bullet"/>
      <w:lvlText w:val="o"/>
      <w:lvlJc w:val="left"/>
      <w:pPr>
        <w:tabs>
          <w:tab w:val="num" w:pos="5530"/>
        </w:tabs>
        <w:ind w:left="5530" w:hanging="360"/>
      </w:pPr>
      <w:rPr>
        <w:rFonts w:ascii="Courier New" w:hAnsi="Courier New" w:hint="default"/>
      </w:rPr>
    </w:lvl>
    <w:lvl w:ilvl="8" w:tplc="04090005" w:tentative="1">
      <w:start w:val="1"/>
      <w:numFmt w:val="bullet"/>
      <w:lvlText w:val=""/>
      <w:lvlJc w:val="left"/>
      <w:pPr>
        <w:tabs>
          <w:tab w:val="num" w:pos="6250"/>
        </w:tabs>
        <w:ind w:left="6250" w:hanging="360"/>
      </w:pPr>
      <w:rPr>
        <w:rFonts w:ascii="Wingdings" w:hAnsi="Wingdings" w:hint="default"/>
      </w:rPr>
    </w:lvl>
  </w:abstractNum>
  <w:abstractNum w:abstractNumId="12">
    <w:nsid w:val="2C3951C5"/>
    <w:multiLevelType w:val="hybridMultilevel"/>
    <w:tmpl w:val="CC068A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33156D43"/>
    <w:multiLevelType w:val="multilevel"/>
    <w:tmpl w:val="B140707E"/>
    <w:lvl w:ilvl="0">
      <w:start w:val="1"/>
      <w:numFmt w:val="decimal"/>
      <w:pStyle w:val="ListContinue"/>
      <w:lvlText w:val="%1."/>
      <w:lvlJc w:val="left"/>
      <w:pPr>
        <w:tabs>
          <w:tab w:val="num" w:pos="360"/>
        </w:tabs>
        <w:ind w:left="360" w:hanging="360"/>
      </w:pPr>
      <w:rPr>
        <w:rFonts w:hint="default"/>
        <w:b w:val="0"/>
      </w:rPr>
    </w:lvl>
    <w:lvl w:ilvl="1">
      <w:start w:val="1"/>
      <w:numFmt w:val="decimal"/>
      <w:lvlText w:val="%2."/>
      <w:lvlJc w:val="left"/>
      <w:pPr>
        <w:tabs>
          <w:tab w:val="num" w:pos="720"/>
        </w:tabs>
        <w:ind w:left="720" w:hanging="360"/>
      </w:pPr>
      <w:rPr>
        <w:rFonts w:hint="default"/>
      </w:rPr>
    </w:lvl>
    <w:lvl w:ilvl="2">
      <w:start w:val="1"/>
      <w:numFmt w:val="decimal"/>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decimal"/>
      <w:lvlText w:val="%5."/>
      <w:lvlJc w:val="left"/>
      <w:pPr>
        <w:tabs>
          <w:tab w:val="num" w:pos="1800"/>
        </w:tabs>
        <w:ind w:left="1800" w:hanging="360"/>
      </w:pPr>
      <w:rPr>
        <w:rFonts w:hint="default"/>
      </w:rPr>
    </w:lvl>
    <w:lvl w:ilvl="5">
      <w:start w:val="1"/>
      <w:numFmt w:val="decimal"/>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decimal"/>
      <w:lvlText w:val="%8."/>
      <w:lvlJc w:val="left"/>
      <w:pPr>
        <w:tabs>
          <w:tab w:val="num" w:pos="2880"/>
        </w:tabs>
        <w:ind w:left="2880" w:hanging="360"/>
      </w:pPr>
      <w:rPr>
        <w:rFonts w:hint="default"/>
      </w:rPr>
    </w:lvl>
    <w:lvl w:ilvl="8">
      <w:start w:val="1"/>
      <w:numFmt w:val="decimal"/>
      <w:lvlText w:val="%9."/>
      <w:lvlJc w:val="left"/>
      <w:pPr>
        <w:tabs>
          <w:tab w:val="num" w:pos="3240"/>
        </w:tabs>
        <w:ind w:left="3240" w:hanging="360"/>
      </w:pPr>
      <w:rPr>
        <w:rFonts w:hint="default"/>
      </w:rPr>
    </w:lvl>
  </w:abstractNum>
  <w:abstractNum w:abstractNumId="14">
    <w:nsid w:val="4FCC1895"/>
    <w:multiLevelType w:val="hybridMultilevel"/>
    <w:tmpl w:val="632C2E0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5B260868"/>
    <w:multiLevelType w:val="hybridMultilevel"/>
    <w:tmpl w:val="FF0638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5E0E7BFE"/>
    <w:multiLevelType w:val="hybridMultilevel"/>
    <w:tmpl w:val="23A8604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nsid w:val="672835CA"/>
    <w:multiLevelType w:val="hybridMultilevel"/>
    <w:tmpl w:val="633420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69C03409"/>
    <w:multiLevelType w:val="hybridMultilevel"/>
    <w:tmpl w:val="0F2EB2A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nsid w:val="6B893EE1"/>
    <w:multiLevelType w:val="hybridMultilevel"/>
    <w:tmpl w:val="FEB892DE"/>
    <w:lvl w:ilvl="0" w:tplc="04090001">
      <w:start w:val="1"/>
      <w:numFmt w:val="bullet"/>
      <w:lvlText w:val=""/>
      <w:lvlJc w:val="left"/>
      <w:pPr>
        <w:ind w:left="845" w:hanging="360"/>
      </w:pPr>
      <w:rPr>
        <w:rFonts w:ascii="Symbol" w:hAnsi="Symbol" w:hint="default"/>
      </w:rPr>
    </w:lvl>
    <w:lvl w:ilvl="1" w:tplc="04090003" w:tentative="1">
      <w:start w:val="1"/>
      <w:numFmt w:val="bullet"/>
      <w:lvlText w:val="o"/>
      <w:lvlJc w:val="left"/>
      <w:pPr>
        <w:ind w:left="1565" w:hanging="360"/>
      </w:pPr>
      <w:rPr>
        <w:rFonts w:ascii="Courier New" w:hAnsi="Courier New" w:cs="Courier New" w:hint="default"/>
      </w:rPr>
    </w:lvl>
    <w:lvl w:ilvl="2" w:tplc="04090005" w:tentative="1">
      <w:start w:val="1"/>
      <w:numFmt w:val="bullet"/>
      <w:lvlText w:val=""/>
      <w:lvlJc w:val="left"/>
      <w:pPr>
        <w:ind w:left="2285" w:hanging="360"/>
      </w:pPr>
      <w:rPr>
        <w:rFonts w:ascii="Wingdings" w:hAnsi="Wingdings" w:hint="default"/>
      </w:rPr>
    </w:lvl>
    <w:lvl w:ilvl="3" w:tplc="04090001" w:tentative="1">
      <w:start w:val="1"/>
      <w:numFmt w:val="bullet"/>
      <w:lvlText w:val=""/>
      <w:lvlJc w:val="left"/>
      <w:pPr>
        <w:ind w:left="3005" w:hanging="360"/>
      </w:pPr>
      <w:rPr>
        <w:rFonts w:ascii="Symbol" w:hAnsi="Symbol" w:hint="default"/>
      </w:rPr>
    </w:lvl>
    <w:lvl w:ilvl="4" w:tplc="04090003" w:tentative="1">
      <w:start w:val="1"/>
      <w:numFmt w:val="bullet"/>
      <w:lvlText w:val="o"/>
      <w:lvlJc w:val="left"/>
      <w:pPr>
        <w:ind w:left="3725" w:hanging="360"/>
      </w:pPr>
      <w:rPr>
        <w:rFonts w:ascii="Courier New" w:hAnsi="Courier New" w:cs="Courier New" w:hint="default"/>
      </w:rPr>
    </w:lvl>
    <w:lvl w:ilvl="5" w:tplc="04090005" w:tentative="1">
      <w:start w:val="1"/>
      <w:numFmt w:val="bullet"/>
      <w:lvlText w:val=""/>
      <w:lvlJc w:val="left"/>
      <w:pPr>
        <w:ind w:left="4445" w:hanging="360"/>
      </w:pPr>
      <w:rPr>
        <w:rFonts w:ascii="Wingdings" w:hAnsi="Wingdings" w:hint="default"/>
      </w:rPr>
    </w:lvl>
    <w:lvl w:ilvl="6" w:tplc="04090001" w:tentative="1">
      <w:start w:val="1"/>
      <w:numFmt w:val="bullet"/>
      <w:lvlText w:val=""/>
      <w:lvlJc w:val="left"/>
      <w:pPr>
        <w:ind w:left="5165" w:hanging="360"/>
      </w:pPr>
      <w:rPr>
        <w:rFonts w:ascii="Symbol" w:hAnsi="Symbol" w:hint="default"/>
      </w:rPr>
    </w:lvl>
    <w:lvl w:ilvl="7" w:tplc="04090003" w:tentative="1">
      <w:start w:val="1"/>
      <w:numFmt w:val="bullet"/>
      <w:lvlText w:val="o"/>
      <w:lvlJc w:val="left"/>
      <w:pPr>
        <w:ind w:left="5885" w:hanging="360"/>
      </w:pPr>
      <w:rPr>
        <w:rFonts w:ascii="Courier New" w:hAnsi="Courier New" w:cs="Courier New" w:hint="default"/>
      </w:rPr>
    </w:lvl>
    <w:lvl w:ilvl="8" w:tplc="04090005" w:tentative="1">
      <w:start w:val="1"/>
      <w:numFmt w:val="bullet"/>
      <w:lvlText w:val=""/>
      <w:lvlJc w:val="left"/>
      <w:pPr>
        <w:ind w:left="6605" w:hanging="360"/>
      </w:pPr>
      <w:rPr>
        <w:rFonts w:ascii="Wingdings" w:hAnsi="Wingdings" w:hint="default"/>
      </w:rPr>
    </w:lvl>
  </w:abstractNum>
  <w:abstractNum w:abstractNumId="20">
    <w:nsid w:val="7E4E4DD3"/>
    <w:multiLevelType w:val="hybridMultilevel"/>
    <w:tmpl w:val="F68E5210"/>
    <w:lvl w:ilvl="0" w:tplc="BF7A64A2">
      <w:start w:val="1"/>
      <w:numFmt w:val="decimal"/>
      <w:pStyle w:val="FERCparanumber"/>
      <w:lvlText w:val="%1."/>
      <w:lvlJc w:val="left"/>
      <w:pPr>
        <w:tabs>
          <w:tab w:val="num" w:pos="720"/>
        </w:tabs>
      </w:pPr>
      <w:rPr>
        <w:rFonts w:ascii="Times New Roman" w:hAnsi="Times New Roman" w:cs="Times New Roman" w:hint="default"/>
        <w:b w:val="0"/>
        <w:i w:val="0"/>
        <w:sz w:val="26"/>
        <w:szCs w:val="26"/>
      </w:rPr>
    </w:lvl>
    <w:lvl w:ilvl="1" w:tplc="04090019">
      <w:start w:val="1"/>
      <w:numFmt w:val="upperLetter"/>
      <w:lvlText w:val="%2."/>
      <w:lvlJc w:val="left"/>
      <w:pPr>
        <w:tabs>
          <w:tab w:val="num" w:pos="1440"/>
        </w:tabs>
        <w:ind w:left="1440" w:hanging="360"/>
      </w:pPr>
      <w:rPr>
        <w:rFonts w:cs="Times New Roman" w:hint="default"/>
        <w:u w:val="none"/>
      </w:rPr>
    </w:lvl>
    <w:lvl w:ilvl="2" w:tplc="0409001B">
      <w:start w:val="1"/>
      <w:numFmt w:val="bullet"/>
      <w:lvlText w:val=""/>
      <w:lvlJc w:val="left"/>
      <w:pPr>
        <w:tabs>
          <w:tab w:val="num" w:pos="2340"/>
        </w:tabs>
        <w:ind w:left="2340" w:hanging="360"/>
      </w:pPr>
      <w:rPr>
        <w:rFonts w:ascii="Symbol" w:hAnsi="Symbol" w:hint="default"/>
        <w:b w:val="0"/>
      </w:rPr>
    </w:lvl>
    <w:lvl w:ilvl="3" w:tplc="0409000F">
      <w:start w:val="1"/>
      <w:numFmt w:val="decimal"/>
      <w:lvlText w:val="(%4)"/>
      <w:lvlJc w:val="left"/>
      <w:pPr>
        <w:tabs>
          <w:tab w:val="num" w:pos="2880"/>
        </w:tabs>
        <w:ind w:left="2880" w:hanging="360"/>
      </w:pPr>
      <w:rPr>
        <w:rFonts w:cs="Times New Roman" w:hint="default"/>
        <w:b w:val="0"/>
      </w:rPr>
    </w:lvl>
    <w:lvl w:ilvl="4" w:tplc="04090019">
      <w:start w:val="4"/>
      <w:numFmt w:val="lowerLetter"/>
      <w:lvlText w:val="%5."/>
      <w:lvlJc w:val="left"/>
      <w:pPr>
        <w:tabs>
          <w:tab w:val="num" w:pos="3600"/>
        </w:tabs>
        <w:ind w:left="3600" w:hanging="360"/>
      </w:pPr>
      <w:rPr>
        <w:rFonts w:cs="Times New Roman" w:hint="default"/>
        <w:b/>
        <w:u w:val="single"/>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num w:numId="1">
    <w:abstractNumId w:val="14"/>
  </w:num>
  <w:num w:numId="2">
    <w:abstractNumId w:val="13"/>
  </w:num>
  <w:num w:numId="3">
    <w:abstractNumId w:val="15"/>
  </w:num>
  <w:num w:numId="4">
    <w:abstractNumId w:val="17"/>
  </w:num>
  <w:num w:numId="5">
    <w:abstractNumId w:val="20"/>
  </w:num>
  <w:num w:numId="6">
    <w:abstractNumId w:val="19"/>
  </w:num>
  <w:num w:numId="7">
    <w:abstractNumId w:val="11"/>
  </w:num>
  <w:num w:numId="8">
    <w:abstractNumId w:val="16"/>
  </w:num>
  <w:num w:numId="9">
    <w:abstractNumId w:val="9"/>
  </w:num>
  <w:num w:numId="10">
    <w:abstractNumId w:val="7"/>
  </w:num>
  <w:num w:numId="11">
    <w:abstractNumId w:val="6"/>
  </w:num>
  <w:num w:numId="12">
    <w:abstractNumId w:val="5"/>
  </w:num>
  <w:num w:numId="13">
    <w:abstractNumId w:val="4"/>
  </w:num>
  <w:num w:numId="14">
    <w:abstractNumId w:val="8"/>
  </w:num>
  <w:num w:numId="15">
    <w:abstractNumId w:val="3"/>
  </w:num>
  <w:num w:numId="16">
    <w:abstractNumId w:val="2"/>
  </w:num>
  <w:num w:numId="17">
    <w:abstractNumId w:val="1"/>
  </w:num>
  <w:num w:numId="18">
    <w:abstractNumId w:val="0"/>
  </w:num>
  <w:num w:numId="19">
    <w:abstractNumId w:val="18"/>
  </w:num>
  <w:num w:numId="20">
    <w:abstractNumId w:val="12"/>
  </w:num>
  <w:num w:numId="2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91"/>
  <w:removePersonalInformation/>
  <w:removeDateAndTime/>
  <w:trackRevisions/>
  <w:defaultTabStop w:val="720"/>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66F1"/>
    <w:rsid w:val="00001EC7"/>
    <w:rsid w:val="000042C0"/>
    <w:rsid w:val="00011946"/>
    <w:rsid w:val="0002242D"/>
    <w:rsid w:val="00032AB7"/>
    <w:rsid w:val="00035845"/>
    <w:rsid w:val="0004709E"/>
    <w:rsid w:val="000541C7"/>
    <w:rsid w:val="00071443"/>
    <w:rsid w:val="00071E8E"/>
    <w:rsid w:val="000A441A"/>
    <w:rsid w:val="000B0C37"/>
    <w:rsid w:val="000E4604"/>
    <w:rsid w:val="000F532B"/>
    <w:rsid w:val="00107834"/>
    <w:rsid w:val="00143103"/>
    <w:rsid w:val="001513C0"/>
    <w:rsid w:val="0017787C"/>
    <w:rsid w:val="00181727"/>
    <w:rsid w:val="00182858"/>
    <w:rsid w:val="00185730"/>
    <w:rsid w:val="00190012"/>
    <w:rsid w:val="001C300E"/>
    <w:rsid w:val="001F1AD2"/>
    <w:rsid w:val="002051EB"/>
    <w:rsid w:val="00210748"/>
    <w:rsid w:val="00210902"/>
    <w:rsid w:val="00212FCA"/>
    <w:rsid w:val="002249B4"/>
    <w:rsid w:val="00231EBD"/>
    <w:rsid w:val="0026674D"/>
    <w:rsid w:val="00270229"/>
    <w:rsid w:val="00275E54"/>
    <w:rsid w:val="002800F3"/>
    <w:rsid w:val="002B13E2"/>
    <w:rsid w:val="002B502D"/>
    <w:rsid w:val="002C7345"/>
    <w:rsid w:val="002E48FF"/>
    <w:rsid w:val="002E73DC"/>
    <w:rsid w:val="002E7D81"/>
    <w:rsid w:val="0030268B"/>
    <w:rsid w:val="00312AD1"/>
    <w:rsid w:val="00324D7D"/>
    <w:rsid w:val="00330A2A"/>
    <w:rsid w:val="00333EE2"/>
    <w:rsid w:val="003A2655"/>
    <w:rsid w:val="003B25DD"/>
    <w:rsid w:val="003C0A4F"/>
    <w:rsid w:val="003D69FC"/>
    <w:rsid w:val="003F119D"/>
    <w:rsid w:val="00414F32"/>
    <w:rsid w:val="00415C53"/>
    <w:rsid w:val="004552E9"/>
    <w:rsid w:val="004779B9"/>
    <w:rsid w:val="004951E2"/>
    <w:rsid w:val="004B01EE"/>
    <w:rsid w:val="004C4C89"/>
    <w:rsid w:val="004F6977"/>
    <w:rsid w:val="004F7A4D"/>
    <w:rsid w:val="00504E92"/>
    <w:rsid w:val="00522F69"/>
    <w:rsid w:val="00530462"/>
    <w:rsid w:val="0053287C"/>
    <w:rsid w:val="005335A7"/>
    <w:rsid w:val="0056728B"/>
    <w:rsid w:val="00571C5E"/>
    <w:rsid w:val="0057700F"/>
    <w:rsid w:val="00577CC7"/>
    <w:rsid w:val="00580974"/>
    <w:rsid w:val="00583863"/>
    <w:rsid w:val="005A2792"/>
    <w:rsid w:val="005B4642"/>
    <w:rsid w:val="005B74EF"/>
    <w:rsid w:val="005B77CE"/>
    <w:rsid w:val="005E7290"/>
    <w:rsid w:val="005F1C3C"/>
    <w:rsid w:val="006166FA"/>
    <w:rsid w:val="00653BD5"/>
    <w:rsid w:val="00656F55"/>
    <w:rsid w:val="00664BC0"/>
    <w:rsid w:val="006835EB"/>
    <w:rsid w:val="00690136"/>
    <w:rsid w:val="006A5231"/>
    <w:rsid w:val="006D67DF"/>
    <w:rsid w:val="006D74D9"/>
    <w:rsid w:val="006E33D4"/>
    <w:rsid w:val="006E6BF1"/>
    <w:rsid w:val="00705F66"/>
    <w:rsid w:val="0072126E"/>
    <w:rsid w:val="00730307"/>
    <w:rsid w:val="0073424E"/>
    <w:rsid w:val="00734692"/>
    <w:rsid w:val="00763EAE"/>
    <w:rsid w:val="00764D4D"/>
    <w:rsid w:val="007666A8"/>
    <w:rsid w:val="00773AEB"/>
    <w:rsid w:val="00776623"/>
    <w:rsid w:val="00781137"/>
    <w:rsid w:val="00787670"/>
    <w:rsid w:val="00787FED"/>
    <w:rsid w:val="007A2F92"/>
    <w:rsid w:val="007A7A19"/>
    <w:rsid w:val="007B3E16"/>
    <w:rsid w:val="007C31D6"/>
    <w:rsid w:val="007D1EDB"/>
    <w:rsid w:val="007E12BA"/>
    <w:rsid w:val="007E7C0F"/>
    <w:rsid w:val="007F2CD9"/>
    <w:rsid w:val="007F7801"/>
    <w:rsid w:val="00804051"/>
    <w:rsid w:val="0081469B"/>
    <w:rsid w:val="00824B30"/>
    <w:rsid w:val="00826750"/>
    <w:rsid w:val="00845C73"/>
    <w:rsid w:val="00847B85"/>
    <w:rsid w:val="008619E1"/>
    <w:rsid w:val="00876F75"/>
    <w:rsid w:val="008838BF"/>
    <w:rsid w:val="00883F19"/>
    <w:rsid w:val="008A21A4"/>
    <w:rsid w:val="008B0A37"/>
    <w:rsid w:val="008B703B"/>
    <w:rsid w:val="008C288D"/>
    <w:rsid w:val="008C4831"/>
    <w:rsid w:val="008E70CD"/>
    <w:rsid w:val="008F16EE"/>
    <w:rsid w:val="008F3AD3"/>
    <w:rsid w:val="00913A8B"/>
    <w:rsid w:val="00924C11"/>
    <w:rsid w:val="0092596C"/>
    <w:rsid w:val="00954E34"/>
    <w:rsid w:val="00970FE4"/>
    <w:rsid w:val="00973D7D"/>
    <w:rsid w:val="0098144A"/>
    <w:rsid w:val="009A2394"/>
    <w:rsid w:val="009A6041"/>
    <w:rsid w:val="009A6326"/>
    <w:rsid w:val="009C7ADC"/>
    <w:rsid w:val="009D4D24"/>
    <w:rsid w:val="009E1190"/>
    <w:rsid w:val="009E68B7"/>
    <w:rsid w:val="009F358B"/>
    <w:rsid w:val="009F534F"/>
    <w:rsid w:val="00A03A01"/>
    <w:rsid w:val="00A124D2"/>
    <w:rsid w:val="00A25080"/>
    <w:rsid w:val="00A276F5"/>
    <w:rsid w:val="00A32B85"/>
    <w:rsid w:val="00A4336A"/>
    <w:rsid w:val="00A548BE"/>
    <w:rsid w:val="00A72E7B"/>
    <w:rsid w:val="00A968FB"/>
    <w:rsid w:val="00A96B65"/>
    <w:rsid w:val="00AC488E"/>
    <w:rsid w:val="00AC5B54"/>
    <w:rsid w:val="00AD3DE5"/>
    <w:rsid w:val="00AD4CC5"/>
    <w:rsid w:val="00AD5F1C"/>
    <w:rsid w:val="00AD7868"/>
    <w:rsid w:val="00AF32F2"/>
    <w:rsid w:val="00B06088"/>
    <w:rsid w:val="00B1381C"/>
    <w:rsid w:val="00B16372"/>
    <w:rsid w:val="00B3407F"/>
    <w:rsid w:val="00B44058"/>
    <w:rsid w:val="00B5301A"/>
    <w:rsid w:val="00B62DC2"/>
    <w:rsid w:val="00B82D54"/>
    <w:rsid w:val="00B86284"/>
    <w:rsid w:val="00BA1C7D"/>
    <w:rsid w:val="00BA5743"/>
    <w:rsid w:val="00BA57C6"/>
    <w:rsid w:val="00BA7C56"/>
    <w:rsid w:val="00BC2D1E"/>
    <w:rsid w:val="00BC302C"/>
    <w:rsid w:val="00BD0FD5"/>
    <w:rsid w:val="00C00D70"/>
    <w:rsid w:val="00C01698"/>
    <w:rsid w:val="00C510DD"/>
    <w:rsid w:val="00C57485"/>
    <w:rsid w:val="00C60EDC"/>
    <w:rsid w:val="00C867EB"/>
    <w:rsid w:val="00CA495F"/>
    <w:rsid w:val="00CA4F8C"/>
    <w:rsid w:val="00CA59C3"/>
    <w:rsid w:val="00CA6D5C"/>
    <w:rsid w:val="00CB5C60"/>
    <w:rsid w:val="00CC086F"/>
    <w:rsid w:val="00CD061C"/>
    <w:rsid w:val="00CD7DBB"/>
    <w:rsid w:val="00CE34E4"/>
    <w:rsid w:val="00CF734E"/>
    <w:rsid w:val="00D037AB"/>
    <w:rsid w:val="00D05A7F"/>
    <w:rsid w:val="00D119C3"/>
    <w:rsid w:val="00D20588"/>
    <w:rsid w:val="00D31FF3"/>
    <w:rsid w:val="00D53C96"/>
    <w:rsid w:val="00D60B08"/>
    <w:rsid w:val="00D734E6"/>
    <w:rsid w:val="00D80FBD"/>
    <w:rsid w:val="00DB14A2"/>
    <w:rsid w:val="00DC3363"/>
    <w:rsid w:val="00DC4E36"/>
    <w:rsid w:val="00DD0209"/>
    <w:rsid w:val="00DD2B39"/>
    <w:rsid w:val="00DF401D"/>
    <w:rsid w:val="00DF56DA"/>
    <w:rsid w:val="00DF739D"/>
    <w:rsid w:val="00E05FA3"/>
    <w:rsid w:val="00E11CA6"/>
    <w:rsid w:val="00E14565"/>
    <w:rsid w:val="00E20612"/>
    <w:rsid w:val="00E32FBE"/>
    <w:rsid w:val="00E57AAC"/>
    <w:rsid w:val="00E636D7"/>
    <w:rsid w:val="00E77D58"/>
    <w:rsid w:val="00E87A4F"/>
    <w:rsid w:val="00E920BC"/>
    <w:rsid w:val="00EB1FF5"/>
    <w:rsid w:val="00EB3E6F"/>
    <w:rsid w:val="00EC0232"/>
    <w:rsid w:val="00ED5560"/>
    <w:rsid w:val="00EE4C15"/>
    <w:rsid w:val="00EF0B6E"/>
    <w:rsid w:val="00F12DC2"/>
    <w:rsid w:val="00F152DF"/>
    <w:rsid w:val="00F21C1A"/>
    <w:rsid w:val="00F55597"/>
    <w:rsid w:val="00F61AF6"/>
    <w:rsid w:val="00F63BAB"/>
    <w:rsid w:val="00FA0AF5"/>
    <w:rsid w:val="00FB16E6"/>
    <w:rsid w:val="00FC1142"/>
    <w:rsid w:val="00FD66F1"/>
    <w:rsid w:val="00FF08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List Continue"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BC302C"/>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BC302C"/>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BC302C"/>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BC302C"/>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BC302C"/>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BC302C"/>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BC302C"/>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BC302C"/>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BC302C"/>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D66F1"/>
    <w:pPr>
      <w:tabs>
        <w:tab w:val="center" w:pos="4680"/>
        <w:tab w:val="right" w:pos="9360"/>
      </w:tabs>
      <w:spacing w:after="0" w:line="240" w:lineRule="auto"/>
    </w:pPr>
  </w:style>
  <w:style w:type="character" w:customStyle="1" w:styleId="HeaderChar">
    <w:name w:val="Header Char"/>
    <w:basedOn w:val="DefaultParagraphFont"/>
    <w:link w:val="Header"/>
    <w:uiPriority w:val="99"/>
    <w:rsid w:val="00FD66F1"/>
  </w:style>
  <w:style w:type="paragraph" w:styleId="Footer">
    <w:name w:val="footer"/>
    <w:basedOn w:val="Normal"/>
    <w:link w:val="FooterChar"/>
    <w:uiPriority w:val="99"/>
    <w:unhideWhenUsed/>
    <w:rsid w:val="00FD66F1"/>
    <w:pPr>
      <w:tabs>
        <w:tab w:val="center" w:pos="4680"/>
        <w:tab w:val="right" w:pos="9360"/>
      </w:tabs>
      <w:spacing w:after="0" w:line="240" w:lineRule="auto"/>
    </w:pPr>
  </w:style>
  <w:style w:type="character" w:customStyle="1" w:styleId="FooterChar">
    <w:name w:val="Footer Char"/>
    <w:basedOn w:val="DefaultParagraphFont"/>
    <w:link w:val="Footer"/>
    <w:uiPriority w:val="99"/>
    <w:rsid w:val="00FD66F1"/>
  </w:style>
  <w:style w:type="paragraph" w:styleId="BalloonText">
    <w:name w:val="Balloon Text"/>
    <w:basedOn w:val="Normal"/>
    <w:link w:val="BalloonTextChar"/>
    <w:uiPriority w:val="99"/>
    <w:semiHidden/>
    <w:unhideWhenUsed/>
    <w:rsid w:val="00FD66F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D66F1"/>
    <w:rPr>
      <w:rFonts w:ascii="Tahoma" w:hAnsi="Tahoma" w:cs="Tahoma"/>
      <w:sz w:val="16"/>
      <w:szCs w:val="16"/>
    </w:rPr>
  </w:style>
  <w:style w:type="paragraph" w:styleId="ListParagraph">
    <w:name w:val="List Paragraph"/>
    <w:basedOn w:val="Normal"/>
    <w:uiPriority w:val="34"/>
    <w:qFormat/>
    <w:rsid w:val="00A72E7B"/>
    <w:pPr>
      <w:ind w:left="720"/>
      <w:contextualSpacing/>
    </w:pPr>
  </w:style>
  <w:style w:type="paragraph" w:styleId="ListContinue">
    <w:name w:val="List Continue"/>
    <w:basedOn w:val="Normal"/>
    <w:rsid w:val="00D80FBD"/>
    <w:pPr>
      <w:numPr>
        <w:numId w:val="2"/>
      </w:numPr>
      <w:spacing w:after="120" w:line="480" w:lineRule="auto"/>
    </w:pPr>
    <w:rPr>
      <w:rFonts w:ascii="Times New Roman" w:eastAsia="Times New Roman" w:hAnsi="Times New Roman" w:cs="Times New Roman"/>
      <w:sz w:val="26"/>
      <w:szCs w:val="24"/>
    </w:rPr>
  </w:style>
  <w:style w:type="paragraph" w:customStyle="1" w:styleId="LegalFormat">
    <w:name w:val="Legal Format"/>
    <w:basedOn w:val="ListContinue"/>
    <w:rsid w:val="00D80FBD"/>
    <w:pPr>
      <w:spacing w:after="0"/>
      <w:ind w:left="0"/>
    </w:pPr>
    <w:rPr>
      <w:u w:val="single"/>
    </w:rPr>
  </w:style>
  <w:style w:type="character" w:styleId="FootnoteReference">
    <w:name w:val="footnote reference"/>
    <w:aliases w:val="o,fr,Style 17,o1,fr1,o2,fr2,o3,fr3,Style 13,Style 12,Style 15,Style 9,Style 18,(NECG) Footnote Reference,Style 20,Style 7,Style 8,Style 19,Style 28,Styl,Style 11,Style 16"/>
    <w:rsid w:val="00E636D7"/>
  </w:style>
  <w:style w:type="paragraph" w:styleId="FootnoteText">
    <w:name w:val="footnote text"/>
    <w:aliases w:val="Footnote Text Char2 Char,Footnote Text Char Char1 Char,Footnote Text Char1 Char Char Char,Footnote Text Char Char Char Char Char,Footnote Text Char1 Char Char Char Char Char Char Char,Footnote Text Char1 Char1 Char,ft,fn,Footnote Text MRP"/>
    <w:basedOn w:val="Normal"/>
    <w:link w:val="FootnoteTextChar1"/>
    <w:rsid w:val="00E636D7"/>
    <w:pPr>
      <w:widowControl w:val="0"/>
      <w:autoSpaceDE w:val="0"/>
      <w:autoSpaceDN w:val="0"/>
      <w:adjustRightInd w:val="0"/>
      <w:spacing w:after="0" w:line="240" w:lineRule="auto"/>
    </w:pPr>
    <w:rPr>
      <w:rFonts w:ascii="Times New Roman" w:eastAsia="Times New Roman" w:hAnsi="Times New Roman" w:cs="Times New Roman"/>
      <w:sz w:val="20"/>
      <w:szCs w:val="20"/>
    </w:rPr>
  </w:style>
  <w:style w:type="character" w:customStyle="1" w:styleId="FootnoteTextChar">
    <w:name w:val="Footnote Text Char"/>
    <w:aliases w:val="Footnote Text Char1 Char2,Footnote Text Char Char Char1,Footnote Text Char1 Char Char1,Footnote Text Char Char Char Char,Footnote Text MRP Char,fn1 Char,Footnote Text Char3 Char,Footnote Text Char Char Char Char1 Char"/>
    <w:basedOn w:val="DefaultParagraphFont"/>
    <w:rsid w:val="00E636D7"/>
    <w:rPr>
      <w:sz w:val="20"/>
      <w:szCs w:val="20"/>
    </w:rPr>
  </w:style>
  <w:style w:type="character" w:customStyle="1" w:styleId="FootnoteTextChar1">
    <w:name w:val="Footnote Text Char1"/>
    <w:aliases w:val="Footnote Text Char2 Char Char,Footnote Text Char Char1 Char Char,Footnote Text Char1 Char Char Char Char,Footnote Text Char Char Char Char Char Char,Footnote Text Char1 Char Char Char Char Char Char Char Char,ft Char,fn Char"/>
    <w:link w:val="FootnoteText"/>
    <w:uiPriority w:val="99"/>
    <w:rsid w:val="00E636D7"/>
    <w:rPr>
      <w:rFonts w:ascii="Times New Roman" w:eastAsia="Times New Roman" w:hAnsi="Times New Roman" w:cs="Times New Roman"/>
      <w:sz w:val="20"/>
      <w:szCs w:val="20"/>
    </w:rPr>
  </w:style>
  <w:style w:type="character" w:styleId="CommentReference">
    <w:name w:val="annotation reference"/>
    <w:basedOn w:val="DefaultParagraphFont"/>
    <w:uiPriority w:val="99"/>
    <w:semiHidden/>
    <w:unhideWhenUsed/>
    <w:rsid w:val="0057700F"/>
    <w:rPr>
      <w:sz w:val="16"/>
      <w:szCs w:val="16"/>
    </w:rPr>
  </w:style>
  <w:style w:type="paragraph" w:styleId="CommentText">
    <w:name w:val="annotation text"/>
    <w:basedOn w:val="Normal"/>
    <w:link w:val="CommentTextChar"/>
    <w:uiPriority w:val="99"/>
    <w:unhideWhenUsed/>
    <w:rsid w:val="0057700F"/>
    <w:pPr>
      <w:spacing w:line="240" w:lineRule="auto"/>
    </w:pPr>
    <w:rPr>
      <w:sz w:val="20"/>
      <w:szCs w:val="20"/>
    </w:rPr>
  </w:style>
  <w:style w:type="character" w:customStyle="1" w:styleId="CommentTextChar">
    <w:name w:val="Comment Text Char"/>
    <w:basedOn w:val="DefaultParagraphFont"/>
    <w:link w:val="CommentText"/>
    <w:uiPriority w:val="99"/>
    <w:rsid w:val="0057700F"/>
    <w:rPr>
      <w:sz w:val="20"/>
      <w:szCs w:val="20"/>
    </w:rPr>
  </w:style>
  <w:style w:type="paragraph" w:styleId="CommentSubject">
    <w:name w:val="annotation subject"/>
    <w:basedOn w:val="CommentText"/>
    <w:next w:val="CommentText"/>
    <w:link w:val="CommentSubjectChar"/>
    <w:uiPriority w:val="99"/>
    <w:semiHidden/>
    <w:unhideWhenUsed/>
    <w:rsid w:val="0057700F"/>
    <w:rPr>
      <w:b/>
      <w:bCs/>
    </w:rPr>
  </w:style>
  <w:style w:type="character" w:customStyle="1" w:styleId="CommentSubjectChar">
    <w:name w:val="Comment Subject Char"/>
    <w:basedOn w:val="CommentTextChar"/>
    <w:link w:val="CommentSubject"/>
    <w:uiPriority w:val="99"/>
    <w:semiHidden/>
    <w:rsid w:val="0057700F"/>
    <w:rPr>
      <w:b/>
      <w:bCs/>
      <w:sz w:val="20"/>
      <w:szCs w:val="20"/>
    </w:rPr>
  </w:style>
  <w:style w:type="paragraph" w:customStyle="1" w:styleId="FERCparanumber">
    <w:name w:val="FERC paranumber"/>
    <w:basedOn w:val="Normal"/>
    <w:link w:val="FERCparanumberChar"/>
    <w:rsid w:val="00DF401D"/>
    <w:pPr>
      <w:widowControl w:val="0"/>
      <w:numPr>
        <w:numId w:val="5"/>
      </w:numPr>
      <w:autoSpaceDE w:val="0"/>
      <w:autoSpaceDN w:val="0"/>
      <w:adjustRightInd w:val="0"/>
      <w:spacing w:after="0" w:line="480" w:lineRule="auto"/>
    </w:pPr>
    <w:rPr>
      <w:rFonts w:ascii="Times New Roman" w:eastAsia="Times New Roman" w:hAnsi="Times New Roman" w:cs="Times New Roman"/>
      <w:sz w:val="26"/>
      <w:szCs w:val="24"/>
    </w:rPr>
  </w:style>
  <w:style w:type="character" w:customStyle="1" w:styleId="FERCparanumberChar">
    <w:name w:val="FERC paranumber Char"/>
    <w:link w:val="FERCparanumber"/>
    <w:uiPriority w:val="99"/>
    <w:locked/>
    <w:rsid w:val="00DF401D"/>
    <w:rPr>
      <w:rFonts w:ascii="Times New Roman" w:eastAsia="Times New Roman" w:hAnsi="Times New Roman" w:cs="Times New Roman"/>
      <w:sz w:val="26"/>
      <w:szCs w:val="24"/>
    </w:rPr>
  </w:style>
  <w:style w:type="character" w:styleId="Hyperlink">
    <w:name w:val="Hyperlink"/>
    <w:basedOn w:val="DefaultParagraphFont"/>
    <w:uiPriority w:val="99"/>
    <w:rsid w:val="0072126E"/>
    <w:rPr>
      <w:rFonts w:cs="Times New Roman"/>
      <w:color w:val="0000FF"/>
      <w:u w:val="single"/>
    </w:rPr>
  </w:style>
  <w:style w:type="character" w:styleId="FollowedHyperlink">
    <w:name w:val="FollowedHyperlink"/>
    <w:basedOn w:val="DefaultParagraphFont"/>
    <w:uiPriority w:val="99"/>
    <w:semiHidden/>
    <w:unhideWhenUsed/>
    <w:rsid w:val="0072126E"/>
    <w:rPr>
      <w:color w:val="800080" w:themeColor="followedHyperlink"/>
      <w:u w:val="single"/>
    </w:rPr>
  </w:style>
  <w:style w:type="paragraph" w:styleId="Bibliography">
    <w:name w:val="Bibliography"/>
    <w:basedOn w:val="Normal"/>
    <w:next w:val="Normal"/>
    <w:uiPriority w:val="37"/>
    <w:semiHidden/>
    <w:unhideWhenUsed/>
    <w:rsid w:val="00BC302C"/>
  </w:style>
  <w:style w:type="paragraph" w:styleId="BlockText">
    <w:name w:val="Block Text"/>
    <w:basedOn w:val="Normal"/>
    <w:uiPriority w:val="99"/>
    <w:semiHidden/>
    <w:unhideWhenUsed/>
    <w:rsid w:val="00BC302C"/>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eastAsiaTheme="minorEastAsia"/>
      <w:i/>
      <w:iCs/>
      <w:color w:val="4F81BD" w:themeColor="accent1"/>
    </w:rPr>
  </w:style>
  <w:style w:type="paragraph" w:styleId="BodyText">
    <w:name w:val="Body Text"/>
    <w:basedOn w:val="Normal"/>
    <w:link w:val="BodyTextChar"/>
    <w:uiPriority w:val="99"/>
    <w:semiHidden/>
    <w:unhideWhenUsed/>
    <w:rsid w:val="00BC302C"/>
    <w:pPr>
      <w:spacing w:after="120"/>
    </w:pPr>
  </w:style>
  <w:style w:type="character" w:customStyle="1" w:styleId="BodyTextChar">
    <w:name w:val="Body Text Char"/>
    <w:basedOn w:val="DefaultParagraphFont"/>
    <w:link w:val="BodyText"/>
    <w:uiPriority w:val="99"/>
    <w:semiHidden/>
    <w:rsid w:val="00BC302C"/>
  </w:style>
  <w:style w:type="paragraph" w:styleId="BodyText2">
    <w:name w:val="Body Text 2"/>
    <w:basedOn w:val="Normal"/>
    <w:link w:val="BodyText2Char"/>
    <w:uiPriority w:val="99"/>
    <w:semiHidden/>
    <w:unhideWhenUsed/>
    <w:rsid w:val="00BC302C"/>
    <w:pPr>
      <w:spacing w:after="120" w:line="480" w:lineRule="auto"/>
    </w:pPr>
  </w:style>
  <w:style w:type="character" w:customStyle="1" w:styleId="BodyText2Char">
    <w:name w:val="Body Text 2 Char"/>
    <w:basedOn w:val="DefaultParagraphFont"/>
    <w:link w:val="BodyText2"/>
    <w:uiPriority w:val="99"/>
    <w:semiHidden/>
    <w:rsid w:val="00BC302C"/>
  </w:style>
  <w:style w:type="paragraph" w:styleId="BodyText3">
    <w:name w:val="Body Text 3"/>
    <w:basedOn w:val="Normal"/>
    <w:link w:val="BodyText3Char"/>
    <w:uiPriority w:val="99"/>
    <w:semiHidden/>
    <w:unhideWhenUsed/>
    <w:rsid w:val="00BC302C"/>
    <w:pPr>
      <w:spacing w:after="120"/>
    </w:pPr>
    <w:rPr>
      <w:sz w:val="16"/>
      <w:szCs w:val="16"/>
    </w:rPr>
  </w:style>
  <w:style w:type="character" w:customStyle="1" w:styleId="BodyText3Char">
    <w:name w:val="Body Text 3 Char"/>
    <w:basedOn w:val="DefaultParagraphFont"/>
    <w:link w:val="BodyText3"/>
    <w:uiPriority w:val="99"/>
    <w:semiHidden/>
    <w:rsid w:val="00BC302C"/>
    <w:rPr>
      <w:sz w:val="16"/>
      <w:szCs w:val="16"/>
    </w:rPr>
  </w:style>
  <w:style w:type="paragraph" w:styleId="BodyTextFirstIndent">
    <w:name w:val="Body Text First Indent"/>
    <w:basedOn w:val="BodyText"/>
    <w:link w:val="BodyTextFirstIndentChar"/>
    <w:uiPriority w:val="99"/>
    <w:semiHidden/>
    <w:unhideWhenUsed/>
    <w:rsid w:val="00BC302C"/>
    <w:pPr>
      <w:spacing w:after="200"/>
      <w:ind w:firstLine="360"/>
    </w:pPr>
  </w:style>
  <w:style w:type="character" w:customStyle="1" w:styleId="BodyTextFirstIndentChar">
    <w:name w:val="Body Text First Indent Char"/>
    <w:basedOn w:val="BodyTextChar"/>
    <w:link w:val="BodyTextFirstIndent"/>
    <w:uiPriority w:val="99"/>
    <w:semiHidden/>
    <w:rsid w:val="00BC302C"/>
  </w:style>
  <w:style w:type="paragraph" w:styleId="BodyTextIndent">
    <w:name w:val="Body Text Indent"/>
    <w:basedOn w:val="Normal"/>
    <w:link w:val="BodyTextIndentChar"/>
    <w:uiPriority w:val="99"/>
    <w:semiHidden/>
    <w:unhideWhenUsed/>
    <w:rsid w:val="00BC302C"/>
    <w:pPr>
      <w:spacing w:after="120"/>
      <w:ind w:left="360"/>
    </w:pPr>
  </w:style>
  <w:style w:type="character" w:customStyle="1" w:styleId="BodyTextIndentChar">
    <w:name w:val="Body Text Indent Char"/>
    <w:basedOn w:val="DefaultParagraphFont"/>
    <w:link w:val="BodyTextIndent"/>
    <w:uiPriority w:val="99"/>
    <w:semiHidden/>
    <w:rsid w:val="00BC302C"/>
  </w:style>
  <w:style w:type="paragraph" w:styleId="BodyTextFirstIndent2">
    <w:name w:val="Body Text First Indent 2"/>
    <w:basedOn w:val="BodyTextIndent"/>
    <w:link w:val="BodyTextFirstIndent2Char"/>
    <w:uiPriority w:val="99"/>
    <w:semiHidden/>
    <w:unhideWhenUsed/>
    <w:rsid w:val="00BC302C"/>
    <w:pPr>
      <w:spacing w:after="200"/>
      <w:ind w:firstLine="360"/>
    </w:pPr>
  </w:style>
  <w:style w:type="character" w:customStyle="1" w:styleId="BodyTextFirstIndent2Char">
    <w:name w:val="Body Text First Indent 2 Char"/>
    <w:basedOn w:val="BodyTextIndentChar"/>
    <w:link w:val="BodyTextFirstIndent2"/>
    <w:uiPriority w:val="99"/>
    <w:semiHidden/>
    <w:rsid w:val="00BC302C"/>
  </w:style>
  <w:style w:type="paragraph" w:styleId="BodyTextIndent2">
    <w:name w:val="Body Text Indent 2"/>
    <w:basedOn w:val="Normal"/>
    <w:link w:val="BodyTextIndent2Char"/>
    <w:uiPriority w:val="99"/>
    <w:semiHidden/>
    <w:unhideWhenUsed/>
    <w:rsid w:val="00BC302C"/>
    <w:pPr>
      <w:spacing w:after="120" w:line="480" w:lineRule="auto"/>
      <w:ind w:left="360"/>
    </w:pPr>
  </w:style>
  <w:style w:type="character" w:customStyle="1" w:styleId="BodyTextIndent2Char">
    <w:name w:val="Body Text Indent 2 Char"/>
    <w:basedOn w:val="DefaultParagraphFont"/>
    <w:link w:val="BodyTextIndent2"/>
    <w:uiPriority w:val="99"/>
    <w:semiHidden/>
    <w:rsid w:val="00BC302C"/>
  </w:style>
  <w:style w:type="paragraph" w:styleId="BodyTextIndent3">
    <w:name w:val="Body Text Indent 3"/>
    <w:basedOn w:val="Normal"/>
    <w:link w:val="BodyTextIndent3Char"/>
    <w:uiPriority w:val="99"/>
    <w:semiHidden/>
    <w:unhideWhenUsed/>
    <w:rsid w:val="00BC302C"/>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BC302C"/>
    <w:rPr>
      <w:sz w:val="16"/>
      <w:szCs w:val="16"/>
    </w:rPr>
  </w:style>
  <w:style w:type="paragraph" w:styleId="Caption">
    <w:name w:val="caption"/>
    <w:basedOn w:val="Normal"/>
    <w:next w:val="Normal"/>
    <w:uiPriority w:val="35"/>
    <w:semiHidden/>
    <w:unhideWhenUsed/>
    <w:qFormat/>
    <w:rsid w:val="00BC302C"/>
    <w:pPr>
      <w:spacing w:line="240" w:lineRule="auto"/>
    </w:pPr>
    <w:rPr>
      <w:b/>
      <w:bCs/>
      <w:color w:val="4F81BD" w:themeColor="accent1"/>
      <w:sz w:val="18"/>
      <w:szCs w:val="18"/>
    </w:rPr>
  </w:style>
  <w:style w:type="paragraph" w:styleId="Closing">
    <w:name w:val="Closing"/>
    <w:basedOn w:val="Normal"/>
    <w:link w:val="ClosingChar"/>
    <w:uiPriority w:val="99"/>
    <w:semiHidden/>
    <w:unhideWhenUsed/>
    <w:rsid w:val="00BC302C"/>
    <w:pPr>
      <w:spacing w:after="0" w:line="240" w:lineRule="auto"/>
      <w:ind w:left="4320"/>
    </w:pPr>
  </w:style>
  <w:style w:type="character" w:customStyle="1" w:styleId="ClosingChar">
    <w:name w:val="Closing Char"/>
    <w:basedOn w:val="DefaultParagraphFont"/>
    <w:link w:val="Closing"/>
    <w:uiPriority w:val="99"/>
    <w:semiHidden/>
    <w:rsid w:val="00BC302C"/>
  </w:style>
  <w:style w:type="paragraph" w:styleId="Date">
    <w:name w:val="Date"/>
    <w:basedOn w:val="Normal"/>
    <w:next w:val="Normal"/>
    <w:link w:val="DateChar"/>
    <w:uiPriority w:val="99"/>
    <w:semiHidden/>
    <w:unhideWhenUsed/>
    <w:rsid w:val="00BC302C"/>
  </w:style>
  <w:style w:type="character" w:customStyle="1" w:styleId="DateChar">
    <w:name w:val="Date Char"/>
    <w:basedOn w:val="DefaultParagraphFont"/>
    <w:link w:val="Date"/>
    <w:uiPriority w:val="99"/>
    <w:semiHidden/>
    <w:rsid w:val="00BC302C"/>
  </w:style>
  <w:style w:type="paragraph" w:styleId="DocumentMap">
    <w:name w:val="Document Map"/>
    <w:basedOn w:val="Normal"/>
    <w:link w:val="DocumentMapChar"/>
    <w:uiPriority w:val="99"/>
    <w:semiHidden/>
    <w:unhideWhenUsed/>
    <w:rsid w:val="00BC302C"/>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BC302C"/>
    <w:rPr>
      <w:rFonts w:ascii="Tahoma" w:hAnsi="Tahoma" w:cs="Tahoma"/>
      <w:sz w:val="16"/>
      <w:szCs w:val="16"/>
    </w:rPr>
  </w:style>
  <w:style w:type="paragraph" w:styleId="E-mailSignature">
    <w:name w:val="E-mail Signature"/>
    <w:basedOn w:val="Normal"/>
    <w:link w:val="E-mailSignatureChar"/>
    <w:uiPriority w:val="99"/>
    <w:semiHidden/>
    <w:unhideWhenUsed/>
    <w:rsid w:val="00BC302C"/>
    <w:pPr>
      <w:spacing w:after="0" w:line="240" w:lineRule="auto"/>
    </w:pPr>
  </w:style>
  <w:style w:type="character" w:customStyle="1" w:styleId="E-mailSignatureChar">
    <w:name w:val="E-mail Signature Char"/>
    <w:basedOn w:val="DefaultParagraphFont"/>
    <w:link w:val="E-mailSignature"/>
    <w:uiPriority w:val="99"/>
    <w:semiHidden/>
    <w:rsid w:val="00BC302C"/>
  </w:style>
  <w:style w:type="paragraph" w:styleId="EndnoteText">
    <w:name w:val="endnote text"/>
    <w:basedOn w:val="Normal"/>
    <w:link w:val="EndnoteTextChar"/>
    <w:uiPriority w:val="99"/>
    <w:semiHidden/>
    <w:unhideWhenUsed/>
    <w:rsid w:val="00BC302C"/>
    <w:pPr>
      <w:spacing w:after="0" w:line="240" w:lineRule="auto"/>
    </w:pPr>
    <w:rPr>
      <w:sz w:val="20"/>
      <w:szCs w:val="20"/>
    </w:rPr>
  </w:style>
  <w:style w:type="character" w:customStyle="1" w:styleId="EndnoteTextChar">
    <w:name w:val="Endnote Text Char"/>
    <w:basedOn w:val="DefaultParagraphFont"/>
    <w:link w:val="EndnoteText"/>
    <w:uiPriority w:val="99"/>
    <w:semiHidden/>
    <w:rsid w:val="00BC302C"/>
    <w:rPr>
      <w:sz w:val="20"/>
      <w:szCs w:val="20"/>
    </w:rPr>
  </w:style>
  <w:style w:type="paragraph" w:styleId="EnvelopeAddress">
    <w:name w:val="envelope address"/>
    <w:basedOn w:val="Normal"/>
    <w:uiPriority w:val="99"/>
    <w:semiHidden/>
    <w:unhideWhenUsed/>
    <w:rsid w:val="00BC302C"/>
    <w:pPr>
      <w:framePr w:w="7920" w:h="1980" w:hRule="exact" w:hSpace="180"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BC302C"/>
    <w:pPr>
      <w:spacing w:after="0" w:line="240" w:lineRule="auto"/>
    </w:pPr>
    <w:rPr>
      <w:rFonts w:asciiTheme="majorHAnsi" w:eastAsiaTheme="majorEastAsia" w:hAnsiTheme="majorHAnsi" w:cstheme="majorBidi"/>
      <w:sz w:val="20"/>
      <w:szCs w:val="20"/>
    </w:rPr>
  </w:style>
  <w:style w:type="character" w:customStyle="1" w:styleId="Heading1Char">
    <w:name w:val="Heading 1 Char"/>
    <w:basedOn w:val="DefaultParagraphFont"/>
    <w:link w:val="Heading1"/>
    <w:uiPriority w:val="9"/>
    <w:rsid w:val="00BC302C"/>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BC302C"/>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BC302C"/>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semiHidden/>
    <w:rsid w:val="00BC302C"/>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BC302C"/>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BC302C"/>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BC302C"/>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BC302C"/>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BC302C"/>
    <w:rPr>
      <w:rFonts w:asciiTheme="majorHAnsi" w:eastAsiaTheme="majorEastAsia" w:hAnsiTheme="majorHAnsi" w:cstheme="majorBidi"/>
      <w:i/>
      <w:iCs/>
      <w:color w:val="404040" w:themeColor="text1" w:themeTint="BF"/>
      <w:sz w:val="20"/>
      <w:szCs w:val="20"/>
    </w:rPr>
  </w:style>
  <w:style w:type="paragraph" w:styleId="HTMLAddress">
    <w:name w:val="HTML Address"/>
    <w:basedOn w:val="Normal"/>
    <w:link w:val="HTMLAddressChar"/>
    <w:uiPriority w:val="99"/>
    <w:semiHidden/>
    <w:unhideWhenUsed/>
    <w:rsid w:val="00BC302C"/>
    <w:pPr>
      <w:spacing w:after="0" w:line="240" w:lineRule="auto"/>
    </w:pPr>
    <w:rPr>
      <w:i/>
      <w:iCs/>
    </w:rPr>
  </w:style>
  <w:style w:type="character" w:customStyle="1" w:styleId="HTMLAddressChar">
    <w:name w:val="HTML Address Char"/>
    <w:basedOn w:val="DefaultParagraphFont"/>
    <w:link w:val="HTMLAddress"/>
    <w:uiPriority w:val="99"/>
    <w:semiHidden/>
    <w:rsid w:val="00BC302C"/>
    <w:rPr>
      <w:i/>
      <w:iCs/>
    </w:rPr>
  </w:style>
  <w:style w:type="paragraph" w:styleId="HTMLPreformatted">
    <w:name w:val="HTML Preformatted"/>
    <w:basedOn w:val="Normal"/>
    <w:link w:val="HTMLPreformattedChar"/>
    <w:uiPriority w:val="99"/>
    <w:semiHidden/>
    <w:unhideWhenUsed/>
    <w:rsid w:val="00BC302C"/>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BC302C"/>
    <w:rPr>
      <w:rFonts w:ascii="Consolas" w:hAnsi="Consolas"/>
      <w:sz w:val="20"/>
      <w:szCs w:val="20"/>
    </w:rPr>
  </w:style>
  <w:style w:type="paragraph" w:styleId="Index1">
    <w:name w:val="index 1"/>
    <w:basedOn w:val="Normal"/>
    <w:next w:val="Normal"/>
    <w:uiPriority w:val="99"/>
    <w:semiHidden/>
    <w:unhideWhenUsed/>
    <w:rsid w:val="00BC302C"/>
    <w:pPr>
      <w:spacing w:after="0" w:line="240" w:lineRule="auto"/>
      <w:ind w:left="220" w:hanging="220"/>
    </w:pPr>
  </w:style>
  <w:style w:type="paragraph" w:styleId="Index2">
    <w:name w:val="index 2"/>
    <w:basedOn w:val="Normal"/>
    <w:next w:val="Normal"/>
    <w:uiPriority w:val="99"/>
    <w:semiHidden/>
    <w:unhideWhenUsed/>
    <w:rsid w:val="00BC302C"/>
    <w:pPr>
      <w:spacing w:after="0" w:line="240" w:lineRule="auto"/>
      <w:ind w:left="440" w:hanging="220"/>
    </w:pPr>
  </w:style>
  <w:style w:type="paragraph" w:styleId="Index3">
    <w:name w:val="index 3"/>
    <w:basedOn w:val="Normal"/>
    <w:next w:val="Normal"/>
    <w:uiPriority w:val="99"/>
    <w:semiHidden/>
    <w:unhideWhenUsed/>
    <w:rsid w:val="00BC302C"/>
    <w:pPr>
      <w:spacing w:after="0" w:line="240" w:lineRule="auto"/>
      <w:ind w:left="660" w:hanging="220"/>
    </w:pPr>
  </w:style>
  <w:style w:type="paragraph" w:styleId="Index4">
    <w:name w:val="index 4"/>
    <w:basedOn w:val="Normal"/>
    <w:next w:val="Normal"/>
    <w:uiPriority w:val="99"/>
    <w:semiHidden/>
    <w:unhideWhenUsed/>
    <w:rsid w:val="00BC302C"/>
    <w:pPr>
      <w:spacing w:after="0" w:line="240" w:lineRule="auto"/>
      <w:ind w:left="880" w:hanging="220"/>
    </w:pPr>
  </w:style>
  <w:style w:type="paragraph" w:styleId="Index5">
    <w:name w:val="index 5"/>
    <w:basedOn w:val="Normal"/>
    <w:next w:val="Normal"/>
    <w:uiPriority w:val="99"/>
    <w:semiHidden/>
    <w:unhideWhenUsed/>
    <w:rsid w:val="00BC302C"/>
    <w:pPr>
      <w:spacing w:after="0" w:line="240" w:lineRule="auto"/>
      <w:ind w:left="1100" w:hanging="220"/>
    </w:pPr>
  </w:style>
  <w:style w:type="paragraph" w:styleId="Index6">
    <w:name w:val="index 6"/>
    <w:basedOn w:val="Normal"/>
    <w:next w:val="Normal"/>
    <w:uiPriority w:val="99"/>
    <w:semiHidden/>
    <w:unhideWhenUsed/>
    <w:rsid w:val="00BC302C"/>
    <w:pPr>
      <w:spacing w:after="0" w:line="240" w:lineRule="auto"/>
      <w:ind w:left="1320" w:hanging="220"/>
    </w:pPr>
  </w:style>
  <w:style w:type="paragraph" w:styleId="Index7">
    <w:name w:val="index 7"/>
    <w:basedOn w:val="Normal"/>
    <w:next w:val="Normal"/>
    <w:uiPriority w:val="99"/>
    <w:semiHidden/>
    <w:unhideWhenUsed/>
    <w:rsid w:val="00BC302C"/>
    <w:pPr>
      <w:spacing w:after="0" w:line="240" w:lineRule="auto"/>
      <w:ind w:left="1540" w:hanging="220"/>
    </w:pPr>
  </w:style>
  <w:style w:type="paragraph" w:styleId="Index8">
    <w:name w:val="index 8"/>
    <w:basedOn w:val="Normal"/>
    <w:next w:val="Normal"/>
    <w:uiPriority w:val="99"/>
    <w:semiHidden/>
    <w:unhideWhenUsed/>
    <w:rsid w:val="00BC302C"/>
    <w:pPr>
      <w:spacing w:after="0" w:line="240" w:lineRule="auto"/>
      <w:ind w:left="1760" w:hanging="220"/>
    </w:pPr>
  </w:style>
  <w:style w:type="paragraph" w:styleId="Index9">
    <w:name w:val="index 9"/>
    <w:basedOn w:val="Normal"/>
    <w:next w:val="Normal"/>
    <w:uiPriority w:val="99"/>
    <w:semiHidden/>
    <w:unhideWhenUsed/>
    <w:rsid w:val="00BC302C"/>
    <w:pPr>
      <w:spacing w:after="0" w:line="240" w:lineRule="auto"/>
      <w:ind w:left="1980" w:hanging="220"/>
    </w:pPr>
  </w:style>
  <w:style w:type="paragraph" w:styleId="IndexHeading">
    <w:name w:val="index heading"/>
    <w:basedOn w:val="Normal"/>
    <w:next w:val="Index1"/>
    <w:uiPriority w:val="99"/>
    <w:semiHidden/>
    <w:unhideWhenUsed/>
    <w:rsid w:val="00BC302C"/>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BC302C"/>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BC302C"/>
    <w:rPr>
      <w:b/>
      <w:bCs/>
      <w:i/>
      <w:iCs/>
      <w:color w:val="4F81BD" w:themeColor="accent1"/>
    </w:rPr>
  </w:style>
  <w:style w:type="paragraph" w:styleId="List">
    <w:name w:val="List"/>
    <w:basedOn w:val="Normal"/>
    <w:uiPriority w:val="99"/>
    <w:semiHidden/>
    <w:unhideWhenUsed/>
    <w:rsid w:val="00BC302C"/>
    <w:pPr>
      <w:ind w:left="360" w:hanging="360"/>
      <w:contextualSpacing/>
    </w:pPr>
  </w:style>
  <w:style w:type="paragraph" w:styleId="List2">
    <w:name w:val="List 2"/>
    <w:basedOn w:val="Normal"/>
    <w:uiPriority w:val="99"/>
    <w:semiHidden/>
    <w:unhideWhenUsed/>
    <w:rsid w:val="00BC302C"/>
    <w:pPr>
      <w:ind w:left="720" w:hanging="360"/>
      <w:contextualSpacing/>
    </w:pPr>
  </w:style>
  <w:style w:type="paragraph" w:styleId="List3">
    <w:name w:val="List 3"/>
    <w:basedOn w:val="Normal"/>
    <w:uiPriority w:val="99"/>
    <w:semiHidden/>
    <w:unhideWhenUsed/>
    <w:rsid w:val="00BC302C"/>
    <w:pPr>
      <w:ind w:left="1080" w:hanging="360"/>
      <w:contextualSpacing/>
    </w:pPr>
  </w:style>
  <w:style w:type="paragraph" w:styleId="List4">
    <w:name w:val="List 4"/>
    <w:basedOn w:val="Normal"/>
    <w:uiPriority w:val="99"/>
    <w:semiHidden/>
    <w:unhideWhenUsed/>
    <w:rsid w:val="00BC302C"/>
    <w:pPr>
      <w:ind w:left="1440" w:hanging="360"/>
      <w:contextualSpacing/>
    </w:pPr>
  </w:style>
  <w:style w:type="paragraph" w:styleId="List5">
    <w:name w:val="List 5"/>
    <w:basedOn w:val="Normal"/>
    <w:uiPriority w:val="99"/>
    <w:semiHidden/>
    <w:unhideWhenUsed/>
    <w:rsid w:val="00BC302C"/>
    <w:pPr>
      <w:ind w:left="1800" w:hanging="360"/>
      <w:contextualSpacing/>
    </w:pPr>
  </w:style>
  <w:style w:type="paragraph" w:styleId="ListBullet">
    <w:name w:val="List Bullet"/>
    <w:basedOn w:val="Normal"/>
    <w:uiPriority w:val="99"/>
    <w:semiHidden/>
    <w:unhideWhenUsed/>
    <w:rsid w:val="00BC302C"/>
    <w:pPr>
      <w:numPr>
        <w:numId w:val="9"/>
      </w:numPr>
      <w:contextualSpacing/>
    </w:pPr>
  </w:style>
  <w:style w:type="paragraph" w:styleId="ListBullet2">
    <w:name w:val="List Bullet 2"/>
    <w:basedOn w:val="Normal"/>
    <w:uiPriority w:val="99"/>
    <w:semiHidden/>
    <w:unhideWhenUsed/>
    <w:rsid w:val="00BC302C"/>
    <w:pPr>
      <w:numPr>
        <w:numId w:val="10"/>
      </w:numPr>
      <w:contextualSpacing/>
    </w:pPr>
  </w:style>
  <w:style w:type="paragraph" w:styleId="ListBullet3">
    <w:name w:val="List Bullet 3"/>
    <w:basedOn w:val="Normal"/>
    <w:uiPriority w:val="99"/>
    <w:semiHidden/>
    <w:unhideWhenUsed/>
    <w:rsid w:val="00BC302C"/>
    <w:pPr>
      <w:numPr>
        <w:numId w:val="11"/>
      </w:numPr>
      <w:contextualSpacing/>
    </w:pPr>
  </w:style>
  <w:style w:type="paragraph" w:styleId="ListBullet4">
    <w:name w:val="List Bullet 4"/>
    <w:basedOn w:val="Normal"/>
    <w:uiPriority w:val="99"/>
    <w:semiHidden/>
    <w:unhideWhenUsed/>
    <w:rsid w:val="00BC302C"/>
    <w:pPr>
      <w:numPr>
        <w:numId w:val="12"/>
      </w:numPr>
      <w:contextualSpacing/>
    </w:pPr>
  </w:style>
  <w:style w:type="paragraph" w:styleId="ListBullet5">
    <w:name w:val="List Bullet 5"/>
    <w:basedOn w:val="Normal"/>
    <w:uiPriority w:val="99"/>
    <w:semiHidden/>
    <w:unhideWhenUsed/>
    <w:rsid w:val="00BC302C"/>
    <w:pPr>
      <w:numPr>
        <w:numId w:val="13"/>
      </w:numPr>
      <w:contextualSpacing/>
    </w:pPr>
  </w:style>
  <w:style w:type="paragraph" w:styleId="ListContinue2">
    <w:name w:val="List Continue 2"/>
    <w:basedOn w:val="Normal"/>
    <w:uiPriority w:val="99"/>
    <w:semiHidden/>
    <w:unhideWhenUsed/>
    <w:rsid w:val="00BC302C"/>
    <w:pPr>
      <w:spacing w:after="120"/>
      <w:ind w:left="720"/>
      <w:contextualSpacing/>
    </w:pPr>
  </w:style>
  <w:style w:type="paragraph" w:styleId="ListContinue3">
    <w:name w:val="List Continue 3"/>
    <w:basedOn w:val="Normal"/>
    <w:uiPriority w:val="99"/>
    <w:semiHidden/>
    <w:unhideWhenUsed/>
    <w:rsid w:val="00BC302C"/>
    <w:pPr>
      <w:spacing w:after="120"/>
      <w:ind w:left="1080"/>
      <w:contextualSpacing/>
    </w:pPr>
  </w:style>
  <w:style w:type="paragraph" w:styleId="ListContinue4">
    <w:name w:val="List Continue 4"/>
    <w:basedOn w:val="Normal"/>
    <w:uiPriority w:val="99"/>
    <w:semiHidden/>
    <w:unhideWhenUsed/>
    <w:rsid w:val="00BC302C"/>
    <w:pPr>
      <w:spacing w:after="120"/>
      <w:ind w:left="1440"/>
      <w:contextualSpacing/>
    </w:pPr>
  </w:style>
  <w:style w:type="paragraph" w:styleId="ListContinue5">
    <w:name w:val="List Continue 5"/>
    <w:basedOn w:val="Normal"/>
    <w:uiPriority w:val="99"/>
    <w:semiHidden/>
    <w:unhideWhenUsed/>
    <w:rsid w:val="00BC302C"/>
    <w:pPr>
      <w:spacing w:after="120"/>
      <w:ind w:left="1800"/>
      <w:contextualSpacing/>
    </w:pPr>
  </w:style>
  <w:style w:type="paragraph" w:styleId="ListNumber">
    <w:name w:val="List Number"/>
    <w:basedOn w:val="Normal"/>
    <w:uiPriority w:val="99"/>
    <w:semiHidden/>
    <w:unhideWhenUsed/>
    <w:rsid w:val="00BC302C"/>
    <w:pPr>
      <w:numPr>
        <w:numId w:val="14"/>
      </w:numPr>
      <w:contextualSpacing/>
    </w:pPr>
  </w:style>
  <w:style w:type="paragraph" w:styleId="ListNumber2">
    <w:name w:val="List Number 2"/>
    <w:basedOn w:val="Normal"/>
    <w:uiPriority w:val="99"/>
    <w:semiHidden/>
    <w:unhideWhenUsed/>
    <w:rsid w:val="00BC302C"/>
    <w:pPr>
      <w:numPr>
        <w:numId w:val="15"/>
      </w:numPr>
      <w:contextualSpacing/>
    </w:pPr>
  </w:style>
  <w:style w:type="paragraph" w:styleId="ListNumber3">
    <w:name w:val="List Number 3"/>
    <w:basedOn w:val="Normal"/>
    <w:uiPriority w:val="99"/>
    <w:semiHidden/>
    <w:unhideWhenUsed/>
    <w:rsid w:val="00BC302C"/>
    <w:pPr>
      <w:numPr>
        <w:numId w:val="16"/>
      </w:numPr>
      <w:contextualSpacing/>
    </w:pPr>
  </w:style>
  <w:style w:type="paragraph" w:styleId="ListNumber4">
    <w:name w:val="List Number 4"/>
    <w:basedOn w:val="Normal"/>
    <w:uiPriority w:val="99"/>
    <w:semiHidden/>
    <w:unhideWhenUsed/>
    <w:rsid w:val="00BC302C"/>
    <w:pPr>
      <w:numPr>
        <w:numId w:val="17"/>
      </w:numPr>
      <w:contextualSpacing/>
    </w:pPr>
  </w:style>
  <w:style w:type="paragraph" w:styleId="ListNumber5">
    <w:name w:val="List Number 5"/>
    <w:basedOn w:val="Normal"/>
    <w:uiPriority w:val="99"/>
    <w:semiHidden/>
    <w:unhideWhenUsed/>
    <w:rsid w:val="00BC302C"/>
    <w:pPr>
      <w:numPr>
        <w:numId w:val="18"/>
      </w:numPr>
      <w:contextualSpacing/>
    </w:pPr>
  </w:style>
  <w:style w:type="paragraph" w:styleId="MacroText">
    <w:name w:val="macro"/>
    <w:link w:val="MacroTextChar"/>
    <w:uiPriority w:val="99"/>
    <w:semiHidden/>
    <w:unhideWhenUsed/>
    <w:rsid w:val="00BC302C"/>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croTextChar">
    <w:name w:val="Macro Text Char"/>
    <w:basedOn w:val="DefaultParagraphFont"/>
    <w:link w:val="MacroText"/>
    <w:uiPriority w:val="99"/>
    <w:semiHidden/>
    <w:rsid w:val="00BC302C"/>
    <w:rPr>
      <w:rFonts w:ascii="Consolas" w:hAnsi="Consolas"/>
      <w:sz w:val="20"/>
      <w:szCs w:val="20"/>
    </w:rPr>
  </w:style>
  <w:style w:type="paragraph" w:styleId="MessageHeader">
    <w:name w:val="Message Header"/>
    <w:basedOn w:val="Normal"/>
    <w:link w:val="MessageHeaderChar"/>
    <w:uiPriority w:val="99"/>
    <w:semiHidden/>
    <w:unhideWhenUsed/>
    <w:rsid w:val="00BC302C"/>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BC302C"/>
    <w:rPr>
      <w:rFonts w:asciiTheme="majorHAnsi" w:eastAsiaTheme="majorEastAsia" w:hAnsiTheme="majorHAnsi" w:cstheme="majorBidi"/>
      <w:sz w:val="24"/>
      <w:szCs w:val="24"/>
      <w:shd w:val="pct20" w:color="auto" w:fill="auto"/>
    </w:rPr>
  </w:style>
  <w:style w:type="paragraph" w:styleId="NoSpacing">
    <w:name w:val="No Spacing"/>
    <w:uiPriority w:val="1"/>
    <w:qFormat/>
    <w:rsid w:val="00BC302C"/>
    <w:pPr>
      <w:spacing w:after="0" w:line="240" w:lineRule="auto"/>
    </w:pPr>
  </w:style>
  <w:style w:type="paragraph" w:styleId="NormalWeb">
    <w:name w:val="Normal (Web)"/>
    <w:basedOn w:val="Normal"/>
    <w:uiPriority w:val="99"/>
    <w:semiHidden/>
    <w:unhideWhenUsed/>
    <w:rsid w:val="00BC302C"/>
    <w:rPr>
      <w:rFonts w:ascii="Times New Roman" w:hAnsi="Times New Roman" w:cs="Times New Roman"/>
      <w:sz w:val="24"/>
      <w:szCs w:val="24"/>
    </w:rPr>
  </w:style>
  <w:style w:type="paragraph" w:styleId="NormalIndent">
    <w:name w:val="Normal Indent"/>
    <w:basedOn w:val="Normal"/>
    <w:uiPriority w:val="99"/>
    <w:semiHidden/>
    <w:unhideWhenUsed/>
    <w:rsid w:val="00BC302C"/>
    <w:pPr>
      <w:ind w:left="720"/>
    </w:pPr>
  </w:style>
  <w:style w:type="paragraph" w:styleId="NoteHeading">
    <w:name w:val="Note Heading"/>
    <w:basedOn w:val="Normal"/>
    <w:next w:val="Normal"/>
    <w:link w:val="NoteHeadingChar"/>
    <w:uiPriority w:val="99"/>
    <w:semiHidden/>
    <w:unhideWhenUsed/>
    <w:rsid w:val="00BC302C"/>
    <w:pPr>
      <w:spacing w:after="0" w:line="240" w:lineRule="auto"/>
    </w:pPr>
  </w:style>
  <w:style w:type="character" w:customStyle="1" w:styleId="NoteHeadingChar">
    <w:name w:val="Note Heading Char"/>
    <w:basedOn w:val="DefaultParagraphFont"/>
    <w:link w:val="NoteHeading"/>
    <w:uiPriority w:val="99"/>
    <w:semiHidden/>
    <w:rsid w:val="00BC302C"/>
  </w:style>
  <w:style w:type="paragraph" w:styleId="PlainText">
    <w:name w:val="Plain Text"/>
    <w:basedOn w:val="Normal"/>
    <w:link w:val="PlainTextChar"/>
    <w:uiPriority w:val="99"/>
    <w:semiHidden/>
    <w:unhideWhenUsed/>
    <w:rsid w:val="00BC302C"/>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semiHidden/>
    <w:rsid w:val="00BC302C"/>
    <w:rPr>
      <w:rFonts w:ascii="Consolas" w:hAnsi="Consolas"/>
      <w:sz w:val="21"/>
      <w:szCs w:val="21"/>
    </w:rPr>
  </w:style>
  <w:style w:type="paragraph" w:styleId="Quote">
    <w:name w:val="Quote"/>
    <w:basedOn w:val="Normal"/>
    <w:next w:val="Normal"/>
    <w:link w:val="QuoteChar"/>
    <w:uiPriority w:val="29"/>
    <w:qFormat/>
    <w:rsid w:val="00BC302C"/>
    <w:rPr>
      <w:i/>
      <w:iCs/>
      <w:color w:val="000000" w:themeColor="text1"/>
    </w:rPr>
  </w:style>
  <w:style w:type="character" w:customStyle="1" w:styleId="QuoteChar">
    <w:name w:val="Quote Char"/>
    <w:basedOn w:val="DefaultParagraphFont"/>
    <w:link w:val="Quote"/>
    <w:uiPriority w:val="29"/>
    <w:rsid w:val="00BC302C"/>
    <w:rPr>
      <w:i/>
      <w:iCs/>
      <w:color w:val="000000" w:themeColor="text1"/>
    </w:rPr>
  </w:style>
  <w:style w:type="paragraph" w:styleId="Salutation">
    <w:name w:val="Salutation"/>
    <w:basedOn w:val="Normal"/>
    <w:next w:val="Normal"/>
    <w:link w:val="SalutationChar"/>
    <w:uiPriority w:val="99"/>
    <w:semiHidden/>
    <w:unhideWhenUsed/>
    <w:rsid w:val="00BC302C"/>
  </w:style>
  <w:style w:type="character" w:customStyle="1" w:styleId="SalutationChar">
    <w:name w:val="Salutation Char"/>
    <w:basedOn w:val="DefaultParagraphFont"/>
    <w:link w:val="Salutation"/>
    <w:uiPriority w:val="99"/>
    <w:semiHidden/>
    <w:rsid w:val="00BC302C"/>
  </w:style>
  <w:style w:type="paragraph" w:styleId="Signature">
    <w:name w:val="Signature"/>
    <w:basedOn w:val="Normal"/>
    <w:link w:val="SignatureChar"/>
    <w:uiPriority w:val="99"/>
    <w:semiHidden/>
    <w:unhideWhenUsed/>
    <w:rsid w:val="00BC302C"/>
    <w:pPr>
      <w:spacing w:after="0" w:line="240" w:lineRule="auto"/>
      <w:ind w:left="4320"/>
    </w:pPr>
  </w:style>
  <w:style w:type="character" w:customStyle="1" w:styleId="SignatureChar">
    <w:name w:val="Signature Char"/>
    <w:basedOn w:val="DefaultParagraphFont"/>
    <w:link w:val="Signature"/>
    <w:uiPriority w:val="99"/>
    <w:semiHidden/>
    <w:rsid w:val="00BC302C"/>
  </w:style>
  <w:style w:type="paragraph" w:styleId="Subtitle">
    <w:name w:val="Subtitle"/>
    <w:basedOn w:val="Normal"/>
    <w:next w:val="Normal"/>
    <w:link w:val="SubtitleChar"/>
    <w:uiPriority w:val="11"/>
    <w:qFormat/>
    <w:rsid w:val="00BC302C"/>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BC302C"/>
    <w:rPr>
      <w:rFonts w:asciiTheme="majorHAnsi" w:eastAsiaTheme="majorEastAsia" w:hAnsiTheme="majorHAnsi" w:cstheme="majorBidi"/>
      <w:i/>
      <w:iCs/>
      <w:color w:val="4F81BD" w:themeColor="accent1"/>
      <w:spacing w:val="15"/>
      <w:sz w:val="24"/>
      <w:szCs w:val="24"/>
    </w:rPr>
  </w:style>
  <w:style w:type="paragraph" w:styleId="TableofAuthorities">
    <w:name w:val="table of authorities"/>
    <w:basedOn w:val="Normal"/>
    <w:next w:val="Normal"/>
    <w:uiPriority w:val="99"/>
    <w:semiHidden/>
    <w:unhideWhenUsed/>
    <w:rsid w:val="00BC302C"/>
    <w:pPr>
      <w:spacing w:after="0"/>
      <w:ind w:left="220" w:hanging="220"/>
    </w:pPr>
  </w:style>
  <w:style w:type="paragraph" w:styleId="TableofFigures">
    <w:name w:val="table of figures"/>
    <w:basedOn w:val="Normal"/>
    <w:next w:val="Normal"/>
    <w:uiPriority w:val="99"/>
    <w:semiHidden/>
    <w:unhideWhenUsed/>
    <w:rsid w:val="00BC302C"/>
    <w:pPr>
      <w:spacing w:after="0"/>
    </w:pPr>
  </w:style>
  <w:style w:type="paragraph" w:styleId="Title">
    <w:name w:val="Title"/>
    <w:basedOn w:val="Normal"/>
    <w:next w:val="Normal"/>
    <w:link w:val="TitleChar"/>
    <w:uiPriority w:val="10"/>
    <w:qFormat/>
    <w:rsid w:val="00BC302C"/>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BC302C"/>
    <w:rPr>
      <w:rFonts w:asciiTheme="majorHAnsi" w:eastAsiaTheme="majorEastAsia" w:hAnsiTheme="majorHAnsi" w:cstheme="majorBidi"/>
      <w:color w:val="17365D" w:themeColor="text2" w:themeShade="BF"/>
      <w:spacing w:val="5"/>
      <w:kern w:val="28"/>
      <w:sz w:val="52"/>
      <w:szCs w:val="52"/>
    </w:rPr>
  </w:style>
  <w:style w:type="paragraph" w:styleId="TOAHeading">
    <w:name w:val="toa heading"/>
    <w:basedOn w:val="Normal"/>
    <w:next w:val="Normal"/>
    <w:uiPriority w:val="99"/>
    <w:semiHidden/>
    <w:unhideWhenUsed/>
    <w:rsid w:val="00BC302C"/>
    <w:pPr>
      <w:spacing w:before="120"/>
    </w:pPr>
    <w:rPr>
      <w:rFonts w:asciiTheme="majorHAnsi" w:eastAsiaTheme="majorEastAsia" w:hAnsiTheme="majorHAnsi" w:cstheme="majorBidi"/>
      <w:b/>
      <w:bCs/>
      <w:sz w:val="24"/>
      <w:szCs w:val="24"/>
    </w:rPr>
  </w:style>
  <w:style w:type="paragraph" w:styleId="TOC1">
    <w:name w:val="toc 1"/>
    <w:basedOn w:val="Normal"/>
    <w:next w:val="Normal"/>
    <w:uiPriority w:val="39"/>
    <w:semiHidden/>
    <w:unhideWhenUsed/>
    <w:rsid w:val="00BC302C"/>
    <w:pPr>
      <w:spacing w:after="100"/>
    </w:pPr>
  </w:style>
  <w:style w:type="paragraph" w:styleId="TOC2">
    <w:name w:val="toc 2"/>
    <w:basedOn w:val="Normal"/>
    <w:next w:val="Normal"/>
    <w:uiPriority w:val="39"/>
    <w:semiHidden/>
    <w:unhideWhenUsed/>
    <w:rsid w:val="00BC302C"/>
    <w:pPr>
      <w:spacing w:after="100"/>
      <w:ind w:left="220"/>
    </w:pPr>
  </w:style>
  <w:style w:type="paragraph" w:styleId="TOC3">
    <w:name w:val="toc 3"/>
    <w:basedOn w:val="Normal"/>
    <w:next w:val="Normal"/>
    <w:uiPriority w:val="39"/>
    <w:semiHidden/>
    <w:unhideWhenUsed/>
    <w:rsid w:val="00BC302C"/>
    <w:pPr>
      <w:spacing w:after="100"/>
      <w:ind w:left="440"/>
    </w:pPr>
  </w:style>
  <w:style w:type="paragraph" w:styleId="TOC4">
    <w:name w:val="toc 4"/>
    <w:basedOn w:val="Normal"/>
    <w:next w:val="Normal"/>
    <w:uiPriority w:val="39"/>
    <w:semiHidden/>
    <w:unhideWhenUsed/>
    <w:rsid w:val="00BC302C"/>
    <w:pPr>
      <w:spacing w:after="100"/>
      <w:ind w:left="660"/>
    </w:pPr>
  </w:style>
  <w:style w:type="paragraph" w:styleId="TOC5">
    <w:name w:val="toc 5"/>
    <w:basedOn w:val="Normal"/>
    <w:next w:val="Normal"/>
    <w:uiPriority w:val="39"/>
    <w:semiHidden/>
    <w:unhideWhenUsed/>
    <w:rsid w:val="00BC302C"/>
    <w:pPr>
      <w:spacing w:after="100"/>
      <w:ind w:left="880"/>
    </w:pPr>
  </w:style>
  <w:style w:type="paragraph" w:styleId="TOC6">
    <w:name w:val="toc 6"/>
    <w:basedOn w:val="Normal"/>
    <w:next w:val="Normal"/>
    <w:uiPriority w:val="39"/>
    <w:semiHidden/>
    <w:unhideWhenUsed/>
    <w:rsid w:val="00BC302C"/>
    <w:pPr>
      <w:spacing w:after="100"/>
      <w:ind w:left="1100"/>
    </w:pPr>
  </w:style>
  <w:style w:type="paragraph" w:styleId="TOC7">
    <w:name w:val="toc 7"/>
    <w:basedOn w:val="Normal"/>
    <w:next w:val="Normal"/>
    <w:uiPriority w:val="39"/>
    <w:semiHidden/>
    <w:unhideWhenUsed/>
    <w:rsid w:val="00BC302C"/>
    <w:pPr>
      <w:spacing w:after="100"/>
      <w:ind w:left="1320"/>
    </w:pPr>
  </w:style>
  <w:style w:type="paragraph" w:styleId="TOC8">
    <w:name w:val="toc 8"/>
    <w:basedOn w:val="Normal"/>
    <w:next w:val="Normal"/>
    <w:uiPriority w:val="39"/>
    <w:semiHidden/>
    <w:unhideWhenUsed/>
    <w:rsid w:val="00BC302C"/>
    <w:pPr>
      <w:spacing w:after="100"/>
      <w:ind w:left="1540"/>
    </w:pPr>
  </w:style>
  <w:style w:type="paragraph" w:styleId="TOC9">
    <w:name w:val="toc 9"/>
    <w:basedOn w:val="Normal"/>
    <w:next w:val="Normal"/>
    <w:uiPriority w:val="39"/>
    <w:semiHidden/>
    <w:unhideWhenUsed/>
    <w:rsid w:val="00BC302C"/>
    <w:pPr>
      <w:spacing w:after="100"/>
      <w:ind w:left="1760"/>
    </w:pPr>
  </w:style>
  <w:style w:type="paragraph" w:styleId="TOCHeading">
    <w:name w:val="TOC Heading"/>
    <w:basedOn w:val="Heading1"/>
    <w:next w:val="Normal"/>
    <w:uiPriority w:val="39"/>
    <w:semiHidden/>
    <w:unhideWhenUsed/>
    <w:qFormat/>
    <w:rsid w:val="00BC302C"/>
    <w:pPr>
      <w:outlineLvl w:val="9"/>
    </w:pPr>
  </w:style>
  <w:style w:type="character" w:customStyle="1" w:styleId="FERCparanumberChar1">
    <w:name w:val="FERC paranumber Char1"/>
    <w:rsid w:val="007B3E16"/>
    <w:rPr>
      <w:sz w:val="26"/>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List Continue"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BC302C"/>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BC302C"/>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BC302C"/>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BC302C"/>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BC302C"/>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BC302C"/>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BC302C"/>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BC302C"/>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BC302C"/>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D66F1"/>
    <w:pPr>
      <w:tabs>
        <w:tab w:val="center" w:pos="4680"/>
        <w:tab w:val="right" w:pos="9360"/>
      </w:tabs>
      <w:spacing w:after="0" w:line="240" w:lineRule="auto"/>
    </w:pPr>
  </w:style>
  <w:style w:type="character" w:customStyle="1" w:styleId="HeaderChar">
    <w:name w:val="Header Char"/>
    <w:basedOn w:val="DefaultParagraphFont"/>
    <w:link w:val="Header"/>
    <w:uiPriority w:val="99"/>
    <w:rsid w:val="00FD66F1"/>
  </w:style>
  <w:style w:type="paragraph" w:styleId="Footer">
    <w:name w:val="footer"/>
    <w:basedOn w:val="Normal"/>
    <w:link w:val="FooterChar"/>
    <w:uiPriority w:val="99"/>
    <w:unhideWhenUsed/>
    <w:rsid w:val="00FD66F1"/>
    <w:pPr>
      <w:tabs>
        <w:tab w:val="center" w:pos="4680"/>
        <w:tab w:val="right" w:pos="9360"/>
      </w:tabs>
      <w:spacing w:after="0" w:line="240" w:lineRule="auto"/>
    </w:pPr>
  </w:style>
  <w:style w:type="character" w:customStyle="1" w:styleId="FooterChar">
    <w:name w:val="Footer Char"/>
    <w:basedOn w:val="DefaultParagraphFont"/>
    <w:link w:val="Footer"/>
    <w:uiPriority w:val="99"/>
    <w:rsid w:val="00FD66F1"/>
  </w:style>
  <w:style w:type="paragraph" w:styleId="BalloonText">
    <w:name w:val="Balloon Text"/>
    <w:basedOn w:val="Normal"/>
    <w:link w:val="BalloonTextChar"/>
    <w:uiPriority w:val="99"/>
    <w:semiHidden/>
    <w:unhideWhenUsed/>
    <w:rsid w:val="00FD66F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D66F1"/>
    <w:rPr>
      <w:rFonts w:ascii="Tahoma" w:hAnsi="Tahoma" w:cs="Tahoma"/>
      <w:sz w:val="16"/>
      <w:szCs w:val="16"/>
    </w:rPr>
  </w:style>
  <w:style w:type="paragraph" w:styleId="ListParagraph">
    <w:name w:val="List Paragraph"/>
    <w:basedOn w:val="Normal"/>
    <w:uiPriority w:val="34"/>
    <w:qFormat/>
    <w:rsid w:val="00A72E7B"/>
    <w:pPr>
      <w:ind w:left="720"/>
      <w:contextualSpacing/>
    </w:pPr>
  </w:style>
  <w:style w:type="paragraph" w:styleId="ListContinue">
    <w:name w:val="List Continue"/>
    <w:basedOn w:val="Normal"/>
    <w:rsid w:val="00D80FBD"/>
    <w:pPr>
      <w:numPr>
        <w:numId w:val="2"/>
      </w:numPr>
      <w:spacing w:after="120" w:line="480" w:lineRule="auto"/>
    </w:pPr>
    <w:rPr>
      <w:rFonts w:ascii="Times New Roman" w:eastAsia="Times New Roman" w:hAnsi="Times New Roman" w:cs="Times New Roman"/>
      <w:sz w:val="26"/>
      <w:szCs w:val="24"/>
    </w:rPr>
  </w:style>
  <w:style w:type="paragraph" w:customStyle="1" w:styleId="LegalFormat">
    <w:name w:val="Legal Format"/>
    <w:basedOn w:val="ListContinue"/>
    <w:rsid w:val="00D80FBD"/>
    <w:pPr>
      <w:spacing w:after="0"/>
      <w:ind w:left="0"/>
    </w:pPr>
    <w:rPr>
      <w:u w:val="single"/>
    </w:rPr>
  </w:style>
  <w:style w:type="character" w:styleId="FootnoteReference">
    <w:name w:val="footnote reference"/>
    <w:aliases w:val="o,fr,Style 17,o1,fr1,o2,fr2,o3,fr3,Style 13,Style 12,Style 15,Style 9,Style 18,(NECG) Footnote Reference,Style 20,Style 7,Style 8,Style 19,Style 28,Styl,Style 11,Style 16"/>
    <w:rsid w:val="00E636D7"/>
  </w:style>
  <w:style w:type="paragraph" w:styleId="FootnoteText">
    <w:name w:val="footnote text"/>
    <w:aliases w:val="Footnote Text Char2 Char,Footnote Text Char Char1 Char,Footnote Text Char1 Char Char Char,Footnote Text Char Char Char Char Char,Footnote Text Char1 Char Char Char Char Char Char Char,Footnote Text Char1 Char1 Char,ft,fn,Footnote Text MRP"/>
    <w:basedOn w:val="Normal"/>
    <w:link w:val="FootnoteTextChar1"/>
    <w:rsid w:val="00E636D7"/>
    <w:pPr>
      <w:widowControl w:val="0"/>
      <w:autoSpaceDE w:val="0"/>
      <w:autoSpaceDN w:val="0"/>
      <w:adjustRightInd w:val="0"/>
      <w:spacing w:after="0" w:line="240" w:lineRule="auto"/>
    </w:pPr>
    <w:rPr>
      <w:rFonts w:ascii="Times New Roman" w:eastAsia="Times New Roman" w:hAnsi="Times New Roman" w:cs="Times New Roman"/>
      <w:sz w:val="20"/>
      <w:szCs w:val="20"/>
    </w:rPr>
  </w:style>
  <w:style w:type="character" w:customStyle="1" w:styleId="FootnoteTextChar">
    <w:name w:val="Footnote Text Char"/>
    <w:aliases w:val="Footnote Text Char1 Char2,Footnote Text Char Char Char1,Footnote Text Char1 Char Char1,Footnote Text Char Char Char Char,Footnote Text MRP Char,fn1 Char,Footnote Text Char3 Char,Footnote Text Char Char Char Char1 Char"/>
    <w:basedOn w:val="DefaultParagraphFont"/>
    <w:rsid w:val="00E636D7"/>
    <w:rPr>
      <w:sz w:val="20"/>
      <w:szCs w:val="20"/>
    </w:rPr>
  </w:style>
  <w:style w:type="character" w:customStyle="1" w:styleId="FootnoteTextChar1">
    <w:name w:val="Footnote Text Char1"/>
    <w:aliases w:val="Footnote Text Char2 Char Char,Footnote Text Char Char1 Char Char,Footnote Text Char1 Char Char Char Char,Footnote Text Char Char Char Char Char Char,Footnote Text Char1 Char Char Char Char Char Char Char Char,ft Char,fn Char"/>
    <w:link w:val="FootnoteText"/>
    <w:uiPriority w:val="99"/>
    <w:rsid w:val="00E636D7"/>
    <w:rPr>
      <w:rFonts w:ascii="Times New Roman" w:eastAsia="Times New Roman" w:hAnsi="Times New Roman" w:cs="Times New Roman"/>
      <w:sz w:val="20"/>
      <w:szCs w:val="20"/>
    </w:rPr>
  </w:style>
  <w:style w:type="character" w:styleId="CommentReference">
    <w:name w:val="annotation reference"/>
    <w:basedOn w:val="DefaultParagraphFont"/>
    <w:uiPriority w:val="99"/>
    <w:semiHidden/>
    <w:unhideWhenUsed/>
    <w:rsid w:val="0057700F"/>
    <w:rPr>
      <w:sz w:val="16"/>
      <w:szCs w:val="16"/>
    </w:rPr>
  </w:style>
  <w:style w:type="paragraph" w:styleId="CommentText">
    <w:name w:val="annotation text"/>
    <w:basedOn w:val="Normal"/>
    <w:link w:val="CommentTextChar"/>
    <w:uiPriority w:val="99"/>
    <w:unhideWhenUsed/>
    <w:rsid w:val="0057700F"/>
    <w:pPr>
      <w:spacing w:line="240" w:lineRule="auto"/>
    </w:pPr>
    <w:rPr>
      <w:sz w:val="20"/>
      <w:szCs w:val="20"/>
    </w:rPr>
  </w:style>
  <w:style w:type="character" w:customStyle="1" w:styleId="CommentTextChar">
    <w:name w:val="Comment Text Char"/>
    <w:basedOn w:val="DefaultParagraphFont"/>
    <w:link w:val="CommentText"/>
    <w:uiPriority w:val="99"/>
    <w:rsid w:val="0057700F"/>
    <w:rPr>
      <w:sz w:val="20"/>
      <w:szCs w:val="20"/>
    </w:rPr>
  </w:style>
  <w:style w:type="paragraph" w:styleId="CommentSubject">
    <w:name w:val="annotation subject"/>
    <w:basedOn w:val="CommentText"/>
    <w:next w:val="CommentText"/>
    <w:link w:val="CommentSubjectChar"/>
    <w:uiPriority w:val="99"/>
    <w:semiHidden/>
    <w:unhideWhenUsed/>
    <w:rsid w:val="0057700F"/>
    <w:rPr>
      <w:b/>
      <w:bCs/>
    </w:rPr>
  </w:style>
  <w:style w:type="character" w:customStyle="1" w:styleId="CommentSubjectChar">
    <w:name w:val="Comment Subject Char"/>
    <w:basedOn w:val="CommentTextChar"/>
    <w:link w:val="CommentSubject"/>
    <w:uiPriority w:val="99"/>
    <w:semiHidden/>
    <w:rsid w:val="0057700F"/>
    <w:rPr>
      <w:b/>
      <w:bCs/>
      <w:sz w:val="20"/>
      <w:szCs w:val="20"/>
    </w:rPr>
  </w:style>
  <w:style w:type="paragraph" w:customStyle="1" w:styleId="FERCparanumber">
    <w:name w:val="FERC paranumber"/>
    <w:basedOn w:val="Normal"/>
    <w:link w:val="FERCparanumberChar"/>
    <w:rsid w:val="00DF401D"/>
    <w:pPr>
      <w:widowControl w:val="0"/>
      <w:numPr>
        <w:numId w:val="5"/>
      </w:numPr>
      <w:autoSpaceDE w:val="0"/>
      <w:autoSpaceDN w:val="0"/>
      <w:adjustRightInd w:val="0"/>
      <w:spacing w:after="0" w:line="480" w:lineRule="auto"/>
    </w:pPr>
    <w:rPr>
      <w:rFonts w:ascii="Times New Roman" w:eastAsia="Times New Roman" w:hAnsi="Times New Roman" w:cs="Times New Roman"/>
      <w:sz w:val="26"/>
      <w:szCs w:val="24"/>
    </w:rPr>
  </w:style>
  <w:style w:type="character" w:customStyle="1" w:styleId="FERCparanumberChar">
    <w:name w:val="FERC paranumber Char"/>
    <w:link w:val="FERCparanumber"/>
    <w:uiPriority w:val="99"/>
    <w:locked/>
    <w:rsid w:val="00DF401D"/>
    <w:rPr>
      <w:rFonts w:ascii="Times New Roman" w:eastAsia="Times New Roman" w:hAnsi="Times New Roman" w:cs="Times New Roman"/>
      <w:sz w:val="26"/>
      <w:szCs w:val="24"/>
    </w:rPr>
  </w:style>
  <w:style w:type="character" w:styleId="Hyperlink">
    <w:name w:val="Hyperlink"/>
    <w:basedOn w:val="DefaultParagraphFont"/>
    <w:uiPriority w:val="99"/>
    <w:rsid w:val="0072126E"/>
    <w:rPr>
      <w:rFonts w:cs="Times New Roman"/>
      <w:color w:val="0000FF"/>
      <w:u w:val="single"/>
    </w:rPr>
  </w:style>
  <w:style w:type="character" w:styleId="FollowedHyperlink">
    <w:name w:val="FollowedHyperlink"/>
    <w:basedOn w:val="DefaultParagraphFont"/>
    <w:uiPriority w:val="99"/>
    <w:semiHidden/>
    <w:unhideWhenUsed/>
    <w:rsid w:val="0072126E"/>
    <w:rPr>
      <w:color w:val="800080" w:themeColor="followedHyperlink"/>
      <w:u w:val="single"/>
    </w:rPr>
  </w:style>
  <w:style w:type="paragraph" w:styleId="Bibliography">
    <w:name w:val="Bibliography"/>
    <w:basedOn w:val="Normal"/>
    <w:next w:val="Normal"/>
    <w:uiPriority w:val="37"/>
    <w:semiHidden/>
    <w:unhideWhenUsed/>
    <w:rsid w:val="00BC302C"/>
  </w:style>
  <w:style w:type="paragraph" w:styleId="BlockText">
    <w:name w:val="Block Text"/>
    <w:basedOn w:val="Normal"/>
    <w:uiPriority w:val="99"/>
    <w:semiHidden/>
    <w:unhideWhenUsed/>
    <w:rsid w:val="00BC302C"/>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eastAsiaTheme="minorEastAsia"/>
      <w:i/>
      <w:iCs/>
      <w:color w:val="4F81BD" w:themeColor="accent1"/>
    </w:rPr>
  </w:style>
  <w:style w:type="paragraph" w:styleId="BodyText">
    <w:name w:val="Body Text"/>
    <w:basedOn w:val="Normal"/>
    <w:link w:val="BodyTextChar"/>
    <w:uiPriority w:val="99"/>
    <w:semiHidden/>
    <w:unhideWhenUsed/>
    <w:rsid w:val="00BC302C"/>
    <w:pPr>
      <w:spacing w:after="120"/>
    </w:pPr>
  </w:style>
  <w:style w:type="character" w:customStyle="1" w:styleId="BodyTextChar">
    <w:name w:val="Body Text Char"/>
    <w:basedOn w:val="DefaultParagraphFont"/>
    <w:link w:val="BodyText"/>
    <w:uiPriority w:val="99"/>
    <w:semiHidden/>
    <w:rsid w:val="00BC302C"/>
  </w:style>
  <w:style w:type="paragraph" w:styleId="BodyText2">
    <w:name w:val="Body Text 2"/>
    <w:basedOn w:val="Normal"/>
    <w:link w:val="BodyText2Char"/>
    <w:uiPriority w:val="99"/>
    <w:semiHidden/>
    <w:unhideWhenUsed/>
    <w:rsid w:val="00BC302C"/>
    <w:pPr>
      <w:spacing w:after="120" w:line="480" w:lineRule="auto"/>
    </w:pPr>
  </w:style>
  <w:style w:type="character" w:customStyle="1" w:styleId="BodyText2Char">
    <w:name w:val="Body Text 2 Char"/>
    <w:basedOn w:val="DefaultParagraphFont"/>
    <w:link w:val="BodyText2"/>
    <w:uiPriority w:val="99"/>
    <w:semiHidden/>
    <w:rsid w:val="00BC302C"/>
  </w:style>
  <w:style w:type="paragraph" w:styleId="BodyText3">
    <w:name w:val="Body Text 3"/>
    <w:basedOn w:val="Normal"/>
    <w:link w:val="BodyText3Char"/>
    <w:uiPriority w:val="99"/>
    <w:semiHidden/>
    <w:unhideWhenUsed/>
    <w:rsid w:val="00BC302C"/>
    <w:pPr>
      <w:spacing w:after="120"/>
    </w:pPr>
    <w:rPr>
      <w:sz w:val="16"/>
      <w:szCs w:val="16"/>
    </w:rPr>
  </w:style>
  <w:style w:type="character" w:customStyle="1" w:styleId="BodyText3Char">
    <w:name w:val="Body Text 3 Char"/>
    <w:basedOn w:val="DefaultParagraphFont"/>
    <w:link w:val="BodyText3"/>
    <w:uiPriority w:val="99"/>
    <w:semiHidden/>
    <w:rsid w:val="00BC302C"/>
    <w:rPr>
      <w:sz w:val="16"/>
      <w:szCs w:val="16"/>
    </w:rPr>
  </w:style>
  <w:style w:type="paragraph" w:styleId="BodyTextFirstIndent">
    <w:name w:val="Body Text First Indent"/>
    <w:basedOn w:val="BodyText"/>
    <w:link w:val="BodyTextFirstIndentChar"/>
    <w:uiPriority w:val="99"/>
    <w:semiHidden/>
    <w:unhideWhenUsed/>
    <w:rsid w:val="00BC302C"/>
    <w:pPr>
      <w:spacing w:after="200"/>
      <w:ind w:firstLine="360"/>
    </w:pPr>
  </w:style>
  <w:style w:type="character" w:customStyle="1" w:styleId="BodyTextFirstIndentChar">
    <w:name w:val="Body Text First Indent Char"/>
    <w:basedOn w:val="BodyTextChar"/>
    <w:link w:val="BodyTextFirstIndent"/>
    <w:uiPriority w:val="99"/>
    <w:semiHidden/>
    <w:rsid w:val="00BC302C"/>
  </w:style>
  <w:style w:type="paragraph" w:styleId="BodyTextIndent">
    <w:name w:val="Body Text Indent"/>
    <w:basedOn w:val="Normal"/>
    <w:link w:val="BodyTextIndentChar"/>
    <w:uiPriority w:val="99"/>
    <w:semiHidden/>
    <w:unhideWhenUsed/>
    <w:rsid w:val="00BC302C"/>
    <w:pPr>
      <w:spacing w:after="120"/>
      <w:ind w:left="360"/>
    </w:pPr>
  </w:style>
  <w:style w:type="character" w:customStyle="1" w:styleId="BodyTextIndentChar">
    <w:name w:val="Body Text Indent Char"/>
    <w:basedOn w:val="DefaultParagraphFont"/>
    <w:link w:val="BodyTextIndent"/>
    <w:uiPriority w:val="99"/>
    <w:semiHidden/>
    <w:rsid w:val="00BC302C"/>
  </w:style>
  <w:style w:type="paragraph" w:styleId="BodyTextFirstIndent2">
    <w:name w:val="Body Text First Indent 2"/>
    <w:basedOn w:val="BodyTextIndent"/>
    <w:link w:val="BodyTextFirstIndent2Char"/>
    <w:uiPriority w:val="99"/>
    <w:semiHidden/>
    <w:unhideWhenUsed/>
    <w:rsid w:val="00BC302C"/>
    <w:pPr>
      <w:spacing w:after="200"/>
      <w:ind w:firstLine="360"/>
    </w:pPr>
  </w:style>
  <w:style w:type="character" w:customStyle="1" w:styleId="BodyTextFirstIndent2Char">
    <w:name w:val="Body Text First Indent 2 Char"/>
    <w:basedOn w:val="BodyTextIndentChar"/>
    <w:link w:val="BodyTextFirstIndent2"/>
    <w:uiPriority w:val="99"/>
    <w:semiHidden/>
    <w:rsid w:val="00BC302C"/>
  </w:style>
  <w:style w:type="paragraph" w:styleId="BodyTextIndent2">
    <w:name w:val="Body Text Indent 2"/>
    <w:basedOn w:val="Normal"/>
    <w:link w:val="BodyTextIndent2Char"/>
    <w:uiPriority w:val="99"/>
    <w:semiHidden/>
    <w:unhideWhenUsed/>
    <w:rsid w:val="00BC302C"/>
    <w:pPr>
      <w:spacing w:after="120" w:line="480" w:lineRule="auto"/>
      <w:ind w:left="360"/>
    </w:pPr>
  </w:style>
  <w:style w:type="character" w:customStyle="1" w:styleId="BodyTextIndent2Char">
    <w:name w:val="Body Text Indent 2 Char"/>
    <w:basedOn w:val="DefaultParagraphFont"/>
    <w:link w:val="BodyTextIndent2"/>
    <w:uiPriority w:val="99"/>
    <w:semiHidden/>
    <w:rsid w:val="00BC302C"/>
  </w:style>
  <w:style w:type="paragraph" w:styleId="BodyTextIndent3">
    <w:name w:val="Body Text Indent 3"/>
    <w:basedOn w:val="Normal"/>
    <w:link w:val="BodyTextIndent3Char"/>
    <w:uiPriority w:val="99"/>
    <w:semiHidden/>
    <w:unhideWhenUsed/>
    <w:rsid w:val="00BC302C"/>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BC302C"/>
    <w:rPr>
      <w:sz w:val="16"/>
      <w:szCs w:val="16"/>
    </w:rPr>
  </w:style>
  <w:style w:type="paragraph" w:styleId="Caption">
    <w:name w:val="caption"/>
    <w:basedOn w:val="Normal"/>
    <w:next w:val="Normal"/>
    <w:uiPriority w:val="35"/>
    <w:semiHidden/>
    <w:unhideWhenUsed/>
    <w:qFormat/>
    <w:rsid w:val="00BC302C"/>
    <w:pPr>
      <w:spacing w:line="240" w:lineRule="auto"/>
    </w:pPr>
    <w:rPr>
      <w:b/>
      <w:bCs/>
      <w:color w:val="4F81BD" w:themeColor="accent1"/>
      <w:sz w:val="18"/>
      <w:szCs w:val="18"/>
    </w:rPr>
  </w:style>
  <w:style w:type="paragraph" w:styleId="Closing">
    <w:name w:val="Closing"/>
    <w:basedOn w:val="Normal"/>
    <w:link w:val="ClosingChar"/>
    <w:uiPriority w:val="99"/>
    <w:semiHidden/>
    <w:unhideWhenUsed/>
    <w:rsid w:val="00BC302C"/>
    <w:pPr>
      <w:spacing w:after="0" w:line="240" w:lineRule="auto"/>
      <w:ind w:left="4320"/>
    </w:pPr>
  </w:style>
  <w:style w:type="character" w:customStyle="1" w:styleId="ClosingChar">
    <w:name w:val="Closing Char"/>
    <w:basedOn w:val="DefaultParagraphFont"/>
    <w:link w:val="Closing"/>
    <w:uiPriority w:val="99"/>
    <w:semiHidden/>
    <w:rsid w:val="00BC302C"/>
  </w:style>
  <w:style w:type="paragraph" w:styleId="Date">
    <w:name w:val="Date"/>
    <w:basedOn w:val="Normal"/>
    <w:next w:val="Normal"/>
    <w:link w:val="DateChar"/>
    <w:uiPriority w:val="99"/>
    <w:semiHidden/>
    <w:unhideWhenUsed/>
    <w:rsid w:val="00BC302C"/>
  </w:style>
  <w:style w:type="character" w:customStyle="1" w:styleId="DateChar">
    <w:name w:val="Date Char"/>
    <w:basedOn w:val="DefaultParagraphFont"/>
    <w:link w:val="Date"/>
    <w:uiPriority w:val="99"/>
    <w:semiHidden/>
    <w:rsid w:val="00BC302C"/>
  </w:style>
  <w:style w:type="paragraph" w:styleId="DocumentMap">
    <w:name w:val="Document Map"/>
    <w:basedOn w:val="Normal"/>
    <w:link w:val="DocumentMapChar"/>
    <w:uiPriority w:val="99"/>
    <w:semiHidden/>
    <w:unhideWhenUsed/>
    <w:rsid w:val="00BC302C"/>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BC302C"/>
    <w:rPr>
      <w:rFonts w:ascii="Tahoma" w:hAnsi="Tahoma" w:cs="Tahoma"/>
      <w:sz w:val="16"/>
      <w:szCs w:val="16"/>
    </w:rPr>
  </w:style>
  <w:style w:type="paragraph" w:styleId="E-mailSignature">
    <w:name w:val="E-mail Signature"/>
    <w:basedOn w:val="Normal"/>
    <w:link w:val="E-mailSignatureChar"/>
    <w:uiPriority w:val="99"/>
    <w:semiHidden/>
    <w:unhideWhenUsed/>
    <w:rsid w:val="00BC302C"/>
    <w:pPr>
      <w:spacing w:after="0" w:line="240" w:lineRule="auto"/>
    </w:pPr>
  </w:style>
  <w:style w:type="character" w:customStyle="1" w:styleId="E-mailSignatureChar">
    <w:name w:val="E-mail Signature Char"/>
    <w:basedOn w:val="DefaultParagraphFont"/>
    <w:link w:val="E-mailSignature"/>
    <w:uiPriority w:val="99"/>
    <w:semiHidden/>
    <w:rsid w:val="00BC302C"/>
  </w:style>
  <w:style w:type="paragraph" w:styleId="EndnoteText">
    <w:name w:val="endnote text"/>
    <w:basedOn w:val="Normal"/>
    <w:link w:val="EndnoteTextChar"/>
    <w:uiPriority w:val="99"/>
    <w:semiHidden/>
    <w:unhideWhenUsed/>
    <w:rsid w:val="00BC302C"/>
    <w:pPr>
      <w:spacing w:after="0" w:line="240" w:lineRule="auto"/>
    </w:pPr>
    <w:rPr>
      <w:sz w:val="20"/>
      <w:szCs w:val="20"/>
    </w:rPr>
  </w:style>
  <w:style w:type="character" w:customStyle="1" w:styleId="EndnoteTextChar">
    <w:name w:val="Endnote Text Char"/>
    <w:basedOn w:val="DefaultParagraphFont"/>
    <w:link w:val="EndnoteText"/>
    <w:uiPriority w:val="99"/>
    <w:semiHidden/>
    <w:rsid w:val="00BC302C"/>
    <w:rPr>
      <w:sz w:val="20"/>
      <w:szCs w:val="20"/>
    </w:rPr>
  </w:style>
  <w:style w:type="paragraph" w:styleId="EnvelopeAddress">
    <w:name w:val="envelope address"/>
    <w:basedOn w:val="Normal"/>
    <w:uiPriority w:val="99"/>
    <w:semiHidden/>
    <w:unhideWhenUsed/>
    <w:rsid w:val="00BC302C"/>
    <w:pPr>
      <w:framePr w:w="7920" w:h="1980" w:hRule="exact" w:hSpace="180"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BC302C"/>
    <w:pPr>
      <w:spacing w:after="0" w:line="240" w:lineRule="auto"/>
    </w:pPr>
    <w:rPr>
      <w:rFonts w:asciiTheme="majorHAnsi" w:eastAsiaTheme="majorEastAsia" w:hAnsiTheme="majorHAnsi" w:cstheme="majorBidi"/>
      <w:sz w:val="20"/>
      <w:szCs w:val="20"/>
    </w:rPr>
  </w:style>
  <w:style w:type="character" w:customStyle="1" w:styleId="Heading1Char">
    <w:name w:val="Heading 1 Char"/>
    <w:basedOn w:val="DefaultParagraphFont"/>
    <w:link w:val="Heading1"/>
    <w:uiPriority w:val="9"/>
    <w:rsid w:val="00BC302C"/>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BC302C"/>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BC302C"/>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semiHidden/>
    <w:rsid w:val="00BC302C"/>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BC302C"/>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BC302C"/>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BC302C"/>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BC302C"/>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BC302C"/>
    <w:rPr>
      <w:rFonts w:asciiTheme="majorHAnsi" w:eastAsiaTheme="majorEastAsia" w:hAnsiTheme="majorHAnsi" w:cstheme="majorBidi"/>
      <w:i/>
      <w:iCs/>
      <w:color w:val="404040" w:themeColor="text1" w:themeTint="BF"/>
      <w:sz w:val="20"/>
      <w:szCs w:val="20"/>
    </w:rPr>
  </w:style>
  <w:style w:type="paragraph" w:styleId="HTMLAddress">
    <w:name w:val="HTML Address"/>
    <w:basedOn w:val="Normal"/>
    <w:link w:val="HTMLAddressChar"/>
    <w:uiPriority w:val="99"/>
    <w:semiHidden/>
    <w:unhideWhenUsed/>
    <w:rsid w:val="00BC302C"/>
    <w:pPr>
      <w:spacing w:after="0" w:line="240" w:lineRule="auto"/>
    </w:pPr>
    <w:rPr>
      <w:i/>
      <w:iCs/>
    </w:rPr>
  </w:style>
  <w:style w:type="character" w:customStyle="1" w:styleId="HTMLAddressChar">
    <w:name w:val="HTML Address Char"/>
    <w:basedOn w:val="DefaultParagraphFont"/>
    <w:link w:val="HTMLAddress"/>
    <w:uiPriority w:val="99"/>
    <w:semiHidden/>
    <w:rsid w:val="00BC302C"/>
    <w:rPr>
      <w:i/>
      <w:iCs/>
    </w:rPr>
  </w:style>
  <w:style w:type="paragraph" w:styleId="HTMLPreformatted">
    <w:name w:val="HTML Preformatted"/>
    <w:basedOn w:val="Normal"/>
    <w:link w:val="HTMLPreformattedChar"/>
    <w:uiPriority w:val="99"/>
    <w:semiHidden/>
    <w:unhideWhenUsed/>
    <w:rsid w:val="00BC302C"/>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BC302C"/>
    <w:rPr>
      <w:rFonts w:ascii="Consolas" w:hAnsi="Consolas"/>
      <w:sz w:val="20"/>
      <w:szCs w:val="20"/>
    </w:rPr>
  </w:style>
  <w:style w:type="paragraph" w:styleId="Index1">
    <w:name w:val="index 1"/>
    <w:basedOn w:val="Normal"/>
    <w:next w:val="Normal"/>
    <w:uiPriority w:val="99"/>
    <w:semiHidden/>
    <w:unhideWhenUsed/>
    <w:rsid w:val="00BC302C"/>
    <w:pPr>
      <w:spacing w:after="0" w:line="240" w:lineRule="auto"/>
      <w:ind w:left="220" w:hanging="220"/>
    </w:pPr>
  </w:style>
  <w:style w:type="paragraph" w:styleId="Index2">
    <w:name w:val="index 2"/>
    <w:basedOn w:val="Normal"/>
    <w:next w:val="Normal"/>
    <w:uiPriority w:val="99"/>
    <w:semiHidden/>
    <w:unhideWhenUsed/>
    <w:rsid w:val="00BC302C"/>
    <w:pPr>
      <w:spacing w:after="0" w:line="240" w:lineRule="auto"/>
      <w:ind w:left="440" w:hanging="220"/>
    </w:pPr>
  </w:style>
  <w:style w:type="paragraph" w:styleId="Index3">
    <w:name w:val="index 3"/>
    <w:basedOn w:val="Normal"/>
    <w:next w:val="Normal"/>
    <w:uiPriority w:val="99"/>
    <w:semiHidden/>
    <w:unhideWhenUsed/>
    <w:rsid w:val="00BC302C"/>
    <w:pPr>
      <w:spacing w:after="0" w:line="240" w:lineRule="auto"/>
      <w:ind w:left="660" w:hanging="220"/>
    </w:pPr>
  </w:style>
  <w:style w:type="paragraph" w:styleId="Index4">
    <w:name w:val="index 4"/>
    <w:basedOn w:val="Normal"/>
    <w:next w:val="Normal"/>
    <w:uiPriority w:val="99"/>
    <w:semiHidden/>
    <w:unhideWhenUsed/>
    <w:rsid w:val="00BC302C"/>
    <w:pPr>
      <w:spacing w:after="0" w:line="240" w:lineRule="auto"/>
      <w:ind w:left="880" w:hanging="220"/>
    </w:pPr>
  </w:style>
  <w:style w:type="paragraph" w:styleId="Index5">
    <w:name w:val="index 5"/>
    <w:basedOn w:val="Normal"/>
    <w:next w:val="Normal"/>
    <w:uiPriority w:val="99"/>
    <w:semiHidden/>
    <w:unhideWhenUsed/>
    <w:rsid w:val="00BC302C"/>
    <w:pPr>
      <w:spacing w:after="0" w:line="240" w:lineRule="auto"/>
      <w:ind w:left="1100" w:hanging="220"/>
    </w:pPr>
  </w:style>
  <w:style w:type="paragraph" w:styleId="Index6">
    <w:name w:val="index 6"/>
    <w:basedOn w:val="Normal"/>
    <w:next w:val="Normal"/>
    <w:uiPriority w:val="99"/>
    <w:semiHidden/>
    <w:unhideWhenUsed/>
    <w:rsid w:val="00BC302C"/>
    <w:pPr>
      <w:spacing w:after="0" w:line="240" w:lineRule="auto"/>
      <w:ind w:left="1320" w:hanging="220"/>
    </w:pPr>
  </w:style>
  <w:style w:type="paragraph" w:styleId="Index7">
    <w:name w:val="index 7"/>
    <w:basedOn w:val="Normal"/>
    <w:next w:val="Normal"/>
    <w:uiPriority w:val="99"/>
    <w:semiHidden/>
    <w:unhideWhenUsed/>
    <w:rsid w:val="00BC302C"/>
    <w:pPr>
      <w:spacing w:after="0" w:line="240" w:lineRule="auto"/>
      <w:ind w:left="1540" w:hanging="220"/>
    </w:pPr>
  </w:style>
  <w:style w:type="paragraph" w:styleId="Index8">
    <w:name w:val="index 8"/>
    <w:basedOn w:val="Normal"/>
    <w:next w:val="Normal"/>
    <w:uiPriority w:val="99"/>
    <w:semiHidden/>
    <w:unhideWhenUsed/>
    <w:rsid w:val="00BC302C"/>
    <w:pPr>
      <w:spacing w:after="0" w:line="240" w:lineRule="auto"/>
      <w:ind w:left="1760" w:hanging="220"/>
    </w:pPr>
  </w:style>
  <w:style w:type="paragraph" w:styleId="Index9">
    <w:name w:val="index 9"/>
    <w:basedOn w:val="Normal"/>
    <w:next w:val="Normal"/>
    <w:uiPriority w:val="99"/>
    <w:semiHidden/>
    <w:unhideWhenUsed/>
    <w:rsid w:val="00BC302C"/>
    <w:pPr>
      <w:spacing w:after="0" w:line="240" w:lineRule="auto"/>
      <w:ind w:left="1980" w:hanging="220"/>
    </w:pPr>
  </w:style>
  <w:style w:type="paragraph" w:styleId="IndexHeading">
    <w:name w:val="index heading"/>
    <w:basedOn w:val="Normal"/>
    <w:next w:val="Index1"/>
    <w:uiPriority w:val="99"/>
    <w:semiHidden/>
    <w:unhideWhenUsed/>
    <w:rsid w:val="00BC302C"/>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BC302C"/>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BC302C"/>
    <w:rPr>
      <w:b/>
      <w:bCs/>
      <w:i/>
      <w:iCs/>
      <w:color w:val="4F81BD" w:themeColor="accent1"/>
    </w:rPr>
  </w:style>
  <w:style w:type="paragraph" w:styleId="List">
    <w:name w:val="List"/>
    <w:basedOn w:val="Normal"/>
    <w:uiPriority w:val="99"/>
    <w:semiHidden/>
    <w:unhideWhenUsed/>
    <w:rsid w:val="00BC302C"/>
    <w:pPr>
      <w:ind w:left="360" w:hanging="360"/>
      <w:contextualSpacing/>
    </w:pPr>
  </w:style>
  <w:style w:type="paragraph" w:styleId="List2">
    <w:name w:val="List 2"/>
    <w:basedOn w:val="Normal"/>
    <w:uiPriority w:val="99"/>
    <w:semiHidden/>
    <w:unhideWhenUsed/>
    <w:rsid w:val="00BC302C"/>
    <w:pPr>
      <w:ind w:left="720" w:hanging="360"/>
      <w:contextualSpacing/>
    </w:pPr>
  </w:style>
  <w:style w:type="paragraph" w:styleId="List3">
    <w:name w:val="List 3"/>
    <w:basedOn w:val="Normal"/>
    <w:uiPriority w:val="99"/>
    <w:semiHidden/>
    <w:unhideWhenUsed/>
    <w:rsid w:val="00BC302C"/>
    <w:pPr>
      <w:ind w:left="1080" w:hanging="360"/>
      <w:contextualSpacing/>
    </w:pPr>
  </w:style>
  <w:style w:type="paragraph" w:styleId="List4">
    <w:name w:val="List 4"/>
    <w:basedOn w:val="Normal"/>
    <w:uiPriority w:val="99"/>
    <w:semiHidden/>
    <w:unhideWhenUsed/>
    <w:rsid w:val="00BC302C"/>
    <w:pPr>
      <w:ind w:left="1440" w:hanging="360"/>
      <w:contextualSpacing/>
    </w:pPr>
  </w:style>
  <w:style w:type="paragraph" w:styleId="List5">
    <w:name w:val="List 5"/>
    <w:basedOn w:val="Normal"/>
    <w:uiPriority w:val="99"/>
    <w:semiHidden/>
    <w:unhideWhenUsed/>
    <w:rsid w:val="00BC302C"/>
    <w:pPr>
      <w:ind w:left="1800" w:hanging="360"/>
      <w:contextualSpacing/>
    </w:pPr>
  </w:style>
  <w:style w:type="paragraph" w:styleId="ListBullet">
    <w:name w:val="List Bullet"/>
    <w:basedOn w:val="Normal"/>
    <w:uiPriority w:val="99"/>
    <w:semiHidden/>
    <w:unhideWhenUsed/>
    <w:rsid w:val="00BC302C"/>
    <w:pPr>
      <w:numPr>
        <w:numId w:val="9"/>
      </w:numPr>
      <w:contextualSpacing/>
    </w:pPr>
  </w:style>
  <w:style w:type="paragraph" w:styleId="ListBullet2">
    <w:name w:val="List Bullet 2"/>
    <w:basedOn w:val="Normal"/>
    <w:uiPriority w:val="99"/>
    <w:semiHidden/>
    <w:unhideWhenUsed/>
    <w:rsid w:val="00BC302C"/>
    <w:pPr>
      <w:numPr>
        <w:numId w:val="10"/>
      </w:numPr>
      <w:contextualSpacing/>
    </w:pPr>
  </w:style>
  <w:style w:type="paragraph" w:styleId="ListBullet3">
    <w:name w:val="List Bullet 3"/>
    <w:basedOn w:val="Normal"/>
    <w:uiPriority w:val="99"/>
    <w:semiHidden/>
    <w:unhideWhenUsed/>
    <w:rsid w:val="00BC302C"/>
    <w:pPr>
      <w:numPr>
        <w:numId w:val="11"/>
      </w:numPr>
      <w:contextualSpacing/>
    </w:pPr>
  </w:style>
  <w:style w:type="paragraph" w:styleId="ListBullet4">
    <w:name w:val="List Bullet 4"/>
    <w:basedOn w:val="Normal"/>
    <w:uiPriority w:val="99"/>
    <w:semiHidden/>
    <w:unhideWhenUsed/>
    <w:rsid w:val="00BC302C"/>
    <w:pPr>
      <w:numPr>
        <w:numId w:val="12"/>
      </w:numPr>
      <w:contextualSpacing/>
    </w:pPr>
  </w:style>
  <w:style w:type="paragraph" w:styleId="ListBullet5">
    <w:name w:val="List Bullet 5"/>
    <w:basedOn w:val="Normal"/>
    <w:uiPriority w:val="99"/>
    <w:semiHidden/>
    <w:unhideWhenUsed/>
    <w:rsid w:val="00BC302C"/>
    <w:pPr>
      <w:numPr>
        <w:numId w:val="13"/>
      </w:numPr>
      <w:contextualSpacing/>
    </w:pPr>
  </w:style>
  <w:style w:type="paragraph" w:styleId="ListContinue2">
    <w:name w:val="List Continue 2"/>
    <w:basedOn w:val="Normal"/>
    <w:uiPriority w:val="99"/>
    <w:semiHidden/>
    <w:unhideWhenUsed/>
    <w:rsid w:val="00BC302C"/>
    <w:pPr>
      <w:spacing w:after="120"/>
      <w:ind w:left="720"/>
      <w:contextualSpacing/>
    </w:pPr>
  </w:style>
  <w:style w:type="paragraph" w:styleId="ListContinue3">
    <w:name w:val="List Continue 3"/>
    <w:basedOn w:val="Normal"/>
    <w:uiPriority w:val="99"/>
    <w:semiHidden/>
    <w:unhideWhenUsed/>
    <w:rsid w:val="00BC302C"/>
    <w:pPr>
      <w:spacing w:after="120"/>
      <w:ind w:left="1080"/>
      <w:contextualSpacing/>
    </w:pPr>
  </w:style>
  <w:style w:type="paragraph" w:styleId="ListContinue4">
    <w:name w:val="List Continue 4"/>
    <w:basedOn w:val="Normal"/>
    <w:uiPriority w:val="99"/>
    <w:semiHidden/>
    <w:unhideWhenUsed/>
    <w:rsid w:val="00BC302C"/>
    <w:pPr>
      <w:spacing w:after="120"/>
      <w:ind w:left="1440"/>
      <w:contextualSpacing/>
    </w:pPr>
  </w:style>
  <w:style w:type="paragraph" w:styleId="ListContinue5">
    <w:name w:val="List Continue 5"/>
    <w:basedOn w:val="Normal"/>
    <w:uiPriority w:val="99"/>
    <w:semiHidden/>
    <w:unhideWhenUsed/>
    <w:rsid w:val="00BC302C"/>
    <w:pPr>
      <w:spacing w:after="120"/>
      <w:ind w:left="1800"/>
      <w:contextualSpacing/>
    </w:pPr>
  </w:style>
  <w:style w:type="paragraph" w:styleId="ListNumber">
    <w:name w:val="List Number"/>
    <w:basedOn w:val="Normal"/>
    <w:uiPriority w:val="99"/>
    <w:semiHidden/>
    <w:unhideWhenUsed/>
    <w:rsid w:val="00BC302C"/>
    <w:pPr>
      <w:numPr>
        <w:numId w:val="14"/>
      </w:numPr>
      <w:contextualSpacing/>
    </w:pPr>
  </w:style>
  <w:style w:type="paragraph" w:styleId="ListNumber2">
    <w:name w:val="List Number 2"/>
    <w:basedOn w:val="Normal"/>
    <w:uiPriority w:val="99"/>
    <w:semiHidden/>
    <w:unhideWhenUsed/>
    <w:rsid w:val="00BC302C"/>
    <w:pPr>
      <w:numPr>
        <w:numId w:val="15"/>
      </w:numPr>
      <w:contextualSpacing/>
    </w:pPr>
  </w:style>
  <w:style w:type="paragraph" w:styleId="ListNumber3">
    <w:name w:val="List Number 3"/>
    <w:basedOn w:val="Normal"/>
    <w:uiPriority w:val="99"/>
    <w:semiHidden/>
    <w:unhideWhenUsed/>
    <w:rsid w:val="00BC302C"/>
    <w:pPr>
      <w:numPr>
        <w:numId w:val="16"/>
      </w:numPr>
      <w:contextualSpacing/>
    </w:pPr>
  </w:style>
  <w:style w:type="paragraph" w:styleId="ListNumber4">
    <w:name w:val="List Number 4"/>
    <w:basedOn w:val="Normal"/>
    <w:uiPriority w:val="99"/>
    <w:semiHidden/>
    <w:unhideWhenUsed/>
    <w:rsid w:val="00BC302C"/>
    <w:pPr>
      <w:numPr>
        <w:numId w:val="17"/>
      </w:numPr>
      <w:contextualSpacing/>
    </w:pPr>
  </w:style>
  <w:style w:type="paragraph" w:styleId="ListNumber5">
    <w:name w:val="List Number 5"/>
    <w:basedOn w:val="Normal"/>
    <w:uiPriority w:val="99"/>
    <w:semiHidden/>
    <w:unhideWhenUsed/>
    <w:rsid w:val="00BC302C"/>
    <w:pPr>
      <w:numPr>
        <w:numId w:val="18"/>
      </w:numPr>
      <w:contextualSpacing/>
    </w:pPr>
  </w:style>
  <w:style w:type="paragraph" w:styleId="MacroText">
    <w:name w:val="macro"/>
    <w:link w:val="MacroTextChar"/>
    <w:uiPriority w:val="99"/>
    <w:semiHidden/>
    <w:unhideWhenUsed/>
    <w:rsid w:val="00BC302C"/>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croTextChar">
    <w:name w:val="Macro Text Char"/>
    <w:basedOn w:val="DefaultParagraphFont"/>
    <w:link w:val="MacroText"/>
    <w:uiPriority w:val="99"/>
    <w:semiHidden/>
    <w:rsid w:val="00BC302C"/>
    <w:rPr>
      <w:rFonts w:ascii="Consolas" w:hAnsi="Consolas"/>
      <w:sz w:val="20"/>
      <w:szCs w:val="20"/>
    </w:rPr>
  </w:style>
  <w:style w:type="paragraph" w:styleId="MessageHeader">
    <w:name w:val="Message Header"/>
    <w:basedOn w:val="Normal"/>
    <w:link w:val="MessageHeaderChar"/>
    <w:uiPriority w:val="99"/>
    <w:semiHidden/>
    <w:unhideWhenUsed/>
    <w:rsid w:val="00BC302C"/>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BC302C"/>
    <w:rPr>
      <w:rFonts w:asciiTheme="majorHAnsi" w:eastAsiaTheme="majorEastAsia" w:hAnsiTheme="majorHAnsi" w:cstheme="majorBidi"/>
      <w:sz w:val="24"/>
      <w:szCs w:val="24"/>
      <w:shd w:val="pct20" w:color="auto" w:fill="auto"/>
    </w:rPr>
  </w:style>
  <w:style w:type="paragraph" w:styleId="NoSpacing">
    <w:name w:val="No Spacing"/>
    <w:uiPriority w:val="1"/>
    <w:qFormat/>
    <w:rsid w:val="00BC302C"/>
    <w:pPr>
      <w:spacing w:after="0" w:line="240" w:lineRule="auto"/>
    </w:pPr>
  </w:style>
  <w:style w:type="paragraph" w:styleId="NormalWeb">
    <w:name w:val="Normal (Web)"/>
    <w:basedOn w:val="Normal"/>
    <w:uiPriority w:val="99"/>
    <w:semiHidden/>
    <w:unhideWhenUsed/>
    <w:rsid w:val="00BC302C"/>
    <w:rPr>
      <w:rFonts w:ascii="Times New Roman" w:hAnsi="Times New Roman" w:cs="Times New Roman"/>
      <w:sz w:val="24"/>
      <w:szCs w:val="24"/>
    </w:rPr>
  </w:style>
  <w:style w:type="paragraph" w:styleId="NormalIndent">
    <w:name w:val="Normal Indent"/>
    <w:basedOn w:val="Normal"/>
    <w:uiPriority w:val="99"/>
    <w:semiHidden/>
    <w:unhideWhenUsed/>
    <w:rsid w:val="00BC302C"/>
    <w:pPr>
      <w:ind w:left="720"/>
    </w:pPr>
  </w:style>
  <w:style w:type="paragraph" w:styleId="NoteHeading">
    <w:name w:val="Note Heading"/>
    <w:basedOn w:val="Normal"/>
    <w:next w:val="Normal"/>
    <w:link w:val="NoteHeadingChar"/>
    <w:uiPriority w:val="99"/>
    <w:semiHidden/>
    <w:unhideWhenUsed/>
    <w:rsid w:val="00BC302C"/>
    <w:pPr>
      <w:spacing w:after="0" w:line="240" w:lineRule="auto"/>
    </w:pPr>
  </w:style>
  <w:style w:type="character" w:customStyle="1" w:styleId="NoteHeadingChar">
    <w:name w:val="Note Heading Char"/>
    <w:basedOn w:val="DefaultParagraphFont"/>
    <w:link w:val="NoteHeading"/>
    <w:uiPriority w:val="99"/>
    <w:semiHidden/>
    <w:rsid w:val="00BC302C"/>
  </w:style>
  <w:style w:type="paragraph" w:styleId="PlainText">
    <w:name w:val="Plain Text"/>
    <w:basedOn w:val="Normal"/>
    <w:link w:val="PlainTextChar"/>
    <w:uiPriority w:val="99"/>
    <w:semiHidden/>
    <w:unhideWhenUsed/>
    <w:rsid w:val="00BC302C"/>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semiHidden/>
    <w:rsid w:val="00BC302C"/>
    <w:rPr>
      <w:rFonts w:ascii="Consolas" w:hAnsi="Consolas"/>
      <w:sz w:val="21"/>
      <w:szCs w:val="21"/>
    </w:rPr>
  </w:style>
  <w:style w:type="paragraph" w:styleId="Quote">
    <w:name w:val="Quote"/>
    <w:basedOn w:val="Normal"/>
    <w:next w:val="Normal"/>
    <w:link w:val="QuoteChar"/>
    <w:uiPriority w:val="29"/>
    <w:qFormat/>
    <w:rsid w:val="00BC302C"/>
    <w:rPr>
      <w:i/>
      <w:iCs/>
      <w:color w:val="000000" w:themeColor="text1"/>
    </w:rPr>
  </w:style>
  <w:style w:type="character" w:customStyle="1" w:styleId="QuoteChar">
    <w:name w:val="Quote Char"/>
    <w:basedOn w:val="DefaultParagraphFont"/>
    <w:link w:val="Quote"/>
    <w:uiPriority w:val="29"/>
    <w:rsid w:val="00BC302C"/>
    <w:rPr>
      <w:i/>
      <w:iCs/>
      <w:color w:val="000000" w:themeColor="text1"/>
    </w:rPr>
  </w:style>
  <w:style w:type="paragraph" w:styleId="Salutation">
    <w:name w:val="Salutation"/>
    <w:basedOn w:val="Normal"/>
    <w:next w:val="Normal"/>
    <w:link w:val="SalutationChar"/>
    <w:uiPriority w:val="99"/>
    <w:semiHidden/>
    <w:unhideWhenUsed/>
    <w:rsid w:val="00BC302C"/>
  </w:style>
  <w:style w:type="character" w:customStyle="1" w:styleId="SalutationChar">
    <w:name w:val="Salutation Char"/>
    <w:basedOn w:val="DefaultParagraphFont"/>
    <w:link w:val="Salutation"/>
    <w:uiPriority w:val="99"/>
    <w:semiHidden/>
    <w:rsid w:val="00BC302C"/>
  </w:style>
  <w:style w:type="paragraph" w:styleId="Signature">
    <w:name w:val="Signature"/>
    <w:basedOn w:val="Normal"/>
    <w:link w:val="SignatureChar"/>
    <w:uiPriority w:val="99"/>
    <w:semiHidden/>
    <w:unhideWhenUsed/>
    <w:rsid w:val="00BC302C"/>
    <w:pPr>
      <w:spacing w:after="0" w:line="240" w:lineRule="auto"/>
      <w:ind w:left="4320"/>
    </w:pPr>
  </w:style>
  <w:style w:type="character" w:customStyle="1" w:styleId="SignatureChar">
    <w:name w:val="Signature Char"/>
    <w:basedOn w:val="DefaultParagraphFont"/>
    <w:link w:val="Signature"/>
    <w:uiPriority w:val="99"/>
    <w:semiHidden/>
    <w:rsid w:val="00BC302C"/>
  </w:style>
  <w:style w:type="paragraph" w:styleId="Subtitle">
    <w:name w:val="Subtitle"/>
    <w:basedOn w:val="Normal"/>
    <w:next w:val="Normal"/>
    <w:link w:val="SubtitleChar"/>
    <w:uiPriority w:val="11"/>
    <w:qFormat/>
    <w:rsid w:val="00BC302C"/>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BC302C"/>
    <w:rPr>
      <w:rFonts w:asciiTheme="majorHAnsi" w:eastAsiaTheme="majorEastAsia" w:hAnsiTheme="majorHAnsi" w:cstheme="majorBidi"/>
      <w:i/>
      <w:iCs/>
      <w:color w:val="4F81BD" w:themeColor="accent1"/>
      <w:spacing w:val="15"/>
      <w:sz w:val="24"/>
      <w:szCs w:val="24"/>
    </w:rPr>
  </w:style>
  <w:style w:type="paragraph" w:styleId="TableofAuthorities">
    <w:name w:val="table of authorities"/>
    <w:basedOn w:val="Normal"/>
    <w:next w:val="Normal"/>
    <w:uiPriority w:val="99"/>
    <w:semiHidden/>
    <w:unhideWhenUsed/>
    <w:rsid w:val="00BC302C"/>
    <w:pPr>
      <w:spacing w:after="0"/>
      <w:ind w:left="220" w:hanging="220"/>
    </w:pPr>
  </w:style>
  <w:style w:type="paragraph" w:styleId="TableofFigures">
    <w:name w:val="table of figures"/>
    <w:basedOn w:val="Normal"/>
    <w:next w:val="Normal"/>
    <w:uiPriority w:val="99"/>
    <w:semiHidden/>
    <w:unhideWhenUsed/>
    <w:rsid w:val="00BC302C"/>
    <w:pPr>
      <w:spacing w:after="0"/>
    </w:pPr>
  </w:style>
  <w:style w:type="paragraph" w:styleId="Title">
    <w:name w:val="Title"/>
    <w:basedOn w:val="Normal"/>
    <w:next w:val="Normal"/>
    <w:link w:val="TitleChar"/>
    <w:uiPriority w:val="10"/>
    <w:qFormat/>
    <w:rsid w:val="00BC302C"/>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BC302C"/>
    <w:rPr>
      <w:rFonts w:asciiTheme="majorHAnsi" w:eastAsiaTheme="majorEastAsia" w:hAnsiTheme="majorHAnsi" w:cstheme="majorBidi"/>
      <w:color w:val="17365D" w:themeColor="text2" w:themeShade="BF"/>
      <w:spacing w:val="5"/>
      <w:kern w:val="28"/>
      <w:sz w:val="52"/>
      <w:szCs w:val="52"/>
    </w:rPr>
  </w:style>
  <w:style w:type="paragraph" w:styleId="TOAHeading">
    <w:name w:val="toa heading"/>
    <w:basedOn w:val="Normal"/>
    <w:next w:val="Normal"/>
    <w:uiPriority w:val="99"/>
    <w:semiHidden/>
    <w:unhideWhenUsed/>
    <w:rsid w:val="00BC302C"/>
    <w:pPr>
      <w:spacing w:before="120"/>
    </w:pPr>
    <w:rPr>
      <w:rFonts w:asciiTheme="majorHAnsi" w:eastAsiaTheme="majorEastAsia" w:hAnsiTheme="majorHAnsi" w:cstheme="majorBidi"/>
      <w:b/>
      <w:bCs/>
      <w:sz w:val="24"/>
      <w:szCs w:val="24"/>
    </w:rPr>
  </w:style>
  <w:style w:type="paragraph" w:styleId="TOC1">
    <w:name w:val="toc 1"/>
    <w:basedOn w:val="Normal"/>
    <w:next w:val="Normal"/>
    <w:uiPriority w:val="39"/>
    <w:semiHidden/>
    <w:unhideWhenUsed/>
    <w:rsid w:val="00BC302C"/>
    <w:pPr>
      <w:spacing w:after="100"/>
    </w:pPr>
  </w:style>
  <w:style w:type="paragraph" w:styleId="TOC2">
    <w:name w:val="toc 2"/>
    <w:basedOn w:val="Normal"/>
    <w:next w:val="Normal"/>
    <w:uiPriority w:val="39"/>
    <w:semiHidden/>
    <w:unhideWhenUsed/>
    <w:rsid w:val="00BC302C"/>
    <w:pPr>
      <w:spacing w:after="100"/>
      <w:ind w:left="220"/>
    </w:pPr>
  </w:style>
  <w:style w:type="paragraph" w:styleId="TOC3">
    <w:name w:val="toc 3"/>
    <w:basedOn w:val="Normal"/>
    <w:next w:val="Normal"/>
    <w:uiPriority w:val="39"/>
    <w:semiHidden/>
    <w:unhideWhenUsed/>
    <w:rsid w:val="00BC302C"/>
    <w:pPr>
      <w:spacing w:after="100"/>
      <w:ind w:left="440"/>
    </w:pPr>
  </w:style>
  <w:style w:type="paragraph" w:styleId="TOC4">
    <w:name w:val="toc 4"/>
    <w:basedOn w:val="Normal"/>
    <w:next w:val="Normal"/>
    <w:uiPriority w:val="39"/>
    <w:semiHidden/>
    <w:unhideWhenUsed/>
    <w:rsid w:val="00BC302C"/>
    <w:pPr>
      <w:spacing w:after="100"/>
      <w:ind w:left="660"/>
    </w:pPr>
  </w:style>
  <w:style w:type="paragraph" w:styleId="TOC5">
    <w:name w:val="toc 5"/>
    <w:basedOn w:val="Normal"/>
    <w:next w:val="Normal"/>
    <w:uiPriority w:val="39"/>
    <w:semiHidden/>
    <w:unhideWhenUsed/>
    <w:rsid w:val="00BC302C"/>
    <w:pPr>
      <w:spacing w:after="100"/>
      <w:ind w:left="880"/>
    </w:pPr>
  </w:style>
  <w:style w:type="paragraph" w:styleId="TOC6">
    <w:name w:val="toc 6"/>
    <w:basedOn w:val="Normal"/>
    <w:next w:val="Normal"/>
    <w:uiPriority w:val="39"/>
    <w:semiHidden/>
    <w:unhideWhenUsed/>
    <w:rsid w:val="00BC302C"/>
    <w:pPr>
      <w:spacing w:after="100"/>
      <w:ind w:left="1100"/>
    </w:pPr>
  </w:style>
  <w:style w:type="paragraph" w:styleId="TOC7">
    <w:name w:val="toc 7"/>
    <w:basedOn w:val="Normal"/>
    <w:next w:val="Normal"/>
    <w:uiPriority w:val="39"/>
    <w:semiHidden/>
    <w:unhideWhenUsed/>
    <w:rsid w:val="00BC302C"/>
    <w:pPr>
      <w:spacing w:after="100"/>
      <w:ind w:left="1320"/>
    </w:pPr>
  </w:style>
  <w:style w:type="paragraph" w:styleId="TOC8">
    <w:name w:val="toc 8"/>
    <w:basedOn w:val="Normal"/>
    <w:next w:val="Normal"/>
    <w:uiPriority w:val="39"/>
    <w:semiHidden/>
    <w:unhideWhenUsed/>
    <w:rsid w:val="00BC302C"/>
    <w:pPr>
      <w:spacing w:after="100"/>
      <w:ind w:left="1540"/>
    </w:pPr>
  </w:style>
  <w:style w:type="paragraph" w:styleId="TOC9">
    <w:name w:val="toc 9"/>
    <w:basedOn w:val="Normal"/>
    <w:next w:val="Normal"/>
    <w:uiPriority w:val="39"/>
    <w:semiHidden/>
    <w:unhideWhenUsed/>
    <w:rsid w:val="00BC302C"/>
    <w:pPr>
      <w:spacing w:after="100"/>
      <w:ind w:left="1760"/>
    </w:pPr>
  </w:style>
  <w:style w:type="paragraph" w:styleId="TOCHeading">
    <w:name w:val="TOC Heading"/>
    <w:basedOn w:val="Heading1"/>
    <w:next w:val="Normal"/>
    <w:uiPriority w:val="39"/>
    <w:semiHidden/>
    <w:unhideWhenUsed/>
    <w:qFormat/>
    <w:rsid w:val="00BC302C"/>
    <w:pPr>
      <w:outlineLvl w:val="9"/>
    </w:pPr>
  </w:style>
  <w:style w:type="character" w:customStyle="1" w:styleId="FERCparanumberChar1">
    <w:name w:val="FERC paranumber Char1"/>
    <w:rsid w:val="007B3E16"/>
    <w:rPr>
      <w:sz w:val="26"/>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466062">
      <w:bodyDiv w:val="1"/>
      <w:marLeft w:val="0"/>
      <w:marRight w:val="0"/>
      <w:marTop w:val="0"/>
      <w:marBottom w:val="0"/>
      <w:divBdr>
        <w:top w:val="none" w:sz="0" w:space="0" w:color="auto"/>
        <w:left w:val="none" w:sz="0" w:space="0" w:color="auto"/>
        <w:bottom w:val="none" w:sz="0" w:space="0" w:color="auto"/>
        <w:right w:val="none" w:sz="0" w:space="0" w:color="auto"/>
      </w:divBdr>
    </w:div>
    <w:div w:id="202983013">
      <w:bodyDiv w:val="1"/>
      <w:marLeft w:val="0"/>
      <w:marRight w:val="0"/>
      <w:marTop w:val="0"/>
      <w:marBottom w:val="0"/>
      <w:divBdr>
        <w:top w:val="none" w:sz="0" w:space="0" w:color="auto"/>
        <w:left w:val="none" w:sz="0" w:space="0" w:color="auto"/>
        <w:bottom w:val="none" w:sz="0" w:space="0" w:color="auto"/>
        <w:right w:val="none" w:sz="0" w:space="0" w:color="auto"/>
      </w:divBdr>
    </w:div>
    <w:div w:id="436288447">
      <w:bodyDiv w:val="1"/>
      <w:marLeft w:val="0"/>
      <w:marRight w:val="0"/>
      <w:marTop w:val="0"/>
      <w:marBottom w:val="0"/>
      <w:divBdr>
        <w:top w:val="none" w:sz="0" w:space="0" w:color="auto"/>
        <w:left w:val="none" w:sz="0" w:space="0" w:color="auto"/>
        <w:bottom w:val="none" w:sz="0" w:space="0" w:color="auto"/>
        <w:right w:val="none" w:sz="0" w:space="0" w:color="auto"/>
      </w:divBdr>
    </w:div>
    <w:div w:id="524827324">
      <w:bodyDiv w:val="1"/>
      <w:marLeft w:val="0"/>
      <w:marRight w:val="0"/>
      <w:marTop w:val="0"/>
      <w:marBottom w:val="0"/>
      <w:divBdr>
        <w:top w:val="none" w:sz="0" w:space="0" w:color="auto"/>
        <w:left w:val="none" w:sz="0" w:space="0" w:color="auto"/>
        <w:bottom w:val="none" w:sz="0" w:space="0" w:color="auto"/>
        <w:right w:val="none" w:sz="0" w:space="0" w:color="auto"/>
      </w:divBdr>
    </w:div>
    <w:div w:id="609314428">
      <w:bodyDiv w:val="1"/>
      <w:marLeft w:val="0"/>
      <w:marRight w:val="0"/>
      <w:marTop w:val="0"/>
      <w:marBottom w:val="0"/>
      <w:divBdr>
        <w:top w:val="none" w:sz="0" w:space="0" w:color="auto"/>
        <w:left w:val="none" w:sz="0" w:space="0" w:color="auto"/>
        <w:bottom w:val="none" w:sz="0" w:space="0" w:color="auto"/>
        <w:right w:val="none" w:sz="0" w:space="0" w:color="auto"/>
      </w:divBdr>
    </w:div>
    <w:div w:id="960111956">
      <w:bodyDiv w:val="1"/>
      <w:marLeft w:val="0"/>
      <w:marRight w:val="0"/>
      <w:marTop w:val="0"/>
      <w:marBottom w:val="0"/>
      <w:divBdr>
        <w:top w:val="none" w:sz="0" w:space="0" w:color="auto"/>
        <w:left w:val="none" w:sz="0" w:space="0" w:color="auto"/>
        <w:bottom w:val="none" w:sz="0" w:space="0" w:color="auto"/>
        <w:right w:val="none" w:sz="0" w:space="0" w:color="auto"/>
      </w:divBdr>
    </w:div>
    <w:div w:id="1128401192">
      <w:bodyDiv w:val="1"/>
      <w:marLeft w:val="0"/>
      <w:marRight w:val="0"/>
      <w:marTop w:val="0"/>
      <w:marBottom w:val="0"/>
      <w:divBdr>
        <w:top w:val="none" w:sz="0" w:space="0" w:color="auto"/>
        <w:left w:val="none" w:sz="0" w:space="0" w:color="auto"/>
        <w:bottom w:val="none" w:sz="0" w:space="0" w:color="auto"/>
        <w:right w:val="none" w:sz="0" w:space="0" w:color="auto"/>
      </w:divBdr>
    </w:div>
    <w:div w:id="1716660428">
      <w:bodyDiv w:val="1"/>
      <w:marLeft w:val="0"/>
      <w:marRight w:val="0"/>
      <w:marTop w:val="0"/>
      <w:marBottom w:val="0"/>
      <w:divBdr>
        <w:top w:val="none" w:sz="0" w:space="0" w:color="auto"/>
        <w:left w:val="none" w:sz="0" w:space="0" w:color="auto"/>
        <w:bottom w:val="none" w:sz="0" w:space="0" w:color="auto"/>
        <w:right w:val="none" w:sz="0" w:space="0" w:color="auto"/>
      </w:divBdr>
    </w:div>
    <w:div w:id="2010138141">
      <w:bodyDiv w:val="1"/>
      <w:marLeft w:val="0"/>
      <w:marRight w:val="0"/>
      <w:marTop w:val="0"/>
      <w:marBottom w:val="0"/>
      <w:divBdr>
        <w:top w:val="none" w:sz="0" w:space="0" w:color="auto"/>
        <w:left w:val="none" w:sz="0" w:space="0" w:color="auto"/>
        <w:bottom w:val="none" w:sz="0" w:space="0" w:color="auto"/>
        <w:right w:val="none" w:sz="0" w:space="0" w:color="auto"/>
      </w:divBdr>
    </w:div>
    <w:div w:id="20660295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footnotes.xml.rels><?xml version="1.0" encoding="UTF-8" standalone="yes"?>
<Relationships xmlns="http://schemas.openxmlformats.org/package/2006/relationships"><Relationship Id="rId1" Type="http://schemas.openxmlformats.org/officeDocument/2006/relationships/hyperlink" Target="http://www.nerc.com/FilingsOrders/us/RuleOfProcedureDL/Appendix_3A_StandardProcessesManual_20130626.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950DDFC-A906-45F6-8480-97856132E1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3974</Words>
  <Characters>22654</Characters>
  <Application>Microsoft Office Word</Application>
  <DocSecurity>0</DocSecurity>
  <Lines>188</Lines>
  <Paragraphs>53</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26575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2013-11-20T18:45:00Z</dcterms:created>
  <dcterms:modified xsi:type="dcterms:W3CDTF">2013-11-20T18:45:00Z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-1910190621</vt:i4>
  </property>
  <property fmtid="{D5CDD505-2E9C-101B-9397-08002B2CF9AE}" pid="3" name="_NewReviewCycle">
    <vt:lpwstr/>
  </property>
  <property fmtid="{D5CDD505-2E9C-101B-9397-08002B2CF9AE}" pid="4" name="_ReviewingToolsShownOnce">
    <vt:lpwstr/>
  </property>
</Properties>
</file>