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1"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C1299D" w:rsidRPr="00EC5FB1" w:rsidRDefault="00C1299D" w:rsidP="00C1299D">
      <w:pPr>
        <w:tabs>
          <w:tab w:val="left" w:pos="0"/>
        </w:tabs>
        <w:suppressAutoHyphens/>
        <w:rPr>
          <w:rFonts w:ascii="Times New Roman" w:hAnsi="Times New Roman"/>
          <w:i/>
          <w:szCs w:val="24"/>
        </w:rPr>
      </w:pPr>
      <w:r w:rsidRPr="00EC5FB1">
        <w:rPr>
          <w:rFonts w:ascii="Times New Roman" w:hAnsi="Times New Roman"/>
          <w:i/>
          <w:szCs w:val="24"/>
        </w:rPr>
        <w:t xml:space="preserve">Consistent with the provisions of Title VII, Part B of the Higher Education Act of 1965, as amended, the Fund for the Improvement of Postsecondary Education (FIPSE) works to improve postsecondary education through grants to postsecondary educational institutions and agencies.  Such grants are awarded to non-profit organizations on the basis of competitively reviewed applications submitted to FIPSE under its Comprehensive and Special Focus Competition Program grant competitions.  The Department of Education is requesting permission to conduct combined data collection for the Comprehensive Program (84.116B), four (4) Special Focus Programs: European Union/United States of America Cooperation Program in Higher Education and Vocational Education and Training (EU-U.S. Atlantis Program), the Program for North American Mobility in Higher Education (North American Program), the U.S.-Brazil Higher Education Consortia Program (U.S.-Brazil Program), and the U.S.-Russia Program.  The regulations governing these programs are contained in 34 CFR Part 75 (Education Department General Administrative Regulations).  </w:t>
      </w:r>
    </w:p>
    <w:p w:rsidR="00C1299D" w:rsidRPr="00EC5FB1" w:rsidRDefault="00C1299D" w:rsidP="00C1299D">
      <w:pPr>
        <w:tabs>
          <w:tab w:val="left" w:pos="0"/>
        </w:tabs>
        <w:suppressAutoHyphens/>
        <w:rPr>
          <w:rFonts w:ascii="Times New Roman" w:hAnsi="Times New Roman"/>
          <w:i/>
          <w:szCs w:val="24"/>
        </w:rPr>
      </w:pPr>
    </w:p>
    <w:p w:rsidR="00386054" w:rsidRPr="00EC5FB1" w:rsidRDefault="00C1299D" w:rsidP="00C1299D">
      <w:pPr>
        <w:tabs>
          <w:tab w:val="left" w:pos="0"/>
        </w:tabs>
        <w:suppressAutoHyphens/>
        <w:rPr>
          <w:rFonts w:ascii="Times New Roman" w:hAnsi="Times New Roman"/>
          <w:i/>
          <w:szCs w:val="24"/>
        </w:rPr>
      </w:pPr>
      <w:r w:rsidRPr="00EC5FB1">
        <w:rPr>
          <w:rFonts w:ascii="Times New Roman" w:hAnsi="Times New Roman"/>
          <w:i/>
          <w:szCs w:val="24"/>
        </w:rPr>
        <w:t xml:space="preserve">The Comprehensive Program has been funding improvements in postsecondary education annually since its authorization in 1973.  FIPSE has not received an appropriation from Congress to support the Comprehensive or International Partnership programs since 2011.  However, FIPSE remains in the Federal Budget and may have future competitions to administer and therefore all reports are necessary.  In addition, the projects funded in FY 2010 were funded for three and four years and will continue into 2014.  Thus these grantees will not file their final reports until the end of 2014.   We are requesting a revision since we are eliminating the Congressionally-Directed Grant annual report.  We longer need this annual report because we have not and will not receive more Congressionally-Directed grants to administer.  </w:t>
      </w:r>
    </w:p>
    <w:p w:rsidR="00386054" w:rsidRPr="00EF7FF5" w:rsidRDefault="00386054">
      <w:pPr>
        <w:tabs>
          <w:tab w:val="left" w:pos="0"/>
        </w:tabs>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CB6E41" w:rsidRPr="00EC5FB1" w:rsidRDefault="00CB6E41" w:rsidP="00CB6E41">
      <w:pPr>
        <w:tabs>
          <w:tab w:val="left" w:pos="-720"/>
        </w:tabs>
        <w:suppressAutoHyphens/>
        <w:rPr>
          <w:rFonts w:ascii="Times New Roman" w:hAnsi="Times New Roman"/>
          <w:i/>
          <w:szCs w:val="24"/>
        </w:rPr>
      </w:pPr>
      <w:r w:rsidRPr="00EC5FB1">
        <w:rPr>
          <w:rFonts w:ascii="Times New Roman" w:hAnsi="Times New Roman"/>
          <w:i/>
          <w:szCs w:val="24"/>
        </w:rPr>
        <w:t xml:space="preserve">Comprehensive and International Project Forms (annual and final reports for 84.116B, J, M, N, and S):  The annual and final performance reports are necessary to ensure that the information and data to be collected will result in a balanced and effective assessment of the student exchanges and curricular developments of the Comprehensive and four international programs.  The U.S. Department of Education standard forms for annual and final performance reports ask grantees to provide information that is not suited to consortium-based projects.  The FIPSE forms include requests for performance information, a report narrative, a student mobility data sheet, a final budget summary, and a project description.  We require the grantee to write an essay describing the key accomplishments and challenges of the project.  The information to be collected in the forms reflects the focus of the project activities much more accurately and includes a required evaluation report. </w:t>
      </w:r>
    </w:p>
    <w:p w:rsidR="00CB6E41" w:rsidRPr="00EC5FB1" w:rsidRDefault="00CB6E41" w:rsidP="00CB6E41">
      <w:pPr>
        <w:tabs>
          <w:tab w:val="left" w:pos="-720"/>
        </w:tabs>
        <w:suppressAutoHyphens/>
        <w:rPr>
          <w:rFonts w:ascii="Times New Roman" w:hAnsi="Times New Roman"/>
          <w:i/>
          <w:szCs w:val="24"/>
        </w:rPr>
      </w:pPr>
      <w:r w:rsidRPr="00EC5FB1">
        <w:rPr>
          <w:rFonts w:ascii="Times New Roman" w:hAnsi="Times New Roman"/>
          <w:i/>
          <w:szCs w:val="24"/>
        </w:rPr>
        <w:t>FIPSE places great emphasis on the collection of information from performance reports as a means to assure the quality of program management and show progress toward meeting its performance goals.</w:t>
      </w:r>
    </w:p>
    <w:p w:rsidR="00CB6E41" w:rsidRPr="00EC5FB1" w:rsidRDefault="00CB6E41" w:rsidP="00CB6E41">
      <w:pPr>
        <w:tabs>
          <w:tab w:val="left" w:pos="-720"/>
        </w:tabs>
        <w:suppressAutoHyphens/>
        <w:rPr>
          <w:rFonts w:ascii="Times New Roman" w:hAnsi="Times New Roman"/>
          <w:i/>
          <w:szCs w:val="24"/>
        </w:rPr>
      </w:pPr>
    </w:p>
    <w:p w:rsidR="00CB6E41" w:rsidRPr="00EC5FB1" w:rsidRDefault="00CB6E41" w:rsidP="00CB6E41">
      <w:pPr>
        <w:tabs>
          <w:tab w:val="left" w:pos="-720"/>
        </w:tabs>
        <w:suppressAutoHyphens/>
        <w:rPr>
          <w:rFonts w:ascii="Times New Roman" w:hAnsi="Times New Roman"/>
          <w:i/>
          <w:szCs w:val="24"/>
        </w:rPr>
      </w:pPr>
      <w:r w:rsidRPr="00EC5FB1">
        <w:rPr>
          <w:rFonts w:ascii="Times New Roman" w:hAnsi="Times New Roman"/>
          <w:i/>
          <w:szCs w:val="24"/>
        </w:rPr>
        <w:t>Congressionally-directed Grant forms (final report for 84.116Z):</w:t>
      </w:r>
    </w:p>
    <w:p w:rsidR="00386054" w:rsidRPr="00EC5FB1" w:rsidRDefault="00CB6E41" w:rsidP="00CB6E41">
      <w:pPr>
        <w:tabs>
          <w:tab w:val="left" w:pos="-720"/>
        </w:tabs>
        <w:suppressAutoHyphens/>
        <w:rPr>
          <w:rFonts w:ascii="Times New Roman" w:hAnsi="Times New Roman"/>
          <w:i/>
          <w:szCs w:val="24"/>
        </w:rPr>
      </w:pPr>
      <w:r w:rsidRPr="00EC5FB1">
        <w:rPr>
          <w:rFonts w:ascii="Times New Roman" w:hAnsi="Times New Roman"/>
          <w:i/>
          <w:szCs w:val="24"/>
        </w:rPr>
        <w:t xml:space="preserve">Results of the final performance report will be used to ensure that grant expenditures were used toward the accomplishment of a specified congressional purpose stated in the Appropriations Act.   The reports are collected via the FIPSE database to strengthen FIPSE’s methods of internal controls for monitoring grant expenditures and enhancing transparency of project activities.  It will also serve as a safeguard and check-and-balance system against possible fraudulent activity.  Since these are Congressionally-directed grants and therefore noncompetitive, FIPSE staff need to closely monitor these projects to assure that tax payer monies are spent according to Federal regulations.  The data provided in the final performance reports will ascertain if grant recipients have expended funds for the Congressionally-directed purpose specified in the conference report, H. Rept. 111-366, pages 1066-1072 or if activities and expenditures were in compliance with discretionary grant regulations.  We are eliminating the Congressionally-Directed Grant annual report.  We longer need this annual report because we have not and will not receive more Congressionally-Directed grants to administer.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DE5A65" w:rsidRDefault="00DE5A65">
      <w:pPr>
        <w:tabs>
          <w:tab w:val="left" w:pos="-720"/>
        </w:tabs>
        <w:suppressAutoHyphens/>
        <w:rPr>
          <w:rFonts w:ascii="Times New Roman" w:hAnsi="Times New Roman"/>
          <w:szCs w:val="24"/>
        </w:rPr>
      </w:pPr>
    </w:p>
    <w:p w:rsidR="00DE5A65" w:rsidRPr="00DE5A65" w:rsidRDefault="00DE5A65" w:rsidP="00DE5A65">
      <w:pPr>
        <w:tabs>
          <w:tab w:val="left" w:pos="-720"/>
        </w:tabs>
        <w:suppressAutoHyphens/>
        <w:rPr>
          <w:rFonts w:ascii="Times New Roman" w:hAnsi="Times New Roman"/>
          <w:i/>
          <w:szCs w:val="24"/>
        </w:rPr>
      </w:pPr>
      <w:r w:rsidRPr="00DE5A65">
        <w:rPr>
          <w:rFonts w:ascii="Times New Roman" w:hAnsi="Times New Roman"/>
          <w:i/>
          <w:szCs w:val="24"/>
        </w:rPr>
        <w:t xml:space="preserve">The collection of information is designed for Web-based submission of all the information requested.  Grantees will be able to use the FIPSE database (www.fipsedatabase.ed.gov) to submit final and annual performance information on their grants.  The Comprehensive Program and the four (4) international programs will use the same forms for the annual and final </w:t>
      </w:r>
      <w:r w:rsidRPr="00DE5A65">
        <w:rPr>
          <w:rFonts w:ascii="Times New Roman" w:hAnsi="Times New Roman"/>
          <w:i/>
          <w:szCs w:val="24"/>
        </w:rPr>
        <w:lastRenderedPageBreak/>
        <w:t xml:space="preserve">performance report, with the exception of an added section for the international programs that collects data on students studying abroad for the Department of State’s International Agency Working Group (IAWG). The Congressionally-directed grants have a slightly different format due to the nature of Congressionally-directed grants.  </w:t>
      </w:r>
    </w:p>
    <w:p w:rsidR="00DE5A65" w:rsidRPr="00DE5A65" w:rsidRDefault="00DE5A65" w:rsidP="00DE5A65">
      <w:pPr>
        <w:tabs>
          <w:tab w:val="left" w:pos="-720"/>
        </w:tabs>
        <w:suppressAutoHyphens/>
        <w:rPr>
          <w:rFonts w:ascii="Times New Roman" w:hAnsi="Times New Roman"/>
          <w:i/>
          <w:szCs w:val="24"/>
        </w:rPr>
      </w:pPr>
    </w:p>
    <w:p w:rsidR="00DE5A65" w:rsidRPr="00DE5A65" w:rsidRDefault="00DE5A65" w:rsidP="00DE5A65">
      <w:pPr>
        <w:tabs>
          <w:tab w:val="left" w:pos="-720"/>
        </w:tabs>
        <w:suppressAutoHyphens/>
        <w:rPr>
          <w:rFonts w:ascii="Times New Roman" w:hAnsi="Times New Roman"/>
          <w:i/>
          <w:szCs w:val="24"/>
        </w:rPr>
      </w:pPr>
      <w:r w:rsidRPr="00DE5A65">
        <w:rPr>
          <w:rFonts w:ascii="Times New Roman" w:hAnsi="Times New Roman"/>
          <w:i/>
          <w:szCs w:val="24"/>
        </w:rPr>
        <w:t>The data collected in the FIPSE database enables the program officers to conduct program evaluation of FIPSE’s programs to provide outcomes and outputs as well as improve the program management of the programs.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DE5A65" w:rsidRDefault="00DE5A65">
      <w:pPr>
        <w:tabs>
          <w:tab w:val="left" w:pos="-720"/>
        </w:tabs>
        <w:suppressAutoHyphens/>
        <w:rPr>
          <w:rFonts w:ascii="Times New Roman" w:hAnsi="Times New Roman"/>
          <w:i/>
          <w:szCs w:val="24"/>
        </w:rPr>
      </w:pPr>
      <w:r w:rsidRPr="00DE5A65">
        <w:rPr>
          <w:rFonts w:ascii="Times New Roman" w:hAnsi="Times New Roman"/>
          <w:i/>
          <w:szCs w:val="24"/>
        </w:rPr>
        <w:t xml:space="preserve">FIPSE staff has made every effort to ensure that there is no duplication of data acquisition.  </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C5FB1" w:rsidRDefault="00DE5A65">
      <w:pPr>
        <w:tabs>
          <w:tab w:val="left" w:pos="-720"/>
        </w:tabs>
        <w:suppressAutoHyphens/>
        <w:rPr>
          <w:rFonts w:ascii="Times New Roman" w:hAnsi="Times New Roman"/>
          <w:i/>
          <w:szCs w:val="24"/>
        </w:rPr>
      </w:pPr>
      <w:r w:rsidRPr="00EC5FB1">
        <w:rPr>
          <w:rFonts w:ascii="Times New Roman" w:hAnsi="Times New Roman"/>
          <w:i/>
          <w:szCs w:val="24"/>
        </w:rPr>
        <w:t>The collection of information does not impact small businesses or other small entities.</w:t>
      </w: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C5FB1" w:rsidRDefault="00DE5A65">
      <w:pPr>
        <w:tabs>
          <w:tab w:val="left" w:pos="-720"/>
        </w:tabs>
        <w:suppressAutoHyphens/>
        <w:rPr>
          <w:rFonts w:ascii="Times New Roman" w:hAnsi="Times New Roman"/>
          <w:i/>
          <w:szCs w:val="24"/>
        </w:rPr>
      </w:pPr>
      <w:r w:rsidRPr="00EC5FB1">
        <w:rPr>
          <w:rFonts w:ascii="Times New Roman" w:hAnsi="Times New Roman"/>
          <w:i/>
          <w:szCs w:val="24"/>
        </w:rPr>
        <w:t>According to the Government Performance and Results Act of 1993 (GPRA), FIPSE grant competitions are required by law to collect information regarding program and project effectiveness.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EC5FB1" w:rsidRDefault="00DE5A65">
      <w:pPr>
        <w:tabs>
          <w:tab w:val="left" w:pos="-720"/>
        </w:tabs>
        <w:suppressAutoHyphens/>
        <w:rPr>
          <w:rFonts w:ascii="Times New Roman" w:hAnsi="Times New Roman"/>
          <w:i/>
          <w:szCs w:val="24"/>
        </w:rPr>
      </w:pPr>
      <w:r w:rsidRPr="00EC5FB1">
        <w:rPr>
          <w:rFonts w:ascii="Times New Roman" w:hAnsi="Times New Roman"/>
          <w:i/>
          <w:szCs w:val="24"/>
        </w:rPr>
        <w:t>No special circumstances apply.</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DE5A65" w:rsidRPr="00EC5FB1" w:rsidRDefault="00DE5A65" w:rsidP="00DE5A65">
      <w:pPr>
        <w:tabs>
          <w:tab w:val="left" w:pos="-720"/>
        </w:tabs>
        <w:suppressAutoHyphens/>
        <w:rPr>
          <w:rFonts w:ascii="Times New Roman" w:hAnsi="Times New Roman"/>
          <w:i/>
          <w:szCs w:val="24"/>
        </w:rPr>
      </w:pPr>
      <w:r w:rsidRPr="00EC5FB1">
        <w:rPr>
          <w:rFonts w:ascii="Times New Roman" w:hAnsi="Times New Roman"/>
          <w:i/>
          <w:szCs w:val="24"/>
        </w:rPr>
        <w:t xml:space="preserve">Each year FIPSE staff evaluates the effectiveness of grants and related processes, including data collection, through regular telephone and e-mail contacts with project directors, an annual meeting of the project directors in each program, and annual performance reports submitted by the grantees.  Information gathered through such means is focused on objectives unique to individual projects.  The FIPSE database greatly facilitates total program evaluation objectives such as the effectiveness of the consortia format or student learning outcomes that are common to a cohort of projects both within and across the four programs in areas such as engineering or business and if applicable any Congressionally-directed grants. </w:t>
      </w:r>
    </w:p>
    <w:p w:rsidR="00386054" w:rsidRPr="00EF7FF5" w:rsidRDefault="00DE5A65">
      <w:pPr>
        <w:tabs>
          <w:tab w:val="left" w:pos="-720"/>
        </w:tabs>
        <w:suppressAutoHyphens/>
        <w:rPr>
          <w:rFonts w:ascii="Times New Roman" w:hAnsi="Times New Roman"/>
          <w:szCs w:val="24"/>
        </w:rPr>
      </w:pPr>
      <w:r w:rsidRPr="00EC5FB1">
        <w:rPr>
          <w:rFonts w:ascii="Times New Roman" w:hAnsi="Times New Roman"/>
          <w:i/>
          <w:szCs w:val="24"/>
        </w:rPr>
        <w:t>A separate 60-day Federal Register notice followed by a 30-day Federal Register notice will be published to solicit public comments.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DE5A65" w:rsidRPr="00EC5FB1" w:rsidRDefault="00DE5A65" w:rsidP="00DE5A65">
      <w:pPr>
        <w:rPr>
          <w:rFonts w:ascii="Times New Roman" w:hAnsi="Times New Roman"/>
          <w:i/>
          <w:szCs w:val="24"/>
        </w:rPr>
      </w:pPr>
      <w:r w:rsidRPr="00EC5FB1">
        <w:rPr>
          <w:rFonts w:ascii="Times New Roman" w:hAnsi="Times New Roman"/>
          <w:i/>
          <w:szCs w:val="24"/>
        </w:rPr>
        <w:t>ED does not provide any payment or gift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386054" w:rsidRPr="00EC5FB1" w:rsidRDefault="00DE5A65">
      <w:pPr>
        <w:tabs>
          <w:tab w:val="left" w:pos="-720"/>
        </w:tabs>
        <w:suppressAutoHyphens/>
        <w:rPr>
          <w:rFonts w:ascii="Times New Roman" w:hAnsi="Times New Roman"/>
          <w:i/>
          <w:szCs w:val="24"/>
        </w:rPr>
      </w:pPr>
      <w:r w:rsidRPr="00EC5FB1">
        <w:rPr>
          <w:rFonts w:ascii="Times New Roman" w:hAnsi="Times New Roman"/>
          <w:i/>
          <w:szCs w:val="24"/>
        </w:rPr>
        <w:t>No assurance of confidentiality is provided to respondents</w:t>
      </w:r>
    </w:p>
    <w:p w:rsidR="00DE5A65" w:rsidRPr="00EF7FF5" w:rsidRDefault="00DE5A65">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756"/>
        <w:gridCol w:w="2628"/>
      </w:tblGrid>
      <w:tr w:rsidR="003221CA" w:rsidRPr="00282E97" w:rsidTr="00EB4A42">
        <w:tc>
          <w:tcPr>
            <w:tcW w:w="3192" w:type="dxa"/>
          </w:tcPr>
          <w:p w:rsidR="003221CA" w:rsidRPr="00282E97" w:rsidRDefault="003221CA" w:rsidP="00EB4A42">
            <w:pPr>
              <w:pStyle w:val="Heading1"/>
              <w:rPr>
                <w:sz w:val="28"/>
                <w:szCs w:val="28"/>
              </w:rPr>
            </w:pPr>
            <w:r w:rsidRPr="00282E97">
              <w:rPr>
                <w:sz w:val="28"/>
                <w:szCs w:val="28"/>
              </w:rPr>
              <w:t>ANNUAL REPORT</w:t>
            </w:r>
          </w:p>
        </w:tc>
        <w:tc>
          <w:tcPr>
            <w:tcW w:w="3756" w:type="dxa"/>
          </w:tcPr>
          <w:p w:rsidR="003221CA" w:rsidRPr="00282E97" w:rsidRDefault="003221CA" w:rsidP="00EB4A42">
            <w:pPr>
              <w:tabs>
                <w:tab w:val="left" w:pos="-720"/>
              </w:tabs>
              <w:suppressAutoHyphens/>
              <w:rPr>
                <w:rFonts w:ascii="Times New Roman" w:hAnsi="Times New Roman"/>
                <w:b/>
                <w:bCs/>
                <w:sz w:val="28"/>
                <w:szCs w:val="28"/>
              </w:rPr>
            </w:pPr>
            <w:r w:rsidRPr="00282E97">
              <w:rPr>
                <w:rFonts w:ascii="Times New Roman" w:hAnsi="Times New Roman"/>
                <w:b/>
                <w:bCs/>
                <w:sz w:val="28"/>
                <w:szCs w:val="28"/>
              </w:rPr>
              <w:t>Form for 84.116B</w:t>
            </w:r>
          </w:p>
        </w:tc>
        <w:tc>
          <w:tcPr>
            <w:tcW w:w="2628" w:type="dxa"/>
          </w:tcPr>
          <w:p w:rsidR="003221CA" w:rsidRPr="00276A1D" w:rsidRDefault="003221CA" w:rsidP="00EB4A42">
            <w:pPr>
              <w:tabs>
                <w:tab w:val="left" w:pos="-720"/>
              </w:tabs>
              <w:suppressAutoHyphens/>
              <w:rPr>
                <w:rFonts w:ascii="Times New Roman" w:hAnsi="Times New Roman"/>
                <w:b/>
                <w:bCs/>
                <w:sz w:val="28"/>
                <w:szCs w:val="28"/>
              </w:rPr>
            </w:pPr>
          </w:p>
        </w:tc>
      </w:tr>
      <w:tr w:rsidR="003221CA" w:rsidRPr="00282E97" w:rsidTr="00EB4A42">
        <w:tc>
          <w:tcPr>
            <w:tcW w:w="3192"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Number of respondents</w:t>
            </w:r>
          </w:p>
        </w:tc>
        <w:tc>
          <w:tcPr>
            <w:tcW w:w="3756"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1</w:t>
            </w:r>
            <w:r>
              <w:rPr>
                <w:rFonts w:ascii="Times New Roman" w:hAnsi="Times New Roman"/>
                <w:sz w:val="28"/>
                <w:szCs w:val="28"/>
              </w:rPr>
              <w:t>00</w:t>
            </w:r>
          </w:p>
        </w:tc>
        <w:tc>
          <w:tcPr>
            <w:tcW w:w="2628" w:type="dxa"/>
          </w:tcPr>
          <w:p w:rsidR="003221CA" w:rsidRPr="00276A1D" w:rsidRDefault="003221CA" w:rsidP="00EB4A42">
            <w:pPr>
              <w:tabs>
                <w:tab w:val="left" w:pos="-720"/>
              </w:tabs>
              <w:suppressAutoHyphens/>
              <w:rPr>
                <w:rFonts w:ascii="Times New Roman" w:hAnsi="Times New Roman"/>
                <w:sz w:val="28"/>
                <w:szCs w:val="28"/>
              </w:rPr>
            </w:pPr>
          </w:p>
        </w:tc>
      </w:tr>
      <w:tr w:rsidR="003221CA" w:rsidRPr="00282E97" w:rsidTr="00EB4A42">
        <w:tc>
          <w:tcPr>
            <w:tcW w:w="3192"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Frequency of response</w:t>
            </w:r>
          </w:p>
        </w:tc>
        <w:tc>
          <w:tcPr>
            <w:tcW w:w="3756"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Annual</w:t>
            </w:r>
          </w:p>
        </w:tc>
        <w:tc>
          <w:tcPr>
            <w:tcW w:w="2628" w:type="dxa"/>
          </w:tcPr>
          <w:p w:rsidR="003221CA" w:rsidRPr="00276A1D" w:rsidRDefault="003221CA" w:rsidP="00EB4A42">
            <w:pPr>
              <w:tabs>
                <w:tab w:val="left" w:pos="-720"/>
              </w:tabs>
              <w:suppressAutoHyphens/>
              <w:rPr>
                <w:rFonts w:ascii="Times New Roman" w:hAnsi="Times New Roman"/>
                <w:sz w:val="28"/>
                <w:szCs w:val="28"/>
              </w:rPr>
            </w:pPr>
          </w:p>
        </w:tc>
      </w:tr>
      <w:tr w:rsidR="003221CA" w:rsidRPr="00282E97" w:rsidTr="00EB4A42">
        <w:tc>
          <w:tcPr>
            <w:tcW w:w="3192"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Hour burden</w:t>
            </w:r>
          </w:p>
        </w:tc>
        <w:tc>
          <w:tcPr>
            <w:tcW w:w="3756"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17</w:t>
            </w:r>
          </w:p>
        </w:tc>
        <w:tc>
          <w:tcPr>
            <w:tcW w:w="2628" w:type="dxa"/>
          </w:tcPr>
          <w:p w:rsidR="003221CA" w:rsidRPr="00276A1D" w:rsidRDefault="003221CA" w:rsidP="00EB4A42">
            <w:pPr>
              <w:tabs>
                <w:tab w:val="left" w:pos="-720"/>
              </w:tabs>
              <w:suppressAutoHyphens/>
              <w:rPr>
                <w:rFonts w:ascii="Times New Roman" w:hAnsi="Times New Roman"/>
                <w:sz w:val="28"/>
                <w:szCs w:val="28"/>
              </w:rPr>
            </w:pPr>
          </w:p>
        </w:tc>
      </w:tr>
      <w:tr w:rsidR="003221CA" w:rsidRPr="00282E97" w:rsidTr="00EB4A42">
        <w:tc>
          <w:tcPr>
            <w:tcW w:w="3192"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Total burden</w:t>
            </w:r>
          </w:p>
        </w:tc>
        <w:tc>
          <w:tcPr>
            <w:tcW w:w="3756" w:type="dxa"/>
          </w:tcPr>
          <w:p w:rsidR="003221CA" w:rsidRPr="00282E97" w:rsidRDefault="003221CA" w:rsidP="00EB4A42">
            <w:pPr>
              <w:tabs>
                <w:tab w:val="left" w:pos="-720"/>
              </w:tabs>
              <w:suppressAutoHyphens/>
              <w:rPr>
                <w:rFonts w:ascii="Times New Roman" w:hAnsi="Times New Roman"/>
                <w:sz w:val="28"/>
                <w:szCs w:val="28"/>
              </w:rPr>
            </w:pPr>
            <w:r>
              <w:rPr>
                <w:rFonts w:ascii="Times New Roman" w:hAnsi="Times New Roman"/>
                <w:sz w:val="28"/>
                <w:szCs w:val="28"/>
              </w:rPr>
              <w:t>1700</w:t>
            </w:r>
          </w:p>
        </w:tc>
        <w:tc>
          <w:tcPr>
            <w:tcW w:w="2628" w:type="dxa"/>
          </w:tcPr>
          <w:p w:rsidR="003221CA" w:rsidRPr="00276A1D" w:rsidRDefault="003221CA" w:rsidP="00EB4A42">
            <w:pPr>
              <w:tabs>
                <w:tab w:val="left" w:pos="-720"/>
              </w:tabs>
              <w:suppressAutoHyphens/>
              <w:rPr>
                <w:rFonts w:ascii="Times New Roman" w:hAnsi="Times New Roman"/>
                <w:sz w:val="28"/>
                <w:szCs w:val="28"/>
              </w:rPr>
            </w:pPr>
          </w:p>
        </w:tc>
      </w:tr>
      <w:tr w:rsidR="003221CA" w:rsidRPr="00282E97" w:rsidTr="00EB4A42">
        <w:tc>
          <w:tcPr>
            <w:tcW w:w="3192"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Total est. cost to respondents</w:t>
            </w:r>
          </w:p>
        </w:tc>
        <w:tc>
          <w:tcPr>
            <w:tcW w:w="3756"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w:t>
            </w:r>
            <w:r>
              <w:rPr>
                <w:rFonts w:ascii="Times New Roman" w:hAnsi="Times New Roman"/>
                <w:sz w:val="28"/>
                <w:szCs w:val="28"/>
              </w:rPr>
              <w:t>85,000</w:t>
            </w:r>
          </w:p>
        </w:tc>
        <w:tc>
          <w:tcPr>
            <w:tcW w:w="2628" w:type="dxa"/>
          </w:tcPr>
          <w:p w:rsidR="003221CA" w:rsidRPr="00276A1D" w:rsidRDefault="003221CA" w:rsidP="00EB4A42">
            <w:pPr>
              <w:tabs>
                <w:tab w:val="left" w:pos="-720"/>
              </w:tabs>
              <w:suppressAutoHyphens/>
              <w:rPr>
                <w:rFonts w:ascii="Times New Roman" w:hAnsi="Times New Roman"/>
                <w:sz w:val="28"/>
                <w:szCs w:val="28"/>
              </w:rPr>
            </w:pPr>
          </w:p>
        </w:tc>
      </w:tr>
      <w:tr w:rsidR="003221CA" w:rsidRPr="00282E97" w:rsidTr="00EB4A42">
        <w:tc>
          <w:tcPr>
            <w:tcW w:w="3192" w:type="dxa"/>
          </w:tcPr>
          <w:p w:rsidR="003221CA" w:rsidRPr="00282E97" w:rsidRDefault="003221CA" w:rsidP="00EB4A42">
            <w:pPr>
              <w:tabs>
                <w:tab w:val="left" w:pos="-720"/>
              </w:tabs>
              <w:suppressAutoHyphens/>
              <w:rPr>
                <w:rFonts w:ascii="Times New Roman" w:hAnsi="Times New Roman"/>
                <w:sz w:val="28"/>
                <w:szCs w:val="28"/>
              </w:rPr>
            </w:pPr>
          </w:p>
        </w:tc>
        <w:tc>
          <w:tcPr>
            <w:tcW w:w="3756" w:type="dxa"/>
          </w:tcPr>
          <w:p w:rsidR="003221CA" w:rsidRPr="00282E97" w:rsidRDefault="003221CA" w:rsidP="00EB4A42">
            <w:pPr>
              <w:tabs>
                <w:tab w:val="left" w:pos="-720"/>
              </w:tabs>
              <w:suppressAutoHyphens/>
              <w:rPr>
                <w:rFonts w:ascii="Times New Roman" w:hAnsi="Times New Roman"/>
                <w:sz w:val="28"/>
                <w:szCs w:val="28"/>
              </w:rPr>
            </w:pPr>
          </w:p>
        </w:tc>
        <w:tc>
          <w:tcPr>
            <w:tcW w:w="2628" w:type="dxa"/>
          </w:tcPr>
          <w:p w:rsidR="003221CA" w:rsidRPr="00282E97" w:rsidRDefault="003221CA" w:rsidP="00EB4A42">
            <w:pPr>
              <w:tabs>
                <w:tab w:val="left" w:pos="-720"/>
              </w:tabs>
              <w:suppressAutoHyphens/>
              <w:rPr>
                <w:rFonts w:ascii="Times New Roman" w:hAnsi="Times New Roman"/>
                <w:sz w:val="28"/>
                <w:szCs w:val="28"/>
              </w:rPr>
            </w:pPr>
          </w:p>
        </w:tc>
      </w:tr>
      <w:tr w:rsidR="003221CA" w:rsidRPr="00282E97" w:rsidTr="00EB4A42">
        <w:tc>
          <w:tcPr>
            <w:tcW w:w="3192" w:type="dxa"/>
          </w:tcPr>
          <w:p w:rsidR="003221CA" w:rsidRPr="00282E97" w:rsidRDefault="003221CA" w:rsidP="00EB4A42">
            <w:pPr>
              <w:pStyle w:val="Heading1"/>
              <w:rPr>
                <w:sz w:val="28"/>
                <w:szCs w:val="28"/>
              </w:rPr>
            </w:pPr>
            <w:r w:rsidRPr="00282E97">
              <w:rPr>
                <w:sz w:val="28"/>
                <w:szCs w:val="28"/>
              </w:rPr>
              <w:t>FINAL REPORT</w:t>
            </w:r>
          </w:p>
        </w:tc>
        <w:tc>
          <w:tcPr>
            <w:tcW w:w="3756" w:type="dxa"/>
          </w:tcPr>
          <w:p w:rsidR="003221CA" w:rsidRPr="00D0786F" w:rsidRDefault="003221CA" w:rsidP="00EB4A42">
            <w:pPr>
              <w:tabs>
                <w:tab w:val="left" w:pos="-720"/>
              </w:tabs>
              <w:suppressAutoHyphens/>
              <w:rPr>
                <w:rFonts w:ascii="Times New Roman" w:hAnsi="Times New Roman"/>
                <w:b/>
                <w:sz w:val="28"/>
                <w:szCs w:val="28"/>
              </w:rPr>
            </w:pPr>
            <w:r w:rsidRPr="00D0786F">
              <w:rPr>
                <w:rFonts w:ascii="Times New Roman" w:hAnsi="Times New Roman"/>
                <w:b/>
                <w:sz w:val="28"/>
                <w:szCs w:val="28"/>
              </w:rPr>
              <w:t xml:space="preserve">Form for 84.116B,J,M,N or S </w:t>
            </w:r>
          </w:p>
        </w:tc>
        <w:tc>
          <w:tcPr>
            <w:tcW w:w="2628" w:type="dxa"/>
          </w:tcPr>
          <w:p w:rsidR="003221CA" w:rsidRPr="00D0786F" w:rsidRDefault="003221CA" w:rsidP="00EB4A42">
            <w:pPr>
              <w:tabs>
                <w:tab w:val="left" w:pos="-720"/>
              </w:tabs>
              <w:suppressAutoHyphens/>
              <w:rPr>
                <w:rFonts w:ascii="Times New Roman" w:hAnsi="Times New Roman"/>
                <w:b/>
                <w:sz w:val="28"/>
                <w:szCs w:val="28"/>
              </w:rPr>
            </w:pPr>
            <w:r w:rsidRPr="00D0786F">
              <w:rPr>
                <w:rFonts w:ascii="Times New Roman" w:hAnsi="Times New Roman"/>
                <w:b/>
                <w:sz w:val="28"/>
                <w:szCs w:val="28"/>
              </w:rPr>
              <w:t>Form for 84.116Z</w:t>
            </w:r>
          </w:p>
        </w:tc>
      </w:tr>
      <w:tr w:rsidR="003221CA" w:rsidRPr="00282E97" w:rsidTr="00EB4A42">
        <w:tc>
          <w:tcPr>
            <w:tcW w:w="3192"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Number of respondents</w:t>
            </w:r>
          </w:p>
        </w:tc>
        <w:tc>
          <w:tcPr>
            <w:tcW w:w="3756"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100</w:t>
            </w:r>
          </w:p>
        </w:tc>
        <w:tc>
          <w:tcPr>
            <w:tcW w:w="2628" w:type="dxa"/>
          </w:tcPr>
          <w:p w:rsidR="003221CA" w:rsidRPr="00282E97" w:rsidRDefault="003221CA" w:rsidP="00EB4A42">
            <w:pPr>
              <w:tabs>
                <w:tab w:val="left" w:pos="-720"/>
              </w:tabs>
              <w:suppressAutoHyphens/>
              <w:rPr>
                <w:rFonts w:ascii="Times New Roman" w:hAnsi="Times New Roman"/>
                <w:sz w:val="28"/>
                <w:szCs w:val="28"/>
              </w:rPr>
            </w:pPr>
            <w:r>
              <w:rPr>
                <w:rFonts w:ascii="Times New Roman" w:hAnsi="Times New Roman"/>
                <w:sz w:val="28"/>
                <w:szCs w:val="28"/>
              </w:rPr>
              <w:t>147</w:t>
            </w:r>
          </w:p>
        </w:tc>
      </w:tr>
      <w:tr w:rsidR="003221CA" w:rsidRPr="00282E97" w:rsidTr="00EB4A42">
        <w:tc>
          <w:tcPr>
            <w:tcW w:w="3192"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Frequency of response</w:t>
            </w:r>
          </w:p>
        </w:tc>
        <w:tc>
          <w:tcPr>
            <w:tcW w:w="3756"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One time</w:t>
            </w:r>
          </w:p>
        </w:tc>
        <w:tc>
          <w:tcPr>
            <w:tcW w:w="2628"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One time</w:t>
            </w:r>
          </w:p>
        </w:tc>
      </w:tr>
      <w:tr w:rsidR="003221CA" w:rsidRPr="00282E97" w:rsidTr="00EB4A42">
        <w:tc>
          <w:tcPr>
            <w:tcW w:w="3192"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Hour burden</w:t>
            </w:r>
          </w:p>
        </w:tc>
        <w:tc>
          <w:tcPr>
            <w:tcW w:w="3756"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17</w:t>
            </w:r>
          </w:p>
        </w:tc>
        <w:tc>
          <w:tcPr>
            <w:tcW w:w="2628"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10</w:t>
            </w:r>
          </w:p>
        </w:tc>
      </w:tr>
      <w:tr w:rsidR="003221CA" w:rsidRPr="00282E97" w:rsidTr="00EB4A42">
        <w:tc>
          <w:tcPr>
            <w:tcW w:w="3192"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Total burden</w:t>
            </w:r>
          </w:p>
        </w:tc>
        <w:tc>
          <w:tcPr>
            <w:tcW w:w="3756"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1,700</w:t>
            </w:r>
          </w:p>
        </w:tc>
        <w:tc>
          <w:tcPr>
            <w:tcW w:w="2628" w:type="dxa"/>
          </w:tcPr>
          <w:p w:rsidR="003221CA" w:rsidRPr="00282E97" w:rsidRDefault="003221CA" w:rsidP="00EB4A42">
            <w:pPr>
              <w:tabs>
                <w:tab w:val="left" w:pos="-720"/>
              </w:tabs>
              <w:suppressAutoHyphens/>
              <w:rPr>
                <w:rFonts w:ascii="Times New Roman" w:hAnsi="Times New Roman"/>
                <w:sz w:val="28"/>
                <w:szCs w:val="28"/>
              </w:rPr>
            </w:pPr>
            <w:r>
              <w:rPr>
                <w:rFonts w:ascii="Times New Roman" w:hAnsi="Times New Roman"/>
                <w:sz w:val="28"/>
                <w:szCs w:val="28"/>
              </w:rPr>
              <w:t>1470</w:t>
            </w:r>
          </w:p>
        </w:tc>
      </w:tr>
      <w:tr w:rsidR="003221CA" w:rsidRPr="00282E97" w:rsidTr="00EB4A42">
        <w:tc>
          <w:tcPr>
            <w:tcW w:w="3192"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Total est. cost to respondents</w:t>
            </w:r>
          </w:p>
        </w:tc>
        <w:tc>
          <w:tcPr>
            <w:tcW w:w="3756"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w:t>
            </w:r>
            <w:r>
              <w:rPr>
                <w:rFonts w:ascii="Times New Roman" w:hAnsi="Times New Roman"/>
                <w:sz w:val="28"/>
                <w:szCs w:val="28"/>
              </w:rPr>
              <w:t>85,000</w:t>
            </w:r>
          </w:p>
        </w:tc>
        <w:tc>
          <w:tcPr>
            <w:tcW w:w="2628" w:type="dxa"/>
          </w:tcPr>
          <w:p w:rsidR="003221CA" w:rsidRPr="00282E97" w:rsidRDefault="003221CA" w:rsidP="00EB4A42">
            <w:pPr>
              <w:tabs>
                <w:tab w:val="left" w:pos="-720"/>
              </w:tabs>
              <w:suppressAutoHyphens/>
              <w:rPr>
                <w:rFonts w:ascii="Times New Roman" w:hAnsi="Times New Roman"/>
                <w:sz w:val="28"/>
                <w:szCs w:val="28"/>
              </w:rPr>
            </w:pPr>
            <w:r w:rsidRPr="00282E97">
              <w:rPr>
                <w:rFonts w:ascii="Times New Roman" w:hAnsi="Times New Roman"/>
                <w:sz w:val="28"/>
                <w:szCs w:val="28"/>
              </w:rPr>
              <w:t>$</w:t>
            </w:r>
            <w:r>
              <w:rPr>
                <w:rFonts w:ascii="Times New Roman" w:hAnsi="Times New Roman"/>
                <w:sz w:val="28"/>
                <w:szCs w:val="28"/>
              </w:rPr>
              <w:t>73,500</w:t>
            </w:r>
          </w:p>
        </w:tc>
      </w:tr>
    </w:tbl>
    <w:p w:rsidR="003221CA" w:rsidRPr="00EC5FB1" w:rsidRDefault="003221CA" w:rsidP="00DE5A65">
      <w:pPr>
        <w:suppressAutoHyphens/>
        <w:rPr>
          <w:rFonts w:ascii="Times New Roman" w:hAnsi="Times New Roman"/>
          <w:b/>
          <w:i/>
          <w:szCs w:val="24"/>
        </w:rPr>
      </w:pPr>
    </w:p>
    <w:p w:rsidR="00DE5A65" w:rsidRPr="00EC5FB1" w:rsidRDefault="00DE5A65" w:rsidP="00DE5A65">
      <w:pPr>
        <w:suppressAutoHyphens/>
        <w:rPr>
          <w:rFonts w:ascii="Times New Roman" w:hAnsi="Times New Roman"/>
          <w:b/>
          <w:i/>
          <w:szCs w:val="24"/>
        </w:rPr>
      </w:pPr>
      <w:r w:rsidRPr="00EC5FB1">
        <w:rPr>
          <w:rFonts w:ascii="Times New Roman" w:hAnsi="Times New Roman"/>
          <w:b/>
          <w:i/>
          <w:szCs w:val="24"/>
        </w:rPr>
        <w:t>Total est. cost to respondents</w:t>
      </w:r>
      <w:r w:rsidRPr="00EC5FB1">
        <w:rPr>
          <w:rFonts w:ascii="Times New Roman" w:hAnsi="Times New Roman"/>
          <w:b/>
          <w:i/>
          <w:szCs w:val="24"/>
        </w:rPr>
        <w:tab/>
        <w:t>$85,000</w:t>
      </w:r>
      <w:r w:rsidRPr="00EC5FB1">
        <w:rPr>
          <w:rFonts w:ascii="Times New Roman" w:hAnsi="Times New Roman"/>
          <w:b/>
          <w:i/>
          <w:szCs w:val="24"/>
        </w:rPr>
        <w:tab/>
        <w:t>$73,500</w:t>
      </w:r>
    </w:p>
    <w:p w:rsidR="00DE5A65" w:rsidRPr="00EC5FB1" w:rsidRDefault="00DE5A65" w:rsidP="00DE5A65">
      <w:pPr>
        <w:suppressAutoHyphens/>
        <w:rPr>
          <w:rFonts w:ascii="Times New Roman" w:hAnsi="Times New Roman"/>
          <w:b/>
          <w:i/>
          <w:szCs w:val="24"/>
        </w:rPr>
      </w:pPr>
      <w:r w:rsidRPr="00EC5FB1">
        <w:rPr>
          <w:rFonts w:ascii="Times New Roman" w:hAnsi="Times New Roman"/>
          <w:b/>
          <w:i/>
          <w:szCs w:val="24"/>
        </w:rPr>
        <w:t>•</w:t>
      </w:r>
      <w:r w:rsidRPr="00EC5FB1">
        <w:rPr>
          <w:rFonts w:ascii="Times New Roman" w:hAnsi="Times New Roman"/>
          <w:b/>
          <w:i/>
          <w:szCs w:val="24"/>
        </w:rPr>
        <w:tab/>
        <w:t>Annual Grand Total for three (3) forms: 4,870 hours</w:t>
      </w:r>
    </w:p>
    <w:p w:rsidR="00DE5A65" w:rsidRPr="00EC5FB1" w:rsidRDefault="00DE5A65" w:rsidP="00DE5A65">
      <w:pPr>
        <w:suppressAutoHyphens/>
        <w:rPr>
          <w:rFonts w:ascii="Times New Roman" w:hAnsi="Times New Roman"/>
          <w:b/>
          <w:i/>
          <w:szCs w:val="24"/>
        </w:rPr>
      </w:pPr>
      <w:r w:rsidRPr="00EC5FB1">
        <w:rPr>
          <w:rFonts w:ascii="Times New Roman" w:hAnsi="Times New Roman"/>
          <w:b/>
          <w:i/>
          <w:szCs w:val="24"/>
        </w:rPr>
        <w:t>•</w:t>
      </w:r>
      <w:r w:rsidRPr="00EC5FB1">
        <w:rPr>
          <w:rFonts w:ascii="Times New Roman" w:hAnsi="Times New Roman"/>
          <w:b/>
          <w:i/>
          <w:szCs w:val="24"/>
        </w:rPr>
        <w:tab/>
        <w:t>Annual Grand Total estimated cost to respondents for three (3) forms: $243,500</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EF7FF5">
        <w:rPr>
          <w:rFonts w:ascii="Times New Roman" w:hAnsi="Times New Roman"/>
          <w:szCs w:val="24"/>
        </w:rPr>
        <w:lastRenderedPageBreak/>
        <w:t>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3221CA" w:rsidRDefault="00386054" w:rsidP="00EC5FB1">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DE5A6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rsidR="00DE5A65" w:rsidRDefault="00DE5A65">
      <w:pPr>
        <w:tabs>
          <w:tab w:val="left" w:pos="-720"/>
        </w:tabs>
        <w:suppressAutoHyphens/>
        <w:rPr>
          <w:rFonts w:ascii="Times New Roman" w:hAnsi="Times New Roman"/>
          <w:szCs w:val="24"/>
        </w:rPr>
      </w:pPr>
    </w:p>
    <w:p w:rsidR="00DE5A65" w:rsidRPr="00EC5FB1" w:rsidRDefault="00DE5A65">
      <w:pPr>
        <w:tabs>
          <w:tab w:val="left" w:pos="-720"/>
        </w:tabs>
        <w:suppressAutoHyphens/>
        <w:rPr>
          <w:rFonts w:ascii="Times New Roman" w:hAnsi="Times New Roman"/>
          <w:i/>
          <w:szCs w:val="24"/>
        </w:rPr>
      </w:pPr>
      <w:r w:rsidRPr="00EC5FB1">
        <w:rPr>
          <w:rFonts w:ascii="Times New Roman" w:hAnsi="Times New Roman"/>
          <w:i/>
          <w:szCs w:val="24"/>
        </w:rPr>
        <w:t xml:space="preserve">There are no annualized costs requested.  There </w:t>
      </w:r>
      <w:proofErr w:type="gramStart"/>
      <w:r w:rsidRPr="00EC5FB1">
        <w:rPr>
          <w:rFonts w:ascii="Times New Roman" w:hAnsi="Times New Roman"/>
          <w:i/>
          <w:szCs w:val="24"/>
        </w:rPr>
        <w:t>are</w:t>
      </w:r>
      <w:proofErr w:type="gramEnd"/>
      <w:r w:rsidRPr="00EC5FB1">
        <w:rPr>
          <w:rFonts w:ascii="Times New Roman" w:hAnsi="Times New Roman"/>
          <w:i/>
          <w:szCs w:val="24"/>
        </w:rPr>
        <w:t xml:space="preserve"> no start-up costs associated with this request.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221CA" w:rsidRPr="00EC5FB1" w:rsidRDefault="003221CA" w:rsidP="003221CA">
      <w:pPr>
        <w:tabs>
          <w:tab w:val="left" w:pos="-720"/>
        </w:tabs>
        <w:suppressAutoHyphens/>
        <w:rPr>
          <w:rFonts w:ascii="Times New Roman" w:hAnsi="Times New Roman"/>
          <w:i/>
          <w:szCs w:val="24"/>
        </w:rPr>
      </w:pPr>
      <w:r w:rsidRPr="00EC5FB1">
        <w:rPr>
          <w:rFonts w:ascii="Times New Roman" w:hAnsi="Times New Roman"/>
          <w:i/>
          <w:szCs w:val="24"/>
        </w:rPr>
        <w:t>5% of three staff salaries</w:t>
      </w:r>
      <w:r w:rsidRPr="00EC5FB1">
        <w:rPr>
          <w:rFonts w:ascii="Times New Roman" w:hAnsi="Times New Roman"/>
          <w:i/>
          <w:szCs w:val="24"/>
        </w:rPr>
        <w:tab/>
      </w:r>
      <w:r w:rsidRPr="00EC5FB1">
        <w:rPr>
          <w:rFonts w:ascii="Times New Roman" w:hAnsi="Times New Roman"/>
          <w:i/>
          <w:szCs w:val="24"/>
        </w:rPr>
        <w:tab/>
      </w:r>
      <w:r w:rsidRPr="00EC5FB1">
        <w:rPr>
          <w:rFonts w:ascii="Times New Roman" w:hAnsi="Times New Roman"/>
          <w:i/>
          <w:szCs w:val="24"/>
        </w:rPr>
        <w:tab/>
        <w:t>$ 13,500</w:t>
      </w:r>
    </w:p>
    <w:p w:rsidR="003221CA" w:rsidRPr="00EC5FB1" w:rsidRDefault="003221CA" w:rsidP="003221CA">
      <w:pPr>
        <w:tabs>
          <w:tab w:val="left" w:pos="-720"/>
        </w:tabs>
        <w:suppressAutoHyphens/>
        <w:rPr>
          <w:rFonts w:ascii="Times New Roman" w:hAnsi="Times New Roman"/>
          <w:i/>
          <w:szCs w:val="24"/>
        </w:rPr>
      </w:pPr>
      <w:r w:rsidRPr="00EC5FB1">
        <w:rPr>
          <w:rFonts w:ascii="Times New Roman" w:hAnsi="Times New Roman"/>
          <w:i/>
          <w:szCs w:val="24"/>
        </w:rPr>
        <w:t xml:space="preserve">30% of overhead for support            </w:t>
      </w:r>
      <w:r w:rsidRPr="00EC5FB1">
        <w:rPr>
          <w:rFonts w:ascii="Times New Roman" w:hAnsi="Times New Roman"/>
          <w:i/>
          <w:szCs w:val="24"/>
        </w:rPr>
        <w:tab/>
      </w:r>
      <w:r w:rsidRPr="00EC5FB1">
        <w:rPr>
          <w:rFonts w:ascii="Times New Roman" w:hAnsi="Times New Roman"/>
          <w:i/>
          <w:szCs w:val="24"/>
        </w:rPr>
        <w:tab/>
        <w:t>$   3,000</w:t>
      </w:r>
    </w:p>
    <w:p w:rsidR="003221CA" w:rsidRPr="00EC5FB1" w:rsidRDefault="003221CA" w:rsidP="003221CA">
      <w:pPr>
        <w:tabs>
          <w:tab w:val="left" w:pos="-720"/>
        </w:tabs>
        <w:suppressAutoHyphens/>
        <w:rPr>
          <w:rFonts w:ascii="Times New Roman" w:hAnsi="Times New Roman"/>
          <w:i/>
          <w:szCs w:val="24"/>
        </w:rPr>
      </w:pPr>
      <w:r w:rsidRPr="00EC5FB1">
        <w:rPr>
          <w:rFonts w:ascii="Times New Roman" w:hAnsi="Times New Roman"/>
          <w:i/>
          <w:szCs w:val="24"/>
        </w:rPr>
        <w:t>Contractor personnel costs</w:t>
      </w:r>
      <w:r w:rsidRPr="00EC5FB1">
        <w:rPr>
          <w:rFonts w:ascii="Times New Roman" w:hAnsi="Times New Roman"/>
          <w:i/>
          <w:szCs w:val="24"/>
        </w:rPr>
        <w:tab/>
      </w:r>
      <w:r w:rsidRPr="00EC5FB1">
        <w:rPr>
          <w:rFonts w:ascii="Times New Roman" w:hAnsi="Times New Roman"/>
          <w:i/>
          <w:szCs w:val="24"/>
        </w:rPr>
        <w:tab/>
      </w:r>
      <w:r w:rsidRPr="00EC5FB1">
        <w:rPr>
          <w:rFonts w:ascii="Times New Roman" w:hAnsi="Times New Roman"/>
          <w:i/>
          <w:szCs w:val="24"/>
        </w:rPr>
        <w:tab/>
        <w:t>$ 60,000</w:t>
      </w:r>
    </w:p>
    <w:p w:rsidR="003221CA" w:rsidRPr="00EC5FB1" w:rsidRDefault="003221CA" w:rsidP="003221CA">
      <w:pPr>
        <w:tabs>
          <w:tab w:val="left" w:pos="-720"/>
        </w:tabs>
        <w:suppressAutoHyphens/>
        <w:rPr>
          <w:rFonts w:ascii="Times New Roman" w:hAnsi="Times New Roman"/>
          <w:i/>
          <w:szCs w:val="24"/>
        </w:rPr>
      </w:pPr>
    </w:p>
    <w:p w:rsidR="003221CA" w:rsidRPr="00EC5FB1" w:rsidRDefault="003221CA" w:rsidP="003221CA">
      <w:pPr>
        <w:tabs>
          <w:tab w:val="left" w:pos="-720"/>
        </w:tabs>
        <w:suppressAutoHyphens/>
        <w:rPr>
          <w:rFonts w:ascii="Times New Roman" w:hAnsi="Times New Roman"/>
          <w:i/>
          <w:szCs w:val="24"/>
        </w:rPr>
      </w:pPr>
      <w:r w:rsidRPr="00EC5FB1">
        <w:rPr>
          <w:rFonts w:ascii="Times New Roman" w:hAnsi="Times New Roman"/>
          <w:i/>
          <w:szCs w:val="24"/>
        </w:rPr>
        <w:t>Total cost of Contract and Department of Education staff/overhead.....$76,500</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xml:space="preserve">, type of collection (new, revision, extension, </w:t>
      </w:r>
      <w:r>
        <w:rPr>
          <w:rFonts w:ascii="Times New Roman" w:hAnsi="Times New Roman"/>
          <w:szCs w:val="24"/>
        </w:rPr>
        <w:lastRenderedPageBreak/>
        <w:t>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221CA" w:rsidRPr="00EF7FF5" w:rsidRDefault="003221CA">
      <w:pPr>
        <w:tabs>
          <w:tab w:val="left" w:pos="-720"/>
        </w:tabs>
        <w:suppressAutoHyphens/>
        <w:rPr>
          <w:rFonts w:ascii="Times New Roman" w:hAnsi="Times New Roman"/>
          <w:szCs w:val="24"/>
        </w:rPr>
      </w:pPr>
    </w:p>
    <w:p w:rsidR="00386054" w:rsidRPr="00EC5FB1" w:rsidRDefault="003221CA">
      <w:pPr>
        <w:tabs>
          <w:tab w:val="left" w:pos="-720"/>
        </w:tabs>
        <w:suppressAutoHyphens/>
        <w:rPr>
          <w:rFonts w:ascii="Times New Roman" w:hAnsi="Times New Roman"/>
          <w:i/>
          <w:szCs w:val="24"/>
        </w:rPr>
      </w:pPr>
      <w:r w:rsidRPr="00EC5FB1">
        <w:rPr>
          <w:rFonts w:ascii="Times New Roman" w:hAnsi="Times New Roman"/>
          <w:i/>
          <w:szCs w:val="24"/>
        </w:rPr>
        <w:t xml:space="preserve">This is a currently active collection.  The reduction in burden hours resulted from decreases in the number of respondents for all the programs.  Since 2010, we have not held new competitions for the Comprehensive or Special Focus Programs thus reducing the number of respondents.  Moreover, we are eliminating the annual report for the Congressionally-directed grants since it is unlikely that there will be Congressionally-directed grants in the future.  We made fewer Congressionally-directed grants in 2010 – only 147 – thus reducing the number of respondents.  The number hours for completing the report have remained the same.  The burden decrease resulted because of a decrease in respondents and because of the elimination of the Congressionally-Directed Annual report.  Therefore, the adjustment change reflects the reduced numbers of respondents.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C5FB1" w:rsidRDefault="003221CA">
      <w:pPr>
        <w:tabs>
          <w:tab w:val="left" w:pos="-720"/>
        </w:tabs>
        <w:suppressAutoHyphens/>
        <w:rPr>
          <w:rFonts w:ascii="Times New Roman" w:hAnsi="Times New Roman"/>
          <w:i/>
          <w:szCs w:val="24"/>
        </w:rPr>
      </w:pPr>
      <w:r w:rsidRPr="00EC5FB1">
        <w:rPr>
          <w:rFonts w:ascii="Times New Roman" w:hAnsi="Times New Roman"/>
          <w:i/>
          <w:szCs w:val="24"/>
        </w:rPr>
        <w:t>The findings and results obtained from this collection will be based on self-reported information and on inferences and conclusions drawn across all of the funded projects.  Selected information is available on the FIPSE web site: http://www2.ed.gov/about/offices/list/ope/fipse/index.html.</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C5FB1" w:rsidRDefault="003221CA">
      <w:pPr>
        <w:tabs>
          <w:tab w:val="left" w:pos="-720"/>
        </w:tabs>
        <w:suppressAutoHyphens/>
        <w:rPr>
          <w:rFonts w:ascii="Times New Roman" w:hAnsi="Times New Roman"/>
          <w:i/>
          <w:szCs w:val="24"/>
        </w:rPr>
      </w:pPr>
      <w:r>
        <w:rPr>
          <w:rFonts w:ascii="Times New Roman" w:hAnsi="Times New Roman"/>
          <w:i/>
          <w:szCs w:val="24"/>
        </w:rPr>
        <w:t xml:space="preserve">We will display the expiration date for OMB approval of the collection.  </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3221CA" w:rsidRDefault="003221CA">
      <w:pPr>
        <w:tabs>
          <w:tab w:val="left" w:pos="-720"/>
        </w:tabs>
        <w:suppressAutoHyphens/>
        <w:rPr>
          <w:rStyle w:val="a"/>
          <w:rFonts w:ascii="Times New Roman" w:hAnsi="Times New Roman"/>
          <w:szCs w:val="24"/>
        </w:rPr>
      </w:pPr>
    </w:p>
    <w:p w:rsidR="003221CA" w:rsidRPr="00EC5FB1" w:rsidRDefault="003221CA">
      <w:pPr>
        <w:tabs>
          <w:tab w:val="left" w:pos="-720"/>
        </w:tabs>
        <w:suppressAutoHyphens/>
        <w:rPr>
          <w:rFonts w:ascii="Times New Roman" w:hAnsi="Times New Roman"/>
          <w:i/>
          <w:szCs w:val="24"/>
        </w:rPr>
      </w:pPr>
      <w:r>
        <w:rPr>
          <w:rStyle w:val="a"/>
          <w:rFonts w:ascii="Times New Roman" w:hAnsi="Times New Roman"/>
          <w:i/>
          <w:szCs w:val="24"/>
        </w:rPr>
        <w:t xml:space="preserve">We are not requesting any exceptions.  </w:t>
      </w:r>
    </w:p>
    <w:sectPr w:rsidR="003221CA" w:rsidRPr="00EC5FB1" w:rsidSect="00E0729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23D" w:rsidRDefault="003C623D">
      <w:pPr>
        <w:spacing w:line="20" w:lineRule="exact"/>
      </w:pPr>
    </w:p>
  </w:endnote>
  <w:endnote w:type="continuationSeparator" w:id="0">
    <w:p w:rsidR="003C623D" w:rsidRDefault="003C623D">
      <w:r>
        <w:t xml:space="preserve"> </w:t>
      </w:r>
    </w:p>
  </w:endnote>
  <w:endnote w:type="continuationNotice" w:id="1">
    <w:p w:rsidR="003C623D" w:rsidRDefault="003C623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A65" w:rsidRDefault="00DE5A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A65" w:rsidRDefault="00DE5A65">
    <w:pPr>
      <w:spacing w:before="140" w:line="100" w:lineRule="exact"/>
      <w:rPr>
        <w:sz w:val="10"/>
      </w:rPr>
    </w:pPr>
  </w:p>
  <w:p w:rsidR="00DE5A65" w:rsidRDefault="00DE5A65">
    <w:pPr>
      <w:tabs>
        <w:tab w:val="left" w:pos="0"/>
      </w:tabs>
      <w:suppressAutoHyphens/>
    </w:pPr>
  </w:p>
  <w:p w:rsidR="00DE5A65" w:rsidRDefault="00DE5A65">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E5A65" w:rsidRDefault="00DE5A65">
                          <w:pPr>
                            <w:tabs>
                              <w:tab w:val="center" w:pos="4650"/>
                            </w:tabs>
                            <w:suppressAutoHyphens/>
                            <w:jc w:val="both"/>
                          </w:pPr>
                          <w:r>
                            <w:tab/>
                          </w:r>
                          <w:r>
                            <w:fldChar w:fldCharType="begin"/>
                          </w:r>
                          <w:r>
                            <w:instrText>page \* arabic</w:instrText>
                          </w:r>
                          <w:r>
                            <w:fldChar w:fldCharType="separate"/>
                          </w:r>
                          <w:r w:rsidR="00EC5FB1">
                            <w:rPr>
                              <w:noProof/>
                            </w:rPr>
                            <w:t>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DE5A65" w:rsidRDefault="00DE5A65">
                    <w:pPr>
                      <w:tabs>
                        <w:tab w:val="center" w:pos="4650"/>
                      </w:tabs>
                      <w:suppressAutoHyphens/>
                      <w:jc w:val="both"/>
                    </w:pPr>
                    <w:r>
                      <w:tab/>
                    </w:r>
                    <w:r>
                      <w:fldChar w:fldCharType="begin"/>
                    </w:r>
                    <w:r>
                      <w:instrText>page \* arabic</w:instrText>
                    </w:r>
                    <w:r>
                      <w:fldChar w:fldCharType="separate"/>
                    </w:r>
                    <w:r w:rsidR="00EC5FB1">
                      <w:rPr>
                        <w:noProof/>
                      </w:rPr>
                      <w:t>8</w:t>
                    </w:r>
                    <w:r>
                      <w:rPr>
                        <w:noProof/>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A65" w:rsidRDefault="00DE5A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23D" w:rsidRDefault="003C623D">
      <w:r>
        <w:separator/>
      </w:r>
    </w:p>
  </w:footnote>
  <w:footnote w:type="continuationSeparator" w:id="0">
    <w:p w:rsidR="003C623D" w:rsidRDefault="003C623D">
      <w:r>
        <w:continuationSeparator/>
      </w:r>
    </w:p>
  </w:footnote>
  <w:footnote w:id="1">
    <w:p w:rsidR="00DE5A65" w:rsidRDefault="00DE5A65">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DE5A65" w:rsidRDefault="00DE5A65">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A65" w:rsidRDefault="00DE5A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A65" w:rsidRDefault="00DE5A65">
    <w:pPr>
      <w:pStyle w:val="Header"/>
      <w:rPr>
        <w:rFonts w:ascii="Times New Roman" w:hAnsi="Times New Roman"/>
        <w:sz w:val="20"/>
      </w:rPr>
    </w:pPr>
    <w:r>
      <w:rPr>
        <w:rFonts w:ascii="Times New Roman" w:hAnsi="Times New Roman"/>
        <w:sz w:val="20"/>
      </w:rPr>
      <w:t>EDICS Tracking and OMB Number: (XXXX) 1840-0793                                         Revised: XX/XX/XXXX</w:t>
    </w:r>
  </w:p>
  <w:p w:rsidR="00DE5A65" w:rsidRPr="00386054" w:rsidRDefault="00DE5A65">
    <w:pPr>
      <w:pStyle w:val="Header"/>
      <w:rPr>
        <w:rFonts w:ascii="Times New Roman" w:hAnsi="Times New Roman"/>
        <w:sz w:val="20"/>
      </w:rPr>
    </w:pPr>
    <w:r>
      <w:rPr>
        <w:rFonts w:ascii="Times New Roman" w:hAnsi="Times New Roman"/>
        <w:sz w:val="20"/>
      </w:rPr>
      <w:t>RIN Number: XXXX-XXXX (if applicable)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A65" w:rsidRDefault="00DE5A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53F20"/>
    <w:rsid w:val="001743A5"/>
    <w:rsid w:val="0017784E"/>
    <w:rsid w:val="0018279C"/>
    <w:rsid w:val="002473CE"/>
    <w:rsid w:val="00251768"/>
    <w:rsid w:val="002B0412"/>
    <w:rsid w:val="002B0A95"/>
    <w:rsid w:val="003221CA"/>
    <w:rsid w:val="00386054"/>
    <w:rsid w:val="003C29C2"/>
    <w:rsid w:val="003C623D"/>
    <w:rsid w:val="003C7F70"/>
    <w:rsid w:val="003E285A"/>
    <w:rsid w:val="004A2DBB"/>
    <w:rsid w:val="004E23D9"/>
    <w:rsid w:val="004F692A"/>
    <w:rsid w:val="00512598"/>
    <w:rsid w:val="00563CCF"/>
    <w:rsid w:val="005A1566"/>
    <w:rsid w:val="005A1DFC"/>
    <w:rsid w:val="005A4185"/>
    <w:rsid w:val="005D2E7B"/>
    <w:rsid w:val="0063484C"/>
    <w:rsid w:val="00654305"/>
    <w:rsid w:val="006737C0"/>
    <w:rsid w:val="00677BC2"/>
    <w:rsid w:val="006A3B5C"/>
    <w:rsid w:val="006C01D0"/>
    <w:rsid w:val="007661D9"/>
    <w:rsid w:val="007B14E8"/>
    <w:rsid w:val="007C12B5"/>
    <w:rsid w:val="007E77FA"/>
    <w:rsid w:val="008011B6"/>
    <w:rsid w:val="008F3062"/>
    <w:rsid w:val="00921CB1"/>
    <w:rsid w:val="009544A3"/>
    <w:rsid w:val="009949A8"/>
    <w:rsid w:val="00A01331"/>
    <w:rsid w:val="00A306E8"/>
    <w:rsid w:val="00A41F2C"/>
    <w:rsid w:val="00A87940"/>
    <w:rsid w:val="00A94CCB"/>
    <w:rsid w:val="00AB0D7D"/>
    <w:rsid w:val="00B23EC0"/>
    <w:rsid w:val="00BC244F"/>
    <w:rsid w:val="00BD1325"/>
    <w:rsid w:val="00C1299D"/>
    <w:rsid w:val="00C641E9"/>
    <w:rsid w:val="00C723C2"/>
    <w:rsid w:val="00CB6644"/>
    <w:rsid w:val="00CB6E41"/>
    <w:rsid w:val="00CE72AF"/>
    <w:rsid w:val="00D115BF"/>
    <w:rsid w:val="00D269C3"/>
    <w:rsid w:val="00DE5A65"/>
    <w:rsid w:val="00E023B7"/>
    <w:rsid w:val="00E07290"/>
    <w:rsid w:val="00EA3C1F"/>
    <w:rsid w:val="00EC2CC4"/>
    <w:rsid w:val="00EC5FB1"/>
    <w:rsid w:val="00EF7FF5"/>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3221CA"/>
    <w:pPr>
      <w:keepNext/>
      <w:tabs>
        <w:tab w:val="left" w:pos="-720"/>
      </w:tabs>
      <w:suppressAutoHyphen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221CA"/>
    <w:rPr>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3221CA"/>
    <w:pPr>
      <w:keepNext/>
      <w:tabs>
        <w:tab w:val="left" w:pos="-720"/>
      </w:tabs>
      <w:suppressAutoHyphen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221CA"/>
    <w:rPr>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E912B-6A1F-44E0-919A-11556F70A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3145</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Dept. of Education</cp:lastModifiedBy>
  <cp:revision>2</cp:revision>
  <cp:lastPrinted>2010-08-23T18:41:00Z</cp:lastPrinted>
  <dcterms:created xsi:type="dcterms:W3CDTF">2013-08-08T14:42:00Z</dcterms:created>
  <dcterms:modified xsi:type="dcterms:W3CDTF">2013-08-08T14:42:00Z</dcterms:modified>
</cp:coreProperties>
</file>