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C9" w:rsidRPr="001D2BAF" w:rsidRDefault="006C1CC9" w:rsidP="006C1CC9">
      <w:pPr>
        <w:spacing w:after="0" w:line="240" w:lineRule="auto"/>
        <w:jc w:val="center"/>
        <w:rPr>
          <w:rFonts w:ascii="Times New Roman" w:hAnsi="Times New Roman"/>
          <w:b/>
          <w:sz w:val="24"/>
          <w:szCs w:val="24"/>
        </w:rPr>
      </w:pPr>
      <w:r w:rsidRPr="001D2BAF">
        <w:rPr>
          <w:rFonts w:ascii="Times New Roman" w:hAnsi="Times New Roman"/>
          <w:b/>
          <w:sz w:val="24"/>
          <w:szCs w:val="24"/>
        </w:rPr>
        <w:t>Department of the Treasury</w:t>
      </w:r>
    </w:p>
    <w:p w:rsidR="006C1CC9" w:rsidRPr="001D2BAF" w:rsidRDefault="006C1CC9" w:rsidP="006C1CC9">
      <w:pPr>
        <w:spacing w:after="0" w:line="240" w:lineRule="auto"/>
        <w:jc w:val="center"/>
        <w:rPr>
          <w:rFonts w:ascii="Times New Roman" w:hAnsi="Times New Roman"/>
          <w:b/>
          <w:sz w:val="24"/>
          <w:szCs w:val="24"/>
        </w:rPr>
      </w:pPr>
      <w:r w:rsidRPr="001D2BAF">
        <w:rPr>
          <w:rFonts w:ascii="Times New Roman" w:hAnsi="Times New Roman"/>
          <w:b/>
          <w:sz w:val="24"/>
          <w:szCs w:val="24"/>
        </w:rPr>
        <w:t>Bureau of Engraving and Printing</w:t>
      </w:r>
    </w:p>
    <w:p w:rsidR="001A0CE7" w:rsidRPr="001D2BAF" w:rsidRDefault="009F0F65" w:rsidP="009F0F65">
      <w:pPr>
        <w:spacing w:after="0" w:line="240" w:lineRule="auto"/>
        <w:jc w:val="center"/>
        <w:rPr>
          <w:rFonts w:ascii="Times New Roman" w:hAnsi="Times New Roman"/>
          <w:b/>
          <w:sz w:val="24"/>
          <w:szCs w:val="24"/>
        </w:rPr>
      </w:pPr>
      <w:r w:rsidRPr="001D2BAF">
        <w:rPr>
          <w:rFonts w:ascii="Times New Roman" w:hAnsi="Times New Roman"/>
          <w:b/>
          <w:sz w:val="24"/>
          <w:szCs w:val="24"/>
        </w:rPr>
        <w:t xml:space="preserve">Request for </w:t>
      </w:r>
      <w:r w:rsidR="004A2CC7" w:rsidRPr="001D2BAF">
        <w:rPr>
          <w:rFonts w:ascii="Times New Roman" w:hAnsi="Times New Roman"/>
          <w:b/>
          <w:sz w:val="24"/>
          <w:szCs w:val="24"/>
        </w:rPr>
        <w:t xml:space="preserve">OMB Approval of </w:t>
      </w:r>
      <w:r w:rsidR="00923D38">
        <w:rPr>
          <w:rFonts w:ascii="Times New Roman" w:hAnsi="Times New Roman"/>
          <w:b/>
          <w:sz w:val="24"/>
          <w:szCs w:val="24"/>
        </w:rPr>
        <w:t>an Information Collection</w:t>
      </w:r>
      <w:r w:rsidR="004A2CC7" w:rsidRPr="001D2BAF">
        <w:rPr>
          <w:rFonts w:ascii="Times New Roman" w:hAnsi="Times New Roman"/>
          <w:b/>
          <w:sz w:val="24"/>
          <w:szCs w:val="24"/>
        </w:rPr>
        <w:t xml:space="preserve"> </w:t>
      </w:r>
    </w:p>
    <w:p w:rsidR="001A0CE7" w:rsidRPr="001D2BAF" w:rsidRDefault="00D87061" w:rsidP="009F0F65">
      <w:pPr>
        <w:spacing w:after="0" w:line="240" w:lineRule="auto"/>
        <w:jc w:val="center"/>
        <w:rPr>
          <w:rFonts w:ascii="Times New Roman" w:hAnsi="Times New Roman"/>
          <w:b/>
          <w:sz w:val="24"/>
          <w:szCs w:val="24"/>
        </w:rPr>
      </w:pPr>
      <w:proofErr w:type="gramStart"/>
      <w:r>
        <w:rPr>
          <w:rFonts w:ascii="Times New Roman" w:hAnsi="Times New Roman"/>
          <w:b/>
          <w:sz w:val="24"/>
          <w:szCs w:val="24"/>
        </w:rPr>
        <w:t>for</w:t>
      </w:r>
      <w:proofErr w:type="gramEnd"/>
      <w:r>
        <w:rPr>
          <w:rFonts w:ascii="Times New Roman" w:hAnsi="Times New Roman"/>
          <w:b/>
          <w:sz w:val="24"/>
          <w:szCs w:val="24"/>
        </w:rPr>
        <w:t xml:space="preserve"> Conducting Acuity/Perception Studies</w:t>
      </w:r>
      <w:r w:rsidR="001A0CE7" w:rsidRPr="001D2BAF">
        <w:rPr>
          <w:rFonts w:ascii="Times New Roman" w:hAnsi="Times New Roman"/>
          <w:b/>
          <w:sz w:val="24"/>
          <w:szCs w:val="24"/>
        </w:rPr>
        <w:t xml:space="preserve"> </w:t>
      </w:r>
    </w:p>
    <w:p w:rsidR="00B4378D" w:rsidRPr="001D2BAF" w:rsidRDefault="00B4378D" w:rsidP="009F0F65">
      <w:pPr>
        <w:spacing w:after="0" w:line="240" w:lineRule="auto"/>
        <w:jc w:val="center"/>
        <w:rPr>
          <w:rFonts w:ascii="Times New Roman" w:hAnsi="Times New Roman"/>
          <w:b/>
          <w:sz w:val="24"/>
          <w:szCs w:val="24"/>
        </w:rPr>
      </w:pPr>
    </w:p>
    <w:p w:rsidR="009F0F65" w:rsidRPr="001D2BAF" w:rsidRDefault="00B4378D" w:rsidP="009F0F65">
      <w:pPr>
        <w:spacing w:after="0" w:line="240" w:lineRule="auto"/>
        <w:jc w:val="center"/>
        <w:rPr>
          <w:rFonts w:ascii="Times New Roman" w:hAnsi="Times New Roman"/>
          <w:b/>
          <w:sz w:val="24"/>
          <w:szCs w:val="24"/>
          <w:u w:val="single"/>
        </w:rPr>
      </w:pPr>
      <w:r w:rsidRPr="001D2BAF">
        <w:rPr>
          <w:rFonts w:ascii="Times New Roman" w:hAnsi="Times New Roman"/>
          <w:b/>
          <w:sz w:val="24"/>
          <w:szCs w:val="24"/>
          <w:u w:val="single"/>
        </w:rPr>
        <w:t>SUPPORTING STATEMENT</w:t>
      </w:r>
    </w:p>
    <w:p w:rsidR="009F0F65" w:rsidRPr="001D2BAF" w:rsidRDefault="009F0F65" w:rsidP="009F0F65">
      <w:pPr>
        <w:spacing w:after="0" w:line="240" w:lineRule="auto"/>
        <w:rPr>
          <w:rFonts w:ascii="Times New Roman" w:hAnsi="Times New Roman"/>
          <w:b/>
          <w:sz w:val="24"/>
          <w:szCs w:val="24"/>
        </w:rPr>
      </w:pPr>
    </w:p>
    <w:p w:rsidR="006C1CC9" w:rsidRPr="001D2BAF" w:rsidRDefault="006C1CC9" w:rsidP="006C1CC9">
      <w:pPr>
        <w:spacing w:after="0" w:line="240" w:lineRule="auto"/>
        <w:rPr>
          <w:rFonts w:ascii="Times New Roman" w:hAnsi="Times New Roman"/>
          <w:b/>
          <w:sz w:val="24"/>
          <w:szCs w:val="24"/>
        </w:rPr>
      </w:pPr>
      <w:r w:rsidRPr="001D2BAF">
        <w:rPr>
          <w:rFonts w:ascii="Times New Roman" w:hAnsi="Times New Roman"/>
          <w:b/>
          <w:sz w:val="24"/>
          <w:szCs w:val="24"/>
        </w:rPr>
        <w:t>A.</w:t>
      </w:r>
      <w:r w:rsidRPr="001D2BAF">
        <w:rPr>
          <w:rFonts w:ascii="Times New Roman" w:hAnsi="Times New Roman"/>
          <w:b/>
          <w:sz w:val="24"/>
          <w:szCs w:val="24"/>
        </w:rPr>
        <w:tab/>
        <w:t>JUSTIFICATION</w:t>
      </w: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6C1CC9">
      <w:pPr>
        <w:pStyle w:val="ColorfulList-Accent11"/>
        <w:numPr>
          <w:ilvl w:val="0"/>
          <w:numId w:val="4"/>
        </w:numPr>
        <w:spacing w:after="0" w:line="240" w:lineRule="auto"/>
        <w:rPr>
          <w:rFonts w:ascii="Times New Roman" w:hAnsi="Times New Roman"/>
          <w:sz w:val="24"/>
          <w:szCs w:val="24"/>
        </w:rPr>
      </w:pPr>
      <w:r w:rsidRPr="001D2BAF">
        <w:rPr>
          <w:rFonts w:ascii="Times New Roman" w:hAnsi="Times New Roman"/>
          <w:b/>
          <w:sz w:val="24"/>
          <w:szCs w:val="24"/>
        </w:rPr>
        <w:t xml:space="preserve">Circumstances Necessitating the Data Collection </w:t>
      </w:r>
    </w:p>
    <w:p w:rsidR="006C1CC9" w:rsidRPr="001D2BAF" w:rsidRDefault="006C1CC9" w:rsidP="006C1CC9">
      <w:pPr>
        <w:spacing w:after="0" w:line="240" w:lineRule="auto"/>
        <w:ind w:firstLine="720"/>
        <w:rPr>
          <w:rFonts w:ascii="Times New Roman" w:hAnsi="Times New Roman"/>
          <w:sz w:val="24"/>
          <w:szCs w:val="24"/>
        </w:rPr>
      </w:pPr>
    </w:p>
    <w:p w:rsidR="00587BA4" w:rsidRPr="00A86FCA" w:rsidRDefault="00587BA4" w:rsidP="00A86FCA">
      <w:pPr>
        <w:spacing w:after="240"/>
        <w:ind w:firstLine="720"/>
        <w:jc w:val="both"/>
        <w:rPr>
          <w:rFonts w:ascii="Times New Roman" w:hAnsi="Times New Roman"/>
          <w:sz w:val="24"/>
          <w:szCs w:val="24"/>
        </w:rPr>
      </w:pPr>
      <w:r w:rsidRPr="00A86FCA">
        <w:rPr>
          <w:rFonts w:ascii="Times New Roman" w:hAnsi="Times New Roman"/>
          <w:sz w:val="24"/>
          <w:szCs w:val="24"/>
        </w:rPr>
        <w:t xml:space="preserve">In May of 2002, the American Council of the Blind, a national advocacy group representing the blind and visually impaired community, and two visually impaired individuals, brought suit against the Secretary of the Treasury alleging that the Secretary of the Treasury was in violation of Section 504 of the Rehabilitation Act, 29 U.S.C. § 794 (“the Act”), for his failure to “take[] any [] meaningful action to facilitate denomination [of U.S. currency] for individuals with blindness or low vision.”  </w:t>
      </w:r>
    </w:p>
    <w:p w:rsidR="006C1CC9" w:rsidRPr="00594B7D" w:rsidRDefault="00587BA4" w:rsidP="00A86FCA">
      <w:pPr>
        <w:spacing w:after="240"/>
        <w:ind w:firstLine="720"/>
        <w:jc w:val="both"/>
        <w:rPr>
          <w:rFonts w:ascii="Times New Roman" w:hAnsi="Times New Roman"/>
          <w:sz w:val="24"/>
          <w:szCs w:val="24"/>
        </w:rPr>
      </w:pPr>
      <w:r w:rsidRPr="00A86FCA">
        <w:rPr>
          <w:rFonts w:ascii="Times New Roman" w:hAnsi="Times New Roman"/>
          <w:sz w:val="24"/>
          <w:szCs w:val="24"/>
        </w:rPr>
        <w:t xml:space="preserve">On October 3, 2008, the United States District Court for the District of Columbia issued its ruling in </w:t>
      </w:r>
      <w:r w:rsidRPr="000378A9">
        <w:rPr>
          <w:rFonts w:ascii="Times New Roman" w:hAnsi="Times New Roman"/>
          <w:sz w:val="24"/>
          <w:szCs w:val="24"/>
        </w:rPr>
        <w:t>American Council of the Blind v. Paulson,</w:t>
      </w:r>
      <w:r w:rsidRPr="00594B7D">
        <w:rPr>
          <w:rFonts w:ascii="Times New Roman" w:hAnsi="Times New Roman"/>
          <w:sz w:val="24"/>
          <w:szCs w:val="24"/>
        </w:rPr>
        <w:t xml:space="preserve"> </w:t>
      </w:r>
      <w:r w:rsidR="006C1CC9" w:rsidRPr="00594B7D">
        <w:rPr>
          <w:rFonts w:ascii="Times New Roman" w:hAnsi="Times New Roman"/>
          <w:sz w:val="24"/>
          <w:szCs w:val="24"/>
        </w:rPr>
        <w:t xml:space="preserve">591 F. Supp. 2d 1 (D.D.C. 2008), </w:t>
      </w:r>
      <w:r w:rsidRPr="00A86FCA">
        <w:rPr>
          <w:rFonts w:ascii="Times New Roman" w:hAnsi="Times New Roman"/>
          <w:sz w:val="24"/>
          <w:szCs w:val="24"/>
        </w:rPr>
        <w:t xml:space="preserve">holding that the Defendant “violated Section 504 of the Rehabilitation Act,” and requiring </w:t>
      </w:r>
      <w:r w:rsidR="006C1CC9" w:rsidRPr="00594B7D">
        <w:rPr>
          <w:rFonts w:ascii="Times New Roman" w:hAnsi="Times New Roman"/>
          <w:sz w:val="24"/>
          <w:szCs w:val="24"/>
        </w:rPr>
        <w:t>the Department of the Treasury to “</w:t>
      </w:r>
      <w:r w:rsidRPr="00A86FCA">
        <w:rPr>
          <w:rFonts w:ascii="Times New Roman" w:hAnsi="Times New Roman"/>
          <w:sz w:val="24"/>
          <w:szCs w:val="24"/>
        </w:rPr>
        <w:t xml:space="preserve">take such steps as may be required to </w:t>
      </w:r>
      <w:r w:rsidR="006C1CC9" w:rsidRPr="00594B7D">
        <w:rPr>
          <w:rFonts w:ascii="Times New Roman" w:hAnsi="Times New Roman"/>
          <w:sz w:val="24"/>
          <w:szCs w:val="24"/>
        </w:rPr>
        <w:t xml:space="preserve">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 . . .”  </w:t>
      </w:r>
      <w:r w:rsidR="006C1CC9" w:rsidRPr="00A86FCA">
        <w:rPr>
          <w:rFonts w:ascii="Times New Roman" w:hAnsi="Times New Roman"/>
          <w:sz w:val="24"/>
          <w:szCs w:val="24"/>
        </w:rPr>
        <w:t>Id.</w:t>
      </w:r>
      <w:r w:rsidR="006C1CC9" w:rsidRPr="00594B7D">
        <w:rPr>
          <w:rFonts w:ascii="Times New Roman" w:hAnsi="Times New Roman"/>
          <w:sz w:val="24"/>
          <w:szCs w:val="24"/>
        </w:rPr>
        <w:t xml:space="preserve">  </w:t>
      </w:r>
      <w:r w:rsidR="006C1CC9" w:rsidRPr="00A86FCA">
        <w:rPr>
          <w:rFonts w:ascii="Times New Roman" w:hAnsi="Times New Roman"/>
          <w:sz w:val="24"/>
          <w:szCs w:val="24"/>
        </w:rPr>
        <w:t>See</w:t>
      </w:r>
      <w:r w:rsidR="006C1CC9" w:rsidRPr="00594B7D">
        <w:rPr>
          <w:rFonts w:ascii="Times New Roman" w:hAnsi="Times New Roman"/>
          <w:sz w:val="24"/>
          <w:szCs w:val="24"/>
        </w:rPr>
        <w:t xml:space="preserve"> </w:t>
      </w:r>
      <w:r w:rsidR="00C519AE" w:rsidRPr="00594B7D">
        <w:rPr>
          <w:rFonts w:ascii="Times New Roman" w:hAnsi="Times New Roman"/>
          <w:sz w:val="24"/>
          <w:szCs w:val="24"/>
        </w:rPr>
        <w:t xml:space="preserve">Order, </w:t>
      </w:r>
      <w:r w:rsidR="006C1CC9" w:rsidRPr="00594B7D">
        <w:rPr>
          <w:rFonts w:ascii="Times New Roman" w:hAnsi="Times New Roman"/>
          <w:sz w:val="24"/>
          <w:szCs w:val="24"/>
        </w:rPr>
        <w:t xml:space="preserve">Attach. </w:t>
      </w:r>
      <w:proofErr w:type="gramStart"/>
      <w:r w:rsidR="009930ED" w:rsidRPr="00594B7D">
        <w:rPr>
          <w:rFonts w:ascii="Times New Roman" w:hAnsi="Times New Roman"/>
          <w:sz w:val="24"/>
          <w:szCs w:val="24"/>
        </w:rPr>
        <w:t>1</w:t>
      </w:r>
      <w:r w:rsidR="00515044" w:rsidRPr="00594B7D">
        <w:rPr>
          <w:rFonts w:ascii="Times New Roman" w:hAnsi="Times New Roman"/>
          <w:sz w:val="24"/>
          <w:szCs w:val="24"/>
        </w:rPr>
        <w:t xml:space="preserve"> at 1</w:t>
      </w:r>
      <w:r w:rsidR="006C1CC9" w:rsidRPr="00594B7D">
        <w:rPr>
          <w:rFonts w:ascii="Times New Roman" w:hAnsi="Times New Roman"/>
          <w:sz w:val="24"/>
          <w:szCs w:val="24"/>
        </w:rPr>
        <w:t>.</w:t>
      </w:r>
      <w:proofErr w:type="gramEnd"/>
      <w:r w:rsidR="00F25DE9" w:rsidRPr="00594B7D">
        <w:rPr>
          <w:rFonts w:ascii="Times New Roman" w:hAnsi="Times New Roman"/>
          <w:sz w:val="24"/>
          <w:szCs w:val="24"/>
        </w:rPr>
        <w:t xml:space="preserve">  The Department is also obligated to “file periodic status reports describing the steps taken to implement this Order and Judgment.”  </w:t>
      </w:r>
      <w:r w:rsidR="006C0292" w:rsidRPr="00A86FCA">
        <w:rPr>
          <w:rFonts w:ascii="Times New Roman" w:hAnsi="Times New Roman"/>
          <w:sz w:val="24"/>
          <w:szCs w:val="24"/>
        </w:rPr>
        <w:t>Id.</w:t>
      </w:r>
      <w:r w:rsidR="00F25DE9" w:rsidRPr="00594B7D">
        <w:rPr>
          <w:rFonts w:ascii="Times New Roman" w:hAnsi="Times New Roman"/>
          <w:sz w:val="24"/>
          <w:szCs w:val="24"/>
        </w:rPr>
        <w:t xml:space="preserve">  Under terms of the Order, the Department must file status reports every six months until it has fully complied with the Order. </w:t>
      </w:r>
    </w:p>
    <w:p w:rsidR="00675D7C" w:rsidRPr="00A86FCA" w:rsidRDefault="00675D7C" w:rsidP="00CC76BF">
      <w:pPr>
        <w:spacing w:after="240"/>
        <w:ind w:firstLine="720"/>
        <w:jc w:val="both"/>
        <w:rPr>
          <w:rFonts w:ascii="Times New Roman" w:hAnsi="Times New Roman"/>
          <w:sz w:val="24"/>
          <w:szCs w:val="24"/>
        </w:rPr>
      </w:pPr>
      <w:r w:rsidRPr="00AB6C08">
        <w:rPr>
          <w:rFonts w:ascii="Times New Roman" w:hAnsi="Times New Roman"/>
          <w:sz w:val="24"/>
          <w:szCs w:val="24"/>
        </w:rPr>
        <w:t>In January 2008, even before the Court issued its October 3 ruling, BEP commissioned a comprehensive study to: (1) review and</w:t>
      </w:r>
      <w:r w:rsidRPr="00737228">
        <w:rPr>
          <w:rFonts w:ascii="Times New Roman" w:hAnsi="Times New Roman"/>
          <w:sz w:val="24"/>
          <w:szCs w:val="24"/>
        </w:rPr>
        <w:t xml:space="preserve"> analyze the needs of the blind and visually impaired community; (2) examine methods that could potentially improve access to the currency; (3) perform a cost impact analysis of the possible accommodations on various government and </w:t>
      </w:r>
      <w:proofErr w:type="gramStart"/>
      <w:r w:rsidRPr="00737228">
        <w:rPr>
          <w:rFonts w:ascii="Times New Roman" w:hAnsi="Times New Roman"/>
          <w:sz w:val="24"/>
          <w:szCs w:val="24"/>
        </w:rPr>
        <w:t>industry</w:t>
      </w:r>
      <w:proofErr w:type="gramEnd"/>
      <w:r w:rsidRPr="00737228">
        <w:rPr>
          <w:rFonts w:ascii="Times New Roman" w:hAnsi="Times New Roman"/>
          <w:sz w:val="24"/>
          <w:szCs w:val="24"/>
        </w:rPr>
        <w:t xml:space="preserve"> sectors; and (4) provide a decision model whereby BEP could compare and contrast various accommodations.  BEP received the results of the study in July of 2009.</w:t>
      </w:r>
      <w:r w:rsidRPr="00A86FCA">
        <w:rPr>
          <w:rFonts w:ascii="Times New Roman" w:hAnsi="Times New Roman"/>
          <w:sz w:val="24"/>
          <w:szCs w:val="24"/>
        </w:rPr>
        <w:t xml:space="preserve">  </w:t>
      </w:r>
      <w:r w:rsidRPr="00A86FCA">
        <w:rPr>
          <w:rFonts w:ascii="Times New Roman" w:hAnsi="Times New Roman"/>
          <w:i/>
          <w:sz w:val="24"/>
          <w:szCs w:val="24"/>
        </w:rPr>
        <w:t>See</w:t>
      </w:r>
      <w:r w:rsidRPr="00A86FCA">
        <w:rPr>
          <w:rFonts w:ascii="Times New Roman" w:hAnsi="Times New Roman"/>
          <w:sz w:val="24"/>
          <w:szCs w:val="24"/>
        </w:rPr>
        <w:t xml:space="preserve"> </w:t>
      </w:r>
      <w:r w:rsidRPr="00A86FCA">
        <w:rPr>
          <w:rFonts w:ascii="Times New Roman" w:hAnsi="Times New Roman"/>
          <w:smallCaps/>
          <w:sz w:val="24"/>
          <w:szCs w:val="24"/>
        </w:rPr>
        <w:t>Final Report:  Study to Address Options for Enabling the Blind and Visually Impaired Community to Denominate U.S. Currency</w:t>
      </w:r>
      <w:r w:rsidRPr="00A86FCA">
        <w:rPr>
          <w:rFonts w:ascii="Times New Roman" w:hAnsi="Times New Roman"/>
          <w:sz w:val="24"/>
          <w:szCs w:val="24"/>
        </w:rPr>
        <w:t xml:space="preserve"> (July 2009) (“ARINC Study”), </w:t>
      </w:r>
      <w:hyperlink r:id="rId9" w:history="1">
        <w:r w:rsidRPr="00A86FCA">
          <w:rPr>
            <w:rStyle w:val="Hyperlink"/>
            <w:rFonts w:ascii="Times New Roman" w:hAnsi="Times New Roman"/>
            <w:sz w:val="24"/>
            <w:szCs w:val="24"/>
          </w:rPr>
          <w:t>http://www.moneyfactory.gov/images/ARINC_Final_Report_7-26-09.pdf</w:t>
        </w:r>
      </w:hyperlink>
      <w:r w:rsidRPr="00A86FCA">
        <w:rPr>
          <w:rFonts w:ascii="Times New Roman" w:hAnsi="Times New Roman"/>
          <w:sz w:val="24"/>
          <w:szCs w:val="24"/>
        </w:rPr>
        <w:t xml:space="preserve">.  </w:t>
      </w:r>
    </w:p>
    <w:p w:rsidR="00CC76BF" w:rsidRPr="00F110A1" w:rsidRDefault="00CC76BF" w:rsidP="00CC76BF">
      <w:pPr>
        <w:spacing w:after="240"/>
        <w:ind w:firstLine="720"/>
        <w:jc w:val="both"/>
        <w:rPr>
          <w:rFonts w:ascii="Times New Roman" w:hAnsi="Times New Roman"/>
          <w:sz w:val="24"/>
          <w:szCs w:val="24"/>
        </w:rPr>
      </w:pPr>
      <w:r w:rsidRPr="00F110A1">
        <w:rPr>
          <w:rFonts w:ascii="Times New Roman" w:hAnsi="Times New Roman"/>
          <w:sz w:val="24"/>
          <w:szCs w:val="24"/>
        </w:rPr>
        <w:t xml:space="preserve">Since 2009, significant progress has been made toward accomplishing this objective.  Work has been done to design a tactile feature and denominating pattern that are easily recognizable by touch, as well as to begin identifying an application method and type of material </w:t>
      </w:r>
      <w:r w:rsidRPr="00F110A1">
        <w:rPr>
          <w:rFonts w:ascii="Times New Roman" w:hAnsi="Times New Roman"/>
          <w:sz w:val="24"/>
          <w:szCs w:val="24"/>
        </w:rPr>
        <w:lastRenderedPageBreak/>
        <w:t xml:space="preserve">that is both durable and compatible with high speed manufacturing equipment and various styles of cash handling and banknote verification machines.  </w:t>
      </w:r>
    </w:p>
    <w:p w:rsidR="00CC76BF" w:rsidRPr="00F110A1" w:rsidRDefault="00CC76BF" w:rsidP="00737228">
      <w:pPr>
        <w:spacing w:after="240"/>
        <w:ind w:firstLine="720"/>
        <w:jc w:val="both"/>
        <w:rPr>
          <w:rFonts w:ascii="Times New Roman" w:hAnsi="Times New Roman"/>
          <w:sz w:val="24"/>
          <w:szCs w:val="24"/>
        </w:rPr>
      </w:pPr>
      <w:r w:rsidRPr="00F110A1">
        <w:rPr>
          <w:rFonts w:ascii="Times New Roman" w:hAnsi="Times New Roman"/>
          <w:sz w:val="24"/>
          <w:szCs w:val="24"/>
        </w:rPr>
        <w:t xml:space="preserve">Initially, BEP focused our effort on determining the most effective feature design and location on our banknote.  Many different options were investigated and tested by allowing members of the blind community to evaluate </w:t>
      </w:r>
      <w:r w:rsidR="00B97415">
        <w:rPr>
          <w:rFonts w:ascii="Times New Roman" w:hAnsi="Times New Roman"/>
          <w:sz w:val="24"/>
          <w:szCs w:val="24"/>
        </w:rPr>
        <w:t xml:space="preserve">several </w:t>
      </w:r>
      <w:r w:rsidRPr="00F110A1">
        <w:rPr>
          <w:rFonts w:ascii="Times New Roman" w:hAnsi="Times New Roman"/>
          <w:sz w:val="24"/>
          <w:szCs w:val="24"/>
        </w:rPr>
        <w:t>prototype samples</w:t>
      </w:r>
      <w:r w:rsidR="007A4A5B">
        <w:rPr>
          <w:rFonts w:ascii="Times New Roman" w:hAnsi="Times New Roman"/>
          <w:sz w:val="24"/>
          <w:szCs w:val="24"/>
        </w:rPr>
        <w:t xml:space="preserve"> at </w:t>
      </w:r>
      <w:r w:rsidR="00B97415">
        <w:rPr>
          <w:rFonts w:ascii="Times New Roman" w:hAnsi="Times New Roman"/>
          <w:sz w:val="24"/>
          <w:szCs w:val="24"/>
        </w:rPr>
        <w:t xml:space="preserve">various meetings.  These gatherings served as venues which allowed us to interact in a one-on-one basis with individuals interested in having the opportunity to investigate the prototype samples.  These were generally </w:t>
      </w:r>
      <w:r w:rsidR="006E2362">
        <w:rPr>
          <w:rFonts w:ascii="Times New Roman" w:hAnsi="Times New Roman"/>
          <w:sz w:val="24"/>
          <w:szCs w:val="24"/>
        </w:rPr>
        <w:t>informal</w:t>
      </w:r>
      <w:r w:rsidR="00B97415">
        <w:rPr>
          <w:rFonts w:ascii="Times New Roman" w:hAnsi="Times New Roman"/>
          <w:sz w:val="24"/>
          <w:szCs w:val="24"/>
        </w:rPr>
        <w:t xml:space="preserve"> interactions, but provided valuable perceptions regarding the advantages and disadvantages of each of the prototypes shown to them.</w:t>
      </w:r>
      <w:r w:rsidR="007A4A5B">
        <w:rPr>
          <w:rFonts w:ascii="Times New Roman" w:hAnsi="Times New Roman"/>
          <w:sz w:val="24"/>
          <w:szCs w:val="24"/>
        </w:rPr>
        <w:t xml:space="preserve">  These meetings included conventions, conferences and group meetings with members of a number of organizations affiliated with or representing the blind community</w:t>
      </w:r>
      <w:r w:rsidR="00EE7730">
        <w:rPr>
          <w:rFonts w:ascii="Times New Roman" w:hAnsi="Times New Roman"/>
          <w:sz w:val="24"/>
          <w:szCs w:val="24"/>
        </w:rPr>
        <w:t xml:space="preserve"> and involved organizations such as </w:t>
      </w:r>
      <w:r w:rsidR="007A4A5B">
        <w:rPr>
          <w:rFonts w:ascii="Times New Roman" w:hAnsi="Times New Roman"/>
          <w:sz w:val="24"/>
          <w:szCs w:val="24"/>
        </w:rPr>
        <w:t>the American Council of the Blind, The National Federation of the Blind</w:t>
      </w:r>
      <w:r w:rsidRPr="00F110A1">
        <w:rPr>
          <w:rFonts w:ascii="Times New Roman" w:hAnsi="Times New Roman"/>
          <w:sz w:val="24"/>
          <w:szCs w:val="24"/>
        </w:rPr>
        <w:t xml:space="preserve"> </w:t>
      </w:r>
      <w:r w:rsidR="007A4A5B">
        <w:rPr>
          <w:rFonts w:ascii="Times New Roman" w:hAnsi="Times New Roman"/>
          <w:sz w:val="24"/>
          <w:szCs w:val="24"/>
        </w:rPr>
        <w:t xml:space="preserve">and the California State University at Northridge.  </w:t>
      </w:r>
      <w:r w:rsidR="00B97415">
        <w:rPr>
          <w:rFonts w:ascii="Times New Roman" w:hAnsi="Times New Roman"/>
          <w:sz w:val="24"/>
          <w:szCs w:val="24"/>
        </w:rPr>
        <w:t xml:space="preserve"> </w:t>
      </w:r>
    </w:p>
    <w:p w:rsidR="00CC76BF" w:rsidRPr="00F110A1" w:rsidRDefault="00CC76BF" w:rsidP="00737228">
      <w:pPr>
        <w:spacing w:after="240"/>
        <w:ind w:firstLine="720"/>
        <w:jc w:val="both"/>
        <w:rPr>
          <w:rFonts w:ascii="Times New Roman" w:hAnsi="Times New Roman"/>
          <w:sz w:val="24"/>
          <w:szCs w:val="24"/>
        </w:rPr>
      </w:pPr>
      <w:r w:rsidRPr="00F110A1">
        <w:rPr>
          <w:rFonts w:ascii="Times New Roman" w:hAnsi="Times New Roman"/>
          <w:sz w:val="24"/>
          <w:szCs w:val="24"/>
        </w:rPr>
        <w:t xml:space="preserve">Since 2010 we have </w:t>
      </w:r>
      <w:r w:rsidR="00EE7730">
        <w:rPr>
          <w:rFonts w:ascii="Times New Roman" w:hAnsi="Times New Roman"/>
          <w:sz w:val="24"/>
          <w:szCs w:val="24"/>
        </w:rPr>
        <w:t xml:space="preserve">continued to </w:t>
      </w:r>
      <w:r w:rsidRPr="00F110A1">
        <w:rPr>
          <w:rFonts w:ascii="Times New Roman" w:hAnsi="Times New Roman"/>
          <w:sz w:val="24"/>
          <w:szCs w:val="24"/>
        </w:rPr>
        <w:t>share various sample coupons containing prototype raised tactile features with members of the blind and visually impaired community at a variety of conferences, conventions and meetings to get their feedback regarding the usability of the different styles of features being investigated.</w:t>
      </w:r>
      <w:r w:rsidR="00EE7730">
        <w:rPr>
          <w:rFonts w:ascii="Times New Roman" w:hAnsi="Times New Roman"/>
          <w:sz w:val="24"/>
          <w:szCs w:val="24"/>
        </w:rPr>
        <w:t xml:space="preserve">  This has been accomplished by allowing blind individuals to personally touch and handle prototype samples and observe their reactions and make note of their comments regarding the good aspects and poor aspects of the various samples.</w:t>
      </w:r>
    </w:p>
    <w:p w:rsidR="00CC76BF" w:rsidRPr="00F110A1" w:rsidRDefault="00EE7730" w:rsidP="00737228">
      <w:pPr>
        <w:spacing w:after="240"/>
        <w:ind w:firstLine="720"/>
        <w:jc w:val="both"/>
        <w:rPr>
          <w:rFonts w:ascii="Times New Roman" w:hAnsi="Times New Roman"/>
          <w:sz w:val="24"/>
          <w:szCs w:val="24"/>
        </w:rPr>
      </w:pPr>
      <w:r>
        <w:rPr>
          <w:rFonts w:ascii="Times New Roman" w:hAnsi="Times New Roman"/>
          <w:sz w:val="24"/>
          <w:szCs w:val="24"/>
        </w:rPr>
        <w:t>As a result of this preliminary work, t</w:t>
      </w:r>
      <w:r w:rsidR="00CC76BF" w:rsidRPr="00F110A1">
        <w:rPr>
          <w:rFonts w:ascii="Times New Roman" w:hAnsi="Times New Roman"/>
          <w:sz w:val="24"/>
          <w:szCs w:val="24"/>
        </w:rPr>
        <w:t xml:space="preserve">he design of the tactile symbol that </w:t>
      </w:r>
      <w:r>
        <w:rPr>
          <w:rFonts w:ascii="Times New Roman" w:hAnsi="Times New Roman"/>
          <w:sz w:val="24"/>
          <w:szCs w:val="24"/>
        </w:rPr>
        <w:t>has been</w:t>
      </w:r>
      <w:r w:rsidR="00CC76BF" w:rsidRPr="00F110A1">
        <w:rPr>
          <w:rFonts w:ascii="Times New Roman" w:hAnsi="Times New Roman"/>
          <w:sz w:val="24"/>
          <w:szCs w:val="24"/>
        </w:rPr>
        <w:t xml:space="preserve"> determined to be </w:t>
      </w:r>
      <w:r>
        <w:rPr>
          <w:rFonts w:ascii="Times New Roman" w:hAnsi="Times New Roman"/>
          <w:sz w:val="24"/>
          <w:szCs w:val="24"/>
        </w:rPr>
        <w:t xml:space="preserve">one of </w:t>
      </w:r>
      <w:r w:rsidR="00CC76BF" w:rsidRPr="00F110A1">
        <w:rPr>
          <w:rFonts w:ascii="Times New Roman" w:hAnsi="Times New Roman"/>
          <w:sz w:val="24"/>
          <w:szCs w:val="24"/>
        </w:rPr>
        <w:t xml:space="preserve">the most perceptible to recognition by touch is a simple, hollow rectangle.  </w:t>
      </w:r>
      <w:r>
        <w:rPr>
          <w:rFonts w:ascii="Times New Roman" w:hAnsi="Times New Roman"/>
          <w:sz w:val="24"/>
          <w:szCs w:val="24"/>
        </w:rPr>
        <w:t xml:space="preserve">Other shapes, including circles and ovals have proven to be relatively comparable to the rectangle, with all of these being marginally more perceptible by touch than other shapes that people were exposed to.  </w:t>
      </w:r>
      <w:r w:rsidR="00CC76BF" w:rsidRPr="00F110A1">
        <w:rPr>
          <w:rFonts w:ascii="Times New Roman" w:hAnsi="Times New Roman"/>
          <w:sz w:val="24"/>
          <w:szCs w:val="24"/>
        </w:rPr>
        <w:t>This conclusion was reached after many prototype samples containing different symbol shapes including circles, triangles, ovals, slanted lines, six-dot clusters and others were evaluated by members of the blind community.  In order to validate the information acquired during these informal sessions with blind users, the BEP contracted with a subject matter expert to conduct a formal, scientifically based acuity study designed to compare the relative ease with which the various symbol shapes could be recognized by touch by blind users.  The results of this study, conducted by Dr. Morton Heller in late 2011, clearly validated the results of the information collected informally by BEP personnel.</w:t>
      </w:r>
    </w:p>
    <w:p w:rsidR="00587BA4" w:rsidRPr="00A86FCA" w:rsidRDefault="00587BA4" w:rsidP="00737228">
      <w:pPr>
        <w:ind w:firstLine="720"/>
        <w:jc w:val="both"/>
        <w:rPr>
          <w:rFonts w:ascii="Times New Roman" w:hAnsi="Times New Roman"/>
          <w:sz w:val="24"/>
          <w:szCs w:val="24"/>
        </w:rPr>
      </w:pPr>
      <w:r w:rsidRPr="00A86FCA">
        <w:rPr>
          <w:rFonts w:ascii="Times New Roman" w:hAnsi="Times New Roman"/>
          <w:sz w:val="24"/>
          <w:szCs w:val="24"/>
        </w:rPr>
        <w:t xml:space="preserve">Relying on the findings in the ARINC Study, and the Bureau’s expertise in currency manufacturing and design, BEP recommended the following accommodations:  </w:t>
      </w:r>
    </w:p>
    <w:p w:rsidR="00587BA4" w:rsidRDefault="00587BA4" w:rsidP="00587BA4">
      <w:pPr>
        <w:pStyle w:val="ListParagraph"/>
        <w:numPr>
          <w:ilvl w:val="0"/>
          <w:numId w:val="24"/>
        </w:numPr>
        <w:spacing w:after="0" w:line="240" w:lineRule="auto"/>
        <w:jc w:val="both"/>
        <w:rPr>
          <w:rFonts w:ascii="Times New Roman" w:hAnsi="Times New Roman" w:cs="Times New Roman"/>
          <w:sz w:val="24"/>
          <w:szCs w:val="24"/>
        </w:rPr>
      </w:pPr>
      <w:r w:rsidRPr="00A86FCA">
        <w:rPr>
          <w:rFonts w:ascii="Times New Roman" w:hAnsi="Times New Roman" w:cs="Times New Roman"/>
          <w:sz w:val="24"/>
          <w:szCs w:val="24"/>
        </w:rPr>
        <w:t>Distributing  supplemental currency readers to blind and visually impaired U.S. citizens and those legally residing in the U.S. that would allow users to denominate U.S. currency;</w:t>
      </w:r>
    </w:p>
    <w:p w:rsidR="00AB6C08" w:rsidRPr="00A86FCA" w:rsidRDefault="00AB6C08" w:rsidP="00A86FCA">
      <w:pPr>
        <w:pStyle w:val="ListParagraph"/>
        <w:spacing w:after="0" w:line="240" w:lineRule="auto"/>
        <w:ind w:left="1080"/>
        <w:jc w:val="both"/>
        <w:rPr>
          <w:rFonts w:ascii="Times New Roman" w:hAnsi="Times New Roman" w:cs="Times New Roman"/>
          <w:sz w:val="24"/>
          <w:szCs w:val="24"/>
        </w:rPr>
      </w:pPr>
    </w:p>
    <w:p w:rsidR="00587BA4" w:rsidRPr="00A86FCA" w:rsidRDefault="00587BA4" w:rsidP="00587BA4">
      <w:pPr>
        <w:pStyle w:val="ListParagraph"/>
        <w:numPr>
          <w:ilvl w:val="0"/>
          <w:numId w:val="24"/>
        </w:numPr>
        <w:spacing w:after="0" w:line="240" w:lineRule="auto"/>
        <w:jc w:val="both"/>
        <w:rPr>
          <w:rFonts w:ascii="Times New Roman" w:hAnsi="Times New Roman" w:cs="Times New Roman"/>
          <w:sz w:val="24"/>
          <w:szCs w:val="24"/>
        </w:rPr>
      </w:pPr>
      <w:r w:rsidRPr="00A86FCA">
        <w:rPr>
          <w:rFonts w:ascii="Times New Roman" w:hAnsi="Times New Roman" w:cs="Times New Roman"/>
          <w:sz w:val="24"/>
          <w:szCs w:val="24"/>
        </w:rPr>
        <w:lastRenderedPageBreak/>
        <w:t>Adding a raised tactile feature to each U.S. Federal Reserve note the Department of the Treasury is permitted by law to alter</w:t>
      </w:r>
      <w:r w:rsidRPr="00A86FCA">
        <w:rPr>
          <w:rStyle w:val="FootnoteReference"/>
          <w:rFonts w:ascii="Times New Roman" w:hAnsi="Times New Roman" w:cs="Times New Roman"/>
          <w:sz w:val="24"/>
          <w:szCs w:val="24"/>
        </w:rPr>
        <w:footnoteReference w:id="1"/>
      </w:r>
      <w:r w:rsidRPr="00A86FCA">
        <w:rPr>
          <w:rFonts w:ascii="Times New Roman" w:hAnsi="Times New Roman" w:cs="Times New Roman"/>
          <w:sz w:val="24"/>
          <w:szCs w:val="24"/>
        </w:rPr>
        <w:t>.  This feature would provide users with a means of identifying each denomination via touch; and</w:t>
      </w:r>
    </w:p>
    <w:p w:rsidR="00587BA4" w:rsidRPr="00A86FCA" w:rsidRDefault="00587BA4" w:rsidP="00587BA4">
      <w:pPr>
        <w:pStyle w:val="ListParagraph"/>
        <w:jc w:val="both"/>
        <w:rPr>
          <w:rFonts w:ascii="Times New Roman" w:hAnsi="Times New Roman" w:cs="Times New Roman"/>
          <w:sz w:val="24"/>
          <w:szCs w:val="24"/>
        </w:rPr>
      </w:pPr>
    </w:p>
    <w:p w:rsidR="00587BA4" w:rsidRPr="00A86FCA" w:rsidRDefault="00587BA4" w:rsidP="00587BA4">
      <w:pPr>
        <w:pStyle w:val="ListParagraph"/>
        <w:numPr>
          <w:ilvl w:val="0"/>
          <w:numId w:val="24"/>
        </w:numPr>
        <w:spacing w:after="0" w:line="240" w:lineRule="auto"/>
        <w:jc w:val="both"/>
        <w:rPr>
          <w:rFonts w:ascii="Times New Roman" w:hAnsi="Times New Roman" w:cs="Times New Roman"/>
          <w:sz w:val="24"/>
          <w:szCs w:val="24"/>
        </w:rPr>
      </w:pPr>
      <w:r w:rsidRPr="00A86FCA">
        <w:rPr>
          <w:rFonts w:ascii="Times New Roman" w:hAnsi="Times New Roman" w:cs="Times New Roman"/>
          <w:sz w:val="24"/>
          <w:szCs w:val="24"/>
        </w:rPr>
        <w:t>Continuing the process of adding large, high-contrast numerals and different colors to each denomination that the Department of the Treasury is permitted by law to alter.</w:t>
      </w:r>
      <w:r w:rsidRPr="00A86FCA">
        <w:rPr>
          <w:rFonts w:ascii="Times New Roman" w:hAnsi="Times New Roman" w:cs="Times New Roman"/>
          <w:sz w:val="24"/>
          <w:szCs w:val="24"/>
        </w:rPr>
        <w:tab/>
      </w:r>
    </w:p>
    <w:p w:rsidR="00CC76BF" w:rsidRDefault="00CC76BF" w:rsidP="00587BA4">
      <w:pPr>
        <w:jc w:val="both"/>
        <w:rPr>
          <w:rFonts w:ascii="Times New Roman" w:hAnsi="Times New Roman"/>
          <w:sz w:val="24"/>
          <w:szCs w:val="24"/>
        </w:rPr>
      </w:pPr>
    </w:p>
    <w:p w:rsidR="00587BA4" w:rsidRPr="00A86FCA" w:rsidRDefault="00587BA4" w:rsidP="00A86FCA">
      <w:pPr>
        <w:ind w:firstLine="720"/>
        <w:jc w:val="both"/>
        <w:rPr>
          <w:rFonts w:ascii="Times New Roman" w:hAnsi="Times New Roman"/>
          <w:sz w:val="24"/>
          <w:szCs w:val="24"/>
        </w:rPr>
      </w:pPr>
      <w:r w:rsidRPr="00A86FCA">
        <w:rPr>
          <w:rFonts w:ascii="Times New Roman" w:hAnsi="Times New Roman"/>
          <w:sz w:val="24"/>
          <w:szCs w:val="24"/>
        </w:rPr>
        <w:t xml:space="preserve">The Secretary </w:t>
      </w:r>
      <w:r w:rsidR="006E2362">
        <w:rPr>
          <w:rFonts w:ascii="Times New Roman" w:hAnsi="Times New Roman"/>
          <w:sz w:val="24"/>
          <w:szCs w:val="24"/>
        </w:rPr>
        <w:t xml:space="preserve">of the Treasury </w:t>
      </w:r>
      <w:r w:rsidRPr="00A86FCA">
        <w:rPr>
          <w:rFonts w:ascii="Times New Roman" w:hAnsi="Times New Roman"/>
          <w:sz w:val="24"/>
          <w:szCs w:val="24"/>
        </w:rPr>
        <w:t xml:space="preserve">approved these methods on May 31, 2011, pursuant to his authority under 12 U.S.C. § 418 to make final decisions relating to currency design.  BEP is now actively engaged in implementing each of the methods through the Bureau’s Meaningful Access Program, the largest component of which is the Tactile Feature Project.  </w:t>
      </w:r>
    </w:p>
    <w:p w:rsidR="00CC76BF" w:rsidRDefault="00CC76BF" w:rsidP="00CC76BF">
      <w:pPr>
        <w:spacing w:after="240"/>
        <w:ind w:firstLine="720"/>
        <w:jc w:val="both"/>
        <w:rPr>
          <w:rFonts w:ascii="Times New Roman" w:hAnsi="Times New Roman"/>
          <w:sz w:val="24"/>
          <w:szCs w:val="24"/>
        </w:rPr>
      </w:pPr>
      <w:r w:rsidRPr="00F110A1">
        <w:rPr>
          <w:rFonts w:ascii="Times New Roman" w:hAnsi="Times New Roman"/>
          <w:sz w:val="24"/>
          <w:szCs w:val="24"/>
        </w:rPr>
        <w:t>This decision allowed the BEP to limit the scope of our investigation of tactile features by eliminating several options such as variable size banknotes, notches, materials embedded in the substrate, machine readable materials, perforations, etc. from further consideration.</w:t>
      </w:r>
    </w:p>
    <w:p w:rsidR="00AB6C08" w:rsidRPr="00F110A1" w:rsidRDefault="00AB6C08" w:rsidP="00CC76BF">
      <w:pPr>
        <w:spacing w:after="240"/>
        <w:ind w:firstLine="720"/>
        <w:jc w:val="both"/>
        <w:rPr>
          <w:rFonts w:ascii="Times New Roman" w:hAnsi="Times New Roman"/>
          <w:sz w:val="24"/>
          <w:szCs w:val="24"/>
        </w:rPr>
      </w:pPr>
      <w:r>
        <w:rPr>
          <w:rFonts w:ascii="Times New Roman" w:hAnsi="Times New Roman"/>
          <w:sz w:val="24"/>
          <w:szCs w:val="24"/>
        </w:rPr>
        <w:t>This information collection, a formal acuity study conducted using rig</w:t>
      </w:r>
      <w:r w:rsidR="006E2362">
        <w:rPr>
          <w:rFonts w:ascii="Times New Roman" w:hAnsi="Times New Roman"/>
          <w:sz w:val="24"/>
          <w:szCs w:val="24"/>
        </w:rPr>
        <w:t>or</w:t>
      </w:r>
      <w:r>
        <w:rPr>
          <w:rFonts w:ascii="Times New Roman" w:hAnsi="Times New Roman"/>
          <w:sz w:val="24"/>
          <w:szCs w:val="24"/>
        </w:rPr>
        <w:t xml:space="preserve">ous statistical methodology, will play an important role in BEP’s evaluation process.  Data collected through the study will be </w:t>
      </w:r>
      <w:r w:rsidR="006E2362">
        <w:rPr>
          <w:rFonts w:ascii="Times New Roman" w:hAnsi="Times New Roman"/>
          <w:sz w:val="24"/>
          <w:szCs w:val="24"/>
        </w:rPr>
        <w:t xml:space="preserve">compared with the data and information received during the informal processes discussed above.  This comparison is intended to </w:t>
      </w:r>
      <w:r w:rsidR="00792537" w:rsidRPr="001A374D">
        <w:rPr>
          <w:rFonts w:ascii="Times New Roman" w:hAnsi="Times New Roman"/>
          <w:color w:val="000000" w:themeColor="text1"/>
          <w:sz w:val="24"/>
          <w:szCs w:val="24"/>
        </w:rPr>
        <w:t xml:space="preserve">determine if the data collected in previous studies and focus groups is consistent with the </w:t>
      </w:r>
      <w:r w:rsidR="00B6307D">
        <w:rPr>
          <w:rFonts w:ascii="Times New Roman" w:hAnsi="Times New Roman"/>
          <w:color w:val="000000" w:themeColor="text1"/>
          <w:sz w:val="24"/>
          <w:szCs w:val="24"/>
        </w:rPr>
        <w:t xml:space="preserve">results of the acuity study </w:t>
      </w:r>
      <w:r w:rsidR="00792537" w:rsidRPr="001A374D">
        <w:rPr>
          <w:rFonts w:ascii="Times New Roman" w:hAnsi="Times New Roman"/>
          <w:color w:val="000000" w:themeColor="text1"/>
          <w:sz w:val="24"/>
          <w:szCs w:val="24"/>
        </w:rPr>
        <w:t>in terms of ranking the usability of the tested options.</w:t>
      </w:r>
      <w:r w:rsidR="00792537">
        <w:rPr>
          <w:rFonts w:ascii="Times New Roman" w:hAnsi="Times New Roman"/>
          <w:color w:val="FF0000"/>
          <w:sz w:val="24"/>
          <w:szCs w:val="24"/>
        </w:rPr>
        <w:t xml:space="preserve"> </w:t>
      </w:r>
      <w:r w:rsidR="00A0147C">
        <w:rPr>
          <w:rFonts w:ascii="Times New Roman" w:hAnsi="Times New Roman"/>
          <w:color w:val="FF0000"/>
          <w:sz w:val="24"/>
          <w:szCs w:val="24"/>
        </w:rPr>
        <w:t xml:space="preserve"> </w:t>
      </w:r>
      <w:r w:rsidR="00792537">
        <w:rPr>
          <w:rFonts w:ascii="Times New Roman" w:hAnsi="Times New Roman"/>
          <w:sz w:val="24"/>
          <w:szCs w:val="24"/>
        </w:rPr>
        <w:t xml:space="preserve">If found consistent, the earlier data </w:t>
      </w:r>
      <w:r w:rsidR="006E2362">
        <w:rPr>
          <w:rFonts w:ascii="Times New Roman" w:hAnsi="Times New Roman"/>
          <w:sz w:val="24"/>
          <w:szCs w:val="24"/>
        </w:rPr>
        <w:t xml:space="preserve">will provide the BEP with supportive evidence to </w:t>
      </w:r>
      <w:r w:rsidR="00D42010">
        <w:rPr>
          <w:rFonts w:ascii="Times New Roman" w:hAnsi="Times New Roman"/>
          <w:sz w:val="24"/>
          <w:szCs w:val="24"/>
        </w:rPr>
        <w:t xml:space="preserve">select the </w:t>
      </w:r>
      <w:r w:rsidR="006E2362">
        <w:rPr>
          <w:rFonts w:ascii="Times New Roman" w:hAnsi="Times New Roman"/>
          <w:sz w:val="24"/>
          <w:szCs w:val="24"/>
        </w:rPr>
        <w:t>most effective material and application metho</w:t>
      </w:r>
      <w:r w:rsidR="00D42010">
        <w:rPr>
          <w:rFonts w:ascii="Times New Roman" w:hAnsi="Times New Roman"/>
          <w:sz w:val="24"/>
          <w:szCs w:val="24"/>
        </w:rPr>
        <w:t>d</w:t>
      </w:r>
      <w:r>
        <w:rPr>
          <w:rFonts w:ascii="Times New Roman" w:hAnsi="Times New Roman"/>
          <w:sz w:val="24"/>
          <w:szCs w:val="24"/>
        </w:rPr>
        <w:t xml:space="preserve"> among </w:t>
      </w:r>
      <w:r w:rsidR="006E2362">
        <w:rPr>
          <w:rFonts w:ascii="Times New Roman" w:hAnsi="Times New Roman"/>
          <w:sz w:val="24"/>
          <w:szCs w:val="24"/>
        </w:rPr>
        <w:t xml:space="preserve">the </w:t>
      </w:r>
      <w:r>
        <w:rPr>
          <w:rFonts w:ascii="Times New Roman" w:hAnsi="Times New Roman"/>
          <w:sz w:val="24"/>
          <w:szCs w:val="24"/>
        </w:rPr>
        <w:t>various application materials and methods</w:t>
      </w:r>
      <w:r w:rsidR="006E2362">
        <w:rPr>
          <w:rFonts w:ascii="Times New Roman" w:hAnsi="Times New Roman"/>
          <w:sz w:val="24"/>
          <w:szCs w:val="24"/>
        </w:rPr>
        <w:t xml:space="preserve"> investigated</w:t>
      </w:r>
      <w:r>
        <w:rPr>
          <w:rFonts w:ascii="Times New Roman" w:hAnsi="Times New Roman"/>
          <w:sz w:val="24"/>
          <w:szCs w:val="24"/>
        </w:rPr>
        <w:t xml:space="preserve">, helping BEP determine best way to implement </w:t>
      </w:r>
      <w:r w:rsidR="00792537">
        <w:rPr>
          <w:rFonts w:ascii="Times New Roman" w:hAnsi="Times New Roman"/>
          <w:sz w:val="24"/>
          <w:szCs w:val="24"/>
        </w:rPr>
        <w:t xml:space="preserve">a </w:t>
      </w:r>
      <w:r>
        <w:rPr>
          <w:rFonts w:ascii="Times New Roman" w:hAnsi="Times New Roman"/>
          <w:sz w:val="24"/>
          <w:szCs w:val="24"/>
        </w:rPr>
        <w:t xml:space="preserve">tactile feature into upcoming currency designs. </w:t>
      </w:r>
    </w:p>
    <w:p w:rsidR="006C1CC9" w:rsidRPr="001D2BAF" w:rsidRDefault="006C1CC9" w:rsidP="006C1CC9">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Use of Information</w:t>
      </w: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6C1CC9">
      <w:pPr>
        <w:spacing w:after="0" w:line="240" w:lineRule="auto"/>
        <w:rPr>
          <w:rFonts w:ascii="Times New Roman" w:hAnsi="Times New Roman"/>
          <w:i/>
          <w:sz w:val="24"/>
          <w:szCs w:val="24"/>
        </w:rPr>
      </w:pPr>
      <w:r w:rsidRPr="001D2BAF">
        <w:rPr>
          <w:rFonts w:ascii="Times New Roman" w:hAnsi="Times New Roman"/>
          <w:i/>
          <w:sz w:val="24"/>
          <w:szCs w:val="24"/>
        </w:rPr>
        <w:t>How will the information be collected?</w:t>
      </w:r>
    </w:p>
    <w:p w:rsidR="006C1CC9" w:rsidRPr="001D2BAF" w:rsidRDefault="006C1CC9" w:rsidP="006C1CC9">
      <w:pPr>
        <w:spacing w:after="0" w:line="240" w:lineRule="auto"/>
        <w:ind w:firstLine="720"/>
        <w:rPr>
          <w:rFonts w:ascii="Times New Roman" w:hAnsi="Times New Roman"/>
          <w:sz w:val="24"/>
          <w:szCs w:val="24"/>
        </w:rPr>
      </w:pPr>
    </w:p>
    <w:p w:rsidR="00952B3B" w:rsidRDefault="00515044"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BEP is seeking to </w:t>
      </w:r>
      <w:r w:rsidR="00952B3B">
        <w:rPr>
          <w:rFonts w:ascii="Times New Roman" w:hAnsi="Times New Roman"/>
          <w:sz w:val="24"/>
          <w:szCs w:val="24"/>
        </w:rPr>
        <w:t xml:space="preserve">engage blind and visually impaired individuals </w:t>
      </w:r>
      <w:r w:rsidR="009B302C">
        <w:rPr>
          <w:rFonts w:ascii="Times New Roman" w:hAnsi="Times New Roman"/>
          <w:sz w:val="24"/>
          <w:szCs w:val="24"/>
        </w:rPr>
        <w:t>(</w:t>
      </w:r>
      <w:r w:rsidR="00080803">
        <w:rPr>
          <w:rFonts w:ascii="Times New Roman" w:hAnsi="Times New Roman"/>
          <w:sz w:val="24"/>
          <w:szCs w:val="24"/>
        </w:rPr>
        <w:t>study participants</w:t>
      </w:r>
      <w:r w:rsidR="009B302C">
        <w:rPr>
          <w:rFonts w:ascii="Times New Roman" w:hAnsi="Times New Roman"/>
          <w:sz w:val="24"/>
          <w:szCs w:val="24"/>
        </w:rPr>
        <w:t xml:space="preserve">) </w:t>
      </w:r>
      <w:r w:rsidR="00952B3B">
        <w:rPr>
          <w:rFonts w:ascii="Times New Roman" w:hAnsi="Times New Roman"/>
          <w:sz w:val="24"/>
          <w:szCs w:val="24"/>
        </w:rPr>
        <w:t xml:space="preserve">to conduct acuity/perception studies, </w:t>
      </w:r>
      <w:r w:rsidRPr="001D2BAF">
        <w:rPr>
          <w:rFonts w:ascii="Times New Roman" w:hAnsi="Times New Roman"/>
          <w:sz w:val="24"/>
          <w:szCs w:val="24"/>
        </w:rPr>
        <w:t xml:space="preserve">in order to </w:t>
      </w:r>
      <w:r w:rsidR="00952B3B">
        <w:rPr>
          <w:rFonts w:ascii="Times New Roman" w:hAnsi="Times New Roman"/>
          <w:sz w:val="24"/>
          <w:szCs w:val="24"/>
        </w:rPr>
        <w:t>gain</w:t>
      </w:r>
      <w:r w:rsidRPr="001D2BAF">
        <w:rPr>
          <w:rFonts w:ascii="Times New Roman" w:hAnsi="Times New Roman"/>
          <w:sz w:val="24"/>
          <w:szCs w:val="24"/>
        </w:rPr>
        <w:t xml:space="preserve"> information about </w:t>
      </w:r>
      <w:r w:rsidR="009B302C">
        <w:rPr>
          <w:rFonts w:ascii="Times New Roman" w:hAnsi="Times New Roman"/>
          <w:sz w:val="24"/>
          <w:szCs w:val="24"/>
        </w:rPr>
        <w:t>specific tactile feature options</w:t>
      </w:r>
      <w:r w:rsidRPr="001D2BAF">
        <w:rPr>
          <w:rFonts w:ascii="Times New Roman" w:hAnsi="Times New Roman"/>
          <w:sz w:val="24"/>
          <w:szCs w:val="24"/>
        </w:rPr>
        <w:t xml:space="preserve"> it is considering for inclusion in its next U.S. paper </w:t>
      </w:r>
      <w:r w:rsidR="00952B3B">
        <w:rPr>
          <w:rFonts w:ascii="Times New Roman" w:hAnsi="Times New Roman"/>
          <w:sz w:val="24"/>
          <w:szCs w:val="24"/>
        </w:rPr>
        <w:t xml:space="preserve">currency redesign.  </w:t>
      </w:r>
      <w:r w:rsidR="00080803">
        <w:rPr>
          <w:rFonts w:ascii="Times New Roman" w:hAnsi="Times New Roman"/>
          <w:sz w:val="24"/>
          <w:szCs w:val="24"/>
        </w:rPr>
        <w:t>T</w:t>
      </w:r>
      <w:r w:rsidR="00952B3B">
        <w:rPr>
          <w:rFonts w:ascii="Times New Roman" w:hAnsi="Times New Roman"/>
          <w:sz w:val="24"/>
          <w:szCs w:val="24"/>
        </w:rPr>
        <w:t xml:space="preserve">hese studies </w:t>
      </w:r>
      <w:r w:rsidR="00080803">
        <w:rPr>
          <w:rFonts w:ascii="Times New Roman" w:hAnsi="Times New Roman"/>
          <w:sz w:val="24"/>
          <w:szCs w:val="24"/>
        </w:rPr>
        <w:t>will involve</w:t>
      </w:r>
      <w:r w:rsidRPr="001D2BAF">
        <w:rPr>
          <w:rFonts w:ascii="Times New Roman" w:hAnsi="Times New Roman"/>
          <w:sz w:val="24"/>
          <w:szCs w:val="24"/>
        </w:rPr>
        <w:t xml:space="preserve"> asking </w:t>
      </w:r>
      <w:r w:rsidR="00080803">
        <w:rPr>
          <w:rFonts w:ascii="Times New Roman" w:hAnsi="Times New Roman"/>
          <w:sz w:val="24"/>
          <w:szCs w:val="24"/>
        </w:rPr>
        <w:t xml:space="preserve">the test subjects </w:t>
      </w:r>
      <w:r w:rsidRPr="001D2BAF">
        <w:rPr>
          <w:rFonts w:ascii="Times New Roman" w:hAnsi="Times New Roman"/>
          <w:sz w:val="24"/>
          <w:szCs w:val="24"/>
        </w:rPr>
        <w:t xml:space="preserve">questions </w:t>
      </w:r>
      <w:r w:rsidR="009F0F65" w:rsidRPr="001D2BAF">
        <w:rPr>
          <w:rFonts w:ascii="Times New Roman" w:hAnsi="Times New Roman"/>
          <w:sz w:val="24"/>
          <w:szCs w:val="24"/>
        </w:rPr>
        <w:t xml:space="preserve">about the effectiveness of </w:t>
      </w:r>
      <w:r w:rsidRPr="001D2BAF">
        <w:rPr>
          <w:rFonts w:ascii="Times New Roman" w:hAnsi="Times New Roman"/>
          <w:sz w:val="24"/>
          <w:szCs w:val="24"/>
        </w:rPr>
        <w:t xml:space="preserve">sample </w:t>
      </w:r>
      <w:r w:rsidR="00080803">
        <w:rPr>
          <w:rFonts w:ascii="Times New Roman" w:hAnsi="Times New Roman"/>
          <w:sz w:val="24"/>
          <w:szCs w:val="24"/>
        </w:rPr>
        <w:t>tactile features, and having the study participants perform a series of specific tasks designed to measure the usability of the tactile features being evaluated.</w:t>
      </w:r>
      <w:r w:rsidR="009F0F65" w:rsidRPr="001D2BAF">
        <w:rPr>
          <w:rFonts w:ascii="Times New Roman" w:hAnsi="Times New Roman"/>
          <w:sz w:val="24"/>
          <w:szCs w:val="24"/>
        </w:rPr>
        <w:t xml:space="preserve">  </w:t>
      </w:r>
    </w:p>
    <w:p w:rsidR="00952B3B" w:rsidRDefault="00952B3B" w:rsidP="006C1CC9">
      <w:pPr>
        <w:spacing w:after="0" w:line="240" w:lineRule="auto"/>
        <w:ind w:firstLine="720"/>
        <w:rPr>
          <w:rFonts w:ascii="Times New Roman" w:hAnsi="Times New Roman"/>
          <w:sz w:val="24"/>
          <w:szCs w:val="24"/>
        </w:rPr>
      </w:pPr>
    </w:p>
    <w:p w:rsidR="007D2CF2" w:rsidRPr="001D2BAF" w:rsidRDefault="00952B3B" w:rsidP="006C1CC9">
      <w:pPr>
        <w:spacing w:after="0" w:line="240" w:lineRule="auto"/>
        <w:ind w:firstLine="720"/>
        <w:rPr>
          <w:rFonts w:ascii="Times New Roman" w:hAnsi="Times New Roman"/>
          <w:sz w:val="24"/>
          <w:szCs w:val="24"/>
        </w:rPr>
      </w:pPr>
      <w:r>
        <w:rPr>
          <w:rFonts w:ascii="Times New Roman" w:hAnsi="Times New Roman"/>
          <w:sz w:val="24"/>
          <w:szCs w:val="24"/>
        </w:rPr>
        <w:t xml:space="preserve">BEP will contract with </w:t>
      </w:r>
      <w:r w:rsidR="00737228">
        <w:rPr>
          <w:rFonts w:ascii="Times New Roman" w:hAnsi="Times New Roman"/>
          <w:sz w:val="24"/>
          <w:szCs w:val="24"/>
        </w:rPr>
        <w:t xml:space="preserve">a </w:t>
      </w:r>
      <w:r>
        <w:rPr>
          <w:rFonts w:ascii="Times New Roman" w:hAnsi="Times New Roman"/>
          <w:sz w:val="24"/>
          <w:szCs w:val="24"/>
        </w:rPr>
        <w:t xml:space="preserve">subject matter expert in the field of blindness and haptic perception to </w:t>
      </w:r>
      <w:r w:rsidR="006160CF">
        <w:rPr>
          <w:rFonts w:ascii="Times New Roman" w:hAnsi="Times New Roman"/>
          <w:sz w:val="24"/>
          <w:szCs w:val="24"/>
        </w:rPr>
        <w:t>administer</w:t>
      </w:r>
      <w:r>
        <w:rPr>
          <w:rFonts w:ascii="Times New Roman" w:hAnsi="Times New Roman"/>
          <w:sz w:val="24"/>
          <w:szCs w:val="24"/>
        </w:rPr>
        <w:t xml:space="preserve"> the studies.</w:t>
      </w:r>
      <w:r w:rsidR="001A0CE7" w:rsidRPr="001D2BAF">
        <w:rPr>
          <w:rFonts w:ascii="Times New Roman" w:hAnsi="Times New Roman"/>
          <w:sz w:val="24"/>
          <w:szCs w:val="24"/>
        </w:rPr>
        <w:t xml:space="preserve">  </w:t>
      </w:r>
      <w:r>
        <w:rPr>
          <w:rFonts w:ascii="Times New Roman" w:hAnsi="Times New Roman"/>
          <w:sz w:val="24"/>
          <w:szCs w:val="24"/>
        </w:rPr>
        <w:t xml:space="preserve">The subject matter expert will </w:t>
      </w:r>
      <w:r w:rsidR="00144968">
        <w:rPr>
          <w:rFonts w:ascii="Times New Roman" w:hAnsi="Times New Roman"/>
          <w:sz w:val="24"/>
          <w:szCs w:val="24"/>
        </w:rPr>
        <w:t xml:space="preserve">use a specific protocol, previously developed for the BEP under contract by </w:t>
      </w:r>
      <w:proofErr w:type="spellStart"/>
      <w:r w:rsidR="00144968">
        <w:rPr>
          <w:rFonts w:ascii="Times New Roman" w:hAnsi="Times New Roman"/>
          <w:sz w:val="24"/>
          <w:szCs w:val="24"/>
        </w:rPr>
        <w:t>Westat</w:t>
      </w:r>
      <w:proofErr w:type="spellEnd"/>
      <w:r w:rsidR="00144968">
        <w:rPr>
          <w:rFonts w:ascii="Times New Roman" w:hAnsi="Times New Roman"/>
          <w:sz w:val="24"/>
          <w:szCs w:val="24"/>
        </w:rPr>
        <w:t xml:space="preserve">, Inc., in collaboration with </w:t>
      </w:r>
      <w:r w:rsidR="00144968">
        <w:rPr>
          <w:rFonts w:ascii="Times New Roman" w:hAnsi="Times New Roman"/>
          <w:sz w:val="24"/>
          <w:szCs w:val="24"/>
        </w:rPr>
        <w:lastRenderedPageBreak/>
        <w:t xml:space="preserve">Lighthouse International. </w:t>
      </w:r>
      <w:r>
        <w:rPr>
          <w:rFonts w:ascii="Times New Roman" w:hAnsi="Times New Roman"/>
          <w:sz w:val="24"/>
          <w:szCs w:val="24"/>
        </w:rPr>
        <w:t xml:space="preserve">Responses of the study participants will be monitored, recorded and analyzed by the subject matter expert conducting the study.  </w:t>
      </w:r>
      <w:r w:rsidR="008F3996">
        <w:rPr>
          <w:rFonts w:ascii="Times New Roman" w:hAnsi="Times New Roman"/>
          <w:sz w:val="24"/>
          <w:szCs w:val="24"/>
        </w:rPr>
        <w:t>BEP will provide t</w:t>
      </w:r>
      <w:r>
        <w:rPr>
          <w:rFonts w:ascii="Times New Roman" w:hAnsi="Times New Roman"/>
          <w:sz w:val="24"/>
          <w:szCs w:val="24"/>
        </w:rPr>
        <w:t xml:space="preserve">he subject matter expert conducting the study </w:t>
      </w:r>
      <w:r w:rsidR="008F3996">
        <w:rPr>
          <w:rFonts w:ascii="Times New Roman" w:hAnsi="Times New Roman"/>
          <w:sz w:val="24"/>
          <w:szCs w:val="24"/>
        </w:rPr>
        <w:t>with</w:t>
      </w:r>
      <w:r w:rsidR="008C3A71" w:rsidRPr="001D2BAF">
        <w:rPr>
          <w:rFonts w:ascii="Times New Roman" w:hAnsi="Times New Roman"/>
          <w:sz w:val="24"/>
          <w:szCs w:val="24"/>
        </w:rPr>
        <w:t xml:space="preserve"> sample coupons </w:t>
      </w:r>
      <w:r w:rsidR="008F3996">
        <w:rPr>
          <w:rFonts w:ascii="Times New Roman" w:hAnsi="Times New Roman"/>
          <w:sz w:val="24"/>
          <w:szCs w:val="24"/>
        </w:rPr>
        <w:t>containing raised</w:t>
      </w:r>
      <w:r w:rsidR="007D2CF2" w:rsidRPr="001D2BAF">
        <w:rPr>
          <w:rFonts w:ascii="Times New Roman" w:hAnsi="Times New Roman"/>
          <w:sz w:val="24"/>
          <w:szCs w:val="24"/>
        </w:rPr>
        <w:t xml:space="preserve"> tactile features</w:t>
      </w:r>
      <w:r w:rsidR="008F3996">
        <w:rPr>
          <w:rFonts w:ascii="Times New Roman" w:hAnsi="Times New Roman"/>
          <w:sz w:val="24"/>
          <w:szCs w:val="24"/>
        </w:rPr>
        <w:t>: t</w:t>
      </w:r>
      <w:r w:rsidR="007965B8" w:rsidRPr="001D2BAF">
        <w:rPr>
          <w:rFonts w:ascii="Times New Roman" w:hAnsi="Times New Roman"/>
          <w:sz w:val="24"/>
          <w:szCs w:val="24"/>
        </w:rPr>
        <w:t xml:space="preserve">he sample coupons </w:t>
      </w:r>
      <w:r w:rsidR="008F3996">
        <w:rPr>
          <w:rFonts w:ascii="Times New Roman" w:hAnsi="Times New Roman"/>
          <w:sz w:val="24"/>
          <w:szCs w:val="24"/>
        </w:rPr>
        <w:t>will be</w:t>
      </w:r>
      <w:r w:rsidR="007D2CF2" w:rsidRPr="001D2BAF">
        <w:rPr>
          <w:rFonts w:ascii="Times New Roman" w:hAnsi="Times New Roman"/>
          <w:sz w:val="24"/>
          <w:szCs w:val="24"/>
        </w:rPr>
        <w:t xml:space="preserve"> the same size and feel as U.S. paper currency</w:t>
      </w:r>
      <w:r w:rsidR="008F3996">
        <w:rPr>
          <w:rFonts w:ascii="Times New Roman" w:hAnsi="Times New Roman"/>
          <w:sz w:val="24"/>
          <w:szCs w:val="24"/>
        </w:rPr>
        <w:t xml:space="preserve"> and include </w:t>
      </w:r>
      <w:r w:rsidR="007965B8" w:rsidRPr="001D2BAF">
        <w:rPr>
          <w:rFonts w:ascii="Times New Roman" w:hAnsi="Times New Roman"/>
          <w:sz w:val="24"/>
          <w:szCs w:val="24"/>
        </w:rPr>
        <w:t xml:space="preserve">raised tactile </w:t>
      </w:r>
      <w:r w:rsidR="008F3996">
        <w:rPr>
          <w:rFonts w:ascii="Times New Roman" w:hAnsi="Times New Roman"/>
          <w:sz w:val="24"/>
          <w:szCs w:val="24"/>
        </w:rPr>
        <w:t>elements</w:t>
      </w:r>
      <w:r w:rsidR="007D2CF2" w:rsidRPr="001D2BAF">
        <w:rPr>
          <w:rFonts w:ascii="Times New Roman" w:hAnsi="Times New Roman"/>
          <w:sz w:val="24"/>
          <w:szCs w:val="24"/>
        </w:rPr>
        <w:t xml:space="preserve">, but </w:t>
      </w:r>
      <w:r w:rsidR="008F3996">
        <w:rPr>
          <w:rFonts w:ascii="Times New Roman" w:hAnsi="Times New Roman"/>
          <w:sz w:val="24"/>
          <w:szCs w:val="24"/>
        </w:rPr>
        <w:t>will be</w:t>
      </w:r>
      <w:r w:rsidR="007D2CF2" w:rsidRPr="001D2BAF">
        <w:rPr>
          <w:rFonts w:ascii="Times New Roman" w:hAnsi="Times New Roman"/>
          <w:sz w:val="24"/>
          <w:szCs w:val="24"/>
        </w:rPr>
        <w:t xml:space="preserve"> </w:t>
      </w:r>
      <w:r w:rsidR="00367620" w:rsidRPr="001D2BAF">
        <w:rPr>
          <w:rFonts w:ascii="Times New Roman" w:hAnsi="Times New Roman"/>
          <w:sz w:val="24"/>
          <w:szCs w:val="24"/>
        </w:rPr>
        <w:t xml:space="preserve">either </w:t>
      </w:r>
      <w:r w:rsidR="007D2CF2" w:rsidRPr="001D2BAF">
        <w:rPr>
          <w:rFonts w:ascii="Times New Roman" w:hAnsi="Times New Roman"/>
          <w:sz w:val="24"/>
          <w:szCs w:val="24"/>
        </w:rPr>
        <w:t>printed with generic images</w:t>
      </w:r>
      <w:r w:rsidR="00367620" w:rsidRPr="001D2BAF">
        <w:rPr>
          <w:rFonts w:ascii="Times New Roman" w:hAnsi="Times New Roman"/>
          <w:sz w:val="24"/>
          <w:szCs w:val="24"/>
        </w:rPr>
        <w:t xml:space="preserve"> or unprinted</w:t>
      </w:r>
      <w:r w:rsidR="007D2CF2" w:rsidRPr="001D2BAF">
        <w:rPr>
          <w:rFonts w:ascii="Times New Roman" w:hAnsi="Times New Roman"/>
          <w:sz w:val="24"/>
          <w:szCs w:val="24"/>
        </w:rPr>
        <w:t xml:space="preserve">. </w:t>
      </w:r>
    </w:p>
    <w:p w:rsidR="008C3A71" w:rsidRPr="001D2BAF" w:rsidRDefault="008C3A71" w:rsidP="00952B3B">
      <w:pPr>
        <w:spacing w:after="0" w:line="240" w:lineRule="auto"/>
        <w:rPr>
          <w:rFonts w:ascii="Times New Roman" w:hAnsi="Times New Roman"/>
          <w:sz w:val="24"/>
          <w:szCs w:val="24"/>
        </w:rPr>
      </w:pPr>
    </w:p>
    <w:p w:rsidR="008C3A71" w:rsidRPr="001D2BAF" w:rsidRDefault="008C3A71" w:rsidP="008C3A71">
      <w:pPr>
        <w:spacing w:after="0" w:line="240" w:lineRule="auto"/>
        <w:rPr>
          <w:rFonts w:ascii="Times New Roman" w:hAnsi="Times New Roman"/>
          <w:sz w:val="24"/>
          <w:szCs w:val="24"/>
        </w:rPr>
      </w:pPr>
      <w:r w:rsidRPr="001D2BAF">
        <w:rPr>
          <w:rFonts w:ascii="Times New Roman" w:hAnsi="Times New Roman"/>
          <w:i/>
          <w:sz w:val="24"/>
          <w:szCs w:val="24"/>
        </w:rPr>
        <w:t>Information to Be Collected</w:t>
      </w:r>
    </w:p>
    <w:p w:rsidR="00970312" w:rsidRPr="001D2BAF" w:rsidRDefault="00970312" w:rsidP="006C1CC9">
      <w:pPr>
        <w:spacing w:after="0" w:line="240" w:lineRule="auto"/>
        <w:ind w:firstLine="720"/>
        <w:rPr>
          <w:rFonts w:ascii="Times New Roman" w:hAnsi="Times New Roman"/>
          <w:sz w:val="24"/>
          <w:szCs w:val="24"/>
        </w:rPr>
      </w:pPr>
    </w:p>
    <w:p w:rsidR="002F15A1" w:rsidRDefault="00952B3B" w:rsidP="006C1CC9">
      <w:pPr>
        <w:spacing w:after="0" w:line="240" w:lineRule="auto"/>
        <w:ind w:firstLine="720"/>
        <w:rPr>
          <w:rFonts w:ascii="Times New Roman" w:hAnsi="Times New Roman"/>
          <w:sz w:val="24"/>
          <w:szCs w:val="24"/>
        </w:rPr>
      </w:pPr>
      <w:r>
        <w:rPr>
          <w:rFonts w:ascii="Times New Roman" w:hAnsi="Times New Roman"/>
          <w:sz w:val="24"/>
          <w:szCs w:val="24"/>
        </w:rPr>
        <w:t xml:space="preserve">A study participant </w:t>
      </w:r>
      <w:r w:rsidR="005A7AA3" w:rsidRPr="001D2BAF">
        <w:rPr>
          <w:rFonts w:ascii="Times New Roman" w:hAnsi="Times New Roman"/>
          <w:sz w:val="24"/>
          <w:szCs w:val="24"/>
        </w:rPr>
        <w:t xml:space="preserve">will be presented with a series of sample coupons and asked </w:t>
      </w:r>
      <w:r w:rsidR="00367620" w:rsidRPr="001D2BAF">
        <w:rPr>
          <w:rFonts w:ascii="Times New Roman" w:hAnsi="Times New Roman"/>
          <w:sz w:val="24"/>
          <w:szCs w:val="24"/>
        </w:rPr>
        <w:t>to</w:t>
      </w:r>
      <w:r w:rsidR="000D0C70" w:rsidRPr="001D2BAF">
        <w:rPr>
          <w:rFonts w:ascii="Times New Roman" w:hAnsi="Times New Roman"/>
          <w:sz w:val="24"/>
          <w:szCs w:val="24"/>
        </w:rPr>
        <w:t xml:space="preserve"> </w:t>
      </w:r>
      <w:r w:rsidR="008F3996">
        <w:rPr>
          <w:rFonts w:ascii="Times New Roman" w:hAnsi="Times New Roman"/>
          <w:sz w:val="24"/>
          <w:szCs w:val="24"/>
        </w:rPr>
        <w:t>perform tasks with them</w:t>
      </w:r>
      <w:r w:rsidR="002F15A1">
        <w:rPr>
          <w:rFonts w:ascii="Times New Roman" w:hAnsi="Times New Roman"/>
          <w:sz w:val="24"/>
          <w:szCs w:val="24"/>
        </w:rPr>
        <w:t xml:space="preserve"> and to provide responses that will assist the study administrator to evaluate the effectiveness of the raised, tactile feature.  </w:t>
      </w:r>
      <w:r w:rsidR="000D0C70" w:rsidRPr="001D2BAF">
        <w:rPr>
          <w:rFonts w:ascii="Times New Roman" w:hAnsi="Times New Roman"/>
          <w:sz w:val="24"/>
          <w:szCs w:val="24"/>
        </w:rPr>
        <w:t xml:space="preserve">  </w:t>
      </w:r>
    </w:p>
    <w:p w:rsidR="00EF6749" w:rsidRPr="001D2BAF" w:rsidRDefault="007965B8"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  </w:t>
      </w:r>
    </w:p>
    <w:p w:rsidR="005A7AA3" w:rsidRPr="001D2BAF" w:rsidRDefault="005A7AA3" w:rsidP="005A7AA3">
      <w:pPr>
        <w:pStyle w:val="ColorfulList-Accent11"/>
        <w:numPr>
          <w:ilvl w:val="0"/>
          <w:numId w:val="8"/>
        </w:numPr>
        <w:spacing w:after="0" w:line="240" w:lineRule="auto"/>
        <w:rPr>
          <w:rFonts w:ascii="Times New Roman" w:hAnsi="Times New Roman"/>
          <w:sz w:val="24"/>
          <w:szCs w:val="24"/>
        </w:rPr>
      </w:pPr>
      <w:r w:rsidRPr="001D2BAF">
        <w:rPr>
          <w:rFonts w:ascii="Times New Roman" w:hAnsi="Times New Roman"/>
          <w:sz w:val="24"/>
          <w:szCs w:val="24"/>
        </w:rPr>
        <w:t>P</w:t>
      </w:r>
      <w:r w:rsidR="0006227C" w:rsidRPr="001D2BAF">
        <w:rPr>
          <w:rFonts w:ascii="Times New Roman" w:hAnsi="Times New Roman"/>
          <w:sz w:val="24"/>
          <w:szCs w:val="24"/>
        </w:rPr>
        <w:t xml:space="preserve">erception of </w:t>
      </w:r>
      <w:r w:rsidRPr="001D2BAF">
        <w:rPr>
          <w:rFonts w:ascii="Times New Roman" w:hAnsi="Times New Roman"/>
          <w:sz w:val="24"/>
          <w:szCs w:val="24"/>
        </w:rPr>
        <w:t xml:space="preserve">tactile features:  </w:t>
      </w:r>
    </w:p>
    <w:p w:rsidR="00443C09" w:rsidRPr="001D2BAF" w:rsidRDefault="00443C09" w:rsidP="00443C09">
      <w:pPr>
        <w:pStyle w:val="ColorfulList-Accent11"/>
        <w:spacing w:after="0" w:line="240" w:lineRule="auto"/>
        <w:ind w:left="1080"/>
        <w:rPr>
          <w:rFonts w:ascii="Times New Roman" w:hAnsi="Times New Roman"/>
          <w:sz w:val="24"/>
          <w:szCs w:val="24"/>
        </w:rPr>
      </w:pPr>
    </w:p>
    <w:p w:rsidR="005A7AA3" w:rsidRPr="001D2BAF" w:rsidRDefault="005A7AA3" w:rsidP="005A7AA3">
      <w:pPr>
        <w:pStyle w:val="ColorfulList-Accent11"/>
        <w:numPr>
          <w:ilvl w:val="1"/>
          <w:numId w:val="8"/>
        </w:numPr>
        <w:spacing w:after="0" w:line="240" w:lineRule="auto"/>
        <w:rPr>
          <w:rFonts w:ascii="Times New Roman" w:hAnsi="Times New Roman"/>
          <w:sz w:val="24"/>
          <w:szCs w:val="24"/>
        </w:rPr>
      </w:pPr>
      <w:r w:rsidRPr="001D2BAF">
        <w:rPr>
          <w:rFonts w:ascii="Times New Roman" w:hAnsi="Times New Roman"/>
          <w:sz w:val="24"/>
          <w:szCs w:val="24"/>
        </w:rPr>
        <w:t xml:space="preserve">A participant will be </w:t>
      </w:r>
      <w:r w:rsidR="0006227C" w:rsidRPr="001D2BAF">
        <w:rPr>
          <w:rFonts w:ascii="Times New Roman" w:hAnsi="Times New Roman"/>
          <w:sz w:val="24"/>
          <w:szCs w:val="24"/>
        </w:rPr>
        <w:t>presented with distinct sets of sample coupons</w:t>
      </w:r>
      <w:r w:rsidRPr="001D2BAF">
        <w:rPr>
          <w:rFonts w:ascii="Times New Roman" w:hAnsi="Times New Roman"/>
          <w:sz w:val="24"/>
          <w:szCs w:val="24"/>
        </w:rPr>
        <w:t>.  Each set of coupons will have a separate, uni</w:t>
      </w:r>
      <w:r w:rsidR="0006227C" w:rsidRPr="001D2BAF">
        <w:rPr>
          <w:rFonts w:ascii="Times New Roman" w:hAnsi="Times New Roman"/>
          <w:sz w:val="24"/>
          <w:szCs w:val="24"/>
        </w:rPr>
        <w:t>que, proprietary material applie</w:t>
      </w:r>
      <w:r w:rsidRPr="001D2BAF">
        <w:rPr>
          <w:rFonts w:ascii="Times New Roman" w:hAnsi="Times New Roman"/>
          <w:sz w:val="24"/>
          <w:szCs w:val="24"/>
        </w:rPr>
        <w:t>d on a portion of the coupon’s s</w:t>
      </w:r>
      <w:r w:rsidR="0006227C" w:rsidRPr="001D2BAF">
        <w:rPr>
          <w:rFonts w:ascii="Times New Roman" w:hAnsi="Times New Roman"/>
          <w:sz w:val="24"/>
          <w:szCs w:val="24"/>
        </w:rPr>
        <w:t xml:space="preserve">urface </w:t>
      </w:r>
      <w:r w:rsidRPr="001D2BAF">
        <w:rPr>
          <w:rFonts w:ascii="Times New Roman" w:hAnsi="Times New Roman"/>
          <w:sz w:val="24"/>
          <w:szCs w:val="24"/>
        </w:rPr>
        <w:t xml:space="preserve">creating a tactile feature that can be sensed by touch.  </w:t>
      </w:r>
    </w:p>
    <w:p w:rsidR="00260CBF" w:rsidRPr="001D2BAF" w:rsidRDefault="00260CBF" w:rsidP="00260CBF">
      <w:pPr>
        <w:pStyle w:val="ColorfulList-Accent11"/>
        <w:spacing w:after="0" w:line="240" w:lineRule="auto"/>
        <w:ind w:left="1800"/>
        <w:rPr>
          <w:rFonts w:ascii="Times New Roman" w:hAnsi="Times New Roman"/>
          <w:sz w:val="24"/>
          <w:szCs w:val="24"/>
        </w:rPr>
      </w:pPr>
    </w:p>
    <w:p w:rsidR="002F15A1" w:rsidRDefault="00144968" w:rsidP="005A7AA3">
      <w:pPr>
        <w:pStyle w:val="ColorfulList-Accent11"/>
        <w:numPr>
          <w:ilvl w:val="1"/>
          <w:numId w:val="8"/>
        </w:numPr>
        <w:spacing w:after="0" w:line="240" w:lineRule="auto"/>
        <w:rPr>
          <w:rFonts w:ascii="Times New Roman" w:hAnsi="Times New Roman"/>
          <w:sz w:val="24"/>
          <w:szCs w:val="24"/>
        </w:rPr>
      </w:pPr>
      <w:r>
        <w:rPr>
          <w:rFonts w:ascii="Times New Roman" w:hAnsi="Times New Roman"/>
          <w:sz w:val="24"/>
          <w:szCs w:val="24"/>
        </w:rPr>
        <w:t xml:space="preserve">The subject matter expert will use a specific protocol, previously developed for the BEP under contract by </w:t>
      </w:r>
      <w:proofErr w:type="spellStart"/>
      <w:r>
        <w:rPr>
          <w:rFonts w:ascii="Times New Roman" w:hAnsi="Times New Roman"/>
          <w:sz w:val="24"/>
          <w:szCs w:val="24"/>
        </w:rPr>
        <w:t>Westat</w:t>
      </w:r>
      <w:proofErr w:type="spellEnd"/>
      <w:r>
        <w:rPr>
          <w:rFonts w:ascii="Times New Roman" w:hAnsi="Times New Roman"/>
          <w:sz w:val="24"/>
          <w:szCs w:val="24"/>
        </w:rPr>
        <w:t xml:space="preserve">, Inc., in collaboration with Lighthouse International. </w:t>
      </w:r>
      <w:r w:rsidR="002F15A1">
        <w:rPr>
          <w:rFonts w:ascii="Times New Roman" w:hAnsi="Times New Roman"/>
          <w:sz w:val="24"/>
          <w:szCs w:val="24"/>
        </w:rPr>
        <w:t xml:space="preserve"> The BEP Project Manager </w:t>
      </w:r>
      <w:r>
        <w:rPr>
          <w:rFonts w:ascii="Times New Roman" w:hAnsi="Times New Roman"/>
          <w:sz w:val="24"/>
          <w:szCs w:val="24"/>
        </w:rPr>
        <w:t xml:space="preserve">/ COR </w:t>
      </w:r>
      <w:r w:rsidR="002F15A1">
        <w:rPr>
          <w:rFonts w:ascii="Times New Roman" w:hAnsi="Times New Roman"/>
          <w:sz w:val="24"/>
          <w:szCs w:val="24"/>
        </w:rPr>
        <w:t xml:space="preserve">will </w:t>
      </w:r>
      <w:r>
        <w:rPr>
          <w:rFonts w:ascii="Times New Roman" w:hAnsi="Times New Roman"/>
          <w:sz w:val="24"/>
          <w:szCs w:val="24"/>
        </w:rPr>
        <w:t>en</w:t>
      </w:r>
      <w:r w:rsidR="00B76C87">
        <w:rPr>
          <w:rFonts w:ascii="Times New Roman" w:hAnsi="Times New Roman"/>
          <w:sz w:val="24"/>
          <w:szCs w:val="24"/>
        </w:rPr>
        <w:t>sure</w:t>
      </w:r>
      <w:r>
        <w:rPr>
          <w:rFonts w:ascii="Times New Roman" w:hAnsi="Times New Roman"/>
          <w:sz w:val="24"/>
          <w:szCs w:val="24"/>
        </w:rPr>
        <w:t xml:space="preserve"> adherence to the protocol, and approve any revisions to the protocol if it becomes necessary during the course of the study.</w:t>
      </w:r>
    </w:p>
    <w:p w:rsidR="00335FB9" w:rsidRDefault="00335FB9" w:rsidP="00335FB9">
      <w:pPr>
        <w:pStyle w:val="ColorfulList-Accent11"/>
        <w:spacing w:after="0" w:line="240" w:lineRule="auto"/>
        <w:ind w:left="0"/>
        <w:rPr>
          <w:rFonts w:ascii="Times New Roman" w:hAnsi="Times New Roman"/>
          <w:sz w:val="24"/>
          <w:szCs w:val="24"/>
        </w:rPr>
      </w:pPr>
    </w:p>
    <w:p w:rsidR="00260CBF" w:rsidRPr="001D2BAF" w:rsidRDefault="002F15A1" w:rsidP="005A7AA3">
      <w:pPr>
        <w:pStyle w:val="ColorfulList-Accent11"/>
        <w:numPr>
          <w:ilvl w:val="1"/>
          <w:numId w:val="8"/>
        </w:numPr>
        <w:spacing w:after="0" w:line="240" w:lineRule="auto"/>
        <w:rPr>
          <w:rFonts w:ascii="Times New Roman" w:hAnsi="Times New Roman"/>
          <w:sz w:val="24"/>
          <w:szCs w:val="24"/>
        </w:rPr>
      </w:pPr>
      <w:r>
        <w:rPr>
          <w:rFonts w:ascii="Times New Roman" w:hAnsi="Times New Roman"/>
          <w:sz w:val="24"/>
          <w:szCs w:val="24"/>
        </w:rPr>
        <w:t xml:space="preserve">The study administrator will </w:t>
      </w:r>
      <w:r w:rsidR="008F3996">
        <w:rPr>
          <w:rFonts w:ascii="Times New Roman" w:hAnsi="Times New Roman"/>
          <w:sz w:val="24"/>
          <w:szCs w:val="24"/>
        </w:rPr>
        <w:t>familiarize each study participant with the location and shape of the raised tactile elements being evaluated in the study. The study participants</w:t>
      </w:r>
      <w:r w:rsidR="00C34ABD" w:rsidRPr="001D2BAF">
        <w:rPr>
          <w:rFonts w:ascii="Times New Roman" w:hAnsi="Times New Roman"/>
          <w:sz w:val="24"/>
          <w:szCs w:val="24"/>
        </w:rPr>
        <w:t xml:space="preserve"> will </w:t>
      </w:r>
      <w:r w:rsidR="00367620" w:rsidRPr="001D2BAF">
        <w:rPr>
          <w:rFonts w:ascii="Times New Roman" w:hAnsi="Times New Roman"/>
          <w:sz w:val="24"/>
          <w:szCs w:val="24"/>
        </w:rPr>
        <w:t xml:space="preserve">then </w:t>
      </w:r>
      <w:r w:rsidR="00C34ABD" w:rsidRPr="001D2BAF">
        <w:rPr>
          <w:rFonts w:ascii="Times New Roman" w:hAnsi="Times New Roman"/>
          <w:sz w:val="24"/>
          <w:szCs w:val="24"/>
        </w:rPr>
        <w:t xml:space="preserve">be </w:t>
      </w:r>
      <w:r w:rsidR="008F3996">
        <w:rPr>
          <w:rFonts w:ascii="Times New Roman" w:hAnsi="Times New Roman"/>
          <w:sz w:val="24"/>
          <w:szCs w:val="24"/>
        </w:rPr>
        <w:t>asked to perform a series of tasks, such as counting the number of tactile elements on a series of test samples, or sorting and orienting st</w:t>
      </w:r>
      <w:r w:rsidR="009F2DC6">
        <w:rPr>
          <w:rFonts w:ascii="Times New Roman" w:hAnsi="Times New Roman"/>
          <w:sz w:val="24"/>
          <w:szCs w:val="24"/>
        </w:rPr>
        <w:t xml:space="preserve">acks of samples, which will be </w:t>
      </w:r>
      <w:r w:rsidR="00144968">
        <w:rPr>
          <w:rFonts w:ascii="Times New Roman" w:hAnsi="Times New Roman"/>
          <w:sz w:val="24"/>
          <w:szCs w:val="24"/>
        </w:rPr>
        <w:t xml:space="preserve">timed </w:t>
      </w:r>
      <w:r w:rsidR="009F2DC6">
        <w:rPr>
          <w:rFonts w:ascii="Times New Roman" w:hAnsi="Times New Roman"/>
          <w:sz w:val="24"/>
          <w:szCs w:val="24"/>
        </w:rPr>
        <w:t>and evaluated for accuracy.</w:t>
      </w:r>
    </w:p>
    <w:p w:rsidR="00260CBF" w:rsidRPr="001D2BAF" w:rsidRDefault="00260CBF" w:rsidP="00260CBF">
      <w:pPr>
        <w:pStyle w:val="ColorfulList-Accent11"/>
        <w:spacing w:after="0" w:line="240" w:lineRule="auto"/>
        <w:ind w:left="1800"/>
        <w:rPr>
          <w:rFonts w:ascii="Times New Roman" w:hAnsi="Times New Roman"/>
          <w:sz w:val="24"/>
          <w:szCs w:val="24"/>
        </w:rPr>
      </w:pPr>
    </w:p>
    <w:p w:rsidR="001224AB" w:rsidRPr="001D2BAF" w:rsidRDefault="001224AB" w:rsidP="006C1CC9">
      <w:pPr>
        <w:spacing w:after="0" w:line="240" w:lineRule="auto"/>
        <w:rPr>
          <w:rFonts w:ascii="Times New Roman" w:hAnsi="Times New Roman"/>
          <w:i/>
          <w:sz w:val="24"/>
          <w:szCs w:val="24"/>
        </w:rPr>
      </w:pPr>
    </w:p>
    <w:p w:rsidR="00260CBF" w:rsidRPr="00594B7D" w:rsidRDefault="00260CBF" w:rsidP="006C1CC9">
      <w:pPr>
        <w:spacing w:after="0" w:line="240" w:lineRule="auto"/>
        <w:rPr>
          <w:rFonts w:ascii="Times New Roman" w:hAnsi="Times New Roman"/>
          <w:i/>
          <w:sz w:val="24"/>
          <w:szCs w:val="24"/>
        </w:rPr>
      </w:pPr>
      <w:r w:rsidRPr="00594B7D">
        <w:rPr>
          <w:rFonts w:ascii="Times New Roman" w:hAnsi="Times New Roman"/>
          <w:i/>
          <w:sz w:val="24"/>
          <w:szCs w:val="24"/>
        </w:rPr>
        <w:t>Use of Information Collected</w:t>
      </w:r>
    </w:p>
    <w:p w:rsidR="00260CBF" w:rsidRPr="00594B7D" w:rsidRDefault="00260CBF" w:rsidP="006C1CC9">
      <w:pPr>
        <w:spacing w:after="0" w:line="240" w:lineRule="auto"/>
        <w:rPr>
          <w:rFonts w:ascii="Times New Roman" w:hAnsi="Times New Roman"/>
          <w:i/>
          <w:sz w:val="24"/>
          <w:szCs w:val="24"/>
        </w:rPr>
      </w:pPr>
    </w:p>
    <w:p w:rsidR="009F2DC6" w:rsidRPr="00594B7D" w:rsidRDefault="00260CBF" w:rsidP="006C1CC9">
      <w:pPr>
        <w:spacing w:after="0" w:line="240" w:lineRule="auto"/>
        <w:rPr>
          <w:rFonts w:ascii="Times New Roman" w:hAnsi="Times New Roman"/>
          <w:sz w:val="24"/>
          <w:szCs w:val="24"/>
        </w:rPr>
      </w:pPr>
      <w:r w:rsidRPr="00594B7D">
        <w:rPr>
          <w:rFonts w:ascii="Times New Roman" w:hAnsi="Times New Roman"/>
          <w:i/>
          <w:sz w:val="24"/>
          <w:szCs w:val="24"/>
        </w:rPr>
        <w:tab/>
      </w:r>
      <w:r w:rsidRPr="00594B7D">
        <w:rPr>
          <w:rFonts w:ascii="Times New Roman" w:hAnsi="Times New Roman"/>
          <w:sz w:val="24"/>
          <w:szCs w:val="24"/>
        </w:rPr>
        <w:t xml:space="preserve">The information collected </w:t>
      </w:r>
      <w:r w:rsidR="009F2DC6" w:rsidRPr="00594B7D">
        <w:rPr>
          <w:rFonts w:ascii="Times New Roman" w:hAnsi="Times New Roman"/>
          <w:sz w:val="24"/>
          <w:szCs w:val="24"/>
        </w:rPr>
        <w:t xml:space="preserve">from study participants of the subject study will generate </w:t>
      </w:r>
      <w:r w:rsidR="009E0BE7" w:rsidRPr="00594B7D">
        <w:rPr>
          <w:rFonts w:ascii="Times New Roman" w:hAnsi="Times New Roman"/>
          <w:sz w:val="24"/>
          <w:szCs w:val="24"/>
        </w:rPr>
        <w:t>perception</w:t>
      </w:r>
      <w:r w:rsidR="006B2902" w:rsidRPr="00594B7D">
        <w:rPr>
          <w:rFonts w:ascii="Times New Roman" w:hAnsi="Times New Roman"/>
          <w:sz w:val="24"/>
          <w:szCs w:val="24"/>
        </w:rPr>
        <w:t>,</w:t>
      </w:r>
      <w:r w:rsidR="002059D5" w:rsidRPr="00594B7D">
        <w:rPr>
          <w:rFonts w:ascii="Times New Roman" w:hAnsi="Times New Roman"/>
          <w:sz w:val="24"/>
          <w:szCs w:val="24"/>
        </w:rPr>
        <w:t xml:space="preserve"> </w:t>
      </w:r>
      <w:r w:rsidR="009F2DC6" w:rsidRPr="00594B7D">
        <w:rPr>
          <w:rFonts w:ascii="Times New Roman" w:hAnsi="Times New Roman"/>
          <w:sz w:val="24"/>
          <w:szCs w:val="24"/>
        </w:rPr>
        <w:t>speed</w:t>
      </w:r>
      <w:r w:rsidR="006B2902" w:rsidRPr="00594B7D">
        <w:rPr>
          <w:rFonts w:ascii="Times New Roman" w:hAnsi="Times New Roman"/>
          <w:sz w:val="24"/>
          <w:szCs w:val="24"/>
        </w:rPr>
        <w:t>,</w:t>
      </w:r>
      <w:r w:rsidR="009F2DC6" w:rsidRPr="00594B7D">
        <w:rPr>
          <w:rFonts w:ascii="Times New Roman" w:hAnsi="Times New Roman"/>
          <w:sz w:val="24"/>
          <w:szCs w:val="24"/>
        </w:rPr>
        <w:t xml:space="preserve"> and accuracy data for up to four distinct </w:t>
      </w:r>
      <w:r w:rsidR="006B2902" w:rsidRPr="00594B7D">
        <w:rPr>
          <w:rFonts w:ascii="Times New Roman" w:hAnsi="Times New Roman"/>
          <w:sz w:val="24"/>
          <w:szCs w:val="24"/>
        </w:rPr>
        <w:t xml:space="preserve">raised tactile feature </w:t>
      </w:r>
      <w:r w:rsidR="009F2DC6" w:rsidRPr="00594B7D">
        <w:rPr>
          <w:rFonts w:ascii="Times New Roman" w:hAnsi="Times New Roman"/>
          <w:sz w:val="24"/>
          <w:szCs w:val="24"/>
        </w:rPr>
        <w:t xml:space="preserve">options being considered by the BEP for </w:t>
      </w:r>
      <w:r w:rsidR="006B2902" w:rsidRPr="00594B7D">
        <w:rPr>
          <w:rFonts w:ascii="Times New Roman" w:hAnsi="Times New Roman"/>
          <w:sz w:val="24"/>
          <w:szCs w:val="24"/>
        </w:rPr>
        <w:t xml:space="preserve">incorporation into </w:t>
      </w:r>
      <w:r w:rsidR="009F2DC6" w:rsidRPr="00594B7D">
        <w:rPr>
          <w:rFonts w:ascii="Times New Roman" w:hAnsi="Times New Roman"/>
          <w:sz w:val="24"/>
          <w:szCs w:val="24"/>
        </w:rPr>
        <w:t xml:space="preserve">the next U.S. paper currency redesign.  </w:t>
      </w:r>
      <w:r w:rsidR="004010AF" w:rsidRPr="00594B7D">
        <w:rPr>
          <w:rFonts w:ascii="Times New Roman" w:hAnsi="Times New Roman"/>
          <w:sz w:val="24"/>
          <w:szCs w:val="24"/>
        </w:rPr>
        <w:t>Data from this study will be used to down</w:t>
      </w:r>
      <w:r w:rsidR="00594B7D" w:rsidRPr="00594B7D">
        <w:rPr>
          <w:rFonts w:ascii="Times New Roman" w:hAnsi="Times New Roman"/>
          <w:sz w:val="24"/>
          <w:szCs w:val="24"/>
        </w:rPr>
        <w:t>-</w:t>
      </w:r>
      <w:r w:rsidR="004010AF" w:rsidRPr="00594B7D">
        <w:rPr>
          <w:rFonts w:ascii="Times New Roman" w:hAnsi="Times New Roman"/>
          <w:sz w:val="24"/>
          <w:szCs w:val="24"/>
        </w:rPr>
        <w:t xml:space="preserve">select the number of raised tactile feature options that will be considered for further development and high volume testing. </w:t>
      </w:r>
      <w:r w:rsidR="002059D5" w:rsidRPr="00594B7D">
        <w:rPr>
          <w:rFonts w:ascii="Times New Roman" w:hAnsi="Times New Roman"/>
          <w:sz w:val="24"/>
          <w:szCs w:val="24"/>
        </w:rPr>
        <w:t xml:space="preserve">The </w:t>
      </w:r>
      <w:r w:rsidR="009E0BE7" w:rsidRPr="00594B7D">
        <w:rPr>
          <w:rFonts w:ascii="Times New Roman" w:hAnsi="Times New Roman"/>
          <w:sz w:val="24"/>
          <w:szCs w:val="24"/>
        </w:rPr>
        <w:t xml:space="preserve">perception, </w:t>
      </w:r>
      <w:r w:rsidR="002059D5" w:rsidRPr="00594B7D">
        <w:rPr>
          <w:rFonts w:ascii="Times New Roman" w:hAnsi="Times New Roman"/>
          <w:sz w:val="24"/>
          <w:szCs w:val="24"/>
        </w:rPr>
        <w:t>speed</w:t>
      </w:r>
      <w:r w:rsidR="009E0BE7" w:rsidRPr="00594B7D">
        <w:rPr>
          <w:rFonts w:ascii="Times New Roman" w:hAnsi="Times New Roman"/>
          <w:sz w:val="24"/>
          <w:szCs w:val="24"/>
        </w:rPr>
        <w:t>,</w:t>
      </w:r>
      <w:r w:rsidR="002059D5" w:rsidRPr="00594B7D">
        <w:rPr>
          <w:rFonts w:ascii="Times New Roman" w:hAnsi="Times New Roman"/>
          <w:sz w:val="24"/>
          <w:szCs w:val="24"/>
        </w:rPr>
        <w:t xml:space="preserve"> and accuracy data will serve as input into a tactile feature evaluation matrix, developed in collaboration between </w:t>
      </w:r>
      <w:r w:rsidR="006B2902" w:rsidRPr="00594B7D">
        <w:rPr>
          <w:rFonts w:ascii="Times New Roman" w:hAnsi="Times New Roman"/>
          <w:sz w:val="24"/>
          <w:szCs w:val="24"/>
        </w:rPr>
        <w:t xml:space="preserve">the </w:t>
      </w:r>
      <w:r w:rsidR="002059D5" w:rsidRPr="00594B7D">
        <w:rPr>
          <w:rFonts w:ascii="Times New Roman" w:hAnsi="Times New Roman"/>
          <w:sz w:val="24"/>
          <w:szCs w:val="24"/>
        </w:rPr>
        <w:t xml:space="preserve">BEP, the U.S. Secret Service, the Federal Reserve Board of Governors, and the Currency Technology Office of the Federal Reserve System. </w:t>
      </w:r>
      <w:r w:rsidR="006B2902" w:rsidRPr="00594B7D">
        <w:rPr>
          <w:rFonts w:ascii="Times New Roman" w:hAnsi="Times New Roman"/>
          <w:sz w:val="24"/>
          <w:szCs w:val="24"/>
        </w:rPr>
        <w:t xml:space="preserve"> </w:t>
      </w:r>
      <w:r w:rsidR="002059D5" w:rsidRPr="00594B7D">
        <w:rPr>
          <w:rFonts w:ascii="Times New Roman" w:hAnsi="Times New Roman"/>
          <w:sz w:val="24"/>
          <w:szCs w:val="24"/>
        </w:rPr>
        <w:t>Th</w:t>
      </w:r>
      <w:r w:rsidR="00695B57" w:rsidRPr="00594B7D">
        <w:rPr>
          <w:rFonts w:ascii="Times New Roman" w:hAnsi="Times New Roman"/>
          <w:sz w:val="24"/>
          <w:szCs w:val="24"/>
        </w:rPr>
        <w:t xml:space="preserve">is evaluation matrix, in addition to usability data, takes into account the durability or permanence of specific tactile feature options, as well as their manufacturability, performance in cash handling </w:t>
      </w:r>
      <w:r w:rsidR="00695B57" w:rsidRPr="00594B7D">
        <w:rPr>
          <w:rFonts w:ascii="Times New Roman" w:hAnsi="Times New Roman"/>
          <w:sz w:val="24"/>
          <w:szCs w:val="24"/>
        </w:rPr>
        <w:lastRenderedPageBreak/>
        <w:t>machinery, and impact o</w:t>
      </w:r>
      <w:r w:rsidR="006B2902" w:rsidRPr="00594B7D">
        <w:rPr>
          <w:rFonts w:ascii="Times New Roman" w:hAnsi="Times New Roman"/>
          <w:sz w:val="24"/>
          <w:szCs w:val="24"/>
        </w:rPr>
        <w:t>n</w:t>
      </w:r>
      <w:r w:rsidR="00695B57" w:rsidRPr="00594B7D">
        <w:rPr>
          <w:rFonts w:ascii="Times New Roman" w:hAnsi="Times New Roman"/>
          <w:sz w:val="24"/>
          <w:szCs w:val="24"/>
        </w:rPr>
        <w:t xml:space="preserve"> the cash handling, distribution and storage within the private sector and the Federal Reserve System.</w:t>
      </w:r>
      <w:r w:rsidR="00737228">
        <w:rPr>
          <w:rStyle w:val="FootnoteReference"/>
          <w:rFonts w:ascii="Times New Roman" w:hAnsi="Times New Roman"/>
          <w:sz w:val="24"/>
          <w:szCs w:val="24"/>
        </w:rPr>
        <w:footnoteReference w:id="2"/>
      </w:r>
      <w:r w:rsidR="009E0BE7" w:rsidRPr="00594B7D">
        <w:rPr>
          <w:rFonts w:ascii="Times New Roman" w:hAnsi="Times New Roman"/>
          <w:sz w:val="24"/>
          <w:szCs w:val="24"/>
        </w:rPr>
        <w:t xml:space="preserve"> </w:t>
      </w:r>
    </w:p>
    <w:p w:rsidR="009F2DC6" w:rsidRPr="00594B7D" w:rsidRDefault="009F2DC6" w:rsidP="006C1CC9">
      <w:pPr>
        <w:spacing w:after="0" w:line="240" w:lineRule="auto"/>
        <w:rPr>
          <w:rFonts w:ascii="Times New Roman" w:hAnsi="Times New Roman"/>
          <w:sz w:val="24"/>
          <w:szCs w:val="24"/>
        </w:rPr>
      </w:pPr>
    </w:p>
    <w:p w:rsidR="006C1CC9" w:rsidRPr="001A374D" w:rsidRDefault="006C1CC9" w:rsidP="001A374D">
      <w:pPr>
        <w:pStyle w:val="ListParagraph"/>
        <w:numPr>
          <w:ilvl w:val="0"/>
          <w:numId w:val="4"/>
        </w:numPr>
        <w:spacing w:after="0" w:line="240" w:lineRule="auto"/>
        <w:rPr>
          <w:rFonts w:ascii="Times New Roman" w:hAnsi="Times New Roman"/>
          <w:b/>
          <w:sz w:val="24"/>
          <w:szCs w:val="24"/>
        </w:rPr>
      </w:pPr>
      <w:r w:rsidRPr="001A374D">
        <w:rPr>
          <w:rFonts w:ascii="Times New Roman" w:hAnsi="Times New Roman"/>
          <w:b/>
          <w:sz w:val="24"/>
          <w:szCs w:val="24"/>
        </w:rPr>
        <w:t>Use of Information Technology</w:t>
      </w:r>
    </w:p>
    <w:p w:rsidR="006C1CC9" w:rsidRPr="00594B7D" w:rsidRDefault="006C1CC9" w:rsidP="006C1CC9">
      <w:pPr>
        <w:spacing w:after="0" w:line="240" w:lineRule="auto"/>
        <w:ind w:firstLine="720"/>
        <w:rPr>
          <w:rFonts w:ascii="Times New Roman" w:hAnsi="Times New Roman"/>
          <w:sz w:val="24"/>
          <w:szCs w:val="24"/>
        </w:rPr>
      </w:pPr>
    </w:p>
    <w:p w:rsidR="006C1CC9" w:rsidRPr="001D2BAF" w:rsidRDefault="006F2515" w:rsidP="006C1CC9">
      <w:pPr>
        <w:spacing w:after="0" w:line="240" w:lineRule="auto"/>
        <w:ind w:firstLine="720"/>
        <w:rPr>
          <w:rFonts w:ascii="Times New Roman" w:hAnsi="Times New Roman"/>
          <w:sz w:val="24"/>
          <w:szCs w:val="24"/>
        </w:rPr>
      </w:pPr>
      <w:r w:rsidRPr="00594B7D">
        <w:rPr>
          <w:rFonts w:ascii="Times New Roman" w:hAnsi="Times New Roman"/>
          <w:sz w:val="24"/>
          <w:szCs w:val="24"/>
        </w:rPr>
        <w:t>This is a limited collection of information</w:t>
      </w:r>
      <w:r w:rsidR="006476EA" w:rsidRPr="00594B7D">
        <w:rPr>
          <w:rFonts w:ascii="Times New Roman" w:hAnsi="Times New Roman"/>
          <w:sz w:val="24"/>
          <w:szCs w:val="24"/>
        </w:rPr>
        <w:t xml:space="preserve"> from </w:t>
      </w:r>
      <w:r w:rsidR="002F15A1" w:rsidRPr="00594B7D">
        <w:rPr>
          <w:rFonts w:ascii="Times New Roman" w:hAnsi="Times New Roman"/>
          <w:sz w:val="24"/>
          <w:szCs w:val="24"/>
        </w:rPr>
        <w:t>individuals solicited by the study administrator</w:t>
      </w:r>
      <w:r w:rsidR="00970312" w:rsidRPr="00594B7D">
        <w:rPr>
          <w:rFonts w:ascii="Times New Roman" w:hAnsi="Times New Roman"/>
          <w:sz w:val="24"/>
          <w:szCs w:val="24"/>
        </w:rPr>
        <w:t>.</w:t>
      </w:r>
      <w:r w:rsidR="006476EA" w:rsidRPr="00594B7D">
        <w:rPr>
          <w:rFonts w:ascii="Times New Roman" w:hAnsi="Times New Roman"/>
          <w:sz w:val="24"/>
          <w:szCs w:val="24"/>
        </w:rPr>
        <w:t xml:space="preserve">  A</w:t>
      </w:r>
      <w:r w:rsidR="006C1CC9" w:rsidRPr="00594B7D">
        <w:rPr>
          <w:rFonts w:ascii="Times New Roman" w:hAnsi="Times New Roman"/>
          <w:sz w:val="24"/>
          <w:szCs w:val="24"/>
        </w:rPr>
        <w:t>utomated, electronic, mechanical, or other technological collection techniques or other forms of information technology</w:t>
      </w:r>
      <w:r w:rsidR="006C1CC9" w:rsidRPr="001D2BAF">
        <w:rPr>
          <w:rFonts w:ascii="Times New Roman" w:hAnsi="Times New Roman"/>
          <w:sz w:val="24"/>
          <w:szCs w:val="24"/>
        </w:rPr>
        <w:t xml:space="preserve"> </w:t>
      </w:r>
      <w:r w:rsidR="002F15A1">
        <w:rPr>
          <w:rFonts w:ascii="Times New Roman" w:hAnsi="Times New Roman"/>
          <w:sz w:val="24"/>
          <w:szCs w:val="24"/>
        </w:rPr>
        <w:t xml:space="preserve">may </w:t>
      </w:r>
      <w:r w:rsidRPr="001D2BAF">
        <w:rPr>
          <w:rFonts w:ascii="Times New Roman" w:hAnsi="Times New Roman"/>
          <w:sz w:val="24"/>
          <w:szCs w:val="24"/>
        </w:rPr>
        <w:t xml:space="preserve">be used </w:t>
      </w:r>
      <w:r w:rsidR="002F15A1">
        <w:rPr>
          <w:rFonts w:ascii="Times New Roman" w:hAnsi="Times New Roman"/>
          <w:sz w:val="24"/>
          <w:szCs w:val="24"/>
        </w:rPr>
        <w:t xml:space="preserve">by the study administrator </w:t>
      </w:r>
      <w:r w:rsidR="009C76C6">
        <w:rPr>
          <w:rFonts w:ascii="Times New Roman" w:hAnsi="Times New Roman"/>
          <w:sz w:val="24"/>
          <w:szCs w:val="24"/>
        </w:rPr>
        <w:t xml:space="preserve">as necessary and appropriate </w:t>
      </w:r>
      <w:r w:rsidR="006C1CC9" w:rsidRPr="001D2BAF">
        <w:rPr>
          <w:rFonts w:ascii="Times New Roman" w:hAnsi="Times New Roman"/>
          <w:sz w:val="24"/>
          <w:szCs w:val="24"/>
        </w:rPr>
        <w:t xml:space="preserve">for purposes of </w:t>
      </w:r>
      <w:r w:rsidRPr="001D2BAF">
        <w:rPr>
          <w:rFonts w:ascii="Times New Roman" w:hAnsi="Times New Roman"/>
          <w:sz w:val="24"/>
          <w:szCs w:val="24"/>
        </w:rPr>
        <w:t xml:space="preserve">collecting </w:t>
      </w:r>
      <w:r w:rsidR="002F15A1">
        <w:rPr>
          <w:rFonts w:ascii="Times New Roman" w:hAnsi="Times New Roman"/>
          <w:sz w:val="24"/>
          <w:szCs w:val="24"/>
        </w:rPr>
        <w:t xml:space="preserve">and recording </w:t>
      </w:r>
      <w:r w:rsidRPr="001D2BAF">
        <w:rPr>
          <w:rFonts w:ascii="Times New Roman" w:hAnsi="Times New Roman"/>
          <w:sz w:val="24"/>
          <w:szCs w:val="24"/>
        </w:rPr>
        <w:t>this information</w:t>
      </w:r>
      <w:r w:rsidR="006476EA" w:rsidRPr="001D2BAF">
        <w:rPr>
          <w:rFonts w:ascii="Times New Roman" w:hAnsi="Times New Roman"/>
          <w:sz w:val="24"/>
          <w:szCs w:val="24"/>
        </w:rPr>
        <w:t>.</w:t>
      </w:r>
      <w:r w:rsidR="002B019E" w:rsidRPr="001D2BAF">
        <w:rPr>
          <w:rFonts w:ascii="Times New Roman" w:hAnsi="Times New Roman"/>
          <w:sz w:val="24"/>
          <w:szCs w:val="24"/>
        </w:rPr>
        <w:t xml:space="preserve">  </w:t>
      </w:r>
      <w:r w:rsidR="009C76C6">
        <w:rPr>
          <w:rFonts w:ascii="Times New Roman" w:hAnsi="Times New Roman"/>
          <w:sz w:val="24"/>
          <w:szCs w:val="24"/>
        </w:rPr>
        <w:t>Any respons</w:t>
      </w:r>
      <w:r w:rsidR="006160CF">
        <w:rPr>
          <w:rFonts w:ascii="Times New Roman" w:hAnsi="Times New Roman"/>
          <w:sz w:val="24"/>
          <w:szCs w:val="24"/>
        </w:rPr>
        <w:t xml:space="preserve">es made by a study participant </w:t>
      </w:r>
      <w:r w:rsidR="009C76C6">
        <w:rPr>
          <w:rFonts w:ascii="Times New Roman" w:hAnsi="Times New Roman"/>
          <w:sz w:val="24"/>
          <w:szCs w:val="24"/>
        </w:rPr>
        <w:t xml:space="preserve">will </w:t>
      </w:r>
      <w:r w:rsidR="00970312" w:rsidRPr="001D2BAF">
        <w:rPr>
          <w:rFonts w:ascii="Times New Roman" w:hAnsi="Times New Roman"/>
          <w:sz w:val="24"/>
          <w:szCs w:val="24"/>
        </w:rPr>
        <w:t xml:space="preserve">be provided orally.  </w:t>
      </w:r>
    </w:p>
    <w:p w:rsidR="006C1CC9" w:rsidRPr="001D2BAF" w:rsidRDefault="006C1CC9" w:rsidP="006C1CC9">
      <w:pPr>
        <w:spacing w:after="0" w:line="240" w:lineRule="auto"/>
        <w:ind w:firstLine="720"/>
        <w:rPr>
          <w:rFonts w:ascii="Times New Roman" w:hAnsi="Times New Roman"/>
          <w:sz w:val="24"/>
          <w:szCs w:val="24"/>
        </w:rPr>
      </w:pPr>
    </w:p>
    <w:p w:rsidR="00825352" w:rsidRPr="001D2BAF" w:rsidRDefault="00825352" w:rsidP="0082535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Efforts to Identify Duplication</w:t>
      </w:r>
    </w:p>
    <w:p w:rsidR="00825352" w:rsidRPr="001D2BAF" w:rsidRDefault="00825352" w:rsidP="00825352">
      <w:pPr>
        <w:spacing w:after="0" w:line="240" w:lineRule="auto"/>
        <w:ind w:firstLine="720"/>
        <w:rPr>
          <w:rFonts w:ascii="Times New Roman" w:hAnsi="Times New Roman"/>
          <w:sz w:val="24"/>
          <w:szCs w:val="24"/>
        </w:rPr>
      </w:pPr>
    </w:p>
    <w:p w:rsidR="006C1CC9"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No similar information already available can be used or modified for the purposes of this information collection.  The </w:t>
      </w:r>
      <w:r w:rsidR="00970312" w:rsidRPr="001D2BAF">
        <w:rPr>
          <w:rFonts w:ascii="Times New Roman" w:hAnsi="Times New Roman"/>
          <w:sz w:val="24"/>
          <w:szCs w:val="24"/>
        </w:rPr>
        <w:t xml:space="preserve">questions are being asked about </w:t>
      </w:r>
      <w:r w:rsidRPr="001D2BAF">
        <w:rPr>
          <w:rFonts w:ascii="Times New Roman" w:hAnsi="Times New Roman"/>
          <w:sz w:val="24"/>
          <w:szCs w:val="24"/>
        </w:rPr>
        <w:t xml:space="preserve">specific tactile features that are in </w:t>
      </w:r>
      <w:r w:rsidR="00825352" w:rsidRPr="001D2BAF">
        <w:rPr>
          <w:rFonts w:ascii="Times New Roman" w:hAnsi="Times New Roman"/>
          <w:sz w:val="24"/>
          <w:szCs w:val="24"/>
        </w:rPr>
        <w:t xml:space="preserve">the process of </w:t>
      </w:r>
      <w:r w:rsidRPr="001D2BAF">
        <w:rPr>
          <w:rFonts w:ascii="Times New Roman" w:hAnsi="Times New Roman"/>
          <w:sz w:val="24"/>
          <w:szCs w:val="24"/>
        </w:rPr>
        <w:t xml:space="preserve">design and development.  </w:t>
      </w:r>
      <w:r w:rsidR="00825352" w:rsidRPr="001D2BAF">
        <w:rPr>
          <w:rFonts w:ascii="Times New Roman" w:hAnsi="Times New Roman"/>
          <w:sz w:val="24"/>
          <w:szCs w:val="24"/>
        </w:rPr>
        <w:t xml:space="preserve">As such, there is </w:t>
      </w:r>
      <w:r w:rsidRPr="001D2BAF">
        <w:rPr>
          <w:rFonts w:ascii="Times New Roman" w:hAnsi="Times New Roman"/>
          <w:sz w:val="24"/>
          <w:szCs w:val="24"/>
        </w:rPr>
        <w:t xml:space="preserve">no similar information available that will help the </w:t>
      </w:r>
      <w:r w:rsidR="00066A04" w:rsidRPr="001D2BAF">
        <w:rPr>
          <w:rFonts w:ascii="Times New Roman" w:hAnsi="Times New Roman"/>
          <w:sz w:val="24"/>
          <w:szCs w:val="24"/>
        </w:rPr>
        <w:t xml:space="preserve">BEP </w:t>
      </w:r>
      <w:r w:rsidRPr="001D2BAF">
        <w:rPr>
          <w:rFonts w:ascii="Times New Roman" w:hAnsi="Times New Roman"/>
          <w:sz w:val="24"/>
          <w:szCs w:val="24"/>
        </w:rPr>
        <w:t xml:space="preserve">assess the efficacy of the particular samples that it plans to test.  </w:t>
      </w:r>
    </w:p>
    <w:p w:rsidR="006C1CC9" w:rsidRPr="001D2BAF" w:rsidRDefault="006C1CC9" w:rsidP="006C1CC9">
      <w:pPr>
        <w:spacing w:after="0" w:line="240" w:lineRule="auto"/>
        <w:ind w:firstLine="720"/>
        <w:rPr>
          <w:rFonts w:ascii="Times New Roman" w:hAnsi="Times New Roman"/>
          <w:sz w:val="24"/>
          <w:szCs w:val="24"/>
        </w:rPr>
      </w:pPr>
    </w:p>
    <w:p w:rsidR="00990FC7" w:rsidRPr="001D2BAF" w:rsidRDefault="00990FC7" w:rsidP="00990FC7">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The BEP researched to ascertain if any </w:t>
      </w:r>
      <w:r w:rsidR="00970312" w:rsidRPr="001D2BAF">
        <w:rPr>
          <w:rFonts w:ascii="Times New Roman" w:hAnsi="Times New Roman"/>
          <w:sz w:val="24"/>
          <w:szCs w:val="24"/>
        </w:rPr>
        <w:t xml:space="preserve">testing or information collections </w:t>
      </w:r>
      <w:r w:rsidR="006B2902">
        <w:rPr>
          <w:rFonts w:ascii="Times New Roman" w:hAnsi="Times New Roman"/>
          <w:sz w:val="24"/>
          <w:szCs w:val="24"/>
        </w:rPr>
        <w:t>were</w:t>
      </w:r>
      <w:r w:rsidRPr="001D2BAF">
        <w:rPr>
          <w:rFonts w:ascii="Times New Roman" w:hAnsi="Times New Roman"/>
          <w:sz w:val="24"/>
          <w:szCs w:val="24"/>
        </w:rPr>
        <w:t xml:space="preserve"> performed earlier, and which might be used for its present purposes.  </w:t>
      </w:r>
      <w:r w:rsidR="006B2902">
        <w:rPr>
          <w:rFonts w:ascii="Times New Roman" w:hAnsi="Times New Roman"/>
          <w:sz w:val="24"/>
          <w:szCs w:val="24"/>
        </w:rPr>
        <w:t>Though s</w:t>
      </w:r>
      <w:r w:rsidR="006B2902" w:rsidRPr="001D2BAF">
        <w:rPr>
          <w:rFonts w:ascii="Times New Roman" w:hAnsi="Times New Roman"/>
          <w:sz w:val="24"/>
          <w:szCs w:val="24"/>
        </w:rPr>
        <w:t xml:space="preserve">ome </w:t>
      </w:r>
      <w:r w:rsidR="00970312" w:rsidRPr="001D2BAF">
        <w:rPr>
          <w:rFonts w:ascii="Times New Roman" w:hAnsi="Times New Roman"/>
          <w:sz w:val="24"/>
          <w:szCs w:val="24"/>
        </w:rPr>
        <w:t>a</w:t>
      </w:r>
      <w:r w:rsidRPr="001D2BAF">
        <w:rPr>
          <w:rFonts w:ascii="Times New Roman" w:hAnsi="Times New Roman"/>
          <w:sz w:val="24"/>
          <w:szCs w:val="24"/>
        </w:rPr>
        <w:t xml:space="preserve">cuity testing </w:t>
      </w:r>
      <w:r w:rsidR="00970312" w:rsidRPr="001D2BAF">
        <w:rPr>
          <w:rFonts w:ascii="Times New Roman" w:hAnsi="Times New Roman"/>
          <w:sz w:val="24"/>
          <w:szCs w:val="24"/>
        </w:rPr>
        <w:t xml:space="preserve">has been </w:t>
      </w:r>
      <w:r w:rsidR="00AE05BB" w:rsidRPr="001D2BAF">
        <w:rPr>
          <w:rFonts w:ascii="Times New Roman" w:hAnsi="Times New Roman"/>
          <w:sz w:val="24"/>
          <w:szCs w:val="24"/>
        </w:rPr>
        <w:t>performed</w:t>
      </w:r>
      <w:r w:rsidR="003D2A2A">
        <w:rPr>
          <w:rFonts w:ascii="Times New Roman" w:hAnsi="Times New Roman"/>
          <w:sz w:val="24"/>
          <w:szCs w:val="24"/>
        </w:rPr>
        <w:t xml:space="preserve"> by organizations other than BEP</w:t>
      </w:r>
      <w:r w:rsidR="006B2902">
        <w:rPr>
          <w:rFonts w:ascii="Times New Roman" w:hAnsi="Times New Roman"/>
          <w:sz w:val="24"/>
          <w:szCs w:val="24"/>
        </w:rPr>
        <w:t>, e</w:t>
      </w:r>
      <w:r w:rsidRPr="001D2BAF">
        <w:rPr>
          <w:rFonts w:ascii="Times New Roman" w:hAnsi="Times New Roman"/>
          <w:sz w:val="24"/>
          <w:szCs w:val="24"/>
        </w:rPr>
        <w:t xml:space="preserve">arlier acuity testing cannot be used for the BEP’s present purposes because </w:t>
      </w:r>
      <w:r w:rsidR="00970312" w:rsidRPr="001D2BAF">
        <w:rPr>
          <w:rFonts w:ascii="Times New Roman" w:hAnsi="Times New Roman"/>
          <w:sz w:val="24"/>
          <w:szCs w:val="24"/>
        </w:rPr>
        <w:t xml:space="preserve">the BEP will be asking for feedback about </w:t>
      </w:r>
      <w:r w:rsidRPr="001D2BAF">
        <w:rPr>
          <w:rFonts w:ascii="Times New Roman" w:hAnsi="Times New Roman"/>
          <w:sz w:val="24"/>
          <w:szCs w:val="24"/>
        </w:rPr>
        <w:t xml:space="preserve">specific sample tactile features which are being considered for incorporation into </w:t>
      </w:r>
      <w:r w:rsidR="00970312" w:rsidRPr="001D2BAF">
        <w:rPr>
          <w:rFonts w:ascii="Times New Roman" w:hAnsi="Times New Roman"/>
          <w:sz w:val="24"/>
          <w:szCs w:val="24"/>
        </w:rPr>
        <w:t xml:space="preserve">U.S. </w:t>
      </w:r>
      <w:r w:rsidR="007965B8" w:rsidRPr="001D2BAF">
        <w:rPr>
          <w:rFonts w:ascii="Times New Roman" w:hAnsi="Times New Roman"/>
          <w:sz w:val="24"/>
          <w:szCs w:val="24"/>
        </w:rPr>
        <w:t xml:space="preserve">paper </w:t>
      </w:r>
      <w:r w:rsidRPr="001D2BAF">
        <w:rPr>
          <w:rFonts w:ascii="Times New Roman" w:hAnsi="Times New Roman"/>
          <w:sz w:val="24"/>
          <w:szCs w:val="24"/>
        </w:rPr>
        <w:t xml:space="preserve">currency.  </w:t>
      </w:r>
      <w:r w:rsidR="00AE05BB" w:rsidRPr="001D2BAF">
        <w:rPr>
          <w:rFonts w:ascii="Times New Roman" w:hAnsi="Times New Roman"/>
          <w:sz w:val="24"/>
          <w:szCs w:val="24"/>
        </w:rPr>
        <w:t xml:space="preserve">Previous </w:t>
      </w:r>
      <w:r w:rsidR="00AC4A18">
        <w:rPr>
          <w:rFonts w:ascii="Times New Roman" w:hAnsi="Times New Roman"/>
          <w:sz w:val="24"/>
          <w:szCs w:val="24"/>
        </w:rPr>
        <w:t>studies performed by others on behalf of the Bank of Canada</w:t>
      </w:r>
      <w:r w:rsidR="00AC4A18" w:rsidRPr="001D2BAF">
        <w:rPr>
          <w:rFonts w:ascii="Times New Roman" w:hAnsi="Times New Roman"/>
          <w:sz w:val="24"/>
          <w:szCs w:val="24"/>
        </w:rPr>
        <w:t xml:space="preserve"> </w:t>
      </w:r>
      <w:r w:rsidRPr="001D2BAF">
        <w:rPr>
          <w:rFonts w:ascii="Times New Roman" w:hAnsi="Times New Roman"/>
          <w:sz w:val="24"/>
          <w:szCs w:val="24"/>
        </w:rPr>
        <w:t>involved samples and features different from those being contemplated for use in United States currency design</w:t>
      </w:r>
      <w:r w:rsidR="00AE05BB" w:rsidRPr="001D2BAF">
        <w:rPr>
          <w:rFonts w:ascii="Times New Roman" w:hAnsi="Times New Roman"/>
          <w:sz w:val="24"/>
          <w:szCs w:val="24"/>
        </w:rPr>
        <w:t>s</w:t>
      </w:r>
      <w:r w:rsidRPr="001D2BAF">
        <w:rPr>
          <w:rFonts w:ascii="Times New Roman" w:hAnsi="Times New Roman"/>
          <w:sz w:val="24"/>
          <w:szCs w:val="24"/>
        </w:rPr>
        <w:t>.</w:t>
      </w:r>
      <w:r w:rsidR="006B2902">
        <w:rPr>
          <w:rFonts w:ascii="Times New Roman" w:hAnsi="Times New Roman"/>
          <w:sz w:val="24"/>
          <w:szCs w:val="24"/>
        </w:rPr>
        <w:t xml:space="preserve"> </w:t>
      </w:r>
      <w:r w:rsidRPr="001D2BAF">
        <w:rPr>
          <w:rFonts w:ascii="Times New Roman" w:hAnsi="Times New Roman"/>
          <w:sz w:val="24"/>
          <w:szCs w:val="24"/>
        </w:rPr>
        <w:t xml:space="preserve"> </w:t>
      </w:r>
    </w:p>
    <w:p w:rsidR="00990FC7" w:rsidRPr="001D2BAF" w:rsidRDefault="00990FC7" w:rsidP="006C1CC9">
      <w:pPr>
        <w:spacing w:after="0" w:line="240" w:lineRule="auto"/>
        <w:ind w:firstLine="720"/>
        <w:rPr>
          <w:rFonts w:ascii="Times New Roman" w:hAnsi="Times New Roman"/>
          <w:sz w:val="24"/>
          <w:szCs w:val="24"/>
        </w:rPr>
      </w:pPr>
    </w:p>
    <w:p w:rsidR="006C1CC9" w:rsidRPr="001D2BAF" w:rsidRDefault="006C1CC9" w:rsidP="006C1CC9">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Impact on Small Entities</w:t>
      </w:r>
    </w:p>
    <w:p w:rsidR="006C1CC9" w:rsidRPr="001D2BAF" w:rsidRDefault="006C1CC9" w:rsidP="006C1CC9">
      <w:pPr>
        <w:spacing w:after="0" w:line="240" w:lineRule="auto"/>
        <w:ind w:firstLine="720"/>
        <w:rPr>
          <w:rFonts w:ascii="Times New Roman" w:hAnsi="Times New Roman"/>
          <w:sz w:val="24"/>
          <w:szCs w:val="24"/>
        </w:rPr>
      </w:pPr>
    </w:p>
    <w:p w:rsidR="00737228" w:rsidRDefault="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The data collection is not anticipated to burden small entities. </w:t>
      </w:r>
    </w:p>
    <w:p w:rsidR="006C1CC9" w:rsidRPr="001D2BAF" w:rsidRDefault="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 </w:t>
      </w:r>
    </w:p>
    <w:p w:rsidR="006C1CC9" w:rsidRPr="001D2BAF" w:rsidRDefault="006C1CC9" w:rsidP="006C1CC9">
      <w:pPr>
        <w:pStyle w:val="ColorfulList-Accent11"/>
        <w:numPr>
          <w:ilvl w:val="0"/>
          <w:numId w:val="4"/>
        </w:numPr>
        <w:spacing w:after="0" w:line="240" w:lineRule="auto"/>
        <w:rPr>
          <w:rFonts w:ascii="Times New Roman" w:hAnsi="Times New Roman"/>
          <w:sz w:val="24"/>
          <w:szCs w:val="24"/>
        </w:rPr>
      </w:pPr>
      <w:r w:rsidRPr="001D2BAF">
        <w:rPr>
          <w:rFonts w:ascii="Times New Roman" w:hAnsi="Times New Roman"/>
          <w:b/>
          <w:sz w:val="24"/>
          <w:szCs w:val="24"/>
        </w:rPr>
        <w:t xml:space="preserve">Consequences of Less Frequent Collection and Obstacles to Burden Reduction </w:t>
      </w: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6C1CC9">
      <w:pPr>
        <w:spacing w:after="0" w:line="240" w:lineRule="auto"/>
        <w:rPr>
          <w:rFonts w:ascii="Times New Roman" w:hAnsi="Times New Roman"/>
          <w:i/>
          <w:sz w:val="24"/>
          <w:szCs w:val="24"/>
        </w:rPr>
      </w:pPr>
      <w:proofErr w:type="gramStart"/>
      <w:r w:rsidRPr="001D2BAF">
        <w:rPr>
          <w:rFonts w:ascii="Times New Roman" w:hAnsi="Times New Roman"/>
          <w:i/>
          <w:sz w:val="24"/>
          <w:szCs w:val="24"/>
        </w:rPr>
        <w:t>Consequence to Federal program or policy activities if the collection is not conducted or is conducted less frequently.</w:t>
      </w:r>
      <w:proofErr w:type="gramEnd"/>
      <w:r w:rsidRPr="001D2BAF">
        <w:rPr>
          <w:rFonts w:ascii="Times New Roman" w:hAnsi="Times New Roman"/>
          <w:i/>
          <w:sz w:val="24"/>
          <w:szCs w:val="24"/>
        </w:rPr>
        <w:t xml:space="preserve"> </w:t>
      </w:r>
    </w:p>
    <w:p w:rsidR="006C1CC9" w:rsidRPr="001D2BAF" w:rsidRDefault="006C1CC9" w:rsidP="006C1CC9">
      <w:pPr>
        <w:spacing w:after="0" w:line="240" w:lineRule="auto"/>
        <w:ind w:firstLine="720"/>
        <w:rPr>
          <w:rFonts w:ascii="Times New Roman" w:hAnsi="Times New Roman"/>
          <w:sz w:val="24"/>
          <w:szCs w:val="24"/>
        </w:rPr>
      </w:pPr>
    </w:p>
    <w:p w:rsidR="00087947" w:rsidRPr="001D2BAF" w:rsidRDefault="009C76C6" w:rsidP="006C1CC9">
      <w:pPr>
        <w:spacing w:after="0" w:line="240" w:lineRule="auto"/>
        <w:ind w:firstLine="720"/>
        <w:rPr>
          <w:rFonts w:ascii="Times New Roman" w:hAnsi="Times New Roman"/>
          <w:sz w:val="24"/>
          <w:szCs w:val="24"/>
        </w:rPr>
      </w:pPr>
      <w:r>
        <w:rPr>
          <w:rFonts w:ascii="Times New Roman" w:hAnsi="Times New Roman"/>
          <w:sz w:val="24"/>
          <w:szCs w:val="24"/>
        </w:rPr>
        <w:t>One of t</w:t>
      </w:r>
      <w:r w:rsidR="00087947" w:rsidRPr="001D2BAF">
        <w:rPr>
          <w:rFonts w:ascii="Times New Roman" w:hAnsi="Times New Roman"/>
          <w:sz w:val="24"/>
          <w:szCs w:val="24"/>
        </w:rPr>
        <w:t xml:space="preserve">he best </w:t>
      </w:r>
      <w:r>
        <w:rPr>
          <w:rFonts w:ascii="Times New Roman" w:hAnsi="Times New Roman"/>
          <w:sz w:val="24"/>
          <w:szCs w:val="24"/>
        </w:rPr>
        <w:t xml:space="preserve">opportunities </w:t>
      </w:r>
      <w:r w:rsidR="00087947" w:rsidRPr="001D2BAF">
        <w:rPr>
          <w:rFonts w:ascii="Times New Roman" w:hAnsi="Times New Roman"/>
          <w:sz w:val="24"/>
          <w:szCs w:val="24"/>
        </w:rPr>
        <w:t xml:space="preserve">BEP has of </w:t>
      </w:r>
      <w:r w:rsidR="000D0C70" w:rsidRPr="001D2BAF">
        <w:rPr>
          <w:rFonts w:ascii="Times New Roman" w:hAnsi="Times New Roman"/>
          <w:sz w:val="24"/>
          <w:szCs w:val="24"/>
        </w:rPr>
        <w:t xml:space="preserve">engaging </w:t>
      </w:r>
      <w:r w:rsidR="00087947" w:rsidRPr="001D2BAF">
        <w:rPr>
          <w:rFonts w:ascii="Times New Roman" w:hAnsi="Times New Roman"/>
          <w:sz w:val="24"/>
          <w:szCs w:val="24"/>
        </w:rPr>
        <w:t xml:space="preserve">blind </w:t>
      </w:r>
      <w:r>
        <w:rPr>
          <w:rFonts w:ascii="Times New Roman" w:hAnsi="Times New Roman"/>
          <w:sz w:val="24"/>
          <w:szCs w:val="24"/>
        </w:rPr>
        <w:t xml:space="preserve">and visually impaired persons in evaluating the effectiveness of proposed raised tactile features currently under development is </w:t>
      </w:r>
      <w:r w:rsidR="00087947" w:rsidRPr="001D2BAF">
        <w:rPr>
          <w:rFonts w:ascii="Times New Roman" w:hAnsi="Times New Roman"/>
          <w:sz w:val="24"/>
          <w:szCs w:val="24"/>
        </w:rPr>
        <w:t>to meet with them directly a</w:t>
      </w:r>
      <w:r>
        <w:rPr>
          <w:rFonts w:ascii="Times New Roman" w:hAnsi="Times New Roman"/>
          <w:sz w:val="24"/>
          <w:szCs w:val="24"/>
        </w:rPr>
        <w:t>nd engage them in acuity/perception studies.</w:t>
      </w:r>
      <w:r w:rsidR="00E23E3D" w:rsidRPr="001D2BAF">
        <w:rPr>
          <w:rFonts w:ascii="Times New Roman" w:hAnsi="Times New Roman"/>
          <w:sz w:val="24"/>
          <w:szCs w:val="24"/>
        </w:rPr>
        <w:t xml:space="preserve">  </w:t>
      </w:r>
      <w:r w:rsidR="000D0C70" w:rsidRPr="001D2BAF">
        <w:rPr>
          <w:rFonts w:ascii="Times New Roman" w:hAnsi="Times New Roman"/>
          <w:sz w:val="24"/>
          <w:szCs w:val="24"/>
        </w:rPr>
        <w:t xml:space="preserve">These </w:t>
      </w:r>
      <w:r>
        <w:rPr>
          <w:rFonts w:ascii="Times New Roman" w:hAnsi="Times New Roman"/>
          <w:sz w:val="24"/>
          <w:szCs w:val="24"/>
        </w:rPr>
        <w:t xml:space="preserve">studies </w:t>
      </w:r>
      <w:r w:rsidR="00695B57">
        <w:rPr>
          <w:rFonts w:ascii="Times New Roman" w:hAnsi="Times New Roman"/>
          <w:sz w:val="24"/>
          <w:szCs w:val="24"/>
        </w:rPr>
        <w:t xml:space="preserve">will </w:t>
      </w:r>
      <w:r w:rsidR="000D0C70" w:rsidRPr="001D2BAF">
        <w:rPr>
          <w:rFonts w:ascii="Times New Roman" w:hAnsi="Times New Roman"/>
          <w:sz w:val="24"/>
          <w:szCs w:val="24"/>
        </w:rPr>
        <w:t xml:space="preserve">provide </w:t>
      </w:r>
      <w:r w:rsidR="00695B57">
        <w:rPr>
          <w:rFonts w:ascii="Times New Roman" w:hAnsi="Times New Roman"/>
          <w:sz w:val="24"/>
          <w:szCs w:val="24"/>
        </w:rPr>
        <w:t>the most effective means of assessing the effectiveness of candidate tactile features</w:t>
      </w:r>
      <w:r w:rsidR="000D0C70" w:rsidRPr="001D2BAF">
        <w:rPr>
          <w:rFonts w:ascii="Times New Roman" w:hAnsi="Times New Roman"/>
          <w:sz w:val="24"/>
          <w:szCs w:val="24"/>
        </w:rPr>
        <w:t xml:space="preserve">.  </w:t>
      </w:r>
      <w:r w:rsidR="00087947" w:rsidRPr="001D2BAF">
        <w:rPr>
          <w:rFonts w:ascii="Times New Roman" w:hAnsi="Times New Roman"/>
          <w:sz w:val="24"/>
          <w:szCs w:val="24"/>
        </w:rPr>
        <w:t>Th</w:t>
      </w:r>
      <w:r>
        <w:rPr>
          <w:rFonts w:ascii="Times New Roman" w:hAnsi="Times New Roman"/>
          <w:sz w:val="24"/>
          <w:szCs w:val="24"/>
        </w:rPr>
        <w:t xml:space="preserve">is feedback, along with that acquired at interactions with the blind and visually impaired community at conventions, conferences and other meetings, </w:t>
      </w:r>
      <w:r w:rsidR="00087947" w:rsidRPr="001D2BAF">
        <w:rPr>
          <w:rFonts w:ascii="Times New Roman" w:hAnsi="Times New Roman"/>
          <w:sz w:val="24"/>
          <w:szCs w:val="24"/>
        </w:rPr>
        <w:t>is crucial to the BEP’s goal of providing meaningful access to U.S. paper currency for blind and visually impaired persons.</w:t>
      </w:r>
      <w:r w:rsidR="00695B57">
        <w:rPr>
          <w:rFonts w:ascii="Times New Roman" w:hAnsi="Times New Roman"/>
          <w:sz w:val="24"/>
          <w:szCs w:val="24"/>
        </w:rPr>
        <w:t xml:space="preserve"> </w:t>
      </w:r>
      <w:r w:rsidR="00397141">
        <w:rPr>
          <w:rFonts w:ascii="Times New Roman" w:hAnsi="Times New Roman"/>
          <w:sz w:val="24"/>
          <w:szCs w:val="24"/>
        </w:rPr>
        <w:lastRenderedPageBreak/>
        <w:t>According to subject matter experts in the field of blindness, verified by limited testing by the BEP, b</w:t>
      </w:r>
      <w:r w:rsidR="00695B57">
        <w:rPr>
          <w:rFonts w:ascii="Times New Roman" w:hAnsi="Times New Roman"/>
          <w:sz w:val="24"/>
          <w:szCs w:val="24"/>
        </w:rPr>
        <w:t xml:space="preserve">lindfolded sighted individuals do not provide </w:t>
      </w:r>
      <w:r w:rsidR="00397141">
        <w:rPr>
          <w:rFonts w:ascii="Times New Roman" w:hAnsi="Times New Roman"/>
          <w:sz w:val="24"/>
          <w:szCs w:val="24"/>
        </w:rPr>
        <w:t>feedback representative of blind and visually impaired individuals.</w:t>
      </w:r>
    </w:p>
    <w:p w:rsidR="00087947" w:rsidRPr="001D2BAF" w:rsidRDefault="00087947" w:rsidP="006C1CC9">
      <w:pPr>
        <w:spacing w:after="0" w:line="240" w:lineRule="auto"/>
        <w:ind w:firstLine="720"/>
        <w:rPr>
          <w:rFonts w:ascii="Times New Roman" w:hAnsi="Times New Roman"/>
          <w:sz w:val="24"/>
          <w:szCs w:val="24"/>
        </w:rPr>
      </w:pPr>
    </w:p>
    <w:p w:rsidR="00087947" w:rsidRPr="001D2BAF" w:rsidRDefault="00087947" w:rsidP="006C1CC9">
      <w:pPr>
        <w:spacing w:after="0" w:line="240" w:lineRule="auto"/>
        <w:ind w:firstLine="720"/>
        <w:rPr>
          <w:rFonts w:ascii="Times New Roman" w:hAnsi="Times New Roman"/>
          <w:sz w:val="24"/>
          <w:szCs w:val="24"/>
        </w:rPr>
      </w:pPr>
      <w:r w:rsidRPr="001D2BAF">
        <w:rPr>
          <w:rFonts w:ascii="Times New Roman" w:hAnsi="Times New Roman"/>
          <w:sz w:val="24"/>
          <w:szCs w:val="24"/>
        </w:rPr>
        <w:t>The inability of BEP to collect this information means that BEP will have less direct input from the community of individuals for whom tactile features are being developed</w:t>
      </w:r>
      <w:r w:rsidR="007D3757" w:rsidRPr="001D2BAF">
        <w:rPr>
          <w:rFonts w:ascii="Times New Roman" w:hAnsi="Times New Roman"/>
          <w:sz w:val="24"/>
          <w:szCs w:val="24"/>
        </w:rPr>
        <w:t xml:space="preserve"> - </w:t>
      </w:r>
      <w:r w:rsidRPr="001D2BAF">
        <w:rPr>
          <w:rFonts w:ascii="Times New Roman" w:hAnsi="Times New Roman"/>
          <w:sz w:val="24"/>
          <w:szCs w:val="24"/>
        </w:rPr>
        <w:t xml:space="preserve">blind and visually impaired persons.  </w:t>
      </w:r>
    </w:p>
    <w:p w:rsidR="00087947" w:rsidRPr="001D2BAF" w:rsidRDefault="00087947" w:rsidP="006C1CC9">
      <w:pPr>
        <w:spacing w:after="0" w:line="240" w:lineRule="auto"/>
        <w:ind w:firstLine="720"/>
        <w:rPr>
          <w:rFonts w:ascii="Times New Roman" w:hAnsi="Times New Roman"/>
          <w:sz w:val="24"/>
          <w:szCs w:val="24"/>
        </w:rPr>
      </w:pPr>
    </w:p>
    <w:p w:rsidR="006C1CC9" w:rsidRPr="001D2BAF" w:rsidRDefault="006C1CC9" w:rsidP="006C1CC9">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Circumstances Requiring Special Information Collection</w:t>
      </w:r>
    </w:p>
    <w:p w:rsidR="006C1CC9" w:rsidRPr="001D2BAF" w:rsidRDefault="006C1CC9" w:rsidP="006C1CC9">
      <w:pPr>
        <w:spacing w:after="0" w:line="240" w:lineRule="auto"/>
        <w:rPr>
          <w:rFonts w:ascii="Times New Roman" w:hAnsi="Times New Roman"/>
          <w:sz w:val="24"/>
          <w:szCs w:val="24"/>
        </w:rPr>
      </w:pPr>
    </w:p>
    <w:p w:rsidR="00EF2A3D" w:rsidRDefault="00EF2A3D" w:rsidP="00EF2A3D">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There are no special circumstances involved in this information collection.  </w:t>
      </w:r>
    </w:p>
    <w:p w:rsidR="00335FB9" w:rsidRDefault="00335FB9" w:rsidP="00EF2A3D">
      <w:pPr>
        <w:spacing w:after="0" w:line="240" w:lineRule="auto"/>
        <w:ind w:firstLine="720"/>
        <w:rPr>
          <w:rFonts w:ascii="Times New Roman" w:hAnsi="Times New Roman"/>
          <w:sz w:val="24"/>
          <w:szCs w:val="24"/>
        </w:rPr>
      </w:pPr>
    </w:p>
    <w:p w:rsidR="006C1CC9" w:rsidRDefault="006C1CC9" w:rsidP="006C1CC9">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Solicitation of Comments on Information Collection</w:t>
      </w:r>
    </w:p>
    <w:p w:rsidR="00B94096" w:rsidRDefault="00B94096" w:rsidP="00737228">
      <w:pPr>
        <w:pStyle w:val="ColorfulList-Accent11"/>
        <w:spacing w:after="0" w:line="240" w:lineRule="auto"/>
        <w:rPr>
          <w:rFonts w:ascii="Times New Roman" w:hAnsi="Times New Roman"/>
          <w:b/>
          <w:sz w:val="24"/>
          <w:szCs w:val="24"/>
        </w:rPr>
      </w:pPr>
    </w:p>
    <w:p w:rsidR="00B94096" w:rsidRDefault="00B94096" w:rsidP="00737228">
      <w:pPr>
        <w:spacing w:after="0" w:line="240" w:lineRule="auto"/>
        <w:ind w:firstLine="720"/>
        <w:rPr>
          <w:rFonts w:ascii="Times New Roman" w:hAnsi="Times New Roman"/>
          <w:sz w:val="24"/>
          <w:szCs w:val="24"/>
        </w:rPr>
      </w:pPr>
      <w:r w:rsidRPr="00737228">
        <w:rPr>
          <w:rFonts w:ascii="Times New Roman" w:hAnsi="Times New Roman"/>
          <w:sz w:val="24"/>
          <w:szCs w:val="24"/>
        </w:rPr>
        <w:t xml:space="preserve">As required by 5 CFR 1320.8(d), a notice of this proposed data collection appeared in the Federal Register, Vol. 77, No. 19, p. 4626-27 on January 30, 2012. </w:t>
      </w:r>
      <w:r w:rsidRPr="00737228">
        <w:rPr>
          <w:rFonts w:ascii="Times New Roman" w:hAnsi="Times New Roman"/>
          <w:i/>
          <w:sz w:val="24"/>
          <w:szCs w:val="24"/>
        </w:rPr>
        <w:t>See</w:t>
      </w:r>
      <w:r w:rsidRPr="00737228">
        <w:rPr>
          <w:rFonts w:ascii="Times New Roman" w:hAnsi="Times New Roman"/>
          <w:sz w:val="24"/>
          <w:szCs w:val="24"/>
        </w:rPr>
        <w:t xml:space="preserve"> Attach. </w:t>
      </w:r>
      <w:r w:rsidR="00177015">
        <w:rPr>
          <w:rFonts w:ascii="Times New Roman" w:hAnsi="Times New Roman"/>
          <w:sz w:val="24"/>
          <w:szCs w:val="24"/>
        </w:rPr>
        <w:t>3</w:t>
      </w:r>
      <w:r w:rsidRPr="00737228">
        <w:rPr>
          <w:rFonts w:ascii="Times New Roman" w:hAnsi="Times New Roman"/>
          <w:sz w:val="24"/>
          <w:szCs w:val="24"/>
        </w:rPr>
        <w:t xml:space="preserve">.  There were no public comments.  </w:t>
      </w:r>
      <w:r>
        <w:rPr>
          <w:rFonts w:ascii="Times New Roman" w:hAnsi="Times New Roman"/>
          <w:sz w:val="24"/>
          <w:szCs w:val="24"/>
        </w:rPr>
        <w:t xml:space="preserve">An updated 30-day notice of this proposed data collection appeared in the Federal Register, </w:t>
      </w:r>
      <w:r w:rsidR="000378A9">
        <w:rPr>
          <w:rFonts w:ascii="Times New Roman" w:hAnsi="Times New Roman"/>
          <w:sz w:val="24"/>
          <w:szCs w:val="24"/>
        </w:rPr>
        <w:t xml:space="preserve">Vol. 78, </w:t>
      </w:r>
      <w:proofErr w:type="gramStart"/>
      <w:r w:rsidR="000378A9">
        <w:rPr>
          <w:rFonts w:ascii="Times New Roman" w:hAnsi="Times New Roman"/>
          <w:sz w:val="24"/>
          <w:szCs w:val="24"/>
        </w:rPr>
        <w:t>p</w:t>
      </w:r>
      <w:proofErr w:type="gramEnd"/>
      <w:r w:rsidR="000378A9">
        <w:rPr>
          <w:rFonts w:ascii="Times New Roman" w:hAnsi="Times New Roman"/>
          <w:sz w:val="24"/>
          <w:szCs w:val="24"/>
        </w:rPr>
        <w:t>. 27,295</w:t>
      </w:r>
      <w:r>
        <w:rPr>
          <w:rFonts w:ascii="Times New Roman" w:hAnsi="Times New Roman"/>
          <w:sz w:val="24"/>
          <w:szCs w:val="24"/>
        </w:rPr>
        <w:t xml:space="preserve"> on May 9, 2013.  </w:t>
      </w:r>
      <w:r w:rsidRPr="00737228">
        <w:rPr>
          <w:rFonts w:ascii="Times New Roman" w:hAnsi="Times New Roman"/>
          <w:i/>
          <w:sz w:val="24"/>
          <w:szCs w:val="24"/>
        </w:rPr>
        <w:t>See</w:t>
      </w:r>
      <w:r>
        <w:rPr>
          <w:rFonts w:ascii="Times New Roman" w:hAnsi="Times New Roman"/>
          <w:sz w:val="24"/>
          <w:szCs w:val="24"/>
        </w:rPr>
        <w:t xml:space="preserve"> Attach. </w:t>
      </w:r>
      <w:r w:rsidR="00177015">
        <w:rPr>
          <w:rFonts w:ascii="Times New Roman" w:hAnsi="Times New Roman"/>
          <w:sz w:val="24"/>
          <w:szCs w:val="24"/>
        </w:rPr>
        <w:t>4</w:t>
      </w:r>
      <w:r>
        <w:rPr>
          <w:rFonts w:ascii="Times New Roman" w:hAnsi="Times New Roman"/>
          <w:sz w:val="24"/>
          <w:szCs w:val="24"/>
        </w:rPr>
        <w:t xml:space="preserve">.  There were also no public comments. </w:t>
      </w:r>
    </w:p>
    <w:p w:rsidR="00B94096" w:rsidRDefault="00B94096" w:rsidP="00737228">
      <w:pPr>
        <w:spacing w:after="0" w:line="240" w:lineRule="auto"/>
        <w:ind w:firstLine="720"/>
        <w:rPr>
          <w:rFonts w:ascii="Times New Roman" w:hAnsi="Times New Roman"/>
          <w:sz w:val="24"/>
          <w:szCs w:val="24"/>
        </w:rPr>
      </w:pPr>
    </w:p>
    <w:p w:rsidR="00B94096" w:rsidRPr="00737228" w:rsidRDefault="00B94096" w:rsidP="00737228">
      <w:pPr>
        <w:spacing w:after="0" w:line="240" w:lineRule="auto"/>
        <w:ind w:firstLine="720"/>
        <w:rPr>
          <w:rFonts w:ascii="Times New Roman" w:hAnsi="Times New Roman"/>
          <w:sz w:val="24"/>
          <w:szCs w:val="24"/>
        </w:rPr>
      </w:pPr>
      <w:r w:rsidRPr="00737228">
        <w:rPr>
          <w:rFonts w:ascii="Times New Roman" w:hAnsi="Times New Roman"/>
          <w:sz w:val="24"/>
          <w:szCs w:val="24"/>
        </w:rPr>
        <w:t xml:space="preserve">The </w:t>
      </w:r>
      <w:proofErr w:type="gramStart"/>
      <w:r w:rsidRPr="00737228">
        <w:rPr>
          <w:rFonts w:ascii="Times New Roman" w:hAnsi="Times New Roman"/>
          <w:sz w:val="24"/>
          <w:szCs w:val="24"/>
        </w:rPr>
        <w:t>BEP,</w:t>
      </w:r>
      <w:proofErr w:type="gramEnd"/>
      <w:r w:rsidRPr="00737228">
        <w:rPr>
          <w:rFonts w:ascii="Times New Roman" w:hAnsi="Times New Roman"/>
          <w:sz w:val="24"/>
          <w:szCs w:val="24"/>
        </w:rPr>
        <w:t xml:space="preserve"> als</w:t>
      </w:r>
      <w:r w:rsidR="003D2A2A">
        <w:rPr>
          <w:rFonts w:ascii="Times New Roman" w:hAnsi="Times New Roman"/>
          <w:sz w:val="24"/>
          <w:szCs w:val="24"/>
        </w:rPr>
        <w:t>o</w:t>
      </w:r>
      <w:r w:rsidRPr="00737228">
        <w:rPr>
          <w:rFonts w:ascii="Times New Roman" w:hAnsi="Times New Roman"/>
          <w:sz w:val="24"/>
          <w:szCs w:val="24"/>
        </w:rPr>
        <w:t xml:space="preserve"> solicited and accepted comments on the means by which blind and visually impaired persons could be provided meaningful access to United States paper currency</w:t>
      </w:r>
      <w:r w:rsidR="003D2A2A">
        <w:rPr>
          <w:rFonts w:ascii="Times New Roman" w:hAnsi="Times New Roman"/>
          <w:sz w:val="24"/>
          <w:szCs w:val="24"/>
        </w:rPr>
        <w:t xml:space="preserve"> previously in 2010</w:t>
      </w:r>
      <w:r w:rsidRPr="00737228">
        <w:rPr>
          <w:rFonts w:ascii="Times New Roman" w:hAnsi="Times New Roman"/>
          <w:sz w:val="24"/>
          <w:szCs w:val="24"/>
        </w:rPr>
        <w:t xml:space="preserve">.  A copy of the Federal Reserve notice is attached.  </w:t>
      </w:r>
      <w:r w:rsidRPr="00737228">
        <w:rPr>
          <w:rFonts w:ascii="Times New Roman" w:hAnsi="Times New Roman"/>
          <w:i/>
          <w:sz w:val="24"/>
          <w:szCs w:val="24"/>
        </w:rPr>
        <w:t>See</w:t>
      </w:r>
      <w:r w:rsidRPr="00737228">
        <w:rPr>
          <w:rFonts w:ascii="Times New Roman" w:hAnsi="Times New Roman"/>
          <w:sz w:val="24"/>
          <w:szCs w:val="24"/>
        </w:rPr>
        <w:t xml:space="preserve"> 75 Fed. Reg. 28,331 (May 20, 2010), Attach. </w:t>
      </w:r>
      <w:proofErr w:type="gramStart"/>
      <w:r w:rsidR="00177015">
        <w:rPr>
          <w:rFonts w:ascii="Times New Roman" w:hAnsi="Times New Roman"/>
          <w:sz w:val="24"/>
          <w:szCs w:val="24"/>
        </w:rPr>
        <w:t>5</w:t>
      </w:r>
      <w:r w:rsidRPr="00737228">
        <w:rPr>
          <w:rFonts w:ascii="Times New Roman" w:hAnsi="Times New Roman"/>
          <w:sz w:val="24"/>
          <w:szCs w:val="24"/>
        </w:rPr>
        <w:t>,</w:t>
      </w:r>
      <w:proofErr w:type="gramEnd"/>
      <w:r w:rsidRPr="00737228">
        <w:rPr>
          <w:rFonts w:ascii="Times New Roman" w:hAnsi="Times New Roman"/>
          <w:sz w:val="24"/>
          <w:szCs w:val="24"/>
        </w:rPr>
        <w:t xml:space="preserve"> Tab 4.  </w:t>
      </w:r>
    </w:p>
    <w:p w:rsidR="00E22C6F" w:rsidRPr="00E22C6F" w:rsidRDefault="00E22C6F" w:rsidP="00E22C6F">
      <w:pPr>
        <w:pStyle w:val="ColorfulList-Accent11"/>
        <w:spacing w:after="0" w:line="240" w:lineRule="auto"/>
        <w:rPr>
          <w:rFonts w:ascii="Times New Roman" w:hAnsi="Times New Roman"/>
          <w:b/>
          <w:color w:val="FF0000"/>
          <w:sz w:val="24"/>
          <w:szCs w:val="24"/>
        </w:rPr>
      </w:pPr>
    </w:p>
    <w:p w:rsidR="00E22C6F" w:rsidRDefault="00E22C6F" w:rsidP="00E22C6F">
      <w:pPr>
        <w:pStyle w:val="ColorfulList-Accent11"/>
        <w:spacing w:after="0" w:line="240" w:lineRule="auto"/>
        <w:rPr>
          <w:rFonts w:ascii="Times New Roman" w:hAnsi="Times New Roman"/>
          <w:b/>
          <w:sz w:val="24"/>
          <w:szCs w:val="24"/>
        </w:rPr>
      </w:pPr>
    </w:p>
    <w:p w:rsidR="006C1CC9" w:rsidRPr="001D2BAF" w:rsidRDefault="004A2AF9" w:rsidP="006C1CC9">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Payment or Gift to Respondents, Other Than Remuneration of Contractors or Grantees</w:t>
      </w:r>
      <w:r w:rsidR="006C1CC9" w:rsidRPr="001D2BAF">
        <w:rPr>
          <w:rFonts w:ascii="Times New Roman" w:hAnsi="Times New Roman"/>
          <w:b/>
          <w:sz w:val="24"/>
          <w:szCs w:val="24"/>
        </w:rPr>
        <w:t xml:space="preserve"> </w:t>
      </w:r>
    </w:p>
    <w:p w:rsidR="006C1CC9" w:rsidRPr="001D2BAF" w:rsidRDefault="006C1CC9" w:rsidP="006C1CC9">
      <w:pPr>
        <w:spacing w:after="0" w:line="240" w:lineRule="auto"/>
        <w:ind w:firstLine="720"/>
        <w:rPr>
          <w:rFonts w:ascii="Times New Roman" w:hAnsi="Times New Roman"/>
          <w:sz w:val="24"/>
          <w:szCs w:val="24"/>
        </w:rPr>
      </w:pPr>
    </w:p>
    <w:p w:rsidR="006C1CC9" w:rsidRPr="001D2BAF" w:rsidRDefault="00F67022" w:rsidP="006C1CC9">
      <w:pPr>
        <w:spacing w:after="0" w:line="240" w:lineRule="auto"/>
        <w:ind w:firstLine="720"/>
        <w:rPr>
          <w:rFonts w:ascii="Times New Roman" w:hAnsi="Times New Roman"/>
          <w:sz w:val="24"/>
          <w:szCs w:val="24"/>
        </w:rPr>
      </w:pPr>
      <w:r>
        <w:rPr>
          <w:rFonts w:ascii="Times New Roman" w:hAnsi="Times New Roman"/>
          <w:sz w:val="24"/>
          <w:szCs w:val="24"/>
        </w:rPr>
        <w:t xml:space="preserve">Each participant </w:t>
      </w:r>
      <w:r w:rsidR="006C1CC9" w:rsidRPr="001D2BAF">
        <w:rPr>
          <w:rFonts w:ascii="Times New Roman" w:hAnsi="Times New Roman"/>
          <w:sz w:val="24"/>
          <w:szCs w:val="24"/>
        </w:rPr>
        <w:t>will</w:t>
      </w:r>
      <w:r>
        <w:rPr>
          <w:rFonts w:ascii="Times New Roman" w:hAnsi="Times New Roman"/>
          <w:sz w:val="24"/>
          <w:szCs w:val="24"/>
        </w:rPr>
        <w:t xml:space="preserve"> receive a small payment, estimated to be $</w:t>
      </w:r>
      <w:r w:rsidR="00CA7CAA">
        <w:rPr>
          <w:rFonts w:ascii="Times New Roman" w:hAnsi="Times New Roman"/>
          <w:sz w:val="24"/>
          <w:szCs w:val="24"/>
        </w:rPr>
        <w:t xml:space="preserve">45 </w:t>
      </w:r>
      <w:r>
        <w:rPr>
          <w:rFonts w:ascii="Times New Roman" w:hAnsi="Times New Roman"/>
          <w:sz w:val="24"/>
          <w:szCs w:val="24"/>
        </w:rPr>
        <w:t>or less, from the study administrator for participating in the study</w:t>
      </w:r>
      <w:r w:rsidR="00397141">
        <w:rPr>
          <w:rFonts w:ascii="Times New Roman" w:hAnsi="Times New Roman"/>
          <w:sz w:val="24"/>
          <w:szCs w:val="24"/>
        </w:rPr>
        <w:t>, and/or to offset expenses directly attributable to their participation in the study, such as taxi fare or the use of public transportation.</w:t>
      </w:r>
    </w:p>
    <w:p w:rsidR="006C1CC9" w:rsidRPr="001D2BAF" w:rsidRDefault="006C1CC9" w:rsidP="006C1CC9">
      <w:pPr>
        <w:spacing w:after="0" w:line="240" w:lineRule="auto"/>
        <w:ind w:firstLine="720"/>
        <w:rPr>
          <w:rFonts w:ascii="Times New Roman" w:hAnsi="Times New Roman"/>
          <w:sz w:val="24"/>
          <w:szCs w:val="24"/>
        </w:rPr>
      </w:pPr>
    </w:p>
    <w:p w:rsidR="003F07A1" w:rsidRPr="001D2BAF" w:rsidRDefault="003F07A1" w:rsidP="0054620E">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 xml:space="preserve">Assurance of Confidentiality </w:t>
      </w:r>
    </w:p>
    <w:p w:rsidR="006C1CC9" w:rsidRPr="001D2BAF" w:rsidRDefault="006C1CC9" w:rsidP="006C1CC9">
      <w:pPr>
        <w:spacing w:after="0" w:line="240" w:lineRule="auto"/>
        <w:ind w:firstLine="720"/>
        <w:rPr>
          <w:rFonts w:ascii="Times New Roman" w:hAnsi="Times New Roman"/>
          <w:sz w:val="24"/>
          <w:szCs w:val="24"/>
        </w:rPr>
      </w:pPr>
    </w:p>
    <w:p w:rsidR="00CA3575"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Participants will be </w:t>
      </w:r>
      <w:r w:rsidR="00CA3575" w:rsidRPr="001D2BAF">
        <w:rPr>
          <w:rFonts w:ascii="Times New Roman" w:hAnsi="Times New Roman"/>
          <w:sz w:val="24"/>
          <w:szCs w:val="24"/>
        </w:rPr>
        <w:t>informed:</w:t>
      </w:r>
    </w:p>
    <w:p w:rsidR="00CA3575" w:rsidRPr="001D2BAF" w:rsidRDefault="00CA3575" w:rsidP="006C1CC9">
      <w:pPr>
        <w:spacing w:after="0" w:line="240" w:lineRule="auto"/>
        <w:ind w:firstLine="720"/>
        <w:rPr>
          <w:rFonts w:ascii="Times New Roman" w:hAnsi="Times New Roman"/>
          <w:sz w:val="24"/>
          <w:szCs w:val="24"/>
        </w:rPr>
      </w:pPr>
    </w:p>
    <w:p w:rsidR="00CA3575" w:rsidRPr="001D2BAF" w:rsidRDefault="00CA3575"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t>Why the information is being collected;</w:t>
      </w:r>
    </w:p>
    <w:p w:rsidR="00CA3575" w:rsidRPr="001D2BAF" w:rsidRDefault="00CA3575"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t>How the information provided during the testing will be used;</w:t>
      </w:r>
    </w:p>
    <w:p w:rsidR="00CA3575" w:rsidRPr="001D2BAF" w:rsidRDefault="00CA3575"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t>The burden estimated by</w:t>
      </w:r>
      <w:r w:rsidR="009E2181" w:rsidRPr="001D2BAF">
        <w:rPr>
          <w:rFonts w:ascii="Times New Roman" w:hAnsi="Times New Roman"/>
          <w:sz w:val="24"/>
          <w:szCs w:val="24"/>
        </w:rPr>
        <w:t xml:space="preserve"> the BEP</w:t>
      </w:r>
      <w:r w:rsidRPr="001D2BAF">
        <w:rPr>
          <w:rFonts w:ascii="Times New Roman" w:hAnsi="Times New Roman"/>
          <w:sz w:val="24"/>
          <w:szCs w:val="24"/>
        </w:rPr>
        <w:t>;</w:t>
      </w:r>
      <w:r w:rsidR="006160CF">
        <w:rPr>
          <w:rFonts w:ascii="Times New Roman" w:hAnsi="Times New Roman"/>
          <w:sz w:val="24"/>
          <w:szCs w:val="24"/>
        </w:rPr>
        <w:t xml:space="preserve"> (approximately </w:t>
      </w:r>
      <w:r w:rsidR="00397141">
        <w:rPr>
          <w:rFonts w:ascii="Times New Roman" w:hAnsi="Times New Roman"/>
          <w:sz w:val="24"/>
          <w:szCs w:val="24"/>
        </w:rPr>
        <w:t>30</w:t>
      </w:r>
      <w:r w:rsidR="006160CF">
        <w:rPr>
          <w:rFonts w:ascii="Times New Roman" w:hAnsi="Times New Roman"/>
          <w:sz w:val="24"/>
          <w:szCs w:val="24"/>
        </w:rPr>
        <w:t xml:space="preserve"> to 9</w:t>
      </w:r>
      <w:r w:rsidR="00E158D7" w:rsidRPr="001D2BAF">
        <w:rPr>
          <w:rFonts w:ascii="Times New Roman" w:hAnsi="Times New Roman"/>
          <w:sz w:val="24"/>
          <w:szCs w:val="24"/>
        </w:rPr>
        <w:t>0</w:t>
      </w:r>
      <w:r w:rsidR="00AE05BB" w:rsidRPr="001D2BAF">
        <w:rPr>
          <w:rFonts w:ascii="Times New Roman" w:hAnsi="Times New Roman"/>
          <w:sz w:val="24"/>
          <w:szCs w:val="24"/>
        </w:rPr>
        <w:t xml:space="preserve"> minutes per participant</w:t>
      </w:r>
      <w:r w:rsidR="00397141">
        <w:rPr>
          <w:rFonts w:ascii="Times New Roman" w:hAnsi="Times New Roman"/>
          <w:sz w:val="24"/>
          <w:szCs w:val="24"/>
        </w:rPr>
        <w:t>, depending on the study protocol ultimately chosen</w:t>
      </w:r>
      <w:r w:rsidR="00AE05BB" w:rsidRPr="001D2BAF">
        <w:rPr>
          <w:rFonts w:ascii="Times New Roman" w:hAnsi="Times New Roman"/>
          <w:sz w:val="24"/>
          <w:szCs w:val="24"/>
        </w:rPr>
        <w:t>)</w:t>
      </w:r>
    </w:p>
    <w:p w:rsidR="00CA3575" w:rsidRPr="001D2BAF" w:rsidRDefault="00CA3575"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t xml:space="preserve">The nature of their response, which in this case will be voluntary; </w:t>
      </w:r>
    </w:p>
    <w:p w:rsidR="002078BE" w:rsidRPr="001D2BAF" w:rsidRDefault="00CA3575"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t xml:space="preserve">The nature and extent of confidentiality, which in this case will </w:t>
      </w:r>
      <w:r w:rsidR="00057A22" w:rsidRPr="001D2BAF">
        <w:rPr>
          <w:rFonts w:ascii="Times New Roman" w:hAnsi="Times New Roman"/>
          <w:sz w:val="24"/>
          <w:szCs w:val="24"/>
        </w:rPr>
        <w:t xml:space="preserve">be maintained by BEP as nonpublic information.  Respondents will be informed, however, that the information provided will be subject to disclosure under the Freedom of Information Act.  </w:t>
      </w:r>
    </w:p>
    <w:p w:rsidR="006C1CC9" w:rsidRPr="001D2BAF" w:rsidRDefault="002078BE" w:rsidP="00CA3575">
      <w:pPr>
        <w:numPr>
          <w:ilvl w:val="0"/>
          <w:numId w:val="9"/>
        </w:numPr>
        <w:spacing w:after="0" w:line="240" w:lineRule="auto"/>
        <w:rPr>
          <w:rFonts w:ascii="Times New Roman" w:hAnsi="Times New Roman"/>
          <w:sz w:val="24"/>
          <w:szCs w:val="24"/>
        </w:rPr>
      </w:pPr>
      <w:r w:rsidRPr="001D2BAF">
        <w:rPr>
          <w:rFonts w:ascii="Times New Roman" w:hAnsi="Times New Roman"/>
          <w:sz w:val="24"/>
          <w:szCs w:val="24"/>
        </w:rPr>
        <w:lastRenderedPageBreak/>
        <w:t>Further, participants will be notified of BEP’s need to display or otherwise inform them of a currently valid OMB control number.  To the exten</w:t>
      </w:r>
      <w:r w:rsidR="00E158D7" w:rsidRPr="001D2BAF">
        <w:rPr>
          <w:rFonts w:ascii="Times New Roman" w:hAnsi="Times New Roman"/>
          <w:sz w:val="24"/>
          <w:szCs w:val="24"/>
        </w:rPr>
        <w:t>t that number is available</w:t>
      </w:r>
      <w:r w:rsidRPr="001D2BAF">
        <w:rPr>
          <w:rFonts w:ascii="Times New Roman" w:hAnsi="Times New Roman"/>
          <w:sz w:val="24"/>
          <w:szCs w:val="24"/>
        </w:rPr>
        <w:t>, it will be provided.</w:t>
      </w:r>
      <w:r w:rsidR="00CA3575" w:rsidRPr="001D2BAF">
        <w:rPr>
          <w:rFonts w:ascii="Times New Roman" w:hAnsi="Times New Roman"/>
          <w:sz w:val="24"/>
          <w:szCs w:val="24"/>
        </w:rPr>
        <w:t xml:space="preserve"> </w:t>
      </w:r>
    </w:p>
    <w:p w:rsidR="006C1CC9" w:rsidRPr="001D2BAF" w:rsidRDefault="006C1CC9" w:rsidP="006C1CC9">
      <w:pPr>
        <w:spacing w:after="0" w:line="240" w:lineRule="auto"/>
        <w:ind w:firstLine="720"/>
        <w:rPr>
          <w:rFonts w:ascii="Times New Roman" w:hAnsi="Times New Roman"/>
          <w:sz w:val="24"/>
          <w:szCs w:val="24"/>
        </w:rPr>
      </w:pPr>
    </w:p>
    <w:p w:rsidR="006C1CC9" w:rsidRPr="001D2BAF" w:rsidRDefault="006160CF" w:rsidP="006C1CC9">
      <w:pPr>
        <w:spacing w:after="0" w:line="240" w:lineRule="auto"/>
        <w:ind w:firstLine="720"/>
        <w:rPr>
          <w:rFonts w:ascii="Times New Roman" w:hAnsi="Times New Roman"/>
          <w:sz w:val="24"/>
          <w:szCs w:val="24"/>
        </w:rPr>
      </w:pPr>
      <w:r>
        <w:rPr>
          <w:rFonts w:ascii="Times New Roman" w:hAnsi="Times New Roman"/>
          <w:sz w:val="24"/>
          <w:szCs w:val="24"/>
        </w:rPr>
        <w:t>The actual script to be used will be developed by the study administrator and reviewed by Treasury and OMB prior to use.</w:t>
      </w:r>
      <w:r w:rsidR="00D92745" w:rsidRPr="001D2BAF">
        <w:rPr>
          <w:rFonts w:ascii="Times New Roman" w:hAnsi="Times New Roman"/>
          <w:sz w:val="24"/>
          <w:szCs w:val="24"/>
        </w:rPr>
        <w:t xml:space="preserve"> </w:t>
      </w:r>
      <w:r w:rsidR="009E2181" w:rsidRPr="001D2BAF">
        <w:rPr>
          <w:rFonts w:ascii="Times New Roman" w:hAnsi="Times New Roman"/>
          <w:sz w:val="24"/>
          <w:szCs w:val="24"/>
        </w:rPr>
        <w:t xml:space="preserve">The BEP will </w:t>
      </w:r>
      <w:r w:rsidR="00D92745" w:rsidRPr="001D2BAF">
        <w:rPr>
          <w:rFonts w:ascii="Times New Roman" w:hAnsi="Times New Roman"/>
          <w:sz w:val="24"/>
          <w:szCs w:val="24"/>
        </w:rPr>
        <w:t xml:space="preserve">not ask a participant </w:t>
      </w:r>
      <w:r w:rsidR="00057A22" w:rsidRPr="001D2BAF">
        <w:rPr>
          <w:rFonts w:ascii="Times New Roman" w:hAnsi="Times New Roman"/>
          <w:sz w:val="24"/>
          <w:szCs w:val="24"/>
        </w:rPr>
        <w:t xml:space="preserve">for his or her name, address, phone number, social security number, </w:t>
      </w:r>
      <w:r w:rsidR="00397141">
        <w:rPr>
          <w:rFonts w:ascii="Times New Roman" w:hAnsi="Times New Roman"/>
          <w:sz w:val="24"/>
          <w:szCs w:val="24"/>
        </w:rPr>
        <w:t xml:space="preserve">date of birth, </w:t>
      </w:r>
      <w:r w:rsidR="00057A22" w:rsidRPr="001D2BAF">
        <w:rPr>
          <w:rFonts w:ascii="Times New Roman" w:hAnsi="Times New Roman"/>
          <w:sz w:val="24"/>
          <w:szCs w:val="24"/>
        </w:rPr>
        <w:t xml:space="preserve">or for any other information that may be personally identifiable. </w:t>
      </w:r>
      <w:r w:rsidR="009E2181" w:rsidRPr="001D2BAF">
        <w:rPr>
          <w:rFonts w:ascii="Times New Roman" w:hAnsi="Times New Roman"/>
          <w:sz w:val="24"/>
          <w:szCs w:val="24"/>
        </w:rPr>
        <w:t xml:space="preserve"> </w:t>
      </w:r>
    </w:p>
    <w:p w:rsidR="00CB39FB" w:rsidRPr="001D2BAF" w:rsidRDefault="00CB39FB" w:rsidP="006C1CC9">
      <w:pPr>
        <w:spacing w:after="0" w:line="240" w:lineRule="auto"/>
        <w:ind w:firstLine="720"/>
        <w:rPr>
          <w:rFonts w:ascii="Times New Roman" w:hAnsi="Times New Roman"/>
          <w:sz w:val="24"/>
          <w:szCs w:val="24"/>
        </w:rPr>
      </w:pPr>
    </w:p>
    <w:p w:rsidR="006C1CC9" w:rsidRPr="001D2BAF" w:rsidRDefault="006C1CC9" w:rsidP="006C1CC9">
      <w:pPr>
        <w:pStyle w:val="ColorfulList-Accent11"/>
        <w:numPr>
          <w:ilvl w:val="0"/>
          <w:numId w:val="4"/>
        </w:numPr>
        <w:tabs>
          <w:tab w:val="left" w:pos="900"/>
        </w:tabs>
        <w:spacing w:after="0" w:line="240" w:lineRule="auto"/>
        <w:rPr>
          <w:rFonts w:ascii="Times New Roman" w:hAnsi="Times New Roman"/>
          <w:b/>
          <w:sz w:val="24"/>
          <w:szCs w:val="24"/>
        </w:rPr>
      </w:pPr>
      <w:r w:rsidRPr="001D2BAF">
        <w:rPr>
          <w:rFonts w:ascii="Times New Roman" w:hAnsi="Times New Roman"/>
          <w:b/>
          <w:sz w:val="24"/>
          <w:szCs w:val="24"/>
        </w:rPr>
        <w:t>Justification of Sensitive Questions</w:t>
      </w:r>
    </w:p>
    <w:p w:rsidR="006C1CC9" w:rsidRPr="001D2BAF" w:rsidRDefault="006C1CC9" w:rsidP="006C1CC9">
      <w:pPr>
        <w:pStyle w:val="ColorfulList-Accent11"/>
        <w:spacing w:after="0" w:line="240" w:lineRule="auto"/>
        <w:ind w:firstLine="720"/>
        <w:rPr>
          <w:rFonts w:ascii="Times New Roman" w:hAnsi="Times New Roman"/>
          <w:sz w:val="24"/>
          <w:szCs w:val="24"/>
        </w:rPr>
      </w:pPr>
    </w:p>
    <w:p w:rsidR="009E2181"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The </w:t>
      </w:r>
      <w:r w:rsidR="009E2181" w:rsidRPr="001D2BAF">
        <w:rPr>
          <w:rFonts w:ascii="Times New Roman" w:hAnsi="Times New Roman"/>
          <w:sz w:val="24"/>
          <w:szCs w:val="24"/>
        </w:rPr>
        <w:t>BEP will not be asking sensitive questions.</w:t>
      </w:r>
    </w:p>
    <w:p w:rsidR="009E2181" w:rsidRDefault="009E2181" w:rsidP="006C1CC9">
      <w:pPr>
        <w:spacing w:after="0" w:line="240" w:lineRule="auto"/>
        <w:ind w:firstLine="720"/>
        <w:rPr>
          <w:rFonts w:ascii="Times New Roman" w:hAnsi="Times New Roman"/>
          <w:sz w:val="24"/>
          <w:szCs w:val="24"/>
        </w:rPr>
      </w:pPr>
    </w:p>
    <w:p w:rsidR="006C1CC9" w:rsidRPr="006160CF" w:rsidRDefault="006C1CC9" w:rsidP="006160CF">
      <w:pPr>
        <w:pStyle w:val="ColorfulList-Accent11"/>
        <w:numPr>
          <w:ilvl w:val="0"/>
          <w:numId w:val="4"/>
        </w:numPr>
        <w:tabs>
          <w:tab w:val="left" w:pos="900"/>
        </w:tabs>
        <w:spacing w:after="0" w:line="240" w:lineRule="auto"/>
        <w:rPr>
          <w:rFonts w:ascii="Times New Roman" w:hAnsi="Times New Roman"/>
          <w:b/>
          <w:sz w:val="24"/>
          <w:szCs w:val="24"/>
        </w:rPr>
      </w:pPr>
      <w:r w:rsidRPr="006160CF">
        <w:rPr>
          <w:rFonts w:ascii="Times New Roman" w:hAnsi="Times New Roman"/>
          <w:b/>
          <w:sz w:val="24"/>
          <w:szCs w:val="24"/>
        </w:rPr>
        <w:t>Estimated Burden of Information Collection</w:t>
      </w:r>
    </w:p>
    <w:p w:rsidR="006C1CC9" w:rsidRPr="001D2BAF" w:rsidRDefault="006C1CC9" w:rsidP="006C1CC9">
      <w:pPr>
        <w:pStyle w:val="ColorfulList-Accent11"/>
        <w:spacing w:after="0" w:line="240" w:lineRule="auto"/>
        <w:ind w:left="1080"/>
        <w:rPr>
          <w:rFonts w:ascii="Times New Roman" w:hAnsi="Times New Roman"/>
          <w:sz w:val="24"/>
          <w:szCs w:val="24"/>
        </w:rPr>
      </w:pPr>
    </w:p>
    <w:tbl>
      <w:tblPr>
        <w:tblW w:w="0" w:type="auto"/>
        <w:tblInd w:w="1080" w:type="dxa"/>
        <w:tblLook w:val="04A0" w:firstRow="1" w:lastRow="0" w:firstColumn="1" w:lastColumn="0" w:noHBand="0" w:noVBand="1"/>
      </w:tblPr>
      <w:tblGrid>
        <w:gridCol w:w="1842"/>
        <w:gridCol w:w="1726"/>
        <w:gridCol w:w="1408"/>
        <w:gridCol w:w="1872"/>
        <w:gridCol w:w="1648"/>
      </w:tblGrid>
      <w:tr w:rsidR="00CB39FB" w:rsidRPr="001D2BAF">
        <w:tc>
          <w:tcPr>
            <w:tcW w:w="1842" w:type="dxa"/>
          </w:tcPr>
          <w:p w:rsidR="006C1CC9" w:rsidRPr="001D2BAF"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Type of Intake</w:t>
            </w:r>
          </w:p>
        </w:tc>
        <w:tc>
          <w:tcPr>
            <w:tcW w:w="1726" w:type="dxa"/>
          </w:tcPr>
          <w:p w:rsidR="006C1CC9" w:rsidRPr="001D2BAF"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Estimated Number of Respondents</w:t>
            </w:r>
          </w:p>
        </w:tc>
        <w:tc>
          <w:tcPr>
            <w:tcW w:w="1408" w:type="dxa"/>
          </w:tcPr>
          <w:p w:rsidR="006C1CC9" w:rsidRPr="001D2BAF"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Estimated Number of Intakes per Respondent</w:t>
            </w:r>
          </w:p>
        </w:tc>
        <w:tc>
          <w:tcPr>
            <w:tcW w:w="1872" w:type="dxa"/>
          </w:tcPr>
          <w:p w:rsidR="006C1CC9" w:rsidRPr="001D2BAF"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Average Burden Hours per Intake</w:t>
            </w:r>
          </w:p>
        </w:tc>
        <w:tc>
          <w:tcPr>
            <w:tcW w:w="1648" w:type="dxa"/>
          </w:tcPr>
          <w:p w:rsidR="006C1CC9"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Estimated Total Annual Burden Hours Requested</w:t>
            </w:r>
          </w:p>
          <w:p w:rsidR="00C45EE7" w:rsidRPr="001D2BAF" w:rsidRDefault="00C45EE7" w:rsidP="006C1CC9">
            <w:pPr>
              <w:pStyle w:val="ColorfulList-Accent11"/>
              <w:spacing w:after="0" w:line="240" w:lineRule="auto"/>
              <w:ind w:left="0"/>
              <w:rPr>
                <w:rFonts w:ascii="Times New Roman" w:hAnsi="Times New Roman"/>
                <w:sz w:val="24"/>
                <w:szCs w:val="24"/>
              </w:rPr>
            </w:pPr>
          </w:p>
        </w:tc>
      </w:tr>
      <w:tr w:rsidR="00CB39FB" w:rsidRPr="001D2BAF">
        <w:tc>
          <w:tcPr>
            <w:tcW w:w="1842" w:type="dxa"/>
          </w:tcPr>
          <w:p w:rsidR="006C1CC9" w:rsidRPr="001D2BAF" w:rsidRDefault="006C1CC9" w:rsidP="009E2181">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 xml:space="preserve">In-Person </w:t>
            </w:r>
            <w:r w:rsidR="009E2181" w:rsidRPr="001D2BAF">
              <w:rPr>
                <w:rFonts w:ascii="Times New Roman" w:hAnsi="Times New Roman"/>
                <w:sz w:val="24"/>
                <w:szCs w:val="24"/>
              </w:rPr>
              <w:t>Questions</w:t>
            </w:r>
          </w:p>
        </w:tc>
        <w:tc>
          <w:tcPr>
            <w:tcW w:w="1726" w:type="dxa"/>
          </w:tcPr>
          <w:p w:rsidR="006C1CC9" w:rsidRPr="001D2BAF" w:rsidRDefault="00964F60" w:rsidP="006C1CC9">
            <w:pPr>
              <w:pStyle w:val="ColorfulList-Accent11"/>
              <w:spacing w:after="0" w:line="240" w:lineRule="auto"/>
              <w:ind w:left="0"/>
              <w:rPr>
                <w:rFonts w:ascii="Times New Roman" w:hAnsi="Times New Roman"/>
                <w:sz w:val="24"/>
                <w:szCs w:val="24"/>
              </w:rPr>
            </w:pPr>
            <w:r>
              <w:rPr>
                <w:rFonts w:ascii="Times New Roman" w:hAnsi="Times New Roman"/>
                <w:sz w:val="24"/>
                <w:szCs w:val="24"/>
              </w:rPr>
              <w:t>220</w:t>
            </w:r>
          </w:p>
        </w:tc>
        <w:tc>
          <w:tcPr>
            <w:tcW w:w="1408" w:type="dxa"/>
          </w:tcPr>
          <w:p w:rsidR="006C1CC9" w:rsidRPr="001D2BAF" w:rsidRDefault="006C1CC9" w:rsidP="006C1CC9">
            <w:pPr>
              <w:pStyle w:val="ColorfulList-Accent11"/>
              <w:spacing w:after="0" w:line="240" w:lineRule="auto"/>
              <w:ind w:left="0"/>
              <w:rPr>
                <w:rFonts w:ascii="Times New Roman" w:hAnsi="Times New Roman"/>
                <w:sz w:val="24"/>
                <w:szCs w:val="24"/>
              </w:rPr>
            </w:pPr>
            <w:r w:rsidRPr="001D2BAF">
              <w:rPr>
                <w:rFonts w:ascii="Times New Roman" w:hAnsi="Times New Roman"/>
                <w:sz w:val="24"/>
                <w:szCs w:val="24"/>
              </w:rPr>
              <w:t>1</w:t>
            </w:r>
          </w:p>
        </w:tc>
        <w:tc>
          <w:tcPr>
            <w:tcW w:w="1872" w:type="dxa"/>
          </w:tcPr>
          <w:p w:rsidR="006C1CC9" w:rsidRPr="001D2BAF" w:rsidRDefault="00397141" w:rsidP="006C1CC9">
            <w:pPr>
              <w:pStyle w:val="ColorfulList-Accent11"/>
              <w:spacing w:after="0" w:line="240" w:lineRule="auto"/>
              <w:ind w:left="0"/>
              <w:rPr>
                <w:rFonts w:ascii="Times New Roman" w:hAnsi="Times New Roman"/>
                <w:sz w:val="24"/>
                <w:szCs w:val="24"/>
              </w:rPr>
            </w:pPr>
            <w:r>
              <w:rPr>
                <w:rFonts w:ascii="Times New Roman" w:hAnsi="Times New Roman"/>
                <w:sz w:val="24"/>
                <w:szCs w:val="24"/>
              </w:rPr>
              <w:t>60-90</w:t>
            </w:r>
            <w:r w:rsidR="00E158D7" w:rsidRPr="001D2BAF">
              <w:rPr>
                <w:rFonts w:ascii="Times New Roman" w:hAnsi="Times New Roman"/>
                <w:sz w:val="24"/>
                <w:szCs w:val="24"/>
              </w:rPr>
              <w:t xml:space="preserve"> </w:t>
            </w:r>
            <w:r w:rsidR="006C1CC9" w:rsidRPr="001D2BAF">
              <w:rPr>
                <w:rFonts w:ascii="Times New Roman" w:hAnsi="Times New Roman"/>
                <w:sz w:val="24"/>
                <w:szCs w:val="24"/>
              </w:rPr>
              <w:t>minutes</w:t>
            </w:r>
          </w:p>
        </w:tc>
        <w:tc>
          <w:tcPr>
            <w:tcW w:w="1648" w:type="dxa"/>
          </w:tcPr>
          <w:p w:rsidR="006C1CC9" w:rsidRPr="001D2BAF" w:rsidRDefault="00964F60" w:rsidP="00B25DFE">
            <w:pPr>
              <w:pStyle w:val="ColorfulList-Accent11"/>
              <w:spacing w:after="0" w:line="240" w:lineRule="auto"/>
              <w:ind w:left="0"/>
              <w:rPr>
                <w:rFonts w:ascii="Times New Roman" w:hAnsi="Times New Roman"/>
                <w:sz w:val="24"/>
                <w:szCs w:val="24"/>
              </w:rPr>
            </w:pPr>
            <w:r>
              <w:rPr>
                <w:rFonts w:ascii="Times New Roman" w:hAnsi="Times New Roman"/>
                <w:sz w:val="24"/>
                <w:szCs w:val="24"/>
              </w:rPr>
              <w:t>33</w:t>
            </w:r>
            <w:r w:rsidR="00DE6DA5">
              <w:rPr>
                <w:rFonts w:ascii="Times New Roman" w:hAnsi="Times New Roman"/>
                <w:sz w:val="24"/>
                <w:szCs w:val="24"/>
              </w:rPr>
              <w:t>0</w:t>
            </w:r>
          </w:p>
        </w:tc>
      </w:tr>
    </w:tbl>
    <w:p w:rsidR="006C1CC9" w:rsidRPr="001D2BAF" w:rsidRDefault="006C1CC9" w:rsidP="006C1CC9">
      <w:pPr>
        <w:pStyle w:val="ColorfulList-Accent11"/>
        <w:spacing w:after="0" w:line="240" w:lineRule="auto"/>
        <w:ind w:left="1080"/>
        <w:rPr>
          <w:rFonts w:ascii="Times New Roman" w:hAnsi="Times New Roman"/>
          <w:sz w:val="24"/>
          <w:szCs w:val="24"/>
        </w:rPr>
      </w:pPr>
    </w:p>
    <w:p w:rsidR="003C2698"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The burden hours are </w:t>
      </w:r>
      <w:r w:rsidR="003C2698" w:rsidRPr="001D2BAF">
        <w:rPr>
          <w:rFonts w:ascii="Times New Roman" w:hAnsi="Times New Roman"/>
          <w:sz w:val="24"/>
          <w:szCs w:val="24"/>
        </w:rPr>
        <w:t xml:space="preserve">calculated </w:t>
      </w:r>
      <w:r w:rsidRPr="001D2BAF">
        <w:rPr>
          <w:rFonts w:ascii="Times New Roman" w:hAnsi="Times New Roman"/>
          <w:sz w:val="24"/>
          <w:szCs w:val="24"/>
        </w:rPr>
        <w:t xml:space="preserve">based upon </w:t>
      </w:r>
      <w:r w:rsidR="003C2698" w:rsidRPr="001D2BAF">
        <w:rPr>
          <w:rFonts w:ascii="Times New Roman" w:hAnsi="Times New Roman"/>
          <w:sz w:val="24"/>
          <w:szCs w:val="24"/>
        </w:rPr>
        <w:t>the following:</w:t>
      </w:r>
    </w:p>
    <w:p w:rsidR="003C2698" w:rsidRPr="001D2BAF" w:rsidRDefault="003C2698" w:rsidP="006C1CC9">
      <w:pPr>
        <w:spacing w:after="0" w:line="240" w:lineRule="auto"/>
        <w:ind w:firstLine="720"/>
        <w:rPr>
          <w:rFonts w:ascii="Times New Roman" w:hAnsi="Times New Roman"/>
          <w:sz w:val="24"/>
          <w:szCs w:val="24"/>
        </w:rPr>
      </w:pPr>
    </w:p>
    <w:p w:rsidR="003C2698" w:rsidRPr="001D2BAF" w:rsidRDefault="007714BD" w:rsidP="006C1CC9">
      <w:pPr>
        <w:spacing w:after="0" w:line="240" w:lineRule="auto"/>
        <w:ind w:firstLine="720"/>
        <w:rPr>
          <w:rFonts w:ascii="Times New Roman" w:hAnsi="Times New Roman"/>
          <w:sz w:val="24"/>
          <w:szCs w:val="24"/>
        </w:rPr>
      </w:pPr>
      <w:r w:rsidRPr="001D2BAF">
        <w:rPr>
          <w:rFonts w:ascii="Times New Roman" w:hAnsi="Times New Roman"/>
          <w:sz w:val="24"/>
          <w:szCs w:val="24"/>
        </w:rPr>
        <w:t>BEP commissioned a</w:t>
      </w:r>
      <w:r w:rsidR="009A36BC" w:rsidRPr="001D2BAF">
        <w:rPr>
          <w:rFonts w:ascii="Times New Roman" w:hAnsi="Times New Roman"/>
          <w:sz w:val="24"/>
          <w:szCs w:val="24"/>
        </w:rPr>
        <w:t xml:space="preserve"> comprehensive</w:t>
      </w:r>
      <w:r w:rsidR="003C2698" w:rsidRPr="001D2BAF">
        <w:rPr>
          <w:rFonts w:ascii="Times New Roman" w:hAnsi="Times New Roman"/>
          <w:sz w:val="24"/>
          <w:szCs w:val="24"/>
        </w:rPr>
        <w:t xml:space="preserve"> acuity study in late 2011 in which blind and visually impaired persons </w:t>
      </w:r>
      <w:r w:rsidR="009A36BC" w:rsidRPr="001D2BAF">
        <w:rPr>
          <w:rFonts w:ascii="Times New Roman" w:hAnsi="Times New Roman"/>
          <w:sz w:val="24"/>
          <w:szCs w:val="24"/>
        </w:rPr>
        <w:t xml:space="preserve">evaluated samples and </w:t>
      </w:r>
      <w:r w:rsidR="003C2698" w:rsidRPr="001D2BAF">
        <w:rPr>
          <w:rFonts w:ascii="Times New Roman" w:hAnsi="Times New Roman"/>
          <w:sz w:val="24"/>
          <w:szCs w:val="24"/>
        </w:rPr>
        <w:t xml:space="preserve">answered questions </w:t>
      </w:r>
      <w:r w:rsidR="009A36BC" w:rsidRPr="001D2BAF">
        <w:rPr>
          <w:rFonts w:ascii="Times New Roman" w:hAnsi="Times New Roman"/>
          <w:sz w:val="24"/>
          <w:szCs w:val="24"/>
        </w:rPr>
        <w:t xml:space="preserve">about various tactile features </w:t>
      </w:r>
      <w:r w:rsidR="003C2698" w:rsidRPr="001D2BAF">
        <w:rPr>
          <w:rFonts w:ascii="Times New Roman" w:hAnsi="Times New Roman"/>
          <w:sz w:val="24"/>
          <w:szCs w:val="24"/>
        </w:rPr>
        <w:t xml:space="preserve">BEP is considering for inclusion in future U.S. paper currency designs.  Though that information collection was </w:t>
      </w:r>
      <w:r w:rsidR="00EF6749" w:rsidRPr="001D2BAF">
        <w:rPr>
          <w:rFonts w:ascii="Times New Roman" w:hAnsi="Times New Roman"/>
          <w:sz w:val="24"/>
          <w:szCs w:val="24"/>
        </w:rPr>
        <w:t>disapproved</w:t>
      </w:r>
      <w:r w:rsidR="00C45EE7">
        <w:rPr>
          <w:rFonts w:ascii="Times New Roman" w:hAnsi="Times New Roman"/>
          <w:sz w:val="24"/>
          <w:szCs w:val="24"/>
        </w:rPr>
        <w:t xml:space="preserve"> for failure to comply with the requirements of the Paperwork Reduction Act</w:t>
      </w:r>
      <w:r w:rsidR="003C2698" w:rsidRPr="001D2BAF">
        <w:rPr>
          <w:rFonts w:ascii="Times New Roman" w:hAnsi="Times New Roman"/>
          <w:sz w:val="24"/>
          <w:szCs w:val="24"/>
        </w:rPr>
        <w:t xml:space="preserve">, BEP learned that the average time to obtain feedback from </w:t>
      </w:r>
      <w:r w:rsidR="006160CF">
        <w:rPr>
          <w:rFonts w:ascii="Times New Roman" w:hAnsi="Times New Roman"/>
          <w:sz w:val="24"/>
          <w:szCs w:val="24"/>
        </w:rPr>
        <w:t>each participant</w:t>
      </w:r>
      <w:r w:rsidR="003C2698" w:rsidRPr="001D2BAF">
        <w:rPr>
          <w:rFonts w:ascii="Times New Roman" w:hAnsi="Times New Roman"/>
          <w:sz w:val="24"/>
          <w:szCs w:val="24"/>
        </w:rPr>
        <w:t xml:space="preserve"> in the </w:t>
      </w:r>
      <w:r w:rsidRPr="001D2BAF">
        <w:rPr>
          <w:rFonts w:ascii="Times New Roman" w:hAnsi="Times New Roman"/>
          <w:sz w:val="24"/>
          <w:szCs w:val="24"/>
        </w:rPr>
        <w:t xml:space="preserve">acuity study </w:t>
      </w:r>
      <w:r w:rsidR="006160CF">
        <w:rPr>
          <w:rFonts w:ascii="Times New Roman" w:hAnsi="Times New Roman"/>
          <w:sz w:val="24"/>
          <w:szCs w:val="24"/>
        </w:rPr>
        <w:t xml:space="preserve">ranged from </w:t>
      </w:r>
      <w:r w:rsidRPr="001D2BAF">
        <w:rPr>
          <w:rFonts w:ascii="Times New Roman" w:hAnsi="Times New Roman"/>
          <w:sz w:val="24"/>
          <w:szCs w:val="24"/>
        </w:rPr>
        <w:t>6</w:t>
      </w:r>
      <w:r w:rsidR="003C2698" w:rsidRPr="001D2BAF">
        <w:rPr>
          <w:rFonts w:ascii="Times New Roman" w:hAnsi="Times New Roman"/>
          <w:sz w:val="24"/>
          <w:szCs w:val="24"/>
        </w:rPr>
        <w:t xml:space="preserve">0 </w:t>
      </w:r>
      <w:r w:rsidR="006160CF">
        <w:rPr>
          <w:rFonts w:ascii="Times New Roman" w:hAnsi="Times New Roman"/>
          <w:sz w:val="24"/>
          <w:szCs w:val="24"/>
        </w:rPr>
        <w:t xml:space="preserve">– 90 </w:t>
      </w:r>
      <w:r w:rsidR="003C2698" w:rsidRPr="001D2BAF">
        <w:rPr>
          <w:rFonts w:ascii="Times New Roman" w:hAnsi="Times New Roman"/>
          <w:sz w:val="24"/>
          <w:szCs w:val="24"/>
        </w:rPr>
        <w:t>minutes.  BEP is using that information to estimate the time for respondi</w:t>
      </w:r>
      <w:r w:rsidR="00E158D7" w:rsidRPr="001D2BAF">
        <w:rPr>
          <w:rFonts w:ascii="Times New Roman" w:hAnsi="Times New Roman"/>
          <w:sz w:val="24"/>
          <w:szCs w:val="24"/>
        </w:rPr>
        <w:t xml:space="preserve">ng to questions during future </w:t>
      </w:r>
      <w:r w:rsidR="006160CF">
        <w:rPr>
          <w:rFonts w:ascii="Times New Roman" w:hAnsi="Times New Roman"/>
          <w:sz w:val="24"/>
          <w:szCs w:val="24"/>
        </w:rPr>
        <w:t>studies</w:t>
      </w:r>
      <w:r w:rsidR="00545E10">
        <w:rPr>
          <w:rFonts w:ascii="Times New Roman" w:hAnsi="Times New Roman"/>
          <w:sz w:val="24"/>
          <w:szCs w:val="24"/>
        </w:rPr>
        <w:t xml:space="preserve"> and seeking approval of this proposed information collection</w:t>
      </w:r>
      <w:r w:rsidR="003C2698" w:rsidRPr="001D2BAF">
        <w:rPr>
          <w:rFonts w:ascii="Times New Roman" w:hAnsi="Times New Roman"/>
          <w:sz w:val="24"/>
          <w:szCs w:val="24"/>
        </w:rPr>
        <w:t xml:space="preserve">. </w:t>
      </w:r>
    </w:p>
    <w:p w:rsidR="003C2698" w:rsidRPr="001D2BAF" w:rsidRDefault="003C2698" w:rsidP="006C1CC9">
      <w:pPr>
        <w:spacing w:after="0" w:line="240" w:lineRule="auto"/>
        <w:ind w:firstLine="720"/>
        <w:rPr>
          <w:rFonts w:ascii="Times New Roman" w:hAnsi="Times New Roman"/>
          <w:sz w:val="24"/>
          <w:szCs w:val="24"/>
        </w:rPr>
      </w:pPr>
    </w:p>
    <w:p w:rsidR="00AB368C" w:rsidRPr="001D2BAF" w:rsidRDefault="006160CF" w:rsidP="00AB368C">
      <w:pPr>
        <w:spacing w:after="0" w:line="240" w:lineRule="auto"/>
        <w:ind w:firstLine="720"/>
        <w:rPr>
          <w:rFonts w:ascii="Times New Roman" w:hAnsi="Times New Roman"/>
          <w:sz w:val="24"/>
          <w:szCs w:val="24"/>
        </w:rPr>
      </w:pPr>
      <w:r>
        <w:rPr>
          <w:rFonts w:ascii="Times New Roman" w:hAnsi="Times New Roman"/>
          <w:sz w:val="24"/>
          <w:szCs w:val="24"/>
        </w:rPr>
        <w:t xml:space="preserve">29 individuals participated in the first acuity/perception study.  </w:t>
      </w:r>
      <w:r w:rsidR="009115DA" w:rsidRPr="001D2BAF">
        <w:rPr>
          <w:rFonts w:ascii="Times New Roman" w:hAnsi="Times New Roman"/>
          <w:sz w:val="24"/>
          <w:szCs w:val="24"/>
        </w:rPr>
        <w:t xml:space="preserve">Based on that total, BEP has estimated about </w:t>
      </w:r>
      <w:r w:rsidR="00964F60">
        <w:rPr>
          <w:rFonts w:ascii="Times New Roman" w:hAnsi="Times New Roman"/>
          <w:sz w:val="24"/>
          <w:szCs w:val="24"/>
        </w:rPr>
        <w:t>22</w:t>
      </w:r>
      <w:r w:rsidR="00397141">
        <w:rPr>
          <w:rFonts w:ascii="Times New Roman" w:hAnsi="Times New Roman"/>
          <w:sz w:val="24"/>
          <w:szCs w:val="24"/>
        </w:rPr>
        <w:t>0</w:t>
      </w:r>
      <w:r w:rsidR="007D3757" w:rsidRPr="001D2BAF">
        <w:rPr>
          <w:rFonts w:ascii="Times New Roman" w:hAnsi="Times New Roman"/>
          <w:sz w:val="24"/>
          <w:szCs w:val="24"/>
        </w:rPr>
        <w:t xml:space="preserve"> total </w:t>
      </w:r>
      <w:r>
        <w:rPr>
          <w:rFonts w:ascii="Times New Roman" w:hAnsi="Times New Roman"/>
          <w:sz w:val="24"/>
          <w:szCs w:val="24"/>
        </w:rPr>
        <w:t>participants will be used for additional acuity/perception studies over the course of this development effort.</w:t>
      </w:r>
      <w:r w:rsidR="00AB368C" w:rsidRPr="001D2BAF">
        <w:rPr>
          <w:rFonts w:ascii="Times New Roman" w:hAnsi="Times New Roman"/>
          <w:sz w:val="24"/>
          <w:szCs w:val="24"/>
        </w:rPr>
        <w:t xml:space="preserve">   </w:t>
      </w:r>
    </w:p>
    <w:p w:rsidR="007B1835" w:rsidRPr="001D2BAF" w:rsidRDefault="007B1835" w:rsidP="00AB368C">
      <w:pPr>
        <w:spacing w:after="0" w:line="240" w:lineRule="auto"/>
        <w:ind w:firstLine="720"/>
        <w:rPr>
          <w:rFonts w:ascii="Times New Roman" w:hAnsi="Times New Roman"/>
          <w:sz w:val="24"/>
          <w:szCs w:val="24"/>
        </w:rPr>
      </w:pPr>
    </w:p>
    <w:p w:rsidR="006C1CC9" w:rsidRPr="001D2BAF"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Estimated Total Annual Cost Burden to Respondents</w:t>
      </w:r>
    </w:p>
    <w:p w:rsidR="006C1CC9" w:rsidRPr="001D2BAF" w:rsidRDefault="006C1CC9" w:rsidP="006C1CC9">
      <w:pPr>
        <w:spacing w:after="0" w:line="240" w:lineRule="auto"/>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There will be no annualized capital or start-up costs for the respondents to collect and submit this information.</w:t>
      </w:r>
    </w:p>
    <w:p w:rsidR="00707A73" w:rsidRPr="001D2BAF" w:rsidRDefault="00707A73" w:rsidP="006C1CC9">
      <w:pPr>
        <w:spacing w:after="0" w:line="240" w:lineRule="auto"/>
        <w:ind w:firstLine="720"/>
        <w:rPr>
          <w:rFonts w:ascii="Times New Roman" w:hAnsi="Times New Roman"/>
          <w:sz w:val="24"/>
          <w:szCs w:val="24"/>
        </w:rPr>
      </w:pP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Estimated Cost to the Federal Government</w:t>
      </w:r>
    </w:p>
    <w:p w:rsidR="006C1CC9" w:rsidRPr="001D2BAF" w:rsidRDefault="006C1CC9" w:rsidP="006C1CC9">
      <w:pPr>
        <w:spacing w:after="0" w:line="240" w:lineRule="auto"/>
        <w:rPr>
          <w:rFonts w:ascii="Times New Roman" w:hAnsi="Times New Roman"/>
          <w:sz w:val="24"/>
          <w:szCs w:val="24"/>
        </w:rPr>
      </w:pPr>
    </w:p>
    <w:p w:rsidR="006C1CC9" w:rsidRDefault="009115DA" w:rsidP="006C1CC9">
      <w:pPr>
        <w:spacing w:after="0" w:line="240" w:lineRule="auto"/>
        <w:ind w:firstLine="720"/>
        <w:rPr>
          <w:rFonts w:ascii="Times New Roman" w:hAnsi="Times New Roman"/>
          <w:sz w:val="24"/>
          <w:szCs w:val="24"/>
        </w:rPr>
      </w:pPr>
      <w:r w:rsidRPr="001D2BAF">
        <w:rPr>
          <w:rFonts w:ascii="Times New Roman" w:hAnsi="Times New Roman"/>
          <w:sz w:val="24"/>
          <w:szCs w:val="24"/>
        </w:rPr>
        <w:lastRenderedPageBreak/>
        <w:t xml:space="preserve">The BEP anticipates </w:t>
      </w:r>
      <w:r w:rsidR="006160CF">
        <w:rPr>
          <w:rFonts w:ascii="Times New Roman" w:hAnsi="Times New Roman"/>
          <w:sz w:val="24"/>
          <w:szCs w:val="24"/>
        </w:rPr>
        <w:t xml:space="preserve">conducting </w:t>
      </w:r>
      <w:r w:rsidR="00BC2F0A">
        <w:rPr>
          <w:rFonts w:ascii="Times New Roman" w:hAnsi="Times New Roman"/>
          <w:sz w:val="24"/>
          <w:szCs w:val="24"/>
        </w:rPr>
        <w:t>one</w:t>
      </w:r>
      <w:r w:rsidR="006160CF">
        <w:rPr>
          <w:rFonts w:ascii="Times New Roman" w:hAnsi="Times New Roman"/>
          <w:sz w:val="24"/>
          <w:szCs w:val="24"/>
        </w:rPr>
        <w:t xml:space="preserve"> acuity/perception </w:t>
      </w:r>
      <w:r w:rsidR="00BC2F0A">
        <w:rPr>
          <w:rFonts w:ascii="Times New Roman" w:hAnsi="Times New Roman"/>
          <w:sz w:val="24"/>
          <w:szCs w:val="24"/>
        </w:rPr>
        <w:t xml:space="preserve">study </w:t>
      </w:r>
      <w:r w:rsidR="006160CF">
        <w:rPr>
          <w:rFonts w:ascii="Times New Roman" w:hAnsi="Times New Roman"/>
          <w:sz w:val="24"/>
          <w:szCs w:val="24"/>
        </w:rPr>
        <w:t xml:space="preserve">over the course of this development effort at a cost of </w:t>
      </w:r>
      <w:r w:rsidR="00BC2F0A">
        <w:rPr>
          <w:rFonts w:ascii="Times New Roman" w:hAnsi="Times New Roman"/>
          <w:sz w:val="24"/>
          <w:szCs w:val="24"/>
        </w:rPr>
        <w:t xml:space="preserve">up to </w:t>
      </w:r>
      <w:r w:rsidR="006160CF">
        <w:rPr>
          <w:rFonts w:ascii="Times New Roman" w:hAnsi="Times New Roman"/>
          <w:sz w:val="24"/>
          <w:szCs w:val="24"/>
        </w:rPr>
        <w:t>$</w:t>
      </w:r>
      <w:r w:rsidR="00BC2F0A">
        <w:rPr>
          <w:rFonts w:ascii="Times New Roman" w:hAnsi="Times New Roman"/>
          <w:sz w:val="24"/>
          <w:szCs w:val="24"/>
        </w:rPr>
        <w:t>400</w:t>
      </w:r>
      <w:r w:rsidR="00397141">
        <w:rPr>
          <w:rFonts w:ascii="Times New Roman" w:hAnsi="Times New Roman"/>
          <w:sz w:val="24"/>
          <w:szCs w:val="24"/>
        </w:rPr>
        <w:t>,000.</w:t>
      </w:r>
      <w:r w:rsidRPr="001D2BAF">
        <w:rPr>
          <w:rFonts w:ascii="Times New Roman" w:hAnsi="Times New Roman"/>
          <w:sz w:val="24"/>
          <w:szCs w:val="24"/>
        </w:rPr>
        <w:t xml:space="preserve">  </w:t>
      </w:r>
      <w:r w:rsidR="006160CF">
        <w:rPr>
          <w:rFonts w:ascii="Times New Roman" w:hAnsi="Times New Roman"/>
          <w:sz w:val="24"/>
          <w:szCs w:val="24"/>
        </w:rPr>
        <w:t>Sample coupons a</w:t>
      </w:r>
      <w:r w:rsidR="007714BD" w:rsidRPr="001D2BAF">
        <w:rPr>
          <w:rFonts w:ascii="Times New Roman" w:hAnsi="Times New Roman"/>
          <w:sz w:val="24"/>
          <w:szCs w:val="24"/>
        </w:rPr>
        <w:t xml:space="preserve">re manufactured in conjunction with development activities associated with the overall project to develop and evaluate a variety of designs of raised tactile </w:t>
      </w:r>
      <w:r w:rsidR="00D65545" w:rsidRPr="001D2BAF">
        <w:rPr>
          <w:rFonts w:ascii="Times New Roman" w:hAnsi="Times New Roman"/>
          <w:sz w:val="24"/>
          <w:szCs w:val="24"/>
        </w:rPr>
        <w:t>features</w:t>
      </w:r>
      <w:r w:rsidR="00D65545">
        <w:rPr>
          <w:rFonts w:ascii="Times New Roman" w:hAnsi="Times New Roman"/>
          <w:sz w:val="24"/>
          <w:szCs w:val="24"/>
        </w:rPr>
        <w:t>;</w:t>
      </w:r>
      <w:r w:rsidR="006160CF">
        <w:rPr>
          <w:rFonts w:ascii="Times New Roman" w:hAnsi="Times New Roman"/>
          <w:sz w:val="24"/>
          <w:szCs w:val="24"/>
        </w:rPr>
        <w:t xml:space="preserve"> therefore, minimal direct cost is attributable to providing sample coupons to be used during the studies.</w:t>
      </w:r>
      <w:r w:rsidR="007714BD" w:rsidRPr="001D2BAF">
        <w:rPr>
          <w:rFonts w:ascii="Times New Roman" w:hAnsi="Times New Roman"/>
          <w:sz w:val="24"/>
          <w:szCs w:val="24"/>
        </w:rPr>
        <w:t xml:space="preserve">  The actual cost associated with </w:t>
      </w:r>
      <w:r w:rsidR="00DA4A88" w:rsidRPr="001D2BAF">
        <w:rPr>
          <w:rFonts w:ascii="Times New Roman" w:hAnsi="Times New Roman"/>
          <w:sz w:val="24"/>
          <w:szCs w:val="24"/>
        </w:rPr>
        <w:t xml:space="preserve">producing </w:t>
      </w:r>
      <w:r w:rsidR="007714BD" w:rsidRPr="001D2BAF">
        <w:rPr>
          <w:rFonts w:ascii="Times New Roman" w:hAnsi="Times New Roman"/>
          <w:sz w:val="24"/>
          <w:szCs w:val="24"/>
        </w:rPr>
        <w:t>individual samples has not been captured</w:t>
      </w:r>
      <w:r w:rsidR="00D65545">
        <w:rPr>
          <w:rFonts w:ascii="Times New Roman" w:hAnsi="Times New Roman"/>
          <w:sz w:val="24"/>
          <w:szCs w:val="24"/>
        </w:rPr>
        <w:t xml:space="preserve"> and will not impact this study</w:t>
      </w:r>
      <w:r w:rsidR="007714BD" w:rsidRPr="001D2BAF">
        <w:rPr>
          <w:rFonts w:ascii="Times New Roman" w:hAnsi="Times New Roman"/>
          <w:sz w:val="24"/>
          <w:szCs w:val="24"/>
        </w:rPr>
        <w:t xml:space="preserve">.  </w:t>
      </w:r>
    </w:p>
    <w:p w:rsidR="006160CF" w:rsidRDefault="006160CF" w:rsidP="006C1CC9">
      <w:pPr>
        <w:spacing w:after="0" w:line="240" w:lineRule="auto"/>
        <w:ind w:firstLine="720"/>
        <w:rPr>
          <w:rFonts w:ascii="Times New Roman" w:hAnsi="Times New Roman"/>
          <w:sz w:val="24"/>
          <w:szCs w:val="24"/>
        </w:rPr>
      </w:pPr>
    </w:p>
    <w:p w:rsidR="006160CF" w:rsidRPr="001D2BAF" w:rsidRDefault="006160CF" w:rsidP="006C1CC9">
      <w:pPr>
        <w:spacing w:after="0" w:line="240" w:lineRule="auto"/>
        <w:ind w:firstLine="720"/>
        <w:rPr>
          <w:rFonts w:ascii="Times New Roman" w:hAnsi="Times New Roman"/>
          <w:sz w:val="24"/>
          <w:szCs w:val="24"/>
        </w:rPr>
      </w:pPr>
      <w:r>
        <w:rPr>
          <w:rFonts w:ascii="Times New Roman" w:hAnsi="Times New Roman"/>
          <w:sz w:val="24"/>
          <w:szCs w:val="24"/>
        </w:rPr>
        <w:t>The primary cost associated with conducting these acuity/perception studies is</w:t>
      </w:r>
      <w:r w:rsidR="00D65545">
        <w:rPr>
          <w:rFonts w:ascii="Times New Roman" w:hAnsi="Times New Roman"/>
          <w:sz w:val="24"/>
          <w:szCs w:val="24"/>
        </w:rPr>
        <w:t xml:space="preserve"> the</w:t>
      </w:r>
      <w:r>
        <w:rPr>
          <w:rFonts w:ascii="Times New Roman" w:hAnsi="Times New Roman"/>
          <w:sz w:val="24"/>
          <w:szCs w:val="24"/>
        </w:rPr>
        <w:t xml:space="preserve"> cost incurred </w:t>
      </w:r>
      <w:r w:rsidR="00545E10">
        <w:rPr>
          <w:rFonts w:ascii="Times New Roman" w:hAnsi="Times New Roman"/>
          <w:sz w:val="24"/>
          <w:szCs w:val="24"/>
        </w:rPr>
        <w:t xml:space="preserve">by </w:t>
      </w:r>
      <w:r>
        <w:rPr>
          <w:rFonts w:ascii="Times New Roman" w:hAnsi="Times New Roman"/>
          <w:sz w:val="24"/>
          <w:szCs w:val="24"/>
        </w:rPr>
        <w:t xml:space="preserve">contracting with a study administrator.  The contract cost to administer the initial acuity/perception was $25,000.  The BEP is using this amount to predict the total cost of contracting subject matter experts to administer </w:t>
      </w:r>
      <w:r w:rsidR="00930F10">
        <w:rPr>
          <w:rFonts w:ascii="Times New Roman" w:hAnsi="Times New Roman"/>
          <w:sz w:val="24"/>
          <w:szCs w:val="24"/>
        </w:rPr>
        <w:t>the additional</w:t>
      </w:r>
      <w:r>
        <w:rPr>
          <w:rFonts w:ascii="Times New Roman" w:hAnsi="Times New Roman"/>
          <w:sz w:val="24"/>
          <w:szCs w:val="24"/>
        </w:rPr>
        <w:t xml:space="preserve"> acuity/perception studies anticipated over the </w:t>
      </w:r>
      <w:r w:rsidR="00293AA8">
        <w:rPr>
          <w:rFonts w:ascii="Times New Roman" w:hAnsi="Times New Roman"/>
          <w:sz w:val="24"/>
          <w:szCs w:val="24"/>
        </w:rPr>
        <w:t>duration of this development effort.</w:t>
      </w:r>
    </w:p>
    <w:p w:rsidR="00172BA6" w:rsidRDefault="00172BA6" w:rsidP="006C1CC9">
      <w:pPr>
        <w:spacing w:after="0" w:line="240" w:lineRule="auto"/>
        <w:rPr>
          <w:rFonts w:ascii="Times New Roman" w:hAnsi="Times New Roman"/>
          <w:sz w:val="24"/>
          <w:szCs w:val="24"/>
        </w:rPr>
      </w:pPr>
    </w:p>
    <w:p w:rsidR="00335FB9" w:rsidRPr="001D2BAF" w:rsidRDefault="00335FB9" w:rsidP="006C1CC9">
      <w:pPr>
        <w:spacing w:after="0" w:line="240" w:lineRule="auto"/>
        <w:rPr>
          <w:rFonts w:ascii="Times New Roman" w:hAnsi="Times New Roman"/>
          <w:sz w:val="24"/>
          <w:szCs w:val="24"/>
        </w:rPr>
      </w:pPr>
    </w:p>
    <w:p w:rsidR="006C1CC9" w:rsidRPr="001D2BAF"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Reasons for Change in Burden</w:t>
      </w: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Not applicable.  This information collection is part of a new program.</w:t>
      </w:r>
    </w:p>
    <w:p w:rsidR="006C1CC9" w:rsidRPr="001D2BAF" w:rsidRDefault="006C1CC9" w:rsidP="006C1CC9">
      <w:pPr>
        <w:spacing w:after="0" w:line="240" w:lineRule="auto"/>
        <w:ind w:left="360"/>
        <w:rPr>
          <w:rFonts w:ascii="Times New Roman" w:hAnsi="Times New Roman"/>
          <w:sz w:val="24"/>
          <w:szCs w:val="24"/>
        </w:rPr>
      </w:pPr>
    </w:p>
    <w:p w:rsidR="006C1CC9" w:rsidRPr="001D2BAF"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Plans for Tabulation, Statistical Analysis, and Publication</w:t>
      </w:r>
    </w:p>
    <w:p w:rsidR="006C1CC9" w:rsidRPr="001D2BAF" w:rsidRDefault="006C1CC9" w:rsidP="006C1CC9">
      <w:pPr>
        <w:pStyle w:val="ColorfulList-Accent11"/>
        <w:spacing w:after="0" w:line="240" w:lineRule="auto"/>
        <w:rPr>
          <w:rFonts w:ascii="Times New Roman" w:hAnsi="Times New Roman"/>
          <w:sz w:val="24"/>
          <w:szCs w:val="24"/>
        </w:rPr>
      </w:pPr>
    </w:p>
    <w:p w:rsidR="00BD010A" w:rsidRPr="001D2BAF" w:rsidRDefault="00BD010A" w:rsidP="006C1CC9">
      <w:pPr>
        <w:pStyle w:val="ColorfulList-Accent11"/>
        <w:spacing w:after="0" w:line="240" w:lineRule="auto"/>
        <w:rPr>
          <w:rFonts w:ascii="Times New Roman" w:hAnsi="Times New Roman"/>
          <w:i/>
          <w:sz w:val="24"/>
          <w:szCs w:val="24"/>
        </w:rPr>
      </w:pPr>
      <w:r w:rsidRPr="001D2BAF">
        <w:rPr>
          <w:rFonts w:ascii="Times New Roman" w:hAnsi="Times New Roman"/>
          <w:i/>
          <w:sz w:val="24"/>
          <w:szCs w:val="24"/>
        </w:rPr>
        <w:t>Publication and Tabulation</w:t>
      </w:r>
    </w:p>
    <w:p w:rsidR="00BD010A" w:rsidRPr="001D2BAF" w:rsidRDefault="00BD010A" w:rsidP="006C1CC9">
      <w:pPr>
        <w:pStyle w:val="ColorfulList-Accent11"/>
        <w:spacing w:after="0" w:line="240" w:lineRule="auto"/>
        <w:rPr>
          <w:rFonts w:ascii="Times New Roman" w:hAnsi="Times New Roman"/>
          <w:sz w:val="24"/>
          <w:szCs w:val="24"/>
        </w:rPr>
      </w:pPr>
    </w:p>
    <w:p w:rsidR="006C19F9" w:rsidRPr="001D2BAF" w:rsidRDefault="001A3C3A" w:rsidP="006C19F9">
      <w:pPr>
        <w:pStyle w:val="ColorfulList-Accent11"/>
        <w:spacing w:after="0" w:line="240" w:lineRule="auto"/>
        <w:ind w:left="0" w:firstLine="720"/>
        <w:rPr>
          <w:rFonts w:ascii="Times New Roman" w:hAnsi="Times New Roman"/>
          <w:sz w:val="24"/>
          <w:szCs w:val="24"/>
        </w:rPr>
      </w:pPr>
      <w:r w:rsidRPr="001D2BAF">
        <w:rPr>
          <w:rFonts w:ascii="Times New Roman" w:hAnsi="Times New Roman"/>
          <w:sz w:val="24"/>
          <w:szCs w:val="24"/>
        </w:rPr>
        <w:t xml:space="preserve">The BEP is not publishing results of this information collection.  </w:t>
      </w:r>
      <w:r w:rsidR="00BD010A" w:rsidRPr="001D2BAF">
        <w:rPr>
          <w:rFonts w:ascii="Times New Roman" w:hAnsi="Times New Roman"/>
          <w:sz w:val="24"/>
          <w:szCs w:val="24"/>
        </w:rPr>
        <w:t xml:space="preserve">The results may be shared with BEP’s </w:t>
      </w:r>
      <w:r w:rsidR="006B0C2E" w:rsidRPr="001D2BAF">
        <w:rPr>
          <w:rFonts w:ascii="Times New Roman" w:hAnsi="Times New Roman"/>
          <w:sz w:val="24"/>
          <w:szCs w:val="24"/>
        </w:rPr>
        <w:t>stakeholders</w:t>
      </w:r>
      <w:r w:rsidR="00BD010A" w:rsidRPr="001D2BAF">
        <w:rPr>
          <w:rFonts w:ascii="Times New Roman" w:hAnsi="Times New Roman"/>
          <w:sz w:val="24"/>
          <w:szCs w:val="24"/>
        </w:rPr>
        <w:t xml:space="preserve"> as part of the process of </w:t>
      </w:r>
      <w:r w:rsidRPr="001D2BAF">
        <w:rPr>
          <w:rFonts w:ascii="Times New Roman" w:hAnsi="Times New Roman"/>
          <w:sz w:val="24"/>
          <w:szCs w:val="24"/>
        </w:rPr>
        <w:t xml:space="preserve">considering </w:t>
      </w:r>
      <w:r w:rsidR="00BD010A" w:rsidRPr="001D2BAF">
        <w:rPr>
          <w:rFonts w:ascii="Times New Roman" w:hAnsi="Times New Roman"/>
          <w:sz w:val="24"/>
          <w:szCs w:val="24"/>
        </w:rPr>
        <w:t xml:space="preserve">tactile features </w:t>
      </w:r>
      <w:r w:rsidRPr="001D2BAF">
        <w:rPr>
          <w:rFonts w:ascii="Times New Roman" w:hAnsi="Times New Roman"/>
          <w:sz w:val="24"/>
          <w:szCs w:val="24"/>
        </w:rPr>
        <w:t xml:space="preserve">for incorporation </w:t>
      </w:r>
      <w:r w:rsidR="00BD010A" w:rsidRPr="001D2BAF">
        <w:rPr>
          <w:rFonts w:ascii="Times New Roman" w:hAnsi="Times New Roman"/>
          <w:sz w:val="24"/>
          <w:szCs w:val="24"/>
        </w:rPr>
        <w:t xml:space="preserve">into future currency designs.  </w:t>
      </w:r>
      <w:r w:rsidR="006B0C2E" w:rsidRPr="001D2BAF">
        <w:rPr>
          <w:rFonts w:ascii="Times New Roman" w:hAnsi="Times New Roman"/>
          <w:sz w:val="24"/>
          <w:szCs w:val="24"/>
        </w:rPr>
        <w:t xml:space="preserve">The information is meant to be interpreted only in light of a </w:t>
      </w:r>
      <w:r w:rsidRPr="001D2BAF">
        <w:rPr>
          <w:rFonts w:ascii="Times New Roman" w:hAnsi="Times New Roman"/>
          <w:sz w:val="24"/>
          <w:szCs w:val="24"/>
        </w:rPr>
        <w:t xml:space="preserve">small pool of respondents estimated to be </w:t>
      </w:r>
      <w:r w:rsidR="00964F60">
        <w:rPr>
          <w:rFonts w:ascii="Times New Roman" w:hAnsi="Times New Roman"/>
          <w:sz w:val="24"/>
          <w:szCs w:val="24"/>
        </w:rPr>
        <w:t>22</w:t>
      </w:r>
      <w:r w:rsidR="00930F10">
        <w:rPr>
          <w:rFonts w:ascii="Times New Roman" w:hAnsi="Times New Roman"/>
          <w:sz w:val="24"/>
          <w:szCs w:val="24"/>
        </w:rPr>
        <w:t>0</w:t>
      </w:r>
      <w:r w:rsidRPr="001D2BAF">
        <w:rPr>
          <w:rFonts w:ascii="Times New Roman" w:hAnsi="Times New Roman"/>
          <w:sz w:val="24"/>
          <w:szCs w:val="24"/>
        </w:rPr>
        <w:t xml:space="preserve"> in number.  </w:t>
      </w:r>
    </w:p>
    <w:p w:rsidR="00E158D7" w:rsidRPr="001D2BAF" w:rsidRDefault="00E158D7" w:rsidP="006C19F9">
      <w:pPr>
        <w:pStyle w:val="ColorfulList-Accent11"/>
        <w:spacing w:after="0" w:line="240" w:lineRule="auto"/>
        <w:ind w:left="0" w:firstLine="720"/>
        <w:rPr>
          <w:rFonts w:ascii="Times New Roman" w:hAnsi="Times New Roman"/>
          <w:sz w:val="24"/>
          <w:szCs w:val="24"/>
        </w:rPr>
      </w:pPr>
    </w:p>
    <w:p w:rsidR="006B0C2E" w:rsidRPr="001D2BAF" w:rsidRDefault="006B0C2E" w:rsidP="006C19F9">
      <w:pPr>
        <w:pStyle w:val="ColorfulList-Accent11"/>
        <w:spacing w:after="0" w:line="240" w:lineRule="auto"/>
        <w:ind w:left="0" w:firstLine="720"/>
        <w:rPr>
          <w:rFonts w:ascii="Times New Roman" w:hAnsi="Times New Roman"/>
          <w:sz w:val="24"/>
          <w:szCs w:val="24"/>
        </w:rPr>
      </w:pPr>
      <w:r w:rsidRPr="001D2BAF">
        <w:rPr>
          <w:rFonts w:ascii="Times New Roman" w:hAnsi="Times New Roman"/>
          <w:sz w:val="24"/>
          <w:szCs w:val="24"/>
        </w:rPr>
        <w:t xml:space="preserve">The information will give BEP and its </w:t>
      </w:r>
      <w:proofErr w:type="gramStart"/>
      <w:r w:rsidRPr="001D2BAF">
        <w:rPr>
          <w:rFonts w:ascii="Times New Roman" w:hAnsi="Times New Roman"/>
          <w:sz w:val="24"/>
          <w:szCs w:val="24"/>
        </w:rPr>
        <w:t>stakeholders</w:t>
      </w:r>
      <w:proofErr w:type="gramEnd"/>
      <w:r w:rsidRPr="001D2BAF">
        <w:rPr>
          <w:rFonts w:ascii="Times New Roman" w:hAnsi="Times New Roman"/>
          <w:sz w:val="24"/>
          <w:szCs w:val="24"/>
        </w:rPr>
        <w:t xml:space="preserve"> basic </w:t>
      </w:r>
      <w:r w:rsidR="00930F10">
        <w:rPr>
          <w:rFonts w:ascii="Times New Roman" w:hAnsi="Times New Roman"/>
          <w:sz w:val="24"/>
          <w:szCs w:val="24"/>
        </w:rPr>
        <w:t>information on</w:t>
      </w:r>
      <w:r w:rsidRPr="001D2BAF">
        <w:rPr>
          <w:rFonts w:ascii="Times New Roman" w:hAnsi="Times New Roman"/>
          <w:sz w:val="24"/>
          <w:szCs w:val="24"/>
        </w:rPr>
        <w:t xml:space="preserve"> the effectiveness of tactile features developed to date.  The stakeholders who will work with the </w:t>
      </w:r>
      <w:r w:rsidR="001A3C3A" w:rsidRPr="001D2BAF">
        <w:rPr>
          <w:rFonts w:ascii="Times New Roman" w:hAnsi="Times New Roman"/>
          <w:sz w:val="24"/>
          <w:szCs w:val="24"/>
        </w:rPr>
        <w:t xml:space="preserve">BEP </w:t>
      </w:r>
      <w:r w:rsidRPr="001D2BAF">
        <w:rPr>
          <w:rFonts w:ascii="Times New Roman" w:hAnsi="Times New Roman"/>
          <w:sz w:val="24"/>
          <w:szCs w:val="24"/>
        </w:rPr>
        <w:t>in reviewing the information collection include:</w:t>
      </w:r>
      <w:r w:rsidR="00C157AF" w:rsidRPr="001D2BAF">
        <w:rPr>
          <w:rFonts w:ascii="Times New Roman" w:hAnsi="Times New Roman"/>
          <w:sz w:val="24"/>
          <w:szCs w:val="24"/>
        </w:rPr>
        <w:t xml:space="preserve">  The Department of the Treasury, t</w:t>
      </w:r>
      <w:r w:rsidRPr="001D2BAF">
        <w:rPr>
          <w:rFonts w:ascii="Times New Roman" w:hAnsi="Times New Roman"/>
          <w:sz w:val="24"/>
          <w:szCs w:val="24"/>
        </w:rPr>
        <w:t>he Federal Reserve Board of Governors</w:t>
      </w:r>
      <w:r w:rsidR="00C157AF" w:rsidRPr="001D2BAF">
        <w:rPr>
          <w:rFonts w:ascii="Times New Roman" w:hAnsi="Times New Roman"/>
          <w:sz w:val="24"/>
          <w:szCs w:val="24"/>
        </w:rPr>
        <w:t>, t</w:t>
      </w:r>
      <w:r w:rsidRPr="001D2BAF">
        <w:rPr>
          <w:rFonts w:ascii="Times New Roman" w:hAnsi="Times New Roman"/>
          <w:sz w:val="24"/>
          <w:szCs w:val="24"/>
        </w:rPr>
        <w:t xml:space="preserve">he Currency Technology Office, </w:t>
      </w:r>
      <w:r w:rsidR="00C157AF" w:rsidRPr="001D2BAF">
        <w:rPr>
          <w:rFonts w:ascii="Times New Roman" w:hAnsi="Times New Roman"/>
          <w:sz w:val="24"/>
          <w:szCs w:val="24"/>
        </w:rPr>
        <w:t>t</w:t>
      </w:r>
      <w:r w:rsidRPr="001D2BAF">
        <w:rPr>
          <w:rFonts w:ascii="Times New Roman" w:hAnsi="Times New Roman"/>
          <w:sz w:val="24"/>
          <w:szCs w:val="24"/>
        </w:rPr>
        <w:t xml:space="preserve">he United States Secret Service, </w:t>
      </w:r>
      <w:r w:rsidR="00C157AF" w:rsidRPr="001D2BAF">
        <w:rPr>
          <w:rFonts w:ascii="Times New Roman" w:hAnsi="Times New Roman"/>
          <w:sz w:val="24"/>
          <w:szCs w:val="24"/>
        </w:rPr>
        <w:t xml:space="preserve">and the </w:t>
      </w:r>
      <w:r w:rsidRPr="001D2BAF">
        <w:rPr>
          <w:rFonts w:ascii="Times New Roman" w:hAnsi="Times New Roman"/>
          <w:sz w:val="24"/>
          <w:szCs w:val="24"/>
        </w:rPr>
        <w:t xml:space="preserve"> Central Bank Cash Machine Group (“CBCMG”), </w:t>
      </w:r>
      <w:r w:rsidR="006C19F9" w:rsidRPr="001D2BAF">
        <w:rPr>
          <w:rFonts w:ascii="Times New Roman" w:hAnsi="Times New Roman"/>
          <w:sz w:val="24"/>
          <w:szCs w:val="24"/>
        </w:rPr>
        <w:t>a consortium comprised of BEP, its stakeholders, other central banks throughout the world, and member</w:t>
      </w:r>
      <w:r w:rsidR="0054620E" w:rsidRPr="001D2BAF">
        <w:rPr>
          <w:rFonts w:ascii="Times New Roman" w:hAnsi="Times New Roman"/>
          <w:sz w:val="24"/>
          <w:szCs w:val="24"/>
        </w:rPr>
        <w:t>s</w:t>
      </w:r>
      <w:r w:rsidR="006C19F9" w:rsidRPr="001D2BAF">
        <w:rPr>
          <w:rFonts w:ascii="Times New Roman" w:hAnsi="Times New Roman"/>
          <w:sz w:val="24"/>
          <w:szCs w:val="24"/>
        </w:rPr>
        <w:t xml:space="preserve"> of </w:t>
      </w:r>
      <w:r w:rsidR="007B167C" w:rsidRPr="001D2BAF">
        <w:rPr>
          <w:rFonts w:ascii="Times New Roman" w:hAnsi="Times New Roman"/>
          <w:sz w:val="24"/>
          <w:szCs w:val="24"/>
        </w:rPr>
        <w:t xml:space="preserve">the </w:t>
      </w:r>
      <w:r w:rsidR="006C19F9" w:rsidRPr="001D2BAF">
        <w:rPr>
          <w:rFonts w:ascii="Times New Roman" w:hAnsi="Times New Roman"/>
          <w:sz w:val="24"/>
          <w:szCs w:val="24"/>
        </w:rPr>
        <w:t>banknote equipment manufacturing industry; the CBCMG discuss</w:t>
      </w:r>
      <w:r w:rsidR="007B167C" w:rsidRPr="001D2BAF">
        <w:rPr>
          <w:rFonts w:ascii="Times New Roman" w:hAnsi="Times New Roman"/>
          <w:sz w:val="24"/>
          <w:szCs w:val="24"/>
        </w:rPr>
        <w:t>es</w:t>
      </w:r>
      <w:r w:rsidR="006C19F9" w:rsidRPr="001D2BAF">
        <w:rPr>
          <w:rFonts w:ascii="Times New Roman" w:hAnsi="Times New Roman"/>
          <w:sz w:val="24"/>
          <w:szCs w:val="24"/>
        </w:rPr>
        <w:t xml:space="preserve"> issues </w:t>
      </w:r>
      <w:r w:rsidRPr="001D2BAF">
        <w:rPr>
          <w:rFonts w:ascii="Times New Roman" w:hAnsi="Times New Roman"/>
          <w:sz w:val="24"/>
          <w:szCs w:val="24"/>
        </w:rPr>
        <w:t xml:space="preserve">pertaining to the handling and processing of </w:t>
      </w:r>
      <w:r w:rsidR="006C19F9" w:rsidRPr="001D2BAF">
        <w:rPr>
          <w:rFonts w:ascii="Times New Roman" w:hAnsi="Times New Roman"/>
          <w:sz w:val="24"/>
          <w:szCs w:val="24"/>
        </w:rPr>
        <w:t xml:space="preserve">U.S. paper currency and other currencies throughout the world. </w:t>
      </w:r>
    </w:p>
    <w:p w:rsidR="006B0C2E" w:rsidRPr="001D2BAF" w:rsidRDefault="006B0C2E" w:rsidP="006B0C2E">
      <w:pPr>
        <w:spacing w:after="0" w:line="240" w:lineRule="auto"/>
        <w:ind w:firstLine="720"/>
        <w:rPr>
          <w:rFonts w:ascii="Times New Roman" w:hAnsi="Times New Roman"/>
          <w:sz w:val="24"/>
          <w:szCs w:val="24"/>
        </w:rPr>
      </w:pPr>
    </w:p>
    <w:p w:rsidR="00BD010A" w:rsidRPr="001D2BAF" w:rsidRDefault="00BD010A" w:rsidP="006C1CC9">
      <w:pPr>
        <w:pStyle w:val="ColorfulList-Accent11"/>
        <w:spacing w:after="0" w:line="240" w:lineRule="auto"/>
        <w:rPr>
          <w:rFonts w:ascii="Times New Roman" w:hAnsi="Times New Roman"/>
          <w:i/>
          <w:sz w:val="24"/>
          <w:szCs w:val="24"/>
        </w:rPr>
      </w:pPr>
      <w:r w:rsidRPr="001D2BAF">
        <w:rPr>
          <w:rFonts w:ascii="Times New Roman" w:hAnsi="Times New Roman"/>
          <w:i/>
          <w:sz w:val="24"/>
          <w:szCs w:val="24"/>
        </w:rPr>
        <w:t>Statistical Analysis</w:t>
      </w:r>
    </w:p>
    <w:p w:rsidR="00BD010A" w:rsidRPr="001D2BAF" w:rsidRDefault="00BD010A" w:rsidP="006C1CC9">
      <w:pPr>
        <w:pStyle w:val="ColorfulList-Accent11"/>
        <w:spacing w:after="0" w:line="240" w:lineRule="auto"/>
        <w:rPr>
          <w:rFonts w:ascii="Times New Roman" w:hAnsi="Times New Roman"/>
          <w:sz w:val="24"/>
          <w:szCs w:val="24"/>
        </w:rPr>
      </w:pPr>
    </w:p>
    <w:p w:rsidR="006C1CC9" w:rsidRPr="001D2BAF" w:rsidRDefault="00293AA8" w:rsidP="001224AB">
      <w:pPr>
        <w:pStyle w:val="ColorfulList-Accent11"/>
        <w:spacing w:after="0" w:line="240" w:lineRule="auto"/>
        <w:ind w:left="0" w:firstLine="720"/>
        <w:rPr>
          <w:rFonts w:ascii="Times New Roman" w:hAnsi="Times New Roman"/>
          <w:sz w:val="24"/>
          <w:szCs w:val="24"/>
        </w:rPr>
      </w:pPr>
      <w:r>
        <w:rPr>
          <w:rFonts w:ascii="Times New Roman" w:hAnsi="Times New Roman"/>
          <w:sz w:val="24"/>
          <w:szCs w:val="24"/>
        </w:rPr>
        <w:t>Standard</w:t>
      </w:r>
      <w:r w:rsidR="00BD010A" w:rsidRPr="001D2BAF">
        <w:rPr>
          <w:rFonts w:ascii="Times New Roman" w:hAnsi="Times New Roman"/>
          <w:sz w:val="24"/>
          <w:szCs w:val="24"/>
        </w:rPr>
        <w:t xml:space="preserve"> </w:t>
      </w:r>
      <w:r w:rsidR="00DE6DA5">
        <w:rPr>
          <w:rFonts w:ascii="Times New Roman" w:hAnsi="Times New Roman"/>
          <w:sz w:val="24"/>
          <w:szCs w:val="24"/>
        </w:rPr>
        <w:t xml:space="preserve">statistical </w:t>
      </w:r>
      <w:r w:rsidR="00BD010A" w:rsidRPr="001D2BAF">
        <w:rPr>
          <w:rFonts w:ascii="Times New Roman" w:hAnsi="Times New Roman"/>
          <w:sz w:val="24"/>
          <w:szCs w:val="24"/>
        </w:rPr>
        <w:t>analy</w:t>
      </w:r>
      <w:r w:rsidR="00DE6DA5">
        <w:rPr>
          <w:rFonts w:ascii="Times New Roman" w:hAnsi="Times New Roman"/>
          <w:sz w:val="24"/>
          <w:szCs w:val="24"/>
        </w:rPr>
        <w:t>sis</w:t>
      </w:r>
      <w:r>
        <w:rPr>
          <w:rFonts w:ascii="Times New Roman" w:hAnsi="Times New Roman"/>
          <w:sz w:val="24"/>
          <w:szCs w:val="24"/>
        </w:rPr>
        <w:t xml:space="preserve"> techniques will</w:t>
      </w:r>
      <w:r w:rsidR="00BD010A" w:rsidRPr="001D2BAF">
        <w:rPr>
          <w:rFonts w:ascii="Times New Roman" w:hAnsi="Times New Roman"/>
          <w:sz w:val="24"/>
          <w:szCs w:val="24"/>
        </w:rPr>
        <w:t xml:space="preserve"> be employed </w:t>
      </w:r>
      <w:r>
        <w:rPr>
          <w:rFonts w:ascii="Times New Roman" w:hAnsi="Times New Roman"/>
          <w:sz w:val="24"/>
          <w:szCs w:val="24"/>
        </w:rPr>
        <w:t xml:space="preserve">by the study administrator during </w:t>
      </w:r>
      <w:r w:rsidR="00DE6DA5">
        <w:rPr>
          <w:rFonts w:ascii="Times New Roman" w:hAnsi="Times New Roman"/>
          <w:sz w:val="24"/>
          <w:szCs w:val="24"/>
        </w:rPr>
        <w:t xml:space="preserve">analysis and reporting of the study </w:t>
      </w:r>
      <w:proofErr w:type="gramStart"/>
      <w:r w:rsidR="00DE6DA5">
        <w:rPr>
          <w:rFonts w:ascii="Times New Roman" w:hAnsi="Times New Roman"/>
          <w:sz w:val="24"/>
          <w:szCs w:val="24"/>
        </w:rPr>
        <w:t xml:space="preserve">result </w:t>
      </w:r>
      <w:r w:rsidR="00BD010A" w:rsidRPr="001D2BAF">
        <w:rPr>
          <w:rFonts w:ascii="Times New Roman" w:hAnsi="Times New Roman"/>
          <w:sz w:val="24"/>
          <w:szCs w:val="24"/>
        </w:rPr>
        <w:t>.</w:t>
      </w:r>
      <w:proofErr w:type="gramEnd"/>
      <w:r w:rsidR="00BD010A" w:rsidRPr="001D2BAF">
        <w:rPr>
          <w:rFonts w:ascii="Times New Roman" w:hAnsi="Times New Roman"/>
          <w:sz w:val="24"/>
          <w:szCs w:val="24"/>
        </w:rPr>
        <w:t xml:space="preserve">  </w:t>
      </w:r>
      <w:r w:rsidR="009115DA" w:rsidRPr="001D2BAF">
        <w:rPr>
          <w:rFonts w:ascii="Times New Roman" w:hAnsi="Times New Roman"/>
          <w:sz w:val="24"/>
          <w:szCs w:val="24"/>
        </w:rPr>
        <w:t xml:space="preserve">BEP </w:t>
      </w:r>
      <w:r w:rsidR="009E0BE7">
        <w:rPr>
          <w:rFonts w:ascii="Times New Roman" w:hAnsi="Times New Roman"/>
          <w:sz w:val="24"/>
          <w:szCs w:val="24"/>
        </w:rPr>
        <w:t>will use the results of this study (e.g., accuracy and speed of counting and sorting tasks with different tactile feature options) to down</w:t>
      </w:r>
      <w:r w:rsidR="00964F60">
        <w:rPr>
          <w:rFonts w:ascii="Times New Roman" w:hAnsi="Times New Roman"/>
          <w:sz w:val="24"/>
          <w:szCs w:val="24"/>
        </w:rPr>
        <w:t>-</w:t>
      </w:r>
      <w:r w:rsidR="009E0BE7">
        <w:rPr>
          <w:rFonts w:ascii="Times New Roman" w:hAnsi="Times New Roman"/>
          <w:sz w:val="24"/>
          <w:szCs w:val="24"/>
        </w:rPr>
        <w:t xml:space="preserve">select the number of options being developed. </w:t>
      </w:r>
      <w:r w:rsidR="00BD010A" w:rsidRPr="001D2BAF">
        <w:rPr>
          <w:rFonts w:ascii="Times New Roman" w:hAnsi="Times New Roman"/>
          <w:sz w:val="24"/>
          <w:szCs w:val="24"/>
        </w:rPr>
        <w:t xml:space="preserve">  </w:t>
      </w:r>
    </w:p>
    <w:p w:rsidR="006C1CC9" w:rsidRPr="001D2BAF" w:rsidRDefault="006C1CC9" w:rsidP="006C1CC9">
      <w:pPr>
        <w:pStyle w:val="ColorfulList-Accent11"/>
        <w:spacing w:after="0" w:line="240" w:lineRule="auto"/>
        <w:rPr>
          <w:rFonts w:ascii="Times New Roman" w:hAnsi="Times New Roman"/>
          <w:sz w:val="24"/>
          <w:szCs w:val="24"/>
        </w:rPr>
      </w:pPr>
      <w:r w:rsidRPr="001D2BAF">
        <w:rPr>
          <w:rFonts w:ascii="Times New Roman" w:hAnsi="Times New Roman"/>
          <w:sz w:val="24"/>
          <w:szCs w:val="24"/>
        </w:rPr>
        <w:tab/>
      </w:r>
    </w:p>
    <w:p w:rsidR="006C1CC9"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Reasons Why Displaying the OMB Expiration Date is Inappropriate</w:t>
      </w:r>
    </w:p>
    <w:p w:rsidR="00972ED4" w:rsidRPr="001D2BAF" w:rsidRDefault="00972ED4" w:rsidP="00063F7E">
      <w:pPr>
        <w:pStyle w:val="ColorfulList-Accent11"/>
        <w:spacing w:after="0" w:line="240" w:lineRule="auto"/>
        <w:rPr>
          <w:rFonts w:ascii="Times New Roman" w:hAnsi="Times New Roman"/>
          <w:b/>
          <w:sz w:val="24"/>
          <w:szCs w:val="24"/>
        </w:rPr>
      </w:pPr>
    </w:p>
    <w:p w:rsidR="006C1CC9"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lastRenderedPageBreak/>
        <w:t>Not applicable.  The expiration date for OMB approval will be displayed on any form utilized for the</w:t>
      </w:r>
      <w:r w:rsidR="00DA5535" w:rsidRPr="001D2BAF">
        <w:rPr>
          <w:rFonts w:ascii="Times New Roman" w:hAnsi="Times New Roman"/>
          <w:sz w:val="24"/>
          <w:szCs w:val="24"/>
        </w:rPr>
        <w:t xml:space="preserve"> information collection</w:t>
      </w:r>
      <w:r w:rsidRPr="001D2BAF">
        <w:rPr>
          <w:rFonts w:ascii="Times New Roman" w:hAnsi="Times New Roman"/>
          <w:sz w:val="24"/>
          <w:szCs w:val="24"/>
        </w:rPr>
        <w:t xml:space="preserve">.  </w:t>
      </w:r>
    </w:p>
    <w:p w:rsidR="006C1CC9" w:rsidRPr="001D2BAF" w:rsidRDefault="006C1CC9" w:rsidP="006C1CC9">
      <w:pPr>
        <w:spacing w:after="0" w:line="240" w:lineRule="auto"/>
        <w:rPr>
          <w:rFonts w:ascii="Times New Roman" w:hAnsi="Times New Roman"/>
          <w:sz w:val="24"/>
          <w:szCs w:val="24"/>
        </w:rPr>
      </w:pPr>
    </w:p>
    <w:p w:rsidR="006C1CC9" w:rsidRPr="001D2BAF" w:rsidRDefault="006C1CC9" w:rsidP="001F7AD2">
      <w:pPr>
        <w:pStyle w:val="ColorfulList-Accent11"/>
        <w:numPr>
          <w:ilvl w:val="0"/>
          <w:numId w:val="4"/>
        </w:numPr>
        <w:spacing w:after="0" w:line="240" w:lineRule="auto"/>
        <w:rPr>
          <w:rFonts w:ascii="Times New Roman" w:hAnsi="Times New Roman"/>
          <w:b/>
          <w:sz w:val="24"/>
          <w:szCs w:val="24"/>
        </w:rPr>
      </w:pPr>
      <w:r w:rsidRPr="001D2BAF">
        <w:rPr>
          <w:rFonts w:ascii="Times New Roman" w:hAnsi="Times New Roman"/>
          <w:b/>
          <w:sz w:val="24"/>
          <w:szCs w:val="24"/>
        </w:rPr>
        <w:t>Exceptions to Certification Requirement of OMB Form 83-I</w:t>
      </w:r>
    </w:p>
    <w:p w:rsidR="006C1CC9" w:rsidRPr="001D2BAF" w:rsidRDefault="006C1CC9" w:rsidP="006C1CC9">
      <w:pPr>
        <w:spacing w:after="0" w:line="240" w:lineRule="auto"/>
        <w:ind w:firstLine="720"/>
        <w:rPr>
          <w:rFonts w:ascii="Times New Roman" w:hAnsi="Times New Roman"/>
          <w:sz w:val="24"/>
          <w:szCs w:val="24"/>
        </w:rPr>
      </w:pPr>
      <w:r w:rsidRPr="001D2BAF">
        <w:rPr>
          <w:rFonts w:ascii="Times New Roman" w:hAnsi="Times New Roman"/>
          <w:sz w:val="24"/>
          <w:szCs w:val="24"/>
        </w:rPr>
        <w:t xml:space="preserve">Not applicable.  The </w:t>
      </w:r>
      <w:r w:rsidR="00066A04" w:rsidRPr="001D2BAF">
        <w:rPr>
          <w:rFonts w:ascii="Times New Roman" w:hAnsi="Times New Roman"/>
          <w:sz w:val="24"/>
          <w:szCs w:val="24"/>
        </w:rPr>
        <w:t>BEP</w:t>
      </w:r>
      <w:r w:rsidRPr="001D2BAF">
        <w:rPr>
          <w:rFonts w:ascii="Times New Roman" w:hAnsi="Times New Roman"/>
          <w:sz w:val="24"/>
          <w:szCs w:val="24"/>
        </w:rPr>
        <w:t xml:space="preserve"> is not requesting any exceptions to the certification statement identified in Item 19 “Certification for Paperwork Reduction Act Submissions”.</w:t>
      </w:r>
    </w:p>
    <w:p w:rsidR="0054620E" w:rsidRPr="001D2BAF" w:rsidRDefault="0054620E" w:rsidP="006C1CC9">
      <w:pPr>
        <w:spacing w:after="0" w:line="240" w:lineRule="auto"/>
        <w:ind w:firstLine="720"/>
        <w:rPr>
          <w:rFonts w:ascii="Times New Roman" w:hAnsi="Times New Roman"/>
          <w:sz w:val="24"/>
          <w:szCs w:val="24"/>
        </w:rPr>
      </w:pPr>
    </w:p>
    <w:p w:rsidR="00E22C6F" w:rsidRDefault="00E22C6F">
      <w:pPr>
        <w:rPr>
          <w:rFonts w:ascii="Times New Roman" w:hAnsi="Times New Roman"/>
          <w:b/>
          <w:sz w:val="24"/>
          <w:szCs w:val="24"/>
        </w:rPr>
      </w:pPr>
    </w:p>
    <w:p w:rsidR="0031003D" w:rsidRDefault="0031003D">
      <w:pPr>
        <w:rPr>
          <w:rFonts w:ascii="Times New Roman" w:hAnsi="Times New Roman"/>
          <w:b/>
          <w:sz w:val="24"/>
          <w:szCs w:val="24"/>
        </w:rPr>
      </w:pPr>
    </w:p>
    <w:p w:rsidR="009930ED" w:rsidRPr="001D2BAF" w:rsidRDefault="009930ED">
      <w:pPr>
        <w:rPr>
          <w:rFonts w:ascii="Times New Roman" w:hAnsi="Times New Roman"/>
          <w:sz w:val="24"/>
          <w:szCs w:val="24"/>
        </w:rPr>
      </w:pPr>
      <w:bookmarkStart w:id="0" w:name="_GoBack"/>
      <w:bookmarkEnd w:id="0"/>
    </w:p>
    <w:p w:rsidR="006C19F9" w:rsidRPr="001D2BAF" w:rsidRDefault="006C19F9">
      <w:pPr>
        <w:rPr>
          <w:rFonts w:ascii="Times New Roman" w:hAnsi="Times New Roman"/>
          <w:sz w:val="24"/>
          <w:szCs w:val="24"/>
        </w:rPr>
      </w:pPr>
    </w:p>
    <w:p w:rsidR="005F4CC4" w:rsidRDefault="005F4CC4">
      <w:pPr>
        <w:spacing w:after="0" w:line="240" w:lineRule="auto"/>
        <w:ind w:left="720"/>
        <w:rPr>
          <w:rFonts w:ascii="Times New Roman" w:hAnsi="Times New Roman"/>
          <w:sz w:val="24"/>
          <w:szCs w:val="24"/>
        </w:rPr>
      </w:pPr>
    </w:p>
    <w:sectPr w:rsidR="005F4CC4" w:rsidSect="006C1C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A41" w:rsidRDefault="00F45A41" w:rsidP="006C1CC9">
      <w:pPr>
        <w:spacing w:after="0" w:line="240" w:lineRule="auto"/>
      </w:pPr>
      <w:r>
        <w:separator/>
      </w:r>
    </w:p>
  </w:endnote>
  <w:endnote w:type="continuationSeparator" w:id="0">
    <w:p w:rsidR="00F45A41" w:rsidRDefault="00F45A41" w:rsidP="006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41" w:rsidRPr="00177030" w:rsidRDefault="00F45A41">
    <w:pPr>
      <w:pStyle w:val="Footer"/>
      <w:jc w:val="center"/>
      <w:rPr>
        <w:rFonts w:ascii="Times New Roman" w:hAnsi="Times New Roman"/>
        <w:sz w:val="24"/>
        <w:szCs w:val="24"/>
      </w:rPr>
    </w:pPr>
    <w:r w:rsidRPr="00177030">
      <w:rPr>
        <w:rFonts w:ascii="Times New Roman" w:hAnsi="Times New Roman"/>
        <w:sz w:val="24"/>
        <w:szCs w:val="24"/>
      </w:rPr>
      <w:fldChar w:fldCharType="begin"/>
    </w:r>
    <w:r w:rsidRPr="00177030">
      <w:rPr>
        <w:rFonts w:ascii="Times New Roman" w:hAnsi="Times New Roman"/>
        <w:sz w:val="24"/>
        <w:szCs w:val="24"/>
      </w:rPr>
      <w:instrText xml:space="preserve"> PAGE   \* MERGEFORMAT </w:instrText>
    </w:r>
    <w:r w:rsidRPr="00177030">
      <w:rPr>
        <w:rFonts w:ascii="Times New Roman" w:hAnsi="Times New Roman"/>
        <w:sz w:val="24"/>
        <w:szCs w:val="24"/>
      </w:rPr>
      <w:fldChar w:fldCharType="separate"/>
    </w:r>
    <w:r w:rsidR="0098034B">
      <w:rPr>
        <w:rFonts w:ascii="Times New Roman" w:hAnsi="Times New Roman"/>
        <w:noProof/>
        <w:sz w:val="24"/>
        <w:szCs w:val="24"/>
      </w:rPr>
      <w:t>9</w:t>
    </w:r>
    <w:r w:rsidRPr="00177030">
      <w:rPr>
        <w:rFonts w:ascii="Times New Roman" w:hAnsi="Times New Roman"/>
        <w:sz w:val="24"/>
        <w:szCs w:val="24"/>
      </w:rPr>
      <w:fldChar w:fldCharType="end"/>
    </w:r>
  </w:p>
  <w:p w:rsidR="00F45A41" w:rsidRDefault="00F4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A41" w:rsidRDefault="00F45A41" w:rsidP="006C1CC9">
      <w:pPr>
        <w:spacing w:after="0" w:line="240" w:lineRule="auto"/>
      </w:pPr>
      <w:r>
        <w:separator/>
      </w:r>
    </w:p>
  </w:footnote>
  <w:footnote w:type="continuationSeparator" w:id="0">
    <w:p w:rsidR="00F45A41" w:rsidRDefault="00F45A41" w:rsidP="006C1CC9">
      <w:pPr>
        <w:spacing w:after="0" w:line="240" w:lineRule="auto"/>
      </w:pPr>
      <w:r>
        <w:continuationSeparator/>
      </w:r>
    </w:p>
  </w:footnote>
  <w:footnote w:id="1">
    <w:p w:rsidR="00F45A41" w:rsidRPr="008B528B" w:rsidRDefault="00F45A41" w:rsidP="00587BA4">
      <w:pPr>
        <w:pStyle w:val="FootnoteText"/>
      </w:pPr>
      <w:r>
        <w:rPr>
          <w:rStyle w:val="FootnoteReference"/>
        </w:rPr>
        <w:footnoteRef/>
      </w:r>
      <w:r>
        <w:t xml:space="preserve"> </w:t>
      </w:r>
      <w:r w:rsidRPr="00A86FCA">
        <w:rPr>
          <w:rFonts w:ascii="Times New Roman" w:hAnsi="Times New Roman"/>
        </w:rPr>
        <w:t>Currently, U.S. law prohibits any changes to the $1 Federal Reserve note.  The Oct. 3 Order expressly states that the injunctive relief provided “does not apply to the one dollar ($1) note, and does not require the defendant to make any changes to the one dollar ($1) note.”</w:t>
      </w:r>
      <w:r>
        <w:t xml:space="preserve">      </w:t>
      </w:r>
    </w:p>
  </w:footnote>
  <w:footnote w:id="2">
    <w:p w:rsidR="00F45A41" w:rsidRDefault="00F45A41">
      <w:pPr>
        <w:pStyle w:val="FootnoteText"/>
      </w:pPr>
      <w:r>
        <w:rPr>
          <w:rStyle w:val="FootnoteReference"/>
        </w:rPr>
        <w:footnoteRef/>
      </w:r>
      <w:r>
        <w:t xml:space="preserve"> </w:t>
      </w:r>
      <w:r>
        <w:rPr>
          <w:rFonts w:ascii="Times New Roman" w:hAnsi="Times New Roman"/>
          <w:sz w:val="24"/>
          <w:szCs w:val="24"/>
        </w:rPr>
        <w:t xml:space="preserve">Note, it is possible, but unlikely that additional studies may need to be conducted using the same or similar protocol, metrics and population study after implementation of the selected feature.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55"/>
    <w:multiLevelType w:val="hybridMultilevel"/>
    <w:tmpl w:val="CD864142"/>
    <w:lvl w:ilvl="0" w:tplc="566A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E55A4"/>
    <w:multiLevelType w:val="hybridMultilevel"/>
    <w:tmpl w:val="622CA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F6B31"/>
    <w:multiLevelType w:val="hybridMultilevel"/>
    <w:tmpl w:val="E33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D46058"/>
    <w:multiLevelType w:val="hybridMultilevel"/>
    <w:tmpl w:val="C68206E2"/>
    <w:lvl w:ilvl="0" w:tplc="874632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494A50"/>
    <w:multiLevelType w:val="hybridMultilevel"/>
    <w:tmpl w:val="729C2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1557D"/>
    <w:multiLevelType w:val="hybridMultilevel"/>
    <w:tmpl w:val="DFE8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84089B"/>
    <w:multiLevelType w:val="hybridMultilevel"/>
    <w:tmpl w:val="B336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956D0"/>
    <w:multiLevelType w:val="hybridMultilevel"/>
    <w:tmpl w:val="41780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A375D6"/>
    <w:multiLevelType w:val="hybridMultilevel"/>
    <w:tmpl w:val="DDE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295436"/>
    <w:multiLevelType w:val="hybridMultilevel"/>
    <w:tmpl w:val="C06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C70B24"/>
    <w:multiLevelType w:val="hybridMultilevel"/>
    <w:tmpl w:val="6020494C"/>
    <w:lvl w:ilvl="0" w:tplc="328CA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34762C"/>
    <w:multiLevelType w:val="hybridMultilevel"/>
    <w:tmpl w:val="A96C2E24"/>
    <w:lvl w:ilvl="0" w:tplc="6FEE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43508"/>
    <w:multiLevelType w:val="hybridMultilevel"/>
    <w:tmpl w:val="C046C1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75141F"/>
    <w:multiLevelType w:val="hybridMultilevel"/>
    <w:tmpl w:val="5346F69A"/>
    <w:lvl w:ilvl="0" w:tplc="BB08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C35E44"/>
    <w:multiLevelType w:val="hybridMultilevel"/>
    <w:tmpl w:val="4A46B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2C5B65"/>
    <w:multiLevelType w:val="hybridMultilevel"/>
    <w:tmpl w:val="9EA4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2A52CC"/>
    <w:multiLevelType w:val="hybridMultilevel"/>
    <w:tmpl w:val="5700FF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70AD7"/>
    <w:multiLevelType w:val="hybridMultilevel"/>
    <w:tmpl w:val="522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0"/>
  </w:num>
  <w:num w:numId="4">
    <w:abstractNumId w:val="1"/>
  </w:num>
  <w:num w:numId="5">
    <w:abstractNumId w:val="22"/>
  </w:num>
  <w:num w:numId="6">
    <w:abstractNumId w:val="2"/>
  </w:num>
  <w:num w:numId="7">
    <w:abstractNumId w:val="20"/>
  </w:num>
  <w:num w:numId="8">
    <w:abstractNumId w:val="16"/>
  </w:num>
  <w:num w:numId="9">
    <w:abstractNumId w:val="0"/>
  </w:num>
  <w:num w:numId="10">
    <w:abstractNumId w:val="15"/>
  </w:num>
  <w:num w:numId="11">
    <w:abstractNumId w:val="18"/>
  </w:num>
  <w:num w:numId="12">
    <w:abstractNumId w:val="17"/>
  </w:num>
  <w:num w:numId="13">
    <w:abstractNumId w:val="5"/>
  </w:num>
  <w:num w:numId="14">
    <w:abstractNumId w:val="4"/>
  </w:num>
  <w:num w:numId="15">
    <w:abstractNumId w:val="6"/>
  </w:num>
  <w:num w:numId="16">
    <w:abstractNumId w:val="3"/>
  </w:num>
  <w:num w:numId="17">
    <w:abstractNumId w:val="12"/>
  </w:num>
  <w:num w:numId="18">
    <w:abstractNumId w:val="11"/>
  </w:num>
  <w:num w:numId="19">
    <w:abstractNumId w:val="23"/>
  </w:num>
  <w:num w:numId="20">
    <w:abstractNumId w:val="8"/>
  </w:num>
  <w:num w:numId="21">
    <w:abstractNumId w:val="19"/>
  </w:num>
  <w:num w:numId="22">
    <w:abstractNumId w:val="13"/>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2247"/>
    <w:rsid w:val="00002909"/>
    <w:rsid w:val="00010BA1"/>
    <w:rsid w:val="00015F6C"/>
    <w:rsid w:val="00022DA0"/>
    <w:rsid w:val="000307CE"/>
    <w:rsid w:val="000378A9"/>
    <w:rsid w:val="00037DF8"/>
    <w:rsid w:val="000423A6"/>
    <w:rsid w:val="00045C1F"/>
    <w:rsid w:val="00050288"/>
    <w:rsid w:val="0005269E"/>
    <w:rsid w:val="00052AB3"/>
    <w:rsid w:val="00053801"/>
    <w:rsid w:val="00057A22"/>
    <w:rsid w:val="0006227C"/>
    <w:rsid w:val="00063F7E"/>
    <w:rsid w:val="00066A04"/>
    <w:rsid w:val="00070B59"/>
    <w:rsid w:val="00071579"/>
    <w:rsid w:val="0007533E"/>
    <w:rsid w:val="0007698B"/>
    <w:rsid w:val="00076A1F"/>
    <w:rsid w:val="00076B6F"/>
    <w:rsid w:val="00080803"/>
    <w:rsid w:val="00085E71"/>
    <w:rsid w:val="00087947"/>
    <w:rsid w:val="0009026C"/>
    <w:rsid w:val="000A54F7"/>
    <w:rsid w:val="000A55B2"/>
    <w:rsid w:val="000A78E1"/>
    <w:rsid w:val="000B02D4"/>
    <w:rsid w:val="000B440D"/>
    <w:rsid w:val="000B48AE"/>
    <w:rsid w:val="000B7580"/>
    <w:rsid w:val="000C4CF9"/>
    <w:rsid w:val="000C60E9"/>
    <w:rsid w:val="000D0C70"/>
    <w:rsid w:val="000D10BC"/>
    <w:rsid w:val="000D364F"/>
    <w:rsid w:val="000E0761"/>
    <w:rsid w:val="000F3825"/>
    <w:rsid w:val="000F6254"/>
    <w:rsid w:val="000F6708"/>
    <w:rsid w:val="001006ED"/>
    <w:rsid w:val="00103868"/>
    <w:rsid w:val="00104202"/>
    <w:rsid w:val="00106F8F"/>
    <w:rsid w:val="001108D8"/>
    <w:rsid w:val="0011594A"/>
    <w:rsid w:val="001224AB"/>
    <w:rsid w:val="001243E1"/>
    <w:rsid w:val="00124C28"/>
    <w:rsid w:val="001262E7"/>
    <w:rsid w:val="00131C76"/>
    <w:rsid w:val="00135CC9"/>
    <w:rsid w:val="00135EF0"/>
    <w:rsid w:val="001409CA"/>
    <w:rsid w:val="00144968"/>
    <w:rsid w:val="00144A64"/>
    <w:rsid w:val="001502D8"/>
    <w:rsid w:val="00151D61"/>
    <w:rsid w:val="00160B26"/>
    <w:rsid w:val="001616E5"/>
    <w:rsid w:val="00172BA6"/>
    <w:rsid w:val="00177015"/>
    <w:rsid w:val="00177030"/>
    <w:rsid w:val="00186395"/>
    <w:rsid w:val="00190780"/>
    <w:rsid w:val="001A0CE7"/>
    <w:rsid w:val="001A3353"/>
    <w:rsid w:val="001A374D"/>
    <w:rsid w:val="001A3C3A"/>
    <w:rsid w:val="001A5C74"/>
    <w:rsid w:val="001A7932"/>
    <w:rsid w:val="001B0CFA"/>
    <w:rsid w:val="001B4EF9"/>
    <w:rsid w:val="001C6279"/>
    <w:rsid w:val="001D1587"/>
    <w:rsid w:val="001D2BAF"/>
    <w:rsid w:val="001D546A"/>
    <w:rsid w:val="001D6AE1"/>
    <w:rsid w:val="001E0A7D"/>
    <w:rsid w:val="001E0BCC"/>
    <w:rsid w:val="001E285E"/>
    <w:rsid w:val="001F22A5"/>
    <w:rsid w:val="001F2F34"/>
    <w:rsid w:val="001F744D"/>
    <w:rsid w:val="001F7AD2"/>
    <w:rsid w:val="00201427"/>
    <w:rsid w:val="002059D5"/>
    <w:rsid w:val="002078BE"/>
    <w:rsid w:val="0021152F"/>
    <w:rsid w:val="002124AB"/>
    <w:rsid w:val="00223E24"/>
    <w:rsid w:val="002256B3"/>
    <w:rsid w:val="0022799D"/>
    <w:rsid w:val="00227B26"/>
    <w:rsid w:val="0023379F"/>
    <w:rsid w:val="0023541D"/>
    <w:rsid w:val="0024102C"/>
    <w:rsid w:val="00241B31"/>
    <w:rsid w:val="00242CFB"/>
    <w:rsid w:val="0024714F"/>
    <w:rsid w:val="00260BD1"/>
    <w:rsid w:val="00260CBF"/>
    <w:rsid w:val="00260E4B"/>
    <w:rsid w:val="00266E1F"/>
    <w:rsid w:val="00271882"/>
    <w:rsid w:val="00274116"/>
    <w:rsid w:val="00275B24"/>
    <w:rsid w:val="00275C53"/>
    <w:rsid w:val="00280453"/>
    <w:rsid w:val="002817F9"/>
    <w:rsid w:val="00293AA8"/>
    <w:rsid w:val="00294FD7"/>
    <w:rsid w:val="002A03F9"/>
    <w:rsid w:val="002A7133"/>
    <w:rsid w:val="002B019E"/>
    <w:rsid w:val="002B1DCE"/>
    <w:rsid w:val="002C460F"/>
    <w:rsid w:val="002D33C8"/>
    <w:rsid w:val="002D6C09"/>
    <w:rsid w:val="002D6D67"/>
    <w:rsid w:val="002E0876"/>
    <w:rsid w:val="002E6A29"/>
    <w:rsid w:val="002F15A1"/>
    <w:rsid w:val="002F30F1"/>
    <w:rsid w:val="002F6D9B"/>
    <w:rsid w:val="0031003D"/>
    <w:rsid w:val="003169B0"/>
    <w:rsid w:val="00317D62"/>
    <w:rsid w:val="00324B0D"/>
    <w:rsid w:val="00332A75"/>
    <w:rsid w:val="00333C3E"/>
    <w:rsid w:val="00335FB9"/>
    <w:rsid w:val="00350857"/>
    <w:rsid w:val="00353FD0"/>
    <w:rsid w:val="00356E22"/>
    <w:rsid w:val="00361809"/>
    <w:rsid w:val="003627C5"/>
    <w:rsid w:val="003671A3"/>
    <w:rsid w:val="00367620"/>
    <w:rsid w:val="00371729"/>
    <w:rsid w:val="00372164"/>
    <w:rsid w:val="00372A2B"/>
    <w:rsid w:val="003818DE"/>
    <w:rsid w:val="00384CB8"/>
    <w:rsid w:val="00385B5D"/>
    <w:rsid w:val="00390A99"/>
    <w:rsid w:val="0039279F"/>
    <w:rsid w:val="00392C1E"/>
    <w:rsid w:val="00392E23"/>
    <w:rsid w:val="00397141"/>
    <w:rsid w:val="003A7F7C"/>
    <w:rsid w:val="003B254F"/>
    <w:rsid w:val="003B27B3"/>
    <w:rsid w:val="003B2E17"/>
    <w:rsid w:val="003B7A8D"/>
    <w:rsid w:val="003C22C1"/>
    <w:rsid w:val="003C2698"/>
    <w:rsid w:val="003D299F"/>
    <w:rsid w:val="003D2A2A"/>
    <w:rsid w:val="003D5BE2"/>
    <w:rsid w:val="003E0709"/>
    <w:rsid w:val="003E09F4"/>
    <w:rsid w:val="003E3F51"/>
    <w:rsid w:val="003E4915"/>
    <w:rsid w:val="003F07A1"/>
    <w:rsid w:val="003F18DB"/>
    <w:rsid w:val="003F2735"/>
    <w:rsid w:val="003F37F2"/>
    <w:rsid w:val="003F3D52"/>
    <w:rsid w:val="0040068B"/>
    <w:rsid w:val="004010AF"/>
    <w:rsid w:val="00401488"/>
    <w:rsid w:val="004031CC"/>
    <w:rsid w:val="0040699E"/>
    <w:rsid w:val="004070C8"/>
    <w:rsid w:val="00415005"/>
    <w:rsid w:val="004166E3"/>
    <w:rsid w:val="0042118D"/>
    <w:rsid w:val="00422F3D"/>
    <w:rsid w:val="00423DEB"/>
    <w:rsid w:val="004368F6"/>
    <w:rsid w:val="0044199F"/>
    <w:rsid w:val="00443C09"/>
    <w:rsid w:val="00444BAC"/>
    <w:rsid w:val="0046793C"/>
    <w:rsid w:val="0047142D"/>
    <w:rsid w:val="004806A3"/>
    <w:rsid w:val="00490980"/>
    <w:rsid w:val="00491979"/>
    <w:rsid w:val="0049438D"/>
    <w:rsid w:val="004A1DFC"/>
    <w:rsid w:val="004A2AF9"/>
    <w:rsid w:val="004A2CC7"/>
    <w:rsid w:val="004A35C5"/>
    <w:rsid w:val="004A3D38"/>
    <w:rsid w:val="004B3C7D"/>
    <w:rsid w:val="004B4119"/>
    <w:rsid w:val="004B49C1"/>
    <w:rsid w:val="004B7919"/>
    <w:rsid w:val="004C37CD"/>
    <w:rsid w:val="004C4FA9"/>
    <w:rsid w:val="004D48E4"/>
    <w:rsid w:val="004D49F9"/>
    <w:rsid w:val="004E1790"/>
    <w:rsid w:val="004E1BE4"/>
    <w:rsid w:val="004E771A"/>
    <w:rsid w:val="004F1FDD"/>
    <w:rsid w:val="004F7611"/>
    <w:rsid w:val="00501C6C"/>
    <w:rsid w:val="0050281E"/>
    <w:rsid w:val="00502DDA"/>
    <w:rsid w:val="0050521A"/>
    <w:rsid w:val="00505847"/>
    <w:rsid w:val="0051261C"/>
    <w:rsid w:val="00515044"/>
    <w:rsid w:val="00526140"/>
    <w:rsid w:val="005272DD"/>
    <w:rsid w:val="00534C76"/>
    <w:rsid w:val="00537823"/>
    <w:rsid w:val="00545E10"/>
    <w:rsid w:val="0054620E"/>
    <w:rsid w:val="00546EA7"/>
    <w:rsid w:val="00553D9A"/>
    <w:rsid w:val="00563993"/>
    <w:rsid w:val="00570837"/>
    <w:rsid w:val="0057195E"/>
    <w:rsid w:val="00571BCC"/>
    <w:rsid w:val="00576B0F"/>
    <w:rsid w:val="00577FAE"/>
    <w:rsid w:val="00580382"/>
    <w:rsid w:val="005848F5"/>
    <w:rsid w:val="00584E4F"/>
    <w:rsid w:val="005852A5"/>
    <w:rsid w:val="00587BA4"/>
    <w:rsid w:val="005917D9"/>
    <w:rsid w:val="00591F87"/>
    <w:rsid w:val="00592C88"/>
    <w:rsid w:val="00593D0B"/>
    <w:rsid w:val="0059479E"/>
    <w:rsid w:val="00594B7D"/>
    <w:rsid w:val="005952FF"/>
    <w:rsid w:val="005967AC"/>
    <w:rsid w:val="005970C6"/>
    <w:rsid w:val="005A0F9C"/>
    <w:rsid w:val="005A7AA3"/>
    <w:rsid w:val="005B0CCE"/>
    <w:rsid w:val="005B1D46"/>
    <w:rsid w:val="005B1DA0"/>
    <w:rsid w:val="005C33DB"/>
    <w:rsid w:val="005C3731"/>
    <w:rsid w:val="005D4ABE"/>
    <w:rsid w:val="005D4E88"/>
    <w:rsid w:val="005D69D8"/>
    <w:rsid w:val="005D79FC"/>
    <w:rsid w:val="005E1946"/>
    <w:rsid w:val="005E5C4A"/>
    <w:rsid w:val="005E64E9"/>
    <w:rsid w:val="005F4540"/>
    <w:rsid w:val="005F4CC4"/>
    <w:rsid w:val="005F6B18"/>
    <w:rsid w:val="00604F80"/>
    <w:rsid w:val="006067FA"/>
    <w:rsid w:val="006160CF"/>
    <w:rsid w:val="00617206"/>
    <w:rsid w:val="00624837"/>
    <w:rsid w:val="00627599"/>
    <w:rsid w:val="006307D1"/>
    <w:rsid w:val="00633E7F"/>
    <w:rsid w:val="006356AA"/>
    <w:rsid w:val="0064132A"/>
    <w:rsid w:val="00641BAA"/>
    <w:rsid w:val="006476EA"/>
    <w:rsid w:val="006522D8"/>
    <w:rsid w:val="00652347"/>
    <w:rsid w:val="00652DFD"/>
    <w:rsid w:val="00655AAD"/>
    <w:rsid w:val="00656A5A"/>
    <w:rsid w:val="00660284"/>
    <w:rsid w:val="00660B64"/>
    <w:rsid w:val="00662AA5"/>
    <w:rsid w:val="00667296"/>
    <w:rsid w:val="00671461"/>
    <w:rsid w:val="0067287D"/>
    <w:rsid w:val="006758BE"/>
    <w:rsid w:val="00675D7C"/>
    <w:rsid w:val="00681CD5"/>
    <w:rsid w:val="00681F67"/>
    <w:rsid w:val="0068578B"/>
    <w:rsid w:val="00686D4A"/>
    <w:rsid w:val="00690791"/>
    <w:rsid w:val="00690BA9"/>
    <w:rsid w:val="006916D4"/>
    <w:rsid w:val="00695B57"/>
    <w:rsid w:val="006A0F1A"/>
    <w:rsid w:val="006A4100"/>
    <w:rsid w:val="006A5BE7"/>
    <w:rsid w:val="006B0C2E"/>
    <w:rsid w:val="006B2902"/>
    <w:rsid w:val="006B78E6"/>
    <w:rsid w:val="006B7EC1"/>
    <w:rsid w:val="006C0292"/>
    <w:rsid w:val="006C05F4"/>
    <w:rsid w:val="006C19F9"/>
    <w:rsid w:val="006C1CC9"/>
    <w:rsid w:val="006D09BE"/>
    <w:rsid w:val="006D7E7E"/>
    <w:rsid w:val="006E1EB8"/>
    <w:rsid w:val="006E2362"/>
    <w:rsid w:val="006E4873"/>
    <w:rsid w:val="006F2515"/>
    <w:rsid w:val="006F5C9E"/>
    <w:rsid w:val="006F5CFC"/>
    <w:rsid w:val="006F73FA"/>
    <w:rsid w:val="006F7899"/>
    <w:rsid w:val="007048A1"/>
    <w:rsid w:val="00705481"/>
    <w:rsid w:val="00706FD3"/>
    <w:rsid w:val="00707A73"/>
    <w:rsid w:val="00710107"/>
    <w:rsid w:val="007124BC"/>
    <w:rsid w:val="00712FF2"/>
    <w:rsid w:val="00714BD2"/>
    <w:rsid w:val="007172A5"/>
    <w:rsid w:val="00721D0F"/>
    <w:rsid w:val="0072771C"/>
    <w:rsid w:val="0073314A"/>
    <w:rsid w:val="007347CB"/>
    <w:rsid w:val="00736EE9"/>
    <w:rsid w:val="00737228"/>
    <w:rsid w:val="00742305"/>
    <w:rsid w:val="007436FA"/>
    <w:rsid w:val="007456CC"/>
    <w:rsid w:val="007613D6"/>
    <w:rsid w:val="00762A04"/>
    <w:rsid w:val="00763671"/>
    <w:rsid w:val="007652D2"/>
    <w:rsid w:val="007663D0"/>
    <w:rsid w:val="00766598"/>
    <w:rsid w:val="007714BD"/>
    <w:rsid w:val="007761EE"/>
    <w:rsid w:val="007919E7"/>
    <w:rsid w:val="00792537"/>
    <w:rsid w:val="007965B8"/>
    <w:rsid w:val="007970DD"/>
    <w:rsid w:val="00797C43"/>
    <w:rsid w:val="007A1E94"/>
    <w:rsid w:val="007A4A5B"/>
    <w:rsid w:val="007A743A"/>
    <w:rsid w:val="007B167C"/>
    <w:rsid w:val="007B1835"/>
    <w:rsid w:val="007B2422"/>
    <w:rsid w:val="007D09D4"/>
    <w:rsid w:val="007D2382"/>
    <w:rsid w:val="007D2CF2"/>
    <w:rsid w:val="007D3757"/>
    <w:rsid w:val="007E273E"/>
    <w:rsid w:val="007F40F8"/>
    <w:rsid w:val="00803EF3"/>
    <w:rsid w:val="00804D7A"/>
    <w:rsid w:val="00816466"/>
    <w:rsid w:val="00825352"/>
    <w:rsid w:val="0083220F"/>
    <w:rsid w:val="008372CD"/>
    <w:rsid w:val="008546C9"/>
    <w:rsid w:val="00854DD1"/>
    <w:rsid w:val="00856061"/>
    <w:rsid w:val="0085610B"/>
    <w:rsid w:val="00860732"/>
    <w:rsid w:val="008613DD"/>
    <w:rsid w:val="0086246E"/>
    <w:rsid w:val="00873220"/>
    <w:rsid w:val="00881A36"/>
    <w:rsid w:val="008850E9"/>
    <w:rsid w:val="008855C1"/>
    <w:rsid w:val="00885C1B"/>
    <w:rsid w:val="008965C5"/>
    <w:rsid w:val="008973BE"/>
    <w:rsid w:val="008A1CB4"/>
    <w:rsid w:val="008C3815"/>
    <w:rsid w:val="008C3A71"/>
    <w:rsid w:val="008C4196"/>
    <w:rsid w:val="008C723E"/>
    <w:rsid w:val="008D1A0D"/>
    <w:rsid w:val="008D307E"/>
    <w:rsid w:val="008D6C05"/>
    <w:rsid w:val="008D7DB0"/>
    <w:rsid w:val="008E2115"/>
    <w:rsid w:val="008E43D4"/>
    <w:rsid w:val="008E46E8"/>
    <w:rsid w:val="008E5F71"/>
    <w:rsid w:val="008F0DCA"/>
    <w:rsid w:val="008F3996"/>
    <w:rsid w:val="009007EB"/>
    <w:rsid w:val="0090081F"/>
    <w:rsid w:val="00901D02"/>
    <w:rsid w:val="009030A3"/>
    <w:rsid w:val="00907F18"/>
    <w:rsid w:val="00907FDC"/>
    <w:rsid w:val="009103CC"/>
    <w:rsid w:val="009115DA"/>
    <w:rsid w:val="00917519"/>
    <w:rsid w:val="00923D38"/>
    <w:rsid w:val="009267A4"/>
    <w:rsid w:val="00930552"/>
    <w:rsid w:val="00930F10"/>
    <w:rsid w:val="00951E35"/>
    <w:rsid w:val="00952B3B"/>
    <w:rsid w:val="00953C23"/>
    <w:rsid w:val="00953E47"/>
    <w:rsid w:val="009556C8"/>
    <w:rsid w:val="009647D6"/>
    <w:rsid w:val="00964F60"/>
    <w:rsid w:val="009676CB"/>
    <w:rsid w:val="00970312"/>
    <w:rsid w:val="009709DB"/>
    <w:rsid w:val="00972832"/>
    <w:rsid w:val="00972ED4"/>
    <w:rsid w:val="0097392B"/>
    <w:rsid w:val="0098034B"/>
    <w:rsid w:val="00982657"/>
    <w:rsid w:val="009830B1"/>
    <w:rsid w:val="00984771"/>
    <w:rsid w:val="009865D5"/>
    <w:rsid w:val="00990FC7"/>
    <w:rsid w:val="009912EF"/>
    <w:rsid w:val="0099255A"/>
    <w:rsid w:val="009930ED"/>
    <w:rsid w:val="0099535B"/>
    <w:rsid w:val="009A05C6"/>
    <w:rsid w:val="009A06EC"/>
    <w:rsid w:val="009A2804"/>
    <w:rsid w:val="009A286E"/>
    <w:rsid w:val="009A36BC"/>
    <w:rsid w:val="009A7123"/>
    <w:rsid w:val="009B2B55"/>
    <w:rsid w:val="009B302C"/>
    <w:rsid w:val="009B6854"/>
    <w:rsid w:val="009C01DB"/>
    <w:rsid w:val="009C05D2"/>
    <w:rsid w:val="009C76C6"/>
    <w:rsid w:val="009E0BE7"/>
    <w:rsid w:val="009E2181"/>
    <w:rsid w:val="009F0936"/>
    <w:rsid w:val="009F0F65"/>
    <w:rsid w:val="009F2A03"/>
    <w:rsid w:val="009F2DC6"/>
    <w:rsid w:val="009F44B4"/>
    <w:rsid w:val="009F67AF"/>
    <w:rsid w:val="009F7EC1"/>
    <w:rsid w:val="00A0147C"/>
    <w:rsid w:val="00A0286C"/>
    <w:rsid w:val="00A0655F"/>
    <w:rsid w:val="00A07654"/>
    <w:rsid w:val="00A12503"/>
    <w:rsid w:val="00A14021"/>
    <w:rsid w:val="00A14E11"/>
    <w:rsid w:val="00A16C3A"/>
    <w:rsid w:val="00A16CB5"/>
    <w:rsid w:val="00A172C5"/>
    <w:rsid w:val="00A2173F"/>
    <w:rsid w:val="00A30CBA"/>
    <w:rsid w:val="00A32D14"/>
    <w:rsid w:val="00A33217"/>
    <w:rsid w:val="00A42570"/>
    <w:rsid w:val="00A45C78"/>
    <w:rsid w:val="00A50B12"/>
    <w:rsid w:val="00A517F7"/>
    <w:rsid w:val="00A51B69"/>
    <w:rsid w:val="00A54986"/>
    <w:rsid w:val="00A55090"/>
    <w:rsid w:val="00A551ED"/>
    <w:rsid w:val="00A56FBE"/>
    <w:rsid w:val="00A628D0"/>
    <w:rsid w:val="00A66E57"/>
    <w:rsid w:val="00A66E60"/>
    <w:rsid w:val="00A67BA5"/>
    <w:rsid w:val="00A817EC"/>
    <w:rsid w:val="00A86FCA"/>
    <w:rsid w:val="00A876DC"/>
    <w:rsid w:val="00A929A7"/>
    <w:rsid w:val="00AA62B8"/>
    <w:rsid w:val="00AB368C"/>
    <w:rsid w:val="00AB6C08"/>
    <w:rsid w:val="00AB6D0B"/>
    <w:rsid w:val="00AC4A18"/>
    <w:rsid w:val="00AC55A6"/>
    <w:rsid w:val="00AC634C"/>
    <w:rsid w:val="00AC7041"/>
    <w:rsid w:val="00AD0D2B"/>
    <w:rsid w:val="00AD5DCE"/>
    <w:rsid w:val="00AD69DA"/>
    <w:rsid w:val="00AE028D"/>
    <w:rsid w:val="00AE05BB"/>
    <w:rsid w:val="00AE41D7"/>
    <w:rsid w:val="00AF2ECE"/>
    <w:rsid w:val="00B00638"/>
    <w:rsid w:val="00B034B6"/>
    <w:rsid w:val="00B06849"/>
    <w:rsid w:val="00B072B1"/>
    <w:rsid w:val="00B12BA6"/>
    <w:rsid w:val="00B16EC8"/>
    <w:rsid w:val="00B2010A"/>
    <w:rsid w:val="00B20185"/>
    <w:rsid w:val="00B20413"/>
    <w:rsid w:val="00B2122E"/>
    <w:rsid w:val="00B25341"/>
    <w:rsid w:val="00B25DFE"/>
    <w:rsid w:val="00B32265"/>
    <w:rsid w:val="00B335F1"/>
    <w:rsid w:val="00B3461C"/>
    <w:rsid w:val="00B37699"/>
    <w:rsid w:val="00B37C14"/>
    <w:rsid w:val="00B37C8A"/>
    <w:rsid w:val="00B40D3B"/>
    <w:rsid w:val="00B4378D"/>
    <w:rsid w:val="00B45721"/>
    <w:rsid w:val="00B46AFB"/>
    <w:rsid w:val="00B47C05"/>
    <w:rsid w:val="00B53747"/>
    <w:rsid w:val="00B6307D"/>
    <w:rsid w:val="00B63092"/>
    <w:rsid w:val="00B64487"/>
    <w:rsid w:val="00B67090"/>
    <w:rsid w:val="00B6760D"/>
    <w:rsid w:val="00B7328A"/>
    <w:rsid w:val="00B76C87"/>
    <w:rsid w:val="00B856BF"/>
    <w:rsid w:val="00B94096"/>
    <w:rsid w:val="00B94521"/>
    <w:rsid w:val="00B97415"/>
    <w:rsid w:val="00B97A3E"/>
    <w:rsid w:val="00BA0142"/>
    <w:rsid w:val="00BA248C"/>
    <w:rsid w:val="00BA556B"/>
    <w:rsid w:val="00BA59B8"/>
    <w:rsid w:val="00BB50EE"/>
    <w:rsid w:val="00BB6291"/>
    <w:rsid w:val="00BC2F0A"/>
    <w:rsid w:val="00BC4C57"/>
    <w:rsid w:val="00BD010A"/>
    <w:rsid w:val="00BD24AE"/>
    <w:rsid w:val="00BE5456"/>
    <w:rsid w:val="00BF01D2"/>
    <w:rsid w:val="00BF5A73"/>
    <w:rsid w:val="00C04454"/>
    <w:rsid w:val="00C11D19"/>
    <w:rsid w:val="00C157AF"/>
    <w:rsid w:val="00C16F3D"/>
    <w:rsid w:val="00C2181D"/>
    <w:rsid w:val="00C24F43"/>
    <w:rsid w:val="00C341C7"/>
    <w:rsid w:val="00C34ABD"/>
    <w:rsid w:val="00C40693"/>
    <w:rsid w:val="00C423DC"/>
    <w:rsid w:val="00C446A8"/>
    <w:rsid w:val="00C45EE7"/>
    <w:rsid w:val="00C519AE"/>
    <w:rsid w:val="00C6421F"/>
    <w:rsid w:val="00C73E59"/>
    <w:rsid w:val="00C8187B"/>
    <w:rsid w:val="00C82B74"/>
    <w:rsid w:val="00C8492E"/>
    <w:rsid w:val="00C921AB"/>
    <w:rsid w:val="00C929D7"/>
    <w:rsid w:val="00C95166"/>
    <w:rsid w:val="00CA185E"/>
    <w:rsid w:val="00CA3575"/>
    <w:rsid w:val="00CA3648"/>
    <w:rsid w:val="00CA7CAA"/>
    <w:rsid w:val="00CB2B3B"/>
    <w:rsid w:val="00CB2C7B"/>
    <w:rsid w:val="00CB39FB"/>
    <w:rsid w:val="00CB7D13"/>
    <w:rsid w:val="00CC4B3B"/>
    <w:rsid w:val="00CC76BF"/>
    <w:rsid w:val="00CD0966"/>
    <w:rsid w:val="00CD1F91"/>
    <w:rsid w:val="00CD2229"/>
    <w:rsid w:val="00CD32E2"/>
    <w:rsid w:val="00CD6239"/>
    <w:rsid w:val="00CF120D"/>
    <w:rsid w:val="00CF240A"/>
    <w:rsid w:val="00D01E1E"/>
    <w:rsid w:val="00D05B4B"/>
    <w:rsid w:val="00D14441"/>
    <w:rsid w:val="00D14A8F"/>
    <w:rsid w:val="00D14EE0"/>
    <w:rsid w:val="00D1710D"/>
    <w:rsid w:val="00D17990"/>
    <w:rsid w:val="00D21E6F"/>
    <w:rsid w:val="00D227E3"/>
    <w:rsid w:val="00D24F41"/>
    <w:rsid w:val="00D3110A"/>
    <w:rsid w:val="00D31D41"/>
    <w:rsid w:val="00D32F7C"/>
    <w:rsid w:val="00D33C7D"/>
    <w:rsid w:val="00D41C91"/>
    <w:rsid w:val="00D42010"/>
    <w:rsid w:val="00D430B8"/>
    <w:rsid w:val="00D61D04"/>
    <w:rsid w:val="00D62D55"/>
    <w:rsid w:val="00D65107"/>
    <w:rsid w:val="00D65545"/>
    <w:rsid w:val="00D66012"/>
    <w:rsid w:val="00D66AA8"/>
    <w:rsid w:val="00D725BD"/>
    <w:rsid w:val="00D72FC5"/>
    <w:rsid w:val="00D76CB7"/>
    <w:rsid w:val="00D77D27"/>
    <w:rsid w:val="00D80773"/>
    <w:rsid w:val="00D8193E"/>
    <w:rsid w:val="00D831CF"/>
    <w:rsid w:val="00D83756"/>
    <w:rsid w:val="00D85023"/>
    <w:rsid w:val="00D8652D"/>
    <w:rsid w:val="00D87061"/>
    <w:rsid w:val="00D87DA8"/>
    <w:rsid w:val="00D91985"/>
    <w:rsid w:val="00D92745"/>
    <w:rsid w:val="00DA22F6"/>
    <w:rsid w:val="00DA3DB2"/>
    <w:rsid w:val="00DA4A88"/>
    <w:rsid w:val="00DA5535"/>
    <w:rsid w:val="00DB4BCF"/>
    <w:rsid w:val="00DB6763"/>
    <w:rsid w:val="00DC39AA"/>
    <w:rsid w:val="00DD74DC"/>
    <w:rsid w:val="00DE0275"/>
    <w:rsid w:val="00DE02DF"/>
    <w:rsid w:val="00DE0692"/>
    <w:rsid w:val="00DE17B6"/>
    <w:rsid w:val="00DE4D1E"/>
    <w:rsid w:val="00DE6DA5"/>
    <w:rsid w:val="00DF09A0"/>
    <w:rsid w:val="00DF2905"/>
    <w:rsid w:val="00DF5427"/>
    <w:rsid w:val="00DF6A75"/>
    <w:rsid w:val="00E02F6F"/>
    <w:rsid w:val="00E03803"/>
    <w:rsid w:val="00E1316C"/>
    <w:rsid w:val="00E131FC"/>
    <w:rsid w:val="00E15694"/>
    <w:rsid w:val="00E158D7"/>
    <w:rsid w:val="00E17EB7"/>
    <w:rsid w:val="00E22C6F"/>
    <w:rsid w:val="00E23E3D"/>
    <w:rsid w:val="00E36456"/>
    <w:rsid w:val="00E37518"/>
    <w:rsid w:val="00E377B8"/>
    <w:rsid w:val="00E41085"/>
    <w:rsid w:val="00E43A4D"/>
    <w:rsid w:val="00E47D43"/>
    <w:rsid w:val="00E52A9E"/>
    <w:rsid w:val="00E549E2"/>
    <w:rsid w:val="00E62A01"/>
    <w:rsid w:val="00E6310D"/>
    <w:rsid w:val="00E65490"/>
    <w:rsid w:val="00E66677"/>
    <w:rsid w:val="00E67FCC"/>
    <w:rsid w:val="00E822B7"/>
    <w:rsid w:val="00E87FF2"/>
    <w:rsid w:val="00E90918"/>
    <w:rsid w:val="00E91440"/>
    <w:rsid w:val="00E94535"/>
    <w:rsid w:val="00E953BE"/>
    <w:rsid w:val="00EA111B"/>
    <w:rsid w:val="00EA17D8"/>
    <w:rsid w:val="00EA2C57"/>
    <w:rsid w:val="00EB59AF"/>
    <w:rsid w:val="00EB6432"/>
    <w:rsid w:val="00EB676B"/>
    <w:rsid w:val="00EC1756"/>
    <w:rsid w:val="00ED24B5"/>
    <w:rsid w:val="00ED281D"/>
    <w:rsid w:val="00ED2A32"/>
    <w:rsid w:val="00ED7184"/>
    <w:rsid w:val="00EE425D"/>
    <w:rsid w:val="00EE52D2"/>
    <w:rsid w:val="00EE7730"/>
    <w:rsid w:val="00EF02F6"/>
    <w:rsid w:val="00EF2A3D"/>
    <w:rsid w:val="00EF6749"/>
    <w:rsid w:val="00F046E8"/>
    <w:rsid w:val="00F067D6"/>
    <w:rsid w:val="00F1553C"/>
    <w:rsid w:val="00F169EC"/>
    <w:rsid w:val="00F23971"/>
    <w:rsid w:val="00F24919"/>
    <w:rsid w:val="00F25DE9"/>
    <w:rsid w:val="00F3431E"/>
    <w:rsid w:val="00F45A41"/>
    <w:rsid w:val="00F465A3"/>
    <w:rsid w:val="00F46EC7"/>
    <w:rsid w:val="00F51B0A"/>
    <w:rsid w:val="00F64704"/>
    <w:rsid w:val="00F67022"/>
    <w:rsid w:val="00F67E71"/>
    <w:rsid w:val="00F74EA7"/>
    <w:rsid w:val="00F76B03"/>
    <w:rsid w:val="00F833FA"/>
    <w:rsid w:val="00F85FA2"/>
    <w:rsid w:val="00F91AEA"/>
    <w:rsid w:val="00FA2951"/>
    <w:rsid w:val="00FA3CB3"/>
    <w:rsid w:val="00FA72B5"/>
    <w:rsid w:val="00FB591C"/>
    <w:rsid w:val="00FC1DB6"/>
    <w:rsid w:val="00FC1FBB"/>
    <w:rsid w:val="00FC496A"/>
    <w:rsid w:val="00FD419A"/>
    <w:rsid w:val="00FE1E30"/>
    <w:rsid w:val="00FE2E0B"/>
    <w:rsid w:val="00FE596B"/>
    <w:rsid w:val="00FF4E3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rsid w:val="00F51B0A"/>
  </w:style>
  <w:style w:type="character" w:styleId="FootnoteReference">
    <w:name w:val="footnote reference"/>
    <w:basedOn w:val="DefaultParagraphFont"/>
    <w:uiPriority w:val="99"/>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rsid w:val="00F51B0A"/>
  </w:style>
  <w:style w:type="character" w:styleId="FootnoteReference">
    <w:name w:val="footnote reference"/>
    <w:basedOn w:val="DefaultParagraphFont"/>
    <w:uiPriority w:val="99"/>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neyfactory.gov/images/ARINC_Final_Report_7-2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6BB6-E8A7-4388-AAD3-1ACEB4A5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Skinner</dc:creator>
  <cp:lastModifiedBy>Wolfgang, Dawn</cp:lastModifiedBy>
  <cp:revision>3</cp:revision>
  <cp:lastPrinted>2013-07-26T18:42:00Z</cp:lastPrinted>
  <dcterms:created xsi:type="dcterms:W3CDTF">2013-09-30T21:22:00Z</dcterms:created>
  <dcterms:modified xsi:type="dcterms:W3CDTF">2013-09-30T21:23:00Z</dcterms:modified>
</cp:coreProperties>
</file>