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FB" w:rsidRPr="00E87DFB" w:rsidRDefault="00E87DFB" w:rsidP="00E87DFB">
      <w:pPr>
        <w:rPr>
          <w:i/>
        </w:rPr>
      </w:pPr>
      <w:r w:rsidRPr="00E87DFB">
        <w:rPr>
          <w:i/>
        </w:rPr>
        <w:t>The application form</w:t>
      </w:r>
      <w:r>
        <w:rPr>
          <w:i/>
        </w:rPr>
        <w:t>(</w:t>
      </w:r>
      <w:r w:rsidRPr="00E87DFB">
        <w:rPr>
          <w:i/>
        </w:rPr>
        <w:t>s</w:t>
      </w:r>
      <w:r>
        <w:rPr>
          <w:i/>
        </w:rPr>
        <w:t>) is</w:t>
      </w:r>
      <w:r w:rsidRPr="00E87DFB">
        <w:rPr>
          <w:i/>
        </w:rPr>
        <w:t xml:space="preserve"> not yet available.  The following sections of the proposed regulation provide details of the collection requirements.</w:t>
      </w:r>
      <w:r>
        <w:rPr>
          <w:i/>
        </w:rPr>
        <w:t xml:space="preserve"> Treasury will provide the collection instruments prior to publication of the Final Rule.</w:t>
      </w:r>
    </w:p>
    <w:p w:rsidR="00E87DFB" w:rsidRDefault="00E87DFB" w:rsidP="00E87DFB"/>
    <w:p w:rsidR="00510419" w:rsidRPr="00510419" w:rsidRDefault="00510419" w:rsidP="00E87DFB">
      <w:pPr>
        <w:rPr>
          <w:b/>
          <w:u w:val="single"/>
        </w:rPr>
      </w:pPr>
      <w:r w:rsidRPr="00510419">
        <w:rPr>
          <w:b/>
          <w:u w:val="single"/>
        </w:rPr>
        <w:t>Direct Component</w:t>
      </w:r>
    </w:p>
    <w:p w:rsidR="00E87DFB" w:rsidRPr="00E87DFB" w:rsidRDefault="00E87DFB" w:rsidP="00E87DFB">
      <w:pPr>
        <w:rPr>
          <w:b/>
        </w:rPr>
      </w:pPr>
      <w:r w:rsidRPr="00E87DFB">
        <w:rPr>
          <w:b/>
        </w:rPr>
        <w:t>§ 34.303 Application procedure.</w:t>
      </w:r>
    </w:p>
    <w:p w:rsidR="00E87DFB" w:rsidRDefault="00E87DFB" w:rsidP="00E87DFB">
      <w:r>
        <w:t>The entities identified in § 34.302 are eligible to apply for their allocation as a grant. Treasury will develop an application process for grants available under this subpart that is consistent with the Act and Federal policies on grants. At a minimum, the procedure will include the following:</w:t>
      </w:r>
    </w:p>
    <w:p w:rsidR="00E87DFB" w:rsidRDefault="00E87DFB" w:rsidP="00E87DFB"/>
    <w:p w:rsidR="00E87DFB" w:rsidRDefault="00E87DFB" w:rsidP="00510419">
      <w:pPr>
        <w:pStyle w:val="ListParagraph"/>
        <w:numPr>
          <w:ilvl w:val="0"/>
          <w:numId w:val="2"/>
        </w:numPr>
        <w:ind w:left="540" w:hanging="540"/>
      </w:pPr>
      <w:r>
        <w:t>The applicant must submit a multiyear implementation plan describing each program, project, and activity for which it seeks funding. For each, the plan must include a narrative description showing need, purpose, and objectives; identification of the eligible activity under which it qualifies; location; budget; milestones; projected completion dates; and criteria the applicant will use to evaluate the success of each activity in helping to restore and protect the Gulf Coast region impacted by the Deepwater Horizon oil</w:t>
      </w:r>
      <w:r w:rsidR="00510419">
        <w:t xml:space="preserve"> </w:t>
      </w:r>
      <w:r>
        <w:t>spill. The applicant must also state whether it has applied for a grant to fund the program, project, or activity under any other part of the Act. For the State of Louisiana parishes, the applicant must submit information demonstrating compliance with § 34.302(e). Treasury may require a standard format for the plans and additional information.</w:t>
      </w:r>
    </w:p>
    <w:p w:rsidR="00E87DFB" w:rsidRDefault="00E87DFB" w:rsidP="00510419">
      <w:pPr>
        <w:pStyle w:val="ListParagraph"/>
        <w:ind w:left="540" w:hanging="540"/>
      </w:pPr>
    </w:p>
    <w:p w:rsidR="00E87DFB" w:rsidRDefault="00E87DFB" w:rsidP="00510419">
      <w:pPr>
        <w:pStyle w:val="ListParagraph"/>
        <w:numPr>
          <w:ilvl w:val="0"/>
          <w:numId w:val="2"/>
        </w:numPr>
        <w:ind w:left="540" w:hanging="540"/>
      </w:pPr>
      <w:r>
        <w:t>An applicant may satisfy some or all of the requirements in §§ 34.303(a) and 34.802(a) through (e) if it can demonstrate in its application to Treasury that before July 6, 2012:</w:t>
      </w:r>
    </w:p>
    <w:p w:rsidR="00510419" w:rsidRDefault="00510419" w:rsidP="00510419">
      <w:pPr>
        <w:pStyle w:val="ListParagraph"/>
        <w:ind w:left="540" w:hanging="540"/>
      </w:pPr>
    </w:p>
    <w:p w:rsidR="00E87DFB" w:rsidRDefault="00510419" w:rsidP="00510419">
      <w:pPr>
        <w:pStyle w:val="ListParagraph"/>
        <w:tabs>
          <w:tab w:val="left" w:pos="1080"/>
        </w:tabs>
        <w:ind w:left="1080" w:hanging="540"/>
      </w:pPr>
      <w:r>
        <w:t>(1)</w:t>
      </w:r>
      <w:r>
        <w:tab/>
      </w:r>
      <w:r w:rsidR="00E87DFB">
        <w:t>The applicant established conditions to carry out projects, programs, and activities that are substantively the same as the conditions required in § 34.303(a).</w:t>
      </w:r>
    </w:p>
    <w:p w:rsidR="00510419" w:rsidRDefault="00510419" w:rsidP="00510419">
      <w:pPr>
        <w:pStyle w:val="ListParagraph"/>
        <w:tabs>
          <w:tab w:val="left" w:pos="1080"/>
        </w:tabs>
        <w:ind w:left="1080" w:hanging="540"/>
      </w:pPr>
    </w:p>
    <w:p w:rsidR="00E87DFB" w:rsidRDefault="00510419" w:rsidP="00510419">
      <w:pPr>
        <w:pStyle w:val="ListParagraph"/>
        <w:tabs>
          <w:tab w:val="left" w:pos="1080"/>
        </w:tabs>
        <w:ind w:left="1080" w:hanging="540"/>
      </w:pPr>
      <w:r>
        <w:t>(2)</w:t>
      </w:r>
      <w:r>
        <w:tab/>
      </w:r>
      <w:r w:rsidR="00E87DFB">
        <w:t>The applicable program, project, or activity qualified as one or more of the eligible activities in § 34.201.</w:t>
      </w:r>
    </w:p>
    <w:p w:rsidR="00E87DFB" w:rsidRDefault="00E87DFB" w:rsidP="00510419">
      <w:pPr>
        <w:ind w:left="540" w:hanging="540"/>
      </w:pPr>
    </w:p>
    <w:p w:rsidR="00E87DFB" w:rsidRDefault="00E87DFB" w:rsidP="00510419">
      <w:pPr>
        <w:pStyle w:val="ListParagraph"/>
        <w:numPr>
          <w:ilvl w:val="0"/>
          <w:numId w:val="2"/>
        </w:numPr>
        <w:ind w:left="540" w:hanging="540"/>
      </w:pPr>
      <w:r>
        <w:t>The applicant must include supporting information that proposed activities meet the statutory requirements for eligibility, that its implementation plan was made available for public review and comment for a minimum of 30 days, and that each program, project, and activity is adopted after consideration of all meaningful input from the public,</w:t>
      </w:r>
      <w:r w:rsidR="00510419">
        <w:t xml:space="preserve"> </w:t>
      </w:r>
      <w:r>
        <w:t>including broad-based participation from individuals, businesses, Tribal nations, and non-profit organizations.</w:t>
      </w:r>
    </w:p>
    <w:p w:rsidR="00E87DFB" w:rsidRDefault="00E87DFB" w:rsidP="00510419">
      <w:pPr>
        <w:pStyle w:val="ListParagraph"/>
        <w:ind w:left="540" w:hanging="540"/>
      </w:pPr>
    </w:p>
    <w:p w:rsidR="00E87DFB" w:rsidRDefault="00E87DFB" w:rsidP="00510419">
      <w:pPr>
        <w:pStyle w:val="ListParagraph"/>
        <w:numPr>
          <w:ilvl w:val="0"/>
          <w:numId w:val="2"/>
        </w:numPr>
        <w:ind w:left="540" w:hanging="540"/>
      </w:pPr>
      <w:r>
        <w:t>The applicant must include supporting information that each program, project, and activity that is designed to protect or restore natural resources is based on the best available science.</w:t>
      </w:r>
    </w:p>
    <w:p w:rsidR="00E87DFB" w:rsidRDefault="00E87DFB" w:rsidP="00E87DFB"/>
    <w:p w:rsidR="00E87DFB" w:rsidRPr="00E87DFB" w:rsidRDefault="00E87DFB" w:rsidP="00E87DFB">
      <w:pPr>
        <w:rPr>
          <w:b/>
        </w:rPr>
      </w:pPr>
      <w:r w:rsidRPr="00E87DFB">
        <w:rPr>
          <w:b/>
        </w:rPr>
        <w:t>§ 34.306 Reports.</w:t>
      </w:r>
    </w:p>
    <w:p w:rsidR="00E87DFB" w:rsidRDefault="00E87DFB" w:rsidP="00E87DFB">
      <w:r>
        <w:t>Grantees must submit timely reports as prescribed by Treasury.</w:t>
      </w:r>
    </w:p>
    <w:p w:rsidR="00E87DFB" w:rsidRDefault="00E87DFB" w:rsidP="00E87DFB"/>
    <w:p w:rsidR="00E87DFB" w:rsidRPr="00E87DFB" w:rsidRDefault="00E87DFB" w:rsidP="00E87DFB">
      <w:pPr>
        <w:rPr>
          <w:b/>
        </w:rPr>
      </w:pPr>
      <w:r w:rsidRPr="00E87DFB">
        <w:rPr>
          <w:b/>
        </w:rPr>
        <w:t>§ 34.307 Recordkeeping.</w:t>
      </w:r>
    </w:p>
    <w:p w:rsidR="00510419" w:rsidRDefault="00E87DFB" w:rsidP="00E87DFB">
      <w:r>
        <w:t>Grantees must maintain records as prescribed by Treasury and make the records available to Treasury, including the Treasury Inspector General.</w:t>
      </w:r>
    </w:p>
    <w:p w:rsidR="00510419" w:rsidRDefault="00510419">
      <w:pPr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br w:type="page"/>
      </w:r>
    </w:p>
    <w:p w:rsidR="00510419" w:rsidRPr="00510419" w:rsidRDefault="00510419" w:rsidP="00510419">
      <w:pPr>
        <w:autoSpaceDE w:val="0"/>
        <w:autoSpaceDN w:val="0"/>
        <w:adjustRightInd w:val="0"/>
        <w:rPr>
          <w:rFonts w:cs="Times New Roman"/>
          <w:b/>
          <w:szCs w:val="24"/>
          <w:u w:val="single"/>
        </w:rPr>
      </w:pPr>
      <w:r w:rsidRPr="00510419">
        <w:rPr>
          <w:rFonts w:cs="Times New Roman"/>
          <w:b/>
          <w:bCs/>
          <w:szCs w:val="24"/>
          <w:u w:val="single"/>
        </w:rPr>
        <w:lastRenderedPageBreak/>
        <w:t>Centers of Excellence</w:t>
      </w:r>
      <w:r w:rsidRPr="00510419">
        <w:rPr>
          <w:rFonts w:cs="Times New Roman"/>
          <w:b/>
          <w:bCs/>
          <w:szCs w:val="24"/>
          <w:u w:val="single"/>
        </w:rPr>
        <w:t xml:space="preserve"> </w:t>
      </w:r>
      <w:r w:rsidRPr="00510419">
        <w:rPr>
          <w:rFonts w:cs="Times New Roman"/>
          <w:b/>
          <w:bCs/>
          <w:szCs w:val="24"/>
          <w:u w:val="single"/>
        </w:rPr>
        <w:t>Research Grants Program</w:t>
      </w:r>
    </w:p>
    <w:p w:rsidR="00510419" w:rsidRPr="00510419" w:rsidRDefault="00510419" w:rsidP="0051041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510419">
        <w:rPr>
          <w:rFonts w:cs="Times New Roman"/>
          <w:b/>
          <w:bCs/>
          <w:szCs w:val="24"/>
        </w:rPr>
        <w:t>§ 34.703 Application procedure.</w:t>
      </w:r>
    </w:p>
    <w:p w:rsidR="00510419" w:rsidRDefault="00510419" w:rsidP="00510419">
      <w:pPr>
        <w:autoSpaceDE w:val="0"/>
        <w:autoSpaceDN w:val="0"/>
        <w:adjustRightInd w:val="0"/>
        <w:rPr>
          <w:rFonts w:cs="Times New Roman"/>
          <w:szCs w:val="24"/>
        </w:rPr>
      </w:pPr>
      <w:r w:rsidRPr="00510419">
        <w:rPr>
          <w:rFonts w:cs="Times New Roman"/>
          <w:szCs w:val="24"/>
        </w:rPr>
        <w:t>Treasury will develop an application</w:t>
      </w:r>
      <w:r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process for grants available to the Gulf</w:t>
      </w:r>
      <w:r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Coast States under this subpart that is</w:t>
      </w:r>
      <w:r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consistent with Federal law, regulations,</w:t>
      </w:r>
      <w:r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and policies on grants. At a minimum,</w:t>
      </w:r>
      <w:r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the process will include the following:</w:t>
      </w:r>
    </w:p>
    <w:p w:rsidR="00510419" w:rsidRPr="00510419" w:rsidRDefault="00510419" w:rsidP="0051041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10419" w:rsidRPr="00510419" w:rsidRDefault="00510419" w:rsidP="0051041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cs="Times New Roman"/>
          <w:szCs w:val="24"/>
        </w:rPr>
      </w:pPr>
      <w:r w:rsidRPr="00510419">
        <w:rPr>
          <w:rFonts w:cs="Times New Roman"/>
          <w:szCs w:val="24"/>
        </w:rPr>
        <w:t>Each Gulf Coast State must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describe the rules and policies the State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will apply to the Centers of Excellence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grant(s), including the competitive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process that the State will use to select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a Center of Excellence. The process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must allow nongovernmental entities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and consortia in the Gulf Coast Region,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including public and private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institutions of higher learning, to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compete. The process must give priority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to entities and consortia that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demonstrate the ability to organize the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broadest cross-section of participants in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the grant with interest and expertise in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the discipline(s) on which the proposal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is focused. The process must also guard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against conflicts of interest. Centers of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Excellence do not need to be located in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the Gulf Coast State issuing the grant.</w:t>
      </w:r>
    </w:p>
    <w:p w:rsidR="00510419" w:rsidRPr="00510419" w:rsidRDefault="00510419" w:rsidP="00510419">
      <w:pPr>
        <w:pStyle w:val="ListParagraph"/>
        <w:autoSpaceDE w:val="0"/>
        <w:autoSpaceDN w:val="0"/>
        <w:adjustRightInd w:val="0"/>
        <w:ind w:left="540" w:hanging="540"/>
        <w:rPr>
          <w:rFonts w:cs="Times New Roman"/>
          <w:szCs w:val="24"/>
        </w:rPr>
      </w:pPr>
    </w:p>
    <w:p w:rsidR="00510419" w:rsidRPr="00510419" w:rsidRDefault="00510419" w:rsidP="0051041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cs="Times New Roman"/>
          <w:szCs w:val="24"/>
        </w:rPr>
      </w:pPr>
      <w:r w:rsidRPr="00510419">
        <w:rPr>
          <w:rFonts w:cs="Times New Roman"/>
          <w:szCs w:val="24"/>
        </w:rPr>
        <w:t>Each Gulf Coast State must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demonstrate that its rules and policies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for Centers of Excellence grants,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including the competitive selection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process, were published and available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for public review and comment for a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minimum of 30 days, and that they were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adopted after consideration of all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meaningful input from the public,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including broad-based participation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from individuals, businesses, and nonprofit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organizations. This requirement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does not apply to State statutes and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regulations.</w:t>
      </w:r>
    </w:p>
    <w:p w:rsidR="00510419" w:rsidRPr="00510419" w:rsidRDefault="00510419" w:rsidP="00510419">
      <w:pPr>
        <w:pStyle w:val="ListParagraph"/>
        <w:autoSpaceDE w:val="0"/>
        <w:autoSpaceDN w:val="0"/>
        <w:adjustRightInd w:val="0"/>
        <w:ind w:left="540" w:hanging="540"/>
        <w:rPr>
          <w:rFonts w:cs="Times New Roman"/>
          <w:szCs w:val="24"/>
        </w:rPr>
      </w:pPr>
    </w:p>
    <w:p w:rsidR="00510419" w:rsidRPr="00510419" w:rsidRDefault="00510419" w:rsidP="0051041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cs="Times New Roman"/>
          <w:szCs w:val="24"/>
        </w:rPr>
      </w:pPr>
      <w:r w:rsidRPr="00510419">
        <w:rPr>
          <w:rFonts w:cs="Times New Roman"/>
          <w:szCs w:val="24"/>
        </w:rPr>
        <w:t>Each application must state the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amount of funding requested and the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purposes for which the funds will be</w:t>
      </w:r>
      <w:r w:rsidRPr="00510419">
        <w:rPr>
          <w:rFonts w:cs="Times New Roman"/>
          <w:szCs w:val="24"/>
        </w:rPr>
        <w:t xml:space="preserve"> </w:t>
      </w:r>
      <w:r w:rsidRPr="00510419">
        <w:rPr>
          <w:rFonts w:cs="Times New Roman"/>
          <w:szCs w:val="24"/>
        </w:rPr>
        <w:t>used.</w:t>
      </w:r>
    </w:p>
    <w:p w:rsidR="00E87DFB" w:rsidRPr="00510419" w:rsidRDefault="00E87DFB" w:rsidP="00E87DFB">
      <w:pPr>
        <w:rPr>
          <w:rFonts w:cs="Times New Roman"/>
          <w:szCs w:val="24"/>
        </w:rPr>
      </w:pPr>
    </w:p>
    <w:p w:rsidR="00510419" w:rsidRPr="00510419" w:rsidRDefault="00510419" w:rsidP="0051041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510419">
        <w:rPr>
          <w:rFonts w:cs="Times New Roman"/>
          <w:b/>
          <w:bCs/>
          <w:color w:val="000000"/>
          <w:szCs w:val="24"/>
        </w:rPr>
        <w:t>§ 34.706 Reports.</w:t>
      </w:r>
    </w:p>
    <w:p w:rsidR="00510419" w:rsidRDefault="00510419" w:rsidP="00510419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10419">
        <w:rPr>
          <w:rFonts w:cs="Times New Roman"/>
          <w:color w:val="000000"/>
          <w:szCs w:val="24"/>
        </w:rPr>
        <w:t>E</w:t>
      </w:r>
      <w:bookmarkStart w:id="0" w:name="_GoBack"/>
      <w:bookmarkEnd w:id="0"/>
      <w:r w:rsidRPr="00510419">
        <w:rPr>
          <w:rFonts w:cs="Times New Roman"/>
          <w:color w:val="000000"/>
          <w:szCs w:val="24"/>
        </w:rPr>
        <w:t>ach Gulf Coast State entity must</w:t>
      </w:r>
      <w:r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submit the following reports:</w:t>
      </w:r>
    </w:p>
    <w:p w:rsidR="00510419" w:rsidRPr="00510419" w:rsidRDefault="00510419" w:rsidP="00510419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510419" w:rsidRPr="00510419" w:rsidRDefault="00510419" w:rsidP="00510419">
      <w:pPr>
        <w:pStyle w:val="ListParagraph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cs="Times New Roman"/>
          <w:color w:val="000000"/>
          <w:szCs w:val="24"/>
        </w:rPr>
      </w:pPr>
      <w:r w:rsidRPr="00510419">
        <w:rPr>
          <w:rFonts w:cs="Times New Roman"/>
          <w:color w:val="000000"/>
          <w:szCs w:val="24"/>
        </w:rPr>
        <w:t>An annual report to the Council in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a form set by the Council that includes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information on recipients, grant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amounts, disciplines addressed, and any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other information required by the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Council. When the grant recipient is a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consortium, the annual report must also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identify the consortium members. This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information will be included in the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Council’s annual report to Congress.</w:t>
      </w:r>
    </w:p>
    <w:p w:rsidR="00510419" w:rsidRPr="00510419" w:rsidRDefault="00510419" w:rsidP="00510419">
      <w:pPr>
        <w:pStyle w:val="ListParagraph"/>
        <w:tabs>
          <w:tab w:val="left" w:pos="540"/>
        </w:tabs>
        <w:autoSpaceDE w:val="0"/>
        <w:autoSpaceDN w:val="0"/>
        <w:adjustRightInd w:val="0"/>
        <w:ind w:left="540" w:hanging="540"/>
        <w:rPr>
          <w:rFonts w:cs="Times New Roman"/>
          <w:color w:val="000000"/>
          <w:szCs w:val="24"/>
        </w:rPr>
      </w:pPr>
    </w:p>
    <w:p w:rsidR="00510419" w:rsidRPr="00510419" w:rsidRDefault="00510419" w:rsidP="00510419">
      <w:pPr>
        <w:pStyle w:val="ListParagraph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cs="Times New Roman"/>
          <w:color w:val="000000"/>
          <w:szCs w:val="24"/>
        </w:rPr>
      </w:pPr>
      <w:r w:rsidRPr="00510419">
        <w:rPr>
          <w:rFonts w:cs="Times New Roman"/>
          <w:color w:val="000000"/>
          <w:szCs w:val="24"/>
        </w:rPr>
        <w:t>Other reports required by</w:t>
      </w:r>
      <w:r w:rsidRPr="00510419"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Treasury.</w:t>
      </w:r>
    </w:p>
    <w:p w:rsidR="00510419" w:rsidRDefault="00510419" w:rsidP="0051041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510419" w:rsidRPr="00510419" w:rsidRDefault="00510419" w:rsidP="0051041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510419">
        <w:rPr>
          <w:rFonts w:cs="Times New Roman"/>
          <w:b/>
          <w:bCs/>
          <w:color w:val="000000"/>
          <w:szCs w:val="24"/>
        </w:rPr>
        <w:t>§ 34.707 Recordkeeping.</w:t>
      </w:r>
    </w:p>
    <w:p w:rsidR="00510419" w:rsidRPr="00510419" w:rsidRDefault="00510419" w:rsidP="00510419">
      <w:pPr>
        <w:autoSpaceDE w:val="0"/>
        <w:autoSpaceDN w:val="0"/>
        <w:adjustRightInd w:val="0"/>
        <w:rPr>
          <w:rFonts w:cs="Times New Roman"/>
          <w:szCs w:val="24"/>
        </w:rPr>
      </w:pPr>
      <w:r w:rsidRPr="00510419">
        <w:rPr>
          <w:rFonts w:cs="Times New Roman"/>
          <w:color w:val="000000"/>
          <w:szCs w:val="24"/>
        </w:rPr>
        <w:t>Grantees must maintain records as</w:t>
      </w:r>
      <w:r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prescribed by Treasury and make the</w:t>
      </w:r>
      <w:r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records available to Treasury, including</w:t>
      </w:r>
      <w:r>
        <w:rPr>
          <w:rFonts w:cs="Times New Roman"/>
          <w:color w:val="000000"/>
          <w:szCs w:val="24"/>
        </w:rPr>
        <w:t xml:space="preserve"> </w:t>
      </w:r>
      <w:r w:rsidRPr="00510419">
        <w:rPr>
          <w:rFonts w:cs="Times New Roman"/>
          <w:color w:val="000000"/>
          <w:szCs w:val="24"/>
        </w:rPr>
        <w:t>the Treasury Inspector General.</w:t>
      </w:r>
    </w:p>
    <w:sectPr w:rsidR="00510419" w:rsidRPr="005104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FB" w:rsidRDefault="00E87DFB" w:rsidP="00E87DFB">
      <w:r>
        <w:separator/>
      </w:r>
    </w:p>
  </w:endnote>
  <w:endnote w:type="continuationSeparator" w:id="0">
    <w:p w:rsidR="00E87DFB" w:rsidRDefault="00E87DFB" w:rsidP="00E8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761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0419" w:rsidRDefault="005104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FB" w:rsidRDefault="00E87DFB" w:rsidP="00E87DFB">
      <w:r>
        <w:separator/>
      </w:r>
    </w:p>
  </w:footnote>
  <w:footnote w:type="continuationSeparator" w:id="0">
    <w:p w:rsidR="00E87DFB" w:rsidRDefault="00E87DFB" w:rsidP="00E8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D65"/>
    <w:multiLevelType w:val="hybridMultilevel"/>
    <w:tmpl w:val="527231DC"/>
    <w:lvl w:ilvl="0" w:tplc="D2583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B4BD0"/>
    <w:multiLevelType w:val="hybridMultilevel"/>
    <w:tmpl w:val="8224114C"/>
    <w:lvl w:ilvl="0" w:tplc="D2583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47FAB"/>
    <w:multiLevelType w:val="hybridMultilevel"/>
    <w:tmpl w:val="1E646950"/>
    <w:lvl w:ilvl="0" w:tplc="F620C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D0754"/>
    <w:multiLevelType w:val="hybridMultilevel"/>
    <w:tmpl w:val="7C88E47C"/>
    <w:lvl w:ilvl="0" w:tplc="19F66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FB"/>
    <w:rsid w:val="00510419"/>
    <w:rsid w:val="00DD5998"/>
    <w:rsid w:val="00E378C3"/>
    <w:rsid w:val="00E8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FB"/>
  </w:style>
  <w:style w:type="paragraph" w:styleId="Footer">
    <w:name w:val="footer"/>
    <w:basedOn w:val="Normal"/>
    <w:link w:val="FooterChar"/>
    <w:uiPriority w:val="99"/>
    <w:unhideWhenUsed/>
    <w:rsid w:val="00E87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FB"/>
  </w:style>
  <w:style w:type="paragraph" w:styleId="Footer">
    <w:name w:val="footer"/>
    <w:basedOn w:val="Normal"/>
    <w:link w:val="FooterChar"/>
    <w:uiPriority w:val="99"/>
    <w:unhideWhenUsed/>
    <w:rsid w:val="00E87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Wolfgang, Dawn</cp:lastModifiedBy>
  <cp:revision>2</cp:revision>
  <dcterms:created xsi:type="dcterms:W3CDTF">2013-12-05T14:30:00Z</dcterms:created>
  <dcterms:modified xsi:type="dcterms:W3CDTF">2013-12-05T14:30:00Z</dcterms:modified>
</cp:coreProperties>
</file>