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6F" w:rsidRDefault="00031E96" w:rsidP="008A52D0">
      <w:pPr>
        <w:tabs>
          <w:tab w:val="left" w:pos="-1152"/>
          <w:tab w:val="left" w:pos="-720"/>
          <w:tab w:val="left" w:pos="0"/>
          <w:tab w:val="left" w:pos="360"/>
        </w:tabs>
        <w:jc w:val="center"/>
        <w:rPr>
          <w:b/>
        </w:rPr>
      </w:pPr>
      <w:r>
        <w:rPr>
          <w:b/>
        </w:rPr>
        <w:t>S</w:t>
      </w:r>
      <w:r w:rsidR="0090054C">
        <w:rPr>
          <w:b/>
        </w:rPr>
        <w:t>upporting Statement</w:t>
      </w:r>
      <w:r w:rsidR="008E5BAA">
        <w:rPr>
          <w:b/>
        </w:rPr>
        <w:t xml:space="preserve"> Part A</w:t>
      </w:r>
    </w:p>
    <w:p w:rsidR="00A34548" w:rsidRDefault="0090054C" w:rsidP="008A52D0">
      <w:pPr>
        <w:tabs>
          <w:tab w:val="left" w:pos="-1152"/>
          <w:tab w:val="left" w:pos="-720"/>
          <w:tab w:val="left" w:pos="0"/>
          <w:tab w:val="left" w:pos="360"/>
        </w:tabs>
        <w:jc w:val="center"/>
        <w:rPr>
          <w:b/>
        </w:rPr>
      </w:pPr>
      <w:r>
        <w:rPr>
          <w:b/>
        </w:rPr>
        <w:t>Home Health Agency Cost Report</w:t>
      </w:r>
      <w:r w:rsidR="00A34548">
        <w:rPr>
          <w:b/>
        </w:rPr>
        <w:t xml:space="preserve"> </w:t>
      </w:r>
      <w:r w:rsidR="00B91F6F">
        <w:rPr>
          <w:b/>
        </w:rPr>
        <w:t>a</w:t>
      </w:r>
      <w:r>
        <w:rPr>
          <w:b/>
        </w:rPr>
        <w:t>nd Supporting Regulations</w:t>
      </w:r>
    </w:p>
    <w:p w:rsidR="0090054C" w:rsidRDefault="0090054C" w:rsidP="008A52D0">
      <w:pPr>
        <w:tabs>
          <w:tab w:val="left" w:pos="-1152"/>
          <w:tab w:val="left" w:pos="-720"/>
          <w:tab w:val="left" w:pos="0"/>
          <w:tab w:val="left" w:pos="360"/>
        </w:tabs>
        <w:jc w:val="center"/>
        <w:rPr>
          <w:b/>
        </w:rPr>
      </w:pPr>
      <w:r>
        <w:rPr>
          <w:b/>
        </w:rPr>
        <w:t>CMS</w:t>
      </w:r>
      <w:r w:rsidR="00365B12">
        <w:rPr>
          <w:b/>
        </w:rPr>
        <w:t>-</w:t>
      </w:r>
      <w:bookmarkStart w:id="0" w:name="_GoBack"/>
      <w:bookmarkEnd w:id="0"/>
      <w:r>
        <w:rPr>
          <w:b/>
        </w:rPr>
        <w:t>1728-94</w:t>
      </w:r>
      <w:r w:rsidR="00A34548">
        <w:rPr>
          <w:b/>
        </w:rPr>
        <w:t>, OCN 0938-0022</w:t>
      </w:r>
    </w:p>
    <w:p w:rsidR="00A840AA" w:rsidRDefault="00A840AA" w:rsidP="00A840AA">
      <w:pPr>
        <w:tabs>
          <w:tab w:val="left" w:pos="-1152"/>
          <w:tab w:val="left" w:pos="-720"/>
          <w:tab w:val="left" w:pos="0"/>
          <w:tab w:val="left" w:pos="360"/>
        </w:tabs>
      </w:pPr>
    </w:p>
    <w:p w:rsidR="0090054C" w:rsidRDefault="0090054C" w:rsidP="00A840AA">
      <w:pPr>
        <w:tabs>
          <w:tab w:val="left" w:pos="-1152"/>
          <w:tab w:val="left" w:pos="-720"/>
          <w:tab w:val="left" w:pos="0"/>
          <w:tab w:val="left" w:pos="360"/>
        </w:tabs>
        <w:rPr>
          <w:b/>
        </w:rPr>
      </w:pPr>
      <w:r>
        <w:rPr>
          <w:b/>
        </w:rPr>
        <w:t>BACKGROUND</w:t>
      </w:r>
    </w:p>
    <w:p w:rsidR="0090054C" w:rsidRDefault="0090054C" w:rsidP="00AD076E">
      <w:pPr>
        <w:tabs>
          <w:tab w:val="left" w:pos="-1152"/>
          <w:tab w:val="left" w:pos="-720"/>
          <w:tab w:val="left" w:pos="0"/>
          <w:tab w:val="left" w:pos="360"/>
        </w:tabs>
      </w:pPr>
    </w:p>
    <w:p w:rsidR="00A34548" w:rsidRPr="00A34548" w:rsidRDefault="00A34548" w:rsidP="008C156C">
      <w:pPr>
        <w:tabs>
          <w:tab w:val="left" w:pos="-1152"/>
          <w:tab w:val="left" w:pos="-720"/>
          <w:tab w:val="left" w:pos="0"/>
          <w:tab w:val="left" w:pos="360"/>
        </w:tabs>
        <w:ind w:left="360"/>
      </w:pPr>
      <w:r w:rsidRPr="00A34548">
        <w:t>Home Health Agency Cost Report</w:t>
      </w:r>
      <w:r>
        <w:t xml:space="preserve"> </w:t>
      </w:r>
      <w:r w:rsidRPr="00A34548">
        <w:t xml:space="preserve">and Supporting Regulations in 42 CFR 413.20, 413.24, </w:t>
      </w:r>
      <w:r>
        <w:t xml:space="preserve">and </w:t>
      </w:r>
      <w:r w:rsidRPr="00A34548">
        <w:t>413.106</w:t>
      </w:r>
    </w:p>
    <w:p w:rsidR="00B91F6F" w:rsidRDefault="00B91F6F" w:rsidP="00AD076E">
      <w:pPr>
        <w:tabs>
          <w:tab w:val="left" w:pos="-1152"/>
          <w:tab w:val="left" w:pos="-720"/>
          <w:tab w:val="left" w:pos="0"/>
          <w:tab w:val="left" w:pos="360"/>
        </w:tabs>
      </w:pPr>
    </w:p>
    <w:p w:rsidR="0090054C" w:rsidRDefault="0090054C" w:rsidP="008C156C">
      <w:pPr>
        <w:tabs>
          <w:tab w:val="left" w:pos="-1152"/>
          <w:tab w:val="left" w:pos="-720"/>
          <w:tab w:val="left" w:pos="0"/>
          <w:tab w:val="left" w:pos="360"/>
        </w:tabs>
        <w:ind w:left="360"/>
      </w:pPr>
      <w:r>
        <w:t>CMS request</w:t>
      </w:r>
      <w:r w:rsidR="00F36561">
        <w:t xml:space="preserve">s </w:t>
      </w:r>
      <w:r>
        <w:t xml:space="preserve">the Office of Management and Budget (OMB) review and </w:t>
      </w:r>
      <w:r w:rsidR="00B55D80">
        <w:t>extend the</w:t>
      </w:r>
      <w:r>
        <w:t xml:space="preserve"> Home Health Agency</w:t>
      </w:r>
      <w:r w:rsidR="00175933">
        <w:t xml:space="preserve"> (HHA)</w:t>
      </w:r>
      <w:r>
        <w:t xml:space="preserve"> Cost Report</w:t>
      </w:r>
      <w:r w:rsidR="00B55D80">
        <w:t xml:space="preserve"> FORM CMS 17</w:t>
      </w:r>
      <w:r w:rsidR="00B55D80" w:rsidRPr="00B55D80">
        <w:t>28-94</w:t>
      </w:r>
      <w:r w:rsidR="00B55D80">
        <w:t xml:space="preserve">. </w:t>
      </w:r>
      <w:r w:rsidR="00C933C3">
        <w:t xml:space="preserve"> </w:t>
      </w:r>
      <w:r w:rsidR="00B55D80" w:rsidRPr="00B55D80">
        <w:t xml:space="preserve">The revisions made to the </w:t>
      </w:r>
      <w:r w:rsidR="00B55D80">
        <w:t>HHA</w:t>
      </w:r>
      <w:r w:rsidR="00B55D80" w:rsidRPr="00B55D80">
        <w:t xml:space="preserve"> cost report clarif</w:t>
      </w:r>
      <w:r w:rsidR="004D5F16">
        <w:t>y</w:t>
      </w:r>
      <w:r w:rsidR="00B55D80" w:rsidRPr="00B55D80">
        <w:t xml:space="preserve"> and correct the existing instructions.  </w:t>
      </w:r>
      <w:r w:rsidR="00B55D80">
        <w:t>This revision</w:t>
      </w:r>
      <w:r w:rsidR="00B55D80" w:rsidRPr="00B55D80">
        <w:t xml:space="preserve"> </w:t>
      </w:r>
      <w:r w:rsidR="00B55D80">
        <w:t xml:space="preserve">also </w:t>
      </w:r>
      <w:r w:rsidR="004D5F16">
        <w:t>incorporates statutory</w:t>
      </w:r>
      <w:r w:rsidR="00B55D80">
        <w:t xml:space="preserve"> changes </w:t>
      </w:r>
      <w:r w:rsidR="004D5F16">
        <w:t>as a result of the</w:t>
      </w:r>
      <w:r w:rsidR="00C933C3">
        <w:t xml:space="preserve"> </w:t>
      </w:r>
      <w:r w:rsidR="00C933C3" w:rsidRPr="00C933C3">
        <w:t xml:space="preserve">Middle Class Tax Relief and Job Creation Act of </w:t>
      </w:r>
      <w:r w:rsidR="004D5F16" w:rsidRPr="00C933C3">
        <w:t>2012</w:t>
      </w:r>
      <w:r w:rsidR="004D5F16">
        <w:t xml:space="preserve"> and section</w:t>
      </w:r>
      <w:r w:rsidR="004D5F16" w:rsidRPr="004D5F16">
        <w:t xml:space="preserve"> 4104 of the Patient Protection and Affordable Care Act</w:t>
      </w:r>
      <w:r w:rsidR="00F36561">
        <w:t>. Additionally the HHA cost report is revised to comply with</w:t>
      </w:r>
      <w:r w:rsidR="004D5F16" w:rsidRPr="004D5F16">
        <w:t xml:space="preserve"> an Executive order, </w:t>
      </w:r>
      <w:r w:rsidR="004E04EA">
        <w:t>for</w:t>
      </w:r>
      <w:r w:rsidR="00C933C3" w:rsidRPr="00C933C3">
        <w:t xml:space="preserve"> the sequestration required by section 251A of the Balanced Budget and Emergency Deficit Control Act</w:t>
      </w:r>
      <w:r w:rsidR="00E014C4">
        <w:t xml:space="preserve"> </w:t>
      </w:r>
      <w:r w:rsidR="00C933C3" w:rsidRPr="00C933C3">
        <w:t>as amended by the Joint Committee.</w:t>
      </w:r>
      <w:r w:rsidR="00B55D80" w:rsidRPr="00B55D80">
        <w:t xml:space="preserve"> </w:t>
      </w:r>
    </w:p>
    <w:p w:rsidR="0090054C" w:rsidRDefault="0090054C" w:rsidP="00AD076E">
      <w:pPr>
        <w:tabs>
          <w:tab w:val="left" w:pos="-1152"/>
          <w:tab w:val="left" w:pos="-720"/>
          <w:tab w:val="left" w:pos="0"/>
          <w:tab w:val="left" w:pos="360"/>
        </w:tabs>
      </w:pPr>
    </w:p>
    <w:p w:rsidR="0090054C" w:rsidRDefault="0090054C" w:rsidP="002F4FA4">
      <w:pPr>
        <w:tabs>
          <w:tab w:val="left" w:pos="-1152"/>
          <w:tab w:val="left" w:pos="-720"/>
          <w:tab w:val="left" w:pos="0"/>
          <w:tab w:val="left" w:pos="360"/>
        </w:tabs>
        <w:ind w:left="360"/>
      </w:pPr>
      <w:r>
        <w:t>Providers receiving Medicare reimbursement must provide adequate cost data based on financial and statistical records which can be verified by qualified auditors.</w:t>
      </w:r>
      <w:r w:rsidR="002F4FA4">
        <w:t xml:space="preserve"> </w:t>
      </w:r>
      <w:r>
        <w:t xml:space="preserve"> The data from these cost reporting forms will be used for the purpose of evaluating current levels of Medicare reimbursement. </w:t>
      </w:r>
    </w:p>
    <w:p w:rsidR="004B743B" w:rsidRDefault="004B743B" w:rsidP="00AD076E">
      <w:pPr>
        <w:tabs>
          <w:tab w:val="left" w:pos="-1152"/>
          <w:tab w:val="left" w:pos="-720"/>
          <w:tab w:val="left" w:pos="0"/>
          <w:tab w:val="left" w:pos="360"/>
        </w:tabs>
      </w:pPr>
    </w:p>
    <w:p w:rsidR="0090054C" w:rsidRDefault="008C156C" w:rsidP="00AD076E">
      <w:pPr>
        <w:tabs>
          <w:tab w:val="left" w:pos="-1152"/>
          <w:tab w:val="left" w:pos="-720"/>
          <w:tab w:val="left" w:pos="0"/>
          <w:tab w:val="left" w:pos="360"/>
        </w:tabs>
      </w:pPr>
      <w:r>
        <w:rPr>
          <w:b/>
        </w:rPr>
        <w:t>A</w:t>
      </w:r>
      <w:r w:rsidR="0090054C">
        <w:rPr>
          <w:b/>
        </w:rPr>
        <w:t>.</w:t>
      </w:r>
      <w:r w:rsidR="0090054C">
        <w:rPr>
          <w:b/>
        </w:rPr>
        <w:tab/>
        <w:t>JUSTIFICATION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1.</w:t>
      </w:r>
      <w:r>
        <w:tab/>
      </w:r>
      <w:r>
        <w:rPr>
          <w:u w:val="single"/>
        </w:rPr>
        <w:t>Need and Legal Basis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Providers of services participating in the Medicare program are required under sections 1815(a) and 1861(v)(1)(A) of the Social Security Act (42 USC 1395g) to submit annual information to achieve settlement of costs for health care services rendered to Medicare beneficiaries.</w:t>
      </w:r>
    </w:p>
    <w:p w:rsidR="0090054C" w:rsidRDefault="0090054C" w:rsidP="00AD076E">
      <w:pPr>
        <w:tabs>
          <w:tab w:val="left" w:pos="-1152"/>
          <w:tab w:val="left" w:pos="-720"/>
          <w:tab w:val="left" w:pos="0"/>
          <w:tab w:val="left" w:pos="360"/>
        </w:tabs>
      </w:pPr>
    </w:p>
    <w:p w:rsidR="002F4FA4" w:rsidRDefault="002F4FA4" w:rsidP="00AD076E">
      <w:pPr>
        <w:tabs>
          <w:tab w:val="left" w:pos="-1152"/>
          <w:tab w:val="left" w:pos="-720"/>
          <w:tab w:val="left" w:pos="0"/>
          <w:tab w:val="left" w:pos="360"/>
        </w:tabs>
        <w:ind w:left="360"/>
      </w:pPr>
      <w:r w:rsidRPr="002F4FA4">
        <w:t>In addition, this collection implements regulations at 42 CFR 413.20 and 413.24.  42 CFR 413.20 and 413.24 require adequate cost data and cost reports from providers on an annual basis. The data submitted on the cost reports supports management of Federal programs.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rPr>
          <w:u w:val="single"/>
        </w:rPr>
      </w:pPr>
      <w:r>
        <w:t>2.</w:t>
      </w:r>
      <w:r>
        <w:tab/>
      </w:r>
      <w:r>
        <w:rPr>
          <w:u w:val="single"/>
        </w:rPr>
        <w:t>Information Users</w:t>
      </w:r>
    </w:p>
    <w:p w:rsidR="008C156C" w:rsidRDefault="008C156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In accordance with sections 1815(a), 1833(e) and 1861(v)(1)(A) of the Social Security Act, providers of service in the Medicare program are required to submit annual information to achieve reimbursement for health care services rendered to Medicare beneficiaries.  In addition, 42 CFR 413.20(b) requires that cost reports will be required from providers on an annual basis.  Such cost reports are required to be filed with the provider's </w:t>
      </w:r>
      <w:r w:rsidR="009F1603">
        <w:t>Medi</w:t>
      </w:r>
      <w:r w:rsidR="0084620A">
        <w:t>care contractor</w:t>
      </w:r>
      <w:r w:rsidR="009F1603">
        <w:t xml:space="preserve">. </w:t>
      </w:r>
      <w:r>
        <w:t xml:space="preserve"> The functions of the </w:t>
      </w:r>
      <w:r w:rsidR="009F1603">
        <w:t>M</w:t>
      </w:r>
      <w:r w:rsidR="0084620A">
        <w:t>edicare contractor</w:t>
      </w:r>
      <w:r w:rsidR="009F1603">
        <w:t xml:space="preserve"> </w:t>
      </w:r>
      <w:r>
        <w:t>are described in section 1816 of the Social Security Act.</w:t>
      </w:r>
      <w:r w:rsidR="0084620A">
        <w:t xml:space="preserve"> </w:t>
      </w:r>
      <w:r>
        <w:t xml:space="preserve">The </w:t>
      </w:r>
      <w:r w:rsidR="0084620A">
        <w:t>Medicare contractor</w:t>
      </w:r>
      <w:r w:rsidR="00674151">
        <w:t xml:space="preserve"> </w:t>
      </w:r>
      <w:r>
        <w:t xml:space="preserve">uses the cost report not only to make settlement </w:t>
      </w:r>
      <w:r>
        <w:lastRenderedPageBreak/>
        <w:t xml:space="preserve">with the provider for the fiscal period covered by the cost report, but also in deciding whether to audit the records of the provider.  42 CFR 413.24(a) requires providers receiving payment on the basis of reimbursable cost to provide adequate cost data based on their financial and statistical records </w:t>
      </w:r>
      <w:r w:rsidR="0068553B">
        <w:t>that</w:t>
      </w:r>
      <w:r>
        <w:t xml:space="preserve"> must be capable of verification by qualified auditors.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Besides determining program reimbursement, the data submitted on the cost reports supports management of the Federal programs.  These data are extracted from the cost report, by the </w:t>
      </w:r>
      <w:r w:rsidR="001C3E78">
        <w:t>Medicare contractors</w:t>
      </w:r>
      <w:r>
        <w:t>, for transmission to CMS, and are used by the Office of the Actuary in making projections of Medicare Tru</w:t>
      </w:r>
      <w:r w:rsidR="0068553B">
        <w:t>st Fund requirements and by CMS for analysis to rebase HHA PPS.</w:t>
      </w:r>
      <w:r>
        <w:t xml:space="preserve">  In addition, the data is available to Congress, researchers, universities, and other interested parties.  However, the collection of data is a secondary function of the cost report, whose primary function is the reimbursement of providers for services rendered to program beneficiaries.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3.</w:t>
      </w:r>
      <w:r>
        <w:tab/>
      </w:r>
      <w:r>
        <w:rPr>
          <w:u w:val="single"/>
        </w:rPr>
        <w:t>Improved Information Technology</w:t>
      </w:r>
    </w:p>
    <w:p w:rsidR="00982EF0" w:rsidRDefault="00982EF0" w:rsidP="00AD076E">
      <w:pPr>
        <w:tabs>
          <w:tab w:val="left" w:pos="-1152"/>
          <w:tab w:val="left" w:pos="-720"/>
          <w:tab w:val="left" w:pos="0"/>
          <w:tab w:val="left" w:pos="360"/>
        </w:tabs>
        <w:ind w:left="360"/>
      </w:pPr>
    </w:p>
    <w:p w:rsidR="0090054C" w:rsidRDefault="00982EF0" w:rsidP="00192048">
      <w:pPr>
        <w:tabs>
          <w:tab w:val="left" w:pos="-1152"/>
          <w:tab w:val="left" w:pos="-720"/>
          <w:tab w:val="left" w:pos="0"/>
          <w:tab w:val="left" w:pos="360"/>
        </w:tabs>
        <w:ind w:left="360"/>
      </w:pPr>
      <w:r>
        <w:t>The</w:t>
      </w:r>
      <w:r w:rsidR="0090054C">
        <w:t xml:space="preserve"> burden </w:t>
      </w:r>
      <w:r>
        <w:t xml:space="preserve">is reduced </w:t>
      </w:r>
      <w:r w:rsidR="0090054C">
        <w:t xml:space="preserve">by </w:t>
      </w:r>
      <w:r w:rsidR="00192048">
        <w:t>u</w:t>
      </w:r>
      <w:r w:rsidR="0090054C">
        <w:t>s</w:t>
      </w:r>
      <w:r w:rsidR="00192048">
        <w:t xml:space="preserve">ing an electronic submission process to report </w:t>
      </w:r>
      <w:r w:rsidR="0090054C">
        <w:t xml:space="preserve">required cost data.  </w:t>
      </w:r>
    </w:p>
    <w:p w:rsidR="00192048" w:rsidRDefault="00192048" w:rsidP="00192048">
      <w:pPr>
        <w:tabs>
          <w:tab w:val="left" w:pos="-1152"/>
          <w:tab w:val="left" w:pos="-720"/>
          <w:tab w:val="left" w:pos="0"/>
          <w:tab w:val="left" w:pos="360"/>
        </w:tabs>
        <w:ind w:left="360"/>
      </w:pPr>
    </w:p>
    <w:p w:rsidR="0090054C" w:rsidRDefault="0090054C" w:rsidP="00AD076E">
      <w:pPr>
        <w:tabs>
          <w:tab w:val="left" w:pos="-1152"/>
          <w:tab w:val="left" w:pos="-720"/>
          <w:tab w:val="left" w:pos="0"/>
          <w:tab w:val="left" w:pos="360"/>
        </w:tabs>
      </w:pPr>
      <w:r>
        <w:t>4.</w:t>
      </w:r>
      <w:r>
        <w:tab/>
      </w:r>
      <w:r>
        <w:rPr>
          <w:u w:val="single"/>
        </w:rPr>
        <w:t>Duplication and Similar Information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 cost report is a unique form that does not duplicate any other CMS information collection. This form specifically provides for the reimbursement methodology that is unique to freestanding home health agencies.  No other existing form can be modified for this purpose.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5.</w:t>
      </w:r>
      <w:r>
        <w:tab/>
      </w:r>
      <w:r>
        <w:rPr>
          <w:u w:val="single"/>
        </w:rPr>
        <w:t>Small Business</w:t>
      </w:r>
    </w:p>
    <w:p w:rsidR="002F4A1C" w:rsidRPr="00D642B6" w:rsidRDefault="002F4A1C" w:rsidP="00AD076E">
      <w:pPr>
        <w:tabs>
          <w:tab w:val="left" w:pos="-1152"/>
          <w:tab w:val="left" w:pos="-720"/>
          <w:tab w:val="left" w:pos="0"/>
          <w:tab w:val="left" w:pos="360"/>
        </w:tabs>
        <w:ind w:left="360"/>
      </w:pPr>
    </w:p>
    <w:p w:rsidR="002F4A1C" w:rsidRPr="00D642B6" w:rsidRDefault="002F4A1C" w:rsidP="00AD076E">
      <w:pPr>
        <w:tabs>
          <w:tab w:val="left" w:pos="-1152"/>
          <w:tab w:val="left" w:pos="-720"/>
          <w:tab w:val="left" w:pos="0"/>
          <w:tab w:val="left" w:pos="360"/>
        </w:tabs>
        <w:ind w:left="360"/>
      </w:pPr>
      <w:r w:rsidRPr="00D642B6">
        <w:t xml:space="preserve">This cost report has been designed with a view towards minimizing the reporting burden for small providers.  Some worksheets are completed on an as needed basis which is dependent on the complexity of the provider.  Consequently, the burden imposed on them is minimized. </w:t>
      </w:r>
    </w:p>
    <w:p w:rsidR="005F69BF" w:rsidRDefault="005F69BF" w:rsidP="00AD076E">
      <w:pPr>
        <w:tabs>
          <w:tab w:val="left" w:pos="-1152"/>
          <w:tab w:val="left" w:pos="-720"/>
          <w:tab w:val="left" w:pos="0"/>
          <w:tab w:val="left" w:pos="360"/>
        </w:tabs>
        <w:ind w:left="360"/>
      </w:pPr>
    </w:p>
    <w:p w:rsidR="0090054C" w:rsidRDefault="0090054C" w:rsidP="00AD076E">
      <w:pPr>
        <w:tabs>
          <w:tab w:val="left" w:pos="-1152"/>
          <w:tab w:val="left" w:pos="-720"/>
          <w:tab w:val="left" w:pos="0"/>
          <w:tab w:val="left" w:pos="360"/>
        </w:tabs>
      </w:pPr>
      <w:r>
        <w:t>6.</w:t>
      </w:r>
      <w:r>
        <w:tab/>
      </w:r>
      <w:r>
        <w:rPr>
          <w:u w:val="single"/>
        </w:rPr>
        <w:t>Less Frequent Collection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If the annual cost reports are not filed, the Secretary will be unable to determine whether proper payments are being made under Medicare.  If a provider fails to file a cost report by the statutory due date, it is notified that interim payments are reduced unless a cost report is filed.  If the report is not filed within another 30 days, interim payments are suspended.  Finally, if a provider fails to file a cost report, all interim payments made since the beginning of the cost reporting periods may be deemed to be overpayments, and recovery action may be initiated.</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7.</w:t>
      </w:r>
      <w:r>
        <w:tab/>
      </w:r>
      <w:r>
        <w:rPr>
          <w:u w:val="single"/>
        </w:rPr>
        <w:t>Special Circumstances</w:t>
      </w:r>
    </w:p>
    <w:p w:rsidR="0090054C" w:rsidRDefault="0090054C" w:rsidP="00AD076E">
      <w:pPr>
        <w:tabs>
          <w:tab w:val="left" w:pos="-1152"/>
          <w:tab w:val="left" w:pos="-720"/>
          <w:tab w:val="left" w:pos="0"/>
          <w:tab w:val="left" w:pos="360"/>
        </w:tabs>
      </w:pPr>
    </w:p>
    <w:p w:rsidR="00A840AA" w:rsidRDefault="0090054C" w:rsidP="00AD076E">
      <w:pPr>
        <w:tabs>
          <w:tab w:val="left" w:pos="-1152"/>
          <w:tab w:val="left" w:pos="-720"/>
          <w:tab w:val="left" w:pos="0"/>
          <w:tab w:val="left" w:pos="360"/>
        </w:tabs>
        <w:ind w:left="360"/>
      </w:pPr>
      <w:r>
        <w:t xml:space="preserve">This information collection complies with all general information collection guidelines in </w:t>
      </w:r>
    </w:p>
    <w:p w:rsidR="0090054C" w:rsidRDefault="0090054C" w:rsidP="00AD076E">
      <w:pPr>
        <w:tabs>
          <w:tab w:val="left" w:pos="-1152"/>
          <w:tab w:val="left" w:pos="-720"/>
          <w:tab w:val="left" w:pos="0"/>
          <w:tab w:val="left" w:pos="360"/>
        </w:tabs>
        <w:ind w:left="360"/>
      </w:pPr>
      <w:r>
        <w:t xml:space="preserve">5 CFR </w:t>
      </w:r>
      <w:r w:rsidR="00A840AA">
        <w:t>§ 1</w:t>
      </w:r>
      <w:r>
        <w:t>320.6.</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8.</w:t>
      </w:r>
      <w:r>
        <w:tab/>
      </w:r>
      <w:r>
        <w:rPr>
          <w:u w:val="single"/>
        </w:rPr>
        <w:t>Federal Register Notice/</w:t>
      </w:r>
      <w:r w:rsidR="000C5D9F">
        <w:rPr>
          <w:u w:val="single"/>
        </w:rPr>
        <w:t xml:space="preserve">Outside </w:t>
      </w:r>
      <w:r>
        <w:rPr>
          <w:u w:val="single"/>
        </w:rPr>
        <w:t xml:space="preserve">Consultations </w:t>
      </w:r>
    </w:p>
    <w:p w:rsidR="0090054C" w:rsidRDefault="0090054C" w:rsidP="00AD076E">
      <w:pPr>
        <w:tabs>
          <w:tab w:val="left" w:pos="-1152"/>
          <w:tab w:val="left" w:pos="-720"/>
          <w:tab w:val="left" w:pos="0"/>
          <w:tab w:val="left" w:pos="360"/>
        </w:tabs>
      </w:pPr>
    </w:p>
    <w:p w:rsidR="0090054C" w:rsidRDefault="0090054C" w:rsidP="00AD076E">
      <w:pPr>
        <w:pStyle w:val="BodyTextIndent2"/>
        <w:jc w:val="left"/>
        <w:rPr>
          <w:color w:val="000000"/>
        </w:rPr>
      </w:pPr>
      <w:r>
        <w:rPr>
          <w:color w:val="000000"/>
        </w:rPr>
        <w:t>The 60-day Federal Register notice published on</w:t>
      </w:r>
      <w:r w:rsidR="00324BEA">
        <w:rPr>
          <w:color w:val="000000"/>
        </w:rPr>
        <w:t xml:space="preserve"> June 28, 2013 (78 FR 38986). No comments were received.</w:t>
      </w:r>
    </w:p>
    <w:p w:rsidR="000C5D9F" w:rsidRDefault="000C5D9F" w:rsidP="00AD076E">
      <w:pPr>
        <w:pStyle w:val="BodyTextIndent2"/>
        <w:jc w:val="left"/>
        <w:rPr>
          <w:color w:val="000000"/>
        </w:rPr>
      </w:pPr>
    </w:p>
    <w:p w:rsidR="0090054C" w:rsidRDefault="0090054C" w:rsidP="00AD076E">
      <w:pPr>
        <w:tabs>
          <w:tab w:val="left" w:pos="-1152"/>
          <w:tab w:val="left" w:pos="-720"/>
          <w:tab w:val="left" w:pos="0"/>
          <w:tab w:val="left" w:pos="360"/>
        </w:tabs>
      </w:pPr>
      <w:r>
        <w:t>9.</w:t>
      </w:r>
      <w:r>
        <w:tab/>
      </w:r>
      <w:r>
        <w:rPr>
          <w:u w:val="single"/>
        </w:rPr>
        <w:t>Payment/Gift to Respondent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is no payment or gift to respondents.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10. </w:t>
      </w:r>
      <w:r>
        <w:rPr>
          <w:u w:val="single"/>
        </w:rPr>
        <w:t>Confidentiality</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Confidentiality is not pledged.  Medicare cost reports are subject to disclosure under the Freedom of Information Act.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11. </w:t>
      </w:r>
      <w:r>
        <w:rPr>
          <w:u w:val="single"/>
        </w:rPr>
        <w:t>Sensitive Questions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are no questions of a sensitive nature.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12. </w:t>
      </w:r>
      <w:r>
        <w:rPr>
          <w:u w:val="single"/>
        </w:rPr>
        <w:t>Estimate of Burden (Hours and Wages)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sectPr w:rsidR="0090054C">
          <w:footerReference w:type="default" r:id="rId9"/>
          <w:endnotePr>
            <w:numFmt w:val="decimal"/>
          </w:endnotePr>
          <w:type w:val="continuous"/>
          <w:pgSz w:w="12240" w:h="15840"/>
          <w:pgMar w:top="1440" w:right="1440" w:bottom="1440" w:left="1440" w:header="1440" w:footer="1440" w:gutter="0"/>
          <w:cols w:space="720"/>
          <w:noEndnote/>
        </w:sectPr>
      </w:pPr>
    </w:p>
    <w:p w:rsidR="00175933" w:rsidRPr="00175933" w:rsidRDefault="00175933" w:rsidP="00175933">
      <w:pPr>
        <w:tabs>
          <w:tab w:val="left" w:pos="-1152"/>
          <w:tab w:val="left" w:pos="-720"/>
          <w:tab w:val="left" w:pos="0"/>
          <w:tab w:val="left" w:pos="360"/>
        </w:tabs>
      </w:pPr>
      <w:r>
        <w:lastRenderedPageBreak/>
        <w:tab/>
      </w:r>
      <w:r>
        <w:tab/>
      </w:r>
    </w:p>
    <w:tbl>
      <w:tblPr>
        <w:tblW w:w="6440" w:type="dxa"/>
        <w:tblInd w:w="2255" w:type="dxa"/>
        <w:tblLook w:val="04A0" w:firstRow="1" w:lastRow="0" w:firstColumn="1" w:lastColumn="0" w:noHBand="0" w:noVBand="1"/>
      </w:tblPr>
      <w:tblGrid>
        <w:gridCol w:w="272"/>
        <w:gridCol w:w="4871"/>
        <w:gridCol w:w="1416"/>
        <w:gridCol w:w="272"/>
      </w:tblGrid>
      <w:tr w:rsidR="00175933" w:rsidRPr="00175933" w:rsidTr="00363815">
        <w:trPr>
          <w:trHeight w:val="255"/>
        </w:trPr>
        <w:tc>
          <w:tcPr>
            <w:tcW w:w="272" w:type="dxa"/>
            <w:tcBorders>
              <w:top w:val="single" w:sz="8" w:space="0" w:color="auto"/>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single" w:sz="8" w:space="0" w:color="auto"/>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1025" w:type="dxa"/>
            <w:tcBorders>
              <w:top w:val="single" w:sz="8" w:space="0" w:color="auto"/>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272" w:type="dxa"/>
            <w:tcBorders>
              <w:top w:val="single" w:sz="8" w:space="0" w:color="auto"/>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315"/>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rPr>
                <w:snapToGrid/>
                <w:sz w:val="14"/>
                <w:szCs w:val="14"/>
              </w:rPr>
            </w:pPr>
            <w:r w:rsidRPr="00175933">
              <w:rPr>
                <w:snapToGrid/>
                <w:sz w:val="14"/>
                <w:szCs w:val="14"/>
              </w:rPr>
              <w:t xml:space="preserve"> </w:t>
            </w:r>
            <w:r w:rsidRPr="00175933">
              <w:rPr>
                <w:snapToGrid/>
                <w:szCs w:val="24"/>
              </w:rPr>
              <w:t xml:space="preserve">Number of </w:t>
            </w:r>
            <w:r>
              <w:rPr>
                <w:snapToGrid/>
                <w:szCs w:val="24"/>
              </w:rPr>
              <w:t>HHA</w:t>
            </w:r>
            <w:r w:rsidRPr="00175933">
              <w:rPr>
                <w:snapToGrid/>
                <w:szCs w:val="24"/>
              </w:rPr>
              <w:t xml:space="preserve"> facilities </w:t>
            </w:r>
          </w:p>
        </w:tc>
        <w:tc>
          <w:tcPr>
            <w:tcW w:w="1025" w:type="dxa"/>
            <w:tcBorders>
              <w:top w:val="nil"/>
              <w:left w:val="nil"/>
              <w:bottom w:val="nil"/>
              <w:right w:val="nil"/>
            </w:tcBorders>
            <w:shd w:val="clear" w:color="auto" w:fill="auto"/>
            <w:noWrap/>
            <w:vAlign w:val="bottom"/>
            <w:hideMark/>
          </w:tcPr>
          <w:p w:rsidR="00175933" w:rsidRPr="00175933" w:rsidRDefault="00250ABD" w:rsidP="00175933">
            <w:pPr>
              <w:widowControl/>
              <w:jc w:val="right"/>
              <w:rPr>
                <w:snapToGrid/>
                <w:szCs w:val="24"/>
              </w:rPr>
            </w:pPr>
            <w:r w:rsidRPr="00250ABD">
              <w:rPr>
                <w:snapToGrid/>
                <w:szCs w:val="24"/>
              </w:rPr>
              <w:t>11,563</w:t>
            </w:r>
            <w:r w:rsidR="00175933" w:rsidRPr="00175933">
              <w:rPr>
                <w:snapToGrid/>
                <w:szCs w:val="24"/>
              </w:rPr>
              <w:t xml:space="preserve"> </w:t>
            </w: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162"/>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ind w:firstLineChars="400" w:firstLine="960"/>
              <w:rPr>
                <w:snapToGrid/>
                <w:szCs w:val="24"/>
              </w:rPr>
            </w:pPr>
          </w:p>
        </w:tc>
        <w:tc>
          <w:tcPr>
            <w:tcW w:w="1025" w:type="dxa"/>
            <w:tcBorders>
              <w:top w:val="nil"/>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315"/>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rPr>
                <w:snapToGrid/>
                <w:szCs w:val="24"/>
              </w:rPr>
            </w:pPr>
            <w:r w:rsidRPr="00175933">
              <w:rPr>
                <w:snapToGrid/>
                <w:szCs w:val="24"/>
              </w:rPr>
              <w:t>Hours burden per facility</w:t>
            </w:r>
          </w:p>
        </w:tc>
        <w:tc>
          <w:tcPr>
            <w:tcW w:w="1025" w:type="dxa"/>
            <w:tcBorders>
              <w:top w:val="nil"/>
              <w:left w:val="nil"/>
              <w:bottom w:val="nil"/>
              <w:right w:val="nil"/>
            </w:tcBorders>
            <w:shd w:val="clear" w:color="auto" w:fill="auto"/>
            <w:noWrap/>
            <w:vAlign w:val="bottom"/>
            <w:hideMark/>
          </w:tcPr>
          <w:p w:rsidR="00175933" w:rsidRPr="00175933" w:rsidRDefault="00F63CD6" w:rsidP="00175933">
            <w:pPr>
              <w:widowControl/>
              <w:jc w:val="right"/>
              <w:rPr>
                <w:snapToGrid/>
                <w:szCs w:val="24"/>
              </w:rPr>
            </w:pPr>
            <w:r>
              <w:rPr>
                <w:snapToGrid/>
                <w:szCs w:val="24"/>
              </w:rPr>
              <w:t>226</w:t>
            </w: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162"/>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ind w:firstLineChars="800" w:firstLine="1920"/>
              <w:rPr>
                <w:snapToGrid/>
                <w:szCs w:val="24"/>
              </w:rPr>
            </w:pPr>
          </w:p>
        </w:tc>
        <w:tc>
          <w:tcPr>
            <w:tcW w:w="1025" w:type="dxa"/>
            <w:tcBorders>
              <w:top w:val="nil"/>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315"/>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F63CD6">
            <w:pPr>
              <w:widowControl/>
              <w:rPr>
                <w:snapToGrid/>
                <w:sz w:val="14"/>
                <w:szCs w:val="14"/>
              </w:rPr>
            </w:pPr>
            <w:r w:rsidRPr="00175933">
              <w:rPr>
                <w:snapToGrid/>
                <w:szCs w:val="24"/>
              </w:rPr>
              <w:t xml:space="preserve">Total hours burden </w:t>
            </w:r>
            <w:r w:rsidRPr="00175933">
              <w:rPr>
                <w:snapToGrid/>
                <w:sz w:val="20"/>
              </w:rPr>
              <w:t>(</w:t>
            </w:r>
            <w:r w:rsidR="00363815" w:rsidRPr="00363815">
              <w:rPr>
                <w:snapToGrid/>
                <w:sz w:val="20"/>
              </w:rPr>
              <w:t xml:space="preserve">11,563 </w:t>
            </w:r>
            <w:r w:rsidRPr="00175933">
              <w:rPr>
                <w:snapToGrid/>
                <w:sz w:val="20"/>
              </w:rPr>
              <w:t xml:space="preserve">facilities x </w:t>
            </w:r>
            <w:r w:rsidR="00F63CD6">
              <w:rPr>
                <w:snapToGrid/>
                <w:sz w:val="20"/>
              </w:rPr>
              <w:t>226 ho</w:t>
            </w:r>
            <w:r w:rsidRPr="00175933">
              <w:rPr>
                <w:snapToGrid/>
                <w:sz w:val="20"/>
              </w:rPr>
              <w:t>urs)</w:t>
            </w:r>
          </w:p>
        </w:tc>
        <w:tc>
          <w:tcPr>
            <w:tcW w:w="1025" w:type="dxa"/>
            <w:tcBorders>
              <w:top w:val="nil"/>
              <w:left w:val="nil"/>
              <w:bottom w:val="nil"/>
              <w:right w:val="nil"/>
            </w:tcBorders>
            <w:shd w:val="clear" w:color="auto" w:fill="auto"/>
            <w:noWrap/>
            <w:vAlign w:val="bottom"/>
            <w:hideMark/>
          </w:tcPr>
          <w:p w:rsidR="00175933" w:rsidRPr="00175933" w:rsidRDefault="00363815" w:rsidP="00F63CD6">
            <w:pPr>
              <w:widowControl/>
              <w:jc w:val="right"/>
              <w:rPr>
                <w:snapToGrid/>
                <w:szCs w:val="24"/>
              </w:rPr>
            </w:pPr>
            <w:r>
              <w:rPr>
                <w:snapToGrid/>
                <w:szCs w:val="24"/>
              </w:rPr>
              <w:t>2,613,238</w:t>
            </w: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162"/>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ind w:firstLineChars="800" w:firstLine="1920"/>
              <w:rPr>
                <w:snapToGrid/>
                <w:szCs w:val="24"/>
              </w:rPr>
            </w:pPr>
          </w:p>
        </w:tc>
        <w:tc>
          <w:tcPr>
            <w:tcW w:w="1025" w:type="dxa"/>
            <w:tcBorders>
              <w:top w:val="nil"/>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315"/>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rPr>
                <w:snapToGrid/>
                <w:szCs w:val="24"/>
              </w:rPr>
            </w:pPr>
            <w:r w:rsidRPr="00175933">
              <w:rPr>
                <w:snapToGrid/>
                <w:szCs w:val="24"/>
              </w:rPr>
              <w:t>Standard rate</w:t>
            </w:r>
          </w:p>
        </w:tc>
        <w:tc>
          <w:tcPr>
            <w:tcW w:w="1025" w:type="dxa"/>
            <w:tcBorders>
              <w:top w:val="nil"/>
              <w:left w:val="nil"/>
              <w:bottom w:val="nil"/>
              <w:right w:val="nil"/>
            </w:tcBorders>
            <w:shd w:val="clear" w:color="auto" w:fill="auto"/>
            <w:noWrap/>
            <w:vAlign w:val="bottom"/>
            <w:hideMark/>
          </w:tcPr>
          <w:p w:rsidR="00175933" w:rsidRPr="00175933" w:rsidRDefault="00175933" w:rsidP="00175933">
            <w:pPr>
              <w:widowControl/>
              <w:jc w:val="right"/>
              <w:rPr>
                <w:snapToGrid/>
                <w:szCs w:val="24"/>
              </w:rPr>
            </w:pPr>
            <w:r w:rsidRPr="00175933">
              <w:rPr>
                <w:snapToGrid/>
                <w:szCs w:val="24"/>
              </w:rPr>
              <w:t>$</w:t>
            </w:r>
            <w:r w:rsidR="00A840AA">
              <w:rPr>
                <w:snapToGrid/>
                <w:szCs w:val="24"/>
              </w:rPr>
              <w:t>20</w:t>
            </w:r>
            <w:r w:rsidRPr="00175933">
              <w:rPr>
                <w:snapToGrid/>
                <w:szCs w:val="24"/>
              </w:rPr>
              <w:t xml:space="preserve">.00 </w:t>
            </w: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162"/>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ind w:firstLineChars="800" w:firstLine="1920"/>
              <w:rPr>
                <w:snapToGrid/>
                <w:szCs w:val="24"/>
              </w:rPr>
            </w:pPr>
          </w:p>
        </w:tc>
        <w:tc>
          <w:tcPr>
            <w:tcW w:w="1025" w:type="dxa"/>
            <w:tcBorders>
              <w:top w:val="nil"/>
              <w:left w:val="nil"/>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330"/>
        </w:trPr>
        <w:tc>
          <w:tcPr>
            <w:tcW w:w="272" w:type="dxa"/>
            <w:tcBorders>
              <w:top w:val="nil"/>
              <w:left w:val="single" w:sz="8" w:space="0" w:color="auto"/>
              <w:bottom w:val="nil"/>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nil"/>
              <w:right w:val="nil"/>
            </w:tcBorders>
            <w:shd w:val="clear" w:color="auto" w:fill="auto"/>
            <w:noWrap/>
            <w:vAlign w:val="bottom"/>
            <w:hideMark/>
          </w:tcPr>
          <w:p w:rsidR="00175933" w:rsidRPr="00175933" w:rsidRDefault="00175933" w:rsidP="00175933">
            <w:pPr>
              <w:widowControl/>
              <w:rPr>
                <w:snapToGrid/>
                <w:szCs w:val="24"/>
              </w:rPr>
            </w:pPr>
            <w:r w:rsidRPr="00175933">
              <w:rPr>
                <w:snapToGrid/>
                <w:szCs w:val="24"/>
              </w:rPr>
              <w:t>Total respondent cost estimate</w:t>
            </w:r>
          </w:p>
        </w:tc>
        <w:tc>
          <w:tcPr>
            <w:tcW w:w="1025" w:type="dxa"/>
            <w:tcBorders>
              <w:top w:val="single" w:sz="4" w:space="0" w:color="auto"/>
              <w:left w:val="nil"/>
              <w:bottom w:val="double" w:sz="6" w:space="0" w:color="auto"/>
              <w:right w:val="nil"/>
            </w:tcBorders>
            <w:shd w:val="clear" w:color="auto" w:fill="auto"/>
            <w:noWrap/>
            <w:vAlign w:val="bottom"/>
            <w:hideMark/>
          </w:tcPr>
          <w:p w:rsidR="00175933" w:rsidRPr="00175933" w:rsidRDefault="00175933" w:rsidP="00A840AA">
            <w:pPr>
              <w:widowControl/>
              <w:jc w:val="right"/>
              <w:rPr>
                <w:snapToGrid/>
                <w:szCs w:val="24"/>
              </w:rPr>
            </w:pPr>
            <w:r w:rsidRPr="00175933">
              <w:rPr>
                <w:snapToGrid/>
                <w:szCs w:val="24"/>
              </w:rPr>
              <w:t>$</w:t>
            </w:r>
            <w:r w:rsidR="00A840AA">
              <w:rPr>
                <w:snapToGrid/>
                <w:szCs w:val="24"/>
              </w:rPr>
              <w:t>52</w:t>
            </w:r>
            <w:r w:rsidR="002026DF">
              <w:rPr>
                <w:snapToGrid/>
                <w:szCs w:val="24"/>
              </w:rPr>
              <w:t>,</w:t>
            </w:r>
            <w:r w:rsidR="00A840AA">
              <w:rPr>
                <w:snapToGrid/>
                <w:szCs w:val="24"/>
              </w:rPr>
              <w:t>264</w:t>
            </w:r>
            <w:r w:rsidR="002026DF">
              <w:rPr>
                <w:snapToGrid/>
                <w:szCs w:val="24"/>
              </w:rPr>
              <w:t>,</w:t>
            </w:r>
            <w:r w:rsidR="00A840AA">
              <w:rPr>
                <w:snapToGrid/>
                <w:szCs w:val="24"/>
              </w:rPr>
              <w:t>760</w:t>
            </w:r>
          </w:p>
        </w:tc>
        <w:tc>
          <w:tcPr>
            <w:tcW w:w="272" w:type="dxa"/>
            <w:tcBorders>
              <w:top w:val="nil"/>
              <w:left w:val="nil"/>
              <w:bottom w:val="nil"/>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r w:rsidR="00175933" w:rsidRPr="00175933" w:rsidTr="00363815">
        <w:trPr>
          <w:trHeight w:val="285"/>
        </w:trPr>
        <w:tc>
          <w:tcPr>
            <w:tcW w:w="272" w:type="dxa"/>
            <w:tcBorders>
              <w:top w:val="nil"/>
              <w:left w:val="single" w:sz="8" w:space="0" w:color="auto"/>
              <w:bottom w:val="single" w:sz="8" w:space="0" w:color="auto"/>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4871" w:type="dxa"/>
            <w:tcBorders>
              <w:top w:val="nil"/>
              <w:left w:val="nil"/>
              <w:bottom w:val="single" w:sz="8" w:space="0" w:color="auto"/>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1025" w:type="dxa"/>
            <w:tcBorders>
              <w:top w:val="nil"/>
              <w:left w:val="nil"/>
              <w:bottom w:val="single" w:sz="8" w:space="0" w:color="auto"/>
              <w:right w:val="nil"/>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c>
          <w:tcPr>
            <w:tcW w:w="272" w:type="dxa"/>
            <w:tcBorders>
              <w:top w:val="nil"/>
              <w:left w:val="nil"/>
              <w:bottom w:val="single" w:sz="8" w:space="0" w:color="auto"/>
              <w:right w:val="single" w:sz="8" w:space="0" w:color="auto"/>
            </w:tcBorders>
            <w:shd w:val="clear" w:color="auto" w:fill="auto"/>
            <w:noWrap/>
            <w:vAlign w:val="bottom"/>
            <w:hideMark/>
          </w:tcPr>
          <w:p w:rsidR="00175933" w:rsidRPr="00175933" w:rsidRDefault="00175933" w:rsidP="00175933">
            <w:pPr>
              <w:widowControl/>
              <w:rPr>
                <w:rFonts w:ascii="Arial" w:hAnsi="Arial" w:cs="Arial"/>
                <w:snapToGrid/>
                <w:sz w:val="20"/>
              </w:rPr>
            </w:pPr>
            <w:r w:rsidRPr="00175933">
              <w:rPr>
                <w:rFonts w:ascii="Arial" w:hAnsi="Arial" w:cs="Arial"/>
                <w:snapToGrid/>
                <w:sz w:val="20"/>
              </w:rPr>
              <w:t> </w:t>
            </w:r>
          </w:p>
        </w:tc>
      </w:tr>
    </w:tbl>
    <w:p w:rsidR="00175933" w:rsidRPr="00175933" w:rsidRDefault="00175933" w:rsidP="00175933">
      <w:pPr>
        <w:tabs>
          <w:tab w:val="left" w:pos="-1152"/>
          <w:tab w:val="left" w:pos="-720"/>
          <w:tab w:val="left" w:pos="0"/>
          <w:tab w:val="left" w:pos="360"/>
        </w:tabs>
      </w:pPr>
    </w:p>
    <w:p w:rsidR="00175933" w:rsidRDefault="00175933" w:rsidP="00AD076E">
      <w:pPr>
        <w:tabs>
          <w:tab w:val="left" w:pos="-1152"/>
          <w:tab w:val="left" w:pos="-720"/>
          <w:tab w:val="left" w:pos="0"/>
          <w:tab w:val="left" w:pos="360"/>
        </w:tabs>
        <w:ind w:left="720"/>
      </w:pPr>
    </w:p>
    <w:p w:rsidR="00175933" w:rsidRDefault="00175933" w:rsidP="00AD076E">
      <w:pPr>
        <w:tabs>
          <w:tab w:val="left" w:pos="-1152"/>
          <w:tab w:val="left" w:pos="-720"/>
          <w:tab w:val="left" w:pos="0"/>
          <w:tab w:val="left" w:pos="360"/>
        </w:tabs>
        <w:ind w:left="720"/>
      </w:pPr>
    </w:p>
    <w:p w:rsidR="0090054C" w:rsidRDefault="0090054C" w:rsidP="00AD076E">
      <w:pPr>
        <w:tabs>
          <w:tab w:val="left" w:pos="-1152"/>
          <w:tab w:val="left" w:pos="-720"/>
          <w:tab w:val="left" w:pos="0"/>
          <w:tab w:val="left" w:pos="360"/>
        </w:tabs>
      </w:pPr>
      <w:r>
        <w:t xml:space="preserve">13. </w:t>
      </w:r>
      <w:r>
        <w:rPr>
          <w:u w:val="single"/>
        </w:rPr>
        <w:t>Capital Cost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are no capital costs.</w:t>
      </w:r>
    </w:p>
    <w:p w:rsidR="0090054C" w:rsidRDefault="0090054C" w:rsidP="00AD076E">
      <w:pPr>
        <w:tabs>
          <w:tab w:val="left" w:pos="-1152"/>
          <w:tab w:val="left" w:pos="-720"/>
          <w:tab w:val="left" w:pos="0"/>
          <w:tab w:val="left" w:pos="360"/>
        </w:tabs>
      </w:pPr>
    </w:p>
    <w:p w:rsidR="006C65AD" w:rsidRDefault="006C65AD" w:rsidP="00AD076E">
      <w:pPr>
        <w:tabs>
          <w:tab w:val="left" w:pos="-1152"/>
          <w:tab w:val="left" w:pos="-720"/>
          <w:tab w:val="left" w:pos="0"/>
          <w:tab w:val="left" w:pos="360"/>
        </w:tabs>
      </w:pPr>
    </w:p>
    <w:p w:rsidR="006C65AD" w:rsidRDefault="006C65AD" w:rsidP="00AD076E">
      <w:pPr>
        <w:tabs>
          <w:tab w:val="left" w:pos="-1152"/>
          <w:tab w:val="left" w:pos="-720"/>
          <w:tab w:val="left" w:pos="0"/>
          <w:tab w:val="left" w:pos="360"/>
        </w:tabs>
      </w:pPr>
    </w:p>
    <w:p w:rsidR="006C65AD" w:rsidRDefault="006C65AD" w:rsidP="00AD076E">
      <w:pPr>
        <w:tabs>
          <w:tab w:val="left" w:pos="-1152"/>
          <w:tab w:val="left" w:pos="-720"/>
          <w:tab w:val="left" w:pos="0"/>
          <w:tab w:val="left" w:pos="360"/>
        </w:tabs>
      </w:pPr>
    </w:p>
    <w:p w:rsidR="006C65AD" w:rsidRDefault="006C65AD" w:rsidP="00AD076E">
      <w:pPr>
        <w:tabs>
          <w:tab w:val="left" w:pos="-1152"/>
          <w:tab w:val="left" w:pos="-720"/>
          <w:tab w:val="left" w:pos="0"/>
          <w:tab w:val="left" w:pos="360"/>
        </w:tabs>
      </w:pPr>
    </w:p>
    <w:p w:rsidR="006C65AD" w:rsidRDefault="006C65AD" w:rsidP="00AD076E">
      <w:pPr>
        <w:tabs>
          <w:tab w:val="left" w:pos="-1152"/>
          <w:tab w:val="left" w:pos="-720"/>
          <w:tab w:val="left" w:pos="0"/>
          <w:tab w:val="left" w:pos="360"/>
        </w:tabs>
      </w:pPr>
    </w:p>
    <w:p w:rsidR="00CA6C01" w:rsidRDefault="00CA6C01"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14. </w:t>
      </w:r>
      <w:r>
        <w:rPr>
          <w:u w:val="single"/>
        </w:rPr>
        <w:t>Cost to Federal Government</w:t>
      </w:r>
    </w:p>
    <w:p w:rsidR="0090054C" w:rsidRDefault="0090054C" w:rsidP="00AD076E">
      <w:pPr>
        <w:tabs>
          <w:tab w:val="left" w:pos="-1152"/>
          <w:tab w:val="left" w:pos="-720"/>
          <w:tab w:val="left" w:pos="0"/>
          <w:tab w:val="left" w:pos="360"/>
        </w:tabs>
      </w:pPr>
    </w:p>
    <w:tbl>
      <w:tblPr>
        <w:tblW w:w="7588" w:type="dxa"/>
        <w:tblInd w:w="813" w:type="dxa"/>
        <w:tblLook w:val="04A0" w:firstRow="1" w:lastRow="0" w:firstColumn="1" w:lastColumn="0" w:noHBand="0" w:noVBand="1"/>
      </w:tblPr>
      <w:tblGrid>
        <w:gridCol w:w="266"/>
        <w:gridCol w:w="960"/>
        <w:gridCol w:w="960"/>
        <w:gridCol w:w="960"/>
        <w:gridCol w:w="960"/>
        <w:gridCol w:w="960"/>
        <w:gridCol w:w="960"/>
        <w:gridCol w:w="1296"/>
        <w:gridCol w:w="266"/>
      </w:tblGrid>
      <w:tr w:rsidR="000701C0" w:rsidRPr="000701C0" w:rsidTr="000701C0">
        <w:trPr>
          <w:trHeight w:val="300"/>
        </w:trPr>
        <w:tc>
          <w:tcPr>
            <w:tcW w:w="266" w:type="dxa"/>
            <w:tcBorders>
              <w:top w:val="single" w:sz="8" w:space="0" w:color="auto"/>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1296"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266" w:type="dxa"/>
            <w:tcBorders>
              <w:top w:val="single" w:sz="8" w:space="0" w:color="auto"/>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Cost associated with distribution of forms and instructions:</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val="restart"/>
            <w:tcBorders>
              <w:top w:val="nil"/>
              <w:left w:val="nil"/>
              <w:bottom w:val="nil"/>
              <w:right w:val="nil"/>
            </w:tcBorders>
            <w:shd w:val="clear" w:color="auto" w:fill="auto"/>
            <w:vAlign w:val="bottom"/>
            <w:hideMark/>
          </w:tcPr>
          <w:p w:rsidR="000701C0" w:rsidRPr="000701C0" w:rsidRDefault="000701C0" w:rsidP="00D47F0C">
            <w:pPr>
              <w:widowControl/>
              <w:rPr>
                <w:snapToGrid/>
                <w:color w:val="000000"/>
                <w:szCs w:val="24"/>
              </w:rPr>
            </w:pPr>
            <w:r w:rsidRPr="000701C0">
              <w:rPr>
                <w:snapToGrid/>
                <w:color w:val="000000"/>
                <w:szCs w:val="24"/>
              </w:rPr>
              <w:t>We no longer print and distribute paper copies of Form CMS</w:t>
            </w:r>
            <w:r w:rsidR="00D47F0C">
              <w:rPr>
                <w:snapToGrid/>
                <w:color w:val="000000"/>
                <w:szCs w:val="24"/>
              </w:rPr>
              <w:t>-</w:t>
            </w:r>
            <w:r w:rsidRPr="000701C0">
              <w:rPr>
                <w:snapToGrid/>
                <w:color w:val="000000"/>
                <w:szCs w:val="24"/>
              </w:rPr>
              <w:t>1728-94. Forms and instructions are issued as a part of the Provider Reimbursement Manual.  This manual is now transmitted via the internet.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jc w:val="right"/>
              <w:rPr>
                <w:snapToGrid/>
                <w:color w:val="000000"/>
                <w:szCs w:val="24"/>
              </w:rPr>
            </w:pPr>
            <w:r w:rsidRPr="000701C0">
              <w:rPr>
                <w:bCs/>
                <w:snapToGrid/>
                <w:color w:val="000000"/>
                <w:szCs w:val="24"/>
              </w:rPr>
              <w:t xml:space="preserve">$0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CA6C01">
            <w:pPr>
              <w:widowControl/>
              <w:rPr>
                <w:snapToGrid/>
                <w:color w:val="000000"/>
                <w:szCs w:val="24"/>
                <w:u w:val="single"/>
              </w:rPr>
            </w:pPr>
            <w:r w:rsidRPr="000701C0">
              <w:rPr>
                <w:snapToGrid/>
                <w:color w:val="000000"/>
                <w:szCs w:val="24"/>
                <w:u w:val="single"/>
              </w:rPr>
              <w:t>Annual cost to M</w:t>
            </w:r>
            <w:r w:rsidR="00CA6C01">
              <w:rPr>
                <w:snapToGrid/>
                <w:color w:val="000000"/>
                <w:szCs w:val="24"/>
                <w:u w:val="single"/>
              </w:rPr>
              <w:t>edicare contractors</w:t>
            </w:r>
            <w:r w:rsidRPr="000701C0">
              <w:rPr>
                <w:snapToGrid/>
                <w:color w:val="000000"/>
                <w:szCs w:val="24"/>
              </w:rPr>
              <w: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val="restart"/>
            <w:tcBorders>
              <w:top w:val="nil"/>
              <w:left w:val="nil"/>
              <w:bottom w:val="nil"/>
              <w:right w:val="nil"/>
            </w:tcBorders>
            <w:shd w:val="clear" w:color="auto" w:fill="auto"/>
            <w:vAlign w:val="bottom"/>
            <w:hideMark/>
          </w:tcPr>
          <w:p w:rsidR="000701C0" w:rsidRPr="000701C0" w:rsidRDefault="00117A3C" w:rsidP="00CA6C01">
            <w:pPr>
              <w:widowControl/>
              <w:rPr>
                <w:snapToGrid/>
                <w:color w:val="000000"/>
                <w:szCs w:val="24"/>
              </w:rPr>
            </w:pPr>
            <w:r w:rsidRPr="006E0D87">
              <w:rPr>
                <w:color w:val="000000"/>
              </w:rPr>
              <w:t>Annual cost</w:t>
            </w:r>
            <w:r>
              <w:rPr>
                <w:color w:val="000000"/>
              </w:rPr>
              <w:t>s</w:t>
            </w:r>
            <w:r w:rsidRPr="006E0D87">
              <w:rPr>
                <w:color w:val="000000"/>
              </w:rPr>
              <w:t xml:space="preserve"> incurred </w:t>
            </w:r>
            <w:r>
              <w:rPr>
                <w:color w:val="000000"/>
              </w:rPr>
              <w:t>are</w:t>
            </w:r>
            <w:r w:rsidRPr="006E0D87">
              <w:rPr>
                <w:color w:val="000000"/>
              </w:rPr>
              <w:t xml:space="preserve"> related to processing information contained on the forms</w:t>
            </w:r>
            <w:r>
              <w:rPr>
                <w:color w:val="000000"/>
              </w:rPr>
              <w:t xml:space="preserve"> by Medicare</w:t>
            </w:r>
            <w:r w:rsidRPr="006E0D87">
              <w:rPr>
                <w:color w:val="000000"/>
              </w:rPr>
              <w:t>.  Medicare contractors' handling costs are based on estimates provided by the Office of Financial Management</w:t>
            </w:r>
            <w:r>
              <w:rPr>
                <w:color w:val="000000"/>
              </w:rPr>
              <w: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C165A6" w:rsidRDefault="00C165A6" w:rsidP="001C5B1A">
            <w:pPr>
              <w:widowControl/>
              <w:jc w:val="right"/>
              <w:rPr>
                <w:snapToGrid/>
                <w:color w:val="000000"/>
                <w:szCs w:val="24"/>
              </w:rPr>
            </w:pPr>
            <w:r w:rsidRPr="00C165A6">
              <w:rPr>
                <w:snapToGrid/>
                <w:color w:val="000000"/>
                <w:szCs w:val="24"/>
              </w:rPr>
              <w:t>$6,937,800</w:t>
            </w:r>
            <w:r w:rsidR="000701C0" w:rsidRPr="00C165A6">
              <w:rPr>
                <w:snapToGrid/>
                <w:color w:val="000000"/>
                <w:szCs w:val="24"/>
              </w:rPr>
              <w:t xml:space="preserve"> </w:t>
            </w:r>
          </w:p>
        </w:tc>
        <w:tc>
          <w:tcPr>
            <w:tcW w:w="266" w:type="dxa"/>
            <w:tcBorders>
              <w:top w:val="nil"/>
              <w:left w:val="nil"/>
              <w:bottom w:val="nil"/>
              <w:right w:val="single" w:sz="8" w:space="0" w:color="auto"/>
            </w:tcBorders>
            <w:shd w:val="clear" w:color="auto" w:fill="auto"/>
            <w:noWrap/>
            <w:vAlign w:val="bottom"/>
            <w:hideMark/>
          </w:tcPr>
          <w:p w:rsidR="000701C0" w:rsidRPr="00A6381B" w:rsidRDefault="000701C0" w:rsidP="000701C0">
            <w:pPr>
              <w:widowControl/>
              <w:rPr>
                <w:rFonts w:ascii="Calibri" w:hAnsi="Calibri"/>
                <w:b/>
                <w:snapToGrid/>
                <w:color w:val="000000"/>
                <w:sz w:val="22"/>
                <w:szCs w:val="22"/>
              </w:rPr>
            </w:pPr>
            <w:r w:rsidRPr="00A6381B">
              <w:rPr>
                <w:rFonts w:ascii="Calibri" w:hAnsi="Calibri"/>
                <w:b/>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Annual cost to CMS</w:t>
            </w:r>
            <w:r w:rsidRPr="000701C0">
              <w:rPr>
                <w:snapToGrid/>
                <w:color w:val="000000"/>
                <w:szCs w:val="24"/>
              </w:rPr>
              <w: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r w:rsidRPr="000701C0">
              <w:rPr>
                <w:snapToGrid/>
                <w:color w:val="000000"/>
                <w:szCs w:val="24"/>
              </w:rPr>
              <w:t>Total CMS processing cost is from the HCRIS Budget: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jc w:val="right"/>
              <w:rPr>
                <w:snapToGrid/>
                <w:color w:val="000000"/>
                <w:szCs w:val="24"/>
              </w:rPr>
            </w:pPr>
            <w:r w:rsidRPr="000701C0">
              <w:rPr>
                <w:snapToGrid/>
                <w:color w:val="000000"/>
                <w:szCs w:val="24"/>
              </w:rPr>
              <w:t xml:space="preserve">42,000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1296"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Total Federal Cost</w:t>
            </w:r>
          </w:p>
        </w:tc>
        <w:tc>
          <w:tcPr>
            <w:tcW w:w="1296" w:type="dxa"/>
            <w:tcBorders>
              <w:top w:val="single" w:sz="8" w:space="0" w:color="auto"/>
              <w:left w:val="nil"/>
              <w:bottom w:val="double" w:sz="4" w:space="0" w:color="auto"/>
              <w:right w:val="nil"/>
            </w:tcBorders>
            <w:shd w:val="clear" w:color="auto" w:fill="auto"/>
            <w:noWrap/>
            <w:vAlign w:val="bottom"/>
            <w:hideMark/>
          </w:tcPr>
          <w:p w:rsidR="000701C0" w:rsidRDefault="000701C0" w:rsidP="001C5B1A">
            <w:pPr>
              <w:jc w:val="right"/>
              <w:rPr>
                <w:color w:val="000000"/>
                <w:szCs w:val="24"/>
              </w:rPr>
            </w:pPr>
            <w:r>
              <w:rPr>
                <w:color w:val="000000"/>
              </w:rPr>
              <w:t>$</w:t>
            </w:r>
            <w:r w:rsidR="00C165A6">
              <w:rPr>
                <w:color w:val="000000"/>
              </w:rPr>
              <w:t>6</w:t>
            </w:r>
            <w:r>
              <w:rPr>
                <w:color w:val="000000"/>
              </w:rPr>
              <w:t>,</w:t>
            </w:r>
            <w:r w:rsidR="00C165A6">
              <w:rPr>
                <w:color w:val="000000"/>
              </w:rPr>
              <w:t>979</w:t>
            </w:r>
            <w:r>
              <w:rPr>
                <w:color w:val="000000"/>
              </w:rPr>
              <w:t>,</w:t>
            </w:r>
            <w:r w:rsidR="00C165A6">
              <w:rPr>
                <w:color w:val="000000"/>
              </w:rPr>
              <w:t>8</w:t>
            </w:r>
            <w:r w:rsidR="001C5B1A">
              <w:rPr>
                <w:color w:val="000000"/>
              </w:rPr>
              <w:t>0</w:t>
            </w:r>
            <w:r>
              <w:rPr>
                <w:color w:val="000000"/>
              </w:rPr>
              <w:t xml:space="preserve">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1296"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266" w:type="dxa"/>
            <w:tcBorders>
              <w:top w:val="nil"/>
              <w:left w:val="nil"/>
              <w:bottom w:val="single" w:sz="8" w:space="0" w:color="auto"/>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bl>
    <w:p w:rsidR="000701C0" w:rsidRDefault="000701C0"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15.  </w:t>
      </w:r>
      <w:r>
        <w:rPr>
          <w:u w:val="single"/>
        </w:rPr>
        <w:t>Program/Burden Changes</w:t>
      </w:r>
    </w:p>
    <w:p w:rsidR="0090054C" w:rsidRDefault="0090054C" w:rsidP="00AD076E">
      <w:pPr>
        <w:tabs>
          <w:tab w:val="left" w:pos="-1152"/>
          <w:tab w:val="left" w:pos="-720"/>
          <w:tab w:val="left" w:pos="0"/>
          <w:tab w:val="left" w:pos="360"/>
        </w:tabs>
      </w:pPr>
    </w:p>
    <w:p w:rsidR="00400F0E" w:rsidRDefault="00400F0E" w:rsidP="00400F0E">
      <w:pPr>
        <w:tabs>
          <w:tab w:val="left" w:pos="-1152"/>
          <w:tab w:val="left" w:pos="-720"/>
          <w:tab w:val="left" w:pos="0"/>
          <w:tab w:val="left" w:pos="360"/>
        </w:tabs>
        <w:ind w:left="360"/>
      </w:pPr>
      <w:r>
        <w:t xml:space="preserve">The total burden for the </w:t>
      </w:r>
      <w:r w:rsidR="00E9032F">
        <w:t>F</w:t>
      </w:r>
      <w:r>
        <w:t>orm CMS-1728-94 is estimated to be 2,613,238 hours and $52,264,760.  The changes to the burden are a result of:</w:t>
      </w:r>
    </w:p>
    <w:p w:rsidR="00400F0E" w:rsidRDefault="00400F0E" w:rsidP="00400F0E">
      <w:pPr>
        <w:tabs>
          <w:tab w:val="left" w:pos="-1152"/>
          <w:tab w:val="left" w:pos="-720"/>
          <w:tab w:val="left" w:pos="0"/>
          <w:tab w:val="left" w:pos="360"/>
        </w:tabs>
        <w:ind w:left="360"/>
      </w:pPr>
    </w:p>
    <w:p w:rsidR="0090054C" w:rsidRPr="003057EF" w:rsidRDefault="00400F0E" w:rsidP="006741C0">
      <w:pPr>
        <w:pStyle w:val="ListParagraph"/>
        <w:numPr>
          <w:ilvl w:val="0"/>
          <w:numId w:val="7"/>
        </w:numPr>
        <w:tabs>
          <w:tab w:val="left" w:pos="-1152"/>
          <w:tab w:val="left" w:pos="-720"/>
          <w:tab w:val="left" w:pos="0"/>
          <w:tab w:val="left" w:pos="360"/>
        </w:tabs>
      </w:pPr>
      <w:r>
        <w:t xml:space="preserve">The estimated number of respondents increased </w:t>
      </w:r>
      <w:r w:rsidR="00D87056">
        <w:t>from 7,479 to 11,563.</w:t>
      </w:r>
      <w:r>
        <w:t xml:space="preserve">  </w:t>
      </w:r>
    </w:p>
    <w:p w:rsidR="0090054C" w:rsidRPr="003057EF" w:rsidRDefault="0090054C" w:rsidP="00AD076E">
      <w:pPr>
        <w:tabs>
          <w:tab w:val="left" w:pos="-1152"/>
          <w:tab w:val="left" w:pos="-720"/>
          <w:tab w:val="left" w:pos="0"/>
          <w:tab w:val="left" w:pos="360"/>
        </w:tabs>
      </w:pPr>
    </w:p>
    <w:p w:rsidR="00E9032F" w:rsidRDefault="00E9032F" w:rsidP="006741C0">
      <w:pPr>
        <w:pStyle w:val="ListParagraph"/>
        <w:numPr>
          <w:ilvl w:val="0"/>
          <w:numId w:val="7"/>
        </w:numPr>
        <w:tabs>
          <w:tab w:val="left" w:pos="-1152"/>
          <w:tab w:val="left" w:pos="-720"/>
          <w:tab w:val="left" w:pos="0"/>
          <w:tab w:val="left" w:pos="360"/>
        </w:tabs>
      </w:pPr>
      <w:r>
        <w:t>The standard rate increased from $15.00 to $20.00 per hour due to a cost of living increase.</w:t>
      </w:r>
    </w:p>
    <w:p w:rsidR="00731F88" w:rsidRDefault="00731F88"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16. </w:t>
      </w:r>
      <w:r>
        <w:rPr>
          <w:u w:val="single"/>
        </w:rPr>
        <w:t>Publication and Tabulation Dates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sectPr w:rsidR="0090054C">
          <w:endnotePr>
            <w:numFmt w:val="decimal"/>
          </w:endnotePr>
          <w:type w:val="continuous"/>
          <w:pgSz w:w="12240" w:h="15840"/>
          <w:pgMar w:top="1440" w:right="1440" w:bottom="1440" w:left="1440" w:header="1440" w:footer="1440" w:gutter="0"/>
          <w:cols w:space="720"/>
          <w:noEndnote/>
        </w:sectPr>
      </w:pPr>
    </w:p>
    <w:p w:rsidR="001070B0" w:rsidRPr="001070B0" w:rsidRDefault="001070B0" w:rsidP="001070B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szCs w:val="24"/>
        </w:rPr>
      </w:pPr>
      <w:r w:rsidRPr="001070B0">
        <w:rPr>
          <w:snapToGrid/>
          <w:szCs w:val="24"/>
        </w:rPr>
        <w:lastRenderedPageBreak/>
        <w:t>There are no publication plans for the data.</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17.  </w:t>
      </w:r>
      <w:r>
        <w:rPr>
          <w:u w:val="single"/>
        </w:rPr>
        <w:t>Expiration Date</w:t>
      </w:r>
    </w:p>
    <w:p w:rsidR="0090054C" w:rsidRDefault="0090054C" w:rsidP="00AD076E">
      <w:pPr>
        <w:tabs>
          <w:tab w:val="left" w:pos="-1152"/>
          <w:tab w:val="left" w:pos="-720"/>
          <w:tab w:val="left" w:pos="0"/>
          <w:tab w:val="left" w:pos="360"/>
        </w:tabs>
      </w:pPr>
    </w:p>
    <w:p w:rsidR="001A086A" w:rsidRPr="001A086A" w:rsidRDefault="001A086A" w:rsidP="001A086A">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napToGrid/>
          <w:szCs w:val="24"/>
        </w:rPr>
      </w:pPr>
      <w:r w:rsidRPr="001A086A">
        <w:rPr>
          <w:snapToGrid/>
          <w:szCs w:val="24"/>
        </w:rPr>
        <w:lastRenderedPageBreak/>
        <w:t>We request an exemption from displaying the expiration date since the forms change infrequently and are used on a continuing basis.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18.  </w:t>
      </w:r>
      <w:r>
        <w:rPr>
          <w:u w:val="single"/>
        </w:rPr>
        <w:t>Certification Statement</w:t>
      </w:r>
      <w:r w:rsidR="006C65AD">
        <w:rPr>
          <w:u w:val="single"/>
        </w:rPr>
        <w: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firstLine="360"/>
      </w:pPr>
      <w:r>
        <w:t>There are no exceptions to the certification statement.</w:t>
      </w:r>
    </w:p>
    <w:p w:rsidR="000A3DF1" w:rsidRDefault="000A3DF1" w:rsidP="00AD076E">
      <w:pPr>
        <w:tabs>
          <w:tab w:val="left" w:pos="-1152"/>
          <w:tab w:val="left" w:pos="-720"/>
          <w:tab w:val="left" w:pos="0"/>
          <w:tab w:val="left" w:pos="360"/>
        </w:tabs>
        <w:ind w:left="360"/>
        <w:rPr>
          <w:b/>
        </w:rPr>
      </w:pPr>
    </w:p>
    <w:p w:rsidR="000A3DF1" w:rsidRPr="008C156C" w:rsidRDefault="000A3DF1" w:rsidP="008C156C">
      <w:pPr>
        <w:pStyle w:val="ListParagraph"/>
        <w:numPr>
          <w:ilvl w:val="0"/>
          <w:numId w:val="10"/>
        </w:numPr>
        <w:tabs>
          <w:tab w:val="left" w:pos="-1152"/>
          <w:tab w:val="left" w:pos="-720"/>
          <w:tab w:val="left" w:pos="0"/>
          <w:tab w:val="left" w:pos="360"/>
        </w:tabs>
        <w:ind w:left="0" w:firstLine="0"/>
        <w:rPr>
          <w:b/>
        </w:rPr>
      </w:pPr>
      <w:r w:rsidRPr="008C156C">
        <w:rPr>
          <w:b/>
        </w:rPr>
        <w:t>STATISTICAL METHODS</w:t>
      </w:r>
    </w:p>
    <w:p w:rsidR="0090054C" w:rsidRDefault="0090054C" w:rsidP="00AD076E">
      <w:pPr>
        <w:tabs>
          <w:tab w:val="left" w:pos="-1152"/>
          <w:tab w:val="left" w:pos="-720"/>
          <w:tab w:val="left" w:pos="0"/>
          <w:tab w:val="left" w:pos="360"/>
        </w:tabs>
        <w:ind w:left="360"/>
      </w:pPr>
    </w:p>
    <w:p w:rsidR="0090054C" w:rsidRDefault="0090054C" w:rsidP="00AD076E">
      <w:pPr>
        <w:tabs>
          <w:tab w:val="left" w:pos="-1152"/>
          <w:tab w:val="left" w:pos="-720"/>
          <w:tab w:val="left" w:pos="0"/>
          <w:tab w:val="left" w:pos="360"/>
        </w:tabs>
      </w:pPr>
      <w:r>
        <w:t xml:space="preserve">  </w:t>
      </w:r>
      <w:r>
        <w:tab/>
        <w:t>There are no statistical methods employed in this collection.</w:t>
      </w:r>
    </w:p>
    <w:p w:rsidR="00976B20" w:rsidRDefault="00976B20" w:rsidP="00AD076E">
      <w:pPr>
        <w:tabs>
          <w:tab w:val="left" w:pos="-1152"/>
          <w:tab w:val="left" w:pos="-720"/>
          <w:tab w:val="left" w:pos="0"/>
          <w:tab w:val="left" w:pos="360"/>
        </w:tabs>
      </w:pPr>
    </w:p>
    <w:sectPr w:rsidR="00976B20" w:rsidSect="007C73D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C0" w:rsidRDefault="000701C0">
      <w:r>
        <w:separator/>
      </w:r>
    </w:p>
  </w:endnote>
  <w:endnote w:type="continuationSeparator" w:id="0">
    <w:p w:rsidR="000701C0" w:rsidRDefault="0007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C0" w:rsidRDefault="000701C0">
    <w:pPr>
      <w:spacing w:line="240" w:lineRule="exact"/>
    </w:pPr>
  </w:p>
  <w:p w:rsidR="000701C0" w:rsidRDefault="001A086A">
    <w:pPr>
      <w:framePr w:w="9361" w:wrap="notBeside" w:vAnchor="text" w:hAnchor="text" w:x="1" w:y="1"/>
      <w:jc w:val="center"/>
    </w:pPr>
    <w:r>
      <w:fldChar w:fldCharType="begin"/>
    </w:r>
    <w:r>
      <w:instrText xml:space="preserve">PAGE </w:instrText>
    </w:r>
    <w:r>
      <w:fldChar w:fldCharType="separate"/>
    </w:r>
    <w:r w:rsidR="00365B12">
      <w:rPr>
        <w:noProof/>
      </w:rPr>
      <w:t>1</w:t>
    </w:r>
    <w:r>
      <w:rPr>
        <w:noProof/>
      </w:rPr>
      <w:fldChar w:fldCharType="end"/>
    </w:r>
  </w:p>
  <w:p w:rsidR="000701C0" w:rsidRDefault="00070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C0" w:rsidRDefault="000701C0">
      <w:r>
        <w:separator/>
      </w:r>
    </w:p>
  </w:footnote>
  <w:footnote w:type="continuationSeparator" w:id="0">
    <w:p w:rsidR="000701C0" w:rsidRDefault="00070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426"/>
    <w:multiLevelType w:val="hybridMultilevel"/>
    <w:tmpl w:val="562A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87091"/>
    <w:multiLevelType w:val="hybridMultilevel"/>
    <w:tmpl w:val="7A7EC41E"/>
    <w:lvl w:ilvl="0" w:tplc="1C900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C5448"/>
    <w:multiLevelType w:val="hybridMultilevel"/>
    <w:tmpl w:val="2142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D3013"/>
    <w:multiLevelType w:val="hybridMultilevel"/>
    <w:tmpl w:val="6C22B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F72F96"/>
    <w:multiLevelType w:val="hybridMultilevel"/>
    <w:tmpl w:val="F0DE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C6436"/>
    <w:multiLevelType w:val="singleLevel"/>
    <w:tmpl w:val="687CBAE0"/>
    <w:lvl w:ilvl="0">
      <w:start w:val="3"/>
      <w:numFmt w:val="upperLetter"/>
      <w:lvlText w:val="%1."/>
      <w:lvlJc w:val="left"/>
      <w:pPr>
        <w:tabs>
          <w:tab w:val="num" w:pos="720"/>
        </w:tabs>
        <w:ind w:left="720" w:hanging="360"/>
      </w:pPr>
      <w:rPr>
        <w:rFonts w:hint="default"/>
      </w:rPr>
    </w:lvl>
  </w:abstractNum>
  <w:abstractNum w:abstractNumId="6">
    <w:nsid w:val="4D980332"/>
    <w:multiLevelType w:val="hybridMultilevel"/>
    <w:tmpl w:val="756AFD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704D4E"/>
    <w:multiLevelType w:val="hybridMultilevel"/>
    <w:tmpl w:val="A26465B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5B613F"/>
    <w:multiLevelType w:val="hybridMultilevel"/>
    <w:tmpl w:val="FAA2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023C85"/>
    <w:multiLevelType w:val="hybridMultilevel"/>
    <w:tmpl w:val="12BAE68A"/>
    <w:lvl w:ilvl="0" w:tplc="1C900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2"/>
  </w:num>
  <w:num w:numId="6">
    <w:abstractNumId w:val="9"/>
  </w:num>
  <w:num w:numId="7">
    <w:abstractNumId w:val="1"/>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28"/>
    <w:rsid w:val="00013339"/>
    <w:rsid w:val="00024416"/>
    <w:rsid w:val="00031E96"/>
    <w:rsid w:val="00051E3B"/>
    <w:rsid w:val="000701C0"/>
    <w:rsid w:val="000A3DF1"/>
    <w:rsid w:val="000C5D9F"/>
    <w:rsid w:val="000F05D3"/>
    <w:rsid w:val="001070B0"/>
    <w:rsid w:val="00117A3C"/>
    <w:rsid w:val="00175933"/>
    <w:rsid w:val="00181890"/>
    <w:rsid w:val="00192048"/>
    <w:rsid w:val="001A086A"/>
    <w:rsid w:val="001A602C"/>
    <w:rsid w:val="001C39F3"/>
    <w:rsid w:val="001C3E78"/>
    <w:rsid w:val="001C5B1A"/>
    <w:rsid w:val="002026DF"/>
    <w:rsid w:val="002154C9"/>
    <w:rsid w:val="00250ABD"/>
    <w:rsid w:val="0025648E"/>
    <w:rsid w:val="00265C63"/>
    <w:rsid w:val="002904B2"/>
    <w:rsid w:val="002F4A1C"/>
    <w:rsid w:val="002F4FA4"/>
    <w:rsid w:val="00301FB9"/>
    <w:rsid w:val="003057EF"/>
    <w:rsid w:val="00324BEA"/>
    <w:rsid w:val="00334B8B"/>
    <w:rsid w:val="0036333A"/>
    <w:rsid w:val="00363815"/>
    <w:rsid w:val="00364768"/>
    <w:rsid w:val="00365B12"/>
    <w:rsid w:val="00380EB9"/>
    <w:rsid w:val="00394B0B"/>
    <w:rsid w:val="003A2F97"/>
    <w:rsid w:val="003B05E9"/>
    <w:rsid w:val="003F209B"/>
    <w:rsid w:val="003F2724"/>
    <w:rsid w:val="00400F0E"/>
    <w:rsid w:val="00410FA3"/>
    <w:rsid w:val="00421318"/>
    <w:rsid w:val="004241E8"/>
    <w:rsid w:val="00475DA8"/>
    <w:rsid w:val="00495FD5"/>
    <w:rsid w:val="004A3C53"/>
    <w:rsid w:val="004B22ED"/>
    <w:rsid w:val="004B743B"/>
    <w:rsid w:val="004D5F16"/>
    <w:rsid w:val="004D648C"/>
    <w:rsid w:val="004E04EA"/>
    <w:rsid w:val="004F1196"/>
    <w:rsid w:val="004F222D"/>
    <w:rsid w:val="004F7CC1"/>
    <w:rsid w:val="005078C8"/>
    <w:rsid w:val="005302E2"/>
    <w:rsid w:val="00555ADA"/>
    <w:rsid w:val="00571D0C"/>
    <w:rsid w:val="005977B5"/>
    <w:rsid w:val="005B1FBC"/>
    <w:rsid w:val="005B6C75"/>
    <w:rsid w:val="005E1AFB"/>
    <w:rsid w:val="005E686F"/>
    <w:rsid w:val="005F08A9"/>
    <w:rsid w:val="005F69BF"/>
    <w:rsid w:val="00604D1F"/>
    <w:rsid w:val="00643B3C"/>
    <w:rsid w:val="00653709"/>
    <w:rsid w:val="00660393"/>
    <w:rsid w:val="006615D0"/>
    <w:rsid w:val="00674151"/>
    <w:rsid w:val="006741C0"/>
    <w:rsid w:val="0068553B"/>
    <w:rsid w:val="006B37D5"/>
    <w:rsid w:val="006B3936"/>
    <w:rsid w:val="006B71FC"/>
    <w:rsid w:val="006C09A2"/>
    <w:rsid w:val="006C65AD"/>
    <w:rsid w:val="006D6D1E"/>
    <w:rsid w:val="00701D68"/>
    <w:rsid w:val="00731F88"/>
    <w:rsid w:val="00754B9C"/>
    <w:rsid w:val="0076762E"/>
    <w:rsid w:val="007A20DD"/>
    <w:rsid w:val="007B712C"/>
    <w:rsid w:val="007C73D5"/>
    <w:rsid w:val="0081245B"/>
    <w:rsid w:val="008125EF"/>
    <w:rsid w:val="00826D69"/>
    <w:rsid w:val="0084620A"/>
    <w:rsid w:val="00854FCC"/>
    <w:rsid w:val="0089493F"/>
    <w:rsid w:val="008A52D0"/>
    <w:rsid w:val="008A536B"/>
    <w:rsid w:val="008B6570"/>
    <w:rsid w:val="008B79AC"/>
    <w:rsid w:val="008C156C"/>
    <w:rsid w:val="008C6C66"/>
    <w:rsid w:val="008E2528"/>
    <w:rsid w:val="008E2EDD"/>
    <w:rsid w:val="008E5BAA"/>
    <w:rsid w:val="008E7718"/>
    <w:rsid w:val="008F2185"/>
    <w:rsid w:val="0090054C"/>
    <w:rsid w:val="00952B43"/>
    <w:rsid w:val="00964AC4"/>
    <w:rsid w:val="00973953"/>
    <w:rsid w:val="00976B20"/>
    <w:rsid w:val="00982EF0"/>
    <w:rsid w:val="009E1930"/>
    <w:rsid w:val="009F1603"/>
    <w:rsid w:val="00A11098"/>
    <w:rsid w:val="00A157C1"/>
    <w:rsid w:val="00A30550"/>
    <w:rsid w:val="00A34548"/>
    <w:rsid w:val="00A6381B"/>
    <w:rsid w:val="00A840AA"/>
    <w:rsid w:val="00A86327"/>
    <w:rsid w:val="00AA1BDA"/>
    <w:rsid w:val="00AC3611"/>
    <w:rsid w:val="00AD076E"/>
    <w:rsid w:val="00AD0820"/>
    <w:rsid w:val="00AF2250"/>
    <w:rsid w:val="00AF62A6"/>
    <w:rsid w:val="00AF7CA1"/>
    <w:rsid w:val="00B02A78"/>
    <w:rsid w:val="00B25C13"/>
    <w:rsid w:val="00B3042C"/>
    <w:rsid w:val="00B36B60"/>
    <w:rsid w:val="00B37850"/>
    <w:rsid w:val="00B55D80"/>
    <w:rsid w:val="00B91F6F"/>
    <w:rsid w:val="00B94550"/>
    <w:rsid w:val="00BA2EF9"/>
    <w:rsid w:val="00BA6506"/>
    <w:rsid w:val="00BD393C"/>
    <w:rsid w:val="00C00600"/>
    <w:rsid w:val="00C165A6"/>
    <w:rsid w:val="00C24EBF"/>
    <w:rsid w:val="00C52F98"/>
    <w:rsid w:val="00C84DB8"/>
    <w:rsid w:val="00C933C3"/>
    <w:rsid w:val="00C95EF3"/>
    <w:rsid w:val="00CA6C01"/>
    <w:rsid w:val="00CA78A8"/>
    <w:rsid w:val="00CD5E44"/>
    <w:rsid w:val="00CE675F"/>
    <w:rsid w:val="00CF7EF3"/>
    <w:rsid w:val="00D018D1"/>
    <w:rsid w:val="00D05BB1"/>
    <w:rsid w:val="00D20E0E"/>
    <w:rsid w:val="00D47F0C"/>
    <w:rsid w:val="00D569F0"/>
    <w:rsid w:val="00D642B6"/>
    <w:rsid w:val="00D80788"/>
    <w:rsid w:val="00D87056"/>
    <w:rsid w:val="00D87F4C"/>
    <w:rsid w:val="00D9143B"/>
    <w:rsid w:val="00D935FF"/>
    <w:rsid w:val="00DA3744"/>
    <w:rsid w:val="00DC227A"/>
    <w:rsid w:val="00DD5629"/>
    <w:rsid w:val="00DF41CC"/>
    <w:rsid w:val="00E00EF8"/>
    <w:rsid w:val="00E014C4"/>
    <w:rsid w:val="00E11944"/>
    <w:rsid w:val="00E642BE"/>
    <w:rsid w:val="00E76DCD"/>
    <w:rsid w:val="00E81911"/>
    <w:rsid w:val="00E9032F"/>
    <w:rsid w:val="00E96B2B"/>
    <w:rsid w:val="00EA03EA"/>
    <w:rsid w:val="00EC78ED"/>
    <w:rsid w:val="00ED238E"/>
    <w:rsid w:val="00F00F8D"/>
    <w:rsid w:val="00F15969"/>
    <w:rsid w:val="00F2279B"/>
    <w:rsid w:val="00F30FC1"/>
    <w:rsid w:val="00F36561"/>
    <w:rsid w:val="00F63CD6"/>
    <w:rsid w:val="00F720C3"/>
    <w:rsid w:val="00FB2AD8"/>
    <w:rsid w:val="00FD02AB"/>
    <w:rsid w:val="00FE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31939">
      <w:bodyDiv w:val="1"/>
      <w:marLeft w:val="0"/>
      <w:marRight w:val="0"/>
      <w:marTop w:val="0"/>
      <w:marBottom w:val="0"/>
      <w:divBdr>
        <w:top w:val="none" w:sz="0" w:space="0" w:color="auto"/>
        <w:left w:val="none" w:sz="0" w:space="0" w:color="auto"/>
        <w:bottom w:val="none" w:sz="0" w:space="0" w:color="auto"/>
        <w:right w:val="none" w:sz="0" w:space="0" w:color="auto"/>
      </w:divBdr>
    </w:div>
    <w:div w:id="456874361">
      <w:bodyDiv w:val="1"/>
      <w:marLeft w:val="0"/>
      <w:marRight w:val="0"/>
      <w:marTop w:val="0"/>
      <w:marBottom w:val="0"/>
      <w:divBdr>
        <w:top w:val="none" w:sz="0" w:space="0" w:color="auto"/>
        <w:left w:val="none" w:sz="0" w:space="0" w:color="auto"/>
        <w:bottom w:val="none" w:sz="0" w:space="0" w:color="auto"/>
        <w:right w:val="none" w:sz="0" w:space="0" w:color="auto"/>
      </w:divBdr>
    </w:div>
    <w:div w:id="651712171">
      <w:bodyDiv w:val="1"/>
      <w:marLeft w:val="0"/>
      <w:marRight w:val="0"/>
      <w:marTop w:val="0"/>
      <w:marBottom w:val="0"/>
      <w:divBdr>
        <w:top w:val="none" w:sz="0" w:space="0" w:color="auto"/>
        <w:left w:val="none" w:sz="0" w:space="0" w:color="auto"/>
        <w:bottom w:val="none" w:sz="0" w:space="0" w:color="auto"/>
        <w:right w:val="none" w:sz="0" w:space="0" w:color="auto"/>
      </w:divBdr>
    </w:div>
    <w:div w:id="1192916921">
      <w:bodyDiv w:val="1"/>
      <w:marLeft w:val="0"/>
      <w:marRight w:val="0"/>
      <w:marTop w:val="0"/>
      <w:marBottom w:val="0"/>
      <w:divBdr>
        <w:top w:val="none" w:sz="0" w:space="0" w:color="auto"/>
        <w:left w:val="none" w:sz="0" w:space="0" w:color="auto"/>
        <w:bottom w:val="none" w:sz="0" w:space="0" w:color="auto"/>
        <w:right w:val="none" w:sz="0" w:space="0" w:color="auto"/>
      </w:divBdr>
    </w:div>
    <w:div w:id="1308245899">
      <w:bodyDiv w:val="1"/>
      <w:marLeft w:val="0"/>
      <w:marRight w:val="0"/>
      <w:marTop w:val="0"/>
      <w:marBottom w:val="0"/>
      <w:divBdr>
        <w:top w:val="none" w:sz="0" w:space="0" w:color="auto"/>
        <w:left w:val="none" w:sz="0" w:space="0" w:color="auto"/>
        <w:bottom w:val="none" w:sz="0" w:space="0" w:color="auto"/>
        <w:right w:val="none" w:sz="0" w:space="0" w:color="auto"/>
      </w:divBdr>
    </w:div>
    <w:div w:id="16875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F81B-1CD8-45C9-9FE3-476C2360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HCFA</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HCFA Software Control</dc:creator>
  <cp:lastModifiedBy>Mitch Bryman</cp:lastModifiedBy>
  <cp:revision>8</cp:revision>
  <cp:lastPrinted>2013-09-17T12:52:00Z</cp:lastPrinted>
  <dcterms:created xsi:type="dcterms:W3CDTF">2013-09-17T12:46:00Z</dcterms:created>
  <dcterms:modified xsi:type="dcterms:W3CDTF">2013-09-17T12:55:00Z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421291649</vt:i4>
  </property>
  <property fmtid="{D5CDD505-2E9C-101B-9397-08002B2CF9AE}" pid="3" name="_NewReviewCycle">
    <vt:lpwstr/>
  </property>
  <property fmtid="{D5CDD505-2E9C-101B-9397-08002B2CF9AE}" pid="4" name="_EmailSubject">
    <vt:lpwstr>HHA CMS-1728 (OCN 0938-0022)</vt:lpwstr>
  </property>
  <property fmtid="{D5CDD505-2E9C-101B-9397-08002B2CF9AE}" pid="5" name="_AuthorEmail">
    <vt:lpwstr>Angela.Havrilla@cms.hhs.gov</vt:lpwstr>
  </property>
  <property fmtid="{D5CDD505-2E9C-101B-9397-08002B2CF9AE}" pid="6" name="_AuthorEmailDisplayName">
    <vt:lpwstr>Havrilla, Angela J. (CMS/CMM)</vt:lpwstr>
  </property>
  <property fmtid="{D5CDD505-2E9C-101B-9397-08002B2CF9AE}" pid="7" name="_PreviousAdHocReviewCycleID">
    <vt:i4>-1956118751</vt:i4>
  </property>
  <property fmtid="{D5CDD505-2E9C-101B-9397-08002B2CF9AE}" pid="8" name="_ReviewingToolsShownOnce">
    <vt:lpwstr/>
  </property>
</Properties>
</file>