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  <w:r>
        <w:t>SUPPORTING STATEMENT</w:t>
      </w: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  <w:r>
        <w:t>Part B</w:t>
      </w: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  <w:r>
        <w:t>Pretest of the Ambulatory Surgery/Procedure Survey on Patient Safety Culture</w:t>
      </w: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  <w:r>
        <w:t xml:space="preserve">Version: </w:t>
      </w:r>
      <w:r w:rsidR="00036019">
        <w:t xml:space="preserve">June </w:t>
      </w:r>
      <w:r w:rsidR="00410EF2">
        <w:t>10</w:t>
      </w:r>
      <w:r>
        <w:t>, 2013</w:t>
      </w: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</w:p>
    <w:p w:rsidR="00D435D6" w:rsidRDefault="00D435D6" w:rsidP="00D435D6">
      <w:pPr>
        <w:jc w:val="center"/>
      </w:pPr>
      <w:r>
        <w:t>Agency for Healthcare Research and Quality (AHRQ)</w:t>
      </w:r>
    </w:p>
    <w:sdt>
      <w:sdtPr>
        <w:id w:val="1253010458"/>
        <w:docPartObj>
          <w:docPartGallery w:val="Cover Pages"/>
          <w:docPartUnique/>
        </w:docPartObj>
      </w:sdtPr>
      <w:sdtContent>
        <w:p w:rsidR="00D435D6" w:rsidRDefault="00D435D6" w:rsidP="00D435D6">
          <w:pPr>
            <w:jc w:val="center"/>
          </w:pPr>
        </w:p>
        <w:p w:rsidR="00D435D6" w:rsidRDefault="00D435D6" w:rsidP="00D435D6">
          <w:pPr>
            <w:jc w:val="center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6"/>
          </w:tblGrid>
          <w:tr w:rsidR="00D435D6">
            <w:tc>
              <w:tcPr>
                <w:tcW w:w="5000" w:type="pct"/>
              </w:tcPr>
              <w:p w:rsidR="00D435D6" w:rsidRDefault="00D435D6" w:rsidP="00D435D6">
                <w:pPr>
                  <w:pStyle w:val="NoSpacing"/>
                  <w:jc w:val="center"/>
                </w:pPr>
              </w:p>
            </w:tc>
          </w:tr>
        </w:tbl>
        <w:p w:rsidR="00D435D6" w:rsidRDefault="00D435D6" w:rsidP="00D435D6">
          <w:pPr>
            <w:jc w:val="center"/>
          </w:pPr>
        </w:p>
        <w:p w:rsidR="00D435D6" w:rsidRDefault="00D435D6" w:rsidP="00D435D6">
          <w:pPr>
            <w:jc w:val="center"/>
            <w:rPr>
              <w:rFonts w:eastAsiaTheme="majorEastAsia"/>
              <w:b/>
              <w:bCs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highlight w:val="yellow"/>
        </w:rPr>
        <w:id w:val="26770410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6343A5" w:rsidRPr="00142249" w:rsidRDefault="006343A5" w:rsidP="0034349B">
          <w:pPr>
            <w:pStyle w:val="TOCHeading"/>
            <w:spacing w:after="240"/>
            <w:rPr>
              <w:rFonts w:ascii="Times New Roman" w:hAnsi="Times New Roman" w:cs="Times New Roman"/>
            </w:rPr>
          </w:pPr>
          <w:r w:rsidRPr="00142249">
            <w:rPr>
              <w:rFonts w:ascii="Times New Roman" w:hAnsi="Times New Roman" w:cs="Times New Roman"/>
            </w:rPr>
            <w:t>Table of Contents</w:t>
          </w:r>
        </w:p>
        <w:p w:rsidR="00DE3813" w:rsidRDefault="000446A4">
          <w:pPr>
            <w:pStyle w:val="TOC1"/>
            <w:tabs>
              <w:tab w:val="right" w:leader="dot" w:pos="9350"/>
            </w:tabs>
            <w:rPr>
              <w:noProof/>
            </w:rPr>
          </w:pPr>
          <w:r w:rsidRPr="000446A4">
            <w:rPr>
              <w:rFonts w:ascii="Times New Roman" w:hAnsi="Times New Roman" w:cs="Times New Roman"/>
            </w:rPr>
            <w:fldChar w:fldCharType="begin"/>
          </w:r>
          <w:r w:rsidR="006343A5" w:rsidRPr="008660C4">
            <w:rPr>
              <w:rFonts w:ascii="Times New Roman" w:hAnsi="Times New Roman" w:cs="Times New Roman"/>
            </w:rPr>
            <w:instrText xml:space="preserve"> TOC \o "1-3" \h \z \u </w:instrText>
          </w:r>
          <w:r w:rsidRPr="000446A4">
            <w:rPr>
              <w:rFonts w:ascii="Times New Roman" w:hAnsi="Times New Roman" w:cs="Times New Roman"/>
            </w:rPr>
            <w:fldChar w:fldCharType="separate"/>
          </w:r>
          <w:hyperlink w:anchor="_Toc351024110" w:history="1">
            <w:r w:rsidR="00DE3813" w:rsidRPr="00C16B2A">
              <w:rPr>
                <w:rStyle w:val="Hyperlink"/>
                <w:noProof/>
              </w:rPr>
              <w:t xml:space="preserve">B. STATISTICAL </w:t>
            </w:r>
            <w:r w:rsidR="00DE3813" w:rsidRPr="00AF2D9E">
              <w:rPr>
                <w:rStyle w:val="Hyperlink"/>
                <w:rFonts w:cs="Times New Roman"/>
                <w:noProof/>
              </w:rPr>
              <w:t>METHODS</w:t>
            </w:r>
            <w:r w:rsidR="00DE38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3813">
              <w:rPr>
                <w:noProof/>
                <w:webHidden/>
              </w:rPr>
              <w:instrText xml:space="preserve"> PAGEREF _Toc351024110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6A9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3813" w:rsidRDefault="000446A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51024111" w:history="1">
            <w:r w:rsidR="00DE3813" w:rsidRPr="00C16B2A">
              <w:rPr>
                <w:rStyle w:val="Hyperlink"/>
                <w:noProof/>
              </w:rPr>
              <w:t>1.  Potential Respondent Universe and Sample Selection Method</w:t>
            </w:r>
            <w:r w:rsidR="00DE38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3813">
              <w:rPr>
                <w:noProof/>
                <w:webHidden/>
              </w:rPr>
              <w:instrText xml:space="preserve"> PAGEREF _Toc351024111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6A9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3813" w:rsidRDefault="000446A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51024112" w:history="1">
            <w:r w:rsidR="00DE3813" w:rsidRPr="00C16B2A">
              <w:rPr>
                <w:rStyle w:val="Hyperlink"/>
                <w:noProof/>
              </w:rPr>
              <w:t>2.  Information Collection Procedures</w:t>
            </w:r>
            <w:r w:rsidR="00DE38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3813">
              <w:rPr>
                <w:noProof/>
                <w:webHidden/>
              </w:rPr>
              <w:instrText xml:space="preserve"> PAGEREF _Toc351024112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6A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3813" w:rsidRDefault="000446A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51024113" w:history="1">
            <w:r w:rsidR="00DE3813" w:rsidRPr="00C16B2A">
              <w:rPr>
                <w:rStyle w:val="Hyperlink"/>
                <w:noProof/>
              </w:rPr>
              <w:t>3.  Methods to Maximize Response Rate</w:t>
            </w:r>
            <w:r w:rsidR="00DE38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3813">
              <w:rPr>
                <w:noProof/>
                <w:webHidden/>
              </w:rPr>
              <w:instrText xml:space="preserve"> PAGEREF _Toc351024113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6A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3813" w:rsidRDefault="000446A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51024114" w:history="1">
            <w:r w:rsidR="00DE3813" w:rsidRPr="00C16B2A">
              <w:rPr>
                <w:rStyle w:val="Hyperlink"/>
                <w:noProof/>
              </w:rPr>
              <w:t>4.  Tests of Procedures</w:t>
            </w:r>
            <w:r w:rsidR="00DE38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3813">
              <w:rPr>
                <w:noProof/>
                <w:webHidden/>
              </w:rPr>
              <w:instrText xml:space="preserve"> PAGEREF _Toc351024114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6A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3813" w:rsidRDefault="000446A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51024115" w:history="1">
            <w:r w:rsidR="00DE3813" w:rsidRPr="00C16B2A">
              <w:rPr>
                <w:rStyle w:val="Hyperlink"/>
                <w:noProof/>
              </w:rPr>
              <w:t>5.  Statistical Consultation and Independent Review</w:t>
            </w:r>
            <w:r w:rsidR="00DE381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E3813">
              <w:rPr>
                <w:noProof/>
                <w:webHidden/>
              </w:rPr>
              <w:instrText xml:space="preserve"> PAGEREF _Toc351024115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6A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43A5" w:rsidRPr="008660C4" w:rsidRDefault="000446A4" w:rsidP="006343A5">
          <w:pPr>
            <w:rPr>
              <w:highlight w:val="yellow"/>
            </w:rPr>
          </w:pPr>
          <w:r w:rsidRPr="008660C4">
            <w:fldChar w:fldCharType="end"/>
          </w:r>
        </w:p>
      </w:sdtContent>
    </w:sdt>
    <w:p w:rsidR="006343A5" w:rsidRPr="00651462" w:rsidRDefault="006343A5" w:rsidP="006343A5">
      <w:pPr>
        <w:spacing w:after="200" w:line="276" w:lineRule="auto"/>
        <w:rPr>
          <w:b/>
          <w:szCs w:val="24"/>
          <w:highlight w:val="yellow"/>
        </w:rPr>
      </w:pPr>
      <w:bookmarkStart w:id="0" w:name="_GoBack"/>
      <w:bookmarkEnd w:id="0"/>
      <w:r w:rsidRPr="00651462">
        <w:rPr>
          <w:b/>
          <w:szCs w:val="24"/>
          <w:highlight w:val="yellow"/>
        </w:rPr>
        <w:br w:type="page"/>
      </w:r>
    </w:p>
    <w:p w:rsidR="006343A5" w:rsidRPr="00687002" w:rsidRDefault="00942CDF" w:rsidP="006343A5">
      <w:pPr>
        <w:pStyle w:val="Heading1"/>
        <w:rPr>
          <w:szCs w:val="24"/>
        </w:rPr>
      </w:pPr>
      <w:bookmarkStart w:id="1" w:name="_Toc351024110"/>
      <w:r>
        <w:rPr>
          <w:szCs w:val="24"/>
        </w:rPr>
        <w:lastRenderedPageBreak/>
        <w:t xml:space="preserve">B. </w:t>
      </w:r>
      <w:r w:rsidR="006343A5" w:rsidRPr="00687002">
        <w:rPr>
          <w:szCs w:val="24"/>
        </w:rPr>
        <w:t>STATISTICAL METHODS</w:t>
      </w:r>
      <w:bookmarkEnd w:id="1"/>
    </w:p>
    <w:p w:rsidR="006343A5" w:rsidRPr="00687002" w:rsidRDefault="006343A5" w:rsidP="006343A5">
      <w:pPr>
        <w:rPr>
          <w:szCs w:val="24"/>
        </w:rPr>
      </w:pPr>
    </w:p>
    <w:p w:rsidR="006343A5" w:rsidRPr="00687002" w:rsidRDefault="00942CDF" w:rsidP="006B11D0">
      <w:pPr>
        <w:pStyle w:val="Heading2"/>
      </w:pPr>
      <w:bookmarkStart w:id="2" w:name="_Toc351024111"/>
      <w:r>
        <w:t xml:space="preserve">1. </w:t>
      </w:r>
      <w:r w:rsidR="000731A0">
        <w:t xml:space="preserve"> </w:t>
      </w:r>
      <w:r w:rsidR="006343A5" w:rsidRPr="00687002">
        <w:t xml:space="preserve">Respondent </w:t>
      </w:r>
      <w:r w:rsidR="00F613BE">
        <w:t xml:space="preserve">Universe </w:t>
      </w:r>
      <w:r w:rsidR="006343A5" w:rsidRPr="00687002">
        <w:t xml:space="preserve">and </w:t>
      </w:r>
      <w:bookmarkEnd w:id="2"/>
      <w:r w:rsidR="00F613BE">
        <w:t>S</w:t>
      </w:r>
      <w:r w:rsidR="00FD2EE0">
        <w:t xml:space="preserve">ampling </w:t>
      </w:r>
      <w:r w:rsidR="00F613BE">
        <w:t>M</w:t>
      </w:r>
      <w:r w:rsidR="00FD2EE0">
        <w:t>ethods</w:t>
      </w:r>
    </w:p>
    <w:p w:rsidR="006343A5" w:rsidRPr="004734D9" w:rsidRDefault="006343A5" w:rsidP="006343A5">
      <w:pPr>
        <w:rPr>
          <w:szCs w:val="24"/>
        </w:rPr>
      </w:pPr>
    </w:p>
    <w:p w:rsidR="006343A5" w:rsidRPr="004A608D" w:rsidRDefault="000224E1" w:rsidP="004A608D">
      <w:pPr>
        <w:ind w:firstLine="360"/>
        <w:rPr>
          <w:b/>
          <w:szCs w:val="24"/>
        </w:rPr>
      </w:pPr>
      <w:r>
        <w:rPr>
          <w:b/>
          <w:szCs w:val="24"/>
        </w:rPr>
        <w:t>Ambulatory Surgery</w:t>
      </w:r>
      <w:r w:rsidR="00D435D6">
        <w:rPr>
          <w:b/>
          <w:szCs w:val="24"/>
        </w:rPr>
        <w:t>/Procedure</w:t>
      </w:r>
      <w:r w:rsidR="006343A5" w:rsidRPr="004A608D">
        <w:rPr>
          <w:b/>
          <w:szCs w:val="24"/>
        </w:rPr>
        <w:t xml:space="preserve"> </w:t>
      </w:r>
      <w:r w:rsidR="00096326" w:rsidRPr="004A608D">
        <w:rPr>
          <w:b/>
          <w:szCs w:val="24"/>
        </w:rPr>
        <w:t>S</w:t>
      </w:r>
      <w:r w:rsidR="006343A5" w:rsidRPr="004A608D">
        <w:rPr>
          <w:b/>
          <w:szCs w:val="24"/>
        </w:rPr>
        <w:t>urvey</w:t>
      </w:r>
      <w:r w:rsidR="003576F7">
        <w:rPr>
          <w:b/>
          <w:szCs w:val="24"/>
        </w:rPr>
        <w:t xml:space="preserve"> on Patient Safety Culture</w:t>
      </w:r>
    </w:p>
    <w:p w:rsidR="006343A5" w:rsidRDefault="006343A5" w:rsidP="006343A5">
      <w:pPr>
        <w:ind w:left="360"/>
        <w:rPr>
          <w:szCs w:val="24"/>
        </w:rPr>
      </w:pPr>
    </w:p>
    <w:p w:rsidR="00B70F08" w:rsidRDefault="00B70F08" w:rsidP="00B70F08">
      <w:pPr>
        <w:ind w:left="360"/>
        <w:rPr>
          <w:szCs w:val="24"/>
        </w:rPr>
      </w:pPr>
      <w:proofErr w:type="gramStart"/>
      <w:r w:rsidRPr="00820A6C">
        <w:rPr>
          <w:b/>
          <w:szCs w:val="24"/>
        </w:rPr>
        <w:t xml:space="preserve">Cognitive </w:t>
      </w:r>
      <w:r w:rsidRPr="00EE24AC">
        <w:rPr>
          <w:b/>
          <w:szCs w:val="24"/>
        </w:rPr>
        <w:t>Interview</w:t>
      </w:r>
      <w:r>
        <w:rPr>
          <w:b/>
          <w:szCs w:val="24"/>
        </w:rPr>
        <w:t>s</w:t>
      </w:r>
      <w:r w:rsidR="00112557">
        <w:rPr>
          <w:b/>
          <w:szCs w:val="24"/>
        </w:rPr>
        <w:t>.</w:t>
      </w:r>
      <w:proofErr w:type="gramEnd"/>
      <w:r w:rsidR="00112557">
        <w:rPr>
          <w:b/>
          <w:szCs w:val="24"/>
        </w:rPr>
        <w:t xml:space="preserve">  </w:t>
      </w:r>
      <w:r w:rsidR="00E258C4">
        <w:rPr>
          <w:szCs w:val="24"/>
        </w:rPr>
        <w:t xml:space="preserve">Cognitive interviews will be done on the draft </w:t>
      </w:r>
      <w:r w:rsidR="000224E1">
        <w:rPr>
          <w:szCs w:val="24"/>
        </w:rPr>
        <w:t>Ambulatory Surgery SOPS</w:t>
      </w:r>
      <w:r w:rsidR="00C430A3">
        <w:rPr>
          <w:szCs w:val="24"/>
        </w:rPr>
        <w:t xml:space="preserve"> </w:t>
      </w:r>
      <w:r w:rsidR="00E258C4">
        <w:rPr>
          <w:szCs w:val="24"/>
        </w:rPr>
        <w:t xml:space="preserve">before larger-scale pretesting is done. </w:t>
      </w:r>
      <w:r w:rsidR="00E66AE1">
        <w:rPr>
          <w:szCs w:val="24"/>
        </w:rPr>
        <w:t>Fifteen</w:t>
      </w:r>
      <w:r w:rsidRPr="00EE24AC">
        <w:rPr>
          <w:szCs w:val="24"/>
        </w:rPr>
        <w:t xml:space="preserve"> cognitive interview participants will be selected from </w:t>
      </w:r>
      <w:r w:rsidR="000224E1">
        <w:rPr>
          <w:szCs w:val="24"/>
        </w:rPr>
        <w:t>ambulatory surgical or procedure centers (ASCs)</w:t>
      </w:r>
      <w:r w:rsidRPr="00EE24AC">
        <w:rPr>
          <w:szCs w:val="24"/>
        </w:rPr>
        <w:t xml:space="preserve"> that will vary by type, size and geographic location. We will use participant recruitment methods such as sending research participation flyers to </w:t>
      </w:r>
      <w:r w:rsidR="000224E1">
        <w:rPr>
          <w:szCs w:val="24"/>
        </w:rPr>
        <w:t>ASCs</w:t>
      </w:r>
      <w:r w:rsidRPr="00EE24AC">
        <w:rPr>
          <w:szCs w:val="24"/>
        </w:rPr>
        <w:t xml:space="preserve">. Sites will be identified through </w:t>
      </w:r>
      <w:r>
        <w:rPr>
          <w:szCs w:val="24"/>
        </w:rPr>
        <w:t>Health Research &amp; Educational Trust (</w:t>
      </w:r>
      <w:r w:rsidRPr="00EE24AC">
        <w:rPr>
          <w:szCs w:val="24"/>
        </w:rPr>
        <w:t>HRET</w:t>
      </w:r>
      <w:r>
        <w:rPr>
          <w:szCs w:val="24"/>
        </w:rPr>
        <w:t>)</w:t>
      </w:r>
      <w:r w:rsidR="000224E1">
        <w:rPr>
          <w:szCs w:val="24"/>
        </w:rPr>
        <w:t xml:space="preserve">, </w:t>
      </w:r>
      <w:r w:rsidRPr="00EE24AC">
        <w:rPr>
          <w:szCs w:val="24"/>
        </w:rPr>
        <w:t>recommend</w:t>
      </w:r>
      <w:r w:rsidR="00B30277">
        <w:rPr>
          <w:szCs w:val="24"/>
        </w:rPr>
        <w:t>ations by Technical Expert P</w:t>
      </w:r>
      <w:r w:rsidRPr="00EE24AC">
        <w:rPr>
          <w:szCs w:val="24"/>
        </w:rPr>
        <w:t>anel members or their affiliated organizations</w:t>
      </w:r>
      <w:r w:rsidR="000224E1">
        <w:rPr>
          <w:szCs w:val="24"/>
        </w:rPr>
        <w:t xml:space="preserve">, and local recruitment in </w:t>
      </w:r>
      <w:r w:rsidR="00B30277">
        <w:rPr>
          <w:szCs w:val="24"/>
        </w:rPr>
        <w:t xml:space="preserve">the </w:t>
      </w:r>
      <w:r w:rsidR="000224E1">
        <w:rPr>
          <w:szCs w:val="24"/>
        </w:rPr>
        <w:t>Rockville, MD region</w:t>
      </w:r>
      <w:r w:rsidRPr="00EE24AC">
        <w:rPr>
          <w:szCs w:val="24"/>
        </w:rPr>
        <w:t xml:space="preserve">. </w:t>
      </w:r>
      <w:r w:rsidR="00D93124">
        <w:rPr>
          <w:szCs w:val="24"/>
        </w:rPr>
        <w:t>W</w:t>
      </w:r>
      <w:r w:rsidRPr="00F61AD9">
        <w:rPr>
          <w:szCs w:val="24"/>
        </w:rPr>
        <w:t xml:space="preserve">e aim to </w:t>
      </w:r>
      <w:r w:rsidR="00E258C4">
        <w:rPr>
          <w:szCs w:val="24"/>
        </w:rPr>
        <w:t>conduct cognitive testing with</w:t>
      </w:r>
      <w:r w:rsidRPr="00F61AD9">
        <w:rPr>
          <w:szCs w:val="24"/>
        </w:rPr>
        <w:t xml:space="preserve"> 3 </w:t>
      </w:r>
      <w:r w:rsidR="00E66AE1">
        <w:rPr>
          <w:szCs w:val="24"/>
        </w:rPr>
        <w:t>physicians, 6</w:t>
      </w:r>
      <w:r w:rsidR="00D93124">
        <w:rPr>
          <w:szCs w:val="24"/>
        </w:rPr>
        <w:t xml:space="preserve"> nurses, </w:t>
      </w:r>
      <w:r w:rsidR="00E66AE1">
        <w:rPr>
          <w:szCs w:val="24"/>
        </w:rPr>
        <w:t>two</w:t>
      </w:r>
      <w:r w:rsidR="00D93124">
        <w:rPr>
          <w:szCs w:val="24"/>
        </w:rPr>
        <w:t xml:space="preserve"> medical technician</w:t>
      </w:r>
      <w:r w:rsidR="00E66AE1">
        <w:rPr>
          <w:szCs w:val="24"/>
        </w:rPr>
        <w:t>s</w:t>
      </w:r>
      <w:r w:rsidR="00D93124">
        <w:rPr>
          <w:szCs w:val="24"/>
        </w:rPr>
        <w:t xml:space="preserve">, </w:t>
      </w:r>
      <w:r w:rsidR="00E66AE1">
        <w:rPr>
          <w:szCs w:val="24"/>
        </w:rPr>
        <w:t>two</w:t>
      </w:r>
      <w:r w:rsidR="00D93124">
        <w:rPr>
          <w:szCs w:val="24"/>
        </w:rPr>
        <w:t xml:space="preserve"> administrative manager</w:t>
      </w:r>
      <w:r w:rsidR="00E66AE1">
        <w:rPr>
          <w:szCs w:val="24"/>
        </w:rPr>
        <w:t>s</w:t>
      </w:r>
      <w:r w:rsidR="00D93124">
        <w:rPr>
          <w:szCs w:val="24"/>
        </w:rPr>
        <w:t xml:space="preserve">, and </w:t>
      </w:r>
      <w:r w:rsidR="00E66AE1">
        <w:rPr>
          <w:szCs w:val="24"/>
        </w:rPr>
        <w:t>two</w:t>
      </w:r>
      <w:r w:rsidR="00D93124">
        <w:rPr>
          <w:szCs w:val="24"/>
        </w:rPr>
        <w:t xml:space="preserve"> administrative assistant</w:t>
      </w:r>
      <w:r w:rsidR="00E66AE1">
        <w:rPr>
          <w:szCs w:val="24"/>
        </w:rPr>
        <w:t>s</w:t>
      </w:r>
      <w:r w:rsidRPr="00F61AD9">
        <w:rPr>
          <w:szCs w:val="24"/>
        </w:rPr>
        <w:t xml:space="preserve">. </w:t>
      </w:r>
    </w:p>
    <w:p w:rsidR="006343A5" w:rsidRDefault="006343A5" w:rsidP="006343A5">
      <w:pPr>
        <w:rPr>
          <w:szCs w:val="24"/>
          <w:highlight w:val="yellow"/>
        </w:rPr>
      </w:pPr>
    </w:p>
    <w:p w:rsidR="006343A5" w:rsidRPr="00651462" w:rsidRDefault="006343A5" w:rsidP="006343A5">
      <w:pPr>
        <w:ind w:left="360"/>
        <w:rPr>
          <w:szCs w:val="24"/>
          <w:highlight w:val="yellow"/>
        </w:rPr>
      </w:pPr>
      <w:r>
        <w:rPr>
          <w:b/>
          <w:szCs w:val="24"/>
        </w:rPr>
        <w:t>Pretest</w:t>
      </w:r>
      <w:r w:rsidRPr="00687002">
        <w:rPr>
          <w:b/>
          <w:szCs w:val="24"/>
        </w:rPr>
        <w:t xml:space="preserve"> Study Sample</w:t>
      </w:r>
      <w:r w:rsidR="00112557">
        <w:rPr>
          <w:b/>
          <w:szCs w:val="24"/>
        </w:rPr>
        <w:t>.</w:t>
      </w:r>
      <w:r w:rsidR="00B70F08">
        <w:rPr>
          <w:b/>
          <w:szCs w:val="24"/>
        </w:rPr>
        <w:t xml:space="preserve"> </w:t>
      </w:r>
      <w:r w:rsidR="00112557">
        <w:rPr>
          <w:b/>
          <w:szCs w:val="24"/>
        </w:rPr>
        <w:t xml:space="preserve"> </w:t>
      </w:r>
      <w:r w:rsidR="00D93124">
        <w:rPr>
          <w:szCs w:val="24"/>
        </w:rPr>
        <w:t>The purpose</w:t>
      </w:r>
      <w:r w:rsidRPr="00687002">
        <w:rPr>
          <w:szCs w:val="24"/>
        </w:rPr>
        <w:t xml:space="preserve"> of the </w:t>
      </w:r>
      <w:r w:rsidR="00E258C4">
        <w:rPr>
          <w:szCs w:val="24"/>
        </w:rPr>
        <w:t xml:space="preserve">larger scale </w:t>
      </w:r>
      <w:r w:rsidR="0057768C">
        <w:rPr>
          <w:szCs w:val="24"/>
        </w:rPr>
        <w:t xml:space="preserve">pretest </w:t>
      </w:r>
      <w:r w:rsidRPr="00687002">
        <w:rPr>
          <w:szCs w:val="24"/>
        </w:rPr>
        <w:t xml:space="preserve">sample design are two-fold: 1) to obtain enough </w:t>
      </w:r>
      <w:r w:rsidR="005C53E2">
        <w:rPr>
          <w:szCs w:val="24"/>
        </w:rPr>
        <w:t>pretest</w:t>
      </w:r>
      <w:r w:rsidRPr="00687002">
        <w:rPr>
          <w:szCs w:val="24"/>
        </w:rPr>
        <w:t xml:space="preserve"> data at the </w:t>
      </w:r>
      <w:r w:rsidR="00D93124">
        <w:rPr>
          <w:szCs w:val="24"/>
        </w:rPr>
        <w:t>ambulatory surgery</w:t>
      </w:r>
      <w:r w:rsidRPr="00687002">
        <w:rPr>
          <w:szCs w:val="24"/>
        </w:rPr>
        <w:t xml:space="preserve"> site level and individual respondent</w:t>
      </w:r>
      <w:r w:rsidR="00E66AE1">
        <w:rPr>
          <w:szCs w:val="24"/>
        </w:rPr>
        <w:t xml:space="preserve"> level to allow for sufficient </w:t>
      </w:r>
      <w:r w:rsidR="009D1B4D" w:rsidRPr="009D1B4D">
        <w:rPr>
          <w:szCs w:val="24"/>
        </w:rPr>
        <w:t>sample size</w:t>
      </w:r>
      <w:r w:rsidR="00173F0C" w:rsidRPr="00687002">
        <w:rPr>
          <w:szCs w:val="24"/>
        </w:rPr>
        <w:t xml:space="preserve"> </w:t>
      </w:r>
      <w:r w:rsidRPr="00687002">
        <w:rPr>
          <w:szCs w:val="24"/>
        </w:rPr>
        <w:t xml:space="preserve">to examine the multilevel psychometric properties of the </w:t>
      </w:r>
      <w:r w:rsidR="00D93124">
        <w:rPr>
          <w:szCs w:val="24"/>
        </w:rPr>
        <w:t>survey</w:t>
      </w:r>
      <w:r w:rsidR="0057768C">
        <w:rPr>
          <w:szCs w:val="24"/>
        </w:rPr>
        <w:t xml:space="preserve"> (item nonresponse, item response variability, factor structure, reliability and construct validity)</w:t>
      </w:r>
      <w:r w:rsidRPr="00687002">
        <w:rPr>
          <w:szCs w:val="24"/>
        </w:rPr>
        <w:t xml:space="preserve">, and 2) to include </w:t>
      </w:r>
      <w:r w:rsidR="0057768C">
        <w:rPr>
          <w:szCs w:val="24"/>
        </w:rPr>
        <w:t xml:space="preserve">a variety of </w:t>
      </w:r>
      <w:r w:rsidR="00D93124">
        <w:rPr>
          <w:szCs w:val="24"/>
        </w:rPr>
        <w:t>ASCs</w:t>
      </w:r>
      <w:r w:rsidRPr="00687002">
        <w:rPr>
          <w:szCs w:val="24"/>
        </w:rPr>
        <w:t xml:space="preserve"> that vary </w:t>
      </w:r>
      <w:r>
        <w:rPr>
          <w:szCs w:val="24"/>
        </w:rPr>
        <w:t xml:space="preserve">by </w:t>
      </w:r>
      <w:r w:rsidR="00D93124">
        <w:rPr>
          <w:szCs w:val="24"/>
        </w:rPr>
        <w:t>specialty</w:t>
      </w:r>
      <w:r w:rsidRPr="00404CAE">
        <w:rPr>
          <w:szCs w:val="24"/>
        </w:rPr>
        <w:t xml:space="preserve"> </w:t>
      </w:r>
      <w:r>
        <w:rPr>
          <w:szCs w:val="24"/>
        </w:rPr>
        <w:t>and size,</w:t>
      </w:r>
      <w:r w:rsidRPr="00404CAE">
        <w:rPr>
          <w:szCs w:val="24"/>
        </w:rPr>
        <w:t xml:space="preserve"> as well as</w:t>
      </w:r>
      <w:r w:rsidR="0022455D">
        <w:rPr>
          <w:szCs w:val="24"/>
        </w:rPr>
        <w:t xml:space="preserve"> </w:t>
      </w:r>
      <w:r w:rsidRPr="00404CAE">
        <w:rPr>
          <w:szCs w:val="24"/>
        </w:rPr>
        <w:t>geographic region</w:t>
      </w:r>
      <w:r>
        <w:rPr>
          <w:szCs w:val="24"/>
        </w:rPr>
        <w:t>.</w:t>
      </w:r>
    </w:p>
    <w:p w:rsidR="006343A5" w:rsidRDefault="006343A5" w:rsidP="006343A5">
      <w:pPr>
        <w:ind w:left="360"/>
        <w:rPr>
          <w:szCs w:val="24"/>
        </w:rPr>
      </w:pPr>
    </w:p>
    <w:p w:rsidR="0022455D" w:rsidRDefault="00A15061" w:rsidP="006343A5">
      <w:pPr>
        <w:ind w:left="360"/>
        <w:rPr>
          <w:szCs w:val="24"/>
        </w:rPr>
      </w:pPr>
      <w:r>
        <w:rPr>
          <w:szCs w:val="24"/>
        </w:rPr>
        <w:t>Since the goals for the data are to examine the psychometric properties of the survey, not to produce national estimates, p</w:t>
      </w:r>
      <w:r w:rsidR="006343A5" w:rsidRPr="008E5B7C">
        <w:rPr>
          <w:szCs w:val="24"/>
        </w:rPr>
        <w:t>urposive sampling will be used</w:t>
      </w:r>
      <w:r>
        <w:rPr>
          <w:szCs w:val="24"/>
        </w:rPr>
        <w:t>. Purposive sampling will</w:t>
      </w:r>
      <w:r w:rsidR="006343A5" w:rsidRPr="008E5B7C">
        <w:rPr>
          <w:szCs w:val="24"/>
        </w:rPr>
        <w:t xml:space="preserve"> en</w:t>
      </w:r>
      <w:r>
        <w:rPr>
          <w:szCs w:val="24"/>
        </w:rPr>
        <w:t>sure adequate variability on</w:t>
      </w:r>
      <w:r w:rsidR="006343A5" w:rsidRPr="008E5B7C">
        <w:rPr>
          <w:szCs w:val="24"/>
        </w:rPr>
        <w:t xml:space="preserve"> </w:t>
      </w:r>
      <w:r>
        <w:rPr>
          <w:szCs w:val="24"/>
        </w:rPr>
        <w:t>important</w:t>
      </w:r>
      <w:r w:rsidR="006343A5" w:rsidRPr="008E5B7C">
        <w:rPr>
          <w:szCs w:val="24"/>
        </w:rPr>
        <w:t xml:space="preserve"> </w:t>
      </w:r>
      <w:r w:rsidR="007877AC">
        <w:rPr>
          <w:szCs w:val="24"/>
        </w:rPr>
        <w:t>ASC</w:t>
      </w:r>
      <w:r w:rsidR="006343A5" w:rsidRPr="008E5B7C">
        <w:rPr>
          <w:szCs w:val="24"/>
        </w:rPr>
        <w:t xml:space="preserve"> characteristics given the small number of </w:t>
      </w:r>
      <w:r w:rsidR="007877AC">
        <w:rPr>
          <w:szCs w:val="24"/>
        </w:rPr>
        <w:t>sites</w:t>
      </w:r>
      <w:r w:rsidR="006343A5" w:rsidRPr="008E5B7C">
        <w:rPr>
          <w:szCs w:val="24"/>
        </w:rPr>
        <w:t xml:space="preserve"> in the </w:t>
      </w:r>
      <w:r w:rsidR="00E13B26">
        <w:rPr>
          <w:szCs w:val="24"/>
        </w:rPr>
        <w:t>pretest</w:t>
      </w:r>
      <w:r w:rsidR="006343A5" w:rsidRPr="008E5B7C">
        <w:rPr>
          <w:szCs w:val="24"/>
        </w:rPr>
        <w:t>.</w:t>
      </w:r>
    </w:p>
    <w:p w:rsidR="00A15061" w:rsidRDefault="00A15061" w:rsidP="006343A5">
      <w:pPr>
        <w:ind w:left="360"/>
        <w:rPr>
          <w:szCs w:val="24"/>
        </w:rPr>
      </w:pPr>
    </w:p>
    <w:p w:rsidR="006343A5" w:rsidRPr="008E5B7C" w:rsidRDefault="00B30277" w:rsidP="006343A5">
      <w:pPr>
        <w:ind w:left="360"/>
        <w:rPr>
          <w:szCs w:val="24"/>
        </w:rPr>
      </w:pPr>
      <w:r>
        <w:rPr>
          <w:szCs w:val="24"/>
        </w:rPr>
        <w:t>Anticipating that the survey</w:t>
      </w:r>
      <w:r w:rsidR="0022455D" w:rsidRPr="0022455D">
        <w:rPr>
          <w:szCs w:val="24"/>
        </w:rPr>
        <w:t xml:space="preserve"> will have about 50 items, for psychometric and factor analysis p</w:t>
      </w:r>
      <w:r w:rsidR="007877AC">
        <w:rPr>
          <w:szCs w:val="24"/>
        </w:rPr>
        <w:t>urposes we will need at least 1</w:t>
      </w:r>
      <w:r w:rsidR="00E66AE1">
        <w:rPr>
          <w:szCs w:val="24"/>
        </w:rPr>
        <w:t>3</w:t>
      </w:r>
      <w:r w:rsidR="0022455D" w:rsidRPr="0022455D">
        <w:rPr>
          <w:szCs w:val="24"/>
        </w:rPr>
        <w:t xml:space="preserve"> respondents for every item included in the survey, or </w:t>
      </w:r>
      <w:r w:rsidR="0022455D">
        <w:rPr>
          <w:szCs w:val="24"/>
        </w:rPr>
        <w:t xml:space="preserve">at least </w:t>
      </w:r>
      <w:r w:rsidR="00B80DD1">
        <w:rPr>
          <w:szCs w:val="24"/>
        </w:rPr>
        <w:t>52</w:t>
      </w:r>
      <w:r w:rsidR="00636728">
        <w:rPr>
          <w:szCs w:val="24"/>
        </w:rPr>
        <w:t>9</w:t>
      </w:r>
      <w:r w:rsidR="0022455D" w:rsidRPr="0022455D">
        <w:rPr>
          <w:szCs w:val="24"/>
        </w:rPr>
        <w:t xml:space="preserve"> total respondents.</w:t>
      </w:r>
      <w:r w:rsidR="0022455D">
        <w:rPr>
          <w:szCs w:val="24"/>
        </w:rPr>
        <w:t xml:space="preserve"> In addition, to conduct analyses at the site level, we need at least 40 sites per survey. </w:t>
      </w:r>
      <w:r w:rsidR="00A15061">
        <w:rPr>
          <w:szCs w:val="24"/>
        </w:rPr>
        <w:t>The number of sites and number of individuals sampled were determined by these criteria.</w:t>
      </w:r>
    </w:p>
    <w:p w:rsidR="006343A5" w:rsidRDefault="006343A5" w:rsidP="006343A5">
      <w:pPr>
        <w:ind w:left="360"/>
        <w:rPr>
          <w:szCs w:val="24"/>
          <w:highlight w:val="yellow"/>
        </w:rPr>
      </w:pPr>
    </w:p>
    <w:p w:rsidR="00A15061" w:rsidRDefault="005C53E2" w:rsidP="006343A5">
      <w:pPr>
        <w:ind w:left="360"/>
        <w:rPr>
          <w:szCs w:val="24"/>
        </w:rPr>
      </w:pPr>
      <w:r>
        <w:rPr>
          <w:b/>
          <w:szCs w:val="24"/>
        </w:rPr>
        <w:t>Pretest</w:t>
      </w:r>
      <w:r w:rsidR="00B80DD1">
        <w:rPr>
          <w:b/>
          <w:szCs w:val="24"/>
        </w:rPr>
        <w:t xml:space="preserve"> </w:t>
      </w:r>
      <w:r w:rsidR="0022455D" w:rsidRPr="006A36E4">
        <w:rPr>
          <w:b/>
          <w:szCs w:val="24"/>
        </w:rPr>
        <w:t>Survey</w:t>
      </w:r>
      <w:r w:rsidR="0022455D">
        <w:rPr>
          <w:szCs w:val="24"/>
        </w:rPr>
        <w:t xml:space="preserve">. </w:t>
      </w:r>
      <w:r w:rsidR="00112557">
        <w:rPr>
          <w:szCs w:val="24"/>
        </w:rPr>
        <w:t xml:space="preserve"> </w:t>
      </w:r>
      <w:r w:rsidR="00A15061">
        <w:rPr>
          <w:szCs w:val="24"/>
        </w:rPr>
        <w:t>W</w:t>
      </w:r>
      <w:r w:rsidR="006343A5" w:rsidRPr="007C784D">
        <w:rPr>
          <w:szCs w:val="24"/>
        </w:rPr>
        <w:t xml:space="preserve">e will need to recruit </w:t>
      </w:r>
      <w:r w:rsidR="00B80DD1">
        <w:rPr>
          <w:szCs w:val="24"/>
        </w:rPr>
        <w:t>40</w:t>
      </w:r>
      <w:r w:rsidR="006343A5" w:rsidRPr="00900544">
        <w:rPr>
          <w:szCs w:val="24"/>
        </w:rPr>
        <w:t xml:space="preserve"> </w:t>
      </w:r>
      <w:r w:rsidR="00B80DD1">
        <w:rPr>
          <w:szCs w:val="24"/>
        </w:rPr>
        <w:t>ASCs</w:t>
      </w:r>
      <w:r w:rsidR="006343A5" w:rsidRPr="00900544">
        <w:rPr>
          <w:szCs w:val="24"/>
        </w:rPr>
        <w:t xml:space="preserve"> to </w:t>
      </w:r>
      <w:r w:rsidR="006343A5">
        <w:rPr>
          <w:szCs w:val="24"/>
        </w:rPr>
        <w:t>obtain</w:t>
      </w:r>
      <w:r w:rsidR="006343A5" w:rsidRPr="00900544">
        <w:rPr>
          <w:szCs w:val="24"/>
        </w:rPr>
        <w:t xml:space="preserve"> enough data at the individual respondent level</w:t>
      </w:r>
      <w:r w:rsidR="006343A5">
        <w:rPr>
          <w:szCs w:val="24"/>
        </w:rPr>
        <w:t xml:space="preserve"> for analysis purposes</w:t>
      </w:r>
      <w:r w:rsidR="0022455D">
        <w:rPr>
          <w:szCs w:val="24"/>
        </w:rPr>
        <w:t xml:space="preserve"> (approximately </w:t>
      </w:r>
      <w:r w:rsidR="00721DD2">
        <w:rPr>
          <w:szCs w:val="24"/>
        </w:rPr>
        <w:t>529</w:t>
      </w:r>
      <w:r w:rsidR="0022455D">
        <w:rPr>
          <w:szCs w:val="24"/>
        </w:rPr>
        <w:t xml:space="preserve"> responses)</w:t>
      </w:r>
      <w:r w:rsidR="006343A5" w:rsidRPr="00900544">
        <w:rPr>
          <w:szCs w:val="24"/>
        </w:rPr>
        <w:t xml:space="preserve">. </w:t>
      </w:r>
      <w:r w:rsidR="00A15061" w:rsidRPr="007C784D">
        <w:rPr>
          <w:szCs w:val="24"/>
        </w:rPr>
        <w:t xml:space="preserve">Given the small number of staff within each </w:t>
      </w:r>
      <w:r w:rsidR="00721DD2">
        <w:rPr>
          <w:szCs w:val="24"/>
        </w:rPr>
        <w:t>ASC</w:t>
      </w:r>
      <w:r w:rsidR="00A15061" w:rsidRPr="007C784D">
        <w:rPr>
          <w:szCs w:val="24"/>
        </w:rPr>
        <w:t xml:space="preserve">, </w:t>
      </w:r>
      <w:r w:rsidR="00A15061">
        <w:rPr>
          <w:szCs w:val="24"/>
        </w:rPr>
        <w:t xml:space="preserve">a census of all clinical and non-clinical staff will be conducted within each </w:t>
      </w:r>
      <w:r w:rsidR="00721DD2">
        <w:rPr>
          <w:szCs w:val="24"/>
        </w:rPr>
        <w:t>facility</w:t>
      </w:r>
      <w:r w:rsidR="00A15061">
        <w:rPr>
          <w:szCs w:val="24"/>
        </w:rPr>
        <w:t xml:space="preserve">. </w:t>
      </w:r>
      <w:r w:rsidR="00B70F08">
        <w:rPr>
          <w:szCs w:val="24"/>
        </w:rPr>
        <w:t xml:space="preserve">In addition, </w:t>
      </w:r>
      <w:r w:rsidR="00721DD2">
        <w:rPr>
          <w:szCs w:val="24"/>
        </w:rPr>
        <w:t>an ASC</w:t>
      </w:r>
      <w:r w:rsidR="00B70F08" w:rsidRPr="00AE301D">
        <w:rPr>
          <w:szCs w:val="24"/>
        </w:rPr>
        <w:t xml:space="preserve"> </w:t>
      </w:r>
      <w:r w:rsidR="00B70F08">
        <w:rPr>
          <w:szCs w:val="24"/>
        </w:rPr>
        <w:t>Information Form</w:t>
      </w:r>
      <w:r w:rsidR="00B70F08" w:rsidRPr="00AE301D">
        <w:rPr>
          <w:szCs w:val="24"/>
        </w:rPr>
        <w:t xml:space="preserve"> </w:t>
      </w:r>
      <w:r w:rsidR="00B70F08">
        <w:rPr>
          <w:szCs w:val="24"/>
        </w:rPr>
        <w:t xml:space="preserve">on </w:t>
      </w:r>
      <w:r w:rsidR="00B30277">
        <w:rPr>
          <w:szCs w:val="24"/>
        </w:rPr>
        <w:t xml:space="preserve">facility </w:t>
      </w:r>
      <w:r w:rsidR="00B70F08">
        <w:rPr>
          <w:szCs w:val="24"/>
        </w:rPr>
        <w:t xml:space="preserve">background characteristics </w:t>
      </w:r>
      <w:r w:rsidR="00721DD2">
        <w:rPr>
          <w:szCs w:val="24"/>
        </w:rPr>
        <w:t xml:space="preserve">will be completed by an ASC </w:t>
      </w:r>
      <w:r w:rsidR="00B70F08">
        <w:rPr>
          <w:szCs w:val="24"/>
        </w:rPr>
        <w:t>manager</w:t>
      </w:r>
      <w:r w:rsidR="00B70F08" w:rsidRPr="00AE301D">
        <w:rPr>
          <w:szCs w:val="24"/>
        </w:rPr>
        <w:t xml:space="preserve"> </w:t>
      </w:r>
      <w:r w:rsidR="00B70F08">
        <w:rPr>
          <w:szCs w:val="24"/>
        </w:rPr>
        <w:t>at</w:t>
      </w:r>
      <w:r w:rsidR="00B70F08" w:rsidRPr="00AE301D">
        <w:rPr>
          <w:szCs w:val="24"/>
        </w:rPr>
        <w:t xml:space="preserve"> each </w:t>
      </w:r>
      <w:r w:rsidR="00B70F08">
        <w:rPr>
          <w:szCs w:val="24"/>
        </w:rPr>
        <w:t>site.</w:t>
      </w:r>
    </w:p>
    <w:p w:rsidR="00A15061" w:rsidRDefault="00A15061" w:rsidP="006343A5">
      <w:pPr>
        <w:ind w:left="360"/>
        <w:rPr>
          <w:szCs w:val="24"/>
        </w:rPr>
      </w:pPr>
    </w:p>
    <w:p w:rsidR="006343A5" w:rsidRDefault="00DF1198" w:rsidP="006343A5">
      <w:pPr>
        <w:ind w:left="360"/>
        <w:rPr>
          <w:szCs w:val="24"/>
        </w:rPr>
      </w:pPr>
      <w:r>
        <w:rPr>
          <w:szCs w:val="24"/>
        </w:rPr>
        <w:t xml:space="preserve">HRET </w:t>
      </w:r>
      <w:r w:rsidR="0022455D">
        <w:rPr>
          <w:szCs w:val="24"/>
        </w:rPr>
        <w:t xml:space="preserve">will </w:t>
      </w:r>
      <w:r w:rsidR="00D63FF5">
        <w:rPr>
          <w:szCs w:val="24"/>
        </w:rPr>
        <w:t xml:space="preserve">help </w:t>
      </w:r>
      <w:r w:rsidR="0022455D">
        <w:rPr>
          <w:szCs w:val="24"/>
        </w:rPr>
        <w:t>recruit a</w:t>
      </w:r>
      <w:r w:rsidR="006343A5" w:rsidRPr="00900544">
        <w:rPr>
          <w:szCs w:val="24"/>
        </w:rPr>
        <w:t xml:space="preserve"> range of </w:t>
      </w:r>
      <w:r>
        <w:rPr>
          <w:szCs w:val="24"/>
        </w:rPr>
        <w:t xml:space="preserve">ASC </w:t>
      </w:r>
      <w:r w:rsidR="00B30277">
        <w:rPr>
          <w:szCs w:val="24"/>
        </w:rPr>
        <w:t xml:space="preserve">sites </w:t>
      </w:r>
      <w:r w:rsidR="006343A5" w:rsidRPr="00900544">
        <w:rPr>
          <w:szCs w:val="24"/>
        </w:rPr>
        <w:t>size</w:t>
      </w:r>
      <w:r w:rsidR="00B30277">
        <w:rPr>
          <w:szCs w:val="24"/>
        </w:rPr>
        <w:t>s by specialty</w:t>
      </w:r>
      <w:r w:rsidR="006343A5">
        <w:rPr>
          <w:szCs w:val="24"/>
        </w:rPr>
        <w:t xml:space="preserve"> (see Table 3).</w:t>
      </w:r>
      <w:r w:rsidR="00942CDF">
        <w:rPr>
          <w:szCs w:val="24"/>
        </w:rPr>
        <w:t xml:space="preserve"> </w:t>
      </w:r>
      <w:r w:rsidR="006343A5" w:rsidRPr="00906E7E">
        <w:rPr>
          <w:szCs w:val="24"/>
        </w:rPr>
        <w:t xml:space="preserve">It is estimated that a total of approximately </w:t>
      </w:r>
      <w:r>
        <w:rPr>
          <w:szCs w:val="24"/>
        </w:rPr>
        <w:t>756</w:t>
      </w:r>
      <w:r w:rsidR="006343A5" w:rsidRPr="00906E7E">
        <w:rPr>
          <w:szCs w:val="24"/>
        </w:rPr>
        <w:t xml:space="preserve"> individuals will </w:t>
      </w:r>
      <w:r w:rsidR="007F230F">
        <w:rPr>
          <w:szCs w:val="24"/>
        </w:rPr>
        <w:t xml:space="preserve">have the opportunity to complete the </w:t>
      </w:r>
      <w:r w:rsidR="00B30277">
        <w:rPr>
          <w:szCs w:val="24"/>
        </w:rPr>
        <w:t>pretest</w:t>
      </w:r>
      <w:r w:rsidR="006343A5">
        <w:rPr>
          <w:szCs w:val="24"/>
        </w:rPr>
        <w:t xml:space="preserve"> (see Table 4)</w:t>
      </w:r>
      <w:r w:rsidR="00942CDF">
        <w:rPr>
          <w:szCs w:val="24"/>
        </w:rPr>
        <w:t xml:space="preserve">. </w:t>
      </w:r>
      <w:r w:rsidR="006343A5" w:rsidRPr="00906E7E">
        <w:rPr>
          <w:szCs w:val="24"/>
        </w:rPr>
        <w:t xml:space="preserve">With a response rate of </w:t>
      </w:r>
      <w:r>
        <w:rPr>
          <w:szCs w:val="24"/>
        </w:rPr>
        <w:t>70</w:t>
      </w:r>
      <w:r w:rsidR="006343A5" w:rsidRPr="00906E7E">
        <w:rPr>
          <w:szCs w:val="24"/>
        </w:rPr>
        <w:t xml:space="preserve">%, the number of completed surveys </w:t>
      </w:r>
      <w:r w:rsidR="006343A5">
        <w:rPr>
          <w:szCs w:val="24"/>
        </w:rPr>
        <w:t>will be</w:t>
      </w:r>
      <w:r w:rsidR="006343A5" w:rsidRPr="00906E7E">
        <w:rPr>
          <w:szCs w:val="24"/>
        </w:rPr>
        <w:t xml:space="preserve"> </w:t>
      </w:r>
      <w:r>
        <w:rPr>
          <w:szCs w:val="24"/>
        </w:rPr>
        <w:t>529</w:t>
      </w:r>
      <w:r w:rsidR="00A02CF5" w:rsidRPr="00906E7E">
        <w:rPr>
          <w:szCs w:val="24"/>
        </w:rPr>
        <w:t>.</w:t>
      </w:r>
      <w:r w:rsidR="00A02CF5">
        <w:rPr>
          <w:rStyle w:val="CommentReference"/>
        </w:rPr>
        <w:t xml:space="preserve"> </w:t>
      </w:r>
      <w:r w:rsidR="00410EF2">
        <w:rPr>
          <w:szCs w:val="24"/>
        </w:rPr>
        <w:t>Because the</w:t>
      </w:r>
      <w:r w:rsidR="00A02CF5">
        <w:rPr>
          <w:szCs w:val="24"/>
        </w:rPr>
        <w:t xml:space="preserve"> purpose of the data collection is for psychometric analyses and </w:t>
      </w:r>
      <w:r w:rsidR="00410EF2">
        <w:rPr>
          <w:szCs w:val="24"/>
        </w:rPr>
        <w:t xml:space="preserve">not for parameter estimation, </w:t>
      </w:r>
      <w:r w:rsidR="00A02CF5">
        <w:rPr>
          <w:szCs w:val="24"/>
        </w:rPr>
        <w:t xml:space="preserve">529 responses across 40 sites </w:t>
      </w:r>
      <w:r w:rsidR="00410EF2">
        <w:rPr>
          <w:szCs w:val="24"/>
        </w:rPr>
        <w:t>will be</w:t>
      </w:r>
      <w:r w:rsidR="00A02CF5">
        <w:rPr>
          <w:szCs w:val="24"/>
        </w:rPr>
        <w:t xml:space="preserve"> sufficient.</w:t>
      </w:r>
    </w:p>
    <w:p w:rsidR="00B70F08" w:rsidRDefault="00B70F08" w:rsidP="006343A5">
      <w:pPr>
        <w:ind w:left="360"/>
        <w:rPr>
          <w:szCs w:val="24"/>
        </w:rPr>
      </w:pPr>
    </w:p>
    <w:p w:rsidR="00396A98" w:rsidRDefault="00396A98" w:rsidP="000D701E">
      <w:pPr>
        <w:ind w:firstLine="360"/>
        <w:rPr>
          <w:rFonts w:ascii="Garamond" w:hAnsi="Garamond"/>
          <w:b/>
          <w:sz w:val="22"/>
          <w:szCs w:val="22"/>
        </w:rPr>
      </w:pPr>
    </w:p>
    <w:p w:rsidR="00DF1198" w:rsidRDefault="00A15061" w:rsidP="000D701E">
      <w:pPr>
        <w:ind w:firstLine="360"/>
        <w:rPr>
          <w:rFonts w:ascii="Garamond" w:hAnsi="Garamond"/>
          <w:b/>
          <w:sz w:val="22"/>
          <w:szCs w:val="22"/>
        </w:rPr>
      </w:pPr>
      <w:proofErr w:type="gramStart"/>
      <w:r w:rsidRPr="009273EB">
        <w:rPr>
          <w:rFonts w:ascii="Garamond" w:hAnsi="Garamond"/>
          <w:b/>
          <w:sz w:val="22"/>
          <w:szCs w:val="22"/>
        </w:rPr>
        <w:lastRenderedPageBreak/>
        <w:t>Table 3.</w:t>
      </w:r>
      <w:proofErr w:type="gramEnd"/>
      <w:r w:rsidRPr="009273EB">
        <w:rPr>
          <w:rFonts w:ascii="Garamond" w:hAnsi="Garamond"/>
          <w:b/>
          <w:sz w:val="22"/>
          <w:szCs w:val="22"/>
        </w:rPr>
        <w:t xml:space="preserve"> </w:t>
      </w:r>
      <w:r w:rsidR="00DF1198">
        <w:rPr>
          <w:rFonts w:ascii="Garamond" w:hAnsi="Garamond"/>
          <w:b/>
          <w:sz w:val="22"/>
          <w:szCs w:val="22"/>
        </w:rPr>
        <w:t xml:space="preserve">ASC </w:t>
      </w:r>
      <w:r w:rsidRPr="009273EB">
        <w:rPr>
          <w:rFonts w:ascii="Garamond" w:hAnsi="Garamond"/>
          <w:b/>
          <w:sz w:val="22"/>
          <w:szCs w:val="22"/>
        </w:rPr>
        <w:t xml:space="preserve">by size and type: </w:t>
      </w:r>
      <w:r w:rsidR="00DF1198">
        <w:rPr>
          <w:rFonts w:ascii="Garamond" w:hAnsi="Garamond"/>
          <w:b/>
          <w:sz w:val="22"/>
          <w:szCs w:val="22"/>
        </w:rPr>
        <w:t>40</w:t>
      </w:r>
      <w:r w:rsidRPr="009273EB">
        <w:rPr>
          <w:rFonts w:ascii="Garamond" w:hAnsi="Garamond"/>
          <w:b/>
          <w:sz w:val="22"/>
          <w:szCs w:val="22"/>
        </w:rPr>
        <w:t xml:space="preserve"> </w:t>
      </w:r>
      <w:r w:rsidR="005C53E2">
        <w:rPr>
          <w:rFonts w:ascii="Garamond" w:hAnsi="Garamond"/>
          <w:b/>
          <w:sz w:val="22"/>
          <w:szCs w:val="22"/>
        </w:rPr>
        <w:t>pretest</w:t>
      </w:r>
      <w:r w:rsidRPr="009273EB">
        <w:rPr>
          <w:rFonts w:ascii="Garamond" w:hAnsi="Garamond"/>
          <w:b/>
          <w:sz w:val="22"/>
          <w:szCs w:val="22"/>
        </w:rPr>
        <w:t xml:space="preserve"> </w:t>
      </w:r>
      <w:r w:rsidR="00262D8E">
        <w:rPr>
          <w:rFonts w:ascii="Garamond" w:hAnsi="Garamond"/>
          <w:b/>
          <w:sz w:val="22"/>
          <w:szCs w:val="22"/>
        </w:rPr>
        <w:t>sites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620"/>
        <w:gridCol w:w="3600"/>
        <w:gridCol w:w="1530"/>
      </w:tblGrid>
      <w:tr w:rsidR="00262D8E" w:rsidRPr="00F76392" w:rsidTr="00F5319C"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262D8E" w:rsidRDefault="00262D8E" w:rsidP="00FD2EE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ASC</w:t>
            </w:r>
            <w:r w:rsidRPr="00651E0D">
              <w:rPr>
                <w:rFonts w:ascii="Garamond" w:hAnsi="Garamond"/>
                <w:b/>
              </w:rPr>
              <w:t xml:space="preserve"> Size         </w:t>
            </w:r>
          </w:p>
          <w:p w:rsidR="00262D8E" w:rsidRPr="00651E0D" w:rsidRDefault="00262D8E" w:rsidP="00FD2EE0">
            <w:pPr>
              <w:rPr>
                <w:rFonts w:ascii="Garamond" w:hAnsi="Garamond"/>
                <w:b/>
              </w:rPr>
            </w:pPr>
            <w:r w:rsidRPr="00651E0D">
              <w:rPr>
                <w:rFonts w:ascii="Garamond" w:hAnsi="Garamond"/>
                <w:b/>
              </w:rPr>
              <w:t xml:space="preserve">(# of </w:t>
            </w:r>
            <w:r>
              <w:rPr>
                <w:rFonts w:ascii="Garamond" w:hAnsi="Garamond"/>
                <w:b/>
              </w:rPr>
              <w:t>Operating Rooms</w:t>
            </w:r>
            <w:r w:rsidRPr="00651E0D">
              <w:rPr>
                <w:rFonts w:ascii="Garamond" w:hAnsi="Garamond"/>
                <w:b/>
              </w:rPr>
              <w:t>)</w:t>
            </w:r>
          </w:p>
        </w:tc>
        <w:tc>
          <w:tcPr>
            <w:tcW w:w="5220" w:type="dxa"/>
            <w:gridSpan w:val="2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 w:rsidRPr="00651E0D">
              <w:rPr>
                <w:rFonts w:ascii="Garamond" w:hAnsi="Garamond"/>
                <w:b/>
              </w:rPr>
              <w:t xml:space="preserve">Type of </w:t>
            </w:r>
            <w:r>
              <w:rPr>
                <w:rFonts w:ascii="Garamond" w:hAnsi="Garamond"/>
                <w:b/>
              </w:rPr>
              <w:t>ASC</w:t>
            </w:r>
          </w:p>
        </w:tc>
        <w:tc>
          <w:tcPr>
            <w:tcW w:w="1530" w:type="dxa"/>
            <w:vMerge w:val="restart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ASC SITES</w:t>
            </w:r>
          </w:p>
        </w:tc>
      </w:tr>
      <w:tr w:rsidR="00262D8E" w:rsidRPr="00F76392" w:rsidTr="00F5319C">
        <w:tc>
          <w:tcPr>
            <w:tcW w:w="2250" w:type="dxa"/>
            <w:vMerge/>
            <w:shd w:val="pct15" w:color="auto" w:fill="auto"/>
          </w:tcPr>
          <w:p w:rsidR="00262D8E" w:rsidRPr="00651E0D" w:rsidRDefault="00262D8E" w:rsidP="00FD2EE0">
            <w:pPr>
              <w:rPr>
                <w:rFonts w:ascii="Garamond" w:hAnsi="Garamond"/>
              </w:rPr>
            </w:pPr>
          </w:p>
        </w:tc>
        <w:tc>
          <w:tcPr>
            <w:tcW w:w="1620" w:type="dxa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Freestanding</w:t>
            </w:r>
          </w:p>
        </w:tc>
        <w:tc>
          <w:tcPr>
            <w:tcW w:w="3600" w:type="dxa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Affiliated with a hospital or larger health system</w:t>
            </w:r>
          </w:p>
        </w:tc>
        <w:tc>
          <w:tcPr>
            <w:tcW w:w="1530" w:type="dxa"/>
            <w:vMerge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F5319C" w:rsidRPr="00F76392" w:rsidTr="00F5319C">
        <w:tc>
          <w:tcPr>
            <w:tcW w:w="2250" w:type="dxa"/>
          </w:tcPr>
          <w:p w:rsidR="00262D8E" w:rsidRPr="00651E0D" w:rsidRDefault="00262D8E" w:rsidP="00FD2EE0">
            <w:pPr>
              <w:rPr>
                <w:rFonts w:ascii="Garamond" w:hAnsi="Garamond"/>
              </w:rPr>
            </w:pPr>
            <w:r w:rsidRPr="00651E0D">
              <w:rPr>
                <w:rFonts w:ascii="Garamond" w:hAnsi="Garamond"/>
              </w:rPr>
              <w:t>Small        (</w:t>
            </w:r>
            <w:r>
              <w:rPr>
                <w:rFonts w:ascii="Garamond" w:hAnsi="Garamond"/>
              </w:rPr>
              <w:t>1</w:t>
            </w:r>
            <w:r w:rsidRPr="00651E0D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>2</w:t>
            </w:r>
            <w:r w:rsidRPr="00651E0D">
              <w:rPr>
                <w:rFonts w:ascii="Garamond" w:hAnsi="Garamond"/>
              </w:rPr>
              <w:t>)</w:t>
            </w:r>
          </w:p>
        </w:tc>
        <w:tc>
          <w:tcPr>
            <w:tcW w:w="1620" w:type="dxa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3600" w:type="dxa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1530" w:type="dxa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</w:p>
        </w:tc>
      </w:tr>
      <w:tr w:rsidR="00F5319C" w:rsidRPr="00F76392" w:rsidTr="00F5319C">
        <w:tc>
          <w:tcPr>
            <w:tcW w:w="2250" w:type="dxa"/>
          </w:tcPr>
          <w:p w:rsidR="00262D8E" w:rsidRPr="00651E0D" w:rsidRDefault="00262D8E" w:rsidP="00FD2EE0">
            <w:pPr>
              <w:rPr>
                <w:rFonts w:ascii="Garamond" w:hAnsi="Garamond"/>
              </w:rPr>
            </w:pPr>
            <w:r w:rsidRPr="00651E0D">
              <w:rPr>
                <w:rFonts w:ascii="Garamond" w:hAnsi="Garamond"/>
              </w:rPr>
              <w:t>Medium  (</w:t>
            </w:r>
            <w:r>
              <w:rPr>
                <w:rFonts w:ascii="Garamond" w:hAnsi="Garamond"/>
              </w:rPr>
              <w:t>3</w:t>
            </w:r>
            <w:r w:rsidRPr="00651E0D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>4</w:t>
            </w:r>
            <w:r w:rsidRPr="00651E0D">
              <w:rPr>
                <w:rFonts w:ascii="Garamond" w:hAnsi="Garamond"/>
              </w:rPr>
              <w:t>)</w:t>
            </w:r>
          </w:p>
        </w:tc>
        <w:tc>
          <w:tcPr>
            <w:tcW w:w="1620" w:type="dxa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3600" w:type="dxa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530" w:type="dxa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</w:tr>
      <w:tr w:rsidR="00F5319C" w:rsidRPr="00F76392" w:rsidTr="00F5319C">
        <w:tc>
          <w:tcPr>
            <w:tcW w:w="2250" w:type="dxa"/>
            <w:tcBorders>
              <w:bottom w:val="double" w:sz="4" w:space="0" w:color="auto"/>
            </w:tcBorders>
          </w:tcPr>
          <w:p w:rsidR="00262D8E" w:rsidRPr="00651E0D" w:rsidRDefault="00262D8E" w:rsidP="00FD2EE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Large       (5</w:t>
            </w:r>
            <w:r w:rsidRPr="00651E0D">
              <w:rPr>
                <w:rFonts w:ascii="Garamond" w:hAnsi="Garamond"/>
              </w:rPr>
              <w:t>+)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</w:tr>
      <w:tr w:rsidR="00F5319C" w:rsidRPr="00F76392" w:rsidTr="00F5319C">
        <w:tc>
          <w:tcPr>
            <w:tcW w:w="2250" w:type="dxa"/>
            <w:tcBorders>
              <w:top w:val="double" w:sz="4" w:space="0" w:color="auto"/>
            </w:tcBorders>
          </w:tcPr>
          <w:p w:rsidR="00262D8E" w:rsidRPr="00651E0D" w:rsidRDefault="00262D8E" w:rsidP="00FD2EE0">
            <w:pPr>
              <w:rPr>
                <w:rFonts w:ascii="Garamond" w:hAnsi="Garamond"/>
              </w:rPr>
            </w:pPr>
            <w:r w:rsidRPr="00651E0D">
              <w:rPr>
                <w:rFonts w:ascii="Garamond" w:hAnsi="Garamond"/>
              </w:rPr>
              <w:t>Total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</w:t>
            </w:r>
          </w:p>
        </w:tc>
      </w:tr>
    </w:tbl>
    <w:p w:rsidR="00262D8E" w:rsidRDefault="00262D8E" w:rsidP="00A15061">
      <w:pPr>
        <w:rPr>
          <w:rFonts w:ascii="Garamond" w:hAnsi="Garamond"/>
          <w:b/>
          <w:sz w:val="22"/>
          <w:szCs w:val="22"/>
        </w:rPr>
      </w:pPr>
    </w:p>
    <w:p w:rsidR="00262D8E" w:rsidRDefault="00262D8E" w:rsidP="00A15061">
      <w:pPr>
        <w:rPr>
          <w:rFonts w:ascii="Garamond" w:hAnsi="Garamond"/>
          <w:b/>
          <w:sz w:val="22"/>
          <w:szCs w:val="22"/>
        </w:rPr>
      </w:pPr>
    </w:p>
    <w:p w:rsidR="00A15061" w:rsidRPr="009273EB" w:rsidRDefault="00A15061" w:rsidP="003576F7">
      <w:pPr>
        <w:ind w:firstLine="360"/>
        <w:rPr>
          <w:rFonts w:ascii="Garamond" w:hAnsi="Garamond"/>
          <w:b/>
          <w:sz w:val="22"/>
          <w:szCs w:val="22"/>
        </w:rPr>
      </w:pPr>
      <w:proofErr w:type="gramStart"/>
      <w:r w:rsidRPr="009273EB">
        <w:rPr>
          <w:rFonts w:ascii="Garamond" w:hAnsi="Garamond"/>
          <w:b/>
          <w:sz w:val="22"/>
          <w:szCs w:val="22"/>
        </w:rPr>
        <w:t>Table 4.</w:t>
      </w:r>
      <w:proofErr w:type="gramEnd"/>
      <w:r w:rsidRPr="009273EB">
        <w:rPr>
          <w:rFonts w:ascii="Garamond" w:hAnsi="Garamond"/>
          <w:b/>
          <w:sz w:val="22"/>
          <w:szCs w:val="22"/>
        </w:rPr>
        <w:t xml:space="preserve"> </w:t>
      </w:r>
      <w:r w:rsidR="00262D8E">
        <w:rPr>
          <w:rFonts w:ascii="Garamond" w:hAnsi="Garamond"/>
          <w:b/>
        </w:rPr>
        <w:t>Individuals</w:t>
      </w:r>
      <w:r w:rsidR="00262D8E" w:rsidRPr="00031463">
        <w:rPr>
          <w:rFonts w:ascii="Garamond" w:hAnsi="Garamond"/>
          <w:b/>
        </w:rPr>
        <w:t xml:space="preserve"> </w:t>
      </w:r>
      <w:r w:rsidR="00262D8E">
        <w:rPr>
          <w:rFonts w:ascii="Garamond" w:hAnsi="Garamond"/>
          <w:b/>
        </w:rPr>
        <w:t xml:space="preserve">(managers, providers &amp; staff) </w:t>
      </w:r>
      <w:r w:rsidR="00262D8E" w:rsidRPr="00031463">
        <w:rPr>
          <w:rFonts w:ascii="Garamond" w:hAnsi="Garamond"/>
          <w:b/>
        </w:rPr>
        <w:t>surveyed</w:t>
      </w:r>
      <w:r w:rsidR="00262D8E">
        <w:rPr>
          <w:rFonts w:ascii="Garamond" w:hAnsi="Garamond"/>
          <w:b/>
        </w:rPr>
        <w:t xml:space="preserve"> within 40 </w:t>
      </w:r>
      <w:r w:rsidR="005C53E2">
        <w:rPr>
          <w:rFonts w:ascii="Garamond" w:hAnsi="Garamond"/>
          <w:b/>
        </w:rPr>
        <w:t>pretest</w:t>
      </w:r>
      <w:r w:rsidR="00262D8E">
        <w:rPr>
          <w:rFonts w:ascii="Garamond" w:hAnsi="Garamond"/>
          <w:b/>
        </w:rPr>
        <w:t xml:space="preserve"> </w:t>
      </w:r>
      <w:r w:rsidR="000D701E">
        <w:rPr>
          <w:rFonts w:ascii="Garamond" w:hAnsi="Garamond"/>
          <w:b/>
        </w:rPr>
        <w:t>sites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0"/>
        <w:gridCol w:w="1620"/>
        <w:gridCol w:w="2070"/>
        <w:gridCol w:w="1980"/>
      </w:tblGrid>
      <w:tr w:rsidR="00262D8E" w:rsidRPr="00F76392" w:rsidTr="00262D8E"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:rsidR="00262D8E" w:rsidRDefault="00262D8E" w:rsidP="00FD2EE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ASC</w:t>
            </w:r>
            <w:r w:rsidRPr="00651E0D">
              <w:rPr>
                <w:rFonts w:ascii="Garamond" w:hAnsi="Garamond"/>
                <w:b/>
              </w:rPr>
              <w:t xml:space="preserve"> Size         </w:t>
            </w:r>
          </w:p>
          <w:p w:rsidR="00262D8E" w:rsidRPr="00651E0D" w:rsidRDefault="00262D8E" w:rsidP="00FD2EE0">
            <w:pPr>
              <w:rPr>
                <w:rFonts w:ascii="Garamond" w:hAnsi="Garamond"/>
                <w:b/>
              </w:rPr>
            </w:pPr>
            <w:r w:rsidRPr="00651E0D">
              <w:rPr>
                <w:rFonts w:ascii="Garamond" w:hAnsi="Garamond"/>
                <w:b/>
              </w:rPr>
              <w:t xml:space="preserve">(# of </w:t>
            </w:r>
            <w:r>
              <w:rPr>
                <w:rFonts w:ascii="Garamond" w:hAnsi="Garamond"/>
                <w:b/>
              </w:rPr>
              <w:t>Operating Rooms</w:t>
            </w:r>
            <w:r w:rsidRPr="00651E0D">
              <w:rPr>
                <w:rFonts w:ascii="Garamond" w:hAnsi="Garamond"/>
                <w:b/>
              </w:rPr>
              <w:t>)</w:t>
            </w:r>
          </w:p>
        </w:tc>
        <w:tc>
          <w:tcPr>
            <w:tcW w:w="3690" w:type="dxa"/>
            <w:gridSpan w:val="2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 w:rsidRPr="00651E0D">
              <w:rPr>
                <w:rFonts w:ascii="Garamond" w:hAnsi="Garamond"/>
                <w:b/>
              </w:rPr>
              <w:t xml:space="preserve">Type of </w:t>
            </w:r>
            <w:r>
              <w:rPr>
                <w:rFonts w:ascii="Garamond" w:hAnsi="Garamond"/>
                <w:b/>
              </w:rPr>
              <w:t>ASC</w:t>
            </w:r>
          </w:p>
        </w:tc>
        <w:tc>
          <w:tcPr>
            <w:tcW w:w="1980" w:type="dxa"/>
            <w:vMerge w:val="restart"/>
            <w:shd w:val="pct15" w:color="auto" w:fill="auto"/>
          </w:tcPr>
          <w:p w:rsidR="00262D8E" w:rsidRPr="00651E0D" w:rsidRDefault="00262D8E" w:rsidP="00B73D1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TOTAL INDIVIDUALS </w:t>
            </w:r>
            <w:r w:rsidR="00B73D1C">
              <w:rPr>
                <w:rFonts w:ascii="Garamond" w:hAnsi="Garamond"/>
                <w:b/>
              </w:rPr>
              <w:t>Administered Survey</w:t>
            </w:r>
          </w:p>
        </w:tc>
      </w:tr>
      <w:tr w:rsidR="00262D8E" w:rsidRPr="00F76392" w:rsidTr="00262D8E">
        <w:tc>
          <w:tcPr>
            <w:tcW w:w="3330" w:type="dxa"/>
            <w:vMerge/>
            <w:shd w:val="pct15" w:color="auto" w:fill="auto"/>
          </w:tcPr>
          <w:p w:rsidR="00262D8E" w:rsidRPr="00651E0D" w:rsidRDefault="00262D8E" w:rsidP="00FD2EE0">
            <w:pPr>
              <w:rPr>
                <w:rFonts w:ascii="Garamond" w:hAnsi="Garamond"/>
              </w:rPr>
            </w:pPr>
          </w:p>
        </w:tc>
        <w:tc>
          <w:tcPr>
            <w:tcW w:w="1620" w:type="dxa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Freestanding</w:t>
            </w:r>
          </w:p>
        </w:tc>
        <w:tc>
          <w:tcPr>
            <w:tcW w:w="2070" w:type="dxa"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Affiliated with a hospital or larger health system</w:t>
            </w:r>
          </w:p>
        </w:tc>
        <w:tc>
          <w:tcPr>
            <w:tcW w:w="1980" w:type="dxa"/>
            <w:vMerge/>
            <w:shd w:val="pct15" w:color="auto" w:fill="auto"/>
          </w:tcPr>
          <w:p w:rsidR="00262D8E" w:rsidRPr="00651E0D" w:rsidRDefault="00262D8E" w:rsidP="00FD2EE0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37CF5" w:rsidRPr="00F76392" w:rsidTr="00262D8E">
        <w:tc>
          <w:tcPr>
            <w:tcW w:w="3330" w:type="dxa"/>
          </w:tcPr>
          <w:p w:rsidR="00037CF5" w:rsidRPr="00651E0D" w:rsidRDefault="00037CF5" w:rsidP="00FD2EE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Small        (1-2)  assumes 12</w:t>
            </w:r>
            <w:r w:rsidRPr="00651E0D">
              <w:rPr>
                <w:rFonts w:ascii="Garamond" w:hAnsi="Garamond"/>
              </w:rPr>
              <w:t xml:space="preserve"> staff</w:t>
            </w:r>
          </w:p>
        </w:tc>
        <w:tc>
          <w:tcPr>
            <w:tcW w:w="1620" w:type="dxa"/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x 12</w:t>
            </w:r>
            <w:r w:rsidRPr="00651E0D">
              <w:rPr>
                <w:rFonts w:ascii="Garamond" w:hAnsi="Garamond"/>
              </w:rPr>
              <w:t xml:space="preserve"> = </w:t>
            </w:r>
            <w:r>
              <w:rPr>
                <w:rFonts w:ascii="Garamond" w:hAnsi="Garamond"/>
              </w:rPr>
              <w:t>108</w:t>
            </w:r>
          </w:p>
        </w:tc>
        <w:tc>
          <w:tcPr>
            <w:tcW w:w="2070" w:type="dxa"/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x 12</w:t>
            </w:r>
            <w:r w:rsidRPr="00651E0D">
              <w:rPr>
                <w:rFonts w:ascii="Garamond" w:hAnsi="Garamond"/>
              </w:rPr>
              <w:t xml:space="preserve"> = </w:t>
            </w:r>
            <w:r>
              <w:rPr>
                <w:rFonts w:ascii="Garamond" w:hAnsi="Garamond"/>
              </w:rPr>
              <w:t>108</w:t>
            </w:r>
          </w:p>
        </w:tc>
        <w:tc>
          <w:tcPr>
            <w:tcW w:w="1980" w:type="dxa"/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216</w:t>
            </w:r>
          </w:p>
        </w:tc>
      </w:tr>
      <w:tr w:rsidR="00037CF5" w:rsidRPr="00F76392" w:rsidTr="00262D8E">
        <w:tc>
          <w:tcPr>
            <w:tcW w:w="3330" w:type="dxa"/>
          </w:tcPr>
          <w:p w:rsidR="00037CF5" w:rsidRPr="00651E0D" w:rsidRDefault="00037CF5" w:rsidP="00FD2EE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Medium  (3-4) assumes 20</w:t>
            </w:r>
            <w:r w:rsidRPr="00651E0D">
              <w:rPr>
                <w:rFonts w:ascii="Garamond" w:hAnsi="Garamond"/>
              </w:rPr>
              <w:t xml:space="preserve"> staff</w:t>
            </w:r>
          </w:p>
        </w:tc>
        <w:tc>
          <w:tcPr>
            <w:tcW w:w="1620" w:type="dxa"/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 x 20 = 120</w:t>
            </w:r>
          </w:p>
        </w:tc>
        <w:tc>
          <w:tcPr>
            <w:tcW w:w="2070" w:type="dxa"/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 x 20 = 120</w:t>
            </w:r>
          </w:p>
        </w:tc>
        <w:tc>
          <w:tcPr>
            <w:tcW w:w="1980" w:type="dxa"/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240</w:t>
            </w:r>
          </w:p>
        </w:tc>
      </w:tr>
      <w:tr w:rsidR="00037CF5" w:rsidRPr="00F76392" w:rsidTr="00262D8E">
        <w:tc>
          <w:tcPr>
            <w:tcW w:w="3330" w:type="dxa"/>
            <w:tcBorders>
              <w:bottom w:val="double" w:sz="4" w:space="0" w:color="auto"/>
            </w:tcBorders>
          </w:tcPr>
          <w:p w:rsidR="00037CF5" w:rsidRPr="00651E0D" w:rsidRDefault="00037CF5" w:rsidP="00FD2EE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Large       (5+) assumes 30</w:t>
            </w:r>
            <w:r w:rsidRPr="00651E0D">
              <w:rPr>
                <w:rFonts w:ascii="Garamond" w:hAnsi="Garamond"/>
              </w:rPr>
              <w:t xml:space="preserve"> staff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x 30 = 150</w:t>
            </w: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x 30 = 150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</w:t>
            </w:r>
          </w:p>
        </w:tc>
      </w:tr>
      <w:tr w:rsidR="00037CF5" w:rsidRPr="00F76392" w:rsidTr="00262D8E">
        <w:tc>
          <w:tcPr>
            <w:tcW w:w="3330" w:type="dxa"/>
            <w:tcBorders>
              <w:top w:val="double" w:sz="4" w:space="0" w:color="auto"/>
            </w:tcBorders>
          </w:tcPr>
          <w:p w:rsidR="00037CF5" w:rsidRPr="00651E0D" w:rsidRDefault="00037CF5" w:rsidP="00FD2EE0">
            <w:pPr>
              <w:rPr>
                <w:rFonts w:ascii="Garamond" w:hAnsi="Garamond"/>
              </w:rPr>
            </w:pPr>
            <w:r w:rsidRPr="00651E0D">
              <w:rPr>
                <w:rFonts w:ascii="Garamond" w:hAnsi="Garamond"/>
              </w:rPr>
              <w:t>Total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378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378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037CF5" w:rsidRPr="00651E0D" w:rsidRDefault="00037CF5" w:rsidP="00FD2E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756</w:t>
            </w:r>
          </w:p>
        </w:tc>
      </w:tr>
    </w:tbl>
    <w:p w:rsidR="00A15061" w:rsidRPr="005778A3" w:rsidRDefault="00A15061" w:rsidP="00F5319C">
      <w:pPr>
        <w:ind w:firstLine="360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262D8E">
        <w:rPr>
          <w:rFonts w:ascii="Garamond" w:hAnsi="Garamond"/>
        </w:rPr>
        <w:t>A 7</w:t>
      </w:r>
      <w:r w:rsidRPr="005778A3">
        <w:rPr>
          <w:rFonts w:ascii="Garamond" w:hAnsi="Garamond"/>
        </w:rPr>
        <w:t xml:space="preserve">0% response rate = </w:t>
      </w:r>
      <w:r w:rsidR="00F5319C">
        <w:rPr>
          <w:rFonts w:ascii="Garamond" w:hAnsi="Garamond"/>
        </w:rPr>
        <w:t>529</w:t>
      </w:r>
      <w:r w:rsidRPr="005778A3">
        <w:rPr>
          <w:rFonts w:ascii="Garamond" w:hAnsi="Garamond"/>
        </w:rPr>
        <w:t xml:space="preserve"> completed surveys for analysis purposes</w:t>
      </w:r>
    </w:p>
    <w:p w:rsidR="006343A5" w:rsidRPr="00651462" w:rsidRDefault="006343A5" w:rsidP="006343A5">
      <w:pPr>
        <w:ind w:left="360"/>
        <w:rPr>
          <w:szCs w:val="24"/>
          <w:highlight w:val="yellow"/>
        </w:rPr>
      </w:pPr>
    </w:p>
    <w:p w:rsidR="006343A5" w:rsidRPr="00112557" w:rsidRDefault="006343A5" w:rsidP="006343A5">
      <w:pPr>
        <w:ind w:left="360"/>
        <w:rPr>
          <w:rFonts w:ascii="Garamond" w:hAnsi="Garamond"/>
          <w:b/>
        </w:rPr>
      </w:pPr>
    </w:p>
    <w:p w:rsidR="006A36E4" w:rsidRPr="00112557" w:rsidRDefault="004A608D" w:rsidP="006B11D0">
      <w:pPr>
        <w:pStyle w:val="Heading2"/>
        <w:rPr>
          <w:szCs w:val="24"/>
        </w:rPr>
      </w:pPr>
      <w:bookmarkStart w:id="3" w:name="_Toc351024112"/>
      <w:r w:rsidRPr="00112557">
        <w:rPr>
          <w:szCs w:val="24"/>
        </w:rPr>
        <w:t>2</w:t>
      </w:r>
      <w:r w:rsidR="000731A0" w:rsidRPr="00112557">
        <w:rPr>
          <w:rStyle w:val="Heading2Char"/>
          <w:b/>
        </w:rPr>
        <w:t xml:space="preserve">.  </w:t>
      </w:r>
      <w:r w:rsidR="006343A5" w:rsidRPr="00112557">
        <w:rPr>
          <w:rStyle w:val="Heading2Char"/>
          <w:b/>
        </w:rPr>
        <w:t>Information Collection Procedures</w:t>
      </w:r>
      <w:bookmarkEnd w:id="3"/>
      <w:r w:rsidR="006343A5" w:rsidRPr="00112557">
        <w:rPr>
          <w:szCs w:val="24"/>
        </w:rPr>
        <w:t xml:space="preserve">  </w:t>
      </w:r>
    </w:p>
    <w:p w:rsidR="004A608D" w:rsidRDefault="004A608D" w:rsidP="004A608D">
      <w:pPr>
        <w:rPr>
          <w:szCs w:val="24"/>
        </w:rPr>
      </w:pPr>
    </w:p>
    <w:p w:rsidR="004A608D" w:rsidRDefault="003B6950" w:rsidP="000D701E">
      <w:pPr>
        <w:ind w:left="450"/>
        <w:rPr>
          <w:szCs w:val="24"/>
        </w:rPr>
      </w:pPr>
      <w:proofErr w:type="gramStart"/>
      <w:r>
        <w:rPr>
          <w:b/>
          <w:szCs w:val="24"/>
        </w:rPr>
        <w:t>Survey</w:t>
      </w:r>
      <w:r w:rsidR="006343A5">
        <w:rPr>
          <w:szCs w:val="24"/>
        </w:rPr>
        <w:t>.</w:t>
      </w:r>
      <w:proofErr w:type="gramEnd"/>
      <w:r w:rsidR="004A608D">
        <w:rPr>
          <w:szCs w:val="24"/>
        </w:rPr>
        <w:t xml:space="preserve"> </w:t>
      </w:r>
      <w:r w:rsidR="00112557">
        <w:rPr>
          <w:szCs w:val="24"/>
        </w:rPr>
        <w:t xml:space="preserve"> </w:t>
      </w:r>
      <w:r w:rsidR="006343A5" w:rsidRPr="00F61AD9">
        <w:rPr>
          <w:szCs w:val="24"/>
        </w:rPr>
        <w:t xml:space="preserve">The </w:t>
      </w:r>
      <w:r w:rsidR="005C53E2">
        <w:rPr>
          <w:szCs w:val="24"/>
        </w:rPr>
        <w:t>pretest</w:t>
      </w:r>
      <w:r w:rsidR="006343A5" w:rsidRPr="00F61AD9">
        <w:rPr>
          <w:szCs w:val="24"/>
        </w:rPr>
        <w:t xml:space="preserve"> survey data collection for t</w:t>
      </w:r>
      <w:r w:rsidR="00444032">
        <w:rPr>
          <w:szCs w:val="24"/>
        </w:rPr>
        <w:t xml:space="preserve">he </w:t>
      </w:r>
      <w:r>
        <w:rPr>
          <w:szCs w:val="24"/>
        </w:rPr>
        <w:t>Ambulatory Surgery SOPS</w:t>
      </w:r>
      <w:r w:rsidR="006343A5" w:rsidRPr="00F61AD9">
        <w:rPr>
          <w:szCs w:val="24"/>
        </w:rPr>
        <w:t xml:space="preserve"> will include these steps:</w:t>
      </w:r>
      <w:r w:rsidR="000731A0">
        <w:rPr>
          <w:szCs w:val="24"/>
        </w:rPr>
        <w:t xml:space="preserve"> </w:t>
      </w:r>
    </w:p>
    <w:p w:rsidR="004A608D" w:rsidRPr="004A608D" w:rsidRDefault="003B6950" w:rsidP="004A608D">
      <w:pPr>
        <w:pStyle w:val="ListParagraph"/>
        <w:numPr>
          <w:ilvl w:val="0"/>
          <w:numId w:val="14"/>
        </w:numPr>
        <w:tabs>
          <w:tab w:val="num" w:pos="1800"/>
        </w:tabs>
        <w:rPr>
          <w:szCs w:val="24"/>
        </w:rPr>
      </w:pPr>
      <w:r>
        <w:rPr>
          <w:szCs w:val="24"/>
        </w:rPr>
        <w:t>Mailing the survey</w:t>
      </w:r>
      <w:r w:rsidR="006343A5" w:rsidRPr="004A608D">
        <w:rPr>
          <w:szCs w:val="24"/>
        </w:rPr>
        <w:t xml:space="preserve"> (which include</w:t>
      </w:r>
      <w:r w:rsidR="005C53E2">
        <w:rPr>
          <w:szCs w:val="24"/>
        </w:rPr>
        <w:t>s</w:t>
      </w:r>
      <w:r w:rsidR="006343A5" w:rsidRPr="004A608D">
        <w:rPr>
          <w:szCs w:val="24"/>
        </w:rPr>
        <w:t xml:space="preserve"> a cover letter) to the </w:t>
      </w:r>
      <w:r>
        <w:rPr>
          <w:szCs w:val="24"/>
        </w:rPr>
        <w:t>ASC</w:t>
      </w:r>
      <w:r w:rsidR="006343A5" w:rsidRPr="004A608D">
        <w:rPr>
          <w:szCs w:val="24"/>
        </w:rPr>
        <w:t xml:space="preserve"> office point of contact </w:t>
      </w:r>
    </w:p>
    <w:p w:rsidR="004A608D" w:rsidRPr="004A608D" w:rsidRDefault="003B6950" w:rsidP="004A608D">
      <w:pPr>
        <w:pStyle w:val="ListParagraph"/>
        <w:numPr>
          <w:ilvl w:val="0"/>
          <w:numId w:val="14"/>
        </w:numPr>
        <w:tabs>
          <w:tab w:val="num" w:pos="1800"/>
        </w:tabs>
        <w:rPr>
          <w:szCs w:val="24"/>
        </w:rPr>
      </w:pPr>
      <w:r>
        <w:rPr>
          <w:szCs w:val="24"/>
        </w:rPr>
        <w:t>ASC</w:t>
      </w:r>
      <w:r w:rsidR="006343A5" w:rsidRPr="004A608D">
        <w:rPr>
          <w:szCs w:val="24"/>
        </w:rPr>
        <w:t xml:space="preserve"> point of contact distr</w:t>
      </w:r>
      <w:r w:rsidR="000731A0">
        <w:rPr>
          <w:szCs w:val="24"/>
        </w:rPr>
        <w:t xml:space="preserve">ibutes survey packets to staff </w:t>
      </w:r>
    </w:p>
    <w:p w:rsidR="004A608D" w:rsidRPr="004A608D" w:rsidRDefault="006343A5" w:rsidP="004A608D">
      <w:pPr>
        <w:pStyle w:val="ListParagraph"/>
        <w:numPr>
          <w:ilvl w:val="0"/>
          <w:numId w:val="14"/>
        </w:numPr>
        <w:tabs>
          <w:tab w:val="num" w:pos="1800"/>
        </w:tabs>
        <w:rPr>
          <w:szCs w:val="24"/>
        </w:rPr>
      </w:pPr>
      <w:r w:rsidRPr="004A608D">
        <w:rPr>
          <w:szCs w:val="24"/>
        </w:rPr>
        <w:t>A reminder notic</w:t>
      </w:r>
      <w:r w:rsidR="000731A0">
        <w:rPr>
          <w:szCs w:val="24"/>
        </w:rPr>
        <w:t xml:space="preserve">e distributed to </w:t>
      </w:r>
      <w:proofErr w:type="spellStart"/>
      <w:r w:rsidR="000731A0">
        <w:rPr>
          <w:szCs w:val="24"/>
        </w:rPr>
        <w:t>nonrespondents</w:t>
      </w:r>
      <w:proofErr w:type="spellEnd"/>
    </w:p>
    <w:p w:rsidR="004A608D" w:rsidRPr="004A608D" w:rsidRDefault="006343A5" w:rsidP="004A608D">
      <w:pPr>
        <w:pStyle w:val="ListParagraph"/>
        <w:numPr>
          <w:ilvl w:val="0"/>
          <w:numId w:val="14"/>
        </w:numPr>
        <w:tabs>
          <w:tab w:val="num" w:pos="1800"/>
        </w:tabs>
        <w:rPr>
          <w:szCs w:val="24"/>
        </w:rPr>
      </w:pPr>
      <w:r w:rsidRPr="004A608D">
        <w:rPr>
          <w:szCs w:val="24"/>
        </w:rPr>
        <w:t>Distribution of a second q</w:t>
      </w:r>
      <w:r w:rsidR="000731A0">
        <w:rPr>
          <w:szCs w:val="24"/>
        </w:rPr>
        <w:t xml:space="preserve">uestionnaire to </w:t>
      </w:r>
      <w:proofErr w:type="spellStart"/>
      <w:r w:rsidR="000731A0">
        <w:rPr>
          <w:szCs w:val="24"/>
        </w:rPr>
        <w:t>nonrespondents</w:t>
      </w:r>
      <w:proofErr w:type="spellEnd"/>
      <w:r w:rsidR="000731A0">
        <w:rPr>
          <w:szCs w:val="24"/>
        </w:rPr>
        <w:t xml:space="preserve"> </w:t>
      </w:r>
    </w:p>
    <w:p w:rsidR="004A608D" w:rsidRDefault="004A608D" w:rsidP="006343A5">
      <w:pPr>
        <w:ind w:left="360"/>
        <w:rPr>
          <w:b/>
          <w:szCs w:val="24"/>
        </w:rPr>
      </w:pPr>
    </w:p>
    <w:p w:rsidR="004A608D" w:rsidRDefault="004A608D" w:rsidP="004A608D">
      <w:pPr>
        <w:rPr>
          <w:szCs w:val="24"/>
        </w:rPr>
      </w:pPr>
    </w:p>
    <w:p w:rsidR="004A608D" w:rsidRPr="006B11D0" w:rsidRDefault="006343A5" w:rsidP="006B11D0">
      <w:pPr>
        <w:pStyle w:val="Heading2"/>
      </w:pPr>
      <w:bookmarkStart w:id="4" w:name="_Toc351024113"/>
      <w:r w:rsidRPr="006B11D0">
        <w:t>3.  Methods to Maximize Response Rate</w:t>
      </w:r>
      <w:bookmarkEnd w:id="4"/>
      <w:r w:rsidRPr="006B11D0">
        <w:t xml:space="preserve"> </w:t>
      </w:r>
    </w:p>
    <w:p w:rsidR="004A608D" w:rsidRDefault="004A608D" w:rsidP="004A608D">
      <w:pPr>
        <w:rPr>
          <w:szCs w:val="24"/>
        </w:rPr>
      </w:pPr>
    </w:p>
    <w:p w:rsidR="005C5788" w:rsidRDefault="005C53E2" w:rsidP="003576F7">
      <w:pPr>
        <w:ind w:left="360"/>
        <w:rPr>
          <w:szCs w:val="24"/>
        </w:rPr>
      </w:pPr>
      <w:proofErr w:type="gramStart"/>
      <w:r>
        <w:rPr>
          <w:b/>
          <w:szCs w:val="24"/>
        </w:rPr>
        <w:t>Cognitive Interviews</w:t>
      </w:r>
      <w:r w:rsidR="006343A5" w:rsidRPr="004A608D">
        <w:rPr>
          <w:szCs w:val="24"/>
        </w:rPr>
        <w:t>.</w:t>
      </w:r>
      <w:proofErr w:type="gramEnd"/>
      <w:r w:rsidR="006343A5" w:rsidRPr="004A608D">
        <w:rPr>
          <w:szCs w:val="24"/>
        </w:rPr>
        <w:t xml:space="preserve"> </w:t>
      </w:r>
      <w:r w:rsidR="00444032" w:rsidRPr="004A608D">
        <w:rPr>
          <w:szCs w:val="24"/>
        </w:rPr>
        <w:t xml:space="preserve"> Cognitive interview participants will receive cash remuneration ($</w:t>
      </w:r>
      <w:r w:rsidR="00B46A9B">
        <w:rPr>
          <w:szCs w:val="24"/>
        </w:rPr>
        <w:t>200</w:t>
      </w:r>
      <w:r w:rsidR="00444032" w:rsidRPr="004A608D">
        <w:rPr>
          <w:szCs w:val="24"/>
        </w:rPr>
        <w:t xml:space="preserve"> for </w:t>
      </w:r>
      <w:r w:rsidR="00B46A9B">
        <w:rPr>
          <w:szCs w:val="24"/>
        </w:rPr>
        <w:t xml:space="preserve">physicians </w:t>
      </w:r>
      <w:r w:rsidR="00444032" w:rsidRPr="004A608D">
        <w:rPr>
          <w:szCs w:val="24"/>
        </w:rPr>
        <w:t xml:space="preserve">and $100 cash for other staff). In addition, </w:t>
      </w:r>
      <w:r w:rsidR="006343A5" w:rsidRPr="004A608D">
        <w:rPr>
          <w:szCs w:val="24"/>
        </w:rPr>
        <w:t xml:space="preserve">we are following up with a reminder notice and second questionnaire to </w:t>
      </w:r>
      <w:proofErr w:type="spellStart"/>
      <w:r w:rsidR="006343A5" w:rsidRPr="004A608D">
        <w:rPr>
          <w:szCs w:val="24"/>
        </w:rPr>
        <w:t>nonrespondents</w:t>
      </w:r>
      <w:proofErr w:type="spellEnd"/>
      <w:r w:rsidR="006343A5" w:rsidRPr="004A608D">
        <w:rPr>
          <w:szCs w:val="24"/>
        </w:rPr>
        <w:t xml:space="preserve"> in </w:t>
      </w:r>
      <w:r w:rsidR="003576F7">
        <w:rPr>
          <w:szCs w:val="24"/>
        </w:rPr>
        <w:t>ASCs</w:t>
      </w:r>
      <w:r w:rsidR="006343A5" w:rsidRPr="004A608D">
        <w:rPr>
          <w:szCs w:val="24"/>
        </w:rPr>
        <w:t xml:space="preserve">. </w:t>
      </w:r>
    </w:p>
    <w:p w:rsidR="005C53E2" w:rsidRDefault="005C53E2" w:rsidP="003576F7">
      <w:pPr>
        <w:ind w:left="360"/>
        <w:rPr>
          <w:szCs w:val="24"/>
        </w:rPr>
      </w:pPr>
    </w:p>
    <w:p w:rsidR="005C53E2" w:rsidRDefault="005C53E2" w:rsidP="003576F7">
      <w:pPr>
        <w:ind w:left="360"/>
        <w:rPr>
          <w:szCs w:val="24"/>
        </w:rPr>
      </w:pPr>
      <w:proofErr w:type="gramStart"/>
      <w:r w:rsidRPr="005C53E2">
        <w:rPr>
          <w:b/>
          <w:szCs w:val="24"/>
        </w:rPr>
        <w:t>Survey</w:t>
      </w:r>
      <w:r>
        <w:rPr>
          <w:szCs w:val="24"/>
        </w:rPr>
        <w:t>.</w:t>
      </w:r>
      <w:proofErr w:type="gramEnd"/>
      <w:r>
        <w:rPr>
          <w:szCs w:val="24"/>
        </w:rPr>
        <w:t xml:space="preserve">  </w:t>
      </w:r>
      <w:r w:rsidR="00112557">
        <w:rPr>
          <w:szCs w:val="24"/>
        </w:rPr>
        <w:t xml:space="preserve"> </w:t>
      </w:r>
      <w:r>
        <w:rPr>
          <w:szCs w:val="24"/>
        </w:rPr>
        <w:t xml:space="preserve">We are following up with a reminder notice and second questionnaire to </w:t>
      </w:r>
      <w:proofErr w:type="spellStart"/>
      <w:r>
        <w:rPr>
          <w:szCs w:val="24"/>
        </w:rPr>
        <w:t>nonrespondents</w:t>
      </w:r>
      <w:proofErr w:type="spellEnd"/>
      <w:r>
        <w:rPr>
          <w:szCs w:val="24"/>
        </w:rPr>
        <w:t xml:space="preserve"> in the ACSs.</w:t>
      </w:r>
    </w:p>
    <w:p w:rsidR="005C5788" w:rsidRDefault="006343A5" w:rsidP="006B11D0">
      <w:pPr>
        <w:pStyle w:val="Heading2"/>
      </w:pPr>
      <w:bookmarkStart w:id="5" w:name="_Toc351024114"/>
      <w:r w:rsidRPr="00142249">
        <w:t xml:space="preserve">4.  </w:t>
      </w:r>
      <w:r w:rsidRPr="00865A00">
        <w:t>Tests of Procedures</w:t>
      </w:r>
      <w:bookmarkEnd w:id="5"/>
      <w:r>
        <w:t xml:space="preserve">  </w:t>
      </w:r>
      <w:r w:rsidR="005C5788">
        <w:br/>
      </w:r>
    </w:p>
    <w:p w:rsidR="005C5788" w:rsidRDefault="006343A5" w:rsidP="003576F7">
      <w:pPr>
        <w:ind w:left="360"/>
        <w:rPr>
          <w:szCs w:val="24"/>
        </w:rPr>
      </w:pPr>
      <w:r w:rsidRPr="00142249">
        <w:rPr>
          <w:szCs w:val="24"/>
        </w:rPr>
        <w:t>The procedures for this specific project have not been subjected</w:t>
      </w:r>
      <w:r w:rsidR="00942CDF">
        <w:rPr>
          <w:szCs w:val="24"/>
        </w:rPr>
        <w:t xml:space="preserve"> to testing. </w:t>
      </w:r>
      <w:r w:rsidR="00733A5E">
        <w:rPr>
          <w:szCs w:val="24"/>
        </w:rPr>
        <w:t>However, both HRET and</w:t>
      </w:r>
      <w:r w:rsidRPr="00142249">
        <w:rPr>
          <w:szCs w:val="24"/>
        </w:rPr>
        <w:t xml:space="preserve"> Westat ha</w:t>
      </w:r>
      <w:r w:rsidR="00733A5E">
        <w:rPr>
          <w:szCs w:val="24"/>
        </w:rPr>
        <w:t>ve</w:t>
      </w:r>
      <w:r w:rsidRPr="00142249">
        <w:rPr>
          <w:szCs w:val="24"/>
        </w:rPr>
        <w:t xml:space="preserve"> conduc</w:t>
      </w:r>
      <w:r w:rsidR="00733A5E">
        <w:rPr>
          <w:szCs w:val="24"/>
        </w:rPr>
        <w:t>ted many similar projects and are using well-</w:t>
      </w:r>
      <w:r w:rsidRPr="00142249">
        <w:rPr>
          <w:szCs w:val="24"/>
        </w:rPr>
        <w:t xml:space="preserve">established research methods with this project. </w:t>
      </w:r>
    </w:p>
    <w:p w:rsidR="005C5788" w:rsidRDefault="005C5788" w:rsidP="006343A5">
      <w:pPr>
        <w:rPr>
          <w:szCs w:val="24"/>
        </w:rPr>
      </w:pPr>
    </w:p>
    <w:p w:rsidR="005C5788" w:rsidRDefault="006343A5" w:rsidP="006B11D0">
      <w:pPr>
        <w:pStyle w:val="Heading2"/>
      </w:pPr>
      <w:bookmarkStart w:id="6" w:name="_Toc351024115"/>
      <w:r w:rsidRPr="00142249">
        <w:lastRenderedPageBreak/>
        <w:t xml:space="preserve">5.  </w:t>
      </w:r>
      <w:r w:rsidRPr="00865A00">
        <w:t>Statistical Consultation and Independent Review</w:t>
      </w:r>
      <w:bookmarkEnd w:id="6"/>
      <w:r>
        <w:t xml:space="preserve"> </w:t>
      </w:r>
    </w:p>
    <w:p w:rsidR="005C5788" w:rsidRDefault="006343A5" w:rsidP="006343A5">
      <w:pPr>
        <w:rPr>
          <w:szCs w:val="24"/>
        </w:rPr>
      </w:pPr>
      <w:r>
        <w:rPr>
          <w:szCs w:val="24"/>
        </w:rPr>
        <w:t xml:space="preserve"> </w:t>
      </w:r>
    </w:p>
    <w:p w:rsidR="005C5788" w:rsidRDefault="006343A5" w:rsidP="003576F7">
      <w:pPr>
        <w:ind w:left="360"/>
        <w:rPr>
          <w:szCs w:val="24"/>
        </w:rPr>
      </w:pPr>
      <w:r w:rsidRPr="00142249">
        <w:rPr>
          <w:szCs w:val="24"/>
        </w:rPr>
        <w:t xml:space="preserve">Input from statistical analysts was used to develop the study design and plans for data analysis, </w:t>
      </w:r>
      <w:r w:rsidRPr="006977BA">
        <w:rPr>
          <w:szCs w:val="24"/>
        </w:rPr>
        <w:t>including:</w:t>
      </w:r>
      <w:r>
        <w:rPr>
          <w:szCs w:val="24"/>
        </w:rPr>
        <w:t xml:space="preserve">  </w:t>
      </w:r>
    </w:p>
    <w:p w:rsidR="005C5788" w:rsidRDefault="005C5788" w:rsidP="003576F7">
      <w:pPr>
        <w:ind w:left="360"/>
        <w:rPr>
          <w:szCs w:val="24"/>
        </w:rPr>
      </w:pPr>
    </w:p>
    <w:p w:rsidR="005C5788" w:rsidRDefault="006343A5" w:rsidP="003576F7">
      <w:pPr>
        <w:ind w:left="360"/>
        <w:rPr>
          <w:szCs w:val="24"/>
        </w:rPr>
      </w:pPr>
      <w:r w:rsidRPr="006977BA">
        <w:rPr>
          <w:szCs w:val="24"/>
        </w:rPr>
        <w:t>Joann Sorra, PhD, Senior Study Director, Westat, 301-294-3933</w:t>
      </w:r>
      <w:r>
        <w:rPr>
          <w:szCs w:val="24"/>
        </w:rPr>
        <w:t xml:space="preserve"> </w:t>
      </w:r>
    </w:p>
    <w:p w:rsidR="00D27A26" w:rsidRDefault="004838F9" w:rsidP="003576F7">
      <w:pPr>
        <w:ind w:left="360"/>
        <w:rPr>
          <w:szCs w:val="24"/>
        </w:rPr>
      </w:pPr>
      <w:r>
        <w:rPr>
          <w:szCs w:val="24"/>
        </w:rPr>
        <w:t>Scott Smith</w:t>
      </w:r>
      <w:r w:rsidR="006343A5" w:rsidRPr="006977BA">
        <w:rPr>
          <w:szCs w:val="24"/>
        </w:rPr>
        <w:t xml:space="preserve">, PhD, </w:t>
      </w:r>
      <w:r>
        <w:rPr>
          <w:szCs w:val="24"/>
        </w:rPr>
        <w:t>Research Associate</w:t>
      </w:r>
      <w:r w:rsidR="006343A5" w:rsidRPr="006977BA">
        <w:rPr>
          <w:szCs w:val="24"/>
        </w:rPr>
        <w:t>, Westat, 301-</w:t>
      </w:r>
      <w:r>
        <w:rPr>
          <w:szCs w:val="24"/>
        </w:rPr>
        <w:t>251-8288</w:t>
      </w:r>
    </w:p>
    <w:p w:rsidR="000E6375" w:rsidRDefault="000E6375" w:rsidP="00D27A26"/>
    <w:sectPr w:rsidR="000E6375" w:rsidSect="00D435D6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99" w:rsidRDefault="00D55599" w:rsidP="0034349B">
      <w:r>
        <w:separator/>
      </w:r>
    </w:p>
  </w:endnote>
  <w:endnote w:type="continuationSeparator" w:id="0">
    <w:p w:rsidR="00D55599" w:rsidRDefault="00D55599" w:rsidP="0034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180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1ED" w:rsidRDefault="000446A4">
        <w:pPr>
          <w:pStyle w:val="Footer"/>
          <w:jc w:val="center"/>
        </w:pPr>
        <w:r>
          <w:fldChar w:fldCharType="begin"/>
        </w:r>
        <w:r w:rsidR="00A02CF5">
          <w:instrText xml:space="preserve"> PAGE   \* MERGEFORMAT </w:instrText>
        </w:r>
        <w:r>
          <w:fldChar w:fldCharType="separate"/>
        </w:r>
        <w:r w:rsidR="00CC4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11ED" w:rsidRDefault="008011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99" w:rsidRDefault="00D55599" w:rsidP="0034349B">
      <w:r>
        <w:separator/>
      </w:r>
    </w:p>
  </w:footnote>
  <w:footnote w:type="continuationSeparator" w:id="0">
    <w:p w:rsidR="00D55599" w:rsidRDefault="00D55599" w:rsidP="00343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0E9F"/>
    <w:multiLevelType w:val="multilevel"/>
    <w:tmpl w:val="387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63EAA"/>
    <w:multiLevelType w:val="hybridMultilevel"/>
    <w:tmpl w:val="66924A72"/>
    <w:lvl w:ilvl="0" w:tplc="7AB264A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25D0E"/>
    <w:multiLevelType w:val="hybridMultilevel"/>
    <w:tmpl w:val="5336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2209D"/>
    <w:multiLevelType w:val="hybridMultilevel"/>
    <w:tmpl w:val="D56E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D3D89"/>
    <w:multiLevelType w:val="hybridMultilevel"/>
    <w:tmpl w:val="028E7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B73DD0"/>
    <w:multiLevelType w:val="hybridMultilevel"/>
    <w:tmpl w:val="0FCE91C8"/>
    <w:lvl w:ilvl="0" w:tplc="BF20B4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F55FEC"/>
    <w:multiLevelType w:val="hybridMultilevel"/>
    <w:tmpl w:val="9302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A1A8E"/>
    <w:multiLevelType w:val="hybridMultilevel"/>
    <w:tmpl w:val="8AA6696C"/>
    <w:lvl w:ilvl="0" w:tplc="BB60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A4566"/>
    <w:multiLevelType w:val="hybridMultilevel"/>
    <w:tmpl w:val="59CEB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0456F"/>
    <w:multiLevelType w:val="hybridMultilevel"/>
    <w:tmpl w:val="0644D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B26FE7"/>
    <w:multiLevelType w:val="hybridMultilevel"/>
    <w:tmpl w:val="3AA4F2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3963D4"/>
    <w:multiLevelType w:val="hybridMultilevel"/>
    <w:tmpl w:val="09D6D6CE"/>
    <w:lvl w:ilvl="0" w:tplc="BF20B4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70093C"/>
    <w:multiLevelType w:val="hybridMultilevel"/>
    <w:tmpl w:val="C1FC7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441EB8"/>
    <w:multiLevelType w:val="hybridMultilevel"/>
    <w:tmpl w:val="D542D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3A5"/>
    <w:rsid w:val="000224E1"/>
    <w:rsid w:val="00036019"/>
    <w:rsid w:val="00037CF5"/>
    <w:rsid w:val="00042112"/>
    <w:rsid w:val="00042B87"/>
    <w:rsid w:val="000446A4"/>
    <w:rsid w:val="00050C55"/>
    <w:rsid w:val="00071AF2"/>
    <w:rsid w:val="000731A0"/>
    <w:rsid w:val="00096326"/>
    <w:rsid w:val="000A3187"/>
    <w:rsid w:val="000D20C8"/>
    <w:rsid w:val="000D5416"/>
    <w:rsid w:val="000D701E"/>
    <w:rsid w:val="000E6375"/>
    <w:rsid w:val="00106165"/>
    <w:rsid w:val="00112557"/>
    <w:rsid w:val="00116CF4"/>
    <w:rsid w:val="0016189D"/>
    <w:rsid w:val="001729DC"/>
    <w:rsid w:val="00173F0C"/>
    <w:rsid w:val="001C6BF3"/>
    <w:rsid w:val="00205D83"/>
    <w:rsid w:val="0022455D"/>
    <w:rsid w:val="002533E3"/>
    <w:rsid w:val="00262D8E"/>
    <w:rsid w:val="00295388"/>
    <w:rsid w:val="002E35A0"/>
    <w:rsid w:val="00332DEB"/>
    <w:rsid w:val="003376F8"/>
    <w:rsid w:val="0034349B"/>
    <w:rsid w:val="003576F7"/>
    <w:rsid w:val="00396A98"/>
    <w:rsid w:val="003B6950"/>
    <w:rsid w:val="003E6F48"/>
    <w:rsid w:val="00400BF6"/>
    <w:rsid w:val="0040544D"/>
    <w:rsid w:val="00410EF2"/>
    <w:rsid w:val="00421560"/>
    <w:rsid w:val="00444032"/>
    <w:rsid w:val="00464BDC"/>
    <w:rsid w:val="004838F9"/>
    <w:rsid w:val="00486506"/>
    <w:rsid w:val="004A608D"/>
    <w:rsid w:val="004B4EB0"/>
    <w:rsid w:val="004C36D7"/>
    <w:rsid w:val="004E1AC5"/>
    <w:rsid w:val="004E48B8"/>
    <w:rsid w:val="004F022F"/>
    <w:rsid w:val="004F3C32"/>
    <w:rsid w:val="00502425"/>
    <w:rsid w:val="005257C0"/>
    <w:rsid w:val="0053584B"/>
    <w:rsid w:val="00563660"/>
    <w:rsid w:val="0057406D"/>
    <w:rsid w:val="0057669E"/>
    <w:rsid w:val="0057768C"/>
    <w:rsid w:val="005C53E2"/>
    <w:rsid w:val="005C5788"/>
    <w:rsid w:val="005D6F95"/>
    <w:rsid w:val="006053D2"/>
    <w:rsid w:val="00633251"/>
    <w:rsid w:val="006332DA"/>
    <w:rsid w:val="006343A5"/>
    <w:rsid w:val="00635426"/>
    <w:rsid w:val="00636728"/>
    <w:rsid w:val="006512B2"/>
    <w:rsid w:val="006952FB"/>
    <w:rsid w:val="006A36E4"/>
    <w:rsid w:val="006B11D0"/>
    <w:rsid w:val="006B5271"/>
    <w:rsid w:val="006D5141"/>
    <w:rsid w:val="006E0268"/>
    <w:rsid w:val="00721DD2"/>
    <w:rsid w:val="00733A5E"/>
    <w:rsid w:val="00736448"/>
    <w:rsid w:val="007441F9"/>
    <w:rsid w:val="00751A9D"/>
    <w:rsid w:val="007831F1"/>
    <w:rsid w:val="007877AC"/>
    <w:rsid w:val="00787C36"/>
    <w:rsid w:val="00795562"/>
    <w:rsid w:val="007F230F"/>
    <w:rsid w:val="008011ED"/>
    <w:rsid w:val="00815053"/>
    <w:rsid w:val="008317B4"/>
    <w:rsid w:val="00865A00"/>
    <w:rsid w:val="0088562C"/>
    <w:rsid w:val="008A2EAC"/>
    <w:rsid w:val="008F3F95"/>
    <w:rsid w:val="00901ABB"/>
    <w:rsid w:val="00914452"/>
    <w:rsid w:val="009144B7"/>
    <w:rsid w:val="00942CDF"/>
    <w:rsid w:val="00947F2C"/>
    <w:rsid w:val="009542C2"/>
    <w:rsid w:val="009D1B4D"/>
    <w:rsid w:val="00A02CF5"/>
    <w:rsid w:val="00A15061"/>
    <w:rsid w:val="00A31726"/>
    <w:rsid w:val="00A4614A"/>
    <w:rsid w:val="00A503EE"/>
    <w:rsid w:val="00A704C4"/>
    <w:rsid w:val="00A87F35"/>
    <w:rsid w:val="00AB789F"/>
    <w:rsid w:val="00AC492A"/>
    <w:rsid w:val="00AE40EE"/>
    <w:rsid w:val="00AF2D9E"/>
    <w:rsid w:val="00AF5915"/>
    <w:rsid w:val="00AF7ED8"/>
    <w:rsid w:val="00B30277"/>
    <w:rsid w:val="00B442B3"/>
    <w:rsid w:val="00B46A9B"/>
    <w:rsid w:val="00B70F08"/>
    <w:rsid w:val="00B73D1C"/>
    <w:rsid w:val="00B80DD1"/>
    <w:rsid w:val="00BA28E8"/>
    <w:rsid w:val="00BB458E"/>
    <w:rsid w:val="00BD0393"/>
    <w:rsid w:val="00C03CFB"/>
    <w:rsid w:val="00C11EC2"/>
    <w:rsid w:val="00C16E73"/>
    <w:rsid w:val="00C430A3"/>
    <w:rsid w:val="00CC419C"/>
    <w:rsid w:val="00CC4990"/>
    <w:rsid w:val="00CD6A4D"/>
    <w:rsid w:val="00CE3580"/>
    <w:rsid w:val="00D1535F"/>
    <w:rsid w:val="00D27A26"/>
    <w:rsid w:val="00D36F9D"/>
    <w:rsid w:val="00D435D6"/>
    <w:rsid w:val="00D55599"/>
    <w:rsid w:val="00D63FF5"/>
    <w:rsid w:val="00D77EBE"/>
    <w:rsid w:val="00D82515"/>
    <w:rsid w:val="00D93124"/>
    <w:rsid w:val="00D97C42"/>
    <w:rsid w:val="00DE3813"/>
    <w:rsid w:val="00DF1198"/>
    <w:rsid w:val="00E13B26"/>
    <w:rsid w:val="00E21D44"/>
    <w:rsid w:val="00E22DB0"/>
    <w:rsid w:val="00E258C4"/>
    <w:rsid w:val="00E66AE1"/>
    <w:rsid w:val="00E853BD"/>
    <w:rsid w:val="00EB15B6"/>
    <w:rsid w:val="00EE4EC4"/>
    <w:rsid w:val="00EF3493"/>
    <w:rsid w:val="00F137E2"/>
    <w:rsid w:val="00F300E4"/>
    <w:rsid w:val="00F5319C"/>
    <w:rsid w:val="00F613BE"/>
    <w:rsid w:val="00F80480"/>
    <w:rsid w:val="00F80C0C"/>
    <w:rsid w:val="00FD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A5"/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11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11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A608D"/>
    <w:pPr>
      <w:ind w:left="360"/>
    </w:pPr>
    <w:rPr>
      <w:rFonts w:ascii="Garamond" w:hAnsi="Garamond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43A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43A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43A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343A5"/>
    <w:pPr>
      <w:spacing w:line="276" w:lineRule="auto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343A5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34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3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3A5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43A5"/>
    <w:pPr>
      <w:ind w:left="720"/>
      <w:contextualSpacing/>
    </w:pPr>
  </w:style>
  <w:style w:type="paragraph" w:customStyle="1" w:styleId="Default">
    <w:name w:val="Default"/>
    <w:rsid w:val="006343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3A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6343A5"/>
  </w:style>
  <w:style w:type="paragraph" w:styleId="BalloonText">
    <w:name w:val="Balloon Text"/>
    <w:basedOn w:val="Normal"/>
    <w:link w:val="BalloonTextChar"/>
    <w:uiPriority w:val="99"/>
    <w:semiHidden/>
    <w:unhideWhenUsed/>
    <w:rsid w:val="0063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49B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49B"/>
    <w:rPr>
      <w:rFonts w:ascii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8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8E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35D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435D6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A5"/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11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11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A608D"/>
    <w:pPr>
      <w:ind w:left="360"/>
    </w:pPr>
    <w:rPr>
      <w:rFonts w:ascii="Garamond" w:hAnsi="Garamond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43A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43A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43A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343A5"/>
    <w:pPr>
      <w:spacing w:line="276" w:lineRule="auto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table" w:styleId="TableGrid">
    <w:name w:val="Table Grid"/>
    <w:basedOn w:val="TableNormal"/>
    <w:uiPriority w:val="59"/>
    <w:rsid w:val="006343A5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34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3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3A5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43A5"/>
    <w:pPr>
      <w:ind w:left="720"/>
      <w:contextualSpacing/>
    </w:pPr>
  </w:style>
  <w:style w:type="paragraph" w:customStyle="1" w:styleId="Default">
    <w:name w:val="Default"/>
    <w:rsid w:val="006343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3A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6343A5"/>
  </w:style>
  <w:style w:type="paragraph" w:styleId="BalloonText">
    <w:name w:val="Balloon Text"/>
    <w:basedOn w:val="Normal"/>
    <w:link w:val="BalloonTextChar"/>
    <w:uiPriority w:val="99"/>
    <w:semiHidden/>
    <w:unhideWhenUsed/>
    <w:rsid w:val="0063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49B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49B"/>
    <w:rPr>
      <w:rFonts w:ascii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8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8E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35D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435D6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3566-9808-41E6-8774-B2E88FA7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kkenward</dc:creator>
  <cp:lastModifiedBy>DHHS</cp:lastModifiedBy>
  <cp:revision>2</cp:revision>
  <dcterms:created xsi:type="dcterms:W3CDTF">2013-07-19T15:40:00Z</dcterms:created>
  <dcterms:modified xsi:type="dcterms:W3CDTF">2013-07-19T15:40:00Z</dcterms:modified>
</cp:coreProperties>
</file>