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EC9" w:rsidRPr="008B098A" w:rsidRDefault="00BC4EC9" w:rsidP="00BC4EC9">
      <w:pPr>
        <w:jc w:val="center"/>
        <w:rPr>
          <w:b/>
          <w:sz w:val="28"/>
          <w:szCs w:val="28"/>
        </w:rPr>
      </w:pPr>
      <w:r w:rsidRPr="008B098A">
        <w:rPr>
          <w:b/>
          <w:sz w:val="28"/>
          <w:szCs w:val="28"/>
        </w:rPr>
        <w:t>SUPPORTING STATEMENT</w:t>
      </w:r>
    </w:p>
    <w:p w:rsidR="00BC4EC9" w:rsidRPr="008B098A" w:rsidRDefault="00BC4EC9" w:rsidP="00BC4EC9">
      <w:pPr>
        <w:jc w:val="center"/>
        <w:rPr>
          <w:b/>
          <w:sz w:val="28"/>
          <w:szCs w:val="28"/>
        </w:rPr>
      </w:pPr>
    </w:p>
    <w:p w:rsidR="00BC4EC9" w:rsidRPr="008B098A" w:rsidRDefault="00BC4EC9" w:rsidP="00BC4EC9">
      <w:pPr>
        <w:jc w:val="center"/>
        <w:rPr>
          <w:sz w:val="28"/>
          <w:szCs w:val="28"/>
        </w:rPr>
      </w:pPr>
      <w:r w:rsidRPr="008B098A">
        <w:rPr>
          <w:b/>
          <w:sz w:val="28"/>
          <w:szCs w:val="28"/>
        </w:rPr>
        <w:t>Part A</w:t>
      </w: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3661CC" w:rsidP="008C1873">
      <w:pPr>
        <w:jc w:val="center"/>
        <w:rPr>
          <w:b/>
          <w:sz w:val="28"/>
          <w:szCs w:val="28"/>
        </w:rPr>
      </w:pPr>
      <w:r>
        <w:rPr>
          <w:b/>
          <w:sz w:val="28"/>
          <w:szCs w:val="28"/>
        </w:rPr>
        <w:t>Pret</w:t>
      </w:r>
      <w:r w:rsidR="00BC4EC9" w:rsidRPr="008B098A">
        <w:rPr>
          <w:b/>
          <w:sz w:val="28"/>
          <w:szCs w:val="28"/>
        </w:rPr>
        <w:t xml:space="preserve">est of the </w:t>
      </w:r>
      <w:r w:rsidR="008C1873">
        <w:rPr>
          <w:b/>
          <w:sz w:val="28"/>
          <w:szCs w:val="28"/>
        </w:rPr>
        <w:t>Ambulatory Surgery</w:t>
      </w:r>
      <w:r w:rsidR="00540890">
        <w:rPr>
          <w:b/>
          <w:sz w:val="28"/>
          <w:szCs w:val="28"/>
        </w:rPr>
        <w:t>/Procedure</w:t>
      </w:r>
      <w:r w:rsidR="008C1873">
        <w:rPr>
          <w:b/>
          <w:sz w:val="28"/>
          <w:szCs w:val="28"/>
        </w:rPr>
        <w:t xml:space="preserve"> </w:t>
      </w:r>
      <w:r w:rsidR="007B4822">
        <w:rPr>
          <w:b/>
          <w:sz w:val="28"/>
          <w:szCs w:val="28"/>
        </w:rPr>
        <w:t xml:space="preserve">Survey on </w:t>
      </w:r>
      <w:r w:rsidR="008C1873">
        <w:rPr>
          <w:b/>
          <w:sz w:val="28"/>
          <w:szCs w:val="28"/>
        </w:rPr>
        <w:t>Patient Safety Culture</w:t>
      </w:r>
      <w:r w:rsidR="00DC506A" w:rsidRPr="00301D71">
        <w:rPr>
          <w:b/>
          <w:sz w:val="28"/>
          <w:szCs w:val="28"/>
        </w:rPr>
        <w:t xml:space="preserve"> </w:t>
      </w:r>
    </w:p>
    <w:p w:rsidR="00BC4EC9" w:rsidRPr="008B098A" w:rsidRDefault="00BC4EC9" w:rsidP="00BC4EC9">
      <w:pPr>
        <w:jc w:val="center"/>
        <w:rPr>
          <w:i/>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b/>
          <w:sz w:val="28"/>
          <w:szCs w:val="28"/>
        </w:rPr>
      </w:pPr>
      <w:r w:rsidRPr="008B098A">
        <w:rPr>
          <w:b/>
          <w:sz w:val="28"/>
          <w:szCs w:val="28"/>
        </w:rPr>
        <w:t xml:space="preserve">Version: </w:t>
      </w:r>
      <w:r w:rsidR="00A200D3">
        <w:rPr>
          <w:b/>
          <w:sz w:val="28"/>
          <w:szCs w:val="28"/>
        </w:rPr>
        <w:t xml:space="preserve">June </w:t>
      </w:r>
      <w:r w:rsidR="00210633">
        <w:rPr>
          <w:b/>
          <w:sz w:val="28"/>
          <w:szCs w:val="28"/>
        </w:rPr>
        <w:t>10</w:t>
      </w:r>
      <w:r w:rsidR="00557A75" w:rsidRPr="00031578">
        <w:rPr>
          <w:b/>
          <w:sz w:val="28"/>
          <w:szCs w:val="28"/>
        </w:rPr>
        <w:t>,</w:t>
      </w:r>
      <w:r w:rsidR="008C1873">
        <w:rPr>
          <w:b/>
          <w:sz w:val="28"/>
          <w:szCs w:val="28"/>
        </w:rPr>
        <w:t xml:space="preserve"> 2013</w:t>
      </w:r>
    </w:p>
    <w:p w:rsidR="00BC4EC9" w:rsidRPr="008B098A" w:rsidRDefault="00BC4EC9" w:rsidP="00BC4EC9">
      <w:pPr>
        <w:jc w:val="center"/>
        <w:rPr>
          <w:i/>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r w:rsidRPr="008B098A">
        <w:rPr>
          <w:sz w:val="28"/>
          <w:szCs w:val="28"/>
        </w:rPr>
        <w:t>Agency for Healthcare Research and Quality (AHRQ)</w:t>
      </w:r>
    </w:p>
    <w:p w:rsidR="00BC4EC9" w:rsidRPr="00BC4EC9" w:rsidRDefault="00BC4EC9" w:rsidP="00BC4EC9">
      <w:pPr>
        <w:rPr>
          <w:sz w:val="28"/>
          <w:szCs w:val="28"/>
          <w:highlight w:val="yellow"/>
        </w:rPr>
      </w:pPr>
    </w:p>
    <w:p w:rsidR="00BC4EC9" w:rsidRPr="00BC4EC9" w:rsidRDefault="00BC4EC9" w:rsidP="00BC4EC9">
      <w:pPr>
        <w:rPr>
          <w:sz w:val="28"/>
          <w:szCs w:val="28"/>
          <w:highlight w:val="yellow"/>
        </w:rPr>
      </w:pPr>
    </w:p>
    <w:p w:rsidR="00BC4EC9" w:rsidRPr="00BC4EC9" w:rsidRDefault="00BC4EC9" w:rsidP="00BC4EC9">
      <w:pPr>
        <w:rPr>
          <w:b/>
          <w:szCs w:val="24"/>
          <w:highlight w:val="yellow"/>
        </w:rPr>
      </w:pPr>
      <w:r w:rsidRPr="00BC4EC9">
        <w:rPr>
          <w:highlight w:val="yellow"/>
        </w:rPr>
        <w:br w:type="page"/>
      </w:r>
    </w:p>
    <w:sdt>
      <w:sdtPr>
        <w:rPr>
          <w:rFonts w:ascii="Times New Roman" w:eastAsia="Times New Roman" w:hAnsi="Times New Roman" w:cs="Times New Roman"/>
          <w:b w:val="0"/>
          <w:bCs w:val="0"/>
          <w:color w:val="auto"/>
          <w:sz w:val="20"/>
          <w:szCs w:val="20"/>
          <w:highlight w:val="yellow"/>
        </w:rPr>
        <w:id w:val="26770416"/>
        <w:docPartObj>
          <w:docPartGallery w:val="Table of Contents"/>
          <w:docPartUnique/>
        </w:docPartObj>
      </w:sdtPr>
      <w:sdtEndPr>
        <w:rPr>
          <w:sz w:val="24"/>
        </w:rPr>
      </w:sdtEndPr>
      <w:sdtContent>
        <w:p w:rsidR="00BC4EC9" w:rsidRPr="001E70FB" w:rsidRDefault="00BC4EC9" w:rsidP="00BC4EC9">
          <w:pPr>
            <w:pStyle w:val="TOCHeading"/>
            <w:rPr>
              <w:rFonts w:ascii="Times New Roman" w:hAnsi="Times New Roman" w:cs="Times New Roman"/>
            </w:rPr>
          </w:pPr>
          <w:r w:rsidRPr="001E70FB">
            <w:rPr>
              <w:rFonts w:ascii="Times New Roman" w:hAnsi="Times New Roman" w:cs="Times New Roman"/>
            </w:rPr>
            <w:t>Table of Contents</w:t>
          </w:r>
        </w:p>
        <w:p w:rsidR="0094553C" w:rsidRDefault="004760DD">
          <w:pPr>
            <w:pStyle w:val="TOC1"/>
            <w:tabs>
              <w:tab w:val="right" w:leader="dot" w:pos="9350"/>
            </w:tabs>
            <w:rPr>
              <w:rFonts w:asciiTheme="minorHAnsi" w:eastAsiaTheme="minorEastAsia" w:hAnsiTheme="minorHAnsi" w:cstheme="minorBidi"/>
              <w:noProof/>
              <w:sz w:val="22"/>
              <w:szCs w:val="22"/>
            </w:rPr>
          </w:pPr>
          <w:r w:rsidRPr="001E70FB">
            <w:fldChar w:fldCharType="begin"/>
          </w:r>
          <w:r w:rsidR="00BC4EC9" w:rsidRPr="001E70FB">
            <w:instrText xml:space="preserve"> TOC \o "1-3" \h \z \u </w:instrText>
          </w:r>
          <w:r w:rsidRPr="001E70FB">
            <w:fldChar w:fldCharType="separate"/>
          </w:r>
          <w:hyperlink w:anchor="_Toc358273837" w:history="1">
            <w:r w:rsidR="0094553C" w:rsidRPr="008C5393">
              <w:rPr>
                <w:rStyle w:val="Hyperlink"/>
                <w:noProof/>
              </w:rPr>
              <w:t>A.  JUSTIFICATION</w:t>
            </w:r>
            <w:r w:rsidR="0094553C">
              <w:rPr>
                <w:noProof/>
                <w:webHidden/>
              </w:rPr>
              <w:tab/>
            </w:r>
            <w:r>
              <w:rPr>
                <w:noProof/>
                <w:webHidden/>
              </w:rPr>
              <w:fldChar w:fldCharType="begin"/>
            </w:r>
            <w:r w:rsidR="0094553C">
              <w:rPr>
                <w:noProof/>
                <w:webHidden/>
              </w:rPr>
              <w:instrText xml:space="preserve"> PAGEREF _Toc358273837 \h </w:instrText>
            </w:r>
            <w:r>
              <w:rPr>
                <w:noProof/>
                <w:webHidden/>
              </w:rPr>
            </w:r>
            <w:r>
              <w:rPr>
                <w:noProof/>
                <w:webHidden/>
              </w:rPr>
              <w:fldChar w:fldCharType="separate"/>
            </w:r>
            <w:r w:rsidR="00955B0B">
              <w:rPr>
                <w:noProof/>
                <w:webHidden/>
              </w:rPr>
              <w:t>3</w:t>
            </w:r>
            <w:r>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38" w:history="1">
            <w:r w:rsidR="0094553C" w:rsidRPr="008C5393">
              <w:rPr>
                <w:rStyle w:val="Hyperlink"/>
                <w:noProof/>
              </w:rPr>
              <w:t>1.  Need for Information</w:t>
            </w:r>
            <w:r w:rsidR="0094553C">
              <w:rPr>
                <w:noProof/>
                <w:webHidden/>
              </w:rPr>
              <w:tab/>
            </w:r>
            <w:r w:rsidR="004760DD">
              <w:rPr>
                <w:noProof/>
                <w:webHidden/>
              </w:rPr>
              <w:fldChar w:fldCharType="begin"/>
            </w:r>
            <w:r w:rsidR="0094553C">
              <w:rPr>
                <w:noProof/>
                <w:webHidden/>
              </w:rPr>
              <w:instrText xml:space="preserve"> PAGEREF _Toc358273838 \h </w:instrText>
            </w:r>
            <w:r w:rsidR="004760DD">
              <w:rPr>
                <w:noProof/>
                <w:webHidden/>
              </w:rPr>
            </w:r>
            <w:r w:rsidR="004760DD">
              <w:rPr>
                <w:noProof/>
                <w:webHidden/>
              </w:rPr>
              <w:fldChar w:fldCharType="separate"/>
            </w:r>
            <w:r w:rsidR="00955B0B">
              <w:rPr>
                <w:noProof/>
                <w:webHidden/>
              </w:rPr>
              <w:t>3</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39" w:history="1">
            <w:r w:rsidR="0094553C" w:rsidRPr="008C5393">
              <w:rPr>
                <w:rStyle w:val="Hyperlink"/>
                <w:noProof/>
              </w:rPr>
              <w:t>2.  Purpose and use of Information</w:t>
            </w:r>
            <w:r w:rsidR="0094553C">
              <w:rPr>
                <w:noProof/>
                <w:webHidden/>
              </w:rPr>
              <w:tab/>
            </w:r>
            <w:r w:rsidR="004760DD">
              <w:rPr>
                <w:noProof/>
                <w:webHidden/>
              </w:rPr>
              <w:fldChar w:fldCharType="begin"/>
            </w:r>
            <w:r w:rsidR="0094553C">
              <w:rPr>
                <w:noProof/>
                <w:webHidden/>
              </w:rPr>
              <w:instrText xml:space="preserve"> PAGEREF _Toc358273839 \h </w:instrText>
            </w:r>
            <w:r w:rsidR="004760DD">
              <w:rPr>
                <w:noProof/>
                <w:webHidden/>
              </w:rPr>
            </w:r>
            <w:r w:rsidR="004760DD">
              <w:rPr>
                <w:noProof/>
                <w:webHidden/>
              </w:rPr>
              <w:fldChar w:fldCharType="separate"/>
            </w:r>
            <w:r w:rsidR="00955B0B">
              <w:rPr>
                <w:noProof/>
                <w:webHidden/>
              </w:rPr>
              <w:t>5</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40" w:history="1">
            <w:r w:rsidR="0094553C" w:rsidRPr="008C5393">
              <w:rPr>
                <w:rStyle w:val="Hyperlink"/>
                <w:noProof/>
              </w:rPr>
              <w:t>3.  Use of Improved Information Technology</w:t>
            </w:r>
            <w:r w:rsidR="0094553C">
              <w:rPr>
                <w:noProof/>
                <w:webHidden/>
              </w:rPr>
              <w:tab/>
            </w:r>
            <w:r w:rsidR="004760DD">
              <w:rPr>
                <w:noProof/>
                <w:webHidden/>
              </w:rPr>
              <w:fldChar w:fldCharType="begin"/>
            </w:r>
            <w:r w:rsidR="0094553C">
              <w:rPr>
                <w:noProof/>
                <w:webHidden/>
              </w:rPr>
              <w:instrText xml:space="preserve"> PAGEREF _Toc358273840 \h </w:instrText>
            </w:r>
            <w:r w:rsidR="004760DD">
              <w:rPr>
                <w:noProof/>
                <w:webHidden/>
              </w:rPr>
            </w:r>
            <w:r w:rsidR="004760DD">
              <w:rPr>
                <w:noProof/>
                <w:webHidden/>
              </w:rPr>
              <w:fldChar w:fldCharType="separate"/>
            </w:r>
            <w:r w:rsidR="00955B0B">
              <w:rPr>
                <w:noProof/>
                <w:webHidden/>
              </w:rPr>
              <w:t>6</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41" w:history="1">
            <w:r w:rsidR="0094553C" w:rsidRPr="008C5393">
              <w:rPr>
                <w:rStyle w:val="Hyperlink"/>
                <w:noProof/>
              </w:rPr>
              <w:t>4.  Efforts to Avoid Duplication</w:t>
            </w:r>
            <w:r w:rsidR="0094553C">
              <w:rPr>
                <w:noProof/>
                <w:webHidden/>
              </w:rPr>
              <w:tab/>
            </w:r>
            <w:r w:rsidR="004760DD">
              <w:rPr>
                <w:noProof/>
                <w:webHidden/>
              </w:rPr>
              <w:fldChar w:fldCharType="begin"/>
            </w:r>
            <w:r w:rsidR="0094553C">
              <w:rPr>
                <w:noProof/>
                <w:webHidden/>
              </w:rPr>
              <w:instrText xml:space="preserve"> PAGEREF _Toc358273841 \h </w:instrText>
            </w:r>
            <w:r w:rsidR="004760DD">
              <w:rPr>
                <w:noProof/>
                <w:webHidden/>
              </w:rPr>
            </w:r>
            <w:r w:rsidR="004760DD">
              <w:rPr>
                <w:noProof/>
                <w:webHidden/>
              </w:rPr>
              <w:fldChar w:fldCharType="separate"/>
            </w:r>
            <w:r w:rsidR="00955B0B">
              <w:rPr>
                <w:noProof/>
                <w:webHidden/>
              </w:rPr>
              <w:t>6</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42" w:history="1">
            <w:r w:rsidR="0094553C" w:rsidRPr="008C5393">
              <w:rPr>
                <w:rStyle w:val="Hyperlink"/>
                <w:noProof/>
              </w:rPr>
              <w:t>5.  Involvement of Small Businesses</w:t>
            </w:r>
            <w:r w:rsidR="0094553C">
              <w:rPr>
                <w:noProof/>
                <w:webHidden/>
              </w:rPr>
              <w:tab/>
            </w:r>
            <w:r w:rsidR="004760DD">
              <w:rPr>
                <w:noProof/>
                <w:webHidden/>
              </w:rPr>
              <w:fldChar w:fldCharType="begin"/>
            </w:r>
            <w:r w:rsidR="0094553C">
              <w:rPr>
                <w:noProof/>
                <w:webHidden/>
              </w:rPr>
              <w:instrText xml:space="preserve"> PAGEREF _Toc358273842 \h </w:instrText>
            </w:r>
            <w:r w:rsidR="004760DD">
              <w:rPr>
                <w:noProof/>
                <w:webHidden/>
              </w:rPr>
            </w:r>
            <w:r w:rsidR="004760DD">
              <w:rPr>
                <w:noProof/>
                <w:webHidden/>
              </w:rPr>
              <w:fldChar w:fldCharType="separate"/>
            </w:r>
            <w:r w:rsidR="00955B0B">
              <w:rPr>
                <w:noProof/>
                <w:webHidden/>
              </w:rPr>
              <w:t>7</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43" w:history="1">
            <w:r w:rsidR="0094553C" w:rsidRPr="008C5393">
              <w:rPr>
                <w:rStyle w:val="Hyperlink"/>
                <w:noProof/>
              </w:rPr>
              <w:t>6.  Consequences if Information Collected Less Frequently</w:t>
            </w:r>
            <w:r w:rsidR="0094553C">
              <w:rPr>
                <w:noProof/>
                <w:webHidden/>
              </w:rPr>
              <w:tab/>
            </w:r>
            <w:r w:rsidR="004760DD">
              <w:rPr>
                <w:noProof/>
                <w:webHidden/>
              </w:rPr>
              <w:fldChar w:fldCharType="begin"/>
            </w:r>
            <w:r w:rsidR="0094553C">
              <w:rPr>
                <w:noProof/>
                <w:webHidden/>
              </w:rPr>
              <w:instrText xml:space="preserve"> PAGEREF _Toc358273843 \h </w:instrText>
            </w:r>
            <w:r w:rsidR="004760DD">
              <w:rPr>
                <w:noProof/>
                <w:webHidden/>
              </w:rPr>
            </w:r>
            <w:r w:rsidR="004760DD">
              <w:rPr>
                <w:noProof/>
                <w:webHidden/>
              </w:rPr>
              <w:fldChar w:fldCharType="separate"/>
            </w:r>
            <w:r w:rsidR="00955B0B">
              <w:rPr>
                <w:noProof/>
                <w:webHidden/>
              </w:rPr>
              <w:t>7</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44" w:history="1">
            <w:r w:rsidR="0094553C" w:rsidRPr="008C5393">
              <w:rPr>
                <w:rStyle w:val="Hyperlink"/>
                <w:noProof/>
              </w:rPr>
              <w:t>7.  Special Circumstances</w:t>
            </w:r>
            <w:r w:rsidR="0094553C">
              <w:rPr>
                <w:noProof/>
                <w:webHidden/>
              </w:rPr>
              <w:tab/>
            </w:r>
            <w:r w:rsidR="004760DD">
              <w:rPr>
                <w:noProof/>
                <w:webHidden/>
              </w:rPr>
              <w:fldChar w:fldCharType="begin"/>
            </w:r>
            <w:r w:rsidR="0094553C">
              <w:rPr>
                <w:noProof/>
                <w:webHidden/>
              </w:rPr>
              <w:instrText xml:space="preserve"> PAGEREF _Toc358273844 \h </w:instrText>
            </w:r>
            <w:r w:rsidR="004760DD">
              <w:rPr>
                <w:noProof/>
                <w:webHidden/>
              </w:rPr>
            </w:r>
            <w:r w:rsidR="004760DD">
              <w:rPr>
                <w:noProof/>
                <w:webHidden/>
              </w:rPr>
              <w:fldChar w:fldCharType="separate"/>
            </w:r>
            <w:r w:rsidR="00955B0B">
              <w:rPr>
                <w:noProof/>
                <w:webHidden/>
              </w:rPr>
              <w:t>7</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45" w:history="1">
            <w:r w:rsidR="0094553C" w:rsidRPr="008C5393">
              <w:rPr>
                <w:rStyle w:val="Hyperlink"/>
                <w:noProof/>
              </w:rPr>
              <w:t>8.  Federal Register Notice and Outside Consultations</w:t>
            </w:r>
            <w:r w:rsidR="0094553C">
              <w:rPr>
                <w:noProof/>
                <w:webHidden/>
              </w:rPr>
              <w:tab/>
            </w:r>
            <w:r w:rsidR="004760DD">
              <w:rPr>
                <w:noProof/>
                <w:webHidden/>
              </w:rPr>
              <w:fldChar w:fldCharType="begin"/>
            </w:r>
            <w:r w:rsidR="0094553C">
              <w:rPr>
                <w:noProof/>
                <w:webHidden/>
              </w:rPr>
              <w:instrText xml:space="preserve"> PAGEREF _Toc358273845 \h </w:instrText>
            </w:r>
            <w:r w:rsidR="004760DD">
              <w:rPr>
                <w:noProof/>
                <w:webHidden/>
              </w:rPr>
            </w:r>
            <w:r w:rsidR="004760DD">
              <w:rPr>
                <w:noProof/>
                <w:webHidden/>
              </w:rPr>
              <w:fldChar w:fldCharType="separate"/>
            </w:r>
            <w:r w:rsidR="00955B0B">
              <w:rPr>
                <w:noProof/>
                <w:webHidden/>
              </w:rPr>
              <w:t>7</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46" w:history="1">
            <w:r w:rsidR="0094553C" w:rsidRPr="008C5393">
              <w:rPr>
                <w:rStyle w:val="Hyperlink"/>
                <w:noProof/>
              </w:rPr>
              <w:t>9.  Payments/Gifts to Respondents</w:t>
            </w:r>
            <w:r w:rsidR="0094553C">
              <w:rPr>
                <w:noProof/>
                <w:webHidden/>
              </w:rPr>
              <w:tab/>
            </w:r>
            <w:r w:rsidR="004760DD">
              <w:rPr>
                <w:noProof/>
                <w:webHidden/>
              </w:rPr>
              <w:fldChar w:fldCharType="begin"/>
            </w:r>
            <w:r w:rsidR="0094553C">
              <w:rPr>
                <w:noProof/>
                <w:webHidden/>
              </w:rPr>
              <w:instrText xml:space="preserve"> PAGEREF _Toc358273846 \h </w:instrText>
            </w:r>
            <w:r w:rsidR="004760DD">
              <w:rPr>
                <w:noProof/>
                <w:webHidden/>
              </w:rPr>
            </w:r>
            <w:r w:rsidR="004760DD">
              <w:rPr>
                <w:noProof/>
                <w:webHidden/>
              </w:rPr>
              <w:fldChar w:fldCharType="separate"/>
            </w:r>
            <w:r w:rsidR="00955B0B">
              <w:rPr>
                <w:noProof/>
                <w:webHidden/>
              </w:rPr>
              <w:t>8</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47" w:history="1">
            <w:r w:rsidR="0094553C" w:rsidRPr="008C5393">
              <w:rPr>
                <w:rStyle w:val="Hyperlink"/>
                <w:noProof/>
              </w:rPr>
              <w:t>10.  Assurance of Confidentiality</w:t>
            </w:r>
            <w:r w:rsidR="0094553C">
              <w:rPr>
                <w:noProof/>
                <w:webHidden/>
              </w:rPr>
              <w:tab/>
            </w:r>
            <w:r w:rsidR="004760DD">
              <w:rPr>
                <w:noProof/>
                <w:webHidden/>
              </w:rPr>
              <w:fldChar w:fldCharType="begin"/>
            </w:r>
            <w:r w:rsidR="0094553C">
              <w:rPr>
                <w:noProof/>
                <w:webHidden/>
              </w:rPr>
              <w:instrText xml:space="preserve"> PAGEREF _Toc358273847 \h </w:instrText>
            </w:r>
            <w:r w:rsidR="004760DD">
              <w:rPr>
                <w:noProof/>
                <w:webHidden/>
              </w:rPr>
            </w:r>
            <w:r w:rsidR="004760DD">
              <w:rPr>
                <w:noProof/>
                <w:webHidden/>
              </w:rPr>
              <w:fldChar w:fldCharType="separate"/>
            </w:r>
            <w:r w:rsidR="00955B0B">
              <w:rPr>
                <w:noProof/>
                <w:webHidden/>
              </w:rPr>
              <w:t>8</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48" w:history="1">
            <w:r w:rsidR="0094553C" w:rsidRPr="008C5393">
              <w:rPr>
                <w:rStyle w:val="Hyperlink"/>
                <w:noProof/>
              </w:rPr>
              <w:t>11.  Questions of a Sensitive Nature</w:t>
            </w:r>
            <w:r w:rsidR="0094553C">
              <w:rPr>
                <w:noProof/>
                <w:webHidden/>
              </w:rPr>
              <w:tab/>
            </w:r>
            <w:r w:rsidR="004760DD">
              <w:rPr>
                <w:noProof/>
                <w:webHidden/>
              </w:rPr>
              <w:fldChar w:fldCharType="begin"/>
            </w:r>
            <w:r w:rsidR="0094553C">
              <w:rPr>
                <w:noProof/>
                <w:webHidden/>
              </w:rPr>
              <w:instrText xml:space="preserve"> PAGEREF _Toc358273848 \h </w:instrText>
            </w:r>
            <w:r w:rsidR="004760DD">
              <w:rPr>
                <w:noProof/>
                <w:webHidden/>
              </w:rPr>
            </w:r>
            <w:r w:rsidR="004760DD">
              <w:rPr>
                <w:noProof/>
                <w:webHidden/>
              </w:rPr>
              <w:fldChar w:fldCharType="separate"/>
            </w:r>
            <w:r w:rsidR="00955B0B">
              <w:rPr>
                <w:noProof/>
                <w:webHidden/>
              </w:rPr>
              <w:t>8</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49" w:history="1">
            <w:r w:rsidR="0094553C" w:rsidRPr="008C5393">
              <w:rPr>
                <w:rStyle w:val="Hyperlink"/>
                <w:noProof/>
              </w:rPr>
              <w:t>13.  Estimates of Annualized Respondent Capital and Maintenance Costs</w:t>
            </w:r>
            <w:r w:rsidR="0094553C">
              <w:rPr>
                <w:noProof/>
                <w:webHidden/>
              </w:rPr>
              <w:tab/>
            </w:r>
            <w:r w:rsidR="004760DD">
              <w:rPr>
                <w:noProof/>
                <w:webHidden/>
              </w:rPr>
              <w:fldChar w:fldCharType="begin"/>
            </w:r>
            <w:r w:rsidR="0094553C">
              <w:rPr>
                <w:noProof/>
                <w:webHidden/>
              </w:rPr>
              <w:instrText xml:space="preserve"> PAGEREF _Toc358273849 \h </w:instrText>
            </w:r>
            <w:r w:rsidR="004760DD">
              <w:rPr>
                <w:noProof/>
                <w:webHidden/>
              </w:rPr>
            </w:r>
            <w:r w:rsidR="004760DD">
              <w:rPr>
                <w:noProof/>
                <w:webHidden/>
              </w:rPr>
              <w:fldChar w:fldCharType="separate"/>
            </w:r>
            <w:r w:rsidR="00955B0B">
              <w:rPr>
                <w:noProof/>
                <w:webHidden/>
              </w:rPr>
              <w:t>9</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50" w:history="1">
            <w:r w:rsidR="0094553C" w:rsidRPr="008C5393">
              <w:rPr>
                <w:rStyle w:val="Hyperlink"/>
                <w:noProof/>
              </w:rPr>
              <w:t>14.  Estimates of Annualized Cost to the Government</w:t>
            </w:r>
            <w:r w:rsidR="0094553C">
              <w:rPr>
                <w:noProof/>
                <w:webHidden/>
              </w:rPr>
              <w:tab/>
            </w:r>
            <w:r w:rsidR="004760DD">
              <w:rPr>
                <w:noProof/>
                <w:webHidden/>
              </w:rPr>
              <w:fldChar w:fldCharType="begin"/>
            </w:r>
            <w:r w:rsidR="0094553C">
              <w:rPr>
                <w:noProof/>
                <w:webHidden/>
              </w:rPr>
              <w:instrText xml:space="preserve"> PAGEREF _Toc358273850 \h </w:instrText>
            </w:r>
            <w:r w:rsidR="004760DD">
              <w:rPr>
                <w:noProof/>
                <w:webHidden/>
              </w:rPr>
            </w:r>
            <w:r w:rsidR="004760DD">
              <w:rPr>
                <w:noProof/>
                <w:webHidden/>
              </w:rPr>
              <w:fldChar w:fldCharType="separate"/>
            </w:r>
            <w:r w:rsidR="00955B0B">
              <w:rPr>
                <w:noProof/>
                <w:webHidden/>
              </w:rPr>
              <w:t>10</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51" w:history="1">
            <w:r w:rsidR="0094553C" w:rsidRPr="008C5393">
              <w:rPr>
                <w:rStyle w:val="Hyperlink"/>
                <w:noProof/>
              </w:rPr>
              <w:t>15.  Change in Burden</w:t>
            </w:r>
            <w:r w:rsidR="0094553C">
              <w:rPr>
                <w:noProof/>
                <w:webHidden/>
              </w:rPr>
              <w:tab/>
            </w:r>
            <w:r w:rsidR="004760DD">
              <w:rPr>
                <w:noProof/>
                <w:webHidden/>
              </w:rPr>
              <w:fldChar w:fldCharType="begin"/>
            </w:r>
            <w:r w:rsidR="0094553C">
              <w:rPr>
                <w:noProof/>
                <w:webHidden/>
              </w:rPr>
              <w:instrText xml:space="preserve"> PAGEREF _Toc358273851 \h </w:instrText>
            </w:r>
            <w:r w:rsidR="004760DD">
              <w:rPr>
                <w:noProof/>
                <w:webHidden/>
              </w:rPr>
            </w:r>
            <w:r w:rsidR="004760DD">
              <w:rPr>
                <w:noProof/>
                <w:webHidden/>
              </w:rPr>
              <w:fldChar w:fldCharType="separate"/>
            </w:r>
            <w:r w:rsidR="00955B0B">
              <w:rPr>
                <w:noProof/>
                <w:webHidden/>
              </w:rPr>
              <w:t>10</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52" w:history="1">
            <w:r w:rsidR="0094553C" w:rsidRPr="008C5393">
              <w:rPr>
                <w:rStyle w:val="Hyperlink"/>
                <w:noProof/>
              </w:rPr>
              <w:t>16.  Time Schedule, Publication and Analysis Plans</w:t>
            </w:r>
            <w:r w:rsidR="0094553C">
              <w:rPr>
                <w:noProof/>
                <w:webHidden/>
              </w:rPr>
              <w:tab/>
            </w:r>
            <w:r w:rsidR="004760DD">
              <w:rPr>
                <w:noProof/>
                <w:webHidden/>
              </w:rPr>
              <w:fldChar w:fldCharType="begin"/>
            </w:r>
            <w:r w:rsidR="0094553C">
              <w:rPr>
                <w:noProof/>
                <w:webHidden/>
              </w:rPr>
              <w:instrText xml:space="preserve"> PAGEREF _Toc358273852 \h </w:instrText>
            </w:r>
            <w:r w:rsidR="004760DD">
              <w:rPr>
                <w:noProof/>
                <w:webHidden/>
              </w:rPr>
            </w:r>
            <w:r w:rsidR="004760DD">
              <w:rPr>
                <w:noProof/>
                <w:webHidden/>
              </w:rPr>
              <w:fldChar w:fldCharType="separate"/>
            </w:r>
            <w:r w:rsidR="00955B0B">
              <w:rPr>
                <w:noProof/>
                <w:webHidden/>
              </w:rPr>
              <w:t>10</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53" w:history="1">
            <w:r w:rsidR="0094553C" w:rsidRPr="008C5393">
              <w:rPr>
                <w:rStyle w:val="Hyperlink"/>
                <w:noProof/>
              </w:rPr>
              <w:t>17.  Exemption for Display of Expiration Date</w:t>
            </w:r>
            <w:r w:rsidR="0094553C">
              <w:rPr>
                <w:noProof/>
                <w:webHidden/>
              </w:rPr>
              <w:tab/>
            </w:r>
            <w:r w:rsidR="004760DD">
              <w:rPr>
                <w:noProof/>
                <w:webHidden/>
              </w:rPr>
              <w:fldChar w:fldCharType="begin"/>
            </w:r>
            <w:r w:rsidR="0094553C">
              <w:rPr>
                <w:noProof/>
                <w:webHidden/>
              </w:rPr>
              <w:instrText xml:space="preserve"> PAGEREF _Toc358273853 \h </w:instrText>
            </w:r>
            <w:r w:rsidR="004760DD">
              <w:rPr>
                <w:noProof/>
                <w:webHidden/>
              </w:rPr>
            </w:r>
            <w:r w:rsidR="004760DD">
              <w:rPr>
                <w:noProof/>
                <w:webHidden/>
              </w:rPr>
              <w:fldChar w:fldCharType="separate"/>
            </w:r>
            <w:r w:rsidR="00955B0B">
              <w:rPr>
                <w:noProof/>
                <w:webHidden/>
              </w:rPr>
              <w:t>13</w:t>
            </w:r>
            <w:r w:rsidR="004760DD">
              <w:rPr>
                <w:noProof/>
                <w:webHidden/>
              </w:rPr>
              <w:fldChar w:fldCharType="end"/>
            </w:r>
          </w:hyperlink>
        </w:p>
        <w:p w:rsidR="0094553C" w:rsidRDefault="001D6507">
          <w:pPr>
            <w:pStyle w:val="TOC2"/>
            <w:tabs>
              <w:tab w:val="right" w:leader="dot" w:pos="9350"/>
            </w:tabs>
            <w:rPr>
              <w:rFonts w:asciiTheme="minorHAnsi" w:eastAsiaTheme="minorEastAsia" w:hAnsiTheme="minorHAnsi" w:cstheme="minorBidi"/>
              <w:noProof/>
              <w:sz w:val="22"/>
              <w:szCs w:val="22"/>
            </w:rPr>
          </w:pPr>
          <w:hyperlink w:anchor="_Toc358273854" w:history="1">
            <w:r w:rsidR="0094553C" w:rsidRPr="008C5393">
              <w:rPr>
                <w:rStyle w:val="Hyperlink"/>
                <w:noProof/>
              </w:rPr>
              <w:t>List of Attachments</w:t>
            </w:r>
            <w:r w:rsidR="0094553C">
              <w:rPr>
                <w:noProof/>
                <w:webHidden/>
              </w:rPr>
              <w:tab/>
            </w:r>
            <w:r w:rsidR="004760DD">
              <w:rPr>
                <w:noProof/>
                <w:webHidden/>
              </w:rPr>
              <w:fldChar w:fldCharType="begin"/>
            </w:r>
            <w:r w:rsidR="0094553C">
              <w:rPr>
                <w:noProof/>
                <w:webHidden/>
              </w:rPr>
              <w:instrText xml:space="preserve"> PAGEREF _Toc358273854 \h </w:instrText>
            </w:r>
            <w:r w:rsidR="004760DD">
              <w:rPr>
                <w:noProof/>
                <w:webHidden/>
              </w:rPr>
            </w:r>
            <w:r w:rsidR="004760DD">
              <w:rPr>
                <w:noProof/>
                <w:webHidden/>
              </w:rPr>
              <w:fldChar w:fldCharType="separate"/>
            </w:r>
            <w:r w:rsidR="00955B0B">
              <w:rPr>
                <w:noProof/>
                <w:webHidden/>
              </w:rPr>
              <w:t>13</w:t>
            </w:r>
            <w:r w:rsidR="004760DD">
              <w:rPr>
                <w:noProof/>
                <w:webHidden/>
              </w:rPr>
              <w:fldChar w:fldCharType="end"/>
            </w:r>
          </w:hyperlink>
        </w:p>
        <w:p w:rsidR="00BC4EC9" w:rsidRPr="00BC4EC9" w:rsidRDefault="004760DD" w:rsidP="00BC4EC9">
          <w:pPr>
            <w:rPr>
              <w:highlight w:val="yellow"/>
            </w:rPr>
          </w:pPr>
          <w:r w:rsidRPr="001E70FB">
            <w:fldChar w:fldCharType="end"/>
          </w:r>
          <w:r w:rsidR="00BC4EC9" w:rsidRPr="001E70FB">
            <w:tab/>
          </w:r>
          <w:r w:rsidR="00BC4EC9" w:rsidRPr="001E70FB">
            <w:tab/>
          </w:r>
          <w:r w:rsidR="00BC4EC9" w:rsidRPr="001E70FB">
            <w:tab/>
          </w:r>
          <w:r w:rsidR="00BC4EC9" w:rsidRPr="001E70FB">
            <w:tab/>
          </w:r>
          <w:r w:rsidR="00BC4EC9" w:rsidRPr="001E70FB">
            <w:tab/>
          </w:r>
          <w:r w:rsidR="00BC4EC9" w:rsidRPr="001E70FB">
            <w:tab/>
          </w:r>
        </w:p>
      </w:sdtContent>
    </w:sdt>
    <w:p w:rsidR="00BC4EC9" w:rsidRPr="00BC4EC9" w:rsidRDefault="00BC4EC9" w:rsidP="00BC4EC9">
      <w:pPr>
        <w:rPr>
          <w:b/>
          <w:szCs w:val="24"/>
          <w:highlight w:val="yellow"/>
        </w:rPr>
      </w:pPr>
      <w:r w:rsidRPr="00BC4EC9">
        <w:rPr>
          <w:b/>
          <w:szCs w:val="24"/>
          <w:highlight w:val="yellow"/>
        </w:rPr>
        <w:br w:type="page"/>
      </w:r>
    </w:p>
    <w:p w:rsidR="00BC4EC9" w:rsidRPr="008B098A" w:rsidRDefault="00BC4EC9" w:rsidP="00BC4EC9">
      <w:pPr>
        <w:pStyle w:val="Heading1"/>
        <w:rPr>
          <w:color w:val="auto"/>
          <w:sz w:val="24"/>
          <w:szCs w:val="24"/>
        </w:rPr>
      </w:pPr>
      <w:bookmarkStart w:id="0" w:name="_Toc358273837"/>
      <w:r w:rsidRPr="008B098A">
        <w:rPr>
          <w:color w:val="auto"/>
          <w:sz w:val="24"/>
          <w:szCs w:val="24"/>
        </w:rPr>
        <w:t>A.</w:t>
      </w:r>
      <w:r w:rsidRPr="008B098A">
        <w:rPr>
          <w:sz w:val="24"/>
          <w:szCs w:val="24"/>
        </w:rPr>
        <w:t xml:space="preserve">  </w:t>
      </w:r>
      <w:r w:rsidRPr="008B098A">
        <w:rPr>
          <w:color w:val="auto"/>
          <w:sz w:val="24"/>
          <w:szCs w:val="24"/>
        </w:rPr>
        <w:t>JUSTIFICATION</w:t>
      </w:r>
      <w:bookmarkEnd w:id="0"/>
    </w:p>
    <w:p w:rsidR="00BC4EC9" w:rsidRPr="008B098A" w:rsidRDefault="00BC4EC9" w:rsidP="00BC4EC9">
      <w:pPr>
        <w:rPr>
          <w:szCs w:val="24"/>
        </w:rPr>
      </w:pPr>
    </w:p>
    <w:p w:rsidR="00BC4EC9" w:rsidRPr="008B098A" w:rsidRDefault="00BC4EC9" w:rsidP="00BC4EC9">
      <w:pPr>
        <w:pStyle w:val="Heading2"/>
        <w:rPr>
          <w:sz w:val="24"/>
          <w:szCs w:val="24"/>
        </w:rPr>
      </w:pPr>
      <w:bookmarkStart w:id="1" w:name="_Toc358273838"/>
      <w:r w:rsidRPr="008B098A">
        <w:rPr>
          <w:color w:val="auto"/>
          <w:sz w:val="24"/>
          <w:szCs w:val="24"/>
        </w:rPr>
        <w:t xml:space="preserve">1.  </w:t>
      </w:r>
      <w:r w:rsidRPr="008B098A">
        <w:rPr>
          <w:color w:val="auto"/>
          <w:sz w:val="24"/>
          <w:szCs w:val="24"/>
          <w:u w:val="single"/>
        </w:rPr>
        <w:t>Need for Information</w:t>
      </w:r>
      <w:bookmarkEnd w:id="1"/>
    </w:p>
    <w:p w:rsidR="00BC4EC9" w:rsidRPr="008B098A" w:rsidRDefault="00BC4EC9" w:rsidP="00BC4EC9">
      <w:pPr>
        <w:rPr>
          <w:szCs w:val="24"/>
        </w:rPr>
      </w:pPr>
    </w:p>
    <w:p w:rsidR="00BC4EC9" w:rsidRPr="008B098A" w:rsidRDefault="00BC4EC9" w:rsidP="00BC4EC9">
      <w:pPr>
        <w:rPr>
          <w:szCs w:val="24"/>
        </w:rPr>
      </w:pPr>
      <w:r w:rsidRPr="008B098A">
        <w:rPr>
          <w:szCs w:val="24"/>
        </w:rPr>
        <w:t xml:space="preserve">The mission of the Agency for Healthcare Research and Quality (AHRQ) set out in its authorizing legislation, The Healthcare Research and Quality Act of </w:t>
      </w:r>
      <w:r w:rsidRPr="00FF496B">
        <w:rPr>
          <w:szCs w:val="24"/>
        </w:rPr>
        <w:t xml:space="preserve">1999 (see </w:t>
      </w:r>
      <w:hyperlink r:id="rId9" w:history="1">
        <w:r w:rsidR="00F44DC8" w:rsidRPr="00455D4E">
          <w:rPr>
            <w:rStyle w:val="Hyperlink"/>
          </w:rPr>
          <w:t>http://www.ahrq.gov/hrqa99.pdf</w:t>
        </w:r>
      </w:hyperlink>
      <w:r w:rsidRPr="00FF496B">
        <w:rPr>
          <w:szCs w:val="24"/>
        </w:rPr>
        <w:t>),</w:t>
      </w:r>
      <w:r w:rsidRPr="008B098A">
        <w:rPr>
          <w:szCs w:val="24"/>
        </w:rPr>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w:t>
      </w:r>
      <w:r w:rsidR="003E2A31">
        <w:rPr>
          <w:szCs w:val="24"/>
        </w:rPr>
        <w:t xml:space="preserve">s and other health conditions. </w:t>
      </w:r>
      <w:r w:rsidRPr="008B098A">
        <w:rPr>
          <w:szCs w:val="24"/>
        </w:rPr>
        <w:t>AHRQ shall promote health care quality improvement by conducting and supporting:</w:t>
      </w:r>
    </w:p>
    <w:p w:rsidR="00BC4EC9" w:rsidRPr="008B098A" w:rsidRDefault="00BC4EC9" w:rsidP="00BC4EC9">
      <w:pPr>
        <w:rPr>
          <w:szCs w:val="24"/>
        </w:rPr>
      </w:pPr>
    </w:p>
    <w:p w:rsidR="00BC4EC9" w:rsidRPr="008B098A" w:rsidRDefault="00BC4EC9" w:rsidP="00BC4EC9">
      <w:pPr>
        <w:rPr>
          <w:szCs w:val="24"/>
        </w:rPr>
      </w:pPr>
      <w:r w:rsidRPr="008B098A">
        <w:rPr>
          <w:szCs w:val="24"/>
        </w:rPr>
        <w:tab/>
      </w:r>
    </w:p>
    <w:p w:rsidR="00BC4EC9" w:rsidRPr="008B098A" w:rsidRDefault="00BC4EC9" w:rsidP="00BC4EC9">
      <w:pPr>
        <w:rPr>
          <w:szCs w:val="24"/>
        </w:rPr>
      </w:pPr>
      <w:r w:rsidRPr="008B098A">
        <w:rPr>
          <w:szCs w:val="24"/>
        </w:rPr>
        <w:t>1.</w:t>
      </w:r>
      <w:r w:rsidRPr="008B098A">
        <w:rPr>
          <w:szCs w:val="24"/>
        </w:rPr>
        <w:tab/>
      </w:r>
      <w:proofErr w:type="gramStart"/>
      <w:r w:rsidRPr="008B098A">
        <w:rPr>
          <w:szCs w:val="24"/>
        </w:rPr>
        <w:t>research</w:t>
      </w:r>
      <w:proofErr w:type="gramEnd"/>
      <w:r w:rsidRPr="008B098A">
        <w:rPr>
          <w:szCs w:val="24"/>
        </w:rPr>
        <w:t xml:space="preserve"> that develops and presents scientific evidence regarding all aspects of </w:t>
      </w:r>
      <w:r w:rsidRPr="008B098A">
        <w:rPr>
          <w:szCs w:val="24"/>
        </w:rPr>
        <w:tab/>
      </w:r>
      <w:r w:rsidRPr="008B098A">
        <w:rPr>
          <w:szCs w:val="24"/>
        </w:rPr>
        <w:tab/>
        <w:t>health care; and</w:t>
      </w:r>
    </w:p>
    <w:p w:rsidR="00BC4EC9" w:rsidRPr="008B098A" w:rsidRDefault="00BC4EC9" w:rsidP="00BC4EC9">
      <w:pPr>
        <w:rPr>
          <w:szCs w:val="24"/>
        </w:rPr>
      </w:pPr>
    </w:p>
    <w:p w:rsidR="00BC4EC9" w:rsidRPr="008B098A" w:rsidRDefault="00BC4EC9" w:rsidP="00BC4EC9">
      <w:pPr>
        <w:tabs>
          <w:tab w:val="left" w:pos="720"/>
        </w:tabs>
        <w:ind w:left="720" w:hanging="720"/>
        <w:rPr>
          <w:szCs w:val="24"/>
        </w:rPr>
      </w:pPr>
      <w:r w:rsidRPr="008B098A">
        <w:rPr>
          <w:szCs w:val="24"/>
        </w:rPr>
        <w:t>2.</w:t>
      </w:r>
      <w:r w:rsidRPr="008B098A">
        <w:rPr>
          <w:szCs w:val="24"/>
        </w:rPr>
        <w:tab/>
      </w:r>
      <w:proofErr w:type="gramStart"/>
      <w:r w:rsidRPr="008B098A">
        <w:rPr>
          <w:szCs w:val="24"/>
        </w:rPr>
        <w:t>the</w:t>
      </w:r>
      <w:proofErr w:type="gramEnd"/>
      <w:r w:rsidRPr="008B098A">
        <w:rPr>
          <w:szCs w:val="24"/>
        </w:rPr>
        <w:t xml:space="preserve"> synthesis and dissemination of available scientific evidence for use by </w:t>
      </w:r>
      <w:r w:rsidRPr="008B098A">
        <w:rPr>
          <w:szCs w:val="24"/>
        </w:rPr>
        <w:tab/>
        <w:t>patients, consumers, practitioners, providers, purchasers</w:t>
      </w:r>
      <w:r w:rsidR="008044E2">
        <w:rPr>
          <w:szCs w:val="24"/>
        </w:rPr>
        <w:t>, policy makers, and educators;</w:t>
      </w:r>
      <w:r w:rsidR="00FC6C5D">
        <w:rPr>
          <w:szCs w:val="24"/>
        </w:rPr>
        <w:t xml:space="preserve"> and</w:t>
      </w:r>
    </w:p>
    <w:p w:rsidR="00BC4EC9" w:rsidRPr="008B098A" w:rsidRDefault="00BC4EC9" w:rsidP="00BC4EC9">
      <w:pPr>
        <w:rPr>
          <w:szCs w:val="24"/>
        </w:rPr>
      </w:pPr>
    </w:p>
    <w:p w:rsidR="008C7FBB" w:rsidRDefault="00BC4EC9" w:rsidP="00BC4EC9">
      <w:pPr>
        <w:rPr>
          <w:szCs w:val="24"/>
        </w:rPr>
      </w:pPr>
      <w:r w:rsidRPr="008B098A">
        <w:rPr>
          <w:szCs w:val="24"/>
        </w:rPr>
        <w:t>3.</w:t>
      </w:r>
      <w:r w:rsidRPr="008B098A">
        <w:rPr>
          <w:szCs w:val="24"/>
        </w:rPr>
        <w:tab/>
      </w:r>
      <w:proofErr w:type="gramStart"/>
      <w:r w:rsidRPr="008B098A">
        <w:rPr>
          <w:szCs w:val="24"/>
        </w:rPr>
        <w:t>initiatives</w:t>
      </w:r>
      <w:proofErr w:type="gramEnd"/>
      <w:r w:rsidRPr="008B098A">
        <w:rPr>
          <w:szCs w:val="24"/>
        </w:rPr>
        <w:t xml:space="preserve"> to advance private and public efforts to improve health care quality</w:t>
      </w:r>
      <w:r w:rsidR="00A148CB">
        <w:rPr>
          <w:szCs w:val="24"/>
        </w:rPr>
        <w:t>.</w:t>
      </w:r>
    </w:p>
    <w:p w:rsidR="00BC4EC9" w:rsidRPr="008B098A" w:rsidRDefault="00BC4EC9" w:rsidP="00BC4EC9">
      <w:pPr>
        <w:rPr>
          <w:szCs w:val="24"/>
        </w:rPr>
      </w:pPr>
    </w:p>
    <w:p w:rsidR="00301D71" w:rsidRDefault="00BC4EC9" w:rsidP="00301D71">
      <w:pPr>
        <w:rPr>
          <w:szCs w:val="24"/>
        </w:rPr>
      </w:pPr>
      <w:r w:rsidRPr="008B098A">
        <w:rPr>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AC1AE4" w:rsidRDefault="00AC1AE4" w:rsidP="00671C51">
      <w:pPr>
        <w:rPr>
          <w:szCs w:val="24"/>
        </w:rPr>
      </w:pPr>
    </w:p>
    <w:p w:rsidR="009F33AE" w:rsidRDefault="009F33AE" w:rsidP="003B1D7A">
      <w:pPr>
        <w:rPr>
          <w:szCs w:val="24"/>
        </w:rPr>
      </w:pPr>
      <w:r>
        <w:rPr>
          <w:szCs w:val="24"/>
        </w:rPr>
        <w:t xml:space="preserve">Furthermore, </w:t>
      </w:r>
      <w:r w:rsidR="003B1D7A" w:rsidRPr="00CB177A">
        <w:rPr>
          <w:szCs w:val="24"/>
        </w:rPr>
        <w:t xml:space="preserve">AHRQ shall conduct and support research </w:t>
      </w:r>
      <w:r w:rsidR="003B1D7A">
        <w:rPr>
          <w:szCs w:val="24"/>
        </w:rPr>
        <w:t>and build</w:t>
      </w:r>
      <w:r w:rsidR="00A148CB">
        <w:rPr>
          <w:szCs w:val="24"/>
        </w:rPr>
        <w:t xml:space="preserve"> private-public partnerships to </w:t>
      </w:r>
      <w:r w:rsidR="003B1D7A">
        <w:rPr>
          <w:szCs w:val="24"/>
        </w:rPr>
        <w:t>identify</w:t>
      </w:r>
      <w:r w:rsidR="003B1D7A" w:rsidRPr="003B1D7A">
        <w:rPr>
          <w:szCs w:val="24"/>
        </w:rPr>
        <w:t xml:space="preserve"> the causes of preventable health care errors</w:t>
      </w:r>
      <w:r w:rsidR="001B272F">
        <w:rPr>
          <w:szCs w:val="24"/>
        </w:rPr>
        <w:t xml:space="preserve"> </w:t>
      </w:r>
      <w:r w:rsidR="003B1D7A" w:rsidRPr="003B1D7A">
        <w:rPr>
          <w:szCs w:val="24"/>
        </w:rPr>
        <w:t>and patient injury in health care</w:t>
      </w:r>
      <w:r w:rsidR="001B272F">
        <w:rPr>
          <w:szCs w:val="24"/>
        </w:rPr>
        <w:t xml:space="preserve"> d</w:t>
      </w:r>
      <w:r w:rsidR="003B1D7A" w:rsidRPr="003B1D7A">
        <w:rPr>
          <w:szCs w:val="24"/>
        </w:rPr>
        <w:t>elivery;</w:t>
      </w:r>
      <w:r w:rsidR="001B272F">
        <w:rPr>
          <w:szCs w:val="24"/>
        </w:rPr>
        <w:t xml:space="preserve"> </w:t>
      </w:r>
      <w:r w:rsidR="003B1D7A" w:rsidRPr="003B1D7A">
        <w:rPr>
          <w:szCs w:val="24"/>
        </w:rPr>
        <w:t>develop, demonstrate, and evaluate strategies for</w:t>
      </w:r>
      <w:r w:rsidR="001B272F">
        <w:rPr>
          <w:szCs w:val="24"/>
        </w:rPr>
        <w:t xml:space="preserve"> </w:t>
      </w:r>
      <w:r w:rsidR="003B1D7A" w:rsidRPr="003B1D7A">
        <w:rPr>
          <w:szCs w:val="24"/>
        </w:rPr>
        <w:t>reducing errors and improving patient safety; and</w:t>
      </w:r>
      <w:r w:rsidR="001B272F">
        <w:rPr>
          <w:szCs w:val="24"/>
        </w:rPr>
        <w:t xml:space="preserve"> </w:t>
      </w:r>
      <w:r w:rsidR="003B1D7A" w:rsidRPr="003B1D7A">
        <w:rPr>
          <w:szCs w:val="24"/>
        </w:rPr>
        <w:t>disseminate such effective strategies throughout the</w:t>
      </w:r>
      <w:r w:rsidR="001B272F">
        <w:rPr>
          <w:szCs w:val="24"/>
        </w:rPr>
        <w:t xml:space="preserve"> </w:t>
      </w:r>
      <w:r w:rsidR="003B1D7A" w:rsidRPr="003B1D7A">
        <w:rPr>
          <w:szCs w:val="24"/>
        </w:rPr>
        <w:t>health care industry.</w:t>
      </w:r>
    </w:p>
    <w:p w:rsidR="009F33AE" w:rsidRPr="007D0D52" w:rsidRDefault="009F33AE" w:rsidP="00671C51">
      <w:pPr>
        <w:rPr>
          <w:szCs w:val="24"/>
        </w:rPr>
      </w:pPr>
    </w:p>
    <w:p w:rsidR="00671C51" w:rsidRDefault="0068748F" w:rsidP="0068748F">
      <w:pPr>
        <w:rPr>
          <w:szCs w:val="24"/>
        </w:rPr>
      </w:pPr>
      <w:r w:rsidRPr="007D0D52">
        <w:rPr>
          <w:szCs w:val="24"/>
        </w:rPr>
        <w:t xml:space="preserve">One setting which has demonstrated tremendous growth both in the volume and complexity of procedures being performed is </w:t>
      </w:r>
      <w:r w:rsidR="00D66AA1" w:rsidRPr="007D0D52">
        <w:rPr>
          <w:szCs w:val="24"/>
        </w:rPr>
        <w:t>ambulatory surgical</w:t>
      </w:r>
      <w:r w:rsidR="00832797">
        <w:rPr>
          <w:szCs w:val="24"/>
        </w:rPr>
        <w:t xml:space="preserve"> and procedure</w:t>
      </w:r>
      <w:r w:rsidR="00D66AA1" w:rsidRPr="007D0D52">
        <w:rPr>
          <w:szCs w:val="24"/>
        </w:rPr>
        <w:t xml:space="preserve"> centers</w:t>
      </w:r>
      <w:r w:rsidR="00651584" w:rsidRPr="007D0D52">
        <w:rPr>
          <w:szCs w:val="24"/>
        </w:rPr>
        <w:t xml:space="preserve"> (ASCs)</w:t>
      </w:r>
      <w:r w:rsidRPr="007D0D52">
        <w:rPr>
          <w:szCs w:val="24"/>
        </w:rPr>
        <w:t xml:space="preserve">. </w:t>
      </w:r>
      <w:r w:rsidR="00651584" w:rsidRPr="007D0D52">
        <w:rPr>
          <w:szCs w:val="24"/>
        </w:rPr>
        <w:t xml:space="preserve">ASCs </w:t>
      </w:r>
      <w:r w:rsidRPr="007D0D52">
        <w:rPr>
          <w:szCs w:val="24"/>
        </w:rPr>
        <w:t>are defined by the Centers for Medicare &amp; Medicaid Services</w:t>
      </w:r>
      <w:r w:rsidR="005034F5" w:rsidRPr="007D0D52">
        <w:rPr>
          <w:szCs w:val="24"/>
        </w:rPr>
        <w:t xml:space="preserve"> </w:t>
      </w:r>
      <w:r w:rsidRPr="007D0D52">
        <w:rPr>
          <w:szCs w:val="24"/>
        </w:rPr>
        <w:t>(CMS) as distinct entities that operate exclusively to provide surgical services to patients who do</w:t>
      </w:r>
      <w:r w:rsidR="005034F5" w:rsidRPr="007D0D52">
        <w:rPr>
          <w:szCs w:val="24"/>
        </w:rPr>
        <w:t xml:space="preserve"> </w:t>
      </w:r>
      <w:r w:rsidRPr="007D0D52">
        <w:rPr>
          <w:szCs w:val="24"/>
        </w:rPr>
        <w:t>not require hospitalization and are not expected to need to stay in a surgical facility longer than</w:t>
      </w:r>
      <w:r w:rsidR="005034F5" w:rsidRPr="007D0D52">
        <w:rPr>
          <w:szCs w:val="24"/>
        </w:rPr>
        <w:t xml:space="preserve"> </w:t>
      </w:r>
      <w:r w:rsidRPr="007D0D52">
        <w:rPr>
          <w:szCs w:val="24"/>
        </w:rPr>
        <w:t>24 hours (42 C.F.R. §416.2). Many of the services performed in these facilities extend beyond</w:t>
      </w:r>
      <w:r w:rsidR="005034F5" w:rsidRPr="007D0D52">
        <w:rPr>
          <w:szCs w:val="24"/>
        </w:rPr>
        <w:t xml:space="preserve"> </w:t>
      </w:r>
      <w:r w:rsidRPr="007D0D52">
        <w:rPr>
          <w:szCs w:val="24"/>
        </w:rPr>
        <w:t>procedures traditionally thought of as surgery, including endoscopy, and injections to treat</w:t>
      </w:r>
      <w:r w:rsidR="005034F5" w:rsidRPr="007D0D52">
        <w:rPr>
          <w:szCs w:val="24"/>
        </w:rPr>
        <w:t xml:space="preserve"> </w:t>
      </w:r>
      <w:r w:rsidRPr="007D0D52">
        <w:rPr>
          <w:szCs w:val="24"/>
        </w:rPr>
        <w:t>chronic pai</w:t>
      </w:r>
      <w:r w:rsidR="002371BD" w:rsidRPr="007D0D52">
        <w:rPr>
          <w:szCs w:val="24"/>
        </w:rPr>
        <w:t>n. Currently, there are over 5,</w:t>
      </w:r>
      <w:r w:rsidR="00DA25BB" w:rsidRPr="007D0D52">
        <w:rPr>
          <w:szCs w:val="24"/>
        </w:rPr>
        <w:t>3</w:t>
      </w:r>
      <w:r w:rsidRPr="007D0D52">
        <w:rPr>
          <w:szCs w:val="24"/>
        </w:rPr>
        <w:t>00 Medicare-certified ASCs in the U.S., which</w:t>
      </w:r>
      <w:r w:rsidR="005034F5" w:rsidRPr="007D0D52">
        <w:rPr>
          <w:szCs w:val="24"/>
        </w:rPr>
        <w:t xml:space="preserve"> </w:t>
      </w:r>
      <w:r w:rsidRPr="007D0D52">
        <w:rPr>
          <w:szCs w:val="24"/>
        </w:rPr>
        <w:t>represents a greater than 54% increase since 2001. In 2007, Medicare paid for more than 6</w:t>
      </w:r>
      <w:r w:rsidR="005034F5" w:rsidRPr="007D0D52">
        <w:rPr>
          <w:szCs w:val="24"/>
        </w:rPr>
        <w:t xml:space="preserve"> </w:t>
      </w:r>
      <w:r w:rsidRPr="007D0D52">
        <w:rPr>
          <w:szCs w:val="24"/>
        </w:rPr>
        <w:t>million surgeries performed in these facilities at a cost of nearly $3 billion.</w:t>
      </w:r>
      <w:r w:rsidR="009A1395">
        <w:rPr>
          <w:szCs w:val="24"/>
        </w:rPr>
        <w:t xml:space="preserve"> Recent </w:t>
      </w:r>
      <w:r w:rsidR="00D66AA1" w:rsidRPr="007D0D52">
        <w:rPr>
          <w:szCs w:val="24"/>
        </w:rPr>
        <w:t xml:space="preserve">CMS </w:t>
      </w:r>
      <w:r w:rsidR="009A1395">
        <w:rPr>
          <w:szCs w:val="24"/>
        </w:rPr>
        <w:t xml:space="preserve">audits </w:t>
      </w:r>
      <w:r w:rsidR="00D66AA1" w:rsidRPr="007D0D52">
        <w:rPr>
          <w:szCs w:val="24"/>
        </w:rPr>
        <w:t xml:space="preserve">suggest </w:t>
      </w:r>
      <w:r w:rsidR="00FA0A74" w:rsidRPr="007D0D52">
        <w:rPr>
          <w:szCs w:val="24"/>
        </w:rPr>
        <w:t>infectio</w:t>
      </w:r>
      <w:r w:rsidR="00403D60">
        <w:rPr>
          <w:szCs w:val="24"/>
        </w:rPr>
        <w:t>n control deficiencies</w:t>
      </w:r>
      <w:r w:rsidR="00F56B6A">
        <w:rPr>
          <w:szCs w:val="24"/>
        </w:rPr>
        <w:t xml:space="preserve"> in these facilities</w:t>
      </w:r>
      <w:r w:rsidR="00403D60">
        <w:rPr>
          <w:szCs w:val="24"/>
        </w:rPr>
        <w:t xml:space="preserve"> are wide</w:t>
      </w:r>
      <w:r w:rsidR="00FA0A74" w:rsidRPr="007D0D52">
        <w:rPr>
          <w:szCs w:val="24"/>
        </w:rPr>
        <w:t>spread. For example, preliminary data from 2011 found that 51 percent of ASCs surveyed had an infection control deficiency; 11 percent were considered very serious deficiencies.</w:t>
      </w:r>
      <w:r w:rsidR="00CB409B" w:rsidRPr="007D0D52">
        <w:rPr>
          <w:rStyle w:val="FootnoteReference"/>
          <w:szCs w:val="24"/>
        </w:rPr>
        <w:footnoteReference w:id="1"/>
      </w:r>
      <w:r w:rsidR="00FA0A74" w:rsidRPr="007D0D52">
        <w:rPr>
          <w:szCs w:val="24"/>
        </w:rPr>
        <w:t xml:space="preserve"> </w:t>
      </w:r>
      <w:r w:rsidR="007C0A03" w:rsidRPr="007D0D52">
        <w:rPr>
          <w:szCs w:val="24"/>
        </w:rPr>
        <w:t>These findings are only slightly lower than 2010 audits and a 2008 sample of ASC</w:t>
      </w:r>
      <w:r w:rsidR="007D0D52" w:rsidRPr="007D0D52">
        <w:rPr>
          <w:szCs w:val="24"/>
        </w:rPr>
        <w:t>s</w:t>
      </w:r>
      <w:r w:rsidR="007C0A03" w:rsidRPr="007D0D52">
        <w:rPr>
          <w:szCs w:val="24"/>
        </w:rPr>
        <w:t xml:space="preserve"> in three states.</w:t>
      </w:r>
      <w:r w:rsidR="00CD410A" w:rsidRPr="007D0D52">
        <w:rPr>
          <w:szCs w:val="24"/>
        </w:rPr>
        <w:t xml:space="preserve"> </w:t>
      </w:r>
      <w:r w:rsidR="007D0D52" w:rsidRPr="007D0D52">
        <w:rPr>
          <w:szCs w:val="24"/>
        </w:rPr>
        <w:t xml:space="preserve">In addition, there is </w:t>
      </w:r>
      <w:r w:rsidR="004E606F" w:rsidRPr="007D0D52">
        <w:rPr>
          <w:szCs w:val="24"/>
        </w:rPr>
        <w:t xml:space="preserve">anecdotal </w:t>
      </w:r>
      <w:r w:rsidR="00CD410A" w:rsidRPr="007D0D52">
        <w:rPr>
          <w:szCs w:val="24"/>
        </w:rPr>
        <w:t xml:space="preserve">evidence </w:t>
      </w:r>
      <w:r w:rsidR="007D0D52" w:rsidRPr="007D0D52">
        <w:rPr>
          <w:szCs w:val="24"/>
        </w:rPr>
        <w:t>from state</w:t>
      </w:r>
      <w:r w:rsidR="009A1395">
        <w:rPr>
          <w:szCs w:val="24"/>
        </w:rPr>
        <w:t>s’</w:t>
      </w:r>
      <w:r w:rsidR="007D0D52" w:rsidRPr="007D0D52">
        <w:rPr>
          <w:szCs w:val="24"/>
        </w:rPr>
        <w:t xml:space="preserve"> </w:t>
      </w:r>
      <w:r w:rsidR="00035EA5">
        <w:rPr>
          <w:szCs w:val="24"/>
        </w:rPr>
        <w:t xml:space="preserve">ambulatory surgery </w:t>
      </w:r>
      <w:r w:rsidR="007D0D52" w:rsidRPr="007D0D52">
        <w:rPr>
          <w:szCs w:val="24"/>
        </w:rPr>
        <w:t xml:space="preserve">surveillance systems </w:t>
      </w:r>
      <w:r w:rsidR="00C968C5">
        <w:rPr>
          <w:szCs w:val="24"/>
        </w:rPr>
        <w:t xml:space="preserve">that </w:t>
      </w:r>
      <w:r w:rsidR="00035EA5">
        <w:rPr>
          <w:szCs w:val="24"/>
        </w:rPr>
        <w:t xml:space="preserve">preventable events such as </w:t>
      </w:r>
      <w:r w:rsidR="00CD410A" w:rsidRPr="007D0D52">
        <w:rPr>
          <w:szCs w:val="24"/>
        </w:rPr>
        <w:t>medication errors</w:t>
      </w:r>
      <w:r w:rsidR="004E606F" w:rsidRPr="007D0D52">
        <w:rPr>
          <w:szCs w:val="24"/>
        </w:rPr>
        <w:t xml:space="preserve"> and </w:t>
      </w:r>
      <w:r w:rsidR="00CD410A" w:rsidRPr="007D0D52">
        <w:rPr>
          <w:szCs w:val="24"/>
        </w:rPr>
        <w:t xml:space="preserve">wrong site, side, patient, procedure, and wrong implant </w:t>
      </w:r>
      <w:r w:rsidR="005062FD">
        <w:rPr>
          <w:szCs w:val="24"/>
        </w:rPr>
        <w:t>events</w:t>
      </w:r>
      <w:r w:rsidR="00C968C5">
        <w:rPr>
          <w:szCs w:val="24"/>
        </w:rPr>
        <w:t xml:space="preserve"> </w:t>
      </w:r>
      <w:r w:rsidR="005062FD">
        <w:rPr>
          <w:szCs w:val="24"/>
        </w:rPr>
        <w:t>occur</w:t>
      </w:r>
      <w:r w:rsidR="00C968C5">
        <w:rPr>
          <w:szCs w:val="24"/>
        </w:rPr>
        <w:t xml:space="preserve"> far too frequently</w:t>
      </w:r>
      <w:r w:rsidR="00537258" w:rsidRPr="007D0D52">
        <w:rPr>
          <w:szCs w:val="24"/>
        </w:rPr>
        <w:t>.</w:t>
      </w:r>
      <w:r w:rsidR="00537258" w:rsidRPr="007D0D52">
        <w:rPr>
          <w:rStyle w:val="FootnoteReference"/>
          <w:szCs w:val="24"/>
        </w:rPr>
        <w:footnoteReference w:id="2"/>
      </w:r>
      <w:r w:rsidR="00D815C4" w:rsidRPr="007D0D52">
        <w:rPr>
          <w:szCs w:val="24"/>
          <w:vertAlign w:val="superscript"/>
        </w:rPr>
        <w:t>,</w:t>
      </w:r>
      <w:r w:rsidR="00A6526B" w:rsidRPr="007D0D52">
        <w:rPr>
          <w:rStyle w:val="FootnoteReference"/>
          <w:szCs w:val="24"/>
        </w:rPr>
        <w:footnoteReference w:id="3"/>
      </w:r>
      <w:r w:rsidR="00BD1DCD">
        <w:rPr>
          <w:sz w:val="23"/>
          <w:szCs w:val="23"/>
        </w:rPr>
        <w:t xml:space="preserve"> </w:t>
      </w:r>
    </w:p>
    <w:p w:rsidR="0068748F" w:rsidRDefault="0068748F" w:rsidP="00671C51">
      <w:pPr>
        <w:rPr>
          <w:szCs w:val="24"/>
        </w:rPr>
      </w:pPr>
    </w:p>
    <w:p w:rsidR="0047670C" w:rsidRDefault="0047670C" w:rsidP="00652D00">
      <w:pPr>
        <w:rPr>
          <w:szCs w:val="24"/>
        </w:rPr>
      </w:pPr>
      <w:r w:rsidRPr="002D4122">
        <w:rPr>
          <w:szCs w:val="24"/>
        </w:rPr>
        <w:t xml:space="preserve">Given the widespread impact of </w:t>
      </w:r>
      <w:r w:rsidR="002371BD">
        <w:rPr>
          <w:szCs w:val="24"/>
        </w:rPr>
        <w:t>ASCs</w:t>
      </w:r>
      <w:r w:rsidRPr="002D4122">
        <w:rPr>
          <w:szCs w:val="24"/>
        </w:rPr>
        <w:t xml:space="preserve"> on patient safety, the new </w:t>
      </w:r>
      <w:r w:rsidR="00540890">
        <w:rPr>
          <w:szCs w:val="24"/>
        </w:rPr>
        <w:t>Ambulatory Surgery/Procedure Survey</w:t>
      </w:r>
      <w:r>
        <w:rPr>
          <w:szCs w:val="24"/>
        </w:rPr>
        <w:t xml:space="preserve"> on </w:t>
      </w:r>
      <w:r w:rsidRPr="002D4122">
        <w:rPr>
          <w:szCs w:val="24"/>
        </w:rPr>
        <w:t>P</w:t>
      </w:r>
      <w:r>
        <w:rPr>
          <w:szCs w:val="24"/>
        </w:rPr>
        <w:t xml:space="preserve">atient </w:t>
      </w:r>
      <w:r w:rsidRPr="002D4122">
        <w:rPr>
          <w:szCs w:val="24"/>
        </w:rPr>
        <w:t>S</w:t>
      </w:r>
      <w:r>
        <w:rPr>
          <w:szCs w:val="24"/>
        </w:rPr>
        <w:t>afety Culture (</w:t>
      </w:r>
      <w:r w:rsidR="002371BD">
        <w:rPr>
          <w:szCs w:val="24"/>
        </w:rPr>
        <w:t>Ambulatory Surgery</w:t>
      </w:r>
      <w:r>
        <w:rPr>
          <w:szCs w:val="24"/>
        </w:rPr>
        <w:t xml:space="preserve"> SOPS)</w:t>
      </w:r>
      <w:r w:rsidRPr="002D4122">
        <w:rPr>
          <w:szCs w:val="24"/>
        </w:rPr>
        <w:t xml:space="preserve"> </w:t>
      </w:r>
      <w:r>
        <w:rPr>
          <w:szCs w:val="24"/>
        </w:rPr>
        <w:t>will</w:t>
      </w:r>
      <w:r w:rsidRPr="002D4122">
        <w:rPr>
          <w:szCs w:val="24"/>
        </w:rPr>
        <w:t xml:space="preserve"> measure </w:t>
      </w:r>
      <w:r w:rsidR="002371BD">
        <w:rPr>
          <w:szCs w:val="24"/>
        </w:rPr>
        <w:t>ASC</w:t>
      </w:r>
      <w:r w:rsidRPr="002D4122">
        <w:rPr>
          <w:szCs w:val="24"/>
        </w:rPr>
        <w:t xml:space="preserve"> staff perceptions about what is important in their organization and what attitudes and behaviors related to patient safety </w:t>
      </w:r>
      <w:r w:rsidR="00403D60">
        <w:rPr>
          <w:szCs w:val="24"/>
        </w:rPr>
        <w:t xml:space="preserve">culture </w:t>
      </w:r>
      <w:r w:rsidRPr="002D4122">
        <w:rPr>
          <w:szCs w:val="24"/>
        </w:rPr>
        <w:t>are supported, rewarded, and expected.</w:t>
      </w:r>
      <w:r>
        <w:rPr>
          <w:szCs w:val="24"/>
        </w:rPr>
        <w:t xml:space="preserve"> The survey will help </w:t>
      </w:r>
      <w:r w:rsidR="002371BD">
        <w:rPr>
          <w:szCs w:val="24"/>
        </w:rPr>
        <w:t>ASCs</w:t>
      </w:r>
      <w:r>
        <w:rPr>
          <w:szCs w:val="24"/>
        </w:rPr>
        <w:t xml:space="preserve"> to identify and discuss strengths and weaknesses of patient safety culture within their individual </w:t>
      </w:r>
      <w:r w:rsidR="002371BD">
        <w:rPr>
          <w:szCs w:val="24"/>
        </w:rPr>
        <w:t>facilities</w:t>
      </w:r>
      <w:r>
        <w:rPr>
          <w:szCs w:val="24"/>
        </w:rPr>
        <w:t xml:space="preserve">. They can then use that knowledge to develop appropriate action plans to improve their practices and their culture of patient safety. </w:t>
      </w:r>
      <w:r w:rsidRPr="007D7D61">
        <w:rPr>
          <w:szCs w:val="24"/>
        </w:rPr>
        <w:t xml:space="preserve">This survey is designed for use in </w:t>
      </w:r>
      <w:r w:rsidR="00DA25BB">
        <w:rPr>
          <w:szCs w:val="24"/>
        </w:rPr>
        <w:t xml:space="preserve">ASCs that practice </w:t>
      </w:r>
      <w:r w:rsidR="00B23117">
        <w:rPr>
          <w:szCs w:val="24"/>
        </w:rPr>
        <w:t xml:space="preserve">all types of </w:t>
      </w:r>
      <w:r w:rsidR="00B23117" w:rsidRPr="00652D00">
        <w:rPr>
          <w:szCs w:val="24"/>
        </w:rPr>
        <w:t>surgical</w:t>
      </w:r>
      <w:r w:rsidR="00692300">
        <w:rPr>
          <w:szCs w:val="24"/>
        </w:rPr>
        <w:t xml:space="preserve"> </w:t>
      </w:r>
      <w:r w:rsidR="00B23117" w:rsidRPr="00652D00">
        <w:rPr>
          <w:szCs w:val="24"/>
        </w:rPr>
        <w:t>procedures including those that require incisions</w:t>
      </w:r>
      <w:r w:rsidR="00652D00">
        <w:rPr>
          <w:szCs w:val="24"/>
        </w:rPr>
        <w:t xml:space="preserve"> and less invasive </w:t>
      </w:r>
      <w:r w:rsidR="00540890">
        <w:rPr>
          <w:szCs w:val="24"/>
        </w:rPr>
        <w:t>or non-surgical procedures</w:t>
      </w:r>
      <w:r w:rsidR="00652D00">
        <w:rPr>
          <w:szCs w:val="24"/>
        </w:rPr>
        <w:t xml:space="preserve"> such as </w:t>
      </w:r>
      <w:r w:rsidR="00DA25BB" w:rsidRPr="00652D00">
        <w:rPr>
          <w:szCs w:val="24"/>
        </w:rPr>
        <w:t>gastrointestinal procedures</w:t>
      </w:r>
      <w:r w:rsidR="000A1F97" w:rsidRPr="00652D00">
        <w:rPr>
          <w:szCs w:val="24"/>
        </w:rPr>
        <w:t xml:space="preserve"> or pain management injections</w:t>
      </w:r>
      <w:r w:rsidR="00CC6E79" w:rsidRPr="00652D00">
        <w:rPr>
          <w:szCs w:val="24"/>
        </w:rPr>
        <w:t>.</w:t>
      </w:r>
      <w:r w:rsidR="00CC6E79">
        <w:rPr>
          <w:rFonts w:ascii="Garamond" w:hAnsi="Garamond"/>
          <w:szCs w:val="24"/>
        </w:rPr>
        <w:t xml:space="preserve"> </w:t>
      </w:r>
    </w:p>
    <w:p w:rsidR="0047670C" w:rsidRDefault="0047670C" w:rsidP="00671C51">
      <w:pPr>
        <w:rPr>
          <w:szCs w:val="24"/>
        </w:rPr>
      </w:pPr>
    </w:p>
    <w:p w:rsidR="00BC4EC9" w:rsidRPr="00A15132" w:rsidRDefault="00BC4EC9" w:rsidP="00BC4EC9">
      <w:pPr>
        <w:rPr>
          <w:szCs w:val="24"/>
        </w:rPr>
      </w:pPr>
      <w:r w:rsidRPr="00A15132">
        <w:rPr>
          <w:szCs w:val="24"/>
        </w:rPr>
        <w:t>This research has the following goals:</w:t>
      </w:r>
    </w:p>
    <w:p w:rsidR="00BC4EC9" w:rsidRPr="00A15132" w:rsidRDefault="00BC4EC9" w:rsidP="00BC4EC9">
      <w:pPr>
        <w:rPr>
          <w:szCs w:val="24"/>
        </w:rPr>
      </w:pPr>
    </w:p>
    <w:p w:rsidR="00BC4EC9" w:rsidRDefault="00BC4EC9" w:rsidP="001B72C5">
      <w:pPr>
        <w:tabs>
          <w:tab w:val="left" w:pos="360"/>
        </w:tabs>
        <w:ind w:left="360" w:hanging="360"/>
        <w:rPr>
          <w:szCs w:val="24"/>
        </w:rPr>
      </w:pPr>
      <w:r w:rsidRPr="00A15132">
        <w:rPr>
          <w:szCs w:val="24"/>
        </w:rPr>
        <w:t>1)</w:t>
      </w:r>
      <w:r w:rsidRPr="00A15132">
        <w:rPr>
          <w:szCs w:val="24"/>
        </w:rPr>
        <w:tab/>
      </w:r>
      <w:r w:rsidR="000E484A">
        <w:rPr>
          <w:szCs w:val="24"/>
        </w:rPr>
        <w:t>Develop, c</w:t>
      </w:r>
      <w:r w:rsidRPr="00A15132">
        <w:rPr>
          <w:szCs w:val="24"/>
        </w:rPr>
        <w:t xml:space="preserve">ognitively test and modify as necessary the </w:t>
      </w:r>
      <w:r w:rsidR="00540890">
        <w:rPr>
          <w:szCs w:val="24"/>
        </w:rPr>
        <w:t>Ambulatory Surgery/Procedure Survey</w:t>
      </w:r>
      <w:r w:rsidR="008C3154">
        <w:rPr>
          <w:szCs w:val="24"/>
        </w:rPr>
        <w:t xml:space="preserve"> on Patient Safety Culture Questionnaire</w:t>
      </w:r>
      <w:r w:rsidR="00304E3C">
        <w:rPr>
          <w:szCs w:val="24"/>
        </w:rPr>
        <w:t xml:space="preserve"> (Ambulatory Surgery SOPS)</w:t>
      </w:r>
      <w:r w:rsidR="008C3154">
        <w:rPr>
          <w:szCs w:val="24"/>
        </w:rPr>
        <w:t xml:space="preserve">; </w:t>
      </w:r>
      <w:r w:rsidR="000A1F97">
        <w:rPr>
          <w:szCs w:val="24"/>
        </w:rPr>
        <w:t>and</w:t>
      </w:r>
    </w:p>
    <w:p w:rsidR="001B72C5" w:rsidRDefault="001B72C5" w:rsidP="001B72C5">
      <w:pPr>
        <w:tabs>
          <w:tab w:val="left" w:pos="360"/>
        </w:tabs>
        <w:ind w:left="360" w:hanging="360"/>
        <w:rPr>
          <w:szCs w:val="24"/>
        </w:rPr>
      </w:pPr>
    </w:p>
    <w:p w:rsidR="001B72C5" w:rsidRDefault="001B72C5" w:rsidP="001B72C5">
      <w:pPr>
        <w:tabs>
          <w:tab w:val="left" w:pos="360"/>
        </w:tabs>
        <w:ind w:left="360" w:hanging="360"/>
        <w:rPr>
          <w:szCs w:val="24"/>
        </w:rPr>
      </w:pPr>
      <w:r>
        <w:rPr>
          <w:szCs w:val="24"/>
        </w:rPr>
        <w:t>2)</w:t>
      </w:r>
      <w:r>
        <w:rPr>
          <w:szCs w:val="24"/>
        </w:rPr>
        <w:tab/>
      </w:r>
      <w:r w:rsidR="00FC6C5D">
        <w:rPr>
          <w:szCs w:val="24"/>
        </w:rPr>
        <w:t>Pre</w:t>
      </w:r>
      <w:r w:rsidR="00615BC0">
        <w:rPr>
          <w:szCs w:val="24"/>
        </w:rPr>
        <w:t>test</w:t>
      </w:r>
      <w:r>
        <w:rPr>
          <w:szCs w:val="24"/>
        </w:rPr>
        <w:t xml:space="preserve"> </w:t>
      </w:r>
      <w:r w:rsidRPr="00A15132">
        <w:rPr>
          <w:szCs w:val="24"/>
        </w:rPr>
        <w:t>and m</w:t>
      </w:r>
      <w:r>
        <w:rPr>
          <w:szCs w:val="24"/>
        </w:rPr>
        <w:t xml:space="preserve">odify </w:t>
      </w:r>
      <w:r w:rsidR="008C3154">
        <w:rPr>
          <w:szCs w:val="24"/>
        </w:rPr>
        <w:t>the questionnaire as necessary</w:t>
      </w:r>
      <w:r w:rsidRPr="00A15132">
        <w:rPr>
          <w:szCs w:val="24"/>
        </w:rPr>
        <w:t>;</w:t>
      </w:r>
      <w:r w:rsidR="000A1F97">
        <w:rPr>
          <w:szCs w:val="24"/>
        </w:rPr>
        <w:t xml:space="preserve"> and</w:t>
      </w:r>
    </w:p>
    <w:p w:rsidR="001B72C5" w:rsidRDefault="001B72C5" w:rsidP="00BC4EC9">
      <w:pPr>
        <w:tabs>
          <w:tab w:val="left" w:pos="360"/>
        </w:tabs>
        <w:ind w:left="360" w:hanging="360"/>
        <w:rPr>
          <w:szCs w:val="24"/>
        </w:rPr>
      </w:pPr>
    </w:p>
    <w:p w:rsidR="00BC4EC9" w:rsidRPr="00A15132" w:rsidRDefault="005F499C" w:rsidP="00BC4EC9">
      <w:pPr>
        <w:tabs>
          <w:tab w:val="left" w:pos="360"/>
        </w:tabs>
        <w:rPr>
          <w:szCs w:val="24"/>
        </w:rPr>
      </w:pPr>
      <w:r>
        <w:rPr>
          <w:szCs w:val="24"/>
        </w:rPr>
        <w:t>3</w:t>
      </w:r>
      <w:r w:rsidR="00BC4EC9" w:rsidRPr="00A15132">
        <w:rPr>
          <w:szCs w:val="24"/>
        </w:rPr>
        <w:t>)</w:t>
      </w:r>
      <w:r w:rsidR="00BC4EC9" w:rsidRPr="00A15132">
        <w:rPr>
          <w:szCs w:val="24"/>
        </w:rPr>
        <w:tab/>
        <w:t xml:space="preserve">Make the final </w:t>
      </w:r>
      <w:r w:rsidRPr="005F499C">
        <w:rPr>
          <w:szCs w:val="24"/>
        </w:rPr>
        <w:t xml:space="preserve">questionnaire </w:t>
      </w:r>
      <w:r w:rsidR="0086653C">
        <w:rPr>
          <w:szCs w:val="24"/>
        </w:rPr>
        <w:t>publically</w:t>
      </w:r>
      <w:r w:rsidR="006011F8">
        <w:rPr>
          <w:szCs w:val="24"/>
        </w:rPr>
        <w:t xml:space="preserve"> </w:t>
      </w:r>
      <w:r w:rsidRPr="005F499C">
        <w:rPr>
          <w:szCs w:val="24"/>
        </w:rPr>
        <w:t>available</w:t>
      </w:r>
      <w:r w:rsidR="006011F8">
        <w:rPr>
          <w:szCs w:val="24"/>
        </w:rPr>
        <w:t>.</w:t>
      </w:r>
    </w:p>
    <w:p w:rsidR="00BC4EC9" w:rsidRDefault="00BC4EC9" w:rsidP="00BC4EC9">
      <w:pPr>
        <w:tabs>
          <w:tab w:val="left" w:pos="360"/>
        </w:tabs>
        <w:rPr>
          <w:szCs w:val="24"/>
          <w:highlight w:val="yellow"/>
        </w:rPr>
      </w:pPr>
    </w:p>
    <w:p w:rsidR="005A5E43" w:rsidRPr="00BC4EC9" w:rsidRDefault="005A5E43" w:rsidP="00BC4EC9">
      <w:pPr>
        <w:tabs>
          <w:tab w:val="left" w:pos="360"/>
        </w:tabs>
        <w:rPr>
          <w:szCs w:val="24"/>
          <w:highlight w:val="yellow"/>
        </w:rPr>
      </w:pPr>
    </w:p>
    <w:p w:rsidR="00BC4EC9" w:rsidRPr="001217E9" w:rsidRDefault="00BC4EC9" w:rsidP="00015387">
      <w:pPr>
        <w:spacing w:after="200" w:line="276" w:lineRule="auto"/>
        <w:rPr>
          <w:szCs w:val="24"/>
        </w:rPr>
      </w:pPr>
      <w:r w:rsidRPr="001217E9">
        <w:rPr>
          <w:szCs w:val="24"/>
        </w:rPr>
        <w:t>To achieve these goals the following activities and data collections will be implemented:</w:t>
      </w:r>
    </w:p>
    <w:p w:rsidR="00BC4EC9" w:rsidRDefault="00BC4EC9" w:rsidP="003B3476">
      <w:pPr>
        <w:tabs>
          <w:tab w:val="left" w:pos="360"/>
        </w:tabs>
        <w:ind w:left="360" w:hanging="360"/>
        <w:rPr>
          <w:szCs w:val="24"/>
        </w:rPr>
      </w:pPr>
      <w:r w:rsidRPr="001217E9">
        <w:rPr>
          <w:szCs w:val="24"/>
        </w:rPr>
        <w:t>1)</w:t>
      </w:r>
      <w:r w:rsidRPr="001217E9">
        <w:rPr>
          <w:szCs w:val="24"/>
        </w:rPr>
        <w:tab/>
      </w:r>
      <w:r w:rsidR="00B20101" w:rsidRPr="0039714C">
        <w:rPr>
          <w:b/>
          <w:szCs w:val="24"/>
        </w:rPr>
        <w:t>Cognitive interviews.</w:t>
      </w:r>
      <w:r w:rsidR="003B3476">
        <w:rPr>
          <w:szCs w:val="24"/>
        </w:rPr>
        <w:t xml:space="preserve">  </w:t>
      </w:r>
      <w:r w:rsidR="000B2167" w:rsidRPr="003B3476">
        <w:rPr>
          <w:szCs w:val="24"/>
        </w:rPr>
        <w:t>One</w:t>
      </w:r>
      <w:r w:rsidRPr="003B3476">
        <w:rPr>
          <w:szCs w:val="24"/>
        </w:rPr>
        <w:t xml:space="preserve"> round of </w:t>
      </w:r>
      <w:r w:rsidR="000A1F97">
        <w:rPr>
          <w:szCs w:val="24"/>
        </w:rPr>
        <w:t xml:space="preserve">cognitive </w:t>
      </w:r>
      <w:r w:rsidRPr="003B3476">
        <w:rPr>
          <w:szCs w:val="24"/>
        </w:rPr>
        <w:t>interview</w:t>
      </w:r>
      <w:r w:rsidR="000B2167" w:rsidRPr="003B3476">
        <w:rPr>
          <w:szCs w:val="24"/>
        </w:rPr>
        <w:t>s</w:t>
      </w:r>
      <w:r w:rsidRPr="003B3476">
        <w:rPr>
          <w:szCs w:val="24"/>
        </w:rPr>
        <w:t xml:space="preserve"> </w:t>
      </w:r>
      <w:r w:rsidR="00C53C31" w:rsidRPr="003B3476">
        <w:rPr>
          <w:szCs w:val="24"/>
        </w:rPr>
        <w:t xml:space="preserve">on the </w:t>
      </w:r>
      <w:r w:rsidR="00A636B2">
        <w:rPr>
          <w:szCs w:val="24"/>
        </w:rPr>
        <w:t>Ambulatory Surgery</w:t>
      </w:r>
      <w:r w:rsidR="00C53C31" w:rsidRPr="003B3476">
        <w:rPr>
          <w:szCs w:val="24"/>
        </w:rPr>
        <w:t xml:space="preserve"> </w:t>
      </w:r>
      <w:r w:rsidR="009A1395">
        <w:rPr>
          <w:szCs w:val="24"/>
        </w:rPr>
        <w:t>SOPS</w:t>
      </w:r>
      <w:r w:rsidR="00C53C31" w:rsidRPr="003B3476">
        <w:rPr>
          <w:szCs w:val="24"/>
        </w:rPr>
        <w:t xml:space="preserve"> </w:t>
      </w:r>
      <w:r w:rsidRPr="003B3476">
        <w:rPr>
          <w:szCs w:val="24"/>
        </w:rPr>
        <w:t xml:space="preserve">will be conducted by telephone with </w:t>
      </w:r>
      <w:r w:rsidR="00931D77">
        <w:rPr>
          <w:szCs w:val="24"/>
        </w:rPr>
        <w:t>15</w:t>
      </w:r>
      <w:r w:rsidR="000A1F97">
        <w:rPr>
          <w:szCs w:val="24"/>
        </w:rPr>
        <w:t xml:space="preserve"> </w:t>
      </w:r>
      <w:r w:rsidRPr="003B3476">
        <w:rPr>
          <w:szCs w:val="24"/>
        </w:rPr>
        <w:t xml:space="preserve">respondents </w:t>
      </w:r>
      <w:r w:rsidR="000B2167" w:rsidRPr="003B3476">
        <w:rPr>
          <w:szCs w:val="24"/>
        </w:rPr>
        <w:t xml:space="preserve">from </w:t>
      </w:r>
      <w:r w:rsidR="00A636B2">
        <w:rPr>
          <w:szCs w:val="24"/>
        </w:rPr>
        <w:t>ASCs</w:t>
      </w:r>
      <w:r w:rsidR="003E2A31">
        <w:rPr>
          <w:szCs w:val="24"/>
        </w:rPr>
        <w:t xml:space="preserve">. </w:t>
      </w:r>
      <w:r w:rsidRPr="003B3476">
        <w:rPr>
          <w:szCs w:val="24"/>
        </w:rPr>
        <w:t>The purpose of these interviews is to</w:t>
      </w:r>
      <w:r w:rsidR="00BE713F">
        <w:rPr>
          <w:szCs w:val="24"/>
        </w:rPr>
        <w:t xml:space="preserve"> </w:t>
      </w:r>
      <w:r w:rsidR="00BE713F" w:rsidRPr="00F41A22">
        <w:rPr>
          <w:szCs w:val="24"/>
        </w:rPr>
        <w:t xml:space="preserve">understand the cognitive processes the respondent engages in when answering a question </w:t>
      </w:r>
      <w:r w:rsidR="00BE713F">
        <w:rPr>
          <w:szCs w:val="24"/>
        </w:rPr>
        <w:t xml:space="preserve">on the </w:t>
      </w:r>
      <w:r w:rsidR="00BE713F" w:rsidRPr="00F41A22">
        <w:rPr>
          <w:szCs w:val="24"/>
        </w:rPr>
        <w:t>survey</w:t>
      </w:r>
      <w:r w:rsidRPr="003B3476">
        <w:rPr>
          <w:szCs w:val="24"/>
        </w:rPr>
        <w:t xml:space="preserve"> </w:t>
      </w:r>
      <w:r w:rsidR="00BE713F">
        <w:rPr>
          <w:szCs w:val="24"/>
        </w:rPr>
        <w:t xml:space="preserve">and to </w:t>
      </w:r>
      <w:r w:rsidRPr="003B3476">
        <w:rPr>
          <w:szCs w:val="24"/>
        </w:rPr>
        <w:t xml:space="preserve">refine the </w:t>
      </w:r>
      <w:r w:rsidR="009D245D" w:rsidRPr="003B3476">
        <w:rPr>
          <w:szCs w:val="24"/>
        </w:rPr>
        <w:t>survey</w:t>
      </w:r>
      <w:r w:rsidR="003E2A31">
        <w:rPr>
          <w:szCs w:val="24"/>
        </w:rPr>
        <w:t xml:space="preserve">’s items and composites. </w:t>
      </w:r>
      <w:r w:rsidR="000B2167" w:rsidRPr="003B3476">
        <w:rPr>
          <w:szCs w:val="24"/>
        </w:rPr>
        <w:t>These interviews</w:t>
      </w:r>
      <w:r w:rsidRPr="003B3476">
        <w:rPr>
          <w:szCs w:val="24"/>
        </w:rPr>
        <w:t xml:space="preserve"> will be conducted with a mix </w:t>
      </w:r>
      <w:r w:rsidR="00A636B2">
        <w:rPr>
          <w:szCs w:val="24"/>
        </w:rPr>
        <w:t>of physicians, management,</w:t>
      </w:r>
      <w:r w:rsidR="000B2167" w:rsidRPr="003B3476">
        <w:rPr>
          <w:szCs w:val="24"/>
        </w:rPr>
        <w:t xml:space="preserve"> </w:t>
      </w:r>
      <w:r w:rsidR="00A636B2">
        <w:rPr>
          <w:szCs w:val="24"/>
        </w:rPr>
        <w:t xml:space="preserve">nurses, </w:t>
      </w:r>
      <w:r w:rsidR="00FC3CA5">
        <w:rPr>
          <w:szCs w:val="24"/>
        </w:rPr>
        <w:t>surgical</w:t>
      </w:r>
      <w:r w:rsidR="00A636B2">
        <w:rPr>
          <w:szCs w:val="24"/>
        </w:rPr>
        <w:t xml:space="preserve"> technicians, and administrative staff </w:t>
      </w:r>
      <w:r w:rsidR="000B2167" w:rsidRPr="003B3476">
        <w:rPr>
          <w:szCs w:val="24"/>
        </w:rPr>
        <w:t xml:space="preserve">throughout the U.S. </w:t>
      </w:r>
      <w:r w:rsidR="00A636B2">
        <w:rPr>
          <w:szCs w:val="24"/>
        </w:rPr>
        <w:t xml:space="preserve">from ASCs </w:t>
      </w:r>
      <w:r w:rsidR="000B2167" w:rsidRPr="003B3476">
        <w:rPr>
          <w:szCs w:val="24"/>
        </w:rPr>
        <w:t xml:space="preserve">with varying characteristics (e.g., size, geographic location, </w:t>
      </w:r>
      <w:r w:rsidR="00813430">
        <w:rPr>
          <w:szCs w:val="24"/>
        </w:rPr>
        <w:t>and type of ownership</w:t>
      </w:r>
      <w:r w:rsidR="000B2167" w:rsidRPr="003B3476">
        <w:rPr>
          <w:szCs w:val="24"/>
        </w:rPr>
        <w:t>).</w:t>
      </w:r>
      <w:r w:rsidR="00813430">
        <w:rPr>
          <w:szCs w:val="24"/>
        </w:rPr>
        <w:t xml:space="preserve"> </w:t>
      </w:r>
      <w:r w:rsidRPr="003B3476">
        <w:rPr>
          <w:szCs w:val="24"/>
        </w:rPr>
        <w:t xml:space="preserve">The </w:t>
      </w:r>
      <w:r w:rsidR="000E484A" w:rsidRPr="003B3476">
        <w:rPr>
          <w:szCs w:val="24"/>
        </w:rPr>
        <w:t xml:space="preserve">cognitive </w:t>
      </w:r>
      <w:r w:rsidRPr="003B3476">
        <w:rPr>
          <w:szCs w:val="24"/>
        </w:rPr>
        <w:t xml:space="preserve">interview guide </w:t>
      </w:r>
      <w:r w:rsidR="009A1395">
        <w:rPr>
          <w:szCs w:val="24"/>
        </w:rPr>
        <w:t>is</w:t>
      </w:r>
      <w:r w:rsidR="001217E9" w:rsidRPr="003B3476">
        <w:rPr>
          <w:szCs w:val="24"/>
        </w:rPr>
        <w:t xml:space="preserve"> included in Attachment</w:t>
      </w:r>
      <w:r w:rsidRPr="003B3476">
        <w:rPr>
          <w:szCs w:val="24"/>
        </w:rPr>
        <w:t xml:space="preserve"> </w:t>
      </w:r>
      <w:r w:rsidR="006423AC">
        <w:rPr>
          <w:szCs w:val="24"/>
        </w:rPr>
        <w:t>A</w:t>
      </w:r>
      <w:r w:rsidR="00FF496B" w:rsidRPr="003B3476">
        <w:rPr>
          <w:szCs w:val="24"/>
        </w:rPr>
        <w:t xml:space="preserve">. </w:t>
      </w:r>
    </w:p>
    <w:p w:rsidR="00F41A22" w:rsidRDefault="00F41A22" w:rsidP="003B3476">
      <w:pPr>
        <w:tabs>
          <w:tab w:val="left" w:pos="360"/>
        </w:tabs>
        <w:ind w:left="360" w:hanging="360"/>
        <w:rPr>
          <w:szCs w:val="24"/>
        </w:rPr>
      </w:pPr>
    </w:p>
    <w:p w:rsidR="00DF0A05" w:rsidRDefault="00F41A22" w:rsidP="003B3476">
      <w:pPr>
        <w:tabs>
          <w:tab w:val="left" w:pos="360"/>
        </w:tabs>
        <w:ind w:left="360" w:hanging="360"/>
        <w:rPr>
          <w:szCs w:val="24"/>
        </w:rPr>
      </w:pPr>
      <w:r>
        <w:rPr>
          <w:szCs w:val="24"/>
        </w:rPr>
        <w:t>2)</w:t>
      </w:r>
      <w:r>
        <w:rPr>
          <w:szCs w:val="24"/>
        </w:rPr>
        <w:tab/>
      </w:r>
      <w:r w:rsidR="00B20101" w:rsidRPr="0039714C">
        <w:rPr>
          <w:b/>
          <w:szCs w:val="24"/>
        </w:rPr>
        <w:t xml:space="preserve">Pretest for the </w:t>
      </w:r>
      <w:r w:rsidR="00540890">
        <w:rPr>
          <w:b/>
          <w:szCs w:val="24"/>
        </w:rPr>
        <w:t>Ambulatory Surgery</w:t>
      </w:r>
      <w:r w:rsidR="00993192">
        <w:rPr>
          <w:b/>
          <w:szCs w:val="24"/>
        </w:rPr>
        <w:t xml:space="preserve"> </w:t>
      </w:r>
      <w:r w:rsidR="00993192">
        <w:rPr>
          <w:szCs w:val="24"/>
        </w:rPr>
        <w:t>SOPS</w:t>
      </w:r>
      <w:r w:rsidR="00B20101" w:rsidRPr="0039714C">
        <w:rPr>
          <w:b/>
          <w:szCs w:val="24"/>
        </w:rPr>
        <w:t>.</w:t>
      </w:r>
      <w:r w:rsidRPr="00F41A22">
        <w:rPr>
          <w:szCs w:val="24"/>
        </w:rPr>
        <w:t xml:space="preserve"> </w:t>
      </w:r>
      <w:r w:rsidR="00F90343">
        <w:rPr>
          <w:szCs w:val="24"/>
        </w:rPr>
        <w:t xml:space="preserve"> </w:t>
      </w:r>
      <w:r w:rsidRPr="00700B91">
        <w:rPr>
          <w:szCs w:val="24"/>
        </w:rPr>
        <w:t>The</w:t>
      </w:r>
      <w:r>
        <w:rPr>
          <w:szCs w:val="24"/>
        </w:rPr>
        <w:t xml:space="preserve"> </w:t>
      </w:r>
      <w:r w:rsidR="00884698">
        <w:rPr>
          <w:szCs w:val="24"/>
        </w:rPr>
        <w:t>draft questionnaire</w:t>
      </w:r>
      <w:r w:rsidRPr="00FF496B">
        <w:rPr>
          <w:szCs w:val="24"/>
        </w:rPr>
        <w:t xml:space="preserve"> will be pretested with </w:t>
      </w:r>
      <w:r w:rsidR="00937AF0">
        <w:rPr>
          <w:szCs w:val="24"/>
        </w:rPr>
        <w:t>physicians and</w:t>
      </w:r>
      <w:r w:rsidRPr="00FF496B">
        <w:rPr>
          <w:szCs w:val="24"/>
        </w:rPr>
        <w:t xml:space="preserve"> staff from </w:t>
      </w:r>
      <w:r w:rsidR="00884698">
        <w:rPr>
          <w:szCs w:val="24"/>
        </w:rPr>
        <w:t>40 ASCs</w:t>
      </w:r>
      <w:r w:rsidRPr="00031578">
        <w:rPr>
          <w:szCs w:val="24"/>
        </w:rPr>
        <w:t xml:space="preserve"> (see Attachments </w:t>
      </w:r>
      <w:r w:rsidR="006423AC">
        <w:rPr>
          <w:szCs w:val="24"/>
        </w:rPr>
        <w:t>B</w:t>
      </w:r>
      <w:r w:rsidRPr="00FF496B">
        <w:rPr>
          <w:szCs w:val="24"/>
        </w:rPr>
        <w:t>).</w:t>
      </w:r>
      <w:r w:rsidR="003E2A31">
        <w:rPr>
          <w:szCs w:val="24"/>
        </w:rPr>
        <w:t xml:space="preserve"> </w:t>
      </w:r>
      <w:r w:rsidRPr="00177C6B">
        <w:rPr>
          <w:szCs w:val="24"/>
        </w:rPr>
        <w:t xml:space="preserve">The purpose of the pretest is to collect </w:t>
      </w:r>
      <w:r w:rsidRPr="00FF496B">
        <w:rPr>
          <w:szCs w:val="24"/>
        </w:rPr>
        <w:t>data for an assessment of the reliability and co</w:t>
      </w:r>
      <w:r w:rsidR="00F5237C">
        <w:rPr>
          <w:szCs w:val="24"/>
        </w:rPr>
        <w:t>nstruct validity of the survey</w:t>
      </w:r>
      <w:r w:rsidRPr="00FF496B">
        <w:rPr>
          <w:szCs w:val="24"/>
        </w:rPr>
        <w:t xml:space="preserve"> items and composites, allowing for their </w:t>
      </w:r>
      <w:r w:rsidRPr="002B13E9">
        <w:rPr>
          <w:szCs w:val="24"/>
        </w:rPr>
        <w:t xml:space="preserve">further refinement. </w:t>
      </w:r>
      <w:r w:rsidR="001F7569" w:rsidRPr="002B13E9">
        <w:rPr>
          <w:szCs w:val="24"/>
        </w:rPr>
        <w:t xml:space="preserve">A </w:t>
      </w:r>
      <w:r w:rsidR="004F0144" w:rsidRPr="002B13E9">
        <w:rPr>
          <w:szCs w:val="24"/>
        </w:rPr>
        <w:t xml:space="preserve">site-level </w:t>
      </w:r>
      <w:r w:rsidR="000A1F97">
        <w:rPr>
          <w:szCs w:val="24"/>
        </w:rPr>
        <w:t xml:space="preserve">point of </w:t>
      </w:r>
      <w:r w:rsidR="001F7569" w:rsidRPr="002B13E9">
        <w:rPr>
          <w:szCs w:val="24"/>
        </w:rPr>
        <w:t>contact (</w:t>
      </w:r>
      <w:r w:rsidR="004F0144" w:rsidRPr="002B13E9">
        <w:rPr>
          <w:szCs w:val="24"/>
        </w:rPr>
        <w:t>POC</w:t>
      </w:r>
      <w:r w:rsidR="001F7569" w:rsidRPr="002B13E9">
        <w:rPr>
          <w:szCs w:val="24"/>
        </w:rPr>
        <w:t>) will be recruited</w:t>
      </w:r>
      <w:r w:rsidR="004F0144" w:rsidRPr="002B13E9">
        <w:rPr>
          <w:szCs w:val="24"/>
        </w:rPr>
        <w:t xml:space="preserve"> in each </w:t>
      </w:r>
      <w:r w:rsidR="00863FD2" w:rsidRPr="002B13E9">
        <w:rPr>
          <w:szCs w:val="24"/>
        </w:rPr>
        <w:t>ASC</w:t>
      </w:r>
      <w:r w:rsidR="00B23AE4" w:rsidRPr="002B13E9">
        <w:rPr>
          <w:szCs w:val="24"/>
        </w:rPr>
        <w:t xml:space="preserve"> </w:t>
      </w:r>
      <w:r w:rsidR="005B4DDD" w:rsidRPr="002B13E9">
        <w:rPr>
          <w:szCs w:val="24"/>
        </w:rPr>
        <w:t>to</w:t>
      </w:r>
      <w:r w:rsidR="004F0144" w:rsidRPr="002B13E9">
        <w:rPr>
          <w:szCs w:val="24"/>
        </w:rPr>
        <w:t xml:space="preserve"> manage </w:t>
      </w:r>
      <w:r w:rsidR="005B4DDD" w:rsidRPr="002B13E9">
        <w:rPr>
          <w:szCs w:val="24"/>
        </w:rPr>
        <w:t xml:space="preserve">the </w:t>
      </w:r>
      <w:r w:rsidR="004F0144" w:rsidRPr="002B13E9">
        <w:rPr>
          <w:szCs w:val="24"/>
        </w:rPr>
        <w:t xml:space="preserve">data collection at that </w:t>
      </w:r>
      <w:r w:rsidR="00B23AE4" w:rsidRPr="002B13E9">
        <w:rPr>
          <w:szCs w:val="24"/>
        </w:rPr>
        <w:t>organization</w:t>
      </w:r>
      <w:r w:rsidR="004F0144" w:rsidRPr="002B13E9">
        <w:rPr>
          <w:szCs w:val="24"/>
        </w:rPr>
        <w:t xml:space="preserve"> (compile sample information, distribute surveys, promote survey response, etc.)</w:t>
      </w:r>
      <w:r w:rsidR="001F7569" w:rsidRPr="002B13E9">
        <w:rPr>
          <w:szCs w:val="24"/>
        </w:rPr>
        <w:t>.</w:t>
      </w:r>
      <w:r w:rsidR="003E2A31">
        <w:rPr>
          <w:szCs w:val="24"/>
        </w:rPr>
        <w:t xml:space="preserve"> </w:t>
      </w:r>
      <w:r w:rsidR="00496F88" w:rsidRPr="002B13E9">
        <w:rPr>
          <w:szCs w:val="24"/>
        </w:rPr>
        <w:t>Instructions for the site-level PO</w:t>
      </w:r>
      <w:r w:rsidR="006423AC" w:rsidRPr="002B13E9">
        <w:rPr>
          <w:szCs w:val="24"/>
        </w:rPr>
        <w:t>Cs are included in Attachment C</w:t>
      </w:r>
      <w:r w:rsidR="00496F88" w:rsidRPr="002B13E9">
        <w:rPr>
          <w:szCs w:val="24"/>
        </w:rPr>
        <w:t xml:space="preserve">. </w:t>
      </w:r>
      <w:r w:rsidR="00CD322B">
        <w:rPr>
          <w:szCs w:val="24"/>
        </w:rPr>
        <w:t xml:space="preserve"> </w:t>
      </w:r>
      <w:r w:rsidR="0061721A" w:rsidRPr="002B13E9">
        <w:rPr>
          <w:szCs w:val="24"/>
        </w:rPr>
        <w:t>Exhibit 1 includes a burden estimate for the POC’s time to manage the data collection.</w:t>
      </w:r>
      <w:r w:rsidR="004F0144" w:rsidRPr="002B13E9">
        <w:rPr>
          <w:szCs w:val="24"/>
        </w:rPr>
        <w:t xml:space="preserve"> </w:t>
      </w:r>
      <w:r w:rsidRPr="002B13E9">
        <w:rPr>
          <w:szCs w:val="24"/>
        </w:rPr>
        <w:t>The dr</w:t>
      </w:r>
      <w:r w:rsidR="006423AC" w:rsidRPr="002B13E9">
        <w:rPr>
          <w:szCs w:val="24"/>
        </w:rPr>
        <w:t>aft pretest survey cover letter</w:t>
      </w:r>
      <w:r w:rsidRPr="002B13E9">
        <w:rPr>
          <w:szCs w:val="24"/>
        </w:rPr>
        <w:t xml:space="preserve"> and follow-up reminder notices are included in Attachments </w:t>
      </w:r>
      <w:r w:rsidR="006423AC" w:rsidRPr="002B13E9">
        <w:rPr>
          <w:szCs w:val="24"/>
        </w:rPr>
        <w:t>D</w:t>
      </w:r>
      <w:r w:rsidRPr="002B13E9">
        <w:rPr>
          <w:szCs w:val="24"/>
        </w:rPr>
        <w:t>.</w:t>
      </w:r>
      <w:r w:rsidR="004E7E42">
        <w:rPr>
          <w:szCs w:val="24"/>
        </w:rPr>
        <w:t xml:space="preserve">  </w:t>
      </w:r>
    </w:p>
    <w:p w:rsidR="000F18BC" w:rsidRDefault="000F18BC" w:rsidP="0039714C">
      <w:pPr>
        <w:rPr>
          <w:szCs w:val="24"/>
        </w:rPr>
      </w:pPr>
    </w:p>
    <w:p w:rsidR="00BC4EC9" w:rsidRPr="007F0ED5" w:rsidRDefault="00D81BDA" w:rsidP="00863FD2">
      <w:pPr>
        <w:tabs>
          <w:tab w:val="left" w:pos="360"/>
        </w:tabs>
        <w:ind w:left="360" w:hanging="360"/>
        <w:rPr>
          <w:szCs w:val="24"/>
        </w:rPr>
      </w:pPr>
      <w:r>
        <w:rPr>
          <w:szCs w:val="24"/>
        </w:rPr>
        <w:t>3</w:t>
      </w:r>
      <w:r w:rsidR="00D0351C">
        <w:rPr>
          <w:szCs w:val="24"/>
        </w:rPr>
        <w:t>)</w:t>
      </w:r>
      <w:r w:rsidR="000356A0">
        <w:rPr>
          <w:szCs w:val="24"/>
        </w:rPr>
        <w:t xml:space="preserve">  </w:t>
      </w:r>
      <w:r w:rsidR="00863FD2" w:rsidRPr="00592F51">
        <w:rPr>
          <w:b/>
          <w:szCs w:val="24"/>
        </w:rPr>
        <w:t>Dissemination activities</w:t>
      </w:r>
      <w:r w:rsidR="00592F51" w:rsidRPr="00592F51">
        <w:rPr>
          <w:b/>
          <w:szCs w:val="24"/>
        </w:rPr>
        <w:t>.</w:t>
      </w:r>
      <w:r w:rsidR="00592F51">
        <w:rPr>
          <w:szCs w:val="24"/>
        </w:rPr>
        <w:t xml:space="preserve"> </w:t>
      </w:r>
      <w:r w:rsidR="00F90343">
        <w:rPr>
          <w:szCs w:val="24"/>
        </w:rPr>
        <w:t xml:space="preserve"> </w:t>
      </w:r>
      <w:r w:rsidR="00863FD2" w:rsidRPr="00863FD2">
        <w:rPr>
          <w:szCs w:val="24"/>
        </w:rPr>
        <w:t xml:space="preserve">The final questionnaire will be made </w:t>
      </w:r>
      <w:r w:rsidR="0086653C">
        <w:rPr>
          <w:szCs w:val="24"/>
        </w:rPr>
        <w:t xml:space="preserve">publically </w:t>
      </w:r>
      <w:r w:rsidR="00863FD2" w:rsidRPr="00863FD2">
        <w:rPr>
          <w:szCs w:val="24"/>
        </w:rPr>
        <w:t xml:space="preserve">available </w:t>
      </w:r>
      <w:r w:rsidR="003E2A31">
        <w:rPr>
          <w:szCs w:val="24"/>
        </w:rPr>
        <w:t xml:space="preserve">through the AHRQ website. </w:t>
      </w:r>
      <w:r w:rsidR="00863FD2" w:rsidRPr="00863FD2">
        <w:rPr>
          <w:szCs w:val="24"/>
        </w:rPr>
        <w:t>This activity does not impose a burden on the public and is therefore not included in the burden estimates in Section 12.</w:t>
      </w:r>
    </w:p>
    <w:p w:rsidR="0039414F" w:rsidRDefault="0039414F" w:rsidP="00BC4EC9">
      <w:pPr>
        <w:rPr>
          <w:szCs w:val="24"/>
        </w:rPr>
      </w:pPr>
    </w:p>
    <w:p w:rsidR="00BC4EC9" w:rsidRPr="007F0ED5" w:rsidRDefault="00BC4EC9" w:rsidP="00BC4EC9">
      <w:pPr>
        <w:rPr>
          <w:szCs w:val="24"/>
        </w:rPr>
      </w:pPr>
      <w:r w:rsidRPr="007131E7">
        <w:rPr>
          <w:szCs w:val="24"/>
        </w:rPr>
        <w:t xml:space="preserve">This study is being conducted by AHRQ through its contractor, </w:t>
      </w:r>
      <w:r w:rsidR="007F0ED5" w:rsidRPr="007131E7">
        <w:rPr>
          <w:szCs w:val="24"/>
        </w:rPr>
        <w:t xml:space="preserve">Health Research &amp; Educational Trust (HRET), and subcontractor, </w:t>
      </w:r>
      <w:r w:rsidRPr="007131E7">
        <w:rPr>
          <w:szCs w:val="24"/>
        </w:rPr>
        <w:t>Westat, pursuant</w:t>
      </w:r>
      <w:r w:rsidRPr="007F0ED5">
        <w:rPr>
          <w:szCs w:val="24"/>
        </w:rPr>
        <w:t xml:space="preserve"> to AHRQ’s statutory authority to conduct and support research on health</w:t>
      </w:r>
      <w:r w:rsidR="00DB2FE1">
        <w:rPr>
          <w:szCs w:val="24"/>
        </w:rPr>
        <w:t xml:space="preserve"> </w:t>
      </w:r>
      <w:r w:rsidRPr="007F0ED5">
        <w:rPr>
          <w:szCs w:val="24"/>
        </w:rPr>
        <w:t>care and on systems for the delivery of such care, including activities with respect to the quality, effectiveness, efficiency, appropriateness and value of health</w:t>
      </w:r>
      <w:r w:rsidR="00DB2FE1">
        <w:rPr>
          <w:szCs w:val="24"/>
        </w:rPr>
        <w:t xml:space="preserve"> </w:t>
      </w:r>
      <w:r w:rsidRPr="007F0ED5">
        <w:rPr>
          <w:szCs w:val="24"/>
        </w:rPr>
        <w:t xml:space="preserve">care services </w:t>
      </w:r>
      <w:r w:rsidRPr="00FF496B">
        <w:rPr>
          <w:szCs w:val="24"/>
        </w:rPr>
        <w:t>and with respect to quali</w:t>
      </w:r>
      <w:r w:rsidR="003E2A31">
        <w:rPr>
          <w:szCs w:val="24"/>
        </w:rPr>
        <w:t>ty measurement and improvement.</w:t>
      </w:r>
      <w:r w:rsidRPr="00FF496B">
        <w:rPr>
          <w:szCs w:val="24"/>
        </w:rPr>
        <w:t xml:space="preserve"> 42 U.S.C. </w:t>
      </w:r>
      <w:proofErr w:type="gramStart"/>
      <w:r w:rsidRPr="00FF496B">
        <w:rPr>
          <w:szCs w:val="24"/>
        </w:rPr>
        <w:t>299a(</w:t>
      </w:r>
      <w:proofErr w:type="gramEnd"/>
      <w:r w:rsidRPr="00FF496B">
        <w:rPr>
          <w:szCs w:val="24"/>
        </w:rPr>
        <w:t>a)(1) and (2).</w:t>
      </w:r>
    </w:p>
    <w:p w:rsidR="00BC4EC9" w:rsidRPr="00BC4EC9" w:rsidRDefault="00BC4EC9" w:rsidP="00BC4EC9">
      <w:pPr>
        <w:rPr>
          <w:szCs w:val="24"/>
          <w:highlight w:val="yellow"/>
        </w:rPr>
      </w:pPr>
    </w:p>
    <w:p w:rsidR="00BC4EC9" w:rsidRPr="00937E29" w:rsidRDefault="00BC4EC9" w:rsidP="00BC4EC9">
      <w:pPr>
        <w:pStyle w:val="Heading2"/>
        <w:rPr>
          <w:color w:val="auto"/>
          <w:sz w:val="24"/>
          <w:szCs w:val="24"/>
        </w:rPr>
      </w:pPr>
      <w:bookmarkStart w:id="2" w:name="_Toc358273839"/>
      <w:r w:rsidRPr="00937E29">
        <w:rPr>
          <w:color w:val="auto"/>
          <w:sz w:val="24"/>
          <w:szCs w:val="24"/>
        </w:rPr>
        <w:t xml:space="preserve">2.  </w:t>
      </w:r>
      <w:r w:rsidRPr="00937E29">
        <w:rPr>
          <w:color w:val="auto"/>
          <w:sz w:val="24"/>
          <w:szCs w:val="24"/>
          <w:u w:val="single"/>
        </w:rPr>
        <w:t xml:space="preserve">Purpose </w:t>
      </w:r>
      <w:r w:rsidR="00D31403">
        <w:rPr>
          <w:color w:val="auto"/>
          <w:sz w:val="24"/>
          <w:szCs w:val="24"/>
          <w:u w:val="single"/>
        </w:rPr>
        <w:t xml:space="preserve">and use of </w:t>
      </w:r>
      <w:r w:rsidRPr="00937E29">
        <w:rPr>
          <w:color w:val="auto"/>
          <w:sz w:val="24"/>
          <w:szCs w:val="24"/>
          <w:u w:val="single"/>
        </w:rPr>
        <w:t>Information</w:t>
      </w:r>
      <w:bookmarkEnd w:id="2"/>
      <w:r w:rsidRPr="00937E29">
        <w:rPr>
          <w:color w:val="auto"/>
          <w:sz w:val="24"/>
          <w:szCs w:val="24"/>
          <w:u w:val="single"/>
        </w:rPr>
        <w:t xml:space="preserve"> </w:t>
      </w:r>
    </w:p>
    <w:p w:rsidR="00A12239" w:rsidRDefault="00A12239" w:rsidP="00A12239">
      <w:pPr>
        <w:rPr>
          <w:szCs w:val="24"/>
        </w:rPr>
      </w:pPr>
    </w:p>
    <w:p w:rsidR="00A12239" w:rsidRDefault="00A12239" w:rsidP="00A12239">
      <w:pPr>
        <w:rPr>
          <w:szCs w:val="24"/>
        </w:rPr>
      </w:pPr>
      <w:r w:rsidRPr="00CB177A">
        <w:rPr>
          <w:szCs w:val="24"/>
        </w:rPr>
        <w:t>The information collected will be used to test</w:t>
      </w:r>
      <w:r>
        <w:rPr>
          <w:szCs w:val="24"/>
        </w:rPr>
        <w:t xml:space="preserve"> and improve the</w:t>
      </w:r>
      <w:r w:rsidRPr="00CB177A">
        <w:rPr>
          <w:szCs w:val="24"/>
        </w:rPr>
        <w:t xml:space="preserve"> draft survey items </w:t>
      </w:r>
      <w:r>
        <w:rPr>
          <w:szCs w:val="24"/>
        </w:rPr>
        <w:t>in</w:t>
      </w:r>
      <w:r w:rsidRPr="00CB177A">
        <w:rPr>
          <w:szCs w:val="24"/>
        </w:rPr>
        <w:t xml:space="preserve"> the </w:t>
      </w:r>
      <w:r w:rsidR="00D43049">
        <w:rPr>
          <w:szCs w:val="24"/>
        </w:rPr>
        <w:t>Ambulatory Surgery</w:t>
      </w:r>
      <w:r>
        <w:rPr>
          <w:szCs w:val="24"/>
        </w:rPr>
        <w:t xml:space="preserve"> </w:t>
      </w:r>
      <w:r w:rsidR="005062FD">
        <w:rPr>
          <w:szCs w:val="24"/>
        </w:rPr>
        <w:t>SOPS</w:t>
      </w:r>
      <w:r w:rsidR="00832797">
        <w:rPr>
          <w:szCs w:val="24"/>
        </w:rPr>
        <w:t xml:space="preserve"> </w:t>
      </w:r>
      <w:r w:rsidRPr="00CB177A">
        <w:rPr>
          <w:szCs w:val="24"/>
        </w:rPr>
        <w:t xml:space="preserve">described in </w:t>
      </w:r>
      <w:r>
        <w:rPr>
          <w:szCs w:val="24"/>
        </w:rPr>
        <w:t>Section</w:t>
      </w:r>
      <w:r w:rsidRPr="00CB177A">
        <w:rPr>
          <w:szCs w:val="24"/>
        </w:rPr>
        <w:t xml:space="preserve"> #1. </w:t>
      </w:r>
      <w:r w:rsidRPr="00CE53F1">
        <w:rPr>
          <w:szCs w:val="24"/>
        </w:rPr>
        <w:t>Psychometric</w:t>
      </w:r>
      <w:r w:rsidRPr="00CB177A">
        <w:rPr>
          <w:szCs w:val="24"/>
        </w:rPr>
        <w:t xml:space="preserve"> analys</w:t>
      </w:r>
      <w:r>
        <w:rPr>
          <w:szCs w:val="24"/>
        </w:rPr>
        <w:t>i</w:t>
      </w:r>
      <w:r w:rsidRPr="00CB177A">
        <w:rPr>
          <w:szCs w:val="24"/>
        </w:rPr>
        <w:t xml:space="preserve">s will be conducted on the </w:t>
      </w:r>
      <w:r w:rsidR="003661CC">
        <w:rPr>
          <w:szCs w:val="24"/>
        </w:rPr>
        <w:t>pretest</w:t>
      </w:r>
      <w:r w:rsidRPr="00CB177A">
        <w:rPr>
          <w:szCs w:val="24"/>
        </w:rPr>
        <w:t xml:space="preserve"> data to </w:t>
      </w:r>
      <w:r>
        <w:rPr>
          <w:szCs w:val="24"/>
        </w:rPr>
        <w:t>examine item nonresponse</w:t>
      </w:r>
      <w:r w:rsidRPr="00CB177A">
        <w:rPr>
          <w:szCs w:val="24"/>
        </w:rPr>
        <w:t xml:space="preserve">, item </w:t>
      </w:r>
      <w:r>
        <w:rPr>
          <w:szCs w:val="24"/>
        </w:rPr>
        <w:t>response variability</w:t>
      </w:r>
      <w:r w:rsidRPr="00CB177A">
        <w:rPr>
          <w:szCs w:val="24"/>
        </w:rPr>
        <w:t xml:space="preserve">, </w:t>
      </w:r>
      <w:r>
        <w:rPr>
          <w:szCs w:val="24"/>
        </w:rPr>
        <w:t xml:space="preserve">factor structure, </w:t>
      </w:r>
      <w:r w:rsidRPr="00CB177A">
        <w:rPr>
          <w:szCs w:val="24"/>
        </w:rPr>
        <w:t>reliability</w:t>
      </w:r>
      <w:r>
        <w:rPr>
          <w:szCs w:val="24"/>
        </w:rPr>
        <w:t>,</w:t>
      </w:r>
      <w:r w:rsidRPr="00CB177A">
        <w:rPr>
          <w:szCs w:val="24"/>
        </w:rPr>
        <w:t xml:space="preserve"> </w:t>
      </w:r>
      <w:r>
        <w:rPr>
          <w:szCs w:val="24"/>
        </w:rPr>
        <w:t xml:space="preserve">and </w:t>
      </w:r>
      <w:r w:rsidRPr="00CB177A">
        <w:rPr>
          <w:szCs w:val="24"/>
        </w:rPr>
        <w:t>construct validity of the</w:t>
      </w:r>
      <w:r w:rsidR="003E2A31">
        <w:rPr>
          <w:szCs w:val="24"/>
        </w:rPr>
        <w:t xml:space="preserve"> items included in the survey. </w:t>
      </w:r>
      <w:r>
        <w:rPr>
          <w:szCs w:val="24"/>
        </w:rPr>
        <w:t xml:space="preserve">Because the survey items are being developed to measure specific aspects of patient safety culture in the </w:t>
      </w:r>
      <w:r w:rsidR="00D43049">
        <w:rPr>
          <w:szCs w:val="24"/>
        </w:rPr>
        <w:t>ambulatory surgery</w:t>
      </w:r>
      <w:r>
        <w:rPr>
          <w:szCs w:val="24"/>
        </w:rPr>
        <w:t xml:space="preserve"> setting, t</w:t>
      </w:r>
      <w:r w:rsidRPr="00CB177A">
        <w:rPr>
          <w:szCs w:val="24"/>
        </w:rPr>
        <w:t xml:space="preserve">he </w:t>
      </w:r>
      <w:r>
        <w:rPr>
          <w:szCs w:val="24"/>
        </w:rPr>
        <w:t>factor</w:t>
      </w:r>
      <w:r w:rsidRPr="00CB177A">
        <w:rPr>
          <w:szCs w:val="24"/>
        </w:rPr>
        <w:t xml:space="preserve"> structure of </w:t>
      </w:r>
      <w:r>
        <w:rPr>
          <w:szCs w:val="24"/>
        </w:rPr>
        <w:t xml:space="preserve">the </w:t>
      </w:r>
      <w:r w:rsidRPr="00CB177A">
        <w:rPr>
          <w:szCs w:val="24"/>
        </w:rPr>
        <w:t xml:space="preserve">survey </w:t>
      </w:r>
      <w:r>
        <w:rPr>
          <w:szCs w:val="24"/>
        </w:rPr>
        <w:t xml:space="preserve">items </w:t>
      </w:r>
      <w:r w:rsidRPr="00CB177A">
        <w:rPr>
          <w:szCs w:val="24"/>
        </w:rPr>
        <w:t>will be evaluated through</w:t>
      </w:r>
      <w:r>
        <w:rPr>
          <w:szCs w:val="24"/>
        </w:rPr>
        <w:t xml:space="preserve"> multilevel confirmatory</w:t>
      </w:r>
      <w:r w:rsidRPr="00CB177A">
        <w:rPr>
          <w:szCs w:val="24"/>
        </w:rPr>
        <w:t xml:space="preserve"> factor analysis. </w:t>
      </w:r>
      <w:r>
        <w:rPr>
          <w:szCs w:val="24"/>
        </w:rPr>
        <w:t xml:space="preserve">On the basis of the data analyses, items or factors may be dropped. </w:t>
      </w:r>
    </w:p>
    <w:p w:rsidR="00A12239" w:rsidRDefault="00A12239" w:rsidP="00A12239">
      <w:pPr>
        <w:rPr>
          <w:szCs w:val="24"/>
        </w:rPr>
      </w:pPr>
    </w:p>
    <w:p w:rsidR="00A12239" w:rsidRPr="00CB177A" w:rsidRDefault="00A12239" w:rsidP="00A12239">
      <w:pPr>
        <w:rPr>
          <w:szCs w:val="24"/>
        </w:rPr>
      </w:pPr>
      <w:r w:rsidRPr="00CB177A">
        <w:rPr>
          <w:szCs w:val="24"/>
        </w:rPr>
        <w:t xml:space="preserve">The final survey instrument will be made available to the public for use in </w:t>
      </w:r>
      <w:r w:rsidR="00D43049">
        <w:rPr>
          <w:szCs w:val="24"/>
        </w:rPr>
        <w:t>ASCs</w:t>
      </w:r>
      <w:r>
        <w:rPr>
          <w:szCs w:val="24"/>
        </w:rPr>
        <w:t xml:space="preserve"> to assess their</w:t>
      </w:r>
      <w:r w:rsidRPr="00CB177A">
        <w:rPr>
          <w:szCs w:val="24"/>
        </w:rPr>
        <w:t xml:space="preserve"> safety culture</w:t>
      </w:r>
      <w:r>
        <w:rPr>
          <w:szCs w:val="24"/>
        </w:rPr>
        <w:t xml:space="preserve"> from th</w:t>
      </w:r>
      <w:r w:rsidR="003E2A31">
        <w:rPr>
          <w:szCs w:val="24"/>
        </w:rPr>
        <w:t xml:space="preserve">e perspectives of their staff. </w:t>
      </w:r>
      <w:r>
        <w:rPr>
          <w:szCs w:val="24"/>
        </w:rPr>
        <w:t xml:space="preserve">The survey can be used by </w:t>
      </w:r>
      <w:r w:rsidR="00D43049">
        <w:rPr>
          <w:szCs w:val="24"/>
        </w:rPr>
        <w:t xml:space="preserve">ASCs </w:t>
      </w:r>
      <w:r>
        <w:rPr>
          <w:szCs w:val="24"/>
        </w:rPr>
        <w:t>to identify areas for patient safety culture improvement</w:t>
      </w:r>
      <w:r w:rsidRPr="00CB177A">
        <w:rPr>
          <w:szCs w:val="24"/>
        </w:rPr>
        <w:t>. Researc</w:t>
      </w:r>
      <w:r w:rsidR="008C41EA">
        <w:rPr>
          <w:szCs w:val="24"/>
        </w:rPr>
        <w:t>h</w:t>
      </w:r>
      <w:r w:rsidR="00F77CB2">
        <w:rPr>
          <w:szCs w:val="24"/>
        </w:rPr>
        <w:t xml:space="preserve">ers are also likely to use the </w:t>
      </w:r>
      <w:r w:rsidR="00C76763">
        <w:rPr>
          <w:szCs w:val="24"/>
        </w:rPr>
        <w:t>survey</w:t>
      </w:r>
      <w:r w:rsidRPr="00CB177A">
        <w:rPr>
          <w:szCs w:val="24"/>
        </w:rPr>
        <w:t xml:space="preserve"> to assess the impact of </w:t>
      </w:r>
      <w:r w:rsidR="008C41EA">
        <w:rPr>
          <w:szCs w:val="24"/>
        </w:rPr>
        <w:t>ASC’s</w:t>
      </w:r>
      <w:r>
        <w:rPr>
          <w:szCs w:val="24"/>
        </w:rPr>
        <w:t xml:space="preserve"> patient </w:t>
      </w:r>
      <w:r w:rsidRPr="00CB177A">
        <w:rPr>
          <w:szCs w:val="24"/>
        </w:rPr>
        <w:t>safety culture improvement initiatives</w:t>
      </w:r>
      <w:r w:rsidR="008C41EA">
        <w:rPr>
          <w:szCs w:val="24"/>
        </w:rPr>
        <w:t xml:space="preserve"> such as the </w:t>
      </w:r>
      <w:r w:rsidR="00F77CB2">
        <w:rPr>
          <w:szCs w:val="24"/>
        </w:rPr>
        <w:t xml:space="preserve">implementation of a </w:t>
      </w:r>
      <w:r w:rsidR="008C41EA">
        <w:rPr>
          <w:szCs w:val="24"/>
        </w:rPr>
        <w:t>surgical safety checklist</w:t>
      </w:r>
      <w:r w:rsidRPr="00CB177A">
        <w:rPr>
          <w:szCs w:val="24"/>
        </w:rPr>
        <w:t>. Th</w:t>
      </w:r>
      <w:r>
        <w:rPr>
          <w:szCs w:val="24"/>
        </w:rPr>
        <w:t>is</w:t>
      </w:r>
      <w:r w:rsidRPr="00CB177A">
        <w:rPr>
          <w:szCs w:val="24"/>
        </w:rPr>
        <w:t xml:space="preserve"> </w:t>
      </w:r>
      <w:r>
        <w:rPr>
          <w:szCs w:val="24"/>
        </w:rPr>
        <w:t xml:space="preserve">survey is </w:t>
      </w:r>
      <w:r w:rsidRPr="00CB177A">
        <w:rPr>
          <w:szCs w:val="24"/>
        </w:rPr>
        <w:t xml:space="preserve">an expansion of AHRQ’s </w:t>
      </w:r>
      <w:r>
        <w:rPr>
          <w:szCs w:val="24"/>
        </w:rPr>
        <w:t>suite of surveys</w:t>
      </w:r>
      <w:r w:rsidRPr="00CB177A">
        <w:rPr>
          <w:szCs w:val="24"/>
        </w:rPr>
        <w:t xml:space="preserve"> on </w:t>
      </w:r>
      <w:r>
        <w:rPr>
          <w:szCs w:val="24"/>
        </w:rPr>
        <w:t>p</w:t>
      </w:r>
      <w:r w:rsidRPr="00CB177A">
        <w:rPr>
          <w:szCs w:val="24"/>
        </w:rPr>
        <w:t xml:space="preserve">atient </w:t>
      </w:r>
      <w:r>
        <w:rPr>
          <w:szCs w:val="24"/>
        </w:rPr>
        <w:t>s</w:t>
      </w:r>
      <w:r w:rsidRPr="00CB177A">
        <w:rPr>
          <w:szCs w:val="24"/>
        </w:rPr>
        <w:t xml:space="preserve">afety </w:t>
      </w:r>
      <w:r>
        <w:rPr>
          <w:szCs w:val="24"/>
        </w:rPr>
        <w:t>c</w:t>
      </w:r>
      <w:r w:rsidRPr="00CB177A">
        <w:rPr>
          <w:szCs w:val="24"/>
        </w:rPr>
        <w:t>ulture</w:t>
      </w:r>
      <w:r>
        <w:rPr>
          <w:szCs w:val="24"/>
        </w:rPr>
        <w:t xml:space="preserve">, which are available on the AHRQ Web site at </w:t>
      </w:r>
      <w:r w:rsidRPr="00616008">
        <w:rPr>
          <w:szCs w:val="24"/>
        </w:rPr>
        <w:t>(</w:t>
      </w:r>
      <w:hyperlink r:id="rId10" w:history="1">
        <w:r w:rsidR="00173195" w:rsidRPr="00804928">
          <w:rPr>
            <w:rStyle w:val="Hyperlink"/>
            <w:szCs w:val="24"/>
          </w:rPr>
          <w:t>http://www.ahrq.gov/professionals/quality-patient-safety/surveys/index.html</w:t>
        </w:r>
      </w:hyperlink>
      <w:r w:rsidRPr="00616008">
        <w:rPr>
          <w:szCs w:val="24"/>
        </w:rPr>
        <w:t>)</w:t>
      </w:r>
      <w:r w:rsidR="00C76763">
        <w:rPr>
          <w:szCs w:val="24"/>
        </w:rPr>
        <w:t>.</w:t>
      </w:r>
      <w:r>
        <w:rPr>
          <w:rStyle w:val="FootnoteReference"/>
          <w:szCs w:val="24"/>
        </w:rPr>
        <w:footnoteReference w:id="4"/>
      </w:r>
      <w:r w:rsidRPr="00616008">
        <w:rPr>
          <w:szCs w:val="24"/>
        </w:rPr>
        <w:t xml:space="preserve"> </w:t>
      </w:r>
      <w:r>
        <w:rPr>
          <w:szCs w:val="24"/>
        </w:rPr>
        <w:t>Those surveys have</w:t>
      </w:r>
      <w:r w:rsidRPr="00616008">
        <w:rPr>
          <w:szCs w:val="24"/>
        </w:rPr>
        <w:t xml:space="preserve"> been used by </w:t>
      </w:r>
      <w:r w:rsidR="00883B95">
        <w:rPr>
          <w:szCs w:val="24"/>
        </w:rPr>
        <w:t>thousands</w:t>
      </w:r>
      <w:r w:rsidRPr="00616008">
        <w:rPr>
          <w:szCs w:val="24"/>
        </w:rPr>
        <w:t xml:space="preserve"> of hospitals</w:t>
      </w:r>
      <w:r>
        <w:rPr>
          <w:szCs w:val="24"/>
        </w:rPr>
        <w:t>, nursing homes, medical offices</w:t>
      </w:r>
      <w:r w:rsidR="00883B95">
        <w:rPr>
          <w:szCs w:val="24"/>
        </w:rPr>
        <w:t>, and pharmacies</w:t>
      </w:r>
      <w:r>
        <w:rPr>
          <w:szCs w:val="24"/>
        </w:rPr>
        <w:t xml:space="preserve"> across the U.S. to assess patient safety culture. </w:t>
      </w:r>
      <w:r w:rsidRPr="00CB177A">
        <w:rPr>
          <w:szCs w:val="24"/>
        </w:rPr>
        <w:t xml:space="preserve">The </w:t>
      </w:r>
      <w:r w:rsidR="00927A58">
        <w:rPr>
          <w:szCs w:val="24"/>
        </w:rPr>
        <w:t>Ambulatory S</w:t>
      </w:r>
      <w:r w:rsidR="00883B95">
        <w:rPr>
          <w:szCs w:val="24"/>
        </w:rPr>
        <w:t>urgery</w:t>
      </w:r>
      <w:r>
        <w:rPr>
          <w:szCs w:val="24"/>
        </w:rPr>
        <w:t xml:space="preserve"> </w:t>
      </w:r>
      <w:r w:rsidR="00927A58">
        <w:rPr>
          <w:szCs w:val="24"/>
        </w:rPr>
        <w:t>SOPS</w:t>
      </w:r>
      <w:r>
        <w:rPr>
          <w:szCs w:val="24"/>
        </w:rPr>
        <w:t xml:space="preserve"> contains</w:t>
      </w:r>
      <w:r w:rsidRPr="00CB177A">
        <w:rPr>
          <w:szCs w:val="24"/>
        </w:rPr>
        <w:t xml:space="preserve"> new and revised questions and composites that more accurately apply to the </w:t>
      </w:r>
      <w:r w:rsidR="00883B95">
        <w:rPr>
          <w:szCs w:val="24"/>
        </w:rPr>
        <w:t>ambulatory surgery</w:t>
      </w:r>
      <w:r>
        <w:rPr>
          <w:szCs w:val="24"/>
        </w:rPr>
        <w:t xml:space="preserve"> </w:t>
      </w:r>
      <w:r w:rsidRPr="00CB177A">
        <w:rPr>
          <w:szCs w:val="24"/>
        </w:rPr>
        <w:t>setting.</w:t>
      </w:r>
    </w:p>
    <w:p w:rsidR="00BC4EC9" w:rsidRPr="00937E29" w:rsidRDefault="00BC4EC9" w:rsidP="00BC4EC9">
      <w:pPr>
        <w:rPr>
          <w:szCs w:val="24"/>
        </w:rPr>
      </w:pPr>
    </w:p>
    <w:p w:rsidR="00BC4EC9" w:rsidRPr="00937E29" w:rsidRDefault="00BC4EC9" w:rsidP="00BC4EC9">
      <w:pPr>
        <w:pStyle w:val="Heading2"/>
        <w:rPr>
          <w:color w:val="auto"/>
          <w:sz w:val="24"/>
          <w:szCs w:val="24"/>
        </w:rPr>
      </w:pPr>
      <w:bookmarkStart w:id="3" w:name="_Toc358273840"/>
      <w:r w:rsidRPr="00937E29">
        <w:rPr>
          <w:color w:val="auto"/>
          <w:sz w:val="24"/>
          <w:szCs w:val="24"/>
        </w:rPr>
        <w:t xml:space="preserve">3.  </w:t>
      </w:r>
      <w:r w:rsidRPr="00937E29">
        <w:rPr>
          <w:color w:val="auto"/>
          <w:sz w:val="24"/>
          <w:szCs w:val="24"/>
          <w:u w:val="single"/>
        </w:rPr>
        <w:t>Use of Improved Information Technology</w:t>
      </w:r>
      <w:bookmarkEnd w:id="3"/>
    </w:p>
    <w:p w:rsidR="00A33F0D" w:rsidRDefault="00A33F0D" w:rsidP="00BC4EC9">
      <w:pPr>
        <w:rPr>
          <w:szCs w:val="24"/>
        </w:rPr>
      </w:pPr>
    </w:p>
    <w:p w:rsidR="00883B95" w:rsidRDefault="00883B95" w:rsidP="00883B95">
      <w:pPr>
        <w:rPr>
          <w:szCs w:val="24"/>
        </w:rPr>
      </w:pPr>
      <w:r w:rsidRPr="00883B95">
        <w:rPr>
          <w:szCs w:val="24"/>
        </w:rPr>
        <w:t xml:space="preserve">Data collection will not involve the use of any information technology. This data collection effort is a </w:t>
      </w:r>
      <w:r w:rsidR="00A148CB">
        <w:rPr>
          <w:szCs w:val="24"/>
        </w:rPr>
        <w:t>pretest</w:t>
      </w:r>
      <w:r w:rsidRPr="00883B95">
        <w:rPr>
          <w:szCs w:val="24"/>
        </w:rPr>
        <w:t xml:space="preserve"> designed to gather information to examine the psychometric properties (internal consistency reliability, response variability, etc.) of a paper-and-pencil </w:t>
      </w:r>
      <w:r>
        <w:rPr>
          <w:szCs w:val="24"/>
        </w:rPr>
        <w:t>ambulatory surgery</w:t>
      </w:r>
      <w:r w:rsidRPr="00883B95">
        <w:rPr>
          <w:szCs w:val="24"/>
        </w:rPr>
        <w:t xml:space="preserve"> saf</w:t>
      </w:r>
      <w:r w:rsidR="003E2A31">
        <w:rPr>
          <w:szCs w:val="24"/>
        </w:rPr>
        <w:t xml:space="preserve">ety culture survey instrument. </w:t>
      </w:r>
      <w:r w:rsidRPr="00883B95">
        <w:rPr>
          <w:szCs w:val="24"/>
        </w:rPr>
        <w:t xml:space="preserve">The use of information technology is not needed for this study and is not likely to result in a reduction of burden at this time. </w:t>
      </w:r>
      <w:r w:rsidR="009501F7">
        <w:rPr>
          <w:szCs w:val="24"/>
        </w:rPr>
        <w:t>T</w:t>
      </w:r>
      <w:r w:rsidRPr="00883B95">
        <w:rPr>
          <w:szCs w:val="24"/>
        </w:rPr>
        <w:t xml:space="preserve">he </w:t>
      </w:r>
      <w:r w:rsidR="00A148CB">
        <w:rPr>
          <w:szCs w:val="24"/>
        </w:rPr>
        <w:t>pretest</w:t>
      </w:r>
      <w:r w:rsidRPr="00883B95">
        <w:rPr>
          <w:szCs w:val="24"/>
        </w:rPr>
        <w:t xml:space="preserve"> is designed to use primarily a </w:t>
      </w:r>
      <w:r w:rsidR="006F1CF3">
        <w:rPr>
          <w:szCs w:val="24"/>
        </w:rPr>
        <w:t xml:space="preserve">paper survey mode because </w:t>
      </w:r>
      <w:proofErr w:type="gramStart"/>
      <w:r w:rsidR="006F1CF3">
        <w:rPr>
          <w:szCs w:val="24"/>
        </w:rPr>
        <w:t>staff</w:t>
      </w:r>
      <w:r w:rsidRPr="00883B95">
        <w:rPr>
          <w:szCs w:val="24"/>
        </w:rPr>
        <w:t xml:space="preserve"> in </w:t>
      </w:r>
      <w:r w:rsidR="00912C67">
        <w:rPr>
          <w:szCs w:val="24"/>
        </w:rPr>
        <w:t>ASCs</w:t>
      </w:r>
      <w:r w:rsidRPr="00883B95">
        <w:rPr>
          <w:szCs w:val="24"/>
        </w:rPr>
        <w:t xml:space="preserve"> do</w:t>
      </w:r>
      <w:proofErr w:type="gramEnd"/>
      <w:r w:rsidRPr="00883B95">
        <w:rPr>
          <w:szCs w:val="24"/>
        </w:rPr>
        <w:t xml:space="preserve"> not always have access t</w:t>
      </w:r>
      <w:r w:rsidR="003E2A31">
        <w:rPr>
          <w:szCs w:val="24"/>
        </w:rPr>
        <w:t>o the Internet or a computer.</w:t>
      </w:r>
    </w:p>
    <w:p w:rsidR="00A046E6" w:rsidRDefault="00A046E6">
      <w:pPr>
        <w:spacing w:after="200" w:line="276" w:lineRule="auto"/>
        <w:rPr>
          <w:rFonts w:asciiTheme="majorHAnsi" w:eastAsiaTheme="majorEastAsia" w:hAnsiTheme="majorHAnsi" w:cstheme="majorBidi"/>
          <w:b/>
          <w:bCs/>
          <w:szCs w:val="24"/>
        </w:rPr>
      </w:pPr>
    </w:p>
    <w:p w:rsidR="003D6505" w:rsidRPr="00E8060F" w:rsidRDefault="00BC4EC9" w:rsidP="00BC4EC9">
      <w:pPr>
        <w:pStyle w:val="Heading2"/>
        <w:rPr>
          <w:color w:val="auto"/>
          <w:sz w:val="24"/>
          <w:szCs w:val="24"/>
          <w:u w:val="single"/>
        </w:rPr>
      </w:pPr>
      <w:bookmarkStart w:id="4" w:name="_Toc358273841"/>
      <w:r w:rsidRPr="00E8060F">
        <w:rPr>
          <w:color w:val="auto"/>
          <w:sz w:val="24"/>
          <w:szCs w:val="24"/>
        </w:rPr>
        <w:t xml:space="preserve">4.  </w:t>
      </w:r>
      <w:r w:rsidRPr="00E8060F">
        <w:rPr>
          <w:color w:val="auto"/>
          <w:sz w:val="24"/>
          <w:szCs w:val="24"/>
          <w:u w:val="single"/>
        </w:rPr>
        <w:t>Efforts to Avoid Duplication</w:t>
      </w:r>
      <w:bookmarkEnd w:id="4"/>
      <w:r w:rsidRPr="00E8060F">
        <w:rPr>
          <w:color w:val="auto"/>
          <w:sz w:val="24"/>
          <w:szCs w:val="24"/>
          <w:u w:val="single"/>
        </w:rPr>
        <w:t xml:space="preserve"> </w:t>
      </w:r>
    </w:p>
    <w:p w:rsidR="00BC4EC9" w:rsidRPr="00E8060F" w:rsidRDefault="00BC4EC9" w:rsidP="00BC4EC9">
      <w:pPr>
        <w:rPr>
          <w:szCs w:val="24"/>
        </w:rPr>
      </w:pPr>
    </w:p>
    <w:p w:rsidR="00EA438D" w:rsidRPr="00EA438D" w:rsidRDefault="00BA1EDD" w:rsidP="00EA438D">
      <w:pPr>
        <w:rPr>
          <w:szCs w:val="24"/>
        </w:rPr>
      </w:pPr>
      <w:r>
        <w:rPr>
          <w:szCs w:val="24"/>
        </w:rPr>
        <w:t xml:space="preserve">AHRQ has </w:t>
      </w:r>
      <w:r w:rsidR="00EA438D" w:rsidRPr="00EA438D">
        <w:rPr>
          <w:szCs w:val="24"/>
        </w:rPr>
        <w:t>consulted ambulatory surgery experts and conducted a review of the literature, searching for staff surveys that measure patient safety culture in ambulatory surgery or procedure centers (ASCs). Through these efforts, nine surveys</w:t>
      </w:r>
      <w:r>
        <w:rPr>
          <w:szCs w:val="24"/>
        </w:rPr>
        <w:t xml:space="preserve"> were </w:t>
      </w:r>
      <w:r w:rsidRPr="00EA438D">
        <w:rPr>
          <w:szCs w:val="24"/>
        </w:rPr>
        <w:t xml:space="preserve">identified </w:t>
      </w:r>
      <w:r w:rsidR="00EA438D" w:rsidRPr="00EA438D">
        <w:rPr>
          <w:szCs w:val="24"/>
        </w:rPr>
        <w:t>that measure aspects of patient safety culture in ASCs</w:t>
      </w:r>
      <w:r>
        <w:rPr>
          <w:szCs w:val="24"/>
        </w:rPr>
        <w:t>,</w:t>
      </w:r>
      <w:r w:rsidR="00EA438D" w:rsidRPr="00EA438D">
        <w:rPr>
          <w:szCs w:val="24"/>
        </w:rPr>
        <w:t xml:space="preserve"> or health care settings that are similar to ASCs. </w:t>
      </w:r>
      <w:r w:rsidR="002E70AE">
        <w:rPr>
          <w:szCs w:val="24"/>
        </w:rPr>
        <w:t>D</w:t>
      </w:r>
      <w:r w:rsidR="00EA438D" w:rsidRPr="00EA438D">
        <w:rPr>
          <w:szCs w:val="24"/>
        </w:rPr>
        <w:t xml:space="preserve">escriptive information about a few of the most relevant surveys </w:t>
      </w:r>
      <w:proofErr w:type="gramStart"/>
      <w:r w:rsidR="002E70AE">
        <w:rPr>
          <w:szCs w:val="24"/>
        </w:rPr>
        <w:t>are</w:t>
      </w:r>
      <w:proofErr w:type="gramEnd"/>
      <w:r w:rsidR="002E70AE">
        <w:rPr>
          <w:szCs w:val="24"/>
        </w:rPr>
        <w:t xml:space="preserve"> provided </w:t>
      </w:r>
      <w:r w:rsidR="00EA438D" w:rsidRPr="00EA438D">
        <w:rPr>
          <w:szCs w:val="24"/>
        </w:rPr>
        <w:t xml:space="preserve">below. </w:t>
      </w:r>
    </w:p>
    <w:p w:rsidR="00EA438D" w:rsidRPr="00EA438D" w:rsidRDefault="00EA438D" w:rsidP="00EA438D">
      <w:pPr>
        <w:rPr>
          <w:szCs w:val="24"/>
        </w:rPr>
      </w:pPr>
    </w:p>
    <w:p w:rsidR="00EA438D" w:rsidRPr="00EA438D" w:rsidRDefault="00EA438D" w:rsidP="00EA438D">
      <w:pPr>
        <w:rPr>
          <w:szCs w:val="24"/>
        </w:rPr>
      </w:pPr>
    </w:p>
    <w:p w:rsidR="00EA438D" w:rsidRPr="00EA438D" w:rsidRDefault="00AF7E23" w:rsidP="00711E53">
      <w:pPr>
        <w:rPr>
          <w:szCs w:val="24"/>
        </w:rPr>
      </w:pPr>
      <w:r>
        <w:rPr>
          <w:szCs w:val="24"/>
        </w:rPr>
        <w:t xml:space="preserve">In 2004, </w:t>
      </w:r>
      <w:r w:rsidR="00EA438D" w:rsidRPr="00EA438D">
        <w:rPr>
          <w:szCs w:val="24"/>
        </w:rPr>
        <w:t>Alvarado et al. administered a brief safety climate survey specifically designed for ASCs that focused primarily on management commitment, general patient safety climate, employee commitment, and change in patient safety.</w:t>
      </w:r>
      <w:r w:rsidR="00FD458A" w:rsidRPr="00FD458A">
        <w:rPr>
          <w:rStyle w:val="FootnoteReference"/>
          <w:szCs w:val="24"/>
        </w:rPr>
        <w:t xml:space="preserve"> </w:t>
      </w:r>
      <w:r w:rsidR="00FD458A">
        <w:rPr>
          <w:rStyle w:val="FootnoteReference"/>
          <w:szCs w:val="24"/>
        </w:rPr>
        <w:footnoteReference w:id="5"/>
      </w:r>
      <w:r w:rsidR="00EA438D" w:rsidRPr="00EA438D">
        <w:rPr>
          <w:szCs w:val="24"/>
        </w:rPr>
        <w:t xml:space="preserve"> Dimensions in the survey include disruptive behavior, teamwork, communication openness, response to error, feedback and communication about error, work pressure and pace, and staff training.</w:t>
      </w:r>
      <w:r w:rsidR="00711E53">
        <w:rPr>
          <w:szCs w:val="24"/>
        </w:rPr>
        <w:t xml:space="preserve"> However, t</w:t>
      </w:r>
      <w:r w:rsidR="00711E53" w:rsidRPr="00711E53">
        <w:rPr>
          <w:szCs w:val="24"/>
        </w:rPr>
        <w:t xml:space="preserve">he </w:t>
      </w:r>
      <w:r w:rsidR="00711E53">
        <w:rPr>
          <w:szCs w:val="24"/>
        </w:rPr>
        <w:t xml:space="preserve">questions </w:t>
      </w:r>
      <w:r w:rsidR="00711E53" w:rsidRPr="00711E53">
        <w:rPr>
          <w:szCs w:val="24"/>
        </w:rPr>
        <w:t xml:space="preserve">on patient safety climate </w:t>
      </w:r>
      <w:r w:rsidR="00540890">
        <w:rPr>
          <w:szCs w:val="24"/>
        </w:rPr>
        <w:t>survey are based on</w:t>
      </w:r>
      <w:r w:rsidR="00711E53">
        <w:rPr>
          <w:szCs w:val="24"/>
        </w:rPr>
        <w:t xml:space="preserve"> </w:t>
      </w:r>
      <w:r w:rsidR="00711E53" w:rsidRPr="00711E53">
        <w:rPr>
          <w:szCs w:val="24"/>
        </w:rPr>
        <w:t xml:space="preserve">existing established </w:t>
      </w:r>
      <w:r w:rsidR="00711E53">
        <w:rPr>
          <w:szCs w:val="24"/>
        </w:rPr>
        <w:t xml:space="preserve">inpatient </w:t>
      </w:r>
      <w:r w:rsidR="00711E53" w:rsidRPr="00711E53">
        <w:rPr>
          <w:szCs w:val="24"/>
        </w:rPr>
        <w:t>questionnaires</w:t>
      </w:r>
      <w:r w:rsidR="00711E53">
        <w:rPr>
          <w:szCs w:val="24"/>
        </w:rPr>
        <w:t xml:space="preserve"> and do not account for the uniqueness of the ambulatory surgery setting.</w:t>
      </w:r>
    </w:p>
    <w:p w:rsidR="00EA438D" w:rsidRPr="00EA438D" w:rsidRDefault="00EA438D" w:rsidP="00EA438D">
      <w:pPr>
        <w:rPr>
          <w:szCs w:val="24"/>
        </w:rPr>
      </w:pPr>
    </w:p>
    <w:p w:rsidR="00EA438D" w:rsidRPr="007C34BE" w:rsidRDefault="00EA438D" w:rsidP="00EA438D">
      <w:pPr>
        <w:rPr>
          <w:szCs w:val="24"/>
        </w:rPr>
      </w:pPr>
      <w:r w:rsidRPr="00EA438D">
        <w:rPr>
          <w:szCs w:val="24"/>
        </w:rPr>
        <w:t xml:space="preserve">More recently, the South Carolina Hospital Association (SCHA) and the Harvard School of Public Health (HSPH) have partnered in </w:t>
      </w:r>
      <w:r w:rsidR="00540890">
        <w:rPr>
          <w:szCs w:val="24"/>
        </w:rPr>
        <w:t>a project focused on</w:t>
      </w:r>
      <w:r w:rsidRPr="00EA438D">
        <w:rPr>
          <w:szCs w:val="24"/>
        </w:rPr>
        <w:t xml:space="preserve"> implementation of a surgical safety checklist</w:t>
      </w:r>
      <w:r w:rsidR="00423F62">
        <w:rPr>
          <w:szCs w:val="24"/>
        </w:rPr>
        <w:t>.</w:t>
      </w:r>
      <w:r w:rsidR="00423F62">
        <w:rPr>
          <w:rStyle w:val="FootnoteReference"/>
          <w:szCs w:val="24"/>
        </w:rPr>
        <w:footnoteReference w:id="6"/>
      </w:r>
      <w:r w:rsidR="00423F62">
        <w:rPr>
          <w:szCs w:val="24"/>
        </w:rPr>
        <w:t xml:space="preserve"> </w:t>
      </w:r>
      <w:r w:rsidRPr="00EA438D">
        <w:rPr>
          <w:szCs w:val="24"/>
        </w:rPr>
        <w:t>As part of this project, they administer</w:t>
      </w:r>
      <w:r w:rsidR="00540890">
        <w:rPr>
          <w:szCs w:val="24"/>
        </w:rPr>
        <w:t>ed a s</w:t>
      </w:r>
      <w:r w:rsidRPr="00EA438D">
        <w:rPr>
          <w:szCs w:val="24"/>
        </w:rPr>
        <w:t xml:space="preserve">urgical </w:t>
      </w:r>
      <w:r w:rsidR="00540890">
        <w:rPr>
          <w:szCs w:val="24"/>
        </w:rPr>
        <w:t>s</w:t>
      </w:r>
      <w:r w:rsidRPr="00EA438D">
        <w:rPr>
          <w:szCs w:val="24"/>
        </w:rPr>
        <w:t xml:space="preserve">afety </w:t>
      </w:r>
      <w:r w:rsidR="00540890">
        <w:rPr>
          <w:szCs w:val="24"/>
        </w:rPr>
        <w:t>c</w:t>
      </w:r>
      <w:r w:rsidRPr="00EA438D">
        <w:rPr>
          <w:szCs w:val="24"/>
        </w:rPr>
        <w:t xml:space="preserve">ulture </w:t>
      </w:r>
      <w:r w:rsidR="00540890">
        <w:rPr>
          <w:szCs w:val="24"/>
        </w:rPr>
        <w:t>s</w:t>
      </w:r>
      <w:r w:rsidRPr="00EA438D">
        <w:rPr>
          <w:szCs w:val="24"/>
        </w:rPr>
        <w:t>urvey in hospitals and ASCs to assess surgical team members’ perspectives on factors affecting patient safety in the operating room. The survey items address the following topics: activities supporting checklist implementation; current checklist performance; we speak up, ask for help, discuss mistakes; we share information, listen to each other, and use briefings; we work well together as a surgical team; our physicians are good leaders; people feel valued and respected as part of the surgical team; we routinely perform all elements of the checklist; and perceptions of safety</w:t>
      </w:r>
      <w:r w:rsidR="00423F62">
        <w:rPr>
          <w:szCs w:val="24"/>
        </w:rPr>
        <w:t>.</w:t>
      </w:r>
      <w:r w:rsidR="00423F62" w:rsidRPr="00531D3F">
        <w:rPr>
          <w:rStyle w:val="FootnoteReference"/>
          <w:szCs w:val="24"/>
        </w:rPr>
        <w:footnoteReference w:id="7"/>
      </w:r>
      <w:r w:rsidR="00423F62" w:rsidRPr="00531D3F">
        <w:rPr>
          <w:szCs w:val="24"/>
          <w:vertAlign w:val="superscript"/>
        </w:rPr>
        <w:t>,</w:t>
      </w:r>
      <w:r w:rsidR="00423F62" w:rsidRPr="00531D3F">
        <w:rPr>
          <w:rStyle w:val="FootnoteReference"/>
          <w:szCs w:val="24"/>
        </w:rPr>
        <w:footnoteReference w:id="8"/>
      </w:r>
      <w:r w:rsidR="007C34BE">
        <w:rPr>
          <w:szCs w:val="24"/>
        </w:rPr>
        <w:t xml:space="preserve"> </w:t>
      </w:r>
      <w:r w:rsidR="002B36F2">
        <w:rPr>
          <w:szCs w:val="24"/>
        </w:rPr>
        <w:t>This</w:t>
      </w:r>
      <w:r w:rsidR="00690C6B">
        <w:rPr>
          <w:szCs w:val="24"/>
        </w:rPr>
        <w:t xml:space="preserve"> survey </w:t>
      </w:r>
      <w:r w:rsidR="00583CD9">
        <w:rPr>
          <w:szCs w:val="24"/>
        </w:rPr>
        <w:t>is</w:t>
      </w:r>
      <w:r w:rsidR="00690C6B">
        <w:rPr>
          <w:szCs w:val="24"/>
        </w:rPr>
        <w:t xml:space="preserve"> designed </w:t>
      </w:r>
      <w:r w:rsidR="008C620B">
        <w:rPr>
          <w:szCs w:val="24"/>
        </w:rPr>
        <w:t>specifically for</w:t>
      </w:r>
      <w:r w:rsidR="00690C6B">
        <w:rPr>
          <w:szCs w:val="24"/>
        </w:rPr>
        <w:t xml:space="preserve"> clinical staff</w:t>
      </w:r>
      <w:r w:rsidR="00583CD9">
        <w:rPr>
          <w:szCs w:val="24"/>
        </w:rPr>
        <w:t xml:space="preserve"> and </w:t>
      </w:r>
      <w:r w:rsidR="002B36F2">
        <w:rPr>
          <w:szCs w:val="24"/>
        </w:rPr>
        <w:t xml:space="preserve">focuses on </w:t>
      </w:r>
      <w:r w:rsidR="00583CD9">
        <w:rPr>
          <w:szCs w:val="24"/>
        </w:rPr>
        <w:t>measure</w:t>
      </w:r>
      <w:r w:rsidR="002B36F2">
        <w:rPr>
          <w:szCs w:val="24"/>
        </w:rPr>
        <w:t>s likely to be affected by the</w:t>
      </w:r>
      <w:r w:rsidR="008C620B">
        <w:rPr>
          <w:szCs w:val="24"/>
        </w:rPr>
        <w:t xml:space="preserve"> </w:t>
      </w:r>
      <w:r w:rsidR="00690C6B">
        <w:rPr>
          <w:szCs w:val="24"/>
        </w:rPr>
        <w:t xml:space="preserve">implementation </w:t>
      </w:r>
      <w:r w:rsidR="00583CD9">
        <w:rPr>
          <w:szCs w:val="24"/>
        </w:rPr>
        <w:t xml:space="preserve">of </w:t>
      </w:r>
      <w:r w:rsidR="008C620B">
        <w:rPr>
          <w:szCs w:val="24"/>
        </w:rPr>
        <w:t>a</w:t>
      </w:r>
      <w:r w:rsidR="00690C6B">
        <w:rPr>
          <w:szCs w:val="24"/>
        </w:rPr>
        <w:t xml:space="preserve"> </w:t>
      </w:r>
      <w:r w:rsidR="007C34BE">
        <w:rPr>
          <w:szCs w:val="24"/>
        </w:rPr>
        <w:t>surgical safety checklist</w:t>
      </w:r>
      <w:r w:rsidR="008C620B">
        <w:rPr>
          <w:szCs w:val="24"/>
        </w:rPr>
        <w:t xml:space="preserve">. </w:t>
      </w:r>
      <w:r w:rsidR="002B36F2">
        <w:rPr>
          <w:szCs w:val="24"/>
        </w:rPr>
        <w:t xml:space="preserve"> It does not, however, assess patient safety culture from the perspectives of all staff within an ASC and does not assess broader areas of patient safety culture that may not be directly affected by surgical checklist implementation.</w:t>
      </w:r>
    </w:p>
    <w:p w:rsidR="00423F62" w:rsidRPr="00423F62" w:rsidRDefault="00423F62" w:rsidP="00EA438D">
      <w:pPr>
        <w:rPr>
          <w:szCs w:val="24"/>
        </w:rPr>
      </w:pPr>
    </w:p>
    <w:p w:rsidR="00BC4EC9" w:rsidRPr="00D52166" w:rsidRDefault="00BC4EC9" w:rsidP="00BC4EC9">
      <w:pPr>
        <w:pStyle w:val="Heading2"/>
        <w:rPr>
          <w:color w:val="auto"/>
          <w:sz w:val="24"/>
          <w:szCs w:val="24"/>
        </w:rPr>
      </w:pPr>
      <w:bookmarkStart w:id="5" w:name="_Toc358273842"/>
      <w:r w:rsidRPr="00D52166">
        <w:rPr>
          <w:color w:val="auto"/>
          <w:sz w:val="24"/>
          <w:szCs w:val="24"/>
        </w:rPr>
        <w:t xml:space="preserve">5.  </w:t>
      </w:r>
      <w:r w:rsidRPr="00CE4A64">
        <w:rPr>
          <w:color w:val="auto"/>
          <w:sz w:val="24"/>
          <w:u w:val="single"/>
        </w:rPr>
        <w:t>Involvement of</w:t>
      </w:r>
      <w:r w:rsidRPr="00CE4A64">
        <w:rPr>
          <w:sz w:val="24"/>
          <w:u w:val="single"/>
        </w:rPr>
        <w:t xml:space="preserve"> </w:t>
      </w:r>
      <w:r w:rsidRPr="00CE4A64">
        <w:rPr>
          <w:color w:val="auto"/>
          <w:sz w:val="24"/>
          <w:szCs w:val="24"/>
          <w:u w:val="single"/>
        </w:rPr>
        <w:t>Small Businesses</w:t>
      </w:r>
      <w:bookmarkEnd w:id="5"/>
    </w:p>
    <w:p w:rsidR="00BC4EC9" w:rsidRPr="00D52166" w:rsidRDefault="00BC4EC9" w:rsidP="00BC4EC9">
      <w:pPr>
        <w:rPr>
          <w:szCs w:val="24"/>
        </w:rPr>
      </w:pPr>
    </w:p>
    <w:p w:rsidR="00BC4EC9" w:rsidRPr="00D52166" w:rsidRDefault="00BC4EC9" w:rsidP="00BC4EC9">
      <w:pPr>
        <w:rPr>
          <w:szCs w:val="24"/>
        </w:rPr>
      </w:pPr>
      <w:r w:rsidRPr="00D52166">
        <w:rPr>
          <w:szCs w:val="24"/>
        </w:rPr>
        <w:t xml:space="preserve">Some of the </w:t>
      </w:r>
      <w:r w:rsidR="00C8250D">
        <w:rPr>
          <w:szCs w:val="24"/>
        </w:rPr>
        <w:t>ASCs</w:t>
      </w:r>
      <w:r w:rsidRPr="00D52166">
        <w:rPr>
          <w:szCs w:val="24"/>
        </w:rPr>
        <w:t xml:space="preserve"> participating in this pretest </w:t>
      </w:r>
      <w:r w:rsidR="00C8250D">
        <w:rPr>
          <w:szCs w:val="24"/>
        </w:rPr>
        <w:t>may</w:t>
      </w:r>
      <w:r w:rsidRPr="00D52166">
        <w:rPr>
          <w:szCs w:val="24"/>
        </w:rPr>
        <w:t xml:space="preserve"> be small businesses. The data collection instruments and procedures are designed to minimize burden on individual </w:t>
      </w:r>
      <w:r w:rsidR="00C8250D">
        <w:rPr>
          <w:szCs w:val="24"/>
        </w:rPr>
        <w:t>ASC</w:t>
      </w:r>
      <w:r w:rsidRPr="00D52166">
        <w:rPr>
          <w:szCs w:val="24"/>
        </w:rPr>
        <w:t xml:space="preserve"> staff respondents and will not have a significant impact on them.</w:t>
      </w:r>
    </w:p>
    <w:p w:rsidR="00BC4EC9" w:rsidRPr="00BC4EC9" w:rsidRDefault="00BC4EC9" w:rsidP="00BC4EC9">
      <w:pPr>
        <w:rPr>
          <w:szCs w:val="24"/>
          <w:highlight w:val="yellow"/>
        </w:rPr>
      </w:pPr>
    </w:p>
    <w:p w:rsidR="00BC4EC9" w:rsidRPr="00937E29" w:rsidRDefault="00BC4EC9" w:rsidP="00BC4EC9">
      <w:pPr>
        <w:pStyle w:val="Heading2"/>
        <w:rPr>
          <w:color w:val="auto"/>
          <w:sz w:val="24"/>
          <w:szCs w:val="24"/>
        </w:rPr>
      </w:pPr>
      <w:bookmarkStart w:id="6" w:name="_Toc358273843"/>
      <w:r w:rsidRPr="00937E29">
        <w:rPr>
          <w:color w:val="auto"/>
          <w:sz w:val="24"/>
          <w:szCs w:val="24"/>
        </w:rPr>
        <w:t xml:space="preserve">6.  </w:t>
      </w:r>
      <w:r w:rsidRPr="00937E29">
        <w:rPr>
          <w:color w:val="auto"/>
          <w:sz w:val="24"/>
          <w:szCs w:val="24"/>
          <w:u w:val="single"/>
        </w:rPr>
        <w:t>Consequences if Information Collected Less Frequently</w:t>
      </w:r>
      <w:bookmarkEnd w:id="6"/>
    </w:p>
    <w:p w:rsidR="00BC4EC9" w:rsidRPr="00937E29" w:rsidRDefault="00BC4EC9" w:rsidP="00BC4EC9">
      <w:pPr>
        <w:rPr>
          <w:szCs w:val="24"/>
        </w:rPr>
      </w:pPr>
    </w:p>
    <w:p w:rsidR="00BC4EC9" w:rsidRPr="00937E29" w:rsidRDefault="00AC515F" w:rsidP="00BC4EC9">
      <w:pPr>
        <w:rPr>
          <w:szCs w:val="24"/>
        </w:rPr>
      </w:pPr>
      <w:r>
        <w:rPr>
          <w:szCs w:val="24"/>
        </w:rPr>
        <w:t>This effort is a one-time data collection</w:t>
      </w:r>
      <w:r w:rsidR="00BC4EC9" w:rsidRPr="00937E29">
        <w:rPr>
          <w:szCs w:val="24"/>
        </w:rPr>
        <w:t>.</w:t>
      </w:r>
    </w:p>
    <w:p w:rsidR="00BC4EC9" w:rsidRPr="00937E29" w:rsidRDefault="00BC4EC9" w:rsidP="00BC4EC9">
      <w:pPr>
        <w:rPr>
          <w:szCs w:val="24"/>
        </w:rPr>
      </w:pPr>
    </w:p>
    <w:p w:rsidR="00BC4EC9" w:rsidRPr="00937E29" w:rsidRDefault="00BC4EC9" w:rsidP="00BC4EC9">
      <w:pPr>
        <w:pStyle w:val="Heading2"/>
        <w:rPr>
          <w:color w:val="auto"/>
          <w:sz w:val="24"/>
          <w:szCs w:val="24"/>
        </w:rPr>
      </w:pPr>
      <w:bookmarkStart w:id="7" w:name="_Toc358273844"/>
      <w:r w:rsidRPr="00937E29">
        <w:rPr>
          <w:color w:val="auto"/>
          <w:sz w:val="24"/>
          <w:szCs w:val="24"/>
        </w:rPr>
        <w:t xml:space="preserve">7.  </w:t>
      </w:r>
      <w:r w:rsidRPr="00937E29">
        <w:rPr>
          <w:color w:val="auto"/>
          <w:sz w:val="24"/>
          <w:szCs w:val="24"/>
          <w:u w:val="single"/>
        </w:rPr>
        <w:t>Special Circumstances</w:t>
      </w:r>
      <w:bookmarkEnd w:id="7"/>
    </w:p>
    <w:p w:rsidR="00BC4EC9" w:rsidRPr="00937E29" w:rsidRDefault="00BC4EC9" w:rsidP="00BC4EC9">
      <w:pPr>
        <w:rPr>
          <w:szCs w:val="24"/>
        </w:rPr>
      </w:pPr>
    </w:p>
    <w:p w:rsidR="00BC4EC9" w:rsidRPr="00BC4EC9" w:rsidRDefault="00D7090D" w:rsidP="00BC4EC9">
      <w:pPr>
        <w:rPr>
          <w:szCs w:val="24"/>
          <w:highlight w:val="yellow"/>
        </w:rPr>
      </w:pPr>
      <w:r>
        <w:rPr>
          <w:szCs w:val="24"/>
        </w:rPr>
        <w:t xml:space="preserve">This request is consistent with the general information </w:t>
      </w:r>
      <w:r w:rsidR="00BC4EC9" w:rsidRPr="00CA6029">
        <w:rPr>
          <w:szCs w:val="24"/>
        </w:rPr>
        <w:t xml:space="preserve">guidelines </w:t>
      </w:r>
      <w:r>
        <w:rPr>
          <w:szCs w:val="24"/>
        </w:rPr>
        <w:t>of</w:t>
      </w:r>
      <w:r w:rsidR="00BC4EC9" w:rsidRPr="00CA6029">
        <w:rPr>
          <w:szCs w:val="24"/>
        </w:rPr>
        <w:t xml:space="preserve"> 5 CFR 1320.5(d</w:t>
      </w:r>
      <w:proofErr w:type="gramStart"/>
      <w:r w:rsidR="00BC4EC9" w:rsidRPr="00CA6029">
        <w:rPr>
          <w:szCs w:val="24"/>
        </w:rPr>
        <w:t>)(</w:t>
      </w:r>
      <w:proofErr w:type="gramEnd"/>
      <w:r w:rsidR="00BC4EC9" w:rsidRPr="00CA6029">
        <w:rPr>
          <w:szCs w:val="24"/>
        </w:rPr>
        <w:t>2).</w:t>
      </w:r>
      <w:r>
        <w:rPr>
          <w:szCs w:val="24"/>
        </w:rPr>
        <w:t xml:space="preserve"> No special circumstances apply.</w:t>
      </w:r>
    </w:p>
    <w:p w:rsidR="00BC4EC9" w:rsidRPr="00BC4EC9" w:rsidRDefault="00BC4EC9" w:rsidP="00BC4EC9">
      <w:pPr>
        <w:rPr>
          <w:b/>
          <w:szCs w:val="24"/>
          <w:highlight w:val="yellow"/>
        </w:rPr>
      </w:pPr>
    </w:p>
    <w:p w:rsidR="00BC4EC9" w:rsidRPr="00937E29" w:rsidRDefault="00BC4EC9" w:rsidP="00BC4EC9">
      <w:pPr>
        <w:pStyle w:val="Heading2"/>
        <w:rPr>
          <w:sz w:val="24"/>
          <w:szCs w:val="24"/>
        </w:rPr>
      </w:pPr>
      <w:bookmarkStart w:id="8" w:name="_Toc358273845"/>
      <w:r w:rsidRPr="00937E29">
        <w:rPr>
          <w:color w:val="auto"/>
          <w:sz w:val="24"/>
          <w:szCs w:val="24"/>
        </w:rPr>
        <w:t xml:space="preserve">8.  </w:t>
      </w:r>
      <w:r w:rsidRPr="00CE4A64">
        <w:rPr>
          <w:color w:val="auto"/>
          <w:sz w:val="24"/>
          <w:szCs w:val="24"/>
          <w:u w:val="single"/>
        </w:rPr>
        <w:t>Federal Register Notice and Outside Consultations</w:t>
      </w:r>
      <w:bookmarkEnd w:id="8"/>
      <w:r w:rsidRPr="00937E29">
        <w:rPr>
          <w:color w:val="auto"/>
          <w:sz w:val="24"/>
          <w:szCs w:val="24"/>
          <w:u w:val="single"/>
        </w:rPr>
        <w:t xml:space="preserve"> </w:t>
      </w:r>
    </w:p>
    <w:p w:rsidR="00BC4EC9" w:rsidRPr="00937E29" w:rsidRDefault="00BC4EC9" w:rsidP="00BC4EC9">
      <w:pPr>
        <w:rPr>
          <w:rFonts w:asciiTheme="majorHAnsi" w:hAnsiTheme="majorHAnsi" w:cs="Arial"/>
          <w:b/>
          <w:i/>
          <w:szCs w:val="24"/>
        </w:rPr>
      </w:pPr>
    </w:p>
    <w:p w:rsidR="00BC4EC9" w:rsidRPr="00CA6029" w:rsidRDefault="00BC4EC9" w:rsidP="00BC4EC9">
      <w:pPr>
        <w:rPr>
          <w:b/>
          <w:bCs/>
          <w:i/>
          <w:iCs/>
          <w:szCs w:val="24"/>
        </w:rPr>
      </w:pPr>
      <w:proofErr w:type="gramStart"/>
      <w:r w:rsidRPr="00CA6029">
        <w:rPr>
          <w:b/>
          <w:i/>
          <w:szCs w:val="24"/>
        </w:rPr>
        <w:t>8.a</w:t>
      </w:r>
      <w:proofErr w:type="gramEnd"/>
      <w:r w:rsidRPr="00CA6029">
        <w:rPr>
          <w:b/>
          <w:i/>
          <w:szCs w:val="24"/>
        </w:rPr>
        <w:t>.</w:t>
      </w:r>
      <w:r w:rsidRPr="00CA6029">
        <w:rPr>
          <w:szCs w:val="24"/>
        </w:rPr>
        <w:t xml:space="preserve"> </w:t>
      </w:r>
      <w:r w:rsidRPr="00CA6029">
        <w:rPr>
          <w:b/>
          <w:bCs/>
          <w:i/>
          <w:iCs/>
          <w:szCs w:val="24"/>
        </w:rPr>
        <w:t>Federal Register Notice</w:t>
      </w:r>
    </w:p>
    <w:p w:rsidR="00BC4EC9" w:rsidRPr="00CA6029" w:rsidRDefault="00BC4EC9" w:rsidP="00BC4EC9">
      <w:pPr>
        <w:rPr>
          <w:rFonts w:ascii="Arial" w:hAnsi="Arial" w:cs="Arial"/>
          <w:b/>
          <w:bCs/>
          <w:i/>
          <w:iCs/>
        </w:rPr>
      </w:pPr>
    </w:p>
    <w:p w:rsidR="00BC4EC9" w:rsidRPr="00937E29" w:rsidRDefault="00BC4EC9" w:rsidP="00BC4EC9">
      <w:pPr>
        <w:rPr>
          <w:rFonts w:ascii="Arial" w:hAnsi="Arial" w:cs="Arial"/>
          <w:b/>
          <w:bCs/>
          <w:i/>
          <w:iCs/>
          <w:szCs w:val="24"/>
        </w:rPr>
      </w:pPr>
      <w:r w:rsidRPr="00CA6029">
        <w:rPr>
          <w:szCs w:val="24"/>
        </w:rPr>
        <w:t xml:space="preserve">As required by 5 CFR 1320.8(d), </w:t>
      </w:r>
      <w:proofErr w:type="gramStart"/>
      <w:r w:rsidRPr="00CA6029">
        <w:rPr>
          <w:szCs w:val="24"/>
        </w:rPr>
        <w:t xml:space="preserve">notice was published in the Federal Register </w:t>
      </w:r>
      <w:r w:rsidR="001D6507">
        <w:rPr>
          <w:szCs w:val="24"/>
        </w:rPr>
        <w:t>July 8, 2</w:t>
      </w:r>
      <w:r w:rsidR="001D6507" w:rsidRPr="001D6507">
        <w:rPr>
          <w:szCs w:val="24"/>
        </w:rPr>
        <w:t>013</w:t>
      </w:r>
      <w:r w:rsidR="001D6507">
        <w:rPr>
          <w:szCs w:val="24"/>
        </w:rPr>
        <w:t xml:space="preserve"> </w:t>
      </w:r>
      <w:r w:rsidRPr="00CA6029">
        <w:rPr>
          <w:szCs w:val="24"/>
        </w:rPr>
        <w:t xml:space="preserve">for 60 </w:t>
      </w:r>
      <w:r w:rsidRPr="00FF496B">
        <w:rPr>
          <w:szCs w:val="24"/>
        </w:rPr>
        <w:t>days</w:t>
      </w:r>
      <w:r w:rsidR="001D6507">
        <w:rPr>
          <w:szCs w:val="24"/>
        </w:rPr>
        <w:t xml:space="preserve">, and again on September </w:t>
      </w:r>
      <w:r w:rsidR="001D6507" w:rsidRPr="001D6507">
        <w:rPr>
          <w:szCs w:val="24"/>
        </w:rPr>
        <w:t>25</w:t>
      </w:r>
      <w:r w:rsidR="001D6507">
        <w:rPr>
          <w:szCs w:val="24"/>
        </w:rPr>
        <w:t xml:space="preserve">, </w:t>
      </w:r>
      <w:r w:rsidR="001D6507" w:rsidRPr="001D6507">
        <w:rPr>
          <w:szCs w:val="24"/>
        </w:rPr>
        <w:t>2013</w:t>
      </w:r>
      <w:r w:rsidR="001D6507">
        <w:rPr>
          <w:szCs w:val="24"/>
        </w:rPr>
        <w:t xml:space="preserve"> for 30 days</w:t>
      </w:r>
      <w:r w:rsidRPr="00FF496B">
        <w:rPr>
          <w:szCs w:val="24"/>
        </w:rPr>
        <w:t xml:space="preserve"> (see</w:t>
      </w:r>
      <w:proofErr w:type="gramEnd"/>
      <w:r w:rsidRPr="00FF496B">
        <w:rPr>
          <w:szCs w:val="24"/>
        </w:rPr>
        <w:t xml:space="preserve"> Attachment </w:t>
      </w:r>
      <w:r w:rsidR="00200325">
        <w:rPr>
          <w:szCs w:val="24"/>
        </w:rPr>
        <w:t>F</w:t>
      </w:r>
      <w:r w:rsidRPr="00FF496B">
        <w:rPr>
          <w:szCs w:val="24"/>
        </w:rPr>
        <w:t>).</w:t>
      </w:r>
      <w:r w:rsidR="001D6507">
        <w:rPr>
          <w:szCs w:val="24"/>
        </w:rPr>
        <w:t xml:space="preserve"> No comments were received.</w:t>
      </w:r>
      <w:bookmarkStart w:id="9" w:name="_GoBack"/>
      <w:bookmarkEnd w:id="9"/>
    </w:p>
    <w:p w:rsidR="00BC4EC9" w:rsidRPr="00937E29" w:rsidRDefault="00BC4EC9" w:rsidP="00BC4EC9"/>
    <w:p w:rsidR="00BC4EC9" w:rsidRPr="00937E29" w:rsidRDefault="00BC4EC9" w:rsidP="00BC4EC9">
      <w:pPr>
        <w:rPr>
          <w:b/>
          <w:i/>
          <w:szCs w:val="24"/>
        </w:rPr>
      </w:pPr>
      <w:proofErr w:type="gramStart"/>
      <w:r w:rsidRPr="00937E29">
        <w:rPr>
          <w:b/>
          <w:i/>
        </w:rPr>
        <w:t>8.b</w:t>
      </w:r>
      <w:proofErr w:type="gramEnd"/>
      <w:r w:rsidRPr="00937E29">
        <w:rPr>
          <w:b/>
          <w:i/>
        </w:rPr>
        <w:t xml:space="preserve">.  </w:t>
      </w:r>
      <w:r w:rsidRPr="00937E29">
        <w:rPr>
          <w:b/>
          <w:i/>
          <w:szCs w:val="24"/>
        </w:rPr>
        <w:t>Outside Consultations</w:t>
      </w:r>
    </w:p>
    <w:p w:rsidR="00BC4EC9" w:rsidRPr="00937E29" w:rsidRDefault="00371E8E" w:rsidP="00BC4EC9">
      <w:pPr>
        <w:pStyle w:val="ListParagraph"/>
        <w:ind w:left="0"/>
        <w:rPr>
          <w:szCs w:val="24"/>
        </w:rPr>
      </w:pPr>
      <w:r w:rsidRPr="00371E8E">
        <w:rPr>
          <w:szCs w:val="24"/>
        </w:rPr>
        <w:t xml:space="preserve">A number of </w:t>
      </w:r>
      <w:r>
        <w:rPr>
          <w:szCs w:val="24"/>
        </w:rPr>
        <w:t>ambulatory surgery</w:t>
      </w:r>
      <w:r w:rsidRPr="00371E8E">
        <w:rPr>
          <w:szCs w:val="24"/>
        </w:rPr>
        <w:t xml:space="preserve"> expert</w:t>
      </w:r>
      <w:r>
        <w:rPr>
          <w:szCs w:val="24"/>
        </w:rPr>
        <w:t>s</w:t>
      </w:r>
      <w:r w:rsidRPr="00371E8E">
        <w:rPr>
          <w:szCs w:val="24"/>
        </w:rPr>
        <w:t xml:space="preserve"> and consultants were contacted for background interviews on the need for a patient safety culture survey for the </w:t>
      </w:r>
      <w:r>
        <w:rPr>
          <w:szCs w:val="24"/>
        </w:rPr>
        <w:t>ambulatory surgery</w:t>
      </w:r>
      <w:r w:rsidRPr="00371E8E">
        <w:rPr>
          <w:szCs w:val="24"/>
        </w:rPr>
        <w:t xml:space="preserve"> setting</w:t>
      </w:r>
      <w:r w:rsidR="00937E29" w:rsidRPr="00FF496B">
        <w:rPr>
          <w:szCs w:val="24"/>
        </w:rPr>
        <w:t xml:space="preserve">.  They will also be consulted for </w:t>
      </w:r>
      <w:r w:rsidR="00BC4EC9" w:rsidRPr="00FF496B">
        <w:rPr>
          <w:szCs w:val="24"/>
        </w:rPr>
        <w:t xml:space="preserve">review and comment on the draft survey domains and items—see Attachment </w:t>
      </w:r>
      <w:r w:rsidR="00200325">
        <w:rPr>
          <w:szCs w:val="24"/>
        </w:rPr>
        <w:t>G</w:t>
      </w:r>
      <w:r w:rsidR="00BC4EC9" w:rsidRPr="00FF496B">
        <w:rPr>
          <w:szCs w:val="24"/>
        </w:rPr>
        <w:t xml:space="preserve"> for a list of those consulted both within and outside the Agency thus far.</w:t>
      </w:r>
      <w:r w:rsidR="00CD766C">
        <w:rPr>
          <w:szCs w:val="24"/>
        </w:rPr>
        <w:t xml:space="preserve"> Most of these individuals comprise a formal Technical Expert Panel (TEP) and will provide periodic input throughout the project.</w:t>
      </w:r>
      <w:r w:rsidR="00E87558">
        <w:rPr>
          <w:szCs w:val="24"/>
        </w:rPr>
        <w:t xml:space="preserve"> </w:t>
      </w:r>
      <w:r w:rsidR="00A30DD1">
        <w:rPr>
          <w:szCs w:val="24"/>
        </w:rPr>
        <w:t xml:space="preserve"> </w:t>
      </w:r>
    </w:p>
    <w:p w:rsidR="00BC4EC9" w:rsidRPr="00BC4EC9" w:rsidRDefault="00BC4EC9" w:rsidP="00BC4EC9">
      <w:pPr>
        <w:ind w:left="720"/>
        <w:rPr>
          <w:szCs w:val="24"/>
          <w:highlight w:val="yellow"/>
        </w:rPr>
      </w:pPr>
    </w:p>
    <w:p w:rsidR="00BC4EC9" w:rsidRPr="00937E29" w:rsidRDefault="00BC4EC9" w:rsidP="00BC4EC9">
      <w:pPr>
        <w:pStyle w:val="Heading2"/>
        <w:rPr>
          <w:color w:val="auto"/>
          <w:sz w:val="24"/>
          <w:szCs w:val="24"/>
        </w:rPr>
      </w:pPr>
      <w:bookmarkStart w:id="10" w:name="_Toc358273846"/>
      <w:r w:rsidRPr="00937E29">
        <w:rPr>
          <w:color w:val="auto"/>
          <w:sz w:val="24"/>
          <w:szCs w:val="24"/>
        </w:rPr>
        <w:t xml:space="preserve">9.  </w:t>
      </w:r>
      <w:r w:rsidRPr="00CE4A64">
        <w:rPr>
          <w:color w:val="auto"/>
          <w:sz w:val="24"/>
          <w:szCs w:val="24"/>
          <w:u w:val="single"/>
        </w:rPr>
        <w:t>Payments/Gifts to Respondents</w:t>
      </w:r>
      <w:bookmarkEnd w:id="10"/>
    </w:p>
    <w:p w:rsidR="00BC4EC9" w:rsidRPr="00937E29" w:rsidRDefault="00BC4EC9" w:rsidP="00BC4EC9">
      <w:pPr>
        <w:rPr>
          <w:szCs w:val="24"/>
        </w:rPr>
      </w:pPr>
    </w:p>
    <w:p w:rsidR="00E87558" w:rsidRDefault="00BC4EC9" w:rsidP="00BC4EC9">
      <w:pPr>
        <w:rPr>
          <w:i/>
          <w:szCs w:val="24"/>
        </w:rPr>
      </w:pPr>
      <w:r w:rsidRPr="00A30DD1">
        <w:rPr>
          <w:i/>
          <w:szCs w:val="24"/>
        </w:rPr>
        <w:t>Cognitive Interview Respondents</w:t>
      </w:r>
    </w:p>
    <w:p w:rsidR="00810455" w:rsidRDefault="00BC4EC9" w:rsidP="0039714C">
      <w:pPr>
        <w:pStyle w:val="ListParagraph"/>
        <w:ind w:left="0"/>
        <w:rPr>
          <w:szCs w:val="24"/>
        </w:rPr>
      </w:pPr>
      <w:r w:rsidRPr="00A30DD1">
        <w:rPr>
          <w:szCs w:val="24"/>
        </w:rPr>
        <w:t xml:space="preserve">To successfully recruit </w:t>
      </w:r>
      <w:r w:rsidR="00617AF9">
        <w:rPr>
          <w:szCs w:val="24"/>
        </w:rPr>
        <w:t>15</w:t>
      </w:r>
      <w:r w:rsidRPr="00A30DD1">
        <w:rPr>
          <w:szCs w:val="24"/>
        </w:rPr>
        <w:t xml:space="preserve"> cognitive interview participants</w:t>
      </w:r>
      <w:r w:rsidR="00F5237C">
        <w:rPr>
          <w:szCs w:val="24"/>
        </w:rPr>
        <w:t xml:space="preserve"> for one round of cognitive interview testing</w:t>
      </w:r>
      <w:r w:rsidRPr="00A30DD1">
        <w:rPr>
          <w:szCs w:val="24"/>
        </w:rPr>
        <w:t xml:space="preserve">, it is appropriate to offer a cash incentive. </w:t>
      </w:r>
      <w:r w:rsidR="00FE575D">
        <w:rPr>
          <w:szCs w:val="24"/>
        </w:rPr>
        <w:t>AHRQ</w:t>
      </w:r>
      <w:r w:rsidRPr="00A30DD1">
        <w:rPr>
          <w:szCs w:val="24"/>
        </w:rPr>
        <w:t xml:space="preserve"> propose</w:t>
      </w:r>
      <w:r w:rsidR="00FE575D">
        <w:rPr>
          <w:szCs w:val="24"/>
        </w:rPr>
        <w:t>s a</w:t>
      </w:r>
      <w:r w:rsidRPr="00A30DD1">
        <w:rPr>
          <w:szCs w:val="24"/>
        </w:rPr>
        <w:t xml:space="preserve"> $</w:t>
      </w:r>
      <w:r w:rsidR="00207D2D">
        <w:rPr>
          <w:szCs w:val="24"/>
        </w:rPr>
        <w:t>200</w:t>
      </w:r>
      <w:r w:rsidRPr="00A30DD1">
        <w:rPr>
          <w:szCs w:val="24"/>
        </w:rPr>
        <w:t xml:space="preserve"> cash remuneration for</w:t>
      </w:r>
      <w:r w:rsidR="003C6534" w:rsidRPr="00A30DD1">
        <w:rPr>
          <w:szCs w:val="24"/>
        </w:rPr>
        <w:t xml:space="preserve"> </w:t>
      </w:r>
      <w:r w:rsidR="00207D2D">
        <w:rPr>
          <w:szCs w:val="24"/>
        </w:rPr>
        <w:t>ASC physicians</w:t>
      </w:r>
      <w:r w:rsidR="003C6534" w:rsidRPr="00A30DD1">
        <w:rPr>
          <w:szCs w:val="24"/>
        </w:rPr>
        <w:t xml:space="preserve"> and </w:t>
      </w:r>
      <w:r w:rsidRPr="00A30DD1">
        <w:rPr>
          <w:szCs w:val="24"/>
        </w:rPr>
        <w:t>$</w:t>
      </w:r>
      <w:r w:rsidR="008829C0" w:rsidRPr="00A30DD1">
        <w:rPr>
          <w:szCs w:val="24"/>
        </w:rPr>
        <w:t>100</w:t>
      </w:r>
      <w:r w:rsidRPr="00A30DD1">
        <w:rPr>
          <w:szCs w:val="24"/>
        </w:rPr>
        <w:t xml:space="preserve"> cash remuneration for </w:t>
      </w:r>
      <w:r w:rsidR="00207D2D">
        <w:rPr>
          <w:szCs w:val="24"/>
        </w:rPr>
        <w:t>ASC</w:t>
      </w:r>
      <w:r w:rsidR="007064BE">
        <w:rPr>
          <w:szCs w:val="24"/>
        </w:rPr>
        <w:t xml:space="preserve"> non-physician</w:t>
      </w:r>
      <w:r w:rsidR="008829C0" w:rsidRPr="00A30DD1">
        <w:rPr>
          <w:szCs w:val="24"/>
        </w:rPr>
        <w:t xml:space="preserve"> staff</w:t>
      </w:r>
      <w:r w:rsidRPr="00A30DD1">
        <w:rPr>
          <w:szCs w:val="24"/>
        </w:rPr>
        <w:t>.</w:t>
      </w:r>
      <w:r w:rsidR="00AF7E23">
        <w:rPr>
          <w:szCs w:val="24"/>
        </w:rPr>
        <w:t xml:space="preserve"> Given that the average hourly wage of outpatient care </w:t>
      </w:r>
      <w:r w:rsidR="006748F5">
        <w:rPr>
          <w:szCs w:val="24"/>
        </w:rPr>
        <w:t>surgeons is greater than $100 per hour and nearly $35 per hour</w:t>
      </w:r>
      <w:r w:rsidR="00CD23E2">
        <w:rPr>
          <w:szCs w:val="24"/>
        </w:rPr>
        <w:t xml:space="preserve"> for registered nurses</w:t>
      </w:r>
      <w:r w:rsidR="006748F5">
        <w:rPr>
          <w:szCs w:val="24"/>
        </w:rPr>
        <w:t>,</w:t>
      </w:r>
      <w:r w:rsidR="006748F5">
        <w:rPr>
          <w:rStyle w:val="FootnoteReference"/>
          <w:szCs w:val="24"/>
        </w:rPr>
        <w:footnoteReference w:id="9"/>
      </w:r>
      <w:r w:rsidR="006748F5">
        <w:rPr>
          <w:szCs w:val="24"/>
        </w:rPr>
        <w:t xml:space="preserve"> </w:t>
      </w:r>
      <w:r w:rsidR="00E605C1">
        <w:rPr>
          <w:szCs w:val="24"/>
        </w:rPr>
        <w:t xml:space="preserve">the proposed remunerations </w:t>
      </w:r>
      <w:r w:rsidR="00210633">
        <w:rPr>
          <w:szCs w:val="24"/>
        </w:rPr>
        <w:t>are intended to partially compensate them for their time.</w:t>
      </w:r>
      <w:r w:rsidR="00E605C1">
        <w:rPr>
          <w:szCs w:val="24"/>
        </w:rPr>
        <w:t xml:space="preserve"> </w:t>
      </w:r>
    </w:p>
    <w:p w:rsidR="00BC4EC9" w:rsidRPr="00BC4EC9" w:rsidRDefault="00BC4EC9" w:rsidP="00BC4EC9">
      <w:pPr>
        <w:rPr>
          <w:szCs w:val="24"/>
          <w:highlight w:val="yellow"/>
        </w:rPr>
      </w:pPr>
    </w:p>
    <w:p w:rsidR="00E87558" w:rsidRDefault="00A148CB" w:rsidP="00BC4EC9">
      <w:pPr>
        <w:rPr>
          <w:i/>
          <w:szCs w:val="24"/>
        </w:rPr>
      </w:pPr>
      <w:r>
        <w:rPr>
          <w:i/>
          <w:szCs w:val="24"/>
        </w:rPr>
        <w:t>Pretest</w:t>
      </w:r>
      <w:r w:rsidR="00BC4EC9" w:rsidRPr="00A42947">
        <w:rPr>
          <w:i/>
          <w:szCs w:val="24"/>
        </w:rPr>
        <w:t xml:space="preserve"> Respondents</w:t>
      </w:r>
    </w:p>
    <w:p w:rsidR="00810455" w:rsidRDefault="00FE575D" w:rsidP="0039714C">
      <w:pPr>
        <w:pStyle w:val="ListParagraph"/>
        <w:ind w:left="0"/>
        <w:rPr>
          <w:szCs w:val="24"/>
        </w:rPr>
      </w:pPr>
      <w:r>
        <w:rPr>
          <w:szCs w:val="24"/>
        </w:rPr>
        <w:t>AHRQ also</w:t>
      </w:r>
      <w:r w:rsidR="00BC4EC9" w:rsidRPr="00A30DD1">
        <w:rPr>
          <w:szCs w:val="24"/>
        </w:rPr>
        <w:t xml:space="preserve"> plan</w:t>
      </w:r>
      <w:r>
        <w:rPr>
          <w:szCs w:val="24"/>
        </w:rPr>
        <w:t>s</w:t>
      </w:r>
      <w:r w:rsidR="00BC4EC9" w:rsidRPr="00A30DD1">
        <w:rPr>
          <w:szCs w:val="24"/>
        </w:rPr>
        <w:t xml:space="preserve"> to recruit a site-level POC in each </w:t>
      </w:r>
      <w:r w:rsidR="00C61187">
        <w:rPr>
          <w:szCs w:val="24"/>
        </w:rPr>
        <w:t>ASC</w:t>
      </w:r>
      <w:r w:rsidR="00BC4EC9" w:rsidRPr="00A30DD1">
        <w:rPr>
          <w:szCs w:val="24"/>
        </w:rPr>
        <w:t xml:space="preserve"> who will manage data collection at that </w:t>
      </w:r>
      <w:r w:rsidR="00C61187">
        <w:rPr>
          <w:szCs w:val="24"/>
        </w:rPr>
        <w:t>facility</w:t>
      </w:r>
      <w:r w:rsidR="00BC4EC9" w:rsidRPr="00A30DD1">
        <w:rPr>
          <w:szCs w:val="24"/>
        </w:rPr>
        <w:t xml:space="preserve"> (compile sample information, distribute surveys, promote survey response, etc.)</w:t>
      </w:r>
      <w:r w:rsidR="004520D1" w:rsidRPr="00A30DD1">
        <w:rPr>
          <w:szCs w:val="24"/>
        </w:rPr>
        <w:t>.</w:t>
      </w:r>
      <w:r w:rsidR="00BC4EC9" w:rsidRPr="00A30DD1">
        <w:rPr>
          <w:szCs w:val="24"/>
        </w:rPr>
        <w:t xml:space="preserve"> </w:t>
      </w:r>
      <w:r>
        <w:rPr>
          <w:szCs w:val="24"/>
        </w:rPr>
        <w:t>AHRQ is not</w:t>
      </w:r>
      <w:r w:rsidR="00A42947" w:rsidRPr="00A30DD1">
        <w:rPr>
          <w:szCs w:val="24"/>
        </w:rPr>
        <w:t xml:space="preserve"> propos</w:t>
      </w:r>
      <w:r>
        <w:rPr>
          <w:szCs w:val="24"/>
        </w:rPr>
        <w:t>ing</w:t>
      </w:r>
      <w:r w:rsidR="00A42947" w:rsidRPr="00A30DD1">
        <w:rPr>
          <w:szCs w:val="24"/>
        </w:rPr>
        <w:t xml:space="preserve"> remuneration; rather, we think the benefit of receiving a complimentary feedback report on their survey results is sufficient incentive for participation.</w:t>
      </w:r>
    </w:p>
    <w:p w:rsidR="00A14A2B" w:rsidRDefault="00A14A2B" w:rsidP="004E7E42">
      <w:pPr>
        <w:pStyle w:val="ListParagraph"/>
        <w:rPr>
          <w:szCs w:val="24"/>
        </w:rPr>
      </w:pPr>
    </w:p>
    <w:p w:rsidR="00BC4EC9" w:rsidRPr="00FF496B" w:rsidRDefault="00BC4EC9" w:rsidP="00BC4EC9">
      <w:pPr>
        <w:pStyle w:val="Heading2"/>
        <w:rPr>
          <w:color w:val="auto"/>
          <w:sz w:val="24"/>
          <w:szCs w:val="24"/>
        </w:rPr>
      </w:pPr>
      <w:bookmarkStart w:id="11" w:name="_Toc358273847"/>
      <w:r w:rsidRPr="00FF496B">
        <w:rPr>
          <w:color w:val="auto"/>
          <w:sz w:val="24"/>
          <w:szCs w:val="24"/>
        </w:rPr>
        <w:t xml:space="preserve">10.  </w:t>
      </w:r>
      <w:r w:rsidRPr="00FF496B">
        <w:rPr>
          <w:color w:val="auto"/>
          <w:sz w:val="24"/>
          <w:szCs w:val="24"/>
          <w:u w:val="single"/>
        </w:rPr>
        <w:t>Assurance of Confidentiality</w:t>
      </w:r>
      <w:bookmarkEnd w:id="11"/>
    </w:p>
    <w:p w:rsidR="00BC4EC9" w:rsidRPr="00FF496B" w:rsidRDefault="00BC4EC9" w:rsidP="00BC4EC9">
      <w:pPr>
        <w:rPr>
          <w:szCs w:val="24"/>
        </w:rPr>
      </w:pPr>
    </w:p>
    <w:p w:rsidR="00457EB2" w:rsidRDefault="00457EB2" w:rsidP="00457EB2">
      <w:pPr>
        <w:autoSpaceDE w:val="0"/>
        <w:autoSpaceDN w:val="0"/>
        <w:adjustRightInd w:val="0"/>
      </w:pPr>
      <w:r w:rsidRPr="00012921">
        <w:t xml:space="preserve">Individuals and organizations will be assured of the confidentiality of their replies under Section 944(c) of the Public Health Service Act. </w:t>
      </w:r>
      <w:proofErr w:type="gramStart"/>
      <w:r w:rsidR="003E2A31">
        <w:t>42 U.S.C. 299c-3(c).</w:t>
      </w:r>
      <w:proofErr w:type="gramEnd"/>
      <w:r w:rsidR="003E2A31">
        <w:t> </w:t>
      </w:r>
      <w:r w:rsidRPr="00012921">
        <w:t>That law requires that information collected for research conducted or supported by AHRQ that identifies individuals or establishments be used only for the purpose for which it was supplied</w:t>
      </w:r>
      <w:r>
        <w:t xml:space="preserve">. </w:t>
      </w:r>
    </w:p>
    <w:p w:rsidR="00BC4EC9" w:rsidRPr="00D52166" w:rsidRDefault="00BC4EC9" w:rsidP="00BC4EC9">
      <w:pPr>
        <w:rPr>
          <w:szCs w:val="24"/>
        </w:rPr>
      </w:pPr>
    </w:p>
    <w:p w:rsidR="00BC4EC9" w:rsidRPr="00D52166" w:rsidRDefault="00BC4EC9" w:rsidP="00BC4EC9">
      <w:pPr>
        <w:rPr>
          <w:color w:val="000000"/>
          <w:szCs w:val="24"/>
        </w:rPr>
      </w:pPr>
      <w:r w:rsidRPr="00D52166">
        <w:rPr>
          <w:szCs w:val="24"/>
        </w:rPr>
        <w:t>Information that can directly identify the respondent, such as name and/or social security number will not be collected.</w:t>
      </w:r>
    </w:p>
    <w:p w:rsidR="00BC4EC9" w:rsidRPr="00B85315" w:rsidRDefault="00BC4EC9" w:rsidP="00BC4EC9">
      <w:pPr>
        <w:pStyle w:val="Heading2"/>
        <w:rPr>
          <w:color w:val="auto"/>
          <w:sz w:val="24"/>
          <w:szCs w:val="24"/>
        </w:rPr>
      </w:pPr>
      <w:bookmarkStart w:id="12" w:name="_Toc358273848"/>
      <w:r w:rsidRPr="00B85315">
        <w:rPr>
          <w:color w:val="auto"/>
          <w:sz w:val="24"/>
          <w:szCs w:val="24"/>
        </w:rPr>
        <w:t xml:space="preserve">11.  </w:t>
      </w:r>
      <w:r w:rsidRPr="00B85315">
        <w:rPr>
          <w:color w:val="auto"/>
          <w:sz w:val="24"/>
          <w:szCs w:val="24"/>
          <w:u w:val="single"/>
        </w:rPr>
        <w:t>Questions of a Sensitive Nature</w:t>
      </w:r>
      <w:bookmarkEnd w:id="12"/>
    </w:p>
    <w:p w:rsidR="00BC4EC9" w:rsidRPr="00B85315" w:rsidRDefault="00BC4EC9" w:rsidP="00BC4EC9">
      <w:pPr>
        <w:rPr>
          <w:szCs w:val="24"/>
        </w:rPr>
      </w:pPr>
    </w:p>
    <w:p w:rsidR="00BC4EC9" w:rsidRPr="00BC4EC9" w:rsidRDefault="00FA79C9" w:rsidP="00BC4EC9">
      <w:pPr>
        <w:rPr>
          <w:b/>
          <w:szCs w:val="24"/>
          <w:highlight w:val="yellow"/>
        </w:rPr>
      </w:pPr>
      <w:r>
        <w:rPr>
          <w:szCs w:val="24"/>
        </w:rPr>
        <w:t xml:space="preserve">AHRQ </w:t>
      </w:r>
      <w:r w:rsidR="00BC4EC9" w:rsidRPr="00B85315">
        <w:rPr>
          <w:szCs w:val="24"/>
        </w:rPr>
        <w:t>believe</w:t>
      </w:r>
      <w:r>
        <w:rPr>
          <w:szCs w:val="24"/>
        </w:rPr>
        <w:t>s</w:t>
      </w:r>
      <w:r w:rsidR="00BC4EC9" w:rsidRPr="00B85315">
        <w:rPr>
          <w:szCs w:val="24"/>
        </w:rPr>
        <w:t xml:space="preserve"> there are </w:t>
      </w:r>
      <w:r>
        <w:rPr>
          <w:szCs w:val="24"/>
        </w:rPr>
        <w:t xml:space="preserve">no </w:t>
      </w:r>
      <w:r w:rsidR="00BC4EC9" w:rsidRPr="00B85315">
        <w:rPr>
          <w:szCs w:val="24"/>
        </w:rPr>
        <w:t>questions of a particularly sensitive nature included in the survey, but if during cognitive testing sensitivities are discovered, such questions will be modified to ensure they are not of a sensitive nature.</w:t>
      </w:r>
    </w:p>
    <w:p w:rsidR="00A046E6" w:rsidRDefault="00A046E6" w:rsidP="00AC515F">
      <w:pPr>
        <w:spacing w:after="200" w:line="276" w:lineRule="auto"/>
        <w:rPr>
          <w:szCs w:val="24"/>
        </w:rPr>
      </w:pPr>
    </w:p>
    <w:p w:rsidR="00BC4EC9" w:rsidRPr="00ED1682" w:rsidRDefault="00824330" w:rsidP="00AC515F">
      <w:pPr>
        <w:spacing w:after="200" w:line="276" w:lineRule="auto"/>
        <w:rPr>
          <w:b/>
          <w:szCs w:val="24"/>
          <w:u w:val="single"/>
        </w:rPr>
      </w:pPr>
      <w:r w:rsidRPr="00ED1682">
        <w:rPr>
          <w:b/>
          <w:szCs w:val="24"/>
        </w:rPr>
        <w:t xml:space="preserve">12.  </w:t>
      </w:r>
      <w:r w:rsidRPr="00ED1682">
        <w:rPr>
          <w:b/>
          <w:szCs w:val="24"/>
          <w:u w:val="single"/>
        </w:rPr>
        <w:t>Estimates of Annualized Burden Hours and Costs</w:t>
      </w:r>
    </w:p>
    <w:p w:rsidR="00BC4EC9" w:rsidRPr="00BC4EC9" w:rsidRDefault="00BC4EC9" w:rsidP="00BC4EC9">
      <w:pPr>
        <w:rPr>
          <w:highlight w:val="yellow"/>
        </w:rPr>
      </w:pPr>
    </w:p>
    <w:p w:rsidR="00BC4EC9" w:rsidRPr="009D6A9D" w:rsidRDefault="00BC4EC9" w:rsidP="00BC4EC9">
      <w:pPr>
        <w:rPr>
          <w:szCs w:val="24"/>
        </w:rPr>
      </w:pPr>
      <w:r w:rsidRPr="00C84834">
        <w:rPr>
          <w:szCs w:val="24"/>
        </w:rPr>
        <w:t xml:space="preserve">Exhibit 1 shows the estimated annualized burden hours for the </w:t>
      </w:r>
      <w:r w:rsidR="00764047">
        <w:rPr>
          <w:szCs w:val="24"/>
        </w:rPr>
        <w:t>respondents</w:t>
      </w:r>
      <w:r w:rsidR="00ED7283" w:rsidRPr="00C84834">
        <w:rPr>
          <w:szCs w:val="24"/>
        </w:rPr>
        <w:t xml:space="preserve">’ </w:t>
      </w:r>
      <w:r w:rsidRPr="00C84834">
        <w:rPr>
          <w:szCs w:val="24"/>
        </w:rPr>
        <w:t>time to</w:t>
      </w:r>
      <w:r w:rsidR="003E2A31">
        <w:rPr>
          <w:szCs w:val="24"/>
        </w:rPr>
        <w:t xml:space="preserve"> participate in this research. </w:t>
      </w:r>
      <w:r w:rsidRPr="00C84834">
        <w:rPr>
          <w:szCs w:val="24"/>
        </w:rPr>
        <w:t>Cognitive interviews</w:t>
      </w:r>
      <w:r w:rsidR="006D2B92">
        <w:rPr>
          <w:szCs w:val="24"/>
        </w:rPr>
        <w:t xml:space="preserve"> </w:t>
      </w:r>
      <w:r w:rsidRPr="00C84834">
        <w:rPr>
          <w:szCs w:val="24"/>
        </w:rPr>
        <w:t xml:space="preserve">will be conducted with </w:t>
      </w:r>
      <w:r w:rsidR="00617AF9">
        <w:rPr>
          <w:szCs w:val="24"/>
        </w:rPr>
        <w:t>15</w:t>
      </w:r>
      <w:r w:rsidR="004520D1">
        <w:rPr>
          <w:szCs w:val="24"/>
        </w:rPr>
        <w:t xml:space="preserve"> </w:t>
      </w:r>
      <w:r w:rsidR="0092324B">
        <w:rPr>
          <w:szCs w:val="24"/>
        </w:rPr>
        <w:t>ASC</w:t>
      </w:r>
      <w:r w:rsidR="004520D1">
        <w:rPr>
          <w:szCs w:val="24"/>
        </w:rPr>
        <w:t xml:space="preserve"> </w:t>
      </w:r>
      <w:r w:rsidRPr="00C84834">
        <w:rPr>
          <w:szCs w:val="24"/>
        </w:rPr>
        <w:t xml:space="preserve">staff </w:t>
      </w:r>
      <w:r w:rsidR="0024125E">
        <w:rPr>
          <w:szCs w:val="24"/>
        </w:rPr>
        <w:t>(approximately three</w:t>
      </w:r>
      <w:r w:rsidR="00B85315" w:rsidRPr="00C84834">
        <w:rPr>
          <w:szCs w:val="24"/>
        </w:rPr>
        <w:t xml:space="preserve"> </w:t>
      </w:r>
      <w:r w:rsidR="0024125E">
        <w:rPr>
          <w:szCs w:val="24"/>
        </w:rPr>
        <w:t xml:space="preserve">physicians, </w:t>
      </w:r>
      <w:r w:rsidR="00617AF9">
        <w:rPr>
          <w:szCs w:val="24"/>
        </w:rPr>
        <w:t>six</w:t>
      </w:r>
      <w:r w:rsidR="0024125E">
        <w:rPr>
          <w:szCs w:val="24"/>
        </w:rPr>
        <w:t xml:space="preserve"> nurses, </w:t>
      </w:r>
      <w:r w:rsidR="00617AF9">
        <w:rPr>
          <w:szCs w:val="24"/>
        </w:rPr>
        <w:t>two</w:t>
      </w:r>
      <w:r w:rsidR="000A777D">
        <w:rPr>
          <w:szCs w:val="24"/>
        </w:rPr>
        <w:t xml:space="preserve"> medical technician</w:t>
      </w:r>
      <w:r w:rsidR="00617AF9">
        <w:rPr>
          <w:szCs w:val="24"/>
        </w:rPr>
        <w:t>s</w:t>
      </w:r>
      <w:r w:rsidR="000A777D">
        <w:rPr>
          <w:szCs w:val="24"/>
        </w:rPr>
        <w:t xml:space="preserve">, </w:t>
      </w:r>
      <w:r w:rsidR="00617AF9">
        <w:rPr>
          <w:szCs w:val="24"/>
        </w:rPr>
        <w:t>two</w:t>
      </w:r>
      <w:r w:rsidR="0024125E">
        <w:rPr>
          <w:szCs w:val="24"/>
        </w:rPr>
        <w:t xml:space="preserve"> </w:t>
      </w:r>
      <w:r w:rsidR="00580D61">
        <w:rPr>
          <w:szCs w:val="24"/>
        </w:rPr>
        <w:t xml:space="preserve">administrative </w:t>
      </w:r>
      <w:r w:rsidR="0024125E">
        <w:rPr>
          <w:szCs w:val="24"/>
        </w:rPr>
        <w:t>manager</w:t>
      </w:r>
      <w:r w:rsidR="00617AF9">
        <w:rPr>
          <w:szCs w:val="24"/>
        </w:rPr>
        <w:t>s</w:t>
      </w:r>
      <w:r w:rsidR="0024125E">
        <w:rPr>
          <w:szCs w:val="24"/>
        </w:rPr>
        <w:t xml:space="preserve">, </w:t>
      </w:r>
      <w:r w:rsidR="0092324B">
        <w:rPr>
          <w:szCs w:val="24"/>
        </w:rPr>
        <w:t>and</w:t>
      </w:r>
      <w:r w:rsidR="0024125E">
        <w:rPr>
          <w:szCs w:val="24"/>
        </w:rPr>
        <w:t xml:space="preserve"> </w:t>
      </w:r>
      <w:r w:rsidR="00617AF9">
        <w:rPr>
          <w:szCs w:val="24"/>
        </w:rPr>
        <w:t>two</w:t>
      </w:r>
      <w:r w:rsidR="0024125E">
        <w:rPr>
          <w:szCs w:val="24"/>
        </w:rPr>
        <w:t xml:space="preserve"> administrative assistant</w:t>
      </w:r>
      <w:r w:rsidR="00617AF9">
        <w:rPr>
          <w:szCs w:val="24"/>
        </w:rPr>
        <w:t>s</w:t>
      </w:r>
      <w:r w:rsidR="00B85315" w:rsidRPr="00C84834">
        <w:rPr>
          <w:szCs w:val="24"/>
        </w:rPr>
        <w:t>)</w:t>
      </w:r>
      <w:r w:rsidRPr="00C84834">
        <w:rPr>
          <w:szCs w:val="24"/>
        </w:rPr>
        <w:t xml:space="preserve"> and will take about one h</w:t>
      </w:r>
      <w:r w:rsidR="0092324B">
        <w:rPr>
          <w:szCs w:val="24"/>
        </w:rPr>
        <w:t>our and 30 minutes to complete.</w:t>
      </w:r>
      <w:r w:rsidRPr="00C84834">
        <w:rPr>
          <w:szCs w:val="24"/>
        </w:rPr>
        <w:t xml:space="preserve"> </w:t>
      </w:r>
      <w:r w:rsidR="00305336">
        <w:rPr>
          <w:szCs w:val="24"/>
        </w:rPr>
        <w:t xml:space="preserve">The Ambulatory Surgery SOPS will be completed by </w:t>
      </w:r>
      <w:r w:rsidR="000B35ED">
        <w:rPr>
          <w:szCs w:val="24"/>
        </w:rPr>
        <w:t>529</w:t>
      </w:r>
      <w:r w:rsidR="0092324B">
        <w:rPr>
          <w:szCs w:val="24"/>
        </w:rPr>
        <w:t xml:space="preserve"> </w:t>
      </w:r>
      <w:r w:rsidR="00305336">
        <w:rPr>
          <w:szCs w:val="24"/>
        </w:rPr>
        <w:t xml:space="preserve">ASC staff </w:t>
      </w:r>
      <w:r w:rsidR="00615BC0">
        <w:rPr>
          <w:szCs w:val="24"/>
        </w:rPr>
        <w:t xml:space="preserve">from 40 facilities </w:t>
      </w:r>
      <w:r w:rsidR="00145C50">
        <w:rPr>
          <w:szCs w:val="24"/>
        </w:rPr>
        <w:t>(</w:t>
      </w:r>
      <w:r w:rsidR="000958A9">
        <w:rPr>
          <w:szCs w:val="24"/>
        </w:rPr>
        <w:t xml:space="preserve">about </w:t>
      </w:r>
      <w:r w:rsidR="000B35ED">
        <w:rPr>
          <w:szCs w:val="24"/>
        </w:rPr>
        <w:t>13</w:t>
      </w:r>
      <w:r w:rsidR="000958A9">
        <w:rPr>
          <w:szCs w:val="24"/>
        </w:rPr>
        <w:t xml:space="preserve"> per </w:t>
      </w:r>
      <w:r w:rsidR="0092324B">
        <w:rPr>
          <w:szCs w:val="24"/>
        </w:rPr>
        <w:t>facility</w:t>
      </w:r>
      <w:r w:rsidR="000958A9" w:rsidRPr="000958A9">
        <w:rPr>
          <w:szCs w:val="24"/>
        </w:rPr>
        <w:t>)</w:t>
      </w:r>
      <w:r w:rsidR="00ED0904">
        <w:rPr>
          <w:szCs w:val="24"/>
        </w:rPr>
        <w:t xml:space="preserve">. Each survey will </w:t>
      </w:r>
      <w:r w:rsidRPr="000958A9">
        <w:rPr>
          <w:szCs w:val="24"/>
        </w:rPr>
        <w:t>require</w:t>
      </w:r>
      <w:r w:rsidR="00ED0904">
        <w:rPr>
          <w:szCs w:val="24"/>
        </w:rPr>
        <w:t xml:space="preserve"> approximately</w:t>
      </w:r>
      <w:r w:rsidRPr="000958A9">
        <w:rPr>
          <w:szCs w:val="24"/>
        </w:rPr>
        <w:t xml:space="preserve"> 15 minutes </w:t>
      </w:r>
      <w:proofErr w:type="gramStart"/>
      <w:r w:rsidRPr="000958A9">
        <w:rPr>
          <w:szCs w:val="24"/>
        </w:rPr>
        <w:t>t</w:t>
      </w:r>
      <w:r w:rsidR="003E2A31">
        <w:rPr>
          <w:szCs w:val="24"/>
        </w:rPr>
        <w:t>o complete</w:t>
      </w:r>
      <w:proofErr w:type="gramEnd"/>
      <w:r w:rsidR="003E2A31">
        <w:rPr>
          <w:szCs w:val="24"/>
        </w:rPr>
        <w:t xml:space="preserve">. </w:t>
      </w:r>
      <w:r w:rsidR="00955B0B">
        <w:rPr>
          <w:szCs w:val="24"/>
        </w:rPr>
        <w:t xml:space="preserve"> </w:t>
      </w:r>
      <w:r w:rsidR="00355DA4" w:rsidRPr="000958A9">
        <w:rPr>
          <w:szCs w:val="24"/>
        </w:rPr>
        <w:t>A site-level POC will spend approximately 6 hours</w:t>
      </w:r>
      <w:r w:rsidR="00355DA4">
        <w:rPr>
          <w:szCs w:val="24"/>
        </w:rPr>
        <w:t xml:space="preserve"> admin</w:t>
      </w:r>
      <w:r w:rsidR="000958A9">
        <w:rPr>
          <w:szCs w:val="24"/>
        </w:rPr>
        <w:t xml:space="preserve">istering the </w:t>
      </w:r>
      <w:r w:rsidR="00540890">
        <w:rPr>
          <w:szCs w:val="24"/>
        </w:rPr>
        <w:t>Ambulatory Surgery</w:t>
      </w:r>
      <w:r w:rsidR="00305336">
        <w:rPr>
          <w:szCs w:val="24"/>
        </w:rPr>
        <w:t xml:space="preserve"> SOPS</w:t>
      </w:r>
      <w:r w:rsidR="003E2A31">
        <w:rPr>
          <w:szCs w:val="24"/>
        </w:rPr>
        <w:t xml:space="preserve">. </w:t>
      </w:r>
      <w:r w:rsidR="001F1415" w:rsidRPr="00FB49E3">
        <w:rPr>
          <w:szCs w:val="24"/>
        </w:rPr>
        <w:t xml:space="preserve">The total burden is estimated to be </w:t>
      </w:r>
      <w:r w:rsidR="00772E4D">
        <w:rPr>
          <w:szCs w:val="24"/>
        </w:rPr>
        <w:t>395</w:t>
      </w:r>
      <w:r w:rsidR="007862AD" w:rsidRPr="00FB49E3">
        <w:rPr>
          <w:szCs w:val="24"/>
        </w:rPr>
        <w:t xml:space="preserve"> </w:t>
      </w:r>
      <w:r w:rsidR="001F1415" w:rsidRPr="00FB49E3">
        <w:rPr>
          <w:szCs w:val="24"/>
        </w:rPr>
        <w:t>hours annually.</w:t>
      </w:r>
    </w:p>
    <w:p w:rsidR="008F6413" w:rsidRDefault="008F6413" w:rsidP="00BC4EC9">
      <w:pPr>
        <w:rPr>
          <w:szCs w:val="24"/>
        </w:rPr>
      </w:pPr>
    </w:p>
    <w:p w:rsidR="00BC4EC9" w:rsidRDefault="00BC4EC9" w:rsidP="00BC4EC9">
      <w:pPr>
        <w:rPr>
          <w:szCs w:val="24"/>
        </w:rPr>
      </w:pPr>
      <w:r w:rsidRPr="00C84834">
        <w:rPr>
          <w:szCs w:val="24"/>
        </w:rPr>
        <w:t xml:space="preserve">Exhibit 2 shows the estimated annualized cost burden associated with the </w:t>
      </w:r>
      <w:r w:rsidR="006A5BC3">
        <w:rPr>
          <w:szCs w:val="24"/>
        </w:rPr>
        <w:t>respondents’</w:t>
      </w:r>
      <w:r w:rsidRPr="00C84834">
        <w:rPr>
          <w:szCs w:val="24"/>
        </w:rPr>
        <w:t xml:space="preserve"> time to participate in this </w:t>
      </w:r>
      <w:r w:rsidR="00F90343">
        <w:rPr>
          <w:szCs w:val="24"/>
        </w:rPr>
        <w:t xml:space="preserve">research. </w:t>
      </w:r>
      <w:r w:rsidRPr="00FB49E3">
        <w:rPr>
          <w:szCs w:val="24"/>
        </w:rPr>
        <w:t xml:space="preserve">The total cost burden is estimated to </w:t>
      </w:r>
      <w:r w:rsidRPr="00527171">
        <w:rPr>
          <w:szCs w:val="24"/>
        </w:rPr>
        <w:t xml:space="preserve">be </w:t>
      </w:r>
      <w:r w:rsidR="008662A3" w:rsidRPr="00527171">
        <w:rPr>
          <w:szCs w:val="24"/>
        </w:rPr>
        <w:t>$</w:t>
      </w:r>
      <w:r w:rsidR="00772BAD">
        <w:rPr>
          <w:szCs w:val="24"/>
        </w:rPr>
        <w:t>16,</w:t>
      </w:r>
      <w:r w:rsidR="00772E4D">
        <w:rPr>
          <w:szCs w:val="24"/>
        </w:rPr>
        <w:t>173</w:t>
      </w:r>
      <w:r w:rsidR="008662A3" w:rsidRPr="00527171">
        <w:rPr>
          <w:szCs w:val="24"/>
        </w:rPr>
        <w:t xml:space="preserve"> </w:t>
      </w:r>
      <w:r w:rsidRPr="00527171">
        <w:rPr>
          <w:szCs w:val="24"/>
        </w:rPr>
        <w:t>annually</w:t>
      </w:r>
      <w:r w:rsidRPr="00FB49E3">
        <w:rPr>
          <w:szCs w:val="24"/>
        </w:rPr>
        <w:t>.</w:t>
      </w:r>
    </w:p>
    <w:p w:rsidR="00FB14F6" w:rsidRDefault="00FB14F6" w:rsidP="00BC4EC9">
      <w:pPr>
        <w:rPr>
          <w:szCs w:val="24"/>
        </w:rPr>
      </w:pPr>
    </w:p>
    <w:p w:rsidR="00AD2C17" w:rsidRDefault="00AD2C17" w:rsidP="00BC4EC9">
      <w:pPr>
        <w:rPr>
          <w:szCs w:val="24"/>
        </w:rPr>
      </w:pPr>
    </w:p>
    <w:p w:rsidR="00DE2225" w:rsidRDefault="00DE2225" w:rsidP="00DE2225">
      <w:bookmarkStart w:id="13" w:name="OLE_LINK1"/>
      <w:bookmarkStart w:id="14" w:name="OLE_LINK2"/>
      <w:proofErr w:type="gramStart"/>
      <w:r>
        <w:rPr>
          <w:b/>
          <w:bCs/>
          <w:color w:val="000000"/>
        </w:rPr>
        <w:t>Exhibit 1.</w:t>
      </w:r>
      <w:proofErr w:type="gramEnd"/>
      <w:r>
        <w:rPr>
          <w:b/>
          <w:bCs/>
          <w:color w:val="000000"/>
        </w:rPr>
        <w:t>  Estimated annualized burden hours</w:t>
      </w:r>
    </w:p>
    <w:tbl>
      <w:tblPr>
        <w:tblW w:w="4944" w:type="pct"/>
        <w:tblInd w:w="108" w:type="dxa"/>
        <w:tblLayout w:type="fixed"/>
        <w:tblCellMar>
          <w:left w:w="0" w:type="dxa"/>
          <w:right w:w="0" w:type="dxa"/>
        </w:tblCellMar>
        <w:tblLook w:val="0000" w:firstRow="0" w:lastRow="0" w:firstColumn="0" w:lastColumn="0" w:noHBand="0" w:noVBand="0"/>
      </w:tblPr>
      <w:tblGrid>
        <w:gridCol w:w="5141"/>
        <w:gridCol w:w="1254"/>
        <w:gridCol w:w="1350"/>
        <w:gridCol w:w="900"/>
        <w:gridCol w:w="824"/>
      </w:tblGrid>
      <w:tr w:rsidR="00DE2225" w:rsidTr="007F0D2D">
        <w:tc>
          <w:tcPr>
            <w:tcW w:w="271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Form Name</w:t>
            </w:r>
          </w:p>
        </w:tc>
        <w:tc>
          <w:tcPr>
            <w:tcW w:w="66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Number of respondents</w:t>
            </w:r>
          </w:p>
        </w:tc>
        <w:tc>
          <w:tcPr>
            <w:tcW w:w="71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Pr="00E97584" w:rsidRDefault="00DE2225" w:rsidP="003C1561">
            <w:pPr>
              <w:jc w:val="center"/>
              <w:rPr>
                <w:sz w:val="20"/>
              </w:rPr>
            </w:pPr>
            <w:r w:rsidRPr="00E97584">
              <w:rPr>
                <w:sz w:val="20"/>
              </w:rPr>
              <w:t xml:space="preserve">Number of responses per </w:t>
            </w:r>
            <w:r w:rsidR="003C1561">
              <w:rPr>
                <w:sz w:val="20"/>
              </w:rPr>
              <w:t>respondent</w:t>
            </w:r>
          </w:p>
        </w:tc>
        <w:tc>
          <w:tcPr>
            <w:tcW w:w="475" w:type="pct"/>
            <w:tcBorders>
              <w:top w:val="single" w:sz="8" w:space="0" w:color="auto"/>
              <w:left w:val="nil"/>
              <w:bottom w:val="single" w:sz="8" w:space="0" w:color="auto"/>
              <w:right w:val="single" w:sz="8" w:space="0" w:color="auto"/>
            </w:tcBorders>
            <w:vAlign w:val="center"/>
          </w:tcPr>
          <w:p w:rsidR="00DE2225" w:rsidRDefault="00DE2225" w:rsidP="00B17FBB">
            <w:pPr>
              <w:jc w:val="center"/>
            </w:pPr>
            <w:r>
              <w:rPr>
                <w:color w:val="000000"/>
                <w:sz w:val="20"/>
              </w:rPr>
              <w:t>Hours per response</w:t>
            </w:r>
          </w:p>
        </w:tc>
        <w:tc>
          <w:tcPr>
            <w:tcW w:w="4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Total burden hours</w:t>
            </w:r>
          </w:p>
        </w:tc>
      </w:tr>
      <w:tr w:rsidR="00C52539" w:rsidTr="007F0D2D">
        <w:tc>
          <w:tcPr>
            <w:tcW w:w="27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9D6A9D" w:rsidP="009D6A9D">
            <w:r>
              <w:rPr>
                <w:szCs w:val="24"/>
              </w:rPr>
              <w:t>Cognitive interviews</w:t>
            </w:r>
          </w:p>
        </w:tc>
        <w:tc>
          <w:tcPr>
            <w:tcW w:w="6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E31E02" w:rsidP="008F6413">
            <w:pPr>
              <w:jc w:val="center"/>
            </w:pPr>
            <w:r>
              <w:t>15</w:t>
            </w:r>
          </w:p>
        </w:tc>
        <w:tc>
          <w:tcPr>
            <w:tcW w:w="71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810455" w:rsidP="008F6413">
            <w:pPr>
              <w:jc w:val="center"/>
            </w:pPr>
            <w:r>
              <w:t>1</w:t>
            </w:r>
          </w:p>
        </w:tc>
        <w:tc>
          <w:tcPr>
            <w:tcW w:w="475" w:type="pct"/>
            <w:tcBorders>
              <w:top w:val="nil"/>
              <w:left w:val="nil"/>
              <w:bottom w:val="single" w:sz="8" w:space="0" w:color="auto"/>
              <w:right w:val="single" w:sz="8" w:space="0" w:color="auto"/>
            </w:tcBorders>
            <w:vAlign w:val="center"/>
          </w:tcPr>
          <w:p w:rsidR="00C52539" w:rsidRDefault="00177A48" w:rsidP="00F5237C">
            <w:pPr>
              <w:jc w:val="center"/>
            </w:pPr>
            <w:r>
              <w:t>1</w:t>
            </w:r>
            <w:r w:rsidR="00F5237C">
              <w:t>.5</w:t>
            </w:r>
          </w:p>
        </w:tc>
        <w:tc>
          <w:tcPr>
            <w:tcW w:w="4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E31E02" w:rsidP="008F6413">
            <w:pPr>
              <w:jc w:val="center"/>
            </w:pPr>
            <w:r>
              <w:t>23</w:t>
            </w:r>
          </w:p>
        </w:tc>
      </w:tr>
      <w:tr w:rsidR="00C52539" w:rsidTr="007F0D2D">
        <w:tc>
          <w:tcPr>
            <w:tcW w:w="27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2539" w:rsidRPr="00D128E3" w:rsidRDefault="005C23AD" w:rsidP="009D6A9D">
            <w:r w:rsidRPr="00D128E3">
              <w:rPr>
                <w:szCs w:val="24"/>
              </w:rPr>
              <w:t xml:space="preserve">Pretest for the </w:t>
            </w:r>
            <w:r w:rsidR="00D07147" w:rsidRPr="00D07147">
              <w:rPr>
                <w:szCs w:val="24"/>
              </w:rPr>
              <w:t>Ambulatory Surgery</w:t>
            </w:r>
            <w:r w:rsidR="00D07147">
              <w:rPr>
                <w:b/>
                <w:szCs w:val="24"/>
              </w:rPr>
              <w:t xml:space="preserve"> </w:t>
            </w:r>
            <w:r w:rsidR="00D07147">
              <w:rPr>
                <w:szCs w:val="24"/>
              </w:rPr>
              <w:t>SOPS</w:t>
            </w:r>
            <w:r w:rsidR="00D07147" w:rsidDel="00993192">
              <w:rPr>
                <w:b/>
                <w:szCs w:val="24"/>
              </w:rPr>
              <w:t xml:space="preserve"> </w:t>
            </w:r>
          </w:p>
        </w:tc>
        <w:tc>
          <w:tcPr>
            <w:tcW w:w="6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2539" w:rsidRPr="00D128E3" w:rsidRDefault="00E31E02" w:rsidP="00284388">
            <w:pPr>
              <w:jc w:val="center"/>
            </w:pPr>
            <w:r>
              <w:t>529</w:t>
            </w:r>
          </w:p>
        </w:tc>
        <w:tc>
          <w:tcPr>
            <w:tcW w:w="71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2539" w:rsidRPr="00D128E3" w:rsidRDefault="003C1561" w:rsidP="008F6413">
            <w:pPr>
              <w:jc w:val="center"/>
            </w:pPr>
            <w:r w:rsidRPr="00D128E3">
              <w:t>1</w:t>
            </w:r>
          </w:p>
        </w:tc>
        <w:tc>
          <w:tcPr>
            <w:tcW w:w="475" w:type="pct"/>
            <w:tcBorders>
              <w:top w:val="nil"/>
              <w:left w:val="nil"/>
              <w:bottom w:val="single" w:sz="8" w:space="0" w:color="auto"/>
              <w:right w:val="single" w:sz="8" w:space="0" w:color="auto"/>
            </w:tcBorders>
            <w:shd w:val="clear" w:color="auto" w:fill="auto"/>
            <w:vAlign w:val="center"/>
          </w:tcPr>
          <w:p w:rsidR="00C52539" w:rsidRPr="00D128E3" w:rsidRDefault="00810455" w:rsidP="008F6413">
            <w:pPr>
              <w:jc w:val="center"/>
            </w:pPr>
            <w:r w:rsidRPr="00D128E3">
              <w:t>15/60</w:t>
            </w:r>
          </w:p>
        </w:tc>
        <w:tc>
          <w:tcPr>
            <w:tcW w:w="4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2539" w:rsidRPr="00D128E3" w:rsidRDefault="00E31E02" w:rsidP="00D128E3">
            <w:pPr>
              <w:jc w:val="center"/>
            </w:pPr>
            <w:r>
              <w:t>13</w:t>
            </w:r>
            <w:r w:rsidR="007862AD">
              <w:t>2</w:t>
            </w:r>
          </w:p>
        </w:tc>
      </w:tr>
      <w:tr w:rsidR="002B59A4" w:rsidTr="007F0D2D">
        <w:tc>
          <w:tcPr>
            <w:tcW w:w="27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B59A4" w:rsidRDefault="00284388" w:rsidP="00D24E42">
            <w:pPr>
              <w:rPr>
                <w:szCs w:val="24"/>
              </w:rPr>
            </w:pPr>
            <w:r>
              <w:rPr>
                <w:szCs w:val="24"/>
              </w:rPr>
              <w:t xml:space="preserve">POC </w:t>
            </w:r>
            <w:r w:rsidR="002B59A4" w:rsidRPr="00355DA4">
              <w:rPr>
                <w:szCs w:val="24"/>
              </w:rPr>
              <w:t>Administration of the survey</w:t>
            </w:r>
          </w:p>
        </w:tc>
        <w:tc>
          <w:tcPr>
            <w:tcW w:w="6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B59A4" w:rsidRPr="00D128E3" w:rsidRDefault="002B59A4" w:rsidP="00284388">
            <w:pPr>
              <w:jc w:val="center"/>
            </w:pPr>
            <w:r w:rsidRPr="00D128E3">
              <w:t>4</w:t>
            </w:r>
            <w:r w:rsidR="009D6A9D">
              <w:t>0</w:t>
            </w:r>
          </w:p>
        </w:tc>
        <w:tc>
          <w:tcPr>
            <w:tcW w:w="71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B59A4" w:rsidRPr="00D128E3" w:rsidRDefault="002B59A4" w:rsidP="002B59A4">
            <w:pPr>
              <w:jc w:val="center"/>
            </w:pPr>
            <w:r w:rsidRPr="00D128E3">
              <w:t>1</w:t>
            </w:r>
          </w:p>
        </w:tc>
        <w:tc>
          <w:tcPr>
            <w:tcW w:w="475" w:type="pct"/>
            <w:tcBorders>
              <w:top w:val="nil"/>
              <w:left w:val="nil"/>
              <w:bottom w:val="single" w:sz="8" w:space="0" w:color="auto"/>
              <w:right w:val="single" w:sz="8" w:space="0" w:color="auto"/>
            </w:tcBorders>
            <w:shd w:val="clear" w:color="auto" w:fill="auto"/>
            <w:vAlign w:val="center"/>
          </w:tcPr>
          <w:p w:rsidR="002B59A4" w:rsidRPr="00D128E3" w:rsidRDefault="002B59A4" w:rsidP="002B59A4">
            <w:pPr>
              <w:jc w:val="center"/>
            </w:pPr>
            <w:r w:rsidRPr="00D128E3">
              <w:t>6</w:t>
            </w:r>
          </w:p>
        </w:tc>
        <w:tc>
          <w:tcPr>
            <w:tcW w:w="4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B59A4" w:rsidRPr="00245E6F" w:rsidRDefault="00EC3C0A" w:rsidP="00D128E3">
            <w:pPr>
              <w:jc w:val="center"/>
              <w:rPr>
                <w:highlight w:val="yellow"/>
              </w:rPr>
            </w:pPr>
            <w:r>
              <w:t>2</w:t>
            </w:r>
            <w:r w:rsidR="00177A48" w:rsidRPr="00177A48">
              <w:t>40</w:t>
            </w:r>
          </w:p>
        </w:tc>
      </w:tr>
      <w:tr w:rsidR="00C500DF" w:rsidTr="007F0D2D">
        <w:tc>
          <w:tcPr>
            <w:tcW w:w="271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C500DF" w:rsidP="00B17FBB">
            <w:r w:rsidRPr="00631DFD">
              <w:rPr>
                <w:b/>
                <w:bCs/>
                <w:color w:val="000000"/>
                <w:sz w:val="20"/>
              </w:rPr>
              <w:t>Total</w:t>
            </w:r>
          </w:p>
        </w:tc>
        <w:tc>
          <w:tcPr>
            <w:tcW w:w="66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772E4D" w:rsidP="00631DFD">
            <w:pPr>
              <w:jc w:val="center"/>
            </w:pPr>
            <w:r>
              <w:t>584</w:t>
            </w:r>
          </w:p>
        </w:tc>
        <w:tc>
          <w:tcPr>
            <w:tcW w:w="71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CC02DA" w:rsidP="008F6413">
            <w:pPr>
              <w:jc w:val="center"/>
            </w:pPr>
            <w:proofErr w:type="spellStart"/>
            <w:r w:rsidRPr="00631DFD">
              <w:rPr>
                <w:bCs/>
                <w:sz w:val="20"/>
              </w:rPr>
              <w:t>na</w:t>
            </w:r>
            <w:proofErr w:type="spellEnd"/>
          </w:p>
        </w:tc>
        <w:tc>
          <w:tcPr>
            <w:tcW w:w="475" w:type="pct"/>
            <w:tcBorders>
              <w:top w:val="nil"/>
              <w:left w:val="nil"/>
              <w:bottom w:val="single" w:sz="8" w:space="0" w:color="auto"/>
              <w:right w:val="single" w:sz="8" w:space="0" w:color="auto"/>
            </w:tcBorders>
            <w:vAlign w:val="center"/>
          </w:tcPr>
          <w:p w:rsidR="00C500DF" w:rsidRPr="00631DFD" w:rsidRDefault="00CC02DA" w:rsidP="008F6413">
            <w:pPr>
              <w:jc w:val="center"/>
              <w:rPr>
                <w:bCs/>
                <w:sz w:val="20"/>
              </w:rPr>
            </w:pPr>
            <w:proofErr w:type="spellStart"/>
            <w:r w:rsidRPr="00631DFD">
              <w:rPr>
                <w:bCs/>
                <w:sz w:val="20"/>
              </w:rPr>
              <w:t>na</w:t>
            </w:r>
            <w:proofErr w:type="spellEnd"/>
          </w:p>
        </w:tc>
        <w:tc>
          <w:tcPr>
            <w:tcW w:w="4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7F0D2D" w:rsidP="007F0D2D">
            <w:pPr>
              <w:jc w:val="center"/>
            </w:pPr>
            <w:r>
              <w:t>395</w:t>
            </w:r>
          </w:p>
        </w:tc>
      </w:tr>
    </w:tbl>
    <w:bookmarkEnd w:id="13"/>
    <w:bookmarkEnd w:id="14"/>
    <w:p w:rsidR="00284388" w:rsidRDefault="00DE2225" w:rsidP="002730EB">
      <w:r>
        <w:t> </w:t>
      </w:r>
    </w:p>
    <w:p w:rsidR="00732DFE" w:rsidRDefault="00732DFE" w:rsidP="002730EB"/>
    <w:p w:rsidR="00732DFE" w:rsidRDefault="00732DFE" w:rsidP="002730EB"/>
    <w:p w:rsidR="00DE2225" w:rsidRDefault="00DE2225" w:rsidP="002730EB">
      <w:pPr>
        <w:rPr>
          <w:b/>
        </w:rPr>
      </w:pPr>
      <w:proofErr w:type="gramStart"/>
      <w:r w:rsidRPr="00037998">
        <w:rPr>
          <w:b/>
        </w:rPr>
        <w:t>Exhibit 2.</w:t>
      </w:r>
      <w:proofErr w:type="gramEnd"/>
      <w:r w:rsidRPr="00037998">
        <w:rPr>
          <w:b/>
        </w:rPr>
        <w:t xml:space="preserve">  Estimated annualized cost burden</w:t>
      </w:r>
    </w:p>
    <w:tbl>
      <w:tblPr>
        <w:tblW w:w="0" w:type="auto"/>
        <w:tblInd w:w="108" w:type="dxa"/>
        <w:tblCellMar>
          <w:left w:w="0" w:type="dxa"/>
          <w:right w:w="0" w:type="dxa"/>
        </w:tblCellMar>
        <w:tblLook w:val="0000" w:firstRow="0" w:lastRow="0" w:firstColumn="0" w:lastColumn="0" w:noHBand="0" w:noVBand="0"/>
      </w:tblPr>
      <w:tblGrid>
        <w:gridCol w:w="4066"/>
        <w:gridCol w:w="1328"/>
        <w:gridCol w:w="889"/>
        <w:gridCol w:w="1469"/>
        <w:gridCol w:w="1716"/>
      </w:tblGrid>
      <w:tr w:rsidR="00DE2225" w:rsidTr="008E6AB5">
        <w:tc>
          <w:tcPr>
            <w:tcW w:w="40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Form Name</w:t>
            </w:r>
          </w:p>
        </w:tc>
        <w:tc>
          <w:tcPr>
            <w:tcW w:w="13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Number of respondents</w:t>
            </w:r>
          </w:p>
        </w:tc>
        <w:tc>
          <w:tcPr>
            <w:tcW w:w="8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Total burden hours</w:t>
            </w:r>
          </w:p>
        </w:tc>
        <w:tc>
          <w:tcPr>
            <w:tcW w:w="14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Average hourly wage rate</w:t>
            </w:r>
            <w:r w:rsidR="004F38AC">
              <w:rPr>
                <w:color w:val="000000"/>
                <w:sz w:val="20"/>
              </w:rPr>
              <w:t>*</w:t>
            </w:r>
          </w:p>
        </w:tc>
        <w:tc>
          <w:tcPr>
            <w:tcW w:w="17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3E2A31" w:rsidP="00B17FBB">
            <w:pPr>
              <w:jc w:val="center"/>
            </w:pPr>
            <w:r>
              <w:rPr>
                <w:color w:val="000000"/>
                <w:sz w:val="20"/>
              </w:rPr>
              <w:t xml:space="preserve">Total </w:t>
            </w:r>
            <w:r w:rsidR="00DE2225">
              <w:rPr>
                <w:color w:val="000000"/>
                <w:sz w:val="20"/>
              </w:rPr>
              <w:t>cost burden</w:t>
            </w:r>
          </w:p>
        </w:tc>
      </w:tr>
      <w:tr w:rsidR="008950E4"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3259DF" w:rsidRDefault="003259DF" w:rsidP="008950E4">
            <w:pPr>
              <w:rPr>
                <w:vertAlign w:val="superscript"/>
              </w:rPr>
            </w:pPr>
            <w:r>
              <w:rPr>
                <w:szCs w:val="24"/>
              </w:rPr>
              <w:t>Cognitive interviews</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Default="00E228B6" w:rsidP="006C6D05">
            <w:pPr>
              <w:jc w:val="center"/>
            </w:pPr>
            <w:r>
              <w:t>15</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Default="00C850AA" w:rsidP="006C6D05">
            <w:pPr>
              <w:jc w:val="center"/>
            </w:pPr>
            <w:r>
              <w:t>23</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7C4843" w:rsidRDefault="008A7720" w:rsidP="00E8433B">
            <w:pPr>
              <w:jc w:val="center"/>
              <w:rPr>
                <w:vertAlign w:val="superscript"/>
              </w:rPr>
            </w:pPr>
            <w:r>
              <w:t>$</w:t>
            </w:r>
            <w:r w:rsidR="00E8433B">
              <w:t>46</w:t>
            </w:r>
            <w:r w:rsidR="00A97B17">
              <w:t>.</w:t>
            </w:r>
            <w:r w:rsidR="00E8433B">
              <w:t>52</w:t>
            </w:r>
            <w:r w:rsidR="008950E4" w:rsidRPr="007C4843">
              <w:rPr>
                <w:vertAlign w:val="superscript"/>
              </w:rPr>
              <w:t>a</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7C4843" w:rsidRDefault="008950E4" w:rsidP="00E8433B">
            <w:pPr>
              <w:jc w:val="center"/>
            </w:pPr>
            <w:r w:rsidRPr="007C4843">
              <w:t>$</w:t>
            </w:r>
            <w:r w:rsidR="008F38C9">
              <w:t>1,</w:t>
            </w:r>
            <w:r w:rsidR="00E8433B">
              <w:t>070</w:t>
            </w:r>
          </w:p>
        </w:tc>
      </w:tr>
      <w:tr w:rsidR="008950E4"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765AD7" w:rsidRDefault="008950E4" w:rsidP="008950E4">
            <w:pPr>
              <w:rPr>
                <w:vertAlign w:val="superscript"/>
              </w:rPr>
            </w:pPr>
            <w:r>
              <w:rPr>
                <w:szCs w:val="24"/>
              </w:rPr>
              <w:t xml:space="preserve">Pretest for the </w:t>
            </w:r>
            <w:r w:rsidR="00101147" w:rsidRPr="00D07147">
              <w:rPr>
                <w:szCs w:val="24"/>
              </w:rPr>
              <w:t>Ambulatory Surgery</w:t>
            </w:r>
            <w:r w:rsidR="00101147">
              <w:rPr>
                <w:b/>
                <w:szCs w:val="24"/>
              </w:rPr>
              <w:t xml:space="preserve"> </w:t>
            </w:r>
            <w:r w:rsidR="00101147">
              <w:rPr>
                <w:szCs w:val="24"/>
              </w:rPr>
              <w:t>SOPS</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D128E3" w:rsidRDefault="00E228B6" w:rsidP="006C6D05">
            <w:pPr>
              <w:jc w:val="center"/>
            </w:pPr>
            <w:r>
              <w:t>529</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D128E3" w:rsidRDefault="00E228B6" w:rsidP="006C6D05">
            <w:pPr>
              <w:jc w:val="center"/>
            </w:pPr>
            <w:r>
              <w:t>13</w:t>
            </w:r>
            <w:r w:rsidR="00772BAD">
              <w:t>2</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D128E3" w:rsidRDefault="008950E4" w:rsidP="00E8433B">
            <w:pPr>
              <w:jc w:val="center"/>
              <w:rPr>
                <w:vertAlign w:val="superscript"/>
              </w:rPr>
            </w:pPr>
            <w:r w:rsidRPr="00765AD7">
              <w:t>$</w:t>
            </w:r>
            <w:r w:rsidR="00C43B75">
              <w:t>4</w:t>
            </w:r>
            <w:r w:rsidR="00E8433B">
              <w:t>6.04</w:t>
            </w:r>
            <w:r w:rsidR="0062218A" w:rsidRPr="00765AD7">
              <w:rPr>
                <w:vertAlign w:val="superscript"/>
              </w:rPr>
              <w:t>b</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D128E3" w:rsidRDefault="001042A5" w:rsidP="0087000B">
            <w:pPr>
              <w:jc w:val="center"/>
            </w:pPr>
            <w:r>
              <w:t>$</w:t>
            </w:r>
            <w:r w:rsidR="00C850AA">
              <w:t>6,07</w:t>
            </w:r>
            <w:r w:rsidR="00772BAD">
              <w:t>7</w:t>
            </w:r>
          </w:p>
        </w:tc>
      </w:tr>
      <w:tr w:rsidR="008950E4"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765AD7" w:rsidRDefault="008950E4" w:rsidP="008F6413">
            <w:pPr>
              <w:rPr>
                <w:szCs w:val="24"/>
                <w:vertAlign w:val="superscript"/>
              </w:rPr>
            </w:pPr>
            <w:r>
              <w:rPr>
                <w:szCs w:val="24"/>
              </w:rPr>
              <w:t xml:space="preserve">POC </w:t>
            </w:r>
            <w:r w:rsidRPr="00355DA4">
              <w:rPr>
                <w:szCs w:val="24"/>
              </w:rPr>
              <w:t>Administration of the survey</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D128E3" w:rsidRDefault="008950E4" w:rsidP="006C6D05">
            <w:pPr>
              <w:jc w:val="center"/>
            </w:pPr>
            <w:r w:rsidRPr="00D128E3">
              <w:t>4</w:t>
            </w:r>
            <w:r>
              <w:t>0</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245E6F" w:rsidRDefault="000C1F09" w:rsidP="006C6D05">
            <w:pPr>
              <w:jc w:val="center"/>
              <w:rPr>
                <w:highlight w:val="yellow"/>
              </w:rPr>
            </w:pPr>
            <w:r>
              <w:t>2</w:t>
            </w:r>
            <w:r w:rsidR="008950E4" w:rsidRPr="00177A48">
              <w:t>40</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4536FD" w:rsidRDefault="008950E4" w:rsidP="00263F44">
            <w:pPr>
              <w:jc w:val="center"/>
              <w:rPr>
                <w:vertAlign w:val="superscript"/>
              </w:rPr>
            </w:pPr>
            <w:r>
              <w:t>$</w:t>
            </w:r>
            <w:r w:rsidR="00E8433B">
              <w:t>37.61</w:t>
            </w:r>
            <w:r w:rsidR="0062218A">
              <w:rPr>
                <w:vertAlign w:val="superscript"/>
              </w:rPr>
              <w:t>c</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7C4843" w:rsidRDefault="000C1F09" w:rsidP="0098426C">
            <w:pPr>
              <w:jc w:val="center"/>
            </w:pPr>
            <w:r>
              <w:t>$9,</w:t>
            </w:r>
            <w:r w:rsidR="0098426C">
              <w:t>026</w:t>
            </w:r>
          </w:p>
        </w:tc>
      </w:tr>
      <w:tr w:rsidR="008950E4"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787550" w:rsidRDefault="008950E4" w:rsidP="00B17FBB">
            <w:r w:rsidRPr="00787550">
              <w:rPr>
                <w:b/>
                <w:bCs/>
                <w:color w:val="000000"/>
                <w:sz w:val="20"/>
              </w:rPr>
              <w:t>Total</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631DFD" w:rsidRDefault="00772E4D" w:rsidP="006C6D05">
            <w:pPr>
              <w:jc w:val="center"/>
            </w:pPr>
            <w:r>
              <w:t>584</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631DFD" w:rsidRDefault="00772E4D" w:rsidP="006C6D05">
            <w:pPr>
              <w:jc w:val="center"/>
            </w:pPr>
            <w:r>
              <w:t>395</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787550" w:rsidRDefault="008950E4" w:rsidP="008F6413">
            <w:pPr>
              <w:jc w:val="center"/>
            </w:pPr>
            <w:proofErr w:type="spellStart"/>
            <w:r w:rsidRPr="00787550">
              <w:t>na</w:t>
            </w:r>
            <w:proofErr w:type="spellEnd"/>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950E4" w:rsidRPr="00787550" w:rsidRDefault="001042A5" w:rsidP="00772E4D">
            <w:pPr>
              <w:jc w:val="center"/>
            </w:pPr>
            <w:r>
              <w:t>$</w:t>
            </w:r>
            <w:r w:rsidR="00C850AA">
              <w:t>16,</w:t>
            </w:r>
            <w:r w:rsidR="00772E4D">
              <w:t>173</w:t>
            </w:r>
          </w:p>
        </w:tc>
      </w:tr>
    </w:tbl>
    <w:p w:rsidR="008D2A58" w:rsidRPr="00E14A6A" w:rsidRDefault="00044C55" w:rsidP="008D2A58">
      <w:pPr>
        <w:tabs>
          <w:tab w:val="left" w:pos="180"/>
        </w:tabs>
        <w:ind w:left="180" w:hanging="180"/>
        <w:rPr>
          <w:color w:val="000000"/>
          <w:sz w:val="22"/>
          <w:szCs w:val="22"/>
        </w:rPr>
      </w:pPr>
      <w:r w:rsidRPr="00F46A89">
        <w:rPr>
          <w:color w:val="000000"/>
          <w:sz w:val="22"/>
          <w:szCs w:val="22"/>
          <w:vertAlign w:val="superscript"/>
        </w:rPr>
        <w:t>a</w:t>
      </w:r>
      <w:r w:rsidR="00FD688C" w:rsidRPr="00F46A89">
        <w:rPr>
          <w:color w:val="000000"/>
          <w:sz w:val="22"/>
          <w:szCs w:val="22"/>
        </w:rPr>
        <w:tab/>
      </w:r>
      <w:r w:rsidRPr="003259DF">
        <w:rPr>
          <w:color w:val="000000"/>
          <w:sz w:val="20"/>
        </w:rPr>
        <w:t xml:space="preserve">Based on the weighted average wages for </w:t>
      </w:r>
      <w:r w:rsidR="00A97B17" w:rsidRPr="003259DF">
        <w:rPr>
          <w:color w:val="000000"/>
          <w:sz w:val="20"/>
        </w:rPr>
        <w:t xml:space="preserve">1 </w:t>
      </w:r>
      <w:r w:rsidR="00A97B17" w:rsidRPr="003259DF">
        <w:rPr>
          <w:sz w:val="20"/>
        </w:rPr>
        <w:t>Anesthesiologist (29-1061, $</w:t>
      </w:r>
      <w:r w:rsidR="00A97B17">
        <w:rPr>
          <w:sz w:val="20"/>
        </w:rPr>
        <w:t>108.35</w:t>
      </w:r>
      <w:r w:rsidR="00A97B17" w:rsidRPr="003259DF">
        <w:rPr>
          <w:sz w:val="20"/>
        </w:rPr>
        <w:t>),</w:t>
      </w:r>
      <w:r w:rsidR="00A97B17">
        <w:rPr>
          <w:sz w:val="20"/>
        </w:rPr>
        <w:t xml:space="preserve"> </w:t>
      </w:r>
      <w:r w:rsidR="00C40322" w:rsidRPr="003259DF">
        <w:rPr>
          <w:color w:val="000000"/>
          <w:sz w:val="20"/>
        </w:rPr>
        <w:t>2 Surgeons (29-1067, $106.</w:t>
      </w:r>
      <w:r w:rsidR="009F066D">
        <w:rPr>
          <w:color w:val="000000"/>
          <w:sz w:val="20"/>
        </w:rPr>
        <w:t>48</w:t>
      </w:r>
      <w:r w:rsidR="00C40322" w:rsidRPr="003259DF">
        <w:rPr>
          <w:color w:val="000000"/>
          <w:sz w:val="20"/>
        </w:rPr>
        <w:t xml:space="preserve">), </w:t>
      </w:r>
      <w:r w:rsidR="000B35ED">
        <w:rPr>
          <w:sz w:val="20"/>
        </w:rPr>
        <w:t>2</w:t>
      </w:r>
      <w:r w:rsidR="008D2A58" w:rsidRPr="003259DF">
        <w:rPr>
          <w:sz w:val="20"/>
        </w:rPr>
        <w:t xml:space="preserve"> Administrative</w:t>
      </w:r>
      <w:r w:rsidR="009F066D">
        <w:rPr>
          <w:sz w:val="20"/>
        </w:rPr>
        <w:t xml:space="preserve"> Services Managers (11-3011, $37.61</w:t>
      </w:r>
      <w:r w:rsidR="008D2A58" w:rsidRPr="003259DF">
        <w:rPr>
          <w:sz w:val="20"/>
        </w:rPr>
        <w:t xml:space="preserve">), </w:t>
      </w:r>
      <w:r w:rsidR="000B35ED">
        <w:rPr>
          <w:sz w:val="20"/>
        </w:rPr>
        <w:t>6</w:t>
      </w:r>
      <w:r w:rsidR="00FD688C" w:rsidRPr="003259DF">
        <w:rPr>
          <w:color w:val="000000"/>
          <w:sz w:val="20"/>
        </w:rPr>
        <w:t xml:space="preserve"> </w:t>
      </w:r>
      <w:r w:rsidR="009F066D">
        <w:rPr>
          <w:color w:val="000000"/>
          <w:sz w:val="20"/>
        </w:rPr>
        <w:t>Registered Nurses (29-1141, $34.23</w:t>
      </w:r>
      <w:r w:rsidRPr="003259DF">
        <w:rPr>
          <w:color w:val="000000"/>
          <w:sz w:val="20"/>
        </w:rPr>
        <w:t xml:space="preserve">), </w:t>
      </w:r>
      <w:r w:rsidR="00A97B17">
        <w:rPr>
          <w:color w:val="000000"/>
          <w:sz w:val="20"/>
        </w:rPr>
        <w:t>2</w:t>
      </w:r>
      <w:r w:rsidR="00A97B17" w:rsidRPr="003259DF">
        <w:rPr>
          <w:color w:val="000000"/>
          <w:sz w:val="20"/>
        </w:rPr>
        <w:t xml:space="preserve"> Medical and Clinical Laboratory Technicians (29-</w:t>
      </w:r>
      <w:r w:rsidR="00A97B17">
        <w:rPr>
          <w:color w:val="000000"/>
          <w:sz w:val="20"/>
        </w:rPr>
        <w:t>2030</w:t>
      </w:r>
      <w:r w:rsidR="00A97B17" w:rsidRPr="003259DF">
        <w:rPr>
          <w:color w:val="000000"/>
          <w:sz w:val="20"/>
        </w:rPr>
        <w:t>, $</w:t>
      </w:r>
      <w:r w:rsidR="00A97B17">
        <w:rPr>
          <w:color w:val="000000"/>
          <w:sz w:val="20"/>
        </w:rPr>
        <w:t>28.90</w:t>
      </w:r>
      <w:r w:rsidR="00A97B17" w:rsidRPr="003259DF">
        <w:rPr>
          <w:color w:val="000000"/>
          <w:sz w:val="20"/>
        </w:rPr>
        <w:t>),</w:t>
      </w:r>
      <w:r w:rsidR="00A97B17">
        <w:rPr>
          <w:color w:val="000000"/>
          <w:sz w:val="20"/>
        </w:rPr>
        <w:t xml:space="preserve"> </w:t>
      </w:r>
      <w:r w:rsidR="00AF1559">
        <w:rPr>
          <w:color w:val="000000"/>
          <w:sz w:val="20"/>
        </w:rPr>
        <w:t>1 Licensed Practical or Licensed Vocational Nurse (</w:t>
      </w:r>
      <w:r w:rsidR="000B35ED">
        <w:rPr>
          <w:color w:val="000000"/>
          <w:sz w:val="20"/>
        </w:rPr>
        <w:t>2</w:t>
      </w:r>
      <w:r w:rsidR="00AF1559">
        <w:rPr>
          <w:color w:val="000000"/>
          <w:sz w:val="20"/>
        </w:rPr>
        <w:t xml:space="preserve">9-2061, </w:t>
      </w:r>
      <w:r w:rsidR="009F066D">
        <w:rPr>
          <w:color w:val="000000"/>
          <w:sz w:val="20"/>
        </w:rPr>
        <w:t>$21.17</w:t>
      </w:r>
      <w:r w:rsidR="00AF1559">
        <w:rPr>
          <w:color w:val="000000"/>
          <w:sz w:val="20"/>
        </w:rPr>
        <w:t xml:space="preserve">), </w:t>
      </w:r>
      <w:r w:rsidR="0087000B">
        <w:rPr>
          <w:color w:val="000000"/>
          <w:sz w:val="20"/>
        </w:rPr>
        <w:t xml:space="preserve">and </w:t>
      </w:r>
      <w:r w:rsidR="00AF1559">
        <w:rPr>
          <w:color w:val="000000"/>
          <w:sz w:val="20"/>
        </w:rPr>
        <w:t>1</w:t>
      </w:r>
      <w:r w:rsidR="00E14A6A" w:rsidRPr="003259DF">
        <w:rPr>
          <w:color w:val="000000"/>
          <w:sz w:val="20"/>
        </w:rPr>
        <w:t xml:space="preserve"> Office and Administrative Support Workers, All Other (</w:t>
      </w:r>
      <w:r w:rsidR="00E14A6A" w:rsidRPr="003259DF">
        <w:rPr>
          <w:sz w:val="20"/>
        </w:rPr>
        <w:t>4</w:t>
      </w:r>
      <w:r w:rsidR="00EA7C24">
        <w:rPr>
          <w:sz w:val="20"/>
        </w:rPr>
        <w:t>3-91</w:t>
      </w:r>
      <w:r w:rsidR="00E14A6A" w:rsidRPr="003259DF">
        <w:rPr>
          <w:sz w:val="20"/>
        </w:rPr>
        <w:t>99, $</w:t>
      </w:r>
      <w:r w:rsidR="00EA7C24">
        <w:rPr>
          <w:sz w:val="20"/>
        </w:rPr>
        <w:t>16.92</w:t>
      </w:r>
      <w:r w:rsidR="0087000B">
        <w:rPr>
          <w:sz w:val="20"/>
        </w:rPr>
        <w:t>)</w:t>
      </w:r>
      <w:r w:rsidR="00E14A6A" w:rsidRPr="003259DF">
        <w:rPr>
          <w:sz w:val="20"/>
        </w:rPr>
        <w:t>.</w:t>
      </w:r>
    </w:p>
    <w:p w:rsidR="008D2A58" w:rsidRPr="00FB14F6" w:rsidRDefault="00FB14F6" w:rsidP="008D2A58">
      <w:pPr>
        <w:tabs>
          <w:tab w:val="left" w:pos="180"/>
        </w:tabs>
        <w:ind w:left="180" w:hanging="180"/>
        <w:rPr>
          <w:color w:val="000000"/>
          <w:sz w:val="22"/>
          <w:szCs w:val="22"/>
        </w:rPr>
      </w:pPr>
      <w:proofErr w:type="gramStart"/>
      <w:r>
        <w:rPr>
          <w:color w:val="000000"/>
          <w:sz w:val="22"/>
          <w:szCs w:val="22"/>
          <w:vertAlign w:val="superscript"/>
        </w:rPr>
        <w:t>b</w:t>
      </w:r>
      <w:r>
        <w:rPr>
          <w:color w:val="000000"/>
          <w:sz w:val="22"/>
          <w:szCs w:val="22"/>
        </w:rPr>
        <w:t xml:space="preserve">  </w:t>
      </w:r>
      <w:r w:rsidR="005464C9" w:rsidRPr="003259DF">
        <w:rPr>
          <w:color w:val="000000"/>
          <w:sz w:val="20"/>
        </w:rPr>
        <w:t>Based</w:t>
      </w:r>
      <w:proofErr w:type="gramEnd"/>
      <w:r w:rsidR="005464C9" w:rsidRPr="003259DF">
        <w:rPr>
          <w:color w:val="000000"/>
          <w:sz w:val="20"/>
        </w:rPr>
        <w:t xml:space="preserve"> on the weighted average wages for</w:t>
      </w:r>
      <w:r w:rsidR="005464C9">
        <w:rPr>
          <w:color w:val="000000"/>
          <w:sz w:val="20"/>
        </w:rPr>
        <w:t xml:space="preserve"> </w:t>
      </w:r>
      <w:r w:rsidR="00E8433B">
        <w:rPr>
          <w:color w:val="000000"/>
          <w:sz w:val="20"/>
        </w:rPr>
        <w:t>150</w:t>
      </w:r>
      <w:r w:rsidR="00E228B6">
        <w:rPr>
          <w:color w:val="000000"/>
          <w:sz w:val="20"/>
        </w:rPr>
        <w:t xml:space="preserve"> </w:t>
      </w:r>
      <w:r w:rsidR="00E228B6" w:rsidRPr="003259DF">
        <w:rPr>
          <w:color w:val="000000"/>
          <w:sz w:val="20"/>
        </w:rPr>
        <w:t>Registered Nurses</w:t>
      </w:r>
      <w:r w:rsidR="00E228B6">
        <w:rPr>
          <w:color w:val="000000"/>
          <w:sz w:val="20"/>
        </w:rPr>
        <w:t xml:space="preserve">, </w:t>
      </w:r>
      <w:r w:rsidR="008F38C9">
        <w:rPr>
          <w:color w:val="000000"/>
          <w:sz w:val="20"/>
        </w:rPr>
        <w:t>85</w:t>
      </w:r>
      <w:r w:rsidR="00C65500">
        <w:rPr>
          <w:color w:val="000000"/>
          <w:sz w:val="20"/>
        </w:rPr>
        <w:t xml:space="preserve"> </w:t>
      </w:r>
      <w:r w:rsidR="00C65500" w:rsidRPr="003259DF">
        <w:rPr>
          <w:color w:val="000000"/>
          <w:sz w:val="20"/>
        </w:rPr>
        <w:t>Office and Administrative Support Workers</w:t>
      </w:r>
      <w:r w:rsidR="00C65500">
        <w:rPr>
          <w:color w:val="000000"/>
          <w:sz w:val="20"/>
        </w:rPr>
        <w:t xml:space="preserve">, </w:t>
      </w:r>
      <w:r w:rsidR="008F38C9">
        <w:rPr>
          <w:color w:val="000000"/>
          <w:sz w:val="20"/>
        </w:rPr>
        <w:t>85</w:t>
      </w:r>
      <w:r w:rsidR="00C65500">
        <w:rPr>
          <w:color w:val="000000"/>
          <w:sz w:val="20"/>
        </w:rPr>
        <w:t xml:space="preserve"> </w:t>
      </w:r>
      <w:r w:rsidR="00C65500" w:rsidRPr="003259DF">
        <w:rPr>
          <w:color w:val="000000"/>
          <w:sz w:val="20"/>
        </w:rPr>
        <w:t>Medical and Clinical Laboratory Technicians</w:t>
      </w:r>
      <w:r w:rsidR="00C65500">
        <w:rPr>
          <w:color w:val="000000"/>
          <w:sz w:val="20"/>
        </w:rPr>
        <w:t xml:space="preserve">, </w:t>
      </w:r>
      <w:r w:rsidR="00E228B6">
        <w:rPr>
          <w:color w:val="000000"/>
          <w:sz w:val="20"/>
        </w:rPr>
        <w:t xml:space="preserve"> 70</w:t>
      </w:r>
      <w:r w:rsidR="00B75F4D">
        <w:rPr>
          <w:color w:val="000000"/>
          <w:sz w:val="20"/>
        </w:rPr>
        <w:t xml:space="preserve"> S</w:t>
      </w:r>
      <w:r w:rsidR="005464C9">
        <w:rPr>
          <w:color w:val="000000"/>
          <w:sz w:val="20"/>
        </w:rPr>
        <w:t>urgeons,</w:t>
      </w:r>
      <w:r w:rsidR="00E8433B">
        <w:rPr>
          <w:color w:val="000000"/>
          <w:sz w:val="20"/>
        </w:rPr>
        <w:t xml:space="preserve"> 50 Licensed Practical/Vocational Nurses, </w:t>
      </w:r>
      <w:r w:rsidR="00C43B75">
        <w:rPr>
          <w:color w:val="000000"/>
          <w:sz w:val="20"/>
        </w:rPr>
        <w:t xml:space="preserve">49 </w:t>
      </w:r>
      <w:r w:rsidR="00C43B75">
        <w:rPr>
          <w:sz w:val="20"/>
        </w:rPr>
        <w:t xml:space="preserve">Anesthesiologists, and </w:t>
      </w:r>
      <w:r w:rsidR="00C43B75">
        <w:rPr>
          <w:color w:val="000000"/>
          <w:sz w:val="20"/>
        </w:rPr>
        <w:t xml:space="preserve">40 </w:t>
      </w:r>
      <w:r w:rsidR="00C43B75" w:rsidRPr="003259DF">
        <w:rPr>
          <w:sz w:val="20"/>
        </w:rPr>
        <w:t>Administrative Services Managers</w:t>
      </w:r>
      <w:r w:rsidR="00C43B75">
        <w:rPr>
          <w:sz w:val="20"/>
        </w:rPr>
        <w:t>.</w:t>
      </w:r>
      <w:r w:rsidR="005464C9">
        <w:rPr>
          <w:color w:val="000000"/>
          <w:sz w:val="20"/>
        </w:rPr>
        <w:t xml:space="preserve"> </w:t>
      </w:r>
    </w:p>
    <w:p w:rsidR="00044C55" w:rsidRPr="00263F44" w:rsidRDefault="00263F44" w:rsidP="008D2A58">
      <w:pPr>
        <w:tabs>
          <w:tab w:val="left" w:pos="180"/>
        </w:tabs>
        <w:ind w:left="180" w:hanging="180"/>
        <w:rPr>
          <w:sz w:val="20"/>
        </w:rPr>
      </w:pPr>
      <w:proofErr w:type="gramStart"/>
      <w:r w:rsidRPr="00263F44">
        <w:rPr>
          <w:sz w:val="20"/>
          <w:vertAlign w:val="superscript"/>
        </w:rPr>
        <w:t>c</w:t>
      </w:r>
      <w:r>
        <w:rPr>
          <w:sz w:val="20"/>
        </w:rPr>
        <w:t xml:space="preserve">  </w:t>
      </w:r>
      <w:r w:rsidR="0062218A" w:rsidRPr="00263F44">
        <w:rPr>
          <w:sz w:val="20"/>
        </w:rPr>
        <w:t>Based</w:t>
      </w:r>
      <w:proofErr w:type="gramEnd"/>
      <w:r w:rsidR="0062218A" w:rsidRPr="00263F44">
        <w:rPr>
          <w:sz w:val="20"/>
        </w:rPr>
        <w:t xml:space="preserve"> on the </w:t>
      </w:r>
      <w:r w:rsidR="0062218A" w:rsidRPr="00263F44">
        <w:rPr>
          <w:color w:val="000000"/>
          <w:sz w:val="20"/>
        </w:rPr>
        <w:t xml:space="preserve">on the average wages for </w:t>
      </w:r>
      <w:r w:rsidR="0062218A" w:rsidRPr="00263F44">
        <w:rPr>
          <w:sz w:val="20"/>
        </w:rPr>
        <w:t>1 Administrative Services Managers</w:t>
      </w:r>
      <w:r w:rsidRPr="00263F44">
        <w:rPr>
          <w:sz w:val="20"/>
        </w:rPr>
        <w:t xml:space="preserve">. </w:t>
      </w:r>
    </w:p>
    <w:p w:rsidR="00A26158" w:rsidRPr="00263F44" w:rsidRDefault="007A3C50" w:rsidP="00ED73F2">
      <w:pPr>
        <w:tabs>
          <w:tab w:val="left" w:pos="180"/>
        </w:tabs>
        <w:ind w:left="180" w:hanging="180"/>
        <w:rPr>
          <w:sz w:val="20"/>
        </w:rPr>
      </w:pPr>
      <w:r w:rsidRPr="00263F44">
        <w:rPr>
          <w:color w:val="000000"/>
          <w:sz w:val="20"/>
        </w:rPr>
        <w:t xml:space="preserve">* </w:t>
      </w:r>
      <w:r w:rsidR="001F7EFF" w:rsidRPr="00263F44">
        <w:rPr>
          <w:color w:val="000000"/>
          <w:sz w:val="20"/>
        </w:rPr>
        <w:t>National Occupational Employment and Wage Estimates in the United States, May 201</w:t>
      </w:r>
      <w:r w:rsidR="0098426C">
        <w:rPr>
          <w:color w:val="000000"/>
          <w:sz w:val="20"/>
        </w:rPr>
        <w:t>2</w:t>
      </w:r>
      <w:r w:rsidR="001F7EFF" w:rsidRPr="00263F44">
        <w:rPr>
          <w:color w:val="000000"/>
          <w:sz w:val="20"/>
        </w:rPr>
        <w:t xml:space="preserve">, “U.S. Department of Labor, Bureau of Labor Statistics” (available at </w:t>
      </w:r>
      <w:hyperlink r:id="rId11" w:history="1">
        <w:r w:rsidR="00ED73F2" w:rsidRPr="00263F44">
          <w:rPr>
            <w:rStyle w:val="Hyperlink"/>
            <w:sz w:val="20"/>
          </w:rPr>
          <w:t>http://www.bls.gov/oes/current/naics4_621400.htm</w:t>
        </w:r>
      </w:hyperlink>
      <w:r w:rsidR="00ED73F2" w:rsidRPr="00263F44">
        <w:rPr>
          <w:sz w:val="20"/>
        </w:rPr>
        <w:t xml:space="preserve"> </w:t>
      </w:r>
      <w:r w:rsidRPr="00263F44">
        <w:rPr>
          <w:sz w:val="20"/>
        </w:rPr>
        <w:t xml:space="preserve">[for </w:t>
      </w:r>
      <w:r w:rsidR="00C66504" w:rsidRPr="00263F44">
        <w:rPr>
          <w:sz w:val="20"/>
        </w:rPr>
        <w:t>outpatient care setting]</w:t>
      </w:r>
    </w:p>
    <w:p w:rsidR="001F7EFF" w:rsidRPr="00044C55" w:rsidRDefault="001F7EFF" w:rsidP="006A5BC3">
      <w:pPr>
        <w:rPr>
          <w:color w:val="000000"/>
          <w:sz w:val="22"/>
          <w:szCs w:val="22"/>
        </w:rPr>
      </w:pPr>
    </w:p>
    <w:p w:rsidR="00BC4EC9" w:rsidRPr="00C84834" w:rsidRDefault="00BC4EC9" w:rsidP="00BC4EC9">
      <w:pPr>
        <w:pStyle w:val="Heading2"/>
        <w:rPr>
          <w:color w:val="auto"/>
          <w:sz w:val="24"/>
          <w:szCs w:val="24"/>
        </w:rPr>
      </w:pPr>
      <w:bookmarkStart w:id="15" w:name="_Toc358273849"/>
      <w:r w:rsidRPr="00C84834">
        <w:rPr>
          <w:color w:val="auto"/>
          <w:sz w:val="24"/>
          <w:szCs w:val="24"/>
        </w:rPr>
        <w:t xml:space="preserve">13.  </w:t>
      </w:r>
      <w:r w:rsidRPr="00C84834">
        <w:rPr>
          <w:color w:val="auto"/>
          <w:sz w:val="24"/>
          <w:szCs w:val="24"/>
          <w:u w:val="single"/>
        </w:rPr>
        <w:t>Estimates of Annualized Respondent Capital and Maintenance Costs</w:t>
      </w:r>
      <w:bookmarkEnd w:id="15"/>
    </w:p>
    <w:p w:rsidR="00BC4EC9" w:rsidRPr="00C84834" w:rsidRDefault="00BC4EC9" w:rsidP="00BC4EC9">
      <w:pPr>
        <w:rPr>
          <w:szCs w:val="24"/>
        </w:rPr>
      </w:pPr>
    </w:p>
    <w:p w:rsidR="00A33F0D" w:rsidRDefault="00BC4EC9" w:rsidP="00BC4EC9">
      <w:r w:rsidRPr="00C84834">
        <w:t>Capital and maintenance costs include the purchase of equipment, computers or computer software or services, or storage facilities for records, as a result of comply</w:t>
      </w:r>
      <w:r w:rsidR="003E2A31">
        <w:t xml:space="preserve">ing with this data collection. </w:t>
      </w:r>
      <w:r w:rsidRPr="00C84834">
        <w:t xml:space="preserve">The only cost to the respondent will be that associated with their time to respond to the information collection, as shown in Exhibit </w:t>
      </w:r>
      <w:r w:rsidR="00DF035D">
        <w:t>2</w:t>
      </w:r>
      <w:r w:rsidRPr="00C84834">
        <w:t xml:space="preserve">. </w:t>
      </w:r>
    </w:p>
    <w:p w:rsidR="00BC4EC9" w:rsidRPr="005715A8" w:rsidRDefault="00BC4EC9" w:rsidP="005715A8">
      <w:pPr>
        <w:pStyle w:val="Heading2"/>
        <w:rPr>
          <w:color w:val="auto"/>
          <w:sz w:val="24"/>
          <w:szCs w:val="24"/>
        </w:rPr>
      </w:pPr>
      <w:bookmarkStart w:id="16" w:name="_Toc358273850"/>
      <w:r w:rsidRPr="005715A8">
        <w:rPr>
          <w:color w:val="auto"/>
          <w:sz w:val="24"/>
          <w:szCs w:val="24"/>
        </w:rPr>
        <w:t xml:space="preserve">14.  </w:t>
      </w:r>
      <w:r w:rsidRPr="005715A8">
        <w:rPr>
          <w:color w:val="auto"/>
          <w:sz w:val="24"/>
          <w:szCs w:val="24"/>
          <w:u w:val="single"/>
        </w:rPr>
        <w:t>Estimates of Annualized Cost to the Government</w:t>
      </w:r>
      <w:bookmarkEnd w:id="16"/>
    </w:p>
    <w:p w:rsidR="00BC4EC9" w:rsidRPr="00C84834" w:rsidRDefault="00BC4EC9" w:rsidP="00BC4EC9">
      <w:pPr>
        <w:rPr>
          <w:szCs w:val="24"/>
        </w:rPr>
      </w:pPr>
    </w:p>
    <w:p w:rsidR="00BC4EC9" w:rsidRPr="00E07F76" w:rsidRDefault="00BC4EC9" w:rsidP="00BC4EC9">
      <w:pPr>
        <w:rPr>
          <w:szCs w:val="24"/>
        </w:rPr>
      </w:pPr>
      <w:r w:rsidRPr="00C84834">
        <w:rPr>
          <w:szCs w:val="24"/>
        </w:rPr>
        <w:t xml:space="preserve">Exhibit </w:t>
      </w:r>
      <w:r w:rsidR="00276BCF">
        <w:rPr>
          <w:szCs w:val="24"/>
        </w:rPr>
        <w:t>3</w:t>
      </w:r>
      <w:r w:rsidRPr="00C84834">
        <w:rPr>
          <w:szCs w:val="24"/>
        </w:rPr>
        <w:t xml:space="preserve"> shows </w:t>
      </w:r>
      <w:r w:rsidRPr="00E07F76">
        <w:rPr>
          <w:szCs w:val="24"/>
        </w:rPr>
        <w:t xml:space="preserve">the estimated total and annualized cost </w:t>
      </w:r>
      <w:r w:rsidR="00276BCF" w:rsidRPr="00E07F76">
        <w:rPr>
          <w:szCs w:val="24"/>
        </w:rPr>
        <w:t>to the government for this data collection.</w:t>
      </w:r>
      <w:r w:rsidR="003E2A31" w:rsidRPr="00E07F76">
        <w:rPr>
          <w:szCs w:val="24"/>
        </w:rPr>
        <w:t xml:space="preserve"> </w:t>
      </w:r>
      <w:r w:rsidR="00DF035D">
        <w:rPr>
          <w:szCs w:val="24"/>
        </w:rPr>
        <w:t xml:space="preserve">Since data collection will last </w:t>
      </w:r>
      <w:r w:rsidR="0011786B">
        <w:rPr>
          <w:szCs w:val="24"/>
        </w:rPr>
        <w:t>for a</w:t>
      </w:r>
      <w:r w:rsidR="00261316">
        <w:rPr>
          <w:szCs w:val="24"/>
        </w:rPr>
        <w:t xml:space="preserve"> year at most, the annualized and total costs are the same.</w:t>
      </w:r>
      <w:r w:rsidR="003E2A31" w:rsidRPr="00E07F76">
        <w:rPr>
          <w:szCs w:val="24"/>
        </w:rPr>
        <w:t xml:space="preserve"> </w:t>
      </w:r>
      <w:r w:rsidRPr="00E07F76">
        <w:rPr>
          <w:szCs w:val="24"/>
        </w:rPr>
        <w:t>The total cost for th</w:t>
      </w:r>
      <w:r w:rsidR="00866E55" w:rsidRPr="00E07F76">
        <w:rPr>
          <w:szCs w:val="24"/>
        </w:rPr>
        <w:t xml:space="preserve">e </w:t>
      </w:r>
      <w:r w:rsidR="000A777D" w:rsidRPr="00E07F76">
        <w:rPr>
          <w:szCs w:val="24"/>
        </w:rPr>
        <w:t>survey</w:t>
      </w:r>
      <w:r w:rsidR="00866E55" w:rsidRPr="00E07F76">
        <w:rPr>
          <w:szCs w:val="24"/>
        </w:rPr>
        <w:t xml:space="preserve"> is approximately is </w:t>
      </w:r>
      <w:r w:rsidRPr="00E07F76">
        <w:rPr>
          <w:szCs w:val="24"/>
        </w:rPr>
        <w:t>$</w:t>
      </w:r>
      <w:r w:rsidR="00E56919" w:rsidRPr="00E07F76">
        <w:rPr>
          <w:szCs w:val="24"/>
        </w:rPr>
        <w:t>431</w:t>
      </w:r>
      <w:r w:rsidR="00BE02F9" w:rsidRPr="00E07F76">
        <w:rPr>
          <w:szCs w:val="24"/>
        </w:rPr>
        <w:t>,</w:t>
      </w:r>
      <w:r w:rsidR="00E56919" w:rsidRPr="00E07F76">
        <w:rPr>
          <w:szCs w:val="24"/>
        </w:rPr>
        <w:t>000</w:t>
      </w:r>
      <w:r w:rsidRPr="00E07F76">
        <w:rPr>
          <w:szCs w:val="24"/>
        </w:rPr>
        <w:t xml:space="preserve">. </w:t>
      </w:r>
    </w:p>
    <w:p w:rsidR="00FB14F6" w:rsidRDefault="00FB14F6" w:rsidP="00BC4EC9">
      <w:pPr>
        <w:rPr>
          <w:szCs w:val="24"/>
        </w:rPr>
      </w:pPr>
    </w:p>
    <w:p w:rsidR="0011786B" w:rsidRDefault="0011786B" w:rsidP="00BC4EC9">
      <w:pPr>
        <w:rPr>
          <w:szCs w:val="24"/>
        </w:rPr>
      </w:pPr>
    </w:p>
    <w:p w:rsidR="0011786B" w:rsidRDefault="0011786B" w:rsidP="00BC4EC9">
      <w:pPr>
        <w:rPr>
          <w:szCs w:val="24"/>
        </w:rPr>
      </w:pPr>
    </w:p>
    <w:p w:rsidR="0011786B" w:rsidRPr="00E07F76" w:rsidRDefault="0011786B" w:rsidP="00BC4EC9">
      <w:pPr>
        <w:rPr>
          <w:szCs w:val="24"/>
        </w:rPr>
      </w:pPr>
    </w:p>
    <w:p w:rsidR="00276BCF" w:rsidRPr="00E07F76" w:rsidRDefault="00276BCF" w:rsidP="00BC4EC9">
      <w:pPr>
        <w:rPr>
          <w:szCs w:val="24"/>
        </w:rPr>
      </w:pPr>
      <w:proofErr w:type="gramStart"/>
      <w:r w:rsidRPr="00E07F76">
        <w:rPr>
          <w:szCs w:val="24"/>
        </w:rPr>
        <w:t>Exhibit 3.</w:t>
      </w:r>
      <w:proofErr w:type="gramEnd"/>
      <w:r w:rsidRPr="00E07F76">
        <w:rPr>
          <w:szCs w:val="24"/>
        </w:rPr>
        <w:t xml:space="preserve">  Estimated Total and Annualized Cost</w:t>
      </w:r>
    </w:p>
    <w:tbl>
      <w:tblPr>
        <w:tblW w:w="7452" w:type="dxa"/>
        <w:tblInd w:w="93" w:type="dxa"/>
        <w:tblLook w:val="04A0" w:firstRow="1" w:lastRow="0" w:firstColumn="1" w:lastColumn="0" w:noHBand="0" w:noVBand="1"/>
      </w:tblPr>
      <w:tblGrid>
        <w:gridCol w:w="4032"/>
        <w:gridCol w:w="1440"/>
        <w:gridCol w:w="1980"/>
      </w:tblGrid>
      <w:tr w:rsidR="00276BCF" w:rsidRPr="00E07F76" w:rsidTr="00B74BFD">
        <w:trPr>
          <w:trHeight w:val="274"/>
        </w:trPr>
        <w:tc>
          <w:tcPr>
            <w:tcW w:w="40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6BCF" w:rsidRPr="00E07F76" w:rsidRDefault="00276BCF" w:rsidP="000F3691">
            <w:pPr>
              <w:rPr>
                <w:b/>
                <w:bCs/>
                <w:color w:val="000000"/>
                <w:szCs w:val="24"/>
              </w:rPr>
            </w:pPr>
            <w:r w:rsidRPr="00E07F76">
              <w:rPr>
                <w:b/>
                <w:bCs/>
                <w:color w:val="000000"/>
                <w:szCs w:val="24"/>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276BCF" w:rsidRPr="00E07F76" w:rsidRDefault="00276BCF" w:rsidP="000F3691">
            <w:pPr>
              <w:rPr>
                <w:b/>
                <w:bCs/>
                <w:color w:val="000000"/>
                <w:szCs w:val="24"/>
              </w:rPr>
            </w:pPr>
            <w:r w:rsidRPr="00E07F76">
              <w:rPr>
                <w:b/>
                <w:bCs/>
                <w:color w:val="000000"/>
                <w:szCs w:val="24"/>
              </w:rPr>
              <w:t>Total Cost</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276BCF" w:rsidRPr="00E07F76" w:rsidRDefault="00276BCF" w:rsidP="000F3691">
            <w:pPr>
              <w:rPr>
                <w:b/>
                <w:bCs/>
                <w:color w:val="000000"/>
                <w:szCs w:val="24"/>
              </w:rPr>
            </w:pPr>
            <w:r w:rsidRPr="00E07F76">
              <w:rPr>
                <w:b/>
                <w:bCs/>
                <w:color w:val="000000"/>
                <w:szCs w:val="24"/>
              </w:rPr>
              <w:t>Annualized Cost</w:t>
            </w:r>
          </w:p>
        </w:tc>
      </w:tr>
      <w:tr w:rsidR="0040457D" w:rsidRPr="00E07F76" w:rsidTr="00824619">
        <w:trPr>
          <w:trHeight w:val="274"/>
        </w:trPr>
        <w:tc>
          <w:tcPr>
            <w:tcW w:w="4032" w:type="dxa"/>
            <w:tcBorders>
              <w:top w:val="nil"/>
              <w:left w:val="single" w:sz="8" w:space="0" w:color="auto"/>
              <w:bottom w:val="single" w:sz="8" w:space="0" w:color="auto"/>
              <w:right w:val="single" w:sz="8" w:space="0" w:color="auto"/>
            </w:tcBorders>
            <w:shd w:val="clear" w:color="auto" w:fill="auto"/>
            <w:vAlign w:val="center"/>
            <w:hideMark/>
          </w:tcPr>
          <w:p w:rsidR="0040457D" w:rsidRPr="00E07F76" w:rsidRDefault="00496F2D" w:rsidP="000F3691">
            <w:pPr>
              <w:rPr>
                <w:color w:val="000000"/>
                <w:szCs w:val="24"/>
              </w:rPr>
            </w:pPr>
            <w:r w:rsidRPr="00E07F76">
              <w:rPr>
                <w:color w:val="000000"/>
                <w:szCs w:val="24"/>
              </w:rPr>
              <w:t>Survey</w:t>
            </w:r>
            <w:r w:rsidR="0040457D" w:rsidRPr="00E07F76">
              <w:rPr>
                <w:color w:val="000000"/>
                <w:szCs w:val="24"/>
              </w:rPr>
              <w:t xml:space="preserve"> Development</w:t>
            </w:r>
          </w:p>
        </w:tc>
        <w:tc>
          <w:tcPr>
            <w:tcW w:w="1440" w:type="dxa"/>
            <w:tcBorders>
              <w:top w:val="nil"/>
              <w:left w:val="nil"/>
              <w:bottom w:val="single" w:sz="8" w:space="0" w:color="auto"/>
              <w:right w:val="single" w:sz="8" w:space="0" w:color="auto"/>
            </w:tcBorders>
            <w:shd w:val="clear" w:color="auto" w:fill="auto"/>
          </w:tcPr>
          <w:p w:rsidR="0040457D" w:rsidRPr="00E07F76" w:rsidRDefault="00E56919" w:rsidP="00496F2D">
            <w:pPr>
              <w:jc w:val="right"/>
            </w:pPr>
            <w:r w:rsidRPr="00E07F76">
              <w:t>$142,600</w:t>
            </w:r>
          </w:p>
        </w:tc>
        <w:tc>
          <w:tcPr>
            <w:tcW w:w="1980" w:type="dxa"/>
            <w:tcBorders>
              <w:top w:val="nil"/>
              <w:left w:val="nil"/>
              <w:bottom w:val="single" w:sz="8" w:space="0" w:color="auto"/>
              <w:right w:val="single" w:sz="8" w:space="0" w:color="auto"/>
            </w:tcBorders>
            <w:shd w:val="clear" w:color="auto" w:fill="auto"/>
          </w:tcPr>
          <w:p w:rsidR="0040457D" w:rsidRPr="00E07F76" w:rsidRDefault="00DF035D" w:rsidP="0040457D">
            <w:pPr>
              <w:jc w:val="right"/>
            </w:pPr>
            <w:r w:rsidRPr="00E07F76">
              <w:t>$142,600</w:t>
            </w:r>
          </w:p>
        </w:tc>
      </w:tr>
      <w:tr w:rsidR="0040457D" w:rsidRPr="00E07F76" w:rsidTr="00824619">
        <w:trPr>
          <w:trHeight w:val="274"/>
        </w:trPr>
        <w:tc>
          <w:tcPr>
            <w:tcW w:w="4032" w:type="dxa"/>
            <w:tcBorders>
              <w:top w:val="nil"/>
              <w:left w:val="single" w:sz="8" w:space="0" w:color="auto"/>
              <w:bottom w:val="single" w:sz="8" w:space="0" w:color="auto"/>
              <w:right w:val="single" w:sz="8" w:space="0" w:color="auto"/>
            </w:tcBorders>
            <w:shd w:val="clear" w:color="auto" w:fill="auto"/>
            <w:vAlign w:val="center"/>
            <w:hideMark/>
          </w:tcPr>
          <w:p w:rsidR="0040457D" w:rsidRPr="00E07F76" w:rsidRDefault="0040457D" w:rsidP="00E56919">
            <w:pPr>
              <w:rPr>
                <w:color w:val="000000"/>
                <w:szCs w:val="24"/>
              </w:rPr>
            </w:pPr>
            <w:r w:rsidRPr="00E07F76">
              <w:rPr>
                <w:color w:val="000000"/>
                <w:szCs w:val="24"/>
              </w:rPr>
              <w:t>Data Collection Activities</w:t>
            </w:r>
          </w:p>
        </w:tc>
        <w:tc>
          <w:tcPr>
            <w:tcW w:w="1440" w:type="dxa"/>
            <w:tcBorders>
              <w:top w:val="nil"/>
              <w:left w:val="nil"/>
              <w:bottom w:val="single" w:sz="8" w:space="0" w:color="auto"/>
              <w:right w:val="single" w:sz="8" w:space="0" w:color="auto"/>
            </w:tcBorders>
            <w:shd w:val="clear" w:color="auto" w:fill="auto"/>
          </w:tcPr>
          <w:p w:rsidR="0040457D" w:rsidRPr="00E07F76" w:rsidRDefault="00E56919" w:rsidP="00B74BFD">
            <w:pPr>
              <w:jc w:val="right"/>
            </w:pPr>
            <w:r w:rsidRPr="00E07F76">
              <w:t>$55,800</w:t>
            </w:r>
          </w:p>
        </w:tc>
        <w:tc>
          <w:tcPr>
            <w:tcW w:w="1980" w:type="dxa"/>
            <w:tcBorders>
              <w:top w:val="nil"/>
              <w:left w:val="nil"/>
              <w:bottom w:val="single" w:sz="8" w:space="0" w:color="auto"/>
              <w:right w:val="single" w:sz="8" w:space="0" w:color="auto"/>
            </w:tcBorders>
            <w:shd w:val="clear" w:color="auto" w:fill="auto"/>
          </w:tcPr>
          <w:p w:rsidR="0040457D" w:rsidRPr="00E07F76" w:rsidRDefault="00DF035D" w:rsidP="00BE02F9">
            <w:pPr>
              <w:jc w:val="right"/>
            </w:pPr>
            <w:r w:rsidRPr="00E07F76">
              <w:t>$55,800</w:t>
            </w:r>
          </w:p>
        </w:tc>
      </w:tr>
      <w:tr w:rsidR="00E56919" w:rsidRPr="00E07F76" w:rsidTr="00824619">
        <w:trPr>
          <w:trHeight w:val="274"/>
        </w:trPr>
        <w:tc>
          <w:tcPr>
            <w:tcW w:w="4032" w:type="dxa"/>
            <w:tcBorders>
              <w:top w:val="nil"/>
              <w:left w:val="single" w:sz="8" w:space="0" w:color="auto"/>
              <w:bottom w:val="single" w:sz="8" w:space="0" w:color="auto"/>
              <w:right w:val="single" w:sz="8" w:space="0" w:color="auto"/>
            </w:tcBorders>
            <w:shd w:val="clear" w:color="auto" w:fill="auto"/>
            <w:vAlign w:val="center"/>
          </w:tcPr>
          <w:p w:rsidR="00E56919" w:rsidRPr="00E07F76" w:rsidRDefault="00E56919" w:rsidP="000F3691">
            <w:pPr>
              <w:rPr>
                <w:color w:val="000000"/>
                <w:szCs w:val="24"/>
              </w:rPr>
            </w:pPr>
            <w:r w:rsidRPr="00E07F76">
              <w:rPr>
                <w:color w:val="000000"/>
                <w:szCs w:val="24"/>
              </w:rPr>
              <w:t>Data Collection Analysis</w:t>
            </w:r>
          </w:p>
        </w:tc>
        <w:tc>
          <w:tcPr>
            <w:tcW w:w="1440" w:type="dxa"/>
            <w:tcBorders>
              <w:top w:val="nil"/>
              <w:left w:val="nil"/>
              <w:bottom w:val="single" w:sz="8" w:space="0" w:color="auto"/>
              <w:right w:val="single" w:sz="8" w:space="0" w:color="auto"/>
            </w:tcBorders>
            <w:shd w:val="clear" w:color="auto" w:fill="auto"/>
          </w:tcPr>
          <w:p w:rsidR="00E56919" w:rsidRPr="00E07F76" w:rsidRDefault="00E56919" w:rsidP="00B74BFD">
            <w:pPr>
              <w:jc w:val="right"/>
            </w:pPr>
            <w:r w:rsidRPr="00E07F76">
              <w:t>$55,800</w:t>
            </w:r>
          </w:p>
        </w:tc>
        <w:tc>
          <w:tcPr>
            <w:tcW w:w="1980" w:type="dxa"/>
            <w:tcBorders>
              <w:top w:val="nil"/>
              <w:left w:val="nil"/>
              <w:bottom w:val="single" w:sz="8" w:space="0" w:color="auto"/>
              <w:right w:val="single" w:sz="8" w:space="0" w:color="auto"/>
            </w:tcBorders>
            <w:shd w:val="clear" w:color="auto" w:fill="auto"/>
          </w:tcPr>
          <w:p w:rsidR="00E56919" w:rsidRPr="00E07F76" w:rsidRDefault="00DF035D" w:rsidP="00BE02F9">
            <w:pPr>
              <w:jc w:val="right"/>
            </w:pPr>
            <w:r w:rsidRPr="00E07F76">
              <w:t>$55,800</w:t>
            </w:r>
          </w:p>
        </w:tc>
      </w:tr>
      <w:tr w:rsidR="0040457D" w:rsidRPr="00E07F76" w:rsidTr="00824619">
        <w:trPr>
          <w:trHeight w:val="274"/>
        </w:trPr>
        <w:tc>
          <w:tcPr>
            <w:tcW w:w="4032" w:type="dxa"/>
            <w:tcBorders>
              <w:top w:val="nil"/>
              <w:left w:val="single" w:sz="8" w:space="0" w:color="auto"/>
              <w:bottom w:val="single" w:sz="8" w:space="0" w:color="auto"/>
              <w:right w:val="single" w:sz="8" w:space="0" w:color="auto"/>
            </w:tcBorders>
            <w:shd w:val="clear" w:color="auto" w:fill="auto"/>
            <w:vAlign w:val="center"/>
            <w:hideMark/>
          </w:tcPr>
          <w:p w:rsidR="0040457D" w:rsidRPr="00E07F76" w:rsidRDefault="0040457D" w:rsidP="000F3691">
            <w:pPr>
              <w:rPr>
                <w:color w:val="000000"/>
                <w:szCs w:val="24"/>
              </w:rPr>
            </w:pPr>
            <w:r w:rsidRPr="00E07F76">
              <w:rPr>
                <w:color w:val="000000"/>
                <w:szCs w:val="24"/>
              </w:rPr>
              <w:t>Publication of Results</w:t>
            </w:r>
          </w:p>
        </w:tc>
        <w:tc>
          <w:tcPr>
            <w:tcW w:w="1440" w:type="dxa"/>
            <w:tcBorders>
              <w:top w:val="nil"/>
              <w:left w:val="nil"/>
              <w:bottom w:val="single" w:sz="8" w:space="0" w:color="auto"/>
              <w:right w:val="single" w:sz="8" w:space="0" w:color="auto"/>
            </w:tcBorders>
            <w:shd w:val="clear" w:color="auto" w:fill="auto"/>
          </w:tcPr>
          <w:p w:rsidR="0040457D" w:rsidRPr="00E07F76" w:rsidRDefault="00E56919" w:rsidP="00B74BFD">
            <w:pPr>
              <w:jc w:val="right"/>
            </w:pPr>
            <w:r w:rsidRPr="00E07F76">
              <w:t>$5,580</w:t>
            </w:r>
          </w:p>
        </w:tc>
        <w:tc>
          <w:tcPr>
            <w:tcW w:w="1980" w:type="dxa"/>
            <w:tcBorders>
              <w:top w:val="nil"/>
              <w:left w:val="nil"/>
              <w:bottom w:val="single" w:sz="8" w:space="0" w:color="auto"/>
              <w:right w:val="single" w:sz="8" w:space="0" w:color="auto"/>
            </w:tcBorders>
            <w:shd w:val="clear" w:color="auto" w:fill="auto"/>
          </w:tcPr>
          <w:p w:rsidR="0040457D" w:rsidRPr="00E07F76" w:rsidRDefault="00DF035D" w:rsidP="0040457D">
            <w:pPr>
              <w:jc w:val="right"/>
            </w:pPr>
            <w:r w:rsidRPr="00E07F76">
              <w:t>$5,580</w:t>
            </w:r>
          </w:p>
        </w:tc>
      </w:tr>
      <w:tr w:rsidR="0040457D" w:rsidRPr="00E07F76" w:rsidTr="00824619">
        <w:trPr>
          <w:trHeight w:val="274"/>
        </w:trPr>
        <w:tc>
          <w:tcPr>
            <w:tcW w:w="4032" w:type="dxa"/>
            <w:tcBorders>
              <w:top w:val="nil"/>
              <w:left w:val="single" w:sz="8" w:space="0" w:color="auto"/>
              <w:bottom w:val="single" w:sz="8" w:space="0" w:color="auto"/>
              <w:right w:val="single" w:sz="8" w:space="0" w:color="auto"/>
            </w:tcBorders>
            <w:shd w:val="clear" w:color="auto" w:fill="auto"/>
            <w:vAlign w:val="center"/>
            <w:hideMark/>
          </w:tcPr>
          <w:p w:rsidR="0040457D" w:rsidRPr="00E07F76" w:rsidRDefault="0040457D" w:rsidP="000F3691">
            <w:pPr>
              <w:rPr>
                <w:color w:val="000000"/>
                <w:szCs w:val="24"/>
              </w:rPr>
            </w:pPr>
            <w:r w:rsidRPr="00E07F76">
              <w:rPr>
                <w:color w:val="000000"/>
                <w:szCs w:val="24"/>
              </w:rPr>
              <w:t>Project Management</w:t>
            </w:r>
          </w:p>
        </w:tc>
        <w:tc>
          <w:tcPr>
            <w:tcW w:w="1440" w:type="dxa"/>
            <w:tcBorders>
              <w:top w:val="nil"/>
              <w:left w:val="nil"/>
              <w:bottom w:val="single" w:sz="8" w:space="0" w:color="auto"/>
              <w:right w:val="single" w:sz="8" w:space="0" w:color="auto"/>
            </w:tcBorders>
            <w:shd w:val="clear" w:color="auto" w:fill="auto"/>
          </w:tcPr>
          <w:p w:rsidR="0040457D" w:rsidRPr="00E07F76" w:rsidRDefault="00E56919" w:rsidP="00B74BFD">
            <w:pPr>
              <w:jc w:val="right"/>
            </w:pPr>
            <w:r w:rsidRPr="00E07F76">
              <w:t>$7,220</w:t>
            </w:r>
          </w:p>
        </w:tc>
        <w:tc>
          <w:tcPr>
            <w:tcW w:w="1980" w:type="dxa"/>
            <w:tcBorders>
              <w:top w:val="nil"/>
              <w:left w:val="nil"/>
              <w:bottom w:val="single" w:sz="8" w:space="0" w:color="auto"/>
              <w:right w:val="single" w:sz="8" w:space="0" w:color="auto"/>
            </w:tcBorders>
            <w:shd w:val="clear" w:color="auto" w:fill="auto"/>
          </w:tcPr>
          <w:p w:rsidR="0040457D" w:rsidRPr="00E07F76" w:rsidRDefault="00DF035D" w:rsidP="0040457D">
            <w:pPr>
              <w:jc w:val="right"/>
            </w:pPr>
            <w:r w:rsidRPr="00E07F76">
              <w:t>$7,220</w:t>
            </w:r>
          </w:p>
        </w:tc>
      </w:tr>
      <w:tr w:rsidR="0040457D" w:rsidRPr="00E07F76" w:rsidTr="00824619">
        <w:trPr>
          <w:trHeight w:val="274"/>
        </w:trPr>
        <w:tc>
          <w:tcPr>
            <w:tcW w:w="4032" w:type="dxa"/>
            <w:tcBorders>
              <w:top w:val="nil"/>
              <w:left w:val="single" w:sz="8" w:space="0" w:color="auto"/>
              <w:bottom w:val="single" w:sz="8" w:space="0" w:color="auto"/>
              <w:right w:val="single" w:sz="8" w:space="0" w:color="auto"/>
            </w:tcBorders>
            <w:shd w:val="clear" w:color="auto" w:fill="auto"/>
            <w:vAlign w:val="center"/>
            <w:hideMark/>
          </w:tcPr>
          <w:p w:rsidR="0040457D" w:rsidRPr="00E07F76" w:rsidRDefault="0040457D" w:rsidP="000F3691">
            <w:pPr>
              <w:rPr>
                <w:color w:val="000000"/>
                <w:szCs w:val="24"/>
              </w:rPr>
            </w:pPr>
            <w:r w:rsidRPr="00E07F76">
              <w:rPr>
                <w:color w:val="000000"/>
                <w:szCs w:val="24"/>
              </w:rPr>
              <w:t>Overhead</w:t>
            </w:r>
          </w:p>
        </w:tc>
        <w:tc>
          <w:tcPr>
            <w:tcW w:w="1440" w:type="dxa"/>
            <w:tcBorders>
              <w:top w:val="nil"/>
              <w:left w:val="nil"/>
              <w:bottom w:val="single" w:sz="8" w:space="0" w:color="auto"/>
              <w:right w:val="single" w:sz="8" w:space="0" w:color="auto"/>
            </w:tcBorders>
            <w:shd w:val="clear" w:color="auto" w:fill="auto"/>
          </w:tcPr>
          <w:p w:rsidR="0040457D" w:rsidRPr="00E07F76" w:rsidRDefault="00E56919" w:rsidP="0040457D">
            <w:pPr>
              <w:jc w:val="right"/>
            </w:pPr>
            <w:r w:rsidRPr="00E07F76">
              <w:t>$164,000</w:t>
            </w:r>
          </w:p>
        </w:tc>
        <w:tc>
          <w:tcPr>
            <w:tcW w:w="1980" w:type="dxa"/>
            <w:tcBorders>
              <w:top w:val="nil"/>
              <w:left w:val="nil"/>
              <w:bottom w:val="single" w:sz="8" w:space="0" w:color="auto"/>
              <w:right w:val="single" w:sz="8" w:space="0" w:color="auto"/>
            </w:tcBorders>
            <w:shd w:val="clear" w:color="auto" w:fill="auto"/>
          </w:tcPr>
          <w:p w:rsidR="0040457D" w:rsidRPr="00E07F76" w:rsidRDefault="00DF035D" w:rsidP="0040457D">
            <w:pPr>
              <w:jc w:val="right"/>
            </w:pPr>
            <w:r w:rsidRPr="00E07F76">
              <w:t>$164,000</w:t>
            </w:r>
          </w:p>
        </w:tc>
      </w:tr>
      <w:tr w:rsidR="0040457D" w:rsidRPr="00C84834" w:rsidTr="00824619">
        <w:trPr>
          <w:trHeight w:val="274"/>
        </w:trPr>
        <w:tc>
          <w:tcPr>
            <w:tcW w:w="4032" w:type="dxa"/>
            <w:tcBorders>
              <w:top w:val="nil"/>
              <w:left w:val="single" w:sz="8" w:space="0" w:color="auto"/>
              <w:bottom w:val="single" w:sz="8" w:space="0" w:color="auto"/>
              <w:right w:val="single" w:sz="8" w:space="0" w:color="auto"/>
            </w:tcBorders>
            <w:shd w:val="clear" w:color="auto" w:fill="auto"/>
            <w:vAlign w:val="center"/>
            <w:hideMark/>
          </w:tcPr>
          <w:p w:rsidR="0040457D" w:rsidRPr="00E07F76" w:rsidRDefault="0040457D" w:rsidP="000F3691">
            <w:pPr>
              <w:rPr>
                <w:b/>
                <w:bCs/>
                <w:color w:val="000000"/>
                <w:szCs w:val="24"/>
              </w:rPr>
            </w:pPr>
            <w:r w:rsidRPr="00E07F76">
              <w:rPr>
                <w:b/>
                <w:bCs/>
                <w:color w:val="000000"/>
                <w:szCs w:val="24"/>
              </w:rPr>
              <w:t>Total</w:t>
            </w:r>
          </w:p>
        </w:tc>
        <w:tc>
          <w:tcPr>
            <w:tcW w:w="1440" w:type="dxa"/>
            <w:tcBorders>
              <w:top w:val="nil"/>
              <w:left w:val="nil"/>
              <w:bottom w:val="single" w:sz="8" w:space="0" w:color="auto"/>
              <w:right w:val="single" w:sz="8" w:space="0" w:color="auto"/>
            </w:tcBorders>
            <w:shd w:val="clear" w:color="auto" w:fill="auto"/>
          </w:tcPr>
          <w:p w:rsidR="0040457D" w:rsidRPr="00E07F76" w:rsidRDefault="00E56919" w:rsidP="00BE02F9">
            <w:pPr>
              <w:jc w:val="right"/>
            </w:pPr>
            <w:r w:rsidRPr="00E07F76">
              <w:t>$431,000</w:t>
            </w:r>
          </w:p>
        </w:tc>
        <w:tc>
          <w:tcPr>
            <w:tcW w:w="1980" w:type="dxa"/>
            <w:tcBorders>
              <w:top w:val="nil"/>
              <w:left w:val="nil"/>
              <w:bottom w:val="single" w:sz="8" w:space="0" w:color="auto"/>
              <w:right w:val="single" w:sz="8" w:space="0" w:color="auto"/>
            </w:tcBorders>
            <w:shd w:val="clear" w:color="auto" w:fill="auto"/>
          </w:tcPr>
          <w:p w:rsidR="0040457D" w:rsidRDefault="00DF035D" w:rsidP="0040457D">
            <w:pPr>
              <w:jc w:val="right"/>
            </w:pPr>
            <w:r w:rsidRPr="00E07F76">
              <w:t>$431,000</w:t>
            </w:r>
          </w:p>
        </w:tc>
      </w:tr>
    </w:tbl>
    <w:p w:rsidR="00276BCF" w:rsidRPr="00C84834" w:rsidRDefault="00276BCF" w:rsidP="00BC4EC9">
      <w:pPr>
        <w:rPr>
          <w:szCs w:val="24"/>
        </w:rPr>
      </w:pPr>
    </w:p>
    <w:p w:rsidR="00BC4EC9" w:rsidRPr="00D737AA" w:rsidRDefault="00BC4EC9" w:rsidP="00BC4EC9">
      <w:pPr>
        <w:pStyle w:val="Heading2"/>
        <w:rPr>
          <w:color w:val="auto"/>
          <w:sz w:val="24"/>
          <w:szCs w:val="24"/>
        </w:rPr>
      </w:pPr>
      <w:bookmarkStart w:id="17" w:name="_Toc358273851"/>
      <w:r w:rsidRPr="00D737AA">
        <w:rPr>
          <w:color w:val="auto"/>
          <w:sz w:val="24"/>
          <w:szCs w:val="24"/>
        </w:rPr>
        <w:t xml:space="preserve">15.  </w:t>
      </w:r>
      <w:r w:rsidRPr="00D737AA">
        <w:rPr>
          <w:color w:val="auto"/>
          <w:sz w:val="24"/>
          <w:szCs w:val="24"/>
          <w:u w:val="single"/>
        </w:rPr>
        <w:t>Change in Burden</w:t>
      </w:r>
      <w:bookmarkEnd w:id="17"/>
    </w:p>
    <w:p w:rsidR="00BC4EC9" w:rsidRPr="00D737AA" w:rsidRDefault="00BC4EC9" w:rsidP="00BC4EC9">
      <w:pPr>
        <w:rPr>
          <w:szCs w:val="24"/>
        </w:rPr>
      </w:pPr>
    </w:p>
    <w:p w:rsidR="00BC4EC9" w:rsidRPr="00D737AA" w:rsidRDefault="00BC4EC9" w:rsidP="00BC4EC9">
      <w:pPr>
        <w:rPr>
          <w:szCs w:val="24"/>
        </w:rPr>
      </w:pPr>
      <w:r w:rsidRPr="00D737AA">
        <w:rPr>
          <w:szCs w:val="24"/>
        </w:rPr>
        <w:t xml:space="preserve">This is a new </w:t>
      </w:r>
      <w:r w:rsidR="00B041A9">
        <w:rPr>
          <w:szCs w:val="24"/>
        </w:rPr>
        <w:t>information collection request</w:t>
      </w:r>
      <w:r w:rsidRPr="00D737AA">
        <w:rPr>
          <w:szCs w:val="24"/>
        </w:rPr>
        <w:t>.</w:t>
      </w:r>
    </w:p>
    <w:p w:rsidR="00BC4EC9" w:rsidRPr="00BC4EC9" w:rsidRDefault="00BC4EC9" w:rsidP="00BC4EC9">
      <w:pPr>
        <w:rPr>
          <w:szCs w:val="24"/>
          <w:highlight w:val="yellow"/>
        </w:rPr>
      </w:pPr>
    </w:p>
    <w:p w:rsidR="00BC4EC9" w:rsidRPr="00D737AA" w:rsidRDefault="00BC4EC9" w:rsidP="00BC4EC9">
      <w:pPr>
        <w:pStyle w:val="Heading2"/>
        <w:rPr>
          <w:b w:val="0"/>
          <w:color w:val="auto"/>
          <w:sz w:val="24"/>
          <w:szCs w:val="24"/>
        </w:rPr>
      </w:pPr>
      <w:bookmarkStart w:id="18" w:name="_Toc358273852"/>
      <w:r w:rsidRPr="00D737AA">
        <w:rPr>
          <w:color w:val="auto"/>
          <w:sz w:val="24"/>
          <w:szCs w:val="24"/>
        </w:rPr>
        <w:t xml:space="preserve">16.  </w:t>
      </w:r>
      <w:r w:rsidRPr="00CE4A64">
        <w:rPr>
          <w:color w:val="auto"/>
          <w:sz w:val="24"/>
          <w:u w:val="single"/>
        </w:rPr>
        <w:t>Time Schedule, Publication and Analysis Plans</w:t>
      </w:r>
      <w:bookmarkEnd w:id="18"/>
    </w:p>
    <w:p w:rsidR="00BC4EC9" w:rsidRPr="00D737AA" w:rsidRDefault="00BC4EC9" w:rsidP="00BC4EC9">
      <w:pPr>
        <w:rPr>
          <w:szCs w:val="24"/>
        </w:rPr>
      </w:pPr>
    </w:p>
    <w:p w:rsidR="00BC4EC9" w:rsidRPr="00D737AA" w:rsidRDefault="00BC4EC9" w:rsidP="00BC4EC9">
      <w:pPr>
        <w:rPr>
          <w:szCs w:val="24"/>
        </w:rPr>
      </w:pPr>
      <w:r w:rsidRPr="00D737AA">
        <w:rPr>
          <w:szCs w:val="24"/>
        </w:rPr>
        <w:t>As soon as OMB approval is received,</w:t>
      </w:r>
      <w:r w:rsidRPr="00D737AA">
        <w:rPr>
          <w:rFonts w:ascii="Calibri" w:hAnsi="Calibri"/>
          <w:sz w:val="22"/>
          <w:szCs w:val="22"/>
        </w:rPr>
        <w:t xml:space="preserve"> </w:t>
      </w:r>
      <w:r w:rsidR="00B041A9">
        <w:rPr>
          <w:szCs w:val="24"/>
        </w:rPr>
        <w:t>data collection</w:t>
      </w:r>
      <w:r w:rsidRPr="00D737AA">
        <w:rPr>
          <w:szCs w:val="24"/>
        </w:rPr>
        <w:t xml:space="preserve"> activities will begin. The estimated time schedule to conduct these activities is shown below:</w:t>
      </w:r>
    </w:p>
    <w:p w:rsidR="00BC4EC9" w:rsidRPr="00D737AA" w:rsidRDefault="00BC4EC9" w:rsidP="00BC4EC9">
      <w:pPr>
        <w:rPr>
          <w:szCs w:val="24"/>
        </w:rPr>
      </w:pPr>
    </w:p>
    <w:p w:rsidR="00BC4EC9" w:rsidRPr="002245A8" w:rsidRDefault="00D737AA" w:rsidP="00BC4EC9">
      <w:pPr>
        <w:numPr>
          <w:ilvl w:val="0"/>
          <w:numId w:val="1"/>
        </w:numPr>
        <w:rPr>
          <w:szCs w:val="24"/>
        </w:rPr>
      </w:pPr>
      <w:r w:rsidRPr="002245A8">
        <w:rPr>
          <w:szCs w:val="24"/>
        </w:rPr>
        <w:t>One round</w:t>
      </w:r>
      <w:r w:rsidR="00BC4EC9" w:rsidRPr="002245A8">
        <w:rPr>
          <w:szCs w:val="24"/>
        </w:rPr>
        <w:t xml:space="preserve"> of cognitive interviews</w:t>
      </w:r>
      <w:r w:rsidRPr="002245A8">
        <w:rPr>
          <w:szCs w:val="24"/>
        </w:rPr>
        <w:t xml:space="preserve"> </w:t>
      </w:r>
      <w:r w:rsidR="00BC4EC9" w:rsidRPr="002245A8">
        <w:rPr>
          <w:szCs w:val="24"/>
        </w:rPr>
        <w:t>(2 months)</w:t>
      </w:r>
    </w:p>
    <w:p w:rsidR="00BC4EC9" w:rsidRPr="002245A8" w:rsidRDefault="00A148CB" w:rsidP="00BC4EC9">
      <w:pPr>
        <w:numPr>
          <w:ilvl w:val="0"/>
          <w:numId w:val="1"/>
        </w:numPr>
        <w:rPr>
          <w:szCs w:val="24"/>
        </w:rPr>
      </w:pPr>
      <w:r>
        <w:rPr>
          <w:szCs w:val="24"/>
        </w:rPr>
        <w:t>Pretest</w:t>
      </w:r>
      <w:r w:rsidR="00BC4EC9" w:rsidRPr="002245A8">
        <w:rPr>
          <w:szCs w:val="24"/>
        </w:rPr>
        <w:t xml:space="preserve"> data collection (</w:t>
      </w:r>
      <w:r w:rsidR="002245A8" w:rsidRPr="002245A8">
        <w:rPr>
          <w:szCs w:val="24"/>
        </w:rPr>
        <w:t>4</w:t>
      </w:r>
      <w:r w:rsidR="00BC4EC9" w:rsidRPr="002245A8">
        <w:rPr>
          <w:szCs w:val="24"/>
        </w:rPr>
        <w:t xml:space="preserve"> months)</w:t>
      </w:r>
    </w:p>
    <w:p w:rsidR="00BC4EC9" w:rsidRPr="002245A8" w:rsidRDefault="00BC4EC9" w:rsidP="00BC4EC9">
      <w:pPr>
        <w:numPr>
          <w:ilvl w:val="0"/>
          <w:numId w:val="1"/>
        </w:numPr>
        <w:rPr>
          <w:szCs w:val="24"/>
        </w:rPr>
      </w:pPr>
      <w:r w:rsidRPr="002245A8">
        <w:rPr>
          <w:szCs w:val="24"/>
        </w:rPr>
        <w:t>Data analysis, feedback report production, and development of technical report (</w:t>
      </w:r>
      <w:r w:rsidR="00D737AA" w:rsidRPr="002245A8">
        <w:rPr>
          <w:szCs w:val="24"/>
        </w:rPr>
        <w:t>4.5</w:t>
      </w:r>
      <w:r w:rsidRPr="002245A8">
        <w:rPr>
          <w:szCs w:val="24"/>
        </w:rPr>
        <w:t xml:space="preserve"> months)</w:t>
      </w:r>
      <w:r w:rsidR="00D737AA" w:rsidRPr="002245A8">
        <w:rPr>
          <w:szCs w:val="24"/>
        </w:rPr>
        <w:t xml:space="preserve"> </w:t>
      </w:r>
    </w:p>
    <w:p w:rsidR="00BC4EC9" w:rsidRPr="00D737AA" w:rsidRDefault="00BC4EC9" w:rsidP="00BC4EC9">
      <w:pPr>
        <w:numPr>
          <w:ilvl w:val="0"/>
          <w:numId w:val="1"/>
        </w:numPr>
        <w:rPr>
          <w:szCs w:val="24"/>
        </w:rPr>
      </w:pPr>
      <w:r w:rsidRPr="00D737AA">
        <w:rPr>
          <w:szCs w:val="24"/>
        </w:rPr>
        <w:t>Final survey and development of toolkit materials (2 months)</w:t>
      </w:r>
    </w:p>
    <w:p w:rsidR="00BC4EC9" w:rsidRPr="00BC4EC9" w:rsidRDefault="00BC4EC9" w:rsidP="00BC4EC9">
      <w:pPr>
        <w:rPr>
          <w:szCs w:val="24"/>
          <w:highlight w:val="yellow"/>
        </w:rPr>
      </w:pPr>
    </w:p>
    <w:p w:rsidR="00BC4EC9" w:rsidRPr="00D737AA" w:rsidRDefault="00BC4EC9" w:rsidP="00BC4EC9">
      <w:pPr>
        <w:rPr>
          <w:szCs w:val="24"/>
        </w:rPr>
      </w:pPr>
      <w:r w:rsidRPr="00D737AA">
        <w:rPr>
          <w:szCs w:val="24"/>
        </w:rPr>
        <w:t xml:space="preserve">The final version of the </w:t>
      </w:r>
      <w:r w:rsidR="003953DD">
        <w:rPr>
          <w:szCs w:val="24"/>
        </w:rPr>
        <w:t xml:space="preserve">Ambulatory Surgery </w:t>
      </w:r>
      <w:r w:rsidR="007A65F5">
        <w:rPr>
          <w:szCs w:val="24"/>
        </w:rPr>
        <w:t>SOPS</w:t>
      </w:r>
      <w:r w:rsidR="003953DD">
        <w:rPr>
          <w:szCs w:val="24"/>
        </w:rPr>
        <w:t xml:space="preserve"> </w:t>
      </w:r>
      <w:r w:rsidRPr="00D737AA">
        <w:rPr>
          <w:szCs w:val="24"/>
        </w:rPr>
        <w:t>will be made available in the public domain on the AHRQ Web site.</w:t>
      </w:r>
      <w:r w:rsidR="00FF496B">
        <w:rPr>
          <w:szCs w:val="24"/>
        </w:rPr>
        <w:t xml:space="preserve">  </w:t>
      </w:r>
    </w:p>
    <w:p w:rsidR="00BC4EC9" w:rsidRPr="00BC4EC9" w:rsidRDefault="00BC4EC9" w:rsidP="00BC4EC9">
      <w:pPr>
        <w:rPr>
          <w:szCs w:val="24"/>
          <w:highlight w:val="yellow"/>
        </w:rPr>
      </w:pPr>
    </w:p>
    <w:p w:rsidR="00BC4EC9" w:rsidRPr="00365886" w:rsidRDefault="00BC4EC9" w:rsidP="0040457D">
      <w:pPr>
        <w:pStyle w:val="ListParagraph"/>
        <w:ind w:left="0"/>
        <w:rPr>
          <w:szCs w:val="24"/>
        </w:rPr>
      </w:pPr>
      <w:r w:rsidRPr="00365886">
        <w:rPr>
          <w:szCs w:val="24"/>
        </w:rPr>
        <w:t xml:space="preserve">The goal of </w:t>
      </w:r>
      <w:r w:rsidR="00F51A78">
        <w:rPr>
          <w:szCs w:val="24"/>
        </w:rPr>
        <w:t xml:space="preserve">AHRQ’s </w:t>
      </w:r>
      <w:r w:rsidRPr="00365886">
        <w:rPr>
          <w:szCs w:val="24"/>
        </w:rPr>
        <w:t xml:space="preserve">data analysis will be to assess the multi-level psychometric properties of the </w:t>
      </w:r>
      <w:r w:rsidR="009F74D2">
        <w:rPr>
          <w:szCs w:val="24"/>
        </w:rPr>
        <w:t xml:space="preserve">Ambulatory Surgery </w:t>
      </w:r>
      <w:r w:rsidR="007A65F5">
        <w:rPr>
          <w:szCs w:val="24"/>
        </w:rPr>
        <w:t>SOPS</w:t>
      </w:r>
      <w:r w:rsidRPr="00365886">
        <w:rPr>
          <w:szCs w:val="24"/>
        </w:rPr>
        <w:t xml:space="preserve"> using a multi-staged approach to assess construct validity through factor analyses and intercorrelations among composites and to assess reliability.</w:t>
      </w:r>
      <w:r w:rsidR="004E7E42">
        <w:rPr>
          <w:szCs w:val="24"/>
        </w:rPr>
        <w:t xml:space="preserve"> </w:t>
      </w:r>
      <w:r w:rsidR="004E7E42" w:rsidRPr="00E21140">
        <w:rPr>
          <w:szCs w:val="24"/>
        </w:rPr>
        <w:t xml:space="preserve">Psychometric analysis will be conducted on the </w:t>
      </w:r>
      <w:r w:rsidR="00615BC0">
        <w:rPr>
          <w:szCs w:val="24"/>
        </w:rPr>
        <w:t>pretest</w:t>
      </w:r>
      <w:r w:rsidR="004E7E42" w:rsidRPr="00E21140">
        <w:rPr>
          <w:szCs w:val="24"/>
        </w:rPr>
        <w:t xml:space="preserve"> data to examine item nonresponse, item response variability, factor structure, reliability, and construct validity of the</w:t>
      </w:r>
      <w:r w:rsidR="00F90343">
        <w:rPr>
          <w:szCs w:val="24"/>
        </w:rPr>
        <w:t xml:space="preserve"> items included in the survey. </w:t>
      </w:r>
      <w:r w:rsidR="004E7E42" w:rsidRPr="00E21140">
        <w:rPr>
          <w:szCs w:val="24"/>
        </w:rPr>
        <w:t xml:space="preserve">Because the survey items are being developed to measure specific aspects of </w:t>
      </w:r>
      <w:r w:rsidR="00282DBF">
        <w:rPr>
          <w:szCs w:val="24"/>
        </w:rPr>
        <w:t>patient safety culture</w:t>
      </w:r>
      <w:r w:rsidR="004E7E42" w:rsidRPr="00E21140">
        <w:rPr>
          <w:szCs w:val="24"/>
        </w:rPr>
        <w:t xml:space="preserve"> in the </w:t>
      </w:r>
      <w:r w:rsidR="00282DBF">
        <w:rPr>
          <w:szCs w:val="24"/>
        </w:rPr>
        <w:t>ambulatory surgery setting</w:t>
      </w:r>
      <w:r w:rsidR="004E7E42" w:rsidRPr="00E21140">
        <w:rPr>
          <w:szCs w:val="24"/>
        </w:rPr>
        <w:t xml:space="preserve">, the factor structure of the survey items will be evaluated through multilevel confirmatory factor analysis. On the basis of the data analyses, items or factors may be dropped. </w:t>
      </w:r>
    </w:p>
    <w:p w:rsidR="00A33F0D" w:rsidRPr="00D737AA" w:rsidRDefault="00A33F0D" w:rsidP="00BC4EC9">
      <w:pPr>
        <w:rPr>
          <w:szCs w:val="24"/>
        </w:rPr>
      </w:pPr>
    </w:p>
    <w:p w:rsidR="00BC4EC9" w:rsidRPr="00D737AA" w:rsidRDefault="00BC4EC9" w:rsidP="008662A3">
      <w:pPr>
        <w:rPr>
          <w:b/>
          <w:szCs w:val="24"/>
        </w:rPr>
      </w:pPr>
      <w:r w:rsidRPr="00D737AA">
        <w:rPr>
          <w:b/>
          <w:szCs w:val="24"/>
        </w:rPr>
        <w:t>Descriptive Statistics</w:t>
      </w:r>
    </w:p>
    <w:p w:rsidR="00BC4EC9" w:rsidRPr="00D737AA" w:rsidRDefault="00BC4EC9" w:rsidP="008662A3">
      <w:pPr>
        <w:rPr>
          <w:szCs w:val="24"/>
        </w:rPr>
      </w:pPr>
      <w:r w:rsidRPr="00D737AA">
        <w:rPr>
          <w:szCs w:val="24"/>
        </w:rPr>
        <w:t xml:space="preserve">The means, standard deviations, and response frequencies for the survey items will be examined to ensure that respondents and </w:t>
      </w:r>
      <w:r w:rsidR="00282DBF">
        <w:rPr>
          <w:szCs w:val="24"/>
        </w:rPr>
        <w:t>ASCs</w:t>
      </w:r>
      <w:r w:rsidRPr="00D737AA">
        <w:rPr>
          <w:szCs w:val="24"/>
        </w:rPr>
        <w:t xml:space="preserve"> exhibit adequate response variability on the survey items. In addition, items will be examined to ensure that there are low rates of missing data (lower than 8% missing response per item). Poorly functioning items will be identified.</w:t>
      </w:r>
    </w:p>
    <w:p w:rsidR="00BC4EC9" w:rsidRPr="00D737AA" w:rsidRDefault="00BC4EC9" w:rsidP="00365886">
      <w:pPr>
        <w:ind w:left="360"/>
        <w:rPr>
          <w:szCs w:val="24"/>
        </w:rPr>
      </w:pPr>
    </w:p>
    <w:p w:rsidR="00BC4EC9" w:rsidRPr="00D737AA" w:rsidRDefault="00BC4EC9" w:rsidP="008662A3">
      <w:pPr>
        <w:rPr>
          <w:b/>
          <w:szCs w:val="24"/>
        </w:rPr>
      </w:pPr>
      <w:r w:rsidRPr="00D737AA">
        <w:rPr>
          <w:b/>
          <w:szCs w:val="24"/>
        </w:rPr>
        <w:t>Individual Level Factor Analysis</w:t>
      </w:r>
    </w:p>
    <w:p w:rsidR="00043C3F" w:rsidRDefault="00BC4EC9" w:rsidP="008662A3">
      <w:pPr>
        <w:rPr>
          <w:szCs w:val="24"/>
        </w:rPr>
      </w:pPr>
      <w:r w:rsidRPr="00D737AA">
        <w:rPr>
          <w:szCs w:val="24"/>
        </w:rPr>
        <w:t xml:space="preserve">An individual level factor analysis will be conducted to initially examine whether groups of items intended to measure a specific composite are interrelated, ignoring the nesting of respondent data within </w:t>
      </w:r>
      <w:r w:rsidR="00282DBF">
        <w:rPr>
          <w:szCs w:val="24"/>
        </w:rPr>
        <w:t>ASCs</w:t>
      </w:r>
      <w:r w:rsidRPr="00D737AA">
        <w:rPr>
          <w:szCs w:val="24"/>
        </w:rPr>
        <w:t>. Factor loadings for each item in an a</w:t>
      </w:r>
      <w:r w:rsidR="00107AED">
        <w:rPr>
          <w:szCs w:val="24"/>
        </w:rPr>
        <w:t xml:space="preserve"> </w:t>
      </w:r>
      <w:r w:rsidRPr="00D737AA">
        <w:rPr>
          <w:szCs w:val="24"/>
        </w:rPr>
        <w:t xml:space="preserve">priori composite will be considered as having an adequate contribution to a particular composite or factor if the strength of the item's relationship to that factor (i.e., its factor loading), is </w:t>
      </w:r>
      <w:r w:rsidR="00DF2DE6">
        <w:rPr>
          <w:szCs w:val="24"/>
        </w:rPr>
        <w:t>0</w:t>
      </w:r>
      <w:r w:rsidRPr="00D737AA">
        <w:rPr>
          <w:szCs w:val="24"/>
        </w:rPr>
        <w:t>.40 or greater.</w:t>
      </w:r>
      <w:r w:rsidR="00F90343">
        <w:rPr>
          <w:szCs w:val="24"/>
        </w:rPr>
        <w:t xml:space="preserve"> </w:t>
      </w:r>
      <w:r w:rsidR="00AA5D20">
        <w:rPr>
          <w:szCs w:val="24"/>
        </w:rPr>
        <w:t xml:space="preserve">Potential composites or factors that the survey items may measure include: </w:t>
      </w:r>
    </w:p>
    <w:p w:rsidR="00043C3F" w:rsidRDefault="009F74D2" w:rsidP="00CE64BD">
      <w:pPr>
        <w:pStyle w:val="ListParagraph"/>
        <w:numPr>
          <w:ilvl w:val="0"/>
          <w:numId w:val="15"/>
        </w:numPr>
        <w:rPr>
          <w:szCs w:val="24"/>
        </w:rPr>
      </w:pPr>
      <w:r>
        <w:rPr>
          <w:szCs w:val="24"/>
        </w:rPr>
        <w:t>communication</w:t>
      </w:r>
      <w:r w:rsidR="00043C3F">
        <w:rPr>
          <w:szCs w:val="24"/>
        </w:rPr>
        <w:t>;</w:t>
      </w:r>
    </w:p>
    <w:p w:rsidR="009F74D2" w:rsidRDefault="009F74D2" w:rsidP="00CE64BD">
      <w:pPr>
        <w:pStyle w:val="ListParagraph"/>
        <w:numPr>
          <w:ilvl w:val="0"/>
          <w:numId w:val="15"/>
        </w:numPr>
        <w:rPr>
          <w:szCs w:val="24"/>
        </w:rPr>
      </w:pPr>
      <w:r>
        <w:rPr>
          <w:szCs w:val="24"/>
        </w:rPr>
        <w:t>compliance with procedures;</w:t>
      </w:r>
    </w:p>
    <w:p w:rsidR="009F74D2" w:rsidRDefault="009F74D2" w:rsidP="00CE64BD">
      <w:pPr>
        <w:pStyle w:val="ListParagraph"/>
        <w:numPr>
          <w:ilvl w:val="0"/>
          <w:numId w:val="15"/>
        </w:numPr>
        <w:rPr>
          <w:szCs w:val="24"/>
        </w:rPr>
      </w:pPr>
      <w:r>
        <w:rPr>
          <w:szCs w:val="24"/>
        </w:rPr>
        <w:t>disruptive behavior;</w:t>
      </w:r>
    </w:p>
    <w:p w:rsidR="009F74D2" w:rsidRDefault="009F74D2" w:rsidP="00CE64BD">
      <w:pPr>
        <w:pStyle w:val="ListParagraph"/>
        <w:numPr>
          <w:ilvl w:val="0"/>
          <w:numId w:val="15"/>
        </w:numPr>
        <w:rPr>
          <w:szCs w:val="24"/>
        </w:rPr>
      </w:pPr>
      <w:r>
        <w:rPr>
          <w:szCs w:val="24"/>
        </w:rPr>
        <w:t>feedback and communication about error;</w:t>
      </w:r>
    </w:p>
    <w:p w:rsidR="009F74D2" w:rsidRDefault="009F74D2" w:rsidP="00CE64BD">
      <w:pPr>
        <w:pStyle w:val="ListParagraph"/>
        <w:numPr>
          <w:ilvl w:val="0"/>
          <w:numId w:val="15"/>
        </w:numPr>
        <w:rPr>
          <w:szCs w:val="24"/>
        </w:rPr>
      </w:pPr>
      <w:r>
        <w:rPr>
          <w:szCs w:val="24"/>
        </w:rPr>
        <w:t xml:space="preserve">leadership support for patient safety; </w:t>
      </w:r>
    </w:p>
    <w:p w:rsidR="00DD5C25" w:rsidRDefault="00DD5C25" w:rsidP="00CE64BD">
      <w:pPr>
        <w:pStyle w:val="ListParagraph"/>
        <w:numPr>
          <w:ilvl w:val="0"/>
          <w:numId w:val="15"/>
        </w:numPr>
        <w:rPr>
          <w:szCs w:val="24"/>
        </w:rPr>
      </w:pPr>
      <w:r>
        <w:rPr>
          <w:szCs w:val="24"/>
        </w:rPr>
        <w:t>organizational learning—continuous improvement;</w:t>
      </w:r>
    </w:p>
    <w:p w:rsidR="00DD5C25" w:rsidRDefault="00DD5C25" w:rsidP="00CE64BD">
      <w:pPr>
        <w:pStyle w:val="ListParagraph"/>
        <w:numPr>
          <w:ilvl w:val="0"/>
          <w:numId w:val="15"/>
        </w:numPr>
        <w:rPr>
          <w:szCs w:val="24"/>
        </w:rPr>
      </w:pPr>
      <w:r>
        <w:rPr>
          <w:szCs w:val="24"/>
        </w:rPr>
        <w:t>physical environment;</w:t>
      </w:r>
    </w:p>
    <w:p w:rsidR="007A65F5" w:rsidRDefault="007A65F5" w:rsidP="007A65F5">
      <w:pPr>
        <w:pStyle w:val="ListParagraph"/>
        <w:numPr>
          <w:ilvl w:val="0"/>
          <w:numId w:val="15"/>
        </w:numPr>
        <w:rPr>
          <w:szCs w:val="24"/>
        </w:rPr>
      </w:pPr>
      <w:r>
        <w:rPr>
          <w:szCs w:val="24"/>
        </w:rPr>
        <w:t>reporting mistakes;</w:t>
      </w:r>
    </w:p>
    <w:p w:rsidR="009F74D2" w:rsidRDefault="009F74D2" w:rsidP="00CE64BD">
      <w:pPr>
        <w:pStyle w:val="ListParagraph"/>
        <w:numPr>
          <w:ilvl w:val="0"/>
          <w:numId w:val="15"/>
        </w:numPr>
        <w:rPr>
          <w:szCs w:val="24"/>
        </w:rPr>
      </w:pPr>
      <w:r>
        <w:rPr>
          <w:szCs w:val="24"/>
        </w:rPr>
        <w:t>response to mistakes;</w:t>
      </w:r>
    </w:p>
    <w:p w:rsidR="009F74D2" w:rsidRDefault="009F74D2" w:rsidP="00CE64BD">
      <w:pPr>
        <w:pStyle w:val="ListParagraph"/>
        <w:numPr>
          <w:ilvl w:val="0"/>
          <w:numId w:val="15"/>
        </w:numPr>
        <w:rPr>
          <w:szCs w:val="24"/>
        </w:rPr>
      </w:pPr>
      <w:r>
        <w:rPr>
          <w:szCs w:val="24"/>
        </w:rPr>
        <w:t>staff training and skills;</w:t>
      </w:r>
    </w:p>
    <w:p w:rsidR="009F74D2" w:rsidRDefault="009F74D2" w:rsidP="00CE64BD">
      <w:pPr>
        <w:pStyle w:val="ListParagraph"/>
        <w:numPr>
          <w:ilvl w:val="0"/>
          <w:numId w:val="15"/>
        </w:numPr>
        <w:rPr>
          <w:szCs w:val="24"/>
        </w:rPr>
      </w:pPr>
      <w:r>
        <w:rPr>
          <w:szCs w:val="24"/>
        </w:rPr>
        <w:t>teamwork;</w:t>
      </w:r>
      <w:r w:rsidR="00DD5C25">
        <w:rPr>
          <w:szCs w:val="24"/>
        </w:rPr>
        <w:t xml:space="preserve"> and,</w:t>
      </w:r>
    </w:p>
    <w:p w:rsidR="00DD5C25" w:rsidRDefault="00DD5C25" w:rsidP="00CE64BD">
      <w:pPr>
        <w:pStyle w:val="ListParagraph"/>
        <w:numPr>
          <w:ilvl w:val="0"/>
          <w:numId w:val="15"/>
        </w:numPr>
        <w:rPr>
          <w:szCs w:val="24"/>
        </w:rPr>
      </w:pPr>
      <w:proofErr w:type="gramStart"/>
      <w:r>
        <w:rPr>
          <w:szCs w:val="24"/>
        </w:rPr>
        <w:t>work</w:t>
      </w:r>
      <w:proofErr w:type="gramEnd"/>
      <w:r>
        <w:rPr>
          <w:szCs w:val="24"/>
        </w:rPr>
        <w:t xml:space="preserve"> pressure and pace.</w:t>
      </w:r>
    </w:p>
    <w:p w:rsidR="00BC4EC9" w:rsidRPr="00D737AA" w:rsidRDefault="00BC4EC9" w:rsidP="00365886">
      <w:pPr>
        <w:ind w:left="360"/>
        <w:rPr>
          <w:szCs w:val="24"/>
        </w:rPr>
      </w:pPr>
    </w:p>
    <w:p w:rsidR="00BC4EC9" w:rsidRPr="00D737AA" w:rsidRDefault="00BC4EC9" w:rsidP="008662A3">
      <w:pPr>
        <w:rPr>
          <w:szCs w:val="24"/>
        </w:rPr>
      </w:pPr>
      <w:r w:rsidRPr="00D737AA">
        <w:rPr>
          <w:szCs w:val="24"/>
        </w:rPr>
        <w:t>The percent of variance accounted for by the factor will also be examined. The more variance that is accounted for by a factor, the more justifiable it is to combine the items into a single composite score. At least 50% of the variance should be accounted for by the items in a composite.</w:t>
      </w:r>
    </w:p>
    <w:p w:rsidR="00A06D0A" w:rsidRDefault="00A06D0A" w:rsidP="00365886">
      <w:pPr>
        <w:ind w:left="360"/>
        <w:rPr>
          <w:b/>
          <w:szCs w:val="24"/>
        </w:rPr>
      </w:pPr>
    </w:p>
    <w:p w:rsidR="00BC4EC9" w:rsidRPr="007F04C3" w:rsidRDefault="00BC4EC9" w:rsidP="00CD0811">
      <w:pPr>
        <w:rPr>
          <w:b/>
          <w:szCs w:val="24"/>
        </w:rPr>
      </w:pPr>
      <w:r w:rsidRPr="007F04C3">
        <w:rPr>
          <w:b/>
          <w:szCs w:val="24"/>
        </w:rPr>
        <w:t>Intraclass Correlations (ICCs) and Design Effects</w:t>
      </w:r>
    </w:p>
    <w:p w:rsidR="00BC4EC9" w:rsidRPr="007F04C3" w:rsidRDefault="00BC4EC9" w:rsidP="00CD0811">
      <w:pPr>
        <w:rPr>
          <w:szCs w:val="24"/>
        </w:rPr>
      </w:pPr>
      <w:r w:rsidRPr="007F04C3">
        <w:rPr>
          <w:szCs w:val="24"/>
        </w:rPr>
        <w:t xml:space="preserve">Intraclass correlations (ICCs) will be computed for each composite. ICC's determine if substantial variation exists between groups compared to variation within groups. ICCs above </w:t>
      </w:r>
      <w:r w:rsidR="00DF2DE6">
        <w:rPr>
          <w:szCs w:val="24"/>
        </w:rPr>
        <w:t>0</w:t>
      </w:r>
      <w:r w:rsidRPr="007F04C3">
        <w:rPr>
          <w:szCs w:val="24"/>
        </w:rPr>
        <w:t xml:space="preserve">.05 or 5% indicate that the between group variance is greater than expected by chance and imply that nesting in groups does have an effect on the responses of individuals. </w:t>
      </w:r>
    </w:p>
    <w:p w:rsidR="00BC4EC9" w:rsidRPr="00BC4EC9" w:rsidRDefault="00BC4EC9" w:rsidP="00CD0811">
      <w:pPr>
        <w:rPr>
          <w:szCs w:val="24"/>
          <w:highlight w:val="yellow"/>
        </w:rPr>
      </w:pPr>
    </w:p>
    <w:p w:rsidR="00BC4EC9" w:rsidRPr="007F04C3" w:rsidRDefault="00BC4EC9" w:rsidP="00CD0811">
      <w:pPr>
        <w:rPr>
          <w:szCs w:val="24"/>
        </w:rPr>
      </w:pPr>
      <w:r w:rsidRPr="007F04C3">
        <w:rPr>
          <w:szCs w:val="24"/>
        </w:rPr>
        <w:t>Given that ICCs are likely to be inflated when there are many groups with few individuals within the groups (compared to few groups with many individuals within the groups)</w:t>
      </w:r>
      <w:proofErr w:type="gramStart"/>
      <w:r w:rsidRPr="007F04C3">
        <w:rPr>
          <w:szCs w:val="24"/>
        </w:rPr>
        <w:t>,</w:t>
      </w:r>
      <w:proofErr w:type="gramEnd"/>
      <w:r w:rsidRPr="007F04C3">
        <w:rPr>
          <w:szCs w:val="24"/>
        </w:rPr>
        <w:t xml:space="preserve"> we will also examine design effects, which take into account within-group sample size. A design effect of 2 or more implies that group membership or nesting of individuals within groups does have an effect on the responses of the individuals and therefore multilevel </w:t>
      </w:r>
      <w:r w:rsidR="00035EA5" w:rsidRPr="007F04C3">
        <w:rPr>
          <w:szCs w:val="24"/>
        </w:rPr>
        <w:t>modeling</w:t>
      </w:r>
      <w:r w:rsidRPr="007F04C3">
        <w:rPr>
          <w:szCs w:val="24"/>
        </w:rPr>
        <w:t xml:space="preserve"> should be conducted to account for the multilevel nature of the data.</w:t>
      </w:r>
    </w:p>
    <w:p w:rsidR="00BC4EC9" w:rsidRPr="00BC4EC9" w:rsidRDefault="00BC4EC9" w:rsidP="00CD0811">
      <w:pPr>
        <w:rPr>
          <w:szCs w:val="24"/>
          <w:highlight w:val="yellow"/>
        </w:rPr>
      </w:pPr>
    </w:p>
    <w:p w:rsidR="00955B0B" w:rsidRDefault="00955B0B" w:rsidP="00CD0811">
      <w:pPr>
        <w:rPr>
          <w:b/>
          <w:szCs w:val="24"/>
        </w:rPr>
      </w:pPr>
    </w:p>
    <w:p w:rsidR="00955B0B" w:rsidRDefault="00955B0B" w:rsidP="00CD0811">
      <w:pPr>
        <w:rPr>
          <w:b/>
          <w:szCs w:val="24"/>
        </w:rPr>
      </w:pPr>
    </w:p>
    <w:p w:rsidR="00BC4EC9" w:rsidRPr="00CE4A64" w:rsidRDefault="00BC4EC9" w:rsidP="00CD0811">
      <w:pPr>
        <w:rPr>
          <w:b/>
          <w:szCs w:val="24"/>
        </w:rPr>
      </w:pPr>
      <w:r w:rsidRPr="00CE4A64">
        <w:rPr>
          <w:b/>
          <w:szCs w:val="24"/>
        </w:rPr>
        <w:t>Multilevel Confirmatory Factor Analysis (MCFA)</w:t>
      </w:r>
    </w:p>
    <w:p w:rsidR="00BC4EC9" w:rsidRPr="007F04C3" w:rsidRDefault="00BC4EC9" w:rsidP="00CD0811">
      <w:pPr>
        <w:rPr>
          <w:szCs w:val="24"/>
        </w:rPr>
      </w:pPr>
      <w:r w:rsidRPr="007F04C3">
        <w:rPr>
          <w:szCs w:val="24"/>
        </w:rPr>
        <w:t xml:space="preserve">Individuals responding to the survey are located within </w:t>
      </w:r>
      <w:r w:rsidR="00946995">
        <w:rPr>
          <w:szCs w:val="24"/>
        </w:rPr>
        <w:t>ASCs</w:t>
      </w:r>
      <w:r w:rsidRPr="007F04C3">
        <w:rPr>
          <w:szCs w:val="24"/>
        </w:rPr>
        <w:t xml:space="preserve">. When data are nested in groups like this, results from an individual-level factor analysis may be biased or incorrect. Therefore, multilevel confirmatory factor analysis will be conducted on the </w:t>
      </w:r>
      <w:r w:rsidR="007F04C3" w:rsidRPr="007F04C3">
        <w:rPr>
          <w:szCs w:val="24"/>
        </w:rPr>
        <w:t>survey’</w:t>
      </w:r>
      <w:r w:rsidR="002C4FD5">
        <w:rPr>
          <w:szCs w:val="24"/>
        </w:rPr>
        <w:t>s</w:t>
      </w:r>
      <w:r w:rsidRPr="007F04C3">
        <w:rPr>
          <w:szCs w:val="24"/>
        </w:rPr>
        <w:t xml:space="preserve"> a priori composites to examine the structure of the factors at the </w:t>
      </w:r>
      <w:r w:rsidR="00946995">
        <w:rPr>
          <w:szCs w:val="24"/>
        </w:rPr>
        <w:t>ASC</w:t>
      </w:r>
      <w:r w:rsidR="007F04C3">
        <w:rPr>
          <w:szCs w:val="24"/>
        </w:rPr>
        <w:t xml:space="preserve"> </w:t>
      </w:r>
      <w:r w:rsidRPr="007F04C3">
        <w:rPr>
          <w:szCs w:val="24"/>
        </w:rPr>
        <w:t>level of analysis, taking into consideration that the data are nested.</w:t>
      </w:r>
    </w:p>
    <w:p w:rsidR="00BC4EC9" w:rsidRPr="007F04C3" w:rsidRDefault="00BC4EC9" w:rsidP="00CD0811">
      <w:pPr>
        <w:rPr>
          <w:szCs w:val="24"/>
        </w:rPr>
      </w:pPr>
    </w:p>
    <w:p w:rsidR="00BC4EC9" w:rsidRPr="007F04C3" w:rsidRDefault="00BC4EC9" w:rsidP="00CD0811">
      <w:pPr>
        <w:rPr>
          <w:szCs w:val="24"/>
        </w:rPr>
      </w:pPr>
      <w:r w:rsidRPr="007F04C3">
        <w:rPr>
          <w:szCs w:val="24"/>
        </w:rPr>
        <w:t xml:space="preserve">An MCFA will be conducted to test the fit of the measurement model for the survey’s composites, taking into consideration the nested nature of the data at the </w:t>
      </w:r>
      <w:r w:rsidR="00946995">
        <w:rPr>
          <w:szCs w:val="24"/>
        </w:rPr>
        <w:t>ASCs</w:t>
      </w:r>
      <w:r w:rsidR="007F04C3" w:rsidRPr="007F04C3">
        <w:rPr>
          <w:szCs w:val="24"/>
        </w:rPr>
        <w:t xml:space="preserve"> level of analysis.</w:t>
      </w:r>
      <w:r w:rsidRPr="007F04C3">
        <w:rPr>
          <w:szCs w:val="24"/>
        </w:rPr>
        <w:t xml:space="preserve"> We will first evaluate the MCFA results by examining the item factor loadings on the composites. Factor loadings should be </w:t>
      </w:r>
      <w:r w:rsidR="00DF2DE6">
        <w:rPr>
          <w:szCs w:val="24"/>
        </w:rPr>
        <w:t>0</w:t>
      </w:r>
      <w:r w:rsidRPr="007F04C3">
        <w:rPr>
          <w:szCs w:val="24"/>
        </w:rPr>
        <w:t>.40 or greater.</w:t>
      </w:r>
    </w:p>
    <w:p w:rsidR="00BC4EC9" w:rsidRPr="007F04C3" w:rsidRDefault="00BC4EC9" w:rsidP="00365886">
      <w:pPr>
        <w:ind w:left="360"/>
        <w:rPr>
          <w:szCs w:val="24"/>
        </w:rPr>
      </w:pPr>
    </w:p>
    <w:p w:rsidR="00BC4EC9" w:rsidRPr="007F04C3" w:rsidRDefault="00BC4EC9" w:rsidP="00CD0811">
      <w:pPr>
        <w:rPr>
          <w:szCs w:val="24"/>
        </w:rPr>
      </w:pPr>
      <w:r w:rsidRPr="007F04C3">
        <w:rPr>
          <w:szCs w:val="24"/>
        </w:rPr>
        <w:t xml:space="preserve">We will also examine overall model fit indices using standard fit statistics: the chi-square, comparative fit index (CFI), and the standardized root mean square residual (SRMR). For chi-square statistics, lower and non-significant chi-squares indicate good fit. The factor structure is determined to adequately fit the data if the CFI is at least </w:t>
      </w:r>
      <w:r w:rsidR="00DF2DE6">
        <w:rPr>
          <w:szCs w:val="24"/>
        </w:rPr>
        <w:t>0</w:t>
      </w:r>
      <w:r w:rsidRPr="007F04C3">
        <w:rPr>
          <w:szCs w:val="24"/>
        </w:rPr>
        <w:t xml:space="preserve">.90. A value of zero for the SRMR indicates perfect fit, but a value less than </w:t>
      </w:r>
      <w:r w:rsidR="00DF2DE6">
        <w:rPr>
          <w:szCs w:val="24"/>
        </w:rPr>
        <w:t>0</w:t>
      </w:r>
      <w:r w:rsidRPr="007F04C3">
        <w:rPr>
          <w:szCs w:val="24"/>
        </w:rPr>
        <w:t>.08 is considered a good fit.</w:t>
      </w:r>
    </w:p>
    <w:p w:rsidR="00BC4EC9" w:rsidRPr="007F04C3" w:rsidRDefault="00BC4EC9" w:rsidP="00CD0811">
      <w:pPr>
        <w:rPr>
          <w:szCs w:val="24"/>
        </w:rPr>
      </w:pPr>
    </w:p>
    <w:p w:rsidR="00BC4EC9" w:rsidRPr="007F04C3" w:rsidRDefault="00BC4EC9" w:rsidP="00CD0811">
      <w:pPr>
        <w:rPr>
          <w:b/>
          <w:szCs w:val="24"/>
        </w:rPr>
      </w:pPr>
      <w:r w:rsidRPr="007F04C3">
        <w:rPr>
          <w:b/>
          <w:szCs w:val="24"/>
        </w:rPr>
        <w:t>Reliability Analysis</w:t>
      </w:r>
    </w:p>
    <w:p w:rsidR="00BC4EC9" w:rsidRPr="007F04C3" w:rsidRDefault="00BC4EC9" w:rsidP="00CD0811">
      <w:pPr>
        <w:rPr>
          <w:szCs w:val="24"/>
        </w:rPr>
      </w:pPr>
      <w:r w:rsidRPr="007F04C3">
        <w:rPr>
          <w:szCs w:val="24"/>
        </w:rPr>
        <w:t xml:space="preserve">Reliability analyses will then be performed on the composites to examine whether individuals responded consistently to the items within each composite. Internal consistency reliability will be calculated using Cronbach's alpha. The minimum criterion for acceptable reliability is an alpha of at least </w:t>
      </w:r>
      <w:r w:rsidR="00DF2DE6">
        <w:rPr>
          <w:szCs w:val="24"/>
        </w:rPr>
        <w:t>0</w:t>
      </w:r>
      <w:r w:rsidRPr="007F04C3">
        <w:rPr>
          <w:szCs w:val="24"/>
        </w:rPr>
        <w:t>.70.</w:t>
      </w:r>
    </w:p>
    <w:p w:rsidR="00BC4EC9" w:rsidRPr="00365886" w:rsidRDefault="00BC4EC9" w:rsidP="00CD0811">
      <w:pPr>
        <w:rPr>
          <w:szCs w:val="24"/>
        </w:rPr>
      </w:pPr>
    </w:p>
    <w:p w:rsidR="00BC4EC9" w:rsidRPr="00365886" w:rsidRDefault="00BC4EC9" w:rsidP="00CD0811">
      <w:pPr>
        <w:rPr>
          <w:b/>
          <w:szCs w:val="24"/>
        </w:rPr>
      </w:pPr>
      <w:r w:rsidRPr="00365886">
        <w:rPr>
          <w:b/>
          <w:szCs w:val="24"/>
        </w:rPr>
        <w:t>Intercorrelations</w:t>
      </w:r>
    </w:p>
    <w:p w:rsidR="00BC4EC9" w:rsidRPr="00365886" w:rsidRDefault="00BC4EC9" w:rsidP="00CD0811">
      <w:pPr>
        <w:rPr>
          <w:szCs w:val="24"/>
        </w:rPr>
      </w:pPr>
      <w:r w:rsidRPr="00365886">
        <w:rPr>
          <w:szCs w:val="24"/>
        </w:rPr>
        <w:t xml:space="preserve">Intercorrelations among the survey’s composites will also </w:t>
      </w:r>
      <w:r w:rsidR="00365886" w:rsidRPr="00365886">
        <w:rPr>
          <w:szCs w:val="24"/>
        </w:rPr>
        <w:t xml:space="preserve">be </w:t>
      </w:r>
      <w:r w:rsidRPr="00365886">
        <w:rPr>
          <w:szCs w:val="24"/>
        </w:rPr>
        <w:t xml:space="preserve">examined. Intercorrelations will be explored at the individual and </w:t>
      </w:r>
      <w:r w:rsidR="002C4FD5">
        <w:rPr>
          <w:szCs w:val="24"/>
        </w:rPr>
        <w:t>ASC level</w:t>
      </w:r>
      <w:r w:rsidRPr="00365886">
        <w:rPr>
          <w:szCs w:val="24"/>
        </w:rPr>
        <w:t xml:space="preserve"> of analysis. While the composites should be correlated since they measure aspects of </w:t>
      </w:r>
      <w:r w:rsidR="002C4FD5">
        <w:rPr>
          <w:szCs w:val="24"/>
        </w:rPr>
        <w:t>patient safety culture</w:t>
      </w:r>
      <w:r w:rsidRPr="00365886">
        <w:rPr>
          <w:szCs w:val="24"/>
        </w:rPr>
        <w:t>, the intercorrelations should not be extremely high (</w:t>
      </w:r>
      <w:r w:rsidR="00DF2DE6">
        <w:rPr>
          <w:szCs w:val="24"/>
        </w:rPr>
        <w:t>0</w:t>
      </w:r>
      <w:r w:rsidR="007277FB">
        <w:rPr>
          <w:szCs w:val="24"/>
        </w:rPr>
        <w:t>.8</w:t>
      </w:r>
      <w:r w:rsidRPr="00365886">
        <w:rPr>
          <w:szCs w:val="24"/>
        </w:rPr>
        <w:t xml:space="preserve">0 or higher) because very high intercorrelations indicate that the composites may not be unique enough to be considered separate constructs or measures. While there is no steadfast criterion about the magnitude of dimension intercorrelations and construct validity, in general, such correlations should be less than </w:t>
      </w:r>
      <w:r w:rsidR="00DF2DE6">
        <w:rPr>
          <w:szCs w:val="24"/>
        </w:rPr>
        <w:t>0</w:t>
      </w:r>
      <w:r w:rsidRPr="00365886">
        <w:rPr>
          <w:szCs w:val="24"/>
        </w:rPr>
        <w:t>.80 for the composites to be considered unique and avoid problems with multicollinearity.</w:t>
      </w:r>
    </w:p>
    <w:p w:rsidR="00BC4EC9" w:rsidRPr="00BC4EC9" w:rsidRDefault="00BC4EC9" w:rsidP="00CD0811">
      <w:pPr>
        <w:rPr>
          <w:szCs w:val="24"/>
          <w:highlight w:val="yellow"/>
        </w:rPr>
      </w:pPr>
    </w:p>
    <w:p w:rsidR="00BC4EC9" w:rsidRPr="00BC4EC9" w:rsidRDefault="00BC4EC9" w:rsidP="00CD0811">
      <w:pPr>
        <w:rPr>
          <w:szCs w:val="24"/>
          <w:highlight w:val="yellow"/>
        </w:rPr>
      </w:pPr>
      <w:r w:rsidRPr="007F04C3">
        <w:rPr>
          <w:szCs w:val="24"/>
        </w:rPr>
        <w:t xml:space="preserve">The above analyses will be used to determine which items and composites are poorer functioning and remove them from the survey to derive a final set of items and composites with good psychometric properties and reduce the overall length of the final survey. The </w:t>
      </w:r>
      <w:r w:rsidRPr="00FC589B">
        <w:rPr>
          <w:szCs w:val="24"/>
        </w:rPr>
        <w:t>Technical Expert Panel will be informed of the data analysis results and be allowed to weigh</w:t>
      </w:r>
      <w:r w:rsidRPr="007F04C3">
        <w:rPr>
          <w:szCs w:val="24"/>
        </w:rPr>
        <w:t xml:space="preserve"> in on which items to retain or drop when the psychometric results do not provide enough guidance and decisions can be made based on the content value of the items alone.</w:t>
      </w:r>
    </w:p>
    <w:p w:rsidR="00BC4EC9" w:rsidRPr="00BC4EC9" w:rsidRDefault="00BC4EC9" w:rsidP="00CD0811">
      <w:pPr>
        <w:rPr>
          <w:szCs w:val="24"/>
          <w:highlight w:val="yellow"/>
        </w:rPr>
      </w:pPr>
    </w:p>
    <w:p w:rsidR="00BC4EC9" w:rsidRDefault="00BC4EC9" w:rsidP="00CD0811">
      <w:pPr>
        <w:rPr>
          <w:szCs w:val="24"/>
        </w:rPr>
      </w:pPr>
      <w:r w:rsidRPr="007F04C3">
        <w:rPr>
          <w:szCs w:val="24"/>
        </w:rPr>
        <w:t xml:space="preserve">The final survey will be made available in the public domain for use </w:t>
      </w:r>
      <w:r w:rsidR="00824619">
        <w:rPr>
          <w:szCs w:val="24"/>
        </w:rPr>
        <w:t>ASCs</w:t>
      </w:r>
      <w:r w:rsidR="007F04C3" w:rsidRPr="007F04C3">
        <w:rPr>
          <w:szCs w:val="24"/>
        </w:rPr>
        <w:t xml:space="preserve"> </w:t>
      </w:r>
      <w:r w:rsidRPr="007F04C3">
        <w:rPr>
          <w:szCs w:val="24"/>
        </w:rPr>
        <w:t xml:space="preserve">and researchers to assess </w:t>
      </w:r>
      <w:r w:rsidR="00824619">
        <w:rPr>
          <w:szCs w:val="24"/>
        </w:rPr>
        <w:t>patient safety culture in ambulatory surgery settings</w:t>
      </w:r>
      <w:r w:rsidRPr="007F04C3">
        <w:rPr>
          <w:szCs w:val="24"/>
        </w:rPr>
        <w:t>.</w:t>
      </w:r>
    </w:p>
    <w:p w:rsidR="00FC589B" w:rsidRPr="007F04C3" w:rsidRDefault="00FC589B" w:rsidP="00365886">
      <w:pPr>
        <w:ind w:left="360"/>
        <w:rPr>
          <w:szCs w:val="24"/>
        </w:rPr>
      </w:pPr>
    </w:p>
    <w:p w:rsidR="00BE5313" w:rsidRDefault="00BE5313" w:rsidP="00BC4EC9">
      <w:pPr>
        <w:pStyle w:val="Heading2"/>
        <w:rPr>
          <w:color w:val="auto"/>
          <w:sz w:val="24"/>
          <w:szCs w:val="24"/>
        </w:rPr>
      </w:pPr>
      <w:bookmarkStart w:id="19" w:name="_Toc358273853"/>
    </w:p>
    <w:p w:rsidR="00BC4EC9" w:rsidRPr="003231D3" w:rsidRDefault="00BC4EC9" w:rsidP="00BC4EC9">
      <w:pPr>
        <w:pStyle w:val="Heading2"/>
        <w:rPr>
          <w:color w:val="auto"/>
          <w:sz w:val="24"/>
          <w:szCs w:val="24"/>
        </w:rPr>
      </w:pPr>
      <w:r w:rsidRPr="003231D3">
        <w:rPr>
          <w:color w:val="auto"/>
          <w:sz w:val="24"/>
          <w:szCs w:val="24"/>
        </w:rPr>
        <w:t xml:space="preserve">17.  </w:t>
      </w:r>
      <w:r w:rsidRPr="003231D3">
        <w:rPr>
          <w:color w:val="auto"/>
          <w:sz w:val="24"/>
          <w:szCs w:val="24"/>
          <w:u w:val="single"/>
        </w:rPr>
        <w:t>Exemption for Display of Expiration Date</w:t>
      </w:r>
      <w:bookmarkEnd w:id="19"/>
    </w:p>
    <w:p w:rsidR="00BC4EC9" w:rsidRPr="003231D3" w:rsidRDefault="00BC4EC9" w:rsidP="00BC4EC9">
      <w:pPr>
        <w:rPr>
          <w:szCs w:val="24"/>
        </w:rPr>
      </w:pPr>
    </w:p>
    <w:p w:rsidR="00BC4EC9" w:rsidRPr="003231D3" w:rsidRDefault="00BC4EC9" w:rsidP="00BC4EC9">
      <w:pPr>
        <w:rPr>
          <w:szCs w:val="24"/>
        </w:rPr>
      </w:pPr>
      <w:r w:rsidRPr="003231D3">
        <w:rPr>
          <w:szCs w:val="24"/>
        </w:rPr>
        <w:t>No exemption is being requested.</w:t>
      </w:r>
    </w:p>
    <w:p w:rsidR="00BC4EC9" w:rsidRPr="00BC4EC9" w:rsidRDefault="00BC4EC9" w:rsidP="00BC4EC9">
      <w:pPr>
        <w:rPr>
          <w:b/>
          <w:szCs w:val="24"/>
          <w:highlight w:val="yellow"/>
          <w:u w:val="single"/>
        </w:rPr>
      </w:pPr>
    </w:p>
    <w:p w:rsidR="00D32013" w:rsidRPr="00955B0B" w:rsidRDefault="00BC4EC9" w:rsidP="00955B0B">
      <w:pPr>
        <w:pStyle w:val="Heading2"/>
        <w:rPr>
          <w:color w:val="auto"/>
          <w:sz w:val="24"/>
          <w:szCs w:val="24"/>
          <w:u w:val="single"/>
        </w:rPr>
      </w:pPr>
      <w:bookmarkStart w:id="20" w:name="_Toc358273854"/>
      <w:r w:rsidRPr="00D32013">
        <w:rPr>
          <w:color w:val="auto"/>
          <w:sz w:val="24"/>
          <w:szCs w:val="24"/>
          <w:u w:val="single"/>
        </w:rPr>
        <w:t>List of Attachments</w:t>
      </w:r>
      <w:bookmarkStart w:id="21" w:name="_Toc277862455"/>
      <w:bookmarkEnd w:id="20"/>
    </w:p>
    <w:p w:rsidR="00BC4EC9" w:rsidRPr="00D32013" w:rsidRDefault="00BC4EC9" w:rsidP="00D32013">
      <w:pPr>
        <w:rPr>
          <w:szCs w:val="24"/>
        </w:rPr>
      </w:pPr>
    </w:p>
    <w:p w:rsidR="00BC4EC9" w:rsidRPr="00B80CAB" w:rsidRDefault="00BC4EC9" w:rsidP="00BC4EC9">
      <w:pPr>
        <w:rPr>
          <w:szCs w:val="24"/>
        </w:rPr>
      </w:pPr>
      <w:r w:rsidRPr="00B80CAB">
        <w:rPr>
          <w:szCs w:val="24"/>
        </w:rPr>
        <w:t xml:space="preserve">Attachment </w:t>
      </w:r>
      <w:r w:rsidR="006C3316">
        <w:rPr>
          <w:szCs w:val="24"/>
        </w:rPr>
        <w:t>A</w:t>
      </w:r>
      <w:r w:rsidRPr="00B80CAB">
        <w:rPr>
          <w:szCs w:val="24"/>
        </w:rPr>
        <w:t xml:space="preserve"> – Cognitive Interview Guide</w:t>
      </w:r>
    </w:p>
    <w:p w:rsidR="005F0EB0" w:rsidRDefault="005F0EB0" w:rsidP="005F0EB0">
      <w:pPr>
        <w:rPr>
          <w:szCs w:val="24"/>
        </w:rPr>
      </w:pPr>
    </w:p>
    <w:p w:rsidR="005F0EB0" w:rsidRPr="00B80CAB" w:rsidRDefault="00BC4EC9" w:rsidP="005F0EB0">
      <w:pPr>
        <w:rPr>
          <w:szCs w:val="24"/>
        </w:rPr>
      </w:pPr>
      <w:r w:rsidRPr="00B80CAB">
        <w:rPr>
          <w:szCs w:val="24"/>
        </w:rPr>
        <w:t xml:space="preserve">Attachment </w:t>
      </w:r>
      <w:r w:rsidR="0077226C">
        <w:rPr>
          <w:szCs w:val="24"/>
        </w:rPr>
        <w:t>B</w:t>
      </w:r>
      <w:r w:rsidRPr="00B80CAB">
        <w:rPr>
          <w:szCs w:val="24"/>
        </w:rPr>
        <w:t xml:space="preserve"> – </w:t>
      </w:r>
      <w:r w:rsidR="00974B2C" w:rsidRPr="00D07147">
        <w:rPr>
          <w:szCs w:val="24"/>
        </w:rPr>
        <w:t>Ambulatory Surgery</w:t>
      </w:r>
      <w:r w:rsidR="00974B2C">
        <w:rPr>
          <w:b/>
          <w:szCs w:val="24"/>
        </w:rPr>
        <w:t xml:space="preserve"> </w:t>
      </w:r>
      <w:r w:rsidR="00974B2C">
        <w:rPr>
          <w:szCs w:val="24"/>
        </w:rPr>
        <w:t>SOPS</w:t>
      </w:r>
      <w:r w:rsidR="0014116E" w:rsidRPr="00B80CAB">
        <w:rPr>
          <w:szCs w:val="24"/>
        </w:rPr>
        <w:t xml:space="preserve"> </w:t>
      </w:r>
    </w:p>
    <w:p w:rsidR="00BC4EC9" w:rsidRPr="00B80CAB" w:rsidRDefault="00BC4EC9" w:rsidP="00BC4EC9">
      <w:pPr>
        <w:rPr>
          <w:szCs w:val="24"/>
        </w:rPr>
      </w:pPr>
    </w:p>
    <w:p w:rsidR="00496F88" w:rsidRDefault="00BC4EC9" w:rsidP="00BC4EC9">
      <w:pPr>
        <w:rPr>
          <w:szCs w:val="24"/>
        </w:rPr>
      </w:pPr>
      <w:r w:rsidRPr="00B80CAB">
        <w:rPr>
          <w:szCs w:val="24"/>
        </w:rPr>
        <w:t xml:space="preserve">Attachment </w:t>
      </w:r>
      <w:r w:rsidR="0077226C">
        <w:rPr>
          <w:szCs w:val="24"/>
        </w:rPr>
        <w:t>C</w:t>
      </w:r>
      <w:r w:rsidRPr="00B80CAB">
        <w:rPr>
          <w:szCs w:val="24"/>
        </w:rPr>
        <w:t xml:space="preserve"> – </w:t>
      </w:r>
      <w:r w:rsidR="00496F88">
        <w:rPr>
          <w:szCs w:val="24"/>
        </w:rPr>
        <w:t xml:space="preserve">Site-level POC Instructions for </w:t>
      </w:r>
      <w:r w:rsidR="005F0EB0">
        <w:rPr>
          <w:szCs w:val="24"/>
        </w:rPr>
        <w:t xml:space="preserve">Survey </w:t>
      </w:r>
    </w:p>
    <w:p w:rsidR="005F0EB0" w:rsidRDefault="005F0EB0" w:rsidP="00BC4EC9">
      <w:pPr>
        <w:rPr>
          <w:szCs w:val="24"/>
        </w:rPr>
      </w:pPr>
    </w:p>
    <w:p w:rsidR="00496F88" w:rsidRDefault="00496F88" w:rsidP="00496F88">
      <w:pPr>
        <w:rPr>
          <w:szCs w:val="24"/>
        </w:rPr>
      </w:pPr>
      <w:r w:rsidRPr="00B80CAB">
        <w:rPr>
          <w:szCs w:val="24"/>
        </w:rPr>
        <w:t xml:space="preserve">Attachment </w:t>
      </w:r>
      <w:r w:rsidR="0077226C">
        <w:rPr>
          <w:szCs w:val="24"/>
        </w:rPr>
        <w:t>D</w:t>
      </w:r>
      <w:r w:rsidRPr="00B80CAB">
        <w:rPr>
          <w:szCs w:val="24"/>
        </w:rPr>
        <w:t xml:space="preserve"> – Pretest Cover Letter and Reminder Notice for Survey</w:t>
      </w:r>
    </w:p>
    <w:bookmarkEnd w:id="21"/>
    <w:p w:rsidR="00CE789E" w:rsidRDefault="00CE789E" w:rsidP="0014116E">
      <w:pPr>
        <w:rPr>
          <w:szCs w:val="24"/>
        </w:rPr>
      </w:pPr>
    </w:p>
    <w:p w:rsidR="0014116E" w:rsidRPr="00B80CAB" w:rsidRDefault="0014116E" w:rsidP="0014116E">
      <w:pPr>
        <w:rPr>
          <w:szCs w:val="24"/>
        </w:rPr>
      </w:pPr>
      <w:r w:rsidRPr="00B80CAB">
        <w:rPr>
          <w:szCs w:val="24"/>
        </w:rPr>
        <w:t xml:space="preserve">Attachment </w:t>
      </w:r>
      <w:r w:rsidR="00622D39">
        <w:rPr>
          <w:szCs w:val="24"/>
        </w:rPr>
        <w:t>E</w:t>
      </w:r>
      <w:r w:rsidRPr="00B80CAB">
        <w:rPr>
          <w:szCs w:val="24"/>
        </w:rPr>
        <w:t xml:space="preserve"> – Federal Register Notice</w:t>
      </w:r>
    </w:p>
    <w:p w:rsidR="0014116E" w:rsidRPr="00B80CAB" w:rsidRDefault="0014116E" w:rsidP="0014116E">
      <w:pPr>
        <w:rPr>
          <w:szCs w:val="24"/>
        </w:rPr>
      </w:pPr>
    </w:p>
    <w:p w:rsidR="0014116E" w:rsidRDefault="00633389" w:rsidP="0014116E">
      <w:pPr>
        <w:rPr>
          <w:szCs w:val="24"/>
        </w:rPr>
      </w:pPr>
      <w:r>
        <w:rPr>
          <w:szCs w:val="24"/>
        </w:rPr>
        <w:t xml:space="preserve">Attachment </w:t>
      </w:r>
      <w:r w:rsidR="00622D39">
        <w:rPr>
          <w:szCs w:val="24"/>
        </w:rPr>
        <w:t>F</w:t>
      </w:r>
      <w:r w:rsidR="0014116E" w:rsidRPr="00B80CAB">
        <w:rPr>
          <w:szCs w:val="24"/>
        </w:rPr>
        <w:t xml:space="preserve"> – List of Expert Reviewers and Consultants</w:t>
      </w:r>
      <w:r w:rsidR="0014116E">
        <w:rPr>
          <w:b/>
          <w:szCs w:val="24"/>
          <w:u w:val="single"/>
        </w:rPr>
        <w:t xml:space="preserve"> </w:t>
      </w:r>
    </w:p>
    <w:p w:rsidR="00D15CB6" w:rsidRDefault="00D15CB6" w:rsidP="00D15CB6">
      <w:pPr>
        <w:rPr>
          <w:szCs w:val="24"/>
          <w:highlight w:val="yellow"/>
        </w:rPr>
      </w:pPr>
    </w:p>
    <w:p w:rsidR="00BC4EC9" w:rsidRDefault="00BC4EC9" w:rsidP="00BC4EC9">
      <w:pPr>
        <w:pStyle w:val="Heading1"/>
        <w:spacing w:before="240"/>
        <w:rPr>
          <w:b w:val="0"/>
          <w:color w:val="auto"/>
          <w:sz w:val="24"/>
          <w:szCs w:val="24"/>
          <w:u w:val="single"/>
        </w:rPr>
      </w:pPr>
    </w:p>
    <w:p w:rsidR="00BC4EC9" w:rsidRDefault="00BC4EC9" w:rsidP="00BC4EC9">
      <w:pPr>
        <w:pStyle w:val="Heading1"/>
        <w:spacing w:before="240"/>
        <w:rPr>
          <w:b w:val="0"/>
          <w:color w:val="auto"/>
          <w:sz w:val="24"/>
          <w:szCs w:val="24"/>
        </w:rPr>
      </w:pPr>
    </w:p>
    <w:p w:rsidR="00BC4EC9" w:rsidRDefault="00BC4EC9" w:rsidP="00BC4EC9">
      <w:pPr>
        <w:rPr>
          <w:b/>
          <w:szCs w:val="24"/>
          <w:u w:val="single"/>
        </w:rPr>
      </w:pPr>
    </w:p>
    <w:p w:rsidR="008B098A" w:rsidRPr="00BC4EC9" w:rsidRDefault="008B098A" w:rsidP="00BC4EC9"/>
    <w:sectPr w:rsidR="008B098A" w:rsidRPr="00BC4EC9" w:rsidSect="004A238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BDA" w:rsidRDefault="00D81BDA" w:rsidP="00BC4EC9">
      <w:r>
        <w:separator/>
      </w:r>
    </w:p>
  </w:endnote>
  <w:endnote w:type="continuationSeparator" w:id="0">
    <w:p w:rsidR="00D81BDA" w:rsidRDefault="00D81BDA" w:rsidP="00BC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352484"/>
      <w:docPartObj>
        <w:docPartGallery w:val="Page Numbers (Bottom of Page)"/>
        <w:docPartUnique/>
      </w:docPartObj>
    </w:sdtPr>
    <w:sdtEndPr>
      <w:rPr>
        <w:noProof/>
      </w:rPr>
    </w:sdtEndPr>
    <w:sdtContent>
      <w:p w:rsidR="00D81BDA" w:rsidRDefault="001D650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D81BDA" w:rsidRDefault="00D81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BDA" w:rsidRDefault="00D81BDA" w:rsidP="00BC4EC9">
      <w:r>
        <w:separator/>
      </w:r>
    </w:p>
  </w:footnote>
  <w:footnote w:type="continuationSeparator" w:id="0">
    <w:p w:rsidR="00D81BDA" w:rsidRDefault="00D81BDA" w:rsidP="00BC4EC9">
      <w:r>
        <w:continuationSeparator/>
      </w:r>
    </w:p>
  </w:footnote>
  <w:footnote w:id="1">
    <w:p w:rsidR="00D81BDA" w:rsidRDefault="00D81BDA">
      <w:pPr>
        <w:pStyle w:val="FootnoteText"/>
      </w:pPr>
      <w:r>
        <w:rPr>
          <w:rStyle w:val="FootnoteReference"/>
        </w:rPr>
        <w:footnoteRef/>
      </w:r>
      <w:r>
        <w:t xml:space="preserve"> </w:t>
      </w:r>
      <w:proofErr w:type="gramStart"/>
      <w:r>
        <w:t>U.S. Department of Health and Human Services.</w:t>
      </w:r>
      <w:proofErr w:type="gramEnd"/>
      <w:r>
        <w:t xml:space="preserve"> </w:t>
      </w:r>
      <w:r w:rsidRPr="00CB409B">
        <w:t>National Action Plan to Prevent Healthcare-Associated Infections: Roadmap to Elimination</w:t>
      </w:r>
      <w:r>
        <w:t xml:space="preserve">— Ambulatory Surgical Centers. </w:t>
      </w:r>
      <w:proofErr w:type="gramStart"/>
      <w:r>
        <w:t>April 2012 Draft.</w:t>
      </w:r>
      <w:proofErr w:type="gramEnd"/>
      <w:r>
        <w:t xml:space="preserve"> Accessed March 1, 2013, from h</w:t>
      </w:r>
      <w:r w:rsidRPr="001C6DA2">
        <w:t>ttp://www.hhs.gov/ash/initiatives/hai/</w:t>
      </w:r>
      <w:r>
        <w:t xml:space="preserve"> </w:t>
      </w:r>
      <w:r w:rsidRPr="001C6DA2">
        <w:t>ambulatory_surgical_centers.html</w:t>
      </w:r>
      <w:r>
        <w:t xml:space="preserve"> </w:t>
      </w:r>
    </w:p>
  </w:footnote>
  <w:footnote w:id="2">
    <w:p w:rsidR="00D81BDA" w:rsidRDefault="00D81BDA">
      <w:pPr>
        <w:pStyle w:val="FootnoteText"/>
      </w:pPr>
      <w:r>
        <w:rPr>
          <w:rStyle w:val="FootnoteReference"/>
        </w:rPr>
        <w:footnoteRef/>
      </w:r>
      <w:r>
        <w:t xml:space="preserve"> </w:t>
      </w:r>
      <w:proofErr w:type="gramStart"/>
      <w:r w:rsidRPr="00537258">
        <w:t>Pennsylvania Patient Safety Authority</w:t>
      </w:r>
      <w:r>
        <w:t>.</w:t>
      </w:r>
      <w:proofErr w:type="gramEnd"/>
      <w:r>
        <w:t xml:space="preserve"> </w:t>
      </w:r>
      <w:proofErr w:type="gramStart"/>
      <w:r>
        <w:t>2011 Annual Report.</w:t>
      </w:r>
      <w:proofErr w:type="gramEnd"/>
      <w:r>
        <w:t xml:space="preserve"> Accessed March 4, 2013, from </w:t>
      </w:r>
      <w:r w:rsidRPr="00BD1DCD">
        <w:t>http://patientsafetyauthority.org/PatientSafetyAuthority/Pages/AnnualReports.aspx</w:t>
      </w:r>
    </w:p>
  </w:footnote>
  <w:footnote w:id="3">
    <w:p w:rsidR="00D81BDA" w:rsidRDefault="00D81BDA" w:rsidP="00D815C4">
      <w:pPr>
        <w:pStyle w:val="FootnoteText"/>
      </w:pPr>
      <w:r>
        <w:rPr>
          <w:rStyle w:val="FootnoteReference"/>
        </w:rPr>
        <w:footnoteRef/>
      </w:r>
      <w:r>
        <w:t xml:space="preserve"> </w:t>
      </w:r>
      <w:proofErr w:type="gramStart"/>
      <w:r>
        <w:t>Indiana Department of Health.</w:t>
      </w:r>
      <w:proofErr w:type="gramEnd"/>
      <w:r>
        <w:t xml:space="preserve"> </w:t>
      </w:r>
      <w:proofErr w:type="gramStart"/>
      <w:r>
        <w:t>Indiana Medical Error Reporting System, Final Report for 2011.</w:t>
      </w:r>
      <w:proofErr w:type="gramEnd"/>
      <w:r>
        <w:t xml:space="preserve"> Accessed March 1, 2013, from </w:t>
      </w:r>
      <w:r w:rsidRPr="00D815C4">
        <w:t>http://www.state.in.us/isdh/files/2011_MERS_Report.pdf</w:t>
      </w:r>
      <w:r>
        <w:t xml:space="preserve"> </w:t>
      </w:r>
    </w:p>
    <w:p w:rsidR="00D81BDA" w:rsidRDefault="00D81BDA" w:rsidP="00D815C4">
      <w:pPr>
        <w:pStyle w:val="FootnoteText"/>
      </w:pPr>
    </w:p>
  </w:footnote>
  <w:footnote w:id="4">
    <w:p w:rsidR="00D81BDA" w:rsidRDefault="00D81BDA" w:rsidP="00A12239">
      <w:pPr>
        <w:pStyle w:val="FootnoteText"/>
      </w:pPr>
      <w:r>
        <w:rPr>
          <w:rStyle w:val="FootnoteReference"/>
        </w:rPr>
        <w:footnoteRef/>
      </w:r>
      <w:r>
        <w:t xml:space="preserve"> </w:t>
      </w:r>
      <w:r w:rsidRPr="00C6042E">
        <w:rPr>
          <w:sz w:val="20"/>
        </w:rPr>
        <w:t xml:space="preserve">The Hospital Survey on Patient Safety Culture was </w:t>
      </w:r>
      <w:r>
        <w:rPr>
          <w:sz w:val="20"/>
        </w:rPr>
        <w:t>pre</w:t>
      </w:r>
      <w:r w:rsidRPr="00C6042E">
        <w:rPr>
          <w:sz w:val="20"/>
        </w:rPr>
        <w:t>tested (OMB # 0935-0115, exp 1/31/2004) and made available to the public in November 2004; the Nursing Home Survey on</w:t>
      </w:r>
      <w:r w:rsidRPr="009B3269">
        <w:t xml:space="preserve"> </w:t>
      </w:r>
      <w:r w:rsidRPr="00C6042E">
        <w:rPr>
          <w:sz w:val="20"/>
        </w:rPr>
        <w:t xml:space="preserve">Patient Safety Culture was </w:t>
      </w:r>
      <w:r>
        <w:rPr>
          <w:sz w:val="20"/>
        </w:rPr>
        <w:t>pre</w:t>
      </w:r>
      <w:r w:rsidRPr="00C6042E">
        <w:rPr>
          <w:sz w:val="20"/>
        </w:rPr>
        <w:t xml:space="preserve">tested (OMB # 0935-0132, exp. 7/31/2010) and made available to the public in November 2008; the Medical Office Survey on Patient Safety Culture was </w:t>
      </w:r>
      <w:r>
        <w:rPr>
          <w:sz w:val="20"/>
        </w:rPr>
        <w:t>pre</w:t>
      </w:r>
      <w:r w:rsidRPr="00C6042E">
        <w:rPr>
          <w:sz w:val="20"/>
        </w:rPr>
        <w:t xml:space="preserve">tested (OMB # 0935-0131, exp. 7/31/2010) and made available to the public in December 2008; and the Pharmacy Survey on Patient Safety Culture was </w:t>
      </w:r>
      <w:r>
        <w:rPr>
          <w:sz w:val="20"/>
        </w:rPr>
        <w:t>pre</w:t>
      </w:r>
      <w:r w:rsidRPr="00C6042E">
        <w:rPr>
          <w:sz w:val="20"/>
        </w:rPr>
        <w:t>tested (OMB # 0935-0183, exp. 8/31/2014) and made available to the public in August 2012.</w:t>
      </w:r>
      <w:r>
        <w:t xml:space="preserve"> </w:t>
      </w:r>
    </w:p>
  </w:footnote>
  <w:footnote w:id="5">
    <w:p w:rsidR="00D81BDA" w:rsidRPr="00076BB8" w:rsidRDefault="00D81BDA" w:rsidP="00FD458A">
      <w:pPr>
        <w:pStyle w:val="FootnoteText"/>
        <w:rPr>
          <w:sz w:val="20"/>
        </w:rPr>
      </w:pPr>
      <w:r w:rsidRPr="00076BB8">
        <w:rPr>
          <w:rStyle w:val="FootnoteReference"/>
          <w:sz w:val="20"/>
        </w:rPr>
        <w:footnoteRef/>
      </w:r>
      <w:r w:rsidRPr="00076BB8">
        <w:rPr>
          <w:sz w:val="20"/>
        </w:rPr>
        <w:t xml:space="preserve"> Alvarado CJ, </w:t>
      </w:r>
      <w:proofErr w:type="spellStart"/>
      <w:r w:rsidRPr="00076BB8">
        <w:rPr>
          <w:sz w:val="20"/>
        </w:rPr>
        <w:t>Carayon</w:t>
      </w:r>
      <w:proofErr w:type="spellEnd"/>
      <w:r w:rsidRPr="00076BB8">
        <w:rPr>
          <w:sz w:val="20"/>
        </w:rPr>
        <w:t xml:space="preserve"> P, </w:t>
      </w:r>
      <w:proofErr w:type="spellStart"/>
      <w:r w:rsidRPr="00076BB8">
        <w:rPr>
          <w:sz w:val="20"/>
        </w:rPr>
        <w:t>Hundt</w:t>
      </w:r>
      <w:proofErr w:type="spellEnd"/>
      <w:r w:rsidRPr="00076BB8">
        <w:rPr>
          <w:sz w:val="20"/>
        </w:rPr>
        <w:t xml:space="preserve"> AS. Patient safety climate (PSC) in outpatient surgery centers. </w:t>
      </w:r>
      <w:proofErr w:type="gramStart"/>
      <w:r w:rsidRPr="00076BB8">
        <w:rPr>
          <w:sz w:val="20"/>
        </w:rPr>
        <w:t>Proceedings of the Human Factors and Ergonomics Society Annual Meeting; 48(14); 2004.</w:t>
      </w:r>
      <w:proofErr w:type="gramEnd"/>
      <w:r w:rsidRPr="00076BB8">
        <w:rPr>
          <w:sz w:val="20"/>
        </w:rPr>
        <w:t xml:space="preserve"> p. 1629-33.</w:t>
      </w:r>
    </w:p>
  </w:footnote>
  <w:footnote w:id="6">
    <w:p w:rsidR="00D81BDA" w:rsidRPr="00076BB8" w:rsidRDefault="00D81BDA" w:rsidP="00423F62">
      <w:pPr>
        <w:pStyle w:val="FootnoteText"/>
        <w:rPr>
          <w:sz w:val="20"/>
        </w:rPr>
      </w:pPr>
      <w:r w:rsidRPr="00076BB8">
        <w:rPr>
          <w:rStyle w:val="FootnoteReference"/>
          <w:sz w:val="20"/>
        </w:rPr>
        <w:footnoteRef/>
      </w:r>
      <w:r w:rsidRPr="00076BB8">
        <w:rPr>
          <w:sz w:val="20"/>
        </w:rPr>
        <w:t xml:space="preserve"> Singer SJ. </w:t>
      </w:r>
      <w:proofErr w:type="gramStart"/>
      <w:r w:rsidRPr="00076BB8">
        <w:rPr>
          <w:sz w:val="20"/>
        </w:rPr>
        <w:t>(2012b). Su</w:t>
      </w:r>
      <w:r>
        <w:rPr>
          <w:sz w:val="20"/>
        </w:rPr>
        <w:t>rgical Safety Culture Survey.</w:t>
      </w:r>
      <w:proofErr w:type="gramEnd"/>
      <w:r>
        <w:rPr>
          <w:sz w:val="20"/>
        </w:rPr>
        <w:t xml:space="preserve"> </w:t>
      </w:r>
      <w:r w:rsidRPr="00076BB8">
        <w:rPr>
          <w:sz w:val="20"/>
        </w:rPr>
        <w:t>Retrieved Jan 24, 2013, from http://www.safesurgery2015.org/south-carolina-monitoring-program.html</w:t>
      </w:r>
    </w:p>
  </w:footnote>
  <w:footnote w:id="7">
    <w:p w:rsidR="00D81BDA" w:rsidRPr="00531D3F" w:rsidRDefault="00D81BDA" w:rsidP="00423F62">
      <w:pPr>
        <w:pStyle w:val="FootnoteText"/>
        <w:rPr>
          <w:sz w:val="20"/>
        </w:rPr>
      </w:pPr>
      <w:r w:rsidRPr="00531D3F">
        <w:rPr>
          <w:rStyle w:val="FootnoteReference"/>
          <w:sz w:val="20"/>
        </w:rPr>
        <w:footnoteRef/>
      </w:r>
      <w:r w:rsidRPr="00531D3F">
        <w:rPr>
          <w:sz w:val="20"/>
        </w:rPr>
        <w:t xml:space="preserve"> Singer SJ (2012). Results from the 2012 Surgical Safety Culture Survey, compared to initial 2011 results [PowerPoint slides].</w:t>
      </w:r>
    </w:p>
  </w:footnote>
  <w:footnote w:id="8">
    <w:p w:rsidR="00D81BDA" w:rsidRPr="00447BDD" w:rsidRDefault="00D81BDA" w:rsidP="00423F62">
      <w:pPr>
        <w:pStyle w:val="FootnoteText"/>
        <w:rPr>
          <w:sz w:val="20"/>
        </w:rPr>
      </w:pPr>
      <w:r w:rsidRPr="00447BDD">
        <w:rPr>
          <w:rStyle w:val="FootnoteReference"/>
          <w:sz w:val="20"/>
        </w:rPr>
        <w:footnoteRef/>
      </w:r>
      <w:r w:rsidRPr="00447BDD">
        <w:rPr>
          <w:sz w:val="20"/>
        </w:rPr>
        <w:t xml:space="preserve"> Singer SJ, Kiang M, Huang L, Jiang W. Surgical intervention climate in South Carolina hospitals: Measurement as opportunity to motivate, direct, and assess improvement. </w:t>
      </w:r>
      <w:proofErr w:type="gramStart"/>
      <w:r w:rsidRPr="00447BDD">
        <w:rPr>
          <w:sz w:val="20"/>
        </w:rPr>
        <w:t>The Academy of Management; 2012; Boston, MA.</w:t>
      </w:r>
      <w:proofErr w:type="gramEnd"/>
    </w:p>
  </w:footnote>
  <w:footnote w:id="9">
    <w:p w:rsidR="00D81BDA" w:rsidRDefault="00D81BDA">
      <w:pPr>
        <w:pStyle w:val="FootnoteText"/>
      </w:pPr>
      <w:r>
        <w:rPr>
          <w:rStyle w:val="FootnoteReference"/>
        </w:rPr>
        <w:footnoteRef/>
      </w:r>
      <w:r>
        <w:t xml:space="preserve"> </w:t>
      </w:r>
      <w:proofErr w:type="gramStart"/>
      <w:r w:rsidRPr="003259DF">
        <w:rPr>
          <w:color w:val="000000"/>
          <w:sz w:val="20"/>
        </w:rPr>
        <w:t>Surgeons (29-1067, $106.</w:t>
      </w:r>
      <w:r>
        <w:rPr>
          <w:color w:val="000000"/>
          <w:sz w:val="20"/>
        </w:rPr>
        <w:t>48</w:t>
      </w:r>
      <w:r w:rsidRPr="003259DF">
        <w:rPr>
          <w:color w:val="000000"/>
          <w:sz w:val="20"/>
        </w:rPr>
        <w:t>),</w:t>
      </w:r>
      <w:r w:rsidRPr="006748F5">
        <w:rPr>
          <w:color w:val="000000"/>
          <w:sz w:val="20"/>
        </w:rPr>
        <w:t xml:space="preserve"> </w:t>
      </w:r>
      <w:r>
        <w:rPr>
          <w:color w:val="000000"/>
          <w:sz w:val="20"/>
        </w:rPr>
        <w:t>Registered Nurses (29-1141, $34.23).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1696F"/>
    <w:multiLevelType w:val="hybridMultilevel"/>
    <w:tmpl w:val="D8B4E9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367FE"/>
    <w:multiLevelType w:val="hybridMultilevel"/>
    <w:tmpl w:val="CAB63A88"/>
    <w:lvl w:ilvl="0" w:tplc="4A922A1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C79C0"/>
    <w:multiLevelType w:val="hybridMultilevel"/>
    <w:tmpl w:val="DABAA818"/>
    <w:lvl w:ilvl="0" w:tplc="0EB8EDB8">
      <w:start w:val="1"/>
      <w:numFmt w:val="upperLetter"/>
      <w:lvlText w:val="%1."/>
      <w:lvlJc w:val="left"/>
      <w:pPr>
        <w:ind w:left="81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D64C79"/>
    <w:multiLevelType w:val="hybridMultilevel"/>
    <w:tmpl w:val="413E6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A22F8"/>
    <w:multiLevelType w:val="hybridMultilevel"/>
    <w:tmpl w:val="E0C2ED56"/>
    <w:lvl w:ilvl="0" w:tplc="98BCE214">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02399B"/>
    <w:multiLevelType w:val="hybridMultilevel"/>
    <w:tmpl w:val="3934E64C"/>
    <w:lvl w:ilvl="0" w:tplc="0EB8ED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003BE"/>
    <w:multiLevelType w:val="hybridMultilevel"/>
    <w:tmpl w:val="18BA1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E6ED2"/>
    <w:multiLevelType w:val="hybridMultilevel"/>
    <w:tmpl w:val="90A4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926FA0"/>
    <w:multiLevelType w:val="hybridMultilevel"/>
    <w:tmpl w:val="5AD047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7914A0"/>
    <w:multiLevelType w:val="hybridMultilevel"/>
    <w:tmpl w:val="3934E64C"/>
    <w:lvl w:ilvl="0" w:tplc="0EB8ED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7817F12"/>
    <w:multiLevelType w:val="hybridMultilevel"/>
    <w:tmpl w:val="100AB540"/>
    <w:lvl w:ilvl="0" w:tplc="DBE47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B00FA6"/>
    <w:multiLevelType w:val="hybridMultilevel"/>
    <w:tmpl w:val="D2408E6E"/>
    <w:lvl w:ilvl="0" w:tplc="98BCE2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A36C2C"/>
    <w:multiLevelType w:val="hybridMultilevel"/>
    <w:tmpl w:val="DCAC45D8"/>
    <w:lvl w:ilvl="0" w:tplc="C6F663C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6516EC"/>
    <w:multiLevelType w:val="hybridMultilevel"/>
    <w:tmpl w:val="DABAA818"/>
    <w:lvl w:ilvl="0" w:tplc="0EB8EDB8">
      <w:start w:val="1"/>
      <w:numFmt w:val="upperLetter"/>
      <w:lvlText w:val="%1."/>
      <w:lvlJc w:val="left"/>
      <w:pPr>
        <w:ind w:left="81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A63748"/>
    <w:multiLevelType w:val="hybridMultilevel"/>
    <w:tmpl w:val="C562D7AA"/>
    <w:lvl w:ilvl="0" w:tplc="8A6AA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F62336"/>
    <w:multiLevelType w:val="hybridMultilevel"/>
    <w:tmpl w:val="E76A7D46"/>
    <w:lvl w:ilvl="0" w:tplc="0EB8ED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3"/>
  </w:num>
  <w:num w:numId="5">
    <w:abstractNumId w:val="1"/>
  </w:num>
  <w:num w:numId="6">
    <w:abstractNumId w:val="16"/>
  </w:num>
  <w:num w:numId="7">
    <w:abstractNumId w:val="0"/>
  </w:num>
  <w:num w:numId="8">
    <w:abstractNumId w:val="6"/>
  </w:num>
  <w:num w:numId="9">
    <w:abstractNumId w:val="12"/>
  </w:num>
  <w:num w:numId="10">
    <w:abstractNumId w:val="4"/>
  </w:num>
  <w:num w:numId="11">
    <w:abstractNumId w:val="9"/>
  </w:num>
  <w:num w:numId="12">
    <w:abstractNumId w:val="5"/>
  </w:num>
  <w:num w:numId="13">
    <w:abstractNumId w:val="14"/>
  </w:num>
  <w:num w:numId="14">
    <w:abstractNumId w:val="2"/>
  </w:num>
  <w:num w:numId="15">
    <w:abstractNumId w:val="7"/>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3BE4"/>
    <w:rsid w:val="00002C25"/>
    <w:rsid w:val="00012421"/>
    <w:rsid w:val="00015387"/>
    <w:rsid w:val="00023CD8"/>
    <w:rsid w:val="00031578"/>
    <w:rsid w:val="000349FF"/>
    <w:rsid w:val="000356A0"/>
    <w:rsid w:val="00035763"/>
    <w:rsid w:val="00035EA5"/>
    <w:rsid w:val="00036143"/>
    <w:rsid w:val="00043C3F"/>
    <w:rsid w:val="0004408D"/>
    <w:rsid w:val="00044C55"/>
    <w:rsid w:val="0005607F"/>
    <w:rsid w:val="0005706A"/>
    <w:rsid w:val="00063295"/>
    <w:rsid w:val="00064DA6"/>
    <w:rsid w:val="000708BB"/>
    <w:rsid w:val="00073CDD"/>
    <w:rsid w:val="00076BB8"/>
    <w:rsid w:val="000804A7"/>
    <w:rsid w:val="00082537"/>
    <w:rsid w:val="00086A1D"/>
    <w:rsid w:val="00094A40"/>
    <w:rsid w:val="000958A9"/>
    <w:rsid w:val="000A1F97"/>
    <w:rsid w:val="000A777D"/>
    <w:rsid w:val="000A7C8D"/>
    <w:rsid w:val="000B046C"/>
    <w:rsid w:val="000B2167"/>
    <w:rsid w:val="000B35ED"/>
    <w:rsid w:val="000B48FD"/>
    <w:rsid w:val="000B79DD"/>
    <w:rsid w:val="000C18FE"/>
    <w:rsid w:val="000C1F09"/>
    <w:rsid w:val="000D1929"/>
    <w:rsid w:val="000D37A6"/>
    <w:rsid w:val="000D684D"/>
    <w:rsid w:val="000E484A"/>
    <w:rsid w:val="000F18BC"/>
    <w:rsid w:val="000F3691"/>
    <w:rsid w:val="000F5F73"/>
    <w:rsid w:val="00101147"/>
    <w:rsid w:val="00101CE7"/>
    <w:rsid w:val="00103D67"/>
    <w:rsid w:val="001042A5"/>
    <w:rsid w:val="00107AED"/>
    <w:rsid w:val="001141A5"/>
    <w:rsid w:val="0011786B"/>
    <w:rsid w:val="001217E9"/>
    <w:rsid w:val="001267FD"/>
    <w:rsid w:val="00127285"/>
    <w:rsid w:val="00130D94"/>
    <w:rsid w:val="00137A79"/>
    <w:rsid w:val="0014116E"/>
    <w:rsid w:val="00145C50"/>
    <w:rsid w:val="00155C2F"/>
    <w:rsid w:val="0016033F"/>
    <w:rsid w:val="00160561"/>
    <w:rsid w:val="00162B16"/>
    <w:rsid w:val="00165A85"/>
    <w:rsid w:val="00167834"/>
    <w:rsid w:val="001700E1"/>
    <w:rsid w:val="00170DBB"/>
    <w:rsid w:val="00173195"/>
    <w:rsid w:val="00173F04"/>
    <w:rsid w:val="001753E2"/>
    <w:rsid w:val="00177A48"/>
    <w:rsid w:val="00177C6B"/>
    <w:rsid w:val="00190817"/>
    <w:rsid w:val="001A1D1A"/>
    <w:rsid w:val="001A2CCE"/>
    <w:rsid w:val="001A606B"/>
    <w:rsid w:val="001B0CC8"/>
    <w:rsid w:val="001B272F"/>
    <w:rsid w:val="001B2ECB"/>
    <w:rsid w:val="001B72C5"/>
    <w:rsid w:val="001C3338"/>
    <w:rsid w:val="001C6DA2"/>
    <w:rsid w:val="001C7D22"/>
    <w:rsid w:val="001D1FBF"/>
    <w:rsid w:val="001D222C"/>
    <w:rsid w:val="001D4698"/>
    <w:rsid w:val="001D6507"/>
    <w:rsid w:val="001E06C4"/>
    <w:rsid w:val="001E67A3"/>
    <w:rsid w:val="001E70FB"/>
    <w:rsid w:val="001F0288"/>
    <w:rsid w:val="001F1415"/>
    <w:rsid w:val="001F7569"/>
    <w:rsid w:val="001F7EFF"/>
    <w:rsid w:val="00200325"/>
    <w:rsid w:val="00204F68"/>
    <w:rsid w:val="00207D2D"/>
    <w:rsid w:val="00210633"/>
    <w:rsid w:val="00210BB9"/>
    <w:rsid w:val="00211E22"/>
    <w:rsid w:val="00223E5D"/>
    <w:rsid w:val="002245A8"/>
    <w:rsid w:val="00225DCC"/>
    <w:rsid w:val="00233CD2"/>
    <w:rsid w:val="002371BD"/>
    <w:rsid w:val="0024125E"/>
    <w:rsid w:val="00243166"/>
    <w:rsid w:val="00245E6F"/>
    <w:rsid w:val="0024619A"/>
    <w:rsid w:val="002540C9"/>
    <w:rsid w:val="00257F05"/>
    <w:rsid w:val="00261316"/>
    <w:rsid w:val="00263F44"/>
    <w:rsid w:val="00270F68"/>
    <w:rsid w:val="00270F83"/>
    <w:rsid w:val="002730EB"/>
    <w:rsid w:val="00274FD5"/>
    <w:rsid w:val="00276BCF"/>
    <w:rsid w:val="002777D9"/>
    <w:rsid w:val="00280CBE"/>
    <w:rsid w:val="00281DD7"/>
    <w:rsid w:val="00282DBF"/>
    <w:rsid w:val="00284388"/>
    <w:rsid w:val="00290AA1"/>
    <w:rsid w:val="00293CFF"/>
    <w:rsid w:val="002A1558"/>
    <w:rsid w:val="002A6F8D"/>
    <w:rsid w:val="002B09F5"/>
    <w:rsid w:val="002B13E9"/>
    <w:rsid w:val="002B36F2"/>
    <w:rsid w:val="002B59A4"/>
    <w:rsid w:val="002C1AA6"/>
    <w:rsid w:val="002C1AD4"/>
    <w:rsid w:val="002C4FD5"/>
    <w:rsid w:val="002D06DF"/>
    <w:rsid w:val="002D1FDB"/>
    <w:rsid w:val="002D2D41"/>
    <w:rsid w:val="002D53FD"/>
    <w:rsid w:val="002D7A2A"/>
    <w:rsid w:val="002E37EC"/>
    <w:rsid w:val="002E631A"/>
    <w:rsid w:val="002E70AE"/>
    <w:rsid w:val="002F7C38"/>
    <w:rsid w:val="00301700"/>
    <w:rsid w:val="00301D71"/>
    <w:rsid w:val="00304E3C"/>
    <w:rsid w:val="00305336"/>
    <w:rsid w:val="00311161"/>
    <w:rsid w:val="00316B3C"/>
    <w:rsid w:val="00321CD2"/>
    <w:rsid w:val="003231D3"/>
    <w:rsid w:val="003259DF"/>
    <w:rsid w:val="0034129A"/>
    <w:rsid w:val="003412A3"/>
    <w:rsid w:val="00343005"/>
    <w:rsid w:val="003441D2"/>
    <w:rsid w:val="00355DA4"/>
    <w:rsid w:val="003574FB"/>
    <w:rsid w:val="0036102B"/>
    <w:rsid w:val="00364133"/>
    <w:rsid w:val="00365886"/>
    <w:rsid w:val="003661CC"/>
    <w:rsid w:val="00367399"/>
    <w:rsid w:val="00371E8E"/>
    <w:rsid w:val="00377954"/>
    <w:rsid w:val="0038185E"/>
    <w:rsid w:val="00382C1D"/>
    <w:rsid w:val="00382CE4"/>
    <w:rsid w:val="00383C7B"/>
    <w:rsid w:val="0039414F"/>
    <w:rsid w:val="003953DD"/>
    <w:rsid w:val="00395DDF"/>
    <w:rsid w:val="0039714C"/>
    <w:rsid w:val="003A1390"/>
    <w:rsid w:val="003B1D7A"/>
    <w:rsid w:val="003B3476"/>
    <w:rsid w:val="003B5CF3"/>
    <w:rsid w:val="003B6105"/>
    <w:rsid w:val="003C1561"/>
    <w:rsid w:val="003C6534"/>
    <w:rsid w:val="003D1669"/>
    <w:rsid w:val="003D3DCA"/>
    <w:rsid w:val="003D3F8E"/>
    <w:rsid w:val="003D6505"/>
    <w:rsid w:val="003D7615"/>
    <w:rsid w:val="003D79BC"/>
    <w:rsid w:val="003E207C"/>
    <w:rsid w:val="003E2A31"/>
    <w:rsid w:val="003E2C98"/>
    <w:rsid w:val="003F027F"/>
    <w:rsid w:val="003F1FD2"/>
    <w:rsid w:val="003F2D4E"/>
    <w:rsid w:val="00403D60"/>
    <w:rsid w:val="0040457D"/>
    <w:rsid w:val="00405206"/>
    <w:rsid w:val="00405819"/>
    <w:rsid w:val="00423F62"/>
    <w:rsid w:val="00425384"/>
    <w:rsid w:val="004278D8"/>
    <w:rsid w:val="00442DA4"/>
    <w:rsid w:val="00447BDD"/>
    <w:rsid w:val="004520D1"/>
    <w:rsid w:val="0045304F"/>
    <w:rsid w:val="004536FD"/>
    <w:rsid w:val="00453BE4"/>
    <w:rsid w:val="00455D4E"/>
    <w:rsid w:val="00457EB2"/>
    <w:rsid w:val="0046338B"/>
    <w:rsid w:val="00473578"/>
    <w:rsid w:val="004742CE"/>
    <w:rsid w:val="00474F9F"/>
    <w:rsid w:val="004760DD"/>
    <w:rsid w:val="0047670C"/>
    <w:rsid w:val="00481F33"/>
    <w:rsid w:val="004842E8"/>
    <w:rsid w:val="00491695"/>
    <w:rsid w:val="00496F2D"/>
    <w:rsid w:val="00496F88"/>
    <w:rsid w:val="0049735F"/>
    <w:rsid w:val="004A238C"/>
    <w:rsid w:val="004A6AB8"/>
    <w:rsid w:val="004A6DC7"/>
    <w:rsid w:val="004A6DD9"/>
    <w:rsid w:val="004B1F44"/>
    <w:rsid w:val="004B5DDD"/>
    <w:rsid w:val="004B6D89"/>
    <w:rsid w:val="004C2E40"/>
    <w:rsid w:val="004C5D9F"/>
    <w:rsid w:val="004C5F55"/>
    <w:rsid w:val="004C71E5"/>
    <w:rsid w:val="004D1CC9"/>
    <w:rsid w:val="004D7226"/>
    <w:rsid w:val="004D7D10"/>
    <w:rsid w:val="004E606F"/>
    <w:rsid w:val="004E66AC"/>
    <w:rsid w:val="004E7E42"/>
    <w:rsid w:val="004F0144"/>
    <w:rsid w:val="004F05BD"/>
    <w:rsid w:val="004F1B0F"/>
    <w:rsid w:val="004F1F7B"/>
    <w:rsid w:val="004F38AC"/>
    <w:rsid w:val="005030AC"/>
    <w:rsid w:val="005034F5"/>
    <w:rsid w:val="00504205"/>
    <w:rsid w:val="005062FD"/>
    <w:rsid w:val="00524D3E"/>
    <w:rsid w:val="00524DDB"/>
    <w:rsid w:val="00525156"/>
    <w:rsid w:val="00525E7D"/>
    <w:rsid w:val="00527171"/>
    <w:rsid w:val="005306C8"/>
    <w:rsid w:val="00530961"/>
    <w:rsid w:val="00531D3F"/>
    <w:rsid w:val="005346E7"/>
    <w:rsid w:val="00537258"/>
    <w:rsid w:val="00540108"/>
    <w:rsid w:val="00540890"/>
    <w:rsid w:val="00543875"/>
    <w:rsid w:val="005464C9"/>
    <w:rsid w:val="00555DD9"/>
    <w:rsid w:val="005575B6"/>
    <w:rsid w:val="00557A75"/>
    <w:rsid w:val="00570B69"/>
    <w:rsid w:val="005715A8"/>
    <w:rsid w:val="00580D61"/>
    <w:rsid w:val="0058122F"/>
    <w:rsid w:val="0058164E"/>
    <w:rsid w:val="005831DA"/>
    <w:rsid w:val="00583CD9"/>
    <w:rsid w:val="00583CED"/>
    <w:rsid w:val="0058596C"/>
    <w:rsid w:val="005875C4"/>
    <w:rsid w:val="00592F51"/>
    <w:rsid w:val="0059382E"/>
    <w:rsid w:val="005939FA"/>
    <w:rsid w:val="00593DF3"/>
    <w:rsid w:val="005A0B13"/>
    <w:rsid w:val="005A5E43"/>
    <w:rsid w:val="005B2DE4"/>
    <w:rsid w:val="005B4DDD"/>
    <w:rsid w:val="005B7CA3"/>
    <w:rsid w:val="005C23AD"/>
    <w:rsid w:val="005C7726"/>
    <w:rsid w:val="005D50A5"/>
    <w:rsid w:val="005D64E6"/>
    <w:rsid w:val="005E6720"/>
    <w:rsid w:val="005F0EB0"/>
    <w:rsid w:val="005F499C"/>
    <w:rsid w:val="005F4B0D"/>
    <w:rsid w:val="005F6EB3"/>
    <w:rsid w:val="006011F8"/>
    <w:rsid w:val="0061059E"/>
    <w:rsid w:val="00615BC0"/>
    <w:rsid w:val="0061721A"/>
    <w:rsid w:val="00617AF9"/>
    <w:rsid w:val="0062218A"/>
    <w:rsid w:val="00622D39"/>
    <w:rsid w:val="00623F30"/>
    <w:rsid w:val="00631DFD"/>
    <w:rsid w:val="00633389"/>
    <w:rsid w:val="00641753"/>
    <w:rsid w:val="006423AC"/>
    <w:rsid w:val="006457EA"/>
    <w:rsid w:val="00650B2E"/>
    <w:rsid w:val="00651584"/>
    <w:rsid w:val="006519AD"/>
    <w:rsid w:val="0065229D"/>
    <w:rsid w:val="00652D00"/>
    <w:rsid w:val="006575C6"/>
    <w:rsid w:val="00666F8E"/>
    <w:rsid w:val="0067167F"/>
    <w:rsid w:val="00671C51"/>
    <w:rsid w:val="006748F5"/>
    <w:rsid w:val="00681D26"/>
    <w:rsid w:val="00685AB4"/>
    <w:rsid w:val="006860D2"/>
    <w:rsid w:val="0068748F"/>
    <w:rsid w:val="00690C6B"/>
    <w:rsid w:val="00692300"/>
    <w:rsid w:val="006966FB"/>
    <w:rsid w:val="006A0246"/>
    <w:rsid w:val="006A5BC3"/>
    <w:rsid w:val="006C1A51"/>
    <w:rsid w:val="006C3316"/>
    <w:rsid w:val="006C5C4B"/>
    <w:rsid w:val="006C6736"/>
    <w:rsid w:val="006C6D05"/>
    <w:rsid w:val="006C7904"/>
    <w:rsid w:val="006D2B92"/>
    <w:rsid w:val="006D3660"/>
    <w:rsid w:val="006E364A"/>
    <w:rsid w:val="006E3719"/>
    <w:rsid w:val="006E4090"/>
    <w:rsid w:val="006E7CC8"/>
    <w:rsid w:val="006F1CF3"/>
    <w:rsid w:val="006F4138"/>
    <w:rsid w:val="006F4436"/>
    <w:rsid w:val="00700368"/>
    <w:rsid w:val="00700B91"/>
    <w:rsid w:val="007047E7"/>
    <w:rsid w:val="00704DDC"/>
    <w:rsid w:val="007064BE"/>
    <w:rsid w:val="00711E53"/>
    <w:rsid w:val="007131E7"/>
    <w:rsid w:val="007218CE"/>
    <w:rsid w:val="00722CAB"/>
    <w:rsid w:val="00724228"/>
    <w:rsid w:val="00725C86"/>
    <w:rsid w:val="00726226"/>
    <w:rsid w:val="007277FB"/>
    <w:rsid w:val="00727DD4"/>
    <w:rsid w:val="00732DFE"/>
    <w:rsid w:val="00735E9A"/>
    <w:rsid w:val="00736BC5"/>
    <w:rsid w:val="00741AEF"/>
    <w:rsid w:val="00741BE4"/>
    <w:rsid w:val="00745B64"/>
    <w:rsid w:val="0075146D"/>
    <w:rsid w:val="00764047"/>
    <w:rsid w:val="00765AD7"/>
    <w:rsid w:val="007674E4"/>
    <w:rsid w:val="0077226C"/>
    <w:rsid w:val="00772BAD"/>
    <w:rsid w:val="00772E4D"/>
    <w:rsid w:val="00777E20"/>
    <w:rsid w:val="007862AD"/>
    <w:rsid w:val="00787550"/>
    <w:rsid w:val="00792575"/>
    <w:rsid w:val="00795FBD"/>
    <w:rsid w:val="00797C38"/>
    <w:rsid w:val="007A1FC0"/>
    <w:rsid w:val="007A3C50"/>
    <w:rsid w:val="007A4D93"/>
    <w:rsid w:val="007A65F5"/>
    <w:rsid w:val="007B1032"/>
    <w:rsid w:val="007B4822"/>
    <w:rsid w:val="007B4979"/>
    <w:rsid w:val="007B566E"/>
    <w:rsid w:val="007C0A03"/>
    <w:rsid w:val="007C0B4C"/>
    <w:rsid w:val="007C2D69"/>
    <w:rsid w:val="007C34BE"/>
    <w:rsid w:val="007C3EE4"/>
    <w:rsid w:val="007C4843"/>
    <w:rsid w:val="007D0D52"/>
    <w:rsid w:val="007D163F"/>
    <w:rsid w:val="007D1D17"/>
    <w:rsid w:val="007D2B6A"/>
    <w:rsid w:val="007D51DD"/>
    <w:rsid w:val="007F04C3"/>
    <w:rsid w:val="007F0D2D"/>
    <w:rsid w:val="007F0ED5"/>
    <w:rsid w:val="00800360"/>
    <w:rsid w:val="0080069F"/>
    <w:rsid w:val="008044E2"/>
    <w:rsid w:val="00810455"/>
    <w:rsid w:val="00813430"/>
    <w:rsid w:val="00815AAF"/>
    <w:rsid w:val="00820F4D"/>
    <w:rsid w:val="00824330"/>
    <w:rsid w:val="00824350"/>
    <w:rsid w:val="00824619"/>
    <w:rsid w:val="00824D46"/>
    <w:rsid w:val="00825E0A"/>
    <w:rsid w:val="0082645B"/>
    <w:rsid w:val="0083213B"/>
    <w:rsid w:val="00832797"/>
    <w:rsid w:val="00840A56"/>
    <w:rsid w:val="00842565"/>
    <w:rsid w:val="00844E97"/>
    <w:rsid w:val="00845560"/>
    <w:rsid w:val="00851ADA"/>
    <w:rsid w:val="00852BDD"/>
    <w:rsid w:val="0085439C"/>
    <w:rsid w:val="0086217B"/>
    <w:rsid w:val="008623EC"/>
    <w:rsid w:val="00863FD2"/>
    <w:rsid w:val="008662A3"/>
    <w:rsid w:val="008663E5"/>
    <w:rsid w:val="0086653C"/>
    <w:rsid w:val="00866E55"/>
    <w:rsid w:val="0087000B"/>
    <w:rsid w:val="00870A31"/>
    <w:rsid w:val="0087218F"/>
    <w:rsid w:val="008829C0"/>
    <w:rsid w:val="00883B95"/>
    <w:rsid w:val="00884698"/>
    <w:rsid w:val="00886044"/>
    <w:rsid w:val="008864D1"/>
    <w:rsid w:val="008931DF"/>
    <w:rsid w:val="008950E4"/>
    <w:rsid w:val="008A40AB"/>
    <w:rsid w:val="008A7720"/>
    <w:rsid w:val="008B098A"/>
    <w:rsid w:val="008B5723"/>
    <w:rsid w:val="008C1873"/>
    <w:rsid w:val="008C3154"/>
    <w:rsid w:val="008C41EA"/>
    <w:rsid w:val="008C620B"/>
    <w:rsid w:val="008C7475"/>
    <w:rsid w:val="008C7FBB"/>
    <w:rsid w:val="008D0767"/>
    <w:rsid w:val="008D0E3A"/>
    <w:rsid w:val="008D2A58"/>
    <w:rsid w:val="008E6AB5"/>
    <w:rsid w:val="008E77B3"/>
    <w:rsid w:val="008F38C9"/>
    <w:rsid w:val="008F46A6"/>
    <w:rsid w:val="008F6413"/>
    <w:rsid w:val="008F7420"/>
    <w:rsid w:val="00900117"/>
    <w:rsid w:val="0090097C"/>
    <w:rsid w:val="00904E59"/>
    <w:rsid w:val="00905037"/>
    <w:rsid w:val="009102FE"/>
    <w:rsid w:val="00912C67"/>
    <w:rsid w:val="0091657D"/>
    <w:rsid w:val="00921085"/>
    <w:rsid w:val="0092127B"/>
    <w:rsid w:val="0092324B"/>
    <w:rsid w:val="0092657A"/>
    <w:rsid w:val="00927A58"/>
    <w:rsid w:val="00930087"/>
    <w:rsid w:val="00931D77"/>
    <w:rsid w:val="009335F6"/>
    <w:rsid w:val="00933E57"/>
    <w:rsid w:val="00935A07"/>
    <w:rsid w:val="0093633A"/>
    <w:rsid w:val="00937AF0"/>
    <w:rsid w:val="00937E29"/>
    <w:rsid w:val="0094553C"/>
    <w:rsid w:val="00946995"/>
    <w:rsid w:val="0094759C"/>
    <w:rsid w:val="009501F7"/>
    <w:rsid w:val="00952123"/>
    <w:rsid w:val="00955B0B"/>
    <w:rsid w:val="00957E26"/>
    <w:rsid w:val="00961391"/>
    <w:rsid w:val="009623F2"/>
    <w:rsid w:val="00963124"/>
    <w:rsid w:val="0096398D"/>
    <w:rsid w:val="00974B2C"/>
    <w:rsid w:val="0097594D"/>
    <w:rsid w:val="0098426C"/>
    <w:rsid w:val="009909F3"/>
    <w:rsid w:val="00993192"/>
    <w:rsid w:val="00996A8C"/>
    <w:rsid w:val="009A10B5"/>
    <w:rsid w:val="009A1395"/>
    <w:rsid w:val="009A3487"/>
    <w:rsid w:val="009A55E7"/>
    <w:rsid w:val="009A7F1F"/>
    <w:rsid w:val="009C4A53"/>
    <w:rsid w:val="009D2459"/>
    <w:rsid w:val="009D245D"/>
    <w:rsid w:val="009D2759"/>
    <w:rsid w:val="009D2E02"/>
    <w:rsid w:val="009D6A9D"/>
    <w:rsid w:val="009F066D"/>
    <w:rsid w:val="009F09F6"/>
    <w:rsid w:val="009F33AE"/>
    <w:rsid w:val="009F5B0C"/>
    <w:rsid w:val="009F6772"/>
    <w:rsid w:val="009F74D2"/>
    <w:rsid w:val="00A046E6"/>
    <w:rsid w:val="00A06D0A"/>
    <w:rsid w:val="00A07757"/>
    <w:rsid w:val="00A12239"/>
    <w:rsid w:val="00A14367"/>
    <w:rsid w:val="00A148CB"/>
    <w:rsid w:val="00A14A2B"/>
    <w:rsid w:val="00A15132"/>
    <w:rsid w:val="00A200D3"/>
    <w:rsid w:val="00A20D6E"/>
    <w:rsid w:val="00A26158"/>
    <w:rsid w:val="00A30DD1"/>
    <w:rsid w:val="00A31657"/>
    <w:rsid w:val="00A33F0D"/>
    <w:rsid w:val="00A42947"/>
    <w:rsid w:val="00A452EB"/>
    <w:rsid w:val="00A543EE"/>
    <w:rsid w:val="00A61868"/>
    <w:rsid w:val="00A6264D"/>
    <w:rsid w:val="00A62FD7"/>
    <w:rsid w:val="00A636B2"/>
    <w:rsid w:val="00A6526B"/>
    <w:rsid w:val="00A75521"/>
    <w:rsid w:val="00A773F6"/>
    <w:rsid w:val="00A90136"/>
    <w:rsid w:val="00A90154"/>
    <w:rsid w:val="00A96628"/>
    <w:rsid w:val="00A969DC"/>
    <w:rsid w:val="00A97B17"/>
    <w:rsid w:val="00AA191D"/>
    <w:rsid w:val="00AA1CF2"/>
    <w:rsid w:val="00AA1DEC"/>
    <w:rsid w:val="00AA53C4"/>
    <w:rsid w:val="00AA5D20"/>
    <w:rsid w:val="00AA6EBC"/>
    <w:rsid w:val="00AA78D2"/>
    <w:rsid w:val="00AB3811"/>
    <w:rsid w:val="00AB44E6"/>
    <w:rsid w:val="00AB5B83"/>
    <w:rsid w:val="00AB5F36"/>
    <w:rsid w:val="00AC1AE4"/>
    <w:rsid w:val="00AC515F"/>
    <w:rsid w:val="00AD0CE9"/>
    <w:rsid w:val="00AD2C17"/>
    <w:rsid w:val="00AD3C46"/>
    <w:rsid w:val="00AD4700"/>
    <w:rsid w:val="00AD6235"/>
    <w:rsid w:val="00AE50E1"/>
    <w:rsid w:val="00AE66C8"/>
    <w:rsid w:val="00AE687F"/>
    <w:rsid w:val="00AE758A"/>
    <w:rsid w:val="00AF1559"/>
    <w:rsid w:val="00AF4D2D"/>
    <w:rsid w:val="00AF533B"/>
    <w:rsid w:val="00AF6216"/>
    <w:rsid w:val="00AF7E23"/>
    <w:rsid w:val="00B0090E"/>
    <w:rsid w:val="00B041A9"/>
    <w:rsid w:val="00B06832"/>
    <w:rsid w:val="00B11436"/>
    <w:rsid w:val="00B17FBB"/>
    <w:rsid w:val="00B20101"/>
    <w:rsid w:val="00B21D38"/>
    <w:rsid w:val="00B23117"/>
    <w:rsid w:val="00B23AE4"/>
    <w:rsid w:val="00B255CB"/>
    <w:rsid w:val="00B306EF"/>
    <w:rsid w:val="00B32A28"/>
    <w:rsid w:val="00B4374A"/>
    <w:rsid w:val="00B51643"/>
    <w:rsid w:val="00B52BD3"/>
    <w:rsid w:val="00B53982"/>
    <w:rsid w:val="00B54DA5"/>
    <w:rsid w:val="00B55E7A"/>
    <w:rsid w:val="00B71E35"/>
    <w:rsid w:val="00B74BFD"/>
    <w:rsid w:val="00B75F4D"/>
    <w:rsid w:val="00B80232"/>
    <w:rsid w:val="00B80CAB"/>
    <w:rsid w:val="00B85315"/>
    <w:rsid w:val="00B91437"/>
    <w:rsid w:val="00BA047E"/>
    <w:rsid w:val="00BA1EDD"/>
    <w:rsid w:val="00BA47A9"/>
    <w:rsid w:val="00BB1C01"/>
    <w:rsid w:val="00BB396B"/>
    <w:rsid w:val="00BC23CF"/>
    <w:rsid w:val="00BC2AE2"/>
    <w:rsid w:val="00BC4EC9"/>
    <w:rsid w:val="00BD1DCD"/>
    <w:rsid w:val="00BD4E9C"/>
    <w:rsid w:val="00BE02F9"/>
    <w:rsid w:val="00BE5313"/>
    <w:rsid w:val="00BE713F"/>
    <w:rsid w:val="00BF4629"/>
    <w:rsid w:val="00BF6111"/>
    <w:rsid w:val="00C00742"/>
    <w:rsid w:val="00C03CF0"/>
    <w:rsid w:val="00C12418"/>
    <w:rsid w:val="00C20EF3"/>
    <w:rsid w:val="00C277B7"/>
    <w:rsid w:val="00C308A4"/>
    <w:rsid w:val="00C32F8F"/>
    <w:rsid w:val="00C40322"/>
    <w:rsid w:val="00C42C7E"/>
    <w:rsid w:val="00C43B75"/>
    <w:rsid w:val="00C43F82"/>
    <w:rsid w:val="00C47088"/>
    <w:rsid w:val="00C500DF"/>
    <w:rsid w:val="00C52539"/>
    <w:rsid w:val="00C53C31"/>
    <w:rsid w:val="00C6042E"/>
    <w:rsid w:val="00C61187"/>
    <w:rsid w:val="00C65500"/>
    <w:rsid w:val="00C66504"/>
    <w:rsid w:val="00C76763"/>
    <w:rsid w:val="00C77810"/>
    <w:rsid w:val="00C80431"/>
    <w:rsid w:val="00C8250D"/>
    <w:rsid w:val="00C83B16"/>
    <w:rsid w:val="00C83CFF"/>
    <w:rsid w:val="00C84834"/>
    <w:rsid w:val="00C850AA"/>
    <w:rsid w:val="00C91FB9"/>
    <w:rsid w:val="00C94465"/>
    <w:rsid w:val="00C968C5"/>
    <w:rsid w:val="00CA46D6"/>
    <w:rsid w:val="00CA6029"/>
    <w:rsid w:val="00CA61D7"/>
    <w:rsid w:val="00CB2604"/>
    <w:rsid w:val="00CB3FA9"/>
    <w:rsid w:val="00CB409B"/>
    <w:rsid w:val="00CC02DA"/>
    <w:rsid w:val="00CC0EDA"/>
    <w:rsid w:val="00CC3395"/>
    <w:rsid w:val="00CC4FE4"/>
    <w:rsid w:val="00CC54BD"/>
    <w:rsid w:val="00CC6E79"/>
    <w:rsid w:val="00CD0811"/>
    <w:rsid w:val="00CD0FAD"/>
    <w:rsid w:val="00CD1763"/>
    <w:rsid w:val="00CD17EC"/>
    <w:rsid w:val="00CD23E2"/>
    <w:rsid w:val="00CD322B"/>
    <w:rsid w:val="00CD410A"/>
    <w:rsid w:val="00CD766C"/>
    <w:rsid w:val="00CE4A64"/>
    <w:rsid w:val="00CE6204"/>
    <w:rsid w:val="00CE64BD"/>
    <w:rsid w:val="00CE65DD"/>
    <w:rsid w:val="00CE789E"/>
    <w:rsid w:val="00CF5339"/>
    <w:rsid w:val="00D0351C"/>
    <w:rsid w:val="00D07147"/>
    <w:rsid w:val="00D124AB"/>
    <w:rsid w:val="00D128E3"/>
    <w:rsid w:val="00D14B19"/>
    <w:rsid w:val="00D15CB6"/>
    <w:rsid w:val="00D24E42"/>
    <w:rsid w:val="00D25AF0"/>
    <w:rsid w:val="00D31403"/>
    <w:rsid w:val="00D314FF"/>
    <w:rsid w:val="00D32013"/>
    <w:rsid w:val="00D416E1"/>
    <w:rsid w:val="00D42666"/>
    <w:rsid w:val="00D427D1"/>
    <w:rsid w:val="00D43049"/>
    <w:rsid w:val="00D440BF"/>
    <w:rsid w:val="00D47B5F"/>
    <w:rsid w:val="00D52166"/>
    <w:rsid w:val="00D54FB6"/>
    <w:rsid w:val="00D63F86"/>
    <w:rsid w:val="00D66AA1"/>
    <w:rsid w:val="00D7090D"/>
    <w:rsid w:val="00D72DA9"/>
    <w:rsid w:val="00D73649"/>
    <w:rsid w:val="00D737AA"/>
    <w:rsid w:val="00D73BFA"/>
    <w:rsid w:val="00D755DA"/>
    <w:rsid w:val="00D815C4"/>
    <w:rsid w:val="00D81BDA"/>
    <w:rsid w:val="00D84CE9"/>
    <w:rsid w:val="00D84CF0"/>
    <w:rsid w:val="00D913E0"/>
    <w:rsid w:val="00D93A44"/>
    <w:rsid w:val="00D97812"/>
    <w:rsid w:val="00DA25BB"/>
    <w:rsid w:val="00DA29DB"/>
    <w:rsid w:val="00DA5EE4"/>
    <w:rsid w:val="00DB2FE1"/>
    <w:rsid w:val="00DC506A"/>
    <w:rsid w:val="00DD19E7"/>
    <w:rsid w:val="00DD5C25"/>
    <w:rsid w:val="00DE2225"/>
    <w:rsid w:val="00DE4415"/>
    <w:rsid w:val="00DE5CE3"/>
    <w:rsid w:val="00DE6C50"/>
    <w:rsid w:val="00DE7B27"/>
    <w:rsid w:val="00DE7C56"/>
    <w:rsid w:val="00DF035D"/>
    <w:rsid w:val="00DF0A05"/>
    <w:rsid w:val="00DF20E8"/>
    <w:rsid w:val="00DF2DE6"/>
    <w:rsid w:val="00DF2F8B"/>
    <w:rsid w:val="00DF40DD"/>
    <w:rsid w:val="00DF5354"/>
    <w:rsid w:val="00DF70BB"/>
    <w:rsid w:val="00E069B7"/>
    <w:rsid w:val="00E07F76"/>
    <w:rsid w:val="00E14A6A"/>
    <w:rsid w:val="00E17D4F"/>
    <w:rsid w:val="00E21140"/>
    <w:rsid w:val="00E214CC"/>
    <w:rsid w:val="00E228B6"/>
    <w:rsid w:val="00E2584C"/>
    <w:rsid w:val="00E31E02"/>
    <w:rsid w:val="00E40680"/>
    <w:rsid w:val="00E41C27"/>
    <w:rsid w:val="00E56919"/>
    <w:rsid w:val="00E57C47"/>
    <w:rsid w:val="00E605C1"/>
    <w:rsid w:val="00E8060F"/>
    <w:rsid w:val="00E8433B"/>
    <w:rsid w:val="00E87558"/>
    <w:rsid w:val="00E9283F"/>
    <w:rsid w:val="00EA06E2"/>
    <w:rsid w:val="00EA3E4B"/>
    <w:rsid w:val="00EA438D"/>
    <w:rsid w:val="00EA4D36"/>
    <w:rsid w:val="00EA7C24"/>
    <w:rsid w:val="00EB1336"/>
    <w:rsid w:val="00EB6BC2"/>
    <w:rsid w:val="00EC16E6"/>
    <w:rsid w:val="00EC3C0A"/>
    <w:rsid w:val="00ED0904"/>
    <w:rsid w:val="00ED1682"/>
    <w:rsid w:val="00ED2304"/>
    <w:rsid w:val="00ED7283"/>
    <w:rsid w:val="00ED73F2"/>
    <w:rsid w:val="00EE0DF5"/>
    <w:rsid w:val="00EE1156"/>
    <w:rsid w:val="00EE54C1"/>
    <w:rsid w:val="00EF775A"/>
    <w:rsid w:val="00F22E0F"/>
    <w:rsid w:val="00F34971"/>
    <w:rsid w:val="00F41A22"/>
    <w:rsid w:val="00F4239F"/>
    <w:rsid w:val="00F44DC8"/>
    <w:rsid w:val="00F4566F"/>
    <w:rsid w:val="00F46A89"/>
    <w:rsid w:val="00F51A78"/>
    <w:rsid w:val="00F5237C"/>
    <w:rsid w:val="00F56B6A"/>
    <w:rsid w:val="00F60237"/>
    <w:rsid w:val="00F6204F"/>
    <w:rsid w:val="00F65631"/>
    <w:rsid w:val="00F73D8E"/>
    <w:rsid w:val="00F75F0E"/>
    <w:rsid w:val="00F77B66"/>
    <w:rsid w:val="00F77CB2"/>
    <w:rsid w:val="00F8072E"/>
    <w:rsid w:val="00F82D57"/>
    <w:rsid w:val="00F859E4"/>
    <w:rsid w:val="00F90343"/>
    <w:rsid w:val="00F93E50"/>
    <w:rsid w:val="00F97F42"/>
    <w:rsid w:val="00FA0A74"/>
    <w:rsid w:val="00FA645E"/>
    <w:rsid w:val="00FA7754"/>
    <w:rsid w:val="00FA79C9"/>
    <w:rsid w:val="00FB14F6"/>
    <w:rsid w:val="00FB49E3"/>
    <w:rsid w:val="00FB640C"/>
    <w:rsid w:val="00FC2233"/>
    <w:rsid w:val="00FC3CA5"/>
    <w:rsid w:val="00FC49C6"/>
    <w:rsid w:val="00FC589B"/>
    <w:rsid w:val="00FC5900"/>
    <w:rsid w:val="00FC6C5D"/>
    <w:rsid w:val="00FD458A"/>
    <w:rsid w:val="00FD688C"/>
    <w:rsid w:val="00FE575D"/>
    <w:rsid w:val="00FE7082"/>
    <w:rsid w:val="00FE7DA6"/>
    <w:rsid w:val="00FF140B"/>
    <w:rsid w:val="00FF31D0"/>
    <w:rsid w:val="00FF496B"/>
    <w:rsid w:val="00FF6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FC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C4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E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09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E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4EC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C4EC9"/>
    <w:rPr>
      <w:color w:val="0000FF"/>
      <w:u w:val="single"/>
    </w:rPr>
  </w:style>
  <w:style w:type="paragraph" w:styleId="TOC1">
    <w:name w:val="toc 1"/>
    <w:basedOn w:val="Normal"/>
    <w:next w:val="Normal"/>
    <w:autoRedefine/>
    <w:uiPriority w:val="39"/>
    <w:unhideWhenUsed/>
    <w:rsid w:val="00BC4EC9"/>
    <w:pPr>
      <w:spacing w:after="100"/>
    </w:pPr>
  </w:style>
  <w:style w:type="paragraph" w:styleId="TOC2">
    <w:name w:val="toc 2"/>
    <w:basedOn w:val="Normal"/>
    <w:next w:val="Normal"/>
    <w:autoRedefine/>
    <w:uiPriority w:val="39"/>
    <w:unhideWhenUsed/>
    <w:rsid w:val="00BC4EC9"/>
    <w:pPr>
      <w:spacing w:after="100"/>
      <w:ind w:left="200"/>
    </w:pPr>
  </w:style>
  <w:style w:type="paragraph" w:styleId="FootnoteText">
    <w:name w:val="footnote text"/>
    <w:basedOn w:val="Normal"/>
    <w:link w:val="FootnoteTextChar"/>
    <w:unhideWhenUsed/>
    <w:rsid w:val="00BC4EC9"/>
  </w:style>
  <w:style w:type="character" w:customStyle="1" w:styleId="FootnoteTextChar">
    <w:name w:val="Footnote Text Char"/>
    <w:basedOn w:val="DefaultParagraphFont"/>
    <w:link w:val="FootnoteText"/>
    <w:rsid w:val="00BC4EC9"/>
    <w:rPr>
      <w:rFonts w:ascii="Times New Roman" w:eastAsia="Times New Roman" w:hAnsi="Times New Roman" w:cs="Times New Roman"/>
      <w:sz w:val="20"/>
      <w:szCs w:val="20"/>
    </w:rPr>
  </w:style>
  <w:style w:type="paragraph" w:styleId="ListParagraph">
    <w:name w:val="List Paragraph"/>
    <w:basedOn w:val="Normal"/>
    <w:uiPriority w:val="34"/>
    <w:qFormat/>
    <w:rsid w:val="00BC4EC9"/>
    <w:pPr>
      <w:ind w:left="720"/>
      <w:contextualSpacing/>
    </w:pPr>
  </w:style>
  <w:style w:type="paragraph" w:styleId="TOCHeading">
    <w:name w:val="TOC Heading"/>
    <w:basedOn w:val="Heading1"/>
    <w:next w:val="Normal"/>
    <w:uiPriority w:val="39"/>
    <w:semiHidden/>
    <w:unhideWhenUsed/>
    <w:qFormat/>
    <w:rsid w:val="00BC4EC9"/>
    <w:pPr>
      <w:spacing w:line="276" w:lineRule="auto"/>
      <w:outlineLvl w:val="9"/>
    </w:pPr>
  </w:style>
  <w:style w:type="paragraph" w:customStyle="1" w:styleId="TT-TableTitle">
    <w:name w:val="TT-Table Title"/>
    <w:rsid w:val="00BC4EC9"/>
    <w:pPr>
      <w:tabs>
        <w:tab w:val="left" w:pos="1152"/>
      </w:tabs>
      <w:spacing w:after="0" w:line="240" w:lineRule="atLeast"/>
      <w:ind w:left="1152" w:hanging="1152"/>
    </w:pPr>
    <w:rPr>
      <w:rFonts w:ascii="Times New Roman" w:eastAsia="Times New Roman" w:hAnsi="Times New Roman" w:cs="Times New Roman"/>
      <w:szCs w:val="20"/>
    </w:rPr>
  </w:style>
  <w:style w:type="character" w:styleId="FootnoteReference">
    <w:name w:val="footnote reference"/>
    <w:basedOn w:val="DefaultParagraphFont"/>
    <w:semiHidden/>
    <w:unhideWhenUsed/>
    <w:rsid w:val="00BC4EC9"/>
    <w:rPr>
      <w:vertAlign w:val="superscript"/>
    </w:rPr>
  </w:style>
  <w:style w:type="paragraph" w:styleId="BalloonText">
    <w:name w:val="Balloon Text"/>
    <w:basedOn w:val="Normal"/>
    <w:link w:val="BalloonTextChar"/>
    <w:uiPriority w:val="99"/>
    <w:semiHidden/>
    <w:unhideWhenUsed/>
    <w:rsid w:val="008B098A"/>
    <w:rPr>
      <w:rFonts w:ascii="Tahoma" w:hAnsi="Tahoma" w:cs="Tahoma"/>
      <w:sz w:val="16"/>
      <w:szCs w:val="16"/>
    </w:rPr>
  </w:style>
  <w:style w:type="character" w:customStyle="1" w:styleId="BalloonTextChar">
    <w:name w:val="Balloon Text Char"/>
    <w:basedOn w:val="DefaultParagraphFont"/>
    <w:link w:val="BalloonText"/>
    <w:uiPriority w:val="99"/>
    <w:semiHidden/>
    <w:rsid w:val="008B098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B098A"/>
    <w:rPr>
      <w:color w:val="800080" w:themeColor="followedHyperlink"/>
      <w:u w:val="single"/>
    </w:rPr>
  </w:style>
  <w:style w:type="character" w:customStyle="1" w:styleId="Heading3Char">
    <w:name w:val="Heading 3 Char"/>
    <w:basedOn w:val="DefaultParagraphFont"/>
    <w:link w:val="Heading3"/>
    <w:uiPriority w:val="9"/>
    <w:rsid w:val="008B098A"/>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semiHidden/>
    <w:unhideWhenUsed/>
    <w:rsid w:val="007047E7"/>
    <w:pPr>
      <w:spacing w:before="100" w:beforeAutospacing="1" w:after="100" w:afterAutospacing="1"/>
    </w:pPr>
    <w:rPr>
      <w:szCs w:val="24"/>
    </w:rPr>
  </w:style>
  <w:style w:type="paragraph" w:styleId="Header">
    <w:name w:val="header"/>
    <w:basedOn w:val="Normal"/>
    <w:link w:val="HeaderChar"/>
    <w:uiPriority w:val="99"/>
    <w:unhideWhenUsed/>
    <w:rsid w:val="00270F68"/>
    <w:pPr>
      <w:tabs>
        <w:tab w:val="center" w:pos="4680"/>
        <w:tab w:val="right" w:pos="9360"/>
      </w:tabs>
    </w:pPr>
  </w:style>
  <w:style w:type="character" w:customStyle="1" w:styleId="HeaderChar">
    <w:name w:val="Header Char"/>
    <w:basedOn w:val="DefaultParagraphFont"/>
    <w:link w:val="Header"/>
    <w:uiPriority w:val="99"/>
    <w:rsid w:val="00270F6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0F68"/>
    <w:pPr>
      <w:tabs>
        <w:tab w:val="center" w:pos="4680"/>
        <w:tab w:val="right" w:pos="9360"/>
      </w:tabs>
    </w:pPr>
  </w:style>
  <w:style w:type="character" w:customStyle="1" w:styleId="FooterChar">
    <w:name w:val="Footer Char"/>
    <w:basedOn w:val="DefaultParagraphFont"/>
    <w:link w:val="Footer"/>
    <w:uiPriority w:val="99"/>
    <w:rsid w:val="00270F6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42947"/>
    <w:rPr>
      <w:sz w:val="16"/>
      <w:szCs w:val="16"/>
    </w:rPr>
  </w:style>
  <w:style w:type="paragraph" w:styleId="CommentText">
    <w:name w:val="annotation text"/>
    <w:basedOn w:val="Normal"/>
    <w:link w:val="CommentTextChar"/>
    <w:uiPriority w:val="99"/>
    <w:semiHidden/>
    <w:unhideWhenUsed/>
    <w:rsid w:val="00A42947"/>
  </w:style>
  <w:style w:type="character" w:customStyle="1" w:styleId="CommentTextChar">
    <w:name w:val="Comment Text Char"/>
    <w:basedOn w:val="DefaultParagraphFont"/>
    <w:link w:val="CommentText"/>
    <w:uiPriority w:val="99"/>
    <w:semiHidden/>
    <w:rsid w:val="00A42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2947"/>
    <w:rPr>
      <w:b/>
      <w:bCs/>
    </w:rPr>
  </w:style>
  <w:style w:type="character" w:customStyle="1" w:styleId="CommentSubjectChar">
    <w:name w:val="Comment Subject Char"/>
    <w:basedOn w:val="CommentTextChar"/>
    <w:link w:val="CommentSubject"/>
    <w:uiPriority w:val="99"/>
    <w:semiHidden/>
    <w:rsid w:val="00A42947"/>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990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FC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C4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E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09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E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4EC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C4EC9"/>
    <w:rPr>
      <w:color w:val="0000FF"/>
      <w:u w:val="single"/>
    </w:rPr>
  </w:style>
  <w:style w:type="paragraph" w:styleId="TOC1">
    <w:name w:val="toc 1"/>
    <w:basedOn w:val="Normal"/>
    <w:next w:val="Normal"/>
    <w:autoRedefine/>
    <w:uiPriority w:val="39"/>
    <w:unhideWhenUsed/>
    <w:rsid w:val="00BC4EC9"/>
    <w:pPr>
      <w:spacing w:after="100"/>
    </w:pPr>
  </w:style>
  <w:style w:type="paragraph" w:styleId="TOC2">
    <w:name w:val="toc 2"/>
    <w:basedOn w:val="Normal"/>
    <w:next w:val="Normal"/>
    <w:autoRedefine/>
    <w:uiPriority w:val="39"/>
    <w:unhideWhenUsed/>
    <w:rsid w:val="00BC4EC9"/>
    <w:pPr>
      <w:spacing w:after="100"/>
      <w:ind w:left="200"/>
    </w:pPr>
  </w:style>
  <w:style w:type="paragraph" w:styleId="FootnoteText">
    <w:name w:val="footnote text"/>
    <w:basedOn w:val="Normal"/>
    <w:link w:val="FootnoteTextChar"/>
    <w:unhideWhenUsed/>
    <w:rsid w:val="00BC4EC9"/>
  </w:style>
  <w:style w:type="character" w:customStyle="1" w:styleId="FootnoteTextChar">
    <w:name w:val="Footnote Text Char"/>
    <w:basedOn w:val="DefaultParagraphFont"/>
    <w:link w:val="FootnoteText"/>
    <w:rsid w:val="00BC4EC9"/>
    <w:rPr>
      <w:rFonts w:ascii="Times New Roman" w:eastAsia="Times New Roman" w:hAnsi="Times New Roman" w:cs="Times New Roman"/>
      <w:sz w:val="20"/>
      <w:szCs w:val="20"/>
    </w:rPr>
  </w:style>
  <w:style w:type="paragraph" w:styleId="ListParagraph">
    <w:name w:val="List Paragraph"/>
    <w:basedOn w:val="Normal"/>
    <w:uiPriority w:val="34"/>
    <w:qFormat/>
    <w:rsid w:val="00BC4EC9"/>
    <w:pPr>
      <w:ind w:left="720"/>
      <w:contextualSpacing/>
    </w:pPr>
  </w:style>
  <w:style w:type="paragraph" w:styleId="TOCHeading">
    <w:name w:val="TOC Heading"/>
    <w:basedOn w:val="Heading1"/>
    <w:next w:val="Normal"/>
    <w:uiPriority w:val="39"/>
    <w:semiHidden/>
    <w:unhideWhenUsed/>
    <w:qFormat/>
    <w:rsid w:val="00BC4EC9"/>
    <w:pPr>
      <w:spacing w:line="276" w:lineRule="auto"/>
      <w:outlineLvl w:val="9"/>
    </w:pPr>
  </w:style>
  <w:style w:type="paragraph" w:customStyle="1" w:styleId="TT-TableTitle">
    <w:name w:val="TT-Table Title"/>
    <w:rsid w:val="00BC4EC9"/>
    <w:pPr>
      <w:tabs>
        <w:tab w:val="left" w:pos="1152"/>
      </w:tabs>
      <w:spacing w:after="0" w:line="240" w:lineRule="atLeast"/>
      <w:ind w:left="1152" w:hanging="1152"/>
    </w:pPr>
    <w:rPr>
      <w:rFonts w:ascii="Times New Roman" w:eastAsia="Times New Roman" w:hAnsi="Times New Roman" w:cs="Times New Roman"/>
      <w:szCs w:val="20"/>
    </w:rPr>
  </w:style>
  <w:style w:type="character" w:styleId="FootnoteReference">
    <w:name w:val="footnote reference"/>
    <w:basedOn w:val="DefaultParagraphFont"/>
    <w:semiHidden/>
    <w:unhideWhenUsed/>
    <w:rsid w:val="00BC4EC9"/>
    <w:rPr>
      <w:vertAlign w:val="superscript"/>
    </w:rPr>
  </w:style>
  <w:style w:type="paragraph" w:styleId="BalloonText">
    <w:name w:val="Balloon Text"/>
    <w:basedOn w:val="Normal"/>
    <w:link w:val="BalloonTextChar"/>
    <w:uiPriority w:val="99"/>
    <w:semiHidden/>
    <w:unhideWhenUsed/>
    <w:rsid w:val="008B098A"/>
    <w:rPr>
      <w:rFonts w:ascii="Tahoma" w:hAnsi="Tahoma" w:cs="Tahoma"/>
      <w:sz w:val="16"/>
      <w:szCs w:val="16"/>
    </w:rPr>
  </w:style>
  <w:style w:type="character" w:customStyle="1" w:styleId="BalloonTextChar">
    <w:name w:val="Balloon Text Char"/>
    <w:basedOn w:val="DefaultParagraphFont"/>
    <w:link w:val="BalloonText"/>
    <w:uiPriority w:val="99"/>
    <w:semiHidden/>
    <w:rsid w:val="008B098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B098A"/>
    <w:rPr>
      <w:color w:val="800080" w:themeColor="followedHyperlink"/>
      <w:u w:val="single"/>
    </w:rPr>
  </w:style>
  <w:style w:type="character" w:customStyle="1" w:styleId="Heading3Char">
    <w:name w:val="Heading 3 Char"/>
    <w:basedOn w:val="DefaultParagraphFont"/>
    <w:link w:val="Heading3"/>
    <w:uiPriority w:val="9"/>
    <w:rsid w:val="008B098A"/>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semiHidden/>
    <w:unhideWhenUsed/>
    <w:rsid w:val="007047E7"/>
    <w:pPr>
      <w:spacing w:before="100" w:beforeAutospacing="1" w:after="100" w:afterAutospacing="1"/>
    </w:pPr>
    <w:rPr>
      <w:szCs w:val="24"/>
    </w:rPr>
  </w:style>
  <w:style w:type="paragraph" w:styleId="Header">
    <w:name w:val="header"/>
    <w:basedOn w:val="Normal"/>
    <w:link w:val="HeaderChar"/>
    <w:uiPriority w:val="99"/>
    <w:unhideWhenUsed/>
    <w:rsid w:val="00270F68"/>
    <w:pPr>
      <w:tabs>
        <w:tab w:val="center" w:pos="4680"/>
        <w:tab w:val="right" w:pos="9360"/>
      </w:tabs>
    </w:pPr>
  </w:style>
  <w:style w:type="character" w:customStyle="1" w:styleId="HeaderChar">
    <w:name w:val="Header Char"/>
    <w:basedOn w:val="DefaultParagraphFont"/>
    <w:link w:val="Header"/>
    <w:uiPriority w:val="99"/>
    <w:rsid w:val="00270F6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0F68"/>
    <w:pPr>
      <w:tabs>
        <w:tab w:val="center" w:pos="4680"/>
        <w:tab w:val="right" w:pos="9360"/>
      </w:tabs>
    </w:pPr>
  </w:style>
  <w:style w:type="character" w:customStyle="1" w:styleId="FooterChar">
    <w:name w:val="Footer Char"/>
    <w:basedOn w:val="DefaultParagraphFont"/>
    <w:link w:val="Footer"/>
    <w:uiPriority w:val="99"/>
    <w:rsid w:val="00270F6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42947"/>
    <w:rPr>
      <w:sz w:val="16"/>
      <w:szCs w:val="16"/>
    </w:rPr>
  </w:style>
  <w:style w:type="paragraph" w:styleId="CommentText">
    <w:name w:val="annotation text"/>
    <w:basedOn w:val="Normal"/>
    <w:link w:val="CommentTextChar"/>
    <w:uiPriority w:val="99"/>
    <w:semiHidden/>
    <w:unhideWhenUsed/>
    <w:rsid w:val="00A42947"/>
  </w:style>
  <w:style w:type="character" w:customStyle="1" w:styleId="CommentTextChar">
    <w:name w:val="Comment Text Char"/>
    <w:basedOn w:val="DefaultParagraphFont"/>
    <w:link w:val="CommentText"/>
    <w:uiPriority w:val="99"/>
    <w:semiHidden/>
    <w:rsid w:val="00A42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2947"/>
    <w:rPr>
      <w:b/>
      <w:bCs/>
    </w:rPr>
  </w:style>
  <w:style w:type="character" w:customStyle="1" w:styleId="CommentSubjectChar">
    <w:name w:val="Comment Subject Char"/>
    <w:basedOn w:val="CommentTextChar"/>
    <w:link w:val="CommentSubject"/>
    <w:uiPriority w:val="99"/>
    <w:semiHidden/>
    <w:rsid w:val="00A42947"/>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990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80727">
      <w:bodyDiv w:val="1"/>
      <w:marLeft w:val="0"/>
      <w:marRight w:val="0"/>
      <w:marTop w:val="0"/>
      <w:marBottom w:val="0"/>
      <w:divBdr>
        <w:top w:val="none" w:sz="0" w:space="0" w:color="auto"/>
        <w:left w:val="none" w:sz="0" w:space="0" w:color="auto"/>
        <w:bottom w:val="none" w:sz="0" w:space="0" w:color="auto"/>
        <w:right w:val="none" w:sz="0" w:space="0" w:color="auto"/>
      </w:divBdr>
      <w:divsChild>
        <w:div w:id="879826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578033">
      <w:bodyDiv w:val="1"/>
      <w:marLeft w:val="0"/>
      <w:marRight w:val="0"/>
      <w:marTop w:val="0"/>
      <w:marBottom w:val="0"/>
      <w:divBdr>
        <w:top w:val="none" w:sz="0" w:space="0" w:color="auto"/>
        <w:left w:val="none" w:sz="0" w:space="0" w:color="auto"/>
        <w:bottom w:val="none" w:sz="0" w:space="0" w:color="auto"/>
        <w:right w:val="none" w:sz="0" w:space="0" w:color="auto"/>
      </w:divBdr>
    </w:div>
    <w:div w:id="720060882">
      <w:bodyDiv w:val="1"/>
      <w:marLeft w:val="0"/>
      <w:marRight w:val="0"/>
      <w:marTop w:val="0"/>
      <w:marBottom w:val="0"/>
      <w:divBdr>
        <w:top w:val="none" w:sz="0" w:space="0" w:color="auto"/>
        <w:left w:val="none" w:sz="0" w:space="0" w:color="auto"/>
        <w:bottom w:val="none" w:sz="0" w:space="0" w:color="auto"/>
        <w:right w:val="none" w:sz="0" w:space="0" w:color="auto"/>
      </w:divBdr>
    </w:div>
    <w:div w:id="791434520">
      <w:bodyDiv w:val="1"/>
      <w:marLeft w:val="0"/>
      <w:marRight w:val="0"/>
      <w:marTop w:val="0"/>
      <w:marBottom w:val="0"/>
      <w:divBdr>
        <w:top w:val="none" w:sz="0" w:space="0" w:color="auto"/>
        <w:left w:val="none" w:sz="0" w:space="0" w:color="auto"/>
        <w:bottom w:val="none" w:sz="0" w:space="0" w:color="auto"/>
        <w:right w:val="none" w:sz="0" w:space="0" w:color="auto"/>
      </w:divBdr>
    </w:div>
    <w:div w:id="935868849">
      <w:bodyDiv w:val="1"/>
      <w:marLeft w:val="0"/>
      <w:marRight w:val="0"/>
      <w:marTop w:val="0"/>
      <w:marBottom w:val="0"/>
      <w:divBdr>
        <w:top w:val="none" w:sz="0" w:space="0" w:color="auto"/>
        <w:left w:val="none" w:sz="0" w:space="0" w:color="auto"/>
        <w:bottom w:val="none" w:sz="0" w:space="0" w:color="auto"/>
        <w:right w:val="none" w:sz="0" w:space="0" w:color="auto"/>
      </w:divBdr>
    </w:div>
    <w:div w:id="935942466">
      <w:bodyDiv w:val="1"/>
      <w:marLeft w:val="0"/>
      <w:marRight w:val="0"/>
      <w:marTop w:val="0"/>
      <w:marBottom w:val="0"/>
      <w:divBdr>
        <w:top w:val="none" w:sz="0" w:space="0" w:color="auto"/>
        <w:left w:val="none" w:sz="0" w:space="0" w:color="auto"/>
        <w:bottom w:val="none" w:sz="0" w:space="0" w:color="auto"/>
        <w:right w:val="none" w:sz="0" w:space="0" w:color="auto"/>
      </w:divBdr>
    </w:div>
    <w:div w:id="1102843928">
      <w:bodyDiv w:val="1"/>
      <w:marLeft w:val="0"/>
      <w:marRight w:val="0"/>
      <w:marTop w:val="0"/>
      <w:marBottom w:val="0"/>
      <w:divBdr>
        <w:top w:val="none" w:sz="0" w:space="0" w:color="auto"/>
        <w:left w:val="none" w:sz="0" w:space="0" w:color="auto"/>
        <w:bottom w:val="none" w:sz="0" w:space="0" w:color="auto"/>
        <w:right w:val="none" w:sz="0" w:space="0" w:color="auto"/>
      </w:divBdr>
    </w:div>
    <w:div w:id="1384014512">
      <w:bodyDiv w:val="1"/>
      <w:marLeft w:val="0"/>
      <w:marRight w:val="0"/>
      <w:marTop w:val="0"/>
      <w:marBottom w:val="0"/>
      <w:divBdr>
        <w:top w:val="none" w:sz="0" w:space="0" w:color="auto"/>
        <w:left w:val="none" w:sz="0" w:space="0" w:color="auto"/>
        <w:bottom w:val="none" w:sz="0" w:space="0" w:color="auto"/>
        <w:right w:val="none" w:sz="0" w:space="0" w:color="auto"/>
      </w:divBdr>
    </w:div>
    <w:div w:id="1398281442">
      <w:bodyDiv w:val="1"/>
      <w:marLeft w:val="0"/>
      <w:marRight w:val="0"/>
      <w:marTop w:val="0"/>
      <w:marBottom w:val="0"/>
      <w:divBdr>
        <w:top w:val="none" w:sz="0" w:space="0" w:color="auto"/>
        <w:left w:val="none" w:sz="0" w:space="0" w:color="auto"/>
        <w:bottom w:val="none" w:sz="0" w:space="0" w:color="auto"/>
        <w:right w:val="none" w:sz="0" w:space="0" w:color="auto"/>
      </w:divBdr>
      <w:divsChild>
        <w:div w:id="132855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8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080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035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2671784">
      <w:bodyDiv w:val="1"/>
      <w:marLeft w:val="0"/>
      <w:marRight w:val="0"/>
      <w:marTop w:val="0"/>
      <w:marBottom w:val="0"/>
      <w:divBdr>
        <w:top w:val="none" w:sz="0" w:space="0" w:color="auto"/>
        <w:left w:val="none" w:sz="0" w:space="0" w:color="auto"/>
        <w:bottom w:val="none" w:sz="0" w:space="0" w:color="auto"/>
        <w:right w:val="none" w:sz="0" w:space="0" w:color="auto"/>
      </w:divBdr>
    </w:div>
    <w:div w:id="1569488275">
      <w:bodyDiv w:val="1"/>
      <w:marLeft w:val="0"/>
      <w:marRight w:val="0"/>
      <w:marTop w:val="0"/>
      <w:marBottom w:val="0"/>
      <w:divBdr>
        <w:top w:val="none" w:sz="0" w:space="0" w:color="auto"/>
        <w:left w:val="none" w:sz="0" w:space="0" w:color="auto"/>
        <w:bottom w:val="none" w:sz="0" w:space="0" w:color="auto"/>
        <w:right w:val="none" w:sz="0" w:space="0" w:color="auto"/>
      </w:divBdr>
      <w:divsChild>
        <w:div w:id="2021852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577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71591741">
      <w:bodyDiv w:val="1"/>
      <w:marLeft w:val="0"/>
      <w:marRight w:val="0"/>
      <w:marTop w:val="0"/>
      <w:marBottom w:val="0"/>
      <w:divBdr>
        <w:top w:val="none" w:sz="0" w:space="0" w:color="auto"/>
        <w:left w:val="none" w:sz="0" w:space="0" w:color="auto"/>
        <w:bottom w:val="none" w:sz="0" w:space="0" w:color="auto"/>
        <w:right w:val="none" w:sz="0" w:space="0" w:color="auto"/>
      </w:divBdr>
    </w:div>
    <w:div w:id="2064983485">
      <w:bodyDiv w:val="1"/>
      <w:marLeft w:val="0"/>
      <w:marRight w:val="0"/>
      <w:marTop w:val="0"/>
      <w:marBottom w:val="0"/>
      <w:divBdr>
        <w:top w:val="none" w:sz="0" w:space="0" w:color="auto"/>
        <w:left w:val="none" w:sz="0" w:space="0" w:color="auto"/>
        <w:bottom w:val="none" w:sz="0" w:space="0" w:color="auto"/>
        <w:right w:val="none" w:sz="0" w:space="0" w:color="auto"/>
      </w:divBdr>
    </w:div>
    <w:div w:id="2068650834">
      <w:bodyDiv w:val="1"/>
      <w:marLeft w:val="0"/>
      <w:marRight w:val="0"/>
      <w:marTop w:val="0"/>
      <w:marBottom w:val="0"/>
      <w:divBdr>
        <w:top w:val="none" w:sz="0" w:space="0" w:color="auto"/>
        <w:left w:val="none" w:sz="0" w:space="0" w:color="auto"/>
        <w:bottom w:val="none" w:sz="0" w:space="0" w:color="auto"/>
        <w:right w:val="none" w:sz="0" w:space="0" w:color="auto"/>
      </w:divBdr>
    </w:div>
    <w:div w:id="212633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naics4_621400.htm" TargetMode="External"/><Relationship Id="rId5" Type="http://schemas.openxmlformats.org/officeDocument/2006/relationships/settings" Target="settings.xml"/><Relationship Id="rId10" Type="http://schemas.openxmlformats.org/officeDocument/2006/relationships/hyperlink" Target="http://www.ahrq.gov/professionals/quality-patient-safety/surveys/index.html" TargetMode="External"/><Relationship Id="rId4" Type="http://schemas.microsoft.com/office/2007/relationships/stylesWithEffects" Target="stylesWithEffects.xml"/><Relationship Id="rId9" Type="http://schemas.openxmlformats.org/officeDocument/2006/relationships/hyperlink" Target="http://www.ahrq.gov/hrqa9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AD9CB-8597-461F-8A7A-C8A28991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4137</Words>
  <Characters>23582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Smith</dc:creator>
  <cp:lastModifiedBy>DHHS</cp:lastModifiedBy>
  <cp:revision>3</cp:revision>
  <cp:lastPrinted>2013-03-05T13:42:00Z</cp:lastPrinted>
  <dcterms:created xsi:type="dcterms:W3CDTF">2013-07-19T15:36:00Z</dcterms:created>
  <dcterms:modified xsi:type="dcterms:W3CDTF">2013-09-27T14:51:00Z</dcterms:modified>
</cp:coreProperties>
</file>