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0B" w:rsidRDefault="005E0A0F" w:rsidP="007B5CCB">
      <w:pPr>
        <w:pStyle w:val="NormalWeb"/>
        <w:spacing w:before="0" w:beforeAutospacing="0" w:after="0" w:afterAutospacing="0" w:line="288" w:lineRule="atLeast"/>
        <w:jc w:val="center"/>
        <w:rPr>
          <w:u w:val="single"/>
        </w:rPr>
      </w:pPr>
      <w:bookmarkStart w:id="0" w:name="cs31d"/>
      <w:r w:rsidRPr="0019740B">
        <w:rPr>
          <w:u w:val="single"/>
        </w:rPr>
        <w:t>SUPPORTING STATEMENT</w:t>
      </w:r>
    </w:p>
    <w:p w:rsidR="007B5CCB" w:rsidRDefault="007B5CCB" w:rsidP="007B5CCB">
      <w:pPr>
        <w:pStyle w:val="NormalWeb"/>
        <w:spacing w:before="0" w:beforeAutospacing="0" w:after="0" w:afterAutospacing="0" w:line="288" w:lineRule="atLeast"/>
        <w:jc w:val="center"/>
        <w:rPr>
          <w:u w:val="single"/>
        </w:rPr>
      </w:pPr>
      <w:r>
        <w:rPr>
          <w:u w:val="single"/>
        </w:rPr>
        <w:t>DIB CS/IA Point of Contact Information Collection</w:t>
      </w:r>
    </w:p>
    <w:p w:rsidR="005E0A0F" w:rsidRPr="0019740B" w:rsidRDefault="005E0A0F" w:rsidP="007B5CCB">
      <w:pPr>
        <w:pStyle w:val="NormalWeb"/>
        <w:spacing w:before="0" w:beforeAutospacing="0" w:line="288" w:lineRule="atLeast"/>
        <w:jc w:val="center"/>
        <w:rPr>
          <w:u w:val="single"/>
        </w:rPr>
      </w:pPr>
      <w:r w:rsidRPr="0019740B">
        <w:rPr>
          <w:u w:val="single"/>
        </w:rPr>
        <w:t>(Refer to OMB Form 83-I INST)</w:t>
      </w:r>
    </w:p>
    <w:p w:rsidR="00C40B50" w:rsidRPr="0019740B" w:rsidRDefault="005E0A0F" w:rsidP="001D1D51">
      <w:pPr>
        <w:pStyle w:val="NormalWeb"/>
        <w:numPr>
          <w:ilvl w:val="0"/>
          <w:numId w:val="2"/>
        </w:numPr>
        <w:spacing w:line="480" w:lineRule="auto"/>
        <w:outlineLvl w:val="0"/>
        <w:rPr>
          <w:u w:val="single"/>
        </w:rPr>
      </w:pPr>
      <w:r w:rsidRPr="0019740B">
        <w:rPr>
          <w:u w:val="single"/>
        </w:rPr>
        <w:t>JUSTIFICATION</w:t>
      </w:r>
      <w:bookmarkStart w:id="1" w:name="cp432"/>
      <w:bookmarkEnd w:id="0"/>
      <w:r w:rsidR="00C40B50" w:rsidRPr="0019740B">
        <w:t>:</w:t>
      </w:r>
    </w:p>
    <w:p w:rsidR="005E0A0F" w:rsidRPr="0019740B" w:rsidRDefault="00917FA8" w:rsidP="001D1D51">
      <w:pPr>
        <w:pStyle w:val="NormalWeb"/>
        <w:numPr>
          <w:ilvl w:val="1"/>
          <w:numId w:val="2"/>
        </w:numPr>
        <w:ind w:hanging="720"/>
        <w:outlineLvl w:val="0"/>
      </w:pPr>
      <w:r w:rsidRPr="0019740B">
        <w:rPr>
          <w:u w:val="single"/>
        </w:rPr>
        <w:t>Need for the information c</w:t>
      </w:r>
      <w:r w:rsidR="005E0A0F" w:rsidRPr="0019740B">
        <w:rPr>
          <w:u w:val="single"/>
        </w:rPr>
        <w:t>ollection</w:t>
      </w:r>
    </w:p>
    <w:bookmarkEnd w:id="1"/>
    <w:p w:rsidR="00CE1FDB" w:rsidRDefault="00301A0F" w:rsidP="002F1F33">
      <w:pPr>
        <w:pStyle w:val="NormalWeb"/>
        <w:spacing w:before="0" w:beforeAutospacing="0" w:after="0" w:afterAutospacing="0"/>
        <w:ind w:firstLine="360"/>
        <w:outlineLvl w:val="0"/>
      </w:pPr>
      <w:r>
        <w:t>T</w:t>
      </w:r>
      <w:r w:rsidRPr="001A5545">
        <w:t xml:space="preserve">he DIB CS/IA Program </w:t>
      </w:r>
      <w:r w:rsidR="00EC010B">
        <w:t xml:space="preserve">enhances and supports DIB participants’ capabilities to safeguard DoD information that resides on, or transits, DIB unclassified information systems.  </w:t>
      </w:r>
      <w:r>
        <w:t>Th</w:t>
      </w:r>
      <w:r w:rsidRPr="001A5545">
        <w:t xml:space="preserve">e operational implementation of this </w:t>
      </w:r>
      <w:r>
        <w:t xml:space="preserve">program requires DoD to collect, share and manage point of contact </w:t>
      </w:r>
      <w:r w:rsidR="00EC010B">
        <w:t xml:space="preserve">information </w:t>
      </w:r>
      <w:r w:rsidRPr="001A5545">
        <w:t>for program administration and management purposes</w:t>
      </w:r>
      <w:r>
        <w:t xml:space="preserve">.  </w:t>
      </w:r>
      <w:r w:rsidR="007C7F8C" w:rsidRPr="0019740B">
        <w:t xml:space="preserve">The </w:t>
      </w:r>
      <w:r w:rsidR="001F71D5" w:rsidRPr="0019740B">
        <w:t xml:space="preserve">Government </w:t>
      </w:r>
      <w:r w:rsidR="007C7F8C" w:rsidRPr="0019740B">
        <w:t xml:space="preserve">will collect </w:t>
      </w:r>
      <w:r>
        <w:t xml:space="preserve">typical business </w:t>
      </w:r>
      <w:r w:rsidR="00677D88" w:rsidRPr="0019740B">
        <w:t>p</w:t>
      </w:r>
      <w:r w:rsidR="00F76FD9" w:rsidRPr="0019740B">
        <w:t>oints</w:t>
      </w:r>
      <w:r w:rsidR="00CE1FDB" w:rsidRPr="0019740B">
        <w:t xml:space="preserve"> of contact </w:t>
      </w:r>
      <w:r w:rsidR="00695CC0" w:rsidRPr="0019740B">
        <w:t xml:space="preserve">(POC) </w:t>
      </w:r>
      <w:r w:rsidR="00CE1FDB" w:rsidRPr="0019740B">
        <w:t xml:space="preserve">information </w:t>
      </w:r>
      <w:r w:rsidR="00F215E9" w:rsidRPr="0019740B">
        <w:t xml:space="preserve">from </w:t>
      </w:r>
      <w:r w:rsidR="00CE1FDB" w:rsidRPr="0019740B">
        <w:t xml:space="preserve">all </w:t>
      </w:r>
      <w:r w:rsidR="007E3F60" w:rsidRPr="0019740B">
        <w:t>Defense Industrial Base (</w:t>
      </w:r>
      <w:r w:rsidR="0095166D" w:rsidRPr="0019740B">
        <w:t>DIB</w:t>
      </w:r>
      <w:r w:rsidR="007E3F60" w:rsidRPr="0019740B">
        <w:t>)</w:t>
      </w:r>
      <w:r w:rsidR="00CE1FDB" w:rsidRPr="0019740B">
        <w:t xml:space="preserve"> </w:t>
      </w:r>
      <w:r w:rsidR="0081652B" w:rsidRPr="0019740B">
        <w:t xml:space="preserve">Cyber Security/Information Assurance (CS/IA) program </w:t>
      </w:r>
      <w:r w:rsidR="0095166D" w:rsidRPr="0019740B">
        <w:t>participants</w:t>
      </w:r>
      <w:r w:rsidR="0069527C">
        <w:t xml:space="preserve"> t</w:t>
      </w:r>
      <w:r w:rsidR="007C7F8C" w:rsidRPr="0019740B">
        <w:t xml:space="preserve">o facilitate </w:t>
      </w:r>
      <w:r w:rsidR="006C3906" w:rsidRPr="0019740B">
        <w:t>communication</w:t>
      </w:r>
      <w:r w:rsidR="00EC010B">
        <w:t>, pass security clearances, share unclassified and classified cyber threat information, and report DIB cyber incidents</w:t>
      </w:r>
      <w:r w:rsidR="007C7F8C" w:rsidRPr="0019740B">
        <w:t xml:space="preserve"> </w:t>
      </w:r>
      <w:r w:rsidR="00EC010B">
        <w:t>to DoD</w:t>
      </w:r>
      <w:r w:rsidR="0081652B">
        <w:t>.</w:t>
      </w:r>
      <w:r w:rsidR="007E3F60" w:rsidRPr="0019740B">
        <w:t xml:space="preserve">  </w:t>
      </w:r>
      <w:r w:rsidR="00EC010B">
        <w:t xml:space="preserve">To implement and execute this program within their companies, </w:t>
      </w:r>
      <w:r w:rsidR="00145D1A" w:rsidRPr="0019740B">
        <w:t xml:space="preserve">DIB participants provide </w:t>
      </w:r>
      <w:r w:rsidR="004D3E68" w:rsidRPr="0019740B">
        <w:t>POC</w:t>
      </w:r>
      <w:r w:rsidR="00145D1A" w:rsidRPr="0019740B">
        <w:t xml:space="preserve"> information </w:t>
      </w:r>
      <w:r w:rsidR="00EC010B">
        <w:t xml:space="preserve">to DoD during the application process to join the program. </w:t>
      </w:r>
      <w:r w:rsidR="00145D1A" w:rsidRPr="0019740B">
        <w:t>This information includes the names,</w:t>
      </w:r>
      <w:r w:rsidR="002D2C43">
        <w:t xml:space="preserve"> company name and mailing </w:t>
      </w:r>
      <w:r w:rsidR="00145D1A" w:rsidRPr="0019740B">
        <w:t xml:space="preserve">address, </w:t>
      </w:r>
      <w:r w:rsidR="002D2C43">
        <w:t xml:space="preserve">work division/group, work </w:t>
      </w:r>
      <w:r w:rsidR="00145D1A" w:rsidRPr="0019740B">
        <w:t xml:space="preserve">email, and </w:t>
      </w:r>
      <w:r w:rsidR="002D2C43">
        <w:t xml:space="preserve">work </w:t>
      </w:r>
      <w:r w:rsidR="00145D1A" w:rsidRPr="0019740B">
        <w:t>telephone numbers</w:t>
      </w:r>
      <w:r w:rsidR="00981E3B">
        <w:t xml:space="preserve"> of company-identified POCs.</w:t>
      </w:r>
      <w:r w:rsidR="00145D1A" w:rsidRPr="0019740B">
        <w:t xml:space="preserve"> </w:t>
      </w:r>
      <w:r w:rsidR="00981E3B">
        <w:t xml:space="preserve">DIB POCs include </w:t>
      </w:r>
      <w:r w:rsidR="00145D1A" w:rsidRPr="0019740B">
        <w:t xml:space="preserve">the Chief Executive Officer, Chief Information Officer, Chief Information Security Officer, General Counsel, and the </w:t>
      </w:r>
      <w:r w:rsidR="0069527C">
        <w:t xml:space="preserve">Corporate or </w:t>
      </w:r>
      <w:r w:rsidR="00145D1A" w:rsidRPr="0019740B">
        <w:t xml:space="preserve">Facility Security Officer, </w:t>
      </w:r>
      <w:r>
        <w:t xml:space="preserve">the Chief Privacy Officer, </w:t>
      </w:r>
      <w:r w:rsidR="00145D1A" w:rsidRPr="0019740B">
        <w:t xml:space="preserve">or their equivalents, as well as those </w:t>
      </w:r>
      <w:r w:rsidR="00281BC2">
        <w:t xml:space="preserve">administrative, </w:t>
      </w:r>
      <w:r w:rsidR="00145D1A" w:rsidRPr="0019740B">
        <w:t>policy</w:t>
      </w:r>
      <w:r w:rsidR="00281BC2">
        <w:t>,</w:t>
      </w:r>
      <w:r w:rsidR="00145D1A" w:rsidRPr="0019740B">
        <w:t xml:space="preserve"> technical staff</w:t>
      </w:r>
      <w:r w:rsidR="00281BC2">
        <w:t>, or</w:t>
      </w:r>
      <w:r w:rsidR="00145D1A" w:rsidRPr="0019740B">
        <w:t xml:space="preserve"> personnel </w:t>
      </w:r>
      <w:r w:rsidR="00981E3B">
        <w:t>designated to report incidents</w:t>
      </w:r>
      <w:r w:rsidR="00281BC2">
        <w:t>,</w:t>
      </w:r>
      <w:r w:rsidR="00981E3B">
        <w:t xml:space="preserve"> who</w:t>
      </w:r>
      <w:r w:rsidR="00981E3B" w:rsidRPr="0019740B">
        <w:t xml:space="preserve"> </w:t>
      </w:r>
      <w:r w:rsidR="00145D1A" w:rsidRPr="0019740B">
        <w:t xml:space="preserve">will interact with the Government in executing the DIB CS/IA </w:t>
      </w:r>
      <w:r w:rsidR="00E25EB0">
        <w:t>p</w:t>
      </w:r>
      <w:r w:rsidR="00145D1A" w:rsidRPr="0019740B">
        <w:t>rogram (e.g., typically 3-10 company designated points of contact</w:t>
      </w:r>
      <w:r w:rsidR="00DD5273" w:rsidRPr="0019740B">
        <w:t>.)</w:t>
      </w:r>
      <w:r w:rsidR="00EC010B">
        <w:t xml:space="preserve">  After joining the program, DIB companies provide updated POC information to DoD when personnel changes occur.</w:t>
      </w:r>
    </w:p>
    <w:p w:rsidR="002D2C43" w:rsidRDefault="002D2C43" w:rsidP="002F1F33">
      <w:pPr>
        <w:pStyle w:val="NormalWeb"/>
        <w:spacing w:before="0" w:beforeAutospacing="0" w:after="0" w:afterAutospacing="0"/>
        <w:ind w:firstLine="360"/>
        <w:outlineLvl w:val="0"/>
      </w:pPr>
    </w:p>
    <w:p w:rsidR="00356B81" w:rsidRPr="00933FD0" w:rsidRDefault="00917FA8" w:rsidP="00933FD0">
      <w:pPr>
        <w:pStyle w:val="NormalWeb"/>
        <w:numPr>
          <w:ilvl w:val="1"/>
          <w:numId w:val="2"/>
        </w:numPr>
        <w:ind w:left="720"/>
        <w:outlineLvl w:val="0"/>
        <w:rPr>
          <w:u w:val="single"/>
        </w:rPr>
      </w:pPr>
      <w:r w:rsidRPr="0019740B">
        <w:rPr>
          <w:u w:val="single"/>
        </w:rPr>
        <w:t>Use of the i</w:t>
      </w:r>
      <w:r w:rsidR="005E0A0F" w:rsidRPr="0019740B">
        <w:rPr>
          <w:u w:val="single"/>
        </w:rPr>
        <w:t>nformation</w:t>
      </w:r>
      <w:r w:rsidR="009A3AF1">
        <w:t xml:space="preserve">    </w:t>
      </w:r>
    </w:p>
    <w:p w:rsidR="0051277E" w:rsidRDefault="00301A0F" w:rsidP="00356B81">
      <w:pPr>
        <w:pStyle w:val="NormalWeb"/>
        <w:spacing w:before="0" w:beforeAutospacing="0" w:after="0" w:afterAutospacing="0"/>
        <w:ind w:firstLine="360"/>
        <w:outlineLvl w:val="0"/>
      </w:pPr>
      <w:r>
        <w:t>T</w:t>
      </w:r>
      <w:r w:rsidRPr="001A5545">
        <w:t xml:space="preserve">he DIB CS/IA Program </w:t>
      </w:r>
      <w:r>
        <w:t>is</w:t>
      </w:r>
      <w:r w:rsidRPr="001A5545">
        <w:t xml:space="preserve"> focused on sharing </w:t>
      </w:r>
      <w:r>
        <w:t xml:space="preserve">information assurance and </w:t>
      </w:r>
      <w:r w:rsidRPr="001A5545">
        <w:t>cyb</w:t>
      </w:r>
      <w:r>
        <w:t>er security related information.  Th</w:t>
      </w:r>
      <w:r w:rsidRPr="001A5545">
        <w:t xml:space="preserve">e operational implementation of this </w:t>
      </w:r>
      <w:r>
        <w:t xml:space="preserve">program requires DoD to collect, share and manage point of contact </w:t>
      </w:r>
      <w:r w:rsidRPr="001A5545">
        <w:t>for program administration and management purposes</w:t>
      </w:r>
      <w:r>
        <w:t xml:space="preserve">.  </w:t>
      </w:r>
      <w:r w:rsidRPr="0019740B">
        <w:t xml:space="preserve">The Government will collect </w:t>
      </w:r>
      <w:r>
        <w:t xml:space="preserve">typical business </w:t>
      </w:r>
      <w:r w:rsidRPr="0019740B">
        <w:t xml:space="preserve">POC information from all </w:t>
      </w:r>
      <w:r w:rsidR="002275B1">
        <w:t xml:space="preserve">DIB </w:t>
      </w:r>
      <w:r w:rsidRPr="0019740B">
        <w:t>CS/IA program participants</w:t>
      </w:r>
      <w:r>
        <w:t xml:space="preserve"> t</w:t>
      </w:r>
      <w:r w:rsidRPr="0019740B">
        <w:t>o facilitate</w:t>
      </w:r>
      <w:r w:rsidR="0051277E">
        <w:t xml:space="preserve"> emails, teleconferences, meetings, and other program activities.  </w:t>
      </w:r>
    </w:p>
    <w:p w:rsidR="0051277E" w:rsidRDefault="0051277E" w:rsidP="00356B81">
      <w:pPr>
        <w:pStyle w:val="NormalWeb"/>
        <w:spacing w:before="0" w:beforeAutospacing="0" w:after="0" w:afterAutospacing="0"/>
        <w:ind w:firstLine="360"/>
        <w:outlineLvl w:val="0"/>
      </w:pPr>
    </w:p>
    <w:p w:rsidR="0051277E" w:rsidRPr="0051277E" w:rsidRDefault="0051277E" w:rsidP="0051277E">
      <w:pPr>
        <w:pStyle w:val="PlainText"/>
        <w:rPr>
          <w:rFonts w:ascii="Times New Roman" w:hAnsi="Times New Roman"/>
          <w:sz w:val="24"/>
          <w:szCs w:val="24"/>
        </w:rPr>
      </w:pPr>
      <w:r w:rsidRPr="0051277E">
        <w:rPr>
          <w:rFonts w:ascii="Times New Roman" w:hAnsi="Times New Roman"/>
          <w:sz w:val="24"/>
          <w:szCs w:val="24"/>
        </w:rPr>
        <w:t xml:space="preserve">The DIB CS/IA Program works with cleared defense contractors.  For the administration and management of the program, there are two instances in which DoD requires validation of an individual’s citizenship and security clearance.  </w:t>
      </w:r>
    </w:p>
    <w:p w:rsidR="0051277E" w:rsidRPr="0051277E" w:rsidRDefault="0051277E" w:rsidP="0051277E">
      <w:pPr>
        <w:pStyle w:val="PlainText"/>
        <w:numPr>
          <w:ilvl w:val="0"/>
          <w:numId w:val="31"/>
        </w:numPr>
        <w:rPr>
          <w:rFonts w:ascii="Times New Roman" w:hAnsi="Times New Roman"/>
          <w:sz w:val="24"/>
          <w:szCs w:val="24"/>
        </w:rPr>
      </w:pPr>
      <w:r w:rsidRPr="0051277E">
        <w:rPr>
          <w:rFonts w:ascii="Times New Roman" w:hAnsi="Times New Roman"/>
          <w:sz w:val="24"/>
          <w:szCs w:val="24"/>
        </w:rPr>
        <w:t xml:space="preserve">First, confirmation of a valid and current security clearance, including level of clearance, is required in order for the government to share classified threat information, or hold classified meetings. Through the routine government processes to pass clearances, an individual’s name, social security number, citizenship, and security clearance are provided to appropriate government, or contractor, security offices.   To receive classified threat information, DIB </w:t>
      </w:r>
      <w:r w:rsidR="009902BF">
        <w:rPr>
          <w:rFonts w:ascii="Times New Roman" w:hAnsi="Times New Roman"/>
          <w:sz w:val="24"/>
          <w:szCs w:val="24"/>
        </w:rPr>
        <w:t>p</w:t>
      </w:r>
      <w:r w:rsidRPr="0051277E">
        <w:rPr>
          <w:rFonts w:ascii="Times New Roman" w:hAnsi="Times New Roman"/>
          <w:sz w:val="24"/>
          <w:szCs w:val="24"/>
        </w:rPr>
        <w:t>art</w:t>
      </w:r>
      <w:r w:rsidR="00685F20">
        <w:rPr>
          <w:rFonts w:ascii="Times New Roman" w:hAnsi="Times New Roman"/>
          <w:sz w:val="24"/>
          <w:szCs w:val="24"/>
        </w:rPr>
        <w:t>icipant</w:t>
      </w:r>
      <w:r w:rsidRPr="0051277E">
        <w:rPr>
          <w:rFonts w:ascii="Times New Roman" w:hAnsi="Times New Roman"/>
          <w:sz w:val="24"/>
          <w:szCs w:val="24"/>
        </w:rPr>
        <w:t xml:space="preserve"> points of contact have security clearances on file with DoD CIO Security Office and DC3.  For classified meetings, security clearances are </w:t>
      </w:r>
      <w:r w:rsidRPr="0051277E">
        <w:rPr>
          <w:rFonts w:ascii="Times New Roman" w:hAnsi="Times New Roman"/>
          <w:sz w:val="24"/>
          <w:szCs w:val="24"/>
        </w:rPr>
        <w:lastRenderedPageBreak/>
        <w:t xml:space="preserve">passed by both government and contractor attendees to the appropriate security offices, depending on the location of the meeting.  </w:t>
      </w:r>
    </w:p>
    <w:p w:rsidR="0051277E" w:rsidRPr="0051277E" w:rsidRDefault="0051277E" w:rsidP="0051277E">
      <w:pPr>
        <w:pStyle w:val="PlainText"/>
        <w:numPr>
          <w:ilvl w:val="1"/>
          <w:numId w:val="31"/>
        </w:numPr>
        <w:rPr>
          <w:rFonts w:ascii="Times New Roman" w:hAnsi="Times New Roman"/>
          <w:sz w:val="24"/>
          <w:szCs w:val="24"/>
        </w:rPr>
      </w:pPr>
      <w:r w:rsidRPr="0051277E">
        <w:rPr>
          <w:rFonts w:ascii="Times New Roman" w:hAnsi="Times New Roman"/>
          <w:sz w:val="24"/>
          <w:szCs w:val="24"/>
        </w:rPr>
        <w:t>The information provided for the passing of security clearances, is not collected on the online application, nor is it collected in support of a network intrusion incident report. Rather, this information is part of routine government processes to pass clearances.</w:t>
      </w:r>
    </w:p>
    <w:p w:rsidR="00576CC4" w:rsidRDefault="0051277E">
      <w:pPr>
        <w:pStyle w:val="PlainText"/>
        <w:numPr>
          <w:ilvl w:val="1"/>
          <w:numId w:val="31"/>
        </w:numPr>
        <w:rPr>
          <w:rFonts w:ascii="Times New Roman" w:hAnsi="Times New Roman"/>
          <w:sz w:val="24"/>
          <w:szCs w:val="24"/>
        </w:rPr>
      </w:pPr>
      <w:r w:rsidRPr="001312A1">
        <w:rPr>
          <w:rFonts w:ascii="Times New Roman" w:hAnsi="Times New Roman"/>
          <w:sz w:val="24"/>
          <w:szCs w:val="24"/>
        </w:rPr>
        <w:t>Secondly, during the application process to join the program</w:t>
      </w:r>
      <w:r w:rsidR="00B02099">
        <w:rPr>
          <w:rFonts w:ascii="Times New Roman" w:hAnsi="Times New Roman"/>
          <w:sz w:val="24"/>
          <w:szCs w:val="24"/>
        </w:rPr>
        <w:t xml:space="preserve"> </w:t>
      </w:r>
      <w:r w:rsidR="00B852B7">
        <w:rPr>
          <w:rFonts w:ascii="Times New Roman" w:hAnsi="Times New Roman"/>
          <w:sz w:val="24"/>
          <w:szCs w:val="24"/>
        </w:rPr>
        <w:t xml:space="preserve">DoD also must ensure compliance with the security-based elements of the program’s eligibility requirements. </w:t>
      </w:r>
    </w:p>
    <w:p w:rsidR="0051277E" w:rsidRPr="0051277E" w:rsidRDefault="00B852B7" w:rsidP="0051277E">
      <w:pPr>
        <w:pStyle w:val="PlainText"/>
        <w:numPr>
          <w:ilvl w:val="1"/>
          <w:numId w:val="31"/>
        </w:numPr>
        <w:rPr>
          <w:rFonts w:ascii="Times New Roman" w:hAnsi="Times New Roman"/>
          <w:sz w:val="24"/>
          <w:szCs w:val="24"/>
        </w:rPr>
      </w:pPr>
      <w:r>
        <w:rPr>
          <w:rFonts w:ascii="Times New Roman" w:hAnsi="Times New Roman"/>
          <w:sz w:val="24"/>
          <w:szCs w:val="24"/>
        </w:rPr>
        <w:t>As background, during the planning stages to open the program, DoD CIO discussed with Defense Security Service (DSS) and the Security and Counterintelligence directorates in the Under Secretary of Defense for Intelligence the potential for unknown actors to attempt to spoof identities to appear to be legitimate applicants.  To ensure the continued security of the program, DSS provided DoD CIO access to the DSS Industrial Security Facilities Database (ISFD), which lists information on each cleared defense contractor company, in accordance with the National Industrial Security Program (NISP).  Each cleared defense contractor has official Company and Facility Security Offi</w:t>
      </w:r>
      <w:r w:rsidR="0051277E" w:rsidRPr="0051277E">
        <w:rPr>
          <w:rFonts w:ascii="Times New Roman" w:hAnsi="Times New Roman"/>
          <w:sz w:val="24"/>
          <w:szCs w:val="24"/>
        </w:rPr>
        <w:t xml:space="preserve">cers (CSO/FSO) point of contact information on record in the ISFD.  </w:t>
      </w:r>
    </w:p>
    <w:p w:rsidR="0051277E" w:rsidRPr="0051277E" w:rsidRDefault="0051277E" w:rsidP="0051277E">
      <w:pPr>
        <w:pStyle w:val="PlainText"/>
        <w:numPr>
          <w:ilvl w:val="1"/>
          <w:numId w:val="31"/>
        </w:numPr>
        <w:rPr>
          <w:rFonts w:ascii="Times New Roman" w:hAnsi="Times New Roman"/>
          <w:sz w:val="24"/>
          <w:szCs w:val="24"/>
        </w:rPr>
      </w:pPr>
      <w:r w:rsidRPr="0051277E">
        <w:rPr>
          <w:rFonts w:ascii="Times New Roman" w:hAnsi="Times New Roman"/>
          <w:sz w:val="24"/>
          <w:szCs w:val="24"/>
        </w:rPr>
        <w:t xml:space="preserve">During the application process, the applicant is required to “certify that the information provided is accurate to the best of their knowledge” and that they “understand DoD will confirm the accuracy of the information.”  The online application process does not allow the applicant to submit the information unless the certification box is checked.  </w:t>
      </w:r>
    </w:p>
    <w:p w:rsidR="0051277E" w:rsidRPr="0051277E" w:rsidRDefault="0051277E" w:rsidP="0051277E">
      <w:pPr>
        <w:pStyle w:val="PlainText"/>
        <w:numPr>
          <w:ilvl w:val="1"/>
          <w:numId w:val="31"/>
        </w:numPr>
        <w:rPr>
          <w:rFonts w:ascii="Times New Roman" w:hAnsi="Times New Roman"/>
          <w:sz w:val="24"/>
          <w:szCs w:val="24"/>
        </w:rPr>
      </w:pPr>
      <w:r w:rsidRPr="0051277E">
        <w:rPr>
          <w:rFonts w:ascii="Times New Roman" w:hAnsi="Times New Roman"/>
          <w:sz w:val="24"/>
          <w:szCs w:val="24"/>
        </w:rPr>
        <w:t>To confirm the accuracy of the information provided by the applicant, DoD will use the ISFD to contact the company CSO/FSO of the applicant to confirm that the applicant is:  1) a current employee of the company, 2) is a U</w:t>
      </w:r>
      <w:r w:rsidR="00AD7926">
        <w:rPr>
          <w:rFonts w:ascii="Times New Roman" w:hAnsi="Times New Roman"/>
          <w:sz w:val="24"/>
          <w:szCs w:val="24"/>
        </w:rPr>
        <w:t>.</w:t>
      </w:r>
      <w:r w:rsidRPr="0051277E">
        <w:rPr>
          <w:rFonts w:ascii="Times New Roman" w:hAnsi="Times New Roman"/>
          <w:sz w:val="24"/>
          <w:szCs w:val="24"/>
        </w:rPr>
        <w:t>S</w:t>
      </w:r>
      <w:r w:rsidR="00AD7926">
        <w:rPr>
          <w:rFonts w:ascii="Times New Roman" w:hAnsi="Times New Roman"/>
          <w:sz w:val="24"/>
          <w:szCs w:val="24"/>
        </w:rPr>
        <w:t>.</w:t>
      </w:r>
      <w:r w:rsidRPr="0051277E">
        <w:rPr>
          <w:rFonts w:ascii="Times New Roman" w:hAnsi="Times New Roman"/>
          <w:sz w:val="24"/>
          <w:szCs w:val="24"/>
        </w:rPr>
        <w:t xml:space="preserve"> citizen, and 3) that the POC information provided in the application by the applicant is correct.  DoD intends to contact company CSO/FSO using the contact information DSS has on record for the company.  DoD confirmation of the information is not tracked on the POC forms.</w:t>
      </w:r>
    </w:p>
    <w:p w:rsidR="0051277E" w:rsidRPr="0051277E" w:rsidRDefault="0051277E" w:rsidP="0051277E">
      <w:pPr>
        <w:pStyle w:val="PlainText"/>
        <w:numPr>
          <w:ilvl w:val="2"/>
          <w:numId w:val="31"/>
        </w:numPr>
        <w:rPr>
          <w:rFonts w:ascii="Times New Roman" w:hAnsi="Times New Roman"/>
          <w:sz w:val="24"/>
          <w:szCs w:val="24"/>
        </w:rPr>
      </w:pPr>
      <w:r w:rsidRPr="0051277E">
        <w:rPr>
          <w:rFonts w:ascii="Times New Roman" w:hAnsi="Times New Roman"/>
          <w:sz w:val="24"/>
          <w:szCs w:val="24"/>
        </w:rPr>
        <w:t>If the CSO/FSO confirm</w:t>
      </w:r>
      <w:r w:rsidR="00AD7926">
        <w:rPr>
          <w:rFonts w:ascii="Times New Roman" w:hAnsi="Times New Roman"/>
          <w:sz w:val="24"/>
          <w:szCs w:val="24"/>
        </w:rPr>
        <w:t>s</w:t>
      </w:r>
      <w:r w:rsidRPr="0051277E">
        <w:rPr>
          <w:rFonts w:ascii="Times New Roman" w:hAnsi="Times New Roman"/>
          <w:sz w:val="24"/>
          <w:szCs w:val="24"/>
        </w:rPr>
        <w:t xml:space="preserve"> that the data provided is accurate, the applicant receives notice that they may continue in the application process.</w:t>
      </w:r>
    </w:p>
    <w:p w:rsidR="0051277E" w:rsidRDefault="0051277E" w:rsidP="0051277E">
      <w:pPr>
        <w:pStyle w:val="PlainText"/>
        <w:numPr>
          <w:ilvl w:val="2"/>
          <w:numId w:val="31"/>
        </w:numPr>
        <w:rPr>
          <w:rFonts w:ascii="Times New Roman" w:hAnsi="Times New Roman"/>
          <w:sz w:val="24"/>
          <w:szCs w:val="24"/>
        </w:rPr>
      </w:pPr>
      <w:r w:rsidRPr="0051277E">
        <w:rPr>
          <w:rFonts w:ascii="Times New Roman" w:hAnsi="Times New Roman"/>
          <w:sz w:val="24"/>
          <w:szCs w:val="24"/>
        </w:rPr>
        <w:t>If the CSO/FSO confirm</w:t>
      </w:r>
      <w:r w:rsidR="00AD7926">
        <w:rPr>
          <w:rFonts w:ascii="Times New Roman" w:hAnsi="Times New Roman"/>
          <w:sz w:val="24"/>
          <w:szCs w:val="24"/>
        </w:rPr>
        <w:t>s</w:t>
      </w:r>
      <w:r w:rsidRPr="0051277E">
        <w:rPr>
          <w:rFonts w:ascii="Times New Roman" w:hAnsi="Times New Roman"/>
          <w:sz w:val="24"/>
          <w:szCs w:val="24"/>
        </w:rPr>
        <w:t xml:space="preserve"> that the data provided is inaccurate, the applicant receives notice that the information provided was not confirmed by the company’s CSO/FSO of record.  </w:t>
      </w:r>
    </w:p>
    <w:p w:rsidR="0051277E" w:rsidRPr="0051277E" w:rsidRDefault="0051277E" w:rsidP="00F40FC6">
      <w:pPr>
        <w:pStyle w:val="PlainText"/>
        <w:ind w:left="2160"/>
        <w:rPr>
          <w:rFonts w:ascii="Times New Roman" w:hAnsi="Times New Roman"/>
          <w:sz w:val="24"/>
          <w:szCs w:val="24"/>
        </w:rPr>
      </w:pPr>
    </w:p>
    <w:p w:rsidR="00E25EB0" w:rsidRPr="00E25EB0" w:rsidRDefault="00E25EB0" w:rsidP="001D1D51">
      <w:pPr>
        <w:pStyle w:val="NormalWeb"/>
        <w:numPr>
          <w:ilvl w:val="0"/>
          <w:numId w:val="10"/>
        </w:numPr>
        <w:ind w:left="1080"/>
        <w:rPr>
          <w:u w:val="single"/>
        </w:rPr>
      </w:pPr>
      <w:r w:rsidRPr="00E25EB0">
        <w:rPr>
          <w:u w:val="single"/>
        </w:rPr>
        <w:t>Relevant Statutes/Regulations</w:t>
      </w:r>
    </w:p>
    <w:p w:rsidR="00205244" w:rsidRPr="0019740B" w:rsidRDefault="00661AC9" w:rsidP="00E25EB0">
      <w:pPr>
        <w:pStyle w:val="NormalWeb"/>
        <w:ind w:firstLine="360"/>
      </w:pPr>
      <w:r w:rsidRPr="0019740B">
        <w:t xml:space="preserve">The following </w:t>
      </w:r>
      <w:r w:rsidR="0069527C">
        <w:t xml:space="preserve">statutes and </w:t>
      </w:r>
      <w:r w:rsidRPr="0019740B">
        <w:t xml:space="preserve">policy guidance identifies cyber threat information sharing as an urgent national-level priority and supports the collection of information from the DIB. </w:t>
      </w:r>
      <w:r w:rsidR="00356B81">
        <w:t xml:space="preserve"> </w:t>
      </w:r>
      <w:r w:rsidRPr="0019740B">
        <w:t>This guidance includes the collection, management and sharing of information for cyber security purposes, support</w:t>
      </w:r>
      <w:r w:rsidR="007F4C7E" w:rsidRPr="0019740B">
        <w:t>s</w:t>
      </w:r>
      <w:r w:rsidRPr="0019740B">
        <w:t xml:space="preserve"> and implement</w:t>
      </w:r>
      <w:r w:rsidR="007F4C7E" w:rsidRPr="0019740B">
        <w:t>s</w:t>
      </w:r>
      <w:r w:rsidRPr="0019740B">
        <w:t xml:space="preserve"> national and DoD-specific guidance and authority</w:t>
      </w:r>
      <w:r w:rsidR="009A4798" w:rsidRPr="0019740B">
        <w:t>.</w:t>
      </w:r>
    </w:p>
    <w:p w:rsidR="00C41253" w:rsidRDefault="00661AC9" w:rsidP="001D1D51">
      <w:pPr>
        <w:pStyle w:val="NormalWeb"/>
        <w:numPr>
          <w:ilvl w:val="3"/>
          <w:numId w:val="2"/>
        </w:numPr>
        <w:spacing w:after="240" w:afterAutospacing="0"/>
        <w:ind w:left="1440" w:hanging="360"/>
      </w:pPr>
      <w:r w:rsidRPr="0019740B">
        <w:t>Information Assurance (IA)</w:t>
      </w:r>
    </w:p>
    <w:p w:rsidR="004D3E68" w:rsidRPr="0019740B" w:rsidRDefault="00C41253" w:rsidP="00C41253">
      <w:pPr>
        <w:pStyle w:val="NormalWeb"/>
        <w:spacing w:after="240" w:afterAutospacing="0"/>
      </w:pPr>
      <w:r>
        <w:lastRenderedPageBreak/>
        <w:t xml:space="preserve">     </w:t>
      </w:r>
      <w:r w:rsidR="00661AC9" w:rsidRPr="0019740B">
        <w:t xml:space="preserve">DoD is required by statute to establish programs and activities to protect DoD information and DoD information systems, including information and information systems operated and maintained by contractors or others in support of DoD activities.  Section 2224 of Title 10, U.S. Code (U.S.C.), requires DoD to establish a Defense IA </w:t>
      </w:r>
      <w:r w:rsidR="00832C05">
        <w:t>P</w:t>
      </w:r>
      <w:r w:rsidR="00661AC9" w:rsidRPr="0019740B">
        <w:t>rogram to protect and defend DoD information, information systems, and information networks that are critical to the Department during day</w:t>
      </w:r>
      <w:r w:rsidR="00661AC9" w:rsidRPr="0019740B">
        <w:rPr>
          <w:rFonts w:ascii="Cambria Math" w:hAnsi="Cambria Math"/>
        </w:rPr>
        <w:t>‐</w:t>
      </w:r>
      <w:r w:rsidR="00661AC9" w:rsidRPr="0019740B">
        <w:t>to</w:t>
      </w:r>
      <w:r w:rsidR="00661AC9" w:rsidRPr="0019740B">
        <w:rPr>
          <w:rFonts w:ascii="Cambria Math" w:hAnsi="Cambria Math"/>
        </w:rPr>
        <w:t>‐</w:t>
      </w:r>
      <w:r w:rsidR="00661AC9" w:rsidRPr="0019740B">
        <w:t>day operations and operations in times of crisis</w:t>
      </w:r>
      <w:r w:rsidR="002275B1">
        <w:t>.</w:t>
      </w:r>
      <w:r w:rsidR="00661AC9" w:rsidRPr="0019740B">
        <w:t xml:space="preserve"> (10 U.S.C. § 2224(a))  The</w:t>
      </w:r>
      <w:r w:rsidR="00832C05">
        <w:t xml:space="preserve"> </w:t>
      </w:r>
      <w:r w:rsidR="00661AC9" w:rsidRPr="0019740B">
        <w:t>program must provide continuously for the availability, integrity, authentication, confidentiality, non-repudiation, and rapid restitution of information and information systems that are essential elements of the Defense information infrastructure. (10 U.S.C. § 2224(b))  The program strategy also must include vulnerability and threat assessments for defense and supporting non-defense information infrastructures, joint activities with elements of the national information infrastructure, and coordination with representatives of those national critical infrastructure systems that are essential to DoD operations. (10 U.S.C. § 2224(c))  The program must provide for coordination, as appropriate, with the heads of any relevant federal agency and with representatives of those national critical information infrastructure systems that are essential to the operations of the Department regarding information assurance measures necessary to the protection of these systems. (10 U.S.C. § 2224(d))</w:t>
      </w:r>
      <w:r w:rsidR="004D3E68" w:rsidRPr="0019740B">
        <w:t xml:space="preserve">  </w:t>
      </w:r>
    </w:p>
    <w:p w:rsidR="00872663" w:rsidRPr="0019740B" w:rsidRDefault="00661AC9" w:rsidP="007A2974">
      <w:pPr>
        <w:pStyle w:val="NormalWeb"/>
        <w:spacing w:after="240" w:afterAutospacing="0"/>
        <w:ind w:firstLine="360"/>
      </w:pPr>
      <w:r w:rsidRPr="0019740B">
        <w:t xml:space="preserve">The Defense IA Program also must ensure compliance with </w:t>
      </w:r>
      <w:r w:rsidR="004D3E68" w:rsidRPr="0019740B">
        <w:t>F</w:t>
      </w:r>
      <w:r w:rsidRPr="0019740B">
        <w:t>ederal IA requirements provided in the Federal Information Security Management Act (FISMA)</w:t>
      </w:r>
      <w:r w:rsidR="004D3E68" w:rsidRPr="0019740B">
        <w:t xml:space="preserve">, </w:t>
      </w:r>
      <w:r w:rsidRPr="0019740B">
        <w:t>44 U.S.C. § 3541 et seq.  FISMA requires all federal agencies to provide information security protections for information collected or maintained by</w:t>
      </w:r>
      <w:r w:rsidR="004D3E68" w:rsidRPr="0019740B">
        <w:t>,</w:t>
      </w:r>
      <w:r w:rsidRPr="0019740B">
        <w:t xml:space="preserve"> or on behalf of</w:t>
      </w:r>
      <w:r w:rsidR="004D3E68" w:rsidRPr="0019740B">
        <w:t>,</w:t>
      </w:r>
      <w:r w:rsidRPr="0019740B">
        <w:t xml:space="preserve"> the agency</w:t>
      </w:r>
      <w:r w:rsidR="004D3E68" w:rsidRPr="0019740B">
        <w:t>.  I</w:t>
      </w:r>
      <w:r w:rsidRPr="0019740B">
        <w:t>nformation systems used or operated by an agency or by a contractor of an agency or other organization on behalf of an agency</w:t>
      </w:r>
      <w:r w:rsidR="004D3E68" w:rsidRPr="0019740B">
        <w:t xml:space="preserve"> must be in accordance with </w:t>
      </w:r>
      <w:r w:rsidRPr="0019740B">
        <w:t>44 U.S.C. § 3544(a)(1)(A).  Agencies are expressly required to develop, document, and implement programs to provide information security for information and information systems that support the operations and assets of the agency, including those provided by another agency, contractor, or other source</w:t>
      </w:r>
      <w:r w:rsidR="004D3E68" w:rsidRPr="0019740B">
        <w:t xml:space="preserve"> in accordance with </w:t>
      </w:r>
      <w:r w:rsidRPr="0019740B">
        <w:t>44 U.S.C. § 3544(b).</w:t>
      </w:r>
    </w:p>
    <w:p w:rsidR="005E0A0F" w:rsidRPr="0019740B" w:rsidRDefault="005E0A0F" w:rsidP="001D1D51">
      <w:pPr>
        <w:pStyle w:val="NormalWeb"/>
        <w:numPr>
          <w:ilvl w:val="1"/>
          <w:numId w:val="2"/>
        </w:numPr>
        <w:spacing w:before="0" w:beforeAutospacing="0" w:after="240" w:afterAutospacing="0"/>
        <w:ind w:left="720"/>
        <w:rPr>
          <w:u w:val="single"/>
        </w:rPr>
      </w:pPr>
      <w:r w:rsidRPr="0019740B">
        <w:rPr>
          <w:u w:val="single"/>
        </w:rPr>
        <w:t>Use of Information Technology</w:t>
      </w:r>
    </w:p>
    <w:p w:rsidR="00BE2E95" w:rsidRPr="0019740B" w:rsidRDefault="0051277E" w:rsidP="00356B81">
      <w:pPr>
        <w:pStyle w:val="NormalWeb"/>
        <w:spacing w:line="288" w:lineRule="atLeast"/>
        <w:ind w:firstLine="360"/>
      </w:pPr>
      <w:r>
        <w:t xml:space="preserve">Yes, technological collection techniques are an option for DIB companies to share their POC information.  </w:t>
      </w:r>
      <w:r w:rsidR="0095166D" w:rsidRPr="0019740B">
        <w:t>DIB participants</w:t>
      </w:r>
      <w:r w:rsidR="00BE2E95" w:rsidRPr="0019740B">
        <w:t xml:space="preserve"> voluntarily provide POC information to the DIB CS/IA </w:t>
      </w:r>
      <w:r w:rsidR="00E25EB0">
        <w:t>p</w:t>
      </w:r>
      <w:r w:rsidR="00BE2E95" w:rsidRPr="0019740B">
        <w:t xml:space="preserve">rogram </w:t>
      </w:r>
      <w:r w:rsidR="007B5CCB">
        <w:t xml:space="preserve">via </w:t>
      </w:r>
      <w:r w:rsidR="009A4798" w:rsidRPr="0019740B">
        <w:t>email, telephon</w:t>
      </w:r>
      <w:r w:rsidR="002D2C43">
        <w:t>e</w:t>
      </w:r>
      <w:r w:rsidR="00893C6A">
        <w:t>, fax, in person</w:t>
      </w:r>
      <w:r w:rsidR="009A4798" w:rsidRPr="0019740B">
        <w:t xml:space="preserve"> or web portal.</w:t>
      </w:r>
    </w:p>
    <w:p w:rsidR="005E0A0F" w:rsidRPr="003A1C0A" w:rsidRDefault="007A2974" w:rsidP="001D1D51">
      <w:pPr>
        <w:pStyle w:val="NormalWeb"/>
        <w:numPr>
          <w:ilvl w:val="1"/>
          <w:numId w:val="2"/>
        </w:numPr>
        <w:tabs>
          <w:tab w:val="left" w:pos="630"/>
        </w:tabs>
        <w:spacing w:before="0" w:beforeAutospacing="0" w:after="240" w:afterAutospacing="0"/>
        <w:ind w:left="720"/>
        <w:rPr>
          <w:u w:val="single"/>
        </w:rPr>
      </w:pPr>
      <w:r w:rsidRPr="00855595">
        <w:t xml:space="preserve"> </w:t>
      </w:r>
      <w:r w:rsidR="005E0A0F" w:rsidRPr="003A1C0A">
        <w:rPr>
          <w:u w:val="single"/>
        </w:rPr>
        <w:t>Non-duplication</w:t>
      </w:r>
    </w:p>
    <w:p w:rsidR="00453CB7" w:rsidRPr="0019740B" w:rsidRDefault="00344362" w:rsidP="0051277E">
      <w:pPr>
        <w:pStyle w:val="NormalWeb"/>
        <w:spacing w:before="0" w:beforeAutospacing="0" w:after="0" w:afterAutospacing="0"/>
        <w:outlineLvl w:val="0"/>
        <w:rPr>
          <w:u w:val="single"/>
        </w:rPr>
      </w:pPr>
      <w:r>
        <w:t xml:space="preserve">     </w:t>
      </w:r>
      <w:r w:rsidR="0051277E">
        <w:t xml:space="preserve">While </w:t>
      </w:r>
      <w:r w:rsidR="005B5525" w:rsidRPr="0019740B">
        <w:t xml:space="preserve">POC information regarding </w:t>
      </w:r>
      <w:r w:rsidR="00145D1A" w:rsidRPr="0019740B">
        <w:t>DIB participants</w:t>
      </w:r>
      <w:r w:rsidR="005B5525" w:rsidRPr="0019740B">
        <w:t xml:space="preserve"> </w:t>
      </w:r>
      <w:r w:rsidR="002D2C43">
        <w:t>may</w:t>
      </w:r>
      <w:r w:rsidR="002D2C43" w:rsidRPr="0019740B">
        <w:t xml:space="preserve"> </w:t>
      </w:r>
      <w:r w:rsidR="0051277E">
        <w:t xml:space="preserve">possibly </w:t>
      </w:r>
      <w:r w:rsidR="005B5525" w:rsidRPr="0019740B">
        <w:t xml:space="preserve">be found on the web </w:t>
      </w:r>
      <w:r w:rsidR="006E4C06" w:rsidRPr="0019740B">
        <w:t xml:space="preserve">in various forums, </w:t>
      </w:r>
      <w:r w:rsidR="005B5525" w:rsidRPr="0019740B">
        <w:t xml:space="preserve">the information may be unreliable, missing, or out-of-date.  The only way to </w:t>
      </w:r>
      <w:r w:rsidR="0051277E">
        <w:t xml:space="preserve">have </w:t>
      </w:r>
      <w:r w:rsidR="005B5525" w:rsidRPr="0019740B">
        <w:t xml:space="preserve">accurate POC information is to have direct </w:t>
      </w:r>
      <w:r w:rsidR="00764051" w:rsidRPr="0019740B">
        <w:t>input from</w:t>
      </w:r>
      <w:r w:rsidR="005B5525" w:rsidRPr="0019740B">
        <w:t xml:space="preserve"> the </w:t>
      </w:r>
      <w:r w:rsidR="00145D1A" w:rsidRPr="0019740B">
        <w:t>DIB participants</w:t>
      </w:r>
      <w:r w:rsidR="00453CB7" w:rsidRPr="0019740B">
        <w:t>.</w:t>
      </w:r>
      <w:r w:rsidR="00B84F53" w:rsidRPr="0019740B">
        <w:t xml:space="preserve"> </w:t>
      </w:r>
      <w:r w:rsidR="0051277E">
        <w:t xml:space="preserve"> </w:t>
      </w:r>
    </w:p>
    <w:p w:rsidR="005E0A0F" w:rsidRPr="0019740B" w:rsidRDefault="005E0A0F" w:rsidP="002F1F33">
      <w:pPr>
        <w:pStyle w:val="NormalWeb"/>
        <w:numPr>
          <w:ilvl w:val="1"/>
          <w:numId w:val="2"/>
        </w:numPr>
        <w:ind w:left="720"/>
        <w:outlineLvl w:val="0"/>
        <w:rPr>
          <w:u w:val="single"/>
        </w:rPr>
      </w:pPr>
      <w:bookmarkStart w:id="2" w:name="cp440"/>
      <w:r w:rsidRPr="0019740B">
        <w:rPr>
          <w:u w:val="single"/>
        </w:rPr>
        <w:t>Burden on Small Business</w:t>
      </w:r>
    </w:p>
    <w:bookmarkEnd w:id="2"/>
    <w:p w:rsidR="005B5525" w:rsidRPr="0019740B" w:rsidRDefault="00344362" w:rsidP="002F1F33">
      <w:pPr>
        <w:pStyle w:val="NormalWeb"/>
        <w:spacing w:before="0" w:beforeAutospacing="0" w:after="240" w:afterAutospacing="0"/>
        <w:outlineLvl w:val="0"/>
      </w:pPr>
      <w:r w:rsidRPr="00344362">
        <w:t xml:space="preserve">     </w:t>
      </w:r>
      <w:r w:rsidR="005B5525" w:rsidRPr="0019740B">
        <w:t xml:space="preserve">POC information </w:t>
      </w:r>
      <w:r w:rsidR="006E4C06" w:rsidRPr="0019740B">
        <w:t xml:space="preserve">will be collected by the </w:t>
      </w:r>
      <w:r w:rsidR="00200604" w:rsidRPr="0019740B">
        <w:t>Government</w:t>
      </w:r>
      <w:r w:rsidR="006E4C06" w:rsidRPr="0019740B">
        <w:t xml:space="preserve"> </w:t>
      </w:r>
      <w:r w:rsidR="00B22E43">
        <w:t xml:space="preserve">during the application process (e.g., a one-time collection) </w:t>
      </w:r>
      <w:r w:rsidR="006E4C06" w:rsidRPr="0019740B">
        <w:t xml:space="preserve">and the information will be updated by the </w:t>
      </w:r>
      <w:r w:rsidR="00145D1A" w:rsidRPr="0019740B">
        <w:t>DIB partic</w:t>
      </w:r>
      <w:r w:rsidR="001E2CD3" w:rsidRPr="0019740B">
        <w:t>i</w:t>
      </w:r>
      <w:r w:rsidR="00145D1A" w:rsidRPr="0019740B">
        <w:t xml:space="preserve">pants </w:t>
      </w:r>
      <w:r w:rsidR="006E4C06" w:rsidRPr="0019740B">
        <w:t xml:space="preserve">as </w:t>
      </w:r>
      <w:r w:rsidR="00B22E43">
        <w:t xml:space="preserve">personnel </w:t>
      </w:r>
      <w:r w:rsidR="006E4C06" w:rsidRPr="0019740B">
        <w:t xml:space="preserve">changes occur.  </w:t>
      </w:r>
      <w:r w:rsidR="00200604" w:rsidRPr="0019740B">
        <w:t>The Government</w:t>
      </w:r>
      <w:r w:rsidR="006E4C06" w:rsidRPr="0019740B">
        <w:t xml:space="preserve"> will make every attempt to minimize the burden on </w:t>
      </w:r>
      <w:r w:rsidR="00200604" w:rsidRPr="0019740B">
        <w:t xml:space="preserve">DIB </w:t>
      </w:r>
      <w:r w:rsidR="00200604" w:rsidRPr="0019740B">
        <w:lastRenderedPageBreak/>
        <w:t>participants</w:t>
      </w:r>
      <w:r w:rsidR="00145D1A" w:rsidRPr="0019740B">
        <w:t xml:space="preserve"> </w:t>
      </w:r>
      <w:r w:rsidR="006E4C06" w:rsidRPr="0019740B">
        <w:t>by verifying POC information whenever possible/feasible during telephone calls, email exchanges</w:t>
      </w:r>
      <w:r w:rsidR="00B22E43">
        <w:t>,</w:t>
      </w:r>
      <w:r w:rsidR="00145D1A" w:rsidRPr="0019740B">
        <w:t xml:space="preserve"> </w:t>
      </w:r>
      <w:r w:rsidR="006E4C06" w:rsidRPr="0019740B">
        <w:t>meetings</w:t>
      </w:r>
      <w:r w:rsidR="00B22E43">
        <w:t>, or other program activities</w:t>
      </w:r>
      <w:r w:rsidR="006E4C06" w:rsidRPr="0019740B">
        <w:t>.</w:t>
      </w:r>
    </w:p>
    <w:p w:rsidR="005E0A0F" w:rsidRPr="0019740B" w:rsidRDefault="005E0A0F" w:rsidP="002F1F33">
      <w:pPr>
        <w:pStyle w:val="NormalWeb"/>
        <w:numPr>
          <w:ilvl w:val="1"/>
          <w:numId w:val="2"/>
        </w:numPr>
        <w:ind w:left="720"/>
        <w:outlineLvl w:val="0"/>
        <w:rPr>
          <w:u w:val="single"/>
        </w:rPr>
      </w:pPr>
      <w:r w:rsidRPr="0019740B">
        <w:rPr>
          <w:u w:val="single"/>
        </w:rPr>
        <w:t>Less Frequent Collection</w:t>
      </w:r>
    </w:p>
    <w:p w:rsidR="001163F0" w:rsidRDefault="00933FD0" w:rsidP="00292B64">
      <w:pPr>
        <w:pStyle w:val="NormalWeb"/>
        <w:spacing w:line="288" w:lineRule="atLeast"/>
      </w:pPr>
      <w:r>
        <w:t xml:space="preserve">    </w:t>
      </w:r>
      <w:r w:rsidR="00344362">
        <w:t xml:space="preserve">     </w:t>
      </w:r>
      <w:r w:rsidR="00B22E43" w:rsidRPr="0019740B">
        <w:t xml:space="preserve">POC information will be collected by the Government </w:t>
      </w:r>
      <w:r w:rsidR="00B22E43">
        <w:t xml:space="preserve">during the application process (e.g., a one-time collection) </w:t>
      </w:r>
      <w:r w:rsidR="00B22E43" w:rsidRPr="0019740B">
        <w:t xml:space="preserve">and the information will be updated by the DIB participants as </w:t>
      </w:r>
      <w:r w:rsidR="00B22E43">
        <w:t xml:space="preserve">personnel </w:t>
      </w:r>
      <w:r w:rsidR="00B22E43" w:rsidRPr="0019740B">
        <w:t xml:space="preserve">changes occur. </w:t>
      </w:r>
      <w:r w:rsidR="00B22E43">
        <w:t xml:space="preserve"> After joining the program, it is the responsibility of the DIB company to maintain current POC information with the DoD to ensure timely cyber threat information sharing and incident reporting.  </w:t>
      </w:r>
      <w:bookmarkStart w:id="3" w:name="cp444"/>
    </w:p>
    <w:p w:rsidR="005E0A0F" w:rsidRPr="0019740B" w:rsidRDefault="00292B64" w:rsidP="00292B64">
      <w:pPr>
        <w:pStyle w:val="NormalWeb"/>
        <w:spacing w:before="0" w:beforeAutospacing="0" w:after="240" w:afterAutospacing="0"/>
        <w:ind w:left="360"/>
        <w:outlineLvl w:val="0"/>
        <w:rPr>
          <w:u w:val="single"/>
        </w:rPr>
      </w:pPr>
      <w:r>
        <w:rPr>
          <w:u w:val="single"/>
        </w:rPr>
        <w:t xml:space="preserve">7.  </w:t>
      </w:r>
      <w:r w:rsidR="001A6152" w:rsidRPr="00B02099">
        <w:rPr>
          <w:u w:val="single"/>
        </w:rPr>
        <w:t>Paperwork Reduction Act Guidelines</w:t>
      </w:r>
    </w:p>
    <w:p w:rsidR="00BB0F28" w:rsidRPr="0019740B" w:rsidRDefault="00BB0F28" w:rsidP="00BB0F28">
      <w:pPr>
        <w:pStyle w:val="NormalWeb"/>
        <w:spacing w:line="288" w:lineRule="atLeast"/>
      </w:pPr>
      <w:bookmarkStart w:id="4" w:name="cp446"/>
      <w:bookmarkEnd w:id="3"/>
      <w:r>
        <w:t xml:space="preserve">     I</w:t>
      </w:r>
      <w:r w:rsidRPr="0019740B">
        <w:t>nformation is collected consistent with 5 CFR 1320.5(d)(2).  No special circumstances are required.</w:t>
      </w:r>
    </w:p>
    <w:p w:rsidR="005E0A0F" w:rsidRPr="002275B1" w:rsidRDefault="00292B64" w:rsidP="00292B64">
      <w:pPr>
        <w:pStyle w:val="NormalWeb"/>
        <w:ind w:left="360"/>
        <w:outlineLvl w:val="0"/>
        <w:rPr>
          <w:u w:val="single"/>
        </w:rPr>
      </w:pPr>
      <w:r>
        <w:rPr>
          <w:u w:val="single"/>
        </w:rPr>
        <w:t xml:space="preserve">8.  </w:t>
      </w:r>
      <w:r w:rsidR="005E0A0F" w:rsidRPr="002275B1">
        <w:rPr>
          <w:u w:val="single"/>
        </w:rPr>
        <w:t>Consultation and Public Comments</w:t>
      </w:r>
    </w:p>
    <w:p w:rsidR="009D06C1" w:rsidRDefault="00E87376" w:rsidP="002F1F33">
      <w:pPr>
        <w:pStyle w:val="NormalWeb"/>
        <w:spacing w:before="0" w:beforeAutospacing="0" w:after="240" w:afterAutospacing="0"/>
        <w:outlineLvl w:val="0"/>
      </w:pPr>
      <w:bookmarkStart w:id="5" w:name="cp447"/>
      <w:bookmarkEnd w:id="4"/>
      <w:r w:rsidRPr="002275B1">
        <w:t xml:space="preserve">As required by </w:t>
      </w:r>
      <w:r w:rsidR="005E0A0F" w:rsidRPr="002275B1">
        <w:t xml:space="preserve">5 CFR 1320.8(d), </w:t>
      </w:r>
      <w:r w:rsidRPr="002275B1">
        <w:t xml:space="preserve">the notice of information collection was published in the Federal Register on May 11, </w:t>
      </w:r>
      <w:r w:rsidR="00933FD0">
        <w:t>2012</w:t>
      </w:r>
      <w:r w:rsidRPr="002275B1">
        <w:t>, page 2</w:t>
      </w:r>
      <w:r w:rsidR="00933FD0">
        <w:t>7615</w:t>
      </w:r>
      <w:r w:rsidRPr="002275B1">
        <w:t xml:space="preserve"> </w:t>
      </w:r>
      <w:r w:rsidR="005E0A0F" w:rsidRPr="002275B1">
        <w:t>soliciting comments</w:t>
      </w:r>
      <w:r w:rsidRPr="002275B1">
        <w:t>.  No public comments were received</w:t>
      </w:r>
      <w:r w:rsidR="00292B64">
        <w:t xml:space="preserve"> during this 60-day public comment period; however, OMB received comments from Tech America during their review </w:t>
      </w:r>
      <w:r w:rsidR="00D5064E">
        <w:t>of the collection.  DoD provides</w:t>
      </w:r>
      <w:r w:rsidR="00292B64">
        <w:t xml:space="preserve"> the below response:</w:t>
      </w:r>
    </w:p>
    <w:p w:rsidR="00CA1C22" w:rsidRPr="0019740B" w:rsidRDefault="00D5064E" w:rsidP="00712CBA">
      <w:pPr>
        <w:pStyle w:val="NormalWeb"/>
        <w:spacing w:before="0" w:beforeAutospacing="0" w:after="240" w:afterAutospacing="0"/>
        <w:outlineLvl w:val="0"/>
      </w:pPr>
      <w:r>
        <w:t>Tech America</w:t>
      </w:r>
      <w:r w:rsidR="00292B64" w:rsidRPr="00292B64">
        <w:t xml:space="preserve"> commented that our estimated annual burden was understated, specifically because the estimated number of respondents was too low.  More specifically, </w:t>
      </w:r>
      <w:r>
        <w:t>DoD</w:t>
      </w:r>
      <w:r w:rsidR="00292B64" w:rsidRPr="00292B64">
        <w:t xml:space="preserve"> estimated 250 respondents, and </w:t>
      </w:r>
      <w:r>
        <w:t>Tech America</w:t>
      </w:r>
      <w:r w:rsidR="00292B64" w:rsidRPr="00292B64">
        <w:t xml:space="preserve"> suggested that 750 respondents would be more accurate, in part because a related information collection review for the DIB CS/IA Cyber Incident Reporting, OMB Control Number 0704-0489, had estimated that the program may grow by up to 250 additional participants each year, reaching up to 750 in the third year.  </w:t>
      </w:r>
      <w:r>
        <w:t>DoD</w:t>
      </w:r>
      <w:r w:rsidR="00292B64" w:rsidRPr="00292B64">
        <w:t xml:space="preserve"> agree</w:t>
      </w:r>
      <w:r>
        <w:t>s</w:t>
      </w:r>
      <w:r w:rsidR="00292B64" w:rsidRPr="00292B64">
        <w:t xml:space="preserve"> that the number of the respondents for the DIB CS/IA program should be consistent for both the POC </w:t>
      </w:r>
      <w:bookmarkStart w:id="6" w:name="_GoBack"/>
      <w:bookmarkEnd w:id="6"/>
      <w:r w:rsidR="00292B64" w:rsidRPr="00292B64">
        <w:t xml:space="preserve">information, and the cyber incident reporting.  </w:t>
      </w:r>
      <w:r w:rsidR="008E7E7C">
        <w:t>DoD has</w:t>
      </w:r>
      <w:r w:rsidR="00292B64" w:rsidRPr="00292B64">
        <w:t xml:space="preserve"> reviewed our estimates for both of these information collections, and conclude that the estimates for the POC information collection are more accurate, while the initial estimates for cyber incident reporting overstated the annual burden by overestimating the number of respondents.  By May 2013, approximately the end of the first year of the DIB CS/IA program operations under the interim rule published in May 2012, there were nearly 80 participants.  Based on this information, and adjusted for anticipated future growth in the number of participants each year, </w:t>
      </w:r>
      <w:r w:rsidR="008E7E7C">
        <w:t>DoD</w:t>
      </w:r>
      <w:r w:rsidR="00292B64" w:rsidRPr="00292B64">
        <w:t xml:space="preserve"> estimate</w:t>
      </w:r>
      <w:r w:rsidR="008E7E7C">
        <w:t>s</w:t>
      </w:r>
      <w:r w:rsidR="00292B64" w:rsidRPr="00292B64">
        <w:t xml:space="preserve"> that not more than 250 companies will respond to the initial information collection request for POC information each year (this estimate will also be applied to the cyber incident reporting information collection review).  As noted in your comments, the estimated 1.1 responses per respondent and average burden of 20 minutes per response, appears to be a reasonable and accurate estimate, thus resulting in a total estimated annual burden of 92 hours for this POC information collection.</w:t>
      </w:r>
      <w:bookmarkStart w:id="7" w:name="cp448"/>
      <w:bookmarkEnd w:id="5"/>
      <w:r w:rsidR="009C4123">
        <w:br/>
      </w:r>
      <w:r w:rsidR="00CA1C22" w:rsidRPr="0019740B">
        <w:t xml:space="preserve">Information will be collected </w:t>
      </w:r>
      <w:r w:rsidR="00B22E43">
        <w:t xml:space="preserve">during the application process to join the program.  After joining the program, it is the responsibility of the </w:t>
      </w:r>
      <w:r w:rsidR="002B563B" w:rsidRPr="0019740B">
        <w:t xml:space="preserve">DIB participants </w:t>
      </w:r>
      <w:r w:rsidR="00B22E43">
        <w:t>to</w:t>
      </w:r>
      <w:r w:rsidR="00B22E43" w:rsidRPr="0019740B">
        <w:t xml:space="preserve"> </w:t>
      </w:r>
      <w:r w:rsidR="00CA1C22" w:rsidRPr="0019740B">
        <w:t xml:space="preserve">provide changes to the </w:t>
      </w:r>
      <w:r w:rsidR="000A3A5B" w:rsidRPr="0019740B">
        <w:t xml:space="preserve">Government </w:t>
      </w:r>
      <w:r w:rsidR="00CA1C22" w:rsidRPr="0019740B">
        <w:t xml:space="preserve">as </w:t>
      </w:r>
      <w:r w:rsidR="00B22E43">
        <w:t xml:space="preserve">personnel </w:t>
      </w:r>
      <w:r w:rsidR="00CA1C22" w:rsidRPr="0019740B">
        <w:t>change</w:t>
      </w:r>
      <w:r w:rsidR="00B22E43">
        <w:t>s occur</w:t>
      </w:r>
      <w:r w:rsidR="00CA1C22" w:rsidRPr="0019740B">
        <w:t xml:space="preserve">.  </w:t>
      </w:r>
    </w:p>
    <w:p w:rsidR="005E0A0F" w:rsidRPr="002F1F33" w:rsidRDefault="007B5CCB" w:rsidP="002F1F33">
      <w:pPr>
        <w:pStyle w:val="NormalWeb"/>
        <w:spacing w:before="0" w:beforeAutospacing="0" w:after="120" w:afterAutospacing="0"/>
        <w:ind w:firstLine="360"/>
        <w:outlineLvl w:val="0"/>
        <w:rPr>
          <w:u w:val="single"/>
        </w:rPr>
      </w:pPr>
      <w:bookmarkStart w:id="8" w:name="cp449"/>
      <w:bookmarkEnd w:id="7"/>
      <w:r w:rsidRPr="002F1F33">
        <w:lastRenderedPageBreak/>
        <w:t xml:space="preserve">9.  </w:t>
      </w:r>
      <w:r w:rsidR="005E0A0F" w:rsidRPr="002F1F33">
        <w:rPr>
          <w:u w:val="single"/>
        </w:rPr>
        <w:t>Gifts or Payment</w:t>
      </w:r>
    </w:p>
    <w:p w:rsidR="007B5CCB" w:rsidRPr="002F1F33" w:rsidRDefault="00BB0F28" w:rsidP="007B5CCB">
      <w:pPr>
        <w:pStyle w:val="NormalWeb"/>
        <w:spacing w:before="0" w:beforeAutospacing="0" w:after="240" w:afterAutospacing="0"/>
        <w:outlineLvl w:val="0"/>
        <w:rPr>
          <w:u w:val="single"/>
        </w:rPr>
      </w:pPr>
      <w:bookmarkStart w:id="9" w:name="cp450"/>
      <w:bookmarkEnd w:id="8"/>
      <w:r w:rsidRPr="002F1F33">
        <w:t xml:space="preserve">     </w:t>
      </w:r>
      <w:r w:rsidR="000A3A5B" w:rsidRPr="002F1F33">
        <w:t xml:space="preserve">The Government </w:t>
      </w:r>
      <w:r w:rsidR="00524E04" w:rsidRPr="002F1F33">
        <w:t>will provide no payment or gifts to respondents</w:t>
      </w:r>
      <w:bookmarkEnd w:id="9"/>
    </w:p>
    <w:p w:rsidR="005E0A0F" w:rsidRPr="0019740B" w:rsidRDefault="005E0A0F" w:rsidP="002F1F33">
      <w:pPr>
        <w:pStyle w:val="NormalWeb"/>
        <w:numPr>
          <w:ilvl w:val="0"/>
          <w:numId w:val="30"/>
        </w:numPr>
        <w:spacing w:before="0" w:beforeAutospacing="0" w:after="240" w:afterAutospacing="0"/>
        <w:ind w:hanging="720"/>
        <w:outlineLvl w:val="0"/>
        <w:rPr>
          <w:u w:val="single"/>
        </w:rPr>
      </w:pPr>
      <w:r w:rsidRPr="002F1F33">
        <w:rPr>
          <w:u w:val="single"/>
        </w:rPr>
        <w:t>Confidentiality</w:t>
      </w:r>
    </w:p>
    <w:p w:rsidR="006A59B2" w:rsidRDefault="00B96A9F" w:rsidP="00933FD0">
      <w:pPr>
        <w:pStyle w:val="NormalWeb"/>
        <w:spacing w:before="0" w:beforeAutospacing="0" w:after="240" w:afterAutospacing="0"/>
        <w:outlineLvl w:val="0"/>
      </w:pPr>
      <w:r>
        <w:t xml:space="preserve">       </w:t>
      </w:r>
      <w:r w:rsidR="006A59B2">
        <w:t>The publically releasable version of the Privacy Impact Assessment for the DIB CS/IA Activities has been completed and posted at</w:t>
      </w:r>
      <w:r w:rsidR="006A59B2" w:rsidRPr="0019740B">
        <w:t>:</w:t>
      </w:r>
      <w:r w:rsidR="006A59B2" w:rsidRPr="00BB0F28">
        <w:t xml:space="preserve"> </w:t>
      </w:r>
      <w:r w:rsidR="006A59B2">
        <w:t xml:space="preserve"> h</w:t>
      </w:r>
      <w:r w:rsidR="006A59B2" w:rsidRPr="00142DA0">
        <w:t>ttp://dodcio.defense.gov/Portals/0/Documents/DIB%20CS-IA%20PIA_FINAL_signed_30jun2011_VMSS_GGMR_RC.pdf</w:t>
      </w:r>
    </w:p>
    <w:p w:rsidR="006A59B2" w:rsidRPr="0019740B" w:rsidRDefault="006A59B2" w:rsidP="006A59B2">
      <w:pPr>
        <w:pStyle w:val="NormalWeb"/>
        <w:numPr>
          <w:ilvl w:val="0"/>
          <w:numId w:val="14"/>
        </w:numPr>
        <w:tabs>
          <w:tab w:val="left" w:pos="1170"/>
        </w:tabs>
        <w:spacing w:before="0" w:beforeAutospacing="0" w:after="240" w:afterAutospacing="0"/>
        <w:ind w:left="0" w:firstLine="720"/>
        <w:outlineLvl w:val="0"/>
      </w:pPr>
      <w:r w:rsidRPr="00CC1818">
        <w:t>SORN system identifier and name:  DCIO 01, entitled “</w:t>
      </w:r>
      <w:r w:rsidRPr="00CC1818">
        <w:rPr>
          <w:bCs/>
        </w:rPr>
        <w:t>Defense Industrial Base (DIB) Cyber Security/Information Assurance Records.”</w:t>
      </w:r>
      <w:r>
        <w:rPr>
          <w:bCs/>
        </w:rPr>
        <w:t xml:space="preserve">  </w:t>
      </w:r>
      <w:r w:rsidRPr="0019740B">
        <w:t xml:space="preserve">The SORN </w:t>
      </w:r>
      <w:r>
        <w:t xml:space="preserve">is attached. </w:t>
      </w:r>
    </w:p>
    <w:p w:rsidR="005E0A0F" w:rsidRPr="007B5CCB" w:rsidRDefault="005E0A0F" w:rsidP="002F1F33">
      <w:pPr>
        <w:pStyle w:val="NormalWeb"/>
        <w:numPr>
          <w:ilvl w:val="0"/>
          <w:numId w:val="30"/>
        </w:numPr>
        <w:spacing w:before="0" w:beforeAutospacing="0" w:after="240" w:afterAutospacing="0"/>
        <w:ind w:hanging="720"/>
        <w:outlineLvl w:val="0"/>
        <w:rPr>
          <w:u w:val="single"/>
        </w:rPr>
      </w:pPr>
      <w:r w:rsidRPr="002F1F33">
        <w:rPr>
          <w:u w:val="single"/>
        </w:rPr>
        <w:t>Sensitive</w:t>
      </w:r>
      <w:r w:rsidRPr="007B5CCB">
        <w:rPr>
          <w:u w:val="single"/>
        </w:rPr>
        <w:t xml:space="preserve"> Questions</w:t>
      </w:r>
    </w:p>
    <w:p w:rsidR="00622E0B" w:rsidRPr="0019740B" w:rsidRDefault="00B96A9F" w:rsidP="00B96A9F">
      <w:pPr>
        <w:pStyle w:val="NormalWeb"/>
        <w:spacing w:before="0" w:beforeAutospacing="0" w:after="0" w:afterAutospacing="0"/>
        <w:outlineLvl w:val="0"/>
      </w:pPr>
      <w:r>
        <w:t xml:space="preserve">      </w:t>
      </w:r>
      <w:r w:rsidR="009A4798" w:rsidRPr="0019740B">
        <w:t>Sen</w:t>
      </w:r>
      <w:r w:rsidR="00524E04" w:rsidRPr="0019740B">
        <w:t>sitive private information is not collected.</w:t>
      </w:r>
      <w:r w:rsidR="008555CC" w:rsidRPr="0019740B">
        <w:t xml:space="preserve">  A Privacy Impact Assessment addresses the processes in place to protect information provided by a DIB participant</w:t>
      </w:r>
      <w:r w:rsidR="009A4798" w:rsidRPr="0019740B">
        <w:t xml:space="preserve"> and</w:t>
      </w:r>
      <w:r w:rsidR="00622E0B" w:rsidRPr="0019740B">
        <w:t xml:space="preserve"> in the event of an inadvertent disclosure of PII by DIB participants as part of the DIB CS/IA program. </w:t>
      </w:r>
      <w:r w:rsidR="002D2C43">
        <w:t xml:space="preserve"> </w:t>
      </w:r>
      <w:r w:rsidR="000A3A5B" w:rsidRPr="0019740B">
        <w:t>The Government</w:t>
      </w:r>
      <w:r w:rsidR="00622E0B" w:rsidRPr="0019740B">
        <w:t xml:space="preserve"> will make full use of the exemptions of the Freedom of Information Act to protect against </w:t>
      </w:r>
      <w:r w:rsidR="00D50AEE">
        <w:t xml:space="preserve">unauthorized public </w:t>
      </w:r>
      <w:r w:rsidR="00622E0B" w:rsidRPr="0019740B">
        <w:t xml:space="preserve">disclosure </w:t>
      </w:r>
      <w:r w:rsidR="009A4798" w:rsidRPr="0019740B">
        <w:t>of attribution</w:t>
      </w:r>
      <w:r w:rsidR="001163F0">
        <w:t>,</w:t>
      </w:r>
      <w:r w:rsidR="009A4798" w:rsidRPr="0019740B">
        <w:t xml:space="preserve"> proprietary</w:t>
      </w:r>
      <w:r w:rsidR="00A27B85">
        <w:t xml:space="preserve">, or other non-public </w:t>
      </w:r>
      <w:r w:rsidR="00622E0B" w:rsidRPr="0019740B">
        <w:t>information provided by a DIB participant</w:t>
      </w:r>
      <w:r w:rsidR="002275B1">
        <w:t>.</w:t>
      </w:r>
      <w:r w:rsidR="00EF01D9">
        <w:t xml:space="preserve"> </w:t>
      </w:r>
      <w:r w:rsidR="002275B1">
        <w:t>H</w:t>
      </w:r>
      <w:r w:rsidR="00EF01D9">
        <w:t>owever, the Government cannot guarantee that information provided will never be subject to release</w:t>
      </w:r>
      <w:r w:rsidR="00D50AEE">
        <w:t>, if the information cannot qualify for any FOIA exemptions</w:t>
      </w:r>
      <w:r w:rsidR="00A27B85">
        <w:t>.</w:t>
      </w:r>
    </w:p>
    <w:p w:rsidR="005746A3" w:rsidRPr="0019740B" w:rsidRDefault="005746A3" w:rsidP="001D1D51">
      <w:pPr>
        <w:pStyle w:val="NormalWeb"/>
        <w:numPr>
          <w:ilvl w:val="0"/>
          <w:numId w:val="23"/>
        </w:numPr>
        <w:ind w:left="720"/>
        <w:outlineLvl w:val="0"/>
        <w:rPr>
          <w:u w:val="single"/>
        </w:rPr>
      </w:pPr>
      <w:r w:rsidRPr="0019740B">
        <w:rPr>
          <w:u w:val="single"/>
        </w:rPr>
        <w:t>Respondent Burden, and its Labor Costs</w:t>
      </w:r>
    </w:p>
    <w:p w:rsidR="005746A3" w:rsidRPr="000A71CB" w:rsidRDefault="005746A3" w:rsidP="001D1D51">
      <w:pPr>
        <w:pStyle w:val="NormalWeb"/>
        <w:numPr>
          <w:ilvl w:val="0"/>
          <w:numId w:val="4"/>
        </w:numPr>
        <w:spacing w:before="0" w:beforeAutospacing="0"/>
        <w:ind w:left="1080"/>
        <w:outlineLvl w:val="0"/>
        <w:rPr>
          <w:u w:val="single"/>
        </w:rPr>
      </w:pPr>
      <w:r w:rsidRPr="000A71CB">
        <w:rPr>
          <w:u w:val="single"/>
        </w:rPr>
        <w:t>Estimation of Respondent Burden</w:t>
      </w:r>
    </w:p>
    <w:p w:rsidR="000A71CB" w:rsidRDefault="00691CBD" w:rsidP="002F1F33">
      <w:pPr>
        <w:pStyle w:val="NormalWeb"/>
        <w:spacing w:before="0" w:beforeAutospacing="0" w:after="240" w:afterAutospacing="0"/>
        <w:ind w:firstLine="540"/>
        <w:outlineLvl w:val="0"/>
      </w:pPr>
      <w:r w:rsidRPr="0019740B">
        <w:t xml:space="preserve">The estimated annual respondent burden report in Item 13 of OMB Form 83-I is a function of the annual number of responses provided to </w:t>
      </w:r>
      <w:r w:rsidR="000A3A5B" w:rsidRPr="0019740B">
        <w:t xml:space="preserve">the Government </w:t>
      </w:r>
      <w:r w:rsidRPr="0019740B">
        <w:t xml:space="preserve">by DIB participants and the estimated amount of time required for each response (for each participant to collect and report such information) to </w:t>
      </w:r>
      <w:r w:rsidR="000A3A5B" w:rsidRPr="0019740B">
        <w:t>the Government</w:t>
      </w:r>
      <w:r w:rsidRPr="0019740B">
        <w:t xml:space="preserve">. </w:t>
      </w:r>
      <w:r w:rsidR="00FB4333">
        <w:t xml:space="preserve"> </w:t>
      </w:r>
      <w:r w:rsidRPr="0019740B">
        <w:t xml:space="preserve">The projections below are </w:t>
      </w:r>
      <w:r w:rsidR="00234EAA" w:rsidRPr="0019740B">
        <w:t xml:space="preserve">rounded to the nearest hour and are </w:t>
      </w:r>
      <w:r w:rsidRPr="0019740B">
        <w:t xml:space="preserve">based on current available data and best estimates. </w:t>
      </w:r>
      <w:r w:rsidR="00FB4333">
        <w:t xml:space="preserve"> </w:t>
      </w:r>
      <w:r w:rsidRPr="0019740B">
        <w:t>Additional data will become available through program implementation to validate future burden projections.</w:t>
      </w:r>
      <w:r w:rsidR="00614FF3" w:rsidRPr="0019740B">
        <w:t xml:space="preserve">  </w:t>
      </w:r>
      <w:r w:rsidR="00712CBA">
        <w:t xml:space="preserve">The </w:t>
      </w:r>
      <w:r w:rsidR="004B4A55">
        <w:t>following chart</w:t>
      </w:r>
      <w:r w:rsidR="00FB4333">
        <w:t xml:space="preserve"> specifies the </w:t>
      </w:r>
      <w:r w:rsidR="00712CBA">
        <w:t>annual</w:t>
      </w:r>
      <w:r w:rsidR="00524E04" w:rsidRPr="0019740B">
        <w:t xml:space="preserve"> </w:t>
      </w:r>
      <w:r w:rsidR="00712CBA">
        <w:t>n</w:t>
      </w:r>
      <w:r w:rsidR="00524E04" w:rsidRPr="0019740B">
        <w:t xml:space="preserve">umber of </w:t>
      </w:r>
      <w:r w:rsidR="00FB4333">
        <w:t>r</w:t>
      </w:r>
      <w:r w:rsidR="00524E04" w:rsidRPr="0019740B">
        <w:t xml:space="preserve">espondents </w:t>
      </w:r>
      <w:r w:rsidR="00FB4333">
        <w:t>s</w:t>
      </w:r>
      <w:r w:rsidR="00524E04" w:rsidRPr="0019740B">
        <w:t xml:space="preserve">howing </w:t>
      </w:r>
      <w:r w:rsidR="00FB4333">
        <w:t>t</w:t>
      </w:r>
      <w:r w:rsidR="00524E04" w:rsidRPr="0019740B">
        <w:t xml:space="preserve">iered Growth:  </w:t>
      </w:r>
    </w:p>
    <w:p w:rsidR="00E17C78" w:rsidRPr="0019740B" w:rsidRDefault="00B96A9F" w:rsidP="00B36E53">
      <w:pPr>
        <w:pStyle w:val="NormalWeb"/>
        <w:spacing w:before="0" w:beforeAutospacing="0" w:after="0" w:afterAutospacing="0"/>
        <w:outlineLvl w:val="0"/>
        <w:rPr>
          <w:color w:val="000000"/>
          <w:u w:val="single"/>
        </w:rPr>
      </w:pPr>
      <w:r>
        <w:rPr>
          <w:color w:val="000000"/>
        </w:rPr>
        <w:t xml:space="preserve">                                                 </w:t>
      </w:r>
      <w:r w:rsidR="000A71CB" w:rsidRPr="00B96A9F">
        <w:rPr>
          <w:color w:val="000000"/>
        </w:rPr>
        <w:t>Estimation of Respondent Burden</w:t>
      </w:r>
    </w:p>
    <w:p w:rsidR="00E17C78" w:rsidRDefault="00E17C78" w:rsidP="00B36E53">
      <w:pPr>
        <w:pStyle w:val="NormalWeb"/>
        <w:spacing w:before="0" w:beforeAutospacing="0" w:after="0" w:afterAutospacing="0"/>
        <w:outlineLvl w:val="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5"/>
        <w:gridCol w:w="2070"/>
        <w:gridCol w:w="1530"/>
        <w:gridCol w:w="1980"/>
      </w:tblGrid>
      <w:tr w:rsidR="00E17C78" w:rsidTr="002E79B2">
        <w:tc>
          <w:tcPr>
            <w:tcW w:w="828" w:type="dxa"/>
          </w:tcPr>
          <w:p w:rsidR="00E17C78" w:rsidRDefault="00E17C78" w:rsidP="00E17C78">
            <w:pPr>
              <w:spacing w:before="100" w:beforeAutospacing="1" w:after="100" w:afterAutospacing="1"/>
              <w:jc w:val="center"/>
            </w:pPr>
            <w:r>
              <w:t>Year</w:t>
            </w:r>
          </w:p>
        </w:tc>
        <w:tc>
          <w:tcPr>
            <w:tcW w:w="1755" w:type="dxa"/>
          </w:tcPr>
          <w:p w:rsidR="00E17C78" w:rsidRDefault="00E17C78" w:rsidP="00E17C78">
            <w:pPr>
              <w:spacing w:before="100" w:beforeAutospacing="1" w:after="100" w:afterAutospacing="1"/>
              <w:jc w:val="center"/>
            </w:pPr>
            <w:r>
              <w:t>Number of Respondents</w:t>
            </w:r>
          </w:p>
        </w:tc>
        <w:tc>
          <w:tcPr>
            <w:tcW w:w="2070" w:type="dxa"/>
          </w:tcPr>
          <w:p w:rsidR="00E17C78" w:rsidRDefault="00E17C78" w:rsidP="00E17C78">
            <w:pPr>
              <w:spacing w:before="100" w:beforeAutospacing="1" w:after="100" w:afterAutospacing="1"/>
              <w:jc w:val="center"/>
            </w:pPr>
            <w:r>
              <w:t>Number of Responses</w:t>
            </w:r>
            <w:r w:rsidR="002E79B2">
              <w:t>*</w:t>
            </w:r>
          </w:p>
        </w:tc>
        <w:tc>
          <w:tcPr>
            <w:tcW w:w="1530" w:type="dxa"/>
          </w:tcPr>
          <w:p w:rsidR="00E17C78" w:rsidRDefault="00E17C78" w:rsidP="002E79B2">
            <w:pPr>
              <w:spacing w:before="100" w:beforeAutospacing="1" w:after="100" w:afterAutospacing="1"/>
              <w:jc w:val="center"/>
            </w:pPr>
            <w:r>
              <w:t>Minutes/</w:t>
            </w:r>
            <w:r w:rsidR="002E79B2">
              <w:t xml:space="preserve">  </w:t>
            </w:r>
            <w:r>
              <w:t>Response</w:t>
            </w:r>
          </w:p>
        </w:tc>
        <w:tc>
          <w:tcPr>
            <w:tcW w:w="1980" w:type="dxa"/>
          </w:tcPr>
          <w:p w:rsidR="00E17C78" w:rsidRDefault="00E17C78" w:rsidP="00E17C78">
            <w:pPr>
              <w:spacing w:before="100" w:beforeAutospacing="1" w:after="100" w:afterAutospacing="1"/>
              <w:jc w:val="center"/>
            </w:pPr>
            <w:r>
              <w:t>Annual Hours</w:t>
            </w:r>
          </w:p>
        </w:tc>
      </w:tr>
      <w:tr w:rsidR="00E17C78" w:rsidTr="002E79B2">
        <w:tc>
          <w:tcPr>
            <w:tcW w:w="828" w:type="dxa"/>
          </w:tcPr>
          <w:p w:rsidR="00E17C78" w:rsidRDefault="00E17C78" w:rsidP="00E17C78">
            <w:pPr>
              <w:spacing w:before="100" w:beforeAutospacing="1" w:after="100" w:afterAutospacing="1"/>
            </w:pPr>
            <w:r>
              <w:t>1</w:t>
            </w:r>
          </w:p>
        </w:tc>
        <w:tc>
          <w:tcPr>
            <w:tcW w:w="1755" w:type="dxa"/>
          </w:tcPr>
          <w:p w:rsidR="00E17C78" w:rsidRDefault="00E17C78" w:rsidP="00E17C78">
            <w:pPr>
              <w:spacing w:before="100" w:beforeAutospacing="1" w:after="100" w:afterAutospacing="1"/>
            </w:pPr>
            <w:r>
              <w:t>250</w:t>
            </w:r>
          </w:p>
        </w:tc>
        <w:tc>
          <w:tcPr>
            <w:tcW w:w="2070" w:type="dxa"/>
          </w:tcPr>
          <w:p w:rsidR="00E17C78" w:rsidRDefault="00E17C78" w:rsidP="00E17C78">
            <w:pPr>
              <w:spacing w:before="100" w:beforeAutospacing="1" w:after="100" w:afterAutospacing="1"/>
            </w:pPr>
            <w:r>
              <w:t>275</w:t>
            </w:r>
          </w:p>
        </w:tc>
        <w:tc>
          <w:tcPr>
            <w:tcW w:w="1530" w:type="dxa"/>
          </w:tcPr>
          <w:p w:rsidR="00E17C78" w:rsidRDefault="002E79B2" w:rsidP="00E17C78">
            <w:pPr>
              <w:spacing w:before="100" w:beforeAutospacing="1" w:after="100" w:afterAutospacing="1"/>
            </w:pPr>
            <w:r>
              <w:t>20</w:t>
            </w:r>
          </w:p>
        </w:tc>
        <w:tc>
          <w:tcPr>
            <w:tcW w:w="1980" w:type="dxa"/>
          </w:tcPr>
          <w:p w:rsidR="00E17C78" w:rsidRDefault="002E79B2" w:rsidP="00E17C78">
            <w:pPr>
              <w:spacing w:before="100" w:beforeAutospacing="1" w:after="100" w:afterAutospacing="1"/>
            </w:pPr>
            <w:r>
              <w:t>92</w:t>
            </w:r>
          </w:p>
        </w:tc>
      </w:tr>
      <w:tr w:rsidR="00E17C78" w:rsidTr="002E79B2">
        <w:tc>
          <w:tcPr>
            <w:tcW w:w="828" w:type="dxa"/>
          </w:tcPr>
          <w:p w:rsidR="00E17C78" w:rsidRDefault="00E17C78" w:rsidP="00E17C78">
            <w:pPr>
              <w:spacing w:before="100" w:beforeAutospacing="1" w:after="100" w:afterAutospacing="1"/>
            </w:pPr>
            <w:r>
              <w:t>2</w:t>
            </w:r>
          </w:p>
        </w:tc>
        <w:tc>
          <w:tcPr>
            <w:tcW w:w="1755" w:type="dxa"/>
          </w:tcPr>
          <w:p w:rsidR="00E17C78" w:rsidRDefault="00E17C78" w:rsidP="00E17C78">
            <w:pPr>
              <w:spacing w:before="100" w:beforeAutospacing="1" w:after="100" w:afterAutospacing="1"/>
            </w:pPr>
            <w:r>
              <w:t>250</w:t>
            </w:r>
          </w:p>
        </w:tc>
        <w:tc>
          <w:tcPr>
            <w:tcW w:w="2070" w:type="dxa"/>
          </w:tcPr>
          <w:p w:rsidR="00E17C78" w:rsidRDefault="00E17C78" w:rsidP="00E17C78">
            <w:pPr>
              <w:spacing w:before="100" w:beforeAutospacing="1" w:after="100" w:afterAutospacing="1"/>
            </w:pPr>
            <w:r>
              <w:t>275</w:t>
            </w:r>
          </w:p>
        </w:tc>
        <w:tc>
          <w:tcPr>
            <w:tcW w:w="1530" w:type="dxa"/>
          </w:tcPr>
          <w:p w:rsidR="00E17C78" w:rsidRDefault="002E79B2" w:rsidP="00E17C78">
            <w:pPr>
              <w:spacing w:before="100" w:beforeAutospacing="1" w:after="100" w:afterAutospacing="1"/>
            </w:pPr>
            <w:r>
              <w:t>20</w:t>
            </w:r>
          </w:p>
        </w:tc>
        <w:tc>
          <w:tcPr>
            <w:tcW w:w="1980" w:type="dxa"/>
          </w:tcPr>
          <w:p w:rsidR="00E17C78" w:rsidRDefault="002E79B2" w:rsidP="00E17C78">
            <w:pPr>
              <w:spacing w:before="100" w:beforeAutospacing="1" w:after="100" w:afterAutospacing="1"/>
            </w:pPr>
            <w:r>
              <w:t>92</w:t>
            </w:r>
          </w:p>
        </w:tc>
      </w:tr>
      <w:tr w:rsidR="00E17C78" w:rsidTr="002E79B2">
        <w:tc>
          <w:tcPr>
            <w:tcW w:w="828" w:type="dxa"/>
          </w:tcPr>
          <w:p w:rsidR="00E17C78" w:rsidRDefault="00E17C78" w:rsidP="00E17C78">
            <w:pPr>
              <w:spacing w:before="100" w:beforeAutospacing="1" w:after="100" w:afterAutospacing="1"/>
            </w:pPr>
            <w:r>
              <w:t>3</w:t>
            </w:r>
          </w:p>
        </w:tc>
        <w:tc>
          <w:tcPr>
            <w:tcW w:w="1755" w:type="dxa"/>
          </w:tcPr>
          <w:p w:rsidR="00E17C78" w:rsidRDefault="00E17C78" w:rsidP="00E17C78">
            <w:pPr>
              <w:spacing w:before="100" w:beforeAutospacing="1" w:after="100" w:afterAutospacing="1"/>
            </w:pPr>
            <w:r>
              <w:t>250</w:t>
            </w:r>
          </w:p>
        </w:tc>
        <w:tc>
          <w:tcPr>
            <w:tcW w:w="2070" w:type="dxa"/>
          </w:tcPr>
          <w:p w:rsidR="00E17C78" w:rsidRDefault="00E17C78" w:rsidP="00E17C78">
            <w:pPr>
              <w:spacing w:before="100" w:beforeAutospacing="1" w:after="100" w:afterAutospacing="1"/>
            </w:pPr>
            <w:r>
              <w:t>275</w:t>
            </w:r>
          </w:p>
        </w:tc>
        <w:tc>
          <w:tcPr>
            <w:tcW w:w="1530" w:type="dxa"/>
          </w:tcPr>
          <w:p w:rsidR="00E17C78" w:rsidRDefault="002E79B2" w:rsidP="00E17C78">
            <w:pPr>
              <w:spacing w:before="100" w:beforeAutospacing="1" w:after="100" w:afterAutospacing="1"/>
            </w:pPr>
            <w:r>
              <w:t>20</w:t>
            </w:r>
          </w:p>
        </w:tc>
        <w:tc>
          <w:tcPr>
            <w:tcW w:w="1980" w:type="dxa"/>
          </w:tcPr>
          <w:p w:rsidR="00E17C78" w:rsidRDefault="002E79B2" w:rsidP="00E17C78">
            <w:pPr>
              <w:spacing w:before="100" w:beforeAutospacing="1" w:after="100" w:afterAutospacing="1"/>
            </w:pPr>
            <w:r>
              <w:t>92</w:t>
            </w:r>
          </w:p>
        </w:tc>
      </w:tr>
    </w:tbl>
    <w:p w:rsidR="002E79B2" w:rsidRDefault="002E79B2" w:rsidP="002F1F33">
      <w:pPr>
        <w:pStyle w:val="NormalWeb"/>
        <w:spacing w:before="240" w:beforeAutospacing="0" w:after="240" w:afterAutospacing="0"/>
        <w:outlineLvl w:val="0"/>
      </w:pPr>
      <w:r>
        <w:t xml:space="preserve">* </w:t>
      </w:r>
      <w:r w:rsidR="00514D59">
        <w:t xml:space="preserve">Number of responses includes one response per </w:t>
      </w:r>
      <w:r w:rsidR="00901BF2">
        <w:t xml:space="preserve">DIB </w:t>
      </w:r>
      <w:r w:rsidR="00514D59">
        <w:t xml:space="preserve">participant plus an additional 10% </w:t>
      </w:r>
      <w:r w:rsidR="00804F59">
        <w:t xml:space="preserve">per year </w:t>
      </w:r>
      <w:r w:rsidR="00514D59">
        <w:t xml:space="preserve">included for </w:t>
      </w:r>
      <w:r w:rsidR="00804F59">
        <w:t>updates, as required</w:t>
      </w:r>
      <w:r w:rsidR="00520EAC">
        <w:t>.</w:t>
      </w:r>
    </w:p>
    <w:p w:rsidR="005746A3" w:rsidRPr="00F2034C" w:rsidRDefault="00710C41" w:rsidP="002F1F33">
      <w:pPr>
        <w:pStyle w:val="NormalWeb"/>
        <w:numPr>
          <w:ilvl w:val="0"/>
          <w:numId w:val="4"/>
        </w:numPr>
        <w:spacing w:before="0" w:beforeAutospacing="0"/>
        <w:ind w:left="1080"/>
        <w:outlineLvl w:val="0"/>
        <w:rPr>
          <w:u w:val="single"/>
        </w:rPr>
      </w:pPr>
      <w:r w:rsidRPr="00F2034C">
        <w:rPr>
          <w:u w:val="single"/>
        </w:rPr>
        <w:lastRenderedPageBreak/>
        <w:t>Labor</w:t>
      </w:r>
      <w:r w:rsidR="005746A3" w:rsidRPr="00F2034C">
        <w:rPr>
          <w:u w:val="single"/>
        </w:rPr>
        <w:t xml:space="preserve"> Cost of Respondent Burden</w:t>
      </w:r>
    </w:p>
    <w:p w:rsidR="00DE73B0" w:rsidRPr="00581101" w:rsidRDefault="00581101" w:rsidP="00E55904">
      <w:pPr>
        <w:pStyle w:val="NormalWeb"/>
        <w:spacing w:before="240" w:beforeAutospacing="0" w:line="288" w:lineRule="atLeast"/>
        <w:ind w:left="360"/>
        <w:jc w:val="center"/>
      </w:pPr>
      <w:r w:rsidRPr="0019740B">
        <w:t>Annual Burden on Respondents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160"/>
        <w:gridCol w:w="1440"/>
        <w:gridCol w:w="1710"/>
        <w:gridCol w:w="2115"/>
      </w:tblGrid>
      <w:tr w:rsidR="00DE73B0" w:rsidTr="00581101">
        <w:tc>
          <w:tcPr>
            <w:tcW w:w="828" w:type="dxa"/>
          </w:tcPr>
          <w:p w:rsidR="00DE73B0" w:rsidRDefault="00DE73B0" w:rsidP="00DE73B0">
            <w:pPr>
              <w:spacing w:before="100" w:beforeAutospacing="1" w:after="100" w:afterAutospacing="1"/>
              <w:jc w:val="center"/>
            </w:pPr>
            <w:r>
              <w:t>Year</w:t>
            </w:r>
          </w:p>
        </w:tc>
        <w:tc>
          <w:tcPr>
            <w:tcW w:w="2160" w:type="dxa"/>
          </w:tcPr>
          <w:p w:rsidR="00DE73B0" w:rsidRDefault="00DE73B0" w:rsidP="00581101">
            <w:pPr>
              <w:spacing w:before="100" w:beforeAutospacing="1" w:after="100" w:afterAutospacing="1"/>
              <w:jc w:val="center"/>
            </w:pPr>
            <w:r>
              <w:t>Total Number</w:t>
            </w:r>
            <w:r w:rsidR="00581101">
              <w:t xml:space="preserve"> </w:t>
            </w:r>
            <w:r>
              <w:t>of Responses</w:t>
            </w:r>
          </w:p>
        </w:tc>
        <w:tc>
          <w:tcPr>
            <w:tcW w:w="1440" w:type="dxa"/>
          </w:tcPr>
          <w:p w:rsidR="00DE73B0" w:rsidRDefault="00DE73B0" w:rsidP="00581101">
            <w:pPr>
              <w:spacing w:before="100" w:beforeAutospacing="1" w:after="100" w:afterAutospacing="1"/>
              <w:jc w:val="center"/>
            </w:pPr>
            <w:r>
              <w:t>Minutes/</w:t>
            </w:r>
            <w:r w:rsidR="00581101">
              <w:t xml:space="preserve"> </w:t>
            </w:r>
            <w:r>
              <w:t>Response</w:t>
            </w:r>
          </w:p>
        </w:tc>
        <w:tc>
          <w:tcPr>
            <w:tcW w:w="1710" w:type="dxa"/>
          </w:tcPr>
          <w:p w:rsidR="00DE73B0" w:rsidRDefault="00DE73B0" w:rsidP="00DE73B0">
            <w:pPr>
              <w:spacing w:before="100" w:beforeAutospacing="1" w:after="100" w:afterAutospacing="1"/>
              <w:jc w:val="center"/>
            </w:pPr>
            <w:r>
              <w:t>Labor Cost/Hr</w:t>
            </w:r>
          </w:p>
        </w:tc>
        <w:tc>
          <w:tcPr>
            <w:tcW w:w="2115" w:type="dxa"/>
          </w:tcPr>
          <w:p w:rsidR="00DE73B0" w:rsidRDefault="00DE73B0" w:rsidP="00DE73B0">
            <w:pPr>
              <w:spacing w:before="100" w:beforeAutospacing="1" w:after="100" w:afterAutospacing="1"/>
              <w:jc w:val="center"/>
            </w:pPr>
            <w:r>
              <w:t>Total Cost</w:t>
            </w:r>
          </w:p>
        </w:tc>
      </w:tr>
      <w:tr w:rsidR="00DE73B0" w:rsidTr="00581101">
        <w:tc>
          <w:tcPr>
            <w:tcW w:w="828" w:type="dxa"/>
          </w:tcPr>
          <w:p w:rsidR="00DE73B0" w:rsidRDefault="00DE73B0" w:rsidP="00DE73B0">
            <w:pPr>
              <w:spacing w:before="100" w:beforeAutospacing="1" w:after="100" w:afterAutospacing="1"/>
            </w:pPr>
            <w:r>
              <w:t>1</w:t>
            </w:r>
          </w:p>
        </w:tc>
        <w:tc>
          <w:tcPr>
            <w:tcW w:w="2160" w:type="dxa"/>
          </w:tcPr>
          <w:p w:rsidR="00DE73B0" w:rsidRDefault="00DE73B0" w:rsidP="00DE73B0">
            <w:pPr>
              <w:spacing w:before="100" w:beforeAutospacing="1" w:after="100" w:afterAutospacing="1"/>
            </w:pPr>
            <w:r>
              <w:t>275</w:t>
            </w:r>
          </w:p>
        </w:tc>
        <w:tc>
          <w:tcPr>
            <w:tcW w:w="1440" w:type="dxa"/>
          </w:tcPr>
          <w:p w:rsidR="00DE73B0" w:rsidRDefault="00DE73B0" w:rsidP="00DE73B0">
            <w:pPr>
              <w:spacing w:before="100" w:beforeAutospacing="1" w:after="100" w:afterAutospacing="1"/>
            </w:pPr>
            <w:r>
              <w:t>20</w:t>
            </w:r>
          </w:p>
        </w:tc>
        <w:tc>
          <w:tcPr>
            <w:tcW w:w="1710" w:type="dxa"/>
          </w:tcPr>
          <w:p w:rsidR="00DE73B0" w:rsidRDefault="00DE73B0" w:rsidP="00DE73B0">
            <w:pPr>
              <w:spacing w:before="100" w:beforeAutospacing="1" w:after="100" w:afterAutospacing="1"/>
            </w:pPr>
            <w:r>
              <w:t>$36.41*</w:t>
            </w:r>
          </w:p>
        </w:tc>
        <w:tc>
          <w:tcPr>
            <w:tcW w:w="2115" w:type="dxa"/>
          </w:tcPr>
          <w:p w:rsidR="00DE73B0" w:rsidRDefault="00DE73B0" w:rsidP="00DE73B0">
            <w:pPr>
              <w:spacing w:before="100" w:beforeAutospacing="1" w:after="100" w:afterAutospacing="1"/>
            </w:pPr>
            <w:r>
              <w:t>$3,337</w:t>
            </w:r>
          </w:p>
        </w:tc>
      </w:tr>
      <w:tr w:rsidR="00DE73B0" w:rsidTr="00581101">
        <w:tc>
          <w:tcPr>
            <w:tcW w:w="828" w:type="dxa"/>
          </w:tcPr>
          <w:p w:rsidR="00DE73B0" w:rsidRDefault="00DE73B0" w:rsidP="00DE73B0">
            <w:pPr>
              <w:spacing w:before="100" w:beforeAutospacing="1" w:after="100" w:afterAutospacing="1"/>
            </w:pPr>
            <w:r>
              <w:t>2</w:t>
            </w:r>
          </w:p>
        </w:tc>
        <w:tc>
          <w:tcPr>
            <w:tcW w:w="2160" w:type="dxa"/>
          </w:tcPr>
          <w:p w:rsidR="00DE73B0" w:rsidRDefault="00DE73B0" w:rsidP="00DE73B0">
            <w:pPr>
              <w:spacing w:before="100" w:beforeAutospacing="1" w:after="100" w:afterAutospacing="1"/>
            </w:pPr>
            <w:r>
              <w:t>275</w:t>
            </w:r>
          </w:p>
        </w:tc>
        <w:tc>
          <w:tcPr>
            <w:tcW w:w="1440" w:type="dxa"/>
          </w:tcPr>
          <w:p w:rsidR="00DE73B0" w:rsidRDefault="00DE73B0" w:rsidP="00DE73B0">
            <w:pPr>
              <w:spacing w:before="100" w:beforeAutospacing="1" w:after="100" w:afterAutospacing="1"/>
            </w:pPr>
            <w:r>
              <w:t>20</w:t>
            </w:r>
          </w:p>
        </w:tc>
        <w:tc>
          <w:tcPr>
            <w:tcW w:w="1710" w:type="dxa"/>
          </w:tcPr>
          <w:p w:rsidR="00DE73B0" w:rsidRDefault="00DE73B0" w:rsidP="00DE73B0">
            <w:pPr>
              <w:spacing w:before="100" w:beforeAutospacing="1" w:after="100" w:afterAutospacing="1"/>
            </w:pPr>
            <w:r>
              <w:t>$36.41*</w:t>
            </w:r>
          </w:p>
        </w:tc>
        <w:tc>
          <w:tcPr>
            <w:tcW w:w="2115" w:type="dxa"/>
          </w:tcPr>
          <w:p w:rsidR="00DE73B0" w:rsidRDefault="00DE73B0" w:rsidP="00DE73B0">
            <w:pPr>
              <w:spacing w:before="100" w:beforeAutospacing="1" w:after="100" w:afterAutospacing="1"/>
            </w:pPr>
            <w:r>
              <w:t>$3,337</w:t>
            </w:r>
          </w:p>
        </w:tc>
      </w:tr>
      <w:tr w:rsidR="00DE73B0" w:rsidTr="00581101">
        <w:tc>
          <w:tcPr>
            <w:tcW w:w="828" w:type="dxa"/>
          </w:tcPr>
          <w:p w:rsidR="00DE73B0" w:rsidRDefault="00DE73B0" w:rsidP="00DE73B0">
            <w:pPr>
              <w:spacing w:before="100" w:beforeAutospacing="1" w:after="100" w:afterAutospacing="1"/>
            </w:pPr>
            <w:r>
              <w:t>3</w:t>
            </w:r>
          </w:p>
        </w:tc>
        <w:tc>
          <w:tcPr>
            <w:tcW w:w="2160" w:type="dxa"/>
          </w:tcPr>
          <w:p w:rsidR="00DE73B0" w:rsidRDefault="00DE73B0" w:rsidP="00DE73B0">
            <w:pPr>
              <w:spacing w:before="100" w:beforeAutospacing="1" w:after="100" w:afterAutospacing="1"/>
            </w:pPr>
            <w:r>
              <w:t>275</w:t>
            </w:r>
          </w:p>
        </w:tc>
        <w:tc>
          <w:tcPr>
            <w:tcW w:w="1440" w:type="dxa"/>
          </w:tcPr>
          <w:p w:rsidR="00DE73B0" w:rsidRDefault="00DE73B0" w:rsidP="00DE73B0">
            <w:pPr>
              <w:spacing w:before="100" w:beforeAutospacing="1" w:after="100" w:afterAutospacing="1"/>
            </w:pPr>
            <w:r>
              <w:t>20</w:t>
            </w:r>
          </w:p>
        </w:tc>
        <w:tc>
          <w:tcPr>
            <w:tcW w:w="1710" w:type="dxa"/>
          </w:tcPr>
          <w:p w:rsidR="00DE73B0" w:rsidRDefault="00DE73B0" w:rsidP="00DE73B0">
            <w:pPr>
              <w:spacing w:before="100" w:beforeAutospacing="1" w:after="100" w:afterAutospacing="1"/>
            </w:pPr>
            <w:r>
              <w:t>$36.41*</w:t>
            </w:r>
          </w:p>
        </w:tc>
        <w:tc>
          <w:tcPr>
            <w:tcW w:w="2115" w:type="dxa"/>
          </w:tcPr>
          <w:p w:rsidR="00DE73B0" w:rsidRDefault="00DE73B0" w:rsidP="00DE73B0">
            <w:pPr>
              <w:spacing w:before="100" w:beforeAutospacing="1" w:after="100" w:afterAutospacing="1"/>
            </w:pPr>
            <w:r>
              <w:t>$3,337</w:t>
            </w:r>
          </w:p>
        </w:tc>
      </w:tr>
    </w:tbl>
    <w:p w:rsidR="00DE73B0" w:rsidRPr="0019740B" w:rsidRDefault="00DE73B0" w:rsidP="00E55904">
      <w:pPr>
        <w:pStyle w:val="NormalWeb"/>
        <w:spacing w:line="288" w:lineRule="atLeast"/>
        <w:ind w:left="720"/>
      </w:pPr>
      <w:r w:rsidRPr="0019740B">
        <w:t>* Mean hourly wage according to the Bureau of Labor Statistics for a Computer Systems Analyst, Occupational Employment and Wages, May 2010.</w:t>
      </w:r>
    </w:p>
    <w:p w:rsidR="003B59D9" w:rsidRDefault="00DE73B0" w:rsidP="003B59D9">
      <w:pPr>
        <w:pStyle w:val="NormalWeb"/>
        <w:spacing w:before="0" w:beforeAutospacing="0" w:after="240" w:afterAutospacing="0"/>
        <w:outlineLvl w:val="0"/>
      </w:pPr>
      <w:r>
        <w:t xml:space="preserve">     </w:t>
      </w:r>
      <w:r w:rsidRPr="0019740B">
        <w:t xml:space="preserve">The table above is the total annualized cost to respondents imposed by the collection of cyber incident reporting. </w:t>
      </w:r>
      <w:r w:rsidR="003B59D9">
        <w:t xml:space="preserve"> The cost for a DIB participant is estimated at $</w:t>
      </w:r>
      <w:r w:rsidR="00E83177">
        <w:t>36.41</w:t>
      </w:r>
      <w:r w:rsidR="00E55904">
        <w:t xml:space="preserve"> per hour.  The time required to complete the incident reporting form is approximately twenty minutes.  </w:t>
      </w:r>
      <w:r w:rsidR="00356CBD">
        <w:t>Therefore, t</w:t>
      </w:r>
      <w:r w:rsidR="00E55904">
        <w:t xml:space="preserve">he </w:t>
      </w:r>
      <w:r w:rsidR="00356CBD">
        <w:t xml:space="preserve">annual </w:t>
      </w:r>
      <w:r w:rsidR="00E55904">
        <w:t xml:space="preserve">cost for a DIB participant </w:t>
      </w:r>
      <w:r w:rsidR="003B59D9">
        <w:t>to submit the required POC information</w:t>
      </w:r>
      <w:r w:rsidR="00356CBD">
        <w:t xml:space="preserve"> could be as low as $1</w:t>
      </w:r>
      <w:r w:rsidR="00E83177">
        <w:t>2</w:t>
      </w:r>
      <w:r w:rsidR="00356CBD">
        <w:t>.00.</w:t>
      </w:r>
    </w:p>
    <w:p w:rsidR="005746A3" w:rsidRPr="00F2034C" w:rsidRDefault="005746A3" w:rsidP="001D1D51">
      <w:pPr>
        <w:pStyle w:val="NormalWeb"/>
        <w:numPr>
          <w:ilvl w:val="0"/>
          <w:numId w:val="24"/>
        </w:numPr>
        <w:spacing w:before="240" w:beforeAutospacing="0" w:after="240" w:afterAutospacing="0"/>
        <w:ind w:left="1080" w:hanging="720"/>
        <w:outlineLvl w:val="0"/>
        <w:rPr>
          <w:u w:val="single"/>
        </w:rPr>
      </w:pPr>
      <w:r w:rsidRPr="00F2034C">
        <w:rPr>
          <w:u w:val="single"/>
        </w:rPr>
        <w:t>Respondent Costs Other Than Burden Hour Costs</w:t>
      </w:r>
      <w:r w:rsidR="00520EAC">
        <w:rPr>
          <w:u w:val="single"/>
        </w:rPr>
        <w:t>.</w:t>
      </w:r>
    </w:p>
    <w:p w:rsidR="001658F2" w:rsidRPr="0019740B" w:rsidRDefault="001658F2" w:rsidP="00933FD0">
      <w:pPr>
        <w:pStyle w:val="NormalWeb"/>
        <w:numPr>
          <w:ilvl w:val="0"/>
          <w:numId w:val="22"/>
        </w:numPr>
        <w:spacing w:before="0" w:beforeAutospacing="0"/>
        <w:ind w:left="0" w:firstLine="900"/>
        <w:outlineLvl w:val="0"/>
      </w:pPr>
      <w:r w:rsidRPr="0019740B">
        <w:t>There are no other costs other than burden hour costs.</w:t>
      </w:r>
    </w:p>
    <w:p w:rsidR="009728F9" w:rsidRPr="00933FD0" w:rsidRDefault="005746A3" w:rsidP="00AB2101">
      <w:pPr>
        <w:pStyle w:val="NormalWeb"/>
        <w:numPr>
          <w:ilvl w:val="0"/>
          <w:numId w:val="22"/>
        </w:numPr>
        <w:spacing w:before="0" w:beforeAutospacing="0" w:after="240" w:afterAutospacing="0"/>
        <w:ind w:left="0" w:firstLine="900"/>
        <w:outlineLvl w:val="0"/>
        <w:rPr>
          <w:u w:val="single"/>
        </w:rPr>
      </w:pPr>
      <w:r w:rsidRPr="0019740B">
        <w:t>T</w:t>
      </w:r>
      <w:r w:rsidR="009728F9" w:rsidRPr="00B76B58">
        <w:t>here are no O&amp;M costs to the Respondent.</w:t>
      </w:r>
    </w:p>
    <w:p w:rsidR="005746A3" w:rsidRPr="00C80B0D" w:rsidRDefault="005746A3" w:rsidP="005375C7">
      <w:pPr>
        <w:pStyle w:val="NormalWeb"/>
        <w:numPr>
          <w:ilvl w:val="0"/>
          <w:numId w:val="11"/>
        </w:numPr>
        <w:spacing w:before="240" w:beforeAutospacing="0"/>
        <w:ind w:left="810" w:hanging="450"/>
        <w:outlineLvl w:val="0"/>
        <w:rPr>
          <w:u w:val="single"/>
        </w:rPr>
      </w:pPr>
      <w:r w:rsidRPr="00C80B0D">
        <w:rPr>
          <w:u w:val="single"/>
        </w:rPr>
        <w:t>Cost to the Federal Government</w:t>
      </w:r>
    </w:p>
    <w:p w:rsidR="00EA136C" w:rsidRPr="00E83177" w:rsidRDefault="00804F59" w:rsidP="00804F59">
      <w:pPr>
        <w:pStyle w:val="NormalWeb"/>
        <w:spacing w:after="240" w:afterAutospacing="0" w:line="288" w:lineRule="atLeast"/>
        <w:ind w:left="990"/>
      </w:pPr>
      <w:r>
        <w:t xml:space="preserve">                               </w:t>
      </w:r>
      <w:r w:rsidR="00EA136C" w:rsidRPr="00E83177">
        <w:t xml:space="preserve">Annual Labor Cost to Government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160"/>
        <w:gridCol w:w="1440"/>
        <w:gridCol w:w="1710"/>
        <w:gridCol w:w="1890"/>
      </w:tblGrid>
      <w:tr w:rsidR="00D05D91" w:rsidTr="001D1D51">
        <w:tc>
          <w:tcPr>
            <w:tcW w:w="828" w:type="dxa"/>
          </w:tcPr>
          <w:p w:rsidR="00D05D91" w:rsidRDefault="00D05D91" w:rsidP="001D1D51">
            <w:pPr>
              <w:spacing w:before="100" w:beforeAutospacing="1" w:after="100" w:afterAutospacing="1"/>
              <w:jc w:val="center"/>
            </w:pPr>
            <w:r>
              <w:t>Year</w:t>
            </w:r>
          </w:p>
        </w:tc>
        <w:tc>
          <w:tcPr>
            <w:tcW w:w="2160" w:type="dxa"/>
          </w:tcPr>
          <w:p w:rsidR="00D05D91" w:rsidRDefault="00D05D91" w:rsidP="001D1D51">
            <w:pPr>
              <w:spacing w:before="100" w:beforeAutospacing="1" w:after="100" w:afterAutospacing="1"/>
              <w:jc w:val="center"/>
            </w:pPr>
            <w:r>
              <w:t>Total Number of Responses</w:t>
            </w:r>
          </w:p>
        </w:tc>
        <w:tc>
          <w:tcPr>
            <w:tcW w:w="1440" w:type="dxa"/>
          </w:tcPr>
          <w:p w:rsidR="00D05D91" w:rsidRDefault="00D05D91" w:rsidP="001D1D51">
            <w:pPr>
              <w:spacing w:before="100" w:beforeAutospacing="1" w:after="100" w:afterAutospacing="1"/>
              <w:jc w:val="center"/>
            </w:pPr>
            <w:r>
              <w:t>Labor Hrs /Response</w:t>
            </w:r>
          </w:p>
        </w:tc>
        <w:tc>
          <w:tcPr>
            <w:tcW w:w="1710" w:type="dxa"/>
          </w:tcPr>
          <w:p w:rsidR="00D05D91" w:rsidRDefault="00D05D91" w:rsidP="001D1D51">
            <w:pPr>
              <w:spacing w:before="100" w:beforeAutospacing="1" w:after="100" w:afterAutospacing="1"/>
              <w:jc w:val="center"/>
            </w:pPr>
            <w:r>
              <w:t>Labor Cost/Hr</w:t>
            </w:r>
          </w:p>
        </w:tc>
        <w:tc>
          <w:tcPr>
            <w:tcW w:w="1890" w:type="dxa"/>
          </w:tcPr>
          <w:p w:rsidR="00D05D91" w:rsidRDefault="00D05D91" w:rsidP="001D1D51">
            <w:pPr>
              <w:spacing w:before="100" w:beforeAutospacing="1" w:after="100" w:afterAutospacing="1"/>
              <w:jc w:val="center"/>
            </w:pPr>
            <w:r>
              <w:t>Total Cost</w:t>
            </w:r>
          </w:p>
        </w:tc>
      </w:tr>
      <w:tr w:rsidR="00D05D91" w:rsidTr="001D1D51">
        <w:tc>
          <w:tcPr>
            <w:tcW w:w="828" w:type="dxa"/>
          </w:tcPr>
          <w:p w:rsidR="00D05D91" w:rsidRDefault="00D05D91" w:rsidP="001D1D51">
            <w:pPr>
              <w:spacing w:before="100" w:beforeAutospacing="1" w:after="100" w:afterAutospacing="1"/>
            </w:pPr>
            <w:r>
              <w:t>1</w:t>
            </w:r>
          </w:p>
        </w:tc>
        <w:tc>
          <w:tcPr>
            <w:tcW w:w="2160" w:type="dxa"/>
          </w:tcPr>
          <w:p w:rsidR="00D05D91" w:rsidRDefault="00D05D91" w:rsidP="001D1D51">
            <w:pPr>
              <w:spacing w:before="100" w:beforeAutospacing="1" w:after="100" w:afterAutospacing="1"/>
            </w:pPr>
            <w:r>
              <w:t>275</w:t>
            </w:r>
          </w:p>
        </w:tc>
        <w:tc>
          <w:tcPr>
            <w:tcW w:w="1440" w:type="dxa"/>
          </w:tcPr>
          <w:p w:rsidR="00D05D91" w:rsidRDefault="00D05D91" w:rsidP="001D1D51">
            <w:pPr>
              <w:spacing w:before="100" w:beforeAutospacing="1" w:after="100" w:afterAutospacing="1"/>
            </w:pPr>
            <w:r>
              <w:t>1</w:t>
            </w:r>
          </w:p>
        </w:tc>
        <w:tc>
          <w:tcPr>
            <w:tcW w:w="1710" w:type="dxa"/>
          </w:tcPr>
          <w:p w:rsidR="00D05D91" w:rsidRDefault="00D05D91" w:rsidP="001D1D51">
            <w:pPr>
              <w:spacing w:before="100" w:beforeAutospacing="1" w:after="100" w:afterAutospacing="1"/>
            </w:pPr>
            <w:r>
              <w:t>$28.55*</w:t>
            </w:r>
          </w:p>
        </w:tc>
        <w:tc>
          <w:tcPr>
            <w:tcW w:w="1890" w:type="dxa"/>
          </w:tcPr>
          <w:p w:rsidR="00D05D91" w:rsidRDefault="00D05D91" w:rsidP="001D1D51">
            <w:pPr>
              <w:spacing w:before="100" w:beforeAutospacing="1" w:after="100" w:afterAutospacing="1"/>
            </w:pPr>
            <w:r>
              <w:t>$7,851</w:t>
            </w:r>
          </w:p>
        </w:tc>
      </w:tr>
      <w:tr w:rsidR="00D05D91" w:rsidTr="001D1D51">
        <w:tc>
          <w:tcPr>
            <w:tcW w:w="828" w:type="dxa"/>
          </w:tcPr>
          <w:p w:rsidR="00D05D91" w:rsidRDefault="00D05D91" w:rsidP="001D1D51">
            <w:pPr>
              <w:spacing w:before="100" w:beforeAutospacing="1" w:after="100" w:afterAutospacing="1"/>
            </w:pPr>
            <w:r>
              <w:t>2</w:t>
            </w:r>
          </w:p>
        </w:tc>
        <w:tc>
          <w:tcPr>
            <w:tcW w:w="2160" w:type="dxa"/>
          </w:tcPr>
          <w:p w:rsidR="00D05D91" w:rsidRDefault="00D05D91" w:rsidP="001D1D51">
            <w:pPr>
              <w:spacing w:before="100" w:beforeAutospacing="1" w:after="100" w:afterAutospacing="1"/>
            </w:pPr>
            <w:r>
              <w:t>275</w:t>
            </w:r>
          </w:p>
        </w:tc>
        <w:tc>
          <w:tcPr>
            <w:tcW w:w="1440" w:type="dxa"/>
          </w:tcPr>
          <w:p w:rsidR="00D05D91" w:rsidRDefault="00D05D91" w:rsidP="001D1D51">
            <w:pPr>
              <w:spacing w:before="100" w:beforeAutospacing="1" w:after="100" w:afterAutospacing="1"/>
            </w:pPr>
            <w:r>
              <w:t>1</w:t>
            </w:r>
          </w:p>
        </w:tc>
        <w:tc>
          <w:tcPr>
            <w:tcW w:w="1710" w:type="dxa"/>
          </w:tcPr>
          <w:p w:rsidR="00D05D91" w:rsidRDefault="00D05D91" w:rsidP="001D1D51">
            <w:pPr>
              <w:spacing w:before="100" w:beforeAutospacing="1" w:after="100" w:afterAutospacing="1"/>
            </w:pPr>
            <w:r>
              <w:t>$28.55*</w:t>
            </w:r>
          </w:p>
        </w:tc>
        <w:tc>
          <w:tcPr>
            <w:tcW w:w="1890" w:type="dxa"/>
          </w:tcPr>
          <w:p w:rsidR="00D05D91" w:rsidRDefault="00D05D91" w:rsidP="001D1D51">
            <w:pPr>
              <w:spacing w:before="100" w:beforeAutospacing="1" w:after="100" w:afterAutospacing="1"/>
            </w:pPr>
            <w:r>
              <w:t>$7,851</w:t>
            </w:r>
          </w:p>
        </w:tc>
      </w:tr>
      <w:tr w:rsidR="00D05D91" w:rsidTr="001D1D51">
        <w:tc>
          <w:tcPr>
            <w:tcW w:w="828" w:type="dxa"/>
          </w:tcPr>
          <w:p w:rsidR="00D05D91" w:rsidRDefault="00D05D91" w:rsidP="001D1D51">
            <w:pPr>
              <w:spacing w:before="100" w:beforeAutospacing="1" w:after="100" w:afterAutospacing="1"/>
            </w:pPr>
            <w:r>
              <w:t>3</w:t>
            </w:r>
          </w:p>
        </w:tc>
        <w:tc>
          <w:tcPr>
            <w:tcW w:w="2160" w:type="dxa"/>
          </w:tcPr>
          <w:p w:rsidR="00D05D91" w:rsidRDefault="00D05D91" w:rsidP="001D1D51">
            <w:pPr>
              <w:spacing w:before="100" w:beforeAutospacing="1" w:after="100" w:afterAutospacing="1"/>
            </w:pPr>
            <w:r>
              <w:t>275</w:t>
            </w:r>
          </w:p>
        </w:tc>
        <w:tc>
          <w:tcPr>
            <w:tcW w:w="1440" w:type="dxa"/>
          </w:tcPr>
          <w:p w:rsidR="00D05D91" w:rsidRDefault="00D05D91" w:rsidP="001D1D51">
            <w:pPr>
              <w:spacing w:before="100" w:beforeAutospacing="1" w:after="100" w:afterAutospacing="1"/>
            </w:pPr>
            <w:r>
              <w:t>1</w:t>
            </w:r>
          </w:p>
        </w:tc>
        <w:tc>
          <w:tcPr>
            <w:tcW w:w="1710" w:type="dxa"/>
          </w:tcPr>
          <w:p w:rsidR="00D05D91" w:rsidRDefault="00D05D91" w:rsidP="001D1D51">
            <w:pPr>
              <w:spacing w:before="100" w:beforeAutospacing="1" w:after="100" w:afterAutospacing="1"/>
            </w:pPr>
            <w:r>
              <w:t>$28.55*</w:t>
            </w:r>
          </w:p>
        </w:tc>
        <w:tc>
          <w:tcPr>
            <w:tcW w:w="1890" w:type="dxa"/>
          </w:tcPr>
          <w:p w:rsidR="00D05D91" w:rsidRDefault="00D05D91" w:rsidP="001D1D51">
            <w:pPr>
              <w:spacing w:before="100" w:beforeAutospacing="1" w:after="100" w:afterAutospacing="1"/>
            </w:pPr>
            <w:r>
              <w:t>$7,851</w:t>
            </w:r>
          </w:p>
        </w:tc>
      </w:tr>
    </w:tbl>
    <w:p w:rsidR="00D05D91" w:rsidRDefault="00D05D91" w:rsidP="00D05D91">
      <w:pPr>
        <w:pStyle w:val="NormalWeb"/>
        <w:spacing w:before="240" w:beforeAutospacing="0" w:after="0" w:afterAutospacing="0"/>
        <w:ind w:left="625" w:firstLine="95"/>
        <w:outlineLvl w:val="0"/>
        <w:rPr>
          <w:bCs/>
          <w:color w:val="000000"/>
        </w:rPr>
      </w:pPr>
      <w:r>
        <w:rPr>
          <w:bCs/>
          <w:color w:val="000000"/>
        </w:rPr>
        <w:t>*Mean hourly wage according to Base General Schedule Pay Scale, GS-9, Step 5.</w:t>
      </w:r>
    </w:p>
    <w:p w:rsidR="005375C7" w:rsidRDefault="00804F59" w:rsidP="00804F59">
      <w:pPr>
        <w:pStyle w:val="NormalWeb"/>
        <w:spacing w:after="240" w:afterAutospacing="0" w:line="288" w:lineRule="atLeast"/>
      </w:pPr>
      <w:r>
        <w:t xml:space="preserve">     </w:t>
      </w:r>
      <w:r w:rsidR="00EA136C" w:rsidRPr="0019740B">
        <w:t xml:space="preserve">The Government estimates that </w:t>
      </w:r>
      <w:r w:rsidR="00EA136C">
        <w:t xml:space="preserve">it will take one (1) hour </w:t>
      </w:r>
      <w:r w:rsidR="00EA136C" w:rsidRPr="0019740B">
        <w:t xml:space="preserve">to review and process </w:t>
      </w:r>
      <w:r w:rsidR="00CB47C3">
        <w:t xml:space="preserve">the </w:t>
      </w:r>
      <w:r w:rsidR="00EA136C">
        <w:t xml:space="preserve">POC information </w:t>
      </w:r>
      <w:r w:rsidR="00CB47C3">
        <w:t xml:space="preserve">reported from each DIB </w:t>
      </w:r>
      <w:r w:rsidR="00685F20">
        <w:t>p</w:t>
      </w:r>
      <w:r w:rsidR="00CB47C3">
        <w:t>articipant</w:t>
      </w:r>
      <w:r>
        <w:t xml:space="preserve"> with a projected an annual labor cost to the Government of $7,851</w:t>
      </w:r>
      <w:r w:rsidR="00EA136C" w:rsidRPr="0019740B">
        <w:t xml:space="preserve">. </w:t>
      </w:r>
      <w:bookmarkStart w:id="10" w:name="cp468"/>
    </w:p>
    <w:p w:rsidR="005E0A0F" w:rsidRPr="00915D7F" w:rsidRDefault="005E0A0F" w:rsidP="005375C7">
      <w:pPr>
        <w:pStyle w:val="NormalWeb"/>
        <w:numPr>
          <w:ilvl w:val="0"/>
          <w:numId w:val="12"/>
        </w:numPr>
        <w:ind w:left="1170" w:hanging="810"/>
        <w:outlineLvl w:val="0"/>
        <w:rPr>
          <w:u w:val="single"/>
        </w:rPr>
      </w:pPr>
      <w:r w:rsidRPr="00915D7F">
        <w:rPr>
          <w:u w:val="single"/>
        </w:rPr>
        <w:t>Reasons for Change in Burden</w:t>
      </w:r>
    </w:p>
    <w:p w:rsidR="00EA136C" w:rsidRPr="0019740B" w:rsidRDefault="00883475" w:rsidP="00AB2101">
      <w:pPr>
        <w:pStyle w:val="NormalWeb"/>
        <w:spacing w:after="360" w:afterAutospacing="0" w:line="288" w:lineRule="atLeast"/>
      </w:pPr>
      <w:bookmarkStart w:id="11" w:name="cp468a"/>
      <w:bookmarkEnd w:id="10"/>
      <w:r>
        <w:t xml:space="preserve">     </w:t>
      </w:r>
      <w:r w:rsidR="00292B64">
        <w:t>This is a reinstatement of a previously approved public information collection</w:t>
      </w:r>
      <w:r w:rsidR="00EA136C">
        <w:t>.</w:t>
      </w:r>
    </w:p>
    <w:bookmarkEnd w:id="11"/>
    <w:p w:rsidR="005E0A0F" w:rsidRPr="00C80B0D" w:rsidRDefault="005E0A0F" w:rsidP="001D1D51">
      <w:pPr>
        <w:pStyle w:val="NormalWeb"/>
        <w:numPr>
          <w:ilvl w:val="0"/>
          <w:numId w:val="12"/>
        </w:numPr>
        <w:ind w:left="1170" w:hanging="810"/>
        <w:outlineLvl w:val="0"/>
        <w:rPr>
          <w:u w:val="single"/>
        </w:rPr>
      </w:pPr>
      <w:r w:rsidRPr="00C80B0D">
        <w:rPr>
          <w:u w:val="single"/>
        </w:rPr>
        <w:t>Publication of Results</w:t>
      </w:r>
    </w:p>
    <w:p w:rsidR="00C80B0D" w:rsidRPr="0019740B" w:rsidRDefault="00883475" w:rsidP="00883475">
      <w:pPr>
        <w:pStyle w:val="NormalWeb"/>
        <w:spacing w:after="240" w:afterAutospacing="0" w:line="288" w:lineRule="atLeast"/>
      </w:pPr>
      <w:r>
        <w:lastRenderedPageBreak/>
        <w:t xml:space="preserve">     </w:t>
      </w:r>
      <w:r w:rsidR="00C80B0D" w:rsidRPr="0019740B">
        <w:t>The results will not be published.  The use and protection of the information would occur under the conditions prescribed in the Interim Federal Rule for the protection of attribution and proprietary information.</w:t>
      </w:r>
    </w:p>
    <w:p w:rsidR="005E0A0F" w:rsidRPr="00602497" w:rsidRDefault="005E0A0F" w:rsidP="001D1D51">
      <w:pPr>
        <w:pStyle w:val="NormalWeb"/>
        <w:numPr>
          <w:ilvl w:val="0"/>
          <w:numId w:val="12"/>
        </w:numPr>
        <w:spacing w:after="240" w:afterAutospacing="0"/>
        <w:ind w:left="1170" w:hanging="810"/>
        <w:outlineLvl w:val="0"/>
        <w:rPr>
          <w:u w:val="single"/>
        </w:rPr>
      </w:pPr>
      <w:bookmarkStart w:id="12" w:name="cp471"/>
      <w:r w:rsidRPr="00602497">
        <w:rPr>
          <w:u w:val="single"/>
        </w:rPr>
        <w:t>Non-Display of OMB Expiration Date</w:t>
      </w:r>
    </w:p>
    <w:p w:rsidR="00E66FFE" w:rsidRPr="0019740B" w:rsidRDefault="00283B76" w:rsidP="00AB2101">
      <w:pPr>
        <w:pStyle w:val="NormalWeb"/>
        <w:spacing w:after="240" w:afterAutospacing="0" w:line="288" w:lineRule="atLeast"/>
      </w:pPr>
      <w:bookmarkStart w:id="13" w:name="cp472"/>
      <w:bookmarkEnd w:id="12"/>
      <w:r>
        <w:t xml:space="preserve">     </w:t>
      </w:r>
      <w:r w:rsidR="00E86D8D" w:rsidRPr="0019740B">
        <w:t>DoD</w:t>
      </w:r>
      <w:r w:rsidR="000A3A5B" w:rsidRPr="0019740B">
        <w:t xml:space="preserve"> </w:t>
      </w:r>
      <w:r w:rsidR="00E66FFE" w:rsidRPr="0019740B">
        <w:t xml:space="preserve">is not requesting approval to omit display of the expiration date of OMB approval on the instrument of collection.  </w:t>
      </w:r>
    </w:p>
    <w:p w:rsidR="005E0A0F" w:rsidRPr="00602497" w:rsidRDefault="005E0A0F" w:rsidP="001D1D51">
      <w:pPr>
        <w:pStyle w:val="NormalWeb"/>
        <w:numPr>
          <w:ilvl w:val="0"/>
          <w:numId w:val="12"/>
        </w:numPr>
        <w:ind w:left="1170" w:hanging="810"/>
        <w:outlineLvl w:val="0"/>
        <w:rPr>
          <w:u w:val="single"/>
        </w:rPr>
      </w:pPr>
      <w:bookmarkStart w:id="14" w:name="cp473"/>
      <w:bookmarkEnd w:id="13"/>
      <w:r w:rsidRPr="00602497">
        <w:rPr>
          <w:u w:val="single"/>
        </w:rPr>
        <w:t>Exceptions to "Certification for Paperwork Reduction Submissions"</w:t>
      </w:r>
    </w:p>
    <w:p w:rsidR="005375C7" w:rsidRDefault="00283B76" w:rsidP="005375C7">
      <w:pPr>
        <w:pStyle w:val="NormalWeb"/>
        <w:spacing w:line="288" w:lineRule="atLeast"/>
      </w:pPr>
      <w:bookmarkStart w:id="15" w:name="cp474"/>
      <w:bookmarkEnd w:id="14"/>
      <w:r>
        <w:t xml:space="preserve">     </w:t>
      </w:r>
      <w:r w:rsidR="00E86D8D" w:rsidRPr="00205244">
        <w:t>DoD</w:t>
      </w:r>
      <w:r w:rsidR="000A3A5B" w:rsidRPr="00205244">
        <w:t xml:space="preserve"> </w:t>
      </w:r>
      <w:r w:rsidR="00E66FFE" w:rsidRPr="00205244">
        <w:t>is not requesting exceptions.</w:t>
      </w:r>
      <w:bookmarkEnd w:id="15"/>
    </w:p>
    <w:p w:rsidR="005375C7" w:rsidRPr="0019740B" w:rsidRDefault="005375C7" w:rsidP="005375C7">
      <w:pPr>
        <w:pStyle w:val="NormalWeb"/>
        <w:numPr>
          <w:ilvl w:val="0"/>
          <w:numId w:val="2"/>
        </w:numPr>
        <w:spacing w:after="240" w:afterAutospacing="0" w:line="480" w:lineRule="auto"/>
        <w:outlineLvl w:val="0"/>
        <w:rPr>
          <w:u w:val="single"/>
        </w:rPr>
      </w:pPr>
      <w:r>
        <w:rPr>
          <w:u w:val="single"/>
        </w:rPr>
        <w:t>COLLECTIONS OF INFORMATION EMPLOYING STATISTICAL METHODS</w:t>
      </w:r>
      <w:r w:rsidRPr="008905EC">
        <w:t>:</w:t>
      </w:r>
    </w:p>
    <w:p w:rsidR="00FE540F" w:rsidRPr="00205244" w:rsidRDefault="005375C7" w:rsidP="00261FD5">
      <w:pPr>
        <w:pStyle w:val="NormalWeb"/>
        <w:spacing w:before="240" w:beforeAutospacing="0" w:line="288" w:lineRule="atLeast"/>
      </w:pPr>
      <w:r>
        <w:t xml:space="preserve">     </w:t>
      </w:r>
      <w:r w:rsidR="00FE540F">
        <w:t>The informa</w:t>
      </w:r>
      <w:r w:rsidR="006F4439">
        <w:t xml:space="preserve">tion collection under the </w:t>
      </w:r>
      <w:r w:rsidR="00FE540F">
        <w:t>program does not employ statistical methods.</w:t>
      </w:r>
    </w:p>
    <w:sectPr w:rsidR="00FE540F" w:rsidRPr="00205244" w:rsidSect="00F144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DE4" w:rsidRDefault="009B2DE4" w:rsidP="00CF79B1">
      <w:r>
        <w:separator/>
      </w:r>
    </w:p>
  </w:endnote>
  <w:endnote w:type="continuationSeparator" w:id="0">
    <w:p w:rsidR="009B2DE4" w:rsidRDefault="009B2DE4" w:rsidP="00CF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5B1" w:rsidRDefault="002275B1" w:rsidP="00EE742A">
    <w:pPr>
      <w:pStyle w:val="Footer"/>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-64135</wp:posOffset>
              </wp:positionH>
              <wp:positionV relativeFrom="paragraph">
                <wp:posOffset>-120015</wp:posOffset>
              </wp:positionV>
              <wp:extent cx="2372360" cy="354330"/>
              <wp:effectExtent l="2540" t="381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5B1" w:rsidRDefault="002275B1" w:rsidP="00EE742A">
                          <w:pPr>
                            <w:rPr>
                              <w:sz w:val="18"/>
                              <w:szCs w:val="18"/>
                            </w:rPr>
                          </w:pPr>
                          <w:r w:rsidRPr="00EE742A">
                            <w:rPr>
                              <w:sz w:val="18"/>
                              <w:szCs w:val="18"/>
                            </w:rPr>
                            <w:t>Supporting Statement</w:t>
                          </w:r>
                          <w:r>
                            <w:rPr>
                              <w:sz w:val="18"/>
                              <w:szCs w:val="18"/>
                            </w:rPr>
                            <w:t xml:space="preserve"> POC Information</w:t>
                          </w:r>
                          <w:r w:rsidRPr="00EE742A">
                            <w:rPr>
                              <w:sz w:val="18"/>
                              <w:szCs w:val="18"/>
                            </w:rPr>
                            <w:t xml:space="preserve"> - OMB Form 83-I INST</w:t>
                          </w:r>
                          <w:r w:rsidRPr="00EE742A" w:rsidDel="00EE742A">
                            <w:rPr>
                              <w:sz w:val="18"/>
                              <w:szCs w:val="18"/>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05pt;margin-top:-9.45pt;width:186.8pt;height:27.9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" filled="f" stroked="f">
              <v:textbox style="mso-fit-shape-to-text:t">
                <w:txbxContent>
                  <w:p w:rsidR="002275B1" w:rsidRDefault="002275B1" w:rsidP="00EE742A">
                    <w:pPr>
                      <w:rPr>
                        <w:sz w:val="18"/>
                        <w:szCs w:val="18"/>
                      </w:rPr>
                    </w:pPr>
                    <w:r w:rsidRPr="00EE742A">
                      <w:rPr>
                        <w:sz w:val="18"/>
                        <w:szCs w:val="18"/>
                      </w:rPr>
                      <w:t>Supporting Statement</w:t>
                    </w:r>
                    <w:r>
                      <w:rPr>
                        <w:sz w:val="18"/>
                        <w:szCs w:val="18"/>
                      </w:rPr>
                      <w:t xml:space="preserve"> POC Information</w:t>
                    </w:r>
                    <w:r w:rsidRPr="00EE742A">
                      <w:rPr>
                        <w:sz w:val="18"/>
                        <w:szCs w:val="18"/>
                      </w:rPr>
                      <w:t xml:space="preserve"> - OMB Form 83-I INST</w:t>
                    </w:r>
                    <w:r w:rsidRPr="00EE742A" w:rsidDel="00EE742A">
                      <w:rPr>
                        <w:sz w:val="18"/>
                        <w:szCs w:val="18"/>
                      </w:rPr>
                      <w:t xml:space="preserve"> </w:t>
                    </w:r>
                  </w:p>
                </w:txbxContent>
              </v:textbox>
            </v:shape>
          </w:pict>
        </mc:Fallback>
      </mc:AlternateContent>
    </w:r>
    <w:r>
      <w:fldChar w:fldCharType="begin"/>
    </w:r>
    <w:r>
      <w:instrText xml:space="preserve"> PAGE   \* MERGEFORMAT </w:instrText>
    </w:r>
    <w:r>
      <w:fldChar w:fldCharType="separate"/>
    </w:r>
    <w:r w:rsidR="009C4123">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DE4" w:rsidRDefault="009B2DE4" w:rsidP="00CF79B1">
      <w:r>
        <w:separator/>
      </w:r>
    </w:p>
  </w:footnote>
  <w:footnote w:type="continuationSeparator" w:id="0">
    <w:p w:rsidR="009B2DE4" w:rsidRDefault="009B2DE4" w:rsidP="00CF7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362"/>
    <w:multiLevelType w:val="hybridMultilevel"/>
    <w:tmpl w:val="51E8AACE"/>
    <w:lvl w:ilvl="0" w:tplc="9E34C1F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nsid w:val="076447F0"/>
    <w:multiLevelType w:val="hybridMultilevel"/>
    <w:tmpl w:val="03263AFA"/>
    <w:lvl w:ilvl="0" w:tplc="141AA47E">
      <w:start w:val="1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61CEC"/>
    <w:multiLevelType w:val="hybridMultilevel"/>
    <w:tmpl w:val="534E4428"/>
    <w:lvl w:ilvl="0" w:tplc="04090019">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nsid w:val="147C0ACC"/>
    <w:multiLevelType w:val="hybridMultilevel"/>
    <w:tmpl w:val="B5A030E2"/>
    <w:lvl w:ilvl="0" w:tplc="2F18F218">
      <w:start w:val="12"/>
      <w:numFmt w:val="decimal"/>
      <w:lvlText w:val="%1"/>
      <w:lvlJc w:val="left"/>
      <w:pPr>
        <w:ind w:left="23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E0EFA"/>
    <w:multiLevelType w:val="hybridMultilevel"/>
    <w:tmpl w:val="4EB2798C"/>
    <w:lvl w:ilvl="0" w:tplc="75C81D3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7303707"/>
    <w:multiLevelType w:val="hybridMultilevel"/>
    <w:tmpl w:val="06B83264"/>
    <w:lvl w:ilvl="0" w:tplc="CA7C7ECE">
      <w:start w:val="1"/>
      <w:numFmt w:val="lowerLetter"/>
      <w:lvlText w:val="%1."/>
      <w:lvlJc w:val="left"/>
      <w:pPr>
        <w:ind w:left="1224" w:hanging="32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79E3B44"/>
    <w:multiLevelType w:val="hybridMultilevel"/>
    <w:tmpl w:val="CEB4611E"/>
    <w:lvl w:ilvl="0" w:tplc="7444B66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1B1E03ED"/>
    <w:multiLevelType w:val="hybridMultilevel"/>
    <w:tmpl w:val="F92482B6"/>
    <w:lvl w:ilvl="0" w:tplc="A120F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E33490"/>
    <w:multiLevelType w:val="hybridMultilevel"/>
    <w:tmpl w:val="51E8AACE"/>
    <w:lvl w:ilvl="0" w:tplc="9E34C1F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9">
    <w:nsid w:val="312D357E"/>
    <w:multiLevelType w:val="hybridMultilevel"/>
    <w:tmpl w:val="B7B06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0E5266"/>
    <w:multiLevelType w:val="hybridMultilevel"/>
    <w:tmpl w:val="4A645C20"/>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3807F99"/>
    <w:multiLevelType w:val="hybridMultilevel"/>
    <w:tmpl w:val="293427D6"/>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872756"/>
    <w:multiLevelType w:val="hybridMultilevel"/>
    <w:tmpl w:val="A1DE571E"/>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532AC5"/>
    <w:multiLevelType w:val="hybridMultilevel"/>
    <w:tmpl w:val="1DE2AC12"/>
    <w:lvl w:ilvl="0" w:tplc="5A7E0EFE">
      <w:start w:val="14"/>
      <w:numFmt w:val="decimal"/>
      <w:lvlText w:val="%1."/>
      <w:lvlJc w:val="left"/>
      <w:pPr>
        <w:ind w:left="9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3C610922"/>
    <w:multiLevelType w:val="hybridMultilevel"/>
    <w:tmpl w:val="E9E0EAAE"/>
    <w:lvl w:ilvl="0" w:tplc="97AE7CBE">
      <w:start w:val="1"/>
      <w:numFmt w:val="lowerLetter"/>
      <w:lvlText w:val="%1."/>
      <w:lvlJc w:val="left"/>
      <w:pPr>
        <w:ind w:left="1152" w:hanging="252"/>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E74310C"/>
    <w:multiLevelType w:val="hybridMultilevel"/>
    <w:tmpl w:val="E9B8FB54"/>
    <w:lvl w:ilvl="0" w:tplc="F5D2F976">
      <w:start w:val="1"/>
      <w:numFmt w:val="lowerLetter"/>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6">
    <w:nsid w:val="3EFF077E"/>
    <w:multiLevelType w:val="hybridMultilevel"/>
    <w:tmpl w:val="8DCA1A88"/>
    <w:lvl w:ilvl="0" w:tplc="04090015">
      <w:start w:val="1"/>
      <w:numFmt w:val="upperLetter"/>
      <w:lvlText w:val="%1."/>
      <w:lvlJc w:val="left"/>
      <w:pPr>
        <w:ind w:left="360" w:hanging="360"/>
      </w:pPr>
      <w:rPr>
        <w:rFonts w:hint="default"/>
        <w:u w:val="none"/>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3CD4FE0A">
      <w:start w:val="1"/>
      <w:numFmt w:val="decimal"/>
      <w:suff w:val="space"/>
      <w:lvlText w:val="(%4)"/>
      <w:lvlJc w:val="left"/>
      <w:pPr>
        <w:ind w:left="1206" w:hanging="216"/>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6643A3"/>
    <w:multiLevelType w:val="hybridMultilevel"/>
    <w:tmpl w:val="F9025BFC"/>
    <w:lvl w:ilvl="0" w:tplc="E6E8F20E">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14E57"/>
    <w:multiLevelType w:val="hybridMultilevel"/>
    <w:tmpl w:val="534E4428"/>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4A0A2642"/>
    <w:multiLevelType w:val="hybridMultilevel"/>
    <w:tmpl w:val="BE648880"/>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AA302CF"/>
    <w:multiLevelType w:val="hybridMultilevel"/>
    <w:tmpl w:val="2340B5D8"/>
    <w:lvl w:ilvl="0" w:tplc="68A85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371AC3"/>
    <w:multiLevelType w:val="hybridMultilevel"/>
    <w:tmpl w:val="B1465744"/>
    <w:lvl w:ilvl="0" w:tplc="6172BF26">
      <w:start w:val="15"/>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FF1CB6"/>
    <w:multiLevelType w:val="hybridMultilevel"/>
    <w:tmpl w:val="69C41832"/>
    <w:lvl w:ilvl="0" w:tplc="58869C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331335"/>
    <w:multiLevelType w:val="hybridMultilevel"/>
    <w:tmpl w:val="3E8A9B32"/>
    <w:lvl w:ilvl="0" w:tplc="E59AF9E6">
      <w:start w:val="1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3F100C"/>
    <w:multiLevelType w:val="hybridMultilevel"/>
    <w:tmpl w:val="2340B5D8"/>
    <w:lvl w:ilvl="0" w:tplc="68A85A6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5F267BE1"/>
    <w:multiLevelType w:val="hybridMultilevel"/>
    <w:tmpl w:val="0554BBB8"/>
    <w:lvl w:ilvl="0" w:tplc="8E140ACE">
      <w:start w:val="1"/>
      <w:numFmt w:val="lowerLetter"/>
      <w:lvlText w:val="%1."/>
      <w:lvlJc w:val="left"/>
      <w:pPr>
        <w:ind w:left="792" w:hanging="72"/>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62620A88"/>
    <w:multiLevelType w:val="hybridMultilevel"/>
    <w:tmpl w:val="3572AD26"/>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66A05422"/>
    <w:multiLevelType w:val="hybridMultilevel"/>
    <w:tmpl w:val="E9E0EAAE"/>
    <w:lvl w:ilvl="0" w:tplc="97AE7CBE">
      <w:start w:val="1"/>
      <w:numFmt w:val="lowerLetter"/>
      <w:lvlText w:val="%1."/>
      <w:lvlJc w:val="left"/>
      <w:pPr>
        <w:ind w:left="1152" w:hanging="252"/>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71470E11"/>
    <w:multiLevelType w:val="hybridMultilevel"/>
    <w:tmpl w:val="6F28B08C"/>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76457E30"/>
    <w:multiLevelType w:val="hybridMultilevel"/>
    <w:tmpl w:val="5CF466C8"/>
    <w:lvl w:ilvl="0" w:tplc="04090019">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79CF42BC"/>
    <w:multiLevelType w:val="hybridMultilevel"/>
    <w:tmpl w:val="A9B29550"/>
    <w:lvl w:ilvl="0" w:tplc="B6F41E4C">
      <w:start w:val="1"/>
      <w:numFmt w:val="lowerLetter"/>
      <w:lvlText w:val="%1."/>
      <w:lvlJc w:val="left"/>
      <w:pPr>
        <w:ind w:left="1440" w:firstLine="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5"/>
  </w:num>
  <w:num w:numId="2">
    <w:abstractNumId w:val="16"/>
  </w:num>
  <w:num w:numId="3">
    <w:abstractNumId w:val="5"/>
  </w:num>
  <w:num w:numId="4">
    <w:abstractNumId w:val="26"/>
  </w:num>
  <w:num w:numId="5">
    <w:abstractNumId w:val="27"/>
  </w:num>
  <w:num w:numId="6">
    <w:abstractNumId w:val="28"/>
  </w:num>
  <w:num w:numId="7">
    <w:abstractNumId w:val="19"/>
  </w:num>
  <w:num w:numId="8">
    <w:abstractNumId w:val="11"/>
  </w:num>
  <w:num w:numId="9">
    <w:abstractNumId w:val="12"/>
  </w:num>
  <w:num w:numId="10">
    <w:abstractNumId w:val="10"/>
  </w:num>
  <w:num w:numId="11">
    <w:abstractNumId w:val="13"/>
  </w:num>
  <w:num w:numId="12">
    <w:abstractNumId w:val="21"/>
  </w:num>
  <w:num w:numId="13">
    <w:abstractNumId w:val="29"/>
  </w:num>
  <w:num w:numId="14">
    <w:abstractNumId w:val="2"/>
  </w:num>
  <w:num w:numId="15">
    <w:abstractNumId w:val="7"/>
  </w:num>
  <w:num w:numId="16">
    <w:abstractNumId w:val="15"/>
  </w:num>
  <w:num w:numId="17">
    <w:abstractNumId w:val="20"/>
  </w:num>
  <w:num w:numId="18">
    <w:abstractNumId w:val="6"/>
  </w:num>
  <w:num w:numId="19">
    <w:abstractNumId w:val="8"/>
  </w:num>
  <w:num w:numId="20">
    <w:abstractNumId w:val="14"/>
  </w:num>
  <w:num w:numId="21">
    <w:abstractNumId w:val="24"/>
  </w:num>
  <w:num w:numId="22">
    <w:abstractNumId w:val="30"/>
  </w:num>
  <w:num w:numId="23">
    <w:abstractNumId w:val="3"/>
  </w:num>
  <w:num w:numId="24">
    <w:abstractNumId w:val="23"/>
  </w:num>
  <w:num w:numId="25">
    <w:abstractNumId w:val="4"/>
  </w:num>
  <w:num w:numId="26">
    <w:abstractNumId w:val="22"/>
  </w:num>
  <w:num w:numId="27">
    <w:abstractNumId w:val="0"/>
  </w:num>
  <w:num w:numId="28">
    <w:abstractNumId w:val="18"/>
  </w:num>
  <w:num w:numId="29">
    <w:abstractNumId w:val="1"/>
  </w:num>
  <w:num w:numId="30">
    <w:abstractNumId w:val="17"/>
  </w:num>
  <w:num w:numId="31">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64E5"/>
    <w:rsid w:val="00017769"/>
    <w:rsid w:val="000224C5"/>
    <w:rsid w:val="00026450"/>
    <w:rsid w:val="0003060C"/>
    <w:rsid w:val="00036F46"/>
    <w:rsid w:val="00041298"/>
    <w:rsid w:val="00042E95"/>
    <w:rsid w:val="00055B83"/>
    <w:rsid w:val="00062B2D"/>
    <w:rsid w:val="00071896"/>
    <w:rsid w:val="000800DA"/>
    <w:rsid w:val="0008237A"/>
    <w:rsid w:val="0008378A"/>
    <w:rsid w:val="000A0234"/>
    <w:rsid w:val="000A3A5B"/>
    <w:rsid w:val="000A71CB"/>
    <w:rsid w:val="000B0937"/>
    <w:rsid w:val="000B564B"/>
    <w:rsid w:val="000B6AEB"/>
    <w:rsid w:val="000C3C87"/>
    <w:rsid w:val="000E1266"/>
    <w:rsid w:val="000F08D8"/>
    <w:rsid w:val="000F4621"/>
    <w:rsid w:val="001140C7"/>
    <w:rsid w:val="00115514"/>
    <w:rsid w:val="001163F0"/>
    <w:rsid w:val="001229BC"/>
    <w:rsid w:val="00122EAE"/>
    <w:rsid w:val="00130C12"/>
    <w:rsid w:val="001312A1"/>
    <w:rsid w:val="00133084"/>
    <w:rsid w:val="00145D1A"/>
    <w:rsid w:val="00145F30"/>
    <w:rsid w:val="001508B5"/>
    <w:rsid w:val="001651A7"/>
    <w:rsid w:val="00165471"/>
    <w:rsid w:val="001658F2"/>
    <w:rsid w:val="00167013"/>
    <w:rsid w:val="001673A8"/>
    <w:rsid w:val="00175820"/>
    <w:rsid w:val="00177C88"/>
    <w:rsid w:val="00184039"/>
    <w:rsid w:val="00184938"/>
    <w:rsid w:val="001906D7"/>
    <w:rsid w:val="00195DD9"/>
    <w:rsid w:val="001968A8"/>
    <w:rsid w:val="0019740B"/>
    <w:rsid w:val="001A1CEA"/>
    <w:rsid w:val="001A3DD3"/>
    <w:rsid w:val="001A5545"/>
    <w:rsid w:val="001A6152"/>
    <w:rsid w:val="001B0154"/>
    <w:rsid w:val="001B0B06"/>
    <w:rsid w:val="001B1EC4"/>
    <w:rsid w:val="001B22B4"/>
    <w:rsid w:val="001C0F89"/>
    <w:rsid w:val="001C34B0"/>
    <w:rsid w:val="001C36CE"/>
    <w:rsid w:val="001D1D51"/>
    <w:rsid w:val="001D5319"/>
    <w:rsid w:val="001D6D65"/>
    <w:rsid w:val="001E2CD3"/>
    <w:rsid w:val="001F270B"/>
    <w:rsid w:val="001F71D5"/>
    <w:rsid w:val="00200604"/>
    <w:rsid w:val="00205244"/>
    <w:rsid w:val="0021097E"/>
    <w:rsid w:val="00210F7F"/>
    <w:rsid w:val="00225240"/>
    <w:rsid w:val="002275B1"/>
    <w:rsid w:val="002337C9"/>
    <w:rsid w:val="00233C64"/>
    <w:rsid w:val="00234EAA"/>
    <w:rsid w:val="00244F3B"/>
    <w:rsid w:val="0025323B"/>
    <w:rsid w:val="00253983"/>
    <w:rsid w:val="00255609"/>
    <w:rsid w:val="00261A03"/>
    <w:rsid w:val="00261FD5"/>
    <w:rsid w:val="00264374"/>
    <w:rsid w:val="002670C0"/>
    <w:rsid w:val="00267751"/>
    <w:rsid w:val="00272384"/>
    <w:rsid w:val="00272571"/>
    <w:rsid w:val="0027482D"/>
    <w:rsid w:val="00277B6E"/>
    <w:rsid w:val="0028084C"/>
    <w:rsid w:val="00281BC2"/>
    <w:rsid w:val="00282F4B"/>
    <w:rsid w:val="00283B76"/>
    <w:rsid w:val="002872E8"/>
    <w:rsid w:val="00292B64"/>
    <w:rsid w:val="00292D39"/>
    <w:rsid w:val="0029728A"/>
    <w:rsid w:val="002A051A"/>
    <w:rsid w:val="002A419F"/>
    <w:rsid w:val="002A60E3"/>
    <w:rsid w:val="002B563B"/>
    <w:rsid w:val="002B600E"/>
    <w:rsid w:val="002B644E"/>
    <w:rsid w:val="002C7429"/>
    <w:rsid w:val="002D1805"/>
    <w:rsid w:val="002D1C33"/>
    <w:rsid w:val="002D2C43"/>
    <w:rsid w:val="002E1C27"/>
    <w:rsid w:val="002E79B2"/>
    <w:rsid w:val="002F1F33"/>
    <w:rsid w:val="002F5776"/>
    <w:rsid w:val="002F5BB2"/>
    <w:rsid w:val="0030008B"/>
    <w:rsid w:val="00301A0F"/>
    <w:rsid w:val="00307A0F"/>
    <w:rsid w:val="0031050D"/>
    <w:rsid w:val="003167BE"/>
    <w:rsid w:val="00316E86"/>
    <w:rsid w:val="003269EF"/>
    <w:rsid w:val="00327558"/>
    <w:rsid w:val="00344362"/>
    <w:rsid w:val="003541E1"/>
    <w:rsid w:val="00356B81"/>
    <w:rsid w:val="00356CBD"/>
    <w:rsid w:val="00363869"/>
    <w:rsid w:val="0036465A"/>
    <w:rsid w:val="00366077"/>
    <w:rsid w:val="0037180B"/>
    <w:rsid w:val="003761E9"/>
    <w:rsid w:val="00396280"/>
    <w:rsid w:val="003A1C0A"/>
    <w:rsid w:val="003A6641"/>
    <w:rsid w:val="003A73A0"/>
    <w:rsid w:val="003B1278"/>
    <w:rsid w:val="003B59D9"/>
    <w:rsid w:val="003C0E14"/>
    <w:rsid w:val="003C7D7E"/>
    <w:rsid w:val="003D4738"/>
    <w:rsid w:val="003E5A51"/>
    <w:rsid w:val="003E6FB1"/>
    <w:rsid w:val="003E7622"/>
    <w:rsid w:val="003E76FB"/>
    <w:rsid w:val="0040325D"/>
    <w:rsid w:val="004168E0"/>
    <w:rsid w:val="004269B3"/>
    <w:rsid w:val="00433500"/>
    <w:rsid w:val="00433886"/>
    <w:rsid w:val="00442CFD"/>
    <w:rsid w:val="004443A0"/>
    <w:rsid w:val="004456A8"/>
    <w:rsid w:val="00451AA5"/>
    <w:rsid w:val="00453CB7"/>
    <w:rsid w:val="00454AD8"/>
    <w:rsid w:val="00462605"/>
    <w:rsid w:val="00466B32"/>
    <w:rsid w:val="00475A71"/>
    <w:rsid w:val="00476519"/>
    <w:rsid w:val="00486968"/>
    <w:rsid w:val="004A0F38"/>
    <w:rsid w:val="004A3001"/>
    <w:rsid w:val="004A76E1"/>
    <w:rsid w:val="004B0DC3"/>
    <w:rsid w:val="004B288E"/>
    <w:rsid w:val="004B2CD3"/>
    <w:rsid w:val="004B390B"/>
    <w:rsid w:val="004B4A55"/>
    <w:rsid w:val="004B4BAC"/>
    <w:rsid w:val="004B70B7"/>
    <w:rsid w:val="004C16AE"/>
    <w:rsid w:val="004C2B2D"/>
    <w:rsid w:val="004D2F21"/>
    <w:rsid w:val="004D3801"/>
    <w:rsid w:val="004D3E68"/>
    <w:rsid w:val="004D4ED8"/>
    <w:rsid w:val="004D6C5F"/>
    <w:rsid w:val="004E70E9"/>
    <w:rsid w:val="00501324"/>
    <w:rsid w:val="00510179"/>
    <w:rsid w:val="0051277E"/>
    <w:rsid w:val="00514D59"/>
    <w:rsid w:val="00520EAC"/>
    <w:rsid w:val="00524E04"/>
    <w:rsid w:val="0052778D"/>
    <w:rsid w:val="00536B62"/>
    <w:rsid w:val="005375C7"/>
    <w:rsid w:val="00547379"/>
    <w:rsid w:val="005517B9"/>
    <w:rsid w:val="00553379"/>
    <w:rsid w:val="00557A50"/>
    <w:rsid w:val="00566C5B"/>
    <w:rsid w:val="005674AF"/>
    <w:rsid w:val="00570C76"/>
    <w:rsid w:val="0057171B"/>
    <w:rsid w:val="00572E15"/>
    <w:rsid w:val="005746A3"/>
    <w:rsid w:val="00576CC4"/>
    <w:rsid w:val="00580806"/>
    <w:rsid w:val="00581101"/>
    <w:rsid w:val="005A305C"/>
    <w:rsid w:val="005A47EE"/>
    <w:rsid w:val="005A5620"/>
    <w:rsid w:val="005A59BF"/>
    <w:rsid w:val="005A6E56"/>
    <w:rsid w:val="005B0FA3"/>
    <w:rsid w:val="005B496E"/>
    <w:rsid w:val="005B5525"/>
    <w:rsid w:val="005D42ED"/>
    <w:rsid w:val="005D506B"/>
    <w:rsid w:val="005E077B"/>
    <w:rsid w:val="005E0A0F"/>
    <w:rsid w:val="005E3B82"/>
    <w:rsid w:val="00602497"/>
    <w:rsid w:val="00605620"/>
    <w:rsid w:val="00612FF7"/>
    <w:rsid w:val="0061355F"/>
    <w:rsid w:val="00614E68"/>
    <w:rsid w:val="00614FF3"/>
    <w:rsid w:val="00622E0B"/>
    <w:rsid w:val="00627D43"/>
    <w:rsid w:val="006362D1"/>
    <w:rsid w:val="006453D8"/>
    <w:rsid w:val="00645615"/>
    <w:rsid w:val="006560CF"/>
    <w:rsid w:val="00661741"/>
    <w:rsid w:val="00661AC9"/>
    <w:rsid w:val="006727FE"/>
    <w:rsid w:val="00677D88"/>
    <w:rsid w:val="0068447E"/>
    <w:rsid w:val="00684723"/>
    <w:rsid w:val="00685F20"/>
    <w:rsid w:val="00691CBD"/>
    <w:rsid w:val="0069527C"/>
    <w:rsid w:val="00695CC0"/>
    <w:rsid w:val="006A59B2"/>
    <w:rsid w:val="006A5E8B"/>
    <w:rsid w:val="006A71AE"/>
    <w:rsid w:val="006A7B6B"/>
    <w:rsid w:val="006B0AD0"/>
    <w:rsid w:val="006B23F7"/>
    <w:rsid w:val="006B2B17"/>
    <w:rsid w:val="006C3906"/>
    <w:rsid w:val="006D237D"/>
    <w:rsid w:val="006D2D1F"/>
    <w:rsid w:val="006E4C06"/>
    <w:rsid w:val="006E668E"/>
    <w:rsid w:val="006F15A5"/>
    <w:rsid w:val="006F2E14"/>
    <w:rsid w:val="006F4439"/>
    <w:rsid w:val="006F7C18"/>
    <w:rsid w:val="007023FD"/>
    <w:rsid w:val="00703ACE"/>
    <w:rsid w:val="0070466C"/>
    <w:rsid w:val="00706250"/>
    <w:rsid w:val="007065AE"/>
    <w:rsid w:val="00710C41"/>
    <w:rsid w:val="00712CBA"/>
    <w:rsid w:val="00713229"/>
    <w:rsid w:val="00714A57"/>
    <w:rsid w:val="00720FCF"/>
    <w:rsid w:val="00721290"/>
    <w:rsid w:val="0072241C"/>
    <w:rsid w:val="007251DE"/>
    <w:rsid w:val="00726C06"/>
    <w:rsid w:val="007338FD"/>
    <w:rsid w:val="007360C5"/>
    <w:rsid w:val="007362A0"/>
    <w:rsid w:val="0074174D"/>
    <w:rsid w:val="00746B5C"/>
    <w:rsid w:val="00753C11"/>
    <w:rsid w:val="00753D84"/>
    <w:rsid w:val="00762E8A"/>
    <w:rsid w:val="00764051"/>
    <w:rsid w:val="0078084B"/>
    <w:rsid w:val="0079643E"/>
    <w:rsid w:val="007A2974"/>
    <w:rsid w:val="007B14AF"/>
    <w:rsid w:val="007B5CCB"/>
    <w:rsid w:val="007B5EA2"/>
    <w:rsid w:val="007C0011"/>
    <w:rsid w:val="007C4D03"/>
    <w:rsid w:val="007C5938"/>
    <w:rsid w:val="007C7F8C"/>
    <w:rsid w:val="007D0C1B"/>
    <w:rsid w:val="007D3422"/>
    <w:rsid w:val="007D5E50"/>
    <w:rsid w:val="007E3F60"/>
    <w:rsid w:val="007E5556"/>
    <w:rsid w:val="007E6C4C"/>
    <w:rsid w:val="007F4C7E"/>
    <w:rsid w:val="00800DC7"/>
    <w:rsid w:val="008045F8"/>
    <w:rsid w:val="00804F59"/>
    <w:rsid w:val="008152FA"/>
    <w:rsid w:val="0081652B"/>
    <w:rsid w:val="00832C05"/>
    <w:rsid w:val="0084514D"/>
    <w:rsid w:val="00846F19"/>
    <w:rsid w:val="00855595"/>
    <w:rsid w:val="008555CC"/>
    <w:rsid w:val="00872663"/>
    <w:rsid w:val="00875DCF"/>
    <w:rsid w:val="00877D5F"/>
    <w:rsid w:val="00883475"/>
    <w:rsid w:val="0088714F"/>
    <w:rsid w:val="00891036"/>
    <w:rsid w:val="00893C6A"/>
    <w:rsid w:val="00895CCA"/>
    <w:rsid w:val="008B0A7E"/>
    <w:rsid w:val="008B4496"/>
    <w:rsid w:val="008B4850"/>
    <w:rsid w:val="008C1364"/>
    <w:rsid w:val="008C5F08"/>
    <w:rsid w:val="008C6B8D"/>
    <w:rsid w:val="008C6E5C"/>
    <w:rsid w:val="008D2065"/>
    <w:rsid w:val="008E4336"/>
    <w:rsid w:val="008E4860"/>
    <w:rsid w:val="008E62EC"/>
    <w:rsid w:val="008E637C"/>
    <w:rsid w:val="008E7E7C"/>
    <w:rsid w:val="008F331C"/>
    <w:rsid w:val="008F6984"/>
    <w:rsid w:val="009002F6"/>
    <w:rsid w:val="00901BF2"/>
    <w:rsid w:val="00904999"/>
    <w:rsid w:val="009057A1"/>
    <w:rsid w:val="00915D7F"/>
    <w:rsid w:val="00917FA8"/>
    <w:rsid w:val="00922547"/>
    <w:rsid w:val="00924568"/>
    <w:rsid w:val="00933FD0"/>
    <w:rsid w:val="0094203D"/>
    <w:rsid w:val="009471DB"/>
    <w:rsid w:val="00947892"/>
    <w:rsid w:val="00947F3A"/>
    <w:rsid w:val="0095166D"/>
    <w:rsid w:val="009543FB"/>
    <w:rsid w:val="009571FC"/>
    <w:rsid w:val="009601AB"/>
    <w:rsid w:val="009645E2"/>
    <w:rsid w:val="00965F7E"/>
    <w:rsid w:val="009728F9"/>
    <w:rsid w:val="00980184"/>
    <w:rsid w:val="00981E3B"/>
    <w:rsid w:val="00987218"/>
    <w:rsid w:val="009902BF"/>
    <w:rsid w:val="00997464"/>
    <w:rsid w:val="009A1A6F"/>
    <w:rsid w:val="009A22DC"/>
    <w:rsid w:val="009A3AF1"/>
    <w:rsid w:val="009A4798"/>
    <w:rsid w:val="009A6370"/>
    <w:rsid w:val="009A7BB6"/>
    <w:rsid w:val="009B0602"/>
    <w:rsid w:val="009B2DE4"/>
    <w:rsid w:val="009B35C3"/>
    <w:rsid w:val="009B6928"/>
    <w:rsid w:val="009B6C3C"/>
    <w:rsid w:val="009C1A38"/>
    <w:rsid w:val="009C34DE"/>
    <w:rsid w:val="009C4123"/>
    <w:rsid w:val="009D06C1"/>
    <w:rsid w:val="009D4B51"/>
    <w:rsid w:val="009D5509"/>
    <w:rsid w:val="009D6317"/>
    <w:rsid w:val="009E0095"/>
    <w:rsid w:val="00A07B5C"/>
    <w:rsid w:val="00A20E91"/>
    <w:rsid w:val="00A27B85"/>
    <w:rsid w:val="00A31D06"/>
    <w:rsid w:val="00A33243"/>
    <w:rsid w:val="00A401A2"/>
    <w:rsid w:val="00A47E32"/>
    <w:rsid w:val="00A620A5"/>
    <w:rsid w:val="00A768D3"/>
    <w:rsid w:val="00A82787"/>
    <w:rsid w:val="00A82BC3"/>
    <w:rsid w:val="00A84633"/>
    <w:rsid w:val="00A85848"/>
    <w:rsid w:val="00A93CBF"/>
    <w:rsid w:val="00A94BB3"/>
    <w:rsid w:val="00A97C96"/>
    <w:rsid w:val="00AA23C5"/>
    <w:rsid w:val="00AB2101"/>
    <w:rsid w:val="00AC1B8C"/>
    <w:rsid w:val="00AC20FB"/>
    <w:rsid w:val="00AC3A92"/>
    <w:rsid w:val="00AC482C"/>
    <w:rsid w:val="00AC579E"/>
    <w:rsid w:val="00AD1E47"/>
    <w:rsid w:val="00AD7926"/>
    <w:rsid w:val="00AE6AA1"/>
    <w:rsid w:val="00AF0353"/>
    <w:rsid w:val="00AF039F"/>
    <w:rsid w:val="00AF2758"/>
    <w:rsid w:val="00AF3590"/>
    <w:rsid w:val="00AF7509"/>
    <w:rsid w:val="00B02099"/>
    <w:rsid w:val="00B04C20"/>
    <w:rsid w:val="00B112A5"/>
    <w:rsid w:val="00B22E43"/>
    <w:rsid w:val="00B246F6"/>
    <w:rsid w:val="00B25C64"/>
    <w:rsid w:val="00B307BA"/>
    <w:rsid w:val="00B30F3D"/>
    <w:rsid w:val="00B36E53"/>
    <w:rsid w:val="00B43714"/>
    <w:rsid w:val="00B53850"/>
    <w:rsid w:val="00B609C7"/>
    <w:rsid w:val="00B63C54"/>
    <w:rsid w:val="00B667BC"/>
    <w:rsid w:val="00B713FC"/>
    <w:rsid w:val="00B741FB"/>
    <w:rsid w:val="00B761F5"/>
    <w:rsid w:val="00B76B58"/>
    <w:rsid w:val="00B84F53"/>
    <w:rsid w:val="00B84FC0"/>
    <w:rsid w:val="00B852B7"/>
    <w:rsid w:val="00B85576"/>
    <w:rsid w:val="00B85EA4"/>
    <w:rsid w:val="00B86A21"/>
    <w:rsid w:val="00B86FD1"/>
    <w:rsid w:val="00B9246A"/>
    <w:rsid w:val="00B96A72"/>
    <w:rsid w:val="00B96A9F"/>
    <w:rsid w:val="00B978EA"/>
    <w:rsid w:val="00BA24C7"/>
    <w:rsid w:val="00BA2651"/>
    <w:rsid w:val="00BB0F28"/>
    <w:rsid w:val="00BB49D0"/>
    <w:rsid w:val="00BB617A"/>
    <w:rsid w:val="00BC09E2"/>
    <w:rsid w:val="00BC3F3C"/>
    <w:rsid w:val="00BC7206"/>
    <w:rsid w:val="00BC74A3"/>
    <w:rsid w:val="00BE13E2"/>
    <w:rsid w:val="00BE2E95"/>
    <w:rsid w:val="00BE7694"/>
    <w:rsid w:val="00C14E0F"/>
    <w:rsid w:val="00C31114"/>
    <w:rsid w:val="00C33F44"/>
    <w:rsid w:val="00C34D08"/>
    <w:rsid w:val="00C35D00"/>
    <w:rsid w:val="00C40B50"/>
    <w:rsid w:val="00C41253"/>
    <w:rsid w:val="00C54DB1"/>
    <w:rsid w:val="00C55EAB"/>
    <w:rsid w:val="00C57C5D"/>
    <w:rsid w:val="00C61FFE"/>
    <w:rsid w:val="00C64985"/>
    <w:rsid w:val="00C64B09"/>
    <w:rsid w:val="00C66D8C"/>
    <w:rsid w:val="00C80B0D"/>
    <w:rsid w:val="00C85022"/>
    <w:rsid w:val="00C86247"/>
    <w:rsid w:val="00C977F5"/>
    <w:rsid w:val="00CA1C22"/>
    <w:rsid w:val="00CA44F1"/>
    <w:rsid w:val="00CB43E2"/>
    <w:rsid w:val="00CB47C3"/>
    <w:rsid w:val="00CB5592"/>
    <w:rsid w:val="00CB7002"/>
    <w:rsid w:val="00CC04B1"/>
    <w:rsid w:val="00CC15D4"/>
    <w:rsid w:val="00CC6F3A"/>
    <w:rsid w:val="00CC7CBA"/>
    <w:rsid w:val="00CE1FDB"/>
    <w:rsid w:val="00CE758E"/>
    <w:rsid w:val="00CF4C2B"/>
    <w:rsid w:val="00CF5F07"/>
    <w:rsid w:val="00CF7933"/>
    <w:rsid w:val="00CF79B1"/>
    <w:rsid w:val="00D00963"/>
    <w:rsid w:val="00D00B39"/>
    <w:rsid w:val="00D05D91"/>
    <w:rsid w:val="00D126E4"/>
    <w:rsid w:val="00D17B0A"/>
    <w:rsid w:val="00D23B69"/>
    <w:rsid w:val="00D26FCD"/>
    <w:rsid w:val="00D33664"/>
    <w:rsid w:val="00D34246"/>
    <w:rsid w:val="00D35526"/>
    <w:rsid w:val="00D36491"/>
    <w:rsid w:val="00D4341A"/>
    <w:rsid w:val="00D44D3A"/>
    <w:rsid w:val="00D46148"/>
    <w:rsid w:val="00D5064E"/>
    <w:rsid w:val="00D50AEE"/>
    <w:rsid w:val="00D539E9"/>
    <w:rsid w:val="00D6577F"/>
    <w:rsid w:val="00D70AA0"/>
    <w:rsid w:val="00D723DF"/>
    <w:rsid w:val="00D76CFF"/>
    <w:rsid w:val="00D7716F"/>
    <w:rsid w:val="00D81CD9"/>
    <w:rsid w:val="00D81F67"/>
    <w:rsid w:val="00D852F6"/>
    <w:rsid w:val="00D870A7"/>
    <w:rsid w:val="00D8729F"/>
    <w:rsid w:val="00D923E7"/>
    <w:rsid w:val="00DA49F6"/>
    <w:rsid w:val="00DA70AB"/>
    <w:rsid w:val="00DB4D1E"/>
    <w:rsid w:val="00DC121B"/>
    <w:rsid w:val="00DC1B6B"/>
    <w:rsid w:val="00DC6B93"/>
    <w:rsid w:val="00DD1272"/>
    <w:rsid w:val="00DD2D46"/>
    <w:rsid w:val="00DD5273"/>
    <w:rsid w:val="00DE0DA8"/>
    <w:rsid w:val="00DE69A9"/>
    <w:rsid w:val="00DE73B0"/>
    <w:rsid w:val="00DF0A28"/>
    <w:rsid w:val="00E122C6"/>
    <w:rsid w:val="00E126BD"/>
    <w:rsid w:val="00E17C78"/>
    <w:rsid w:val="00E24FA9"/>
    <w:rsid w:val="00E25CF3"/>
    <w:rsid w:val="00E25EB0"/>
    <w:rsid w:val="00E31296"/>
    <w:rsid w:val="00E3799A"/>
    <w:rsid w:val="00E42FD2"/>
    <w:rsid w:val="00E528FD"/>
    <w:rsid w:val="00E55904"/>
    <w:rsid w:val="00E55D3F"/>
    <w:rsid w:val="00E6665C"/>
    <w:rsid w:val="00E66FFE"/>
    <w:rsid w:val="00E73A32"/>
    <w:rsid w:val="00E75CD0"/>
    <w:rsid w:val="00E83177"/>
    <w:rsid w:val="00E86D8D"/>
    <w:rsid w:val="00E87376"/>
    <w:rsid w:val="00E9350A"/>
    <w:rsid w:val="00EA136C"/>
    <w:rsid w:val="00EA1B54"/>
    <w:rsid w:val="00EA1D5A"/>
    <w:rsid w:val="00EB200C"/>
    <w:rsid w:val="00EB300D"/>
    <w:rsid w:val="00EB51FF"/>
    <w:rsid w:val="00EC010B"/>
    <w:rsid w:val="00EC3634"/>
    <w:rsid w:val="00EE45C0"/>
    <w:rsid w:val="00EE742A"/>
    <w:rsid w:val="00EF01D9"/>
    <w:rsid w:val="00EF4220"/>
    <w:rsid w:val="00EF7124"/>
    <w:rsid w:val="00EF7917"/>
    <w:rsid w:val="00F05E12"/>
    <w:rsid w:val="00F1334F"/>
    <w:rsid w:val="00F1447C"/>
    <w:rsid w:val="00F2034C"/>
    <w:rsid w:val="00F206AB"/>
    <w:rsid w:val="00F215E9"/>
    <w:rsid w:val="00F21A1C"/>
    <w:rsid w:val="00F3388E"/>
    <w:rsid w:val="00F40FC6"/>
    <w:rsid w:val="00F41C4B"/>
    <w:rsid w:val="00F461A5"/>
    <w:rsid w:val="00F473FA"/>
    <w:rsid w:val="00F47A21"/>
    <w:rsid w:val="00F54A69"/>
    <w:rsid w:val="00F55CB8"/>
    <w:rsid w:val="00F57368"/>
    <w:rsid w:val="00F64782"/>
    <w:rsid w:val="00F6711F"/>
    <w:rsid w:val="00F6751C"/>
    <w:rsid w:val="00F71D0F"/>
    <w:rsid w:val="00F74447"/>
    <w:rsid w:val="00F767EC"/>
    <w:rsid w:val="00F76FD9"/>
    <w:rsid w:val="00F80012"/>
    <w:rsid w:val="00F814D2"/>
    <w:rsid w:val="00F87882"/>
    <w:rsid w:val="00F9079B"/>
    <w:rsid w:val="00F91E72"/>
    <w:rsid w:val="00F92085"/>
    <w:rsid w:val="00F93670"/>
    <w:rsid w:val="00F94518"/>
    <w:rsid w:val="00FB4333"/>
    <w:rsid w:val="00FC3603"/>
    <w:rsid w:val="00FC475A"/>
    <w:rsid w:val="00FC6D5D"/>
    <w:rsid w:val="00FD287B"/>
    <w:rsid w:val="00FE540F"/>
    <w:rsid w:val="00FE6066"/>
    <w:rsid w:val="00FE6F46"/>
    <w:rsid w:val="00FF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CommentReference">
    <w:name w:val="annotation reference"/>
    <w:basedOn w:val="DefaultParagraphFont"/>
    <w:uiPriority w:val="99"/>
    <w:semiHidden/>
    <w:rsid w:val="001673A8"/>
    <w:rPr>
      <w:sz w:val="16"/>
      <w:szCs w:val="16"/>
    </w:rPr>
  </w:style>
  <w:style w:type="paragraph" w:styleId="CommentText">
    <w:name w:val="annotation text"/>
    <w:basedOn w:val="Normal"/>
    <w:link w:val="CommentTextChar"/>
    <w:uiPriority w:val="99"/>
    <w:semiHidden/>
    <w:rsid w:val="001673A8"/>
    <w:rPr>
      <w:sz w:val="20"/>
      <w:szCs w:val="20"/>
    </w:rPr>
  </w:style>
  <w:style w:type="paragraph" w:styleId="CommentSubject">
    <w:name w:val="annotation subject"/>
    <w:basedOn w:val="CommentText"/>
    <w:next w:val="CommentText"/>
    <w:semiHidden/>
    <w:rsid w:val="001673A8"/>
    <w:rPr>
      <w:b/>
      <w:bCs/>
    </w:rPr>
  </w:style>
  <w:style w:type="paragraph" w:styleId="BalloonText">
    <w:name w:val="Balloon Text"/>
    <w:basedOn w:val="Normal"/>
    <w:semiHidden/>
    <w:rsid w:val="001673A8"/>
    <w:rPr>
      <w:rFonts w:ascii="Tahoma" w:hAnsi="Tahoma" w:cs="Tahoma"/>
      <w:sz w:val="16"/>
      <w:szCs w:val="16"/>
    </w:rPr>
  </w:style>
  <w:style w:type="paragraph" w:styleId="DocumentMap">
    <w:name w:val="Document Map"/>
    <w:basedOn w:val="Normal"/>
    <w:semiHidden/>
    <w:rsid w:val="00292D39"/>
    <w:pPr>
      <w:shd w:val="clear" w:color="auto" w:fill="000080"/>
    </w:pPr>
    <w:rPr>
      <w:rFonts w:ascii="Tahoma" w:hAnsi="Tahoma" w:cs="Tahoma"/>
      <w:sz w:val="20"/>
      <w:szCs w:val="20"/>
    </w:rPr>
  </w:style>
  <w:style w:type="paragraph" w:styleId="Header">
    <w:name w:val="header"/>
    <w:basedOn w:val="Normal"/>
    <w:link w:val="HeaderChar"/>
    <w:uiPriority w:val="99"/>
    <w:unhideWhenUsed/>
    <w:rsid w:val="00CF79B1"/>
    <w:pPr>
      <w:tabs>
        <w:tab w:val="center" w:pos="4680"/>
        <w:tab w:val="right" w:pos="9360"/>
      </w:tabs>
    </w:pPr>
  </w:style>
  <w:style w:type="character" w:customStyle="1" w:styleId="HeaderChar">
    <w:name w:val="Header Char"/>
    <w:basedOn w:val="DefaultParagraphFont"/>
    <w:link w:val="Header"/>
    <w:uiPriority w:val="99"/>
    <w:rsid w:val="00CF79B1"/>
    <w:rPr>
      <w:rFonts w:ascii="Times New Roman" w:eastAsia="Times New Roman" w:hAnsi="Times New Roman"/>
      <w:sz w:val="24"/>
      <w:szCs w:val="24"/>
    </w:rPr>
  </w:style>
  <w:style w:type="paragraph" w:styleId="Footer">
    <w:name w:val="footer"/>
    <w:basedOn w:val="Normal"/>
    <w:link w:val="FooterChar"/>
    <w:uiPriority w:val="99"/>
    <w:unhideWhenUsed/>
    <w:rsid w:val="00CF79B1"/>
    <w:pPr>
      <w:tabs>
        <w:tab w:val="center" w:pos="4680"/>
        <w:tab w:val="right" w:pos="9360"/>
      </w:tabs>
    </w:pPr>
  </w:style>
  <w:style w:type="character" w:customStyle="1" w:styleId="FooterChar">
    <w:name w:val="Footer Char"/>
    <w:basedOn w:val="DefaultParagraphFont"/>
    <w:link w:val="Footer"/>
    <w:uiPriority w:val="99"/>
    <w:rsid w:val="00CF79B1"/>
    <w:rPr>
      <w:rFonts w:ascii="Times New Roman" w:eastAsia="Times New Roman" w:hAnsi="Times New Roman"/>
      <w:sz w:val="24"/>
      <w:szCs w:val="24"/>
    </w:rPr>
  </w:style>
  <w:style w:type="character" w:styleId="Hyperlink">
    <w:name w:val="Hyperlink"/>
    <w:basedOn w:val="DefaultParagraphFont"/>
    <w:uiPriority w:val="99"/>
    <w:rsid w:val="008E62EC"/>
    <w:rPr>
      <w:rFonts w:cs="Times New Roman"/>
      <w:color w:val="0000FF"/>
      <w:u w:val="single"/>
    </w:rPr>
  </w:style>
  <w:style w:type="character" w:customStyle="1" w:styleId="content1">
    <w:name w:val="content1"/>
    <w:basedOn w:val="DefaultParagraphFont"/>
    <w:rsid w:val="0008378A"/>
    <w:rPr>
      <w:rFonts w:ascii="Arial" w:hAnsi="Arial" w:cs="Arial" w:hint="default"/>
      <w:color w:val="000000"/>
      <w:sz w:val="18"/>
      <w:szCs w:val="18"/>
    </w:rPr>
  </w:style>
  <w:style w:type="paragraph" w:styleId="ListParagraph">
    <w:name w:val="List Paragraph"/>
    <w:basedOn w:val="Normal"/>
    <w:uiPriority w:val="34"/>
    <w:qFormat/>
    <w:rsid w:val="00917FA8"/>
    <w:pPr>
      <w:ind w:left="720"/>
    </w:pPr>
  </w:style>
  <w:style w:type="paragraph" w:customStyle="1" w:styleId="Default">
    <w:name w:val="Default"/>
    <w:rsid w:val="00917FA8"/>
    <w:pPr>
      <w:autoSpaceDE w:val="0"/>
      <w:autoSpaceDN w:val="0"/>
      <w:adjustRightInd w:val="0"/>
    </w:pPr>
    <w:rPr>
      <w:rFonts w:ascii="Verdana" w:hAnsi="Verdana" w:cs="Verdana"/>
      <w:color w:val="000000"/>
      <w:sz w:val="24"/>
      <w:szCs w:val="24"/>
    </w:rPr>
  </w:style>
  <w:style w:type="character" w:styleId="Emphasis">
    <w:name w:val="Emphasis"/>
    <w:basedOn w:val="DefaultParagraphFont"/>
    <w:uiPriority w:val="20"/>
    <w:qFormat/>
    <w:rsid w:val="002A419F"/>
    <w:rPr>
      <w:b/>
      <w:bCs/>
      <w:i w:val="0"/>
      <w:iCs w:val="0"/>
    </w:rPr>
  </w:style>
  <w:style w:type="character" w:customStyle="1" w:styleId="m1">
    <w:name w:val="m1"/>
    <w:basedOn w:val="DefaultParagraphFont"/>
    <w:rsid w:val="000224C5"/>
    <w:rPr>
      <w:color w:val="767676"/>
    </w:rPr>
  </w:style>
  <w:style w:type="character" w:customStyle="1" w:styleId="CommentTextChar">
    <w:name w:val="Comment Text Char"/>
    <w:basedOn w:val="DefaultParagraphFont"/>
    <w:link w:val="CommentText"/>
    <w:uiPriority w:val="99"/>
    <w:semiHidden/>
    <w:rsid w:val="00B86FD1"/>
    <w:rPr>
      <w:rFonts w:ascii="Times New Roman" w:eastAsia="Times New Roman" w:hAnsi="Times New Roman"/>
    </w:rPr>
  </w:style>
  <w:style w:type="paragraph" w:styleId="PlainText">
    <w:name w:val="Plain Text"/>
    <w:basedOn w:val="Normal"/>
    <w:link w:val="PlainTextChar"/>
    <w:uiPriority w:val="99"/>
    <w:unhideWhenUsed/>
    <w:rsid w:val="00D4341A"/>
    <w:rPr>
      <w:rFonts w:ascii="Consolas" w:eastAsia="Calibri" w:hAnsi="Consolas"/>
      <w:sz w:val="21"/>
      <w:szCs w:val="21"/>
    </w:rPr>
  </w:style>
  <w:style w:type="character" w:customStyle="1" w:styleId="PlainTextChar">
    <w:name w:val="Plain Text Char"/>
    <w:basedOn w:val="DefaultParagraphFont"/>
    <w:link w:val="PlainText"/>
    <w:uiPriority w:val="99"/>
    <w:rsid w:val="00D4341A"/>
    <w:rPr>
      <w:rFonts w:ascii="Consolas" w:eastAsia="Calibri" w:hAnsi="Consolas" w:cs="Times New Roman"/>
      <w:sz w:val="21"/>
      <w:szCs w:val="21"/>
    </w:rPr>
  </w:style>
  <w:style w:type="paragraph" w:styleId="Revision">
    <w:name w:val="Revision"/>
    <w:hidden/>
    <w:uiPriority w:val="99"/>
    <w:semiHidden/>
    <w:rsid w:val="000A3A5B"/>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1906D7"/>
    <w:rPr>
      <w:sz w:val="20"/>
      <w:szCs w:val="20"/>
    </w:rPr>
  </w:style>
  <w:style w:type="character" w:customStyle="1" w:styleId="FootnoteTextChar">
    <w:name w:val="Footnote Text Char"/>
    <w:basedOn w:val="DefaultParagraphFont"/>
    <w:link w:val="FootnoteText"/>
    <w:uiPriority w:val="99"/>
    <w:semiHidden/>
    <w:rsid w:val="001906D7"/>
    <w:rPr>
      <w:rFonts w:ascii="Times New Roman" w:eastAsia="Times New Roman" w:hAnsi="Times New Roman"/>
    </w:rPr>
  </w:style>
  <w:style w:type="character" w:styleId="FootnoteReference">
    <w:name w:val="footnote reference"/>
    <w:basedOn w:val="DefaultParagraphFont"/>
    <w:uiPriority w:val="99"/>
    <w:semiHidden/>
    <w:unhideWhenUsed/>
    <w:rsid w:val="001906D7"/>
    <w:rPr>
      <w:vertAlign w:val="superscript"/>
    </w:rPr>
  </w:style>
  <w:style w:type="paragraph" w:styleId="NoSpacing">
    <w:name w:val="No Spacing"/>
    <w:uiPriority w:val="1"/>
    <w:qFormat/>
    <w:rsid w:val="00872663"/>
    <w:rPr>
      <w:rFonts w:ascii="Times New Roman" w:eastAsia="Times New Roman" w:hAnsi="Times New Roman"/>
      <w:sz w:val="24"/>
      <w:szCs w:val="24"/>
    </w:rPr>
  </w:style>
  <w:style w:type="table" w:styleId="TableGrid">
    <w:name w:val="Table Grid"/>
    <w:basedOn w:val="TableNormal"/>
    <w:uiPriority w:val="59"/>
    <w:rsid w:val="00DE73B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CommentReference">
    <w:name w:val="annotation reference"/>
    <w:basedOn w:val="DefaultParagraphFont"/>
    <w:uiPriority w:val="99"/>
    <w:semiHidden/>
    <w:rsid w:val="001673A8"/>
    <w:rPr>
      <w:sz w:val="16"/>
      <w:szCs w:val="16"/>
    </w:rPr>
  </w:style>
  <w:style w:type="paragraph" w:styleId="CommentText">
    <w:name w:val="annotation text"/>
    <w:basedOn w:val="Normal"/>
    <w:link w:val="CommentTextChar"/>
    <w:uiPriority w:val="99"/>
    <w:semiHidden/>
    <w:rsid w:val="001673A8"/>
    <w:rPr>
      <w:sz w:val="20"/>
      <w:szCs w:val="20"/>
    </w:rPr>
  </w:style>
  <w:style w:type="paragraph" w:styleId="CommentSubject">
    <w:name w:val="annotation subject"/>
    <w:basedOn w:val="CommentText"/>
    <w:next w:val="CommentText"/>
    <w:semiHidden/>
    <w:rsid w:val="001673A8"/>
    <w:rPr>
      <w:b/>
      <w:bCs/>
    </w:rPr>
  </w:style>
  <w:style w:type="paragraph" w:styleId="BalloonText">
    <w:name w:val="Balloon Text"/>
    <w:basedOn w:val="Normal"/>
    <w:semiHidden/>
    <w:rsid w:val="001673A8"/>
    <w:rPr>
      <w:rFonts w:ascii="Tahoma" w:hAnsi="Tahoma" w:cs="Tahoma"/>
      <w:sz w:val="16"/>
      <w:szCs w:val="16"/>
    </w:rPr>
  </w:style>
  <w:style w:type="paragraph" w:styleId="DocumentMap">
    <w:name w:val="Document Map"/>
    <w:basedOn w:val="Normal"/>
    <w:semiHidden/>
    <w:rsid w:val="00292D39"/>
    <w:pPr>
      <w:shd w:val="clear" w:color="auto" w:fill="000080"/>
    </w:pPr>
    <w:rPr>
      <w:rFonts w:ascii="Tahoma" w:hAnsi="Tahoma" w:cs="Tahoma"/>
      <w:sz w:val="20"/>
      <w:szCs w:val="20"/>
    </w:rPr>
  </w:style>
  <w:style w:type="paragraph" w:styleId="Header">
    <w:name w:val="header"/>
    <w:basedOn w:val="Normal"/>
    <w:link w:val="HeaderChar"/>
    <w:uiPriority w:val="99"/>
    <w:unhideWhenUsed/>
    <w:rsid w:val="00CF79B1"/>
    <w:pPr>
      <w:tabs>
        <w:tab w:val="center" w:pos="4680"/>
        <w:tab w:val="right" w:pos="9360"/>
      </w:tabs>
    </w:pPr>
  </w:style>
  <w:style w:type="character" w:customStyle="1" w:styleId="HeaderChar">
    <w:name w:val="Header Char"/>
    <w:basedOn w:val="DefaultParagraphFont"/>
    <w:link w:val="Header"/>
    <w:uiPriority w:val="99"/>
    <w:rsid w:val="00CF79B1"/>
    <w:rPr>
      <w:rFonts w:ascii="Times New Roman" w:eastAsia="Times New Roman" w:hAnsi="Times New Roman"/>
      <w:sz w:val="24"/>
      <w:szCs w:val="24"/>
    </w:rPr>
  </w:style>
  <w:style w:type="paragraph" w:styleId="Footer">
    <w:name w:val="footer"/>
    <w:basedOn w:val="Normal"/>
    <w:link w:val="FooterChar"/>
    <w:uiPriority w:val="99"/>
    <w:unhideWhenUsed/>
    <w:rsid w:val="00CF79B1"/>
    <w:pPr>
      <w:tabs>
        <w:tab w:val="center" w:pos="4680"/>
        <w:tab w:val="right" w:pos="9360"/>
      </w:tabs>
    </w:pPr>
  </w:style>
  <w:style w:type="character" w:customStyle="1" w:styleId="FooterChar">
    <w:name w:val="Footer Char"/>
    <w:basedOn w:val="DefaultParagraphFont"/>
    <w:link w:val="Footer"/>
    <w:uiPriority w:val="99"/>
    <w:rsid w:val="00CF79B1"/>
    <w:rPr>
      <w:rFonts w:ascii="Times New Roman" w:eastAsia="Times New Roman" w:hAnsi="Times New Roman"/>
      <w:sz w:val="24"/>
      <w:szCs w:val="24"/>
    </w:rPr>
  </w:style>
  <w:style w:type="character" w:styleId="Hyperlink">
    <w:name w:val="Hyperlink"/>
    <w:basedOn w:val="DefaultParagraphFont"/>
    <w:uiPriority w:val="99"/>
    <w:rsid w:val="008E62EC"/>
    <w:rPr>
      <w:rFonts w:cs="Times New Roman"/>
      <w:color w:val="0000FF"/>
      <w:u w:val="single"/>
    </w:rPr>
  </w:style>
  <w:style w:type="character" w:customStyle="1" w:styleId="content1">
    <w:name w:val="content1"/>
    <w:basedOn w:val="DefaultParagraphFont"/>
    <w:rsid w:val="0008378A"/>
    <w:rPr>
      <w:rFonts w:ascii="Arial" w:hAnsi="Arial" w:cs="Arial" w:hint="default"/>
      <w:color w:val="000000"/>
      <w:sz w:val="18"/>
      <w:szCs w:val="18"/>
    </w:rPr>
  </w:style>
  <w:style w:type="paragraph" w:styleId="ListParagraph">
    <w:name w:val="List Paragraph"/>
    <w:basedOn w:val="Normal"/>
    <w:uiPriority w:val="34"/>
    <w:qFormat/>
    <w:rsid w:val="00917FA8"/>
    <w:pPr>
      <w:ind w:left="720"/>
    </w:pPr>
  </w:style>
  <w:style w:type="paragraph" w:customStyle="1" w:styleId="Default">
    <w:name w:val="Default"/>
    <w:rsid w:val="00917FA8"/>
    <w:pPr>
      <w:autoSpaceDE w:val="0"/>
      <w:autoSpaceDN w:val="0"/>
      <w:adjustRightInd w:val="0"/>
    </w:pPr>
    <w:rPr>
      <w:rFonts w:ascii="Verdana" w:hAnsi="Verdana" w:cs="Verdana"/>
      <w:color w:val="000000"/>
      <w:sz w:val="24"/>
      <w:szCs w:val="24"/>
    </w:rPr>
  </w:style>
  <w:style w:type="character" w:styleId="Emphasis">
    <w:name w:val="Emphasis"/>
    <w:basedOn w:val="DefaultParagraphFont"/>
    <w:uiPriority w:val="20"/>
    <w:qFormat/>
    <w:rsid w:val="002A419F"/>
    <w:rPr>
      <w:b/>
      <w:bCs/>
      <w:i w:val="0"/>
      <w:iCs w:val="0"/>
    </w:rPr>
  </w:style>
  <w:style w:type="character" w:customStyle="1" w:styleId="m1">
    <w:name w:val="m1"/>
    <w:basedOn w:val="DefaultParagraphFont"/>
    <w:rsid w:val="000224C5"/>
    <w:rPr>
      <w:color w:val="767676"/>
    </w:rPr>
  </w:style>
  <w:style w:type="character" w:customStyle="1" w:styleId="CommentTextChar">
    <w:name w:val="Comment Text Char"/>
    <w:basedOn w:val="DefaultParagraphFont"/>
    <w:link w:val="CommentText"/>
    <w:uiPriority w:val="99"/>
    <w:semiHidden/>
    <w:rsid w:val="00B86FD1"/>
    <w:rPr>
      <w:rFonts w:ascii="Times New Roman" w:eastAsia="Times New Roman" w:hAnsi="Times New Roman"/>
    </w:rPr>
  </w:style>
  <w:style w:type="paragraph" w:styleId="PlainText">
    <w:name w:val="Plain Text"/>
    <w:basedOn w:val="Normal"/>
    <w:link w:val="PlainTextChar"/>
    <w:uiPriority w:val="99"/>
    <w:unhideWhenUsed/>
    <w:rsid w:val="00D4341A"/>
    <w:rPr>
      <w:rFonts w:ascii="Consolas" w:eastAsia="Calibri" w:hAnsi="Consolas"/>
      <w:sz w:val="21"/>
      <w:szCs w:val="21"/>
    </w:rPr>
  </w:style>
  <w:style w:type="character" w:customStyle="1" w:styleId="PlainTextChar">
    <w:name w:val="Plain Text Char"/>
    <w:basedOn w:val="DefaultParagraphFont"/>
    <w:link w:val="PlainText"/>
    <w:uiPriority w:val="99"/>
    <w:rsid w:val="00D4341A"/>
    <w:rPr>
      <w:rFonts w:ascii="Consolas" w:eastAsia="Calibri" w:hAnsi="Consolas" w:cs="Times New Roman"/>
      <w:sz w:val="21"/>
      <w:szCs w:val="21"/>
    </w:rPr>
  </w:style>
  <w:style w:type="paragraph" w:styleId="Revision">
    <w:name w:val="Revision"/>
    <w:hidden/>
    <w:uiPriority w:val="99"/>
    <w:semiHidden/>
    <w:rsid w:val="000A3A5B"/>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1906D7"/>
    <w:rPr>
      <w:sz w:val="20"/>
      <w:szCs w:val="20"/>
    </w:rPr>
  </w:style>
  <w:style w:type="character" w:customStyle="1" w:styleId="FootnoteTextChar">
    <w:name w:val="Footnote Text Char"/>
    <w:basedOn w:val="DefaultParagraphFont"/>
    <w:link w:val="FootnoteText"/>
    <w:uiPriority w:val="99"/>
    <w:semiHidden/>
    <w:rsid w:val="001906D7"/>
    <w:rPr>
      <w:rFonts w:ascii="Times New Roman" w:eastAsia="Times New Roman" w:hAnsi="Times New Roman"/>
    </w:rPr>
  </w:style>
  <w:style w:type="character" w:styleId="FootnoteReference">
    <w:name w:val="footnote reference"/>
    <w:basedOn w:val="DefaultParagraphFont"/>
    <w:uiPriority w:val="99"/>
    <w:semiHidden/>
    <w:unhideWhenUsed/>
    <w:rsid w:val="001906D7"/>
    <w:rPr>
      <w:vertAlign w:val="superscript"/>
    </w:rPr>
  </w:style>
  <w:style w:type="paragraph" w:styleId="NoSpacing">
    <w:name w:val="No Spacing"/>
    <w:uiPriority w:val="1"/>
    <w:qFormat/>
    <w:rsid w:val="00872663"/>
    <w:rPr>
      <w:rFonts w:ascii="Times New Roman" w:eastAsia="Times New Roman" w:hAnsi="Times New Roman"/>
      <w:sz w:val="24"/>
      <w:szCs w:val="24"/>
    </w:rPr>
  </w:style>
  <w:style w:type="table" w:styleId="TableGrid">
    <w:name w:val="Table Grid"/>
    <w:basedOn w:val="TableNormal"/>
    <w:uiPriority w:val="59"/>
    <w:rsid w:val="00DE73B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78875">
      <w:bodyDiv w:val="1"/>
      <w:marLeft w:val="0"/>
      <w:marRight w:val="0"/>
      <w:marTop w:val="45"/>
      <w:marBottom w:val="45"/>
      <w:divBdr>
        <w:top w:val="none" w:sz="0" w:space="0" w:color="auto"/>
        <w:left w:val="none" w:sz="0" w:space="0" w:color="auto"/>
        <w:bottom w:val="none" w:sz="0" w:space="0" w:color="auto"/>
        <w:right w:val="none" w:sz="0" w:space="0" w:color="auto"/>
      </w:divBdr>
      <w:divsChild>
        <w:div w:id="982201107">
          <w:marLeft w:val="0"/>
          <w:marRight w:val="0"/>
          <w:marTop w:val="0"/>
          <w:marBottom w:val="0"/>
          <w:divBdr>
            <w:top w:val="none" w:sz="0" w:space="0" w:color="auto"/>
            <w:left w:val="none" w:sz="0" w:space="0" w:color="auto"/>
            <w:bottom w:val="none" w:sz="0" w:space="0" w:color="auto"/>
            <w:right w:val="none" w:sz="0" w:space="0" w:color="auto"/>
          </w:divBdr>
          <w:divsChild>
            <w:div w:id="445469336">
              <w:marLeft w:val="0"/>
              <w:marRight w:val="0"/>
              <w:marTop w:val="0"/>
              <w:marBottom w:val="0"/>
              <w:divBdr>
                <w:top w:val="none" w:sz="0" w:space="0" w:color="auto"/>
                <w:left w:val="none" w:sz="0" w:space="0" w:color="auto"/>
                <w:bottom w:val="none" w:sz="0" w:space="0" w:color="auto"/>
                <w:right w:val="none" w:sz="0" w:space="0" w:color="auto"/>
              </w:divBdr>
              <w:divsChild>
                <w:div w:id="1712529841">
                  <w:marLeft w:val="0"/>
                  <w:marRight w:val="0"/>
                  <w:marTop w:val="0"/>
                  <w:marBottom w:val="0"/>
                  <w:divBdr>
                    <w:top w:val="none" w:sz="0" w:space="0" w:color="auto"/>
                    <w:left w:val="none" w:sz="0" w:space="0" w:color="auto"/>
                    <w:bottom w:val="none" w:sz="0" w:space="0" w:color="auto"/>
                    <w:right w:val="none" w:sz="0" w:space="0" w:color="auto"/>
                  </w:divBdr>
                  <w:divsChild>
                    <w:div w:id="2122989011">
                      <w:marLeft w:val="0"/>
                      <w:marRight w:val="0"/>
                      <w:marTop w:val="0"/>
                      <w:marBottom w:val="0"/>
                      <w:divBdr>
                        <w:top w:val="none" w:sz="0" w:space="0" w:color="auto"/>
                        <w:left w:val="none" w:sz="0" w:space="0" w:color="auto"/>
                        <w:bottom w:val="none" w:sz="0" w:space="0" w:color="auto"/>
                        <w:right w:val="none" w:sz="0" w:space="0" w:color="auto"/>
                      </w:divBdr>
                      <w:divsChild>
                        <w:div w:id="156503711">
                          <w:marLeft w:val="0"/>
                          <w:marRight w:val="0"/>
                          <w:marTop w:val="0"/>
                          <w:marBottom w:val="0"/>
                          <w:divBdr>
                            <w:top w:val="none" w:sz="0" w:space="0" w:color="auto"/>
                            <w:left w:val="none" w:sz="0" w:space="0" w:color="auto"/>
                            <w:bottom w:val="none" w:sz="0" w:space="0" w:color="auto"/>
                            <w:right w:val="none" w:sz="0" w:space="0" w:color="auto"/>
                          </w:divBdr>
                          <w:divsChild>
                            <w:div w:id="307825581">
                              <w:marLeft w:val="2385"/>
                              <w:marRight w:val="3960"/>
                              <w:marTop w:val="0"/>
                              <w:marBottom w:val="0"/>
                              <w:divBdr>
                                <w:top w:val="none" w:sz="0" w:space="0" w:color="auto"/>
                                <w:left w:val="single" w:sz="6" w:space="0" w:color="D3E1F9"/>
                                <w:bottom w:val="none" w:sz="0" w:space="0" w:color="auto"/>
                                <w:right w:val="none" w:sz="0" w:space="0" w:color="auto"/>
                              </w:divBdr>
                              <w:divsChild>
                                <w:div w:id="308902898">
                                  <w:marLeft w:val="0"/>
                                  <w:marRight w:val="0"/>
                                  <w:marTop w:val="0"/>
                                  <w:marBottom w:val="0"/>
                                  <w:divBdr>
                                    <w:top w:val="none" w:sz="0" w:space="0" w:color="auto"/>
                                    <w:left w:val="none" w:sz="0" w:space="0" w:color="auto"/>
                                    <w:bottom w:val="none" w:sz="0" w:space="0" w:color="auto"/>
                                    <w:right w:val="none" w:sz="0" w:space="0" w:color="auto"/>
                                  </w:divBdr>
                                  <w:divsChild>
                                    <w:div w:id="178394644">
                                      <w:marLeft w:val="0"/>
                                      <w:marRight w:val="0"/>
                                      <w:marTop w:val="0"/>
                                      <w:marBottom w:val="0"/>
                                      <w:divBdr>
                                        <w:top w:val="none" w:sz="0" w:space="0" w:color="auto"/>
                                        <w:left w:val="none" w:sz="0" w:space="0" w:color="auto"/>
                                        <w:bottom w:val="none" w:sz="0" w:space="0" w:color="auto"/>
                                        <w:right w:val="none" w:sz="0" w:space="0" w:color="auto"/>
                                      </w:divBdr>
                                      <w:divsChild>
                                        <w:div w:id="12794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000382">
      <w:bodyDiv w:val="1"/>
      <w:marLeft w:val="0"/>
      <w:marRight w:val="0"/>
      <w:marTop w:val="0"/>
      <w:marBottom w:val="0"/>
      <w:divBdr>
        <w:top w:val="none" w:sz="0" w:space="0" w:color="auto"/>
        <w:left w:val="none" w:sz="0" w:space="0" w:color="auto"/>
        <w:bottom w:val="none" w:sz="0" w:space="0" w:color="auto"/>
        <w:right w:val="none" w:sz="0" w:space="0" w:color="auto"/>
      </w:divBdr>
    </w:div>
    <w:div w:id="1307517164">
      <w:bodyDiv w:val="1"/>
      <w:marLeft w:val="0"/>
      <w:marRight w:val="0"/>
      <w:marTop w:val="45"/>
      <w:marBottom w:val="45"/>
      <w:divBdr>
        <w:top w:val="none" w:sz="0" w:space="0" w:color="auto"/>
        <w:left w:val="none" w:sz="0" w:space="0" w:color="auto"/>
        <w:bottom w:val="none" w:sz="0" w:space="0" w:color="auto"/>
        <w:right w:val="none" w:sz="0" w:space="0" w:color="auto"/>
      </w:divBdr>
      <w:divsChild>
        <w:div w:id="753551207">
          <w:marLeft w:val="0"/>
          <w:marRight w:val="0"/>
          <w:marTop w:val="0"/>
          <w:marBottom w:val="0"/>
          <w:divBdr>
            <w:top w:val="none" w:sz="0" w:space="0" w:color="auto"/>
            <w:left w:val="none" w:sz="0" w:space="0" w:color="auto"/>
            <w:bottom w:val="none" w:sz="0" w:space="0" w:color="auto"/>
            <w:right w:val="none" w:sz="0" w:space="0" w:color="auto"/>
          </w:divBdr>
          <w:divsChild>
            <w:div w:id="1456827904">
              <w:marLeft w:val="0"/>
              <w:marRight w:val="0"/>
              <w:marTop w:val="0"/>
              <w:marBottom w:val="0"/>
              <w:divBdr>
                <w:top w:val="none" w:sz="0" w:space="0" w:color="auto"/>
                <w:left w:val="none" w:sz="0" w:space="0" w:color="auto"/>
                <w:bottom w:val="none" w:sz="0" w:space="0" w:color="auto"/>
                <w:right w:val="none" w:sz="0" w:space="0" w:color="auto"/>
              </w:divBdr>
              <w:divsChild>
                <w:div w:id="210384018">
                  <w:marLeft w:val="0"/>
                  <w:marRight w:val="0"/>
                  <w:marTop w:val="0"/>
                  <w:marBottom w:val="0"/>
                  <w:divBdr>
                    <w:top w:val="none" w:sz="0" w:space="0" w:color="auto"/>
                    <w:left w:val="none" w:sz="0" w:space="0" w:color="auto"/>
                    <w:bottom w:val="none" w:sz="0" w:space="0" w:color="auto"/>
                    <w:right w:val="none" w:sz="0" w:space="0" w:color="auto"/>
                  </w:divBdr>
                  <w:divsChild>
                    <w:div w:id="1328240736">
                      <w:marLeft w:val="0"/>
                      <w:marRight w:val="0"/>
                      <w:marTop w:val="0"/>
                      <w:marBottom w:val="0"/>
                      <w:divBdr>
                        <w:top w:val="none" w:sz="0" w:space="0" w:color="auto"/>
                        <w:left w:val="none" w:sz="0" w:space="0" w:color="auto"/>
                        <w:bottom w:val="none" w:sz="0" w:space="0" w:color="auto"/>
                        <w:right w:val="none" w:sz="0" w:space="0" w:color="auto"/>
                      </w:divBdr>
                      <w:divsChild>
                        <w:div w:id="2142336587">
                          <w:marLeft w:val="0"/>
                          <w:marRight w:val="0"/>
                          <w:marTop w:val="0"/>
                          <w:marBottom w:val="0"/>
                          <w:divBdr>
                            <w:top w:val="none" w:sz="0" w:space="0" w:color="auto"/>
                            <w:left w:val="none" w:sz="0" w:space="0" w:color="auto"/>
                            <w:bottom w:val="none" w:sz="0" w:space="0" w:color="auto"/>
                            <w:right w:val="none" w:sz="0" w:space="0" w:color="auto"/>
                          </w:divBdr>
                          <w:divsChild>
                            <w:div w:id="1286616278">
                              <w:marLeft w:val="2385"/>
                              <w:marRight w:val="3960"/>
                              <w:marTop w:val="0"/>
                              <w:marBottom w:val="0"/>
                              <w:divBdr>
                                <w:top w:val="none" w:sz="0" w:space="0" w:color="auto"/>
                                <w:left w:val="single" w:sz="6" w:space="0" w:color="D3E1F9"/>
                                <w:bottom w:val="none" w:sz="0" w:space="0" w:color="auto"/>
                                <w:right w:val="none" w:sz="0" w:space="0" w:color="auto"/>
                              </w:divBdr>
                              <w:divsChild>
                                <w:div w:id="1415784646">
                                  <w:marLeft w:val="0"/>
                                  <w:marRight w:val="0"/>
                                  <w:marTop w:val="0"/>
                                  <w:marBottom w:val="0"/>
                                  <w:divBdr>
                                    <w:top w:val="none" w:sz="0" w:space="0" w:color="auto"/>
                                    <w:left w:val="none" w:sz="0" w:space="0" w:color="auto"/>
                                    <w:bottom w:val="none" w:sz="0" w:space="0" w:color="auto"/>
                                    <w:right w:val="none" w:sz="0" w:space="0" w:color="auto"/>
                                  </w:divBdr>
                                  <w:divsChild>
                                    <w:div w:id="544828846">
                                      <w:marLeft w:val="0"/>
                                      <w:marRight w:val="0"/>
                                      <w:marTop w:val="0"/>
                                      <w:marBottom w:val="0"/>
                                      <w:divBdr>
                                        <w:top w:val="none" w:sz="0" w:space="0" w:color="auto"/>
                                        <w:left w:val="none" w:sz="0" w:space="0" w:color="auto"/>
                                        <w:bottom w:val="none" w:sz="0" w:space="0" w:color="auto"/>
                                        <w:right w:val="none" w:sz="0" w:space="0" w:color="auto"/>
                                      </w:divBdr>
                                      <w:divsChild>
                                        <w:div w:id="10795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0328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E8A5F-2A7C-4657-B720-15465A75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Outline - Sample</vt:lpstr>
    </vt:vector>
  </TitlesOfParts>
  <Company>WHS</Company>
  <LinksUpToDate>false</LinksUpToDate>
  <CharactersWithSpaces>16662</CharactersWithSpaces>
  <SharedDoc>false</SharedDoc>
  <HLinks>
    <vt:vector size="6" baseType="variant">
      <vt:variant>
        <vt:i4>2097208</vt:i4>
      </vt:variant>
      <vt:variant>
        <vt:i4>0</vt:i4>
      </vt:variant>
      <vt:variant>
        <vt:i4>0</vt:i4>
      </vt:variant>
      <vt:variant>
        <vt:i4>5</vt:i4>
      </vt:variant>
      <vt:variant>
        <vt:lpwstr>http://cio-nii.defense.gov/docs/DIB CS-IA PIA_FINAL_signed_30jun2011_VMSS_GGMR_RC.pdf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Outline - Sample</dc:title>
  <dc:creator>Patricia Toppings</dc:creator>
  <cp:lastModifiedBy>Patricia Toppings</cp:lastModifiedBy>
  <cp:revision>5</cp:revision>
  <cp:lastPrinted>2013-01-22T20:57:00Z</cp:lastPrinted>
  <dcterms:created xsi:type="dcterms:W3CDTF">2013-02-01T15:57:00Z</dcterms:created>
  <dcterms:modified xsi:type="dcterms:W3CDTF">2013-11-01T19:28:00Z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