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621" w:rsidRPr="009432E6"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9432E6">
        <w:rPr>
          <w:rFonts w:ascii="Helvetica" w:hAnsi="Helvetica"/>
          <w:b/>
          <w:sz w:val="28"/>
        </w:rPr>
        <w:t>Supporting Statement for Paperwork Reduction Act Submissions</w:t>
      </w:r>
    </w:p>
    <w:p w:rsidR="00A1361D" w:rsidRPr="00A1361D" w:rsidRDefault="009220B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sidRPr="00A1361D">
        <w:rPr>
          <w:rFonts w:ascii="Helvetica" w:hAnsi="Helvetica"/>
          <w:b/>
        </w:rPr>
        <w:t>HUD 92541 Builder’s Certification, HUD 935.2</w:t>
      </w:r>
      <w:r w:rsidR="00E939D0" w:rsidRPr="00A1361D">
        <w:rPr>
          <w:rFonts w:ascii="Helvetica" w:hAnsi="Helvetica"/>
          <w:b/>
        </w:rPr>
        <w:t xml:space="preserve">, </w:t>
      </w:r>
      <w:r w:rsidR="004F0578" w:rsidRPr="00A1361D">
        <w:rPr>
          <w:rFonts w:ascii="Helvetica" w:hAnsi="Helvetica"/>
          <w:b/>
        </w:rPr>
        <w:t>HUD 92544</w:t>
      </w:r>
      <w:r w:rsidR="00A1361D" w:rsidRPr="00A1361D">
        <w:rPr>
          <w:rFonts w:ascii="Helvetica" w:hAnsi="Helvetica"/>
          <w:b/>
        </w:rPr>
        <w:t xml:space="preserve">, </w:t>
      </w:r>
      <w:r w:rsidR="00A50E97">
        <w:rPr>
          <w:rFonts w:ascii="Helvetica" w:hAnsi="Helvetica" w:cs="Arial"/>
          <w:b/>
          <w:color w:val="7030A0"/>
        </w:rPr>
        <w:t>Project Certification (96017</w:t>
      </w:r>
      <w:r w:rsidR="00A1361D" w:rsidRPr="00A1361D">
        <w:rPr>
          <w:rFonts w:ascii="Helvetica" w:hAnsi="Helvetica" w:cs="Arial"/>
          <w:b/>
          <w:color w:val="7030A0"/>
        </w:rPr>
        <w:t xml:space="preserve">), </w:t>
      </w:r>
      <w:r w:rsidR="00A50E97">
        <w:rPr>
          <w:rFonts w:ascii="Helvetica" w:hAnsi="Helvetica" w:cs="Arial"/>
          <w:b/>
          <w:color w:val="7030A0"/>
        </w:rPr>
        <w:t>Loan Level Certification (96018</w:t>
      </w:r>
      <w:r w:rsidR="00A1361D" w:rsidRPr="00A1361D">
        <w:rPr>
          <w:rFonts w:ascii="Helvetica" w:hAnsi="Helvetica" w:cs="Arial"/>
          <w:b/>
          <w:color w:val="7030A0"/>
        </w:rPr>
        <w:t>)</w:t>
      </w:r>
      <w:r w:rsidR="00A50E97">
        <w:rPr>
          <w:rFonts w:ascii="Helvetica" w:hAnsi="Helvetica" w:cs="Arial"/>
          <w:b/>
          <w:color w:val="7030A0"/>
        </w:rPr>
        <w:t>, Pre-Sale Certification (96019</w:t>
      </w:r>
      <w:r w:rsidR="00A1361D" w:rsidRPr="00A1361D">
        <w:rPr>
          <w:rFonts w:ascii="Helvetica" w:hAnsi="Helvetica" w:cs="Arial"/>
          <w:b/>
          <w:color w:val="7030A0"/>
        </w:rPr>
        <w:t xml:space="preserve">), Condominium Project Approval Cover </w:t>
      </w:r>
      <w:r w:rsidR="00A50E97">
        <w:rPr>
          <w:rFonts w:ascii="Helvetica" w:hAnsi="Helvetica" w:cs="Arial"/>
          <w:b/>
          <w:color w:val="7030A0"/>
        </w:rPr>
        <w:t>Document/Checklist (96027</w:t>
      </w:r>
      <w:r w:rsidR="00A1361D" w:rsidRPr="00A1361D">
        <w:rPr>
          <w:rFonts w:ascii="Helvetica" w:hAnsi="Helvetica" w:cs="Arial"/>
          <w:b/>
          <w:color w:val="7030A0"/>
        </w:rPr>
        <w:t>), Condominium Proj</w:t>
      </w:r>
      <w:r w:rsidR="00A50E97">
        <w:rPr>
          <w:rFonts w:ascii="Helvetica" w:hAnsi="Helvetica" w:cs="Arial"/>
          <w:b/>
          <w:color w:val="7030A0"/>
        </w:rPr>
        <w:t>ect Annexation Checklist (96028), Condominium Rider (96029</w:t>
      </w:r>
      <w:r w:rsidR="00A1361D" w:rsidRPr="00A1361D">
        <w:rPr>
          <w:rFonts w:ascii="Helvetica" w:hAnsi="Helvetica" w:cs="Arial"/>
          <w:b/>
          <w:color w:val="7030A0"/>
        </w:rPr>
        <w:t>)</w:t>
      </w:r>
    </w:p>
    <w:p w:rsidR="004F0578" w:rsidRPr="009432E6" w:rsidRDefault="004F057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p>
    <w:p w:rsidR="00E87621" w:rsidRPr="009432E6"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8"/>
          <w:szCs w:val="28"/>
        </w:rPr>
      </w:pPr>
      <w:r w:rsidRPr="009432E6">
        <w:rPr>
          <w:b/>
          <w:sz w:val="28"/>
          <w:szCs w:val="28"/>
        </w:rPr>
        <w:t xml:space="preserve">A. </w:t>
      </w:r>
      <w:r w:rsidRPr="009432E6">
        <w:rPr>
          <w:b/>
          <w:sz w:val="28"/>
          <w:szCs w:val="28"/>
        </w:rPr>
        <w:tab/>
        <w:t>Justification</w:t>
      </w:r>
    </w:p>
    <w:p w:rsidR="00E87621" w:rsidRPr="009432E6"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8"/>
          <w:szCs w:val="28"/>
        </w:rPr>
      </w:pPr>
    </w:p>
    <w:p w:rsidR="001D514A" w:rsidRPr="009432E6" w:rsidRDefault="001D514A" w:rsidP="001D514A">
      <w:pPr>
        <w:pStyle w:val="ListParagraph"/>
        <w:numPr>
          <w:ilvl w:val="0"/>
          <w:numId w:val="35"/>
        </w:numPr>
        <w:tabs>
          <w:tab w:val="left" w:pos="360"/>
          <w:tab w:val="left" w:pos="720"/>
        </w:tabs>
      </w:pPr>
      <w:r w:rsidRPr="009432E6">
        <w:t>The Housing and Economic Recovery Act of 2008 (HERA) moved the insurance of a single condominium unit from Section 234 to Section 203 of the National Housing Act (NHA) with the exception of those units that will be insured in a condominium project that is insured under FHA blanket mortgage insurance.  Due the required legislative change, it is important that all condominium collection requirements be included under one collection number; thus, the development of this collection action.</w:t>
      </w:r>
    </w:p>
    <w:p w:rsidR="001D514A" w:rsidRPr="009432E6" w:rsidRDefault="001D514A" w:rsidP="001D514A">
      <w:pPr>
        <w:pStyle w:val="ListParagraph"/>
        <w:tabs>
          <w:tab w:val="left" w:pos="360"/>
          <w:tab w:val="left" w:pos="720"/>
        </w:tabs>
      </w:pPr>
    </w:p>
    <w:p w:rsidR="001D514A" w:rsidRPr="009432E6" w:rsidRDefault="00362E52" w:rsidP="001D514A">
      <w:pPr>
        <w:pStyle w:val="ListParagraph"/>
        <w:numPr>
          <w:ilvl w:val="0"/>
          <w:numId w:val="35"/>
        </w:numPr>
        <w:tabs>
          <w:tab w:val="left" w:pos="360"/>
          <w:tab w:val="left" w:pos="720"/>
        </w:tabs>
      </w:pPr>
      <w:r w:rsidRPr="009432E6">
        <w:t>FHA</w:t>
      </w:r>
      <w:r w:rsidR="004B334D" w:rsidRPr="009432E6">
        <w:t xml:space="preserve"> insures mortgages made on </w:t>
      </w:r>
      <w:r w:rsidRPr="009432E6">
        <w:t xml:space="preserve">a </w:t>
      </w:r>
      <w:r w:rsidR="004B334D" w:rsidRPr="009432E6">
        <w:t xml:space="preserve">single unit within </w:t>
      </w:r>
      <w:r w:rsidRPr="009432E6">
        <w:t xml:space="preserve">approved condominium projects.  FHA </w:t>
      </w:r>
      <w:r w:rsidR="004B334D" w:rsidRPr="009432E6">
        <w:t xml:space="preserve">requires that the condominium project in which a unit is located be approved because the financial viability of a project can impact the </w:t>
      </w:r>
      <w:r w:rsidRPr="009432E6">
        <w:t xml:space="preserve">stability of the project and the single unit insurance </w:t>
      </w:r>
      <w:r w:rsidR="004B334D" w:rsidRPr="009432E6">
        <w:t xml:space="preserve">and pose a risk to the </w:t>
      </w:r>
      <w:r w:rsidRPr="009432E6">
        <w:t xml:space="preserve">Mutual Mortgage </w:t>
      </w:r>
      <w:r w:rsidR="004B334D" w:rsidRPr="009432E6">
        <w:t>Insurance</w:t>
      </w:r>
      <w:r w:rsidRPr="009432E6">
        <w:t xml:space="preserve"> (MMI)</w:t>
      </w:r>
      <w:r w:rsidR="004B334D" w:rsidRPr="009432E6">
        <w:t xml:space="preserve"> fund.  </w:t>
      </w:r>
      <w:r w:rsidR="002C42C8" w:rsidRPr="009432E6">
        <w:t>Over a period of time</w:t>
      </w:r>
      <w:r w:rsidRPr="009432E6">
        <w:t>,</w:t>
      </w:r>
      <w:r w:rsidR="002C42C8" w:rsidRPr="009432E6">
        <w:t xml:space="preserve"> </w:t>
      </w:r>
      <w:r w:rsidRPr="009432E6">
        <w:t>FHA</w:t>
      </w:r>
      <w:r w:rsidR="002C42C8" w:rsidRPr="009432E6">
        <w:t xml:space="preserve"> has developed a set of documents that are critical for the evaluation of the financial viability </w:t>
      </w:r>
      <w:r w:rsidRPr="009432E6">
        <w:t xml:space="preserve">and stability </w:t>
      </w:r>
      <w:r w:rsidR="002C42C8" w:rsidRPr="009432E6">
        <w:t>of individual condominium projects</w:t>
      </w:r>
      <w:r w:rsidR="004F0578" w:rsidRPr="009432E6">
        <w:t>.  T</w:t>
      </w:r>
      <w:r w:rsidR="002C42C8" w:rsidRPr="009432E6">
        <w:t>hese documents are produced in the general course of business for Home</w:t>
      </w:r>
      <w:r w:rsidRPr="009432E6">
        <w:t>owners</w:t>
      </w:r>
      <w:r w:rsidR="002C42C8" w:rsidRPr="009432E6">
        <w:t xml:space="preserve"> Associations</w:t>
      </w:r>
      <w:r w:rsidRPr="009432E6">
        <w:t xml:space="preserve">, </w:t>
      </w:r>
      <w:r w:rsidR="002C42C8" w:rsidRPr="009432E6">
        <w:t>Developers</w:t>
      </w:r>
      <w:r w:rsidRPr="009432E6">
        <w:t xml:space="preserve"> and Builders</w:t>
      </w:r>
      <w:r w:rsidR="002C42C8" w:rsidRPr="009432E6">
        <w:t>.</w:t>
      </w:r>
    </w:p>
    <w:p w:rsidR="001D514A" w:rsidRPr="009432E6" w:rsidRDefault="001D514A" w:rsidP="001D514A">
      <w:pPr>
        <w:pStyle w:val="ListParagraph"/>
      </w:pPr>
    </w:p>
    <w:p w:rsidR="001D514A" w:rsidRPr="009432E6" w:rsidRDefault="001D514A" w:rsidP="001D514A">
      <w:pPr>
        <w:pStyle w:val="ListParagraph"/>
        <w:tabs>
          <w:tab w:val="left" w:pos="360"/>
          <w:tab w:val="left" w:pos="720"/>
        </w:tabs>
      </w:pPr>
      <w:r w:rsidRPr="009432E6">
        <w:t>The information will be used by FHA to support condominium project and single unit loan approvals.  To support the approvals, it is necessary that FHA collect certain documents and data to properly analyze the project stability, support the loan approval and reduce the risk to the MMI fund.</w:t>
      </w:r>
    </w:p>
    <w:p w:rsidR="004B334D" w:rsidRPr="009432E6" w:rsidRDefault="004B334D" w:rsidP="004B334D">
      <w:pPr>
        <w:tabs>
          <w:tab w:val="left" w:pos="720"/>
        </w:tabs>
      </w:pPr>
    </w:p>
    <w:p w:rsidR="002C42C8" w:rsidRPr="009432E6" w:rsidRDefault="002C42C8" w:rsidP="00F90D34">
      <w:pPr>
        <w:tabs>
          <w:tab w:val="left" w:pos="360"/>
          <w:tab w:val="left" w:pos="720"/>
        </w:tabs>
        <w:ind w:left="360"/>
      </w:pPr>
      <w:r w:rsidRPr="009432E6">
        <w:t>Th</w:t>
      </w:r>
      <w:r w:rsidR="00072659" w:rsidRPr="009432E6">
        <w:t>is</w:t>
      </w:r>
      <w:r w:rsidRPr="009432E6">
        <w:t xml:space="preserve"> collection includes documents that have been typically collected by </w:t>
      </w:r>
      <w:r w:rsidR="00072659" w:rsidRPr="009432E6">
        <w:t>FHA</w:t>
      </w:r>
      <w:r w:rsidRPr="009432E6">
        <w:t xml:space="preserve"> under other collections, including forms that are being discontinued</w:t>
      </w:r>
      <w:r w:rsidR="004B334D" w:rsidRPr="009432E6">
        <w:t>.  I</w:t>
      </w:r>
      <w:r w:rsidRPr="009432E6">
        <w:t>nformation formerly collected on forms</w:t>
      </w:r>
      <w:r w:rsidR="00072659" w:rsidRPr="009432E6">
        <w:t xml:space="preserve"> that are being discontinued </w:t>
      </w:r>
      <w:r w:rsidRPr="009432E6">
        <w:t>will continue to be collected in other documents.  This collection combines several collections</w:t>
      </w:r>
      <w:r w:rsidR="004B334D" w:rsidRPr="009432E6">
        <w:t xml:space="preserve"> and additional required documents </w:t>
      </w:r>
      <w:r w:rsidRPr="009432E6">
        <w:t xml:space="preserve">into one </w:t>
      </w:r>
      <w:r w:rsidR="004B334D" w:rsidRPr="009432E6">
        <w:t xml:space="preserve">collection </w:t>
      </w:r>
      <w:r w:rsidRPr="009432E6">
        <w:t xml:space="preserve">that addresses all documents required for condominium </w:t>
      </w:r>
      <w:r w:rsidR="004B334D" w:rsidRPr="009432E6">
        <w:t xml:space="preserve">project </w:t>
      </w:r>
      <w:r w:rsidRPr="009432E6">
        <w:t>approval</w:t>
      </w:r>
      <w:r w:rsidR="00072659" w:rsidRPr="009432E6">
        <w:t xml:space="preserve"> or an individual single unit condominium loan approval</w:t>
      </w:r>
      <w:r w:rsidRPr="009432E6">
        <w:t>.</w:t>
      </w:r>
    </w:p>
    <w:p w:rsidR="002C42C8" w:rsidRPr="009432E6" w:rsidRDefault="002C42C8" w:rsidP="002C42C8">
      <w:pPr>
        <w:pStyle w:val="ListParagraph"/>
        <w:tabs>
          <w:tab w:val="left" w:pos="360"/>
          <w:tab w:val="left" w:pos="720"/>
        </w:tabs>
        <w:ind w:left="360"/>
      </w:pPr>
    </w:p>
    <w:p w:rsidR="002C42C8" w:rsidRPr="009432E6" w:rsidRDefault="00072659" w:rsidP="002C42C8">
      <w:pPr>
        <w:pStyle w:val="ListParagraph"/>
        <w:tabs>
          <w:tab w:val="left" w:pos="360"/>
          <w:tab w:val="left" w:pos="720"/>
        </w:tabs>
        <w:ind w:left="360"/>
      </w:pPr>
      <w:r w:rsidRPr="009432E6">
        <w:t>FHA</w:t>
      </w:r>
      <w:r w:rsidR="002C42C8" w:rsidRPr="009432E6">
        <w:t xml:space="preserve"> requires </w:t>
      </w:r>
      <w:r w:rsidRPr="009432E6">
        <w:t xml:space="preserve">submission of </w:t>
      </w:r>
      <w:r w:rsidR="002C42C8" w:rsidRPr="009432E6">
        <w:t xml:space="preserve">different documents depending on the stage of development of the condominium project.  </w:t>
      </w:r>
      <w:r w:rsidRPr="009432E6">
        <w:t>FHA</w:t>
      </w:r>
      <w:r w:rsidR="002C42C8" w:rsidRPr="009432E6">
        <w:t xml:space="preserve"> has specific documents defined for:</w:t>
      </w:r>
    </w:p>
    <w:p w:rsidR="00072659" w:rsidRPr="009432E6" w:rsidRDefault="00072659" w:rsidP="002C42C8">
      <w:pPr>
        <w:pStyle w:val="ListParagraph"/>
        <w:tabs>
          <w:tab w:val="left" w:pos="360"/>
          <w:tab w:val="left" w:pos="720"/>
        </w:tabs>
        <w:ind w:left="360"/>
      </w:pPr>
    </w:p>
    <w:p w:rsidR="0094761C" w:rsidRPr="009432E6" w:rsidRDefault="0094761C" w:rsidP="0094761C">
      <w:pPr>
        <w:pStyle w:val="ListParagraph"/>
        <w:numPr>
          <w:ilvl w:val="0"/>
          <w:numId w:val="21"/>
        </w:numPr>
        <w:tabs>
          <w:tab w:val="left" w:pos="360"/>
          <w:tab w:val="left" w:pos="720"/>
        </w:tabs>
      </w:pPr>
      <w:r w:rsidRPr="009432E6">
        <w:t xml:space="preserve">Existing properties </w:t>
      </w:r>
    </w:p>
    <w:p w:rsidR="002C42C8" w:rsidRPr="009432E6" w:rsidRDefault="00072659" w:rsidP="002C42C8">
      <w:pPr>
        <w:pStyle w:val="ListParagraph"/>
        <w:numPr>
          <w:ilvl w:val="0"/>
          <w:numId w:val="21"/>
        </w:numPr>
        <w:tabs>
          <w:tab w:val="left" w:pos="360"/>
          <w:tab w:val="left" w:pos="720"/>
        </w:tabs>
      </w:pPr>
      <w:r w:rsidRPr="009432E6">
        <w:t xml:space="preserve">Proposed; under construction; newly completed projects less than 12 months old; annexations of additional units; or condominium </w:t>
      </w:r>
      <w:r w:rsidR="004B334D" w:rsidRPr="009432E6">
        <w:t>gut-rehabilitation</w:t>
      </w:r>
      <w:r w:rsidRPr="009432E6">
        <w:t xml:space="preserve"> conversion</w:t>
      </w:r>
      <w:r w:rsidR="004B334D" w:rsidRPr="009432E6">
        <w:t xml:space="preserve"> project</w:t>
      </w:r>
      <w:r w:rsidRPr="009432E6">
        <w:t>s</w:t>
      </w:r>
      <w:r w:rsidR="004B334D" w:rsidRPr="009432E6">
        <w:t xml:space="preserve"> </w:t>
      </w:r>
    </w:p>
    <w:p w:rsidR="00072659" w:rsidRPr="009432E6" w:rsidRDefault="002C42C8" w:rsidP="00072659">
      <w:pPr>
        <w:pStyle w:val="ListParagraph"/>
        <w:numPr>
          <w:ilvl w:val="0"/>
          <w:numId w:val="21"/>
        </w:numPr>
        <w:tabs>
          <w:tab w:val="left" w:pos="360"/>
          <w:tab w:val="left" w:pos="720"/>
        </w:tabs>
      </w:pPr>
      <w:r w:rsidRPr="009432E6">
        <w:t>Change in ownership</w:t>
      </w:r>
      <w:r w:rsidR="00072659" w:rsidRPr="009432E6">
        <w:t xml:space="preserve">; projects with completed foreclosure actions; projects with completed bankruptcy actions; projects in or with completed receivership actions; </w:t>
      </w:r>
      <w:r w:rsidRPr="009432E6">
        <w:t xml:space="preserve">or </w:t>
      </w:r>
      <w:r w:rsidR="00072659" w:rsidRPr="009432E6">
        <w:t xml:space="preserve">those projects for </w:t>
      </w:r>
      <w:r w:rsidRPr="009432E6">
        <w:t>which there has been a sale</w:t>
      </w:r>
    </w:p>
    <w:p w:rsidR="00072659" w:rsidRPr="009432E6" w:rsidRDefault="002C42C8" w:rsidP="00072659">
      <w:pPr>
        <w:pStyle w:val="ListParagraph"/>
        <w:numPr>
          <w:ilvl w:val="0"/>
          <w:numId w:val="21"/>
        </w:numPr>
        <w:tabs>
          <w:tab w:val="left" w:pos="360"/>
          <w:tab w:val="left" w:pos="720"/>
        </w:tabs>
      </w:pPr>
      <w:r w:rsidRPr="009432E6">
        <w:t>Affordable housing</w:t>
      </w:r>
      <w:r w:rsidR="00072659" w:rsidRPr="009432E6">
        <w:t>; or rent controlled projects</w:t>
      </w:r>
    </w:p>
    <w:p w:rsidR="00072659" w:rsidRPr="009432E6" w:rsidRDefault="00072659" w:rsidP="00072659">
      <w:pPr>
        <w:tabs>
          <w:tab w:val="left" w:pos="360"/>
          <w:tab w:val="left" w:pos="720"/>
        </w:tabs>
      </w:pPr>
    </w:p>
    <w:p w:rsidR="002C42C8" w:rsidRPr="009432E6" w:rsidRDefault="006B5DE6" w:rsidP="00072659">
      <w:pPr>
        <w:tabs>
          <w:tab w:val="left" w:pos="360"/>
          <w:tab w:val="left" w:pos="720"/>
        </w:tabs>
        <w:ind w:left="360"/>
      </w:pPr>
      <w:r w:rsidRPr="009432E6">
        <w:t xml:space="preserve">Although there are several new documents </w:t>
      </w:r>
      <w:r w:rsidR="00072659" w:rsidRPr="009432E6">
        <w:t>FHA</w:t>
      </w:r>
      <w:r w:rsidRPr="009432E6">
        <w:t xml:space="preserve"> will be collecting most are </w:t>
      </w:r>
      <w:r w:rsidR="007A1B97" w:rsidRPr="009432E6">
        <w:t xml:space="preserve">considered </w:t>
      </w:r>
      <w:r w:rsidR="002C42C8" w:rsidRPr="009432E6">
        <w:t>industry standard</w:t>
      </w:r>
      <w:r w:rsidR="007A1B97" w:rsidRPr="009432E6">
        <w:t xml:space="preserve">.  </w:t>
      </w:r>
      <w:r w:rsidR="002C42C8" w:rsidRPr="009432E6">
        <w:t xml:space="preserve"> </w:t>
      </w:r>
      <w:r w:rsidR="007A1B97" w:rsidRPr="009432E6">
        <w:t xml:space="preserve">The </w:t>
      </w:r>
      <w:r w:rsidRPr="009432E6">
        <w:t>Government Sponsored Enterprises (GSEs)</w:t>
      </w:r>
      <w:r w:rsidR="007A1B97" w:rsidRPr="009432E6">
        <w:t xml:space="preserve">, Fannie Mae and Freddie Mac, </w:t>
      </w:r>
      <w:r w:rsidRPr="009432E6">
        <w:t xml:space="preserve">and the Veteran’s Administration (VA) require </w:t>
      </w:r>
      <w:r w:rsidR="002C42C8" w:rsidRPr="009432E6">
        <w:t>similar documents to be provided for review</w:t>
      </w:r>
      <w:r w:rsidR="007A1B97" w:rsidRPr="009432E6">
        <w:t xml:space="preserve">.  However, there are differences in </w:t>
      </w:r>
      <w:r w:rsidRPr="009432E6">
        <w:t xml:space="preserve">some of the standards by which the GSE’s and the VA evaluate the </w:t>
      </w:r>
      <w:r w:rsidR="001A425A" w:rsidRPr="009432E6">
        <w:t>financial viability</w:t>
      </w:r>
      <w:r w:rsidR="007A1B97" w:rsidRPr="009432E6">
        <w:t xml:space="preserve"> and stability</w:t>
      </w:r>
      <w:r w:rsidR="001A425A" w:rsidRPr="009432E6">
        <w:t xml:space="preserve"> of the project</w:t>
      </w:r>
      <w:r w:rsidR="002C42C8" w:rsidRPr="009432E6">
        <w:t>.</w:t>
      </w:r>
    </w:p>
    <w:p w:rsidR="001A425A" w:rsidRPr="009432E6" w:rsidRDefault="001A425A" w:rsidP="002C42C8">
      <w:pPr>
        <w:pStyle w:val="ListParagraph"/>
        <w:tabs>
          <w:tab w:val="left" w:pos="360"/>
          <w:tab w:val="left" w:pos="720"/>
        </w:tabs>
        <w:ind w:left="360"/>
      </w:pPr>
    </w:p>
    <w:p w:rsidR="002C42C8" w:rsidRPr="009432E6" w:rsidRDefault="002C42C8" w:rsidP="002C42C8">
      <w:pPr>
        <w:pStyle w:val="ListParagraph"/>
        <w:tabs>
          <w:tab w:val="left" w:pos="360"/>
          <w:tab w:val="left" w:pos="720"/>
        </w:tabs>
        <w:ind w:left="360"/>
      </w:pPr>
      <w:r w:rsidRPr="009432E6">
        <w:t xml:space="preserve">Information will be used by both </w:t>
      </w:r>
      <w:r w:rsidR="007A1B97" w:rsidRPr="009432E6">
        <w:t>FHA</w:t>
      </w:r>
      <w:r w:rsidRPr="009432E6">
        <w:t xml:space="preserve"> staff and </w:t>
      </w:r>
      <w:r w:rsidR="007A1B97" w:rsidRPr="009432E6">
        <w:t xml:space="preserve">the participating DELRAP </w:t>
      </w:r>
      <w:r w:rsidRPr="009432E6">
        <w:t xml:space="preserve">lender staff to evaluate individual condominium projects to determine whether they meet </w:t>
      </w:r>
      <w:r w:rsidR="007A1B97" w:rsidRPr="009432E6">
        <w:t>FHA</w:t>
      </w:r>
      <w:r w:rsidRPr="009432E6">
        <w:t xml:space="preserve"> requirements for approval and use as collateral for mortgages </w:t>
      </w:r>
      <w:r w:rsidR="007A1B97" w:rsidRPr="009432E6">
        <w:t xml:space="preserve">to be </w:t>
      </w:r>
      <w:r w:rsidRPr="009432E6">
        <w:t xml:space="preserve">insured by </w:t>
      </w:r>
      <w:r w:rsidR="007A1B97" w:rsidRPr="009432E6">
        <w:t>FHA</w:t>
      </w:r>
      <w:r w:rsidRPr="009432E6">
        <w:t>.</w:t>
      </w:r>
    </w:p>
    <w:p w:rsidR="00B819DB" w:rsidRPr="009432E6" w:rsidRDefault="00B819DB" w:rsidP="00B819DB">
      <w:pPr>
        <w:tabs>
          <w:tab w:val="left" w:pos="720"/>
        </w:tabs>
      </w:pPr>
    </w:p>
    <w:p w:rsidR="00A57F3B" w:rsidRPr="009432E6" w:rsidRDefault="007A1B97" w:rsidP="00F90D34">
      <w:pPr>
        <w:ind w:left="360"/>
      </w:pPr>
      <w:r w:rsidRPr="009432E6">
        <w:lastRenderedPageBreak/>
        <w:t xml:space="preserve">FHA </w:t>
      </w:r>
      <w:r w:rsidR="00A57F3B" w:rsidRPr="009432E6">
        <w:t>receives project approval submissions f</w:t>
      </w:r>
      <w:r w:rsidR="001A425A" w:rsidRPr="009432E6">
        <w:t>ro</w:t>
      </w:r>
      <w:r w:rsidR="00A57F3B" w:rsidRPr="009432E6">
        <w:t xml:space="preserve">m a number of </w:t>
      </w:r>
      <w:r w:rsidRPr="009432E6">
        <w:t xml:space="preserve">industry stakeholders and other interested </w:t>
      </w:r>
      <w:r w:rsidR="00A57F3B" w:rsidRPr="009432E6">
        <w:t>parties: attorneys,</w:t>
      </w:r>
      <w:r w:rsidR="00C13804" w:rsidRPr="009432E6">
        <w:t xml:space="preserve"> independent project consultants, homeowners associations</w:t>
      </w:r>
      <w:r w:rsidRPr="009432E6">
        <w:t xml:space="preserve">, management companies </w:t>
      </w:r>
      <w:r w:rsidR="00C13804" w:rsidRPr="009432E6">
        <w:t xml:space="preserve">and lenders.  </w:t>
      </w:r>
      <w:r w:rsidRPr="009432E6">
        <w:t xml:space="preserve">Qualified lenders meeting the requirements using the DELRAP option </w:t>
      </w:r>
      <w:r w:rsidR="00C13804" w:rsidRPr="009432E6">
        <w:t>perform a project analysis and approve</w:t>
      </w:r>
      <w:r w:rsidR="001A425A" w:rsidRPr="009432E6">
        <w:t xml:space="preserve"> or deny the p</w:t>
      </w:r>
      <w:r w:rsidR="00C13804" w:rsidRPr="009432E6">
        <w:t>roject</w:t>
      </w:r>
      <w:r w:rsidR="001A425A" w:rsidRPr="009432E6">
        <w:t xml:space="preserve"> and enter the results in FHA </w:t>
      </w:r>
      <w:r w:rsidR="00C13804" w:rsidRPr="009432E6">
        <w:t>Connection</w:t>
      </w:r>
      <w:r w:rsidR="001A425A" w:rsidRPr="009432E6">
        <w:t xml:space="preserve"> (</w:t>
      </w:r>
      <w:r w:rsidRPr="009432E6">
        <w:t xml:space="preserve">FHA’s </w:t>
      </w:r>
      <w:r w:rsidR="001A425A" w:rsidRPr="009432E6">
        <w:t>mortgage loan information system).  I</w:t>
      </w:r>
      <w:r w:rsidR="00C13804" w:rsidRPr="009432E6">
        <w:t>f lenders choose this option</w:t>
      </w:r>
      <w:r w:rsidR="001A425A" w:rsidRPr="009432E6">
        <w:t>,</w:t>
      </w:r>
      <w:r w:rsidR="00C13804" w:rsidRPr="009432E6">
        <w:t xml:space="preserve"> they must provide all the data electronically via a .pdf document</w:t>
      </w:r>
      <w:r w:rsidRPr="009432E6">
        <w:t xml:space="preserve"> and upload the required information within 5 business days of final disposition</w:t>
      </w:r>
      <w:r w:rsidR="00C13804" w:rsidRPr="009432E6">
        <w:t xml:space="preserve">.  All other submitters must submit the project to </w:t>
      </w:r>
      <w:r w:rsidRPr="009432E6">
        <w:t>FHA</w:t>
      </w:r>
      <w:r w:rsidR="00C13804" w:rsidRPr="009432E6">
        <w:t xml:space="preserve"> directly by mail or overnight carrier, </w:t>
      </w:r>
      <w:r w:rsidRPr="009432E6">
        <w:t>in</w:t>
      </w:r>
      <w:r w:rsidR="00C13804" w:rsidRPr="009432E6">
        <w:t xml:space="preserve"> a .pdf document</w:t>
      </w:r>
      <w:r w:rsidR="001A425A" w:rsidRPr="009432E6">
        <w:t>,</w:t>
      </w:r>
      <w:r w:rsidR="00C13804" w:rsidRPr="009432E6">
        <w:t xml:space="preserve"> on a compact disc</w:t>
      </w:r>
      <w:r w:rsidR="001A425A" w:rsidRPr="009432E6">
        <w:t>,</w:t>
      </w:r>
      <w:r w:rsidR="00C13804" w:rsidRPr="009432E6">
        <w:t xml:space="preserve"> or on paper.</w:t>
      </w:r>
    </w:p>
    <w:p w:rsidR="00C13804" w:rsidRPr="009432E6" w:rsidRDefault="00C13804" w:rsidP="00A57F3B">
      <w:pPr>
        <w:ind w:firstLine="360"/>
      </w:pPr>
    </w:p>
    <w:p w:rsidR="00867EC2" w:rsidRDefault="007A1B97" w:rsidP="00F90D34">
      <w:pPr>
        <w:ind w:left="360"/>
      </w:pPr>
      <w:r w:rsidRPr="009432E6">
        <w:t xml:space="preserve">FHA approved lenders may access and review certain information entered in the FHAC.  </w:t>
      </w:r>
      <w:r w:rsidR="00C13804" w:rsidRPr="009432E6">
        <w:t>The information is collected every 2 years which is the term of approval</w:t>
      </w:r>
      <w:r w:rsidRPr="009432E6">
        <w:t>; however, it may be updated at any time if warranted</w:t>
      </w:r>
      <w:r w:rsidR="00C13804" w:rsidRPr="009432E6">
        <w:t>.</w:t>
      </w:r>
    </w:p>
    <w:p w:rsidR="00867EC2" w:rsidRDefault="00867EC2" w:rsidP="00F90D34">
      <w:pPr>
        <w:ind w:left="360"/>
      </w:pPr>
    </w:p>
    <w:p w:rsidR="00867EC2" w:rsidRDefault="00867EC2" w:rsidP="00F90D34">
      <w:pPr>
        <w:ind w:left="360"/>
        <w:rPr>
          <w:b/>
          <w:color w:val="7030A0"/>
          <w:u w:val="single"/>
        </w:rPr>
      </w:pPr>
      <w:r>
        <w:rPr>
          <w:b/>
          <w:color w:val="7030A0"/>
          <w:u w:val="single"/>
        </w:rPr>
        <w:t xml:space="preserve">Standard Documents </w:t>
      </w:r>
      <w:r w:rsidR="001956FA">
        <w:rPr>
          <w:b/>
          <w:color w:val="7030A0"/>
          <w:u w:val="single"/>
        </w:rPr>
        <w:t>under</w:t>
      </w:r>
      <w:r>
        <w:rPr>
          <w:b/>
          <w:color w:val="7030A0"/>
          <w:u w:val="single"/>
        </w:rPr>
        <w:t xml:space="preserve"> Development</w:t>
      </w:r>
    </w:p>
    <w:p w:rsidR="00867EC2" w:rsidRDefault="00867EC2" w:rsidP="00F90D34">
      <w:pPr>
        <w:ind w:left="360"/>
        <w:rPr>
          <w:b/>
          <w:color w:val="7030A0"/>
          <w:u w:val="single"/>
        </w:rPr>
      </w:pPr>
    </w:p>
    <w:p w:rsidR="00867EC2" w:rsidRDefault="00867EC2" w:rsidP="00F90D34">
      <w:pPr>
        <w:ind w:left="360"/>
        <w:rPr>
          <w:color w:val="7030A0"/>
        </w:rPr>
      </w:pPr>
      <w:r>
        <w:rPr>
          <w:color w:val="7030A0"/>
        </w:rPr>
        <w:t xml:space="preserve">The below documents are under development </w:t>
      </w:r>
      <w:r w:rsidR="00F12139">
        <w:rPr>
          <w:color w:val="7030A0"/>
        </w:rPr>
        <w:t xml:space="preserve">or will be converted to </w:t>
      </w:r>
      <w:r>
        <w:rPr>
          <w:color w:val="7030A0"/>
        </w:rPr>
        <w:t xml:space="preserve">standard required </w:t>
      </w:r>
      <w:r w:rsidR="00F12139">
        <w:rPr>
          <w:color w:val="7030A0"/>
        </w:rPr>
        <w:t>forms</w:t>
      </w:r>
      <w:r>
        <w:rPr>
          <w:color w:val="7030A0"/>
        </w:rPr>
        <w:t xml:space="preserve"> </w:t>
      </w:r>
      <w:r w:rsidR="00F12139">
        <w:rPr>
          <w:color w:val="7030A0"/>
        </w:rPr>
        <w:t xml:space="preserve">required to </w:t>
      </w:r>
      <w:r>
        <w:rPr>
          <w:color w:val="7030A0"/>
        </w:rPr>
        <w:t xml:space="preserve">obtain </w:t>
      </w:r>
      <w:r w:rsidR="00F12139">
        <w:rPr>
          <w:color w:val="7030A0"/>
        </w:rPr>
        <w:t xml:space="preserve">FHA </w:t>
      </w:r>
      <w:r>
        <w:rPr>
          <w:color w:val="7030A0"/>
        </w:rPr>
        <w:t>condominium project approval and/or insurance endorsement of a single condominium unit.</w:t>
      </w:r>
      <w:r w:rsidR="00F12139">
        <w:rPr>
          <w:color w:val="7030A0"/>
        </w:rPr>
        <w:t xml:space="preserve">  These forms are specifically required for FHA insured condominium mortgages.</w:t>
      </w:r>
    </w:p>
    <w:p w:rsidR="00867EC2" w:rsidRDefault="00867EC2" w:rsidP="00F90D34">
      <w:pPr>
        <w:ind w:left="360"/>
        <w:rPr>
          <w:color w:val="7030A0"/>
        </w:rPr>
      </w:pPr>
    </w:p>
    <w:p w:rsidR="00867EC2" w:rsidRDefault="00867EC2" w:rsidP="00F90D34">
      <w:pPr>
        <w:ind w:left="360"/>
        <w:rPr>
          <w:color w:val="7030A0"/>
        </w:rPr>
      </w:pPr>
      <w:r>
        <w:rPr>
          <w:color w:val="7030A0"/>
        </w:rPr>
        <w:t xml:space="preserve">Project </w:t>
      </w:r>
      <w:r w:rsidR="001956FA">
        <w:rPr>
          <w:color w:val="7030A0"/>
        </w:rPr>
        <w:t>Certification</w:t>
      </w:r>
      <w:r w:rsidR="00A50E97">
        <w:rPr>
          <w:color w:val="7030A0"/>
        </w:rPr>
        <w:t>, 96017</w:t>
      </w:r>
      <w:r>
        <w:rPr>
          <w:color w:val="7030A0"/>
        </w:rPr>
        <w:t>:</w:t>
      </w:r>
      <w:r w:rsidR="00F12139">
        <w:rPr>
          <w:color w:val="7030A0"/>
        </w:rPr>
        <w:t xml:space="preserve">  </w:t>
      </w:r>
    </w:p>
    <w:p w:rsidR="00F12139" w:rsidRDefault="00F12139" w:rsidP="00F90D34">
      <w:pPr>
        <w:ind w:left="360"/>
        <w:rPr>
          <w:color w:val="7030A0"/>
        </w:rPr>
      </w:pPr>
    </w:p>
    <w:p w:rsidR="00F12139" w:rsidRDefault="00F12139" w:rsidP="00F90D34">
      <w:pPr>
        <w:ind w:left="360"/>
        <w:rPr>
          <w:color w:val="7030A0"/>
        </w:rPr>
      </w:pPr>
      <w:r>
        <w:rPr>
          <w:color w:val="7030A0"/>
        </w:rPr>
        <w:t xml:space="preserve">This certification is required to obtain condominium project approval.  Currently, there is no standard certification form.  Submitters of condominium project application requests are </w:t>
      </w:r>
      <w:r w:rsidR="001956FA">
        <w:rPr>
          <w:color w:val="7030A0"/>
        </w:rPr>
        <w:t>required</w:t>
      </w:r>
      <w:r>
        <w:rPr>
          <w:color w:val="7030A0"/>
        </w:rPr>
        <w:t xml:space="preserve"> to include the executed (signature and date) </w:t>
      </w:r>
      <w:r w:rsidR="001956FA">
        <w:rPr>
          <w:color w:val="7030A0"/>
        </w:rPr>
        <w:t>certification</w:t>
      </w:r>
      <w:r>
        <w:rPr>
          <w:color w:val="7030A0"/>
        </w:rPr>
        <w:t xml:space="preserve"> on letterhead as part of the package.  This </w:t>
      </w:r>
      <w:r w:rsidR="001956FA">
        <w:rPr>
          <w:color w:val="7030A0"/>
        </w:rPr>
        <w:t>certification</w:t>
      </w:r>
      <w:r>
        <w:rPr>
          <w:color w:val="7030A0"/>
        </w:rPr>
        <w:t xml:space="preserve"> will be converted to a standard form.</w:t>
      </w:r>
    </w:p>
    <w:p w:rsidR="00F12139" w:rsidRDefault="00F12139" w:rsidP="00F90D34">
      <w:pPr>
        <w:ind w:left="360"/>
        <w:rPr>
          <w:color w:val="7030A0"/>
        </w:rPr>
      </w:pPr>
    </w:p>
    <w:p w:rsidR="00F12139" w:rsidRDefault="00F12139" w:rsidP="00F90D34">
      <w:pPr>
        <w:ind w:left="360"/>
        <w:rPr>
          <w:color w:val="7030A0"/>
        </w:rPr>
      </w:pPr>
      <w:r>
        <w:rPr>
          <w:color w:val="7030A0"/>
        </w:rPr>
        <w:t xml:space="preserve">Loan Level </w:t>
      </w:r>
      <w:r w:rsidR="001956FA">
        <w:rPr>
          <w:color w:val="7030A0"/>
        </w:rPr>
        <w:t>Certification</w:t>
      </w:r>
      <w:r w:rsidR="00A50E97">
        <w:rPr>
          <w:color w:val="7030A0"/>
        </w:rPr>
        <w:t>, 96018</w:t>
      </w:r>
      <w:r>
        <w:rPr>
          <w:color w:val="7030A0"/>
        </w:rPr>
        <w:t>:</w:t>
      </w:r>
    </w:p>
    <w:p w:rsidR="00F12139" w:rsidRDefault="00F12139" w:rsidP="00F90D34">
      <w:pPr>
        <w:ind w:left="360"/>
        <w:rPr>
          <w:color w:val="7030A0"/>
        </w:rPr>
      </w:pPr>
    </w:p>
    <w:p w:rsidR="00F12139" w:rsidRDefault="00F12139" w:rsidP="00F90D34">
      <w:pPr>
        <w:ind w:left="360"/>
        <w:rPr>
          <w:color w:val="7030A0"/>
        </w:rPr>
      </w:pPr>
      <w:r>
        <w:rPr>
          <w:color w:val="7030A0"/>
        </w:rPr>
        <w:t xml:space="preserve">This certification is required for each single condominium unit approval issued.  It is executed at the time of loan approval by the underwriter or other authorized lender staff with signatory authority to bind the company.  The executed (signature and date) certification must be included with each condominium loan submitted for insurance endorsement.  This </w:t>
      </w:r>
      <w:r w:rsidR="001956FA">
        <w:rPr>
          <w:color w:val="7030A0"/>
        </w:rPr>
        <w:t>certification</w:t>
      </w:r>
      <w:r>
        <w:rPr>
          <w:color w:val="7030A0"/>
        </w:rPr>
        <w:t xml:space="preserve"> will be converted to a standard form.</w:t>
      </w:r>
    </w:p>
    <w:p w:rsidR="00F12139" w:rsidRDefault="00F12139" w:rsidP="00F90D34">
      <w:pPr>
        <w:ind w:left="360"/>
        <w:rPr>
          <w:color w:val="7030A0"/>
        </w:rPr>
      </w:pPr>
    </w:p>
    <w:p w:rsidR="00E67876" w:rsidRDefault="00E67876" w:rsidP="00F90D34">
      <w:pPr>
        <w:ind w:left="360"/>
        <w:rPr>
          <w:color w:val="7030A0"/>
        </w:rPr>
      </w:pPr>
      <w:r>
        <w:rPr>
          <w:color w:val="7030A0"/>
        </w:rPr>
        <w:t xml:space="preserve">Pre-Sale </w:t>
      </w:r>
      <w:r w:rsidR="001956FA">
        <w:rPr>
          <w:color w:val="7030A0"/>
        </w:rPr>
        <w:t>Certification</w:t>
      </w:r>
      <w:r w:rsidR="00A50E97">
        <w:rPr>
          <w:color w:val="7030A0"/>
        </w:rPr>
        <w:t>, 96019</w:t>
      </w:r>
      <w:r>
        <w:rPr>
          <w:color w:val="7030A0"/>
        </w:rPr>
        <w:t>:</w:t>
      </w:r>
    </w:p>
    <w:p w:rsidR="00E67876" w:rsidRDefault="00E67876" w:rsidP="00F90D34">
      <w:pPr>
        <w:ind w:left="360"/>
        <w:rPr>
          <w:color w:val="7030A0"/>
        </w:rPr>
      </w:pPr>
    </w:p>
    <w:p w:rsidR="00E67876" w:rsidRDefault="00E67876" w:rsidP="00F90D34">
      <w:pPr>
        <w:ind w:left="360"/>
        <w:rPr>
          <w:color w:val="7030A0"/>
        </w:rPr>
      </w:pPr>
      <w:r>
        <w:rPr>
          <w:color w:val="7030A0"/>
        </w:rPr>
        <w:t>This certification is required for proposed or under construction projects to support the required pre-sale percentage.  The executed (signed and dated by builder/</w:t>
      </w:r>
      <w:r w:rsidR="001956FA">
        <w:rPr>
          <w:color w:val="7030A0"/>
        </w:rPr>
        <w:t>developer</w:t>
      </w:r>
      <w:r>
        <w:rPr>
          <w:color w:val="7030A0"/>
        </w:rPr>
        <w:t xml:space="preserve"> or their authorized representative</w:t>
      </w:r>
      <w:r w:rsidR="001956FA">
        <w:rPr>
          <w:color w:val="7030A0"/>
        </w:rPr>
        <w:t>) certification</w:t>
      </w:r>
      <w:r>
        <w:rPr>
          <w:color w:val="7030A0"/>
        </w:rPr>
        <w:t xml:space="preserve"> must be included with each condominium loan submitted for insurance endorsement (as applicable).  This certification will be converted to a standard form.</w:t>
      </w:r>
    </w:p>
    <w:p w:rsidR="00E67876" w:rsidRDefault="00E67876" w:rsidP="00F90D34">
      <w:pPr>
        <w:ind w:left="360"/>
        <w:rPr>
          <w:color w:val="7030A0"/>
        </w:rPr>
      </w:pPr>
    </w:p>
    <w:p w:rsidR="00E67876" w:rsidRDefault="00E67876" w:rsidP="00F90D34">
      <w:pPr>
        <w:ind w:left="360"/>
        <w:rPr>
          <w:color w:val="7030A0"/>
        </w:rPr>
      </w:pPr>
      <w:r>
        <w:rPr>
          <w:color w:val="7030A0"/>
        </w:rPr>
        <w:t xml:space="preserve">Condominium Project Approval </w:t>
      </w:r>
      <w:r w:rsidR="00A50E97">
        <w:rPr>
          <w:color w:val="7030A0"/>
        </w:rPr>
        <w:t>Cover Document/Checklist, 96027</w:t>
      </w:r>
      <w:r>
        <w:rPr>
          <w:color w:val="7030A0"/>
        </w:rPr>
        <w:t>:</w:t>
      </w:r>
    </w:p>
    <w:p w:rsidR="00E67876" w:rsidRDefault="00E67876" w:rsidP="00F90D34">
      <w:pPr>
        <w:ind w:left="360"/>
        <w:rPr>
          <w:color w:val="7030A0"/>
        </w:rPr>
      </w:pPr>
    </w:p>
    <w:p w:rsidR="00E67876" w:rsidRDefault="00E67876" w:rsidP="00F90D34">
      <w:pPr>
        <w:ind w:left="360"/>
        <w:rPr>
          <w:color w:val="7030A0"/>
        </w:rPr>
      </w:pPr>
      <w:r>
        <w:rPr>
          <w:color w:val="7030A0"/>
        </w:rPr>
        <w:t xml:space="preserve">This checklist is </w:t>
      </w:r>
      <w:r w:rsidR="00242C9D">
        <w:rPr>
          <w:color w:val="7030A0"/>
        </w:rPr>
        <w:t xml:space="preserve">a </w:t>
      </w:r>
      <w:r>
        <w:rPr>
          <w:color w:val="7030A0"/>
        </w:rPr>
        <w:t>required document included in every new condominium project application package submitted for approval or recertification.  The document collects general information about the project that is considered in the analysis to determine project eligibility.  This checklist will be converted to a standard form.</w:t>
      </w:r>
    </w:p>
    <w:p w:rsidR="00E67876" w:rsidRDefault="00E67876" w:rsidP="00F90D34">
      <w:pPr>
        <w:ind w:left="360"/>
        <w:rPr>
          <w:color w:val="7030A0"/>
        </w:rPr>
      </w:pPr>
    </w:p>
    <w:p w:rsidR="00E67876" w:rsidRDefault="00242C9D" w:rsidP="00F90D34">
      <w:pPr>
        <w:ind w:left="360"/>
        <w:rPr>
          <w:color w:val="7030A0"/>
        </w:rPr>
      </w:pPr>
      <w:r>
        <w:rPr>
          <w:color w:val="7030A0"/>
        </w:rPr>
        <w:t>Condominium Proj</w:t>
      </w:r>
      <w:r w:rsidR="00A50E97">
        <w:rPr>
          <w:color w:val="7030A0"/>
        </w:rPr>
        <w:t>ect Annexation Checklist, 96028</w:t>
      </w:r>
      <w:r>
        <w:rPr>
          <w:color w:val="7030A0"/>
        </w:rPr>
        <w:t>:</w:t>
      </w:r>
    </w:p>
    <w:p w:rsidR="00242C9D" w:rsidRDefault="00242C9D" w:rsidP="00F90D34">
      <w:pPr>
        <w:ind w:left="360"/>
        <w:rPr>
          <w:color w:val="7030A0"/>
        </w:rPr>
      </w:pPr>
    </w:p>
    <w:p w:rsidR="00242C9D" w:rsidRDefault="00242C9D" w:rsidP="00F90D34">
      <w:pPr>
        <w:ind w:left="360"/>
        <w:rPr>
          <w:color w:val="7030A0"/>
        </w:rPr>
      </w:pPr>
      <w:r>
        <w:rPr>
          <w:color w:val="7030A0"/>
        </w:rPr>
        <w:t xml:space="preserve">This checklist is a </w:t>
      </w:r>
      <w:r w:rsidR="001956FA">
        <w:rPr>
          <w:color w:val="7030A0"/>
        </w:rPr>
        <w:t>required</w:t>
      </w:r>
      <w:r>
        <w:rPr>
          <w:color w:val="7030A0"/>
        </w:rPr>
        <w:t xml:space="preserve"> document included with each request for approval of an annexation application request to add </w:t>
      </w:r>
      <w:r w:rsidR="001956FA">
        <w:rPr>
          <w:color w:val="7030A0"/>
        </w:rPr>
        <w:t>additional</w:t>
      </w:r>
      <w:r>
        <w:rPr>
          <w:color w:val="7030A0"/>
        </w:rPr>
        <w:t xml:space="preserve"> phases to an existing approval.  The document collects general information about the project that is considered in the analysis to determine approval of an annexation request.  This checklist will be converted to a standard form.</w:t>
      </w:r>
    </w:p>
    <w:p w:rsidR="00242C9D" w:rsidRDefault="00242C9D" w:rsidP="00F90D34">
      <w:pPr>
        <w:ind w:left="360"/>
        <w:rPr>
          <w:color w:val="7030A0"/>
        </w:rPr>
      </w:pPr>
    </w:p>
    <w:p w:rsidR="00242C9D" w:rsidRDefault="00242C9D" w:rsidP="00F90D34">
      <w:pPr>
        <w:ind w:left="360"/>
        <w:rPr>
          <w:color w:val="7030A0"/>
        </w:rPr>
      </w:pPr>
    </w:p>
    <w:p w:rsidR="00242C9D" w:rsidRDefault="00242C9D" w:rsidP="00F90D34">
      <w:pPr>
        <w:ind w:left="360"/>
        <w:rPr>
          <w:color w:val="7030A0"/>
        </w:rPr>
      </w:pPr>
    </w:p>
    <w:p w:rsidR="00242C9D" w:rsidRDefault="001956FA" w:rsidP="00F90D34">
      <w:pPr>
        <w:ind w:left="360"/>
        <w:rPr>
          <w:color w:val="7030A0"/>
        </w:rPr>
      </w:pPr>
      <w:r>
        <w:rPr>
          <w:color w:val="7030A0"/>
        </w:rPr>
        <w:t>Condominium</w:t>
      </w:r>
      <w:r w:rsidR="00A50E97">
        <w:rPr>
          <w:color w:val="7030A0"/>
        </w:rPr>
        <w:t xml:space="preserve"> Rider, 96029</w:t>
      </w:r>
      <w:r w:rsidR="00242C9D">
        <w:rPr>
          <w:color w:val="7030A0"/>
        </w:rPr>
        <w:t>:</w:t>
      </w:r>
    </w:p>
    <w:p w:rsidR="00242C9D" w:rsidRDefault="00242C9D" w:rsidP="00F90D34">
      <w:pPr>
        <w:ind w:left="360"/>
        <w:rPr>
          <w:color w:val="7030A0"/>
        </w:rPr>
      </w:pPr>
    </w:p>
    <w:p w:rsidR="00C13804" w:rsidRPr="009432E6" w:rsidRDefault="00242C9D" w:rsidP="00F90D34">
      <w:pPr>
        <w:ind w:left="360"/>
      </w:pPr>
      <w:r>
        <w:rPr>
          <w:color w:val="7030A0"/>
        </w:rPr>
        <w:t xml:space="preserve">The </w:t>
      </w:r>
      <w:r w:rsidR="001956FA">
        <w:rPr>
          <w:color w:val="7030A0"/>
        </w:rPr>
        <w:t>Condominium</w:t>
      </w:r>
      <w:r>
        <w:rPr>
          <w:color w:val="7030A0"/>
        </w:rPr>
        <w:t xml:space="preserve"> Rider is a required document that is incorporated into and amends and supplements the Mortgage, Deed of Trust or Security Deed (Security Instrument).  This </w:t>
      </w:r>
      <w:r w:rsidR="001956FA">
        <w:rPr>
          <w:color w:val="7030A0"/>
        </w:rPr>
        <w:t>document</w:t>
      </w:r>
      <w:r>
        <w:rPr>
          <w:color w:val="7030A0"/>
        </w:rPr>
        <w:t xml:space="preserve"> is a </w:t>
      </w:r>
      <w:r w:rsidR="001956FA">
        <w:rPr>
          <w:color w:val="7030A0"/>
        </w:rPr>
        <w:t>required</w:t>
      </w:r>
      <w:r>
        <w:rPr>
          <w:color w:val="7030A0"/>
        </w:rPr>
        <w:t xml:space="preserve"> document for each condominium loan submitted for insurance endorsement.  The document required revision and will be converted to a standard form.</w:t>
      </w:r>
      <w:r w:rsidR="00F12139">
        <w:rPr>
          <w:color w:val="7030A0"/>
        </w:rPr>
        <w:t xml:space="preserve"> </w:t>
      </w:r>
    </w:p>
    <w:p w:rsidR="00D60FAB" w:rsidRPr="009432E6" w:rsidRDefault="00D60FAB" w:rsidP="00820E2B">
      <w:pPr>
        <w:tabs>
          <w:tab w:val="left" w:pos="360"/>
          <w:tab w:val="left" w:pos="720"/>
        </w:tabs>
        <w:rPr>
          <w:sz w:val="28"/>
          <w:szCs w:val="28"/>
        </w:rPr>
      </w:pPr>
    </w:p>
    <w:p w:rsidR="00D60FAB" w:rsidRPr="009432E6" w:rsidRDefault="00CD02C4" w:rsidP="00CD02C4">
      <w:pPr>
        <w:tabs>
          <w:tab w:val="left" w:pos="360"/>
          <w:tab w:val="left" w:pos="720"/>
        </w:tabs>
        <w:ind w:firstLine="360"/>
        <w:rPr>
          <w:b/>
          <w:u w:val="single"/>
        </w:rPr>
      </w:pPr>
      <w:r w:rsidRPr="009432E6">
        <w:rPr>
          <w:b/>
          <w:u w:val="single"/>
        </w:rPr>
        <w:t xml:space="preserve">Proposed, Under Construction, Existing less than 12 months old, </w:t>
      </w:r>
      <w:r w:rsidR="00F90D34" w:rsidRPr="009432E6">
        <w:rPr>
          <w:b/>
          <w:u w:val="single"/>
        </w:rPr>
        <w:t>Existing Condominium Projects</w:t>
      </w:r>
    </w:p>
    <w:p w:rsidR="00D60FAB" w:rsidRPr="009432E6" w:rsidRDefault="00D60FAB" w:rsidP="00820E2B">
      <w:pPr>
        <w:tabs>
          <w:tab w:val="left" w:pos="360"/>
          <w:tab w:val="left" w:pos="720"/>
        </w:tabs>
      </w:pPr>
    </w:p>
    <w:p w:rsidR="00D73FE7" w:rsidRPr="009432E6" w:rsidRDefault="00D73FE7" w:rsidP="00F90D34">
      <w:pPr>
        <w:tabs>
          <w:tab w:val="left" w:pos="360"/>
          <w:tab w:val="left" w:pos="720"/>
        </w:tabs>
        <w:ind w:left="360"/>
      </w:pPr>
      <w:r w:rsidRPr="009432E6">
        <w:t>Condominium Documents</w:t>
      </w:r>
      <w:r w:rsidR="00CD02C4" w:rsidRPr="009432E6">
        <w:t>:</w:t>
      </w:r>
    </w:p>
    <w:p w:rsidR="00524291" w:rsidRPr="009432E6" w:rsidRDefault="00524291" w:rsidP="00F90D34">
      <w:pPr>
        <w:tabs>
          <w:tab w:val="left" w:pos="360"/>
          <w:tab w:val="left" w:pos="720"/>
        </w:tabs>
        <w:ind w:left="360"/>
      </w:pPr>
    </w:p>
    <w:p w:rsidR="00D73FE7" w:rsidRPr="009432E6" w:rsidRDefault="001A425A" w:rsidP="00F90D34">
      <w:pPr>
        <w:tabs>
          <w:tab w:val="left" w:pos="360"/>
          <w:tab w:val="left" w:pos="720"/>
        </w:tabs>
        <w:ind w:left="360"/>
      </w:pPr>
      <w:r w:rsidRPr="009432E6">
        <w:t>C</w:t>
      </w:r>
      <w:r w:rsidR="00D73FE7" w:rsidRPr="009432E6">
        <w:t xml:space="preserve">ondominium regimes </w:t>
      </w:r>
      <w:r w:rsidRPr="009432E6">
        <w:t xml:space="preserve">are established </w:t>
      </w:r>
      <w:r w:rsidR="00D73FE7" w:rsidRPr="009432E6">
        <w:t xml:space="preserve">by </w:t>
      </w:r>
      <w:r w:rsidRPr="009432E6">
        <w:t xml:space="preserve">complying with </w:t>
      </w:r>
      <w:r w:rsidR="00CD02C4" w:rsidRPr="009432E6">
        <w:t>state statutes.  This includes but is not limited to</w:t>
      </w:r>
      <w:r w:rsidRPr="009432E6">
        <w:t xml:space="preserve"> information </w:t>
      </w:r>
      <w:r w:rsidR="00D73FE7" w:rsidRPr="009432E6">
        <w:t>required to be recorded in the tax r</w:t>
      </w:r>
      <w:r w:rsidR="005215D8" w:rsidRPr="009432E6">
        <w:t>ecords and provided to buyers</w:t>
      </w:r>
      <w:r w:rsidR="00D73FE7" w:rsidRPr="009432E6">
        <w:t xml:space="preserve"> of new</w:t>
      </w:r>
      <w:r w:rsidR="00CD02C4" w:rsidRPr="009432E6">
        <w:t xml:space="preserve">, </w:t>
      </w:r>
      <w:r w:rsidR="005215D8" w:rsidRPr="009432E6">
        <w:t>existing</w:t>
      </w:r>
      <w:r w:rsidR="00CD02C4" w:rsidRPr="009432E6">
        <w:t xml:space="preserve"> and or conversion</w:t>
      </w:r>
      <w:r w:rsidR="005215D8" w:rsidRPr="009432E6">
        <w:t xml:space="preserve"> </w:t>
      </w:r>
      <w:r w:rsidR="00D73FE7" w:rsidRPr="009432E6">
        <w:t>condominium</w:t>
      </w:r>
      <w:r w:rsidR="00CD02C4" w:rsidRPr="009432E6">
        <w:t xml:space="preserve"> projects</w:t>
      </w:r>
      <w:r w:rsidR="00D73FE7" w:rsidRPr="009432E6">
        <w:t xml:space="preserve">.  </w:t>
      </w:r>
      <w:r w:rsidR="00CD02C4" w:rsidRPr="009432E6">
        <w:t>FHA</w:t>
      </w:r>
      <w:r w:rsidR="00D73FE7" w:rsidRPr="009432E6">
        <w:t xml:space="preserve"> requires that all documents required </w:t>
      </w:r>
      <w:r w:rsidRPr="009432E6">
        <w:t xml:space="preserve">by the state to establish the condominium </w:t>
      </w:r>
      <w:r w:rsidR="000772FE" w:rsidRPr="009432E6">
        <w:t>regime</w:t>
      </w:r>
      <w:r w:rsidRPr="009432E6">
        <w:t xml:space="preserve"> also </w:t>
      </w:r>
      <w:r w:rsidR="00D73FE7" w:rsidRPr="009432E6">
        <w:t xml:space="preserve">be provided.  Since these documents are required to be prepared by state law, </w:t>
      </w:r>
      <w:r w:rsidR="00CD02C4" w:rsidRPr="009432E6">
        <w:t>FHA</w:t>
      </w:r>
      <w:r w:rsidR="00D73FE7" w:rsidRPr="009432E6">
        <w:t xml:space="preserve"> ascribes no burden to the requirement that copies </w:t>
      </w:r>
      <w:r w:rsidR="00CD02C4" w:rsidRPr="009432E6">
        <w:t xml:space="preserve">of this information </w:t>
      </w:r>
      <w:r w:rsidR="00D73FE7" w:rsidRPr="009432E6">
        <w:t>be provided.</w:t>
      </w:r>
      <w:r w:rsidR="00DA4FDD" w:rsidRPr="009432E6">
        <w:t xml:space="preserve">  </w:t>
      </w:r>
    </w:p>
    <w:p w:rsidR="00A2428B" w:rsidRPr="009432E6" w:rsidRDefault="00A2428B" w:rsidP="00F90D34">
      <w:pPr>
        <w:tabs>
          <w:tab w:val="left" w:pos="360"/>
          <w:tab w:val="left" w:pos="720"/>
        </w:tabs>
        <w:ind w:left="360"/>
      </w:pPr>
    </w:p>
    <w:p w:rsidR="00DA4FDD" w:rsidRPr="009432E6" w:rsidRDefault="00DA4FDD" w:rsidP="00F90D34">
      <w:pPr>
        <w:tabs>
          <w:tab w:val="left" w:pos="360"/>
          <w:tab w:val="left" w:pos="720"/>
        </w:tabs>
        <w:ind w:left="360"/>
      </w:pPr>
      <w:r w:rsidRPr="009432E6">
        <w:t>Condominium legal documents include:</w:t>
      </w:r>
    </w:p>
    <w:p w:rsidR="00CD02C4" w:rsidRPr="009432E6" w:rsidRDefault="00CD02C4" w:rsidP="00F90D34">
      <w:pPr>
        <w:tabs>
          <w:tab w:val="left" w:pos="360"/>
          <w:tab w:val="left" w:pos="720"/>
        </w:tabs>
        <w:ind w:left="360"/>
      </w:pPr>
    </w:p>
    <w:p w:rsidR="00DA4FDD" w:rsidRPr="009432E6" w:rsidRDefault="00DA4FDD" w:rsidP="00CD02C4">
      <w:pPr>
        <w:pStyle w:val="ListParagraph"/>
        <w:numPr>
          <w:ilvl w:val="0"/>
          <w:numId w:val="24"/>
        </w:numPr>
        <w:tabs>
          <w:tab w:val="left" w:pos="360"/>
          <w:tab w:val="left" w:pos="720"/>
        </w:tabs>
      </w:pPr>
      <w:r w:rsidRPr="009432E6">
        <w:t>Recorded plat mat indicating legal description</w:t>
      </w:r>
      <w:r w:rsidR="00CD02C4" w:rsidRPr="009432E6">
        <w:t>;</w:t>
      </w:r>
    </w:p>
    <w:p w:rsidR="00DA4FDD" w:rsidRPr="009432E6" w:rsidRDefault="00DA4FDD" w:rsidP="00CD02C4">
      <w:pPr>
        <w:pStyle w:val="ListParagraph"/>
        <w:numPr>
          <w:ilvl w:val="0"/>
          <w:numId w:val="24"/>
        </w:numPr>
        <w:tabs>
          <w:tab w:val="left" w:pos="360"/>
          <w:tab w:val="left" w:pos="720"/>
        </w:tabs>
      </w:pPr>
      <w:r w:rsidRPr="009432E6">
        <w:t>Recorded covenants, conditions and restrictions (CC&amp;Rs)/Declaration/Master Deed</w:t>
      </w:r>
      <w:r w:rsidR="00CD02C4" w:rsidRPr="009432E6">
        <w:t>;</w:t>
      </w:r>
    </w:p>
    <w:p w:rsidR="00CD02C4" w:rsidRPr="009432E6" w:rsidRDefault="00CD02C4" w:rsidP="00CD02C4">
      <w:pPr>
        <w:pStyle w:val="ListParagraph"/>
        <w:numPr>
          <w:ilvl w:val="0"/>
          <w:numId w:val="24"/>
        </w:numPr>
        <w:tabs>
          <w:tab w:val="left" w:pos="360"/>
          <w:tab w:val="left" w:pos="720"/>
        </w:tabs>
      </w:pPr>
      <w:r w:rsidRPr="009432E6">
        <w:t>All amendments to the CC&amp;Rs</w:t>
      </w:r>
    </w:p>
    <w:p w:rsidR="00DA4FDD" w:rsidRPr="009432E6" w:rsidRDefault="00DA4FDD" w:rsidP="00CD02C4">
      <w:pPr>
        <w:pStyle w:val="ListParagraph"/>
        <w:numPr>
          <w:ilvl w:val="0"/>
          <w:numId w:val="24"/>
        </w:numPr>
        <w:tabs>
          <w:tab w:val="left" w:pos="360"/>
          <w:tab w:val="left" w:pos="720"/>
        </w:tabs>
      </w:pPr>
      <w:r w:rsidRPr="009432E6">
        <w:t xml:space="preserve">Signed and </w:t>
      </w:r>
      <w:r w:rsidR="00CD02C4" w:rsidRPr="009432E6">
        <w:t>a</w:t>
      </w:r>
      <w:r w:rsidRPr="009432E6">
        <w:t xml:space="preserve">dopted </w:t>
      </w:r>
      <w:r w:rsidR="00CD02C4" w:rsidRPr="009432E6">
        <w:t>b</w:t>
      </w:r>
      <w:r w:rsidRPr="009432E6">
        <w:t xml:space="preserve">ylaws (if State </w:t>
      </w:r>
      <w:r w:rsidR="00CD02C4" w:rsidRPr="009432E6">
        <w:t xml:space="preserve">law </w:t>
      </w:r>
      <w:r w:rsidRPr="009432E6">
        <w:t xml:space="preserve">does not require signed bylaws, a copy of the </w:t>
      </w:r>
      <w:r w:rsidR="00CD02C4" w:rsidRPr="009432E6">
        <w:t>applicable State statute must be provided</w:t>
      </w:r>
      <w:r w:rsidRPr="009432E6">
        <w:t>)</w:t>
      </w:r>
      <w:r w:rsidR="00CD02C4" w:rsidRPr="009432E6">
        <w:t>;</w:t>
      </w:r>
    </w:p>
    <w:p w:rsidR="00DA4FDD" w:rsidRPr="009432E6" w:rsidRDefault="00DA4FDD" w:rsidP="00CD02C4">
      <w:pPr>
        <w:pStyle w:val="ListParagraph"/>
        <w:numPr>
          <w:ilvl w:val="0"/>
          <w:numId w:val="24"/>
        </w:numPr>
        <w:tabs>
          <w:tab w:val="left" w:pos="360"/>
          <w:tab w:val="left" w:pos="720"/>
        </w:tabs>
      </w:pPr>
      <w:r w:rsidRPr="009432E6">
        <w:t xml:space="preserve">Articles of Incorporation, Articles of Association or Condominium Trust filed with the State (if State law does not require incorporation, a copy of the </w:t>
      </w:r>
      <w:r w:rsidR="00CD02C4" w:rsidRPr="009432E6">
        <w:t xml:space="preserve">applicable </w:t>
      </w:r>
      <w:r w:rsidRPr="009432E6">
        <w:t xml:space="preserve">State </w:t>
      </w:r>
      <w:r w:rsidR="00CD02C4" w:rsidRPr="009432E6">
        <w:t>s</w:t>
      </w:r>
      <w:r w:rsidRPr="009432E6">
        <w:t>tatute</w:t>
      </w:r>
      <w:r w:rsidR="00CD02C4" w:rsidRPr="009432E6">
        <w:t xml:space="preserve"> must be provided</w:t>
      </w:r>
      <w:r w:rsidRPr="009432E6">
        <w:t>)</w:t>
      </w:r>
      <w:r w:rsidR="00CD02C4" w:rsidRPr="009432E6">
        <w:t>;</w:t>
      </w:r>
    </w:p>
    <w:p w:rsidR="00D73FE7" w:rsidRPr="009432E6" w:rsidRDefault="00DA4FDD" w:rsidP="00CD02C4">
      <w:pPr>
        <w:pStyle w:val="ListParagraph"/>
        <w:numPr>
          <w:ilvl w:val="0"/>
          <w:numId w:val="24"/>
        </w:numPr>
        <w:tabs>
          <w:tab w:val="left" w:pos="360"/>
          <w:tab w:val="left" w:pos="720"/>
        </w:tabs>
      </w:pPr>
      <w:r w:rsidRPr="009432E6">
        <w:t>Recorded condominium site plans</w:t>
      </w:r>
    </w:p>
    <w:p w:rsidR="00DA4FDD" w:rsidRPr="009432E6" w:rsidRDefault="00DA4FDD" w:rsidP="00F90D34">
      <w:pPr>
        <w:tabs>
          <w:tab w:val="left" w:pos="360"/>
          <w:tab w:val="left" w:pos="720"/>
        </w:tabs>
        <w:ind w:left="360"/>
        <w:rPr>
          <w:b/>
        </w:rPr>
      </w:pPr>
    </w:p>
    <w:p w:rsidR="00A2428B" w:rsidRPr="009432E6" w:rsidRDefault="004E61C8" w:rsidP="00F90D34">
      <w:pPr>
        <w:tabs>
          <w:tab w:val="left" w:pos="360"/>
          <w:tab w:val="left" w:pos="720"/>
        </w:tabs>
        <w:ind w:left="360"/>
      </w:pPr>
      <w:r w:rsidRPr="009432E6">
        <w:t>Insurance</w:t>
      </w:r>
      <w:r w:rsidR="00A2428B" w:rsidRPr="009432E6">
        <w:t xml:space="preserve"> Documents Required for Condominium Projects</w:t>
      </w:r>
      <w:r w:rsidR="00550C0A" w:rsidRPr="009432E6">
        <w:t>:</w:t>
      </w:r>
    </w:p>
    <w:p w:rsidR="00524291" w:rsidRPr="009432E6" w:rsidRDefault="00524291" w:rsidP="00F90D34">
      <w:pPr>
        <w:tabs>
          <w:tab w:val="left" w:pos="360"/>
          <w:tab w:val="left" w:pos="720"/>
        </w:tabs>
        <w:ind w:left="360"/>
      </w:pPr>
    </w:p>
    <w:p w:rsidR="00A2428B" w:rsidRPr="009432E6" w:rsidRDefault="004E61C8" w:rsidP="00550C0A">
      <w:pPr>
        <w:pStyle w:val="ListParagraph"/>
        <w:numPr>
          <w:ilvl w:val="0"/>
          <w:numId w:val="25"/>
        </w:numPr>
        <w:tabs>
          <w:tab w:val="left" w:pos="360"/>
          <w:tab w:val="left" w:pos="720"/>
        </w:tabs>
      </w:pPr>
      <w:r w:rsidRPr="009432E6">
        <w:t xml:space="preserve">Except for proof of fidelity insurance, these </w:t>
      </w:r>
      <w:r w:rsidR="00A2428B" w:rsidRPr="009432E6">
        <w:t xml:space="preserve">documents are required for </w:t>
      </w:r>
      <w:r w:rsidR="00550C0A" w:rsidRPr="009432E6">
        <w:t xml:space="preserve">other property type loans </w:t>
      </w:r>
      <w:r w:rsidR="00A2428B" w:rsidRPr="009432E6">
        <w:t xml:space="preserve">insured by </w:t>
      </w:r>
      <w:r w:rsidR="00550C0A" w:rsidRPr="009432E6">
        <w:t xml:space="preserve">FHA and are not specific to </w:t>
      </w:r>
      <w:r w:rsidR="00A2428B" w:rsidRPr="009432E6">
        <w:t>condominiums</w:t>
      </w:r>
    </w:p>
    <w:p w:rsidR="00A2428B" w:rsidRPr="009432E6" w:rsidRDefault="00A2428B" w:rsidP="00550C0A">
      <w:pPr>
        <w:pStyle w:val="ListParagraph"/>
        <w:numPr>
          <w:ilvl w:val="0"/>
          <w:numId w:val="25"/>
        </w:numPr>
        <w:tabs>
          <w:tab w:val="left" w:pos="360"/>
          <w:tab w:val="left" w:pos="720"/>
        </w:tabs>
      </w:pPr>
      <w:r w:rsidRPr="009432E6">
        <w:t>FEMA Flood Map, LOMA, LOMR or Elevation Certificate as appropriate</w:t>
      </w:r>
      <w:r w:rsidR="00550C0A" w:rsidRPr="009432E6">
        <w:t xml:space="preserve"> – these documents are required for other property type loans insured by FHA and are not specific to condominiums</w:t>
      </w:r>
    </w:p>
    <w:p w:rsidR="004E61C8" w:rsidRPr="009432E6" w:rsidRDefault="004E61C8" w:rsidP="00F90D34">
      <w:pPr>
        <w:tabs>
          <w:tab w:val="left" w:pos="360"/>
          <w:tab w:val="left" w:pos="720"/>
        </w:tabs>
        <w:ind w:left="360"/>
      </w:pPr>
    </w:p>
    <w:p w:rsidR="00D27040" w:rsidRPr="009432E6" w:rsidRDefault="00D27040" w:rsidP="00F90D34">
      <w:pPr>
        <w:tabs>
          <w:tab w:val="left" w:pos="360"/>
          <w:tab w:val="left" w:pos="720"/>
        </w:tabs>
        <w:ind w:left="360"/>
      </w:pPr>
      <w:r w:rsidRPr="009432E6">
        <w:t>Evidence of Insurance Coverage</w:t>
      </w:r>
      <w:r w:rsidR="00550C0A" w:rsidRPr="009432E6">
        <w:t>:</w:t>
      </w:r>
    </w:p>
    <w:p w:rsidR="00550C0A" w:rsidRPr="009432E6" w:rsidRDefault="00550C0A" w:rsidP="00F90D34">
      <w:pPr>
        <w:tabs>
          <w:tab w:val="left" w:pos="360"/>
          <w:tab w:val="left" w:pos="720"/>
        </w:tabs>
        <w:ind w:left="360"/>
      </w:pPr>
    </w:p>
    <w:p w:rsidR="00550C0A" w:rsidRPr="009432E6" w:rsidRDefault="00550C0A" w:rsidP="00550C0A">
      <w:pPr>
        <w:tabs>
          <w:tab w:val="left" w:pos="360"/>
          <w:tab w:val="left" w:pos="720"/>
        </w:tabs>
        <w:ind w:left="360"/>
      </w:pPr>
      <w:r w:rsidRPr="009432E6">
        <w:t>Condominium homeowners associations collect significant sums of monthly assessments that are intended to be used for the maintenance and improvement of the condominium project.  Requiring insurance against theft is a prudent risk management practice and is standard in the industry.</w:t>
      </w:r>
    </w:p>
    <w:p w:rsidR="00550C0A" w:rsidRPr="009432E6" w:rsidRDefault="00550C0A" w:rsidP="00F90D34">
      <w:pPr>
        <w:tabs>
          <w:tab w:val="left" w:pos="360"/>
          <w:tab w:val="left" w:pos="720"/>
        </w:tabs>
        <w:ind w:left="360"/>
      </w:pPr>
    </w:p>
    <w:p w:rsidR="00D27040" w:rsidRPr="009432E6" w:rsidRDefault="00D27040" w:rsidP="00F90D34">
      <w:pPr>
        <w:pStyle w:val="ListParagraph"/>
        <w:numPr>
          <w:ilvl w:val="0"/>
          <w:numId w:val="20"/>
        </w:numPr>
        <w:tabs>
          <w:tab w:val="left" w:pos="360"/>
          <w:tab w:val="left" w:pos="720"/>
        </w:tabs>
        <w:ind w:left="1080"/>
      </w:pPr>
      <w:r w:rsidRPr="009432E6">
        <w:t>Master flood insurance policy (if applicable)</w:t>
      </w:r>
    </w:p>
    <w:p w:rsidR="00D27040" w:rsidRPr="009432E6" w:rsidRDefault="004E61C8" w:rsidP="00F90D34">
      <w:pPr>
        <w:pStyle w:val="ListParagraph"/>
        <w:numPr>
          <w:ilvl w:val="0"/>
          <w:numId w:val="20"/>
        </w:numPr>
        <w:tabs>
          <w:tab w:val="left" w:pos="360"/>
          <w:tab w:val="left" w:pos="720"/>
        </w:tabs>
        <w:ind w:left="1080"/>
      </w:pPr>
      <w:r w:rsidRPr="009432E6">
        <w:t xml:space="preserve">Proof of </w:t>
      </w:r>
      <w:r w:rsidR="00D27040" w:rsidRPr="009432E6">
        <w:t>Liability and Hazard insurance</w:t>
      </w:r>
      <w:r w:rsidRPr="009432E6">
        <w:t xml:space="preserve"> </w:t>
      </w:r>
    </w:p>
    <w:p w:rsidR="00D27040" w:rsidRPr="009432E6" w:rsidRDefault="004E61C8" w:rsidP="00F90D34">
      <w:pPr>
        <w:pStyle w:val="ListParagraph"/>
        <w:numPr>
          <w:ilvl w:val="0"/>
          <w:numId w:val="20"/>
        </w:numPr>
        <w:tabs>
          <w:tab w:val="left" w:pos="360"/>
          <w:tab w:val="left" w:pos="720"/>
        </w:tabs>
        <w:ind w:left="1080"/>
      </w:pPr>
      <w:r w:rsidRPr="009432E6">
        <w:t xml:space="preserve">Proof of </w:t>
      </w:r>
      <w:r w:rsidR="00D27040" w:rsidRPr="009432E6">
        <w:t>Fidelity</w:t>
      </w:r>
      <w:r w:rsidRPr="009432E6">
        <w:t xml:space="preserve"> (employee dishonesty)</w:t>
      </w:r>
      <w:r w:rsidR="00550C0A" w:rsidRPr="009432E6">
        <w:t xml:space="preserve"> </w:t>
      </w:r>
      <w:r w:rsidRPr="009432E6">
        <w:t>I</w:t>
      </w:r>
      <w:r w:rsidR="00D27040" w:rsidRPr="009432E6">
        <w:t>nsurance (for projects with more than 20 units)</w:t>
      </w:r>
    </w:p>
    <w:p w:rsidR="007F0FD9" w:rsidRPr="009432E6" w:rsidRDefault="00550C0A" w:rsidP="00F90D34">
      <w:pPr>
        <w:pStyle w:val="ListParagraph"/>
        <w:numPr>
          <w:ilvl w:val="0"/>
          <w:numId w:val="20"/>
        </w:numPr>
        <w:tabs>
          <w:tab w:val="left" w:pos="360"/>
          <w:tab w:val="left" w:pos="720"/>
        </w:tabs>
        <w:ind w:left="1080"/>
      </w:pPr>
      <w:r w:rsidRPr="009432E6">
        <w:t>Evidence of Flood Insurance</w:t>
      </w:r>
    </w:p>
    <w:p w:rsidR="004E61C8" w:rsidRPr="009432E6" w:rsidRDefault="004E61C8" w:rsidP="00F90D34">
      <w:pPr>
        <w:tabs>
          <w:tab w:val="left" w:pos="360"/>
          <w:tab w:val="left" w:pos="720"/>
        </w:tabs>
        <w:ind w:left="360"/>
      </w:pPr>
    </w:p>
    <w:p w:rsidR="00D92ACF" w:rsidRPr="009432E6" w:rsidRDefault="00D92ACF" w:rsidP="00F90D34">
      <w:pPr>
        <w:tabs>
          <w:tab w:val="left" w:pos="360"/>
          <w:tab w:val="left" w:pos="720"/>
        </w:tabs>
        <w:ind w:left="360"/>
      </w:pPr>
      <w:r w:rsidRPr="009432E6">
        <w:t>Budget and Financial Documents</w:t>
      </w:r>
      <w:r w:rsidR="00550C0A" w:rsidRPr="009432E6">
        <w:t>:</w:t>
      </w:r>
    </w:p>
    <w:p w:rsidR="00D92ACF" w:rsidRPr="009432E6" w:rsidRDefault="00D92ACF" w:rsidP="00F90D34">
      <w:pPr>
        <w:tabs>
          <w:tab w:val="left" w:pos="360"/>
          <w:tab w:val="left" w:pos="720"/>
        </w:tabs>
        <w:ind w:left="360"/>
        <w:rPr>
          <w:b/>
          <w:sz w:val="20"/>
          <w:szCs w:val="20"/>
        </w:rPr>
      </w:pPr>
    </w:p>
    <w:p w:rsidR="00D92ACF" w:rsidRPr="009432E6" w:rsidRDefault="00D92ACF" w:rsidP="00F90D34">
      <w:pPr>
        <w:tabs>
          <w:tab w:val="left" w:pos="360"/>
          <w:tab w:val="left" w:pos="720"/>
        </w:tabs>
        <w:ind w:left="360"/>
      </w:pPr>
      <w:r w:rsidRPr="009432E6">
        <w:lastRenderedPageBreak/>
        <w:t xml:space="preserve">The </w:t>
      </w:r>
      <w:r w:rsidR="00550C0A" w:rsidRPr="009432E6">
        <w:t xml:space="preserve">financial </w:t>
      </w:r>
      <w:r w:rsidRPr="009432E6">
        <w:t xml:space="preserve">documents </w:t>
      </w:r>
      <w:r w:rsidR="00550C0A" w:rsidRPr="009432E6">
        <w:t>FHA</w:t>
      </w:r>
      <w:r w:rsidRPr="009432E6">
        <w:t xml:space="preserve"> requires to </w:t>
      </w:r>
      <w:r w:rsidR="00550C0A" w:rsidRPr="009432E6">
        <w:t xml:space="preserve">determine </w:t>
      </w:r>
      <w:r w:rsidRPr="009432E6">
        <w:t xml:space="preserve">the fiscal health of a condominium project include documents created in the normal course of business and contain the information collected by </w:t>
      </w:r>
      <w:r w:rsidR="00550C0A" w:rsidRPr="009432E6">
        <w:t xml:space="preserve">Office </w:t>
      </w:r>
      <w:r w:rsidR="00F27D69" w:rsidRPr="009432E6">
        <w:t>of Multifamily</w:t>
      </w:r>
      <w:r w:rsidR="00550C0A" w:rsidRPr="009432E6">
        <w:t xml:space="preserve"> Housing </w:t>
      </w:r>
      <w:r w:rsidRPr="009432E6">
        <w:t xml:space="preserve">on </w:t>
      </w:r>
      <w:r w:rsidR="00550C0A" w:rsidRPr="009432E6">
        <w:t xml:space="preserve">form </w:t>
      </w:r>
      <w:r w:rsidRPr="009432E6">
        <w:t>HUD-</w:t>
      </w:r>
      <w:r w:rsidR="009D2FDA" w:rsidRPr="009432E6">
        <w:t>93201</w:t>
      </w:r>
      <w:r w:rsidR="008D40A2" w:rsidRPr="009432E6">
        <w:t xml:space="preserve"> (OMB </w:t>
      </w:r>
      <w:r w:rsidR="00614A0D" w:rsidRPr="009432E6">
        <w:t>Collection 2502-0141</w:t>
      </w:r>
      <w:r w:rsidR="008D40A2" w:rsidRPr="009432E6">
        <w:t>)</w:t>
      </w:r>
      <w:r w:rsidR="009D2FDA" w:rsidRPr="009432E6">
        <w:t>.</w:t>
      </w:r>
      <w:r w:rsidR="00F06459" w:rsidRPr="009432E6">
        <w:t xml:space="preserve">  </w:t>
      </w:r>
      <w:r w:rsidR="007F0FD9" w:rsidRPr="009432E6">
        <w:t>As risk mitigation for</w:t>
      </w:r>
      <w:r w:rsidR="00F06459" w:rsidRPr="009432E6">
        <w:t xml:space="preserve"> the </w:t>
      </w:r>
      <w:r w:rsidR="00550C0A" w:rsidRPr="009432E6">
        <w:t>MMI</w:t>
      </w:r>
      <w:r w:rsidR="00F06459" w:rsidRPr="009432E6">
        <w:t xml:space="preserve"> fund, </w:t>
      </w:r>
      <w:r w:rsidR="00550C0A" w:rsidRPr="009432E6">
        <w:t xml:space="preserve">FHA </w:t>
      </w:r>
      <w:r w:rsidR="00F06459" w:rsidRPr="009432E6">
        <w:t xml:space="preserve">may require additional documents.  The documents </w:t>
      </w:r>
      <w:r w:rsidR="00550C0A" w:rsidRPr="009432E6">
        <w:t>FHA intends to</w:t>
      </w:r>
      <w:r w:rsidR="00F06459" w:rsidRPr="009432E6">
        <w:t xml:space="preserve"> collect are:</w:t>
      </w:r>
    </w:p>
    <w:p w:rsidR="00550C0A" w:rsidRPr="009432E6" w:rsidRDefault="00550C0A" w:rsidP="00F90D34">
      <w:pPr>
        <w:tabs>
          <w:tab w:val="left" w:pos="360"/>
          <w:tab w:val="left" w:pos="720"/>
        </w:tabs>
        <w:ind w:left="360"/>
      </w:pPr>
    </w:p>
    <w:p w:rsidR="00F06459" w:rsidRPr="009432E6" w:rsidRDefault="00F06459" w:rsidP="00550C0A">
      <w:pPr>
        <w:pStyle w:val="ListParagraph"/>
        <w:numPr>
          <w:ilvl w:val="0"/>
          <w:numId w:val="26"/>
        </w:numPr>
        <w:tabs>
          <w:tab w:val="left" w:pos="360"/>
          <w:tab w:val="left" w:pos="720"/>
        </w:tabs>
      </w:pPr>
      <w:r w:rsidRPr="009432E6">
        <w:t xml:space="preserve">Current year or projected </w:t>
      </w:r>
      <w:r w:rsidR="00550C0A" w:rsidRPr="009432E6">
        <w:t xml:space="preserve">(proposed construction) </w:t>
      </w:r>
      <w:r w:rsidRPr="009432E6">
        <w:t>budget</w:t>
      </w:r>
    </w:p>
    <w:p w:rsidR="00F06459" w:rsidRPr="009432E6" w:rsidRDefault="00F06459" w:rsidP="00550C0A">
      <w:pPr>
        <w:pStyle w:val="ListParagraph"/>
        <w:numPr>
          <w:ilvl w:val="0"/>
          <w:numId w:val="26"/>
        </w:numPr>
        <w:tabs>
          <w:tab w:val="left" w:pos="360"/>
          <w:tab w:val="left" w:pos="720"/>
        </w:tabs>
      </w:pPr>
      <w:r w:rsidRPr="009432E6">
        <w:t>Actual year</w:t>
      </w:r>
      <w:r w:rsidR="00550C0A" w:rsidRPr="009432E6">
        <w:t>-</w:t>
      </w:r>
      <w:r w:rsidRPr="009432E6">
        <w:t>to</w:t>
      </w:r>
      <w:r w:rsidR="00550C0A" w:rsidRPr="009432E6">
        <w:t>-</w:t>
      </w:r>
      <w:r w:rsidRPr="009432E6">
        <w:t>date budget</w:t>
      </w:r>
    </w:p>
    <w:p w:rsidR="00F06459" w:rsidRPr="009432E6" w:rsidRDefault="00F06459" w:rsidP="00550C0A">
      <w:pPr>
        <w:pStyle w:val="ListParagraph"/>
        <w:numPr>
          <w:ilvl w:val="0"/>
          <w:numId w:val="26"/>
        </w:numPr>
        <w:tabs>
          <w:tab w:val="left" w:pos="360"/>
          <w:tab w:val="left" w:pos="720"/>
        </w:tabs>
      </w:pPr>
      <w:r w:rsidRPr="009432E6">
        <w:t>Current balance sheet</w:t>
      </w:r>
      <w:r w:rsidR="00550C0A" w:rsidRPr="009432E6">
        <w:t xml:space="preserve"> (to be dated within the last 90 days)</w:t>
      </w:r>
    </w:p>
    <w:p w:rsidR="00F06459" w:rsidRPr="009432E6" w:rsidRDefault="00F06459" w:rsidP="00550C0A">
      <w:pPr>
        <w:pStyle w:val="ListParagraph"/>
        <w:numPr>
          <w:ilvl w:val="0"/>
          <w:numId w:val="26"/>
        </w:numPr>
        <w:tabs>
          <w:tab w:val="left" w:pos="360"/>
          <w:tab w:val="left" w:pos="720"/>
        </w:tabs>
      </w:pPr>
      <w:r w:rsidRPr="009432E6">
        <w:t>Actual income and expense statement</w:t>
      </w:r>
      <w:r w:rsidR="00550C0A" w:rsidRPr="009432E6">
        <w:t xml:space="preserve"> (previous year’s actual year-end results)</w:t>
      </w:r>
    </w:p>
    <w:p w:rsidR="00F06459" w:rsidRPr="009432E6" w:rsidRDefault="00F06459" w:rsidP="00550C0A">
      <w:pPr>
        <w:pStyle w:val="ListParagraph"/>
        <w:numPr>
          <w:ilvl w:val="0"/>
          <w:numId w:val="26"/>
        </w:numPr>
        <w:tabs>
          <w:tab w:val="left" w:pos="360"/>
          <w:tab w:val="left" w:pos="720"/>
        </w:tabs>
      </w:pPr>
      <w:r w:rsidRPr="009432E6">
        <w:t>Bank statements</w:t>
      </w:r>
      <w:r w:rsidR="00550C0A" w:rsidRPr="009432E6">
        <w:t xml:space="preserve"> (as needed)</w:t>
      </w:r>
    </w:p>
    <w:p w:rsidR="00F06459" w:rsidRPr="009432E6" w:rsidRDefault="00F06459" w:rsidP="00550C0A">
      <w:pPr>
        <w:pStyle w:val="ListParagraph"/>
        <w:numPr>
          <w:ilvl w:val="0"/>
          <w:numId w:val="26"/>
        </w:numPr>
        <w:tabs>
          <w:tab w:val="left" w:pos="360"/>
          <w:tab w:val="left" w:pos="720"/>
        </w:tabs>
      </w:pPr>
      <w:r w:rsidRPr="009432E6">
        <w:t xml:space="preserve">Reserve study performed or updated within the last </w:t>
      </w:r>
      <w:r w:rsidR="007F0FD9" w:rsidRPr="009432E6">
        <w:t>24 months</w:t>
      </w:r>
      <w:r w:rsidR="00550C0A" w:rsidRPr="009432E6">
        <w:t xml:space="preserve"> (as needed)</w:t>
      </w:r>
    </w:p>
    <w:p w:rsidR="00DA4FDD" w:rsidRPr="009432E6" w:rsidRDefault="00DA4FDD" w:rsidP="00550C0A">
      <w:pPr>
        <w:pStyle w:val="ListParagraph"/>
        <w:numPr>
          <w:ilvl w:val="0"/>
          <w:numId w:val="26"/>
        </w:numPr>
        <w:tabs>
          <w:tab w:val="left" w:pos="360"/>
          <w:tab w:val="left" w:pos="720"/>
        </w:tabs>
      </w:pPr>
      <w:r w:rsidRPr="009432E6">
        <w:t>Management Agreement</w:t>
      </w:r>
      <w:r w:rsidR="00550C0A" w:rsidRPr="009432E6">
        <w:t xml:space="preserve"> (agreement between the homeowners association and a management company providing services on their behalf)</w:t>
      </w:r>
    </w:p>
    <w:p w:rsidR="00F06459" w:rsidRPr="009432E6" w:rsidRDefault="00F06459" w:rsidP="00F90D34">
      <w:pPr>
        <w:tabs>
          <w:tab w:val="left" w:pos="360"/>
          <w:tab w:val="left" w:pos="720"/>
        </w:tabs>
        <w:ind w:left="360"/>
      </w:pPr>
    </w:p>
    <w:p w:rsidR="00F06459" w:rsidRPr="009432E6" w:rsidRDefault="00F06459" w:rsidP="00F90D34">
      <w:pPr>
        <w:tabs>
          <w:tab w:val="left" w:pos="360"/>
          <w:tab w:val="left" w:pos="720"/>
        </w:tabs>
        <w:ind w:left="360"/>
      </w:pPr>
      <w:r w:rsidRPr="009432E6">
        <w:t>Special Assessments</w:t>
      </w:r>
      <w:r w:rsidR="00550C0A" w:rsidRPr="009432E6">
        <w:t>:</w:t>
      </w:r>
    </w:p>
    <w:p w:rsidR="00B6136E" w:rsidRPr="009432E6" w:rsidRDefault="00B6136E" w:rsidP="00F90D34">
      <w:pPr>
        <w:tabs>
          <w:tab w:val="left" w:pos="360"/>
          <w:tab w:val="left" w:pos="720"/>
        </w:tabs>
        <w:ind w:left="360"/>
      </w:pPr>
    </w:p>
    <w:p w:rsidR="00F06459" w:rsidRPr="009432E6" w:rsidRDefault="00313A45" w:rsidP="00F90D34">
      <w:pPr>
        <w:tabs>
          <w:tab w:val="left" w:pos="360"/>
          <w:tab w:val="left" w:pos="720"/>
        </w:tabs>
        <w:ind w:left="360"/>
      </w:pPr>
      <w:r w:rsidRPr="009432E6">
        <w:t xml:space="preserve">If a </w:t>
      </w:r>
      <w:r w:rsidR="00F06459" w:rsidRPr="009432E6">
        <w:t xml:space="preserve">project is subject to a special assessment, </w:t>
      </w:r>
      <w:r w:rsidRPr="009432E6">
        <w:t>FHA</w:t>
      </w:r>
      <w:r w:rsidR="00F06459" w:rsidRPr="009432E6">
        <w:t xml:space="preserve"> will require specific information regarding the special assessment.  </w:t>
      </w:r>
      <w:r w:rsidR="007F0FD9" w:rsidRPr="009432E6">
        <w:t xml:space="preserve">Typically, when the </w:t>
      </w:r>
      <w:r w:rsidRPr="009432E6">
        <w:t xml:space="preserve">homeowner’s association </w:t>
      </w:r>
      <w:r w:rsidR="007F0FD9" w:rsidRPr="009432E6">
        <w:t xml:space="preserve">board </w:t>
      </w:r>
      <w:r w:rsidR="005E35F4" w:rsidRPr="009432E6">
        <w:t xml:space="preserve">determines </w:t>
      </w:r>
      <w:r w:rsidRPr="009432E6">
        <w:t xml:space="preserve">that </w:t>
      </w:r>
      <w:r w:rsidR="005E35F4" w:rsidRPr="009432E6">
        <w:t xml:space="preserve">a special assessment is necessary the project provides homeowners with an explanation </w:t>
      </w:r>
      <w:r w:rsidR="00B479ED" w:rsidRPr="009432E6">
        <w:t>regarding why the assessment is necessary</w:t>
      </w:r>
      <w:r w:rsidR="00631460" w:rsidRPr="009432E6">
        <w:t>, the assessment’s impact on financi</w:t>
      </w:r>
      <w:r w:rsidR="007F0FD9" w:rsidRPr="009432E6">
        <w:t xml:space="preserve">al stability, </w:t>
      </w:r>
      <w:r w:rsidR="00631460" w:rsidRPr="009432E6">
        <w:t xml:space="preserve">value and marketability of the units and </w:t>
      </w:r>
      <w:r w:rsidR="007F0FD9" w:rsidRPr="009432E6">
        <w:t>the terms for collection</w:t>
      </w:r>
      <w:r w:rsidR="00B479ED" w:rsidRPr="009432E6">
        <w:t xml:space="preserve">.  </w:t>
      </w:r>
      <w:r w:rsidRPr="009432E6">
        <w:t>FHA</w:t>
      </w:r>
      <w:r w:rsidR="00B479ED" w:rsidRPr="009432E6">
        <w:t xml:space="preserve"> </w:t>
      </w:r>
      <w:r w:rsidR="007F0FD9" w:rsidRPr="009432E6">
        <w:t>requires</w:t>
      </w:r>
      <w:r w:rsidR="00B479ED" w:rsidRPr="009432E6">
        <w:t xml:space="preserve"> the same information be provided</w:t>
      </w:r>
      <w:r w:rsidR="007F0FD9" w:rsidRPr="009432E6">
        <w:t>.</w:t>
      </w:r>
    </w:p>
    <w:p w:rsidR="00B479ED" w:rsidRPr="009432E6" w:rsidRDefault="00B479ED" w:rsidP="00F90D34">
      <w:pPr>
        <w:tabs>
          <w:tab w:val="left" w:pos="360"/>
          <w:tab w:val="left" w:pos="720"/>
        </w:tabs>
        <w:ind w:left="360"/>
      </w:pPr>
    </w:p>
    <w:p w:rsidR="00527B8F" w:rsidRPr="009432E6" w:rsidRDefault="00631460" w:rsidP="00F90D34">
      <w:pPr>
        <w:tabs>
          <w:tab w:val="left" w:pos="360"/>
          <w:tab w:val="left" w:pos="720"/>
        </w:tabs>
        <w:ind w:left="360"/>
      </w:pPr>
      <w:r w:rsidRPr="009432E6">
        <w:t>Litigation</w:t>
      </w:r>
      <w:r w:rsidR="00313A45" w:rsidRPr="009432E6">
        <w:t>:</w:t>
      </w:r>
    </w:p>
    <w:p w:rsidR="00631460" w:rsidRPr="009432E6" w:rsidRDefault="00631460" w:rsidP="00F90D34">
      <w:pPr>
        <w:tabs>
          <w:tab w:val="left" w:pos="360"/>
          <w:tab w:val="left" w:pos="720"/>
        </w:tabs>
        <w:ind w:left="360"/>
        <w:rPr>
          <w:b/>
          <w:sz w:val="20"/>
          <w:szCs w:val="20"/>
        </w:rPr>
      </w:pPr>
    </w:p>
    <w:p w:rsidR="00631460" w:rsidRPr="009432E6" w:rsidRDefault="00313A45" w:rsidP="00F90D34">
      <w:pPr>
        <w:tabs>
          <w:tab w:val="left" w:pos="360"/>
          <w:tab w:val="left" w:pos="720"/>
        </w:tabs>
        <w:ind w:left="360"/>
      </w:pPr>
      <w:r w:rsidRPr="009432E6">
        <w:t xml:space="preserve">If a </w:t>
      </w:r>
      <w:r w:rsidR="00FF6EF2" w:rsidRPr="009432E6">
        <w:t xml:space="preserve">project is the subject of ongoing litigation or alternative dispute resolution proceedings, a letter from the </w:t>
      </w:r>
      <w:r w:rsidRPr="009432E6">
        <w:t xml:space="preserve">homeowner’s association </w:t>
      </w:r>
      <w:r w:rsidR="00FF6EF2" w:rsidRPr="009432E6">
        <w:t>attorney</w:t>
      </w:r>
      <w:r w:rsidR="007F0FD9" w:rsidRPr="009432E6">
        <w:t xml:space="preserve"> must be provided </w:t>
      </w:r>
      <w:r w:rsidR="00FF6EF2" w:rsidRPr="009432E6">
        <w:t xml:space="preserve">indicating the extent of the litigation and the potential liability of the association in the event of a loss.  While this information may not be prepared by the </w:t>
      </w:r>
      <w:r w:rsidRPr="009432E6">
        <w:t>association</w:t>
      </w:r>
      <w:r w:rsidR="00FF6EF2" w:rsidRPr="009432E6">
        <w:t xml:space="preserve"> in the normal course of business, the information is critical to determining whether the project is financially stable and a reasonable risk for mortgages insured by </w:t>
      </w:r>
      <w:r w:rsidRPr="009432E6">
        <w:t>FHA</w:t>
      </w:r>
      <w:r w:rsidR="00FF6EF2" w:rsidRPr="009432E6">
        <w:t>.</w:t>
      </w:r>
    </w:p>
    <w:p w:rsidR="00BF5978" w:rsidRPr="009432E6" w:rsidRDefault="00BF5978" w:rsidP="00F90D34">
      <w:pPr>
        <w:tabs>
          <w:tab w:val="left" w:pos="360"/>
          <w:tab w:val="left" w:pos="720"/>
        </w:tabs>
        <w:ind w:left="360"/>
      </w:pPr>
    </w:p>
    <w:p w:rsidR="00D73FE7" w:rsidRPr="009432E6" w:rsidRDefault="00ED6A14" w:rsidP="00F90D34">
      <w:pPr>
        <w:tabs>
          <w:tab w:val="left" w:pos="360"/>
          <w:tab w:val="left" w:pos="720"/>
        </w:tabs>
        <w:ind w:left="360"/>
      </w:pPr>
      <w:r w:rsidRPr="009432E6">
        <w:t xml:space="preserve">Project </w:t>
      </w:r>
      <w:r w:rsidR="004C4EFA" w:rsidRPr="009432E6">
        <w:t>Certification</w:t>
      </w:r>
      <w:r w:rsidR="00313A45" w:rsidRPr="009432E6">
        <w:t>:</w:t>
      </w:r>
    </w:p>
    <w:p w:rsidR="00ED6A14" w:rsidRPr="009432E6" w:rsidRDefault="00ED6A14" w:rsidP="00F90D34">
      <w:pPr>
        <w:tabs>
          <w:tab w:val="left" w:pos="360"/>
          <w:tab w:val="left" w:pos="720"/>
        </w:tabs>
        <w:ind w:left="360"/>
      </w:pPr>
    </w:p>
    <w:p w:rsidR="004C4EFA" w:rsidRPr="009432E6" w:rsidRDefault="00313A45" w:rsidP="004C4EFA">
      <w:pPr>
        <w:tabs>
          <w:tab w:val="left" w:pos="360"/>
          <w:tab w:val="left" w:pos="720"/>
        </w:tabs>
        <w:ind w:left="360"/>
      </w:pPr>
      <w:r w:rsidRPr="009432E6">
        <w:t xml:space="preserve">A Project </w:t>
      </w:r>
      <w:r w:rsidR="00F27D69" w:rsidRPr="009432E6">
        <w:t>Certification</w:t>
      </w:r>
      <w:r w:rsidRPr="009432E6">
        <w:t xml:space="preserve"> is required and must be submitted with each request for condominium project approval, including annexation requests.</w:t>
      </w:r>
      <w:r w:rsidR="00ED6A14" w:rsidRPr="009432E6">
        <w:t xml:space="preserve">  The certification </w:t>
      </w:r>
      <w:r w:rsidRPr="009432E6">
        <w:t xml:space="preserve">must be submitted on letterhead and must be executed (signed/dated – signature stamps or electronic signatures are not permitted) by </w:t>
      </w:r>
      <w:r w:rsidR="00F27D69" w:rsidRPr="009432E6">
        <w:t>the</w:t>
      </w:r>
      <w:r w:rsidRPr="009432E6">
        <w:t xml:space="preserve"> lender’s authorized representative, the </w:t>
      </w:r>
      <w:r w:rsidR="00F27D69" w:rsidRPr="009432E6">
        <w:t>homeowners</w:t>
      </w:r>
      <w:r w:rsidRPr="009432E6">
        <w:t xml:space="preserve"> association representative, the builder, the developer, a management company, attorney or an independent project </w:t>
      </w:r>
      <w:r w:rsidR="00F27D69" w:rsidRPr="009432E6">
        <w:t>consultant</w:t>
      </w:r>
      <w:r w:rsidRPr="009432E6">
        <w:t xml:space="preserve"> representing the homeowners </w:t>
      </w:r>
      <w:r w:rsidR="00F27D69" w:rsidRPr="009432E6">
        <w:t>association</w:t>
      </w:r>
      <w:r w:rsidRPr="009432E6">
        <w:t xml:space="preserve">.  Required </w:t>
      </w:r>
      <w:r w:rsidR="007F0FD9" w:rsidRPr="009432E6">
        <w:t>certifications</w:t>
      </w:r>
      <w:r w:rsidR="00ED6A14" w:rsidRPr="009432E6">
        <w:t xml:space="preserve"> </w:t>
      </w:r>
      <w:r w:rsidRPr="009432E6">
        <w:t xml:space="preserve">include </w:t>
      </w:r>
      <w:r w:rsidR="00ED6A14" w:rsidRPr="009432E6">
        <w:t>that the authorized individual has reviewed the project</w:t>
      </w:r>
      <w:r w:rsidRPr="009432E6">
        <w:t>;</w:t>
      </w:r>
      <w:r w:rsidR="00ED6A14" w:rsidRPr="009432E6">
        <w:t xml:space="preserve"> confirmed that it meets all State and local laws and all </w:t>
      </w:r>
      <w:r w:rsidRPr="009432E6">
        <w:t>FHA</w:t>
      </w:r>
      <w:r w:rsidR="00ED6A14" w:rsidRPr="009432E6">
        <w:t xml:space="preserve"> condominium approval requirements</w:t>
      </w:r>
      <w:r w:rsidR="00AA2415" w:rsidRPr="009432E6">
        <w:t>; that all statements are true and correct</w:t>
      </w:r>
      <w:r w:rsidR="008D2D09" w:rsidRPr="009432E6">
        <w:t>;</w:t>
      </w:r>
      <w:r w:rsidR="00AA2415" w:rsidRPr="009432E6">
        <w:t xml:space="preserve"> and that the submitter has no knowledge of circumstances or conditions that would adversely affect the project.</w:t>
      </w:r>
      <w:r w:rsidR="004C4EFA" w:rsidRPr="009432E6">
        <w:rPr>
          <w:b/>
        </w:rPr>
        <w:t xml:space="preserve"> </w:t>
      </w:r>
    </w:p>
    <w:p w:rsidR="005215D8" w:rsidRPr="009432E6" w:rsidRDefault="005215D8" w:rsidP="00F90D34">
      <w:pPr>
        <w:tabs>
          <w:tab w:val="left" w:pos="360"/>
          <w:tab w:val="left" w:pos="720"/>
        </w:tabs>
        <w:ind w:left="360"/>
      </w:pPr>
    </w:p>
    <w:p w:rsidR="005215D8" w:rsidRPr="009432E6" w:rsidRDefault="005215D8" w:rsidP="005215D8">
      <w:pPr>
        <w:tabs>
          <w:tab w:val="left" w:pos="360"/>
          <w:tab w:val="left" w:pos="720"/>
        </w:tabs>
        <w:ind w:left="360"/>
      </w:pPr>
      <w:r w:rsidRPr="009432E6">
        <w:t>Affordable Housing</w:t>
      </w:r>
      <w:r w:rsidR="00313A45" w:rsidRPr="009432E6">
        <w:t>:</w:t>
      </w:r>
    </w:p>
    <w:p w:rsidR="00524291" w:rsidRPr="009432E6" w:rsidRDefault="00524291" w:rsidP="005215D8">
      <w:pPr>
        <w:tabs>
          <w:tab w:val="left" w:pos="360"/>
          <w:tab w:val="left" w:pos="720"/>
        </w:tabs>
        <w:ind w:left="360"/>
      </w:pPr>
    </w:p>
    <w:p w:rsidR="007B55B8" w:rsidRPr="009432E6" w:rsidRDefault="007B55B8" w:rsidP="005215D8">
      <w:pPr>
        <w:tabs>
          <w:tab w:val="left" w:pos="360"/>
          <w:tab w:val="left" w:pos="720"/>
        </w:tabs>
        <w:ind w:left="360"/>
      </w:pPr>
      <w:r w:rsidRPr="009432E6">
        <w:t xml:space="preserve">Affordable housing must meet the requirements of 24 CFR 203.41(c) and (d) or the recorded condominium declarations contain the affordable housing program requirements, including defining the </w:t>
      </w:r>
      <w:r w:rsidR="00F27D69" w:rsidRPr="009432E6">
        <w:t>specific</w:t>
      </w:r>
      <w:r w:rsidRPr="009432E6">
        <w:t xml:space="preserve"> units that are covered under the program.  </w:t>
      </w:r>
      <w:r w:rsidR="00F27D69" w:rsidRPr="009432E6">
        <w:t xml:space="preserve">If the units are not defined within the recorded condominium declarations, an amendment to the legal documents must be prepared and recorded or an executed (signed and dated) document identifying the affordable units must be issued by the affordable housing program staff and recorded.  </w:t>
      </w:r>
      <w:r w:rsidRPr="009432E6">
        <w:t>FHA</w:t>
      </w:r>
      <w:r w:rsidR="005215D8" w:rsidRPr="009432E6">
        <w:t xml:space="preserve"> require</w:t>
      </w:r>
      <w:r w:rsidRPr="009432E6">
        <w:t>s</w:t>
      </w:r>
      <w:r w:rsidR="005215D8" w:rsidRPr="009432E6">
        <w:t xml:space="preserve"> this </w:t>
      </w:r>
      <w:r w:rsidR="00F27D69" w:rsidRPr="009432E6">
        <w:t>information</w:t>
      </w:r>
      <w:r w:rsidRPr="009432E6">
        <w:t xml:space="preserve"> be</w:t>
      </w:r>
      <w:r w:rsidR="005215D8" w:rsidRPr="009432E6">
        <w:t xml:space="preserve"> specified </w:t>
      </w:r>
      <w:r w:rsidRPr="009432E6">
        <w:t xml:space="preserve">including </w:t>
      </w:r>
      <w:r w:rsidR="005215D8" w:rsidRPr="009432E6">
        <w:t xml:space="preserve">which units </w:t>
      </w:r>
      <w:r w:rsidR="00F27D69" w:rsidRPr="009432E6">
        <w:t>is</w:t>
      </w:r>
      <w:r w:rsidR="005215D8" w:rsidRPr="009432E6">
        <w:t xml:space="preserve"> encumbered</w:t>
      </w:r>
      <w:r w:rsidRPr="009432E6">
        <w:t xml:space="preserve"> by the affordable housing provisions.</w:t>
      </w:r>
    </w:p>
    <w:p w:rsidR="007B55B8" w:rsidRPr="009432E6" w:rsidRDefault="007B55B8" w:rsidP="005215D8">
      <w:pPr>
        <w:tabs>
          <w:tab w:val="left" w:pos="360"/>
          <w:tab w:val="left" w:pos="720"/>
        </w:tabs>
        <w:ind w:left="360"/>
      </w:pPr>
    </w:p>
    <w:p w:rsidR="005215D8" w:rsidRPr="009432E6" w:rsidRDefault="005215D8" w:rsidP="005215D8">
      <w:pPr>
        <w:tabs>
          <w:tab w:val="left" w:pos="360"/>
          <w:tab w:val="left" w:pos="720"/>
        </w:tabs>
        <w:ind w:left="360"/>
      </w:pPr>
      <w:r w:rsidRPr="009432E6">
        <w:lastRenderedPageBreak/>
        <w:t>2-4 unit projects</w:t>
      </w:r>
      <w:r w:rsidR="007B55B8" w:rsidRPr="009432E6">
        <w:t>:</w:t>
      </w:r>
    </w:p>
    <w:p w:rsidR="00524291" w:rsidRPr="009432E6" w:rsidRDefault="00524291" w:rsidP="005215D8">
      <w:pPr>
        <w:tabs>
          <w:tab w:val="left" w:pos="360"/>
          <w:tab w:val="left" w:pos="720"/>
        </w:tabs>
        <w:ind w:left="360"/>
      </w:pPr>
    </w:p>
    <w:p w:rsidR="005215D8" w:rsidRPr="009432E6" w:rsidRDefault="007B55B8" w:rsidP="005215D8">
      <w:pPr>
        <w:tabs>
          <w:tab w:val="left" w:pos="360"/>
          <w:tab w:val="left" w:pos="720"/>
        </w:tabs>
        <w:ind w:left="360"/>
      </w:pPr>
      <w:r w:rsidRPr="009432E6">
        <w:t>FHA</w:t>
      </w:r>
      <w:r w:rsidR="005215D8" w:rsidRPr="009432E6">
        <w:t xml:space="preserve"> reduced the requirements for 2-4 unit condominium projects.  The only documents required are those required by state law to create</w:t>
      </w:r>
      <w:r w:rsidR="008D2D09" w:rsidRPr="009432E6">
        <w:t>, operate, or maintain</w:t>
      </w:r>
      <w:r w:rsidR="005215D8" w:rsidRPr="009432E6">
        <w:t xml:space="preserve"> the condominium</w:t>
      </w:r>
      <w:r w:rsidR="008D2D09" w:rsidRPr="009432E6">
        <w:t xml:space="preserve"> project</w:t>
      </w:r>
      <w:r w:rsidR="005215D8" w:rsidRPr="009432E6">
        <w:t xml:space="preserve">. </w:t>
      </w:r>
      <w:r w:rsidR="008D2D09" w:rsidRPr="009432E6">
        <w:t>Such documents include Memorandums of Understanding (MOU’s), Homeowner’s agreement or Declaration</w:t>
      </w:r>
      <w:r w:rsidRPr="009432E6">
        <w:t>s</w:t>
      </w:r>
      <w:r w:rsidR="008D2D09" w:rsidRPr="009432E6">
        <w:t xml:space="preserve">. </w:t>
      </w:r>
      <w:r w:rsidR="005215D8" w:rsidRPr="009432E6">
        <w:t xml:space="preserve"> As such</w:t>
      </w:r>
      <w:r w:rsidRPr="009432E6">
        <w:t>,</w:t>
      </w:r>
      <w:r w:rsidR="005215D8" w:rsidRPr="009432E6">
        <w:t xml:space="preserve"> they are created in the normal course of business and there is no burden ascribed to submitting them to </w:t>
      </w:r>
      <w:r w:rsidRPr="009432E6">
        <w:t>FHA</w:t>
      </w:r>
      <w:r w:rsidR="005215D8" w:rsidRPr="009432E6">
        <w:t>.</w:t>
      </w:r>
    </w:p>
    <w:p w:rsidR="00564A65" w:rsidRPr="009432E6" w:rsidRDefault="00564A65" w:rsidP="00F90D34">
      <w:pPr>
        <w:tabs>
          <w:tab w:val="left" w:pos="360"/>
          <w:tab w:val="left" w:pos="720"/>
        </w:tabs>
        <w:ind w:left="360"/>
      </w:pPr>
    </w:p>
    <w:p w:rsidR="006B5DE6" w:rsidRPr="009432E6" w:rsidRDefault="00F90D34" w:rsidP="00F90D34">
      <w:pPr>
        <w:tabs>
          <w:tab w:val="left" w:pos="360"/>
          <w:tab w:val="left" w:pos="720"/>
        </w:tabs>
        <w:ind w:left="360"/>
      </w:pPr>
      <w:r w:rsidRPr="009432E6">
        <w:t>New Construction</w:t>
      </w:r>
      <w:r w:rsidR="007B55B8" w:rsidRPr="009432E6">
        <w:t>:</w:t>
      </w:r>
      <w:r w:rsidRPr="009432E6">
        <w:t xml:space="preserve"> </w:t>
      </w:r>
    </w:p>
    <w:p w:rsidR="00524291" w:rsidRPr="009432E6" w:rsidRDefault="00524291" w:rsidP="00F90D34">
      <w:pPr>
        <w:tabs>
          <w:tab w:val="left" w:pos="360"/>
          <w:tab w:val="left" w:pos="720"/>
        </w:tabs>
        <w:ind w:left="360"/>
        <w:rPr>
          <w:i/>
        </w:rPr>
      </w:pPr>
    </w:p>
    <w:p w:rsidR="00F90D34" w:rsidRPr="009432E6" w:rsidRDefault="007B55B8" w:rsidP="00F90D34">
      <w:pPr>
        <w:tabs>
          <w:tab w:val="left" w:pos="360"/>
          <w:tab w:val="left" w:pos="720"/>
        </w:tabs>
        <w:ind w:left="360"/>
      </w:pPr>
      <w:r w:rsidRPr="009432E6">
        <w:t>In addition to meeting the document requirements stated above,</w:t>
      </w:r>
      <w:r w:rsidR="00F90D34" w:rsidRPr="009432E6">
        <w:t xml:space="preserve"> </w:t>
      </w:r>
      <w:r w:rsidR="008D2D09" w:rsidRPr="009432E6">
        <w:t xml:space="preserve">proposed, under </w:t>
      </w:r>
      <w:r w:rsidR="00F90D34" w:rsidRPr="009432E6">
        <w:t>construction</w:t>
      </w:r>
      <w:r w:rsidRPr="009432E6">
        <w:t>, existing less than 12 months old</w:t>
      </w:r>
      <w:r w:rsidR="008D2D09" w:rsidRPr="009432E6">
        <w:t xml:space="preserve"> and gut-rehabilitation conversion</w:t>
      </w:r>
      <w:r w:rsidR="00F90D34" w:rsidRPr="009432E6">
        <w:t xml:space="preserve"> projects must also be suppo</w:t>
      </w:r>
      <w:r w:rsidR="008D2D09" w:rsidRPr="009432E6">
        <w:t>rted by the following documents:</w:t>
      </w:r>
    </w:p>
    <w:p w:rsidR="00F90D34" w:rsidRPr="009432E6" w:rsidRDefault="00F90D34" w:rsidP="00F90D34">
      <w:pPr>
        <w:tabs>
          <w:tab w:val="left" w:pos="360"/>
          <w:tab w:val="left" w:pos="720"/>
        </w:tabs>
        <w:ind w:left="360"/>
      </w:pPr>
    </w:p>
    <w:p w:rsidR="00F90D34" w:rsidRPr="009432E6" w:rsidRDefault="00F90D34" w:rsidP="00F90D34">
      <w:pPr>
        <w:tabs>
          <w:tab w:val="left" w:pos="360"/>
          <w:tab w:val="left" w:pos="720"/>
        </w:tabs>
        <w:ind w:left="360"/>
      </w:pPr>
      <w:r w:rsidRPr="009432E6">
        <w:t>Projected Budget</w:t>
      </w:r>
      <w:r w:rsidR="007B55B8" w:rsidRPr="009432E6">
        <w:t>:</w:t>
      </w:r>
    </w:p>
    <w:p w:rsidR="00524291" w:rsidRPr="009432E6" w:rsidRDefault="00524291" w:rsidP="00F90D34">
      <w:pPr>
        <w:tabs>
          <w:tab w:val="left" w:pos="360"/>
          <w:tab w:val="left" w:pos="720"/>
        </w:tabs>
        <w:ind w:left="360"/>
      </w:pPr>
    </w:p>
    <w:p w:rsidR="00F90D34" w:rsidRPr="009432E6" w:rsidRDefault="00F90D34" w:rsidP="00F90D34">
      <w:pPr>
        <w:tabs>
          <w:tab w:val="left" w:pos="360"/>
          <w:tab w:val="left" w:pos="720"/>
        </w:tabs>
        <w:ind w:left="360"/>
      </w:pPr>
      <w:r w:rsidRPr="009432E6">
        <w:t>A projected budget may be substituted for a current year budget if the condominium does not yet have</w:t>
      </w:r>
      <w:r w:rsidR="004E61C8" w:rsidRPr="009432E6">
        <w:t xml:space="preserve"> owners paying association dues.</w:t>
      </w:r>
      <w:r w:rsidRPr="009432E6">
        <w:t xml:space="preserve">  </w:t>
      </w:r>
    </w:p>
    <w:p w:rsidR="00F90D34" w:rsidRPr="009432E6" w:rsidRDefault="00F90D34" w:rsidP="00F90D34">
      <w:pPr>
        <w:tabs>
          <w:tab w:val="left" w:pos="360"/>
          <w:tab w:val="left" w:pos="720"/>
        </w:tabs>
        <w:ind w:left="360"/>
        <w:rPr>
          <w:b/>
        </w:rPr>
      </w:pPr>
    </w:p>
    <w:p w:rsidR="00F90D34" w:rsidRPr="009432E6" w:rsidRDefault="00F90D34" w:rsidP="00F90D34">
      <w:pPr>
        <w:tabs>
          <w:tab w:val="left" w:pos="360"/>
          <w:tab w:val="left" w:pos="720"/>
        </w:tabs>
        <w:ind w:left="360"/>
      </w:pPr>
      <w:proofErr w:type="gramStart"/>
      <w:r w:rsidRPr="009432E6">
        <w:t>Phase</w:t>
      </w:r>
      <w:proofErr w:type="gramEnd"/>
      <w:r w:rsidRPr="009432E6">
        <w:t xml:space="preserve"> </w:t>
      </w:r>
      <w:r w:rsidR="007B55B8" w:rsidRPr="009432E6">
        <w:t>I</w:t>
      </w:r>
      <w:r w:rsidRPr="009432E6">
        <w:t xml:space="preserve"> Environmental</w:t>
      </w:r>
      <w:r w:rsidR="007B55B8" w:rsidRPr="009432E6">
        <w:t>:</w:t>
      </w:r>
    </w:p>
    <w:p w:rsidR="00524291" w:rsidRPr="009432E6" w:rsidRDefault="00524291" w:rsidP="00F90D34">
      <w:pPr>
        <w:tabs>
          <w:tab w:val="left" w:pos="360"/>
          <w:tab w:val="left" w:pos="720"/>
        </w:tabs>
        <w:ind w:left="360"/>
      </w:pPr>
    </w:p>
    <w:p w:rsidR="00F90D34" w:rsidRPr="009432E6" w:rsidRDefault="00F90D34" w:rsidP="00F90D34">
      <w:pPr>
        <w:tabs>
          <w:tab w:val="left" w:pos="360"/>
          <w:tab w:val="left" w:pos="720"/>
        </w:tabs>
        <w:ind w:left="360"/>
      </w:pPr>
      <w:r w:rsidRPr="009432E6">
        <w:t xml:space="preserve">A Phase </w:t>
      </w:r>
      <w:r w:rsidR="007B55B8" w:rsidRPr="009432E6">
        <w:t>I</w:t>
      </w:r>
      <w:r w:rsidRPr="009432E6">
        <w:t xml:space="preserve"> Environmental </w:t>
      </w:r>
      <w:r w:rsidR="00614A0D" w:rsidRPr="009432E6">
        <w:t>R</w:t>
      </w:r>
      <w:r w:rsidRPr="009432E6">
        <w:t>eport will be required for all new construction projects</w:t>
      </w:r>
      <w:r w:rsidR="008D2D09" w:rsidRPr="009432E6">
        <w:t xml:space="preserve"> in which the stage of construction is not yet past the point where the construction can be influenced by </w:t>
      </w:r>
      <w:r w:rsidR="007B55B8" w:rsidRPr="009432E6">
        <w:t>FHA</w:t>
      </w:r>
      <w:r w:rsidR="008D2D09" w:rsidRPr="009432E6">
        <w:t xml:space="preserve"> requirements</w:t>
      </w:r>
      <w:r w:rsidRPr="009432E6">
        <w:t xml:space="preserve">.  </w:t>
      </w:r>
      <w:r w:rsidR="00614A0D" w:rsidRPr="009432E6">
        <w:t>FHA</w:t>
      </w:r>
      <w:r w:rsidRPr="009432E6">
        <w:t xml:space="preserve"> requires a Phase </w:t>
      </w:r>
      <w:r w:rsidR="00614A0D" w:rsidRPr="009432E6">
        <w:t>I</w:t>
      </w:r>
      <w:r w:rsidRPr="009432E6">
        <w:t xml:space="preserve"> </w:t>
      </w:r>
      <w:r w:rsidR="00614A0D" w:rsidRPr="009432E6">
        <w:t>E</w:t>
      </w:r>
      <w:r w:rsidR="008D2D09" w:rsidRPr="009432E6">
        <w:t xml:space="preserve">nvironmental </w:t>
      </w:r>
      <w:r w:rsidR="00614A0D" w:rsidRPr="009432E6">
        <w:t>R</w:t>
      </w:r>
      <w:r w:rsidRPr="009432E6">
        <w:t xml:space="preserve">eport for </w:t>
      </w:r>
      <w:r w:rsidR="00614A0D" w:rsidRPr="009432E6">
        <w:t>insurance of a single unit condominium</w:t>
      </w:r>
      <w:r w:rsidRPr="009432E6">
        <w:t xml:space="preserve">.  Phase </w:t>
      </w:r>
      <w:r w:rsidR="00614A0D" w:rsidRPr="009432E6">
        <w:t>I</w:t>
      </w:r>
      <w:r w:rsidRPr="009432E6">
        <w:t xml:space="preserve"> reports are typically developed for the initial financing </w:t>
      </w:r>
      <w:r w:rsidR="00614A0D" w:rsidRPr="009432E6">
        <w:t xml:space="preserve">by a construction lender </w:t>
      </w:r>
      <w:r w:rsidRPr="009432E6">
        <w:t xml:space="preserve">of a project well before the project is approved by </w:t>
      </w:r>
      <w:r w:rsidR="00614A0D" w:rsidRPr="009432E6">
        <w:t>FHA</w:t>
      </w:r>
      <w:r w:rsidRPr="009432E6">
        <w:t xml:space="preserve">.  Since this document is available in the normal course of business it not considered a burden for the </w:t>
      </w:r>
      <w:r w:rsidR="008D2D09" w:rsidRPr="009432E6">
        <w:t>builder/</w:t>
      </w:r>
      <w:r w:rsidRPr="009432E6">
        <w:t>developer to provide the document.</w:t>
      </w:r>
    </w:p>
    <w:p w:rsidR="00F90D34" w:rsidRPr="009432E6" w:rsidRDefault="00F90D34" w:rsidP="00F90D34">
      <w:pPr>
        <w:tabs>
          <w:tab w:val="left" w:pos="360"/>
          <w:tab w:val="left" w:pos="720"/>
        </w:tabs>
        <w:ind w:left="360"/>
      </w:pPr>
    </w:p>
    <w:p w:rsidR="00F90D34" w:rsidRPr="009432E6" w:rsidRDefault="00F90D34" w:rsidP="00F90D34">
      <w:pPr>
        <w:tabs>
          <w:tab w:val="left" w:pos="360"/>
          <w:tab w:val="left" w:pos="720"/>
        </w:tabs>
        <w:ind w:left="360"/>
      </w:pPr>
      <w:r w:rsidRPr="009432E6">
        <w:t>Change in Ownership Documents</w:t>
      </w:r>
      <w:r w:rsidR="00614A0D" w:rsidRPr="009432E6">
        <w:t>:</w:t>
      </w:r>
    </w:p>
    <w:p w:rsidR="00524291" w:rsidRPr="009432E6" w:rsidRDefault="00524291" w:rsidP="00F90D34">
      <w:pPr>
        <w:tabs>
          <w:tab w:val="left" w:pos="360"/>
          <w:tab w:val="left" w:pos="720"/>
        </w:tabs>
        <w:ind w:left="360"/>
      </w:pPr>
    </w:p>
    <w:p w:rsidR="00F90D34" w:rsidRPr="009432E6" w:rsidRDefault="00614A0D" w:rsidP="00F90D34">
      <w:pPr>
        <w:tabs>
          <w:tab w:val="left" w:pos="360"/>
          <w:tab w:val="left" w:pos="720"/>
        </w:tabs>
        <w:ind w:left="360"/>
      </w:pPr>
      <w:r w:rsidRPr="009432E6">
        <w:t xml:space="preserve">If there </w:t>
      </w:r>
      <w:r w:rsidR="00F90D34" w:rsidRPr="009432E6">
        <w:t>is a change in the ownership of a project</w:t>
      </w:r>
      <w:r w:rsidRPr="009432E6">
        <w:t>, FHA</w:t>
      </w:r>
      <w:r w:rsidR="00F90D34" w:rsidRPr="009432E6">
        <w:t xml:space="preserve"> require</w:t>
      </w:r>
      <w:r w:rsidR="00A902B6" w:rsidRPr="009432E6">
        <w:t>s</w:t>
      </w:r>
      <w:r w:rsidR="00F90D34" w:rsidRPr="009432E6">
        <w:t xml:space="preserve"> </w:t>
      </w:r>
      <w:r w:rsidRPr="009432E6">
        <w:t xml:space="preserve">that </w:t>
      </w:r>
      <w:r w:rsidR="00F90D34" w:rsidRPr="009432E6">
        <w:t>the ownership change be documented.  A letter providing the details of the ownership change and all applicable legal documen</w:t>
      </w:r>
      <w:r w:rsidR="00A902B6" w:rsidRPr="009432E6">
        <w:t>ts related to the change is</w:t>
      </w:r>
      <w:r w:rsidR="00F90D34" w:rsidRPr="009432E6">
        <w:t xml:space="preserve"> required.  As a result of the rapid change in the economy </w:t>
      </w:r>
      <w:r w:rsidR="00A902B6" w:rsidRPr="009432E6">
        <w:t>builder/</w:t>
      </w:r>
      <w:r w:rsidR="00F90D34" w:rsidRPr="009432E6">
        <w:t>developers who plan to develop condominium units are f</w:t>
      </w:r>
      <w:r w:rsidR="00A902B6" w:rsidRPr="009432E6">
        <w:t>ailing at an unprecedented rate.  A</w:t>
      </w:r>
      <w:r w:rsidR="00F90D34" w:rsidRPr="009432E6">
        <w:t xml:space="preserve">s these </w:t>
      </w:r>
      <w:r w:rsidR="00A902B6" w:rsidRPr="009432E6">
        <w:t>communities transfer to lenders,</w:t>
      </w:r>
      <w:r w:rsidR="00F90D34" w:rsidRPr="009432E6">
        <w:t xml:space="preserve"> other </w:t>
      </w:r>
      <w:r w:rsidR="00A902B6" w:rsidRPr="009432E6">
        <w:t>builder/</w:t>
      </w:r>
      <w:r w:rsidR="00F90D34" w:rsidRPr="009432E6">
        <w:t>developers</w:t>
      </w:r>
      <w:r w:rsidR="00A902B6" w:rsidRPr="009432E6">
        <w:t>, or other parties,</w:t>
      </w:r>
      <w:r w:rsidR="00F90D34" w:rsidRPr="009432E6">
        <w:t xml:space="preserve"> it is critical that </w:t>
      </w:r>
      <w:r w:rsidRPr="009432E6">
        <w:t>FHA</w:t>
      </w:r>
      <w:r w:rsidR="00F90D34" w:rsidRPr="009432E6">
        <w:t xml:space="preserve"> be aware of parties who are responsible for the development until it is turned over to the homeowners</w:t>
      </w:r>
      <w:r w:rsidR="00A902B6" w:rsidRPr="009432E6">
        <w:t xml:space="preserve"> association</w:t>
      </w:r>
      <w:r w:rsidR="00F90D34" w:rsidRPr="009432E6">
        <w:t xml:space="preserve">.  This is less of a burden than the Personal Financial and Credit Statement of Sponsors required by </w:t>
      </w:r>
      <w:r w:rsidRPr="009432E6">
        <w:t xml:space="preserve">form </w:t>
      </w:r>
      <w:r w:rsidR="00F90D34" w:rsidRPr="009432E6">
        <w:t>HUD-93201</w:t>
      </w:r>
      <w:r w:rsidR="008D40A2" w:rsidRPr="009432E6">
        <w:t xml:space="preserve"> (OMB</w:t>
      </w:r>
      <w:r w:rsidR="00F90D34" w:rsidRPr="009432E6">
        <w:t xml:space="preserve"> </w:t>
      </w:r>
      <w:r w:rsidRPr="009432E6">
        <w:t>C</w:t>
      </w:r>
      <w:r w:rsidR="00F90D34" w:rsidRPr="009432E6">
        <w:t>ollection 2502-0141</w:t>
      </w:r>
      <w:r w:rsidR="008D40A2" w:rsidRPr="009432E6">
        <w:t>)</w:t>
      </w:r>
      <w:r w:rsidR="00F90D34" w:rsidRPr="009432E6">
        <w:t>.</w:t>
      </w:r>
    </w:p>
    <w:p w:rsidR="00F90D34" w:rsidRPr="009432E6" w:rsidRDefault="00F90D34" w:rsidP="00F90D34">
      <w:pPr>
        <w:pStyle w:val="ListParagraph"/>
        <w:tabs>
          <w:tab w:val="left" w:pos="360"/>
          <w:tab w:val="left" w:pos="720"/>
        </w:tabs>
        <w:ind w:left="1080"/>
      </w:pPr>
    </w:p>
    <w:p w:rsidR="00F90D34" w:rsidRPr="009432E6" w:rsidRDefault="00F90D34" w:rsidP="00F90D34">
      <w:pPr>
        <w:tabs>
          <w:tab w:val="left" w:pos="360"/>
          <w:tab w:val="left" w:pos="720"/>
        </w:tabs>
        <w:ind w:left="360"/>
      </w:pPr>
      <w:r w:rsidRPr="009432E6">
        <w:t>Builder’s Certification</w:t>
      </w:r>
      <w:r w:rsidR="00A902B6" w:rsidRPr="009432E6">
        <w:t xml:space="preserve"> and Warranty</w:t>
      </w:r>
      <w:r w:rsidR="008D40A2" w:rsidRPr="009432E6">
        <w:t xml:space="preserve"> of Completion of Construction:</w:t>
      </w:r>
    </w:p>
    <w:p w:rsidR="00524291" w:rsidRPr="009432E6" w:rsidRDefault="00524291" w:rsidP="00F90D34">
      <w:pPr>
        <w:tabs>
          <w:tab w:val="left" w:pos="360"/>
          <w:tab w:val="left" w:pos="720"/>
        </w:tabs>
        <w:ind w:left="360"/>
      </w:pPr>
    </w:p>
    <w:p w:rsidR="00F90D34" w:rsidRPr="009432E6" w:rsidRDefault="00F90D34" w:rsidP="00F90D34">
      <w:pPr>
        <w:tabs>
          <w:tab w:val="left" w:pos="360"/>
          <w:tab w:val="left" w:pos="720"/>
        </w:tabs>
        <w:ind w:left="360"/>
      </w:pPr>
      <w:r w:rsidRPr="009432E6">
        <w:t>When the property is new construction the builder</w:t>
      </w:r>
      <w:r w:rsidR="008D40A2" w:rsidRPr="009432E6">
        <w:t>/developer</w:t>
      </w:r>
      <w:r w:rsidRPr="009432E6">
        <w:t xml:space="preserve"> must provide a </w:t>
      </w:r>
      <w:r w:rsidR="008D40A2" w:rsidRPr="009432E6">
        <w:t>Bui</w:t>
      </w:r>
      <w:r w:rsidRPr="009432E6">
        <w:t xml:space="preserve">lder’s </w:t>
      </w:r>
      <w:r w:rsidR="008D40A2" w:rsidRPr="009432E6">
        <w:t>C</w:t>
      </w:r>
      <w:r w:rsidRPr="009432E6">
        <w:t>ertification</w:t>
      </w:r>
      <w:r w:rsidR="008D40A2" w:rsidRPr="009432E6">
        <w:t>,</w:t>
      </w:r>
      <w:r w:rsidRPr="009432E6">
        <w:t xml:space="preserve"> </w:t>
      </w:r>
      <w:r w:rsidR="008D40A2" w:rsidRPr="009432E6">
        <w:t xml:space="preserve">form </w:t>
      </w:r>
      <w:r w:rsidRPr="009432E6">
        <w:t xml:space="preserve">HUD-92541 (OMB </w:t>
      </w:r>
      <w:r w:rsidR="008D40A2" w:rsidRPr="009432E6">
        <w:t>C</w:t>
      </w:r>
      <w:r w:rsidRPr="009432E6">
        <w:t>ollection 2502-0496).  The builder</w:t>
      </w:r>
      <w:r w:rsidR="008D40A2" w:rsidRPr="009432E6">
        <w:t>/developer</w:t>
      </w:r>
      <w:r w:rsidRPr="009432E6">
        <w:t xml:space="preserve"> also must provide a </w:t>
      </w:r>
      <w:r w:rsidR="00A130F6" w:rsidRPr="009432E6">
        <w:t>W</w:t>
      </w:r>
      <w:r w:rsidRPr="009432E6">
        <w:t>arranty</w:t>
      </w:r>
      <w:r w:rsidR="00A130F6" w:rsidRPr="009432E6">
        <w:t xml:space="preserve"> of Completion of </w:t>
      </w:r>
      <w:r w:rsidR="00F27D69" w:rsidRPr="009432E6">
        <w:t>Construction;</w:t>
      </w:r>
      <w:r w:rsidR="00A130F6" w:rsidRPr="009432E6">
        <w:t xml:space="preserve"> </w:t>
      </w:r>
      <w:r w:rsidR="008D40A2" w:rsidRPr="009432E6">
        <w:t xml:space="preserve">form </w:t>
      </w:r>
      <w:r w:rsidRPr="009432E6">
        <w:t>HUD-92544 (OMB collection 2502-0059).  The builder</w:t>
      </w:r>
      <w:r w:rsidR="008D40A2" w:rsidRPr="009432E6">
        <w:t>/developer</w:t>
      </w:r>
      <w:r w:rsidRPr="009432E6">
        <w:t xml:space="preserve"> must provide a building permit, certificate of occupancy and inspection reports as required by the local jurisdiction.  </w:t>
      </w:r>
      <w:r w:rsidR="004C4EFA" w:rsidRPr="009432E6">
        <w:t xml:space="preserve">If the builder/developer is submitting the project as eligible </w:t>
      </w:r>
      <w:r w:rsidR="008D40A2" w:rsidRPr="009432E6">
        <w:t xml:space="preserve">based on meeting the specified </w:t>
      </w:r>
      <w:r w:rsidR="004C4EFA" w:rsidRPr="009432E6">
        <w:t>presale</w:t>
      </w:r>
      <w:r w:rsidR="008D40A2" w:rsidRPr="009432E6">
        <w:t xml:space="preserve"> percentage</w:t>
      </w:r>
      <w:r w:rsidR="004C4EFA" w:rsidRPr="009432E6">
        <w:t xml:space="preserve"> of units in the project, the builder/developer must include either evidence of contracts and mortgage approvals for the units that are pre-sold or a spreadsheet indicating which units have been pre-sold.</w:t>
      </w:r>
    </w:p>
    <w:p w:rsidR="00CA271E" w:rsidRPr="009432E6" w:rsidRDefault="00CA271E" w:rsidP="00F90D34">
      <w:pPr>
        <w:tabs>
          <w:tab w:val="left" w:pos="360"/>
          <w:tab w:val="left" w:pos="720"/>
        </w:tabs>
        <w:ind w:left="360"/>
      </w:pPr>
    </w:p>
    <w:p w:rsidR="00CA271E" w:rsidRPr="009432E6" w:rsidRDefault="00CA271E" w:rsidP="00F90D34">
      <w:pPr>
        <w:tabs>
          <w:tab w:val="left" w:pos="360"/>
          <w:tab w:val="left" w:pos="720"/>
        </w:tabs>
        <w:ind w:left="360"/>
        <w:rPr>
          <w:b/>
        </w:rPr>
      </w:pPr>
      <w:r w:rsidRPr="009432E6">
        <w:rPr>
          <w:b/>
        </w:rPr>
        <w:t>Affirmative Fair Housing Marketing (AFHM) Plan – Condominiums or Cooperatives</w:t>
      </w:r>
    </w:p>
    <w:p w:rsidR="00CA271E" w:rsidRPr="009432E6" w:rsidRDefault="00CA271E" w:rsidP="00F90D34">
      <w:pPr>
        <w:tabs>
          <w:tab w:val="left" w:pos="360"/>
          <w:tab w:val="left" w:pos="720"/>
        </w:tabs>
        <w:ind w:left="360"/>
        <w:rPr>
          <w:b/>
        </w:rPr>
      </w:pPr>
    </w:p>
    <w:p w:rsidR="00CA271E" w:rsidRPr="009432E6" w:rsidRDefault="00CA271E" w:rsidP="00F90D34">
      <w:pPr>
        <w:tabs>
          <w:tab w:val="left" w:pos="360"/>
          <w:tab w:val="left" w:pos="720"/>
        </w:tabs>
        <w:ind w:left="360"/>
        <w:rPr>
          <w:b/>
        </w:rPr>
      </w:pPr>
      <w:r w:rsidRPr="009432E6">
        <w:rPr>
          <w:b/>
        </w:rPr>
        <w:t xml:space="preserve">Builders and developers of single family housing or condominium or cooperative units that intend to sell five or more properties in the next year, or sold five or more properties in the past year, and </w:t>
      </w:r>
      <w:r w:rsidRPr="009432E6">
        <w:rPr>
          <w:b/>
        </w:rPr>
        <w:lastRenderedPageBreak/>
        <w:t>where a lender is submitting initial applications for HUD mortgage insurance, must submit one of several agreements or statements, among which is an AFHM Plan on a prescribed form.</w:t>
      </w:r>
    </w:p>
    <w:p w:rsidR="00CA271E" w:rsidRPr="009432E6" w:rsidRDefault="00CA271E" w:rsidP="00F90D34">
      <w:pPr>
        <w:tabs>
          <w:tab w:val="left" w:pos="360"/>
          <w:tab w:val="left" w:pos="720"/>
        </w:tabs>
        <w:ind w:left="360"/>
        <w:rPr>
          <w:b/>
        </w:rPr>
      </w:pPr>
    </w:p>
    <w:p w:rsidR="00CA271E" w:rsidRPr="009432E6" w:rsidRDefault="00CA271E" w:rsidP="00F90D34">
      <w:pPr>
        <w:tabs>
          <w:tab w:val="left" w:pos="360"/>
          <w:tab w:val="left" w:pos="720"/>
        </w:tabs>
        <w:ind w:left="360"/>
        <w:rPr>
          <w:b/>
        </w:rPr>
      </w:pPr>
      <w:r w:rsidRPr="009432E6">
        <w:rPr>
          <w:b/>
        </w:rPr>
        <w:t>Condominium/cooperative developers complete their AFHM Plan only during the application process and the AFHM Plan is in effect through full initial occupancy.</w:t>
      </w:r>
    </w:p>
    <w:p w:rsidR="00CA271E" w:rsidRPr="009432E6" w:rsidRDefault="00CA271E" w:rsidP="00F90D34">
      <w:pPr>
        <w:tabs>
          <w:tab w:val="left" w:pos="360"/>
          <w:tab w:val="left" w:pos="720"/>
        </w:tabs>
        <w:ind w:left="360"/>
        <w:rPr>
          <w:b/>
        </w:rPr>
      </w:pPr>
    </w:p>
    <w:p w:rsidR="00CA271E" w:rsidRPr="009432E6" w:rsidRDefault="00CA271E" w:rsidP="00F90D34">
      <w:pPr>
        <w:tabs>
          <w:tab w:val="left" w:pos="360"/>
          <w:tab w:val="left" w:pos="720"/>
        </w:tabs>
        <w:ind w:left="360"/>
        <w:rPr>
          <w:b/>
        </w:rPr>
      </w:pPr>
      <w:r w:rsidRPr="009432E6">
        <w:rPr>
          <w:b/>
        </w:rPr>
        <w:t>To minimize the burden on single family homebuilders/developers, HUD has provided these small entities an exemption from completing the AFHM Plan</w:t>
      </w:r>
      <w:r w:rsidR="00A560D3" w:rsidRPr="009432E6">
        <w:rPr>
          <w:b/>
        </w:rPr>
        <w:t xml:space="preserve"> </w:t>
      </w:r>
      <w:r w:rsidRPr="009432E6">
        <w:rPr>
          <w:b/>
        </w:rPr>
        <w:t>-</w:t>
      </w:r>
      <w:r w:rsidR="00A560D3" w:rsidRPr="009432E6">
        <w:rPr>
          <w:b/>
        </w:rPr>
        <w:t xml:space="preserve"> Condominium or Cooperatives </w:t>
      </w:r>
      <w:r w:rsidRPr="009432E6">
        <w:rPr>
          <w:b/>
        </w:rPr>
        <w:t>(HUD-935.2</w:t>
      </w:r>
      <w:r w:rsidR="00A560D3" w:rsidRPr="009432E6">
        <w:rPr>
          <w:b/>
        </w:rPr>
        <w:t>C</w:t>
      </w:r>
      <w:r w:rsidRPr="009432E6">
        <w:rPr>
          <w:b/>
        </w:rPr>
        <w:t xml:space="preserve">), Single Family homebuilders/developers can check block 11 on the Builder’s </w:t>
      </w:r>
      <w:r w:rsidR="009F1D94" w:rsidRPr="009432E6">
        <w:rPr>
          <w:b/>
        </w:rPr>
        <w:t>Certification</w:t>
      </w:r>
      <w:r w:rsidRPr="009432E6">
        <w:rPr>
          <w:b/>
        </w:rPr>
        <w:t xml:space="preserve"> of Plans, Specifications, and Site form (HUD-92541) to self-certify compliance with HUD’s Affirmative Fair Housing Marketing </w:t>
      </w:r>
      <w:r w:rsidR="009F1D94" w:rsidRPr="009432E6">
        <w:rPr>
          <w:b/>
        </w:rPr>
        <w:t>Regulation</w:t>
      </w:r>
      <w:r w:rsidRPr="009432E6">
        <w:rPr>
          <w:b/>
        </w:rPr>
        <w:t>.  Single family homebuilders/developers must also maintain records of their affirmative fair housing marketing activities and make them available to HUD upon request.  If a builder opts to check block 11, they no longer need to submit an individual AFHM Plan –Condominium or Cooperative (HUD</w:t>
      </w:r>
      <w:r w:rsidR="00A560D3" w:rsidRPr="009432E6">
        <w:rPr>
          <w:b/>
        </w:rPr>
        <w:t>-</w:t>
      </w:r>
      <w:r w:rsidRPr="009432E6">
        <w:rPr>
          <w:b/>
        </w:rPr>
        <w:t>935.C) to HUD for approval.</w:t>
      </w:r>
    </w:p>
    <w:p w:rsidR="00A73D5E" w:rsidRPr="009432E6" w:rsidRDefault="00A73D5E" w:rsidP="00F90D34">
      <w:pPr>
        <w:tabs>
          <w:tab w:val="left" w:pos="360"/>
          <w:tab w:val="left" w:pos="720"/>
        </w:tabs>
        <w:ind w:left="360"/>
      </w:pPr>
    </w:p>
    <w:p w:rsidR="00A73D5E" w:rsidRPr="009432E6" w:rsidRDefault="00A73D5E" w:rsidP="00F90D34">
      <w:pPr>
        <w:tabs>
          <w:tab w:val="left" w:pos="720"/>
        </w:tabs>
        <w:ind w:left="360"/>
        <w:rPr>
          <w:b/>
          <w:u w:val="single"/>
        </w:rPr>
      </w:pPr>
      <w:r w:rsidRPr="009432E6">
        <w:rPr>
          <w:b/>
          <w:u w:val="single"/>
        </w:rPr>
        <w:t xml:space="preserve">Newly Converted </w:t>
      </w:r>
      <w:r w:rsidR="00FD3E23" w:rsidRPr="009432E6">
        <w:rPr>
          <w:b/>
          <w:u w:val="single"/>
        </w:rPr>
        <w:t xml:space="preserve">Conversions </w:t>
      </w:r>
      <w:r w:rsidRPr="009432E6">
        <w:rPr>
          <w:b/>
          <w:u w:val="single"/>
        </w:rPr>
        <w:t>Only</w:t>
      </w:r>
    </w:p>
    <w:p w:rsidR="00524291" w:rsidRPr="009432E6" w:rsidRDefault="00524291" w:rsidP="00F90D34">
      <w:pPr>
        <w:tabs>
          <w:tab w:val="left" w:pos="360"/>
          <w:tab w:val="left" w:pos="720"/>
        </w:tabs>
        <w:ind w:left="360"/>
        <w:rPr>
          <w:b/>
        </w:rPr>
      </w:pPr>
    </w:p>
    <w:p w:rsidR="00A73D5E" w:rsidRPr="009432E6" w:rsidRDefault="00A73D5E" w:rsidP="00F90D34">
      <w:pPr>
        <w:tabs>
          <w:tab w:val="left" w:pos="360"/>
          <w:tab w:val="left" w:pos="720"/>
        </w:tabs>
        <w:ind w:left="360"/>
      </w:pPr>
      <w:r w:rsidRPr="009432E6">
        <w:t>Newly Converted Condominium Package</w:t>
      </w:r>
      <w:r w:rsidR="00FD3E23" w:rsidRPr="009432E6">
        <w:t>:</w:t>
      </w:r>
    </w:p>
    <w:p w:rsidR="00524291" w:rsidRPr="009432E6" w:rsidRDefault="00524291" w:rsidP="00F90D34">
      <w:pPr>
        <w:tabs>
          <w:tab w:val="left" w:pos="360"/>
          <w:tab w:val="left" w:pos="720"/>
        </w:tabs>
        <w:ind w:left="360"/>
      </w:pPr>
    </w:p>
    <w:p w:rsidR="00A73D5E" w:rsidRPr="009432E6" w:rsidRDefault="00A73D5E" w:rsidP="00F90D34">
      <w:pPr>
        <w:tabs>
          <w:tab w:val="left" w:pos="360"/>
          <w:tab w:val="left" w:pos="720"/>
        </w:tabs>
        <w:ind w:left="360"/>
      </w:pPr>
      <w:r w:rsidRPr="009432E6">
        <w:t xml:space="preserve">The documents </w:t>
      </w:r>
      <w:r w:rsidR="00FD3E23" w:rsidRPr="009432E6">
        <w:t>FHA</w:t>
      </w:r>
      <w:r w:rsidRPr="009432E6">
        <w:t xml:space="preserve"> </w:t>
      </w:r>
      <w:r w:rsidR="004C4EFA" w:rsidRPr="009432E6">
        <w:t xml:space="preserve">is </w:t>
      </w:r>
      <w:r w:rsidRPr="009432E6">
        <w:t>collecting are typically created under the normal course of business for a developer that is converting a residential</w:t>
      </w:r>
      <w:r w:rsidR="00FD3E23" w:rsidRPr="009432E6">
        <w:t xml:space="preserve"> and/or mixed use</w:t>
      </w:r>
      <w:r w:rsidRPr="009432E6">
        <w:t xml:space="preserve"> building to individual condominium units.  Most of these documents must be</w:t>
      </w:r>
      <w:r w:rsidR="00FD3E23" w:rsidRPr="009432E6">
        <w:t xml:space="preserve"> provided</w:t>
      </w:r>
      <w:r w:rsidRPr="009432E6">
        <w:t xml:space="preserve"> to potential buyers during the marketing of the property.  Additional information required is industry standard data regarding proof that units are sold or under bona fide contract</w:t>
      </w:r>
      <w:r w:rsidR="00FD3E23" w:rsidRPr="009432E6">
        <w:t xml:space="preserve"> to meet presale percentages</w:t>
      </w:r>
      <w:r w:rsidRPr="009432E6">
        <w:t xml:space="preserve">.  </w:t>
      </w:r>
      <w:r w:rsidR="004C4EFA" w:rsidRPr="009432E6">
        <w:t xml:space="preserve">The GSEs </w:t>
      </w:r>
      <w:r w:rsidRPr="009432E6">
        <w:t xml:space="preserve">require </w:t>
      </w:r>
      <w:r w:rsidR="004C4EFA" w:rsidRPr="009432E6">
        <w:t>documentation of presale on Form 1029 Warranty of Project Presales</w:t>
      </w:r>
      <w:r w:rsidRPr="009432E6">
        <w:t xml:space="preserve">.  These properties do not require building permits or occupancy permits but do require financial information to be disclosed.  These disclosures are similar to those required by </w:t>
      </w:r>
      <w:r w:rsidR="00FD3E23" w:rsidRPr="009432E6">
        <w:t xml:space="preserve">form </w:t>
      </w:r>
      <w:r w:rsidRPr="009432E6">
        <w:t>HUD</w:t>
      </w:r>
      <w:r w:rsidR="00FD3E23" w:rsidRPr="009432E6">
        <w:t>-</w:t>
      </w:r>
      <w:r w:rsidRPr="009432E6">
        <w:t xml:space="preserve"> 93201</w:t>
      </w:r>
      <w:r w:rsidR="00FD3E23" w:rsidRPr="009432E6">
        <w:t xml:space="preserve"> (OMB Collection 2502-0141</w:t>
      </w:r>
      <w:r w:rsidR="00F27D69" w:rsidRPr="009432E6">
        <w:t>) which</w:t>
      </w:r>
      <w:r w:rsidRPr="009432E6">
        <w:t xml:space="preserve"> is required by Multifamily for the financing of these projects</w:t>
      </w:r>
      <w:r w:rsidR="004C4EFA" w:rsidRPr="009432E6">
        <w:t xml:space="preserve"> and which was required for condominium project approval when project approval </w:t>
      </w:r>
      <w:r w:rsidR="00FD3E23" w:rsidRPr="009432E6">
        <w:t xml:space="preserve">regulations were </w:t>
      </w:r>
      <w:r w:rsidR="004C4EFA" w:rsidRPr="009432E6">
        <w:t xml:space="preserve">part of </w:t>
      </w:r>
      <w:r w:rsidR="00F27D69" w:rsidRPr="009432E6">
        <w:t>Section</w:t>
      </w:r>
      <w:r w:rsidR="00FD3E23" w:rsidRPr="009432E6">
        <w:t xml:space="preserve"> </w:t>
      </w:r>
      <w:r w:rsidR="004C4EFA" w:rsidRPr="009432E6">
        <w:t>234 of the NHA</w:t>
      </w:r>
      <w:r w:rsidRPr="009432E6">
        <w:t>.</w:t>
      </w:r>
    </w:p>
    <w:p w:rsidR="00A73D5E" w:rsidRPr="009432E6" w:rsidRDefault="00A73D5E" w:rsidP="00F90D34">
      <w:pPr>
        <w:tabs>
          <w:tab w:val="left" w:pos="360"/>
          <w:tab w:val="left" w:pos="720"/>
        </w:tabs>
        <w:ind w:left="360"/>
      </w:pPr>
    </w:p>
    <w:p w:rsidR="00A73D5E" w:rsidRPr="009432E6" w:rsidRDefault="00A73D5E" w:rsidP="00F90D34">
      <w:pPr>
        <w:tabs>
          <w:tab w:val="left" w:pos="360"/>
          <w:tab w:val="left" w:pos="720"/>
        </w:tabs>
        <w:ind w:left="360"/>
      </w:pPr>
      <w:r w:rsidRPr="009432E6">
        <w:t>New Converted Gut Rehabilitation Package</w:t>
      </w:r>
      <w:r w:rsidR="00FD3E23" w:rsidRPr="009432E6">
        <w:t>:</w:t>
      </w:r>
    </w:p>
    <w:p w:rsidR="00524291" w:rsidRPr="009432E6" w:rsidRDefault="00524291" w:rsidP="00F90D34">
      <w:pPr>
        <w:tabs>
          <w:tab w:val="left" w:pos="360"/>
          <w:tab w:val="left" w:pos="720"/>
        </w:tabs>
        <w:ind w:left="360"/>
      </w:pPr>
    </w:p>
    <w:p w:rsidR="00A73D5E" w:rsidRPr="009432E6" w:rsidRDefault="00A73D5E" w:rsidP="00F90D34">
      <w:pPr>
        <w:tabs>
          <w:tab w:val="left" w:pos="360"/>
          <w:tab w:val="left" w:pos="720"/>
        </w:tabs>
        <w:ind w:left="360"/>
      </w:pPr>
      <w:r w:rsidRPr="009432E6">
        <w:t xml:space="preserve">The documents </w:t>
      </w:r>
      <w:r w:rsidR="00FD3E23" w:rsidRPr="009432E6">
        <w:t>FHA</w:t>
      </w:r>
      <w:r w:rsidR="000772FE" w:rsidRPr="009432E6">
        <w:t xml:space="preserve"> requires</w:t>
      </w:r>
      <w:r w:rsidR="004C4EFA" w:rsidRPr="009432E6">
        <w:t xml:space="preserve"> </w:t>
      </w:r>
      <w:r w:rsidRPr="009432E6">
        <w:t xml:space="preserve">are typically created under the normal course of business for a developer that is converting a non-residential building to individual condominium units.  These projects require the developer to obtain both building and occupancy permits.  </w:t>
      </w:r>
      <w:r w:rsidR="00FD3E23" w:rsidRPr="009432E6">
        <w:t>FHA</w:t>
      </w:r>
      <w:r w:rsidRPr="009432E6">
        <w:t xml:space="preserve"> has always required these documents to be</w:t>
      </w:r>
      <w:r w:rsidR="00FD3E23" w:rsidRPr="009432E6">
        <w:t xml:space="preserve"> </w:t>
      </w:r>
      <w:r w:rsidRPr="009432E6">
        <w:t xml:space="preserve">collected </w:t>
      </w:r>
      <w:r w:rsidR="00FD3E23" w:rsidRPr="009432E6">
        <w:t xml:space="preserve">as required by the Builder’s </w:t>
      </w:r>
      <w:r w:rsidR="00F27D69" w:rsidRPr="009432E6">
        <w:t>Certification</w:t>
      </w:r>
      <w:r w:rsidR="00FD3E23" w:rsidRPr="009432E6">
        <w:t>, form HUD-</w:t>
      </w:r>
      <w:r w:rsidRPr="009432E6">
        <w:t xml:space="preserve"> 92541 </w:t>
      </w:r>
      <w:r w:rsidR="00FD3E23" w:rsidRPr="009432E6">
        <w:t>(OMB Collection</w:t>
      </w:r>
      <w:r w:rsidRPr="009432E6">
        <w:t xml:space="preserve"> 2502-0496</w:t>
      </w:r>
      <w:r w:rsidR="00FD3E23" w:rsidRPr="009432E6">
        <w:t>)</w:t>
      </w:r>
      <w:r w:rsidRPr="009432E6">
        <w:t>.</w:t>
      </w:r>
    </w:p>
    <w:p w:rsidR="00A73D5E" w:rsidRPr="009432E6" w:rsidRDefault="00A73D5E" w:rsidP="00F90D34">
      <w:pPr>
        <w:tabs>
          <w:tab w:val="left" w:pos="360"/>
          <w:tab w:val="left" w:pos="720"/>
        </w:tabs>
        <w:ind w:left="360"/>
      </w:pPr>
    </w:p>
    <w:p w:rsidR="00A57F3B" w:rsidRPr="009432E6" w:rsidRDefault="00A57F3B" w:rsidP="00F90D34">
      <w:pPr>
        <w:tabs>
          <w:tab w:val="left" w:pos="360"/>
          <w:tab w:val="left" w:pos="720"/>
        </w:tabs>
        <w:ind w:left="360"/>
        <w:rPr>
          <w:b/>
          <w:u w:val="single"/>
        </w:rPr>
      </w:pPr>
      <w:r w:rsidRPr="009432E6">
        <w:rPr>
          <w:b/>
          <w:u w:val="single"/>
        </w:rPr>
        <w:t>Loan Level Documents</w:t>
      </w:r>
    </w:p>
    <w:p w:rsidR="00524291" w:rsidRPr="009432E6" w:rsidRDefault="00524291" w:rsidP="00F90D34">
      <w:pPr>
        <w:tabs>
          <w:tab w:val="left" w:pos="360"/>
          <w:tab w:val="left" w:pos="720"/>
        </w:tabs>
        <w:ind w:left="360"/>
      </w:pPr>
    </w:p>
    <w:p w:rsidR="00A57F3B" w:rsidRPr="009432E6" w:rsidRDefault="00A57F3B" w:rsidP="00F90D34">
      <w:pPr>
        <w:tabs>
          <w:tab w:val="left" w:pos="360"/>
          <w:tab w:val="left" w:pos="720"/>
        </w:tabs>
        <w:ind w:left="360"/>
      </w:pPr>
      <w:r w:rsidRPr="009432E6">
        <w:t xml:space="preserve">Some documents are required when a single unit </w:t>
      </w:r>
      <w:r w:rsidR="004C4EFA" w:rsidRPr="009432E6">
        <w:t>condominium will be insured with a</w:t>
      </w:r>
      <w:r w:rsidRPr="009432E6">
        <w:t xml:space="preserve"> </w:t>
      </w:r>
      <w:r w:rsidR="00BE2BEC" w:rsidRPr="009432E6">
        <w:t>HUD</w:t>
      </w:r>
      <w:r w:rsidRPr="009432E6">
        <w:t xml:space="preserve">-insured mortgage.  These </w:t>
      </w:r>
      <w:r w:rsidR="000A5F7F" w:rsidRPr="009432E6">
        <w:t xml:space="preserve">following </w:t>
      </w:r>
      <w:r w:rsidRPr="009432E6">
        <w:t>documents ensure that some of the project level requirements continue to be met at the time the loan is made.</w:t>
      </w:r>
    </w:p>
    <w:p w:rsidR="00603480" w:rsidRPr="009432E6" w:rsidRDefault="00603480" w:rsidP="00F90D34">
      <w:pPr>
        <w:tabs>
          <w:tab w:val="left" w:pos="360"/>
          <w:tab w:val="left" w:pos="720"/>
        </w:tabs>
        <w:ind w:left="360"/>
      </w:pPr>
    </w:p>
    <w:p w:rsidR="00603480" w:rsidRPr="009432E6" w:rsidRDefault="00603480" w:rsidP="00F90D34">
      <w:pPr>
        <w:tabs>
          <w:tab w:val="left" w:pos="360"/>
          <w:tab w:val="left" w:pos="720"/>
        </w:tabs>
        <w:ind w:left="360"/>
      </w:pPr>
      <w:r w:rsidRPr="009432E6">
        <w:t>Loan Level Certification</w:t>
      </w:r>
      <w:r w:rsidR="00FD3E23" w:rsidRPr="009432E6">
        <w:t>:</w:t>
      </w:r>
    </w:p>
    <w:p w:rsidR="00F534E6" w:rsidRPr="009432E6" w:rsidRDefault="00F534E6" w:rsidP="00F90D34">
      <w:pPr>
        <w:tabs>
          <w:tab w:val="left" w:pos="360"/>
          <w:tab w:val="left" w:pos="720"/>
        </w:tabs>
        <w:ind w:left="360"/>
      </w:pPr>
    </w:p>
    <w:p w:rsidR="00603480" w:rsidRPr="009432E6" w:rsidRDefault="00FD3E23" w:rsidP="00F90D34">
      <w:pPr>
        <w:tabs>
          <w:tab w:val="left" w:pos="360"/>
          <w:tab w:val="left" w:pos="720"/>
        </w:tabs>
        <w:ind w:left="360"/>
      </w:pPr>
      <w:r w:rsidRPr="009432E6">
        <w:t xml:space="preserve">Prior to insurance of an eligible loan on a single unit condominium, the lender must complete a loan </w:t>
      </w:r>
      <w:r w:rsidR="00F27D69" w:rsidRPr="009432E6">
        <w:t>level certification</w:t>
      </w:r>
      <w:r w:rsidR="00603480" w:rsidRPr="009432E6">
        <w:t xml:space="preserve"> of certain requirements.</w:t>
      </w:r>
      <w:r w:rsidRPr="009432E6">
        <w:t xml:space="preserve">  </w:t>
      </w:r>
      <w:r w:rsidR="00603480" w:rsidRPr="009432E6">
        <w:t xml:space="preserve">The </w:t>
      </w:r>
      <w:r w:rsidR="000A5F7F" w:rsidRPr="009432E6">
        <w:t xml:space="preserve">lender </w:t>
      </w:r>
      <w:r w:rsidR="00603480" w:rsidRPr="009432E6">
        <w:t xml:space="preserve">must certify that the property which is collateral for the </w:t>
      </w:r>
      <w:r w:rsidRPr="009432E6">
        <w:t>FHA i</w:t>
      </w:r>
      <w:r w:rsidR="00603480" w:rsidRPr="009432E6">
        <w:t xml:space="preserve">nsured loan is in fact located in an approved </w:t>
      </w:r>
      <w:r w:rsidRPr="009432E6">
        <w:t>project</w:t>
      </w:r>
      <w:r w:rsidR="00603480" w:rsidRPr="009432E6">
        <w:t xml:space="preserve">.  The </w:t>
      </w:r>
      <w:r w:rsidR="000A5F7F" w:rsidRPr="009432E6">
        <w:t xml:space="preserve">lender </w:t>
      </w:r>
      <w:r w:rsidR="00603480" w:rsidRPr="009432E6">
        <w:t xml:space="preserve">must further certify that the </w:t>
      </w:r>
      <w:r w:rsidR="000772FE" w:rsidRPr="009432E6">
        <w:t>lender has</w:t>
      </w:r>
      <w:r w:rsidR="00603480" w:rsidRPr="009432E6">
        <w:t xml:space="preserve"> no knowledge of circumstances or conditions that would adversely affect the project </w:t>
      </w:r>
      <w:r w:rsidR="000A5F7F" w:rsidRPr="009432E6">
        <w:t xml:space="preserve">and </w:t>
      </w:r>
      <w:r w:rsidR="00603480" w:rsidRPr="009432E6">
        <w:t>that</w:t>
      </w:r>
      <w:r w:rsidRPr="009432E6">
        <w:t xml:space="preserve"> the</w:t>
      </w:r>
      <w:r w:rsidR="00603480" w:rsidRPr="009432E6">
        <w:t xml:space="preserve"> investor ownership, percentage of owners in arrears and owner occupancy meet </w:t>
      </w:r>
      <w:r w:rsidRPr="009432E6">
        <w:t>FHA</w:t>
      </w:r>
      <w:r w:rsidR="00603480" w:rsidRPr="009432E6">
        <w:t xml:space="preserve"> requirements and that to the best of their knowledge the information provided is true and correct.</w:t>
      </w:r>
    </w:p>
    <w:p w:rsidR="00FF6EF2" w:rsidRPr="009432E6" w:rsidRDefault="00FF6EF2" w:rsidP="00F90D34">
      <w:pPr>
        <w:tabs>
          <w:tab w:val="left" w:pos="360"/>
          <w:tab w:val="left" w:pos="720"/>
        </w:tabs>
        <w:ind w:left="360"/>
      </w:pPr>
    </w:p>
    <w:p w:rsidR="00FF6EF2" w:rsidRPr="009432E6" w:rsidRDefault="00FF6EF2" w:rsidP="00F90D34">
      <w:pPr>
        <w:tabs>
          <w:tab w:val="left" w:pos="360"/>
          <w:tab w:val="left" w:pos="720"/>
        </w:tabs>
        <w:ind w:left="360"/>
      </w:pPr>
      <w:r w:rsidRPr="009432E6">
        <w:lastRenderedPageBreak/>
        <w:t>Loan Level Insurance Requirements</w:t>
      </w:r>
      <w:r w:rsidR="00FD3E23" w:rsidRPr="009432E6">
        <w:t>:</w:t>
      </w:r>
    </w:p>
    <w:p w:rsidR="00FF6EF2" w:rsidRPr="009432E6" w:rsidRDefault="00FF6EF2" w:rsidP="00F90D34">
      <w:pPr>
        <w:tabs>
          <w:tab w:val="left" w:pos="360"/>
          <w:tab w:val="left" w:pos="720"/>
        </w:tabs>
        <w:ind w:left="360"/>
        <w:rPr>
          <w:b/>
          <w:sz w:val="20"/>
          <w:szCs w:val="20"/>
        </w:rPr>
      </w:pPr>
    </w:p>
    <w:p w:rsidR="00FF6EF2" w:rsidRPr="009432E6" w:rsidRDefault="00FF6EF2" w:rsidP="00F90D34">
      <w:pPr>
        <w:tabs>
          <w:tab w:val="left" w:pos="360"/>
          <w:tab w:val="left" w:pos="720"/>
        </w:tabs>
        <w:ind w:left="360"/>
      </w:pPr>
      <w:r w:rsidRPr="009432E6">
        <w:t xml:space="preserve">Proof of insurance for the </w:t>
      </w:r>
      <w:r w:rsidR="00FD3E23" w:rsidRPr="009432E6">
        <w:t>FHA</w:t>
      </w:r>
      <w:r w:rsidRPr="009432E6">
        <w:t xml:space="preserve"> insured mortgaged property is required for each </w:t>
      </w:r>
      <w:r w:rsidR="00FD3E23" w:rsidRPr="009432E6">
        <w:t xml:space="preserve">single unit condominium </w:t>
      </w:r>
      <w:r w:rsidR="00ED335E" w:rsidRPr="009432E6">
        <w:t>loan; specifically, ref</w:t>
      </w:r>
      <w:r w:rsidRPr="009432E6">
        <w:t xml:space="preserve">erred to in the industry as an HO-6 policy.  </w:t>
      </w:r>
    </w:p>
    <w:p w:rsidR="00603480" w:rsidRPr="009432E6" w:rsidRDefault="00603480" w:rsidP="00F90D34">
      <w:pPr>
        <w:tabs>
          <w:tab w:val="left" w:pos="360"/>
          <w:tab w:val="left" w:pos="720"/>
        </w:tabs>
        <w:ind w:left="360"/>
      </w:pPr>
    </w:p>
    <w:p w:rsidR="00F534E6" w:rsidRPr="009432E6" w:rsidRDefault="00F534E6" w:rsidP="00F90D34">
      <w:pPr>
        <w:tabs>
          <w:tab w:val="left" w:pos="360"/>
          <w:tab w:val="left" w:pos="720"/>
        </w:tabs>
        <w:ind w:left="360"/>
        <w:rPr>
          <w:b/>
          <w:u w:val="single"/>
        </w:rPr>
      </w:pPr>
      <w:r w:rsidRPr="009432E6">
        <w:rPr>
          <w:b/>
          <w:u w:val="single"/>
        </w:rPr>
        <w:t xml:space="preserve">Increased </w:t>
      </w:r>
      <w:r w:rsidR="00BE2BEC" w:rsidRPr="009432E6">
        <w:rPr>
          <w:b/>
          <w:u w:val="single"/>
        </w:rPr>
        <w:t>HUD</w:t>
      </w:r>
      <w:r w:rsidRPr="009432E6">
        <w:rPr>
          <w:b/>
          <w:u w:val="single"/>
        </w:rPr>
        <w:t xml:space="preserve"> Concentration</w:t>
      </w:r>
    </w:p>
    <w:p w:rsidR="00F534E6" w:rsidRPr="009432E6" w:rsidRDefault="00F534E6" w:rsidP="00F90D34">
      <w:pPr>
        <w:tabs>
          <w:tab w:val="left" w:pos="360"/>
          <w:tab w:val="left" w:pos="720"/>
        </w:tabs>
        <w:ind w:left="360"/>
        <w:rPr>
          <w:b/>
          <w:sz w:val="20"/>
          <w:szCs w:val="20"/>
        </w:rPr>
      </w:pPr>
    </w:p>
    <w:p w:rsidR="00F534E6" w:rsidRPr="009432E6" w:rsidRDefault="00ED335E" w:rsidP="00F90D34">
      <w:pPr>
        <w:tabs>
          <w:tab w:val="left" w:pos="360"/>
          <w:tab w:val="left" w:pos="720"/>
        </w:tabs>
        <w:ind w:left="360"/>
      </w:pPr>
      <w:r w:rsidRPr="009432E6">
        <w:t>FHA</w:t>
      </w:r>
      <w:r w:rsidR="008967CE" w:rsidRPr="009432E6">
        <w:t xml:space="preserve"> will allow increased </w:t>
      </w:r>
      <w:r w:rsidRPr="009432E6">
        <w:t xml:space="preserve">FHA concentration </w:t>
      </w:r>
      <w:r w:rsidR="008967CE" w:rsidRPr="009432E6">
        <w:t xml:space="preserve">in some projects when certain </w:t>
      </w:r>
      <w:r w:rsidRPr="009432E6">
        <w:t xml:space="preserve">eligibility standards </w:t>
      </w:r>
      <w:r w:rsidR="008967CE" w:rsidRPr="009432E6">
        <w:t xml:space="preserve">are </w:t>
      </w:r>
      <w:r w:rsidRPr="009432E6">
        <w:t>met</w:t>
      </w:r>
      <w:r w:rsidR="008967CE" w:rsidRPr="009432E6">
        <w:t xml:space="preserve">.  Currently only .07% of condominiums projects approved by </w:t>
      </w:r>
      <w:r w:rsidRPr="009432E6">
        <w:t>FHA</w:t>
      </w:r>
      <w:r w:rsidR="008967CE" w:rsidRPr="009432E6">
        <w:t xml:space="preserve"> have been approved for increased concentration.  The only additional information required for these projects is a cover letter indicating that the project</w:t>
      </w:r>
      <w:r w:rsidR="00C67F4C" w:rsidRPr="009432E6">
        <w:t xml:space="preserve"> meets the </w:t>
      </w:r>
      <w:r w:rsidRPr="009432E6">
        <w:t>additional eligibility standards.</w:t>
      </w:r>
      <w:r w:rsidR="007119EB" w:rsidRPr="009432E6">
        <w:t xml:space="preserve">  </w:t>
      </w:r>
      <w:r w:rsidR="002165D4" w:rsidRPr="009432E6">
        <w:t xml:space="preserve">The burden of this requirement is considered </w:t>
      </w:r>
      <w:proofErr w:type="spellStart"/>
      <w:r w:rsidR="002165D4" w:rsidRPr="009432E6">
        <w:t>deminimis</w:t>
      </w:r>
      <w:proofErr w:type="spellEnd"/>
      <w:r w:rsidR="002165D4" w:rsidRPr="009432E6">
        <w:t xml:space="preserve"> and necessary given the increased risk to the MMI fund associated with increased concentration. </w:t>
      </w:r>
    </w:p>
    <w:p w:rsidR="00ED335E" w:rsidRPr="009432E6" w:rsidRDefault="00ED335E">
      <w:pPr>
        <w:tabs>
          <w:tab w:val="left" w:pos="360"/>
          <w:tab w:val="left" w:pos="720"/>
        </w:tabs>
      </w:pPr>
      <w:r w:rsidRPr="009432E6">
        <w:t xml:space="preserve"> </w:t>
      </w:r>
    </w:p>
    <w:p w:rsidR="00855836" w:rsidRPr="009432E6" w:rsidRDefault="00B91171" w:rsidP="001D514A">
      <w:pPr>
        <w:pStyle w:val="ListParagraph"/>
        <w:numPr>
          <w:ilvl w:val="0"/>
          <w:numId w:val="35"/>
        </w:numPr>
        <w:tabs>
          <w:tab w:val="left" w:pos="360"/>
          <w:tab w:val="left" w:pos="720"/>
        </w:tabs>
      </w:pPr>
      <w:r w:rsidRPr="009432E6">
        <w:t xml:space="preserve">The collection will be by means of electronic communication as often as possible.  </w:t>
      </w:r>
      <w:r w:rsidR="00855836" w:rsidRPr="009432E6">
        <w:t>FHA</w:t>
      </w:r>
      <w:r w:rsidRPr="009432E6">
        <w:t xml:space="preserve"> is planning to </w:t>
      </w:r>
      <w:r w:rsidR="000C1213" w:rsidRPr="009432E6">
        <w:t>use a portal to collect all the documents electronically.  In the interim</w:t>
      </w:r>
      <w:r w:rsidR="00855836" w:rsidRPr="009432E6">
        <w:t>,</w:t>
      </w:r>
      <w:r w:rsidR="000C1213" w:rsidRPr="009432E6">
        <w:t xml:space="preserve"> </w:t>
      </w:r>
      <w:r w:rsidR="00855836" w:rsidRPr="009432E6">
        <w:t>FHA</w:t>
      </w:r>
      <w:r w:rsidR="000C1213" w:rsidRPr="009432E6">
        <w:t xml:space="preserve"> will accept the documents in a single .pdf document from lenders who are qualified to approve condominium projects and in a single .pdf document on a compact disc from </w:t>
      </w:r>
      <w:r w:rsidR="00855836" w:rsidRPr="009432E6">
        <w:t xml:space="preserve">submitters who do not have the authority to process, review and </w:t>
      </w:r>
      <w:r w:rsidR="000C1213" w:rsidRPr="009432E6">
        <w:t>approve projects.  Documents are prepared by developers,</w:t>
      </w:r>
      <w:r w:rsidR="00855836" w:rsidRPr="009432E6">
        <w:t xml:space="preserve"> builders, attorneys, lenders, </w:t>
      </w:r>
      <w:r w:rsidR="000C1213" w:rsidRPr="009432E6">
        <w:t>homeowners association</w:t>
      </w:r>
      <w:r w:rsidR="002074C3" w:rsidRPr="009432E6">
        <w:t xml:space="preserve">s </w:t>
      </w:r>
      <w:r w:rsidR="000C1213" w:rsidRPr="009432E6">
        <w:t xml:space="preserve">and </w:t>
      </w:r>
      <w:r w:rsidR="00855836" w:rsidRPr="009432E6">
        <w:t xml:space="preserve">independent project </w:t>
      </w:r>
      <w:r w:rsidR="000C1213" w:rsidRPr="009432E6">
        <w:t>consultants in the normal course of business in electronic formats</w:t>
      </w:r>
      <w:r w:rsidR="00855836" w:rsidRPr="009432E6">
        <w:t>.  M</w:t>
      </w:r>
      <w:r w:rsidR="002074C3" w:rsidRPr="009432E6">
        <w:t>ost documents will be prepared in Microsoft Office or Excel</w:t>
      </w:r>
      <w:r w:rsidR="00855836" w:rsidRPr="009432E6">
        <w:t xml:space="preserve"> while </w:t>
      </w:r>
      <w:r w:rsidR="002074C3" w:rsidRPr="009432E6">
        <w:t xml:space="preserve">some </w:t>
      </w:r>
      <w:r w:rsidR="00855836" w:rsidRPr="009432E6">
        <w:t>may</w:t>
      </w:r>
      <w:r w:rsidR="002074C3" w:rsidRPr="009432E6">
        <w:t xml:space="preserve"> be prepared using basic financial software</w:t>
      </w:r>
      <w:r w:rsidR="000C1213" w:rsidRPr="009432E6">
        <w:t>.  The</w:t>
      </w:r>
      <w:r w:rsidR="00855836" w:rsidRPr="009432E6">
        <w:t xml:space="preserve"> documents </w:t>
      </w:r>
      <w:r w:rsidR="000C1213" w:rsidRPr="009432E6">
        <w:t xml:space="preserve">will be </w:t>
      </w:r>
      <w:r w:rsidR="002074C3" w:rsidRPr="009432E6">
        <w:t xml:space="preserve">predominantly </w:t>
      </w:r>
      <w:r w:rsidR="000C1213" w:rsidRPr="009432E6">
        <w:t xml:space="preserve">collected </w:t>
      </w:r>
      <w:r w:rsidR="002074C3" w:rsidRPr="009432E6">
        <w:t xml:space="preserve">electronically </w:t>
      </w:r>
      <w:r w:rsidR="000C1213" w:rsidRPr="009432E6">
        <w:t xml:space="preserve">and transmitted to </w:t>
      </w:r>
      <w:r w:rsidR="00855836" w:rsidRPr="009432E6">
        <w:t xml:space="preserve">FHA </w:t>
      </w:r>
      <w:r w:rsidR="00BF753C" w:rsidRPr="009432E6">
        <w:t>electronically</w:t>
      </w:r>
      <w:r w:rsidR="00855836" w:rsidRPr="009432E6">
        <w:t xml:space="preserve"> or via a compact disk.  FHA</w:t>
      </w:r>
      <w:r w:rsidR="00BF753C" w:rsidRPr="009432E6">
        <w:t xml:space="preserve"> will also accept paper copies of these documents.</w:t>
      </w:r>
    </w:p>
    <w:p w:rsidR="00855836" w:rsidRPr="009432E6" w:rsidRDefault="00855836" w:rsidP="00855836">
      <w:pPr>
        <w:tabs>
          <w:tab w:val="left" w:pos="360"/>
          <w:tab w:val="left" w:pos="720"/>
        </w:tabs>
      </w:pPr>
    </w:p>
    <w:p w:rsidR="00E908AE" w:rsidRPr="009432E6" w:rsidRDefault="00E908AE" w:rsidP="001D514A">
      <w:pPr>
        <w:pStyle w:val="ListParagraph"/>
        <w:numPr>
          <w:ilvl w:val="0"/>
          <w:numId w:val="35"/>
        </w:numPr>
        <w:tabs>
          <w:tab w:val="left" w:pos="360"/>
          <w:tab w:val="left" w:pos="720"/>
        </w:tabs>
      </w:pPr>
      <w:r w:rsidRPr="009432E6">
        <w:t xml:space="preserve">Because of </w:t>
      </w:r>
      <w:r w:rsidR="00855836" w:rsidRPr="009432E6">
        <w:t xml:space="preserve">the </w:t>
      </w:r>
      <w:r w:rsidRPr="009432E6">
        <w:t>uniqueness of each case, information gathered or applicable to another property or properties cannot be used.  No duplication was found to exist.</w:t>
      </w:r>
    </w:p>
    <w:p w:rsidR="00050B5E" w:rsidRPr="009432E6" w:rsidRDefault="00050B5E" w:rsidP="00050B5E">
      <w:pPr>
        <w:ind w:left="360"/>
      </w:pPr>
    </w:p>
    <w:p w:rsidR="00B32C21" w:rsidRPr="009432E6" w:rsidRDefault="00B32C21" w:rsidP="001D514A">
      <w:pPr>
        <w:pStyle w:val="ListParagraph"/>
        <w:numPr>
          <w:ilvl w:val="0"/>
          <w:numId w:val="35"/>
        </w:numPr>
      </w:pPr>
      <w:r w:rsidRPr="009432E6">
        <w:t>A number of developers, lenders and condominium associations</w:t>
      </w:r>
      <w:r w:rsidR="00855836" w:rsidRPr="009432E6">
        <w:t xml:space="preserve"> </w:t>
      </w:r>
      <w:r w:rsidRPr="009432E6">
        <w:t>operate as small businesses.  However</w:t>
      </w:r>
      <w:r w:rsidR="00855836" w:rsidRPr="009432E6">
        <w:t xml:space="preserve">, </w:t>
      </w:r>
      <w:r w:rsidRPr="009432E6">
        <w:t xml:space="preserve">the documents that are required are prepared in the normal course of business and are available in the files </w:t>
      </w:r>
      <w:r w:rsidR="00855836" w:rsidRPr="009432E6">
        <w:t>they keep</w:t>
      </w:r>
      <w:r w:rsidR="00050B5E" w:rsidRPr="009432E6">
        <w:t xml:space="preserve">.  </w:t>
      </w:r>
      <w:r w:rsidR="00855836" w:rsidRPr="009432E6">
        <w:t>FHA</w:t>
      </w:r>
      <w:r w:rsidR="00050B5E" w:rsidRPr="009432E6">
        <w:t xml:space="preserve"> has attempted to minimize the burden on small businesses by collecting information that already exists and is prepared by or collected by small businesses in the normal course of business.  </w:t>
      </w:r>
      <w:r w:rsidR="00855836" w:rsidRPr="009432E6">
        <w:t>FHA</w:t>
      </w:r>
      <w:r w:rsidR="00050B5E" w:rsidRPr="009432E6">
        <w:t xml:space="preserve"> only requires additional information that might have to be specifically</w:t>
      </w:r>
      <w:r w:rsidR="00BF753C" w:rsidRPr="009432E6">
        <w:t xml:space="preserve"> prepared if the lender, </w:t>
      </w:r>
      <w:r w:rsidR="00050B5E" w:rsidRPr="009432E6">
        <w:t>developer</w:t>
      </w:r>
      <w:r w:rsidR="00BF753C" w:rsidRPr="009432E6">
        <w:t xml:space="preserve"> or other party</w:t>
      </w:r>
      <w:r w:rsidR="00050B5E" w:rsidRPr="009432E6">
        <w:t xml:space="preserve"> is requesting special concessions</w:t>
      </w:r>
      <w:r w:rsidR="00855836" w:rsidRPr="009432E6">
        <w:t xml:space="preserve"> and </w:t>
      </w:r>
      <w:r w:rsidR="00050B5E" w:rsidRPr="009432E6">
        <w:t xml:space="preserve">that may make the project add risk to the </w:t>
      </w:r>
      <w:r w:rsidR="00855836" w:rsidRPr="009432E6">
        <w:t>FHA</w:t>
      </w:r>
      <w:r w:rsidR="00050B5E" w:rsidRPr="009432E6">
        <w:t xml:space="preserve"> loan portfolio.  </w:t>
      </w:r>
    </w:p>
    <w:p w:rsidR="00B32C21" w:rsidRPr="009432E6" w:rsidRDefault="00B32C21" w:rsidP="00B32C21">
      <w:pPr>
        <w:ind w:left="360"/>
      </w:pPr>
    </w:p>
    <w:p w:rsidR="00C36A0B" w:rsidRPr="009432E6" w:rsidRDefault="00C949DF" w:rsidP="001D514A">
      <w:pPr>
        <w:pStyle w:val="ListParagraph"/>
        <w:numPr>
          <w:ilvl w:val="0"/>
          <w:numId w:val="35"/>
        </w:numPr>
        <w:tabs>
          <w:tab w:val="left" w:pos="360"/>
          <w:tab w:val="left" w:pos="720"/>
        </w:tabs>
      </w:pPr>
      <w:r w:rsidRPr="009432E6">
        <w:t>FHA</w:t>
      </w:r>
      <w:r w:rsidR="00B45D5C" w:rsidRPr="009432E6">
        <w:t xml:space="preserve"> considers this information to be critical to </w:t>
      </w:r>
      <w:r w:rsidRPr="009432E6">
        <w:t xml:space="preserve">the insurance of single </w:t>
      </w:r>
      <w:r w:rsidR="00B45D5C" w:rsidRPr="009432E6">
        <w:t>condominium</w:t>
      </w:r>
      <w:r w:rsidRPr="009432E6">
        <w:t xml:space="preserve"> units within FHA-approved projects</w:t>
      </w:r>
      <w:r w:rsidR="00B45D5C" w:rsidRPr="009432E6">
        <w:t>.  Without sufficient information about individual condominium projects</w:t>
      </w:r>
      <w:r w:rsidRPr="009432E6">
        <w:t>, FHA</w:t>
      </w:r>
      <w:r w:rsidR="00B45D5C" w:rsidRPr="009432E6">
        <w:t xml:space="preserve"> is unable to determine the risk the project might pose to the </w:t>
      </w:r>
      <w:r w:rsidRPr="009432E6">
        <w:t>MMI</w:t>
      </w:r>
      <w:r w:rsidR="00B45D5C" w:rsidRPr="009432E6">
        <w:t xml:space="preserve"> insurance fund.</w:t>
      </w:r>
      <w:r w:rsidRPr="009432E6">
        <w:t xml:space="preserve">  </w:t>
      </w:r>
      <w:r w:rsidR="00F27D69" w:rsidRPr="009432E6">
        <w:t xml:space="preserve">Condominium projects require that unit owners rely on one another’s cooperation to maintain the project – their success is interdependent on all unit owners and successful operation by the homeowner’s association board.  </w:t>
      </w:r>
      <w:r w:rsidR="00B45D5C" w:rsidRPr="009432E6">
        <w:t xml:space="preserve">Since condominium projects include multiple individual units that might be the subject of </w:t>
      </w:r>
      <w:r w:rsidRPr="009432E6">
        <w:t xml:space="preserve">FHA insurance, </w:t>
      </w:r>
      <w:r w:rsidR="00BF753C" w:rsidRPr="009432E6">
        <w:t>multiple units</w:t>
      </w:r>
      <w:r w:rsidR="00B45D5C" w:rsidRPr="009432E6">
        <w:t xml:space="preserve"> in the same </w:t>
      </w:r>
      <w:r w:rsidRPr="009432E6">
        <w:t>p</w:t>
      </w:r>
      <w:r w:rsidR="00B45D5C" w:rsidRPr="009432E6">
        <w:t xml:space="preserve">roject </w:t>
      </w:r>
      <w:r w:rsidRPr="009432E6">
        <w:t xml:space="preserve">could possibly </w:t>
      </w:r>
      <w:r w:rsidR="00B45D5C" w:rsidRPr="009432E6">
        <w:t>multiply the risk to the insurance fund by th</w:t>
      </w:r>
      <w:r w:rsidRPr="009432E6">
        <w:t>is</w:t>
      </w:r>
      <w:r w:rsidR="00B45D5C" w:rsidRPr="009432E6">
        <w:t xml:space="preserve"> number of the units</w:t>
      </w:r>
      <w:r w:rsidRPr="009432E6">
        <w:t xml:space="preserve">.  </w:t>
      </w:r>
      <w:r w:rsidR="00B45D5C" w:rsidRPr="009432E6">
        <w:t xml:space="preserve">Without the ability to collect sufficient information, </w:t>
      </w:r>
      <w:r w:rsidRPr="009432E6">
        <w:t>FHA</w:t>
      </w:r>
      <w:r w:rsidR="00B45D5C" w:rsidRPr="009432E6">
        <w:t xml:space="preserve"> would not be able to properly </w:t>
      </w:r>
      <w:r w:rsidR="00BF753C" w:rsidRPr="009432E6">
        <w:t>examine the risk of individual units</w:t>
      </w:r>
      <w:r w:rsidR="00B45D5C" w:rsidRPr="009432E6">
        <w:t xml:space="preserve"> to the insurance fund and would therefore not be able to continue </w:t>
      </w:r>
      <w:r w:rsidR="00BF753C" w:rsidRPr="009432E6">
        <w:t>insuring l</w:t>
      </w:r>
      <w:r w:rsidRPr="009432E6">
        <w:t>oans</w:t>
      </w:r>
      <w:r w:rsidR="00BF753C" w:rsidRPr="009432E6">
        <w:t xml:space="preserve"> f</w:t>
      </w:r>
      <w:r w:rsidR="00B45D5C" w:rsidRPr="009432E6">
        <w:t>o</w:t>
      </w:r>
      <w:r w:rsidR="00BF753C" w:rsidRPr="009432E6">
        <w:t>r</w:t>
      </w:r>
      <w:r w:rsidR="00B45D5C" w:rsidRPr="009432E6">
        <w:t xml:space="preserve"> borrowers who wish to purchase</w:t>
      </w:r>
      <w:r w:rsidR="00BF753C" w:rsidRPr="009432E6">
        <w:t xml:space="preserve"> or refinance </w:t>
      </w:r>
      <w:r w:rsidR="00B45D5C" w:rsidRPr="009432E6">
        <w:t>condominium units.</w:t>
      </w:r>
    </w:p>
    <w:p w:rsidR="00C36A0B" w:rsidRPr="009432E6" w:rsidRDefault="00C36A0B" w:rsidP="00C36A0B">
      <w:pPr>
        <w:pStyle w:val="ListParagraph"/>
      </w:pPr>
    </w:p>
    <w:p w:rsidR="00303DF1" w:rsidRPr="009432E6" w:rsidRDefault="00C36A0B" w:rsidP="001D514A">
      <w:pPr>
        <w:pStyle w:val="ListParagraph"/>
        <w:numPr>
          <w:ilvl w:val="0"/>
          <w:numId w:val="35"/>
        </w:numPr>
        <w:tabs>
          <w:tab w:val="left" w:pos="360"/>
          <w:tab w:val="left" w:pos="720"/>
        </w:tabs>
      </w:pPr>
      <w:r w:rsidRPr="009432E6">
        <w:t>Some of the documents required as a result of this collection are time sensitive and will be required to be updated every 30 (thirty) days.  A report of delinquen</w:t>
      </w:r>
      <w:r w:rsidR="00C949DF" w:rsidRPr="009432E6">
        <w:t>t</w:t>
      </w:r>
      <w:r w:rsidRPr="009432E6">
        <w:t xml:space="preserve"> </w:t>
      </w:r>
      <w:r w:rsidR="00C949DF" w:rsidRPr="009432E6">
        <w:t xml:space="preserve">association </w:t>
      </w:r>
      <w:r w:rsidRPr="009432E6">
        <w:t>fees is required to be updated every 30 days because t</w:t>
      </w:r>
      <w:r w:rsidR="00C949DF" w:rsidRPr="009432E6">
        <w:t>hese fees are</w:t>
      </w:r>
      <w:r w:rsidR="00BF753C" w:rsidRPr="009432E6">
        <w:t xml:space="preserve"> </w:t>
      </w:r>
      <w:r w:rsidRPr="009432E6">
        <w:t>collect</w:t>
      </w:r>
      <w:r w:rsidR="00BF753C" w:rsidRPr="009432E6">
        <w:t>ed</w:t>
      </w:r>
      <w:r w:rsidRPr="009432E6">
        <w:t xml:space="preserve"> monthly.  Income and expense statements, balance sheets, and percentage of units that are owner occupied </w:t>
      </w:r>
      <w:r w:rsidR="005E4AB7" w:rsidRPr="009432E6">
        <w:t>also change with enough frequency to warrant their collection more often than once a quarter.</w:t>
      </w:r>
      <w:r w:rsidR="00050B5E" w:rsidRPr="009432E6">
        <w:t xml:space="preserve">  The viability of a condominium project is based on the financial stability of the project and that information changes monthly based on dues collected, expenses incurred and the resolution or commencement of legal activities.  The volatility of condominium </w:t>
      </w:r>
      <w:r w:rsidR="00050B5E" w:rsidRPr="009432E6">
        <w:lastRenderedPageBreak/>
        <w:t xml:space="preserve">projects makes it prudent for </w:t>
      </w:r>
      <w:r w:rsidR="00C949DF" w:rsidRPr="009432E6">
        <w:t>FHA</w:t>
      </w:r>
      <w:r w:rsidR="00050B5E" w:rsidRPr="009432E6">
        <w:t xml:space="preserve"> to require the mo</w:t>
      </w:r>
      <w:r w:rsidR="004A7C92" w:rsidRPr="009432E6">
        <w:t>st up-to-date information when issuing</w:t>
      </w:r>
      <w:r w:rsidR="00050B5E" w:rsidRPr="009432E6">
        <w:t xml:space="preserve"> an approval that will make units in the project eligible for </w:t>
      </w:r>
      <w:r w:rsidR="00C949DF" w:rsidRPr="009432E6">
        <w:t>FHA</w:t>
      </w:r>
      <w:r w:rsidR="00050B5E" w:rsidRPr="009432E6">
        <w:t xml:space="preserve"> </w:t>
      </w:r>
      <w:r w:rsidR="004A7C92" w:rsidRPr="009432E6">
        <w:t xml:space="preserve">insurance </w:t>
      </w:r>
      <w:r w:rsidR="00050B5E" w:rsidRPr="009432E6">
        <w:t>for two years.</w:t>
      </w:r>
    </w:p>
    <w:p w:rsidR="00303DF1" w:rsidRPr="009432E6" w:rsidRDefault="00303DF1" w:rsidP="00303DF1">
      <w:pPr>
        <w:pStyle w:val="ListParagraph"/>
      </w:pPr>
    </w:p>
    <w:p w:rsidR="00166E5E" w:rsidRPr="009432E6" w:rsidRDefault="00303DF1" w:rsidP="001D514A">
      <w:pPr>
        <w:pStyle w:val="ListParagraph"/>
        <w:numPr>
          <w:ilvl w:val="0"/>
          <w:numId w:val="35"/>
        </w:numPr>
        <w:tabs>
          <w:tab w:val="left" w:pos="360"/>
          <w:tab w:val="left" w:pos="720"/>
        </w:tabs>
      </w:pPr>
      <w:r w:rsidRPr="009432E6">
        <w:t xml:space="preserve">The agency notice soliciting comments on the information collection was published in the </w:t>
      </w:r>
      <w:r w:rsidRPr="009432E6">
        <w:rPr>
          <w:u w:val="single"/>
        </w:rPr>
        <w:t>Federal Register</w:t>
      </w:r>
      <w:r w:rsidRPr="009432E6">
        <w:t xml:space="preserve"> on </w:t>
      </w:r>
      <w:r w:rsidR="00166E5E" w:rsidRPr="009432E6">
        <w:t>May 31, 2013</w:t>
      </w:r>
      <w:r w:rsidRPr="009432E6">
        <w:t xml:space="preserve">, (Volume </w:t>
      </w:r>
      <w:r w:rsidR="00166E5E" w:rsidRPr="009432E6">
        <w:t>78</w:t>
      </w:r>
      <w:r w:rsidRPr="009432E6">
        <w:t xml:space="preserve">, Number </w:t>
      </w:r>
      <w:r w:rsidR="00166E5E" w:rsidRPr="009432E6">
        <w:t>105</w:t>
      </w:r>
      <w:r w:rsidRPr="009432E6">
        <w:t xml:space="preserve">, </w:t>
      </w:r>
      <w:proofErr w:type="gramStart"/>
      <w:r w:rsidRPr="009432E6">
        <w:t>Page</w:t>
      </w:r>
      <w:proofErr w:type="gramEnd"/>
      <w:r w:rsidRPr="009432E6">
        <w:t xml:space="preserve"> </w:t>
      </w:r>
      <w:r w:rsidR="00166E5E" w:rsidRPr="009432E6">
        <w:t>32681</w:t>
      </w:r>
      <w:r w:rsidRPr="009432E6">
        <w:t xml:space="preserve">).  </w:t>
      </w:r>
      <w:r w:rsidR="00166E5E" w:rsidRPr="009432E6">
        <w:t xml:space="preserve">No comments were received.  </w:t>
      </w:r>
    </w:p>
    <w:p w:rsidR="00166E5E" w:rsidRPr="009432E6" w:rsidRDefault="00166E5E" w:rsidP="00166E5E">
      <w:pPr>
        <w:pStyle w:val="ListParagraph"/>
      </w:pPr>
    </w:p>
    <w:p w:rsidR="005E4AB7" w:rsidRPr="009432E6" w:rsidRDefault="00303DF1" w:rsidP="00166E5E">
      <w:pPr>
        <w:pStyle w:val="ListParagraph"/>
        <w:tabs>
          <w:tab w:val="left" w:pos="360"/>
          <w:tab w:val="left" w:pos="720"/>
        </w:tabs>
      </w:pPr>
      <w:r w:rsidRPr="009432E6">
        <w:t xml:space="preserve">The agency consulted with Fannie Mae and Freddie Mac regarding requirements for condominium </w:t>
      </w:r>
      <w:r w:rsidR="00C949DF" w:rsidRPr="009432E6">
        <w:t xml:space="preserve">project and loan level </w:t>
      </w:r>
      <w:r w:rsidRPr="009432E6">
        <w:t>approval at the Government Sponsored Enterprises.  Additionally</w:t>
      </w:r>
      <w:r w:rsidR="00C949DF" w:rsidRPr="009432E6">
        <w:t xml:space="preserve">, FHA </w:t>
      </w:r>
      <w:r w:rsidRPr="009432E6">
        <w:t xml:space="preserve">contacted lenders, industry consultants and representatives from </w:t>
      </w:r>
      <w:r w:rsidR="00C949DF" w:rsidRPr="009432E6">
        <w:t xml:space="preserve">trade associations representing </w:t>
      </w:r>
      <w:r w:rsidRPr="009432E6">
        <w:t>builders,</w:t>
      </w:r>
      <w:r w:rsidR="00C949DF" w:rsidRPr="009432E6">
        <w:t xml:space="preserve"> developers,</w:t>
      </w:r>
      <w:r w:rsidRPr="009432E6">
        <w:t xml:space="preserve"> homeowners associations and condominium management companies.</w:t>
      </w:r>
      <w:r w:rsidR="004A7C92" w:rsidRPr="009432E6">
        <w:t xml:space="preserve"> Specifically</w:t>
      </w:r>
      <w:r w:rsidR="00C949DF" w:rsidRPr="009432E6">
        <w:t>,</w:t>
      </w:r>
      <w:r w:rsidR="004A7C92" w:rsidRPr="009432E6">
        <w:t xml:space="preserve"> </w:t>
      </w:r>
      <w:r w:rsidR="00C949DF" w:rsidRPr="009432E6">
        <w:t>FHA</w:t>
      </w:r>
      <w:r w:rsidR="004A7C92" w:rsidRPr="009432E6">
        <w:t xml:space="preserve"> solicited information from:</w:t>
      </w:r>
    </w:p>
    <w:p w:rsidR="00C949DF" w:rsidRPr="009432E6" w:rsidRDefault="00C949DF" w:rsidP="00C949DF">
      <w:pPr>
        <w:pStyle w:val="ListParagraph"/>
      </w:pPr>
    </w:p>
    <w:p w:rsidR="00C949DF" w:rsidRPr="009432E6" w:rsidRDefault="00C949DF" w:rsidP="00C949DF">
      <w:pPr>
        <w:pStyle w:val="ListParagraph"/>
        <w:tabs>
          <w:tab w:val="left" w:pos="720"/>
        </w:tabs>
        <w:ind w:left="1080"/>
        <w:rPr>
          <w:b/>
          <w:u w:val="single"/>
        </w:rPr>
      </w:pPr>
      <w:r w:rsidRPr="009432E6">
        <w:rPr>
          <w:b/>
          <w:u w:val="single"/>
        </w:rPr>
        <w:t>Lenders/Project Consultants</w:t>
      </w:r>
    </w:p>
    <w:p w:rsidR="00C949DF" w:rsidRPr="009432E6" w:rsidRDefault="00C949DF" w:rsidP="00C949DF">
      <w:pPr>
        <w:pStyle w:val="ListParagraph"/>
        <w:tabs>
          <w:tab w:val="left" w:pos="720"/>
        </w:tabs>
        <w:ind w:left="1080"/>
        <w:rPr>
          <w:b/>
          <w:u w:val="single"/>
        </w:rPr>
      </w:pPr>
    </w:p>
    <w:p w:rsidR="00C949DF" w:rsidRPr="009432E6" w:rsidRDefault="00C949DF" w:rsidP="00C949DF">
      <w:pPr>
        <w:pStyle w:val="ListParagraph"/>
        <w:tabs>
          <w:tab w:val="left" w:pos="720"/>
        </w:tabs>
        <w:ind w:left="1080"/>
      </w:pPr>
      <w:r w:rsidRPr="009432E6">
        <w:t xml:space="preserve">Kelly Scott </w:t>
      </w:r>
      <w:proofErr w:type="spellStart"/>
      <w:r w:rsidRPr="009432E6">
        <w:t>Borda</w:t>
      </w:r>
      <w:proofErr w:type="spellEnd"/>
      <w:r w:rsidRPr="009432E6">
        <w:t>, Bank of America</w:t>
      </w:r>
    </w:p>
    <w:p w:rsidR="00C949DF" w:rsidRPr="009432E6" w:rsidRDefault="00C949DF" w:rsidP="00C949DF">
      <w:pPr>
        <w:pStyle w:val="ListParagraph"/>
        <w:tabs>
          <w:tab w:val="left" w:pos="720"/>
        </w:tabs>
        <w:ind w:left="1080"/>
      </w:pPr>
      <w:r w:rsidRPr="009432E6">
        <w:t>Phil Sutcliffe, Project Approvals, LLC</w:t>
      </w:r>
    </w:p>
    <w:p w:rsidR="00C949DF" w:rsidRPr="009432E6" w:rsidRDefault="00C949DF" w:rsidP="00C949DF">
      <w:pPr>
        <w:pStyle w:val="ListParagraph"/>
        <w:tabs>
          <w:tab w:val="left" w:pos="720"/>
        </w:tabs>
        <w:ind w:left="1080"/>
      </w:pPr>
      <w:r w:rsidRPr="009432E6">
        <w:t>Brian Johnson, Wells Fargo Bank</w:t>
      </w:r>
    </w:p>
    <w:p w:rsidR="00C949DF" w:rsidRPr="009432E6" w:rsidRDefault="00C949DF" w:rsidP="00C949DF">
      <w:pPr>
        <w:pStyle w:val="ListParagraph"/>
        <w:tabs>
          <w:tab w:val="left" w:pos="720"/>
        </w:tabs>
        <w:ind w:left="360"/>
      </w:pPr>
    </w:p>
    <w:p w:rsidR="00C949DF" w:rsidRPr="009432E6" w:rsidRDefault="00C949DF" w:rsidP="00C949DF">
      <w:pPr>
        <w:pStyle w:val="ListParagraph"/>
        <w:tabs>
          <w:tab w:val="left" w:pos="720"/>
        </w:tabs>
        <w:ind w:left="1080"/>
        <w:rPr>
          <w:b/>
          <w:u w:val="single"/>
        </w:rPr>
      </w:pPr>
      <w:r w:rsidRPr="009432E6">
        <w:rPr>
          <w:b/>
          <w:u w:val="single"/>
        </w:rPr>
        <w:t>Homeownership Center Staff</w:t>
      </w:r>
    </w:p>
    <w:p w:rsidR="00C949DF" w:rsidRPr="009432E6" w:rsidRDefault="00C949DF" w:rsidP="00C949DF">
      <w:pPr>
        <w:pStyle w:val="ListParagraph"/>
        <w:tabs>
          <w:tab w:val="left" w:pos="720"/>
        </w:tabs>
        <w:ind w:left="1080"/>
      </w:pPr>
    </w:p>
    <w:p w:rsidR="00C949DF" w:rsidRPr="009432E6" w:rsidRDefault="00C949DF" w:rsidP="00C949DF">
      <w:pPr>
        <w:pStyle w:val="ListParagraph"/>
        <w:tabs>
          <w:tab w:val="left" w:pos="720"/>
        </w:tabs>
        <w:ind w:left="1080"/>
      </w:pPr>
      <w:r w:rsidRPr="009432E6">
        <w:t>Dan Ellis, Atlanta HOC</w:t>
      </w:r>
    </w:p>
    <w:p w:rsidR="00C949DF" w:rsidRPr="009432E6" w:rsidRDefault="00C949DF" w:rsidP="00C949DF">
      <w:pPr>
        <w:pStyle w:val="ListParagraph"/>
        <w:tabs>
          <w:tab w:val="left" w:pos="720"/>
        </w:tabs>
        <w:ind w:left="1080"/>
      </w:pPr>
      <w:r w:rsidRPr="009432E6">
        <w:t xml:space="preserve">Andrew </w:t>
      </w:r>
      <w:proofErr w:type="spellStart"/>
      <w:r w:rsidRPr="009432E6">
        <w:t>Eckel</w:t>
      </w:r>
      <w:proofErr w:type="spellEnd"/>
      <w:r w:rsidRPr="009432E6">
        <w:t>, Denver HOC</w:t>
      </w:r>
    </w:p>
    <w:p w:rsidR="00C949DF" w:rsidRPr="009432E6" w:rsidRDefault="00C949DF" w:rsidP="00C949DF">
      <w:pPr>
        <w:pStyle w:val="ListParagraph"/>
        <w:tabs>
          <w:tab w:val="left" w:pos="720"/>
        </w:tabs>
        <w:ind w:left="1080"/>
      </w:pPr>
      <w:r w:rsidRPr="009432E6">
        <w:t>Darlene Shannon, Philadelphia HOC</w:t>
      </w:r>
    </w:p>
    <w:p w:rsidR="00C949DF" w:rsidRPr="009432E6" w:rsidRDefault="00C949DF" w:rsidP="00C949DF">
      <w:pPr>
        <w:pStyle w:val="ListParagraph"/>
        <w:tabs>
          <w:tab w:val="left" w:pos="720"/>
        </w:tabs>
        <w:ind w:left="1080"/>
      </w:pPr>
      <w:r w:rsidRPr="009432E6">
        <w:t>Bill Shuler, Santa Ana, HOC</w:t>
      </w:r>
    </w:p>
    <w:p w:rsidR="00C949DF" w:rsidRPr="009432E6" w:rsidRDefault="00C949DF" w:rsidP="00C949DF">
      <w:pPr>
        <w:pStyle w:val="ListParagraph"/>
        <w:tabs>
          <w:tab w:val="left" w:pos="720"/>
        </w:tabs>
        <w:ind w:left="360"/>
      </w:pPr>
    </w:p>
    <w:p w:rsidR="00303DF1" w:rsidRPr="009432E6" w:rsidRDefault="00303DF1" w:rsidP="001D514A">
      <w:pPr>
        <w:pStyle w:val="ListParagraph"/>
        <w:numPr>
          <w:ilvl w:val="0"/>
          <w:numId w:val="35"/>
        </w:numPr>
        <w:tabs>
          <w:tab w:val="left" w:pos="360"/>
          <w:tab w:val="left" w:pos="720"/>
        </w:tabs>
      </w:pPr>
      <w:r w:rsidRPr="009432E6">
        <w:t xml:space="preserve">There </w:t>
      </w:r>
      <w:r w:rsidR="00BB6FD3" w:rsidRPr="009432E6">
        <w:t>will be</w:t>
      </w:r>
      <w:r w:rsidRPr="009432E6">
        <w:t xml:space="preserve"> no remuneration provided to any respondent.</w:t>
      </w:r>
      <w:r w:rsidR="00804FCA" w:rsidRPr="009432E6">
        <w:t xml:space="preserve">  No financial relationships exist between respondents and </w:t>
      </w:r>
      <w:r w:rsidR="00C949DF" w:rsidRPr="009432E6">
        <w:t>FHA</w:t>
      </w:r>
      <w:r w:rsidR="00804FCA" w:rsidRPr="009432E6">
        <w:t>.</w:t>
      </w:r>
    </w:p>
    <w:p w:rsidR="00804FCA" w:rsidRPr="009432E6" w:rsidRDefault="00804FCA" w:rsidP="00804FCA">
      <w:pPr>
        <w:pStyle w:val="ListParagraph"/>
      </w:pPr>
    </w:p>
    <w:p w:rsidR="00804FCA" w:rsidRPr="009432E6" w:rsidRDefault="00804FCA" w:rsidP="001D514A">
      <w:pPr>
        <w:pStyle w:val="ListParagraph"/>
        <w:numPr>
          <w:ilvl w:val="0"/>
          <w:numId w:val="35"/>
        </w:numPr>
        <w:tabs>
          <w:tab w:val="left" w:pos="360"/>
          <w:tab w:val="left" w:pos="720"/>
        </w:tabs>
        <w:rPr>
          <w:b/>
        </w:rPr>
      </w:pPr>
      <w:r w:rsidRPr="009432E6">
        <w:t>Th</w:t>
      </w:r>
      <w:r w:rsidR="005E4AB7" w:rsidRPr="009432E6">
        <w:t xml:space="preserve">e collection </w:t>
      </w:r>
      <w:r w:rsidR="00303DF1" w:rsidRPr="009432E6">
        <w:t>allows</w:t>
      </w:r>
      <w:r w:rsidR="005E4AB7" w:rsidRPr="009432E6">
        <w:t xml:space="preserve"> developers</w:t>
      </w:r>
      <w:r w:rsidR="004A7C92" w:rsidRPr="009432E6">
        <w:t>, builders and other parties</w:t>
      </w:r>
      <w:r w:rsidR="005E4AB7" w:rsidRPr="009432E6">
        <w:t xml:space="preserve"> to provide confidential information under certain circumstances.  The </w:t>
      </w:r>
      <w:r w:rsidR="00C949DF" w:rsidRPr="009432E6">
        <w:t>builder/</w:t>
      </w:r>
      <w:r w:rsidR="005E4AB7" w:rsidRPr="009432E6">
        <w:t xml:space="preserve">developer will be asked to provide contracts </w:t>
      </w:r>
      <w:r w:rsidR="00303DF1" w:rsidRPr="009432E6">
        <w:t>or</w:t>
      </w:r>
      <w:r w:rsidR="005E4AB7" w:rsidRPr="009432E6">
        <w:t xml:space="preserve"> other proof that enough units are presold </w:t>
      </w:r>
      <w:r w:rsidR="002B5797" w:rsidRPr="009432E6">
        <w:t xml:space="preserve">in order to qualify for </w:t>
      </w:r>
      <w:r w:rsidR="00C949DF" w:rsidRPr="009432E6">
        <w:t>FHA</w:t>
      </w:r>
      <w:r w:rsidR="002B5797" w:rsidRPr="009432E6">
        <w:t xml:space="preserve"> condominium approval.</w:t>
      </w:r>
      <w:r w:rsidR="00B45D5C" w:rsidRPr="009432E6">
        <w:t xml:space="preserve">  </w:t>
      </w:r>
      <w:r w:rsidR="00C949DF" w:rsidRPr="009432E6">
        <w:t>FHA</w:t>
      </w:r>
      <w:r w:rsidR="00303DF1" w:rsidRPr="009432E6">
        <w:t xml:space="preserve"> expects that builders</w:t>
      </w:r>
      <w:r w:rsidR="00C949DF" w:rsidRPr="009432E6">
        <w:t>/developers</w:t>
      </w:r>
      <w:r w:rsidR="00303DF1" w:rsidRPr="009432E6">
        <w:t xml:space="preserve"> will choose not to provide contracts </w:t>
      </w:r>
      <w:r w:rsidR="00C949DF" w:rsidRPr="009432E6">
        <w:t xml:space="preserve">and loan commitments </w:t>
      </w:r>
      <w:r w:rsidR="00303DF1" w:rsidRPr="009432E6">
        <w:t xml:space="preserve">but will provide a spreadsheet listing the units that are sold.  Since </w:t>
      </w:r>
      <w:r w:rsidR="00C949DF" w:rsidRPr="009432E6">
        <w:t>FHA</w:t>
      </w:r>
      <w:r w:rsidR="00303DF1" w:rsidRPr="009432E6">
        <w:t xml:space="preserve"> allows the </w:t>
      </w:r>
      <w:r w:rsidRPr="009432E6">
        <w:t>respondent to provide non-confidential information in lieu of confidential information</w:t>
      </w:r>
      <w:r w:rsidR="00C949DF" w:rsidRPr="009432E6">
        <w:t>,</w:t>
      </w:r>
      <w:r w:rsidRPr="009432E6">
        <w:t xml:space="preserve"> </w:t>
      </w:r>
      <w:r w:rsidR="004A7C92" w:rsidRPr="009432E6">
        <w:t xml:space="preserve">and </w:t>
      </w:r>
      <w:r w:rsidR="00C949DF" w:rsidRPr="009432E6">
        <w:t>FHA</w:t>
      </w:r>
      <w:r w:rsidR="004A7C92" w:rsidRPr="009432E6">
        <w:t xml:space="preserve"> expects that respondents will not provide confidential information, </w:t>
      </w:r>
      <w:r w:rsidRPr="009432E6">
        <w:t xml:space="preserve">no assurance of confidentiality is </w:t>
      </w:r>
      <w:r w:rsidR="004A7C92" w:rsidRPr="009432E6">
        <w:t xml:space="preserve">necessary and is </w:t>
      </w:r>
      <w:r w:rsidR="000772FE" w:rsidRPr="009432E6">
        <w:t xml:space="preserve">not </w:t>
      </w:r>
      <w:r w:rsidRPr="009432E6">
        <w:t>provided to respondents.</w:t>
      </w:r>
    </w:p>
    <w:p w:rsidR="00804FCA" w:rsidRPr="009432E6" w:rsidRDefault="00804FCA" w:rsidP="00804FCA">
      <w:pPr>
        <w:pStyle w:val="ListParagraph"/>
      </w:pPr>
    </w:p>
    <w:p w:rsidR="00804FCA" w:rsidRPr="009432E6" w:rsidRDefault="00804FCA" w:rsidP="001D514A">
      <w:pPr>
        <w:pStyle w:val="ListParagraph"/>
        <w:numPr>
          <w:ilvl w:val="0"/>
          <w:numId w:val="35"/>
        </w:numPr>
        <w:tabs>
          <w:tab w:val="left" w:pos="360"/>
          <w:tab w:val="left" w:pos="720"/>
        </w:tabs>
        <w:rPr>
          <w:b/>
        </w:rPr>
      </w:pPr>
      <w:r w:rsidRPr="009432E6">
        <w:t>This information collection does not contain any questions of a sensitive nature or other matters that are commonly deemed private.</w:t>
      </w:r>
    </w:p>
    <w:p w:rsidR="00804FCA" w:rsidRPr="009432E6" w:rsidRDefault="00804FCA" w:rsidP="00804FCA">
      <w:pPr>
        <w:tabs>
          <w:tab w:val="left" w:pos="360"/>
          <w:tab w:val="left" w:pos="720"/>
        </w:tabs>
        <w:rPr>
          <w:b/>
        </w:rPr>
      </w:pPr>
    </w:p>
    <w:p w:rsidR="00E87621" w:rsidRPr="009432E6" w:rsidRDefault="00E87621" w:rsidP="004C49BF">
      <w:pPr>
        <w:pStyle w:val="ListParagraph"/>
        <w:numPr>
          <w:ilvl w:val="0"/>
          <w:numId w:val="35"/>
        </w:numPr>
        <w:tabs>
          <w:tab w:val="left" w:pos="360"/>
          <w:tab w:val="left" w:pos="720"/>
        </w:tabs>
      </w:pPr>
      <w:r w:rsidRPr="009432E6">
        <w:t>Tabulation of Reporting Burden</w:t>
      </w:r>
    </w:p>
    <w:p w:rsidR="00F27D69" w:rsidRPr="009432E6" w:rsidRDefault="00F27D69" w:rsidP="00F27D69">
      <w:pPr>
        <w:tabs>
          <w:tab w:val="left" w:pos="360"/>
        </w:tabs>
        <w:ind w:left="360"/>
        <w:rPr>
          <w:b/>
        </w:rPr>
      </w:pPr>
    </w:p>
    <w:tbl>
      <w:tblPr>
        <w:tblW w:w="8972" w:type="dxa"/>
        <w:tblInd w:w="540" w:type="dxa"/>
        <w:tblLook w:val="04A0" w:firstRow="1" w:lastRow="0" w:firstColumn="1" w:lastColumn="0" w:noHBand="0" w:noVBand="1"/>
      </w:tblPr>
      <w:tblGrid>
        <w:gridCol w:w="1983"/>
        <w:gridCol w:w="1277"/>
        <w:gridCol w:w="1067"/>
        <w:gridCol w:w="1117"/>
        <w:gridCol w:w="1027"/>
        <w:gridCol w:w="777"/>
        <w:gridCol w:w="607"/>
        <w:gridCol w:w="1117"/>
      </w:tblGrid>
      <w:tr w:rsidR="00816EFC" w:rsidTr="00816EFC">
        <w:trPr>
          <w:trHeight w:val="975"/>
          <w:tblHeader/>
        </w:trPr>
        <w:tc>
          <w:tcPr>
            <w:tcW w:w="19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16EFC" w:rsidRDefault="00816EFC">
            <w:pPr>
              <w:jc w:val="center"/>
              <w:rPr>
                <w:rFonts w:ascii="Arial" w:hAnsi="Arial" w:cs="Arial"/>
                <w:color w:val="000000"/>
                <w:sz w:val="18"/>
                <w:szCs w:val="18"/>
              </w:rPr>
            </w:pPr>
            <w:r>
              <w:rPr>
                <w:rFonts w:ascii="Arial" w:hAnsi="Arial" w:cs="Arial"/>
                <w:color w:val="000000"/>
                <w:sz w:val="18"/>
                <w:szCs w:val="18"/>
              </w:rPr>
              <w:t>Information Collection</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color w:val="000000"/>
                <w:sz w:val="18"/>
                <w:szCs w:val="18"/>
              </w:rPr>
            </w:pPr>
            <w:r>
              <w:rPr>
                <w:rFonts w:ascii="Arial" w:hAnsi="Arial" w:cs="Arial"/>
                <w:color w:val="000000"/>
                <w:sz w:val="18"/>
                <w:szCs w:val="18"/>
              </w:rPr>
              <w:t>Number of Respondents</w:t>
            </w:r>
          </w:p>
        </w:tc>
        <w:tc>
          <w:tcPr>
            <w:tcW w:w="1067" w:type="dxa"/>
            <w:tcBorders>
              <w:top w:val="single" w:sz="8" w:space="0" w:color="auto"/>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color w:val="000000"/>
                <w:sz w:val="18"/>
                <w:szCs w:val="18"/>
              </w:rPr>
            </w:pPr>
            <w:r>
              <w:rPr>
                <w:rFonts w:ascii="Arial" w:hAnsi="Arial" w:cs="Arial"/>
                <w:color w:val="000000"/>
                <w:sz w:val="18"/>
                <w:szCs w:val="18"/>
              </w:rPr>
              <w:t>Frequency of Response</w:t>
            </w:r>
          </w:p>
        </w:tc>
        <w:tc>
          <w:tcPr>
            <w:tcW w:w="1117" w:type="dxa"/>
            <w:tcBorders>
              <w:top w:val="single" w:sz="8" w:space="0" w:color="auto"/>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color w:val="000000"/>
                <w:sz w:val="18"/>
                <w:szCs w:val="18"/>
              </w:rPr>
            </w:pPr>
            <w:r>
              <w:rPr>
                <w:rFonts w:ascii="Arial" w:hAnsi="Arial" w:cs="Arial"/>
                <w:color w:val="000000"/>
                <w:sz w:val="18"/>
                <w:szCs w:val="18"/>
              </w:rPr>
              <w:t>Total Annual Responses</w:t>
            </w:r>
          </w:p>
        </w:tc>
        <w:tc>
          <w:tcPr>
            <w:tcW w:w="1027" w:type="dxa"/>
            <w:tcBorders>
              <w:top w:val="single" w:sz="8" w:space="0" w:color="auto"/>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color w:val="000000"/>
                <w:sz w:val="18"/>
                <w:szCs w:val="18"/>
              </w:rPr>
            </w:pPr>
            <w:r>
              <w:rPr>
                <w:rFonts w:ascii="Arial" w:hAnsi="Arial" w:cs="Arial"/>
                <w:color w:val="000000"/>
                <w:sz w:val="18"/>
                <w:szCs w:val="18"/>
              </w:rPr>
              <w:t>Hours per Response</w:t>
            </w:r>
          </w:p>
        </w:tc>
        <w:tc>
          <w:tcPr>
            <w:tcW w:w="777" w:type="dxa"/>
            <w:tcBorders>
              <w:top w:val="single" w:sz="8" w:space="0" w:color="auto"/>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color w:val="000000"/>
                <w:sz w:val="18"/>
                <w:szCs w:val="18"/>
              </w:rPr>
            </w:pPr>
            <w:r>
              <w:rPr>
                <w:rFonts w:ascii="Arial" w:hAnsi="Arial" w:cs="Arial"/>
                <w:color w:val="000000"/>
                <w:sz w:val="18"/>
                <w:szCs w:val="18"/>
              </w:rPr>
              <w:t>Total Annual Hours</w:t>
            </w:r>
          </w:p>
        </w:tc>
        <w:tc>
          <w:tcPr>
            <w:tcW w:w="607" w:type="dxa"/>
            <w:tcBorders>
              <w:top w:val="single" w:sz="8" w:space="0" w:color="auto"/>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color w:val="000000"/>
                <w:sz w:val="18"/>
                <w:szCs w:val="18"/>
              </w:rPr>
            </w:pPr>
            <w:r>
              <w:rPr>
                <w:rFonts w:ascii="Arial" w:hAnsi="Arial" w:cs="Arial"/>
                <w:color w:val="000000"/>
                <w:sz w:val="18"/>
                <w:szCs w:val="18"/>
              </w:rPr>
              <w:t>Cost Per Hour</w:t>
            </w:r>
          </w:p>
        </w:tc>
        <w:tc>
          <w:tcPr>
            <w:tcW w:w="1117" w:type="dxa"/>
            <w:tcBorders>
              <w:top w:val="single" w:sz="8" w:space="0" w:color="auto"/>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color w:val="000000"/>
                <w:sz w:val="18"/>
                <w:szCs w:val="18"/>
              </w:rPr>
            </w:pPr>
            <w:r>
              <w:rPr>
                <w:rFonts w:ascii="Arial" w:hAnsi="Arial" w:cs="Arial"/>
                <w:color w:val="000000"/>
                <w:sz w:val="18"/>
                <w:szCs w:val="18"/>
              </w:rPr>
              <w:t>Total Annual Cost</w:t>
            </w:r>
          </w:p>
        </w:tc>
      </w:tr>
      <w:tr w:rsidR="00816EFC" w:rsidTr="00816EFC">
        <w:trPr>
          <w:trHeight w:val="735"/>
        </w:trPr>
        <w:tc>
          <w:tcPr>
            <w:tcW w:w="1983" w:type="dxa"/>
            <w:tcBorders>
              <w:top w:val="nil"/>
              <w:left w:val="single" w:sz="8" w:space="0" w:color="auto"/>
              <w:bottom w:val="single" w:sz="8" w:space="0" w:color="auto"/>
              <w:right w:val="single" w:sz="8" w:space="0" w:color="auto"/>
            </w:tcBorders>
            <w:shd w:val="clear" w:color="auto" w:fill="auto"/>
            <w:vAlign w:val="center"/>
            <w:hideMark/>
          </w:tcPr>
          <w:p w:rsidR="00816EFC" w:rsidRDefault="00816EFC">
            <w:pPr>
              <w:rPr>
                <w:rFonts w:ascii="Arial" w:hAnsi="Arial" w:cs="Arial"/>
                <w:b/>
                <w:bCs/>
                <w:color w:val="000000"/>
                <w:sz w:val="18"/>
                <w:szCs w:val="18"/>
              </w:rPr>
            </w:pPr>
            <w:r>
              <w:rPr>
                <w:rFonts w:ascii="Arial" w:hAnsi="Arial" w:cs="Arial"/>
                <w:b/>
                <w:bCs/>
                <w:color w:val="000000"/>
                <w:sz w:val="18"/>
                <w:szCs w:val="18"/>
              </w:rPr>
              <w:t>Package preparation</w:t>
            </w:r>
          </w:p>
        </w:tc>
        <w:tc>
          <w:tcPr>
            <w:tcW w:w="127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15,000</w:t>
            </w:r>
          </w:p>
        </w:tc>
        <w:tc>
          <w:tcPr>
            <w:tcW w:w="106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1</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15,000</w:t>
            </w:r>
          </w:p>
        </w:tc>
        <w:tc>
          <w:tcPr>
            <w:tcW w:w="102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2</w:t>
            </w:r>
          </w:p>
        </w:tc>
        <w:tc>
          <w:tcPr>
            <w:tcW w:w="77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30,000</w:t>
            </w:r>
          </w:p>
        </w:tc>
        <w:tc>
          <w:tcPr>
            <w:tcW w:w="60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35</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 xml:space="preserve">$1,050,000 </w:t>
            </w:r>
          </w:p>
        </w:tc>
      </w:tr>
      <w:tr w:rsidR="00816EFC" w:rsidTr="00816EFC">
        <w:trPr>
          <w:trHeight w:val="495"/>
        </w:trPr>
        <w:tc>
          <w:tcPr>
            <w:tcW w:w="1983" w:type="dxa"/>
            <w:tcBorders>
              <w:top w:val="nil"/>
              <w:left w:val="single" w:sz="8" w:space="0" w:color="auto"/>
              <w:bottom w:val="single" w:sz="8" w:space="0" w:color="auto"/>
              <w:right w:val="single" w:sz="8" w:space="0" w:color="auto"/>
            </w:tcBorders>
            <w:shd w:val="clear" w:color="auto" w:fill="auto"/>
            <w:vAlign w:val="center"/>
            <w:hideMark/>
          </w:tcPr>
          <w:p w:rsidR="00816EFC" w:rsidRDefault="00816EFC">
            <w:pPr>
              <w:rPr>
                <w:rFonts w:ascii="Arial" w:hAnsi="Arial" w:cs="Arial"/>
                <w:b/>
                <w:bCs/>
                <w:color w:val="000000"/>
                <w:sz w:val="18"/>
                <w:szCs w:val="18"/>
              </w:rPr>
            </w:pPr>
            <w:r>
              <w:rPr>
                <w:rFonts w:ascii="Arial" w:hAnsi="Arial" w:cs="Arial"/>
                <w:b/>
                <w:bCs/>
                <w:color w:val="000000"/>
                <w:sz w:val="18"/>
                <w:szCs w:val="18"/>
              </w:rPr>
              <w:t>Package Review</w:t>
            </w:r>
          </w:p>
        </w:tc>
        <w:tc>
          <w:tcPr>
            <w:tcW w:w="127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15,000</w:t>
            </w:r>
          </w:p>
        </w:tc>
        <w:tc>
          <w:tcPr>
            <w:tcW w:w="106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1</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15,000</w:t>
            </w:r>
          </w:p>
        </w:tc>
        <w:tc>
          <w:tcPr>
            <w:tcW w:w="102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1</w:t>
            </w:r>
          </w:p>
        </w:tc>
        <w:tc>
          <w:tcPr>
            <w:tcW w:w="77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15,000</w:t>
            </w:r>
          </w:p>
        </w:tc>
        <w:tc>
          <w:tcPr>
            <w:tcW w:w="60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35</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 xml:space="preserve">$525,000 </w:t>
            </w:r>
          </w:p>
        </w:tc>
      </w:tr>
      <w:tr w:rsidR="00816EFC" w:rsidTr="00816EFC">
        <w:trPr>
          <w:trHeight w:val="1125"/>
        </w:trPr>
        <w:tc>
          <w:tcPr>
            <w:tcW w:w="1983" w:type="dxa"/>
            <w:vMerge w:val="restart"/>
            <w:tcBorders>
              <w:top w:val="nil"/>
              <w:left w:val="single" w:sz="8" w:space="0" w:color="auto"/>
              <w:bottom w:val="single" w:sz="8" w:space="0" w:color="000000"/>
              <w:right w:val="single" w:sz="8" w:space="0" w:color="auto"/>
            </w:tcBorders>
            <w:shd w:val="clear" w:color="auto" w:fill="auto"/>
            <w:vAlign w:val="center"/>
            <w:hideMark/>
          </w:tcPr>
          <w:p w:rsidR="00816EFC" w:rsidRDefault="00816EFC">
            <w:pPr>
              <w:rPr>
                <w:rFonts w:ascii="Arial" w:hAnsi="Arial" w:cs="Arial"/>
                <w:b/>
                <w:bCs/>
                <w:color w:val="000000"/>
                <w:sz w:val="18"/>
                <w:szCs w:val="18"/>
              </w:rPr>
            </w:pPr>
            <w:r>
              <w:rPr>
                <w:rFonts w:ascii="Arial" w:hAnsi="Arial" w:cs="Arial"/>
                <w:b/>
                <w:bCs/>
                <w:color w:val="000000"/>
                <w:sz w:val="18"/>
                <w:szCs w:val="18"/>
              </w:rPr>
              <w:lastRenderedPageBreak/>
              <w:t>AFHM Plan Review – 935.2C (2529-0013)</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30</w:t>
            </w:r>
          </w:p>
        </w:tc>
        <w:tc>
          <w:tcPr>
            <w:tcW w:w="1067" w:type="dxa"/>
            <w:vMerge w:val="restart"/>
            <w:tcBorders>
              <w:top w:val="nil"/>
              <w:left w:val="single" w:sz="8" w:space="0" w:color="auto"/>
              <w:bottom w:val="single" w:sz="8" w:space="0" w:color="000000"/>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1</w:t>
            </w:r>
          </w:p>
        </w:tc>
        <w:tc>
          <w:tcPr>
            <w:tcW w:w="1117" w:type="dxa"/>
            <w:vMerge w:val="restart"/>
            <w:tcBorders>
              <w:top w:val="nil"/>
              <w:left w:val="single" w:sz="8" w:space="0" w:color="auto"/>
              <w:bottom w:val="single" w:sz="8" w:space="0" w:color="000000"/>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30</w:t>
            </w:r>
          </w:p>
        </w:tc>
        <w:tc>
          <w:tcPr>
            <w:tcW w:w="1027" w:type="dxa"/>
            <w:vMerge w:val="restart"/>
            <w:tcBorders>
              <w:top w:val="nil"/>
              <w:left w:val="single" w:sz="8" w:space="0" w:color="auto"/>
              <w:bottom w:val="single" w:sz="8" w:space="0" w:color="000000"/>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3</w:t>
            </w:r>
          </w:p>
        </w:tc>
        <w:tc>
          <w:tcPr>
            <w:tcW w:w="777" w:type="dxa"/>
            <w:vMerge w:val="restart"/>
            <w:tcBorders>
              <w:top w:val="nil"/>
              <w:left w:val="single" w:sz="8" w:space="0" w:color="auto"/>
              <w:bottom w:val="single" w:sz="8" w:space="0" w:color="000000"/>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90</w:t>
            </w:r>
          </w:p>
        </w:tc>
        <w:tc>
          <w:tcPr>
            <w:tcW w:w="607" w:type="dxa"/>
            <w:vMerge w:val="restart"/>
            <w:tcBorders>
              <w:top w:val="nil"/>
              <w:left w:val="single" w:sz="8" w:space="0" w:color="auto"/>
              <w:bottom w:val="single" w:sz="8" w:space="0" w:color="000000"/>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35</w:t>
            </w:r>
          </w:p>
        </w:tc>
        <w:tc>
          <w:tcPr>
            <w:tcW w:w="1117" w:type="dxa"/>
            <w:vMerge w:val="restart"/>
            <w:tcBorders>
              <w:top w:val="nil"/>
              <w:left w:val="single" w:sz="8" w:space="0" w:color="auto"/>
              <w:bottom w:val="single" w:sz="8" w:space="0" w:color="000000"/>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 xml:space="preserve">$3,150 </w:t>
            </w:r>
          </w:p>
        </w:tc>
      </w:tr>
      <w:tr w:rsidR="00816EFC" w:rsidTr="00816EFC">
        <w:trPr>
          <w:trHeight w:val="315"/>
        </w:trPr>
        <w:tc>
          <w:tcPr>
            <w:tcW w:w="1983" w:type="dxa"/>
            <w:vMerge/>
            <w:tcBorders>
              <w:top w:val="nil"/>
              <w:left w:val="single" w:sz="8" w:space="0" w:color="auto"/>
              <w:bottom w:val="single" w:sz="8" w:space="0" w:color="000000"/>
              <w:right w:val="single" w:sz="8" w:space="0" w:color="auto"/>
            </w:tcBorders>
            <w:vAlign w:val="center"/>
            <w:hideMark/>
          </w:tcPr>
          <w:p w:rsidR="00816EFC" w:rsidRDefault="00816EFC">
            <w:pPr>
              <w:rPr>
                <w:rFonts w:ascii="Arial" w:hAnsi="Arial" w:cs="Arial"/>
                <w:b/>
                <w:bCs/>
                <w:color w:val="000000"/>
                <w:sz w:val="18"/>
                <w:szCs w:val="18"/>
              </w:rPr>
            </w:pPr>
          </w:p>
        </w:tc>
        <w:tc>
          <w:tcPr>
            <w:tcW w:w="1277" w:type="dxa"/>
            <w:vMerge/>
            <w:tcBorders>
              <w:top w:val="nil"/>
              <w:left w:val="single" w:sz="8" w:space="0" w:color="auto"/>
              <w:bottom w:val="single" w:sz="8" w:space="0" w:color="000000"/>
              <w:right w:val="single" w:sz="8" w:space="0" w:color="auto"/>
            </w:tcBorders>
            <w:vAlign w:val="center"/>
            <w:hideMark/>
          </w:tcPr>
          <w:p w:rsidR="00816EFC" w:rsidRDefault="00816EFC">
            <w:pPr>
              <w:rPr>
                <w:rFonts w:ascii="Arial" w:hAnsi="Arial" w:cs="Arial"/>
                <w:b/>
                <w:bCs/>
                <w:color w:val="000000"/>
                <w:sz w:val="18"/>
                <w:szCs w:val="18"/>
              </w:rPr>
            </w:pPr>
          </w:p>
        </w:tc>
        <w:tc>
          <w:tcPr>
            <w:tcW w:w="1067" w:type="dxa"/>
            <w:vMerge/>
            <w:tcBorders>
              <w:top w:val="nil"/>
              <w:left w:val="single" w:sz="8" w:space="0" w:color="auto"/>
              <w:bottom w:val="single" w:sz="8" w:space="0" w:color="000000"/>
              <w:right w:val="single" w:sz="8" w:space="0" w:color="auto"/>
            </w:tcBorders>
            <w:vAlign w:val="center"/>
            <w:hideMark/>
          </w:tcPr>
          <w:p w:rsidR="00816EFC" w:rsidRDefault="00816EFC">
            <w:pPr>
              <w:rPr>
                <w:rFonts w:ascii="Arial" w:hAnsi="Arial" w:cs="Arial"/>
                <w:b/>
                <w:bCs/>
                <w:color w:val="000000"/>
                <w:sz w:val="18"/>
                <w:szCs w:val="18"/>
              </w:rPr>
            </w:pPr>
          </w:p>
        </w:tc>
        <w:tc>
          <w:tcPr>
            <w:tcW w:w="1117" w:type="dxa"/>
            <w:vMerge/>
            <w:tcBorders>
              <w:top w:val="nil"/>
              <w:left w:val="single" w:sz="8" w:space="0" w:color="auto"/>
              <w:bottom w:val="single" w:sz="8" w:space="0" w:color="000000"/>
              <w:right w:val="single" w:sz="8" w:space="0" w:color="auto"/>
            </w:tcBorders>
            <w:vAlign w:val="center"/>
            <w:hideMark/>
          </w:tcPr>
          <w:p w:rsidR="00816EFC" w:rsidRDefault="00816EFC">
            <w:pPr>
              <w:rPr>
                <w:rFonts w:ascii="Arial" w:hAnsi="Arial" w:cs="Arial"/>
                <w:b/>
                <w:bCs/>
                <w:color w:val="000000"/>
                <w:sz w:val="18"/>
                <w:szCs w:val="18"/>
              </w:rPr>
            </w:pPr>
          </w:p>
        </w:tc>
        <w:tc>
          <w:tcPr>
            <w:tcW w:w="1027" w:type="dxa"/>
            <w:vMerge/>
            <w:tcBorders>
              <w:top w:val="nil"/>
              <w:left w:val="single" w:sz="8" w:space="0" w:color="auto"/>
              <w:bottom w:val="single" w:sz="8" w:space="0" w:color="000000"/>
              <w:right w:val="single" w:sz="8" w:space="0" w:color="auto"/>
            </w:tcBorders>
            <w:vAlign w:val="center"/>
            <w:hideMark/>
          </w:tcPr>
          <w:p w:rsidR="00816EFC" w:rsidRDefault="00816EFC">
            <w:pPr>
              <w:rPr>
                <w:rFonts w:ascii="Arial" w:hAnsi="Arial" w:cs="Arial"/>
                <w:b/>
                <w:bCs/>
                <w:color w:val="000000"/>
                <w:sz w:val="18"/>
                <w:szCs w:val="18"/>
              </w:rPr>
            </w:pPr>
          </w:p>
        </w:tc>
        <w:tc>
          <w:tcPr>
            <w:tcW w:w="777" w:type="dxa"/>
            <w:vMerge/>
            <w:tcBorders>
              <w:top w:val="nil"/>
              <w:left w:val="single" w:sz="8" w:space="0" w:color="auto"/>
              <w:bottom w:val="single" w:sz="8" w:space="0" w:color="000000"/>
              <w:right w:val="single" w:sz="8" w:space="0" w:color="auto"/>
            </w:tcBorders>
            <w:vAlign w:val="center"/>
            <w:hideMark/>
          </w:tcPr>
          <w:p w:rsidR="00816EFC" w:rsidRDefault="00816EFC">
            <w:pPr>
              <w:rPr>
                <w:rFonts w:ascii="Arial" w:hAnsi="Arial" w:cs="Arial"/>
                <w:b/>
                <w:bCs/>
                <w:color w:val="000000"/>
                <w:sz w:val="18"/>
                <w:szCs w:val="18"/>
              </w:rPr>
            </w:pPr>
          </w:p>
        </w:tc>
        <w:tc>
          <w:tcPr>
            <w:tcW w:w="607" w:type="dxa"/>
            <w:vMerge/>
            <w:tcBorders>
              <w:top w:val="nil"/>
              <w:left w:val="single" w:sz="8" w:space="0" w:color="auto"/>
              <w:bottom w:val="single" w:sz="8" w:space="0" w:color="000000"/>
              <w:right w:val="single" w:sz="8" w:space="0" w:color="auto"/>
            </w:tcBorders>
            <w:vAlign w:val="center"/>
            <w:hideMark/>
          </w:tcPr>
          <w:p w:rsidR="00816EFC" w:rsidRDefault="00816EFC">
            <w:pPr>
              <w:rPr>
                <w:rFonts w:ascii="Arial" w:hAnsi="Arial" w:cs="Arial"/>
                <w:b/>
                <w:bCs/>
                <w:color w:val="000000"/>
                <w:sz w:val="18"/>
                <w:szCs w:val="18"/>
              </w:rPr>
            </w:pPr>
          </w:p>
        </w:tc>
        <w:tc>
          <w:tcPr>
            <w:tcW w:w="1117" w:type="dxa"/>
            <w:vMerge/>
            <w:tcBorders>
              <w:top w:val="nil"/>
              <w:left w:val="single" w:sz="8" w:space="0" w:color="auto"/>
              <w:bottom w:val="single" w:sz="8" w:space="0" w:color="000000"/>
              <w:right w:val="single" w:sz="8" w:space="0" w:color="auto"/>
            </w:tcBorders>
            <w:vAlign w:val="center"/>
            <w:hideMark/>
          </w:tcPr>
          <w:p w:rsidR="00816EFC" w:rsidRDefault="00816EFC">
            <w:pPr>
              <w:rPr>
                <w:rFonts w:ascii="Arial" w:hAnsi="Arial" w:cs="Arial"/>
                <w:b/>
                <w:bCs/>
                <w:color w:val="000000"/>
                <w:sz w:val="18"/>
                <w:szCs w:val="18"/>
              </w:rPr>
            </w:pPr>
          </w:p>
        </w:tc>
      </w:tr>
      <w:tr w:rsidR="00816EFC" w:rsidTr="00816EFC">
        <w:trPr>
          <w:trHeight w:val="735"/>
        </w:trPr>
        <w:tc>
          <w:tcPr>
            <w:tcW w:w="1983" w:type="dxa"/>
            <w:tcBorders>
              <w:top w:val="nil"/>
              <w:left w:val="single" w:sz="8" w:space="0" w:color="auto"/>
              <w:bottom w:val="single" w:sz="8" w:space="0" w:color="auto"/>
              <w:right w:val="single" w:sz="8" w:space="0" w:color="auto"/>
            </w:tcBorders>
            <w:shd w:val="clear" w:color="auto" w:fill="auto"/>
            <w:vAlign w:val="center"/>
            <w:hideMark/>
          </w:tcPr>
          <w:p w:rsidR="00816EFC" w:rsidRDefault="00816EFC">
            <w:pPr>
              <w:rPr>
                <w:rFonts w:ascii="Arial" w:hAnsi="Arial" w:cs="Arial"/>
                <w:b/>
                <w:bCs/>
                <w:color w:val="000000"/>
                <w:sz w:val="18"/>
                <w:szCs w:val="18"/>
              </w:rPr>
            </w:pPr>
            <w:r>
              <w:rPr>
                <w:rFonts w:ascii="Arial" w:hAnsi="Arial" w:cs="Arial"/>
                <w:b/>
                <w:bCs/>
                <w:color w:val="000000"/>
                <w:sz w:val="18"/>
                <w:szCs w:val="18"/>
              </w:rPr>
              <w:t>92541 (2502-0496)</w:t>
            </w:r>
          </w:p>
        </w:tc>
        <w:tc>
          <w:tcPr>
            <w:tcW w:w="127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3,900</w:t>
            </w:r>
          </w:p>
        </w:tc>
        <w:tc>
          <w:tcPr>
            <w:tcW w:w="106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1</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3,900</w:t>
            </w:r>
          </w:p>
        </w:tc>
        <w:tc>
          <w:tcPr>
            <w:tcW w:w="102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0.25</w:t>
            </w:r>
          </w:p>
        </w:tc>
        <w:tc>
          <w:tcPr>
            <w:tcW w:w="77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975</w:t>
            </w:r>
          </w:p>
        </w:tc>
        <w:tc>
          <w:tcPr>
            <w:tcW w:w="60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35</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 xml:space="preserve">$34,125 </w:t>
            </w:r>
          </w:p>
        </w:tc>
      </w:tr>
      <w:tr w:rsidR="00816EFC" w:rsidTr="00816EFC">
        <w:trPr>
          <w:trHeight w:val="735"/>
        </w:trPr>
        <w:tc>
          <w:tcPr>
            <w:tcW w:w="1983" w:type="dxa"/>
            <w:tcBorders>
              <w:top w:val="nil"/>
              <w:left w:val="single" w:sz="8" w:space="0" w:color="auto"/>
              <w:bottom w:val="single" w:sz="8" w:space="0" w:color="auto"/>
              <w:right w:val="single" w:sz="8" w:space="0" w:color="auto"/>
            </w:tcBorders>
            <w:shd w:val="clear" w:color="auto" w:fill="auto"/>
            <w:vAlign w:val="center"/>
            <w:hideMark/>
          </w:tcPr>
          <w:p w:rsidR="00816EFC" w:rsidRDefault="00816EFC">
            <w:pPr>
              <w:rPr>
                <w:rFonts w:ascii="Arial" w:hAnsi="Arial" w:cs="Arial"/>
                <w:b/>
                <w:bCs/>
                <w:color w:val="000000"/>
                <w:sz w:val="18"/>
                <w:szCs w:val="18"/>
              </w:rPr>
            </w:pPr>
            <w:r>
              <w:rPr>
                <w:rFonts w:ascii="Arial" w:hAnsi="Arial" w:cs="Arial"/>
                <w:b/>
                <w:bCs/>
                <w:color w:val="000000"/>
                <w:sz w:val="18"/>
                <w:szCs w:val="18"/>
              </w:rPr>
              <w:t>92544 (2502-0059)</w:t>
            </w:r>
          </w:p>
        </w:tc>
        <w:tc>
          <w:tcPr>
            <w:tcW w:w="127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3,900</w:t>
            </w:r>
          </w:p>
        </w:tc>
        <w:tc>
          <w:tcPr>
            <w:tcW w:w="106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1</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3,900</w:t>
            </w:r>
          </w:p>
        </w:tc>
        <w:tc>
          <w:tcPr>
            <w:tcW w:w="102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0.05</w:t>
            </w:r>
          </w:p>
        </w:tc>
        <w:tc>
          <w:tcPr>
            <w:tcW w:w="77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195</w:t>
            </w:r>
          </w:p>
        </w:tc>
        <w:tc>
          <w:tcPr>
            <w:tcW w:w="60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35</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 xml:space="preserve">$6,825 </w:t>
            </w:r>
          </w:p>
        </w:tc>
      </w:tr>
      <w:tr w:rsidR="00816EFC" w:rsidTr="00816EFC">
        <w:trPr>
          <w:trHeight w:val="975"/>
        </w:trPr>
        <w:tc>
          <w:tcPr>
            <w:tcW w:w="1983" w:type="dxa"/>
            <w:tcBorders>
              <w:top w:val="nil"/>
              <w:left w:val="single" w:sz="8" w:space="0" w:color="auto"/>
              <w:bottom w:val="single" w:sz="8" w:space="0" w:color="auto"/>
              <w:right w:val="single" w:sz="8" w:space="0" w:color="auto"/>
            </w:tcBorders>
            <w:shd w:val="clear" w:color="auto" w:fill="auto"/>
            <w:vAlign w:val="center"/>
            <w:hideMark/>
          </w:tcPr>
          <w:p w:rsidR="00816EFC" w:rsidRDefault="00816EFC">
            <w:pPr>
              <w:rPr>
                <w:rFonts w:ascii="Arial" w:hAnsi="Arial" w:cs="Arial"/>
                <w:b/>
                <w:bCs/>
                <w:color w:val="7030A0"/>
                <w:sz w:val="18"/>
                <w:szCs w:val="18"/>
              </w:rPr>
            </w:pPr>
            <w:r>
              <w:rPr>
                <w:rFonts w:ascii="Arial" w:hAnsi="Arial" w:cs="Arial"/>
                <w:b/>
                <w:bCs/>
                <w:color w:val="7030A0"/>
                <w:sz w:val="18"/>
                <w:szCs w:val="18"/>
              </w:rPr>
              <w:t xml:space="preserve">Project </w:t>
            </w:r>
            <w:r w:rsidR="00997A47">
              <w:rPr>
                <w:rFonts w:ascii="Arial" w:hAnsi="Arial" w:cs="Arial"/>
                <w:b/>
                <w:bCs/>
                <w:color w:val="7030A0"/>
                <w:sz w:val="18"/>
                <w:szCs w:val="18"/>
              </w:rPr>
              <w:t>Certification (96017</w:t>
            </w:r>
            <w:r>
              <w:rPr>
                <w:rFonts w:ascii="Arial" w:hAnsi="Arial" w:cs="Arial"/>
                <w:b/>
                <w:bCs/>
                <w:color w:val="7030A0"/>
                <w:sz w:val="18"/>
                <w:szCs w:val="18"/>
              </w:rPr>
              <w:t>)</w:t>
            </w:r>
          </w:p>
        </w:tc>
        <w:tc>
          <w:tcPr>
            <w:tcW w:w="127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15,000</w:t>
            </w:r>
          </w:p>
        </w:tc>
        <w:tc>
          <w:tcPr>
            <w:tcW w:w="106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1</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15,000</w:t>
            </w:r>
          </w:p>
        </w:tc>
        <w:tc>
          <w:tcPr>
            <w:tcW w:w="102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0.1</w:t>
            </w:r>
          </w:p>
        </w:tc>
        <w:tc>
          <w:tcPr>
            <w:tcW w:w="77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1,500</w:t>
            </w:r>
          </w:p>
        </w:tc>
        <w:tc>
          <w:tcPr>
            <w:tcW w:w="60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35</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 xml:space="preserve">$52,500 </w:t>
            </w:r>
          </w:p>
        </w:tc>
      </w:tr>
      <w:tr w:rsidR="00816EFC" w:rsidTr="00816EFC">
        <w:trPr>
          <w:trHeight w:val="1215"/>
        </w:trPr>
        <w:tc>
          <w:tcPr>
            <w:tcW w:w="1983" w:type="dxa"/>
            <w:tcBorders>
              <w:top w:val="nil"/>
              <w:left w:val="single" w:sz="8" w:space="0" w:color="auto"/>
              <w:bottom w:val="single" w:sz="8" w:space="0" w:color="auto"/>
              <w:right w:val="single" w:sz="8" w:space="0" w:color="auto"/>
            </w:tcBorders>
            <w:shd w:val="clear" w:color="auto" w:fill="auto"/>
            <w:vAlign w:val="center"/>
            <w:hideMark/>
          </w:tcPr>
          <w:p w:rsidR="00B21828" w:rsidRDefault="00816EFC">
            <w:pPr>
              <w:rPr>
                <w:rFonts w:ascii="Arial" w:hAnsi="Arial" w:cs="Arial"/>
                <w:b/>
                <w:bCs/>
                <w:color w:val="7030A0"/>
                <w:sz w:val="18"/>
                <w:szCs w:val="18"/>
              </w:rPr>
            </w:pPr>
            <w:r>
              <w:rPr>
                <w:rFonts w:ascii="Arial" w:hAnsi="Arial" w:cs="Arial"/>
                <w:b/>
                <w:bCs/>
                <w:color w:val="7030A0"/>
                <w:sz w:val="18"/>
                <w:szCs w:val="18"/>
              </w:rPr>
              <w:t>Loan Level Certification</w:t>
            </w:r>
          </w:p>
          <w:p w:rsidR="00816EFC" w:rsidRDefault="00997A47">
            <w:pPr>
              <w:rPr>
                <w:rFonts w:ascii="Arial" w:hAnsi="Arial" w:cs="Arial"/>
                <w:b/>
                <w:bCs/>
                <w:color w:val="7030A0"/>
                <w:sz w:val="18"/>
                <w:szCs w:val="18"/>
              </w:rPr>
            </w:pPr>
            <w:r>
              <w:rPr>
                <w:rFonts w:ascii="Arial" w:hAnsi="Arial" w:cs="Arial"/>
                <w:b/>
                <w:bCs/>
                <w:color w:val="7030A0"/>
                <w:sz w:val="18"/>
                <w:szCs w:val="18"/>
              </w:rPr>
              <w:t xml:space="preserve"> (96018</w:t>
            </w:r>
            <w:r w:rsidR="00816EFC">
              <w:rPr>
                <w:rFonts w:ascii="Arial" w:hAnsi="Arial" w:cs="Arial"/>
                <w:b/>
                <w:bCs/>
                <w:color w:val="7030A0"/>
                <w:sz w:val="18"/>
                <w:szCs w:val="18"/>
              </w:rPr>
              <w:t>)</w:t>
            </w:r>
          </w:p>
        </w:tc>
        <w:tc>
          <w:tcPr>
            <w:tcW w:w="127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50,000</w:t>
            </w:r>
          </w:p>
        </w:tc>
        <w:tc>
          <w:tcPr>
            <w:tcW w:w="106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1</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50,000</w:t>
            </w:r>
          </w:p>
        </w:tc>
        <w:tc>
          <w:tcPr>
            <w:tcW w:w="102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0.3</w:t>
            </w:r>
          </w:p>
        </w:tc>
        <w:tc>
          <w:tcPr>
            <w:tcW w:w="77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15,000</w:t>
            </w:r>
          </w:p>
        </w:tc>
        <w:tc>
          <w:tcPr>
            <w:tcW w:w="60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35</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 xml:space="preserve">$525,000 </w:t>
            </w:r>
          </w:p>
        </w:tc>
      </w:tr>
      <w:tr w:rsidR="00816EFC" w:rsidTr="00816EFC">
        <w:trPr>
          <w:trHeight w:val="975"/>
        </w:trPr>
        <w:tc>
          <w:tcPr>
            <w:tcW w:w="1983" w:type="dxa"/>
            <w:tcBorders>
              <w:top w:val="nil"/>
              <w:left w:val="single" w:sz="8" w:space="0" w:color="auto"/>
              <w:bottom w:val="single" w:sz="8" w:space="0" w:color="auto"/>
              <w:right w:val="single" w:sz="8" w:space="0" w:color="auto"/>
            </w:tcBorders>
            <w:shd w:val="clear" w:color="auto" w:fill="auto"/>
            <w:vAlign w:val="center"/>
            <w:hideMark/>
          </w:tcPr>
          <w:p w:rsidR="00B21828" w:rsidRDefault="00816EFC">
            <w:pPr>
              <w:rPr>
                <w:rFonts w:ascii="Arial" w:hAnsi="Arial" w:cs="Arial"/>
                <w:b/>
                <w:bCs/>
                <w:color w:val="7030A0"/>
                <w:sz w:val="18"/>
                <w:szCs w:val="18"/>
              </w:rPr>
            </w:pPr>
            <w:r>
              <w:rPr>
                <w:rFonts w:ascii="Arial" w:hAnsi="Arial" w:cs="Arial"/>
                <w:b/>
                <w:bCs/>
                <w:color w:val="7030A0"/>
                <w:sz w:val="18"/>
                <w:szCs w:val="18"/>
              </w:rPr>
              <w:t xml:space="preserve">Pre-Sale Certification </w:t>
            </w:r>
          </w:p>
          <w:p w:rsidR="00816EFC" w:rsidRDefault="00997A47">
            <w:pPr>
              <w:rPr>
                <w:rFonts w:ascii="Arial" w:hAnsi="Arial" w:cs="Arial"/>
                <w:b/>
                <w:bCs/>
                <w:color w:val="7030A0"/>
                <w:sz w:val="18"/>
                <w:szCs w:val="18"/>
              </w:rPr>
            </w:pPr>
            <w:r>
              <w:rPr>
                <w:rFonts w:ascii="Arial" w:hAnsi="Arial" w:cs="Arial"/>
                <w:b/>
                <w:bCs/>
                <w:color w:val="7030A0"/>
                <w:sz w:val="18"/>
                <w:szCs w:val="18"/>
              </w:rPr>
              <w:t>(96019</w:t>
            </w:r>
            <w:r w:rsidR="00816EFC">
              <w:rPr>
                <w:rFonts w:ascii="Arial" w:hAnsi="Arial" w:cs="Arial"/>
                <w:b/>
                <w:bCs/>
                <w:color w:val="7030A0"/>
                <w:sz w:val="18"/>
                <w:szCs w:val="18"/>
              </w:rPr>
              <w:t>)</w:t>
            </w:r>
          </w:p>
        </w:tc>
        <w:tc>
          <w:tcPr>
            <w:tcW w:w="127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3,900</w:t>
            </w:r>
          </w:p>
        </w:tc>
        <w:tc>
          <w:tcPr>
            <w:tcW w:w="106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1</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3,900</w:t>
            </w:r>
          </w:p>
        </w:tc>
        <w:tc>
          <w:tcPr>
            <w:tcW w:w="102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1</w:t>
            </w:r>
          </w:p>
        </w:tc>
        <w:tc>
          <w:tcPr>
            <w:tcW w:w="77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3,900</w:t>
            </w:r>
          </w:p>
        </w:tc>
        <w:tc>
          <w:tcPr>
            <w:tcW w:w="60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35</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 xml:space="preserve">$136,500 </w:t>
            </w:r>
          </w:p>
        </w:tc>
      </w:tr>
      <w:tr w:rsidR="00816EFC" w:rsidTr="00816EFC">
        <w:trPr>
          <w:trHeight w:val="2175"/>
        </w:trPr>
        <w:tc>
          <w:tcPr>
            <w:tcW w:w="1983" w:type="dxa"/>
            <w:tcBorders>
              <w:top w:val="nil"/>
              <w:left w:val="single" w:sz="8" w:space="0" w:color="auto"/>
              <w:bottom w:val="single" w:sz="8" w:space="0" w:color="auto"/>
              <w:right w:val="single" w:sz="8" w:space="0" w:color="auto"/>
            </w:tcBorders>
            <w:shd w:val="clear" w:color="auto" w:fill="auto"/>
            <w:vAlign w:val="center"/>
            <w:hideMark/>
          </w:tcPr>
          <w:p w:rsidR="00816EFC" w:rsidRDefault="00816EFC">
            <w:pPr>
              <w:rPr>
                <w:rFonts w:ascii="Arial" w:hAnsi="Arial" w:cs="Arial"/>
                <w:b/>
                <w:bCs/>
                <w:color w:val="7030A0"/>
                <w:sz w:val="18"/>
                <w:szCs w:val="18"/>
              </w:rPr>
            </w:pPr>
            <w:r>
              <w:rPr>
                <w:rFonts w:ascii="Arial" w:hAnsi="Arial" w:cs="Arial"/>
                <w:b/>
                <w:bCs/>
                <w:color w:val="7030A0"/>
                <w:sz w:val="18"/>
                <w:szCs w:val="18"/>
              </w:rPr>
              <w:t xml:space="preserve">Condominium Project Approval Cover </w:t>
            </w:r>
            <w:r w:rsidR="00997A47">
              <w:rPr>
                <w:rFonts w:ascii="Arial" w:hAnsi="Arial" w:cs="Arial"/>
                <w:b/>
                <w:bCs/>
                <w:color w:val="7030A0"/>
                <w:sz w:val="18"/>
                <w:szCs w:val="18"/>
              </w:rPr>
              <w:t>Document/Checklist (96027</w:t>
            </w:r>
            <w:r>
              <w:rPr>
                <w:rFonts w:ascii="Arial" w:hAnsi="Arial" w:cs="Arial"/>
                <w:b/>
                <w:bCs/>
                <w:color w:val="7030A0"/>
                <w:sz w:val="18"/>
                <w:szCs w:val="18"/>
              </w:rPr>
              <w:t>)</w:t>
            </w:r>
          </w:p>
        </w:tc>
        <w:tc>
          <w:tcPr>
            <w:tcW w:w="127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14,500</w:t>
            </w:r>
          </w:p>
        </w:tc>
        <w:tc>
          <w:tcPr>
            <w:tcW w:w="106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1</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14,500</w:t>
            </w:r>
          </w:p>
        </w:tc>
        <w:tc>
          <w:tcPr>
            <w:tcW w:w="102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1</w:t>
            </w:r>
          </w:p>
        </w:tc>
        <w:tc>
          <w:tcPr>
            <w:tcW w:w="77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14,500</w:t>
            </w:r>
          </w:p>
        </w:tc>
        <w:tc>
          <w:tcPr>
            <w:tcW w:w="60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35</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 xml:space="preserve">$507,500 </w:t>
            </w:r>
          </w:p>
        </w:tc>
      </w:tr>
      <w:tr w:rsidR="00816EFC" w:rsidTr="00816EFC">
        <w:trPr>
          <w:trHeight w:val="1695"/>
        </w:trPr>
        <w:tc>
          <w:tcPr>
            <w:tcW w:w="1983" w:type="dxa"/>
            <w:tcBorders>
              <w:top w:val="nil"/>
              <w:left w:val="single" w:sz="8" w:space="0" w:color="auto"/>
              <w:bottom w:val="single" w:sz="8" w:space="0" w:color="auto"/>
              <w:right w:val="single" w:sz="8" w:space="0" w:color="auto"/>
            </w:tcBorders>
            <w:shd w:val="clear" w:color="auto" w:fill="auto"/>
            <w:vAlign w:val="center"/>
            <w:hideMark/>
          </w:tcPr>
          <w:p w:rsidR="00816EFC" w:rsidRDefault="00816EFC">
            <w:pPr>
              <w:rPr>
                <w:rFonts w:ascii="Arial" w:hAnsi="Arial" w:cs="Arial"/>
                <w:b/>
                <w:bCs/>
                <w:color w:val="7030A0"/>
                <w:sz w:val="18"/>
                <w:szCs w:val="18"/>
              </w:rPr>
            </w:pPr>
            <w:r>
              <w:rPr>
                <w:rFonts w:ascii="Arial" w:hAnsi="Arial" w:cs="Arial"/>
                <w:b/>
                <w:bCs/>
                <w:color w:val="7030A0"/>
                <w:sz w:val="18"/>
                <w:szCs w:val="18"/>
              </w:rPr>
              <w:t>Condominium Proj</w:t>
            </w:r>
            <w:r w:rsidR="00997A47">
              <w:rPr>
                <w:rFonts w:ascii="Arial" w:hAnsi="Arial" w:cs="Arial"/>
                <w:b/>
                <w:bCs/>
                <w:color w:val="7030A0"/>
                <w:sz w:val="18"/>
                <w:szCs w:val="18"/>
              </w:rPr>
              <w:t>ect Annexation Checklist (96028</w:t>
            </w:r>
            <w:r>
              <w:rPr>
                <w:rFonts w:ascii="Arial" w:hAnsi="Arial" w:cs="Arial"/>
                <w:b/>
                <w:bCs/>
                <w:color w:val="7030A0"/>
                <w:sz w:val="18"/>
                <w:szCs w:val="18"/>
              </w:rPr>
              <w:t>)</w:t>
            </w:r>
          </w:p>
        </w:tc>
        <w:tc>
          <w:tcPr>
            <w:tcW w:w="127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500</w:t>
            </w:r>
          </w:p>
        </w:tc>
        <w:tc>
          <w:tcPr>
            <w:tcW w:w="106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1</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500</w:t>
            </w:r>
          </w:p>
        </w:tc>
        <w:tc>
          <w:tcPr>
            <w:tcW w:w="102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0.3</w:t>
            </w:r>
          </w:p>
        </w:tc>
        <w:tc>
          <w:tcPr>
            <w:tcW w:w="77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150</w:t>
            </w:r>
          </w:p>
        </w:tc>
        <w:tc>
          <w:tcPr>
            <w:tcW w:w="60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35</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 xml:space="preserve">$5,250 </w:t>
            </w:r>
          </w:p>
        </w:tc>
      </w:tr>
      <w:tr w:rsidR="00816EFC" w:rsidTr="00816EFC">
        <w:trPr>
          <w:trHeight w:val="735"/>
        </w:trPr>
        <w:tc>
          <w:tcPr>
            <w:tcW w:w="1983" w:type="dxa"/>
            <w:tcBorders>
              <w:top w:val="nil"/>
              <w:left w:val="single" w:sz="8" w:space="0" w:color="auto"/>
              <w:bottom w:val="single" w:sz="8" w:space="0" w:color="auto"/>
              <w:right w:val="single" w:sz="8" w:space="0" w:color="auto"/>
            </w:tcBorders>
            <w:shd w:val="clear" w:color="auto" w:fill="auto"/>
            <w:vAlign w:val="center"/>
            <w:hideMark/>
          </w:tcPr>
          <w:p w:rsidR="00816EFC" w:rsidRDefault="00997A47">
            <w:pPr>
              <w:rPr>
                <w:rFonts w:ascii="Arial" w:hAnsi="Arial" w:cs="Arial"/>
                <w:b/>
                <w:bCs/>
                <w:color w:val="7030A0"/>
                <w:sz w:val="18"/>
                <w:szCs w:val="18"/>
              </w:rPr>
            </w:pPr>
            <w:r>
              <w:rPr>
                <w:rFonts w:ascii="Arial" w:hAnsi="Arial" w:cs="Arial"/>
                <w:b/>
                <w:bCs/>
                <w:color w:val="7030A0"/>
                <w:sz w:val="18"/>
                <w:szCs w:val="18"/>
              </w:rPr>
              <w:t>Condominium Rider (96029</w:t>
            </w:r>
            <w:bookmarkStart w:id="0" w:name="_GoBack"/>
            <w:bookmarkEnd w:id="0"/>
            <w:r w:rsidR="00816EFC">
              <w:rPr>
                <w:rFonts w:ascii="Arial" w:hAnsi="Arial" w:cs="Arial"/>
                <w:b/>
                <w:bCs/>
                <w:color w:val="7030A0"/>
                <w:sz w:val="18"/>
                <w:szCs w:val="18"/>
              </w:rPr>
              <w:t>)</w:t>
            </w:r>
          </w:p>
        </w:tc>
        <w:tc>
          <w:tcPr>
            <w:tcW w:w="127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50,000</w:t>
            </w:r>
          </w:p>
        </w:tc>
        <w:tc>
          <w:tcPr>
            <w:tcW w:w="106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1</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50,000</w:t>
            </w:r>
          </w:p>
        </w:tc>
        <w:tc>
          <w:tcPr>
            <w:tcW w:w="102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0.1</w:t>
            </w:r>
          </w:p>
        </w:tc>
        <w:tc>
          <w:tcPr>
            <w:tcW w:w="77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5,000</w:t>
            </w:r>
          </w:p>
        </w:tc>
        <w:tc>
          <w:tcPr>
            <w:tcW w:w="60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7030A0"/>
                <w:sz w:val="18"/>
                <w:szCs w:val="18"/>
              </w:rPr>
            </w:pPr>
            <w:r>
              <w:rPr>
                <w:rFonts w:ascii="Arial" w:hAnsi="Arial" w:cs="Arial"/>
                <w:b/>
                <w:bCs/>
                <w:color w:val="7030A0"/>
                <w:sz w:val="18"/>
                <w:szCs w:val="18"/>
              </w:rPr>
              <w:t>35</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7030A0"/>
                <w:sz w:val="18"/>
                <w:szCs w:val="18"/>
              </w:rPr>
            </w:pPr>
            <w:r>
              <w:rPr>
                <w:rFonts w:ascii="Arial" w:hAnsi="Arial" w:cs="Arial"/>
                <w:b/>
                <w:bCs/>
                <w:color w:val="7030A0"/>
                <w:sz w:val="18"/>
                <w:szCs w:val="18"/>
              </w:rPr>
              <w:t xml:space="preserve">$175,000 </w:t>
            </w:r>
          </w:p>
        </w:tc>
      </w:tr>
      <w:tr w:rsidR="00816EFC" w:rsidTr="00816EFC">
        <w:trPr>
          <w:trHeight w:val="315"/>
        </w:trPr>
        <w:tc>
          <w:tcPr>
            <w:tcW w:w="1983" w:type="dxa"/>
            <w:tcBorders>
              <w:top w:val="nil"/>
              <w:left w:val="single" w:sz="8" w:space="0" w:color="auto"/>
              <w:bottom w:val="single" w:sz="8" w:space="0" w:color="auto"/>
              <w:right w:val="single" w:sz="8" w:space="0" w:color="auto"/>
            </w:tcBorders>
            <w:shd w:val="clear" w:color="auto" w:fill="auto"/>
            <w:vAlign w:val="center"/>
            <w:hideMark/>
          </w:tcPr>
          <w:p w:rsidR="00816EFC" w:rsidRDefault="00816EFC">
            <w:pPr>
              <w:rPr>
                <w:rFonts w:ascii="Arial" w:hAnsi="Arial" w:cs="Arial"/>
                <w:b/>
                <w:bCs/>
                <w:color w:val="000000"/>
                <w:sz w:val="18"/>
                <w:szCs w:val="18"/>
              </w:rPr>
            </w:pPr>
            <w:r>
              <w:rPr>
                <w:rFonts w:ascii="Arial" w:hAnsi="Arial" w:cs="Arial"/>
                <w:b/>
                <w:bCs/>
                <w:color w:val="000000"/>
                <w:sz w:val="18"/>
                <w:szCs w:val="18"/>
              </w:rPr>
              <w:t>TOTALS</w:t>
            </w:r>
          </w:p>
        </w:tc>
        <w:tc>
          <w:tcPr>
            <w:tcW w:w="127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50,000</w:t>
            </w:r>
          </w:p>
        </w:tc>
        <w:tc>
          <w:tcPr>
            <w:tcW w:w="106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 </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171,730</w:t>
            </w:r>
          </w:p>
        </w:tc>
        <w:tc>
          <w:tcPr>
            <w:tcW w:w="102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11.93</w:t>
            </w:r>
          </w:p>
        </w:tc>
        <w:tc>
          <w:tcPr>
            <w:tcW w:w="77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86,310</w:t>
            </w:r>
          </w:p>
        </w:tc>
        <w:tc>
          <w:tcPr>
            <w:tcW w:w="607" w:type="dxa"/>
            <w:tcBorders>
              <w:top w:val="nil"/>
              <w:left w:val="nil"/>
              <w:bottom w:val="single" w:sz="8" w:space="0" w:color="auto"/>
              <w:right w:val="single" w:sz="8" w:space="0" w:color="auto"/>
            </w:tcBorders>
            <w:shd w:val="clear" w:color="auto" w:fill="auto"/>
            <w:vAlign w:val="center"/>
            <w:hideMark/>
          </w:tcPr>
          <w:p w:rsidR="00816EFC" w:rsidRDefault="00816EFC">
            <w:pPr>
              <w:jc w:val="center"/>
              <w:rPr>
                <w:rFonts w:ascii="Arial" w:hAnsi="Arial" w:cs="Arial"/>
                <w:b/>
                <w:bCs/>
                <w:color w:val="000000"/>
                <w:sz w:val="18"/>
                <w:szCs w:val="18"/>
              </w:rPr>
            </w:pPr>
            <w:r>
              <w:rPr>
                <w:rFonts w:ascii="Arial" w:hAnsi="Arial" w:cs="Arial"/>
                <w:b/>
                <w:bCs/>
                <w:color w:val="000000"/>
                <w:sz w:val="18"/>
                <w:szCs w:val="18"/>
              </w:rPr>
              <w:t>35</w:t>
            </w:r>
          </w:p>
        </w:tc>
        <w:tc>
          <w:tcPr>
            <w:tcW w:w="1117" w:type="dxa"/>
            <w:tcBorders>
              <w:top w:val="nil"/>
              <w:left w:val="nil"/>
              <w:bottom w:val="single" w:sz="8" w:space="0" w:color="auto"/>
              <w:right w:val="single" w:sz="8" w:space="0" w:color="auto"/>
            </w:tcBorders>
            <w:shd w:val="clear" w:color="auto" w:fill="auto"/>
            <w:vAlign w:val="center"/>
            <w:hideMark/>
          </w:tcPr>
          <w:p w:rsidR="00816EFC" w:rsidRDefault="00816EFC">
            <w:pPr>
              <w:jc w:val="right"/>
              <w:rPr>
                <w:rFonts w:ascii="Arial" w:hAnsi="Arial" w:cs="Arial"/>
                <w:b/>
                <w:bCs/>
                <w:color w:val="000000"/>
                <w:sz w:val="18"/>
                <w:szCs w:val="18"/>
              </w:rPr>
            </w:pPr>
            <w:r>
              <w:rPr>
                <w:rFonts w:ascii="Arial" w:hAnsi="Arial" w:cs="Arial"/>
                <w:b/>
                <w:bCs/>
                <w:color w:val="000000"/>
                <w:sz w:val="18"/>
                <w:szCs w:val="18"/>
              </w:rPr>
              <w:t xml:space="preserve">$3,020,850 </w:t>
            </w:r>
          </w:p>
        </w:tc>
      </w:tr>
    </w:tbl>
    <w:p w:rsidR="00F27D69" w:rsidRPr="009432E6" w:rsidRDefault="00F27D69" w:rsidP="00F27D69">
      <w:pPr>
        <w:tabs>
          <w:tab w:val="left" w:pos="360"/>
        </w:tabs>
        <w:ind w:left="360"/>
        <w:rPr>
          <w:sz w:val="20"/>
          <w:szCs w:val="20"/>
        </w:rPr>
      </w:pPr>
    </w:p>
    <w:p w:rsidR="00B27573" w:rsidRPr="009432E6" w:rsidRDefault="00F27D69" w:rsidP="00B27573">
      <w:pPr>
        <w:pStyle w:val="BodyTextIndent"/>
        <w:tabs>
          <w:tab w:val="clear" w:pos="360"/>
        </w:tabs>
        <w:ind w:left="0" w:firstLine="0"/>
      </w:pPr>
      <w:r w:rsidRPr="009432E6">
        <w:t xml:space="preserve">Package preparation can be performed by homeowners associations, management companies, independent project consultants, attorneys or lenders.  Project review can only be performed by FHA staff or participating lenders with DELRAP authority.  The burdens to those lenders who complete DELRAP reviews are noted above, as is the preparation burden for other parties.  </w:t>
      </w:r>
      <w:r w:rsidR="00B27573">
        <w:t xml:space="preserve">When the forms are completed HUD will submit a change request for final versions.  </w:t>
      </w:r>
    </w:p>
    <w:p w:rsidR="009F1D94" w:rsidRPr="009432E6" w:rsidRDefault="009F1D94" w:rsidP="004C49BF">
      <w:pPr>
        <w:tabs>
          <w:tab w:val="left" w:pos="360"/>
        </w:tabs>
      </w:pPr>
    </w:p>
    <w:p w:rsidR="009F1D94" w:rsidRPr="009432E6" w:rsidRDefault="003E42DF" w:rsidP="009F1D94">
      <w:pPr>
        <w:tabs>
          <w:tab w:val="left" w:pos="360"/>
        </w:tabs>
        <w:rPr>
          <w:b/>
        </w:rPr>
      </w:pPr>
      <w:r w:rsidRPr="009432E6">
        <w:rPr>
          <w:b/>
        </w:rPr>
        <w:lastRenderedPageBreak/>
        <w:t xml:space="preserve">Preparation of the AFHM Plan, form HUD-935.2C and accompanying documentation may be performed and submitted by a builder, developer or contracted representative.  </w:t>
      </w:r>
      <w:r w:rsidR="009F1D94" w:rsidRPr="009432E6">
        <w:rPr>
          <w:b/>
        </w:rPr>
        <w:t>The number of respondents has been estimated at 30 per year and the burden to these parties i</w:t>
      </w:r>
      <w:r w:rsidR="003760C2">
        <w:rPr>
          <w:b/>
        </w:rPr>
        <w:t>s noted above.  The total cost</w:t>
      </w:r>
      <w:r w:rsidR="009F1D94" w:rsidRPr="009432E6">
        <w:rPr>
          <w:b/>
        </w:rPr>
        <w:t xml:space="preserve"> to the public as a result </w:t>
      </w:r>
      <w:r w:rsidR="002165D4" w:rsidRPr="009432E6">
        <w:rPr>
          <w:b/>
        </w:rPr>
        <w:t>of this collection is $</w:t>
      </w:r>
      <w:r w:rsidR="001956FA">
        <w:rPr>
          <w:b/>
        </w:rPr>
        <w:t>3,000,795</w:t>
      </w:r>
      <w:r w:rsidR="009F1D94" w:rsidRPr="009432E6">
        <w:rPr>
          <w:b/>
        </w:rPr>
        <w:t>.</w:t>
      </w:r>
    </w:p>
    <w:p w:rsidR="00F27D69" w:rsidRPr="009432E6" w:rsidRDefault="00F27D69" w:rsidP="00F27D69">
      <w:pPr>
        <w:pStyle w:val="ListParagraph"/>
        <w:tabs>
          <w:tab w:val="left" w:pos="360"/>
        </w:tabs>
        <w:ind w:left="108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1307"/>
        <w:gridCol w:w="1348"/>
        <w:gridCol w:w="1345"/>
        <w:gridCol w:w="1324"/>
        <w:gridCol w:w="1280"/>
        <w:gridCol w:w="1324"/>
        <w:gridCol w:w="1180"/>
      </w:tblGrid>
      <w:tr w:rsidR="009432E6" w:rsidRPr="009432E6" w:rsidTr="00763EED">
        <w:tc>
          <w:tcPr>
            <w:tcW w:w="1320" w:type="dxa"/>
          </w:tcPr>
          <w:p w:rsidR="00F27D69" w:rsidRPr="009432E6" w:rsidRDefault="00F27D69" w:rsidP="00763EED">
            <w:pPr>
              <w:jc w:val="center"/>
              <w:rPr>
                <w:rFonts w:ascii="Arial" w:hAnsi="Arial" w:cs="Arial"/>
                <w:sz w:val="18"/>
              </w:rPr>
            </w:pPr>
            <w:r w:rsidRPr="009432E6">
              <w:rPr>
                <w:rFonts w:ascii="Arial" w:hAnsi="Arial" w:cs="Arial"/>
                <w:sz w:val="18"/>
              </w:rPr>
              <w:t>Information Collection</w:t>
            </w:r>
          </w:p>
        </w:tc>
        <w:tc>
          <w:tcPr>
            <w:tcW w:w="1307" w:type="dxa"/>
          </w:tcPr>
          <w:p w:rsidR="00F27D69" w:rsidRPr="009432E6" w:rsidRDefault="00F27D69" w:rsidP="00763EED">
            <w:pPr>
              <w:jc w:val="center"/>
              <w:rPr>
                <w:rFonts w:ascii="Arial" w:hAnsi="Arial" w:cs="Arial"/>
                <w:sz w:val="18"/>
              </w:rPr>
            </w:pPr>
            <w:r w:rsidRPr="009432E6">
              <w:rPr>
                <w:rFonts w:ascii="Arial" w:hAnsi="Arial" w:cs="Arial"/>
                <w:sz w:val="18"/>
              </w:rPr>
              <w:t>Number of Respondents</w:t>
            </w:r>
          </w:p>
        </w:tc>
        <w:tc>
          <w:tcPr>
            <w:tcW w:w="1348" w:type="dxa"/>
          </w:tcPr>
          <w:p w:rsidR="00F27D69" w:rsidRPr="009432E6" w:rsidRDefault="00F27D69" w:rsidP="00763EED">
            <w:pPr>
              <w:jc w:val="center"/>
              <w:rPr>
                <w:rFonts w:ascii="Arial" w:hAnsi="Arial" w:cs="Arial"/>
                <w:sz w:val="18"/>
              </w:rPr>
            </w:pPr>
            <w:r w:rsidRPr="009432E6">
              <w:rPr>
                <w:rFonts w:ascii="Arial" w:hAnsi="Arial" w:cs="Arial"/>
                <w:sz w:val="18"/>
              </w:rPr>
              <w:t>Frequency of Response</w:t>
            </w:r>
          </w:p>
        </w:tc>
        <w:tc>
          <w:tcPr>
            <w:tcW w:w="1345" w:type="dxa"/>
          </w:tcPr>
          <w:p w:rsidR="00F27D69" w:rsidRPr="009432E6" w:rsidRDefault="00F27D69" w:rsidP="00763EED">
            <w:pPr>
              <w:jc w:val="center"/>
              <w:rPr>
                <w:rFonts w:ascii="Arial" w:hAnsi="Arial" w:cs="Arial"/>
                <w:sz w:val="18"/>
              </w:rPr>
            </w:pPr>
            <w:r w:rsidRPr="009432E6">
              <w:rPr>
                <w:rFonts w:ascii="Arial" w:hAnsi="Arial" w:cs="Arial"/>
                <w:sz w:val="18"/>
              </w:rPr>
              <w:t>Responses</w:t>
            </w:r>
          </w:p>
          <w:p w:rsidR="00F27D69" w:rsidRPr="009432E6" w:rsidRDefault="00F27D69" w:rsidP="00763EED">
            <w:pPr>
              <w:jc w:val="center"/>
              <w:rPr>
                <w:rFonts w:ascii="Arial" w:hAnsi="Arial" w:cs="Arial"/>
                <w:sz w:val="18"/>
              </w:rPr>
            </w:pPr>
            <w:r w:rsidRPr="009432E6">
              <w:rPr>
                <w:rFonts w:ascii="Arial" w:hAnsi="Arial" w:cs="Arial"/>
                <w:sz w:val="18"/>
              </w:rPr>
              <w:t>Per Annum</w:t>
            </w:r>
          </w:p>
        </w:tc>
        <w:tc>
          <w:tcPr>
            <w:tcW w:w="1324" w:type="dxa"/>
          </w:tcPr>
          <w:p w:rsidR="00F27D69" w:rsidRPr="009432E6" w:rsidRDefault="00F27D69" w:rsidP="00763EED">
            <w:pPr>
              <w:jc w:val="center"/>
              <w:rPr>
                <w:rFonts w:ascii="Arial" w:hAnsi="Arial" w:cs="Arial"/>
                <w:sz w:val="18"/>
              </w:rPr>
            </w:pPr>
            <w:r w:rsidRPr="009432E6">
              <w:rPr>
                <w:rFonts w:ascii="Arial" w:hAnsi="Arial" w:cs="Arial"/>
                <w:sz w:val="18"/>
              </w:rPr>
              <w:t>Burden Hour Per Response</w:t>
            </w:r>
          </w:p>
        </w:tc>
        <w:tc>
          <w:tcPr>
            <w:tcW w:w="1280" w:type="dxa"/>
          </w:tcPr>
          <w:p w:rsidR="00F27D69" w:rsidRPr="009432E6" w:rsidRDefault="00F27D69" w:rsidP="00763EED">
            <w:pPr>
              <w:jc w:val="center"/>
              <w:rPr>
                <w:rFonts w:ascii="Arial" w:hAnsi="Arial" w:cs="Arial"/>
                <w:sz w:val="18"/>
              </w:rPr>
            </w:pPr>
            <w:r w:rsidRPr="009432E6">
              <w:rPr>
                <w:rFonts w:ascii="Arial" w:hAnsi="Arial" w:cs="Arial"/>
                <w:sz w:val="18"/>
              </w:rPr>
              <w:t>Annual Burden Hours</w:t>
            </w:r>
          </w:p>
        </w:tc>
        <w:tc>
          <w:tcPr>
            <w:tcW w:w="1324" w:type="dxa"/>
          </w:tcPr>
          <w:p w:rsidR="00F27D69" w:rsidRPr="009432E6" w:rsidRDefault="00F27D69" w:rsidP="00763EED">
            <w:pPr>
              <w:jc w:val="center"/>
              <w:rPr>
                <w:rFonts w:ascii="Arial" w:hAnsi="Arial" w:cs="Arial"/>
                <w:sz w:val="18"/>
              </w:rPr>
            </w:pPr>
            <w:r w:rsidRPr="009432E6">
              <w:rPr>
                <w:rFonts w:ascii="Arial" w:hAnsi="Arial" w:cs="Arial"/>
                <w:sz w:val="18"/>
              </w:rPr>
              <w:t>Hourly Cost Per Response</w:t>
            </w:r>
          </w:p>
        </w:tc>
        <w:tc>
          <w:tcPr>
            <w:tcW w:w="1180" w:type="dxa"/>
          </w:tcPr>
          <w:p w:rsidR="00F27D69" w:rsidRPr="009432E6" w:rsidRDefault="00F27D69" w:rsidP="00763EED">
            <w:pPr>
              <w:jc w:val="center"/>
              <w:rPr>
                <w:rFonts w:ascii="Arial" w:hAnsi="Arial" w:cs="Arial"/>
                <w:sz w:val="18"/>
              </w:rPr>
            </w:pPr>
            <w:r w:rsidRPr="009432E6">
              <w:rPr>
                <w:rFonts w:ascii="Arial" w:hAnsi="Arial" w:cs="Arial"/>
                <w:sz w:val="18"/>
              </w:rPr>
              <w:t>Annual Cost</w:t>
            </w:r>
          </w:p>
          <w:p w:rsidR="00F27D69" w:rsidRPr="009432E6" w:rsidRDefault="00F27D69" w:rsidP="00763EED">
            <w:pPr>
              <w:jc w:val="center"/>
              <w:rPr>
                <w:rFonts w:ascii="Arial" w:hAnsi="Arial" w:cs="Arial"/>
                <w:sz w:val="18"/>
              </w:rPr>
            </w:pPr>
          </w:p>
        </w:tc>
      </w:tr>
      <w:tr w:rsidR="009432E6" w:rsidRPr="009432E6" w:rsidTr="00763EED">
        <w:trPr>
          <w:trHeight w:val="302"/>
        </w:trPr>
        <w:tc>
          <w:tcPr>
            <w:tcW w:w="1320" w:type="dxa"/>
          </w:tcPr>
          <w:p w:rsidR="00F27D69" w:rsidRPr="009432E6" w:rsidRDefault="00F27D69" w:rsidP="00763EED">
            <w:pPr>
              <w:spacing w:before="60"/>
              <w:rPr>
                <w:rFonts w:ascii="Arial" w:hAnsi="Arial" w:cs="Arial"/>
                <w:b/>
                <w:bCs/>
                <w:sz w:val="18"/>
              </w:rPr>
            </w:pPr>
            <w:r w:rsidRPr="009432E6">
              <w:rPr>
                <w:rFonts w:ascii="Arial" w:hAnsi="Arial" w:cs="Arial"/>
                <w:b/>
                <w:bCs/>
                <w:sz w:val="18"/>
              </w:rPr>
              <w:t>Package review</w:t>
            </w:r>
          </w:p>
        </w:tc>
        <w:tc>
          <w:tcPr>
            <w:tcW w:w="1307" w:type="dxa"/>
          </w:tcPr>
          <w:p w:rsidR="00F27D69" w:rsidRPr="009432E6" w:rsidRDefault="00F27D69" w:rsidP="00763EED">
            <w:pPr>
              <w:spacing w:before="60"/>
              <w:jc w:val="center"/>
              <w:rPr>
                <w:rFonts w:ascii="Arial" w:hAnsi="Arial" w:cs="Arial"/>
                <w:b/>
                <w:bCs/>
                <w:sz w:val="18"/>
              </w:rPr>
            </w:pPr>
            <w:r w:rsidRPr="009432E6">
              <w:rPr>
                <w:rFonts w:ascii="Arial" w:hAnsi="Arial" w:cs="Arial"/>
                <w:b/>
                <w:bCs/>
                <w:sz w:val="18"/>
              </w:rPr>
              <w:t>15,000</w:t>
            </w:r>
          </w:p>
        </w:tc>
        <w:tc>
          <w:tcPr>
            <w:tcW w:w="1348" w:type="dxa"/>
          </w:tcPr>
          <w:p w:rsidR="00F27D69" w:rsidRPr="009432E6" w:rsidRDefault="00F27D69" w:rsidP="00763EED">
            <w:pPr>
              <w:spacing w:before="60"/>
              <w:jc w:val="center"/>
              <w:rPr>
                <w:rFonts w:ascii="Arial" w:hAnsi="Arial" w:cs="Arial"/>
                <w:b/>
                <w:bCs/>
                <w:sz w:val="18"/>
              </w:rPr>
            </w:pPr>
            <w:r w:rsidRPr="009432E6">
              <w:rPr>
                <w:rFonts w:ascii="Arial" w:hAnsi="Arial" w:cs="Arial"/>
                <w:b/>
                <w:bCs/>
                <w:sz w:val="18"/>
              </w:rPr>
              <w:t>1</w:t>
            </w:r>
          </w:p>
        </w:tc>
        <w:tc>
          <w:tcPr>
            <w:tcW w:w="1345" w:type="dxa"/>
          </w:tcPr>
          <w:p w:rsidR="00F27D69" w:rsidRPr="009432E6" w:rsidRDefault="00F27D69" w:rsidP="00763EED">
            <w:pPr>
              <w:spacing w:before="60"/>
              <w:jc w:val="center"/>
              <w:rPr>
                <w:rFonts w:ascii="Arial" w:hAnsi="Arial" w:cs="Arial"/>
                <w:b/>
                <w:bCs/>
                <w:sz w:val="18"/>
              </w:rPr>
            </w:pPr>
            <w:r w:rsidRPr="009432E6">
              <w:rPr>
                <w:rFonts w:ascii="Arial" w:hAnsi="Arial" w:cs="Arial"/>
                <w:b/>
                <w:bCs/>
                <w:sz w:val="18"/>
              </w:rPr>
              <w:t>15,000</w:t>
            </w:r>
          </w:p>
        </w:tc>
        <w:tc>
          <w:tcPr>
            <w:tcW w:w="1324" w:type="dxa"/>
          </w:tcPr>
          <w:p w:rsidR="00F27D69" w:rsidRPr="009432E6" w:rsidRDefault="00F27D69" w:rsidP="00763EED">
            <w:pPr>
              <w:spacing w:before="60"/>
              <w:jc w:val="center"/>
              <w:rPr>
                <w:rFonts w:ascii="Arial" w:hAnsi="Arial" w:cs="Arial"/>
                <w:b/>
                <w:bCs/>
                <w:sz w:val="18"/>
              </w:rPr>
            </w:pPr>
            <w:r w:rsidRPr="009432E6">
              <w:rPr>
                <w:rFonts w:ascii="Arial" w:hAnsi="Arial" w:cs="Arial"/>
                <w:b/>
                <w:bCs/>
                <w:sz w:val="18"/>
              </w:rPr>
              <w:t>1</w:t>
            </w:r>
          </w:p>
        </w:tc>
        <w:tc>
          <w:tcPr>
            <w:tcW w:w="1280" w:type="dxa"/>
          </w:tcPr>
          <w:p w:rsidR="00F27D69" w:rsidRPr="009432E6" w:rsidRDefault="00F27D69" w:rsidP="00763EED">
            <w:pPr>
              <w:spacing w:before="60"/>
              <w:jc w:val="center"/>
              <w:rPr>
                <w:rFonts w:ascii="Arial" w:hAnsi="Arial" w:cs="Arial"/>
                <w:b/>
                <w:bCs/>
                <w:sz w:val="18"/>
              </w:rPr>
            </w:pPr>
            <w:r w:rsidRPr="009432E6">
              <w:rPr>
                <w:rFonts w:ascii="Arial" w:hAnsi="Arial" w:cs="Arial"/>
                <w:b/>
                <w:bCs/>
                <w:sz w:val="18"/>
              </w:rPr>
              <w:t>15,000</w:t>
            </w:r>
          </w:p>
        </w:tc>
        <w:tc>
          <w:tcPr>
            <w:tcW w:w="1324" w:type="dxa"/>
          </w:tcPr>
          <w:p w:rsidR="00F27D69" w:rsidRPr="009432E6" w:rsidRDefault="00F27D69" w:rsidP="00763EED">
            <w:pPr>
              <w:spacing w:before="60"/>
              <w:jc w:val="right"/>
              <w:rPr>
                <w:rFonts w:ascii="Arial" w:hAnsi="Arial" w:cs="Arial"/>
                <w:b/>
                <w:bCs/>
                <w:sz w:val="18"/>
              </w:rPr>
            </w:pPr>
            <w:r w:rsidRPr="009432E6">
              <w:rPr>
                <w:rFonts w:ascii="Arial" w:hAnsi="Arial" w:cs="Arial"/>
                <w:b/>
                <w:bCs/>
                <w:sz w:val="18"/>
              </w:rPr>
              <w:t>$35</w:t>
            </w:r>
          </w:p>
        </w:tc>
        <w:tc>
          <w:tcPr>
            <w:tcW w:w="1180" w:type="dxa"/>
          </w:tcPr>
          <w:p w:rsidR="00F27D69" w:rsidRPr="009432E6" w:rsidRDefault="00F27D69" w:rsidP="00763EED">
            <w:pPr>
              <w:spacing w:before="60"/>
              <w:jc w:val="right"/>
              <w:rPr>
                <w:rFonts w:ascii="Arial" w:hAnsi="Arial" w:cs="Arial"/>
                <w:b/>
                <w:bCs/>
                <w:sz w:val="18"/>
              </w:rPr>
            </w:pPr>
            <w:r w:rsidRPr="009432E6">
              <w:rPr>
                <w:rFonts w:ascii="Arial" w:hAnsi="Arial" w:cs="Arial"/>
                <w:b/>
                <w:bCs/>
                <w:sz w:val="18"/>
              </w:rPr>
              <w:t>$1,050,000</w:t>
            </w:r>
          </w:p>
        </w:tc>
      </w:tr>
      <w:tr w:rsidR="009432E6" w:rsidRPr="009432E6" w:rsidTr="00763EED">
        <w:trPr>
          <w:trHeight w:val="302"/>
        </w:trPr>
        <w:tc>
          <w:tcPr>
            <w:tcW w:w="1320" w:type="dxa"/>
          </w:tcPr>
          <w:p w:rsidR="00F27D69" w:rsidRPr="009432E6" w:rsidRDefault="00F27D69" w:rsidP="00763EED">
            <w:pPr>
              <w:spacing w:before="60"/>
              <w:rPr>
                <w:rFonts w:ascii="Arial" w:hAnsi="Arial" w:cs="Arial"/>
                <w:b/>
                <w:bCs/>
                <w:sz w:val="18"/>
              </w:rPr>
            </w:pPr>
            <w:r w:rsidRPr="009432E6">
              <w:rPr>
                <w:rFonts w:ascii="Arial" w:hAnsi="Arial" w:cs="Arial"/>
                <w:b/>
                <w:bCs/>
                <w:sz w:val="18"/>
              </w:rPr>
              <w:t>Quality Assurance</w:t>
            </w:r>
          </w:p>
        </w:tc>
        <w:tc>
          <w:tcPr>
            <w:tcW w:w="1307" w:type="dxa"/>
          </w:tcPr>
          <w:p w:rsidR="00F27D69" w:rsidRPr="009432E6" w:rsidRDefault="00F27D69" w:rsidP="00763EED">
            <w:pPr>
              <w:spacing w:before="60"/>
              <w:jc w:val="center"/>
              <w:rPr>
                <w:rFonts w:ascii="Arial" w:hAnsi="Arial" w:cs="Arial"/>
                <w:b/>
                <w:bCs/>
                <w:sz w:val="18"/>
              </w:rPr>
            </w:pPr>
            <w:r w:rsidRPr="009432E6">
              <w:rPr>
                <w:rFonts w:ascii="Arial" w:hAnsi="Arial" w:cs="Arial"/>
                <w:b/>
                <w:bCs/>
                <w:sz w:val="18"/>
              </w:rPr>
              <w:t>15,000</w:t>
            </w:r>
          </w:p>
        </w:tc>
        <w:tc>
          <w:tcPr>
            <w:tcW w:w="1348" w:type="dxa"/>
          </w:tcPr>
          <w:p w:rsidR="00F27D69" w:rsidRPr="009432E6" w:rsidRDefault="00F27D69" w:rsidP="00763EED">
            <w:pPr>
              <w:spacing w:before="60"/>
              <w:jc w:val="center"/>
              <w:rPr>
                <w:rFonts w:ascii="Arial" w:hAnsi="Arial" w:cs="Arial"/>
                <w:b/>
                <w:bCs/>
                <w:sz w:val="18"/>
              </w:rPr>
            </w:pPr>
            <w:r w:rsidRPr="009432E6">
              <w:rPr>
                <w:rFonts w:ascii="Arial" w:hAnsi="Arial" w:cs="Arial"/>
                <w:b/>
                <w:bCs/>
                <w:sz w:val="18"/>
              </w:rPr>
              <w:t>.2</w:t>
            </w:r>
          </w:p>
        </w:tc>
        <w:tc>
          <w:tcPr>
            <w:tcW w:w="1345" w:type="dxa"/>
          </w:tcPr>
          <w:p w:rsidR="00F27D69" w:rsidRPr="009432E6" w:rsidRDefault="00F27D69" w:rsidP="00763EED">
            <w:pPr>
              <w:spacing w:before="60"/>
              <w:jc w:val="center"/>
              <w:rPr>
                <w:rFonts w:ascii="Arial" w:hAnsi="Arial" w:cs="Arial"/>
                <w:b/>
                <w:bCs/>
                <w:sz w:val="18"/>
              </w:rPr>
            </w:pPr>
            <w:r w:rsidRPr="009432E6">
              <w:rPr>
                <w:rFonts w:ascii="Arial" w:hAnsi="Arial" w:cs="Arial"/>
                <w:b/>
                <w:bCs/>
                <w:sz w:val="18"/>
              </w:rPr>
              <w:t>3,000</w:t>
            </w:r>
          </w:p>
        </w:tc>
        <w:tc>
          <w:tcPr>
            <w:tcW w:w="1324" w:type="dxa"/>
          </w:tcPr>
          <w:p w:rsidR="00F27D69" w:rsidRPr="009432E6" w:rsidRDefault="00F27D69" w:rsidP="00763EED">
            <w:pPr>
              <w:spacing w:before="60"/>
              <w:jc w:val="center"/>
              <w:rPr>
                <w:rFonts w:ascii="Arial" w:hAnsi="Arial" w:cs="Arial"/>
                <w:b/>
                <w:bCs/>
                <w:sz w:val="18"/>
              </w:rPr>
            </w:pPr>
            <w:r w:rsidRPr="009432E6">
              <w:rPr>
                <w:rFonts w:ascii="Arial" w:hAnsi="Arial" w:cs="Arial"/>
                <w:b/>
                <w:bCs/>
                <w:sz w:val="18"/>
              </w:rPr>
              <w:t>1</w:t>
            </w:r>
          </w:p>
        </w:tc>
        <w:tc>
          <w:tcPr>
            <w:tcW w:w="1280" w:type="dxa"/>
          </w:tcPr>
          <w:p w:rsidR="00F27D69" w:rsidRPr="009432E6" w:rsidRDefault="00F27D69" w:rsidP="00763EED">
            <w:pPr>
              <w:spacing w:before="60"/>
              <w:jc w:val="center"/>
              <w:rPr>
                <w:rFonts w:ascii="Arial" w:hAnsi="Arial" w:cs="Arial"/>
                <w:b/>
                <w:bCs/>
                <w:sz w:val="18"/>
              </w:rPr>
            </w:pPr>
            <w:r w:rsidRPr="009432E6">
              <w:rPr>
                <w:rFonts w:ascii="Arial" w:hAnsi="Arial" w:cs="Arial"/>
                <w:b/>
                <w:bCs/>
                <w:sz w:val="18"/>
              </w:rPr>
              <w:t>3,000</w:t>
            </w:r>
          </w:p>
        </w:tc>
        <w:tc>
          <w:tcPr>
            <w:tcW w:w="1324" w:type="dxa"/>
          </w:tcPr>
          <w:p w:rsidR="00F27D69" w:rsidRPr="009432E6" w:rsidRDefault="00F27D69" w:rsidP="00763EED">
            <w:pPr>
              <w:spacing w:before="60"/>
              <w:jc w:val="right"/>
              <w:rPr>
                <w:rFonts w:ascii="Arial" w:hAnsi="Arial" w:cs="Arial"/>
                <w:b/>
                <w:bCs/>
                <w:sz w:val="18"/>
              </w:rPr>
            </w:pPr>
            <w:r w:rsidRPr="009432E6">
              <w:rPr>
                <w:rFonts w:ascii="Arial" w:hAnsi="Arial" w:cs="Arial"/>
                <w:b/>
                <w:bCs/>
                <w:sz w:val="18"/>
              </w:rPr>
              <w:t>$35</w:t>
            </w:r>
          </w:p>
        </w:tc>
        <w:tc>
          <w:tcPr>
            <w:tcW w:w="1180" w:type="dxa"/>
          </w:tcPr>
          <w:p w:rsidR="00F27D69" w:rsidRPr="009432E6" w:rsidRDefault="00F27D69" w:rsidP="00763EED">
            <w:pPr>
              <w:spacing w:before="60"/>
              <w:jc w:val="right"/>
              <w:rPr>
                <w:rFonts w:ascii="Arial" w:hAnsi="Arial" w:cs="Arial"/>
                <w:b/>
                <w:bCs/>
                <w:sz w:val="18"/>
              </w:rPr>
            </w:pPr>
            <w:r w:rsidRPr="009432E6">
              <w:rPr>
                <w:rFonts w:ascii="Arial" w:hAnsi="Arial" w:cs="Arial"/>
                <w:b/>
                <w:bCs/>
                <w:sz w:val="18"/>
              </w:rPr>
              <w:t>$105,000</w:t>
            </w:r>
          </w:p>
        </w:tc>
      </w:tr>
      <w:tr w:rsidR="009432E6" w:rsidRPr="009432E6" w:rsidTr="00763EED">
        <w:trPr>
          <w:trHeight w:val="302"/>
        </w:trPr>
        <w:tc>
          <w:tcPr>
            <w:tcW w:w="1320" w:type="dxa"/>
          </w:tcPr>
          <w:p w:rsidR="00F27D69" w:rsidRPr="009432E6" w:rsidRDefault="00F27D69" w:rsidP="00763EED">
            <w:pPr>
              <w:spacing w:before="60"/>
              <w:rPr>
                <w:rFonts w:ascii="Arial" w:hAnsi="Arial" w:cs="Arial"/>
                <w:b/>
                <w:bCs/>
                <w:sz w:val="18"/>
              </w:rPr>
            </w:pPr>
            <w:r w:rsidRPr="009432E6">
              <w:rPr>
                <w:rFonts w:ascii="Arial" w:hAnsi="Arial" w:cs="Arial"/>
                <w:b/>
                <w:bCs/>
                <w:sz w:val="18"/>
              </w:rPr>
              <w:t>Total</w:t>
            </w:r>
          </w:p>
        </w:tc>
        <w:tc>
          <w:tcPr>
            <w:tcW w:w="1307" w:type="dxa"/>
          </w:tcPr>
          <w:p w:rsidR="00F27D69" w:rsidRPr="009432E6" w:rsidRDefault="003760C2" w:rsidP="00763EED">
            <w:pPr>
              <w:spacing w:before="60"/>
              <w:jc w:val="center"/>
              <w:rPr>
                <w:rFonts w:ascii="Arial" w:hAnsi="Arial" w:cs="Arial"/>
                <w:b/>
                <w:bCs/>
                <w:sz w:val="18"/>
              </w:rPr>
            </w:pPr>
            <w:r>
              <w:rPr>
                <w:rFonts w:ascii="Arial" w:hAnsi="Arial" w:cs="Arial"/>
                <w:b/>
                <w:bCs/>
                <w:sz w:val="18"/>
              </w:rPr>
              <w:t>15,000</w:t>
            </w:r>
          </w:p>
        </w:tc>
        <w:tc>
          <w:tcPr>
            <w:tcW w:w="1348" w:type="dxa"/>
          </w:tcPr>
          <w:p w:rsidR="00F27D69" w:rsidRPr="009432E6" w:rsidRDefault="00F27D69" w:rsidP="00763EED">
            <w:pPr>
              <w:spacing w:before="60"/>
              <w:jc w:val="center"/>
              <w:rPr>
                <w:rFonts w:ascii="Arial" w:hAnsi="Arial" w:cs="Arial"/>
                <w:b/>
                <w:bCs/>
                <w:sz w:val="18"/>
              </w:rPr>
            </w:pPr>
            <w:r w:rsidRPr="009432E6">
              <w:rPr>
                <w:rFonts w:ascii="Arial" w:hAnsi="Arial" w:cs="Arial"/>
                <w:b/>
                <w:bCs/>
                <w:sz w:val="18"/>
              </w:rPr>
              <w:t>1.2</w:t>
            </w:r>
          </w:p>
        </w:tc>
        <w:tc>
          <w:tcPr>
            <w:tcW w:w="1345" w:type="dxa"/>
          </w:tcPr>
          <w:p w:rsidR="00F27D69" w:rsidRPr="009432E6" w:rsidRDefault="00F27D69" w:rsidP="00763EED">
            <w:pPr>
              <w:spacing w:before="60"/>
              <w:jc w:val="center"/>
              <w:rPr>
                <w:rFonts w:ascii="Arial" w:hAnsi="Arial" w:cs="Arial"/>
                <w:b/>
                <w:bCs/>
                <w:sz w:val="18"/>
              </w:rPr>
            </w:pPr>
            <w:r w:rsidRPr="009432E6">
              <w:rPr>
                <w:rFonts w:ascii="Arial" w:hAnsi="Arial" w:cs="Arial"/>
                <w:b/>
                <w:bCs/>
                <w:sz w:val="18"/>
              </w:rPr>
              <w:t>18,000</w:t>
            </w:r>
          </w:p>
        </w:tc>
        <w:tc>
          <w:tcPr>
            <w:tcW w:w="1324" w:type="dxa"/>
          </w:tcPr>
          <w:p w:rsidR="00F27D69" w:rsidRPr="009432E6" w:rsidRDefault="00F27D69" w:rsidP="00763EED">
            <w:pPr>
              <w:spacing w:before="60"/>
              <w:jc w:val="center"/>
              <w:rPr>
                <w:rFonts w:ascii="Arial" w:hAnsi="Arial" w:cs="Arial"/>
                <w:b/>
                <w:bCs/>
                <w:sz w:val="18"/>
              </w:rPr>
            </w:pPr>
            <w:r w:rsidRPr="009432E6">
              <w:rPr>
                <w:rFonts w:ascii="Arial" w:hAnsi="Arial" w:cs="Arial"/>
                <w:b/>
                <w:bCs/>
                <w:sz w:val="18"/>
              </w:rPr>
              <w:t>2</w:t>
            </w:r>
          </w:p>
        </w:tc>
        <w:tc>
          <w:tcPr>
            <w:tcW w:w="1280" w:type="dxa"/>
          </w:tcPr>
          <w:p w:rsidR="00F27D69" w:rsidRPr="009432E6" w:rsidRDefault="00F27D69" w:rsidP="00763EED">
            <w:pPr>
              <w:spacing w:before="60"/>
              <w:jc w:val="center"/>
              <w:rPr>
                <w:rFonts w:ascii="Arial" w:hAnsi="Arial" w:cs="Arial"/>
                <w:b/>
                <w:bCs/>
                <w:sz w:val="18"/>
              </w:rPr>
            </w:pPr>
            <w:r w:rsidRPr="009432E6">
              <w:rPr>
                <w:rFonts w:ascii="Arial" w:hAnsi="Arial" w:cs="Arial"/>
                <w:b/>
                <w:bCs/>
                <w:sz w:val="18"/>
              </w:rPr>
              <w:t>18,000</w:t>
            </w:r>
          </w:p>
        </w:tc>
        <w:tc>
          <w:tcPr>
            <w:tcW w:w="1324" w:type="dxa"/>
          </w:tcPr>
          <w:p w:rsidR="00F27D69" w:rsidRPr="009432E6" w:rsidRDefault="00F27D69" w:rsidP="00763EED">
            <w:pPr>
              <w:spacing w:before="60"/>
              <w:jc w:val="right"/>
              <w:rPr>
                <w:rFonts w:ascii="Arial" w:hAnsi="Arial" w:cs="Arial"/>
                <w:b/>
                <w:bCs/>
                <w:sz w:val="18"/>
              </w:rPr>
            </w:pPr>
            <w:r w:rsidRPr="009432E6">
              <w:rPr>
                <w:rFonts w:ascii="Arial" w:hAnsi="Arial" w:cs="Arial"/>
                <w:b/>
                <w:bCs/>
                <w:sz w:val="18"/>
              </w:rPr>
              <w:t>$35,000</w:t>
            </w:r>
          </w:p>
        </w:tc>
        <w:tc>
          <w:tcPr>
            <w:tcW w:w="1180" w:type="dxa"/>
          </w:tcPr>
          <w:p w:rsidR="00F27D69" w:rsidRPr="009432E6" w:rsidRDefault="00F27D69" w:rsidP="00763EED">
            <w:pPr>
              <w:spacing w:before="60"/>
              <w:jc w:val="right"/>
              <w:rPr>
                <w:rFonts w:ascii="Arial" w:hAnsi="Arial" w:cs="Arial"/>
                <w:b/>
                <w:bCs/>
                <w:sz w:val="18"/>
              </w:rPr>
            </w:pPr>
            <w:r w:rsidRPr="009432E6">
              <w:rPr>
                <w:rFonts w:ascii="Arial" w:hAnsi="Arial" w:cs="Arial"/>
                <w:b/>
                <w:bCs/>
                <w:sz w:val="18"/>
              </w:rPr>
              <w:t>$1,100,000</w:t>
            </w:r>
          </w:p>
        </w:tc>
      </w:tr>
    </w:tbl>
    <w:p w:rsidR="00F27D69" w:rsidRPr="009432E6" w:rsidRDefault="00F27D69" w:rsidP="00F27D69">
      <w:pPr>
        <w:tabs>
          <w:tab w:val="left" w:pos="360"/>
        </w:tabs>
        <w:ind w:left="360"/>
      </w:pPr>
    </w:p>
    <w:p w:rsidR="004C49BF" w:rsidRPr="00B27573" w:rsidRDefault="004C49BF" w:rsidP="00B27573">
      <w:pPr>
        <w:pStyle w:val="ListParagraph"/>
        <w:numPr>
          <w:ilvl w:val="0"/>
          <w:numId w:val="35"/>
        </w:numPr>
        <w:tabs>
          <w:tab w:val="left" w:pos="360"/>
          <w:tab w:val="left" w:pos="720"/>
        </w:tabs>
        <w:rPr>
          <w:b/>
        </w:rPr>
      </w:pPr>
      <w:r w:rsidRPr="009432E6">
        <w:t>This information is required to retain or obtain benefits.  In order to manage the risk to the MMI insurance fund, FHA must collect this information and approve a condominium project before a loan can be insured in that project.</w:t>
      </w:r>
    </w:p>
    <w:p w:rsidR="004C49BF" w:rsidRPr="009432E6" w:rsidRDefault="004C49BF" w:rsidP="00F27D69">
      <w:pPr>
        <w:tabs>
          <w:tab w:val="left" w:pos="360"/>
        </w:tabs>
        <w:ind w:left="360"/>
      </w:pPr>
    </w:p>
    <w:p w:rsidR="00B27573" w:rsidRDefault="00F27D69" w:rsidP="00B27573">
      <w:pPr>
        <w:pStyle w:val="BodyTextIndent"/>
        <w:numPr>
          <w:ilvl w:val="0"/>
          <w:numId w:val="35"/>
        </w:numPr>
        <w:tabs>
          <w:tab w:val="clear" w:pos="360"/>
        </w:tabs>
        <w:rPr>
          <w:b/>
        </w:rPr>
      </w:pPr>
      <w:r w:rsidRPr="009432E6">
        <w:t>The cost to the Federal Government is based on a $35 per hour estimate, which includes overhead, staff preparation time, review time, etc.  The estimate is based on the work being performed by the equivalent of a GS-12 staff person as reviews are performed by individuals at this level.  This cost involves the time it takes to review the submitted packages, complete the reviews and enter the required data into the database.  FHA staff performs quality assurance reviews on 20% of project approval packages that are processed by lenders who are authorized to perform complete reviews and approvals of projects under DELRAP authority.  The total cost to the government is $1,100,000.</w:t>
      </w:r>
      <w:r w:rsidR="00B27573">
        <w:t xml:space="preserve">  </w:t>
      </w:r>
    </w:p>
    <w:p w:rsidR="00B27573" w:rsidRDefault="00B27573" w:rsidP="00B27573">
      <w:pPr>
        <w:pStyle w:val="ListParagraph"/>
      </w:pPr>
    </w:p>
    <w:p w:rsidR="006B0B01" w:rsidRPr="00B27573" w:rsidRDefault="006B0B01" w:rsidP="00B27573">
      <w:pPr>
        <w:pStyle w:val="BodyTextIndent"/>
        <w:numPr>
          <w:ilvl w:val="0"/>
          <w:numId w:val="35"/>
        </w:numPr>
        <w:tabs>
          <w:tab w:val="clear" w:pos="360"/>
        </w:tabs>
        <w:rPr>
          <w:b/>
        </w:rPr>
      </w:pPr>
      <w:r w:rsidRPr="009432E6">
        <w:t xml:space="preserve">This is a new collection.  </w:t>
      </w:r>
      <w:r w:rsidR="00F27D69" w:rsidRPr="009432E6">
        <w:t>FHA</w:t>
      </w:r>
      <w:r w:rsidRPr="009432E6">
        <w:t xml:space="preserve"> has collected this information in part in previous collections.</w:t>
      </w:r>
      <w:r w:rsidR="00716EA8">
        <w:t xml:space="preserve"> However, there are new forms being developed for this condo program and will be submitted when they are final.  </w:t>
      </w:r>
    </w:p>
    <w:p w:rsidR="00804FCA" w:rsidRPr="009432E6" w:rsidRDefault="00804FCA" w:rsidP="00804FCA">
      <w:pPr>
        <w:pStyle w:val="BodyTextIndent"/>
        <w:tabs>
          <w:tab w:val="clear" w:pos="360"/>
        </w:tabs>
      </w:pPr>
    </w:p>
    <w:p w:rsidR="00804FCA" w:rsidRPr="009432E6" w:rsidRDefault="00804FCA" w:rsidP="00B27573">
      <w:pPr>
        <w:pStyle w:val="BodyTextIndent"/>
        <w:numPr>
          <w:ilvl w:val="0"/>
          <w:numId w:val="35"/>
        </w:numPr>
        <w:tabs>
          <w:tab w:val="clear" w:pos="360"/>
        </w:tabs>
      </w:pPr>
      <w:r w:rsidRPr="009432E6">
        <w:t>There are no plans to publish the results of the information collection.</w:t>
      </w:r>
    </w:p>
    <w:p w:rsidR="00804FCA" w:rsidRPr="009432E6" w:rsidRDefault="00804FCA" w:rsidP="001D514A">
      <w:pPr>
        <w:pStyle w:val="BodyTextIndent"/>
        <w:tabs>
          <w:tab w:val="clear" w:pos="360"/>
        </w:tabs>
        <w:ind w:left="0" w:firstLine="0"/>
      </w:pPr>
    </w:p>
    <w:p w:rsidR="00564A65" w:rsidRPr="009432E6" w:rsidRDefault="00F27D69" w:rsidP="00B27573">
      <w:pPr>
        <w:pStyle w:val="ListParagraph"/>
        <w:numPr>
          <w:ilvl w:val="0"/>
          <w:numId w:val="35"/>
        </w:numPr>
      </w:pPr>
      <w:r w:rsidRPr="009432E6">
        <w:t>FHA</w:t>
      </w:r>
      <w:r w:rsidR="00564A65" w:rsidRPr="009432E6">
        <w:t xml:space="preserve"> is not seeking approval to avoid displaying the expiration date of the OMB approval.</w:t>
      </w:r>
    </w:p>
    <w:p w:rsidR="00564A65" w:rsidRPr="009432E6" w:rsidRDefault="00564A65" w:rsidP="00564A65">
      <w:pPr>
        <w:tabs>
          <w:tab w:val="left" w:pos="360"/>
        </w:tabs>
        <w:ind w:left="360" w:hanging="360"/>
      </w:pPr>
    </w:p>
    <w:p w:rsidR="00804FCA" w:rsidRPr="009432E6" w:rsidRDefault="00564A65" w:rsidP="00B27573">
      <w:pPr>
        <w:pStyle w:val="BodyTextIndent"/>
        <w:numPr>
          <w:ilvl w:val="0"/>
          <w:numId w:val="35"/>
        </w:numPr>
        <w:tabs>
          <w:tab w:val="clear" w:pos="360"/>
        </w:tabs>
      </w:pPr>
      <w:r w:rsidRPr="009432E6">
        <w:t>There are no exceptions of the certification statement identified in item 19 of the OMB 83-I</w:t>
      </w:r>
      <w:r w:rsidR="00F27D69" w:rsidRPr="009432E6">
        <w:t>.</w:t>
      </w:r>
    </w:p>
    <w:p w:rsidR="00E87621" w:rsidRPr="009432E6" w:rsidRDefault="00E87621">
      <w:pPr>
        <w:tabs>
          <w:tab w:val="left" w:pos="360"/>
        </w:tabs>
        <w:ind w:left="360" w:hanging="360"/>
      </w:pPr>
    </w:p>
    <w:p w:rsidR="00E87621" w:rsidRPr="009432E6"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rPr>
      </w:pPr>
      <w:r w:rsidRPr="009432E6">
        <w:rPr>
          <w:rFonts w:ascii="Helvetica" w:hAnsi="Helvetica"/>
          <w:b/>
        </w:rPr>
        <w:t xml:space="preserve">B. </w:t>
      </w:r>
      <w:r w:rsidRPr="009432E6">
        <w:rPr>
          <w:rFonts w:ascii="Helvetica" w:hAnsi="Helvetica"/>
          <w:b/>
        </w:rPr>
        <w:tab/>
        <w:t>Collections of Information Employing Statistical Methods</w:t>
      </w:r>
    </w:p>
    <w:p w:rsidR="00E87621" w:rsidRPr="009432E6"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rPr>
      </w:pPr>
    </w:p>
    <w:p w:rsidR="00E87621" w:rsidRPr="009432E6" w:rsidRDefault="001E3ADC">
      <w:pPr>
        <w:tabs>
          <w:tab w:val="left" w:pos="360"/>
          <w:tab w:val="left" w:pos="720"/>
        </w:tabs>
        <w:ind w:left="360"/>
      </w:pPr>
      <w:r w:rsidRPr="009432E6">
        <w:fldChar w:fldCharType="begin">
          <w:ffData>
            <w:name w:val="Text22"/>
            <w:enabled/>
            <w:calcOnExit w:val="0"/>
            <w:textInput/>
          </w:ffData>
        </w:fldChar>
      </w:r>
      <w:r w:rsidR="00E87621" w:rsidRPr="009432E6">
        <w:instrText xml:space="preserve"> FORMTEXT </w:instrText>
      </w:r>
      <w:r w:rsidRPr="009432E6">
        <w:fldChar w:fldCharType="separate"/>
      </w:r>
      <w:r w:rsidR="00E87621" w:rsidRPr="009432E6">
        <w:rPr>
          <w:noProof/>
        </w:rPr>
        <w:t> </w:t>
      </w:r>
      <w:r w:rsidR="00E87621" w:rsidRPr="009432E6">
        <w:rPr>
          <w:noProof/>
        </w:rPr>
        <w:t>Not applicable.  The collection of information does not employ statistical methods.</w:t>
      </w:r>
      <w:r w:rsidR="00E87621" w:rsidRPr="009432E6">
        <w:rPr>
          <w:noProof/>
        </w:rPr>
        <w:t> </w:t>
      </w:r>
      <w:r w:rsidR="00E87621" w:rsidRPr="009432E6">
        <w:rPr>
          <w:noProof/>
        </w:rPr>
        <w:t> </w:t>
      </w:r>
      <w:r w:rsidR="00E87621" w:rsidRPr="009432E6">
        <w:rPr>
          <w:noProof/>
        </w:rPr>
        <w:t> </w:t>
      </w:r>
      <w:r w:rsidR="00E87621" w:rsidRPr="009432E6">
        <w:rPr>
          <w:noProof/>
        </w:rPr>
        <w:t> </w:t>
      </w:r>
      <w:r w:rsidRPr="009432E6">
        <w:fldChar w:fldCharType="end"/>
      </w:r>
    </w:p>
    <w:p w:rsidR="00E87621" w:rsidRPr="009432E6"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rPr>
      </w:pPr>
    </w:p>
    <w:p w:rsidR="00E87621" w:rsidRPr="009432E6" w:rsidRDefault="00E87621">
      <w:pPr>
        <w:tabs>
          <w:tab w:val="left" w:pos="240"/>
        </w:tabs>
        <w:rPr>
          <w:rFonts w:ascii="Helvetica" w:hAnsi="Helvetica"/>
          <w:sz w:val="16"/>
        </w:rPr>
      </w:pPr>
    </w:p>
    <w:p w:rsidR="00E87621" w:rsidRPr="009432E6" w:rsidRDefault="00E87621"/>
    <w:p w:rsidR="00E87621" w:rsidRPr="009432E6" w:rsidRDefault="00E87621"/>
    <w:sectPr w:rsidR="00E87621" w:rsidRPr="009432E6" w:rsidSect="002F0C74">
      <w:footerReference w:type="even" r:id="rId9"/>
      <w:footerReference w:type="default" r:id="rId10"/>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659" w:rsidRDefault="00072659">
      <w:r>
        <w:separator/>
      </w:r>
    </w:p>
  </w:endnote>
  <w:endnote w:type="continuationSeparator" w:id="0">
    <w:p w:rsidR="00072659" w:rsidRDefault="0007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659" w:rsidRDefault="000726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2659" w:rsidRDefault="000726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659" w:rsidRDefault="000726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7A47">
      <w:rPr>
        <w:rStyle w:val="PageNumber"/>
        <w:noProof/>
      </w:rPr>
      <w:t>9</w:t>
    </w:r>
    <w:r>
      <w:rPr>
        <w:rStyle w:val="PageNumber"/>
      </w:rPr>
      <w:fldChar w:fldCharType="end"/>
    </w:r>
  </w:p>
  <w:p w:rsidR="00072659" w:rsidRDefault="00072659">
    <w:pPr>
      <w:pStyle w:val="Footer"/>
      <w:tabs>
        <w:tab w:val="clear" w:pos="4320"/>
        <w:tab w:val="clear" w:pos="8640"/>
        <w:tab w:val="right" w:pos="10920"/>
      </w:tabs>
      <w:spacing w:line="120" w:lineRule="exact"/>
      <w:ind w:left="-120" w:right="-120"/>
      <w:rPr>
        <w:rFonts w:ascii="Helvetica" w:hAnsi="Helvetica"/>
        <w:b/>
        <w:sz w:val="18"/>
      </w:rPr>
    </w:pPr>
  </w:p>
  <w:p w:rsidR="00072659" w:rsidRDefault="00072659">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659" w:rsidRDefault="00072659">
      <w:r>
        <w:separator/>
      </w:r>
    </w:p>
  </w:footnote>
  <w:footnote w:type="continuationSeparator" w:id="0">
    <w:p w:rsidR="00072659" w:rsidRDefault="00072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5B7"/>
    <w:multiLevelType w:val="hybridMultilevel"/>
    <w:tmpl w:val="7FA43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30DC6"/>
    <w:multiLevelType w:val="hybridMultilevel"/>
    <w:tmpl w:val="2498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60A7E"/>
    <w:multiLevelType w:val="hybridMultilevel"/>
    <w:tmpl w:val="54B89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BD05ACE"/>
    <w:multiLevelType w:val="singleLevel"/>
    <w:tmpl w:val="93B88F0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0EB9703D"/>
    <w:multiLevelType w:val="hybridMultilevel"/>
    <w:tmpl w:val="691489EA"/>
    <w:lvl w:ilvl="0" w:tplc="72082C30">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FC7751B"/>
    <w:multiLevelType w:val="hybridMultilevel"/>
    <w:tmpl w:val="D4344F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4507BE1"/>
    <w:multiLevelType w:val="hybridMultilevel"/>
    <w:tmpl w:val="5B14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E36AB0"/>
    <w:multiLevelType w:val="hybridMultilevel"/>
    <w:tmpl w:val="86B096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77A57D2"/>
    <w:multiLevelType w:val="hybridMultilevel"/>
    <w:tmpl w:val="B2B0AEC6"/>
    <w:lvl w:ilvl="0" w:tplc="AF8C2C2C">
      <w:start w:val="1"/>
      <w:numFmt w:val="decimal"/>
      <w:lvlText w:val="%1."/>
      <w:lvlJc w:val="left"/>
      <w:pPr>
        <w:ind w:left="216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9D35C04"/>
    <w:multiLevelType w:val="hybridMultilevel"/>
    <w:tmpl w:val="A9BCF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F4C09"/>
    <w:multiLevelType w:val="multilevel"/>
    <w:tmpl w:val="72B27B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0702570"/>
    <w:multiLevelType w:val="hybridMultilevel"/>
    <w:tmpl w:val="0B1477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27C1E8D"/>
    <w:multiLevelType w:val="singleLevel"/>
    <w:tmpl w:val="93B88F0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3">
    <w:nsid w:val="25D108A1"/>
    <w:multiLevelType w:val="hybridMultilevel"/>
    <w:tmpl w:val="5394D660"/>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8816DA"/>
    <w:multiLevelType w:val="multilevel"/>
    <w:tmpl w:val="3DDA3608"/>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8CE33A7"/>
    <w:multiLevelType w:val="singleLevel"/>
    <w:tmpl w:val="915885B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6">
    <w:nsid w:val="2AF81B92"/>
    <w:multiLevelType w:val="hybridMultilevel"/>
    <w:tmpl w:val="F1946046"/>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491A36"/>
    <w:multiLevelType w:val="hybridMultilevel"/>
    <w:tmpl w:val="651EC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BA4773"/>
    <w:multiLevelType w:val="hybridMultilevel"/>
    <w:tmpl w:val="6EE6FD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65D4214"/>
    <w:multiLevelType w:val="hybridMultilevel"/>
    <w:tmpl w:val="AA5E4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967552E"/>
    <w:multiLevelType w:val="hybridMultilevel"/>
    <w:tmpl w:val="21A885FA"/>
    <w:lvl w:ilvl="0" w:tplc="AF8C2C2C">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3B2E29"/>
    <w:multiLevelType w:val="singleLevel"/>
    <w:tmpl w:val="2A88047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2">
    <w:nsid w:val="3D274309"/>
    <w:multiLevelType w:val="hybridMultilevel"/>
    <w:tmpl w:val="D2022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117CE0"/>
    <w:multiLevelType w:val="hybridMultilevel"/>
    <w:tmpl w:val="25D485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2DB0022"/>
    <w:multiLevelType w:val="hybridMultilevel"/>
    <w:tmpl w:val="04A47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3A7FF1"/>
    <w:multiLevelType w:val="singleLevel"/>
    <w:tmpl w:val="1E90FDB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6">
    <w:nsid w:val="4A6A7C02"/>
    <w:multiLevelType w:val="hybridMultilevel"/>
    <w:tmpl w:val="23802CE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CD83BB5"/>
    <w:multiLevelType w:val="hybridMultilevel"/>
    <w:tmpl w:val="8932E8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1A01F48"/>
    <w:multiLevelType w:val="hybridMultilevel"/>
    <w:tmpl w:val="B7421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51831A6"/>
    <w:multiLevelType w:val="hybridMultilevel"/>
    <w:tmpl w:val="773CC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0E2095"/>
    <w:multiLevelType w:val="hybridMultilevel"/>
    <w:tmpl w:val="3DDA3608"/>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280D5F"/>
    <w:multiLevelType w:val="hybridMultilevel"/>
    <w:tmpl w:val="B8F2C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C73684D"/>
    <w:multiLevelType w:val="hybridMultilevel"/>
    <w:tmpl w:val="0CDC96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CE6102"/>
    <w:multiLevelType w:val="hybridMultilevel"/>
    <w:tmpl w:val="B194F72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755874"/>
    <w:multiLevelType w:val="hybridMultilevel"/>
    <w:tmpl w:val="69AEBB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3841D7C"/>
    <w:multiLevelType w:val="hybridMultilevel"/>
    <w:tmpl w:val="2C80797C"/>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7E3C6A"/>
    <w:multiLevelType w:val="hybridMultilevel"/>
    <w:tmpl w:val="E304A1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0F">
      <w:start w:val="1"/>
      <w:numFmt w:val="decimal"/>
      <w:lvlText w:val="%3."/>
      <w:lvlJc w:val="lef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7963C90"/>
    <w:multiLevelType w:val="hybridMultilevel"/>
    <w:tmpl w:val="61429D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995D24"/>
    <w:multiLevelType w:val="multilevel"/>
    <w:tmpl w:val="F1946046"/>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4FA6FB3"/>
    <w:multiLevelType w:val="hybridMultilevel"/>
    <w:tmpl w:val="CBAC2A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82F712E"/>
    <w:multiLevelType w:val="hybridMultilevel"/>
    <w:tmpl w:val="888CD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CD96C18"/>
    <w:multiLevelType w:val="hybridMultilevel"/>
    <w:tmpl w:val="E3BC2C66"/>
    <w:lvl w:ilvl="0" w:tplc="AF8C2C2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EE725DD"/>
    <w:multiLevelType w:val="hybridMultilevel"/>
    <w:tmpl w:val="04A47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25"/>
  </w:num>
  <w:num w:numId="4">
    <w:abstractNumId w:val="15"/>
  </w:num>
  <w:num w:numId="5">
    <w:abstractNumId w:val="21"/>
  </w:num>
  <w:num w:numId="6">
    <w:abstractNumId w:val="2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2"/>
  </w:num>
  <w:num w:numId="8">
    <w:abstractNumId w:val="37"/>
  </w:num>
  <w:num w:numId="9">
    <w:abstractNumId w:val="33"/>
  </w:num>
  <w:num w:numId="10">
    <w:abstractNumId w:val="26"/>
  </w:num>
  <w:num w:numId="11">
    <w:abstractNumId w:val="13"/>
  </w:num>
  <w:num w:numId="12">
    <w:abstractNumId w:val="10"/>
  </w:num>
  <w:num w:numId="13">
    <w:abstractNumId w:val="30"/>
  </w:num>
  <w:num w:numId="14">
    <w:abstractNumId w:val="14"/>
  </w:num>
  <w:num w:numId="15">
    <w:abstractNumId w:val="16"/>
  </w:num>
  <w:num w:numId="16">
    <w:abstractNumId w:val="38"/>
  </w:num>
  <w:num w:numId="17">
    <w:abstractNumId w:val="4"/>
  </w:num>
  <w:num w:numId="18">
    <w:abstractNumId w:val="1"/>
  </w:num>
  <w:num w:numId="19">
    <w:abstractNumId w:val="35"/>
  </w:num>
  <w:num w:numId="20">
    <w:abstractNumId w:val="6"/>
  </w:num>
  <w:num w:numId="21">
    <w:abstractNumId w:val="23"/>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8"/>
  </w:num>
  <w:num w:numId="26">
    <w:abstractNumId w:val="19"/>
  </w:num>
  <w:num w:numId="27">
    <w:abstractNumId w:val="22"/>
  </w:num>
  <w:num w:numId="28">
    <w:abstractNumId w:val="0"/>
  </w:num>
  <w:num w:numId="29">
    <w:abstractNumId w:val="29"/>
  </w:num>
  <w:num w:numId="30">
    <w:abstractNumId w:val="2"/>
  </w:num>
  <w:num w:numId="31">
    <w:abstractNumId w:val="41"/>
  </w:num>
  <w:num w:numId="32">
    <w:abstractNumId w:val="9"/>
  </w:num>
  <w:num w:numId="33">
    <w:abstractNumId w:val="20"/>
  </w:num>
  <w:num w:numId="34">
    <w:abstractNumId w:val="8"/>
  </w:num>
  <w:num w:numId="35">
    <w:abstractNumId w:val="42"/>
  </w:num>
  <w:num w:numId="36">
    <w:abstractNumId w:val="18"/>
  </w:num>
  <w:num w:numId="37">
    <w:abstractNumId w:val="34"/>
  </w:num>
  <w:num w:numId="38">
    <w:abstractNumId w:val="5"/>
  </w:num>
  <w:num w:numId="39">
    <w:abstractNumId w:val="11"/>
  </w:num>
  <w:num w:numId="40">
    <w:abstractNumId w:val="27"/>
  </w:num>
  <w:num w:numId="41">
    <w:abstractNumId w:val="39"/>
  </w:num>
  <w:num w:numId="42">
    <w:abstractNumId w:val="40"/>
  </w:num>
  <w:num w:numId="43">
    <w:abstractNumId w:val="17"/>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D4A"/>
    <w:rsid w:val="00001FB4"/>
    <w:rsid w:val="00004CEA"/>
    <w:rsid w:val="00021DEE"/>
    <w:rsid w:val="00050B5E"/>
    <w:rsid w:val="00062113"/>
    <w:rsid w:val="00072659"/>
    <w:rsid w:val="000772FE"/>
    <w:rsid w:val="000902D6"/>
    <w:rsid w:val="0009151A"/>
    <w:rsid w:val="00096023"/>
    <w:rsid w:val="0009721A"/>
    <w:rsid w:val="000A5F7F"/>
    <w:rsid w:val="000C1213"/>
    <w:rsid w:val="000D3BEA"/>
    <w:rsid w:val="000F1031"/>
    <w:rsid w:val="00126C77"/>
    <w:rsid w:val="001314F6"/>
    <w:rsid w:val="00164DD7"/>
    <w:rsid w:val="00166E5E"/>
    <w:rsid w:val="0017736A"/>
    <w:rsid w:val="001956FA"/>
    <w:rsid w:val="0019771D"/>
    <w:rsid w:val="001A425A"/>
    <w:rsid w:val="001B3568"/>
    <w:rsid w:val="001D514A"/>
    <w:rsid w:val="001E3ADC"/>
    <w:rsid w:val="00206981"/>
    <w:rsid w:val="002074C3"/>
    <w:rsid w:val="002165D4"/>
    <w:rsid w:val="002170CB"/>
    <w:rsid w:val="002172FD"/>
    <w:rsid w:val="0023457D"/>
    <w:rsid w:val="00237E82"/>
    <w:rsid w:val="00242C9D"/>
    <w:rsid w:val="002755E7"/>
    <w:rsid w:val="00275796"/>
    <w:rsid w:val="0028350F"/>
    <w:rsid w:val="00284365"/>
    <w:rsid w:val="00287EB7"/>
    <w:rsid w:val="00294145"/>
    <w:rsid w:val="00295BFC"/>
    <w:rsid w:val="002B2BE2"/>
    <w:rsid w:val="002B5797"/>
    <w:rsid w:val="002C42C8"/>
    <w:rsid w:val="002E2DB6"/>
    <w:rsid w:val="002F0C74"/>
    <w:rsid w:val="00303DF1"/>
    <w:rsid w:val="00313A45"/>
    <w:rsid w:val="00352046"/>
    <w:rsid w:val="00355B88"/>
    <w:rsid w:val="00362E52"/>
    <w:rsid w:val="00375B19"/>
    <w:rsid w:val="003760C2"/>
    <w:rsid w:val="00381AC6"/>
    <w:rsid w:val="003916BE"/>
    <w:rsid w:val="003A5006"/>
    <w:rsid w:val="003A7132"/>
    <w:rsid w:val="003C01DF"/>
    <w:rsid w:val="003C7FBC"/>
    <w:rsid w:val="003E42DF"/>
    <w:rsid w:val="003F127C"/>
    <w:rsid w:val="003F18D9"/>
    <w:rsid w:val="003F7DEB"/>
    <w:rsid w:val="00406DEB"/>
    <w:rsid w:val="00425353"/>
    <w:rsid w:val="00432C17"/>
    <w:rsid w:val="00433CE5"/>
    <w:rsid w:val="0044778E"/>
    <w:rsid w:val="00475D4A"/>
    <w:rsid w:val="004849B8"/>
    <w:rsid w:val="00486BE9"/>
    <w:rsid w:val="004A7C92"/>
    <w:rsid w:val="004A7CE9"/>
    <w:rsid w:val="004B334D"/>
    <w:rsid w:val="004C49BF"/>
    <w:rsid w:val="004C4EFA"/>
    <w:rsid w:val="004E4289"/>
    <w:rsid w:val="004E61C8"/>
    <w:rsid w:val="004F0578"/>
    <w:rsid w:val="0050490A"/>
    <w:rsid w:val="0051747F"/>
    <w:rsid w:val="00517814"/>
    <w:rsid w:val="005215D8"/>
    <w:rsid w:val="005233A4"/>
    <w:rsid w:val="00524291"/>
    <w:rsid w:val="00527B8F"/>
    <w:rsid w:val="00550C0A"/>
    <w:rsid w:val="00564A65"/>
    <w:rsid w:val="0057037A"/>
    <w:rsid w:val="00572544"/>
    <w:rsid w:val="005954AE"/>
    <w:rsid w:val="005A24F7"/>
    <w:rsid w:val="005B64E3"/>
    <w:rsid w:val="005D1A12"/>
    <w:rsid w:val="005E35F4"/>
    <w:rsid w:val="005E4AB7"/>
    <w:rsid w:val="005F34D3"/>
    <w:rsid w:val="006005FB"/>
    <w:rsid w:val="00603480"/>
    <w:rsid w:val="00614381"/>
    <w:rsid w:val="00614A0D"/>
    <w:rsid w:val="0062367F"/>
    <w:rsid w:val="00631460"/>
    <w:rsid w:val="00631D58"/>
    <w:rsid w:val="00632BD3"/>
    <w:rsid w:val="006405CC"/>
    <w:rsid w:val="00641BBD"/>
    <w:rsid w:val="00643DC6"/>
    <w:rsid w:val="00645B85"/>
    <w:rsid w:val="00654D85"/>
    <w:rsid w:val="00670826"/>
    <w:rsid w:val="00687C15"/>
    <w:rsid w:val="006A2606"/>
    <w:rsid w:val="006B0B01"/>
    <w:rsid w:val="006B5DE6"/>
    <w:rsid w:val="006C7403"/>
    <w:rsid w:val="006D7714"/>
    <w:rsid w:val="006E057B"/>
    <w:rsid w:val="006E54EB"/>
    <w:rsid w:val="006F5723"/>
    <w:rsid w:val="007119EB"/>
    <w:rsid w:val="00716EA8"/>
    <w:rsid w:val="00745D46"/>
    <w:rsid w:val="00753EB1"/>
    <w:rsid w:val="0076005B"/>
    <w:rsid w:val="007620C3"/>
    <w:rsid w:val="00763CB0"/>
    <w:rsid w:val="007722D8"/>
    <w:rsid w:val="00793235"/>
    <w:rsid w:val="007944C7"/>
    <w:rsid w:val="007A1B97"/>
    <w:rsid w:val="007B55B8"/>
    <w:rsid w:val="007C4FD2"/>
    <w:rsid w:val="007D70F3"/>
    <w:rsid w:val="007F0FD9"/>
    <w:rsid w:val="00804FCA"/>
    <w:rsid w:val="00812D37"/>
    <w:rsid w:val="00816EFC"/>
    <w:rsid w:val="00820E2B"/>
    <w:rsid w:val="00821657"/>
    <w:rsid w:val="0085233E"/>
    <w:rsid w:val="00855836"/>
    <w:rsid w:val="0085681F"/>
    <w:rsid w:val="00857C0C"/>
    <w:rsid w:val="00867EC2"/>
    <w:rsid w:val="008967CE"/>
    <w:rsid w:val="008A1669"/>
    <w:rsid w:val="008C125D"/>
    <w:rsid w:val="008C2619"/>
    <w:rsid w:val="008D2D09"/>
    <w:rsid w:val="008D40A2"/>
    <w:rsid w:val="008D6965"/>
    <w:rsid w:val="008F2D1D"/>
    <w:rsid w:val="008F4627"/>
    <w:rsid w:val="00911DCA"/>
    <w:rsid w:val="009220BB"/>
    <w:rsid w:val="009432E6"/>
    <w:rsid w:val="0094761C"/>
    <w:rsid w:val="0099128F"/>
    <w:rsid w:val="00997A47"/>
    <w:rsid w:val="009A5502"/>
    <w:rsid w:val="009B4B56"/>
    <w:rsid w:val="009D2CC7"/>
    <w:rsid w:val="009D2FDA"/>
    <w:rsid w:val="009E58EA"/>
    <w:rsid w:val="009F1D94"/>
    <w:rsid w:val="009F2829"/>
    <w:rsid w:val="00A05128"/>
    <w:rsid w:val="00A130F6"/>
    <w:rsid w:val="00A1361D"/>
    <w:rsid w:val="00A2428B"/>
    <w:rsid w:val="00A25C46"/>
    <w:rsid w:val="00A30E01"/>
    <w:rsid w:val="00A31335"/>
    <w:rsid w:val="00A4160B"/>
    <w:rsid w:val="00A50E97"/>
    <w:rsid w:val="00A560D3"/>
    <w:rsid w:val="00A57F3B"/>
    <w:rsid w:val="00A7348E"/>
    <w:rsid w:val="00A73D5E"/>
    <w:rsid w:val="00A80F61"/>
    <w:rsid w:val="00A83FDF"/>
    <w:rsid w:val="00A902B6"/>
    <w:rsid w:val="00AA2415"/>
    <w:rsid w:val="00AB0074"/>
    <w:rsid w:val="00AB3261"/>
    <w:rsid w:val="00AB6A0B"/>
    <w:rsid w:val="00AC1D09"/>
    <w:rsid w:val="00AC3115"/>
    <w:rsid w:val="00AC50B4"/>
    <w:rsid w:val="00AD1291"/>
    <w:rsid w:val="00AE2F7E"/>
    <w:rsid w:val="00B0192C"/>
    <w:rsid w:val="00B01BC9"/>
    <w:rsid w:val="00B061E1"/>
    <w:rsid w:val="00B133BC"/>
    <w:rsid w:val="00B21828"/>
    <w:rsid w:val="00B21F1B"/>
    <w:rsid w:val="00B27573"/>
    <w:rsid w:val="00B308B8"/>
    <w:rsid w:val="00B32C21"/>
    <w:rsid w:val="00B45D5C"/>
    <w:rsid w:val="00B479ED"/>
    <w:rsid w:val="00B6136E"/>
    <w:rsid w:val="00B819DB"/>
    <w:rsid w:val="00B91171"/>
    <w:rsid w:val="00BB3B59"/>
    <w:rsid w:val="00BB6FD3"/>
    <w:rsid w:val="00BD6979"/>
    <w:rsid w:val="00BE2BEC"/>
    <w:rsid w:val="00BF5978"/>
    <w:rsid w:val="00BF753C"/>
    <w:rsid w:val="00C13804"/>
    <w:rsid w:val="00C13FA3"/>
    <w:rsid w:val="00C25075"/>
    <w:rsid w:val="00C36A0B"/>
    <w:rsid w:val="00C456FB"/>
    <w:rsid w:val="00C67F4C"/>
    <w:rsid w:val="00C7004B"/>
    <w:rsid w:val="00C80A73"/>
    <w:rsid w:val="00C949DF"/>
    <w:rsid w:val="00CA271E"/>
    <w:rsid w:val="00CC0A74"/>
    <w:rsid w:val="00CC7FA6"/>
    <w:rsid w:val="00CD02C4"/>
    <w:rsid w:val="00CD3115"/>
    <w:rsid w:val="00CF2C2C"/>
    <w:rsid w:val="00D00417"/>
    <w:rsid w:val="00D07253"/>
    <w:rsid w:val="00D15970"/>
    <w:rsid w:val="00D27040"/>
    <w:rsid w:val="00D407B2"/>
    <w:rsid w:val="00D50BF4"/>
    <w:rsid w:val="00D60FAB"/>
    <w:rsid w:val="00D62962"/>
    <w:rsid w:val="00D73FE7"/>
    <w:rsid w:val="00D85971"/>
    <w:rsid w:val="00D90EF3"/>
    <w:rsid w:val="00D92ACF"/>
    <w:rsid w:val="00DA4FDD"/>
    <w:rsid w:val="00DA7AC2"/>
    <w:rsid w:val="00DB5333"/>
    <w:rsid w:val="00DD14A4"/>
    <w:rsid w:val="00E176BD"/>
    <w:rsid w:val="00E243CD"/>
    <w:rsid w:val="00E260A3"/>
    <w:rsid w:val="00E30093"/>
    <w:rsid w:val="00E47932"/>
    <w:rsid w:val="00E53208"/>
    <w:rsid w:val="00E67876"/>
    <w:rsid w:val="00E87621"/>
    <w:rsid w:val="00E908AE"/>
    <w:rsid w:val="00E939D0"/>
    <w:rsid w:val="00EC53FF"/>
    <w:rsid w:val="00ED335E"/>
    <w:rsid w:val="00ED6A14"/>
    <w:rsid w:val="00EF1B92"/>
    <w:rsid w:val="00EF6E3F"/>
    <w:rsid w:val="00F06459"/>
    <w:rsid w:val="00F079EA"/>
    <w:rsid w:val="00F12139"/>
    <w:rsid w:val="00F123DE"/>
    <w:rsid w:val="00F12DCC"/>
    <w:rsid w:val="00F12E0A"/>
    <w:rsid w:val="00F27D69"/>
    <w:rsid w:val="00F3262B"/>
    <w:rsid w:val="00F35EF3"/>
    <w:rsid w:val="00F36A0C"/>
    <w:rsid w:val="00F42BA2"/>
    <w:rsid w:val="00F47995"/>
    <w:rsid w:val="00F534E6"/>
    <w:rsid w:val="00F82762"/>
    <w:rsid w:val="00F864A4"/>
    <w:rsid w:val="00F90D34"/>
    <w:rsid w:val="00F9672E"/>
    <w:rsid w:val="00FA3D92"/>
    <w:rsid w:val="00FA7E25"/>
    <w:rsid w:val="00FB552A"/>
    <w:rsid w:val="00FD3E23"/>
    <w:rsid w:val="00FF207C"/>
    <w:rsid w:val="00FF3449"/>
    <w:rsid w:val="00FF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C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F0C74"/>
    <w:pPr>
      <w:tabs>
        <w:tab w:val="left" w:pos="360"/>
        <w:tab w:val="left" w:pos="10458"/>
      </w:tabs>
      <w:ind w:left="360" w:hanging="360"/>
    </w:pPr>
  </w:style>
  <w:style w:type="character" w:styleId="PageNumber">
    <w:name w:val="page number"/>
    <w:basedOn w:val="DefaultParagraphFont"/>
    <w:rsid w:val="002F0C74"/>
  </w:style>
  <w:style w:type="paragraph" w:styleId="Footer">
    <w:name w:val="footer"/>
    <w:basedOn w:val="Normal"/>
    <w:rsid w:val="002F0C74"/>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link w:val="BodyTextChar"/>
    <w:rsid w:val="00812D37"/>
    <w:pPr>
      <w:spacing w:after="120"/>
    </w:pPr>
  </w:style>
  <w:style w:type="character" w:customStyle="1" w:styleId="BodyTextChar">
    <w:name w:val="Body Text Char"/>
    <w:basedOn w:val="DefaultParagraphFont"/>
    <w:link w:val="BodyText"/>
    <w:rsid w:val="00812D37"/>
    <w:rPr>
      <w:sz w:val="24"/>
      <w:szCs w:val="24"/>
    </w:rPr>
  </w:style>
  <w:style w:type="paragraph" w:styleId="BodyTextIndent3">
    <w:name w:val="Body Text Indent 3"/>
    <w:basedOn w:val="Normal"/>
    <w:link w:val="BodyTextIndent3Char"/>
    <w:rsid w:val="00812D37"/>
    <w:pPr>
      <w:spacing w:after="120"/>
      <w:ind w:left="360"/>
    </w:pPr>
    <w:rPr>
      <w:sz w:val="16"/>
      <w:szCs w:val="16"/>
    </w:rPr>
  </w:style>
  <w:style w:type="character" w:customStyle="1" w:styleId="BodyTextIndent3Char">
    <w:name w:val="Body Text Indent 3 Char"/>
    <w:basedOn w:val="DefaultParagraphFont"/>
    <w:link w:val="BodyTextIndent3"/>
    <w:rsid w:val="00812D37"/>
    <w:rPr>
      <w:sz w:val="16"/>
      <w:szCs w:val="16"/>
    </w:rPr>
  </w:style>
  <w:style w:type="paragraph" w:styleId="Header">
    <w:name w:val="header"/>
    <w:basedOn w:val="Normal"/>
    <w:link w:val="HeaderChar"/>
    <w:rsid w:val="001314F6"/>
    <w:pPr>
      <w:tabs>
        <w:tab w:val="center" w:pos="4680"/>
        <w:tab w:val="right" w:pos="9360"/>
      </w:tabs>
    </w:pPr>
  </w:style>
  <w:style w:type="character" w:customStyle="1" w:styleId="HeaderChar">
    <w:name w:val="Header Char"/>
    <w:basedOn w:val="DefaultParagraphFont"/>
    <w:link w:val="Header"/>
    <w:rsid w:val="001314F6"/>
    <w:rPr>
      <w:sz w:val="24"/>
      <w:szCs w:val="24"/>
    </w:rPr>
  </w:style>
  <w:style w:type="paragraph" w:styleId="Revision">
    <w:name w:val="Revision"/>
    <w:hidden/>
    <w:uiPriority w:val="99"/>
    <w:semiHidden/>
    <w:rsid w:val="001314F6"/>
    <w:rPr>
      <w:sz w:val="24"/>
      <w:szCs w:val="24"/>
    </w:rPr>
  </w:style>
  <w:style w:type="paragraph" w:styleId="BalloonText">
    <w:name w:val="Balloon Text"/>
    <w:basedOn w:val="Normal"/>
    <w:link w:val="BalloonTextChar"/>
    <w:rsid w:val="001314F6"/>
    <w:rPr>
      <w:rFonts w:ascii="Tahoma" w:hAnsi="Tahoma" w:cs="Tahoma"/>
      <w:sz w:val="16"/>
      <w:szCs w:val="16"/>
    </w:rPr>
  </w:style>
  <w:style w:type="character" w:customStyle="1" w:styleId="BalloonTextChar">
    <w:name w:val="Balloon Text Char"/>
    <w:basedOn w:val="DefaultParagraphFont"/>
    <w:link w:val="BalloonText"/>
    <w:rsid w:val="001314F6"/>
    <w:rPr>
      <w:rFonts w:ascii="Tahoma" w:hAnsi="Tahoma" w:cs="Tahoma"/>
      <w:sz w:val="16"/>
      <w:szCs w:val="16"/>
    </w:rPr>
  </w:style>
  <w:style w:type="paragraph" w:styleId="ListParagraph">
    <w:name w:val="List Paragraph"/>
    <w:basedOn w:val="Normal"/>
    <w:uiPriority w:val="34"/>
    <w:qFormat/>
    <w:rsid w:val="00432C17"/>
    <w:pPr>
      <w:ind w:left="720"/>
      <w:contextualSpacing/>
    </w:pPr>
  </w:style>
  <w:style w:type="character" w:customStyle="1" w:styleId="BodyTextIndentChar">
    <w:name w:val="Body Text Indent Char"/>
    <w:basedOn w:val="DefaultParagraphFont"/>
    <w:link w:val="BodyTextIndent"/>
    <w:rsid w:val="00F27D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C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F0C74"/>
    <w:pPr>
      <w:tabs>
        <w:tab w:val="left" w:pos="360"/>
        <w:tab w:val="left" w:pos="10458"/>
      </w:tabs>
      <w:ind w:left="360" w:hanging="360"/>
    </w:pPr>
  </w:style>
  <w:style w:type="character" w:styleId="PageNumber">
    <w:name w:val="page number"/>
    <w:basedOn w:val="DefaultParagraphFont"/>
    <w:rsid w:val="002F0C74"/>
  </w:style>
  <w:style w:type="paragraph" w:styleId="Footer">
    <w:name w:val="footer"/>
    <w:basedOn w:val="Normal"/>
    <w:rsid w:val="002F0C74"/>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link w:val="BodyTextChar"/>
    <w:rsid w:val="00812D37"/>
    <w:pPr>
      <w:spacing w:after="120"/>
    </w:pPr>
  </w:style>
  <w:style w:type="character" w:customStyle="1" w:styleId="BodyTextChar">
    <w:name w:val="Body Text Char"/>
    <w:basedOn w:val="DefaultParagraphFont"/>
    <w:link w:val="BodyText"/>
    <w:rsid w:val="00812D37"/>
    <w:rPr>
      <w:sz w:val="24"/>
      <w:szCs w:val="24"/>
    </w:rPr>
  </w:style>
  <w:style w:type="paragraph" w:styleId="BodyTextIndent3">
    <w:name w:val="Body Text Indent 3"/>
    <w:basedOn w:val="Normal"/>
    <w:link w:val="BodyTextIndent3Char"/>
    <w:rsid w:val="00812D37"/>
    <w:pPr>
      <w:spacing w:after="120"/>
      <w:ind w:left="360"/>
    </w:pPr>
    <w:rPr>
      <w:sz w:val="16"/>
      <w:szCs w:val="16"/>
    </w:rPr>
  </w:style>
  <w:style w:type="character" w:customStyle="1" w:styleId="BodyTextIndent3Char">
    <w:name w:val="Body Text Indent 3 Char"/>
    <w:basedOn w:val="DefaultParagraphFont"/>
    <w:link w:val="BodyTextIndent3"/>
    <w:rsid w:val="00812D37"/>
    <w:rPr>
      <w:sz w:val="16"/>
      <w:szCs w:val="16"/>
    </w:rPr>
  </w:style>
  <w:style w:type="paragraph" w:styleId="Header">
    <w:name w:val="header"/>
    <w:basedOn w:val="Normal"/>
    <w:link w:val="HeaderChar"/>
    <w:rsid w:val="001314F6"/>
    <w:pPr>
      <w:tabs>
        <w:tab w:val="center" w:pos="4680"/>
        <w:tab w:val="right" w:pos="9360"/>
      </w:tabs>
    </w:pPr>
  </w:style>
  <w:style w:type="character" w:customStyle="1" w:styleId="HeaderChar">
    <w:name w:val="Header Char"/>
    <w:basedOn w:val="DefaultParagraphFont"/>
    <w:link w:val="Header"/>
    <w:rsid w:val="001314F6"/>
    <w:rPr>
      <w:sz w:val="24"/>
      <w:szCs w:val="24"/>
    </w:rPr>
  </w:style>
  <w:style w:type="paragraph" w:styleId="Revision">
    <w:name w:val="Revision"/>
    <w:hidden/>
    <w:uiPriority w:val="99"/>
    <w:semiHidden/>
    <w:rsid w:val="001314F6"/>
    <w:rPr>
      <w:sz w:val="24"/>
      <w:szCs w:val="24"/>
    </w:rPr>
  </w:style>
  <w:style w:type="paragraph" w:styleId="BalloonText">
    <w:name w:val="Balloon Text"/>
    <w:basedOn w:val="Normal"/>
    <w:link w:val="BalloonTextChar"/>
    <w:rsid w:val="001314F6"/>
    <w:rPr>
      <w:rFonts w:ascii="Tahoma" w:hAnsi="Tahoma" w:cs="Tahoma"/>
      <w:sz w:val="16"/>
      <w:szCs w:val="16"/>
    </w:rPr>
  </w:style>
  <w:style w:type="character" w:customStyle="1" w:styleId="BalloonTextChar">
    <w:name w:val="Balloon Text Char"/>
    <w:basedOn w:val="DefaultParagraphFont"/>
    <w:link w:val="BalloonText"/>
    <w:rsid w:val="001314F6"/>
    <w:rPr>
      <w:rFonts w:ascii="Tahoma" w:hAnsi="Tahoma" w:cs="Tahoma"/>
      <w:sz w:val="16"/>
      <w:szCs w:val="16"/>
    </w:rPr>
  </w:style>
  <w:style w:type="paragraph" w:styleId="ListParagraph">
    <w:name w:val="List Paragraph"/>
    <w:basedOn w:val="Normal"/>
    <w:uiPriority w:val="34"/>
    <w:qFormat/>
    <w:rsid w:val="00432C17"/>
    <w:pPr>
      <w:ind w:left="720"/>
      <w:contextualSpacing/>
    </w:pPr>
  </w:style>
  <w:style w:type="character" w:customStyle="1" w:styleId="BodyTextIndentChar">
    <w:name w:val="Body Text Indent Char"/>
    <w:basedOn w:val="DefaultParagraphFont"/>
    <w:link w:val="BodyTextIndent"/>
    <w:rsid w:val="00F27D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887661">
      <w:bodyDiv w:val="1"/>
      <w:marLeft w:val="0"/>
      <w:marRight w:val="0"/>
      <w:marTop w:val="0"/>
      <w:marBottom w:val="0"/>
      <w:divBdr>
        <w:top w:val="none" w:sz="0" w:space="0" w:color="auto"/>
        <w:left w:val="none" w:sz="0" w:space="0" w:color="auto"/>
        <w:bottom w:val="none" w:sz="0" w:space="0" w:color="auto"/>
        <w:right w:val="none" w:sz="0" w:space="0" w:color="auto"/>
      </w:divBdr>
    </w:div>
    <w:div w:id="97243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970EA-C5AA-4747-AB3F-AD530040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4391</Words>
  <Characters>25035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Housing and Urban Development</Company>
  <LinksUpToDate>false</LinksUpToDate>
  <CharactersWithSpaces>29368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HUD User</cp:lastModifiedBy>
  <cp:revision>2</cp:revision>
  <cp:lastPrinted>2013-05-14T21:58:00Z</cp:lastPrinted>
  <dcterms:created xsi:type="dcterms:W3CDTF">2014-04-30T13:00:00Z</dcterms:created>
  <dcterms:modified xsi:type="dcterms:W3CDTF">2014-04-30T13:00:00Z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-92141956</vt:i4>
  </property>
  <property fmtid="{D5CDD505-2E9C-101B-9397-08002B2CF9AE}" pid="3" name="_NewReviewCycle">
    <vt:lpwstr/>
  </property>
  <property fmtid="{D5CDD505-2E9C-101B-9397-08002B2CF9AE}" pid="4" name="_EmailSubject">
    <vt:lpwstr>Revised Supporting Statement - Condomniium PRA</vt:lpwstr>
  </property>
  <property fmtid="{D5CDD505-2E9C-101B-9397-08002B2CF9AE}" pid="5" name="_AuthorEmail">
    <vt:lpwstr>Joanne.B.Kuczma@hud.gov</vt:lpwstr>
  </property>
  <property fmtid="{D5CDD505-2E9C-101B-9397-08002B2CF9AE}" pid="6" name="_AuthorEmailDisplayName">
    <vt:lpwstr>Kuczma, Joanne B</vt:lpwstr>
  </property>
  <property fmtid="{D5CDD505-2E9C-101B-9397-08002B2CF9AE}" pid="7" name="_PreviousAdHocReviewCycleID">
    <vt:i4>1281132876</vt:i4>
  </property>
  <property fmtid="{D5CDD505-2E9C-101B-9397-08002B2CF9AE}" pid="8" name="_ReviewingToolsShownOnce">
    <vt:lpwstr/>
  </property>
</Properties>
</file>