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E8D" w:rsidRDefault="00470720" w:rsidP="00AE417C">
      <w:pPr>
        <w:tabs>
          <w:tab w:val="left" w:pos="2250"/>
        </w:tabs>
        <w:jc w:val="center"/>
        <w:rPr>
          <w:b/>
          <w:szCs w:val="24"/>
        </w:rPr>
      </w:pPr>
      <w:r w:rsidRPr="00C574F7">
        <w:rPr>
          <w:b/>
          <w:szCs w:val="24"/>
        </w:rPr>
        <w:t>Department of Transportation</w:t>
      </w:r>
    </w:p>
    <w:p w:rsidR="008A3E8D" w:rsidRDefault="00470720">
      <w:pPr>
        <w:jc w:val="center"/>
        <w:rPr>
          <w:b/>
          <w:szCs w:val="24"/>
        </w:rPr>
      </w:pPr>
      <w:r w:rsidRPr="00C574F7">
        <w:rPr>
          <w:b/>
          <w:szCs w:val="24"/>
        </w:rPr>
        <w:t>Office of the Chief Information Officer</w:t>
      </w:r>
    </w:p>
    <w:p w:rsidR="00470720" w:rsidRPr="00C574F7" w:rsidRDefault="00470720" w:rsidP="00C574F7">
      <w:pPr>
        <w:jc w:val="center"/>
        <w:rPr>
          <w:b/>
          <w:szCs w:val="24"/>
        </w:rPr>
      </w:pPr>
    </w:p>
    <w:p w:rsidR="008A3E8D" w:rsidRDefault="0004749E">
      <w:pPr>
        <w:jc w:val="center"/>
        <w:rPr>
          <w:b/>
          <w:szCs w:val="24"/>
        </w:rPr>
      </w:pPr>
      <w:r w:rsidRPr="00C574F7">
        <w:rPr>
          <w:b/>
          <w:szCs w:val="24"/>
        </w:rPr>
        <w:t>SUPPORTING STATEMENT</w:t>
      </w:r>
    </w:p>
    <w:p w:rsidR="008A3E8D" w:rsidRDefault="00713AC6">
      <w:pPr>
        <w:jc w:val="center"/>
        <w:rPr>
          <w:b/>
          <w:szCs w:val="24"/>
        </w:rPr>
      </w:pPr>
      <w:r w:rsidRPr="00C574F7">
        <w:rPr>
          <w:b/>
          <w:szCs w:val="24"/>
        </w:rPr>
        <w:t>Unified Registration System</w:t>
      </w:r>
      <w:r w:rsidR="0067050B">
        <w:rPr>
          <w:b/>
          <w:szCs w:val="24"/>
        </w:rPr>
        <w:t>,</w:t>
      </w:r>
    </w:p>
    <w:p w:rsidR="0067050B" w:rsidRDefault="0067050B">
      <w:pPr>
        <w:jc w:val="center"/>
        <w:rPr>
          <w:b/>
          <w:szCs w:val="24"/>
        </w:rPr>
      </w:pPr>
      <w:r>
        <w:rPr>
          <w:b/>
          <w:szCs w:val="24"/>
        </w:rPr>
        <w:t>FMCSA Registration/Updates</w:t>
      </w:r>
    </w:p>
    <w:p w:rsidR="008A3E8D" w:rsidRDefault="00605A09">
      <w:pPr>
        <w:jc w:val="center"/>
        <w:rPr>
          <w:b/>
          <w:szCs w:val="24"/>
        </w:rPr>
      </w:pPr>
      <w:r>
        <w:rPr>
          <w:b/>
          <w:szCs w:val="24"/>
        </w:rPr>
        <w:t>2126-NEW</w:t>
      </w:r>
    </w:p>
    <w:p w:rsidR="0004749E" w:rsidRPr="00C574F7" w:rsidRDefault="0004749E" w:rsidP="00C574F7">
      <w:pPr>
        <w:rPr>
          <w:szCs w:val="24"/>
        </w:rPr>
      </w:pPr>
    </w:p>
    <w:p w:rsidR="0004749E" w:rsidRPr="00C574F7" w:rsidRDefault="0004749E" w:rsidP="00C574F7">
      <w:pPr>
        <w:rPr>
          <w:szCs w:val="24"/>
        </w:rPr>
      </w:pPr>
    </w:p>
    <w:p w:rsidR="00105F8E" w:rsidRPr="00C574F7" w:rsidRDefault="00105F8E" w:rsidP="00C574F7">
      <w:pPr>
        <w:rPr>
          <w:szCs w:val="24"/>
        </w:rPr>
      </w:pPr>
    </w:p>
    <w:p w:rsidR="008A3E8D" w:rsidRDefault="0004749E">
      <w:pPr>
        <w:rPr>
          <w:b/>
          <w:szCs w:val="24"/>
        </w:rPr>
      </w:pPr>
      <w:r w:rsidRPr="00C574F7">
        <w:rPr>
          <w:b/>
          <w:szCs w:val="24"/>
        </w:rPr>
        <w:t>INTRODUCTION</w:t>
      </w:r>
    </w:p>
    <w:p w:rsidR="0004749E" w:rsidRPr="00C574F7" w:rsidRDefault="0004749E" w:rsidP="00C574F7">
      <w:pPr>
        <w:rPr>
          <w:szCs w:val="24"/>
        </w:rPr>
      </w:pPr>
    </w:p>
    <w:p w:rsidR="0004749E" w:rsidRPr="00C574F7" w:rsidRDefault="007D70C5" w:rsidP="00C574F7">
      <w:pPr>
        <w:rPr>
          <w:szCs w:val="24"/>
        </w:rPr>
      </w:pPr>
      <w:r w:rsidRPr="00C574F7">
        <w:rPr>
          <w:szCs w:val="24"/>
        </w:rPr>
        <w:t>Th</w:t>
      </w:r>
      <w:r>
        <w:rPr>
          <w:szCs w:val="24"/>
        </w:rPr>
        <w:t>e Federal Motor Carrier Safety Administration (FMCSA) request</w:t>
      </w:r>
      <w:r w:rsidR="00950A2E">
        <w:rPr>
          <w:szCs w:val="24"/>
        </w:rPr>
        <w:t>s</w:t>
      </w:r>
      <w:r w:rsidR="0004749E" w:rsidRPr="00C574F7">
        <w:rPr>
          <w:szCs w:val="24"/>
        </w:rPr>
        <w:t xml:space="preserve"> the Office of Management and Budget’s (OMB) </w:t>
      </w:r>
      <w:r w:rsidR="00AF140C">
        <w:rPr>
          <w:szCs w:val="24"/>
        </w:rPr>
        <w:t xml:space="preserve">approval of a </w:t>
      </w:r>
      <w:r w:rsidR="00713AC6" w:rsidRPr="00C574F7">
        <w:rPr>
          <w:szCs w:val="24"/>
        </w:rPr>
        <w:t>new</w:t>
      </w:r>
      <w:r w:rsidR="0004749E" w:rsidRPr="00C574F7">
        <w:rPr>
          <w:szCs w:val="24"/>
        </w:rPr>
        <w:t xml:space="preserve"> information collection </w:t>
      </w:r>
      <w:r>
        <w:rPr>
          <w:szCs w:val="24"/>
        </w:rPr>
        <w:t>request (ICR)</w:t>
      </w:r>
      <w:r w:rsidR="00D517CB">
        <w:rPr>
          <w:szCs w:val="24"/>
        </w:rPr>
        <w:t xml:space="preserve"> </w:t>
      </w:r>
      <w:r w:rsidR="00950A2E">
        <w:rPr>
          <w:szCs w:val="24"/>
        </w:rPr>
        <w:t>en</w:t>
      </w:r>
      <w:r w:rsidRPr="00C574F7">
        <w:rPr>
          <w:szCs w:val="24"/>
        </w:rPr>
        <w:t>titled</w:t>
      </w:r>
      <w:r w:rsidR="00B53C55">
        <w:rPr>
          <w:szCs w:val="24"/>
        </w:rPr>
        <w:t>,</w:t>
      </w:r>
      <w:r w:rsidRPr="00C574F7">
        <w:rPr>
          <w:szCs w:val="24"/>
        </w:rPr>
        <w:t xml:space="preserve"> </w:t>
      </w:r>
      <w:r>
        <w:rPr>
          <w:szCs w:val="24"/>
        </w:rPr>
        <w:t>“</w:t>
      </w:r>
      <w:r w:rsidR="0067050B">
        <w:rPr>
          <w:szCs w:val="24"/>
        </w:rPr>
        <w:t xml:space="preserve">Unified Registration System, </w:t>
      </w:r>
      <w:r>
        <w:rPr>
          <w:szCs w:val="24"/>
        </w:rPr>
        <w:t>FMCSA Registration/Updates.</w:t>
      </w:r>
      <w:r w:rsidR="00CF3A6E">
        <w:rPr>
          <w:szCs w:val="24"/>
        </w:rPr>
        <w:t>”</w:t>
      </w:r>
      <w:r w:rsidR="005C5240">
        <w:rPr>
          <w:szCs w:val="24"/>
        </w:rPr>
        <w:t xml:space="preserve"> </w:t>
      </w:r>
      <w:r w:rsidR="0053462D">
        <w:rPr>
          <w:szCs w:val="24"/>
        </w:rPr>
        <w:t xml:space="preserve"> </w:t>
      </w:r>
      <w:r>
        <w:rPr>
          <w:szCs w:val="24"/>
        </w:rPr>
        <w:t xml:space="preserve">This ICR is due to the </w:t>
      </w:r>
      <w:r w:rsidR="00905EDB">
        <w:rPr>
          <w:szCs w:val="24"/>
        </w:rPr>
        <w:t>A</w:t>
      </w:r>
      <w:r>
        <w:rPr>
          <w:szCs w:val="24"/>
        </w:rPr>
        <w:t xml:space="preserve">gency’s development of </w:t>
      </w:r>
      <w:r w:rsidR="00B53C55">
        <w:rPr>
          <w:szCs w:val="24"/>
        </w:rPr>
        <w:t xml:space="preserve">a </w:t>
      </w:r>
      <w:r w:rsidR="00E450A9">
        <w:rPr>
          <w:szCs w:val="24"/>
        </w:rPr>
        <w:t xml:space="preserve">Final Rule </w:t>
      </w:r>
      <w:r w:rsidR="00950A2E">
        <w:rPr>
          <w:szCs w:val="24"/>
        </w:rPr>
        <w:t>en</w:t>
      </w:r>
      <w:r w:rsidR="0004749E" w:rsidRPr="00C574F7">
        <w:rPr>
          <w:szCs w:val="24"/>
        </w:rPr>
        <w:t>titled</w:t>
      </w:r>
      <w:r w:rsidR="00B53C55">
        <w:rPr>
          <w:szCs w:val="24"/>
        </w:rPr>
        <w:t>,</w:t>
      </w:r>
      <w:r w:rsidR="0004749E" w:rsidRPr="00C574F7">
        <w:rPr>
          <w:szCs w:val="24"/>
        </w:rPr>
        <w:t xml:space="preserve"> </w:t>
      </w:r>
      <w:r w:rsidR="00AF140C">
        <w:rPr>
          <w:szCs w:val="24"/>
        </w:rPr>
        <w:t>“</w:t>
      </w:r>
      <w:r w:rsidR="00713AC6" w:rsidRPr="00C574F7">
        <w:rPr>
          <w:szCs w:val="24"/>
        </w:rPr>
        <w:t>Unified Registration System</w:t>
      </w:r>
      <w:r>
        <w:rPr>
          <w:szCs w:val="24"/>
        </w:rPr>
        <w:t xml:space="preserve">” </w:t>
      </w:r>
      <w:r w:rsidR="0084331D">
        <w:rPr>
          <w:szCs w:val="24"/>
        </w:rPr>
        <w:t xml:space="preserve">(78 FR 52608 dated August 23, 2013) </w:t>
      </w:r>
      <w:r>
        <w:rPr>
          <w:szCs w:val="24"/>
        </w:rPr>
        <w:t xml:space="preserve">(see Attachment </w:t>
      </w:r>
      <w:r w:rsidR="00615364">
        <w:rPr>
          <w:szCs w:val="24"/>
        </w:rPr>
        <w:t>A</w:t>
      </w:r>
      <w:r w:rsidR="00A749C1">
        <w:rPr>
          <w:szCs w:val="24"/>
        </w:rPr>
        <w:t>)</w:t>
      </w:r>
      <w:r>
        <w:rPr>
          <w:szCs w:val="24"/>
        </w:rPr>
        <w:t xml:space="preserve"> that require</w:t>
      </w:r>
      <w:r w:rsidR="00004FFD">
        <w:rPr>
          <w:szCs w:val="24"/>
        </w:rPr>
        <w:t>s</w:t>
      </w:r>
      <w:r>
        <w:rPr>
          <w:szCs w:val="24"/>
        </w:rPr>
        <w:t xml:space="preserve"> those entities </w:t>
      </w:r>
      <w:r w:rsidR="00F17002">
        <w:rPr>
          <w:szCs w:val="24"/>
        </w:rPr>
        <w:t xml:space="preserve">that </w:t>
      </w:r>
      <w:r>
        <w:rPr>
          <w:szCs w:val="24"/>
        </w:rPr>
        <w:t>are subject to the FMCSA’s licensing, registration and certification regulations to use a new application Form MCSA-1</w:t>
      </w:r>
      <w:r w:rsidR="00B53C55">
        <w:rPr>
          <w:szCs w:val="24"/>
        </w:rPr>
        <w:t xml:space="preserve"> entitled</w:t>
      </w:r>
      <w:r>
        <w:rPr>
          <w:szCs w:val="24"/>
        </w:rPr>
        <w:t>, “FMCSA Registration/Update(s).</w:t>
      </w:r>
      <w:r w:rsidR="00950A2E">
        <w:rPr>
          <w:szCs w:val="24"/>
        </w:rPr>
        <w:t>”</w:t>
      </w:r>
    </w:p>
    <w:p w:rsidR="00713AC6" w:rsidRPr="00C574F7" w:rsidRDefault="00713AC6" w:rsidP="00C574F7">
      <w:pPr>
        <w:rPr>
          <w:szCs w:val="24"/>
        </w:rPr>
      </w:pPr>
    </w:p>
    <w:p w:rsidR="008A3E8D" w:rsidRDefault="0004749E">
      <w:pPr>
        <w:rPr>
          <w:szCs w:val="24"/>
        </w:rPr>
      </w:pPr>
      <w:proofErr w:type="gramStart"/>
      <w:r w:rsidRPr="00C574F7">
        <w:rPr>
          <w:b/>
          <w:szCs w:val="24"/>
        </w:rPr>
        <w:t>Part A. Justification</w:t>
      </w:r>
      <w:r w:rsidRPr="00C574F7">
        <w:rPr>
          <w:szCs w:val="24"/>
        </w:rPr>
        <w:t>.</w:t>
      </w:r>
      <w:proofErr w:type="gramEnd"/>
    </w:p>
    <w:p w:rsidR="0004749E" w:rsidRPr="00C574F7" w:rsidRDefault="0004749E" w:rsidP="00C574F7">
      <w:pPr>
        <w:rPr>
          <w:szCs w:val="24"/>
        </w:rPr>
      </w:pPr>
    </w:p>
    <w:p w:rsidR="008A3E8D" w:rsidRDefault="00C574F7">
      <w:pPr>
        <w:rPr>
          <w:szCs w:val="24"/>
        </w:rPr>
      </w:pPr>
      <w:r w:rsidRPr="00C574F7">
        <w:rPr>
          <w:b/>
          <w:szCs w:val="24"/>
        </w:rPr>
        <w:t xml:space="preserve">1. </w:t>
      </w:r>
      <w:r w:rsidR="0004749E" w:rsidRPr="00C574F7">
        <w:rPr>
          <w:b/>
          <w:szCs w:val="24"/>
        </w:rPr>
        <w:t>Circumstances that make collection of information necessary.</w:t>
      </w:r>
    </w:p>
    <w:p w:rsidR="00C574F7" w:rsidRDefault="00C574F7" w:rsidP="00C574F7">
      <w:pPr>
        <w:rPr>
          <w:szCs w:val="24"/>
        </w:rPr>
      </w:pPr>
    </w:p>
    <w:p w:rsidR="004F12A8" w:rsidRPr="00C574F7" w:rsidRDefault="004F12A8" w:rsidP="00C574F7">
      <w:pPr>
        <w:rPr>
          <w:szCs w:val="24"/>
        </w:rPr>
      </w:pPr>
      <w:r w:rsidRPr="00C574F7">
        <w:rPr>
          <w:szCs w:val="24"/>
        </w:rPr>
        <w:t xml:space="preserve">Section 103 of the ICC Termination Act of 1995 (ICCTA) </w:t>
      </w:r>
      <w:r w:rsidR="00950A2E">
        <w:rPr>
          <w:szCs w:val="24"/>
        </w:rPr>
        <w:t xml:space="preserve">enacted 49 U.S.C. 13908 </w:t>
      </w:r>
      <w:r w:rsidR="00CF3A6E">
        <w:rPr>
          <w:szCs w:val="24"/>
        </w:rPr>
        <w:t xml:space="preserve">(see Attachment </w:t>
      </w:r>
      <w:r w:rsidR="00004FFD">
        <w:rPr>
          <w:szCs w:val="24"/>
        </w:rPr>
        <w:t>C</w:t>
      </w:r>
      <w:r w:rsidR="00CF3A6E">
        <w:rPr>
          <w:szCs w:val="24"/>
        </w:rPr>
        <w:t>)</w:t>
      </w:r>
      <w:r w:rsidR="00950A2E">
        <w:rPr>
          <w:szCs w:val="24"/>
        </w:rPr>
        <w:t xml:space="preserve">, which </w:t>
      </w:r>
      <w:r w:rsidRPr="00C574F7">
        <w:rPr>
          <w:szCs w:val="24"/>
        </w:rPr>
        <w:t xml:space="preserve">required the Secretary of Transportation (Secretary) to propose regulations to replace four current identification and registration systems with a single, online, Federal system </w:t>
      </w:r>
      <w:r w:rsidR="00AF140C">
        <w:rPr>
          <w:szCs w:val="24"/>
        </w:rPr>
        <w:t xml:space="preserve">─ </w:t>
      </w:r>
      <w:r w:rsidRPr="00C574F7">
        <w:rPr>
          <w:szCs w:val="24"/>
        </w:rPr>
        <w:t>the Unified Registration System (URS).</w:t>
      </w:r>
      <w:r w:rsidR="005C5240">
        <w:rPr>
          <w:szCs w:val="24"/>
        </w:rPr>
        <w:t xml:space="preserve"> </w:t>
      </w:r>
      <w:r w:rsidR="0053462D">
        <w:rPr>
          <w:szCs w:val="24"/>
        </w:rPr>
        <w:t xml:space="preserve"> </w:t>
      </w:r>
      <w:r w:rsidR="00015FEA" w:rsidRPr="00C574F7">
        <w:rPr>
          <w:szCs w:val="24"/>
        </w:rPr>
        <w:t xml:space="preserve">The Unified Carrier Registration Act of 2005, subtitle C of title IV of </w:t>
      </w:r>
      <w:r w:rsidR="007D70C5">
        <w:rPr>
          <w:szCs w:val="24"/>
        </w:rPr>
        <w:t>the Safe, Accountable, Flexible, Efficient Transportation Equity Act:</w:t>
      </w:r>
      <w:r w:rsidR="005C5240">
        <w:rPr>
          <w:szCs w:val="24"/>
        </w:rPr>
        <w:t xml:space="preserve"> </w:t>
      </w:r>
      <w:r w:rsidR="007D70C5">
        <w:rPr>
          <w:szCs w:val="24"/>
        </w:rPr>
        <w:t xml:space="preserve">A Legacy for Users </w:t>
      </w:r>
      <w:r w:rsidR="00950A2E">
        <w:rPr>
          <w:szCs w:val="24"/>
        </w:rPr>
        <w:t>(</w:t>
      </w:r>
      <w:r w:rsidR="00015FEA" w:rsidRPr="00C574F7">
        <w:rPr>
          <w:szCs w:val="24"/>
        </w:rPr>
        <w:t>SAFETEA-LU</w:t>
      </w:r>
      <w:r w:rsidR="00950A2E">
        <w:rPr>
          <w:szCs w:val="24"/>
        </w:rPr>
        <w:t xml:space="preserve">) </w:t>
      </w:r>
      <w:r w:rsidR="00605A09">
        <w:rPr>
          <w:szCs w:val="24"/>
        </w:rPr>
        <w:t>[Pub.</w:t>
      </w:r>
      <w:r w:rsidR="00355FD2">
        <w:rPr>
          <w:szCs w:val="24"/>
        </w:rPr>
        <w:t xml:space="preserve"> </w:t>
      </w:r>
      <w:r w:rsidR="00605A09">
        <w:rPr>
          <w:szCs w:val="24"/>
        </w:rPr>
        <w:t>L. 109-59, 119 Stat. 1714, August 10, 2005]</w:t>
      </w:r>
      <w:r w:rsidR="00015FEA" w:rsidRPr="00C574F7">
        <w:rPr>
          <w:szCs w:val="24"/>
        </w:rPr>
        <w:t xml:space="preserve"> </w:t>
      </w:r>
      <w:r w:rsidR="00CF3A6E">
        <w:rPr>
          <w:szCs w:val="24"/>
        </w:rPr>
        <w:t xml:space="preserve">(see Attachment </w:t>
      </w:r>
      <w:r w:rsidR="00004FFD">
        <w:rPr>
          <w:szCs w:val="24"/>
        </w:rPr>
        <w:t>D</w:t>
      </w:r>
      <w:r w:rsidR="00CF3A6E">
        <w:rPr>
          <w:szCs w:val="24"/>
        </w:rPr>
        <w:t>)</w:t>
      </w:r>
      <w:r w:rsidR="00015FEA" w:rsidRPr="00C574F7">
        <w:rPr>
          <w:szCs w:val="24"/>
        </w:rPr>
        <w:t xml:space="preserve"> modified the requirements for a unified registration system </w:t>
      </w:r>
      <w:r w:rsidR="00950A2E">
        <w:rPr>
          <w:szCs w:val="24"/>
        </w:rPr>
        <w:t>by amending § 13908.</w:t>
      </w:r>
      <w:r w:rsidR="005C5240">
        <w:rPr>
          <w:szCs w:val="24"/>
        </w:rPr>
        <w:t xml:space="preserve"> </w:t>
      </w:r>
      <w:r w:rsidR="00950A2E">
        <w:rPr>
          <w:szCs w:val="24"/>
        </w:rPr>
        <w:t>I</w:t>
      </w:r>
      <w:r w:rsidR="00015FEA" w:rsidRPr="00C574F7">
        <w:rPr>
          <w:szCs w:val="24"/>
        </w:rPr>
        <w:t xml:space="preserve">n particular, SAFETEA-LU </w:t>
      </w:r>
      <w:r w:rsidR="00950A2E">
        <w:rPr>
          <w:szCs w:val="24"/>
        </w:rPr>
        <w:t xml:space="preserve">repealed the </w:t>
      </w:r>
      <w:r w:rsidR="00015FEA" w:rsidRPr="00C574F7">
        <w:rPr>
          <w:szCs w:val="24"/>
        </w:rPr>
        <w:t>Single State Registration System (SSRS)</w:t>
      </w:r>
      <w:r w:rsidR="00950A2E">
        <w:rPr>
          <w:szCs w:val="24"/>
        </w:rPr>
        <w:t>, one of the four systems identified in §</w:t>
      </w:r>
      <w:r w:rsidR="00950A2E">
        <w:t> 13908, and replaced it with the Unified Carrier Registration Agreement.</w:t>
      </w:r>
      <w:r w:rsidR="005C5240">
        <w:t xml:space="preserve"> </w:t>
      </w:r>
      <w:r w:rsidR="0067050B">
        <w:t xml:space="preserve"> </w:t>
      </w:r>
      <w:r w:rsidR="00015FEA" w:rsidRPr="00C574F7">
        <w:rPr>
          <w:szCs w:val="24"/>
        </w:rPr>
        <w:t xml:space="preserve">It also modified the requirement that fees collected under the new system cover the costs of operating and upgrading the registration </w:t>
      </w:r>
      <w:r w:rsidR="00950A2E">
        <w:rPr>
          <w:szCs w:val="24"/>
        </w:rPr>
        <w:t xml:space="preserve">by placing </w:t>
      </w:r>
      <w:r w:rsidR="00015FEA" w:rsidRPr="00C574F7">
        <w:rPr>
          <w:szCs w:val="24"/>
        </w:rPr>
        <w:t>limitations on certain fees that the Agency could charge.</w:t>
      </w:r>
      <w:r w:rsidR="005C5240">
        <w:rPr>
          <w:szCs w:val="24"/>
        </w:rPr>
        <w:t xml:space="preserve"> </w:t>
      </w:r>
      <w:r w:rsidR="0067050B">
        <w:rPr>
          <w:szCs w:val="24"/>
        </w:rPr>
        <w:t xml:space="preserve"> </w:t>
      </w:r>
      <w:r w:rsidR="00015FEA" w:rsidRPr="00C574F7">
        <w:rPr>
          <w:szCs w:val="24"/>
        </w:rPr>
        <w:t xml:space="preserve">Section 4304 of SAFETEA-LU </w:t>
      </w:r>
      <w:r w:rsidR="00CF3A6E">
        <w:rPr>
          <w:szCs w:val="24"/>
        </w:rPr>
        <w:t xml:space="preserve">(see Attachment </w:t>
      </w:r>
      <w:r w:rsidR="00004FFD">
        <w:rPr>
          <w:szCs w:val="24"/>
        </w:rPr>
        <w:t>E</w:t>
      </w:r>
      <w:r w:rsidR="00CF3A6E">
        <w:rPr>
          <w:szCs w:val="24"/>
        </w:rPr>
        <w:t>)</w:t>
      </w:r>
      <w:r w:rsidR="00015FEA" w:rsidRPr="00C574F7">
        <w:rPr>
          <w:szCs w:val="24"/>
        </w:rPr>
        <w:t xml:space="preserve"> reiterated the congressional requirement for a single, Federal, online system to replace the four individual systems identified under 49 U.S.C. 13908</w:t>
      </w:r>
      <w:r w:rsidR="007C0BB6">
        <w:rPr>
          <w:szCs w:val="24"/>
        </w:rPr>
        <w:t xml:space="preserve"> (see Attachment </w:t>
      </w:r>
      <w:r w:rsidR="00004FFD">
        <w:rPr>
          <w:szCs w:val="24"/>
        </w:rPr>
        <w:t>F</w:t>
      </w:r>
      <w:r w:rsidR="007C0BB6">
        <w:rPr>
          <w:szCs w:val="24"/>
        </w:rPr>
        <w:t>)</w:t>
      </w:r>
      <w:r w:rsidR="00015FEA" w:rsidRPr="00C574F7">
        <w:rPr>
          <w:szCs w:val="24"/>
        </w:rPr>
        <w:t>.</w:t>
      </w:r>
      <w:r w:rsidR="005C5240">
        <w:rPr>
          <w:szCs w:val="24"/>
        </w:rPr>
        <w:t xml:space="preserve"> </w:t>
      </w:r>
      <w:r w:rsidR="0053462D">
        <w:rPr>
          <w:szCs w:val="24"/>
        </w:rPr>
        <w:t xml:space="preserve"> </w:t>
      </w:r>
      <w:r w:rsidRPr="00C574F7">
        <w:rPr>
          <w:szCs w:val="24"/>
        </w:rPr>
        <w:t>This consolidation simplif</w:t>
      </w:r>
      <w:r w:rsidR="004A7801">
        <w:rPr>
          <w:szCs w:val="24"/>
        </w:rPr>
        <w:t>ies</w:t>
      </w:r>
      <w:r w:rsidRPr="00C574F7">
        <w:rPr>
          <w:szCs w:val="24"/>
        </w:rPr>
        <w:t xml:space="preserve"> current Federal registration processes and make</w:t>
      </w:r>
      <w:r w:rsidR="004A7801">
        <w:rPr>
          <w:szCs w:val="24"/>
        </w:rPr>
        <w:t>s</w:t>
      </w:r>
      <w:r w:rsidRPr="00C574F7">
        <w:rPr>
          <w:szCs w:val="24"/>
        </w:rPr>
        <w:t xml:space="preserve"> data on interstate motor carriers, property brokers, freight forwarders</w:t>
      </w:r>
      <w:r w:rsidR="00AF140C">
        <w:rPr>
          <w:szCs w:val="24"/>
        </w:rPr>
        <w:t>, and other regulated entities</w:t>
      </w:r>
      <w:r w:rsidRPr="00C574F7">
        <w:rPr>
          <w:szCs w:val="24"/>
        </w:rPr>
        <w:t xml:space="preserve"> more accessible.</w:t>
      </w:r>
      <w:r w:rsidR="005C5240">
        <w:rPr>
          <w:szCs w:val="24"/>
        </w:rPr>
        <w:t xml:space="preserve"> </w:t>
      </w:r>
      <w:r w:rsidR="0053462D">
        <w:rPr>
          <w:szCs w:val="24"/>
        </w:rPr>
        <w:t xml:space="preserve"> </w:t>
      </w:r>
      <w:r w:rsidRPr="00C574F7">
        <w:rPr>
          <w:szCs w:val="24"/>
        </w:rPr>
        <w:t xml:space="preserve">The </w:t>
      </w:r>
      <w:r w:rsidR="00E67BF8">
        <w:rPr>
          <w:szCs w:val="24"/>
        </w:rPr>
        <w:t>URS</w:t>
      </w:r>
      <w:r w:rsidRPr="00C574F7">
        <w:rPr>
          <w:szCs w:val="24"/>
        </w:rPr>
        <w:t xml:space="preserve"> appl</w:t>
      </w:r>
      <w:r w:rsidR="00004FFD">
        <w:rPr>
          <w:szCs w:val="24"/>
        </w:rPr>
        <w:t>ies</w:t>
      </w:r>
      <w:r w:rsidRPr="00C574F7">
        <w:rPr>
          <w:szCs w:val="24"/>
        </w:rPr>
        <w:t xml:space="preserve"> to virtually every motor carrier, property broker, freight forwarder, cargo tank </w:t>
      </w:r>
      <w:r w:rsidR="00AF140C">
        <w:rPr>
          <w:szCs w:val="24"/>
        </w:rPr>
        <w:t xml:space="preserve">(CT) </w:t>
      </w:r>
      <w:r w:rsidRPr="00C574F7">
        <w:rPr>
          <w:szCs w:val="24"/>
        </w:rPr>
        <w:t xml:space="preserve">facility, and intermodal equipment provider (IEP) that is </w:t>
      </w:r>
      <w:r w:rsidR="00A749C1">
        <w:rPr>
          <w:szCs w:val="24"/>
        </w:rPr>
        <w:t xml:space="preserve">currently </w:t>
      </w:r>
      <w:r w:rsidRPr="00C574F7">
        <w:rPr>
          <w:szCs w:val="24"/>
        </w:rPr>
        <w:t xml:space="preserve">required to register with the United States Department of Transportation (USDOT) under 49 CFR 390.19 </w:t>
      </w:r>
      <w:r w:rsidR="00CF3A6E">
        <w:rPr>
          <w:szCs w:val="24"/>
        </w:rPr>
        <w:t xml:space="preserve">(see Attachment </w:t>
      </w:r>
      <w:r w:rsidR="00004FFD">
        <w:rPr>
          <w:szCs w:val="24"/>
        </w:rPr>
        <w:t>G</w:t>
      </w:r>
      <w:r w:rsidR="00CF3A6E">
        <w:rPr>
          <w:szCs w:val="24"/>
        </w:rPr>
        <w:t>)</w:t>
      </w:r>
      <w:r w:rsidRPr="00C574F7">
        <w:rPr>
          <w:szCs w:val="24"/>
        </w:rPr>
        <w:t xml:space="preserve"> or 49 U.S.C. 13901</w:t>
      </w:r>
      <w:r w:rsidR="00CF3A6E">
        <w:rPr>
          <w:szCs w:val="24"/>
        </w:rPr>
        <w:t xml:space="preserve"> (see Attachment </w:t>
      </w:r>
      <w:r w:rsidR="00004FFD">
        <w:rPr>
          <w:szCs w:val="24"/>
        </w:rPr>
        <w:t>H</w:t>
      </w:r>
      <w:r w:rsidR="00CF3A6E">
        <w:rPr>
          <w:szCs w:val="24"/>
        </w:rPr>
        <w:t>)</w:t>
      </w:r>
      <w:r w:rsidRPr="00C574F7">
        <w:rPr>
          <w:szCs w:val="24"/>
        </w:rPr>
        <w:t>.</w:t>
      </w:r>
    </w:p>
    <w:p w:rsidR="004F12A8" w:rsidRPr="00C574F7" w:rsidRDefault="004F12A8" w:rsidP="00C574F7">
      <w:pPr>
        <w:rPr>
          <w:szCs w:val="24"/>
        </w:rPr>
      </w:pPr>
    </w:p>
    <w:p w:rsidR="0004749E" w:rsidRPr="00C574F7" w:rsidRDefault="00015FEA" w:rsidP="00C574F7">
      <w:pPr>
        <w:rPr>
          <w:szCs w:val="24"/>
        </w:rPr>
      </w:pPr>
      <w:r w:rsidRPr="00C574F7">
        <w:rPr>
          <w:szCs w:val="24"/>
        </w:rPr>
        <w:t>T</w:t>
      </w:r>
      <w:r w:rsidR="0004749E" w:rsidRPr="00C574F7">
        <w:rPr>
          <w:szCs w:val="24"/>
        </w:rPr>
        <w:t xml:space="preserve">his information collection supports the DOT Strategic Goal of </w:t>
      </w:r>
      <w:r w:rsidR="00560EA7">
        <w:rPr>
          <w:szCs w:val="24"/>
        </w:rPr>
        <w:t>S</w:t>
      </w:r>
      <w:r w:rsidR="0004749E" w:rsidRPr="00C574F7">
        <w:rPr>
          <w:szCs w:val="24"/>
        </w:rPr>
        <w:t>afety</w:t>
      </w:r>
      <w:r w:rsidR="00616297" w:rsidRPr="00C574F7">
        <w:rPr>
          <w:szCs w:val="24"/>
        </w:rPr>
        <w:t>.</w:t>
      </w:r>
      <w:r w:rsidR="005C5240">
        <w:rPr>
          <w:szCs w:val="24"/>
        </w:rPr>
        <w:t xml:space="preserve"> </w:t>
      </w:r>
      <w:r w:rsidR="0053462D">
        <w:rPr>
          <w:szCs w:val="24"/>
        </w:rPr>
        <w:t xml:space="preserve"> </w:t>
      </w:r>
      <w:r w:rsidR="00616297" w:rsidRPr="00C574F7">
        <w:rPr>
          <w:szCs w:val="24"/>
        </w:rPr>
        <w:t xml:space="preserve">It will </w:t>
      </w:r>
      <w:r w:rsidR="00392ACC" w:rsidRPr="00C574F7">
        <w:rPr>
          <w:szCs w:val="24"/>
        </w:rPr>
        <w:t>streamline the existing registration process and ensure that FMCSA can more efficiently track motor carriers, freight forwarders</w:t>
      </w:r>
      <w:r w:rsidR="00851A9A" w:rsidRPr="00C574F7">
        <w:rPr>
          <w:szCs w:val="24"/>
        </w:rPr>
        <w:t>,</w:t>
      </w:r>
      <w:r w:rsidR="00392ACC" w:rsidRPr="00C574F7">
        <w:rPr>
          <w:szCs w:val="24"/>
        </w:rPr>
        <w:t xml:space="preserve"> brokers</w:t>
      </w:r>
      <w:r w:rsidR="00AF140C">
        <w:rPr>
          <w:szCs w:val="24"/>
        </w:rPr>
        <w:t xml:space="preserve">, and other entities regulated by </w:t>
      </w:r>
      <w:r w:rsidR="0067050B">
        <w:rPr>
          <w:szCs w:val="24"/>
        </w:rPr>
        <w:t>the Agency</w:t>
      </w:r>
      <w:r w:rsidR="00392ACC" w:rsidRPr="00C574F7">
        <w:rPr>
          <w:szCs w:val="24"/>
        </w:rPr>
        <w:t>.</w:t>
      </w:r>
    </w:p>
    <w:p w:rsidR="0004749E" w:rsidRPr="00C574F7" w:rsidRDefault="0004749E" w:rsidP="00C574F7">
      <w:pPr>
        <w:rPr>
          <w:szCs w:val="24"/>
        </w:rPr>
      </w:pPr>
    </w:p>
    <w:p w:rsidR="007547A3" w:rsidRDefault="007547A3" w:rsidP="00C961C7">
      <w:pPr>
        <w:outlineLvl w:val="0"/>
        <w:rPr>
          <w:b/>
          <w:szCs w:val="24"/>
        </w:rPr>
      </w:pPr>
    </w:p>
    <w:p w:rsidR="008A3E8D" w:rsidRDefault="0004749E" w:rsidP="0072568C">
      <w:pPr>
        <w:outlineLvl w:val="0"/>
        <w:rPr>
          <w:szCs w:val="24"/>
        </w:rPr>
      </w:pPr>
      <w:r w:rsidRPr="00C574F7">
        <w:rPr>
          <w:b/>
          <w:szCs w:val="24"/>
        </w:rPr>
        <w:t>2. How, by whom, and for what purpose is the information used</w:t>
      </w:r>
      <w:r w:rsidRPr="00C574F7">
        <w:rPr>
          <w:szCs w:val="24"/>
        </w:rPr>
        <w:t>.</w:t>
      </w:r>
    </w:p>
    <w:p w:rsidR="00015FEA" w:rsidRPr="00C574F7" w:rsidRDefault="00015FEA" w:rsidP="00C574F7">
      <w:pPr>
        <w:rPr>
          <w:szCs w:val="24"/>
        </w:rPr>
      </w:pPr>
    </w:p>
    <w:p w:rsidR="00046D0B" w:rsidRPr="00C574F7" w:rsidRDefault="00EA1089" w:rsidP="00C574F7">
      <w:pPr>
        <w:rPr>
          <w:szCs w:val="24"/>
        </w:rPr>
      </w:pPr>
      <w:r w:rsidRPr="00C574F7">
        <w:rPr>
          <w:szCs w:val="24"/>
        </w:rPr>
        <w:t xml:space="preserve">The information on the Form MCSA-1 will be used by FMCSA to identify its regulated entities, to help prioritize the </w:t>
      </w:r>
      <w:r w:rsidR="00905EDB">
        <w:rPr>
          <w:szCs w:val="24"/>
        </w:rPr>
        <w:t>A</w:t>
      </w:r>
      <w:r w:rsidRPr="00C574F7">
        <w:rPr>
          <w:szCs w:val="24"/>
        </w:rPr>
        <w:t>gency’s activities, to aid in assessing the safety outcomes of those activities and for statistical purposes.</w:t>
      </w:r>
      <w:r w:rsidR="005C5240">
        <w:rPr>
          <w:szCs w:val="24"/>
        </w:rPr>
        <w:t xml:space="preserve"> </w:t>
      </w:r>
      <w:r w:rsidR="0053462D">
        <w:rPr>
          <w:szCs w:val="24"/>
        </w:rPr>
        <w:t xml:space="preserve"> </w:t>
      </w:r>
      <w:r w:rsidR="00E67BF8">
        <w:rPr>
          <w:szCs w:val="24"/>
        </w:rPr>
        <w:t xml:space="preserve">The </w:t>
      </w:r>
      <w:r w:rsidR="00046D0B" w:rsidRPr="00C574F7">
        <w:rPr>
          <w:szCs w:val="24"/>
        </w:rPr>
        <w:t>FMCSA will collect t</w:t>
      </w:r>
      <w:r w:rsidR="00015FEA" w:rsidRPr="00C574F7">
        <w:rPr>
          <w:szCs w:val="24"/>
        </w:rPr>
        <w:t xml:space="preserve">he information </w:t>
      </w:r>
      <w:r w:rsidR="00AF140C">
        <w:rPr>
          <w:szCs w:val="24"/>
        </w:rPr>
        <w:t xml:space="preserve">electronically </w:t>
      </w:r>
      <w:r w:rsidR="00015FEA" w:rsidRPr="00C574F7">
        <w:rPr>
          <w:szCs w:val="24"/>
        </w:rPr>
        <w:t>through on-line forms</w:t>
      </w:r>
      <w:r w:rsidR="00046D0B" w:rsidRPr="00C574F7">
        <w:rPr>
          <w:szCs w:val="24"/>
        </w:rPr>
        <w:t>.</w:t>
      </w:r>
      <w:r w:rsidR="005C5240">
        <w:rPr>
          <w:szCs w:val="24"/>
        </w:rPr>
        <w:t xml:space="preserve"> </w:t>
      </w:r>
      <w:r w:rsidR="0053462D">
        <w:rPr>
          <w:szCs w:val="24"/>
        </w:rPr>
        <w:t xml:space="preserve"> </w:t>
      </w:r>
      <w:r w:rsidR="00046D0B" w:rsidRPr="00C574F7">
        <w:rPr>
          <w:szCs w:val="24"/>
        </w:rPr>
        <w:t>The information is currently being collected through a series of forms, which may be filed on</w:t>
      </w:r>
      <w:r w:rsidR="006D254C">
        <w:rPr>
          <w:szCs w:val="24"/>
        </w:rPr>
        <w:t>-</w:t>
      </w:r>
      <w:r w:rsidR="00046D0B" w:rsidRPr="00C574F7">
        <w:rPr>
          <w:szCs w:val="24"/>
        </w:rPr>
        <w:t>line or on paper.</w:t>
      </w:r>
      <w:r w:rsidR="0053462D">
        <w:rPr>
          <w:szCs w:val="24"/>
        </w:rPr>
        <w:t xml:space="preserve"> </w:t>
      </w:r>
      <w:r w:rsidR="005C5240">
        <w:rPr>
          <w:szCs w:val="24"/>
        </w:rPr>
        <w:t xml:space="preserve"> </w:t>
      </w:r>
      <w:r w:rsidRPr="00C574F7">
        <w:rPr>
          <w:szCs w:val="24"/>
        </w:rPr>
        <w:t xml:space="preserve">Every interstate motor carrier </w:t>
      </w:r>
      <w:r w:rsidR="00950A2E">
        <w:rPr>
          <w:szCs w:val="24"/>
        </w:rPr>
        <w:t xml:space="preserve">operating commercial motor vehicles (CMVs) </w:t>
      </w:r>
      <w:r w:rsidRPr="00C574F7">
        <w:rPr>
          <w:szCs w:val="24"/>
        </w:rPr>
        <w:t xml:space="preserve">is required to register with FMCSA to obtain a </w:t>
      </w:r>
      <w:r w:rsidR="00560EA7">
        <w:rPr>
          <w:szCs w:val="24"/>
        </w:rPr>
        <w:t>US</w:t>
      </w:r>
      <w:r w:rsidRPr="00C574F7">
        <w:rPr>
          <w:szCs w:val="24"/>
        </w:rPr>
        <w:t xml:space="preserve">DOT </w:t>
      </w:r>
      <w:r w:rsidR="00560EA7">
        <w:rPr>
          <w:szCs w:val="24"/>
        </w:rPr>
        <w:t>N</w:t>
      </w:r>
      <w:r w:rsidRPr="00C574F7">
        <w:rPr>
          <w:szCs w:val="24"/>
        </w:rPr>
        <w:t>umber.</w:t>
      </w:r>
      <w:r w:rsidR="005C5240">
        <w:rPr>
          <w:szCs w:val="24"/>
        </w:rPr>
        <w:t xml:space="preserve"> </w:t>
      </w:r>
      <w:r w:rsidR="0067050B">
        <w:rPr>
          <w:szCs w:val="24"/>
        </w:rPr>
        <w:t xml:space="preserve"> </w:t>
      </w:r>
      <w:r w:rsidR="00950A2E">
        <w:rPr>
          <w:szCs w:val="24"/>
        </w:rPr>
        <w:t>Most f</w:t>
      </w:r>
      <w:r w:rsidRPr="00C574F7">
        <w:rPr>
          <w:szCs w:val="24"/>
        </w:rPr>
        <w:t>or-hire carriers are also required to file a separate application for operating authority</w:t>
      </w:r>
      <w:r w:rsidR="00950A2E">
        <w:rPr>
          <w:szCs w:val="24"/>
        </w:rPr>
        <w:t xml:space="preserve"> under 49 U.S.C. 13901.</w:t>
      </w:r>
      <w:r w:rsidR="005C5240">
        <w:rPr>
          <w:szCs w:val="24"/>
        </w:rPr>
        <w:t xml:space="preserve"> </w:t>
      </w:r>
      <w:r w:rsidR="0053462D">
        <w:rPr>
          <w:szCs w:val="24"/>
        </w:rPr>
        <w:t xml:space="preserve"> </w:t>
      </w:r>
      <w:r w:rsidR="00950A2E">
        <w:rPr>
          <w:szCs w:val="24"/>
        </w:rPr>
        <w:t>Mexico</w:t>
      </w:r>
      <w:r w:rsidR="009D63AC">
        <w:rPr>
          <w:szCs w:val="24"/>
        </w:rPr>
        <w:t>-</w:t>
      </w:r>
      <w:r w:rsidR="00950A2E">
        <w:rPr>
          <w:szCs w:val="24"/>
        </w:rPr>
        <w:t xml:space="preserve"> and Non-North America-domiciled </w:t>
      </w:r>
      <w:r w:rsidRPr="00C574F7">
        <w:rPr>
          <w:szCs w:val="24"/>
        </w:rPr>
        <w:t>motor carriers file a separate registration form.</w:t>
      </w:r>
      <w:r w:rsidR="005C5240">
        <w:rPr>
          <w:szCs w:val="24"/>
        </w:rPr>
        <w:t xml:space="preserve"> </w:t>
      </w:r>
      <w:r w:rsidR="0053462D">
        <w:rPr>
          <w:szCs w:val="24"/>
        </w:rPr>
        <w:t xml:space="preserve"> </w:t>
      </w:r>
      <w:r w:rsidRPr="00C574F7">
        <w:rPr>
          <w:szCs w:val="24"/>
        </w:rPr>
        <w:t>The information collection will replace these three collections and create a single on-line form.</w:t>
      </w:r>
      <w:r w:rsidR="005C5240">
        <w:rPr>
          <w:szCs w:val="24"/>
        </w:rPr>
        <w:t xml:space="preserve"> </w:t>
      </w:r>
      <w:r w:rsidR="0053462D">
        <w:rPr>
          <w:szCs w:val="24"/>
        </w:rPr>
        <w:t xml:space="preserve"> </w:t>
      </w:r>
      <w:r w:rsidR="00046D0B" w:rsidRPr="00C574F7">
        <w:rPr>
          <w:szCs w:val="24"/>
        </w:rPr>
        <w:t>This rule will streamline the collection and eliminate the need for motor carriers to file the same information on multiple forms.</w:t>
      </w:r>
    </w:p>
    <w:p w:rsidR="00046D0B" w:rsidRPr="00C574F7" w:rsidRDefault="00046D0B" w:rsidP="00C574F7">
      <w:pPr>
        <w:rPr>
          <w:szCs w:val="24"/>
        </w:rPr>
      </w:pPr>
    </w:p>
    <w:p w:rsidR="00015FEA" w:rsidRPr="00C574F7" w:rsidRDefault="00E67BF8" w:rsidP="00C574F7">
      <w:pPr>
        <w:rPr>
          <w:szCs w:val="24"/>
        </w:rPr>
      </w:pPr>
      <w:r>
        <w:rPr>
          <w:szCs w:val="24"/>
        </w:rPr>
        <w:t xml:space="preserve">The </w:t>
      </w:r>
      <w:r w:rsidR="00015FEA" w:rsidRPr="00C574F7">
        <w:rPr>
          <w:szCs w:val="24"/>
        </w:rPr>
        <w:t xml:space="preserve">FMCSA </w:t>
      </w:r>
      <w:r w:rsidR="00440508" w:rsidRPr="00C574F7">
        <w:rPr>
          <w:szCs w:val="24"/>
        </w:rPr>
        <w:t xml:space="preserve">and States use the registration information to </w:t>
      </w:r>
      <w:r w:rsidR="00015FEA" w:rsidRPr="00C574F7">
        <w:rPr>
          <w:szCs w:val="24"/>
        </w:rPr>
        <w:t>track motor carriers, freight forwarders</w:t>
      </w:r>
      <w:r w:rsidR="00440508" w:rsidRPr="00C574F7">
        <w:rPr>
          <w:szCs w:val="24"/>
        </w:rPr>
        <w:t>,</w:t>
      </w:r>
      <w:r w:rsidR="00015FEA" w:rsidRPr="00C574F7">
        <w:rPr>
          <w:szCs w:val="24"/>
        </w:rPr>
        <w:t xml:space="preserve"> brokers</w:t>
      </w:r>
      <w:r w:rsidR="009D63AC">
        <w:rPr>
          <w:szCs w:val="24"/>
        </w:rPr>
        <w:t xml:space="preserve"> and other entities </w:t>
      </w:r>
      <w:r w:rsidR="00A749C1">
        <w:rPr>
          <w:szCs w:val="24"/>
        </w:rPr>
        <w:t xml:space="preserve">they </w:t>
      </w:r>
      <w:r w:rsidR="009D63AC">
        <w:rPr>
          <w:szCs w:val="24"/>
        </w:rPr>
        <w:t>regulate</w:t>
      </w:r>
      <w:r w:rsidR="00015FEA" w:rsidRPr="00C574F7">
        <w:rPr>
          <w:szCs w:val="24"/>
        </w:rPr>
        <w:t>.</w:t>
      </w:r>
      <w:r w:rsidR="005C5240">
        <w:rPr>
          <w:szCs w:val="24"/>
        </w:rPr>
        <w:t xml:space="preserve"> </w:t>
      </w:r>
      <w:r w:rsidR="0053462D">
        <w:rPr>
          <w:szCs w:val="24"/>
        </w:rPr>
        <w:t xml:space="preserve"> </w:t>
      </w:r>
      <w:r w:rsidR="00EA1089" w:rsidRPr="00C574F7">
        <w:rPr>
          <w:szCs w:val="24"/>
        </w:rPr>
        <w:t>Registering motor carriers is essential to being able to identify carriers so that their safety performance can be tracked and evaluated.</w:t>
      </w:r>
      <w:r w:rsidR="0053462D">
        <w:rPr>
          <w:szCs w:val="24"/>
        </w:rPr>
        <w:t xml:space="preserve"> </w:t>
      </w:r>
      <w:r w:rsidR="005C5240">
        <w:rPr>
          <w:szCs w:val="24"/>
        </w:rPr>
        <w:t xml:space="preserve"> </w:t>
      </w:r>
      <w:r w:rsidR="00EA1089" w:rsidRPr="00C574F7">
        <w:rPr>
          <w:szCs w:val="24"/>
        </w:rPr>
        <w:t>The data make it possible to link individual trucks to the</w:t>
      </w:r>
      <w:r w:rsidR="009D63AC">
        <w:rPr>
          <w:szCs w:val="24"/>
        </w:rPr>
        <w:t xml:space="preserve"> responsible </w:t>
      </w:r>
      <w:r w:rsidR="00EA1089" w:rsidRPr="00C574F7">
        <w:rPr>
          <w:szCs w:val="24"/>
        </w:rPr>
        <w:t>motor carrier</w:t>
      </w:r>
      <w:r w:rsidR="00A749C1">
        <w:rPr>
          <w:szCs w:val="24"/>
        </w:rPr>
        <w:t>, thus implementing</w:t>
      </w:r>
      <w:r w:rsidR="0067050B">
        <w:rPr>
          <w:szCs w:val="24"/>
        </w:rPr>
        <w:t xml:space="preserve"> t</w:t>
      </w:r>
      <w:r w:rsidR="00015FEA" w:rsidRPr="00C574F7">
        <w:rPr>
          <w:szCs w:val="24"/>
        </w:rPr>
        <w:t xml:space="preserve">he mandate under </w:t>
      </w:r>
      <w:r w:rsidR="003C62D9">
        <w:rPr>
          <w:szCs w:val="24"/>
        </w:rPr>
        <w:t xml:space="preserve">49 U.S.C. </w:t>
      </w:r>
      <w:r w:rsidR="00015FEA" w:rsidRPr="00C574F7">
        <w:rPr>
          <w:szCs w:val="24"/>
        </w:rPr>
        <w:t>31136(a)(1)</w:t>
      </w:r>
      <w:r w:rsidR="007C0BB6">
        <w:rPr>
          <w:szCs w:val="24"/>
        </w:rPr>
        <w:t xml:space="preserve"> (see Attachment </w:t>
      </w:r>
      <w:r w:rsidR="00004FFD">
        <w:rPr>
          <w:szCs w:val="24"/>
        </w:rPr>
        <w:t>I</w:t>
      </w:r>
      <w:r w:rsidR="00015FEA" w:rsidRPr="00C574F7">
        <w:rPr>
          <w:szCs w:val="24"/>
        </w:rPr>
        <w:t>) that FMCSA’s regulations ensure that CMVs are maintained and operated safely.</w:t>
      </w:r>
    </w:p>
    <w:p w:rsidR="008E4E78" w:rsidRPr="00C574F7" w:rsidRDefault="008E4E78" w:rsidP="00C574F7">
      <w:pPr>
        <w:rPr>
          <w:szCs w:val="24"/>
        </w:rPr>
      </w:pPr>
    </w:p>
    <w:p w:rsidR="008A3E8D" w:rsidRDefault="0004749E" w:rsidP="0072568C">
      <w:pPr>
        <w:outlineLvl w:val="0"/>
        <w:rPr>
          <w:szCs w:val="24"/>
        </w:rPr>
      </w:pPr>
      <w:r w:rsidRPr="00C574F7">
        <w:rPr>
          <w:b/>
          <w:szCs w:val="24"/>
        </w:rPr>
        <w:t>3. Extent of automated information collection</w:t>
      </w:r>
      <w:r w:rsidRPr="00C574F7">
        <w:rPr>
          <w:szCs w:val="24"/>
        </w:rPr>
        <w:t>.</w:t>
      </w:r>
    </w:p>
    <w:p w:rsidR="00C574F7" w:rsidRDefault="00C574F7" w:rsidP="00C574F7">
      <w:pPr>
        <w:rPr>
          <w:szCs w:val="24"/>
        </w:rPr>
      </w:pPr>
    </w:p>
    <w:p w:rsidR="0004749E" w:rsidRPr="00C574F7" w:rsidRDefault="00C574F7" w:rsidP="00C574F7">
      <w:pPr>
        <w:rPr>
          <w:szCs w:val="24"/>
        </w:rPr>
      </w:pPr>
      <w:r w:rsidRPr="00C574F7">
        <w:rPr>
          <w:szCs w:val="24"/>
        </w:rPr>
        <w:t xml:space="preserve">In response to the Government Paperwork Elimination Act (enacted on October 21, 1998, as title XVII of Public Law 105-277, 112 Stat. 2681) (see Attachment </w:t>
      </w:r>
      <w:r w:rsidR="00004FFD">
        <w:rPr>
          <w:szCs w:val="24"/>
        </w:rPr>
        <w:t>J</w:t>
      </w:r>
      <w:r w:rsidRPr="00C574F7">
        <w:rPr>
          <w:szCs w:val="24"/>
        </w:rPr>
        <w:t>), FMCSA</w:t>
      </w:r>
      <w:r w:rsidR="009D4F72" w:rsidRPr="00C574F7">
        <w:rPr>
          <w:szCs w:val="24"/>
        </w:rPr>
        <w:t xml:space="preserve"> </w:t>
      </w:r>
      <w:r w:rsidRPr="00C574F7">
        <w:rPr>
          <w:szCs w:val="24"/>
        </w:rPr>
        <w:t>will require that motor carriers file their registration information on line.</w:t>
      </w:r>
      <w:r w:rsidR="0053462D">
        <w:rPr>
          <w:szCs w:val="24"/>
        </w:rPr>
        <w:t xml:space="preserve"> </w:t>
      </w:r>
      <w:r w:rsidR="005C5240">
        <w:rPr>
          <w:szCs w:val="24"/>
        </w:rPr>
        <w:t xml:space="preserve"> </w:t>
      </w:r>
      <w:r w:rsidRPr="00C574F7">
        <w:rPr>
          <w:szCs w:val="24"/>
        </w:rPr>
        <w:t xml:space="preserve">Therefore, 100 percent of the </w:t>
      </w:r>
      <w:r w:rsidR="009D63AC">
        <w:rPr>
          <w:szCs w:val="24"/>
        </w:rPr>
        <w:t xml:space="preserve">registration </w:t>
      </w:r>
      <w:r w:rsidRPr="00C574F7">
        <w:rPr>
          <w:szCs w:val="24"/>
        </w:rPr>
        <w:t>forms will be filed electronically.</w:t>
      </w:r>
    </w:p>
    <w:p w:rsidR="0004749E" w:rsidRPr="00C574F7" w:rsidRDefault="0004749E" w:rsidP="00C574F7">
      <w:pPr>
        <w:rPr>
          <w:szCs w:val="24"/>
        </w:rPr>
      </w:pPr>
    </w:p>
    <w:p w:rsidR="008A3E8D" w:rsidRDefault="0004749E" w:rsidP="0072568C">
      <w:pPr>
        <w:outlineLvl w:val="0"/>
        <w:rPr>
          <w:szCs w:val="24"/>
        </w:rPr>
      </w:pPr>
      <w:r w:rsidRPr="00C574F7">
        <w:rPr>
          <w:b/>
          <w:szCs w:val="24"/>
        </w:rPr>
        <w:t>4. Efforts to identify duplication.</w:t>
      </w:r>
    </w:p>
    <w:p w:rsidR="00C574F7" w:rsidRDefault="00C574F7" w:rsidP="00C574F7">
      <w:pPr>
        <w:rPr>
          <w:szCs w:val="24"/>
        </w:rPr>
      </w:pPr>
    </w:p>
    <w:p w:rsidR="008E4E78" w:rsidRPr="00C574F7" w:rsidRDefault="00CC377F" w:rsidP="00C574F7">
      <w:pPr>
        <w:rPr>
          <w:szCs w:val="24"/>
        </w:rPr>
      </w:pPr>
      <w:r>
        <w:rPr>
          <w:szCs w:val="24"/>
        </w:rPr>
        <w:t xml:space="preserve">Federal rules promulgated by the Pipeline and Hazardous Materials Safety Administration (PHMSA) may duplicate the URS provisions to some extent as they relate to </w:t>
      </w:r>
      <w:r w:rsidR="00F17002">
        <w:rPr>
          <w:szCs w:val="24"/>
        </w:rPr>
        <w:t>hazmat</w:t>
      </w:r>
      <w:r>
        <w:rPr>
          <w:szCs w:val="24"/>
        </w:rPr>
        <w:t xml:space="preserve"> motor carriers required to register </w:t>
      </w:r>
      <w:r w:rsidR="00191C79">
        <w:rPr>
          <w:szCs w:val="24"/>
        </w:rPr>
        <w:t xml:space="preserve">under </w:t>
      </w:r>
      <w:r>
        <w:rPr>
          <w:szCs w:val="24"/>
        </w:rPr>
        <w:t xml:space="preserve">PHMSA’s Hazardous Material Registration System. </w:t>
      </w:r>
      <w:r w:rsidR="0053462D">
        <w:rPr>
          <w:szCs w:val="24"/>
        </w:rPr>
        <w:t xml:space="preserve"> </w:t>
      </w:r>
      <w:r w:rsidR="00865945">
        <w:rPr>
          <w:szCs w:val="24"/>
        </w:rPr>
        <w:t>However, o</w:t>
      </w:r>
      <w:r w:rsidR="00F17002">
        <w:rPr>
          <w:szCs w:val="24"/>
        </w:rPr>
        <w:t xml:space="preserve">ther than the basic identification information - company name and address and DOT numbers - the information filed for PHMSA and FMCSA does not overlap. </w:t>
      </w:r>
      <w:r w:rsidR="0053462D">
        <w:rPr>
          <w:szCs w:val="24"/>
        </w:rPr>
        <w:t xml:space="preserve"> </w:t>
      </w:r>
      <w:r>
        <w:rPr>
          <w:szCs w:val="24"/>
        </w:rPr>
        <w:t>The PHMSA Hazardous Material Registration System cannot be combined with URS</w:t>
      </w:r>
      <w:r w:rsidR="00F17002">
        <w:rPr>
          <w:szCs w:val="24"/>
        </w:rPr>
        <w:t xml:space="preserve">.  </w:t>
      </w:r>
      <w:r w:rsidR="00865945">
        <w:rPr>
          <w:szCs w:val="24"/>
        </w:rPr>
        <w:t>E</w:t>
      </w:r>
      <w:r w:rsidR="00F17002">
        <w:rPr>
          <w:szCs w:val="24"/>
        </w:rPr>
        <w:t xml:space="preserve">ach system covers many companies that are not subject to the other </w:t>
      </w:r>
      <w:r>
        <w:rPr>
          <w:szCs w:val="24"/>
        </w:rPr>
        <w:t>(i.e., airlines, ship lines, and railroads</w:t>
      </w:r>
      <w:r w:rsidR="00F17002">
        <w:rPr>
          <w:szCs w:val="24"/>
        </w:rPr>
        <w:t xml:space="preserve"> for PHMSA</w:t>
      </w:r>
      <w:r>
        <w:rPr>
          <w:szCs w:val="24"/>
        </w:rPr>
        <w:t>)</w:t>
      </w:r>
      <w:r w:rsidR="00F17002">
        <w:rPr>
          <w:szCs w:val="24"/>
        </w:rPr>
        <w:t>, and non-hazmat carriers, brokers, etc. for URS</w:t>
      </w:r>
      <w:r>
        <w:rPr>
          <w:szCs w:val="24"/>
        </w:rPr>
        <w:t>.</w:t>
      </w:r>
      <w:r w:rsidR="00F17002">
        <w:rPr>
          <w:szCs w:val="24"/>
        </w:rPr>
        <w:t xml:space="preserve">  </w:t>
      </w:r>
      <w:r w:rsidR="00865945">
        <w:rPr>
          <w:szCs w:val="24"/>
        </w:rPr>
        <w:t xml:space="preserve">Even the hazmat information collected is different, </w:t>
      </w:r>
      <w:r w:rsidR="00687412">
        <w:rPr>
          <w:szCs w:val="24"/>
        </w:rPr>
        <w:t xml:space="preserve">as </w:t>
      </w:r>
      <w:r w:rsidR="00865945">
        <w:rPr>
          <w:szCs w:val="24"/>
        </w:rPr>
        <w:t xml:space="preserve">the PHMSA system </w:t>
      </w:r>
      <w:r w:rsidR="00687412">
        <w:rPr>
          <w:szCs w:val="24"/>
        </w:rPr>
        <w:t xml:space="preserve">is </w:t>
      </w:r>
      <w:r w:rsidR="00865945">
        <w:rPr>
          <w:szCs w:val="24"/>
        </w:rPr>
        <w:t xml:space="preserve">aggregating data at a higher level than FMCSA. The two collections </w:t>
      </w:r>
      <w:r w:rsidR="00687412">
        <w:rPr>
          <w:szCs w:val="24"/>
        </w:rPr>
        <w:t xml:space="preserve">also </w:t>
      </w:r>
      <w:r w:rsidR="00865945">
        <w:rPr>
          <w:szCs w:val="24"/>
        </w:rPr>
        <w:t xml:space="preserve">serve different purposes. </w:t>
      </w:r>
      <w:r w:rsidR="0053462D">
        <w:rPr>
          <w:szCs w:val="24"/>
        </w:rPr>
        <w:t xml:space="preserve"> </w:t>
      </w:r>
      <w:r w:rsidR="00865945">
        <w:rPr>
          <w:szCs w:val="24"/>
        </w:rPr>
        <w:t>The PHMSA collection is mainly to determine whether the carriers are small entities and, therefore, subject to lower fees.</w:t>
      </w:r>
      <w:r w:rsidR="0053462D">
        <w:rPr>
          <w:szCs w:val="24"/>
        </w:rPr>
        <w:t xml:space="preserve"> </w:t>
      </w:r>
      <w:r w:rsidR="00865945">
        <w:rPr>
          <w:szCs w:val="24"/>
        </w:rPr>
        <w:t xml:space="preserve"> The FMCSA collection serve</w:t>
      </w:r>
      <w:r w:rsidR="00687412">
        <w:rPr>
          <w:szCs w:val="24"/>
        </w:rPr>
        <w:t>s</w:t>
      </w:r>
      <w:r w:rsidR="00865945">
        <w:rPr>
          <w:szCs w:val="24"/>
        </w:rPr>
        <w:t xml:space="preserve"> the multiple purposes discussed above that require more detailed data.</w:t>
      </w:r>
      <w:r w:rsidR="0053462D">
        <w:rPr>
          <w:szCs w:val="24"/>
        </w:rPr>
        <w:t xml:space="preserve"> </w:t>
      </w:r>
      <w:r w:rsidR="005C5240">
        <w:rPr>
          <w:szCs w:val="24"/>
        </w:rPr>
        <w:t xml:space="preserve"> </w:t>
      </w:r>
      <w:r w:rsidR="00C574F7" w:rsidRPr="00C574F7">
        <w:rPr>
          <w:szCs w:val="24"/>
        </w:rPr>
        <w:t xml:space="preserve">There are no </w:t>
      </w:r>
      <w:r w:rsidR="00865945">
        <w:rPr>
          <w:szCs w:val="24"/>
        </w:rPr>
        <w:t xml:space="preserve">other </w:t>
      </w:r>
      <w:r w:rsidR="00C574F7" w:rsidRPr="00C574F7">
        <w:rPr>
          <w:szCs w:val="24"/>
        </w:rPr>
        <w:t>similar filings made with any other Federal agency which would result in duplication of this information.</w:t>
      </w:r>
    </w:p>
    <w:p w:rsidR="008E4E78" w:rsidRPr="00C574F7" w:rsidRDefault="008E4E78" w:rsidP="00C574F7">
      <w:pPr>
        <w:rPr>
          <w:szCs w:val="24"/>
        </w:rPr>
      </w:pPr>
    </w:p>
    <w:p w:rsidR="0084331D" w:rsidRDefault="0084331D" w:rsidP="0072568C">
      <w:pPr>
        <w:outlineLvl w:val="0"/>
        <w:rPr>
          <w:b/>
          <w:szCs w:val="24"/>
        </w:rPr>
      </w:pPr>
    </w:p>
    <w:p w:rsidR="008A3E8D" w:rsidRDefault="0004749E" w:rsidP="0072568C">
      <w:pPr>
        <w:outlineLvl w:val="0"/>
        <w:rPr>
          <w:szCs w:val="24"/>
        </w:rPr>
      </w:pPr>
      <w:r w:rsidRPr="00C574F7">
        <w:rPr>
          <w:b/>
          <w:szCs w:val="24"/>
        </w:rPr>
        <w:lastRenderedPageBreak/>
        <w:t>5. Efforts to minimize the burden on small businesses</w:t>
      </w:r>
      <w:r w:rsidRPr="00C574F7">
        <w:rPr>
          <w:szCs w:val="24"/>
        </w:rPr>
        <w:t>.</w:t>
      </w:r>
    </w:p>
    <w:p w:rsidR="00C574F7" w:rsidRDefault="00C574F7" w:rsidP="00C574F7">
      <w:pPr>
        <w:rPr>
          <w:szCs w:val="24"/>
        </w:rPr>
      </w:pPr>
    </w:p>
    <w:p w:rsidR="0004749E" w:rsidRPr="00C574F7" w:rsidRDefault="00C574F7" w:rsidP="00C574F7">
      <w:pPr>
        <w:rPr>
          <w:szCs w:val="24"/>
        </w:rPr>
      </w:pPr>
      <w:r>
        <w:rPr>
          <w:szCs w:val="24"/>
        </w:rPr>
        <w:t xml:space="preserve">This </w:t>
      </w:r>
      <w:r w:rsidR="006D254C">
        <w:rPr>
          <w:szCs w:val="24"/>
        </w:rPr>
        <w:t>F</w:t>
      </w:r>
      <w:r w:rsidR="00004FFD">
        <w:rPr>
          <w:szCs w:val="24"/>
        </w:rPr>
        <w:t xml:space="preserve">inal </w:t>
      </w:r>
      <w:r w:rsidR="006D254C">
        <w:rPr>
          <w:szCs w:val="24"/>
        </w:rPr>
        <w:t>R</w:t>
      </w:r>
      <w:r>
        <w:rPr>
          <w:szCs w:val="24"/>
        </w:rPr>
        <w:t>ule reduce</w:t>
      </w:r>
      <w:r w:rsidR="00004FFD">
        <w:rPr>
          <w:szCs w:val="24"/>
        </w:rPr>
        <w:t>s</w:t>
      </w:r>
      <w:r>
        <w:rPr>
          <w:szCs w:val="24"/>
        </w:rPr>
        <w:t xml:space="preserve"> the burden on small businesses </w:t>
      </w:r>
      <w:r w:rsidR="00FA60A6">
        <w:rPr>
          <w:szCs w:val="24"/>
        </w:rPr>
        <w:t xml:space="preserve">that are subject to both FMCSA commercial and safety jurisdiction </w:t>
      </w:r>
      <w:r>
        <w:rPr>
          <w:szCs w:val="24"/>
        </w:rPr>
        <w:t xml:space="preserve">by eliminating the filing of multiple forms </w:t>
      </w:r>
      <w:r w:rsidR="00DA0D39">
        <w:rPr>
          <w:szCs w:val="24"/>
        </w:rPr>
        <w:t xml:space="preserve">requesting </w:t>
      </w:r>
      <w:r>
        <w:rPr>
          <w:szCs w:val="24"/>
        </w:rPr>
        <w:t xml:space="preserve">some of the </w:t>
      </w:r>
      <w:r w:rsidR="00DA0D39">
        <w:rPr>
          <w:szCs w:val="24"/>
        </w:rPr>
        <w:t xml:space="preserve">same </w:t>
      </w:r>
      <w:r>
        <w:rPr>
          <w:szCs w:val="24"/>
        </w:rPr>
        <w:t>information.</w:t>
      </w:r>
      <w:r w:rsidR="005C5240">
        <w:rPr>
          <w:szCs w:val="24"/>
        </w:rPr>
        <w:t xml:space="preserve"> </w:t>
      </w:r>
      <w:r w:rsidR="0053462D">
        <w:rPr>
          <w:szCs w:val="24"/>
        </w:rPr>
        <w:t xml:space="preserve"> </w:t>
      </w:r>
      <w:r>
        <w:rPr>
          <w:szCs w:val="24"/>
        </w:rPr>
        <w:t>On</w:t>
      </w:r>
      <w:r w:rsidR="003C62D9">
        <w:rPr>
          <w:szCs w:val="24"/>
        </w:rPr>
        <w:t>-</w:t>
      </w:r>
      <w:r>
        <w:rPr>
          <w:szCs w:val="24"/>
        </w:rPr>
        <w:t xml:space="preserve">line filing will also limit the cost of submission and speed the process of obtaining </w:t>
      </w:r>
      <w:r w:rsidR="009D63AC">
        <w:rPr>
          <w:szCs w:val="24"/>
        </w:rPr>
        <w:t>USDOT N</w:t>
      </w:r>
      <w:r>
        <w:rPr>
          <w:szCs w:val="24"/>
        </w:rPr>
        <w:t>umbers needed to begin operating.</w:t>
      </w:r>
    </w:p>
    <w:p w:rsidR="008E4E78" w:rsidRPr="00C574F7" w:rsidRDefault="008E4E78" w:rsidP="00C574F7">
      <w:pPr>
        <w:rPr>
          <w:szCs w:val="24"/>
        </w:rPr>
      </w:pPr>
    </w:p>
    <w:p w:rsidR="008A3E8D" w:rsidRDefault="0004749E" w:rsidP="0072568C">
      <w:pPr>
        <w:outlineLvl w:val="0"/>
        <w:rPr>
          <w:szCs w:val="24"/>
        </w:rPr>
      </w:pPr>
      <w:r w:rsidRPr="00C574F7">
        <w:rPr>
          <w:b/>
          <w:szCs w:val="24"/>
        </w:rPr>
        <w:t>6. Impact of less frequent collection of information.</w:t>
      </w:r>
    </w:p>
    <w:p w:rsidR="008A5BC6" w:rsidRDefault="008A5BC6" w:rsidP="00C574F7">
      <w:pPr>
        <w:rPr>
          <w:szCs w:val="24"/>
        </w:rPr>
      </w:pPr>
    </w:p>
    <w:p w:rsidR="0004749E" w:rsidRPr="00C574F7" w:rsidRDefault="00C574F7" w:rsidP="00C574F7">
      <w:pPr>
        <w:rPr>
          <w:szCs w:val="24"/>
        </w:rPr>
      </w:pPr>
      <w:r>
        <w:t>Most of the</w:t>
      </w:r>
      <w:r w:rsidRPr="00C574F7">
        <w:t xml:space="preserve"> information on the </w:t>
      </w:r>
      <w:r w:rsidR="003C62D9">
        <w:t xml:space="preserve">Form </w:t>
      </w:r>
      <w:r w:rsidRPr="00C574F7">
        <w:t>MCS</w:t>
      </w:r>
      <w:r>
        <w:t>A</w:t>
      </w:r>
      <w:r w:rsidRPr="00C574F7">
        <w:t xml:space="preserve">-1 </w:t>
      </w:r>
      <w:r w:rsidR="00004FFD">
        <w:t>will</w:t>
      </w:r>
      <w:r w:rsidR="00004FFD" w:rsidRPr="00C574F7">
        <w:t xml:space="preserve"> </w:t>
      </w:r>
      <w:r w:rsidRPr="00C574F7">
        <w:t xml:space="preserve">be collected </w:t>
      </w:r>
      <w:r w:rsidR="00E37884">
        <w:t>only at initial registration</w:t>
      </w:r>
      <w:r w:rsidRPr="00C574F7">
        <w:t>.</w:t>
      </w:r>
      <w:r w:rsidR="005C5240">
        <w:t xml:space="preserve"> </w:t>
      </w:r>
      <w:r w:rsidR="00E37884">
        <w:t>Motor carriers are required to update the information biennially.</w:t>
      </w:r>
      <w:r w:rsidR="005C5240">
        <w:t xml:space="preserve"> </w:t>
      </w:r>
      <w:r w:rsidR="0053462D">
        <w:t xml:space="preserve"> </w:t>
      </w:r>
      <w:r w:rsidR="00E67BF8">
        <w:t xml:space="preserve">The </w:t>
      </w:r>
      <w:r w:rsidRPr="00C574F7">
        <w:t xml:space="preserve">FMCSA believes that a longer update cycle simply will not provide the </w:t>
      </w:r>
      <w:r w:rsidR="00905EDB">
        <w:t>A</w:t>
      </w:r>
      <w:r w:rsidRPr="00C574F7">
        <w:t>gency with the basic data it needs to perform its safety mission efficiently or effectively.</w:t>
      </w:r>
    </w:p>
    <w:p w:rsidR="0004156F" w:rsidRDefault="0004156F" w:rsidP="0072568C">
      <w:pPr>
        <w:outlineLvl w:val="0"/>
        <w:rPr>
          <w:b/>
          <w:szCs w:val="24"/>
        </w:rPr>
      </w:pPr>
    </w:p>
    <w:p w:rsidR="008A3E8D" w:rsidRDefault="009D4F72" w:rsidP="0072568C">
      <w:pPr>
        <w:outlineLvl w:val="0"/>
        <w:rPr>
          <w:szCs w:val="24"/>
        </w:rPr>
      </w:pPr>
      <w:r w:rsidRPr="00E37884">
        <w:rPr>
          <w:b/>
          <w:szCs w:val="24"/>
        </w:rPr>
        <w:t>7</w:t>
      </w:r>
      <w:r w:rsidR="0004749E" w:rsidRPr="00E37884">
        <w:rPr>
          <w:b/>
          <w:szCs w:val="24"/>
        </w:rPr>
        <w:t>. Special circumstances</w:t>
      </w:r>
      <w:r w:rsidR="0004749E" w:rsidRPr="00C574F7">
        <w:rPr>
          <w:szCs w:val="24"/>
        </w:rPr>
        <w:t>.</w:t>
      </w:r>
    </w:p>
    <w:p w:rsidR="008A5BC6" w:rsidRDefault="008A5BC6" w:rsidP="00C574F7">
      <w:pPr>
        <w:rPr>
          <w:szCs w:val="24"/>
        </w:rPr>
      </w:pPr>
    </w:p>
    <w:p w:rsidR="008A3E8D" w:rsidRDefault="00E37884" w:rsidP="0072568C">
      <w:pPr>
        <w:outlineLvl w:val="0"/>
        <w:rPr>
          <w:szCs w:val="24"/>
        </w:rPr>
      </w:pPr>
      <w:r>
        <w:rPr>
          <w:szCs w:val="24"/>
        </w:rPr>
        <w:t>No special circumstances apply to this information collection.</w:t>
      </w:r>
    </w:p>
    <w:p w:rsidR="00E37884" w:rsidRDefault="00E37884" w:rsidP="00C574F7">
      <w:pPr>
        <w:rPr>
          <w:szCs w:val="24"/>
        </w:rPr>
      </w:pPr>
    </w:p>
    <w:p w:rsidR="008A3E8D" w:rsidRDefault="0004749E" w:rsidP="0072568C">
      <w:pPr>
        <w:outlineLvl w:val="0"/>
        <w:rPr>
          <w:szCs w:val="24"/>
        </w:rPr>
      </w:pPr>
      <w:r w:rsidRPr="00E37884">
        <w:rPr>
          <w:b/>
          <w:szCs w:val="24"/>
        </w:rPr>
        <w:t>8. Compliance with 5 CFR 1320.8</w:t>
      </w:r>
      <w:r w:rsidR="00E37884">
        <w:rPr>
          <w:szCs w:val="24"/>
        </w:rPr>
        <w:t>.</w:t>
      </w:r>
    </w:p>
    <w:p w:rsidR="00E37884" w:rsidRDefault="00E37884" w:rsidP="00C574F7">
      <w:pPr>
        <w:rPr>
          <w:szCs w:val="24"/>
        </w:rPr>
      </w:pPr>
    </w:p>
    <w:p w:rsidR="00E37884" w:rsidRDefault="00E37884" w:rsidP="00C574F7">
      <w:pPr>
        <w:rPr>
          <w:szCs w:val="24"/>
        </w:rPr>
      </w:pPr>
      <w:r>
        <w:rPr>
          <w:szCs w:val="24"/>
        </w:rPr>
        <w:t xml:space="preserve">On May 19, 2005, FMCSA published a notice of proposed rulemaking (NPRM) for the </w:t>
      </w:r>
      <w:r w:rsidR="003C62D9">
        <w:rPr>
          <w:szCs w:val="24"/>
        </w:rPr>
        <w:t>U</w:t>
      </w:r>
      <w:r>
        <w:rPr>
          <w:szCs w:val="24"/>
        </w:rPr>
        <w:t xml:space="preserve">nified </w:t>
      </w:r>
      <w:r w:rsidR="003C62D9">
        <w:rPr>
          <w:szCs w:val="24"/>
        </w:rPr>
        <w:t>R</w:t>
      </w:r>
      <w:r>
        <w:rPr>
          <w:szCs w:val="24"/>
        </w:rPr>
        <w:t xml:space="preserve">egistration </w:t>
      </w:r>
      <w:r w:rsidR="003C62D9">
        <w:rPr>
          <w:szCs w:val="24"/>
        </w:rPr>
        <w:t>S</w:t>
      </w:r>
      <w:r>
        <w:rPr>
          <w:szCs w:val="24"/>
        </w:rPr>
        <w:t>ystem (70 FR 28990)</w:t>
      </w:r>
      <w:r w:rsidR="007C0BB6">
        <w:rPr>
          <w:szCs w:val="24"/>
        </w:rPr>
        <w:t xml:space="preserve"> (see Attachment </w:t>
      </w:r>
      <w:r w:rsidR="00004FFD">
        <w:rPr>
          <w:szCs w:val="24"/>
        </w:rPr>
        <w:t>K</w:t>
      </w:r>
      <w:r w:rsidR="007C0BB6">
        <w:rPr>
          <w:szCs w:val="24"/>
        </w:rPr>
        <w:t>)</w:t>
      </w:r>
      <w:r>
        <w:rPr>
          <w:szCs w:val="24"/>
        </w:rPr>
        <w:t>.</w:t>
      </w:r>
      <w:r w:rsidR="005C5240">
        <w:rPr>
          <w:szCs w:val="24"/>
        </w:rPr>
        <w:t xml:space="preserve"> </w:t>
      </w:r>
      <w:r w:rsidR="0053462D">
        <w:rPr>
          <w:szCs w:val="24"/>
        </w:rPr>
        <w:t xml:space="preserve"> </w:t>
      </w:r>
      <w:r w:rsidR="00E67BF8">
        <w:rPr>
          <w:szCs w:val="24"/>
        </w:rPr>
        <w:t xml:space="preserve">The </w:t>
      </w:r>
      <w:r>
        <w:rPr>
          <w:szCs w:val="24"/>
        </w:rPr>
        <w:t>FMCSA received comments from 58 entities, most of which supported a unified system.</w:t>
      </w:r>
      <w:r w:rsidR="005C5240">
        <w:rPr>
          <w:szCs w:val="24"/>
        </w:rPr>
        <w:t xml:space="preserve"> </w:t>
      </w:r>
      <w:r w:rsidR="0053462D">
        <w:rPr>
          <w:szCs w:val="24"/>
        </w:rPr>
        <w:t xml:space="preserve"> </w:t>
      </w:r>
      <w:r>
        <w:rPr>
          <w:szCs w:val="24"/>
        </w:rPr>
        <w:t>Based on the comments</w:t>
      </w:r>
      <w:r w:rsidR="0073389B">
        <w:rPr>
          <w:szCs w:val="24"/>
        </w:rPr>
        <w:t xml:space="preserve"> and statutory changes made by SAFETEA-LU</w:t>
      </w:r>
      <w:r>
        <w:rPr>
          <w:szCs w:val="24"/>
        </w:rPr>
        <w:t>, FMCSA publish</w:t>
      </w:r>
      <w:r w:rsidR="004A7801">
        <w:rPr>
          <w:szCs w:val="24"/>
        </w:rPr>
        <w:t>ed</w:t>
      </w:r>
      <w:r>
        <w:rPr>
          <w:szCs w:val="24"/>
        </w:rPr>
        <w:t xml:space="preserve"> a </w:t>
      </w:r>
      <w:r w:rsidR="003C62D9">
        <w:rPr>
          <w:szCs w:val="24"/>
        </w:rPr>
        <w:t xml:space="preserve">supplemental notice of proposed rulemaking </w:t>
      </w:r>
      <w:r>
        <w:rPr>
          <w:szCs w:val="24"/>
        </w:rPr>
        <w:t xml:space="preserve">(SNPRM) </w:t>
      </w:r>
      <w:r w:rsidR="00191C79">
        <w:rPr>
          <w:szCs w:val="24"/>
        </w:rPr>
        <w:t xml:space="preserve">on October 26, 2011, </w:t>
      </w:r>
      <w:r w:rsidR="004A7801">
        <w:rPr>
          <w:szCs w:val="24"/>
        </w:rPr>
        <w:t>that</w:t>
      </w:r>
      <w:r>
        <w:rPr>
          <w:szCs w:val="24"/>
        </w:rPr>
        <w:t xml:space="preserve"> propose</w:t>
      </w:r>
      <w:r w:rsidR="004A7801">
        <w:rPr>
          <w:szCs w:val="24"/>
        </w:rPr>
        <w:t>d</w:t>
      </w:r>
      <w:r>
        <w:rPr>
          <w:szCs w:val="24"/>
        </w:rPr>
        <w:t xml:space="preserve"> additional changes</w:t>
      </w:r>
      <w:r w:rsidR="003C62D9">
        <w:rPr>
          <w:szCs w:val="24"/>
        </w:rPr>
        <w:t xml:space="preserve"> to this initiative</w:t>
      </w:r>
      <w:r w:rsidR="00615364">
        <w:rPr>
          <w:szCs w:val="24"/>
        </w:rPr>
        <w:t xml:space="preserve"> (Attachment B)</w:t>
      </w:r>
      <w:r w:rsidR="00191C79" w:rsidRPr="00191C79">
        <w:rPr>
          <w:szCs w:val="24"/>
        </w:rPr>
        <w:t xml:space="preserve"> </w:t>
      </w:r>
      <w:r w:rsidR="00191C79">
        <w:rPr>
          <w:szCs w:val="24"/>
        </w:rPr>
        <w:t>(</w:t>
      </w:r>
      <w:r w:rsidR="00191C79" w:rsidRPr="00930B86">
        <w:rPr>
          <w:szCs w:val="24"/>
        </w:rPr>
        <w:t>75 FR 66506 - 66595)</w:t>
      </w:r>
      <w:r>
        <w:rPr>
          <w:szCs w:val="24"/>
        </w:rPr>
        <w:t>.</w:t>
      </w:r>
      <w:r w:rsidR="005C5240">
        <w:rPr>
          <w:szCs w:val="24"/>
        </w:rPr>
        <w:t xml:space="preserve"> </w:t>
      </w:r>
      <w:r w:rsidR="0053462D">
        <w:rPr>
          <w:szCs w:val="24"/>
        </w:rPr>
        <w:t xml:space="preserve"> </w:t>
      </w:r>
      <w:r w:rsidR="004A7801">
        <w:t xml:space="preserve">The FMCSA received comments from 9 entities on the SNPRM, supporting </w:t>
      </w:r>
      <w:r w:rsidR="00E450A9">
        <w:t>a unified system</w:t>
      </w:r>
      <w:r w:rsidR="004A7801">
        <w:t>.</w:t>
      </w:r>
    </w:p>
    <w:p w:rsidR="00E37884" w:rsidRDefault="00E37884" w:rsidP="00C574F7">
      <w:pPr>
        <w:rPr>
          <w:szCs w:val="24"/>
        </w:rPr>
      </w:pPr>
    </w:p>
    <w:p w:rsidR="005C5240" w:rsidRDefault="0004749E" w:rsidP="0072568C">
      <w:pPr>
        <w:outlineLvl w:val="0"/>
        <w:rPr>
          <w:szCs w:val="24"/>
        </w:rPr>
      </w:pPr>
      <w:r w:rsidRPr="00E37884">
        <w:rPr>
          <w:b/>
          <w:szCs w:val="24"/>
        </w:rPr>
        <w:t>9. Payments or gifts to respondents</w:t>
      </w:r>
      <w:r w:rsidRPr="00C574F7">
        <w:rPr>
          <w:szCs w:val="24"/>
        </w:rPr>
        <w:t>.</w:t>
      </w:r>
    </w:p>
    <w:p w:rsidR="008A3E8D" w:rsidRDefault="008A3E8D" w:rsidP="0072568C">
      <w:pPr>
        <w:outlineLvl w:val="0"/>
        <w:rPr>
          <w:szCs w:val="24"/>
        </w:rPr>
      </w:pPr>
    </w:p>
    <w:p w:rsidR="0004749E" w:rsidRPr="00C574F7" w:rsidRDefault="00E37884" w:rsidP="00C574F7">
      <w:pPr>
        <w:rPr>
          <w:szCs w:val="24"/>
        </w:rPr>
      </w:pPr>
      <w:r>
        <w:t>Respondents are not provided with any payment or gift for this information collection.</w:t>
      </w:r>
    </w:p>
    <w:p w:rsidR="0004749E" w:rsidRPr="00C574F7" w:rsidRDefault="0004749E" w:rsidP="00C574F7">
      <w:pPr>
        <w:rPr>
          <w:szCs w:val="24"/>
        </w:rPr>
      </w:pPr>
    </w:p>
    <w:p w:rsidR="008A3E8D" w:rsidRDefault="0004749E" w:rsidP="0072568C">
      <w:pPr>
        <w:outlineLvl w:val="0"/>
        <w:rPr>
          <w:szCs w:val="24"/>
        </w:rPr>
      </w:pPr>
      <w:r w:rsidRPr="00E37884">
        <w:rPr>
          <w:b/>
          <w:szCs w:val="24"/>
        </w:rPr>
        <w:t>10. Assurance of confidentiality</w:t>
      </w:r>
      <w:r w:rsidRPr="00C574F7">
        <w:rPr>
          <w:szCs w:val="24"/>
        </w:rPr>
        <w:t>:</w:t>
      </w:r>
    </w:p>
    <w:p w:rsidR="008A1EA2" w:rsidRDefault="00F92057" w:rsidP="00D16CBA">
      <w:pPr>
        <w:pStyle w:val="Default"/>
        <w:spacing w:after="120"/>
        <w:rPr>
          <w:rFonts w:ascii="Times New Roman" w:hAnsi="Times New Roman" w:cs="Times New Roman"/>
        </w:rPr>
      </w:pPr>
      <w:r w:rsidRPr="00C574F7">
        <w:br/>
      </w:r>
      <w:r w:rsidR="00D16CBA" w:rsidRPr="00CE0AD8">
        <w:rPr>
          <w:rFonts w:ascii="Times New Roman" w:hAnsi="Times New Roman" w:cs="Times New Roman"/>
        </w:rPr>
        <w:t>The Personally Identifiable Information (PII) collected on the Form MCSA-1 includes information from persons required to register with FMCSA as a sole proprietor/driver or owner of a motor carrier, intermodal equipment provider, freight forwarder, broker, or cargo tank facility.</w:t>
      </w:r>
      <w:r w:rsidR="0053462D">
        <w:rPr>
          <w:rFonts w:ascii="Times New Roman" w:hAnsi="Times New Roman" w:cs="Times New Roman"/>
        </w:rPr>
        <w:t xml:space="preserve"> </w:t>
      </w:r>
      <w:r w:rsidR="00D16CBA">
        <w:rPr>
          <w:rFonts w:ascii="Times New Roman" w:hAnsi="Times New Roman" w:cs="Times New Roman"/>
        </w:rPr>
        <w:t xml:space="preserve"> </w:t>
      </w:r>
      <w:r w:rsidR="00604BEC" w:rsidRPr="00604BEC">
        <w:rPr>
          <w:rFonts w:ascii="Times New Roman" w:hAnsi="Times New Roman" w:cs="Times New Roman"/>
        </w:rPr>
        <w:t>Although a business name qualifies as PII under OMB Circular M-07-16, it is not PII, in the sense that Privacy Act protections apply to its public disclosure.</w:t>
      </w:r>
      <w:r w:rsidR="00604BEC">
        <w:rPr>
          <w:rFonts w:ascii="Times New Roman" w:hAnsi="Times New Roman" w:cs="Times New Roman"/>
        </w:rPr>
        <w:t xml:space="preserve"> </w:t>
      </w:r>
      <w:r w:rsidR="0053462D">
        <w:rPr>
          <w:rFonts w:ascii="Times New Roman" w:hAnsi="Times New Roman" w:cs="Times New Roman"/>
        </w:rPr>
        <w:t xml:space="preserve"> </w:t>
      </w:r>
      <w:r w:rsidR="00D16CBA" w:rsidRPr="00CE0AD8">
        <w:rPr>
          <w:rFonts w:ascii="Times New Roman" w:hAnsi="Times New Roman" w:cs="Times New Roman"/>
        </w:rPr>
        <w:t xml:space="preserve">The PII collected will include the name, address, email address, </w:t>
      </w:r>
      <w:r w:rsidR="00D16CBA">
        <w:rPr>
          <w:rFonts w:ascii="Times New Roman" w:hAnsi="Times New Roman" w:cs="Times New Roman"/>
        </w:rPr>
        <w:t xml:space="preserve">taxpayer EIN or </w:t>
      </w:r>
      <w:r w:rsidR="00D16CBA" w:rsidRPr="00CE0AD8">
        <w:rPr>
          <w:rFonts w:ascii="Times New Roman" w:hAnsi="Times New Roman" w:cs="Times New Roman"/>
        </w:rPr>
        <w:t>social security number (SSN), credit card number, and checking account number of these persons.</w:t>
      </w:r>
      <w:r w:rsidR="00D16CBA">
        <w:rPr>
          <w:rFonts w:ascii="Times New Roman" w:hAnsi="Times New Roman" w:cs="Times New Roman"/>
        </w:rPr>
        <w:t xml:space="preserve"> </w:t>
      </w:r>
      <w:r w:rsidR="0053462D">
        <w:rPr>
          <w:rFonts w:ascii="Times New Roman" w:hAnsi="Times New Roman" w:cs="Times New Roman"/>
        </w:rPr>
        <w:t xml:space="preserve"> </w:t>
      </w:r>
      <w:r w:rsidR="00D16CBA" w:rsidRPr="00CE0AD8">
        <w:rPr>
          <w:rFonts w:ascii="Times New Roman" w:hAnsi="Times New Roman" w:cs="Times New Roman"/>
        </w:rPr>
        <w:t>Confidentiality of the PII will be protected by reasonable security safeguards against loss or unauthorized access, destruction, usage, modification, or disclosure.</w:t>
      </w:r>
      <w:r w:rsidR="00D16CBA">
        <w:rPr>
          <w:rFonts w:ascii="Times New Roman" w:hAnsi="Times New Roman" w:cs="Times New Roman"/>
        </w:rPr>
        <w:t xml:space="preserve"> </w:t>
      </w:r>
      <w:r w:rsidR="0053462D">
        <w:rPr>
          <w:rFonts w:ascii="Times New Roman" w:hAnsi="Times New Roman" w:cs="Times New Roman"/>
        </w:rPr>
        <w:t xml:space="preserve"> </w:t>
      </w:r>
      <w:r w:rsidR="00D16CBA" w:rsidRPr="00CE0AD8">
        <w:rPr>
          <w:rFonts w:ascii="Times New Roman" w:hAnsi="Times New Roman" w:cs="Times New Roman"/>
        </w:rPr>
        <w:t xml:space="preserve">These safeguards incorporate standards and practices required for </w:t>
      </w:r>
      <w:r w:rsidR="008A1EA2">
        <w:rPr>
          <w:rFonts w:ascii="Times New Roman" w:hAnsi="Times New Roman" w:cs="Times New Roman"/>
        </w:rPr>
        <w:t>F</w:t>
      </w:r>
      <w:r w:rsidR="00D16CBA" w:rsidRPr="00CE0AD8">
        <w:rPr>
          <w:rFonts w:ascii="Times New Roman" w:hAnsi="Times New Roman" w:cs="Times New Roman"/>
        </w:rPr>
        <w:t xml:space="preserve">ederal information systems under </w:t>
      </w:r>
      <w:r w:rsidR="00D16CBA">
        <w:rPr>
          <w:rFonts w:ascii="Times New Roman" w:hAnsi="Times New Roman" w:cs="Times New Roman"/>
        </w:rPr>
        <w:t xml:space="preserve">the </w:t>
      </w:r>
      <w:r w:rsidR="00D16CBA" w:rsidRPr="00E70025">
        <w:rPr>
          <w:rFonts w:ascii="Times New Roman" w:hAnsi="Times New Roman" w:cs="Times New Roman"/>
        </w:rPr>
        <w:t>Federal Information Security Management Act (FISMA) of 2002 (44 U.S.C. 3542)</w:t>
      </w:r>
      <w:r w:rsidR="00D16CBA" w:rsidRPr="00CE0AD8">
        <w:rPr>
          <w:rFonts w:ascii="Times New Roman" w:hAnsi="Times New Roman" w:cs="Times New Roman"/>
        </w:rPr>
        <w:t xml:space="preserve"> and are detailed in Federal Information Processing Standards (FIPS) Publication 200</w:t>
      </w:r>
      <w:r w:rsidR="00D16CBA">
        <w:rPr>
          <w:rFonts w:ascii="Times New Roman" w:hAnsi="Times New Roman" w:cs="Times New Roman"/>
        </w:rPr>
        <w:t xml:space="preserve"> entitled</w:t>
      </w:r>
      <w:r w:rsidR="00D16CBA" w:rsidRPr="00CE0AD8">
        <w:rPr>
          <w:rFonts w:ascii="Times New Roman" w:hAnsi="Times New Roman" w:cs="Times New Roman"/>
        </w:rPr>
        <w:t xml:space="preserve">, </w:t>
      </w:r>
      <w:r w:rsidR="00D16CBA">
        <w:rPr>
          <w:rFonts w:ascii="Times New Roman" w:hAnsi="Times New Roman" w:cs="Times New Roman"/>
        </w:rPr>
        <w:t>“</w:t>
      </w:r>
      <w:r w:rsidR="00D16CBA" w:rsidRPr="00CE0AD8">
        <w:rPr>
          <w:rFonts w:ascii="Times New Roman" w:hAnsi="Times New Roman" w:cs="Times New Roman"/>
          <w:i/>
        </w:rPr>
        <w:t>Minimum Security Requirements for Federal Information and Information Systems</w:t>
      </w:r>
      <w:r w:rsidR="00D16CBA">
        <w:rPr>
          <w:rFonts w:ascii="Times New Roman" w:hAnsi="Times New Roman" w:cs="Times New Roman"/>
          <w:i/>
        </w:rPr>
        <w:t>,”</w:t>
      </w:r>
      <w:r w:rsidR="00D16CBA" w:rsidRPr="00CE0AD8">
        <w:rPr>
          <w:rFonts w:ascii="Times New Roman" w:hAnsi="Times New Roman" w:cs="Times New Roman"/>
        </w:rPr>
        <w:t xml:space="preserve"> dated March 2006 and NIST Special Publication (SP) </w:t>
      </w:r>
      <w:r w:rsidR="00D16CBA" w:rsidRPr="00CE0AD8">
        <w:rPr>
          <w:rFonts w:ascii="Times New Roman" w:hAnsi="Times New Roman" w:cs="Times New Roman"/>
        </w:rPr>
        <w:lastRenderedPageBreak/>
        <w:t xml:space="preserve">800-53 Rev. </w:t>
      </w:r>
      <w:r w:rsidR="00EB660F">
        <w:rPr>
          <w:rFonts w:ascii="Times New Roman" w:hAnsi="Times New Roman" w:cs="Times New Roman"/>
        </w:rPr>
        <w:t xml:space="preserve">3 </w:t>
      </w:r>
      <w:r w:rsidR="00D16CBA">
        <w:rPr>
          <w:rFonts w:ascii="Times New Roman" w:hAnsi="Times New Roman" w:cs="Times New Roman"/>
        </w:rPr>
        <w:t>entitled</w:t>
      </w:r>
      <w:r w:rsidR="00D16CBA" w:rsidRPr="00CE0AD8">
        <w:rPr>
          <w:rFonts w:ascii="Times New Roman" w:hAnsi="Times New Roman" w:cs="Times New Roman"/>
        </w:rPr>
        <w:t>,</w:t>
      </w:r>
      <w:r w:rsidR="00D16CBA">
        <w:rPr>
          <w:rFonts w:ascii="Times New Roman" w:hAnsi="Times New Roman" w:cs="Times New Roman"/>
        </w:rPr>
        <w:t xml:space="preserve"> “</w:t>
      </w:r>
      <w:r w:rsidR="00D16CBA" w:rsidRPr="00CE0AD8">
        <w:rPr>
          <w:rFonts w:ascii="Times New Roman" w:hAnsi="Times New Roman" w:cs="Times New Roman"/>
          <w:i/>
        </w:rPr>
        <w:t>Recommended Security Controls for Federal Information Systems</w:t>
      </w:r>
      <w:r w:rsidR="00EB660F">
        <w:rPr>
          <w:rFonts w:ascii="Times New Roman" w:hAnsi="Times New Roman" w:cs="Times New Roman"/>
          <w:i/>
        </w:rPr>
        <w:t xml:space="preserve"> and Organizations</w:t>
      </w:r>
      <w:r w:rsidR="00D16CBA">
        <w:rPr>
          <w:rFonts w:ascii="Times New Roman" w:hAnsi="Times New Roman" w:cs="Times New Roman"/>
          <w:i/>
        </w:rPr>
        <w:t>,”</w:t>
      </w:r>
      <w:r w:rsidR="00D16CBA" w:rsidRPr="00CE0AD8">
        <w:rPr>
          <w:rFonts w:ascii="Times New Roman" w:hAnsi="Times New Roman" w:cs="Times New Roman"/>
        </w:rPr>
        <w:t xml:space="preserve"> dated </w:t>
      </w:r>
      <w:r w:rsidR="00EB660F">
        <w:rPr>
          <w:rFonts w:ascii="Times New Roman" w:hAnsi="Times New Roman" w:cs="Times New Roman"/>
        </w:rPr>
        <w:t>August 2009 as amended</w:t>
      </w:r>
      <w:r w:rsidR="00D16CBA" w:rsidRPr="00CE0AD8">
        <w:rPr>
          <w:rFonts w:ascii="Times New Roman" w:hAnsi="Times New Roman" w:cs="Times New Roman"/>
        </w:rPr>
        <w:t>.</w:t>
      </w:r>
      <w:r w:rsidR="0053462D">
        <w:rPr>
          <w:rFonts w:ascii="Times New Roman" w:hAnsi="Times New Roman" w:cs="Times New Roman"/>
        </w:rPr>
        <w:t xml:space="preserve"> </w:t>
      </w:r>
      <w:r w:rsidR="00D16CBA">
        <w:rPr>
          <w:rFonts w:ascii="Times New Roman" w:hAnsi="Times New Roman" w:cs="Times New Roman"/>
        </w:rPr>
        <w:t xml:space="preserve"> </w:t>
      </w:r>
    </w:p>
    <w:p w:rsidR="00D16CBA" w:rsidRPr="00CE0AD8" w:rsidRDefault="00D16CBA" w:rsidP="00D16CBA">
      <w:pPr>
        <w:pStyle w:val="Default"/>
        <w:spacing w:after="120"/>
        <w:rPr>
          <w:rFonts w:ascii="Times New Roman" w:hAnsi="Times New Roman" w:cs="Times New Roman"/>
        </w:rPr>
      </w:pPr>
      <w:r>
        <w:rPr>
          <w:rFonts w:ascii="Times New Roman" w:hAnsi="Times New Roman" w:cs="Times New Roman"/>
        </w:rPr>
        <w:t xml:space="preserve">The </w:t>
      </w:r>
      <w:r w:rsidRPr="00CE0AD8">
        <w:rPr>
          <w:rFonts w:ascii="Times New Roman" w:hAnsi="Times New Roman" w:cs="Times New Roman"/>
        </w:rPr>
        <w:t>FMCSA has a comprehensive information security and privacy program that contains management, operational, and technical safeguards that are appropriate for the protection of PII.</w:t>
      </w:r>
      <w:r w:rsidR="0053462D">
        <w:rPr>
          <w:rFonts w:ascii="Times New Roman" w:hAnsi="Times New Roman" w:cs="Times New Roman"/>
        </w:rPr>
        <w:t xml:space="preserve"> </w:t>
      </w:r>
      <w:r>
        <w:rPr>
          <w:rFonts w:ascii="Times New Roman" w:hAnsi="Times New Roman" w:cs="Times New Roman"/>
        </w:rPr>
        <w:t xml:space="preserve"> </w:t>
      </w:r>
      <w:r w:rsidRPr="00CE0AD8">
        <w:rPr>
          <w:rFonts w:ascii="Times New Roman" w:hAnsi="Times New Roman" w:cs="Times New Roman"/>
        </w:rPr>
        <w:t>These safeguards are designed to achieve the following objectives:</w:t>
      </w:r>
    </w:p>
    <w:p w:rsidR="00CE0AD8" w:rsidRPr="00CE0AD8" w:rsidRDefault="00CE0AD8" w:rsidP="00D16CBA">
      <w:pPr>
        <w:pStyle w:val="Default"/>
        <w:spacing w:after="120"/>
        <w:rPr>
          <w:rFonts w:ascii="Times New Roman" w:hAnsi="Times New Roman" w:cs="Times New Roman"/>
        </w:rPr>
      </w:pPr>
      <w:r w:rsidRPr="00CE0AD8">
        <w:rPr>
          <w:rFonts w:ascii="Times New Roman" w:hAnsi="Times New Roman" w:cs="Times New Roman"/>
        </w:rPr>
        <w:t>Ensure the security and confidentiality of PII</w:t>
      </w:r>
    </w:p>
    <w:p w:rsidR="00CE0AD8" w:rsidRPr="00CE0AD8" w:rsidRDefault="00CE0AD8" w:rsidP="00CE0AD8">
      <w:pPr>
        <w:pStyle w:val="Default"/>
        <w:numPr>
          <w:ilvl w:val="0"/>
          <w:numId w:val="18"/>
        </w:numPr>
        <w:spacing w:after="60"/>
        <w:ind w:left="360"/>
        <w:rPr>
          <w:rFonts w:ascii="Times New Roman" w:hAnsi="Times New Roman" w:cs="Times New Roman"/>
        </w:rPr>
      </w:pPr>
      <w:r w:rsidRPr="00CE0AD8">
        <w:rPr>
          <w:rFonts w:ascii="Times New Roman" w:hAnsi="Times New Roman" w:cs="Times New Roman"/>
        </w:rPr>
        <w:t>Protect against any reasonably anticipated threats or hazards to the security or integrity of PII</w:t>
      </w:r>
    </w:p>
    <w:p w:rsidR="00CE0AD8" w:rsidRPr="00CE0AD8" w:rsidRDefault="00CE0AD8" w:rsidP="00CE0AD8">
      <w:pPr>
        <w:pStyle w:val="Default"/>
        <w:numPr>
          <w:ilvl w:val="0"/>
          <w:numId w:val="18"/>
        </w:numPr>
        <w:spacing w:after="120"/>
        <w:ind w:left="360"/>
        <w:rPr>
          <w:rFonts w:ascii="Times New Roman" w:hAnsi="Times New Roman" w:cs="Times New Roman"/>
        </w:rPr>
      </w:pPr>
      <w:r w:rsidRPr="00CE0AD8">
        <w:rPr>
          <w:rFonts w:ascii="Times New Roman" w:hAnsi="Times New Roman" w:cs="Times New Roman"/>
        </w:rPr>
        <w:t>Protect against unauthorized access to or use of PII</w:t>
      </w:r>
    </w:p>
    <w:p w:rsidR="0004749E" w:rsidRPr="00C574F7" w:rsidRDefault="00CE0AD8" w:rsidP="00C574F7">
      <w:pPr>
        <w:rPr>
          <w:szCs w:val="24"/>
        </w:rPr>
      </w:pPr>
      <w:r w:rsidRPr="00CE0AD8">
        <w:t>The PII</w:t>
      </w:r>
      <w:r w:rsidR="0058675D">
        <w:t xml:space="preserve"> will be protected to the extent allowed by the Freedom of Information Act (FOIA), 5 U.S.C. 552, as amended</w:t>
      </w:r>
      <w:r w:rsidR="007C0BB6" w:rsidRPr="00CE0AD8">
        <w:t xml:space="preserve"> (see Attachment </w:t>
      </w:r>
      <w:r w:rsidR="00004FFD">
        <w:t>L</w:t>
      </w:r>
      <w:r w:rsidR="007C0BB6" w:rsidRPr="00CE0AD8">
        <w:t>)</w:t>
      </w:r>
      <w:r w:rsidRPr="00CE0AD8">
        <w:t xml:space="preserve"> and the Privacy Act of 1974</w:t>
      </w:r>
      <w:r w:rsidR="008A1EA2">
        <w:t xml:space="preserve"> (Pub. L. 93-579, 88 Stat. 1896, enacted Dec. 31, 1974, 5 U.S.C. § 552a)</w:t>
      </w:r>
      <w:r w:rsidR="0058675D">
        <w:t>.</w:t>
      </w:r>
    </w:p>
    <w:p w:rsidR="00CE0AD8" w:rsidRDefault="00CE0AD8" w:rsidP="00C574F7">
      <w:pPr>
        <w:rPr>
          <w:szCs w:val="24"/>
        </w:rPr>
      </w:pPr>
    </w:p>
    <w:p w:rsidR="00E67BF8" w:rsidRDefault="00CE0AD8" w:rsidP="00C574F7">
      <w:pPr>
        <w:rPr>
          <w:szCs w:val="24"/>
        </w:rPr>
      </w:pPr>
      <w:r>
        <w:rPr>
          <w:szCs w:val="24"/>
        </w:rPr>
        <w:t>The assurance of confidentiality is addressed in detail in the Privacy Impact A</w:t>
      </w:r>
      <w:r w:rsidR="0004288E">
        <w:rPr>
          <w:szCs w:val="24"/>
        </w:rPr>
        <w:t xml:space="preserve">ssessment (see Attachment </w:t>
      </w:r>
      <w:r w:rsidR="00004FFD">
        <w:rPr>
          <w:szCs w:val="24"/>
        </w:rPr>
        <w:t>M</w:t>
      </w:r>
      <w:r w:rsidR="0004288E">
        <w:rPr>
          <w:szCs w:val="24"/>
        </w:rPr>
        <w:t xml:space="preserve">) </w:t>
      </w:r>
      <w:r>
        <w:rPr>
          <w:szCs w:val="24"/>
        </w:rPr>
        <w:t>prepared for this rulemaking action.</w:t>
      </w:r>
    </w:p>
    <w:p w:rsidR="00E67BF8" w:rsidRDefault="00E67BF8" w:rsidP="00C574F7">
      <w:pPr>
        <w:rPr>
          <w:szCs w:val="24"/>
        </w:rPr>
      </w:pPr>
    </w:p>
    <w:p w:rsidR="00B07B14" w:rsidRPr="00C574F7" w:rsidRDefault="00B07B14" w:rsidP="00C574F7">
      <w:pPr>
        <w:rPr>
          <w:szCs w:val="24"/>
        </w:rPr>
      </w:pPr>
    </w:p>
    <w:p w:rsidR="008A3E8D" w:rsidRDefault="0004749E" w:rsidP="0072568C">
      <w:pPr>
        <w:outlineLvl w:val="0"/>
        <w:rPr>
          <w:szCs w:val="24"/>
        </w:rPr>
      </w:pPr>
      <w:r w:rsidRPr="0058675D">
        <w:rPr>
          <w:b/>
          <w:szCs w:val="24"/>
        </w:rPr>
        <w:t>11. Justification for collection of sensitive information</w:t>
      </w:r>
      <w:r w:rsidRPr="00C574F7">
        <w:rPr>
          <w:szCs w:val="24"/>
        </w:rPr>
        <w:t>:</w:t>
      </w:r>
    </w:p>
    <w:p w:rsidR="008E4E78" w:rsidRDefault="008E4E78" w:rsidP="00C574F7">
      <w:pPr>
        <w:rPr>
          <w:szCs w:val="24"/>
        </w:rPr>
      </w:pPr>
    </w:p>
    <w:p w:rsidR="00AC3DCA" w:rsidRDefault="00AC3DCA" w:rsidP="00AC3DCA">
      <w:pPr>
        <w:spacing w:after="120"/>
      </w:pPr>
      <w:r w:rsidRPr="009A5F1B">
        <w:t xml:space="preserve">The purpose(s) for collecting </w:t>
      </w:r>
      <w:r w:rsidRPr="001D346E">
        <w:t xml:space="preserve">PII from </w:t>
      </w:r>
      <w:r w:rsidR="00DA0D39">
        <w:t xml:space="preserve">a </w:t>
      </w:r>
      <w:r w:rsidRPr="00CE0AD8">
        <w:t>sole proprietor/driver or owner of a motor carrier, intermodal equipment provider, freight forwarder, broker, or cargo tank facility</w:t>
      </w:r>
      <w:r w:rsidRPr="001D346E">
        <w:t xml:space="preserve"> </w:t>
      </w:r>
      <w:r>
        <w:t>is</w:t>
      </w:r>
      <w:r w:rsidRPr="009A5F1B">
        <w:t xml:space="preserve"> to track safety-related data in </w:t>
      </w:r>
      <w:r>
        <w:t>order to</w:t>
      </w:r>
      <w:r w:rsidRPr="009A5F1B">
        <w:t xml:space="preserve"> recogniz</w:t>
      </w:r>
      <w:r>
        <w:t>e</w:t>
      </w:r>
      <w:r w:rsidRPr="009A5F1B">
        <w:t xml:space="preserve"> trends </w:t>
      </w:r>
      <w:r>
        <w:t>and use this information for making</w:t>
      </w:r>
      <w:r w:rsidRPr="009A5F1B">
        <w:t xml:space="preserve"> policy and </w:t>
      </w:r>
      <w:r>
        <w:t xml:space="preserve">program </w:t>
      </w:r>
      <w:r w:rsidRPr="009A5F1B">
        <w:t>changes.</w:t>
      </w:r>
      <w:r w:rsidR="005C5240">
        <w:t xml:space="preserve"> </w:t>
      </w:r>
      <w:r w:rsidR="0053462D">
        <w:t xml:space="preserve"> </w:t>
      </w:r>
      <w:r w:rsidRPr="00671D3E">
        <w:t xml:space="preserve">Only PII that has been identified </w:t>
      </w:r>
      <w:r>
        <w:t>in the URS</w:t>
      </w:r>
      <w:r w:rsidRPr="00671D3E">
        <w:t xml:space="preserve"> </w:t>
      </w:r>
      <w:r>
        <w:t xml:space="preserve">SNPRM </w:t>
      </w:r>
      <w:r w:rsidRPr="00671D3E">
        <w:t>will be collected.</w:t>
      </w:r>
      <w:r w:rsidR="0053462D">
        <w:t xml:space="preserve"> </w:t>
      </w:r>
      <w:r w:rsidR="005C5240">
        <w:t xml:space="preserve"> </w:t>
      </w:r>
      <w:r w:rsidRPr="005D2761">
        <w:t xml:space="preserve">The collection of PII is necessary </w:t>
      </w:r>
      <w:r>
        <w:t xml:space="preserve">to implement URS </w:t>
      </w:r>
      <w:r w:rsidRPr="005D2761">
        <w:t xml:space="preserve">because it allows </w:t>
      </w:r>
      <w:r w:rsidR="009429E4">
        <w:t>both F</w:t>
      </w:r>
      <w:r w:rsidRPr="005D2761">
        <w:t xml:space="preserve">ederal and </w:t>
      </w:r>
      <w:r w:rsidR="009429E4">
        <w:t>S</w:t>
      </w:r>
      <w:r w:rsidRPr="005D2761">
        <w:t>tate law enforcement agencies to positively identify specific records in FMCSA information systems.</w:t>
      </w:r>
    </w:p>
    <w:p w:rsidR="0058675D" w:rsidRDefault="00AC3DCA" w:rsidP="00C574F7">
      <w:pPr>
        <w:rPr>
          <w:szCs w:val="24"/>
        </w:rPr>
      </w:pPr>
      <w:r>
        <w:rPr>
          <w:szCs w:val="24"/>
        </w:rPr>
        <w:t xml:space="preserve">The </w:t>
      </w:r>
      <w:r w:rsidR="00932E06">
        <w:rPr>
          <w:szCs w:val="24"/>
        </w:rPr>
        <w:t>justification for collection of</w:t>
      </w:r>
      <w:r w:rsidR="0058675D">
        <w:rPr>
          <w:szCs w:val="24"/>
        </w:rPr>
        <w:t xml:space="preserve"> sensitive information is </w:t>
      </w:r>
      <w:r w:rsidR="00932E06">
        <w:rPr>
          <w:szCs w:val="24"/>
        </w:rPr>
        <w:t>addressed in detail in the Privacy Impact Assessment prepared for this rulemaking action.</w:t>
      </w:r>
    </w:p>
    <w:p w:rsidR="008A3E8D" w:rsidRDefault="008A3E8D" w:rsidP="0072568C">
      <w:pPr>
        <w:spacing w:after="120"/>
        <w:rPr>
          <w:szCs w:val="24"/>
        </w:rPr>
      </w:pPr>
    </w:p>
    <w:p w:rsidR="008A3E8D" w:rsidRDefault="0004749E" w:rsidP="0072568C">
      <w:pPr>
        <w:outlineLvl w:val="0"/>
        <w:rPr>
          <w:szCs w:val="24"/>
        </w:rPr>
      </w:pPr>
      <w:r w:rsidRPr="0058675D">
        <w:rPr>
          <w:b/>
          <w:szCs w:val="24"/>
        </w:rPr>
        <w:t>12. Estimate of burden hours for information requested</w:t>
      </w:r>
      <w:r w:rsidRPr="00C574F7">
        <w:rPr>
          <w:szCs w:val="24"/>
        </w:rPr>
        <w:t>:</w:t>
      </w:r>
    </w:p>
    <w:p w:rsidR="0058675D" w:rsidRDefault="0058675D" w:rsidP="00C574F7">
      <w:pPr>
        <w:rPr>
          <w:szCs w:val="24"/>
        </w:rPr>
      </w:pPr>
    </w:p>
    <w:p w:rsidR="00470720" w:rsidRDefault="008A5BC6" w:rsidP="00C574F7">
      <w:pPr>
        <w:rPr>
          <w:szCs w:val="24"/>
        </w:rPr>
      </w:pPr>
      <w:r>
        <w:rPr>
          <w:szCs w:val="24"/>
        </w:rPr>
        <w:t>This information collection covers the initial application to register with FMCSA as a motor carrier</w:t>
      </w:r>
      <w:r w:rsidR="008E2C14">
        <w:rPr>
          <w:szCs w:val="24"/>
        </w:rPr>
        <w:t>, freight forwarder, broker, intermodal equipment provider, and cargo tank facilit</w:t>
      </w:r>
      <w:r w:rsidR="003C62D9">
        <w:rPr>
          <w:szCs w:val="24"/>
        </w:rPr>
        <w:t>y</w:t>
      </w:r>
      <w:r w:rsidR="000F519C">
        <w:rPr>
          <w:szCs w:val="24"/>
        </w:rPr>
        <w:t>;</w:t>
      </w:r>
      <w:r>
        <w:rPr>
          <w:szCs w:val="24"/>
        </w:rPr>
        <w:t xml:space="preserve"> a biennial update </w:t>
      </w:r>
      <w:r w:rsidR="00486EA5">
        <w:rPr>
          <w:szCs w:val="24"/>
        </w:rPr>
        <w:t xml:space="preserve">or any other update </w:t>
      </w:r>
      <w:r>
        <w:rPr>
          <w:szCs w:val="24"/>
        </w:rPr>
        <w:t xml:space="preserve">of the information recorded </w:t>
      </w:r>
      <w:r w:rsidR="00193FE1">
        <w:rPr>
          <w:szCs w:val="24"/>
        </w:rPr>
        <w:t>on the registration application</w:t>
      </w:r>
      <w:r w:rsidR="000F519C">
        <w:rPr>
          <w:szCs w:val="24"/>
        </w:rPr>
        <w:t>;</w:t>
      </w:r>
      <w:r w:rsidR="00193FE1">
        <w:rPr>
          <w:szCs w:val="24"/>
        </w:rPr>
        <w:t xml:space="preserve"> </w:t>
      </w:r>
      <w:r w:rsidR="003C62D9">
        <w:rPr>
          <w:szCs w:val="24"/>
        </w:rPr>
        <w:t xml:space="preserve">a </w:t>
      </w:r>
      <w:r w:rsidR="00193FE1">
        <w:rPr>
          <w:szCs w:val="24"/>
        </w:rPr>
        <w:t>name</w:t>
      </w:r>
      <w:r w:rsidR="003C62D9">
        <w:rPr>
          <w:szCs w:val="24"/>
        </w:rPr>
        <w:t>/address</w:t>
      </w:r>
      <w:r w:rsidR="00193FE1">
        <w:rPr>
          <w:szCs w:val="24"/>
        </w:rPr>
        <w:t xml:space="preserve"> change request</w:t>
      </w:r>
      <w:r w:rsidR="000F519C">
        <w:rPr>
          <w:szCs w:val="24"/>
        </w:rPr>
        <w:t>; a reinstatement of revoked or inactive registration;</w:t>
      </w:r>
      <w:r w:rsidR="00E24868">
        <w:rPr>
          <w:szCs w:val="24"/>
        </w:rPr>
        <w:t xml:space="preserve"> and a notification of transfers of operating authority</w:t>
      </w:r>
      <w:r w:rsidR="00193FE1">
        <w:rPr>
          <w:szCs w:val="24"/>
        </w:rPr>
        <w:t>.</w:t>
      </w:r>
    </w:p>
    <w:p w:rsidR="008A5BC6" w:rsidRDefault="008A5BC6" w:rsidP="00C574F7">
      <w:pPr>
        <w:rPr>
          <w:szCs w:val="24"/>
        </w:rPr>
      </w:pPr>
    </w:p>
    <w:p w:rsidR="008A5BC6" w:rsidRDefault="008A5BC6" w:rsidP="00C574F7">
      <w:pPr>
        <w:rPr>
          <w:szCs w:val="24"/>
        </w:rPr>
      </w:pPr>
      <w:r>
        <w:rPr>
          <w:szCs w:val="24"/>
        </w:rPr>
        <w:t>The information will be filed on Form MCSA-1.</w:t>
      </w:r>
      <w:r w:rsidR="005C5240">
        <w:rPr>
          <w:szCs w:val="24"/>
        </w:rPr>
        <w:t xml:space="preserve"> </w:t>
      </w:r>
      <w:r w:rsidR="0053462D">
        <w:rPr>
          <w:szCs w:val="24"/>
        </w:rPr>
        <w:t xml:space="preserve"> </w:t>
      </w:r>
      <w:r w:rsidR="008E2C14">
        <w:rPr>
          <w:szCs w:val="24"/>
        </w:rPr>
        <w:t>This form will replace existing Forms MC</w:t>
      </w:r>
      <w:r w:rsidR="003C62D9">
        <w:rPr>
          <w:szCs w:val="24"/>
        </w:rPr>
        <w:t>S</w:t>
      </w:r>
      <w:r w:rsidR="008E2C14">
        <w:rPr>
          <w:szCs w:val="24"/>
        </w:rPr>
        <w:t>-150, MC</w:t>
      </w:r>
      <w:r w:rsidR="003C62D9">
        <w:rPr>
          <w:szCs w:val="24"/>
        </w:rPr>
        <w:t>S-</w:t>
      </w:r>
      <w:r w:rsidR="008E2C14">
        <w:rPr>
          <w:szCs w:val="24"/>
        </w:rPr>
        <w:t>150B</w:t>
      </w:r>
      <w:r w:rsidR="0073389B">
        <w:rPr>
          <w:szCs w:val="24"/>
        </w:rPr>
        <w:t>, MCS-150C</w:t>
      </w:r>
      <w:r w:rsidR="008E2C14">
        <w:rPr>
          <w:szCs w:val="24"/>
        </w:rPr>
        <w:t xml:space="preserve"> and </w:t>
      </w:r>
      <w:r w:rsidR="0073389B">
        <w:rPr>
          <w:szCs w:val="24"/>
        </w:rPr>
        <w:t xml:space="preserve">most </w:t>
      </w:r>
      <w:r w:rsidR="008E2C14">
        <w:rPr>
          <w:szCs w:val="24"/>
        </w:rPr>
        <w:t>forms in the OP</w:t>
      </w:r>
      <w:r w:rsidR="003C62D9">
        <w:rPr>
          <w:szCs w:val="24"/>
        </w:rPr>
        <w:t>-1</w:t>
      </w:r>
      <w:r w:rsidR="008E2C14">
        <w:rPr>
          <w:szCs w:val="24"/>
        </w:rPr>
        <w:t xml:space="preserve"> series</w:t>
      </w:r>
      <w:r w:rsidR="007A648D">
        <w:rPr>
          <w:szCs w:val="24"/>
        </w:rPr>
        <w:t xml:space="preserve"> (OP-1, OP-1</w:t>
      </w:r>
      <w:r w:rsidR="003C62D9">
        <w:rPr>
          <w:szCs w:val="24"/>
        </w:rPr>
        <w:t>(</w:t>
      </w:r>
      <w:r w:rsidR="007A648D">
        <w:rPr>
          <w:szCs w:val="24"/>
        </w:rPr>
        <w:t>P</w:t>
      </w:r>
      <w:r w:rsidR="003C62D9">
        <w:rPr>
          <w:szCs w:val="24"/>
        </w:rPr>
        <w:t>)</w:t>
      </w:r>
      <w:r w:rsidR="007A648D">
        <w:rPr>
          <w:szCs w:val="24"/>
        </w:rPr>
        <w:t>, OP-1</w:t>
      </w:r>
      <w:r w:rsidR="003C62D9">
        <w:rPr>
          <w:szCs w:val="24"/>
        </w:rPr>
        <w:t>(</w:t>
      </w:r>
      <w:r w:rsidR="007A648D">
        <w:rPr>
          <w:szCs w:val="24"/>
        </w:rPr>
        <w:t>FF</w:t>
      </w:r>
      <w:r w:rsidR="003C62D9">
        <w:rPr>
          <w:szCs w:val="24"/>
        </w:rPr>
        <w:t>)</w:t>
      </w:r>
      <w:r w:rsidR="0073389B">
        <w:rPr>
          <w:szCs w:val="24"/>
        </w:rPr>
        <w:t>, OP-1NNA</w:t>
      </w:r>
      <w:r w:rsidR="007A648D">
        <w:rPr>
          <w:szCs w:val="24"/>
        </w:rPr>
        <w:t xml:space="preserve">, </w:t>
      </w:r>
      <w:r w:rsidR="003C62D9">
        <w:rPr>
          <w:szCs w:val="24"/>
        </w:rPr>
        <w:t xml:space="preserve">and </w:t>
      </w:r>
      <w:r w:rsidR="007A648D">
        <w:rPr>
          <w:szCs w:val="24"/>
        </w:rPr>
        <w:t>OP-2)</w:t>
      </w:r>
      <w:r w:rsidR="008E2C14">
        <w:rPr>
          <w:szCs w:val="24"/>
        </w:rPr>
        <w:t>.</w:t>
      </w:r>
      <w:r w:rsidR="005C5240">
        <w:rPr>
          <w:szCs w:val="24"/>
        </w:rPr>
        <w:t xml:space="preserve"> </w:t>
      </w:r>
      <w:r w:rsidR="0053462D">
        <w:rPr>
          <w:szCs w:val="24"/>
        </w:rPr>
        <w:t xml:space="preserve"> </w:t>
      </w:r>
      <w:r w:rsidR="0073389B">
        <w:rPr>
          <w:szCs w:val="24"/>
        </w:rPr>
        <w:t>NOTE: Form</w:t>
      </w:r>
      <w:r w:rsidR="000F519C">
        <w:rPr>
          <w:szCs w:val="24"/>
        </w:rPr>
        <w:t>s</w:t>
      </w:r>
      <w:r w:rsidR="0073389B">
        <w:rPr>
          <w:szCs w:val="24"/>
        </w:rPr>
        <w:t xml:space="preserve"> MCS-150 and OP-1(MX) will be retained for </w:t>
      </w:r>
      <w:r w:rsidR="000F519C">
        <w:rPr>
          <w:szCs w:val="24"/>
        </w:rPr>
        <w:t xml:space="preserve">the small number of </w:t>
      </w:r>
      <w:r w:rsidR="0073389B">
        <w:rPr>
          <w:szCs w:val="24"/>
        </w:rPr>
        <w:t xml:space="preserve">Mexico-domiciled carriers </w:t>
      </w:r>
      <w:r w:rsidR="00FE26EE">
        <w:rPr>
          <w:szCs w:val="24"/>
        </w:rPr>
        <w:t xml:space="preserve">that </w:t>
      </w:r>
      <w:r w:rsidR="0073389B">
        <w:rPr>
          <w:szCs w:val="24"/>
        </w:rPr>
        <w:t xml:space="preserve">seek authority to operate </w:t>
      </w:r>
      <w:r w:rsidR="00537AE5">
        <w:rPr>
          <w:szCs w:val="24"/>
        </w:rPr>
        <w:t xml:space="preserve">beyond the </w:t>
      </w:r>
      <w:r w:rsidR="00FE26EE">
        <w:rPr>
          <w:szCs w:val="24"/>
        </w:rPr>
        <w:t>United States municipalities on the United States-Mexico border and their commercial zones</w:t>
      </w:r>
      <w:r w:rsidR="00C2100C">
        <w:rPr>
          <w:szCs w:val="24"/>
        </w:rPr>
        <w:t xml:space="preserve"> because they are not included within the scope of the URS rule</w:t>
      </w:r>
      <w:r w:rsidR="00FE26EE">
        <w:rPr>
          <w:szCs w:val="24"/>
        </w:rPr>
        <w:t>.</w:t>
      </w:r>
    </w:p>
    <w:p w:rsidR="008A5BC6" w:rsidRDefault="008A5BC6" w:rsidP="00C574F7">
      <w:pPr>
        <w:rPr>
          <w:szCs w:val="24"/>
        </w:rPr>
      </w:pPr>
    </w:p>
    <w:p w:rsidR="0029422F" w:rsidRDefault="00816897" w:rsidP="00C574F7">
      <w:pPr>
        <w:rPr>
          <w:szCs w:val="24"/>
        </w:rPr>
      </w:pPr>
      <w:r>
        <w:rPr>
          <w:szCs w:val="24"/>
        </w:rPr>
        <w:t xml:space="preserve">The </w:t>
      </w:r>
      <w:r w:rsidR="003C62D9">
        <w:rPr>
          <w:szCs w:val="24"/>
        </w:rPr>
        <w:t xml:space="preserve">MCSA-1 </w:t>
      </w:r>
      <w:r>
        <w:rPr>
          <w:szCs w:val="24"/>
        </w:rPr>
        <w:t xml:space="preserve">form </w:t>
      </w:r>
      <w:r w:rsidR="00A9148D">
        <w:rPr>
          <w:szCs w:val="24"/>
        </w:rPr>
        <w:t xml:space="preserve">will </w:t>
      </w:r>
      <w:r>
        <w:rPr>
          <w:szCs w:val="24"/>
        </w:rPr>
        <w:t xml:space="preserve">be filed when a carrier </w:t>
      </w:r>
      <w:r w:rsidR="00BF769B">
        <w:rPr>
          <w:szCs w:val="24"/>
        </w:rPr>
        <w:t>or other entity regulate</w:t>
      </w:r>
      <w:r w:rsidR="00C02F93">
        <w:rPr>
          <w:szCs w:val="24"/>
        </w:rPr>
        <w:t>d</w:t>
      </w:r>
      <w:r w:rsidR="00BF769B">
        <w:rPr>
          <w:szCs w:val="24"/>
        </w:rPr>
        <w:t xml:space="preserve"> by FMCSA </w:t>
      </w:r>
      <w:r>
        <w:rPr>
          <w:szCs w:val="24"/>
        </w:rPr>
        <w:t xml:space="preserve">first applies for a </w:t>
      </w:r>
      <w:r w:rsidR="00560EA7">
        <w:rPr>
          <w:szCs w:val="24"/>
        </w:rPr>
        <w:t>US</w:t>
      </w:r>
      <w:r>
        <w:rPr>
          <w:szCs w:val="24"/>
        </w:rPr>
        <w:t xml:space="preserve">DOT </w:t>
      </w:r>
      <w:r w:rsidR="00560EA7">
        <w:rPr>
          <w:szCs w:val="24"/>
        </w:rPr>
        <w:t>N</w:t>
      </w:r>
      <w:r>
        <w:rPr>
          <w:szCs w:val="24"/>
        </w:rPr>
        <w:t>umber.</w:t>
      </w:r>
      <w:r w:rsidR="005C5240">
        <w:rPr>
          <w:szCs w:val="24"/>
        </w:rPr>
        <w:t xml:space="preserve"> </w:t>
      </w:r>
      <w:r w:rsidR="0053462D">
        <w:rPr>
          <w:szCs w:val="24"/>
        </w:rPr>
        <w:t xml:space="preserve"> </w:t>
      </w:r>
      <w:r w:rsidR="0073389B">
        <w:rPr>
          <w:szCs w:val="24"/>
        </w:rPr>
        <w:t>All c</w:t>
      </w:r>
      <w:r>
        <w:rPr>
          <w:szCs w:val="24"/>
        </w:rPr>
        <w:t xml:space="preserve">arriers </w:t>
      </w:r>
      <w:r w:rsidR="00BF769B">
        <w:rPr>
          <w:szCs w:val="24"/>
        </w:rPr>
        <w:t xml:space="preserve">and other regulated entities </w:t>
      </w:r>
      <w:r w:rsidR="00A9148D">
        <w:rPr>
          <w:szCs w:val="24"/>
        </w:rPr>
        <w:t xml:space="preserve">will </w:t>
      </w:r>
      <w:r w:rsidR="0073389B">
        <w:rPr>
          <w:szCs w:val="24"/>
        </w:rPr>
        <w:t xml:space="preserve">be </w:t>
      </w:r>
      <w:r>
        <w:rPr>
          <w:szCs w:val="24"/>
        </w:rPr>
        <w:t xml:space="preserve">required to update the information </w:t>
      </w:r>
      <w:r w:rsidR="003C62D9">
        <w:rPr>
          <w:szCs w:val="24"/>
        </w:rPr>
        <w:t xml:space="preserve">on the MCSA-1 </w:t>
      </w:r>
      <w:r w:rsidR="00DA34E3">
        <w:rPr>
          <w:szCs w:val="24"/>
        </w:rPr>
        <w:t>f</w:t>
      </w:r>
      <w:r w:rsidR="003C62D9">
        <w:rPr>
          <w:szCs w:val="24"/>
        </w:rPr>
        <w:t xml:space="preserve">orm </w:t>
      </w:r>
      <w:r>
        <w:rPr>
          <w:szCs w:val="24"/>
        </w:rPr>
        <w:t xml:space="preserve">every </w:t>
      </w:r>
      <w:r w:rsidR="0073389B">
        <w:rPr>
          <w:szCs w:val="24"/>
        </w:rPr>
        <w:t xml:space="preserve">other </w:t>
      </w:r>
      <w:r>
        <w:rPr>
          <w:szCs w:val="24"/>
        </w:rPr>
        <w:t>year.</w:t>
      </w:r>
      <w:r w:rsidR="005C5240">
        <w:rPr>
          <w:szCs w:val="24"/>
        </w:rPr>
        <w:t xml:space="preserve"> </w:t>
      </w:r>
      <w:r w:rsidR="0053462D">
        <w:rPr>
          <w:szCs w:val="24"/>
        </w:rPr>
        <w:t xml:space="preserve"> </w:t>
      </w:r>
      <w:r w:rsidR="00D3396F">
        <w:rPr>
          <w:szCs w:val="24"/>
        </w:rPr>
        <w:t>Some carriers</w:t>
      </w:r>
      <w:r w:rsidR="00BF769B">
        <w:rPr>
          <w:szCs w:val="24"/>
        </w:rPr>
        <w:t xml:space="preserve"> and other regulated entities</w:t>
      </w:r>
      <w:r w:rsidR="0073389B">
        <w:rPr>
          <w:szCs w:val="24"/>
        </w:rPr>
        <w:t xml:space="preserve"> </w:t>
      </w:r>
      <w:r w:rsidR="0073389B">
        <w:rPr>
          <w:szCs w:val="24"/>
        </w:rPr>
        <w:lastRenderedPageBreak/>
        <w:t>currently</w:t>
      </w:r>
      <w:r w:rsidR="00D3396F">
        <w:rPr>
          <w:szCs w:val="24"/>
        </w:rPr>
        <w:t xml:space="preserve"> file name</w:t>
      </w:r>
      <w:r w:rsidR="003C62D9">
        <w:rPr>
          <w:szCs w:val="24"/>
        </w:rPr>
        <w:t>/address</w:t>
      </w:r>
      <w:r w:rsidR="00D3396F">
        <w:rPr>
          <w:szCs w:val="24"/>
        </w:rPr>
        <w:t xml:space="preserve"> change forms</w:t>
      </w:r>
      <w:r w:rsidR="0073389B">
        <w:rPr>
          <w:szCs w:val="24"/>
        </w:rPr>
        <w:t xml:space="preserve">, which </w:t>
      </w:r>
      <w:r w:rsidR="00A9148D">
        <w:rPr>
          <w:szCs w:val="24"/>
        </w:rPr>
        <w:t xml:space="preserve">will </w:t>
      </w:r>
      <w:r w:rsidR="0073389B">
        <w:rPr>
          <w:szCs w:val="24"/>
        </w:rPr>
        <w:t>be incorporated into the MCSA-1 form</w:t>
      </w:r>
      <w:r w:rsidR="00D3396F">
        <w:rPr>
          <w:szCs w:val="24"/>
        </w:rPr>
        <w:t>.</w:t>
      </w:r>
      <w:r w:rsidR="005C5240">
        <w:rPr>
          <w:szCs w:val="24"/>
        </w:rPr>
        <w:t xml:space="preserve"> </w:t>
      </w:r>
      <w:r w:rsidR="000F519C">
        <w:rPr>
          <w:szCs w:val="24"/>
        </w:rPr>
        <w:t>Requests for reinstatements and</w:t>
      </w:r>
      <w:r w:rsidR="00E24868">
        <w:rPr>
          <w:szCs w:val="24"/>
        </w:rPr>
        <w:t xml:space="preserve"> notification of </w:t>
      </w:r>
      <w:r w:rsidR="00C2100C">
        <w:rPr>
          <w:szCs w:val="24"/>
        </w:rPr>
        <w:t xml:space="preserve">transfers of </w:t>
      </w:r>
      <w:r w:rsidR="00E24868">
        <w:rPr>
          <w:szCs w:val="24"/>
        </w:rPr>
        <w:t xml:space="preserve">operating authority </w:t>
      </w:r>
      <w:r w:rsidR="00A9148D">
        <w:rPr>
          <w:szCs w:val="24"/>
        </w:rPr>
        <w:t>will</w:t>
      </w:r>
      <w:r w:rsidR="00E24868">
        <w:rPr>
          <w:szCs w:val="24"/>
        </w:rPr>
        <w:t xml:space="preserve"> </w:t>
      </w:r>
      <w:r w:rsidR="00C2100C">
        <w:rPr>
          <w:szCs w:val="24"/>
        </w:rPr>
        <w:t xml:space="preserve">also </w:t>
      </w:r>
      <w:r w:rsidR="00E24868">
        <w:rPr>
          <w:szCs w:val="24"/>
        </w:rPr>
        <w:t>be incorporated into the MCSA-1 form.</w:t>
      </w:r>
    </w:p>
    <w:p w:rsidR="00816897" w:rsidRDefault="00816897" w:rsidP="00C574F7">
      <w:pPr>
        <w:rPr>
          <w:szCs w:val="24"/>
        </w:rPr>
      </w:pPr>
    </w:p>
    <w:p w:rsidR="007B0CC4" w:rsidRDefault="009F3981" w:rsidP="00C574F7">
      <w:pPr>
        <w:rPr>
          <w:szCs w:val="24"/>
        </w:rPr>
      </w:pPr>
      <w:r>
        <w:rPr>
          <w:szCs w:val="24"/>
        </w:rPr>
        <w:t xml:space="preserve">Table 1 presents the number of new entrants and the estimated number of total </w:t>
      </w:r>
      <w:r w:rsidR="00604BEC">
        <w:rPr>
          <w:szCs w:val="24"/>
        </w:rPr>
        <w:t>Applicants</w:t>
      </w:r>
      <w:r>
        <w:rPr>
          <w:szCs w:val="24"/>
        </w:rPr>
        <w:t xml:space="preserve"> for the three years covered by this </w:t>
      </w:r>
      <w:r w:rsidR="00D80A35">
        <w:rPr>
          <w:szCs w:val="24"/>
        </w:rPr>
        <w:t>information collection request (</w:t>
      </w:r>
      <w:r>
        <w:rPr>
          <w:szCs w:val="24"/>
        </w:rPr>
        <w:t>ICR</w:t>
      </w:r>
      <w:r w:rsidR="00D80A35">
        <w:rPr>
          <w:szCs w:val="24"/>
        </w:rPr>
        <w:t>)</w:t>
      </w:r>
      <w:r>
        <w:rPr>
          <w:szCs w:val="24"/>
        </w:rPr>
        <w:t>.</w:t>
      </w:r>
      <w:r w:rsidR="005C5240">
        <w:rPr>
          <w:szCs w:val="24"/>
        </w:rPr>
        <w:t xml:space="preserve"> </w:t>
      </w:r>
      <w:r w:rsidR="0053462D">
        <w:rPr>
          <w:szCs w:val="24"/>
        </w:rPr>
        <w:t xml:space="preserve"> </w:t>
      </w:r>
      <w:r>
        <w:rPr>
          <w:szCs w:val="24"/>
        </w:rPr>
        <w:t>Table 2 presents the estimate</w:t>
      </w:r>
      <w:r w:rsidR="0073389B">
        <w:rPr>
          <w:szCs w:val="24"/>
        </w:rPr>
        <w:t>d</w:t>
      </w:r>
      <w:r>
        <w:rPr>
          <w:szCs w:val="24"/>
        </w:rPr>
        <w:t xml:space="preserve"> annual responses (1 per respondent) for new entrants to file the </w:t>
      </w:r>
      <w:r w:rsidR="00D80A35">
        <w:rPr>
          <w:szCs w:val="24"/>
        </w:rPr>
        <w:t xml:space="preserve">Form </w:t>
      </w:r>
      <w:r>
        <w:rPr>
          <w:szCs w:val="24"/>
        </w:rPr>
        <w:t>MCSA-1.</w:t>
      </w:r>
      <w:r w:rsidR="005C5240">
        <w:rPr>
          <w:szCs w:val="24"/>
        </w:rPr>
        <w:t xml:space="preserve"> </w:t>
      </w:r>
      <w:r w:rsidR="0053462D">
        <w:rPr>
          <w:szCs w:val="24"/>
        </w:rPr>
        <w:t xml:space="preserve"> </w:t>
      </w:r>
      <w:r>
        <w:rPr>
          <w:szCs w:val="24"/>
        </w:rPr>
        <w:t>Table</w:t>
      </w:r>
      <w:r w:rsidR="00D3396F">
        <w:rPr>
          <w:szCs w:val="24"/>
        </w:rPr>
        <w:t>s</w:t>
      </w:r>
      <w:r>
        <w:rPr>
          <w:szCs w:val="24"/>
        </w:rPr>
        <w:t xml:space="preserve"> 3</w:t>
      </w:r>
      <w:r w:rsidR="00D3396F">
        <w:rPr>
          <w:szCs w:val="24"/>
        </w:rPr>
        <w:t xml:space="preserve"> </w:t>
      </w:r>
      <w:r w:rsidR="00E24868">
        <w:rPr>
          <w:szCs w:val="24"/>
        </w:rPr>
        <w:t xml:space="preserve">through </w:t>
      </w:r>
      <w:r w:rsidR="00B07B14">
        <w:rPr>
          <w:szCs w:val="24"/>
        </w:rPr>
        <w:t>6</w:t>
      </w:r>
      <w:r w:rsidR="00E24868">
        <w:rPr>
          <w:szCs w:val="24"/>
        </w:rPr>
        <w:t xml:space="preserve"> </w:t>
      </w:r>
      <w:r>
        <w:rPr>
          <w:szCs w:val="24"/>
        </w:rPr>
        <w:t xml:space="preserve">present the annual responses for carriers </w:t>
      </w:r>
      <w:r w:rsidR="00905EDB">
        <w:rPr>
          <w:szCs w:val="24"/>
        </w:rPr>
        <w:t xml:space="preserve">with recent activity </w:t>
      </w:r>
      <w:r>
        <w:rPr>
          <w:szCs w:val="24"/>
        </w:rPr>
        <w:t>to file updates</w:t>
      </w:r>
      <w:r w:rsidR="00E24868">
        <w:rPr>
          <w:szCs w:val="24"/>
        </w:rPr>
        <w:t>,</w:t>
      </w:r>
      <w:r w:rsidR="00D3396F">
        <w:rPr>
          <w:szCs w:val="24"/>
        </w:rPr>
        <w:t xml:space="preserve"> name</w:t>
      </w:r>
      <w:r w:rsidR="00D80A35">
        <w:rPr>
          <w:szCs w:val="24"/>
        </w:rPr>
        <w:t>/address</w:t>
      </w:r>
      <w:r w:rsidR="00D3396F">
        <w:rPr>
          <w:szCs w:val="24"/>
        </w:rPr>
        <w:t xml:space="preserve"> changes</w:t>
      </w:r>
      <w:r w:rsidR="00E24868">
        <w:rPr>
          <w:szCs w:val="24"/>
        </w:rPr>
        <w:t>,</w:t>
      </w:r>
      <w:r w:rsidR="00D2340B">
        <w:rPr>
          <w:szCs w:val="24"/>
        </w:rPr>
        <w:t xml:space="preserve"> reinstatements</w:t>
      </w:r>
      <w:r w:rsidR="00B07B14">
        <w:rPr>
          <w:szCs w:val="24"/>
        </w:rPr>
        <w:t>,</w:t>
      </w:r>
      <w:r w:rsidR="00E24868">
        <w:rPr>
          <w:szCs w:val="24"/>
        </w:rPr>
        <w:t xml:space="preserve"> and notify </w:t>
      </w:r>
      <w:r w:rsidR="00C2100C">
        <w:rPr>
          <w:szCs w:val="24"/>
        </w:rPr>
        <w:t xml:space="preserve">FMCSA </w:t>
      </w:r>
      <w:r w:rsidR="00E24868">
        <w:rPr>
          <w:szCs w:val="24"/>
        </w:rPr>
        <w:t>about a transfer of operating authority</w:t>
      </w:r>
      <w:r>
        <w:rPr>
          <w:szCs w:val="24"/>
        </w:rPr>
        <w:t>.</w:t>
      </w:r>
      <w:r w:rsidR="005C5240">
        <w:rPr>
          <w:szCs w:val="24"/>
        </w:rPr>
        <w:t xml:space="preserve"> </w:t>
      </w:r>
      <w:r w:rsidR="0053462D">
        <w:rPr>
          <w:szCs w:val="24"/>
        </w:rPr>
        <w:t xml:space="preserve"> </w:t>
      </w:r>
      <w:r w:rsidR="00BA4A26">
        <w:rPr>
          <w:szCs w:val="24"/>
        </w:rPr>
        <w:t xml:space="preserve">The time required </w:t>
      </w:r>
      <w:proofErr w:type="gramStart"/>
      <w:r w:rsidR="00BA4A26">
        <w:rPr>
          <w:szCs w:val="24"/>
        </w:rPr>
        <w:t>to read</w:t>
      </w:r>
      <w:proofErr w:type="gramEnd"/>
      <w:r w:rsidR="00BA4A26">
        <w:rPr>
          <w:szCs w:val="24"/>
        </w:rPr>
        <w:t xml:space="preserve"> the instructions, collect the information, and complete the form is estimated to average </w:t>
      </w:r>
      <w:r w:rsidR="007B0CC4">
        <w:rPr>
          <w:szCs w:val="24"/>
        </w:rPr>
        <w:t>1.</w:t>
      </w:r>
      <w:r w:rsidR="00B45EBF">
        <w:rPr>
          <w:szCs w:val="24"/>
        </w:rPr>
        <w:t xml:space="preserve">34 </w:t>
      </w:r>
      <w:r w:rsidR="00BA4A26">
        <w:rPr>
          <w:szCs w:val="24"/>
        </w:rPr>
        <w:t>hours.</w:t>
      </w:r>
      <w:r w:rsidR="005C5240">
        <w:rPr>
          <w:szCs w:val="24"/>
        </w:rPr>
        <w:t xml:space="preserve"> </w:t>
      </w:r>
      <w:r w:rsidR="0053462D">
        <w:rPr>
          <w:szCs w:val="24"/>
        </w:rPr>
        <w:t xml:space="preserve"> </w:t>
      </w:r>
      <w:r w:rsidR="007B0CC4">
        <w:rPr>
          <w:szCs w:val="24"/>
        </w:rPr>
        <w:t>This is a weighted average estimated as follows:</w:t>
      </w:r>
    </w:p>
    <w:p w:rsidR="007B0CC4" w:rsidRDefault="007B0CC4" w:rsidP="00C574F7">
      <w:pPr>
        <w:rPr>
          <w:szCs w:val="24"/>
        </w:rPr>
      </w:pPr>
    </w:p>
    <w:p w:rsidR="007B0CC4" w:rsidRDefault="00E63621" w:rsidP="007B0CC4">
      <w:pPr>
        <w:pStyle w:val="Bullet1"/>
      </w:pPr>
      <w:r w:rsidRPr="00852DF3">
        <w:t>Carriers</w:t>
      </w:r>
      <w:r w:rsidR="007B0CC4">
        <w:t xml:space="preserve"> that need to file only the information currently required on an MC</w:t>
      </w:r>
      <w:r w:rsidR="00D80A35">
        <w:t>S</w:t>
      </w:r>
      <w:r w:rsidR="007B0CC4">
        <w:t>-150 are assumed to continue to need only 20 minutes to complete the form.</w:t>
      </w:r>
    </w:p>
    <w:p w:rsidR="007B0CC4" w:rsidRDefault="00E63621" w:rsidP="007B0CC4">
      <w:pPr>
        <w:pStyle w:val="Bullet1"/>
      </w:pPr>
      <w:r w:rsidRPr="00852DF3">
        <w:t>Carriers</w:t>
      </w:r>
      <w:r w:rsidR="007B0CC4">
        <w:t xml:space="preserve"> that </w:t>
      </w:r>
      <w:r w:rsidR="00D80A35">
        <w:t xml:space="preserve">currently </w:t>
      </w:r>
      <w:r w:rsidR="0073389B">
        <w:t>must</w:t>
      </w:r>
      <w:r w:rsidR="007B0CC4">
        <w:t xml:space="preserve"> file </w:t>
      </w:r>
      <w:r w:rsidR="0073389B">
        <w:t xml:space="preserve">Form </w:t>
      </w:r>
      <w:r w:rsidR="00193FE1">
        <w:t>MC</w:t>
      </w:r>
      <w:r w:rsidR="00D80A35">
        <w:t>S</w:t>
      </w:r>
      <w:r w:rsidR="00193FE1">
        <w:t xml:space="preserve">-150B </w:t>
      </w:r>
      <w:r w:rsidR="0073389B">
        <w:t>to obtain a hazardous materials safety permit are</w:t>
      </w:r>
      <w:r w:rsidR="007B0CC4">
        <w:t xml:space="preserve"> assumed to need 26 minutes</w:t>
      </w:r>
      <w:r w:rsidR="00D80A35">
        <w:t xml:space="preserve"> to complete the new form</w:t>
      </w:r>
      <w:r w:rsidR="007B0CC4">
        <w:t>.</w:t>
      </w:r>
    </w:p>
    <w:p w:rsidR="007B0CC4" w:rsidRDefault="00AA2A56" w:rsidP="007B0CC4">
      <w:pPr>
        <w:pStyle w:val="Bullet1"/>
      </w:pPr>
      <w:r>
        <w:t xml:space="preserve">Entities </w:t>
      </w:r>
      <w:r w:rsidR="007B0CC4">
        <w:t>that currently complete only an OP</w:t>
      </w:r>
      <w:r w:rsidR="00D80A35">
        <w:t>-1 series</w:t>
      </w:r>
      <w:r w:rsidR="007B0CC4">
        <w:t xml:space="preserve"> form are assumed to still need 2 hours to complete the </w:t>
      </w:r>
      <w:r w:rsidR="00E53ABB">
        <w:t xml:space="preserve">new </w:t>
      </w:r>
      <w:r w:rsidR="007B0CC4">
        <w:t>form.</w:t>
      </w:r>
    </w:p>
    <w:p w:rsidR="007B0CC4" w:rsidRDefault="00E63621" w:rsidP="007B0CC4">
      <w:pPr>
        <w:pStyle w:val="Bullet1"/>
      </w:pPr>
      <w:r w:rsidRPr="00852DF3">
        <w:t>Carriers</w:t>
      </w:r>
      <w:r w:rsidR="007B0CC4">
        <w:t xml:space="preserve"> that currently file both the MC</w:t>
      </w:r>
      <w:r w:rsidR="00D80A35">
        <w:t>S</w:t>
      </w:r>
      <w:r w:rsidR="007B0CC4">
        <w:t>-150 and an OP</w:t>
      </w:r>
      <w:r w:rsidR="00D80A35">
        <w:t>-1 series</w:t>
      </w:r>
      <w:r w:rsidR="007B0CC4">
        <w:t xml:space="preserve"> form are assumed to take 2 hours and 10 minutes</w:t>
      </w:r>
      <w:r w:rsidR="0073389B">
        <w:t xml:space="preserve"> to complete the new form</w:t>
      </w:r>
      <w:r w:rsidR="007B0CC4">
        <w:t>.</w:t>
      </w:r>
      <w:r w:rsidR="005C5240">
        <w:t xml:space="preserve"> </w:t>
      </w:r>
      <w:r w:rsidR="007B0CC4">
        <w:t>These carriers are currently estimated to spend 2 hours completing the OP</w:t>
      </w:r>
      <w:r w:rsidR="00D80A35">
        <w:t>-1 series</w:t>
      </w:r>
      <w:r w:rsidR="007B0CC4">
        <w:t xml:space="preserve"> form and 20 minutes to </w:t>
      </w:r>
      <w:r w:rsidR="00DB0BB3">
        <w:t xml:space="preserve">complete </w:t>
      </w:r>
      <w:r w:rsidR="007B0CC4">
        <w:t>the MC</w:t>
      </w:r>
      <w:r w:rsidR="00D80A35">
        <w:t>S</w:t>
      </w:r>
      <w:r w:rsidR="007B0CC4">
        <w:t>-150.</w:t>
      </w:r>
      <w:r w:rsidR="005C5240">
        <w:t xml:space="preserve"> </w:t>
      </w:r>
      <w:r w:rsidR="007B0CC4">
        <w:t>The 10-minute time saving</w:t>
      </w:r>
      <w:r w:rsidR="00D80A35">
        <w:t>s to complete the new MCSA-1 form</w:t>
      </w:r>
      <w:r w:rsidR="007B0CC4">
        <w:t xml:space="preserve"> reflects the elimination of completing the same basic identification information on both </w:t>
      </w:r>
      <w:r w:rsidR="00D80A35">
        <w:t xml:space="preserve">old </w:t>
      </w:r>
      <w:r w:rsidR="007B0CC4">
        <w:t>forms.</w:t>
      </w:r>
    </w:p>
    <w:p w:rsidR="007B0CC4" w:rsidRDefault="007B0CC4" w:rsidP="00C574F7">
      <w:pPr>
        <w:rPr>
          <w:szCs w:val="24"/>
        </w:rPr>
      </w:pPr>
    </w:p>
    <w:p w:rsidR="00816897" w:rsidRDefault="008C26C2" w:rsidP="00C574F7">
      <w:pPr>
        <w:rPr>
          <w:szCs w:val="24"/>
        </w:rPr>
      </w:pPr>
      <w:r>
        <w:rPr>
          <w:szCs w:val="24"/>
        </w:rPr>
        <w:t xml:space="preserve">Biennial updates are estimated to require 10 minutes </w:t>
      </w:r>
      <w:r w:rsidR="0073389B">
        <w:rPr>
          <w:szCs w:val="24"/>
        </w:rPr>
        <w:t>bec</w:t>
      </w:r>
      <w:r>
        <w:rPr>
          <w:szCs w:val="24"/>
        </w:rPr>
        <w:t>a</w:t>
      </w:r>
      <w:r w:rsidR="0073389B">
        <w:rPr>
          <w:szCs w:val="24"/>
        </w:rPr>
        <w:t>u</w:t>
      </w:r>
      <w:r>
        <w:rPr>
          <w:szCs w:val="24"/>
        </w:rPr>
        <w:t>s</w:t>
      </w:r>
      <w:r w:rsidR="0073389B">
        <w:rPr>
          <w:szCs w:val="24"/>
        </w:rPr>
        <w:t>e</w:t>
      </w:r>
      <w:r>
        <w:rPr>
          <w:szCs w:val="24"/>
        </w:rPr>
        <w:t xml:space="preserve"> little of the information </w:t>
      </w:r>
      <w:r w:rsidR="00D80A35">
        <w:rPr>
          <w:szCs w:val="24"/>
        </w:rPr>
        <w:t xml:space="preserve">in this category </w:t>
      </w:r>
      <w:r>
        <w:rPr>
          <w:szCs w:val="24"/>
        </w:rPr>
        <w:t>is likely to change.</w:t>
      </w:r>
      <w:r w:rsidR="005C5240">
        <w:rPr>
          <w:szCs w:val="24"/>
        </w:rPr>
        <w:t xml:space="preserve"> </w:t>
      </w:r>
      <w:r w:rsidR="0053462D">
        <w:rPr>
          <w:szCs w:val="24"/>
        </w:rPr>
        <w:t xml:space="preserve"> </w:t>
      </w:r>
      <w:r>
        <w:rPr>
          <w:szCs w:val="24"/>
        </w:rPr>
        <w:t>Name</w:t>
      </w:r>
      <w:r w:rsidR="00D80A35">
        <w:rPr>
          <w:szCs w:val="24"/>
        </w:rPr>
        <w:t>/address</w:t>
      </w:r>
      <w:r>
        <w:rPr>
          <w:szCs w:val="24"/>
        </w:rPr>
        <w:t xml:space="preserve"> changes</w:t>
      </w:r>
      <w:r w:rsidR="008F10D5">
        <w:rPr>
          <w:szCs w:val="24"/>
        </w:rPr>
        <w:t xml:space="preserve"> </w:t>
      </w:r>
      <w:r w:rsidR="00615364">
        <w:rPr>
          <w:szCs w:val="24"/>
        </w:rPr>
        <w:t>and notification</w:t>
      </w:r>
      <w:r w:rsidR="008F10D5">
        <w:rPr>
          <w:szCs w:val="24"/>
        </w:rPr>
        <w:t xml:space="preserve"> of transfers</w:t>
      </w:r>
      <w:r>
        <w:rPr>
          <w:szCs w:val="24"/>
        </w:rPr>
        <w:t xml:space="preserve"> are estimated to take </w:t>
      </w:r>
      <w:r w:rsidR="00B96F81">
        <w:rPr>
          <w:szCs w:val="24"/>
        </w:rPr>
        <w:t>10</w:t>
      </w:r>
      <w:r>
        <w:rPr>
          <w:szCs w:val="24"/>
        </w:rPr>
        <w:t xml:space="preserve"> minutes.</w:t>
      </w:r>
      <w:r w:rsidR="005C5240">
        <w:rPr>
          <w:szCs w:val="24"/>
        </w:rPr>
        <w:t xml:space="preserve"> </w:t>
      </w:r>
      <w:r w:rsidR="0053462D">
        <w:rPr>
          <w:szCs w:val="24"/>
        </w:rPr>
        <w:t xml:space="preserve"> </w:t>
      </w:r>
      <w:r>
        <w:rPr>
          <w:szCs w:val="24"/>
        </w:rPr>
        <w:t>Biennial updates are estimated by subtracting new entrants from total entities</w:t>
      </w:r>
      <w:r w:rsidR="003268E5">
        <w:rPr>
          <w:szCs w:val="24"/>
        </w:rPr>
        <w:t xml:space="preserve"> regulated</w:t>
      </w:r>
      <w:r>
        <w:rPr>
          <w:szCs w:val="24"/>
        </w:rPr>
        <w:t xml:space="preserve"> and dividing that result by two.</w:t>
      </w:r>
      <w:r w:rsidR="005C5240">
        <w:rPr>
          <w:szCs w:val="24"/>
        </w:rPr>
        <w:t xml:space="preserve"> </w:t>
      </w:r>
      <w:r w:rsidR="0053462D">
        <w:rPr>
          <w:szCs w:val="24"/>
        </w:rPr>
        <w:t xml:space="preserve"> </w:t>
      </w:r>
      <w:r>
        <w:rPr>
          <w:szCs w:val="24"/>
        </w:rPr>
        <w:t>The number of new entrants and name</w:t>
      </w:r>
      <w:r w:rsidR="00581F7F">
        <w:rPr>
          <w:szCs w:val="24"/>
        </w:rPr>
        <w:t>/address</w:t>
      </w:r>
      <w:r>
        <w:rPr>
          <w:szCs w:val="24"/>
        </w:rPr>
        <w:t xml:space="preserve"> changes, as well as total entities, is based on 2009 FMCSA data used for the Regulatory Impact Analysis </w:t>
      </w:r>
      <w:r w:rsidR="00797541">
        <w:rPr>
          <w:szCs w:val="24"/>
        </w:rPr>
        <w:t xml:space="preserve">(RIA) </w:t>
      </w:r>
      <w:r>
        <w:rPr>
          <w:szCs w:val="24"/>
        </w:rPr>
        <w:t xml:space="preserve">in support of the </w:t>
      </w:r>
      <w:r w:rsidR="00615364">
        <w:rPr>
          <w:szCs w:val="24"/>
        </w:rPr>
        <w:t>Final Rule</w:t>
      </w:r>
      <w:r>
        <w:rPr>
          <w:szCs w:val="24"/>
        </w:rPr>
        <w:t>.</w:t>
      </w:r>
      <w:r w:rsidR="005C5240">
        <w:rPr>
          <w:szCs w:val="24"/>
        </w:rPr>
        <w:t xml:space="preserve"> </w:t>
      </w:r>
      <w:r w:rsidR="0053462D">
        <w:rPr>
          <w:szCs w:val="24"/>
        </w:rPr>
        <w:t xml:space="preserve"> </w:t>
      </w:r>
      <w:r w:rsidR="00615364">
        <w:rPr>
          <w:szCs w:val="24"/>
        </w:rPr>
        <w:t xml:space="preserve">The number of notification of transfers is based </w:t>
      </w:r>
      <w:r w:rsidR="00CD7EF1">
        <w:rPr>
          <w:szCs w:val="24"/>
        </w:rPr>
        <w:t xml:space="preserve">on </w:t>
      </w:r>
      <w:r w:rsidR="00615364">
        <w:rPr>
          <w:szCs w:val="24"/>
        </w:rPr>
        <w:t>201</w:t>
      </w:r>
      <w:r w:rsidR="00464D74">
        <w:rPr>
          <w:szCs w:val="24"/>
        </w:rPr>
        <w:t>2</w:t>
      </w:r>
      <w:r w:rsidR="00615364">
        <w:rPr>
          <w:szCs w:val="24"/>
        </w:rPr>
        <w:t xml:space="preserve"> FMCSA data used in the RIA.</w:t>
      </w:r>
    </w:p>
    <w:p w:rsidR="009D372D" w:rsidRDefault="009D372D" w:rsidP="00C574F7">
      <w:pPr>
        <w:rPr>
          <w:szCs w:val="24"/>
        </w:rPr>
      </w:pPr>
    </w:p>
    <w:p w:rsidR="005440A6" w:rsidRDefault="005440A6" w:rsidP="005440A6">
      <w:pPr>
        <w:rPr>
          <w:szCs w:val="24"/>
        </w:rPr>
      </w:pPr>
      <w:r>
        <w:rPr>
          <w:szCs w:val="24"/>
        </w:rPr>
        <w:t xml:space="preserve">The population estimates in this ICR differ slightly from the ICR for the MCS Forms, which estimate burdens based on the current frequency counts of filings.  The burden estimates for the purpose of this ICR reflect the total population under </w:t>
      </w:r>
      <w:r w:rsidR="00604BEC">
        <w:rPr>
          <w:szCs w:val="24"/>
        </w:rPr>
        <w:t>URS plus the population of intra</w:t>
      </w:r>
      <w:r>
        <w:rPr>
          <w:szCs w:val="24"/>
        </w:rPr>
        <w:t>state non-hazmat carriers.</w:t>
      </w:r>
      <w:r w:rsidR="007B7F2E" w:rsidRPr="007B7F2E">
        <w:rPr>
          <w:rStyle w:val="FootnoteReference"/>
          <w:b/>
          <w:szCs w:val="24"/>
        </w:rPr>
        <w:t xml:space="preserve"> </w:t>
      </w:r>
      <w:r w:rsidR="007B7F2E">
        <w:rPr>
          <w:rStyle w:val="FootnoteReference"/>
          <w:b/>
          <w:szCs w:val="24"/>
        </w:rPr>
        <w:footnoteReference w:id="2"/>
      </w:r>
      <w:r>
        <w:rPr>
          <w:szCs w:val="24"/>
        </w:rPr>
        <w:t xml:space="preserve">  Because this ICR starts in 2014, FMCSA projected the populations to the period from 2014 to 2016 to align with the URS RIA.</w:t>
      </w:r>
    </w:p>
    <w:p w:rsidR="009F3981" w:rsidRDefault="009F3981" w:rsidP="00C574F7">
      <w:pPr>
        <w:rPr>
          <w:szCs w:val="24"/>
        </w:rPr>
      </w:pPr>
    </w:p>
    <w:p w:rsidR="007B7F2E" w:rsidRDefault="007B7F2E">
      <w:pPr>
        <w:widowControl/>
        <w:autoSpaceDE/>
        <w:autoSpaceDN/>
        <w:adjustRightInd/>
        <w:rPr>
          <w:b/>
          <w:szCs w:val="24"/>
        </w:rPr>
      </w:pPr>
      <w:r>
        <w:rPr>
          <w:b/>
          <w:szCs w:val="24"/>
        </w:rPr>
        <w:br w:type="page"/>
      </w:r>
    </w:p>
    <w:p w:rsidR="008A3E8D" w:rsidRDefault="009F3981">
      <w:pPr>
        <w:jc w:val="center"/>
        <w:rPr>
          <w:b/>
          <w:szCs w:val="24"/>
        </w:rPr>
      </w:pPr>
      <w:r>
        <w:rPr>
          <w:b/>
          <w:szCs w:val="24"/>
        </w:rPr>
        <w:lastRenderedPageBreak/>
        <w:t>Table 1:</w:t>
      </w:r>
      <w:r w:rsidR="005C5240">
        <w:rPr>
          <w:b/>
          <w:szCs w:val="24"/>
        </w:rPr>
        <w:t xml:space="preserve"> </w:t>
      </w:r>
      <w:r>
        <w:rPr>
          <w:b/>
          <w:szCs w:val="24"/>
        </w:rPr>
        <w:t xml:space="preserve">Number of </w:t>
      </w:r>
      <w:r w:rsidR="00604BEC">
        <w:rPr>
          <w:b/>
          <w:szCs w:val="24"/>
        </w:rPr>
        <w:t>Applicants</w:t>
      </w:r>
      <w:r>
        <w:rPr>
          <w:b/>
          <w:szCs w:val="24"/>
        </w:rPr>
        <w:t xml:space="preserve"> by Year</w:t>
      </w:r>
    </w:p>
    <w:tbl>
      <w:tblPr>
        <w:tblW w:w="957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60"/>
        <w:gridCol w:w="1723"/>
        <w:gridCol w:w="1723"/>
        <w:gridCol w:w="1723"/>
        <w:gridCol w:w="1723"/>
        <w:gridCol w:w="1724"/>
      </w:tblGrid>
      <w:tr w:rsidR="001B5EEF" w:rsidRPr="009F3981" w:rsidTr="00604BEC">
        <w:trPr>
          <w:trHeight w:val="270"/>
          <w:jc w:val="center"/>
        </w:trPr>
        <w:tc>
          <w:tcPr>
            <w:tcW w:w="960" w:type="dxa"/>
            <w:shd w:val="clear" w:color="auto" w:fill="auto"/>
            <w:noWrap/>
            <w:vAlign w:val="center"/>
          </w:tcPr>
          <w:p w:rsidR="001B5EEF" w:rsidRPr="009F3981" w:rsidRDefault="001B5EEF" w:rsidP="00D3396F">
            <w:pPr>
              <w:widowControl/>
              <w:autoSpaceDE/>
              <w:autoSpaceDN/>
              <w:adjustRightInd/>
              <w:jc w:val="center"/>
              <w:rPr>
                <w:b/>
                <w:szCs w:val="24"/>
              </w:rPr>
            </w:pPr>
            <w:r w:rsidRPr="009F3981">
              <w:rPr>
                <w:b/>
                <w:szCs w:val="24"/>
              </w:rPr>
              <w:t>Year</w:t>
            </w:r>
          </w:p>
        </w:tc>
        <w:tc>
          <w:tcPr>
            <w:tcW w:w="1723" w:type="dxa"/>
            <w:shd w:val="clear" w:color="auto" w:fill="auto"/>
            <w:noWrap/>
            <w:vAlign w:val="center"/>
          </w:tcPr>
          <w:p w:rsidR="001B5EEF" w:rsidRPr="009F3981" w:rsidRDefault="008D7C52" w:rsidP="00D3396F">
            <w:pPr>
              <w:widowControl/>
              <w:autoSpaceDE/>
              <w:autoSpaceDN/>
              <w:adjustRightInd/>
              <w:jc w:val="center"/>
              <w:rPr>
                <w:b/>
                <w:szCs w:val="24"/>
              </w:rPr>
            </w:pPr>
            <w:r>
              <w:rPr>
                <w:b/>
                <w:szCs w:val="24"/>
              </w:rPr>
              <w:t xml:space="preserve">New Entrant </w:t>
            </w:r>
            <w:r w:rsidR="001B5EEF">
              <w:rPr>
                <w:b/>
                <w:szCs w:val="24"/>
              </w:rPr>
              <w:t xml:space="preserve">URS </w:t>
            </w:r>
            <w:r w:rsidR="00604BEC">
              <w:rPr>
                <w:b/>
                <w:szCs w:val="24"/>
              </w:rPr>
              <w:t>Applicants</w:t>
            </w:r>
          </w:p>
        </w:tc>
        <w:tc>
          <w:tcPr>
            <w:tcW w:w="1723" w:type="dxa"/>
            <w:shd w:val="clear" w:color="auto" w:fill="auto"/>
            <w:noWrap/>
            <w:vAlign w:val="center"/>
          </w:tcPr>
          <w:p w:rsidR="001B5EEF" w:rsidRPr="009F3981" w:rsidRDefault="001B5EEF" w:rsidP="006655B2">
            <w:pPr>
              <w:widowControl/>
              <w:autoSpaceDE/>
              <w:autoSpaceDN/>
              <w:adjustRightInd/>
              <w:jc w:val="center"/>
              <w:rPr>
                <w:b/>
                <w:szCs w:val="24"/>
              </w:rPr>
            </w:pPr>
            <w:r w:rsidRPr="009F3981">
              <w:rPr>
                <w:b/>
                <w:szCs w:val="24"/>
              </w:rPr>
              <w:t>Total</w:t>
            </w:r>
            <w:r>
              <w:rPr>
                <w:b/>
                <w:szCs w:val="24"/>
              </w:rPr>
              <w:t xml:space="preserve"> URS </w:t>
            </w:r>
            <w:r w:rsidRPr="009F3981">
              <w:rPr>
                <w:b/>
                <w:szCs w:val="24"/>
              </w:rPr>
              <w:t>Entities</w:t>
            </w:r>
          </w:p>
        </w:tc>
        <w:tc>
          <w:tcPr>
            <w:tcW w:w="1723" w:type="dxa"/>
            <w:vAlign w:val="center"/>
          </w:tcPr>
          <w:p w:rsidR="001B5EEF" w:rsidRPr="009F3981" w:rsidRDefault="00283740" w:rsidP="007B7F2E">
            <w:pPr>
              <w:widowControl/>
              <w:autoSpaceDE/>
              <w:autoSpaceDN/>
              <w:adjustRightInd/>
              <w:jc w:val="center"/>
              <w:rPr>
                <w:b/>
                <w:szCs w:val="24"/>
              </w:rPr>
            </w:pPr>
            <w:r>
              <w:rPr>
                <w:b/>
                <w:szCs w:val="24"/>
              </w:rPr>
              <w:t xml:space="preserve">New Entrant </w:t>
            </w:r>
            <w:r w:rsidR="002A141E" w:rsidRPr="00604BEC">
              <w:rPr>
                <w:b/>
                <w:szCs w:val="24"/>
              </w:rPr>
              <w:t>Intrastate Non-Hazmat Carrier</w:t>
            </w:r>
            <w:r w:rsidR="001B5EEF">
              <w:rPr>
                <w:b/>
                <w:szCs w:val="24"/>
              </w:rPr>
              <w:t xml:space="preserve"> </w:t>
            </w:r>
            <w:r w:rsidR="00604BEC">
              <w:rPr>
                <w:b/>
                <w:szCs w:val="24"/>
              </w:rPr>
              <w:t>Applicants</w:t>
            </w:r>
          </w:p>
        </w:tc>
        <w:tc>
          <w:tcPr>
            <w:tcW w:w="1723" w:type="dxa"/>
            <w:vAlign w:val="center"/>
          </w:tcPr>
          <w:p w:rsidR="001B5EEF" w:rsidRPr="009F3981" w:rsidRDefault="001B5EEF" w:rsidP="007B7F2E">
            <w:pPr>
              <w:widowControl/>
              <w:autoSpaceDE/>
              <w:autoSpaceDN/>
              <w:adjustRightInd/>
              <w:jc w:val="center"/>
              <w:rPr>
                <w:b/>
                <w:szCs w:val="24"/>
              </w:rPr>
            </w:pPr>
            <w:r>
              <w:rPr>
                <w:b/>
                <w:szCs w:val="24"/>
              </w:rPr>
              <w:t xml:space="preserve">Total </w:t>
            </w:r>
            <w:r w:rsidR="002A141E" w:rsidRPr="00604BEC">
              <w:rPr>
                <w:b/>
                <w:szCs w:val="24"/>
              </w:rPr>
              <w:t>Intrastate Non-Hazmat Carrier</w:t>
            </w:r>
            <w:r>
              <w:rPr>
                <w:b/>
                <w:szCs w:val="24"/>
              </w:rPr>
              <w:t xml:space="preserve"> Entities</w:t>
            </w:r>
          </w:p>
        </w:tc>
        <w:tc>
          <w:tcPr>
            <w:tcW w:w="1724" w:type="dxa"/>
            <w:vAlign w:val="center"/>
          </w:tcPr>
          <w:p w:rsidR="001B5EEF" w:rsidRDefault="001B5EEF" w:rsidP="006655B2">
            <w:pPr>
              <w:widowControl/>
              <w:autoSpaceDE/>
              <w:autoSpaceDN/>
              <w:adjustRightInd/>
              <w:jc w:val="center"/>
              <w:rPr>
                <w:b/>
                <w:szCs w:val="24"/>
              </w:rPr>
            </w:pPr>
            <w:r>
              <w:rPr>
                <w:b/>
                <w:szCs w:val="24"/>
              </w:rPr>
              <w:t>Total Entities</w:t>
            </w:r>
          </w:p>
          <w:p w:rsidR="004F3076" w:rsidRDefault="004F3076" w:rsidP="006655B2">
            <w:pPr>
              <w:widowControl/>
              <w:autoSpaceDE/>
              <w:autoSpaceDN/>
              <w:adjustRightInd/>
              <w:jc w:val="center"/>
              <w:rPr>
                <w:b/>
                <w:szCs w:val="24"/>
              </w:rPr>
            </w:pPr>
            <w:r>
              <w:rPr>
                <w:b/>
                <w:szCs w:val="24"/>
              </w:rPr>
              <w:t>(Total URS Entities + Total Intrastate Non-Hazmat Carrier Entities)</w:t>
            </w:r>
          </w:p>
        </w:tc>
      </w:tr>
      <w:tr w:rsidR="001B5EEF" w:rsidRPr="009F3981" w:rsidTr="00604BEC">
        <w:trPr>
          <w:trHeight w:val="255"/>
          <w:jc w:val="center"/>
        </w:trPr>
        <w:tc>
          <w:tcPr>
            <w:tcW w:w="960" w:type="dxa"/>
            <w:shd w:val="clear" w:color="auto" w:fill="auto"/>
            <w:noWrap/>
            <w:vAlign w:val="center"/>
          </w:tcPr>
          <w:p w:rsidR="001B5EEF" w:rsidRPr="009F3981" w:rsidRDefault="001B5EEF" w:rsidP="00D3396F">
            <w:pPr>
              <w:widowControl/>
              <w:autoSpaceDE/>
              <w:autoSpaceDN/>
              <w:adjustRightInd/>
              <w:jc w:val="center"/>
              <w:rPr>
                <w:szCs w:val="24"/>
              </w:rPr>
            </w:pPr>
            <w:r w:rsidRPr="009F3981">
              <w:rPr>
                <w:szCs w:val="24"/>
              </w:rPr>
              <w:t>1</w:t>
            </w:r>
          </w:p>
        </w:tc>
        <w:tc>
          <w:tcPr>
            <w:tcW w:w="1723" w:type="dxa"/>
            <w:shd w:val="clear" w:color="auto" w:fill="auto"/>
            <w:noWrap/>
            <w:vAlign w:val="bottom"/>
          </w:tcPr>
          <w:p w:rsidR="001B5EEF" w:rsidRPr="004670EC" w:rsidRDefault="001B5EEF" w:rsidP="00D3396F">
            <w:pPr>
              <w:widowControl/>
              <w:autoSpaceDE/>
              <w:autoSpaceDN/>
              <w:adjustRightInd/>
              <w:jc w:val="center"/>
              <w:rPr>
                <w:szCs w:val="24"/>
              </w:rPr>
            </w:pPr>
            <w:r>
              <w:rPr>
                <w:szCs w:val="24"/>
              </w:rPr>
              <w:t>61,280</w:t>
            </w:r>
          </w:p>
        </w:tc>
        <w:tc>
          <w:tcPr>
            <w:tcW w:w="1723" w:type="dxa"/>
            <w:shd w:val="clear" w:color="auto" w:fill="auto"/>
            <w:noWrap/>
            <w:vAlign w:val="bottom"/>
          </w:tcPr>
          <w:p w:rsidR="001B5EEF" w:rsidRPr="004670EC" w:rsidRDefault="001B5EEF" w:rsidP="00D3396F">
            <w:pPr>
              <w:widowControl/>
              <w:autoSpaceDE/>
              <w:autoSpaceDN/>
              <w:adjustRightInd/>
              <w:jc w:val="center"/>
              <w:rPr>
                <w:szCs w:val="24"/>
              </w:rPr>
            </w:pPr>
            <w:r>
              <w:rPr>
                <w:szCs w:val="24"/>
              </w:rPr>
              <w:t>583,999</w:t>
            </w:r>
          </w:p>
        </w:tc>
        <w:tc>
          <w:tcPr>
            <w:tcW w:w="1723" w:type="dxa"/>
            <w:vAlign w:val="bottom"/>
          </w:tcPr>
          <w:p w:rsidR="001B5EEF" w:rsidRPr="001B5EEF" w:rsidRDefault="001B5EEF" w:rsidP="001B5EEF">
            <w:pPr>
              <w:widowControl/>
              <w:autoSpaceDE/>
              <w:autoSpaceDN/>
              <w:adjustRightInd/>
              <w:jc w:val="center"/>
              <w:rPr>
                <w:szCs w:val="24"/>
              </w:rPr>
            </w:pPr>
            <w:r w:rsidRPr="001B5EEF">
              <w:rPr>
                <w:szCs w:val="24"/>
              </w:rPr>
              <w:t>48,450</w:t>
            </w:r>
          </w:p>
        </w:tc>
        <w:tc>
          <w:tcPr>
            <w:tcW w:w="1723" w:type="dxa"/>
            <w:vAlign w:val="bottom"/>
          </w:tcPr>
          <w:p w:rsidR="001B5EEF" w:rsidRPr="001B5EEF" w:rsidRDefault="001B5EEF" w:rsidP="001B5EEF">
            <w:pPr>
              <w:widowControl/>
              <w:autoSpaceDE/>
              <w:autoSpaceDN/>
              <w:adjustRightInd/>
              <w:jc w:val="center"/>
              <w:rPr>
                <w:szCs w:val="24"/>
              </w:rPr>
            </w:pPr>
            <w:r w:rsidRPr="001B5EEF">
              <w:rPr>
                <w:szCs w:val="24"/>
              </w:rPr>
              <w:t xml:space="preserve">         43,265 </w:t>
            </w:r>
          </w:p>
        </w:tc>
        <w:tc>
          <w:tcPr>
            <w:tcW w:w="1724" w:type="dxa"/>
            <w:vAlign w:val="bottom"/>
          </w:tcPr>
          <w:p w:rsidR="001B5EEF" w:rsidRPr="001B5EEF" w:rsidRDefault="001B5EEF" w:rsidP="001B5EEF">
            <w:pPr>
              <w:widowControl/>
              <w:autoSpaceDE/>
              <w:autoSpaceDN/>
              <w:adjustRightInd/>
              <w:jc w:val="center"/>
              <w:rPr>
                <w:szCs w:val="24"/>
              </w:rPr>
            </w:pPr>
            <w:r w:rsidRPr="001B5EEF">
              <w:rPr>
                <w:szCs w:val="24"/>
              </w:rPr>
              <w:t>627,264</w:t>
            </w:r>
          </w:p>
        </w:tc>
      </w:tr>
      <w:tr w:rsidR="001B5EEF" w:rsidRPr="009F3981" w:rsidTr="00604BEC">
        <w:trPr>
          <w:trHeight w:val="255"/>
          <w:jc w:val="center"/>
        </w:trPr>
        <w:tc>
          <w:tcPr>
            <w:tcW w:w="960" w:type="dxa"/>
            <w:shd w:val="clear" w:color="auto" w:fill="auto"/>
            <w:noWrap/>
            <w:vAlign w:val="center"/>
          </w:tcPr>
          <w:p w:rsidR="001B5EEF" w:rsidRPr="009F3981" w:rsidRDefault="001B5EEF" w:rsidP="00D3396F">
            <w:pPr>
              <w:widowControl/>
              <w:autoSpaceDE/>
              <w:autoSpaceDN/>
              <w:adjustRightInd/>
              <w:jc w:val="center"/>
              <w:rPr>
                <w:szCs w:val="24"/>
              </w:rPr>
            </w:pPr>
            <w:r w:rsidRPr="009F3981">
              <w:rPr>
                <w:szCs w:val="24"/>
              </w:rPr>
              <w:t>2</w:t>
            </w:r>
          </w:p>
        </w:tc>
        <w:tc>
          <w:tcPr>
            <w:tcW w:w="1723" w:type="dxa"/>
            <w:shd w:val="clear" w:color="auto" w:fill="auto"/>
            <w:noWrap/>
            <w:vAlign w:val="bottom"/>
          </w:tcPr>
          <w:p w:rsidR="001B5EEF" w:rsidRPr="004670EC" w:rsidRDefault="001B5EEF" w:rsidP="00D3396F">
            <w:pPr>
              <w:widowControl/>
              <w:autoSpaceDE/>
              <w:autoSpaceDN/>
              <w:adjustRightInd/>
              <w:jc w:val="center"/>
              <w:rPr>
                <w:szCs w:val="24"/>
              </w:rPr>
            </w:pPr>
            <w:r>
              <w:rPr>
                <w:szCs w:val="24"/>
              </w:rPr>
              <w:t>62,132</w:t>
            </w:r>
          </w:p>
        </w:tc>
        <w:tc>
          <w:tcPr>
            <w:tcW w:w="1723" w:type="dxa"/>
            <w:shd w:val="clear" w:color="auto" w:fill="auto"/>
            <w:noWrap/>
            <w:vAlign w:val="bottom"/>
          </w:tcPr>
          <w:p w:rsidR="001B5EEF" w:rsidRPr="004670EC" w:rsidRDefault="001B5EEF" w:rsidP="00D3396F">
            <w:pPr>
              <w:widowControl/>
              <w:autoSpaceDE/>
              <w:autoSpaceDN/>
              <w:adjustRightInd/>
              <w:jc w:val="center"/>
              <w:rPr>
                <w:szCs w:val="24"/>
              </w:rPr>
            </w:pPr>
            <w:r>
              <w:rPr>
                <w:szCs w:val="24"/>
              </w:rPr>
              <w:t>592,115</w:t>
            </w:r>
          </w:p>
        </w:tc>
        <w:tc>
          <w:tcPr>
            <w:tcW w:w="1723" w:type="dxa"/>
            <w:vAlign w:val="bottom"/>
          </w:tcPr>
          <w:p w:rsidR="001B5EEF" w:rsidRPr="001B5EEF" w:rsidRDefault="001B5EEF" w:rsidP="001B5EEF">
            <w:pPr>
              <w:widowControl/>
              <w:autoSpaceDE/>
              <w:autoSpaceDN/>
              <w:adjustRightInd/>
              <w:jc w:val="center"/>
              <w:rPr>
                <w:szCs w:val="24"/>
              </w:rPr>
            </w:pPr>
            <w:r w:rsidRPr="001B5EEF">
              <w:rPr>
                <w:szCs w:val="24"/>
              </w:rPr>
              <w:t>48,450</w:t>
            </w:r>
          </w:p>
        </w:tc>
        <w:tc>
          <w:tcPr>
            <w:tcW w:w="1723" w:type="dxa"/>
            <w:vAlign w:val="bottom"/>
          </w:tcPr>
          <w:p w:rsidR="001B5EEF" w:rsidRPr="001B5EEF" w:rsidRDefault="001B5EEF" w:rsidP="001B5EEF">
            <w:pPr>
              <w:widowControl/>
              <w:autoSpaceDE/>
              <w:autoSpaceDN/>
              <w:adjustRightInd/>
              <w:jc w:val="center"/>
              <w:rPr>
                <w:szCs w:val="24"/>
              </w:rPr>
            </w:pPr>
            <w:r w:rsidRPr="001B5EEF">
              <w:rPr>
                <w:szCs w:val="24"/>
              </w:rPr>
              <w:t xml:space="preserve">         43,265 </w:t>
            </w:r>
          </w:p>
        </w:tc>
        <w:tc>
          <w:tcPr>
            <w:tcW w:w="1724" w:type="dxa"/>
            <w:vAlign w:val="bottom"/>
          </w:tcPr>
          <w:p w:rsidR="001B5EEF" w:rsidRPr="001B5EEF" w:rsidRDefault="001B5EEF" w:rsidP="001B5EEF">
            <w:pPr>
              <w:widowControl/>
              <w:autoSpaceDE/>
              <w:autoSpaceDN/>
              <w:adjustRightInd/>
              <w:jc w:val="center"/>
              <w:rPr>
                <w:szCs w:val="24"/>
              </w:rPr>
            </w:pPr>
            <w:r w:rsidRPr="001B5EEF">
              <w:rPr>
                <w:szCs w:val="24"/>
              </w:rPr>
              <w:t>635,380</w:t>
            </w:r>
          </w:p>
        </w:tc>
      </w:tr>
      <w:tr w:rsidR="001B5EEF" w:rsidRPr="009F3981" w:rsidTr="00604BEC">
        <w:trPr>
          <w:trHeight w:val="270"/>
          <w:jc w:val="center"/>
        </w:trPr>
        <w:tc>
          <w:tcPr>
            <w:tcW w:w="960" w:type="dxa"/>
            <w:shd w:val="clear" w:color="auto" w:fill="auto"/>
            <w:noWrap/>
            <w:vAlign w:val="center"/>
          </w:tcPr>
          <w:p w:rsidR="001B5EEF" w:rsidRPr="009F3981" w:rsidRDefault="001B5EEF" w:rsidP="00D3396F">
            <w:pPr>
              <w:widowControl/>
              <w:autoSpaceDE/>
              <w:autoSpaceDN/>
              <w:adjustRightInd/>
              <w:jc w:val="center"/>
              <w:rPr>
                <w:szCs w:val="24"/>
              </w:rPr>
            </w:pPr>
            <w:r w:rsidRPr="009F3981">
              <w:rPr>
                <w:szCs w:val="24"/>
              </w:rPr>
              <w:t>3</w:t>
            </w:r>
          </w:p>
        </w:tc>
        <w:tc>
          <w:tcPr>
            <w:tcW w:w="1723" w:type="dxa"/>
            <w:shd w:val="clear" w:color="auto" w:fill="auto"/>
            <w:noWrap/>
            <w:vAlign w:val="bottom"/>
          </w:tcPr>
          <w:p w:rsidR="001B5EEF" w:rsidRPr="004670EC" w:rsidRDefault="001B5EEF" w:rsidP="00D3396F">
            <w:pPr>
              <w:widowControl/>
              <w:autoSpaceDE/>
              <w:autoSpaceDN/>
              <w:adjustRightInd/>
              <w:jc w:val="center"/>
              <w:rPr>
                <w:szCs w:val="24"/>
              </w:rPr>
            </w:pPr>
            <w:r>
              <w:rPr>
                <w:szCs w:val="24"/>
              </w:rPr>
              <w:t>62,995</w:t>
            </w:r>
          </w:p>
        </w:tc>
        <w:tc>
          <w:tcPr>
            <w:tcW w:w="1723" w:type="dxa"/>
            <w:shd w:val="clear" w:color="auto" w:fill="auto"/>
            <w:noWrap/>
            <w:vAlign w:val="bottom"/>
          </w:tcPr>
          <w:p w:rsidR="001B5EEF" w:rsidRPr="004670EC" w:rsidRDefault="001B5EEF" w:rsidP="00D3396F">
            <w:pPr>
              <w:widowControl/>
              <w:autoSpaceDE/>
              <w:autoSpaceDN/>
              <w:adjustRightInd/>
              <w:jc w:val="center"/>
              <w:rPr>
                <w:szCs w:val="24"/>
              </w:rPr>
            </w:pPr>
            <w:r>
              <w:rPr>
                <w:szCs w:val="24"/>
              </w:rPr>
              <w:t>600,344</w:t>
            </w:r>
          </w:p>
        </w:tc>
        <w:tc>
          <w:tcPr>
            <w:tcW w:w="1723" w:type="dxa"/>
            <w:vAlign w:val="bottom"/>
          </w:tcPr>
          <w:p w:rsidR="001B5EEF" w:rsidRPr="001B5EEF" w:rsidRDefault="001B5EEF" w:rsidP="001B5EEF">
            <w:pPr>
              <w:widowControl/>
              <w:autoSpaceDE/>
              <w:autoSpaceDN/>
              <w:adjustRightInd/>
              <w:jc w:val="center"/>
              <w:rPr>
                <w:szCs w:val="24"/>
              </w:rPr>
            </w:pPr>
            <w:r w:rsidRPr="001B5EEF">
              <w:rPr>
                <w:szCs w:val="24"/>
              </w:rPr>
              <w:t>48,450</w:t>
            </w:r>
          </w:p>
        </w:tc>
        <w:tc>
          <w:tcPr>
            <w:tcW w:w="1723" w:type="dxa"/>
            <w:vAlign w:val="bottom"/>
          </w:tcPr>
          <w:p w:rsidR="001B5EEF" w:rsidRPr="001B5EEF" w:rsidRDefault="001B5EEF" w:rsidP="001B5EEF">
            <w:pPr>
              <w:widowControl/>
              <w:autoSpaceDE/>
              <w:autoSpaceDN/>
              <w:adjustRightInd/>
              <w:jc w:val="center"/>
              <w:rPr>
                <w:szCs w:val="24"/>
              </w:rPr>
            </w:pPr>
            <w:r w:rsidRPr="001B5EEF">
              <w:rPr>
                <w:szCs w:val="24"/>
              </w:rPr>
              <w:t xml:space="preserve">         43,265 </w:t>
            </w:r>
          </w:p>
        </w:tc>
        <w:tc>
          <w:tcPr>
            <w:tcW w:w="1724" w:type="dxa"/>
            <w:vAlign w:val="bottom"/>
          </w:tcPr>
          <w:p w:rsidR="001B5EEF" w:rsidRPr="001B5EEF" w:rsidRDefault="001B5EEF" w:rsidP="001B5EEF">
            <w:pPr>
              <w:widowControl/>
              <w:autoSpaceDE/>
              <w:autoSpaceDN/>
              <w:adjustRightInd/>
              <w:jc w:val="center"/>
              <w:rPr>
                <w:szCs w:val="24"/>
              </w:rPr>
            </w:pPr>
            <w:r w:rsidRPr="001B5EEF">
              <w:rPr>
                <w:szCs w:val="24"/>
              </w:rPr>
              <w:t>643,609</w:t>
            </w:r>
          </w:p>
        </w:tc>
      </w:tr>
    </w:tbl>
    <w:p w:rsidR="009F3981" w:rsidRPr="009F3981" w:rsidRDefault="009F3981" w:rsidP="00C574F7">
      <w:pPr>
        <w:rPr>
          <w:szCs w:val="24"/>
        </w:rPr>
      </w:pPr>
    </w:p>
    <w:p w:rsidR="009F3981" w:rsidRPr="009F3981" w:rsidRDefault="009F3981" w:rsidP="009107A7">
      <w:pPr>
        <w:keepNext/>
        <w:jc w:val="center"/>
        <w:rPr>
          <w:szCs w:val="24"/>
        </w:rPr>
      </w:pPr>
      <w:r w:rsidRPr="009F3981">
        <w:rPr>
          <w:b/>
          <w:szCs w:val="24"/>
        </w:rPr>
        <w:t>Table 2:</w:t>
      </w:r>
      <w:r w:rsidR="005C5240">
        <w:rPr>
          <w:b/>
          <w:szCs w:val="24"/>
        </w:rPr>
        <w:t xml:space="preserve"> </w:t>
      </w:r>
      <w:r w:rsidRPr="009F3981">
        <w:rPr>
          <w:b/>
          <w:szCs w:val="24"/>
        </w:rPr>
        <w:t>Respondents, Burden Hours for Initial Filings by Year</w:t>
      </w:r>
    </w:p>
    <w:tbl>
      <w:tblPr>
        <w:tblW w:w="9563" w:type="dxa"/>
        <w:jc w:val="center"/>
        <w:tblLook w:val="0000" w:firstRow="0" w:lastRow="0" w:firstColumn="0" w:lastColumn="0" w:noHBand="0" w:noVBand="0"/>
      </w:tblPr>
      <w:tblGrid>
        <w:gridCol w:w="1323"/>
        <w:gridCol w:w="1542"/>
        <w:gridCol w:w="2338"/>
        <w:gridCol w:w="2338"/>
        <w:gridCol w:w="2022"/>
      </w:tblGrid>
      <w:tr w:rsidR="00D03CCE" w:rsidRPr="009F3981" w:rsidTr="005D070B">
        <w:trPr>
          <w:trHeight w:val="270"/>
          <w:tblHeader/>
          <w:jc w:val="center"/>
        </w:trPr>
        <w:tc>
          <w:tcPr>
            <w:tcW w:w="1323"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D03CCE" w:rsidRPr="009F3981" w:rsidRDefault="00D03CCE" w:rsidP="009F3981">
            <w:pPr>
              <w:widowControl/>
              <w:autoSpaceDE/>
              <w:autoSpaceDN/>
              <w:adjustRightInd/>
              <w:rPr>
                <w:b/>
                <w:szCs w:val="24"/>
              </w:rPr>
            </w:pPr>
            <w:r w:rsidRPr="009F3981">
              <w:rPr>
                <w:b/>
                <w:szCs w:val="24"/>
              </w:rPr>
              <w:t>Year</w:t>
            </w:r>
          </w:p>
        </w:tc>
        <w:tc>
          <w:tcPr>
            <w:tcW w:w="1542"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D03CCE" w:rsidRPr="009F3981" w:rsidRDefault="004F3076" w:rsidP="00223016">
            <w:pPr>
              <w:widowControl/>
              <w:autoSpaceDE/>
              <w:autoSpaceDN/>
              <w:adjustRightInd/>
              <w:jc w:val="center"/>
              <w:rPr>
                <w:b/>
                <w:szCs w:val="24"/>
              </w:rPr>
            </w:pPr>
            <w:r>
              <w:rPr>
                <w:b/>
                <w:szCs w:val="24"/>
              </w:rPr>
              <w:t xml:space="preserve">URS </w:t>
            </w:r>
            <w:r w:rsidR="00D03CCE" w:rsidRPr="009F3981">
              <w:rPr>
                <w:b/>
                <w:szCs w:val="24"/>
              </w:rPr>
              <w:t>Respondents</w:t>
            </w:r>
          </w:p>
        </w:tc>
        <w:tc>
          <w:tcPr>
            <w:tcW w:w="2338" w:type="dxa"/>
            <w:tcBorders>
              <w:top w:val="single" w:sz="8" w:space="0" w:color="000000"/>
              <w:left w:val="single" w:sz="8" w:space="0" w:color="000000"/>
              <w:bottom w:val="single" w:sz="8" w:space="0" w:color="000000"/>
              <w:right w:val="single" w:sz="8" w:space="0" w:color="000000"/>
            </w:tcBorders>
            <w:vAlign w:val="bottom"/>
          </w:tcPr>
          <w:p w:rsidR="00D03CCE" w:rsidRPr="009F3981" w:rsidRDefault="002A141E" w:rsidP="007B7F2E">
            <w:pPr>
              <w:widowControl/>
              <w:autoSpaceDE/>
              <w:autoSpaceDN/>
              <w:adjustRightInd/>
              <w:jc w:val="center"/>
              <w:rPr>
                <w:b/>
                <w:szCs w:val="24"/>
              </w:rPr>
            </w:pPr>
            <w:r w:rsidRPr="005D070B">
              <w:rPr>
                <w:b/>
                <w:szCs w:val="24"/>
              </w:rPr>
              <w:t>Intrastate Non-Hazmat Carriers</w:t>
            </w:r>
          </w:p>
        </w:tc>
        <w:tc>
          <w:tcPr>
            <w:tcW w:w="2338"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D03CCE" w:rsidRPr="009F3981" w:rsidRDefault="00D03CCE" w:rsidP="00D3396F">
            <w:pPr>
              <w:widowControl/>
              <w:autoSpaceDE/>
              <w:autoSpaceDN/>
              <w:adjustRightInd/>
              <w:jc w:val="center"/>
              <w:rPr>
                <w:b/>
                <w:szCs w:val="24"/>
              </w:rPr>
            </w:pPr>
            <w:r w:rsidRPr="009F3981">
              <w:rPr>
                <w:b/>
                <w:szCs w:val="24"/>
              </w:rPr>
              <w:t>Hours per Respondent</w:t>
            </w:r>
          </w:p>
        </w:tc>
        <w:tc>
          <w:tcPr>
            <w:tcW w:w="2022"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4F3076" w:rsidRPr="009F3981" w:rsidRDefault="00D03CCE" w:rsidP="004F3076">
            <w:pPr>
              <w:widowControl/>
              <w:autoSpaceDE/>
              <w:autoSpaceDN/>
              <w:adjustRightInd/>
              <w:jc w:val="center"/>
              <w:rPr>
                <w:b/>
                <w:szCs w:val="24"/>
              </w:rPr>
            </w:pPr>
            <w:r w:rsidRPr="009F3981">
              <w:rPr>
                <w:b/>
                <w:szCs w:val="24"/>
              </w:rPr>
              <w:t>Total Burden Hours</w:t>
            </w:r>
            <w:r w:rsidR="008D7C52">
              <w:rPr>
                <w:rStyle w:val="FootnoteReference"/>
                <w:b/>
                <w:szCs w:val="24"/>
              </w:rPr>
              <w:footnoteReference w:id="3"/>
            </w:r>
            <w:r w:rsidR="004F3076">
              <w:rPr>
                <w:b/>
                <w:szCs w:val="24"/>
              </w:rPr>
              <w:t xml:space="preserve"> </w:t>
            </w:r>
          </w:p>
        </w:tc>
      </w:tr>
      <w:tr w:rsidR="00D03CCE" w:rsidRPr="009F3981" w:rsidTr="005D070B">
        <w:trPr>
          <w:trHeight w:val="255"/>
          <w:jc w:val="center"/>
        </w:trPr>
        <w:tc>
          <w:tcPr>
            <w:tcW w:w="1323"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D03CCE" w:rsidRPr="009F3981" w:rsidRDefault="00D03CCE" w:rsidP="009D349B">
            <w:pPr>
              <w:widowControl/>
              <w:autoSpaceDE/>
              <w:autoSpaceDN/>
              <w:adjustRightInd/>
              <w:jc w:val="center"/>
              <w:rPr>
                <w:szCs w:val="24"/>
              </w:rPr>
            </w:pPr>
            <w:r w:rsidRPr="009F3981">
              <w:rPr>
                <w:szCs w:val="24"/>
              </w:rPr>
              <w:t>1</w:t>
            </w:r>
          </w:p>
        </w:tc>
        <w:tc>
          <w:tcPr>
            <w:tcW w:w="1542"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D03CCE" w:rsidRPr="004670EC" w:rsidRDefault="00D03CCE">
            <w:pPr>
              <w:jc w:val="center"/>
              <w:rPr>
                <w:szCs w:val="24"/>
              </w:rPr>
            </w:pPr>
            <w:r>
              <w:rPr>
                <w:szCs w:val="24"/>
              </w:rPr>
              <w:t>61,280</w:t>
            </w:r>
          </w:p>
        </w:tc>
        <w:tc>
          <w:tcPr>
            <w:tcW w:w="2338" w:type="dxa"/>
            <w:tcBorders>
              <w:top w:val="single" w:sz="8" w:space="0" w:color="000000"/>
              <w:left w:val="single" w:sz="8" w:space="0" w:color="000000"/>
              <w:bottom w:val="single" w:sz="8" w:space="0" w:color="000000"/>
              <w:right w:val="single" w:sz="8" w:space="0" w:color="000000"/>
            </w:tcBorders>
            <w:vAlign w:val="bottom"/>
          </w:tcPr>
          <w:p w:rsidR="00D03CCE" w:rsidRPr="004670EC" w:rsidRDefault="002A141E">
            <w:pPr>
              <w:jc w:val="center"/>
              <w:rPr>
                <w:szCs w:val="24"/>
              </w:rPr>
            </w:pPr>
            <w:r w:rsidRPr="005D070B">
              <w:rPr>
                <w:szCs w:val="24"/>
              </w:rPr>
              <w:t>48,450</w:t>
            </w:r>
          </w:p>
        </w:tc>
        <w:tc>
          <w:tcPr>
            <w:tcW w:w="2338"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D03CCE" w:rsidRPr="004670EC" w:rsidRDefault="00D03CCE">
            <w:pPr>
              <w:jc w:val="center"/>
              <w:rPr>
                <w:szCs w:val="24"/>
              </w:rPr>
            </w:pPr>
            <w:r w:rsidRPr="004670EC">
              <w:rPr>
                <w:szCs w:val="24"/>
              </w:rPr>
              <w:t>1.34</w:t>
            </w:r>
          </w:p>
        </w:tc>
        <w:tc>
          <w:tcPr>
            <w:tcW w:w="2022"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D03CCE" w:rsidRPr="004670EC" w:rsidRDefault="002A141E">
            <w:pPr>
              <w:jc w:val="center"/>
              <w:rPr>
                <w:szCs w:val="24"/>
              </w:rPr>
            </w:pPr>
            <w:r w:rsidRPr="005D070B">
              <w:rPr>
                <w:szCs w:val="24"/>
              </w:rPr>
              <w:t>147,038</w:t>
            </w:r>
          </w:p>
        </w:tc>
      </w:tr>
      <w:tr w:rsidR="00D03CCE" w:rsidRPr="009F3981" w:rsidTr="005D070B">
        <w:trPr>
          <w:trHeight w:val="255"/>
          <w:jc w:val="center"/>
        </w:trPr>
        <w:tc>
          <w:tcPr>
            <w:tcW w:w="1323"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D03CCE" w:rsidRPr="009F3981" w:rsidRDefault="00D03CCE" w:rsidP="009D349B">
            <w:pPr>
              <w:widowControl/>
              <w:autoSpaceDE/>
              <w:autoSpaceDN/>
              <w:adjustRightInd/>
              <w:jc w:val="center"/>
              <w:rPr>
                <w:szCs w:val="24"/>
              </w:rPr>
            </w:pPr>
            <w:r w:rsidRPr="009F3981">
              <w:rPr>
                <w:szCs w:val="24"/>
              </w:rPr>
              <w:t>2</w:t>
            </w:r>
          </w:p>
        </w:tc>
        <w:tc>
          <w:tcPr>
            <w:tcW w:w="1542"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D03CCE" w:rsidRPr="004670EC" w:rsidRDefault="00D03CCE">
            <w:pPr>
              <w:jc w:val="center"/>
              <w:rPr>
                <w:szCs w:val="24"/>
              </w:rPr>
            </w:pPr>
            <w:r>
              <w:rPr>
                <w:szCs w:val="24"/>
              </w:rPr>
              <w:t>62,132</w:t>
            </w:r>
          </w:p>
        </w:tc>
        <w:tc>
          <w:tcPr>
            <w:tcW w:w="2338" w:type="dxa"/>
            <w:tcBorders>
              <w:top w:val="single" w:sz="8" w:space="0" w:color="000000"/>
              <w:left w:val="single" w:sz="8" w:space="0" w:color="000000"/>
              <w:bottom w:val="single" w:sz="8" w:space="0" w:color="000000"/>
              <w:right w:val="single" w:sz="8" w:space="0" w:color="000000"/>
            </w:tcBorders>
            <w:vAlign w:val="bottom"/>
          </w:tcPr>
          <w:p w:rsidR="00D03CCE" w:rsidRPr="004670EC" w:rsidRDefault="002A141E">
            <w:pPr>
              <w:jc w:val="center"/>
              <w:rPr>
                <w:szCs w:val="24"/>
              </w:rPr>
            </w:pPr>
            <w:r w:rsidRPr="005D070B">
              <w:rPr>
                <w:szCs w:val="24"/>
              </w:rPr>
              <w:t>48,450</w:t>
            </w:r>
          </w:p>
        </w:tc>
        <w:tc>
          <w:tcPr>
            <w:tcW w:w="2338"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D03CCE" w:rsidRPr="004670EC" w:rsidRDefault="00D03CCE">
            <w:pPr>
              <w:jc w:val="center"/>
              <w:rPr>
                <w:szCs w:val="24"/>
              </w:rPr>
            </w:pPr>
            <w:r w:rsidRPr="004670EC">
              <w:rPr>
                <w:szCs w:val="24"/>
              </w:rPr>
              <w:t>1.34</w:t>
            </w:r>
          </w:p>
        </w:tc>
        <w:tc>
          <w:tcPr>
            <w:tcW w:w="2022"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D03CCE" w:rsidRPr="004670EC" w:rsidRDefault="002A141E">
            <w:pPr>
              <w:jc w:val="center"/>
              <w:rPr>
                <w:szCs w:val="24"/>
              </w:rPr>
            </w:pPr>
            <w:r w:rsidRPr="005D070B">
              <w:rPr>
                <w:szCs w:val="24"/>
              </w:rPr>
              <w:t>148,180</w:t>
            </w:r>
          </w:p>
        </w:tc>
      </w:tr>
      <w:tr w:rsidR="00D03CCE" w:rsidRPr="009F3981" w:rsidTr="005D070B">
        <w:trPr>
          <w:trHeight w:val="270"/>
          <w:jc w:val="center"/>
        </w:trPr>
        <w:tc>
          <w:tcPr>
            <w:tcW w:w="1323"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D03CCE" w:rsidRPr="009F3981" w:rsidRDefault="00D03CCE" w:rsidP="009D349B">
            <w:pPr>
              <w:widowControl/>
              <w:autoSpaceDE/>
              <w:autoSpaceDN/>
              <w:adjustRightInd/>
              <w:jc w:val="center"/>
              <w:rPr>
                <w:szCs w:val="24"/>
              </w:rPr>
            </w:pPr>
            <w:r w:rsidRPr="009F3981">
              <w:rPr>
                <w:szCs w:val="24"/>
              </w:rPr>
              <w:t>3</w:t>
            </w:r>
          </w:p>
        </w:tc>
        <w:tc>
          <w:tcPr>
            <w:tcW w:w="1542"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D03CCE" w:rsidRPr="004670EC" w:rsidRDefault="00D03CCE">
            <w:pPr>
              <w:jc w:val="center"/>
              <w:rPr>
                <w:szCs w:val="24"/>
              </w:rPr>
            </w:pPr>
            <w:r>
              <w:rPr>
                <w:szCs w:val="24"/>
              </w:rPr>
              <w:t>62,995</w:t>
            </w:r>
          </w:p>
        </w:tc>
        <w:tc>
          <w:tcPr>
            <w:tcW w:w="2338" w:type="dxa"/>
            <w:tcBorders>
              <w:top w:val="single" w:sz="8" w:space="0" w:color="000000"/>
              <w:left w:val="single" w:sz="8" w:space="0" w:color="000000"/>
              <w:bottom w:val="single" w:sz="8" w:space="0" w:color="000000"/>
              <w:right w:val="single" w:sz="8" w:space="0" w:color="000000"/>
            </w:tcBorders>
            <w:vAlign w:val="bottom"/>
          </w:tcPr>
          <w:p w:rsidR="00D03CCE" w:rsidRPr="004670EC" w:rsidRDefault="002A141E">
            <w:pPr>
              <w:jc w:val="center"/>
              <w:rPr>
                <w:szCs w:val="24"/>
              </w:rPr>
            </w:pPr>
            <w:r w:rsidRPr="005D070B">
              <w:rPr>
                <w:szCs w:val="24"/>
              </w:rPr>
              <w:t>48,450</w:t>
            </w:r>
          </w:p>
        </w:tc>
        <w:tc>
          <w:tcPr>
            <w:tcW w:w="2338"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D03CCE" w:rsidRPr="004670EC" w:rsidRDefault="00D03CCE">
            <w:pPr>
              <w:jc w:val="center"/>
              <w:rPr>
                <w:szCs w:val="24"/>
              </w:rPr>
            </w:pPr>
            <w:r w:rsidRPr="004670EC">
              <w:rPr>
                <w:szCs w:val="24"/>
              </w:rPr>
              <w:t>1.34</w:t>
            </w:r>
          </w:p>
        </w:tc>
        <w:tc>
          <w:tcPr>
            <w:tcW w:w="2022"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D03CCE" w:rsidRPr="004670EC" w:rsidRDefault="002A141E">
            <w:pPr>
              <w:jc w:val="center"/>
              <w:rPr>
                <w:szCs w:val="24"/>
              </w:rPr>
            </w:pPr>
            <w:r w:rsidRPr="005D070B">
              <w:rPr>
                <w:szCs w:val="24"/>
              </w:rPr>
              <w:t>149,336</w:t>
            </w:r>
          </w:p>
        </w:tc>
      </w:tr>
      <w:tr w:rsidR="00D03CCE" w:rsidRPr="009F3981" w:rsidTr="005D070B">
        <w:trPr>
          <w:trHeight w:val="270"/>
          <w:jc w:val="center"/>
        </w:trPr>
        <w:tc>
          <w:tcPr>
            <w:tcW w:w="1323"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D03CCE" w:rsidRPr="009F3981" w:rsidRDefault="00D03CCE" w:rsidP="009F3981">
            <w:pPr>
              <w:widowControl/>
              <w:autoSpaceDE/>
              <w:autoSpaceDN/>
              <w:adjustRightInd/>
              <w:rPr>
                <w:szCs w:val="24"/>
              </w:rPr>
            </w:pPr>
            <w:r w:rsidRPr="009F3981">
              <w:rPr>
                <w:szCs w:val="24"/>
              </w:rPr>
              <w:t>Annualized</w:t>
            </w:r>
          </w:p>
        </w:tc>
        <w:tc>
          <w:tcPr>
            <w:tcW w:w="1542" w:type="dxa"/>
            <w:tcBorders>
              <w:top w:val="single" w:sz="8" w:space="0" w:color="000000"/>
              <w:left w:val="single" w:sz="8" w:space="0" w:color="000000"/>
              <w:bottom w:val="single" w:sz="8" w:space="0" w:color="000000"/>
              <w:right w:val="single" w:sz="8" w:space="0" w:color="000000"/>
            </w:tcBorders>
            <w:shd w:val="clear" w:color="auto" w:fill="auto"/>
            <w:vAlign w:val="bottom"/>
          </w:tcPr>
          <w:p w:rsidR="00D03CCE" w:rsidRPr="004670EC" w:rsidRDefault="00D03CCE" w:rsidP="009F3981">
            <w:pPr>
              <w:widowControl/>
              <w:autoSpaceDE/>
              <w:autoSpaceDN/>
              <w:adjustRightInd/>
              <w:rPr>
                <w:szCs w:val="24"/>
              </w:rPr>
            </w:pPr>
          </w:p>
        </w:tc>
        <w:tc>
          <w:tcPr>
            <w:tcW w:w="2338" w:type="dxa"/>
            <w:tcBorders>
              <w:top w:val="single" w:sz="8" w:space="0" w:color="000000"/>
              <w:left w:val="single" w:sz="8" w:space="0" w:color="000000"/>
              <w:bottom w:val="single" w:sz="8" w:space="0" w:color="000000"/>
              <w:right w:val="single" w:sz="8" w:space="0" w:color="000000"/>
            </w:tcBorders>
          </w:tcPr>
          <w:p w:rsidR="00D03CCE" w:rsidRPr="004670EC" w:rsidRDefault="00D03CCE">
            <w:pPr>
              <w:rPr>
                <w:szCs w:val="24"/>
              </w:rPr>
            </w:pPr>
          </w:p>
        </w:tc>
        <w:tc>
          <w:tcPr>
            <w:tcW w:w="2338"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D03CCE" w:rsidRPr="004670EC" w:rsidRDefault="00D03CCE">
            <w:pPr>
              <w:rPr>
                <w:szCs w:val="24"/>
              </w:rPr>
            </w:pPr>
          </w:p>
        </w:tc>
        <w:tc>
          <w:tcPr>
            <w:tcW w:w="2022"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D03CCE" w:rsidRPr="004670EC" w:rsidRDefault="00D03CCE" w:rsidP="00121DD5">
            <w:pPr>
              <w:jc w:val="center"/>
              <w:rPr>
                <w:szCs w:val="24"/>
              </w:rPr>
            </w:pPr>
            <w:r w:rsidRPr="00D03CCE">
              <w:rPr>
                <w:b/>
                <w:bCs/>
                <w:szCs w:val="24"/>
              </w:rPr>
              <w:t>148,185</w:t>
            </w:r>
          </w:p>
        </w:tc>
      </w:tr>
    </w:tbl>
    <w:p w:rsidR="009F3981" w:rsidRDefault="009F3981" w:rsidP="00C574F7">
      <w:pPr>
        <w:rPr>
          <w:szCs w:val="24"/>
        </w:rPr>
      </w:pPr>
    </w:p>
    <w:p w:rsidR="00A71264" w:rsidRPr="009F3981" w:rsidRDefault="00A71264" w:rsidP="00C574F7">
      <w:pPr>
        <w:rPr>
          <w:szCs w:val="24"/>
        </w:rPr>
      </w:pPr>
    </w:p>
    <w:p w:rsidR="009F3981" w:rsidRPr="009F3981" w:rsidRDefault="009F3981" w:rsidP="009107A7">
      <w:pPr>
        <w:jc w:val="center"/>
        <w:rPr>
          <w:b/>
          <w:szCs w:val="24"/>
        </w:rPr>
      </w:pPr>
      <w:r>
        <w:rPr>
          <w:b/>
          <w:szCs w:val="24"/>
        </w:rPr>
        <w:t>Table 3:</w:t>
      </w:r>
      <w:r w:rsidR="005C5240">
        <w:rPr>
          <w:b/>
          <w:szCs w:val="24"/>
        </w:rPr>
        <w:t xml:space="preserve"> </w:t>
      </w:r>
      <w:r>
        <w:rPr>
          <w:b/>
          <w:szCs w:val="24"/>
        </w:rPr>
        <w:t>Respondents and Burden Hours for Biennial Update</w:t>
      </w:r>
    </w:p>
    <w:tbl>
      <w:tblPr>
        <w:tblW w:w="8926" w:type="dxa"/>
        <w:jc w:val="center"/>
        <w:tblLook w:val="0000" w:firstRow="0" w:lastRow="0" w:firstColumn="0" w:lastColumn="0" w:noHBand="0" w:noVBand="0"/>
      </w:tblPr>
      <w:tblGrid>
        <w:gridCol w:w="1323"/>
        <w:gridCol w:w="1523"/>
        <w:gridCol w:w="2060"/>
        <w:gridCol w:w="2060"/>
        <w:gridCol w:w="1960"/>
      </w:tblGrid>
      <w:tr w:rsidR="00D03CCE" w:rsidRPr="009F3981" w:rsidTr="005D070B">
        <w:trPr>
          <w:trHeight w:val="270"/>
          <w:jc w:val="center"/>
        </w:trPr>
        <w:tc>
          <w:tcPr>
            <w:tcW w:w="1323"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D03CCE" w:rsidRPr="009F3981" w:rsidRDefault="00D03CCE" w:rsidP="009F3981">
            <w:pPr>
              <w:widowControl/>
              <w:autoSpaceDE/>
              <w:autoSpaceDN/>
              <w:adjustRightInd/>
              <w:rPr>
                <w:b/>
                <w:szCs w:val="24"/>
              </w:rPr>
            </w:pPr>
            <w:r w:rsidRPr="009F3981">
              <w:rPr>
                <w:b/>
                <w:szCs w:val="24"/>
              </w:rPr>
              <w:t>Year</w:t>
            </w:r>
          </w:p>
        </w:tc>
        <w:tc>
          <w:tcPr>
            <w:tcW w:w="1523"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D03CCE" w:rsidRPr="009F3981" w:rsidRDefault="00A94234" w:rsidP="00223016">
            <w:pPr>
              <w:widowControl/>
              <w:autoSpaceDE/>
              <w:autoSpaceDN/>
              <w:adjustRightInd/>
              <w:jc w:val="center"/>
              <w:rPr>
                <w:b/>
                <w:szCs w:val="24"/>
              </w:rPr>
            </w:pPr>
            <w:r>
              <w:rPr>
                <w:b/>
                <w:szCs w:val="24"/>
              </w:rPr>
              <w:t xml:space="preserve">URS </w:t>
            </w:r>
            <w:r w:rsidR="00D03CCE" w:rsidRPr="009F3981">
              <w:rPr>
                <w:b/>
                <w:szCs w:val="24"/>
              </w:rPr>
              <w:t>Respondents</w:t>
            </w:r>
          </w:p>
        </w:tc>
        <w:tc>
          <w:tcPr>
            <w:tcW w:w="2060" w:type="dxa"/>
            <w:tcBorders>
              <w:top w:val="single" w:sz="8" w:space="0" w:color="000000"/>
              <w:left w:val="single" w:sz="8" w:space="0" w:color="000000"/>
              <w:bottom w:val="single" w:sz="8" w:space="0" w:color="000000"/>
              <w:right w:val="single" w:sz="8" w:space="0" w:color="000000"/>
            </w:tcBorders>
            <w:vAlign w:val="bottom"/>
          </w:tcPr>
          <w:p w:rsidR="00D03CCE" w:rsidRPr="009F3981" w:rsidRDefault="002A141E" w:rsidP="009F3981">
            <w:pPr>
              <w:widowControl/>
              <w:autoSpaceDE/>
              <w:autoSpaceDN/>
              <w:adjustRightInd/>
              <w:rPr>
                <w:b/>
                <w:szCs w:val="24"/>
              </w:rPr>
            </w:pPr>
            <w:r w:rsidRPr="005D070B">
              <w:rPr>
                <w:b/>
                <w:szCs w:val="24"/>
              </w:rPr>
              <w:t>Intrastate Non-Hazmat Carriers</w:t>
            </w:r>
            <w:r w:rsidR="00121DD5">
              <w:rPr>
                <w:rStyle w:val="FootnoteReference"/>
                <w:b/>
                <w:szCs w:val="24"/>
              </w:rPr>
              <w:footnoteReference w:id="4"/>
            </w:r>
          </w:p>
        </w:tc>
        <w:tc>
          <w:tcPr>
            <w:tcW w:w="2060"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D03CCE" w:rsidRPr="009F3981" w:rsidRDefault="00D03CCE" w:rsidP="009F3981">
            <w:pPr>
              <w:widowControl/>
              <w:autoSpaceDE/>
              <w:autoSpaceDN/>
              <w:adjustRightInd/>
              <w:rPr>
                <w:b/>
                <w:szCs w:val="24"/>
              </w:rPr>
            </w:pPr>
            <w:r w:rsidRPr="009F3981">
              <w:rPr>
                <w:b/>
                <w:szCs w:val="24"/>
              </w:rPr>
              <w:t>Hours per Respondent</w:t>
            </w:r>
          </w:p>
        </w:tc>
        <w:tc>
          <w:tcPr>
            <w:tcW w:w="1960"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D03CCE" w:rsidRPr="009F3981" w:rsidRDefault="00D03CCE" w:rsidP="009F3981">
            <w:pPr>
              <w:widowControl/>
              <w:autoSpaceDE/>
              <w:autoSpaceDN/>
              <w:adjustRightInd/>
              <w:rPr>
                <w:b/>
                <w:szCs w:val="24"/>
              </w:rPr>
            </w:pPr>
            <w:r w:rsidRPr="009F3981">
              <w:rPr>
                <w:b/>
                <w:szCs w:val="24"/>
              </w:rPr>
              <w:t>Total Burden Hours</w:t>
            </w:r>
          </w:p>
        </w:tc>
      </w:tr>
      <w:tr w:rsidR="00121DD5" w:rsidRPr="009F3981" w:rsidTr="005D070B">
        <w:trPr>
          <w:trHeight w:val="255"/>
          <w:jc w:val="center"/>
        </w:trPr>
        <w:tc>
          <w:tcPr>
            <w:tcW w:w="1323"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121DD5" w:rsidRPr="009F3981" w:rsidRDefault="00121DD5" w:rsidP="009D349B">
            <w:pPr>
              <w:widowControl/>
              <w:autoSpaceDE/>
              <w:autoSpaceDN/>
              <w:adjustRightInd/>
              <w:jc w:val="center"/>
              <w:rPr>
                <w:szCs w:val="24"/>
              </w:rPr>
            </w:pPr>
            <w:r w:rsidRPr="009F3981">
              <w:rPr>
                <w:szCs w:val="24"/>
              </w:rPr>
              <w:t>1</w:t>
            </w:r>
          </w:p>
        </w:tc>
        <w:tc>
          <w:tcPr>
            <w:tcW w:w="1523"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121DD5" w:rsidRPr="004670EC" w:rsidRDefault="002A141E" w:rsidP="00121DD5">
            <w:pPr>
              <w:widowControl/>
              <w:autoSpaceDE/>
              <w:autoSpaceDN/>
              <w:adjustRightInd/>
              <w:jc w:val="center"/>
              <w:rPr>
                <w:szCs w:val="24"/>
              </w:rPr>
            </w:pPr>
            <w:r w:rsidRPr="005D070B">
              <w:rPr>
                <w:szCs w:val="24"/>
              </w:rPr>
              <w:t xml:space="preserve">292,000 </w:t>
            </w:r>
          </w:p>
        </w:tc>
        <w:tc>
          <w:tcPr>
            <w:tcW w:w="2060" w:type="dxa"/>
            <w:tcBorders>
              <w:top w:val="single" w:sz="8" w:space="0" w:color="000000"/>
              <w:left w:val="single" w:sz="8" w:space="0" w:color="000000"/>
              <w:bottom w:val="single" w:sz="8" w:space="0" w:color="000000"/>
              <w:right w:val="single" w:sz="8" w:space="0" w:color="000000"/>
            </w:tcBorders>
            <w:vAlign w:val="bottom"/>
          </w:tcPr>
          <w:p w:rsidR="002A141E" w:rsidRDefault="002A141E" w:rsidP="005D070B">
            <w:pPr>
              <w:widowControl/>
              <w:autoSpaceDE/>
              <w:autoSpaceDN/>
              <w:adjustRightInd/>
              <w:jc w:val="center"/>
              <w:rPr>
                <w:szCs w:val="24"/>
              </w:rPr>
            </w:pPr>
            <w:r w:rsidRPr="005D070B">
              <w:rPr>
                <w:szCs w:val="24"/>
              </w:rPr>
              <w:t>43,265</w:t>
            </w:r>
          </w:p>
        </w:tc>
        <w:tc>
          <w:tcPr>
            <w:tcW w:w="2060"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121DD5" w:rsidRPr="00B45EBF" w:rsidRDefault="00121DD5" w:rsidP="00121DD5">
            <w:pPr>
              <w:jc w:val="center"/>
              <w:rPr>
                <w:szCs w:val="24"/>
              </w:rPr>
            </w:pPr>
            <w:r>
              <w:rPr>
                <w:szCs w:val="24"/>
              </w:rPr>
              <w:t>10 min/60 min/hr</w:t>
            </w:r>
          </w:p>
        </w:tc>
        <w:tc>
          <w:tcPr>
            <w:tcW w:w="1960"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2A141E" w:rsidRDefault="008D7C52" w:rsidP="008D7C52">
            <w:pPr>
              <w:widowControl/>
              <w:autoSpaceDE/>
              <w:autoSpaceDN/>
              <w:adjustRightInd/>
              <w:jc w:val="center"/>
              <w:rPr>
                <w:szCs w:val="24"/>
              </w:rPr>
            </w:pPr>
            <w:r>
              <w:rPr>
                <w:szCs w:val="24"/>
              </w:rPr>
              <w:t>55,877</w:t>
            </w:r>
            <w:r w:rsidR="002A141E" w:rsidRPr="005D070B">
              <w:rPr>
                <w:szCs w:val="24"/>
              </w:rPr>
              <w:t xml:space="preserve"> </w:t>
            </w:r>
          </w:p>
        </w:tc>
      </w:tr>
      <w:tr w:rsidR="00121DD5" w:rsidRPr="009F3981" w:rsidTr="005D070B">
        <w:trPr>
          <w:trHeight w:val="255"/>
          <w:jc w:val="center"/>
        </w:trPr>
        <w:tc>
          <w:tcPr>
            <w:tcW w:w="1323"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121DD5" w:rsidRPr="009F3981" w:rsidRDefault="00121DD5" w:rsidP="009D349B">
            <w:pPr>
              <w:widowControl/>
              <w:autoSpaceDE/>
              <w:autoSpaceDN/>
              <w:adjustRightInd/>
              <w:jc w:val="center"/>
              <w:rPr>
                <w:szCs w:val="24"/>
              </w:rPr>
            </w:pPr>
            <w:r w:rsidRPr="009F3981">
              <w:rPr>
                <w:szCs w:val="24"/>
              </w:rPr>
              <w:t>2</w:t>
            </w:r>
          </w:p>
        </w:tc>
        <w:tc>
          <w:tcPr>
            <w:tcW w:w="1523"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121DD5" w:rsidRPr="004670EC" w:rsidRDefault="002A141E" w:rsidP="00121DD5">
            <w:pPr>
              <w:widowControl/>
              <w:autoSpaceDE/>
              <w:autoSpaceDN/>
              <w:adjustRightInd/>
              <w:jc w:val="center"/>
              <w:rPr>
                <w:szCs w:val="24"/>
              </w:rPr>
            </w:pPr>
            <w:r w:rsidRPr="005D070B">
              <w:rPr>
                <w:szCs w:val="24"/>
              </w:rPr>
              <w:t xml:space="preserve">296,058 </w:t>
            </w:r>
          </w:p>
        </w:tc>
        <w:tc>
          <w:tcPr>
            <w:tcW w:w="2060" w:type="dxa"/>
            <w:tcBorders>
              <w:top w:val="single" w:sz="8" w:space="0" w:color="000000"/>
              <w:left w:val="single" w:sz="8" w:space="0" w:color="000000"/>
              <w:bottom w:val="single" w:sz="8" w:space="0" w:color="000000"/>
              <w:right w:val="single" w:sz="8" w:space="0" w:color="000000"/>
            </w:tcBorders>
            <w:vAlign w:val="bottom"/>
          </w:tcPr>
          <w:p w:rsidR="002A141E" w:rsidRDefault="002A141E" w:rsidP="005D070B">
            <w:pPr>
              <w:widowControl/>
              <w:autoSpaceDE/>
              <w:autoSpaceDN/>
              <w:adjustRightInd/>
              <w:jc w:val="center"/>
              <w:rPr>
                <w:szCs w:val="24"/>
              </w:rPr>
            </w:pPr>
            <w:r w:rsidRPr="005D070B">
              <w:rPr>
                <w:szCs w:val="24"/>
              </w:rPr>
              <w:t>43,265</w:t>
            </w:r>
          </w:p>
        </w:tc>
        <w:tc>
          <w:tcPr>
            <w:tcW w:w="2060"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121DD5" w:rsidRPr="00B45EBF" w:rsidRDefault="00121DD5" w:rsidP="00121DD5">
            <w:pPr>
              <w:jc w:val="center"/>
              <w:rPr>
                <w:szCs w:val="24"/>
              </w:rPr>
            </w:pPr>
            <w:r>
              <w:rPr>
                <w:szCs w:val="24"/>
              </w:rPr>
              <w:t>10 min/60 min/hr</w:t>
            </w:r>
          </w:p>
        </w:tc>
        <w:tc>
          <w:tcPr>
            <w:tcW w:w="1960"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2A141E" w:rsidRDefault="008D7C52" w:rsidP="005D070B">
            <w:pPr>
              <w:widowControl/>
              <w:autoSpaceDE/>
              <w:autoSpaceDN/>
              <w:adjustRightInd/>
              <w:jc w:val="center"/>
              <w:rPr>
                <w:szCs w:val="24"/>
              </w:rPr>
            </w:pPr>
            <w:r>
              <w:rPr>
                <w:szCs w:val="24"/>
              </w:rPr>
              <w:t>56,554</w:t>
            </w:r>
            <w:r w:rsidR="002A141E" w:rsidRPr="005D070B">
              <w:rPr>
                <w:szCs w:val="24"/>
              </w:rPr>
              <w:t xml:space="preserve"> </w:t>
            </w:r>
          </w:p>
        </w:tc>
      </w:tr>
      <w:tr w:rsidR="00121DD5" w:rsidRPr="009F3981" w:rsidTr="005D070B">
        <w:trPr>
          <w:trHeight w:val="270"/>
          <w:jc w:val="center"/>
        </w:trPr>
        <w:tc>
          <w:tcPr>
            <w:tcW w:w="1323"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121DD5" w:rsidRPr="009F3981" w:rsidRDefault="00121DD5" w:rsidP="009D349B">
            <w:pPr>
              <w:widowControl/>
              <w:autoSpaceDE/>
              <w:autoSpaceDN/>
              <w:adjustRightInd/>
              <w:jc w:val="center"/>
              <w:rPr>
                <w:szCs w:val="24"/>
              </w:rPr>
            </w:pPr>
            <w:r w:rsidRPr="009F3981">
              <w:rPr>
                <w:szCs w:val="24"/>
              </w:rPr>
              <w:t>3</w:t>
            </w:r>
          </w:p>
        </w:tc>
        <w:tc>
          <w:tcPr>
            <w:tcW w:w="1523"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121DD5" w:rsidRPr="004670EC" w:rsidRDefault="002A141E" w:rsidP="00121DD5">
            <w:pPr>
              <w:widowControl/>
              <w:autoSpaceDE/>
              <w:autoSpaceDN/>
              <w:adjustRightInd/>
              <w:jc w:val="center"/>
              <w:rPr>
                <w:szCs w:val="24"/>
              </w:rPr>
            </w:pPr>
            <w:r w:rsidRPr="005D070B">
              <w:rPr>
                <w:szCs w:val="24"/>
              </w:rPr>
              <w:t xml:space="preserve">300,172 </w:t>
            </w:r>
          </w:p>
        </w:tc>
        <w:tc>
          <w:tcPr>
            <w:tcW w:w="2060" w:type="dxa"/>
            <w:tcBorders>
              <w:top w:val="single" w:sz="8" w:space="0" w:color="000000"/>
              <w:left w:val="single" w:sz="8" w:space="0" w:color="000000"/>
              <w:bottom w:val="single" w:sz="8" w:space="0" w:color="000000"/>
              <w:right w:val="single" w:sz="8" w:space="0" w:color="000000"/>
            </w:tcBorders>
            <w:vAlign w:val="bottom"/>
          </w:tcPr>
          <w:p w:rsidR="002A141E" w:rsidRDefault="002A141E" w:rsidP="005D070B">
            <w:pPr>
              <w:widowControl/>
              <w:autoSpaceDE/>
              <w:autoSpaceDN/>
              <w:adjustRightInd/>
              <w:jc w:val="center"/>
              <w:rPr>
                <w:szCs w:val="24"/>
              </w:rPr>
            </w:pPr>
            <w:r w:rsidRPr="005D070B">
              <w:rPr>
                <w:szCs w:val="24"/>
              </w:rPr>
              <w:t>43,265</w:t>
            </w:r>
          </w:p>
        </w:tc>
        <w:tc>
          <w:tcPr>
            <w:tcW w:w="2060"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121DD5" w:rsidRPr="00B45EBF" w:rsidRDefault="00121DD5" w:rsidP="00121DD5">
            <w:pPr>
              <w:jc w:val="center"/>
              <w:rPr>
                <w:szCs w:val="24"/>
              </w:rPr>
            </w:pPr>
            <w:r>
              <w:rPr>
                <w:szCs w:val="24"/>
              </w:rPr>
              <w:t>10 min/60 min/hr</w:t>
            </w:r>
          </w:p>
        </w:tc>
        <w:tc>
          <w:tcPr>
            <w:tcW w:w="1960"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2A141E" w:rsidRDefault="008D7C52" w:rsidP="005D070B">
            <w:pPr>
              <w:widowControl/>
              <w:autoSpaceDE/>
              <w:autoSpaceDN/>
              <w:adjustRightInd/>
              <w:jc w:val="center"/>
              <w:rPr>
                <w:szCs w:val="24"/>
              </w:rPr>
            </w:pPr>
            <w:r>
              <w:rPr>
                <w:szCs w:val="24"/>
              </w:rPr>
              <w:t>57,240</w:t>
            </w:r>
            <w:r w:rsidR="002A141E" w:rsidRPr="005D070B">
              <w:rPr>
                <w:szCs w:val="24"/>
              </w:rPr>
              <w:t xml:space="preserve"> </w:t>
            </w:r>
          </w:p>
        </w:tc>
      </w:tr>
      <w:tr w:rsidR="00D03CCE" w:rsidRPr="009F3981" w:rsidTr="005D070B">
        <w:trPr>
          <w:trHeight w:val="270"/>
          <w:jc w:val="center"/>
        </w:trPr>
        <w:tc>
          <w:tcPr>
            <w:tcW w:w="1323"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D03CCE" w:rsidRPr="009F3981" w:rsidRDefault="00D03CCE" w:rsidP="009F3981">
            <w:pPr>
              <w:widowControl/>
              <w:autoSpaceDE/>
              <w:autoSpaceDN/>
              <w:adjustRightInd/>
              <w:rPr>
                <w:szCs w:val="24"/>
              </w:rPr>
            </w:pPr>
            <w:r w:rsidRPr="009F3981">
              <w:rPr>
                <w:szCs w:val="24"/>
              </w:rPr>
              <w:t>Annualized</w:t>
            </w:r>
          </w:p>
        </w:tc>
        <w:tc>
          <w:tcPr>
            <w:tcW w:w="1523"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D03CCE" w:rsidRPr="009F3981" w:rsidRDefault="00D03CCE" w:rsidP="009F3981">
            <w:pPr>
              <w:widowControl/>
              <w:autoSpaceDE/>
              <w:autoSpaceDN/>
              <w:adjustRightInd/>
              <w:rPr>
                <w:szCs w:val="24"/>
              </w:rPr>
            </w:pPr>
          </w:p>
        </w:tc>
        <w:tc>
          <w:tcPr>
            <w:tcW w:w="2060" w:type="dxa"/>
            <w:tcBorders>
              <w:top w:val="single" w:sz="8" w:space="0" w:color="000000"/>
              <w:left w:val="single" w:sz="8" w:space="0" w:color="000000"/>
              <w:bottom w:val="single" w:sz="8" w:space="0" w:color="000000"/>
              <w:right w:val="single" w:sz="8" w:space="0" w:color="000000"/>
            </w:tcBorders>
          </w:tcPr>
          <w:p w:rsidR="00D03CCE" w:rsidRPr="00376B7D" w:rsidRDefault="00D03CCE" w:rsidP="00376B7D">
            <w:pPr>
              <w:jc w:val="center"/>
              <w:rPr>
                <w:szCs w:val="24"/>
              </w:rPr>
            </w:pPr>
          </w:p>
        </w:tc>
        <w:tc>
          <w:tcPr>
            <w:tcW w:w="2060"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D03CCE" w:rsidRPr="00376B7D" w:rsidRDefault="00D03CCE" w:rsidP="00376B7D">
            <w:pPr>
              <w:jc w:val="center"/>
              <w:rPr>
                <w:szCs w:val="24"/>
              </w:rPr>
            </w:pPr>
          </w:p>
        </w:tc>
        <w:tc>
          <w:tcPr>
            <w:tcW w:w="1960"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D03CCE" w:rsidRPr="004670EC" w:rsidRDefault="008D7C52" w:rsidP="00121DD5">
            <w:pPr>
              <w:jc w:val="center"/>
              <w:rPr>
                <w:szCs w:val="24"/>
              </w:rPr>
            </w:pPr>
            <w:r>
              <w:rPr>
                <w:b/>
                <w:bCs/>
                <w:szCs w:val="24"/>
              </w:rPr>
              <w:t>56,557</w:t>
            </w:r>
            <w:r w:rsidR="00121DD5" w:rsidRPr="00121DD5">
              <w:rPr>
                <w:b/>
                <w:bCs/>
                <w:szCs w:val="24"/>
              </w:rPr>
              <w:t xml:space="preserve"> </w:t>
            </w:r>
          </w:p>
        </w:tc>
      </w:tr>
    </w:tbl>
    <w:p w:rsidR="00480C3B" w:rsidRDefault="00480C3B" w:rsidP="00C611B9">
      <w:pPr>
        <w:jc w:val="center"/>
        <w:rPr>
          <w:b/>
          <w:szCs w:val="24"/>
        </w:rPr>
      </w:pPr>
    </w:p>
    <w:p w:rsidR="00376B7D" w:rsidRDefault="00376B7D" w:rsidP="00376B7D">
      <w:pPr>
        <w:widowControl/>
        <w:autoSpaceDE/>
        <w:autoSpaceDN/>
        <w:adjustRightInd/>
        <w:jc w:val="center"/>
        <w:rPr>
          <w:rFonts w:ascii="Arial" w:hAnsi="Arial" w:cs="Arial"/>
          <w:sz w:val="20"/>
        </w:rPr>
      </w:pPr>
    </w:p>
    <w:p w:rsidR="008A3E8D" w:rsidRDefault="00376B7D" w:rsidP="00223016">
      <w:pPr>
        <w:keepNext/>
        <w:keepLines/>
        <w:widowControl/>
        <w:jc w:val="center"/>
        <w:rPr>
          <w:b/>
          <w:szCs w:val="24"/>
        </w:rPr>
      </w:pPr>
      <w:r>
        <w:rPr>
          <w:b/>
          <w:szCs w:val="24"/>
        </w:rPr>
        <w:t>Table 4:</w:t>
      </w:r>
      <w:r w:rsidR="005C5240">
        <w:rPr>
          <w:b/>
          <w:szCs w:val="24"/>
        </w:rPr>
        <w:t xml:space="preserve"> </w:t>
      </w:r>
      <w:r>
        <w:rPr>
          <w:b/>
          <w:szCs w:val="24"/>
        </w:rPr>
        <w:t>Respondents and Burden Hours for Change Requests</w:t>
      </w:r>
    </w:p>
    <w:tbl>
      <w:tblPr>
        <w:tblW w:w="650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1323"/>
        <w:gridCol w:w="1523"/>
        <w:gridCol w:w="2060"/>
        <w:gridCol w:w="1960"/>
      </w:tblGrid>
      <w:tr w:rsidR="00376B7D" w:rsidRPr="00376B7D">
        <w:trPr>
          <w:trHeight w:val="270"/>
          <w:jc w:val="center"/>
        </w:trPr>
        <w:tc>
          <w:tcPr>
            <w:tcW w:w="960" w:type="dxa"/>
            <w:shd w:val="clear" w:color="auto" w:fill="auto"/>
            <w:noWrap/>
            <w:vAlign w:val="center"/>
          </w:tcPr>
          <w:p w:rsidR="00376B7D" w:rsidRPr="00376B7D" w:rsidRDefault="00376B7D" w:rsidP="00223016">
            <w:pPr>
              <w:keepNext/>
              <w:keepLines/>
              <w:widowControl/>
              <w:autoSpaceDE/>
              <w:autoSpaceDN/>
              <w:adjustRightInd/>
              <w:jc w:val="center"/>
              <w:rPr>
                <w:b/>
                <w:szCs w:val="24"/>
              </w:rPr>
            </w:pPr>
            <w:r w:rsidRPr="00376B7D">
              <w:rPr>
                <w:b/>
                <w:szCs w:val="24"/>
              </w:rPr>
              <w:t>Year</w:t>
            </w:r>
          </w:p>
        </w:tc>
        <w:tc>
          <w:tcPr>
            <w:tcW w:w="1523" w:type="dxa"/>
            <w:shd w:val="clear" w:color="auto" w:fill="auto"/>
            <w:noWrap/>
            <w:vAlign w:val="center"/>
          </w:tcPr>
          <w:p w:rsidR="00376B7D" w:rsidRPr="00376B7D" w:rsidRDefault="00A94234" w:rsidP="00223016">
            <w:pPr>
              <w:keepNext/>
              <w:keepLines/>
              <w:widowControl/>
              <w:autoSpaceDE/>
              <w:autoSpaceDN/>
              <w:adjustRightInd/>
              <w:jc w:val="center"/>
              <w:rPr>
                <w:b/>
                <w:szCs w:val="24"/>
              </w:rPr>
            </w:pPr>
            <w:r>
              <w:rPr>
                <w:b/>
                <w:szCs w:val="24"/>
              </w:rPr>
              <w:t xml:space="preserve">URS </w:t>
            </w:r>
            <w:r w:rsidR="00376B7D" w:rsidRPr="00376B7D">
              <w:rPr>
                <w:b/>
                <w:szCs w:val="24"/>
              </w:rPr>
              <w:t>Respondents</w:t>
            </w:r>
          </w:p>
        </w:tc>
        <w:tc>
          <w:tcPr>
            <w:tcW w:w="2060" w:type="dxa"/>
            <w:shd w:val="clear" w:color="auto" w:fill="auto"/>
            <w:noWrap/>
            <w:vAlign w:val="center"/>
          </w:tcPr>
          <w:p w:rsidR="00376B7D" w:rsidRPr="00376B7D" w:rsidRDefault="00376B7D" w:rsidP="00223016">
            <w:pPr>
              <w:keepNext/>
              <w:keepLines/>
              <w:widowControl/>
              <w:autoSpaceDE/>
              <w:autoSpaceDN/>
              <w:adjustRightInd/>
              <w:jc w:val="center"/>
              <w:rPr>
                <w:b/>
                <w:szCs w:val="24"/>
              </w:rPr>
            </w:pPr>
            <w:r w:rsidRPr="00376B7D">
              <w:rPr>
                <w:b/>
                <w:szCs w:val="24"/>
              </w:rPr>
              <w:t>Hours per Respondent</w:t>
            </w:r>
          </w:p>
        </w:tc>
        <w:tc>
          <w:tcPr>
            <w:tcW w:w="1960" w:type="dxa"/>
            <w:shd w:val="clear" w:color="auto" w:fill="auto"/>
            <w:noWrap/>
            <w:vAlign w:val="center"/>
          </w:tcPr>
          <w:p w:rsidR="00376B7D" w:rsidRPr="00376B7D" w:rsidRDefault="00376B7D" w:rsidP="00223016">
            <w:pPr>
              <w:keepNext/>
              <w:keepLines/>
              <w:widowControl/>
              <w:autoSpaceDE/>
              <w:autoSpaceDN/>
              <w:adjustRightInd/>
              <w:jc w:val="center"/>
              <w:rPr>
                <w:b/>
                <w:szCs w:val="24"/>
              </w:rPr>
            </w:pPr>
            <w:r w:rsidRPr="00376B7D">
              <w:rPr>
                <w:b/>
                <w:szCs w:val="24"/>
              </w:rPr>
              <w:t>Total Burden Hours</w:t>
            </w:r>
          </w:p>
        </w:tc>
      </w:tr>
      <w:tr w:rsidR="00EC5D20" w:rsidRPr="00376B7D">
        <w:trPr>
          <w:trHeight w:val="255"/>
          <w:jc w:val="center"/>
        </w:trPr>
        <w:tc>
          <w:tcPr>
            <w:tcW w:w="960" w:type="dxa"/>
            <w:shd w:val="clear" w:color="auto" w:fill="auto"/>
            <w:noWrap/>
            <w:vAlign w:val="center"/>
          </w:tcPr>
          <w:p w:rsidR="00EC5D20" w:rsidRPr="00376B7D" w:rsidRDefault="00EC5D20" w:rsidP="00223016">
            <w:pPr>
              <w:keepNext/>
              <w:keepLines/>
              <w:widowControl/>
              <w:autoSpaceDE/>
              <w:autoSpaceDN/>
              <w:adjustRightInd/>
              <w:jc w:val="center"/>
              <w:rPr>
                <w:szCs w:val="24"/>
              </w:rPr>
            </w:pPr>
            <w:r w:rsidRPr="00376B7D">
              <w:rPr>
                <w:szCs w:val="24"/>
              </w:rPr>
              <w:t>1</w:t>
            </w:r>
          </w:p>
        </w:tc>
        <w:tc>
          <w:tcPr>
            <w:tcW w:w="1523" w:type="dxa"/>
            <w:shd w:val="clear" w:color="auto" w:fill="auto"/>
            <w:noWrap/>
            <w:vAlign w:val="bottom"/>
          </w:tcPr>
          <w:p w:rsidR="00EC5D20" w:rsidRPr="00B45EBF" w:rsidRDefault="009D349B" w:rsidP="00223016">
            <w:pPr>
              <w:keepNext/>
              <w:keepLines/>
              <w:widowControl/>
              <w:autoSpaceDE/>
              <w:autoSpaceDN/>
              <w:adjustRightInd/>
              <w:jc w:val="center"/>
              <w:rPr>
                <w:szCs w:val="24"/>
              </w:rPr>
            </w:pPr>
            <w:r>
              <w:rPr>
                <w:szCs w:val="24"/>
              </w:rPr>
              <w:t>12,</w:t>
            </w:r>
            <w:r w:rsidR="00106EA6">
              <w:rPr>
                <w:szCs w:val="24"/>
              </w:rPr>
              <w:t>103</w:t>
            </w:r>
            <w:r w:rsidR="00106EA6" w:rsidRPr="00B45EBF">
              <w:rPr>
                <w:szCs w:val="24"/>
              </w:rPr>
              <w:t xml:space="preserve"> </w:t>
            </w:r>
          </w:p>
        </w:tc>
        <w:tc>
          <w:tcPr>
            <w:tcW w:w="2060" w:type="dxa"/>
            <w:shd w:val="clear" w:color="auto" w:fill="auto"/>
            <w:noWrap/>
            <w:vAlign w:val="bottom"/>
          </w:tcPr>
          <w:p w:rsidR="00EC5D20" w:rsidRPr="00B45EBF" w:rsidRDefault="00B96F81" w:rsidP="00223016">
            <w:pPr>
              <w:keepNext/>
              <w:keepLines/>
              <w:widowControl/>
              <w:autoSpaceDE/>
              <w:autoSpaceDN/>
              <w:adjustRightInd/>
              <w:jc w:val="center"/>
              <w:rPr>
                <w:szCs w:val="24"/>
              </w:rPr>
            </w:pPr>
            <w:r>
              <w:rPr>
                <w:szCs w:val="24"/>
              </w:rPr>
              <w:t>10</w:t>
            </w:r>
            <w:r w:rsidR="005D1C08">
              <w:rPr>
                <w:szCs w:val="24"/>
              </w:rPr>
              <w:t xml:space="preserve"> min /60 min/hr</w:t>
            </w:r>
            <w:r w:rsidR="005D1C08" w:rsidRPr="00B45EBF" w:rsidDel="000775AE">
              <w:rPr>
                <w:szCs w:val="24"/>
              </w:rPr>
              <w:t xml:space="preserve"> </w:t>
            </w:r>
          </w:p>
        </w:tc>
        <w:tc>
          <w:tcPr>
            <w:tcW w:w="1960" w:type="dxa"/>
            <w:shd w:val="clear" w:color="auto" w:fill="auto"/>
            <w:noWrap/>
            <w:vAlign w:val="bottom"/>
          </w:tcPr>
          <w:p w:rsidR="00EC5D20" w:rsidRPr="00EC5D20" w:rsidRDefault="009D349B" w:rsidP="00223016">
            <w:pPr>
              <w:keepNext/>
              <w:keepLines/>
              <w:widowControl/>
              <w:autoSpaceDE/>
              <w:autoSpaceDN/>
              <w:adjustRightInd/>
              <w:jc w:val="center"/>
              <w:rPr>
                <w:szCs w:val="24"/>
              </w:rPr>
            </w:pPr>
            <w:r>
              <w:rPr>
                <w:szCs w:val="24"/>
              </w:rPr>
              <w:t>2,0</w:t>
            </w:r>
            <w:r w:rsidR="003268E5">
              <w:rPr>
                <w:szCs w:val="24"/>
              </w:rPr>
              <w:t>17</w:t>
            </w:r>
          </w:p>
        </w:tc>
      </w:tr>
      <w:tr w:rsidR="00EC5D20" w:rsidRPr="00376B7D">
        <w:trPr>
          <w:trHeight w:val="255"/>
          <w:jc w:val="center"/>
        </w:trPr>
        <w:tc>
          <w:tcPr>
            <w:tcW w:w="960" w:type="dxa"/>
            <w:shd w:val="clear" w:color="auto" w:fill="auto"/>
            <w:noWrap/>
            <w:vAlign w:val="center"/>
          </w:tcPr>
          <w:p w:rsidR="00EC5D20" w:rsidRPr="00376B7D" w:rsidRDefault="00EC5D20" w:rsidP="00223016">
            <w:pPr>
              <w:keepNext/>
              <w:keepLines/>
              <w:widowControl/>
              <w:autoSpaceDE/>
              <w:autoSpaceDN/>
              <w:adjustRightInd/>
              <w:jc w:val="center"/>
              <w:rPr>
                <w:szCs w:val="24"/>
              </w:rPr>
            </w:pPr>
            <w:r w:rsidRPr="00376B7D">
              <w:rPr>
                <w:szCs w:val="24"/>
              </w:rPr>
              <w:t>2</w:t>
            </w:r>
          </w:p>
        </w:tc>
        <w:tc>
          <w:tcPr>
            <w:tcW w:w="1523" w:type="dxa"/>
            <w:shd w:val="clear" w:color="auto" w:fill="auto"/>
            <w:noWrap/>
            <w:vAlign w:val="bottom"/>
          </w:tcPr>
          <w:p w:rsidR="00EC5D20" w:rsidRPr="00B45EBF" w:rsidRDefault="009D349B" w:rsidP="00223016">
            <w:pPr>
              <w:keepNext/>
              <w:keepLines/>
              <w:widowControl/>
              <w:autoSpaceDE/>
              <w:autoSpaceDN/>
              <w:adjustRightInd/>
              <w:jc w:val="center"/>
              <w:rPr>
                <w:szCs w:val="24"/>
              </w:rPr>
            </w:pPr>
            <w:r>
              <w:rPr>
                <w:szCs w:val="24"/>
              </w:rPr>
              <w:t>12,</w:t>
            </w:r>
            <w:r w:rsidR="00106EA6">
              <w:rPr>
                <w:szCs w:val="24"/>
              </w:rPr>
              <w:t>271</w:t>
            </w:r>
            <w:r w:rsidR="00106EA6" w:rsidRPr="00B45EBF">
              <w:rPr>
                <w:szCs w:val="24"/>
              </w:rPr>
              <w:t xml:space="preserve"> </w:t>
            </w:r>
          </w:p>
        </w:tc>
        <w:tc>
          <w:tcPr>
            <w:tcW w:w="2060" w:type="dxa"/>
            <w:shd w:val="clear" w:color="auto" w:fill="auto"/>
            <w:noWrap/>
            <w:vAlign w:val="bottom"/>
          </w:tcPr>
          <w:p w:rsidR="00EC5D20" w:rsidRPr="00B45EBF" w:rsidRDefault="00B96F81" w:rsidP="00223016">
            <w:pPr>
              <w:keepNext/>
              <w:keepLines/>
              <w:widowControl/>
              <w:autoSpaceDE/>
              <w:autoSpaceDN/>
              <w:adjustRightInd/>
              <w:jc w:val="center"/>
              <w:rPr>
                <w:szCs w:val="24"/>
              </w:rPr>
            </w:pPr>
            <w:r>
              <w:rPr>
                <w:szCs w:val="24"/>
              </w:rPr>
              <w:t>10</w:t>
            </w:r>
            <w:r w:rsidR="005D1C08">
              <w:rPr>
                <w:szCs w:val="24"/>
              </w:rPr>
              <w:t xml:space="preserve"> min /60 min/hr</w:t>
            </w:r>
            <w:r w:rsidR="005D1C08" w:rsidRPr="00B45EBF" w:rsidDel="000775AE">
              <w:rPr>
                <w:szCs w:val="24"/>
              </w:rPr>
              <w:t xml:space="preserve"> </w:t>
            </w:r>
          </w:p>
        </w:tc>
        <w:tc>
          <w:tcPr>
            <w:tcW w:w="1960" w:type="dxa"/>
            <w:shd w:val="clear" w:color="auto" w:fill="auto"/>
            <w:noWrap/>
            <w:vAlign w:val="bottom"/>
          </w:tcPr>
          <w:p w:rsidR="00EC5D20" w:rsidRPr="00EC5D20" w:rsidRDefault="009D349B" w:rsidP="00223016">
            <w:pPr>
              <w:keepNext/>
              <w:keepLines/>
              <w:widowControl/>
              <w:autoSpaceDE/>
              <w:autoSpaceDN/>
              <w:adjustRightInd/>
              <w:jc w:val="center"/>
              <w:rPr>
                <w:szCs w:val="24"/>
              </w:rPr>
            </w:pPr>
            <w:r>
              <w:rPr>
                <w:szCs w:val="24"/>
              </w:rPr>
              <w:t>2,0</w:t>
            </w:r>
            <w:r w:rsidR="003268E5">
              <w:rPr>
                <w:szCs w:val="24"/>
              </w:rPr>
              <w:t>45</w:t>
            </w:r>
          </w:p>
        </w:tc>
      </w:tr>
      <w:tr w:rsidR="00EC5D20" w:rsidRPr="00376B7D">
        <w:trPr>
          <w:trHeight w:val="270"/>
          <w:jc w:val="center"/>
        </w:trPr>
        <w:tc>
          <w:tcPr>
            <w:tcW w:w="960" w:type="dxa"/>
            <w:shd w:val="clear" w:color="auto" w:fill="auto"/>
            <w:noWrap/>
            <w:vAlign w:val="center"/>
          </w:tcPr>
          <w:p w:rsidR="00EC5D20" w:rsidRPr="00376B7D" w:rsidRDefault="00EC5D20" w:rsidP="00223016">
            <w:pPr>
              <w:keepNext/>
              <w:keepLines/>
              <w:widowControl/>
              <w:autoSpaceDE/>
              <w:autoSpaceDN/>
              <w:adjustRightInd/>
              <w:jc w:val="center"/>
              <w:rPr>
                <w:szCs w:val="24"/>
              </w:rPr>
            </w:pPr>
            <w:r w:rsidRPr="00376B7D">
              <w:rPr>
                <w:szCs w:val="24"/>
              </w:rPr>
              <w:t>3</w:t>
            </w:r>
          </w:p>
        </w:tc>
        <w:tc>
          <w:tcPr>
            <w:tcW w:w="1523" w:type="dxa"/>
            <w:shd w:val="clear" w:color="auto" w:fill="auto"/>
            <w:noWrap/>
            <w:vAlign w:val="bottom"/>
          </w:tcPr>
          <w:p w:rsidR="00EC5D20" w:rsidRPr="00B45EBF" w:rsidRDefault="009D349B" w:rsidP="00223016">
            <w:pPr>
              <w:keepNext/>
              <w:keepLines/>
              <w:widowControl/>
              <w:autoSpaceDE/>
              <w:autoSpaceDN/>
              <w:adjustRightInd/>
              <w:jc w:val="center"/>
              <w:rPr>
                <w:szCs w:val="24"/>
              </w:rPr>
            </w:pPr>
            <w:r>
              <w:rPr>
                <w:szCs w:val="24"/>
              </w:rPr>
              <w:t>12,</w:t>
            </w:r>
            <w:r w:rsidR="00106EA6">
              <w:rPr>
                <w:szCs w:val="24"/>
              </w:rPr>
              <w:t>442</w:t>
            </w:r>
            <w:r w:rsidR="00106EA6" w:rsidRPr="00B45EBF">
              <w:rPr>
                <w:szCs w:val="24"/>
              </w:rPr>
              <w:t xml:space="preserve"> </w:t>
            </w:r>
          </w:p>
        </w:tc>
        <w:tc>
          <w:tcPr>
            <w:tcW w:w="2060" w:type="dxa"/>
            <w:shd w:val="clear" w:color="auto" w:fill="auto"/>
            <w:noWrap/>
            <w:vAlign w:val="bottom"/>
          </w:tcPr>
          <w:p w:rsidR="00EC5D20" w:rsidRPr="00B45EBF" w:rsidRDefault="00B96F81" w:rsidP="00223016">
            <w:pPr>
              <w:keepNext/>
              <w:keepLines/>
              <w:widowControl/>
              <w:autoSpaceDE/>
              <w:autoSpaceDN/>
              <w:adjustRightInd/>
              <w:jc w:val="center"/>
              <w:rPr>
                <w:szCs w:val="24"/>
              </w:rPr>
            </w:pPr>
            <w:r>
              <w:rPr>
                <w:szCs w:val="24"/>
              </w:rPr>
              <w:t>10</w:t>
            </w:r>
            <w:r w:rsidR="005D1C08">
              <w:rPr>
                <w:szCs w:val="24"/>
              </w:rPr>
              <w:t xml:space="preserve"> min /60 min/hr</w:t>
            </w:r>
            <w:r w:rsidR="005D1C08" w:rsidRPr="00B45EBF" w:rsidDel="000775AE">
              <w:rPr>
                <w:szCs w:val="24"/>
              </w:rPr>
              <w:t xml:space="preserve"> </w:t>
            </w:r>
          </w:p>
        </w:tc>
        <w:tc>
          <w:tcPr>
            <w:tcW w:w="1960" w:type="dxa"/>
            <w:shd w:val="clear" w:color="auto" w:fill="auto"/>
            <w:noWrap/>
            <w:vAlign w:val="bottom"/>
          </w:tcPr>
          <w:p w:rsidR="00EC5D20" w:rsidRPr="00EC5D20" w:rsidRDefault="009D349B" w:rsidP="00223016">
            <w:pPr>
              <w:keepNext/>
              <w:keepLines/>
              <w:widowControl/>
              <w:autoSpaceDE/>
              <w:autoSpaceDN/>
              <w:adjustRightInd/>
              <w:jc w:val="center"/>
              <w:rPr>
                <w:szCs w:val="24"/>
              </w:rPr>
            </w:pPr>
            <w:r>
              <w:rPr>
                <w:szCs w:val="24"/>
              </w:rPr>
              <w:t>2,</w:t>
            </w:r>
            <w:r w:rsidR="003268E5">
              <w:rPr>
                <w:szCs w:val="24"/>
              </w:rPr>
              <w:t>07</w:t>
            </w:r>
            <w:r w:rsidR="00615364">
              <w:rPr>
                <w:szCs w:val="24"/>
              </w:rPr>
              <w:t>4</w:t>
            </w:r>
          </w:p>
        </w:tc>
      </w:tr>
      <w:tr w:rsidR="006240B6" w:rsidRPr="00376B7D">
        <w:trPr>
          <w:trHeight w:val="270"/>
          <w:jc w:val="center"/>
        </w:trPr>
        <w:tc>
          <w:tcPr>
            <w:tcW w:w="960" w:type="dxa"/>
            <w:shd w:val="clear" w:color="auto" w:fill="auto"/>
            <w:noWrap/>
            <w:vAlign w:val="center"/>
          </w:tcPr>
          <w:p w:rsidR="006240B6" w:rsidRPr="00376B7D" w:rsidRDefault="006240B6" w:rsidP="00223016">
            <w:pPr>
              <w:keepNext/>
              <w:keepLines/>
              <w:widowControl/>
              <w:autoSpaceDE/>
              <w:autoSpaceDN/>
              <w:adjustRightInd/>
              <w:jc w:val="center"/>
              <w:rPr>
                <w:szCs w:val="24"/>
              </w:rPr>
            </w:pPr>
            <w:r w:rsidRPr="009F3981">
              <w:rPr>
                <w:szCs w:val="24"/>
              </w:rPr>
              <w:t>Annualized</w:t>
            </w:r>
          </w:p>
        </w:tc>
        <w:tc>
          <w:tcPr>
            <w:tcW w:w="1523" w:type="dxa"/>
            <w:shd w:val="clear" w:color="auto" w:fill="auto"/>
            <w:noWrap/>
            <w:vAlign w:val="bottom"/>
          </w:tcPr>
          <w:p w:rsidR="006240B6" w:rsidRPr="00B45EBF" w:rsidRDefault="006240B6" w:rsidP="00223016">
            <w:pPr>
              <w:keepNext/>
              <w:keepLines/>
              <w:widowControl/>
              <w:autoSpaceDE/>
              <w:autoSpaceDN/>
              <w:adjustRightInd/>
              <w:jc w:val="center"/>
              <w:rPr>
                <w:szCs w:val="24"/>
              </w:rPr>
            </w:pPr>
          </w:p>
        </w:tc>
        <w:tc>
          <w:tcPr>
            <w:tcW w:w="2060" w:type="dxa"/>
            <w:shd w:val="clear" w:color="auto" w:fill="auto"/>
            <w:noWrap/>
            <w:vAlign w:val="bottom"/>
          </w:tcPr>
          <w:p w:rsidR="006240B6" w:rsidRDefault="006240B6" w:rsidP="00223016">
            <w:pPr>
              <w:keepNext/>
              <w:keepLines/>
              <w:widowControl/>
              <w:autoSpaceDE/>
              <w:autoSpaceDN/>
              <w:adjustRightInd/>
              <w:jc w:val="center"/>
              <w:rPr>
                <w:szCs w:val="24"/>
              </w:rPr>
            </w:pPr>
          </w:p>
        </w:tc>
        <w:tc>
          <w:tcPr>
            <w:tcW w:w="1960" w:type="dxa"/>
            <w:shd w:val="clear" w:color="auto" w:fill="auto"/>
            <w:noWrap/>
            <w:vAlign w:val="bottom"/>
          </w:tcPr>
          <w:p w:rsidR="006240B6" w:rsidRPr="00EC5D20" w:rsidRDefault="009D349B" w:rsidP="00223016">
            <w:pPr>
              <w:keepNext/>
              <w:keepLines/>
              <w:widowControl/>
              <w:autoSpaceDE/>
              <w:autoSpaceDN/>
              <w:adjustRightInd/>
              <w:jc w:val="center"/>
              <w:rPr>
                <w:szCs w:val="24"/>
              </w:rPr>
            </w:pPr>
            <w:r>
              <w:rPr>
                <w:szCs w:val="24"/>
              </w:rPr>
              <w:t>2,0</w:t>
            </w:r>
            <w:r w:rsidR="008F1F7F">
              <w:rPr>
                <w:szCs w:val="24"/>
              </w:rPr>
              <w:t>45</w:t>
            </w:r>
          </w:p>
        </w:tc>
      </w:tr>
    </w:tbl>
    <w:p w:rsidR="00376B7D" w:rsidRDefault="00376B7D" w:rsidP="00C611B9">
      <w:pPr>
        <w:jc w:val="center"/>
        <w:rPr>
          <w:b/>
          <w:szCs w:val="24"/>
        </w:rPr>
      </w:pPr>
    </w:p>
    <w:p w:rsidR="004A7801" w:rsidRDefault="004A7801" w:rsidP="00C611B9">
      <w:pPr>
        <w:jc w:val="center"/>
        <w:rPr>
          <w:b/>
          <w:szCs w:val="24"/>
        </w:rPr>
      </w:pPr>
    </w:p>
    <w:p w:rsidR="00106EA6" w:rsidRDefault="00106EA6" w:rsidP="00223016">
      <w:pPr>
        <w:widowControl/>
        <w:autoSpaceDE/>
        <w:autoSpaceDN/>
        <w:adjustRightInd/>
        <w:ind w:left="720" w:firstLine="720"/>
        <w:rPr>
          <w:b/>
          <w:szCs w:val="24"/>
        </w:rPr>
      </w:pPr>
      <w:r>
        <w:rPr>
          <w:b/>
          <w:szCs w:val="24"/>
        </w:rPr>
        <w:t>Table 5:</w:t>
      </w:r>
      <w:r w:rsidR="005C5240">
        <w:rPr>
          <w:b/>
          <w:szCs w:val="24"/>
        </w:rPr>
        <w:t xml:space="preserve"> </w:t>
      </w:r>
      <w:r>
        <w:rPr>
          <w:b/>
          <w:szCs w:val="24"/>
        </w:rPr>
        <w:t>Respondents and Burden Hours for Transfer Notification</w:t>
      </w:r>
      <w:r w:rsidR="008F1F7F">
        <w:rPr>
          <w:b/>
          <w:szCs w:val="24"/>
        </w:rPr>
        <w:t>s</w:t>
      </w:r>
    </w:p>
    <w:tbl>
      <w:tblPr>
        <w:tblW w:w="686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1323"/>
        <w:gridCol w:w="1523"/>
        <w:gridCol w:w="2060"/>
        <w:gridCol w:w="1960"/>
      </w:tblGrid>
      <w:tr w:rsidR="00106EA6" w:rsidRPr="00376B7D" w:rsidTr="00D2340B">
        <w:trPr>
          <w:trHeight w:val="270"/>
          <w:jc w:val="center"/>
        </w:trPr>
        <w:tc>
          <w:tcPr>
            <w:tcW w:w="1323" w:type="dxa"/>
            <w:shd w:val="clear" w:color="auto" w:fill="auto"/>
            <w:noWrap/>
            <w:vAlign w:val="center"/>
          </w:tcPr>
          <w:p w:rsidR="00106EA6" w:rsidRPr="00376B7D" w:rsidRDefault="00106EA6" w:rsidP="0093625C">
            <w:pPr>
              <w:widowControl/>
              <w:autoSpaceDE/>
              <w:autoSpaceDN/>
              <w:adjustRightInd/>
              <w:jc w:val="center"/>
              <w:rPr>
                <w:b/>
                <w:szCs w:val="24"/>
              </w:rPr>
            </w:pPr>
            <w:r w:rsidRPr="00376B7D">
              <w:rPr>
                <w:b/>
                <w:szCs w:val="24"/>
              </w:rPr>
              <w:t>Year</w:t>
            </w:r>
          </w:p>
        </w:tc>
        <w:tc>
          <w:tcPr>
            <w:tcW w:w="1523" w:type="dxa"/>
            <w:shd w:val="clear" w:color="auto" w:fill="auto"/>
            <w:noWrap/>
            <w:vAlign w:val="center"/>
          </w:tcPr>
          <w:p w:rsidR="00106EA6" w:rsidRPr="00376B7D" w:rsidRDefault="00A94234" w:rsidP="0093625C">
            <w:pPr>
              <w:widowControl/>
              <w:autoSpaceDE/>
              <w:autoSpaceDN/>
              <w:adjustRightInd/>
              <w:jc w:val="center"/>
              <w:rPr>
                <w:b/>
                <w:szCs w:val="24"/>
              </w:rPr>
            </w:pPr>
            <w:r>
              <w:rPr>
                <w:b/>
                <w:szCs w:val="24"/>
              </w:rPr>
              <w:t xml:space="preserve">URS </w:t>
            </w:r>
            <w:r w:rsidR="00106EA6" w:rsidRPr="00376B7D">
              <w:rPr>
                <w:b/>
                <w:szCs w:val="24"/>
              </w:rPr>
              <w:t>Respondents</w:t>
            </w:r>
          </w:p>
        </w:tc>
        <w:tc>
          <w:tcPr>
            <w:tcW w:w="2060" w:type="dxa"/>
            <w:shd w:val="clear" w:color="auto" w:fill="auto"/>
            <w:noWrap/>
            <w:vAlign w:val="center"/>
          </w:tcPr>
          <w:p w:rsidR="00106EA6" w:rsidRPr="00376B7D" w:rsidRDefault="00106EA6" w:rsidP="0093625C">
            <w:pPr>
              <w:widowControl/>
              <w:autoSpaceDE/>
              <w:autoSpaceDN/>
              <w:adjustRightInd/>
              <w:jc w:val="center"/>
              <w:rPr>
                <w:b/>
                <w:szCs w:val="24"/>
              </w:rPr>
            </w:pPr>
            <w:r w:rsidRPr="00376B7D">
              <w:rPr>
                <w:b/>
                <w:szCs w:val="24"/>
              </w:rPr>
              <w:t>Hours per Respondent</w:t>
            </w:r>
          </w:p>
        </w:tc>
        <w:tc>
          <w:tcPr>
            <w:tcW w:w="1960" w:type="dxa"/>
            <w:shd w:val="clear" w:color="auto" w:fill="auto"/>
            <w:noWrap/>
            <w:vAlign w:val="center"/>
          </w:tcPr>
          <w:p w:rsidR="00106EA6" w:rsidRPr="00376B7D" w:rsidRDefault="00106EA6" w:rsidP="0093625C">
            <w:pPr>
              <w:widowControl/>
              <w:autoSpaceDE/>
              <w:autoSpaceDN/>
              <w:adjustRightInd/>
              <w:jc w:val="center"/>
              <w:rPr>
                <w:b/>
                <w:szCs w:val="24"/>
              </w:rPr>
            </w:pPr>
            <w:r w:rsidRPr="00376B7D">
              <w:rPr>
                <w:b/>
                <w:szCs w:val="24"/>
              </w:rPr>
              <w:t>Total Burden Hours</w:t>
            </w:r>
          </w:p>
        </w:tc>
      </w:tr>
      <w:tr w:rsidR="00106EA6" w:rsidRPr="00376B7D" w:rsidTr="00D2340B">
        <w:trPr>
          <w:trHeight w:val="255"/>
          <w:jc w:val="center"/>
        </w:trPr>
        <w:tc>
          <w:tcPr>
            <w:tcW w:w="1323" w:type="dxa"/>
            <w:shd w:val="clear" w:color="auto" w:fill="auto"/>
            <w:noWrap/>
            <w:vAlign w:val="center"/>
          </w:tcPr>
          <w:p w:rsidR="00106EA6" w:rsidRPr="00376B7D" w:rsidRDefault="00106EA6" w:rsidP="0093625C">
            <w:pPr>
              <w:widowControl/>
              <w:autoSpaceDE/>
              <w:autoSpaceDN/>
              <w:adjustRightInd/>
              <w:jc w:val="center"/>
              <w:rPr>
                <w:szCs w:val="24"/>
              </w:rPr>
            </w:pPr>
            <w:r w:rsidRPr="00376B7D">
              <w:rPr>
                <w:szCs w:val="24"/>
              </w:rPr>
              <w:t>1</w:t>
            </w:r>
          </w:p>
        </w:tc>
        <w:tc>
          <w:tcPr>
            <w:tcW w:w="1523" w:type="dxa"/>
            <w:shd w:val="clear" w:color="auto" w:fill="auto"/>
            <w:noWrap/>
            <w:vAlign w:val="bottom"/>
          </w:tcPr>
          <w:p w:rsidR="00106EA6" w:rsidRPr="00B45EBF" w:rsidRDefault="008509CB" w:rsidP="0093625C">
            <w:pPr>
              <w:widowControl/>
              <w:autoSpaceDE/>
              <w:autoSpaceDN/>
              <w:adjustRightInd/>
              <w:jc w:val="center"/>
              <w:rPr>
                <w:szCs w:val="24"/>
              </w:rPr>
            </w:pPr>
            <w:r>
              <w:rPr>
                <w:szCs w:val="24"/>
              </w:rPr>
              <w:t>987</w:t>
            </w:r>
          </w:p>
        </w:tc>
        <w:tc>
          <w:tcPr>
            <w:tcW w:w="2060" w:type="dxa"/>
            <w:shd w:val="clear" w:color="auto" w:fill="auto"/>
            <w:noWrap/>
            <w:vAlign w:val="bottom"/>
          </w:tcPr>
          <w:p w:rsidR="00106EA6" w:rsidRPr="00B45EBF" w:rsidRDefault="00106EA6" w:rsidP="0093625C">
            <w:pPr>
              <w:widowControl/>
              <w:autoSpaceDE/>
              <w:autoSpaceDN/>
              <w:adjustRightInd/>
              <w:jc w:val="center"/>
              <w:rPr>
                <w:szCs w:val="24"/>
              </w:rPr>
            </w:pPr>
            <w:r>
              <w:rPr>
                <w:szCs w:val="24"/>
              </w:rPr>
              <w:t>10 min /60 min/hr</w:t>
            </w:r>
            <w:r w:rsidRPr="00B45EBF" w:rsidDel="000775AE">
              <w:rPr>
                <w:szCs w:val="24"/>
              </w:rPr>
              <w:t xml:space="preserve"> </w:t>
            </w:r>
          </w:p>
        </w:tc>
        <w:tc>
          <w:tcPr>
            <w:tcW w:w="1960" w:type="dxa"/>
            <w:shd w:val="clear" w:color="auto" w:fill="auto"/>
            <w:noWrap/>
            <w:vAlign w:val="bottom"/>
          </w:tcPr>
          <w:p w:rsidR="00106EA6" w:rsidRPr="00EC5D20" w:rsidRDefault="008509CB" w:rsidP="0093625C">
            <w:pPr>
              <w:widowControl/>
              <w:autoSpaceDE/>
              <w:autoSpaceDN/>
              <w:adjustRightInd/>
              <w:jc w:val="center"/>
              <w:rPr>
                <w:szCs w:val="24"/>
              </w:rPr>
            </w:pPr>
            <w:r>
              <w:rPr>
                <w:szCs w:val="24"/>
              </w:rPr>
              <w:t>165</w:t>
            </w:r>
          </w:p>
        </w:tc>
      </w:tr>
      <w:tr w:rsidR="00106EA6" w:rsidRPr="00376B7D" w:rsidTr="00D2340B">
        <w:trPr>
          <w:trHeight w:val="255"/>
          <w:jc w:val="center"/>
        </w:trPr>
        <w:tc>
          <w:tcPr>
            <w:tcW w:w="1323" w:type="dxa"/>
            <w:shd w:val="clear" w:color="auto" w:fill="auto"/>
            <w:noWrap/>
            <w:vAlign w:val="center"/>
          </w:tcPr>
          <w:p w:rsidR="00106EA6" w:rsidRPr="00376B7D" w:rsidRDefault="00106EA6" w:rsidP="0093625C">
            <w:pPr>
              <w:widowControl/>
              <w:autoSpaceDE/>
              <w:autoSpaceDN/>
              <w:adjustRightInd/>
              <w:jc w:val="center"/>
              <w:rPr>
                <w:szCs w:val="24"/>
              </w:rPr>
            </w:pPr>
            <w:r w:rsidRPr="00376B7D">
              <w:rPr>
                <w:szCs w:val="24"/>
              </w:rPr>
              <w:t>2</w:t>
            </w:r>
          </w:p>
        </w:tc>
        <w:tc>
          <w:tcPr>
            <w:tcW w:w="1523" w:type="dxa"/>
            <w:shd w:val="clear" w:color="auto" w:fill="auto"/>
            <w:noWrap/>
            <w:vAlign w:val="bottom"/>
          </w:tcPr>
          <w:p w:rsidR="00106EA6" w:rsidRPr="00B45EBF" w:rsidRDefault="008509CB" w:rsidP="0093625C">
            <w:pPr>
              <w:widowControl/>
              <w:autoSpaceDE/>
              <w:autoSpaceDN/>
              <w:adjustRightInd/>
              <w:jc w:val="center"/>
              <w:rPr>
                <w:szCs w:val="24"/>
              </w:rPr>
            </w:pPr>
            <w:r>
              <w:rPr>
                <w:szCs w:val="24"/>
              </w:rPr>
              <w:t>1,001</w:t>
            </w:r>
            <w:r w:rsidR="00106EA6" w:rsidRPr="00B45EBF">
              <w:rPr>
                <w:szCs w:val="24"/>
              </w:rPr>
              <w:t xml:space="preserve"> </w:t>
            </w:r>
          </w:p>
        </w:tc>
        <w:tc>
          <w:tcPr>
            <w:tcW w:w="2060" w:type="dxa"/>
            <w:shd w:val="clear" w:color="auto" w:fill="auto"/>
            <w:noWrap/>
            <w:vAlign w:val="bottom"/>
          </w:tcPr>
          <w:p w:rsidR="00106EA6" w:rsidRPr="00B45EBF" w:rsidRDefault="00106EA6" w:rsidP="0093625C">
            <w:pPr>
              <w:widowControl/>
              <w:autoSpaceDE/>
              <w:autoSpaceDN/>
              <w:adjustRightInd/>
              <w:jc w:val="center"/>
              <w:rPr>
                <w:szCs w:val="24"/>
              </w:rPr>
            </w:pPr>
            <w:r>
              <w:rPr>
                <w:szCs w:val="24"/>
              </w:rPr>
              <w:t>10 min /60 min/hr</w:t>
            </w:r>
            <w:r w:rsidRPr="00B45EBF" w:rsidDel="000775AE">
              <w:rPr>
                <w:szCs w:val="24"/>
              </w:rPr>
              <w:t xml:space="preserve"> </w:t>
            </w:r>
          </w:p>
        </w:tc>
        <w:tc>
          <w:tcPr>
            <w:tcW w:w="1960" w:type="dxa"/>
            <w:shd w:val="clear" w:color="auto" w:fill="auto"/>
            <w:noWrap/>
            <w:vAlign w:val="bottom"/>
          </w:tcPr>
          <w:p w:rsidR="00106EA6" w:rsidRPr="00EC5D20" w:rsidRDefault="008509CB" w:rsidP="0093625C">
            <w:pPr>
              <w:widowControl/>
              <w:autoSpaceDE/>
              <w:autoSpaceDN/>
              <w:adjustRightInd/>
              <w:jc w:val="center"/>
              <w:rPr>
                <w:szCs w:val="24"/>
              </w:rPr>
            </w:pPr>
            <w:r>
              <w:rPr>
                <w:szCs w:val="24"/>
              </w:rPr>
              <w:t>167</w:t>
            </w:r>
          </w:p>
        </w:tc>
      </w:tr>
      <w:tr w:rsidR="00106EA6" w:rsidRPr="00376B7D" w:rsidTr="00D2340B">
        <w:trPr>
          <w:trHeight w:val="270"/>
          <w:jc w:val="center"/>
        </w:trPr>
        <w:tc>
          <w:tcPr>
            <w:tcW w:w="1323" w:type="dxa"/>
            <w:shd w:val="clear" w:color="auto" w:fill="auto"/>
            <w:noWrap/>
            <w:vAlign w:val="center"/>
          </w:tcPr>
          <w:p w:rsidR="00106EA6" w:rsidRPr="00376B7D" w:rsidRDefault="00106EA6" w:rsidP="0093625C">
            <w:pPr>
              <w:widowControl/>
              <w:autoSpaceDE/>
              <w:autoSpaceDN/>
              <w:adjustRightInd/>
              <w:jc w:val="center"/>
              <w:rPr>
                <w:szCs w:val="24"/>
              </w:rPr>
            </w:pPr>
            <w:r w:rsidRPr="00376B7D">
              <w:rPr>
                <w:szCs w:val="24"/>
              </w:rPr>
              <w:t>3</w:t>
            </w:r>
          </w:p>
        </w:tc>
        <w:tc>
          <w:tcPr>
            <w:tcW w:w="1523" w:type="dxa"/>
            <w:shd w:val="clear" w:color="auto" w:fill="auto"/>
            <w:noWrap/>
            <w:vAlign w:val="bottom"/>
          </w:tcPr>
          <w:p w:rsidR="00106EA6" w:rsidRPr="00B45EBF" w:rsidRDefault="008509CB" w:rsidP="0093625C">
            <w:pPr>
              <w:widowControl/>
              <w:autoSpaceDE/>
              <w:autoSpaceDN/>
              <w:adjustRightInd/>
              <w:jc w:val="center"/>
              <w:rPr>
                <w:szCs w:val="24"/>
              </w:rPr>
            </w:pPr>
            <w:r>
              <w:rPr>
                <w:szCs w:val="24"/>
              </w:rPr>
              <w:t>1,015</w:t>
            </w:r>
            <w:r w:rsidR="00106EA6" w:rsidRPr="00B45EBF">
              <w:rPr>
                <w:szCs w:val="24"/>
              </w:rPr>
              <w:t xml:space="preserve"> </w:t>
            </w:r>
          </w:p>
        </w:tc>
        <w:tc>
          <w:tcPr>
            <w:tcW w:w="2060" w:type="dxa"/>
            <w:shd w:val="clear" w:color="auto" w:fill="auto"/>
            <w:noWrap/>
            <w:vAlign w:val="bottom"/>
          </w:tcPr>
          <w:p w:rsidR="00106EA6" w:rsidRPr="00B45EBF" w:rsidRDefault="00106EA6" w:rsidP="0093625C">
            <w:pPr>
              <w:widowControl/>
              <w:autoSpaceDE/>
              <w:autoSpaceDN/>
              <w:adjustRightInd/>
              <w:jc w:val="center"/>
              <w:rPr>
                <w:szCs w:val="24"/>
              </w:rPr>
            </w:pPr>
            <w:r>
              <w:rPr>
                <w:szCs w:val="24"/>
              </w:rPr>
              <w:t>10 min /60 min/hr</w:t>
            </w:r>
            <w:r w:rsidRPr="00B45EBF" w:rsidDel="000775AE">
              <w:rPr>
                <w:szCs w:val="24"/>
              </w:rPr>
              <w:t xml:space="preserve"> </w:t>
            </w:r>
          </w:p>
        </w:tc>
        <w:tc>
          <w:tcPr>
            <w:tcW w:w="1960" w:type="dxa"/>
            <w:shd w:val="clear" w:color="auto" w:fill="auto"/>
            <w:noWrap/>
            <w:vAlign w:val="bottom"/>
          </w:tcPr>
          <w:p w:rsidR="00106EA6" w:rsidRPr="00EC5D20" w:rsidRDefault="008509CB" w:rsidP="0093625C">
            <w:pPr>
              <w:widowControl/>
              <w:autoSpaceDE/>
              <w:autoSpaceDN/>
              <w:adjustRightInd/>
              <w:jc w:val="center"/>
              <w:rPr>
                <w:szCs w:val="24"/>
              </w:rPr>
            </w:pPr>
            <w:r>
              <w:rPr>
                <w:szCs w:val="24"/>
              </w:rPr>
              <w:t>169</w:t>
            </w:r>
          </w:p>
        </w:tc>
      </w:tr>
      <w:tr w:rsidR="00106EA6" w:rsidRPr="00376B7D" w:rsidTr="00D2340B">
        <w:trPr>
          <w:trHeight w:val="270"/>
          <w:jc w:val="center"/>
        </w:trPr>
        <w:tc>
          <w:tcPr>
            <w:tcW w:w="1323" w:type="dxa"/>
            <w:shd w:val="clear" w:color="auto" w:fill="auto"/>
            <w:noWrap/>
            <w:vAlign w:val="center"/>
          </w:tcPr>
          <w:p w:rsidR="00106EA6" w:rsidRPr="00376B7D" w:rsidRDefault="00106EA6" w:rsidP="0093625C">
            <w:pPr>
              <w:widowControl/>
              <w:autoSpaceDE/>
              <w:autoSpaceDN/>
              <w:adjustRightInd/>
              <w:jc w:val="center"/>
              <w:rPr>
                <w:szCs w:val="24"/>
              </w:rPr>
            </w:pPr>
            <w:r w:rsidRPr="009F3981">
              <w:rPr>
                <w:szCs w:val="24"/>
              </w:rPr>
              <w:t>Annualized</w:t>
            </w:r>
          </w:p>
        </w:tc>
        <w:tc>
          <w:tcPr>
            <w:tcW w:w="1523" w:type="dxa"/>
            <w:shd w:val="clear" w:color="auto" w:fill="auto"/>
            <w:noWrap/>
            <w:vAlign w:val="bottom"/>
          </w:tcPr>
          <w:p w:rsidR="00106EA6" w:rsidRPr="00B45EBF" w:rsidRDefault="00106EA6" w:rsidP="0093625C">
            <w:pPr>
              <w:widowControl/>
              <w:autoSpaceDE/>
              <w:autoSpaceDN/>
              <w:adjustRightInd/>
              <w:jc w:val="center"/>
              <w:rPr>
                <w:szCs w:val="24"/>
              </w:rPr>
            </w:pPr>
          </w:p>
        </w:tc>
        <w:tc>
          <w:tcPr>
            <w:tcW w:w="2060" w:type="dxa"/>
            <w:shd w:val="clear" w:color="auto" w:fill="auto"/>
            <w:noWrap/>
            <w:vAlign w:val="bottom"/>
          </w:tcPr>
          <w:p w:rsidR="00106EA6" w:rsidRDefault="00106EA6" w:rsidP="0093625C">
            <w:pPr>
              <w:widowControl/>
              <w:autoSpaceDE/>
              <w:autoSpaceDN/>
              <w:adjustRightInd/>
              <w:jc w:val="center"/>
              <w:rPr>
                <w:szCs w:val="24"/>
              </w:rPr>
            </w:pPr>
          </w:p>
        </w:tc>
        <w:tc>
          <w:tcPr>
            <w:tcW w:w="1960" w:type="dxa"/>
            <w:shd w:val="clear" w:color="auto" w:fill="auto"/>
            <w:noWrap/>
            <w:vAlign w:val="bottom"/>
          </w:tcPr>
          <w:p w:rsidR="00106EA6" w:rsidRPr="00EC5D20" w:rsidRDefault="008509CB" w:rsidP="0093625C">
            <w:pPr>
              <w:widowControl/>
              <w:autoSpaceDE/>
              <w:autoSpaceDN/>
              <w:adjustRightInd/>
              <w:jc w:val="center"/>
              <w:rPr>
                <w:szCs w:val="24"/>
              </w:rPr>
            </w:pPr>
            <w:r>
              <w:rPr>
                <w:szCs w:val="24"/>
              </w:rPr>
              <w:t>167</w:t>
            </w:r>
          </w:p>
        </w:tc>
      </w:tr>
    </w:tbl>
    <w:p w:rsidR="00D2340B" w:rsidRDefault="00D2340B" w:rsidP="00D2340B">
      <w:pPr>
        <w:jc w:val="center"/>
        <w:rPr>
          <w:b/>
          <w:szCs w:val="24"/>
        </w:rPr>
      </w:pPr>
    </w:p>
    <w:p w:rsidR="008D7C52" w:rsidRDefault="00D2340B" w:rsidP="00223016">
      <w:pPr>
        <w:widowControl/>
        <w:autoSpaceDE/>
        <w:autoSpaceDN/>
        <w:adjustRightInd/>
        <w:ind w:left="720" w:firstLine="720"/>
        <w:rPr>
          <w:b/>
          <w:szCs w:val="24"/>
        </w:rPr>
      </w:pPr>
      <w:r>
        <w:rPr>
          <w:b/>
          <w:szCs w:val="24"/>
        </w:rPr>
        <w:t>Table 6: Respondents and Burden Hours for Reinstatements</w:t>
      </w:r>
    </w:p>
    <w:tbl>
      <w:tblPr>
        <w:tblW w:w="650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1323"/>
        <w:gridCol w:w="1523"/>
        <w:gridCol w:w="2060"/>
        <w:gridCol w:w="1960"/>
      </w:tblGrid>
      <w:tr w:rsidR="00D2340B" w:rsidRPr="00376B7D" w:rsidTr="008D7C52">
        <w:trPr>
          <w:trHeight w:val="270"/>
          <w:jc w:val="center"/>
        </w:trPr>
        <w:tc>
          <w:tcPr>
            <w:tcW w:w="960" w:type="dxa"/>
            <w:shd w:val="clear" w:color="auto" w:fill="auto"/>
            <w:noWrap/>
            <w:vAlign w:val="center"/>
          </w:tcPr>
          <w:p w:rsidR="00D2340B" w:rsidRPr="00376B7D" w:rsidRDefault="00D2340B" w:rsidP="008D7C52">
            <w:pPr>
              <w:widowControl/>
              <w:autoSpaceDE/>
              <w:autoSpaceDN/>
              <w:adjustRightInd/>
              <w:jc w:val="center"/>
              <w:rPr>
                <w:b/>
                <w:szCs w:val="24"/>
              </w:rPr>
            </w:pPr>
            <w:r w:rsidRPr="00376B7D">
              <w:rPr>
                <w:b/>
                <w:szCs w:val="24"/>
              </w:rPr>
              <w:t>Year</w:t>
            </w:r>
          </w:p>
        </w:tc>
        <w:tc>
          <w:tcPr>
            <w:tcW w:w="1523" w:type="dxa"/>
            <w:shd w:val="clear" w:color="auto" w:fill="auto"/>
            <w:noWrap/>
            <w:vAlign w:val="center"/>
          </w:tcPr>
          <w:p w:rsidR="00D2340B" w:rsidRPr="00376B7D" w:rsidRDefault="00A94234" w:rsidP="008D7C52">
            <w:pPr>
              <w:widowControl/>
              <w:autoSpaceDE/>
              <w:autoSpaceDN/>
              <w:adjustRightInd/>
              <w:jc w:val="center"/>
              <w:rPr>
                <w:b/>
                <w:szCs w:val="24"/>
              </w:rPr>
            </w:pPr>
            <w:r>
              <w:rPr>
                <w:b/>
                <w:szCs w:val="24"/>
              </w:rPr>
              <w:t xml:space="preserve">URS </w:t>
            </w:r>
            <w:r w:rsidR="00D2340B" w:rsidRPr="00376B7D">
              <w:rPr>
                <w:b/>
                <w:szCs w:val="24"/>
              </w:rPr>
              <w:t>Respondents</w:t>
            </w:r>
          </w:p>
        </w:tc>
        <w:tc>
          <w:tcPr>
            <w:tcW w:w="2060" w:type="dxa"/>
            <w:shd w:val="clear" w:color="auto" w:fill="auto"/>
            <w:noWrap/>
            <w:vAlign w:val="center"/>
          </w:tcPr>
          <w:p w:rsidR="00D2340B" w:rsidRPr="00376B7D" w:rsidRDefault="00D2340B" w:rsidP="008D7C52">
            <w:pPr>
              <w:widowControl/>
              <w:autoSpaceDE/>
              <w:autoSpaceDN/>
              <w:adjustRightInd/>
              <w:jc w:val="center"/>
              <w:rPr>
                <w:b/>
                <w:szCs w:val="24"/>
              </w:rPr>
            </w:pPr>
            <w:r w:rsidRPr="00376B7D">
              <w:rPr>
                <w:b/>
                <w:szCs w:val="24"/>
              </w:rPr>
              <w:t>Hours per Respondent</w:t>
            </w:r>
          </w:p>
        </w:tc>
        <w:tc>
          <w:tcPr>
            <w:tcW w:w="1960" w:type="dxa"/>
            <w:shd w:val="clear" w:color="auto" w:fill="auto"/>
            <w:noWrap/>
            <w:vAlign w:val="center"/>
          </w:tcPr>
          <w:p w:rsidR="00D2340B" w:rsidRPr="00376B7D" w:rsidRDefault="00D2340B" w:rsidP="008D7C52">
            <w:pPr>
              <w:widowControl/>
              <w:autoSpaceDE/>
              <w:autoSpaceDN/>
              <w:adjustRightInd/>
              <w:jc w:val="center"/>
              <w:rPr>
                <w:b/>
                <w:szCs w:val="24"/>
              </w:rPr>
            </w:pPr>
            <w:r w:rsidRPr="00376B7D">
              <w:rPr>
                <w:b/>
                <w:szCs w:val="24"/>
              </w:rPr>
              <w:t>Total Burden Hours</w:t>
            </w:r>
          </w:p>
        </w:tc>
      </w:tr>
      <w:tr w:rsidR="00D2340B" w:rsidRPr="00376B7D" w:rsidTr="008D7C52">
        <w:trPr>
          <w:trHeight w:val="255"/>
          <w:jc w:val="center"/>
        </w:trPr>
        <w:tc>
          <w:tcPr>
            <w:tcW w:w="960" w:type="dxa"/>
            <w:shd w:val="clear" w:color="auto" w:fill="auto"/>
            <w:noWrap/>
            <w:vAlign w:val="center"/>
          </w:tcPr>
          <w:p w:rsidR="00D2340B" w:rsidRPr="00376B7D" w:rsidRDefault="00D2340B" w:rsidP="008D7C52">
            <w:pPr>
              <w:widowControl/>
              <w:autoSpaceDE/>
              <w:autoSpaceDN/>
              <w:adjustRightInd/>
              <w:jc w:val="center"/>
              <w:rPr>
                <w:szCs w:val="24"/>
              </w:rPr>
            </w:pPr>
            <w:r w:rsidRPr="00376B7D">
              <w:rPr>
                <w:szCs w:val="24"/>
              </w:rPr>
              <w:t>1</w:t>
            </w:r>
          </w:p>
        </w:tc>
        <w:tc>
          <w:tcPr>
            <w:tcW w:w="1523" w:type="dxa"/>
            <w:shd w:val="clear" w:color="auto" w:fill="auto"/>
            <w:noWrap/>
            <w:vAlign w:val="bottom"/>
          </w:tcPr>
          <w:p w:rsidR="00D2340B" w:rsidRPr="00B45EBF" w:rsidRDefault="00D2340B" w:rsidP="008D7C52">
            <w:pPr>
              <w:widowControl/>
              <w:autoSpaceDE/>
              <w:autoSpaceDN/>
              <w:adjustRightInd/>
              <w:jc w:val="center"/>
              <w:rPr>
                <w:szCs w:val="24"/>
              </w:rPr>
            </w:pPr>
            <w:r>
              <w:rPr>
                <w:szCs w:val="24"/>
              </w:rPr>
              <w:t>1,891</w:t>
            </w:r>
          </w:p>
        </w:tc>
        <w:tc>
          <w:tcPr>
            <w:tcW w:w="2060" w:type="dxa"/>
            <w:shd w:val="clear" w:color="auto" w:fill="auto"/>
            <w:noWrap/>
            <w:vAlign w:val="bottom"/>
          </w:tcPr>
          <w:p w:rsidR="00D2340B" w:rsidRPr="00B45EBF" w:rsidRDefault="00D2340B" w:rsidP="008D7C52">
            <w:pPr>
              <w:widowControl/>
              <w:autoSpaceDE/>
              <w:autoSpaceDN/>
              <w:adjustRightInd/>
              <w:jc w:val="center"/>
              <w:rPr>
                <w:szCs w:val="24"/>
              </w:rPr>
            </w:pPr>
            <w:r>
              <w:rPr>
                <w:szCs w:val="24"/>
              </w:rPr>
              <w:t>10 min /60 min/hr</w:t>
            </w:r>
            <w:r w:rsidRPr="00B45EBF" w:rsidDel="000775AE">
              <w:rPr>
                <w:szCs w:val="24"/>
              </w:rPr>
              <w:t xml:space="preserve"> </w:t>
            </w:r>
          </w:p>
        </w:tc>
        <w:tc>
          <w:tcPr>
            <w:tcW w:w="1960" w:type="dxa"/>
            <w:shd w:val="clear" w:color="auto" w:fill="auto"/>
            <w:noWrap/>
            <w:vAlign w:val="bottom"/>
          </w:tcPr>
          <w:p w:rsidR="00D2340B" w:rsidRPr="00EC5D20" w:rsidRDefault="00D2340B" w:rsidP="008D7C52">
            <w:pPr>
              <w:widowControl/>
              <w:autoSpaceDE/>
              <w:autoSpaceDN/>
              <w:adjustRightInd/>
              <w:jc w:val="center"/>
              <w:rPr>
                <w:szCs w:val="24"/>
              </w:rPr>
            </w:pPr>
            <w:r>
              <w:rPr>
                <w:szCs w:val="24"/>
              </w:rPr>
              <w:t>315</w:t>
            </w:r>
          </w:p>
        </w:tc>
      </w:tr>
      <w:tr w:rsidR="00D2340B" w:rsidRPr="00376B7D" w:rsidTr="008D7C52">
        <w:trPr>
          <w:trHeight w:val="255"/>
          <w:jc w:val="center"/>
        </w:trPr>
        <w:tc>
          <w:tcPr>
            <w:tcW w:w="960" w:type="dxa"/>
            <w:shd w:val="clear" w:color="auto" w:fill="auto"/>
            <w:noWrap/>
            <w:vAlign w:val="center"/>
          </w:tcPr>
          <w:p w:rsidR="00D2340B" w:rsidRPr="00376B7D" w:rsidRDefault="00D2340B" w:rsidP="008D7C52">
            <w:pPr>
              <w:widowControl/>
              <w:autoSpaceDE/>
              <w:autoSpaceDN/>
              <w:adjustRightInd/>
              <w:jc w:val="center"/>
              <w:rPr>
                <w:szCs w:val="24"/>
              </w:rPr>
            </w:pPr>
            <w:r w:rsidRPr="00376B7D">
              <w:rPr>
                <w:szCs w:val="24"/>
              </w:rPr>
              <w:t>2</w:t>
            </w:r>
          </w:p>
        </w:tc>
        <w:tc>
          <w:tcPr>
            <w:tcW w:w="1523" w:type="dxa"/>
            <w:shd w:val="clear" w:color="auto" w:fill="auto"/>
            <w:noWrap/>
            <w:vAlign w:val="bottom"/>
          </w:tcPr>
          <w:p w:rsidR="00D2340B" w:rsidRPr="00B45EBF" w:rsidRDefault="00D2340B" w:rsidP="008D7C52">
            <w:pPr>
              <w:widowControl/>
              <w:autoSpaceDE/>
              <w:autoSpaceDN/>
              <w:adjustRightInd/>
              <w:jc w:val="center"/>
              <w:rPr>
                <w:szCs w:val="24"/>
              </w:rPr>
            </w:pPr>
            <w:r>
              <w:rPr>
                <w:szCs w:val="24"/>
              </w:rPr>
              <w:t>1,917</w:t>
            </w:r>
            <w:r w:rsidRPr="00B45EBF">
              <w:rPr>
                <w:szCs w:val="24"/>
              </w:rPr>
              <w:t xml:space="preserve"> </w:t>
            </w:r>
          </w:p>
        </w:tc>
        <w:tc>
          <w:tcPr>
            <w:tcW w:w="2060" w:type="dxa"/>
            <w:shd w:val="clear" w:color="auto" w:fill="auto"/>
            <w:noWrap/>
            <w:vAlign w:val="bottom"/>
          </w:tcPr>
          <w:p w:rsidR="00D2340B" w:rsidRPr="00B45EBF" w:rsidRDefault="00D2340B" w:rsidP="008D7C52">
            <w:pPr>
              <w:widowControl/>
              <w:autoSpaceDE/>
              <w:autoSpaceDN/>
              <w:adjustRightInd/>
              <w:jc w:val="center"/>
              <w:rPr>
                <w:szCs w:val="24"/>
              </w:rPr>
            </w:pPr>
            <w:r>
              <w:rPr>
                <w:szCs w:val="24"/>
              </w:rPr>
              <w:t>10 min /60 min/hr</w:t>
            </w:r>
            <w:r w:rsidRPr="00B45EBF" w:rsidDel="000775AE">
              <w:rPr>
                <w:szCs w:val="24"/>
              </w:rPr>
              <w:t xml:space="preserve"> </w:t>
            </w:r>
          </w:p>
        </w:tc>
        <w:tc>
          <w:tcPr>
            <w:tcW w:w="1960" w:type="dxa"/>
            <w:shd w:val="clear" w:color="auto" w:fill="auto"/>
            <w:noWrap/>
            <w:vAlign w:val="bottom"/>
          </w:tcPr>
          <w:p w:rsidR="00D2340B" w:rsidRPr="00EC5D20" w:rsidRDefault="00D2340B" w:rsidP="008D7C52">
            <w:pPr>
              <w:widowControl/>
              <w:autoSpaceDE/>
              <w:autoSpaceDN/>
              <w:adjustRightInd/>
              <w:jc w:val="center"/>
              <w:rPr>
                <w:szCs w:val="24"/>
              </w:rPr>
            </w:pPr>
            <w:r>
              <w:rPr>
                <w:szCs w:val="24"/>
              </w:rPr>
              <w:t>320</w:t>
            </w:r>
          </w:p>
        </w:tc>
      </w:tr>
      <w:tr w:rsidR="00D2340B" w:rsidRPr="00376B7D" w:rsidTr="008D7C52">
        <w:trPr>
          <w:trHeight w:val="270"/>
          <w:jc w:val="center"/>
        </w:trPr>
        <w:tc>
          <w:tcPr>
            <w:tcW w:w="960" w:type="dxa"/>
            <w:shd w:val="clear" w:color="auto" w:fill="auto"/>
            <w:noWrap/>
            <w:vAlign w:val="center"/>
          </w:tcPr>
          <w:p w:rsidR="00D2340B" w:rsidRPr="00376B7D" w:rsidRDefault="00D2340B" w:rsidP="008D7C52">
            <w:pPr>
              <w:widowControl/>
              <w:autoSpaceDE/>
              <w:autoSpaceDN/>
              <w:adjustRightInd/>
              <w:jc w:val="center"/>
              <w:rPr>
                <w:szCs w:val="24"/>
              </w:rPr>
            </w:pPr>
            <w:r w:rsidRPr="00376B7D">
              <w:rPr>
                <w:szCs w:val="24"/>
              </w:rPr>
              <w:t>3</w:t>
            </w:r>
          </w:p>
        </w:tc>
        <w:tc>
          <w:tcPr>
            <w:tcW w:w="1523" w:type="dxa"/>
            <w:shd w:val="clear" w:color="auto" w:fill="auto"/>
            <w:noWrap/>
            <w:vAlign w:val="bottom"/>
          </w:tcPr>
          <w:p w:rsidR="00D2340B" w:rsidRPr="00B45EBF" w:rsidRDefault="00D2340B" w:rsidP="008D7C52">
            <w:pPr>
              <w:widowControl/>
              <w:autoSpaceDE/>
              <w:autoSpaceDN/>
              <w:adjustRightInd/>
              <w:jc w:val="center"/>
              <w:rPr>
                <w:szCs w:val="24"/>
              </w:rPr>
            </w:pPr>
            <w:r>
              <w:rPr>
                <w:szCs w:val="24"/>
              </w:rPr>
              <w:t>1,944</w:t>
            </w:r>
            <w:r w:rsidRPr="00B45EBF">
              <w:rPr>
                <w:szCs w:val="24"/>
              </w:rPr>
              <w:t xml:space="preserve"> </w:t>
            </w:r>
          </w:p>
        </w:tc>
        <w:tc>
          <w:tcPr>
            <w:tcW w:w="2060" w:type="dxa"/>
            <w:shd w:val="clear" w:color="auto" w:fill="auto"/>
            <w:noWrap/>
            <w:vAlign w:val="bottom"/>
          </w:tcPr>
          <w:p w:rsidR="00D2340B" w:rsidRPr="00B45EBF" w:rsidRDefault="00D2340B" w:rsidP="008D7C52">
            <w:pPr>
              <w:widowControl/>
              <w:autoSpaceDE/>
              <w:autoSpaceDN/>
              <w:adjustRightInd/>
              <w:jc w:val="center"/>
              <w:rPr>
                <w:szCs w:val="24"/>
              </w:rPr>
            </w:pPr>
            <w:r>
              <w:rPr>
                <w:szCs w:val="24"/>
              </w:rPr>
              <w:t>10 min /60 min/hr</w:t>
            </w:r>
            <w:r w:rsidRPr="00B45EBF" w:rsidDel="000775AE">
              <w:rPr>
                <w:szCs w:val="24"/>
              </w:rPr>
              <w:t xml:space="preserve"> </w:t>
            </w:r>
          </w:p>
        </w:tc>
        <w:tc>
          <w:tcPr>
            <w:tcW w:w="1960" w:type="dxa"/>
            <w:shd w:val="clear" w:color="auto" w:fill="auto"/>
            <w:noWrap/>
            <w:vAlign w:val="bottom"/>
          </w:tcPr>
          <w:p w:rsidR="00D2340B" w:rsidRPr="00EC5D20" w:rsidRDefault="00D2340B" w:rsidP="008D7C52">
            <w:pPr>
              <w:widowControl/>
              <w:autoSpaceDE/>
              <w:autoSpaceDN/>
              <w:adjustRightInd/>
              <w:jc w:val="center"/>
              <w:rPr>
                <w:szCs w:val="24"/>
              </w:rPr>
            </w:pPr>
            <w:r>
              <w:rPr>
                <w:szCs w:val="24"/>
              </w:rPr>
              <w:t>324</w:t>
            </w:r>
          </w:p>
        </w:tc>
      </w:tr>
      <w:tr w:rsidR="00D2340B" w:rsidRPr="00376B7D" w:rsidTr="008D7C52">
        <w:trPr>
          <w:trHeight w:val="270"/>
          <w:jc w:val="center"/>
        </w:trPr>
        <w:tc>
          <w:tcPr>
            <w:tcW w:w="960" w:type="dxa"/>
            <w:shd w:val="clear" w:color="auto" w:fill="auto"/>
            <w:noWrap/>
            <w:vAlign w:val="center"/>
          </w:tcPr>
          <w:p w:rsidR="00D2340B" w:rsidRPr="00376B7D" w:rsidRDefault="00D2340B" w:rsidP="008D7C52">
            <w:pPr>
              <w:widowControl/>
              <w:autoSpaceDE/>
              <w:autoSpaceDN/>
              <w:adjustRightInd/>
              <w:jc w:val="center"/>
              <w:rPr>
                <w:szCs w:val="24"/>
              </w:rPr>
            </w:pPr>
            <w:r w:rsidRPr="009F3981">
              <w:rPr>
                <w:szCs w:val="24"/>
              </w:rPr>
              <w:t>Annualized</w:t>
            </w:r>
          </w:p>
        </w:tc>
        <w:tc>
          <w:tcPr>
            <w:tcW w:w="1523" w:type="dxa"/>
            <w:shd w:val="clear" w:color="auto" w:fill="auto"/>
            <w:noWrap/>
            <w:vAlign w:val="bottom"/>
          </w:tcPr>
          <w:p w:rsidR="00D2340B" w:rsidRPr="00B45EBF" w:rsidRDefault="00D2340B" w:rsidP="008D7C52">
            <w:pPr>
              <w:widowControl/>
              <w:autoSpaceDE/>
              <w:autoSpaceDN/>
              <w:adjustRightInd/>
              <w:jc w:val="center"/>
              <w:rPr>
                <w:szCs w:val="24"/>
              </w:rPr>
            </w:pPr>
          </w:p>
        </w:tc>
        <w:tc>
          <w:tcPr>
            <w:tcW w:w="2060" w:type="dxa"/>
            <w:shd w:val="clear" w:color="auto" w:fill="auto"/>
            <w:noWrap/>
            <w:vAlign w:val="bottom"/>
          </w:tcPr>
          <w:p w:rsidR="00D2340B" w:rsidRDefault="00D2340B" w:rsidP="008D7C52">
            <w:pPr>
              <w:widowControl/>
              <w:autoSpaceDE/>
              <w:autoSpaceDN/>
              <w:adjustRightInd/>
              <w:jc w:val="center"/>
              <w:rPr>
                <w:szCs w:val="24"/>
              </w:rPr>
            </w:pPr>
          </w:p>
        </w:tc>
        <w:tc>
          <w:tcPr>
            <w:tcW w:w="1960" w:type="dxa"/>
            <w:shd w:val="clear" w:color="auto" w:fill="auto"/>
            <w:noWrap/>
            <w:vAlign w:val="bottom"/>
          </w:tcPr>
          <w:p w:rsidR="00D2340B" w:rsidRPr="00EC5D20" w:rsidRDefault="00D2340B" w:rsidP="008D7C52">
            <w:pPr>
              <w:widowControl/>
              <w:autoSpaceDE/>
              <w:autoSpaceDN/>
              <w:adjustRightInd/>
              <w:jc w:val="center"/>
              <w:rPr>
                <w:szCs w:val="24"/>
              </w:rPr>
            </w:pPr>
            <w:r>
              <w:rPr>
                <w:szCs w:val="24"/>
              </w:rPr>
              <w:t>320</w:t>
            </w:r>
          </w:p>
        </w:tc>
      </w:tr>
    </w:tbl>
    <w:p w:rsidR="00106EA6" w:rsidRDefault="00106EA6" w:rsidP="00480C3B">
      <w:pPr>
        <w:rPr>
          <w:szCs w:val="24"/>
        </w:rPr>
      </w:pPr>
    </w:p>
    <w:p w:rsidR="00106EA6" w:rsidRDefault="00106EA6" w:rsidP="00480C3B">
      <w:pPr>
        <w:rPr>
          <w:szCs w:val="24"/>
        </w:rPr>
      </w:pPr>
    </w:p>
    <w:p w:rsidR="00480C3B" w:rsidRPr="00480C3B" w:rsidRDefault="00E67BF8" w:rsidP="00480C3B">
      <w:pPr>
        <w:rPr>
          <w:szCs w:val="24"/>
        </w:rPr>
      </w:pPr>
      <w:r>
        <w:rPr>
          <w:szCs w:val="24"/>
        </w:rPr>
        <w:t xml:space="preserve">The </w:t>
      </w:r>
      <w:r w:rsidR="00480C3B">
        <w:rPr>
          <w:szCs w:val="24"/>
        </w:rPr>
        <w:t xml:space="preserve">FMCSA estimated labor costs using the industry base wage for drivers loaded with fringe </w:t>
      </w:r>
      <w:r w:rsidR="00BB5053">
        <w:rPr>
          <w:szCs w:val="24"/>
        </w:rPr>
        <w:t>benefits</w:t>
      </w:r>
      <w:r w:rsidR="00736576">
        <w:rPr>
          <w:szCs w:val="24"/>
        </w:rPr>
        <w:t xml:space="preserve"> (shown in Table 7)</w:t>
      </w:r>
      <w:r w:rsidR="00480C3B">
        <w:rPr>
          <w:szCs w:val="24"/>
        </w:rPr>
        <w:t xml:space="preserve">. </w:t>
      </w:r>
      <w:r w:rsidR="0053462D">
        <w:rPr>
          <w:szCs w:val="24"/>
        </w:rPr>
        <w:t xml:space="preserve"> </w:t>
      </w:r>
      <w:r w:rsidR="00480C3B">
        <w:rPr>
          <w:szCs w:val="24"/>
        </w:rPr>
        <w:t xml:space="preserve">Most new entrants are very small firms where the owner </w:t>
      </w:r>
      <w:r w:rsidR="00BB5053">
        <w:rPr>
          <w:szCs w:val="24"/>
        </w:rPr>
        <w:t xml:space="preserve">may </w:t>
      </w:r>
      <w:r w:rsidR="00480C3B">
        <w:rPr>
          <w:szCs w:val="24"/>
        </w:rPr>
        <w:t xml:space="preserve">also </w:t>
      </w:r>
      <w:r w:rsidR="00BB5053">
        <w:rPr>
          <w:szCs w:val="24"/>
        </w:rPr>
        <w:t xml:space="preserve">be </w:t>
      </w:r>
      <w:r w:rsidR="00480C3B">
        <w:rPr>
          <w:szCs w:val="24"/>
        </w:rPr>
        <w:t>a driver.</w:t>
      </w:r>
    </w:p>
    <w:p w:rsidR="00480C3B" w:rsidRDefault="00480C3B" w:rsidP="00C611B9">
      <w:pPr>
        <w:jc w:val="center"/>
        <w:rPr>
          <w:b/>
          <w:szCs w:val="24"/>
        </w:rPr>
      </w:pPr>
    </w:p>
    <w:p w:rsidR="008A3E8D" w:rsidRDefault="00C611B9" w:rsidP="00736576">
      <w:pPr>
        <w:keepNext/>
        <w:widowControl/>
        <w:jc w:val="center"/>
        <w:rPr>
          <w:szCs w:val="24"/>
        </w:rPr>
      </w:pPr>
      <w:r>
        <w:rPr>
          <w:b/>
          <w:szCs w:val="24"/>
        </w:rPr>
        <w:t xml:space="preserve">Table </w:t>
      </w:r>
      <w:r w:rsidR="00DD5565">
        <w:rPr>
          <w:b/>
          <w:szCs w:val="24"/>
        </w:rPr>
        <w:t>7</w:t>
      </w:r>
      <w:r>
        <w:rPr>
          <w:b/>
          <w:szCs w:val="24"/>
        </w:rPr>
        <w:t>: Labor Hour Costs</w:t>
      </w:r>
    </w:p>
    <w:p w:rsidR="00C611B9" w:rsidRDefault="00C611B9" w:rsidP="00736576">
      <w:pPr>
        <w:keepNext/>
        <w:widowControl/>
        <w:jc w:val="center"/>
        <w:rPr>
          <w:szCs w:val="24"/>
        </w:rPr>
      </w:pPr>
    </w:p>
    <w:tbl>
      <w:tblPr>
        <w:tblW w:w="617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1323"/>
        <w:gridCol w:w="1416"/>
        <w:gridCol w:w="2076"/>
        <w:gridCol w:w="1356"/>
      </w:tblGrid>
      <w:tr w:rsidR="00BC60D1" w:rsidRPr="00C611B9" w:rsidTr="00B74D92">
        <w:trPr>
          <w:trHeight w:val="270"/>
          <w:jc w:val="center"/>
        </w:trPr>
        <w:tc>
          <w:tcPr>
            <w:tcW w:w="1323" w:type="dxa"/>
            <w:shd w:val="clear" w:color="auto" w:fill="auto"/>
            <w:noWrap/>
            <w:vAlign w:val="center"/>
          </w:tcPr>
          <w:p w:rsidR="00BC60D1" w:rsidRPr="00C611B9" w:rsidRDefault="00BC60D1" w:rsidP="00736576">
            <w:pPr>
              <w:keepNext/>
              <w:widowControl/>
              <w:autoSpaceDE/>
              <w:autoSpaceDN/>
              <w:adjustRightInd/>
              <w:jc w:val="center"/>
              <w:rPr>
                <w:b/>
                <w:szCs w:val="24"/>
              </w:rPr>
            </w:pPr>
            <w:r w:rsidRPr="00C611B9">
              <w:rPr>
                <w:b/>
                <w:szCs w:val="24"/>
              </w:rPr>
              <w:t>Year</w:t>
            </w:r>
          </w:p>
        </w:tc>
        <w:tc>
          <w:tcPr>
            <w:tcW w:w="1416" w:type="dxa"/>
            <w:shd w:val="clear" w:color="auto" w:fill="auto"/>
            <w:noWrap/>
            <w:vAlign w:val="center"/>
          </w:tcPr>
          <w:p w:rsidR="00BC60D1" w:rsidRPr="00C611B9" w:rsidRDefault="00BC60D1" w:rsidP="00736576">
            <w:pPr>
              <w:keepNext/>
              <w:widowControl/>
              <w:autoSpaceDE/>
              <w:autoSpaceDN/>
              <w:adjustRightInd/>
              <w:jc w:val="center"/>
              <w:rPr>
                <w:b/>
                <w:szCs w:val="24"/>
              </w:rPr>
            </w:pPr>
            <w:r w:rsidRPr="00C611B9">
              <w:rPr>
                <w:b/>
                <w:szCs w:val="24"/>
              </w:rPr>
              <w:t>Wage Rate</w:t>
            </w:r>
          </w:p>
        </w:tc>
        <w:tc>
          <w:tcPr>
            <w:tcW w:w="2076" w:type="dxa"/>
            <w:shd w:val="clear" w:color="auto" w:fill="auto"/>
            <w:noWrap/>
            <w:vAlign w:val="center"/>
          </w:tcPr>
          <w:p w:rsidR="00BC60D1" w:rsidRPr="00C611B9" w:rsidRDefault="00BC60D1" w:rsidP="00736576">
            <w:pPr>
              <w:keepNext/>
              <w:widowControl/>
              <w:autoSpaceDE/>
              <w:autoSpaceDN/>
              <w:adjustRightInd/>
              <w:jc w:val="center"/>
              <w:rPr>
                <w:b/>
                <w:szCs w:val="24"/>
              </w:rPr>
            </w:pPr>
            <w:r>
              <w:rPr>
                <w:b/>
                <w:szCs w:val="24"/>
              </w:rPr>
              <w:t>Burden Hours</w:t>
            </w:r>
          </w:p>
        </w:tc>
        <w:tc>
          <w:tcPr>
            <w:tcW w:w="1356" w:type="dxa"/>
            <w:shd w:val="clear" w:color="auto" w:fill="auto"/>
            <w:noWrap/>
            <w:vAlign w:val="center"/>
          </w:tcPr>
          <w:p w:rsidR="00BC60D1" w:rsidRPr="00376B7D" w:rsidRDefault="00BC60D1" w:rsidP="00736576">
            <w:pPr>
              <w:keepNext/>
              <w:widowControl/>
              <w:jc w:val="center"/>
              <w:rPr>
                <w:b/>
                <w:szCs w:val="24"/>
              </w:rPr>
            </w:pPr>
            <w:r w:rsidRPr="00376B7D">
              <w:rPr>
                <w:b/>
                <w:szCs w:val="24"/>
              </w:rPr>
              <w:t>Total</w:t>
            </w:r>
          </w:p>
        </w:tc>
      </w:tr>
      <w:tr w:rsidR="007022AB" w:rsidRPr="00C611B9" w:rsidTr="00B74D92">
        <w:trPr>
          <w:trHeight w:val="255"/>
          <w:jc w:val="center"/>
        </w:trPr>
        <w:tc>
          <w:tcPr>
            <w:tcW w:w="1323" w:type="dxa"/>
            <w:shd w:val="clear" w:color="auto" w:fill="auto"/>
            <w:noWrap/>
            <w:vAlign w:val="center"/>
          </w:tcPr>
          <w:p w:rsidR="007022AB" w:rsidRPr="00C611B9" w:rsidRDefault="007022AB" w:rsidP="00736576">
            <w:pPr>
              <w:keepNext/>
              <w:widowControl/>
              <w:autoSpaceDE/>
              <w:autoSpaceDN/>
              <w:adjustRightInd/>
              <w:jc w:val="center"/>
              <w:rPr>
                <w:szCs w:val="24"/>
              </w:rPr>
            </w:pPr>
            <w:r w:rsidRPr="00C611B9">
              <w:rPr>
                <w:szCs w:val="24"/>
              </w:rPr>
              <w:t>1</w:t>
            </w:r>
          </w:p>
        </w:tc>
        <w:tc>
          <w:tcPr>
            <w:tcW w:w="1416" w:type="dxa"/>
            <w:shd w:val="clear" w:color="auto" w:fill="auto"/>
            <w:noWrap/>
            <w:vAlign w:val="center"/>
          </w:tcPr>
          <w:p w:rsidR="007022AB" w:rsidRPr="00C611B9" w:rsidRDefault="007022AB" w:rsidP="00736576">
            <w:pPr>
              <w:keepNext/>
              <w:widowControl/>
              <w:autoSpaceDE/>
              <w:autoSpaceDN/>
              <w:adjustRightInd/>
              <w:jc w:val="center"/>
              <w:rPr>
                <w:szCs w:val="24"/>
              </w:rPr>
            </w:pPr>
            <w:r>
              <w:rPr>
                <w:szCs w:val="24"/>
              </w:rPr>
              <w:t>$29.27</w:t>
            </w:r>
          </w:p>
        </w:tc>
        <w:tc>
          <w:tcPr>
            <w:tcW w:w="2076" w:type="dxa"/>
            <w:shd w:val="clear" w:color="auto" w:fill="auto"/>
            <w:noWrap/>
            <w:vAlign w:val="bottom"/>
          </w:tcPr>
          <w:p w:rsidR="007022AB" w:rsidRPr="004670EC" w:rsidRDefault="00E505F9" w:rsidP="002163BC">
            <w:pPr>
              <w:keepNext/>
              <w:widowControl/>
              <w:autoSpaceDE/>
              <w:autoSpaceDN/>
              <w:adjustRightInd/>
              <w:jc w:val="center"/>
              <w:rPr>
                <w:szCs w:val="24"/>
              </w:rPr>
            </w:pPr>
            <w:r>
              <w:rPr>
                <w:szCs w:val="24"/>
              </w:rPr>
              <w:t>205,412</w:t>
            </w:r>
            <w:r w:rsidR="007022AB" w:rsidRPr="007022AB">
              <w:rPr>
                <w:szCs w:val="24"/>
              </w:rPr>
              <w:t xml:space="preserve"> </w:t>
            </w:r>
          </w:p>
        </w:tc>
        <w:tc>
          <w:tcPr>
            <w:tcW w:w="1356" w:type="dxa"/>
            <w:shd w:val="clear" w:color="auto" w:fill="auto"/>
            <w:noWrap/>
            <w:vAlign w:val="bottom"/>
          </w:tcPr>
          <w:p w:rsidR="007022AB" w:rsidRPr="004670EC" w:rsidRDefault="007022AB" w:rsidP="00E505F9">
            <w:pPr>
              <w:keepNext/>
              <w:widowControl/>
              <w:autoSpaceDE/>
              <w:autoSpaceDN/>
              <w:adjustRightInd/>
              <w:jc w:val="center"/>
              <w:rPr>
                <w:szCs w:val="24"/>
              </w:rPr>
            </w:pPr>
            <w:r w:rsidRPr="007022AB">
              <w:rPr>
                <w:szCs w:val="24"/>
              </w:rPr>
              <w:t>$</w:t>
            </w:r>
            <w:r w:rsidR="00E505F9">
              <w:rPr>
                <w:szCs w:val="24"/>
              </w:rPr>
              <w:t>6,011,878</w:t>
            </w:r>
            <w:r w:rsidRPr="007022AB">
              <w:rPr>
                <w:szCs w:val="24"/>
              </w:rPr>
              <w:t xml:space="preserve"> </w:t>
            </w:r>
          </w:p>
        </w:tc>
      </w:tr>
      <w:tr w:rsidR="007022AB" w:rsidRPr="00C611B9" w:rsidTr="00B74D92">
        <w:trPr>
          <w:trHeight w:val="255"/>
          <w:jc w:val="center"/>
        </w:trPr>
        <w:tc>
          <w:tcPr>
            <w:tcW w:w="1323" w:type="dxa"/>
            <w:shd w:val="clear" w:color="auto" w:fill="auto"/>
            <w:noWrap/>
            <w:vAlign w:val="center"/>
          </w:tcPr>
          <w:p w:rsidR="007022AB" w:rsidRPr="00C611B9" w:rsidRDefault="007022AB" w:rsidP="00736576">
            <w:pPr>
              <w:keepNext/>
              <w:widowControl/>
              <w:autoSpaceDE/>
              <w:autoSpaceDN/>
              <w:adjustRightInd/>
              <w:jc w:val="center"/>
              <w:rPr>
                <w:szCs w:val="24"/>
              </w:rPr>
            </w:pPr>
            <w:r w:rsidRPr="00C611B9">
              <w:rPr>
                <w:szCs w:val="24"/>
              </w:rPr>
              <w:t>2</w:t>
            </w:r>
          </w:p>
        </w:tc>
        <w:tc>
          <w:tcPr>
            <w:tcW w:w="1416" w:type="dxa"/>
            <w:shd w:val="clear" w:color="auto" w:fill="auto"/>
            <w:noWrap/>
            <w:vAlign w:val="center"/>
          </w:tcPr>
          <w:p w:rsidR="007022AB" w:rsidRPr="00C611B9" w:rsidRDefault="007022AB" w:rsidP="00736576">
            <w:pPr>
              <w:keepNext/>
              <w:widowControl/>
              <w:autoSpaceDE/>
              <w:autoSpaceDN/>
              <w:adjustRightInd/>
              <w:jc w:val="center"/>
              <w:rPr>
                <w:szCs w:val="24"/>
              </w:rPr>
            </w:pPr>
            <w:r>
              <w:rPr>
                <w:szCs w:val="24"/>
              </w:rPr>
              <w:t>$29.27</w:t>
            </w:r>
          </w:p>
        </w:tc>
        <w:tc>
          <w:tcPr>
            <w:tcW w:w="2076" w:type="dxa"/>
            <w:shd w:val="clear" w:color="auto" w:fill="auto"/>
            <w:noWrap/>
            <w:vAlign w:val="bottom"/>
          </w:tcPr>
          <w:p w:rsidR="007022AB" w:rsidRPr="004670EC" w:rsidRDefault="00E505F9" w:rsidP="007022AB">
            <w:pPr>
              <w:keepNext/>
              <w:widowControl/>
              <w:autoSpaceDE/>
              <w:autoSpaceDN/>
              <w:adjustRightInd/>
              <w:jc w:val="center"/>
              <w:rPr>
                <w:szCs w:val="24"/>
              </w:rPr>
            </w:pPr>
            <w:r>
              <w:rPr>
                <w:szCs w:val="24"/>
              </w:rPr>
              <w:t>207,265</w:t>
            </w:r>
            <w:r w:rsidR="007022AB" w:rsidRPr="007022AB">
              <w:rPr>
                <w:szCs w:val="24"/>
              </w:rPr>
              <w:t xml:space="preserve"> </w:t>
            </w:r>
          </w:p>
        </w:tc>
        <w:tc>
          <w:tcPr>
            <w:tcW w:w="1356" w:type="dxa"/>
            <w:shd w:val="clear" w:color="auto" w:fill="auto"/>
            <w:noWrap/>
            <w:vAlign w:val="bottom"/>
          </w:tcPr>
          <w:p w:rsidR="007022AB" w:rsidRPr="004670EC" w:rsidRDefault="007022AB" w:rsidP="00E505F9">
            <w:pPr>
              <w:keepNext/>
              <w:widowControl/>
              <w:autoSpaceDE/>
              <w:autoSpaceDN/>
              <w:adjustRightInd/>
              <w:jc w:val="center"/>
              <w:rPr>
                <w:szCs w:val="24"/>
              </w:rPr>
            </w:pPr>
            <w:r w:rsidRPr="007022AB">
              <w:rPr>
                <w:szCs w:val="24"/>
              </w:rPr>
              <w:t>$</w:t>
            </w:r>
            <w:r w:rsidR="00E505F9">
              <w:rPr>
                <w:szCs w:val="24"/>
              </w:rPr>
              <w:t>6,066,110</w:t>
            </w:r>
            <w:r w:rsidRPr="007022AB">
              <w:rPr>
                <w:szCs w:val="24"/>
              </w:rPr>
              <w:t xml:space="preserve"> </w:t>
            </w:r>
          </w:p>
        </w:tc>
      </w:tr>
      <w:tr w:rsidR="007022AB" w:rsidRPr="00C611B9" w:rsidTr="00B74D92">
        <w:trPr>
          <w:trHeight w:val="270"/>
          <w:jc w:val="center"/>
        </w:trPr>
        <w:tc>
          <w:tcPr>
            <w:tcW w:w="1323" w:type="dxa"/>
            <w:shd w:val="clear" w:color="auto" w:fill="auto"/>
            <w:noWrap/>
            <w:vAlign w:val="center"/>
          </w:tcPr>
          <w:p w:rsidR="007022AB" w:rsidRPr="00C611B9" w:rsidRDefault="007022AB" w:rsidP="00736576">
            <w:pPr>
              <w:keepNext/>
              <w:widowControl/>
              <w:autoSpaceDE/>
              <w:autoSpaceDN/>
              <w:adjustRightInd/>
              <w:jc w:val="center"/>
              <w:rPr>
                <w:szCs w:val="24"/>
              </w:rPr>
            </w:pPr>
            <w:r w:rsidRPr="00C611B9">
              <w:rPr>
                <w:szCs w:val="24"/>
              </w:rPr>
              <w:t>3</w:t>
            </w:r>
          </w:p>
        </w:tc>
        <w:tc>
          <w:tcPr>
            <w:tcW w:w="1416" w:type="dxa"/>
            <w:shd w:val="clear" w:color="auto" w:fill="auto"/>
            <w:noWrap/>
            <w:vAlign w:val="center"/>
          </w:tcPr>
          <w:p w:rsidR="007022AB" w:rsidRPr="00C611B9" w:rsidRDefault="007022AB" w:rsidP="00736576">
            <w:pPr>
              <w:keepNext/>
              <w:widowControl/>
              <w:autoSpaceDE/>
              <w:autoSpaceDN/>
              <w:adjustRightInd/>
              <w:jc w:val="center"/>
              <w:rPr>
                <w:szCs w:val="24"/>
              </w:rPr>
            </w:pPr>
            <w:r>
              <w:rPr>
                <w:szCs w:val="24"/>
              </w:rPr>
              <w:t>$29.27</w:t>
            </w:r>
          </w:p>
        </w:tc>
        <w:tc>
          <w:tcPr>
            <w:tcW w:w="2076" w:type="dxa"/>
            <w:shd w:val="clear" w:color="auto" w:fill="auto"/>
            <w:noWrap/>
            <w:vAlign w:val="bottom"/>
          </w:tcPr>
          <w:p w:rsidR="007022AB" w:rsidRPr="004670EC" w:rsidRDefault="00E505F9" w:rsidP="007022AB">
            <w:pPr>
              <w:keepNext/>
              <w:widowControl/>
              <w:autoSpaceDE/>
              <w:autoSpaceDN/>
              <w:adjustRightInd/>
              <w:jc w:val="center"/>
              <w:rPr>
                <w:szCs w:val="24"/>
              </w:rPr>
            </w:pPr>
            <w:r>
              <w:rPr>
                <w:szCs w:val="24"/>
              </w:rPr>
              <w:t>209,142</w:t>
            </w:r>
            <w:r w:rsidR="007022AB" w:rsidRPr="007022AB">
              <w:rPr>
                <w:szCs w:val="24"/>
              </w:rPr>
              <w:t xml:space="preserve"> </w:t>
            </w:r>
          </w:p>
        </w:tc>
        <w:tc>
          <w:tcPr>
            <w:tcW w:w="1356" w:type="dxa"/>
            <w:shd w:val="clear" w:color="auto" w:fill="auto"/>
            <w:noWrap/>
            <w:vAlign w:val="bottom"/>
          </w:tcPr>
          <w:p w:rsidR="007022AB" w:rsidRPr="004670EC" w:rsidRDefault="007022AB" w:rsidP="00E505F9">
            <w:pPr>
              <w:keepNext/>
              <w:widowControl/>
              <w:autoSpaceDE/>
              <w:autoSpaceDN/>
              <w:adjustRightInd/>
              <w:jc w:val="center"/>
              <w:rPr>
                <w:szCs w:val="24"/>
              </w:rPr>
            </w:pPr>
            <w:r w:rsidRPr="007022AB">
              <w:rPr>
                <w:szCs w:val="24"/>
              </w:rPr>
              <w:t>$</w:t>
            </w:r>
            <w:r w:rsidR="00E505F9">
              <w:rPr>
                <w:szCs w:val="24"/>
              </w:rPr>
              <w:t>6,121,048</w:t>
            </w:r>
            <w:r w:rsidRPr="007022AB">
              <w:rPr>
                <w:szCs w:val="24"/>
              </w:rPr>
              <w:t xml:space="preserve"> </w:t>
            </w:r>
          </w:p>
        </w:tc>
      </w:tr>
      <w:tr w:rsidR="007022AB" w:rsidRPr="00C611B9" w:rsidTr="00B74D92">
        <w:trPr>
          <w:trHeight w:val="255"/>
          <w:jc w:val="center"/>
        </w:trPr>
        <w:tc>
          <w:tcPr>
            <w:tcW w:w="1323" w:type="dxa"/>
            <w:shd w:val="clear" w:color="auto" w:fill="auto"/>
            <w:noWrap/>
            <w:vAlign w:val="center"/>
          </w:tcPr>
          <w:p w:rsidR="007022AB" w:rsidRPr="00C611B9" w:rsidRDefault="007022AB" w:rsidP="00736576">
            <w:pPr>
              <w:keepNext/>
              <w:widowControl/>
              <w:autoSpaceDE/>
              <w:autoSpaceDN/>
              <w:adjustRightInd/>
              <w:jc w:val="center"/>
              <w:rPr>
                <w:szCs w:val="24"/>
              </w:rPr>
            </w:pPr>
            <w:r>
              <w:rPr>
                <w:szCs w:val="24"/>
              </w:rPr>
              <w:t>Annualized</w:t>
            </w:r>
          </w:p>
        </w:tc>
        <w:tc>
          <w:tcPr>
            <w:tcW w:w="1416" w:type="dxa"/>
            <w:shd w:val="clear" w:color="auto" w:fill="auto"/>
            <w:noWrap/>
            <w:vAlign w:val="center"/>
          </w:tcPr>
          <w:p w:rsidR="007022AB" w:rsidRPr="00C611B9" w:rsidRDefault="007022AB" w:rsidP="00736576">
            <w:pPr>
              <w:keepNext/>
              <w:widowControl/>
              <w:autoSpaceDE/>
              <w:autoSpaceDN/>
              <w:adjustRightInd/>
              <w:jc w:val="center"/>
              <w:rPr>
                <w:szCs w:val="24"/>
              </w:rPr>
            </w:pPr>
          </w:p>
        </w:tc>
        <w:tc>
          <w:tcPr>
            <w:tcW w:w="2076" w:type="dxa"/>
            <w:shd w:val="clear" w:color="auto" w:fill="auto"/>
            <w:noWrap/>
            <w:vAlign w:val="bottom"/>
          </w:tcPr>
          <w:p w:rsidR="007022AB" w:rsidRPr="004670EC" w:rsidRDefault="00E505F9" w:rsidP="002163BC">
            <w:pPr>
              <w:keepNext/>
              <w:widowControl/>
              <w:autoSpaceDE/>
              <w:autoSpaceDN/>
              <w:adjustRightInd/>
              <w:jc w:val="center"/>
              <w:rPr>
                <w:szCs w:val="24"/>
              </w:rPr>
            </w:pPr>
            <w:r>
              <w:rPr>
                <w:szCs w:val="24"/>
              </w:rPr>
              <w:t>207,273</w:t>
            </w:r>
            <w:r w:rsidR="007022AB" w:rsidRPr="007022AB">
              <w:rPr>
                <w:szCs w:val="24"/>
              </w:rPr>
              <w:t xml:space="preserve"> </w:t>
            </w:r>
          </w:p>
        </w:tc>
        <w:tc>
          <w:tcPr>
            <w:tcW w:w="1356" w:type="dxa"/>
            <w:shd w:val="clear" w:color="auto" w:fill="auto"/>
            <w:noWrap/>
            <w:vAlign w:val="bottom"/>
          </w:tcPr>
          <w:p w:rsidR="007022AB" w:rsidRPr="004670EC" w:rsidRDefault="007022AB" w:rsidP="00E505F9">
            <w:pPr>
              <w:keepNext/>
              <w:widowControl/>
              <w:autoSpaceDE/>
              <w:autoSpaceDN/>
              <w:adjustRightInd/>
              <w:jc w:val="center"/>
              <w:rPr>
                <w:szCs w:val="24"/>
              </w:rPr>
            </w:pPr>
            <w:r w:rsidRPr="007022AB">
              <w:rPr>
                <w:szCs w:val="24"/>
              </w:rPr>
              <w:t>$</w:t>
            </w:r>
            <w:r w:rsidR="00E505F9">
              <w:rPr>
                <w:szCs w:val="24"/>
              </w:rPr>
              <w:t>6,066,345</w:t>
            </w:r>
            <w:r w:rsidRPr="007022AB">
              <w:rPr>
                <w:szCs w:val="24"/>
              </w:rPr>
              <w:t xml:space="preserve"> </w:t>
            </w:r>
          </w:p>
        </w:tc>
      </w:tr>
    </w:tbl>
    <w:p w:rsidR="00C611B9" w:rsidRPr="00C611B9" w:rsidRDefault="00C611B9" w:rsidP="00C611B9">
      <w:pPr>
        <w:jc w:val="center"/>
        <w:rPr>
          <w:szCs w:val="24"/>
        </w:rPr>
      </w:pPr>
    </w:p>
    <w:p w:rsidR="00C611B9" w:rsidRDefault="00C611B9" w:rsidP="00C574F7">
      <w:pPr>
        <w:rPr>
          <w:szCs w:val="24"/>
        </w:rPr>
      </w:pPr>
    </w:p>
    <w:p w:rsidR="008A3E8D" w:rsidRDefault="00BB5053">
      <w:pPr>
        <w:rPr>
          <w:b/>
          <w:szCs w:val="24"/>
        </w:rPr>
      </w:pPr>
      <w:r>
        <w:rPr>
          <w:b/>
          <w:szCs w:val="24"/>
        </w:rPr>
        <w:t>During the first year:</w:t>
      </w:r>
    </w:p>
    <w:p w:rsidR="00BB5053" w:rsidRDefault="00BB5053" w:rsidP="00C574F7">
      <w:pPr>
        <w:rPr>
          <w:b/>
          <w:szCs w:val="24"/>
        </w:rPr>
      </w:pPr>
    </w:p>
    <w:p w:rsidR="008A3E8D" w:rsidRDefault="009F3981">
      <w:pPr>
        <w:rPr>
          <w:szCs w:val="24"/>
        </w:rPr>
      </w:pPr>
      <w:r w:rsidRPr="008C26C2">
        <w:rPr>
          <w:b/>
          <w:szCs w:val="24"/>
        </w:rPr>
        <w:t xml:space="preserve">The total number of respondents is </w:t>
      </w:r>
      <w:r w:rsidR="001B5EEF">
        <w:rPr>
          <w:b/>
          <w:szCs w:val="24"/>
          <w:u w:val="single"/>
        </w:rPr>
        <w:t>627,264</w:t>
      </w:r>
      <w:r w:rsidR="00C611B9">
        <w:rPr>
          <w:szCs w:val="24"/>
        </w:rPr>
        <w:t xml:space="preserve"> [</w:t>
      </w:r>
      <w:r w:rsidR="001B5EEF">
        <w:rPr>
          <w:szCs w:val="24"/>
        </w:rPr>
        <w:t>635,418</w:t>
      </w:r>
      <w:r w:rsidR="00C611B9">
        <w:rPr>
          <w:szCs w:val="24"/>
        </w:rPr>
        <w:t xml:space="preserve"> annualized].</w:t>
      </w:r>
    </w:p>
    <w:p w:rsidR="00C611B9" w:rsidRDefault="00C611B9" w:rsidP="00C574F7">
      <w:pPr>
        <w:rPr>
          <w:szCs w:val="24"/>
        </w:rPr>
      </w:pPr>
    </w:p>
    <w:p w:rsidR="008A3E8D" w:rsidRDefault="00C611B9">
      <w:pPr>
        <w:rPr>
          <w:szCs w:val="24"/>
        </w:rPr>
      </w:pPr>
      <w:r w:rsidRPr="008C26C2">
        <w:rPr>
          <w:b/>
          <w:szCs w:val="24"/>
        </w:rPr>
        <w:t xml:space="preserve">The total burden hours is </w:t>
      </w:r>
      <w:r w:rsidR="00E505F9">
        <w:rPr>
          <w:b/>
          <w:szCs w:val="24"/>
          <w:u w:val="single"/>
        </w:rPr>
        <w:t>205,412</w:t>
      </w:r>
      <w:r w:rsidR="008F10D5" w:rsidRPr="00822E81">
        <w:rPr>
          <w:b/>
          <w:szCs w:val="24"/>
        </w:rPr>
        <w:t xml:space="preserve"> </w:t>
      </w:r>
      <w:r>
        <w:rPr>
          <w:szCs w:val="24"/>
        </w:rPr>
        <w:t>[</w:t>
      </w:r>
      <w:r w:rsidR="00E505F9">
        <w:rPr>
          <w:szCs w:val="24"/>
        </w:rPr>
        <w:t>207,273</w:t>
      </w:r>
      <w:r w:rsidR="008F10D5">
        <w:rPr>
          <w:szCs w:val="24"/>
        </w:rPr>
        <w:t xml:space="preserve"> </w:t>
      </w:r>
      <w:r>
        <w:rPr>
          <w:szCs w:val="24"/>
        </w:rPr>
        <w:t>annualized].</w:t>
      </w:r>
    </w:p>
    <w:p w:rsidR="00480C3B" w:rsidRDefault="00480C3B" w:rsidP="00C574F7">
      <w:pPr>
        <w:rPr>
          <w:szCs w:val="24"/>
        </w:rPr>
      </w:pPr>
    </w:p>
    <w:p w:rsidR="008A3E8D" w:rsidRDefault="00480C3B">
      <w:pPr>
        <w:rPr>
          <w:szCs w:val="24"/>
        </w:rPr>
      </w:pPr>
      <w:r w:rsidRPr="008C26C2">
        <w:rPr>
          <w:b/>
          <w:szCs w:val="24"/>
        </w:rPr>
        <w:t xml:space="preserve">The total labor cost is </w:t>
      </w:r>
      <w:r w:rsidR="00D3396F" w:rsidRPr="00E41A89">
        <w:rPr>
          <w:b/>
          <w:szCs w:val="24"/>
          <w:u w:val="single"/>
        </w:rPr>
        <w:t>$</w:t>
      </w:r>
      <w:r w:rsidR="00E505F9">
        <w:rPr>
          <w:b/>
          <w:szCs w:val="24"/>
          <w:u w:val="single"/>
        </w:rPr>
        <w:t>6,011,878</w:t>
      </w:r>
      <w:r w:rsidR="008F10D5">
        <w:rPr>
          <w:szCs w:val="24"/>
        </w:rPr>
        <w:t xml:space="preserve"> </w:t>
      </w:r>
      <w:r>
        <w:rPr>
          <w:szCs w:val="24"/>
        </w:rPr>
        <w:t>[</w:t>
      </w:r>
      <w:r w:rsidR="00D3396F" w:rsidRPr="00376B7D">
        <w:rPr>
          <w:szCs w:val="24"/>
        </w:rPr>
        <w:t>$</w:t>
      </w:r>
      <w:r w:rsidR="00E505F9">
        <w:rPr>
          <w:szCs w:val="24"/>
        </w:rPr>
        <w:t>6,066,345</w:t>
      </w:r>
      <w:r w:rsidR="006D254C">
        <w:rPr>
          <w:szCs w:val="24"/>
        </w:rPr>
        <w:t xml:space="preserve"> </w:t>
      </w:r>
      <w:r>
        <w:rPr>
          <w:szCs w:val="24"/>
        </w:rPr>
        <w:t>annualized].</w:t>
      </w:r>
    </w:p>
    <w:p w:rsidR="00557018" w:rsidRPr="00C574F7" w:rsidRDefault="00557018" w:rsidP="00C574F7">
      <w:pPr>
        <w:rPr>
          <w:szCs w:val="24"/>
        </w:rPr>
      </w:pPr>
    </w:p>
    <w:p w:rsidR="008A3E8D" w:rsidRDefault="0004749E">
      <w:pPr>
        <w:rPr>
          <w:szCs w:val="24"/>
        </w:rPr>
      </w:pPr>
      <w:r w:rsidRPr="00C611B9">
        <w:rPr>
          <w:b/>
          <w:szCs w:val="24"/>
        </w:rPr>
        <w:t>13. Estimate of total annual costs to respondents</w:t>
      </w:r>
      <w:r w:rsidR="00105F8E" w:rsidRPr="00C574F7">
        <w:rPr>
          <w:szCs w:val="24"/>
        </w:rPr>
        <w:t>.</w:t>
      </w:r>
    </w:p>
    <w:p w:rsidR="00105F8E" w:rsidRPr="00C574F7" w:rsidRDefault="00105F8E" w:rsidP="00C574F7">
      <w:pPr>
        <w:rPr>
          <w:szCs w:val="24"/>
        </w:rPr>
      </w:pPr>
    </w:p>
    <w:p w:rsidR="002D4BEF" w:rsidRDefault="00C611B9" w:rsidP="00C574F7">
      <w:pPr>
        <w:rPr>
          <w:szCs w:val="24"/>
        </w:rPr>
      </w:pPr>
      <w:r>
        <w:rPr>
          <w:szCs w:val="24"/>
        </w:rPr>
        <w:t xml:space="preserve">All responses </w:t>
      </w:r>
      <w:r w:rsidR="00A9148D">
        <w:rPr>
          <w:szCs w:val="24"/>
        </w:rPr>
        <w:t xml:space="preserve">will </w:t>
      </w:r>
      <w:r>
        <w:rPr>
          <w:szCs w:val="24"/>
        </w:rPr>
        <w:t>be filed electronically.</w:t>
      </w:r>
      <w:r w:rsidR="005C5240">
        <w:rPr>
          <w:szCs w:val="24"/>
        </w:rPr>
        <w:t xml:space="preserve"> </w:t>
      </w:r>
      <w:r w:rsidR="0053462D">
        <w:rPr>
          <w:szCs w:val="24"/>
        </w:rPr>
        <w:t xml:space="preserve"> </w:t>
      </w:r>
      <w:r>
        <w:rPr>
          <w:szCs w:val="24"/>
        </w:rPr>
        <w:t xml:space="preserve">Therefore, there </w:t>
      </w:r>
      <w:proofErr w:type="gramStart"/>
      <w:r>
        <w:rPr>
          <w:szCs w:val="24"/>
        </w:rPr>
        <w:t xml:space="preserve">are no </w:t>
      </w:r>
      <w:r w:rsidR="0006040C">
        <w:rPr>
          <w:szCs w:val="24"/>
        </w:rPr>
        <w:t>capital</w:t>
      </w:r>
      <w:proofErr w:type="gramEnd"/>
      <w:r w:rsidR="0006040C">
        <w:rPr>
          <w:szCs w:val="24"/>
        </w:rPr>
        <w:t xml:space="preserve"> or operating </w:t>
      </w:r>
      <w:r>
        <w:rPr>
          <w:szCs w:val="24"/>
        </w:rPr>
        <w:t>costs</w:t>
      </w:r>
      <w:r w:rsidR="00EF1006">
        <w:rPr>
          <w:szCs w:val="24"/>
        </w:rPr>
        <w:t xml:space="preserve"> to respondents</w:t>
      </w:r>
      <w:r>
        <w:rPr>
          <w:szCs w:val="24"/>
        </w:rPr>
        <w:t xml:space="preserve"> associated with this ICR.</w:t>
      </w:r>
      <w:r w:rsidR="0053462D">
        <w:rPr>
          <w:szCs w:val="24"/>
        </w:rPr>
        <w:t xml:space="preserve"> </w:t>
      </w:r>
      <w:r w:rsidR="005C5240">
        <w:rPr>
          <w:szCs w:val="24"/>
        </w:rPr>
        <w:t xml:space="preserve"> </w:t>
      </w:r>
      <w:r w:rsidR="0006040C">
        <w:rPr>
          <w:szCs w:val="24"/>
        </w:rPr>
        <w:t>All filers are assumed to have computers or to be able to access the on-line filing site from public computers.</w:t>
      </w:r>
      <w:r w:rsidR="005C5240">
        <w:rPr>
          <w:szCs w:val="24"/>
        </w:rPr>
        <w:t xml:space="preserve"> </w:t>
      </w:r>
      <w:r w:rsidR="0053462D">
        <w:rPr>
          <w:szCs w:val="24"/>
        </w:rPr>
        <w:t xml:space="preserve"> </w:t>
      </w:r>
      <w:r w:rsidR="00C601B2">
        <w:rPr>
          <w:szCs w:val="24"/>
        </w:rPr>
        <w:t>Some carriers may pay a third party to file the information as part of a service to assist them in setting up a business</w:t>
      </w:r>
      <w:r w:rsidR="0053462D">
        <w:rPr>
          <w:szCs w:val="24"/>
        </w:rPr>
        <w:t xml:space="preserve">. </w:t>
      </w:r>
      <w:r w:rsidR="00C601B2">
        <w:rPr>
          <w:szCs w:val="24"/>
        </w:rPr>
        <w:t>The fees charged, however, cover multiple services.</w:t>
      </w:r>
      <w:r w:rsidR="0053462D">
        <w:rPr>
          <w:szCs w:val="24"/>
        </w:rPr>
        <w:t xml:space="preserve"> </w:t>
      </w:r>
      <w:r w:rsidR="005C5240">
        <w:rPr>
          <w:szCs w:val="24"/>
        </w:rPr>
        <w:t xml:space="preserve"> </w:t>
      </w:r>
      <w:r w:rsidR="00E67BF8">
        <w:rPr>
          <w:szCs w:val="24"/>
        </w:rPr>
        <w:t xml:space="preserve">The </w:t>
      </w:r>
      <w:r w:rsidR="00C601B2">
        <w:rPr>
          <w:szCs w:val="24"/>
        </w:rPr>
        <w:t xml:space="preserve">FMCSA has no information on how many carriers use </w:t>
      </w:r>
      <w:r w:rsidR="00C601B2">
        <w:rPr>
          <w:szCs w:val="24"/>
        </w:rPr>
        <w:lastRenderedPageBreak/>
        <w:t>such services or what part of the fees should be attributed to filing this form.</w:t>
      </w:r>
    </w:p>
    <w:p w:rsidR="00C611B9" w:rsidRDefault="00C611B9" w:rsidP="00C574F7">
      <w:pPr>
        <w:rPr>
          <w:szCs w:val="24"/>
        </w:rPr>
      </w:pPr>
    </w:p>
    <w:p w:rsidR="008A3E8D" w:rsidRDefault="0004749E">
      <w:pPr>
        <w:rPr>
          <w:szCs w:val="24"/>
        </w:rPr>
      </w:pPr>
      <w:r w:rsidRPr="00B977E8">
        <w:rPr>
          <w:b/>
          <w:szCs w:val="24"/>
        </w:rPr>
        <w:t>14. Estimate of cost to the Federal government</w:t>
      </w:r>
      <w:r w:rsidRPr="00C574F7">
        <w:rPr>
          <w:szCs w:val="24"/>
        </w:rPr>
        <w:t>.</w:t>
      </w:r>
    </w:p>
    <w:p w:rsidR="00B977E8" w:rsidRDefault="00B977E8" w:rsidP="00C574F7">
      <w:pPr>
        <w:rPr>
          <w:szCs w:val="24"/>
        </w:rPr>
      </w:pPr>
    </w:p>
    <w:p w:rsidR="005114C1" w:rsidRPr="00C574F7" w:rsidRDefault="00E67BF8" w:rsidP="00C574F7">
      <w:pPr>
        <w:rPr>
          <w:szCs w:val="24"/>
        </w:rPr>
      </w:pPr>
      <w:r>
        <w:rPr>
          <w:szCs w:val="24"/>
        </w:rPr>
        <w:t xml:space="preserve">The </w:t>
      </w:r>
      <w:r w:rsidR="00C601B2">
        <w:rPr>
          <w:szCs w:val="24"/>
        </w:rPr>
        <w:t xml:space="preserve">FMCSA estimates that the cost associated with supporting the registration system is about </w:t>
      </w:r>
      <w:r w:rsidR="00C601B2" w:rsidRPr="009107A7">
        <w:rPr>
          <w:szCs w:val="24"/>
        </w:rPr>
        <w:t>$</w:t>
      </w:r>
      <w:r w:rsidR="00EF22DD">
        <w:rPr>
          <w:szCs w:val="24"/>
        </w:rPr>
        <w:t>52.0</w:t>
      </w:r>
      <w:r w:rsidR="00C601B2" w:rsidRPr="009107A7">
        <w:rPr>
          <w:szCs w:val="24"/>
        </w:rPr>
        <w:t xml:space="preserve"> million</w:t>
      </w:r>
      <w:r w:rsidR="0076692C" w:rsidRPr="009107A7">
        <w:rPr>
          <w:szCs w:val="24"/>
        </w:rPr>
        <w:t xml:space="preserve"> (20</w:t>
      </w:r>
      <w:r w:rsidR="009107A7">
        <w:rPr>
          <w:szCs w:val="24"/>
        </w:rPr>
        <w:t>1</w:t>
      </w:r>
      <w:r w:rsidR="0076692C" w:rsidRPr="009107A7">
        <w:rPr>
          <w:szCs w:val="24"/>
        </w:rPr>
        <w:t>0$)</w:t>
      </w:r>
      <w:r w:rsidR="00C601B2" w:rsidRPr="009107A7">
        <w:rPr>
          <w:szCs w:val="24"/>
        </w:rPr>
        <w:t>.</w:t>
      </w:r>
      <w:r w:rsidR="005C5240">
        <w:rPr>
          <w:szCs w:val="24"/>
        </w:rPr>
        <w:t xml:space="preserve"> </w:t>
      </w:r>
      <w:r w:rsidR="0053462D">
        <w:rPr>
          <w:szCs w:val="24"/>
        </w:rPr>
        <w:t xml:space="preserve"> </w:t>
      </w:r>
      <w:r w:rsidR="00CA34E7" w:rsidRPr="009107A7">
        <w:rPr>
          <w:szCs w:val="24"/>
        </w:rPr>
        <w:t>The estimate includes staff costs ($</w:t>
      </w:r>
      <w:r w:rsidR="00EF22DD">
        <w:rPr>
          <w:szCs w:val="24"/>
        </w:rPr>
        <w:t>42.0</w:t>
      </w:r>
      <w:r w:rsidR="00CA34E7" w:rsidRPr="009107A7">
        <w:rPr>
          <w:szCs w:val="24"/>
        </w:rPr>
        <w:t xml:space="preserve"> million),</w:t>
      </w:r>
      <w:r w:rsidR="00CA34E7">
        <w:rPr>
          <w:szCs w:val="24"/>
        </w:rPr>
        <w:t xml:space="preserve"> IT support, and overhead.</w:t>
      </w:r>
    </w:p>
    <w:p w:rsidR="002D4BEF" w:rsidRPr="00C574F7" w:rsidRDefault="002D4BEF" w:rsidP="00C574F7">
      <w:pPr>
        <w:rPr>
          <w:szCs w:val="24"/>
        </w:rPr>
      </w:pPr>
    </w:p>
    <w:p w:rsidR="008A3E8D" w:rsidRDefault="0004749E">
      <w:pPr>
        <w:rPr>
          <w:szCs w:val="24"/>
        </w:rPr>
      </w:pPr>
      <w:r w:rsidRPr="00F756BF">
        <w:rPr>
          <w:b/>
          <w:szCs w:val="24"/>
        </w:rPr>
        <w:t>15. Explanation of program changes or adjustments</w:t>
      </w:r>
      <w:r w:rsidRPr="00C574F7">
        <w:rPr>
          <w:szCs w:val="24"/>
        </w:rPr>
        <w:t>.</w:t>
      </w:r>
    </w:p>
    <w:p w:rsidR="00480C3B" w:rsidRDefault="00480C3B" w:rsidP="00C574F7">
      <w:pPr>
        <w:rPr>
          <w:szCs w:val="24"/>
        </w:rPr>
      </w:pPr>
    </w:p>
    <w:p w:rsidR="00480C3B" w:rsidRPr="00C574F7" w:rsidRDefault="00480C3B" w:rsidP="00C574F7">
      <w:pPr>
        <w:rPr>
          <w:szCs w:val="24"/>
        </w:rPr>
      </w:pPr>
      <w:r>
        <w:rPr>
          <w:szCs w:val="24"/>
        </w:rPr>
        <w:t xml:space="preserve">This </w:t>
      </w:r>
      <w:r w:rsidR="00A9148D">
        <w:rPr>
          <w:szCs w:val="24"/>
        </w:rPr>
        <w:t xml:space="preserve">will </w:t>
      </w:r>
      <w:r w:rsidR="00CA34E7">
        <w:rPr>
          <w:szCs w:val="24"/>
        </w:rPr>
        <w:t xml:space="preserve">be </w:t>
      </w:r>
      <w:r>
        <w:rPr>
          <w:szCs w:val="24"/>
        </w:rPr>
        <w:t>a new information collection.</w:t>
      </w:r>
      <w:r w:rsidR="005C5240">
        <w:rPr>
          <w:szCs w:val="24"/>
        </w:rPr>
        <w:t xml:space="preserve"> </w:t>
      </w:r>
      <w:r w:rsidR="0053462D">
        <w:rPr>
          <w:szCs w:val="24"/>
        </w:rPr>
        <w:t xml:space="preserve"> </w:t>
      </w:r>
      <w:r>
        <w:rPr>
          <w:szCs w:val="24"/>
        </w:rPr>
        <w:t xml:space="preserve">It </w:t>
      </w:r>
      <w:r w:rsidR="00A9148D">
        <w:rPr>
          <w:szCs w:val="24"/>
        </w:rPr>
        <w:t>will</w:t>
      </w:r>
      <w:r>
        <w:rPr>
          <w:szCs w:val="24"/>
        </w:rPr>
        <w:t xml:space="preserve">, however, replace </w:t>
      </w:r>
      <w:r w:rsidR="00B646CB">
        <w:rPr>
          <w:szCs w:val="24"/>
        </w:rPr>
        <w:t>three existing ICRs (2126-0013, 2126-0016, and 2126-0019).</w:t>
      </w:r>
      <w:r w:rsidR="005C5240">
        <w:rPr>
          <w:szCs w:val="24"/>
        </w:rPr>
        <w:t xml:space="preserve"> </w:t>
      </w:r>
      <w:r w:rsidR="0053462D">
        <w:rPr>
          <w:szCs w:val="24"/>
        </w:rPr>
        <w:t xml:space="preserve"> </w:t>
      </w:r>
      <w:r w:rsidR="00B646CB">
        <w:rPr>
          <w:szCs w:val="24"/>
        </w:rPr>
        <w:t xml:space="preserve">The </w:t>
      </w:r>
      <w:r w:rsidR="008F1F7F">
        <w:rPr>
          <w:szCs w:val="24"/>
        </w:rPr>
        <w:t xml:space="preserve">URS </w:t>
      </w:r>
      <w:r w:rsidR="00B646CB">
        <w:rPr>
          <w:szCs w:val="24"/>
        </w:rPr>
        <w:t xml:space="preserve">rule </w:t>
      </w:r>
      <w:r w:rsidR="00A9148D">
        <w:rPr>
          <w:szCs w:val="24"/>
        </w:rPr>
        <w:t xml:space="preserve">will </w:t>
      </w:r>
      <w:r w:rsidR="00B646CB">
        <w:rPr>
          <w:szCs w:val="24"/>
        </w:rPr>
        <w:t xml:space="preserve">extend the requirement for a biennial update to certain </w:t>
      </w:r>
      <w:r w:rsidR="00604BEC">
        <w:rPr>
          <w:szCs w:val="24"/>
        </w:rPr>
        <w:t>Applicants</w:t>
      </w:r>
      <w:r w:rsidR="00B646CB">
        <w:rPr>
          <w:szCs w:val="24"/>
        </w:rPr>
        <w:t xml:space="preserve"> (brokers, freight forwarders, </w:t>
      </w:r>
      <w:r w:rsidR="00DA34E3">
        <w:rPr>
          <w:szCs w:val="24"/>
        </w:rPr>
        <w:t xml:space="preserve">and </w:t>
      </w:r>
      <w:r w:rsidR="00B646CB">
        <w:rPr>
          <w:szCs w:val="24"/>
        </w:rPr>
        <w:t>cargo tank facilities) to which the requirement does not apply</w:t>
      </w:r>
      <w:r w:rsidR="00E41A89">
        <w:rPr>
          <w:szCs w:val="24"/>
        </w:rPr>
        <w:t xml:space="preserve"> today</w:t>
      </w:r>
      <w:r w:rsidR="002F6285">
        <w:rPr>
          <w:szCs w:val="24"/>
        </w:rPr>
        <w:t>, reduce the burden associated with the filing of redundant information, and require that all forms be filed electronically</w:t>
      </w:r>
      <w:r w:rsidR="00B646CB">
        <w:rPr>
          <w:szCs w:val="24"/>
        </w:rPr>
        <w:t>.</w:t>
      </w:r>
    </w:p>
    <w:p w:rsidR="0004749E" w:rsidRPr="00C574F7" w:rsidRDefault="0004749E" w:rsidP="00C574F7">
      <w:pPr>
        <w:rPr>
          <w:szCs w:val="24"/>
        </w:rPr>
      </w:pPr>
    </w:p>
    <w:p w:rsidR="008A3E8D" w:rsidRDefault="0004749E">
      <w:pPr>
        <w:rPr>
          <w:szCs w:val="24"/>
        </w:rPr>
      </w:pPr>
      <w:r w:rsidRPr="00F756BF">
        <w:rPr>
          <w:b/>
          <w:szCs w:val="24"/>
        </w:rPr>
        <w:t>16. Publication of results of data collection</w:t>
      </w:r>
      <w:r w:rsidRPr="00C574F7">
        <w:rPr>
          <w:szCs w:val="24"/>
        </w:rPr>
        <w:t>.</w:t>
      </w:r>
    </w:p>
    <w:p w:rsidR="00F756BF" w:rsidRDefault="00F756BF" w:rsidP="00C574F7">
      <w:pPr>
        <w:rPr>
          <w:szCs w:val="24"/>
        </w:rPr>
      </w:pPr>
    </w:p>
    <w:p w:rsidR="008A3E8D" w:rsidRDefault="00F756BF">
      <w:pPr>
        <w:rPr>
          <w:szCs w:val="24"/>
        </w:rPr>
      </w:pPr>
      <w:r>
        <w:t>Data provided by this information collection will not be published.</w:t>
      </w:r>
    </w:p>
    <w:p w:rsidR="002D4BEF" w:rsidRPr="00C574F7" w:rsidRDefault="002D4BEF" w:rsidP="00C574F7">
      <w:pPr>
        <w:rPr>
          <w:szCs w:val="24"/>
        </w:rPr>
      </w:pPr>
    </w:p>
    <w:p w:rsidR="008A3E8D" w:rsidRDefault="0004749E">
      <w:pPr>
        <w:rPr>
          <w:b/>
          <w:szCs w:val="24"/>
        </w:rPr>
      </w:pPr>
      <w:r w:rsidRPr="00F756BF">
        <w:rPr>
          <w:b/>
          <w:szCs w:val="24"/>
        </w:rPr>
        <w:t>17. Approval for not displaying the expiration date of OMB approval.</w:t>
      </w:r>
    </w:p>
    <w:p w:rsidR="00F756BF" w:rsidRDefault="00F756BF" w:rsidP="00C574F7">
      <w:pPr>
        <w:rPr>
          <w:szCs w:val="24"/>
        </w:rPr>
      </w:pPr>
    </w:p>
    <w:p w:rsidR="008A3E8D" w:rsidRDefault="00F756BF">
      <w:pPr>
        <w:rPr>
          <w:szCs w:val="24"/>
        </w:rPr>
      </w:pPr>
      <w:r>
        <w:t xml:space="preserve">The FMCSA is </w:t>
      </w:r>
      <w:r>
        <w:rPr>
          <w:u w:val="single"/>
        </w:rPr>
        <w:t>not</w:t>
      </w:r>
      <w:r>
        <w:t xml:space="preserve"> seeking an exemption from displaying the expiration date.</w:t>
      </w:r>
    </w:p>
    <w:p w:rsidR="00105F8E" w:rsidRPr="00C574F7" w:rsidRDefault="00105F8E" w:rsidP="00C574F7">
      <w:pPr>
        <w:rPr>
          <w:szCs w:val="24"/>
        </w:rPr>
      </w:pPr>
    </w:p>
    <w:p w:rsidR="008A3E8D" w:rsidRDefault="0004749E">
      <w:pPr>
        <w:rPr>
          <w:szCs w:val="24"/>
        </w:rPr>
      </w:pPr>
      <w:r w:rsidRPr="00F756BF">
        <w:rPr>
          <w:b/>
          <w:szCs w:val="24"/>
        </w:rPr>
        <w:t>18. Exceptions to certification statement</w:t>
      </w:r>
      <w:r w:rsidRPr="00C574F7">
        <w:rPr>
          <w:szCs w:val="24"/>
        </w:rPr>
        <w:t>.</w:t>
      </w:r>
    </w:p>
    <w:p w:rsidR="00F756BF" w:rsidRDefault="00F756BF" w:rsidP="00C574F7">
      <w:pPr>
        <w:rPr>
          <w:szCs w:val="24"/>
        </w:rPr>
      </w:pPr>
    </w:p>
    <w:p w:rsidR="008A3E8D" w:rsidRDefault="00F756BF">
      <w:pPr>
        <w:rPr>
          <w:szCs w:val="24"/>
        </w:rPr>
      </w:pPr>
      <w:r>
        <w:t>There are no exceptions to the certification statement.</w:t>
      </w:r>
    </w:p>
    <w:p w:rsidR="002D4BEF" w:rsidRPr="00C574F7" w:rsidRDefault="002D4BEF" w:rsidP="00C574F7">
      <w:pPr>
        <w:rPr>
          <w:szCs w:val="24"/>
        </w:rPr>
      </w:pPr>
    </w:p>
    <w:p w:rsidR="00CD7543" w:rsidRPr="000D3B4D" w:rsidRDefault="00CD7543" w:rsidP="00B646CB">
      <w:pPr>
        <w:rPr>
          <w:sz w:val="16"/>
          <w:szCs w:val="16"/>
        </w:rPr>
      </w:pPr>
      <w:bookmarkStart w:id="0" w:name="_GoBack"/>
      <w:bookmarkEnd w:id="0"/>
    </w:p>
    <w:sectPr w:rsidR="00CD7543" w:rsidRPr="000D3B4D" w:rsidSect="007E013B">
      <w:footerReference w:type="default" r:id="rId10"/>
      <w:footnotePr>
        <w:numRestart w:val="eachSect"/>
      </w:footnotePr>
      <w:endnotePr>
        <w:numFmt w:val="decimal"/>
      </w:endnotePr>
      <w:pgSz w:w="12240" w:h="15840" w:code="1"/>
      <w:pgMar w:top="1296" w:right="1440" w:bottom="1296"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11D2" w:rsidRDefault="00CB11D2">
      <w:r>
        <w:separator/>
      </w:r>
    </w:p>
  </w:endnote>
  <w:endnote w:type="continuationSeparator" w:id="0">
    <w:p w:rsidR="00CB11D2" w:rsidRDefault="00CB11D2">
      <w:r>
        <w:continuationSeparator/>
      </w:r>
    </w:p>
  </w:endnote>
  <w:endnote w:type="continuationNotice" w:id="1">
    <w:p w:rsidR="00CB11D2" w:rsidRDefault="00CB11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etter Gothic 12cp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8713963"/>
      <w:docPartObj>
        <w:docPartGallery w:val="Page Numbers (Bottom of Page)"/>
        <w:docPartUnique/>
      </w:docPartObj>
    </w:sdtPr>
    <w:sdtEndPr>
      <w:rPr>
        <w:noProof/>
      </w:rPr>
    </w:sdtEndPr>
    <w:sdtContent>
      <w:p w:rsidR="008D7C52" w:rsidRDefault="009319BC">
        <w:pPr>
          <w:pStyle w:val="Footer"/>
          <w:jc w:val="center"/>
        </w:pPr>
        <w:r>
          <w:fldChar w:fldCharType="begin"/>
        </w:r>
        <w:r>
          <w:instrText xml:space="preserve"> PAGE   \* MERGEFORMAT </w:instrText>
        </w:r>
        <w:r>
          <w:fldChar w:fldCharType="separate"/>
        </w:r>
        <w:r w:rsidR="005D0EBB">
          <w:rPr>
            <w:noProof/>
          </w:rPr>
          <w:t>7</w:t>
        </w:r>
        <w:r>
          <w:rPr>
            <w:noProof/>
          </w:rPr>
          <w:fldChar w:fldCharType="end"/>
        </w:r>
      </w:p>
    </w:sdtContent>
  </w:sdt>
  <w:p w:rsidR="008D7C52" w:rsidRDefault="008D7C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11D2" w:rsidRDefault="00CB11D2">
      <w:r>
        <w:separator/>
      </w:r>
    </w:p>
  </w:footnote>
  <w:footnote w:type="continuationSeparator" w:id="0">
    <w:p w:rsidR="00CB11D2" w:rsidRDefault="00CB11D2">
      <w:r>
        <w:continuationSeparator/>
      </w:r>
    </w:p>
  </w:footnote>
  <w:footnote w:type="continuationNotice" w:id="1">
    <w:p w:rsidR="00CB11D2" w:rsidRDefault="00CB11D2"/>
  </w:footnote>
  <w:footnote w:id="2">
    <w:p w:rsidR="008D7C52" w:rsidRDefault="008D7C52" w:rsidP="007B7F2E">
      <w:pPr>
        <w:pStyle w:val="FootnoteText"/>
      </w:pPr>
      <w:r>
        <w:rPr>
          <w:rStyle w:val="FootnoteReference"/>
        </w:rPr>
        <w:footnoteRef/>
      </w:r>
      <w:r>
        <w:t xml:space="preserve"> Intrastate non-hazmat carriers are not required to file the MCSA-1 under URS. Several States, however, encourage the filing. FMCSA includes the burden estimate of this intrastate non-hazmat population to be consistent with PRA-2126-0013 MCS filing.</w:t>
      </w:r>
    </w:p>
  </w:footnote>
  <w:footnote w:id="3">
    <w:p w:rsidR="008D7C52" w:rsidRDefault="008D7C52">
      <w:pPr>
        <w:pStyle w:val="FootnoteText"/>
      </w:pPr>
      <w:r>
        <w:rPr>
          <w:rStyle w:val="FootnoteReference"/>
        </w:rPr>
        <w:footnoteRef/>
      </w:r>
      <w:r>
        <w:t xml:space="preserve"> To estimate the total burden hours, FMCSA sums the URS respondents and the intrastate non-hazmat respondents and multiplies the total respondents by the estimated hour per respondent. </w:t>
      </w:r>
    </w:p>
  </w:footnote>
  <w:footnote w:id="4">
    <w:p w:rsidR="008D7C52" w:rsidRDefault="008D7C52">
      <w:pPr>
        <w:pStyle w:val="FootnoteText"/>
      </w:pPr>
      <w:r>
        <w:rPr>
          <w:rStyle w:val="FootnoteReference"/>
        </w:rPr>
        <w:footnoteRef/>
      </w:r>
      <w:r>
        <w:t xml:space="preserve"> Because the PRA-2126-0013 aggregates across biennial updates and change requests, FMCSA is unable to disaggregate these two burden estimates. Some of the intrastate non-hazmat carriers included in the biennial update burden estimate may be burdens associated with change requests. Because the time burden is identical across the two filing types, the total burden estimate is unaffected by this issue.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47289"/>
    <w:multiLevelType w:val="hybridMultilevel"/>
    <w:tmpl w:val="1CF64B70"/>
    <w:lvl w:ilvl="0" w:tplc="8A02146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A962B56"/>
    <w:multiLevelType w:val="hybridMultilevel"/>
    <w:tmpl w:val="88CA429E"/>
    <w:lvl w:ilvl="0" w:tplc="8A021462">
      <w:start w:val="1"/>
      <w:numFmt w:val="bullet"/>
      <w:lvlText w:val=""/>
      <w:lvlJc w:val="left"/>
      <w:pPr>
        <w:tabs>
          <w:tab w:val="num" w:pos="720"/>
        </w:tabs>
        <w:ind w:left="720" w:hanging="360"/>
      </w:pPr>
      <w:rPr>
        <w:rFonts w:ascii="Wingdings" w:hAnsi="Wingdings" w:hint="default"/>
      </w:rPr>
    </w:lvl>
    <w:lvl w:ilvl="1" w:tplc="31C250D6">
      <w:numFmt w:val="bullet"/>
      <w:lvlText w:val="-"/>
      <w:lvlJc w:val="left"/>
      <w:pPr>
        <w:tabs>
          <w:tab w:val="num" w:pos="1440"/>
        </w:tabs>
        <w:ind w:left="1440" w:hanging="360"/>
      </w:pPr>
      <w:rPr>
        <w:rFonts w:ascii="Letter Gothic 12cpi" w:eastAsia="Times New Roman" w:hAnsi="Letter Gothic 12cpi" w:cs="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CFD5469"/>
    <w:multiLevelType w:val="hybridMultilevel"/>
    <w:tmpl w:val="CEE60202"/>
    <w:lvl w:ilvl="0" w:tplc="BF469186">
      <w:start w:val="1"/>
      <w:numFmt w:val="decimal"/>
      <w:lvlText w:val="%1."/>
      <w:lvlJc w:val="left"/>
      <w:pPr>
        <w:tabs>
          <w:tab w:val="num" w:pos="360"/>
        </w:tabs>
        <w:ind w:left="360" w:hanging="360"/>
      </w:pPr>
      <w:rPr>
        <w:rFonts w:hint="default"/>
        <w:b/>
        <w:i w:val="0"/>
      </w:rPr>
    </w:lvl>
    <w:lvl w:ilvl="1" w:tplc="71BE0AD8">
      <w:start w:val="1"/>
      <w:numFmt w:val="lowerLetter"/>
      <w:lvlText w:val="%2."/>
      <w:lvlJc w:val="left"/>
      <w:pPr>
        <w:tabs>
          <w:tab w:val="num" w:pos="720"/>
        </w:tabs>
        <w:ind w:left="720" w:hanging="360"/>
      </w:pPr>
      <w:rPr>
        <w:rFonts w:hint="default"/>
        <w:b/>
        <w:i w:val="0"/>
      </w:rPr>
    </w:lvl>
    <w:lvl w:ilvl="2" w:tplc="04090001">
      <w:start w:val="1"/>
      <w:numFmt w:val="bullet"/>
      <w:lvlText w:val=""/>
      <w:lvlJc w:val="left"/>
      <w:pPr>
        <w:tabs>
          <w:tab w:val="num" w:pos="1980"/>
        </w:tabs>
        <w:ind w:left="1980" w:hanging="360"/>
      </w:pPr>
      <w:rPr>
        <w:rFonts w:ascii="Symbol" w:hAnsi="Symbol" w:hint="default"/>
      </w:rPr>
    </w:lvl>
    <w:lvl w:ilvl="3" w:tplc="0409000F">
      <w:start w:val="1"/>
      <w:numFmt w:val="decimal"/>
      <w:lvlText w:val="%4."/>
      <w:lvlJc w:val="left"/>
      <w:pPr>
        <w:tabs>
          <w:tab w:val="num" w:pos="2520"/>
        </w:tabs>
        <w:ind w:left="2520" w:hanging="360"/>
      </w:pPr>
      <w:rPr>
        <w:rFonts w:hint="default"/>
        <w:b/>
        <w:i w:val="0"/>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E1962F0"/>
    <w:multiLevelType w:val="hybridMultilevel"/>
    <w:tmpl w:val="4A9A4354"/>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1FDB4EB5"/>
    <w:multiLevelType w:val="hybridMultilevel"/>
    <w:tmpl w:val="F8602EB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7">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3D32693A"/>
    <w:multiLevelType w:val="hybridMultilevel"/>
    <w:tmpl w:val="CCBCE9DC"/>
    <w:lvl w:ilvl="0" w:tplc="41C0D180">
      <w:start w:val="1"/>
      <w:numFmt w:val="decimal"/>
      <w:lvlText w:val="%1."/>
      <w:lvlJc w:val="left"/>
      <w:pPr>
        <w:tabs>
          <w:tab w:val="num" w:pos="720"/>
        </w:tabs>
        <w:ind w:left="720" w:hanging="360"/>
      </w:pPr>
      <w:rPr>
        <w:rFonts w:hint="default"/>
        <w:b w:val="0"/>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1715C7B"/>
    <w:multiLevelType w:val="hybridMultilevel"/>
    <w:tmpl w:val="40429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C815F2"/>
    <w:multiLevelType w:val="hybridMultilevel"/>
    <w:tmpl w:val="46106AC0"/>
    <w:lvl w:ilvl="0" w:tplc="D72EBA86">
      <w:start w:val="12"/>
      <w:numFmt w:val="decimal"/>
      <w:lvlText w:val="%1."/>
      <w:lvlJc w:val="left"/>
      <w:pPr>
        <w:tabs>
          <w:tab w:val="num" w:pos="810"/>
        </w:tabs>
        <w:ind w:left="810" w:hanging="45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1D3625F"/>
    <w:multiLevelType w:val="hybridMultilevel"/>
    <w:tmpl w:val="113A63B2"/>
    <w:lvl w:ilvl="0" w:tplc="04090015">
      <w:start w:val="1"/>
      <w:numFmt w:val="upp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2">
    <w:nsid w:val="583B0F5D"/>
    <w:multiLevelType w:val="hybridMultilevel"/>
    <w:tmpl w:val="48B6DE5E"/>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5D6C3C29"/>
    <w:multiLevelType w:val="hybridMultilevel"/>
    <w:tmpl w:val="80583864"/>
    <w:lvl w:ilvl="0" w:tplc="2E7E0F8E">
      <w:start w:val="1"/>
      <w:numFmt w:val="bullet"/>
      <w:pStyle w:val="Bullet1"/>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5">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6">
    <w:nsid w:val="6DD43176"/>
    <w:multiLevelType w:val="hybridMultilevel"/>
    <w:tmpl w:val="DCDC6A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0A83427"/>
    <w:multiLevelType w:val="hybridMultilevel"/>
    <w:tmpl w:val="FA0C689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E060422"/>
    <w:multiLevelType w:val="hybridMultilevel"/>
    <w:tmpl w:val="2678147C"/>
    <w:lvl w:ilvl="0" w:tplc="04090019">
      <w:start w:val="1"/>
      <w:numFmt w:val="lowerLetter"/>
      <w:lvlText w:val="%1."/>
      <w:lvlJc w:val="left"/>
      <w:pPr>
        <w:tabs>
          <w:tab w:val="num" w:pos="720"/>
        </w:tabs>
        <w:ind w:left="720" w:hanging="360"/>
      </w:pPr>
      <w:rPr>
        <w:rFonts w:hint="default"/>
      </w:rPr>
    </w:lvl>
    <w:lvl w:ilvl="1" w:tplc="40BAB57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F2E573F"/>
    <w:multiLevelType w:val="hybridMultilevel"/>
    <w:tmpl w:val="0DBC53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928B240">
      <w:start w:val="1"/>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5"/>
  </w:num>
  <w:num w:numId="5">
    <w:abstractNumId w:val="14"/>
  </w:num>
  <w:num w:numId="6">
    <w:abstractNumId w:val="6"/>
  </w:num>
  <w:num w:numId="7">
    <w:abstractNumId w:val="12"/>
  </w:num>
  <w:num w:numId="8">
    <w:abstractNumId w:val="7"/>
  </w:num>
  <w:num w:numId="9">
    <w:abstractNumId w:val="1"/>
  </w:num>
  <w:num w:numId="10">
    <w:abstractNumId w:val="3"/>
  </w:num>
  <w:num w:numId="11">
    <w:abstractNumId w:val="8"/>
  </w:num>
  <w:num w:numId="12">
    <w:abstractNumId w:val="5"/>
  </w:num>
  <w:num w:numId="13">
    <w:abstractNumId w:val="18"/>
  </w:num>
  <w:num w:numId="14">
    <w:abstractNumId w:val="16"/>
  </w:num>
  <w:num w:numId="15">
    <w:abstractNumId w:val="10"/>
  </w:num>
  <w:num w:numId="16">
    <w:abstractNumId w:val="13"/>
  </w:num>
  <w:num w:numId="17">
    <w:abstractNumId w:val="11"/>
  </w:num>
  <w:num w:numId="18">
    <w:abstractNumId w:val="9"/>
  </w:num>
  <w:num w:numId="19">
    <w:abstractNumId w:val="19"/>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1265"/>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F5D"/>
    <w:rsid w:val="00004FFD"/>
    <w:rsid w:val="00007B57"/>
    <w:rsid w:val="00015FEA"/>
    <w:rsid w:val="00023CFA"/>
    <w:rsid w:val="000332F5"/>
    <w:rsid w:val="000340C3"/>
    <w:rsid w:val="0004156F"/>
    <w:rsid w:val="0004288E"/>
    <w:rsid w:val="000438D0"/>
    <w:rsid w:val="00046D0B"/>
    <w:rsid w:val="0004749E"/>
    <w:rsid w:val="0006040C"/>
    <w:rsid w:val="00063542"/>
    <w:rsid w:val="0008270D"/>
    <w:rsid w:val="00083FCE"/>
    <w:rsid w:val="00091BCD"/>
    <w:rsid w:val="000A2C10"/>
    <w:rsid w:val="000A6145"/>
    <w:rsid w:val="000B087E"/>
    <w:rsid w:val="000B15F7"/>
    <w:rsid w:val="000C424C"/>
    <w:rsid w:val="000D3B4D"/>
    <w:rsid w:val="000F1869"/>
    <w:rsid w:val="000F2567"/>
    <w:rsid w:val="000F519C"/>
    <w:rsid w:val="00102CB3"/>
    <w:rsid w:val="00103851"/>
    <w:rsid w:val="00105F8E"/>
    <w:rsid w:val="00106EA6"/>
    <w:rsid w:val="00121DD5"/>
    <w:rsid w:val="0012728D"/>
    <w:rsid w:val="00132849"/>
    <w:rsid w:val="0013314A"/>
    <w:rsid w:val="001333C3"/>
    <w:rsid w:val="00141812"/>
    <w:rsid w:val="00143F94"/>
    <w:rsid w:val="00152C82"/>
    <w:rsid w:val="00157D33"/>
    <w:rsid w:val="0016239A"/>
    <w:rsid w:val="00163E1B"/>
    <w:rsid w:val="00166DCB"/>
    <w:rsid w:val="0017628C"/>
    <w:rsid w:val="001778AB"/>
    <w:rsid w:val="00177DFF"/>
    <w:rsid w:val="00183E8C"/>
    <w:rsid w:val="00191C79"/>
    <w:rsid w:val="00193FE1"/>
    <w:rsid w:val="001A1A06"/>
    <w:rsid w:val="001A605A"/>
    <w:rsid w:val="001B5EEF"/>
    <w:rsid w:val="001C494B"/>
    <w:rsid w:val="001F3B96"/>
    <w:rsid w:val="001F72CE"/>
    <w:rsid w:val="00213C5F"/>
    <w:rsid w:val="0021598C"/>
    <w:rsid w:val="002163BC"/>
    <w:rsid w:val="0022097E"/>
    <w:rsid w:val="00221E3A"/>
    <w:rsid w:val="00223016"/>
    <w:rsid w:val="00234107"/>
    <w:rsid w:val="00241CFC"/>
    <w:rsid w:val="002523CA"/>
    <w:rsid w:val="00264E1B"/>
    <w:rsid w:val="00283740"/>
    <w:rsid w:val="0029422F"/>
    <w:rsid w:val="002960B0"/>
    <w:rsid w:val="002A141E"/>
    <w:rsid w:val="002A6BEF"/>
    <w:rsid w:val="002A7F78"/>
    <w:rsid w:val="002D3882"/>
    <w:rsid w:val="002D4BEF"/>
    <w:rsid w:val="002D6B79"/>
    <w:rsid w:val="002E7490"/>
    <w:rsid w:val="002F55E8"/>
    <w:rsid w:val="002F6285"/>
    <w:rsid w:val="003159B5"/>
    <w:rsid w:val="0032261C"/>
    <w:rsid w:val="00322B0B"/>
    <w:rsid w:val="00323D53"/>
    <w:rsid w:val="003268E5"/>
    <w:rsid w:val="00344493"/>
    <w:rsid w:val="00345568"/>
    <w:rsid w:val="00353161"/>
    <w:rsid w:val="00355FD2"/>
    <w:rsid w:val="003610A1"/>
    <w:rsid w:val="00376B7D"/>
    <w:rsid w:val="0038421A"/>
    <w:rsid w:val="00392ACC"/>
    <w:rsid w:val="003A54AB"/>
    <w:rsid w:val="003B50AB"/>
    <w:rsid w:val="003B6B97"/>
    <w:rsid w:val="003C52E8"/>
    <w:rsid w:val="003C5AA7"/>
    <w:rsid w:val="003C62D9"/>
    <w:rsid w:val="003D4252"/>
    <w:rsid w:val="003D53A8"/>
    <w:rsid w:val="003E6DF9"/>
    <w:rsid w:val="003F49B1"/>
    <w:rsid w:val="00427F10"/>
    <w:rsid w:val="00440508"/>
    <w:rsid w:val="004551A4"/>
    <w:rsid w:val="00462546"/>
    <w:rsid w:val="00464D74"/>
    <w:rsid w:val="004670EC"/>
    <w:rsid w:val="00470720"/>
    <w:rsid w:val="00480C3B"/>
    <w:rsid w:val="00480D9C"/>
    <w:rsid w:val="00486EA5"/>
    <w:rsid w:val="004A7801"/>
    <w:rsid w:val="004B3FE2"/>
    <w:rsid w:val="004C0F41"/>
    <w:rsid w:val="004C14BD"/>
    <w:rsid w:val="004C305C"/>
    <w:rsid w:val="004D1BD6"/>
    <w:rsid w:val="004E0C21"/>
    <w:rsid w:val="004F12A8"/>
    <w:rsid w:val="004F3076"/>
    <w:rsid w:val="005041E0"/>
    <w:rsid w:val="00510ED2"/>
    <w:rsid w:val="005114C1"/>
    <w:rsid w:val="00512DBE"/>
    <w:rsid w:val="00522CC8"/>
    <w:rsid w:val="0052684A"/>
    <w:rsid w:val="0053462D"/>
    <w:rsid w:val="00537AE5"/>
    <w:rsid w:val="005423D9"/>
    <w:rsid w:val="005440A6"/>
    <w:rsid w:val="00557018"/>
    <w:rsid w:val="00560A74"/>
    <w:rsid w:val="00560EA7"/>
    <w:rsid w:val="00581F7F"/>
    <w:rsid w:val="0058675D"/>
    <w:rsid w:val="0059199E"/>
    <w:rsid w:val="005926A6"/>
    <w:rsid w:val="00596C70"/>
    <w:rsid w:val="005A3E7A"/>
    <w:rsid w:val="005B231E"/>
    <w:rsid w:val="005B765A"/>
    <w:rsid w:val="005C2628"/>
    <w:rsid w:val="005C5240"/>
    <w:rsid w:val="005D070B"/>
    <w:rsid w:val="005D0EBB"/>
    <w:rsid w:val="005D1C08"/>
    <w:rsid w:val="005D2D38"/>
    <w:rsid w:val="005E1A4A"/>
    <w:rsid w:val="005F4D12"/>
    <w:rsid w:val="00600A22"/>
    <w:rsid w:val="00604BEC"/>
    <w:rsid w:val="00605A09"/>
    <w:rsid w:val="00615364"/>
    <w:rsid w:val="00616139"/>
    <w:rsid w:val="00616297"/>
    <w:rsid w:val="00621821"/>
    <w:rsid w:val="006240B6"/>
    <w:rsid w:val="00625FAE"/>
    <w:rsid w:val="00633640"/>
    <w:rsid w:val="0064226E"/>
    <w:rsid w:val="006501CC"/>
    <w:rsid w:val="00662C11"/>
    <w:rsid w:val="00664419"/>
    <w:rsid w:val="006655B2"/>
    <w:rsid w:val="0067050B"/>
    <w:rsid w:val="00675234"/>
    <w:rsid w:val="00686EE0"/>
    <w:rsid w:val="00687412"/>
    <w:rsid w:val="006A3812"/>
    <w:rsid w:val="006C714E"/>
    <w:rsid w:val="006D2067"/>
    <w:rsid w:val="006D254C"/>
    <w:rsid w:val="006E0380"/>
    <w:rsid w:val="006E1B67"/>
    <w:rsid w:val="006F0E55"/>
    <w:rsid w:val="007022AB"/>
    <w:rsid w:val="00702FE1"/>
    <w:rsid w:val="00713AC6"/>
    <w:rsid w:val="0072568C"/>
    <w:rsid w:val="0073389B"/>
    <w:rsid w:val="007352C7"/>
    <w:rsid w:val="00736576"/>
    <w:rsid w:val="00745C6D"/>
    <w:rsid w:val="007540F8"/>
    <w:rsid w:val="007547A3"/>
    <w:rsid w:val="0076692C"/>
    <w:rsid w:val="00793444"/>
    <w:rsid w:val="0079394A"/>
    <w:rsid w:val="00796B03"/>
    <w:rsid w:val="00797541"/>
    <w:rsid w:val="007A648D"/>
    <w:rsid w:val="007B0CC4"/>
    <w:rsid w:val="007B5EB7"/>
    <w:rsid w:val="007B7F2E"/>
    <w:rsid w:val="007C0BB6"/>
    <w:rsid w:val="007C3573"/>
    <w:rsid w:val="007D0B4D"/>
    <w:rsid w:val="007D1B89"/>
    <w:rsid w:val="007D70C5"/>
    <w:rsid w:val="007E013B"/>
    <w:rsid w:val="007E6A32"/>
    <w:rsid w:val="007E6EB9"/>
    <w:rsid w:val="007F3753"/>
    <w:rsid w:val="00802EC7"/>
    <w:rsid w:val="008039C4"/>
    <w:rsid w:val="008138CB"/>
    <w:rsid w:val="00816897"/>
    <w:rsid w:val="0081739B"/>
    <w:rsid w:val="00822E81"/>
    <w:rsid w:val="00830F5D"/>
    <w:rsid w:val="00833981"/>
    <w:rsid w:val="00834789"/>
    <w:rsid w:val="0084331D"/>
    <w:rsid w:val="008509CB"/>
    <w:rsid w:val="00850E83"/>
    <w:rsid w:val="00851A9A"/>
    <w:rsid w:val="00852DF3"/>
    <w:rsid w:val="00856C2E"/>
    <w:rsid w:val="008601B5"/>
    <w:rsid w:val="00865945"/>
    <w:rsid w:val="00867F67"/>
    <w:rsid w:val="008765AD"/>
    <w:rsid w:val="00883574"/>
    <w:rsid w:val="008953A8"/>
    <w:rsid w:val="0089778A"/>
    <w:rsid w:val="008A1EA2"/>
    <w:rsid w:val="008A3E8D"/>
    <w:rsid w:val="008A5BC6"/>
    <w:rsid w:val="008C062A"/>
    <w:rsid w:val="008C26C2"/>
    <w:rsid w:val="008D1F86"/>
    <w:rsid w:val="008D34A3"/>
    <w:rsid w:val="008D7C52"/>
    <w:rsid w:val="008E2C14"/>
    <w:rsid w:val="008E2C21"/>
    <w:rsid w:val="008E4E78"/>
    <w:rsid w:val="008F10D5"/>
    <w:rsid w:val="008F1F7F"/>
    <w:rsid w:val="008F2CDB"/>
    <w:rsid w:val="00900F98"/>
    <w:rsid w:val="00902DFA"/>
    <w:rsid w:val="00905EDB"/>
    <w:rsid w:val="009107A7"/>
    <w:rsid w:val="0091655D"/>
    <w:rsid w:val="00922E7F"/>
    <w:rsid w:val="00924EE4"/>
    <w:rsid w:val="0092565A"/>
    <w:rsid w:val="00930B86"/>
    <w:rsid w:val="009319BC"/>
    <w:rsid w:val="00932E06"/>
    <w:rsid w:val="00933682"/>
    <w:rsid w:val="0093625C"/>
    <w:rsid w:val="009429E4"/>
    <w:rsid w:val="00950A2E"/>
    <w:rsid w:val="009549EF"/>
    <w:rsid w:val="0097062B"/>
    <w:rsid w:val="00990784"/>
    <w:rsid w:val="00991C72"/>
    <w:rsid w:val="009A5FEC"/>
    <w:rsid w:val="009C480C"/>
    <w:rsid w:val="009C49A0"/>
    <w:rsid w:val="009D349B"/>
    <w:rsid w:val="009D372D"/>
    <w:rsid w:val="009D4F72"/>
    <w:rsid w:val="009D63AC"/>
    <w:rsid w:val="009D754E"/>
    <w:rsid w:val="009E2AF3"/>
    <w:rsid w:val="009F3981"/>
    <w:rsid w:val="009F737C"/>
    <w:rsid w:val="00A21F82"/>
    <w:rsid w:val="00A45352"/>
    <w:rsid w:val="00A52A43"/>
    <w:rsid w:val="00A547AF"/>
    <w:rsid w:val="00A65A82"/>
    <w:rsid w:val="00A660C4"/>
    <w:rsid w:val="00A66EAD"/>
    <w:rsid w:val="00A71264"/>
    <w:rsid w:val="00A72E59"/>
    <w:rsid w:val="00A749C1"/>
    <w:rsid w:val="00A77C01"/>
    <w:rsid w:val="00A82146"/>
    <w:rsid w:val="00A842B8"/>
    <w:rsid w:val="00A854AE"/>
    <w:rsid w:val="00A9148D"/>
    <w:rsid w:val="00A94234"/>
    <w:rsid w:val="00AA2A56"/>
    <w:rsid w:val="00AA3EB3"/>
    <w:rsid w:val="00AA6D41"/>
    <w:rsid w:val="00AC3DCA"/>
    <w:rsid w:val="00AC4755"/>
    <w:rsid w:val="00AC7F26"/>
    <w:rsid w:val="00AE2773"/>
    <w:rsid w:val="00AE417C"/>
    <w:rsid w:val="00AE744C"/>
    <w:rsid w:val="00AF140C"/>
    <w:rsid w:val="00AF3069"/>
    <w:rsid w:val="00B07B14"/>
    <w:rsid w:val="00B16236"/>
    <w:rsid w:val="00B216DC"/>
    <w:rsid w:val="00B22478"/>
    <w:rsid w:val="00B36C9D"/>
    <w:rsid w:val="00B37AEF"/>
    <w:rsid w:val="00B41061"/>
    <w:rsid w:val="00B45815"/>
    <w:rsid w:val="00B45EBF"/>
    <w:rsid w:val="00B53C55"/>
    <w:rsid w:val="00B54FA6"/>
    <w:rsid w:val="00B5702F"/>
    <w:rsid w:val="00B646CB"/>
    <w:rsid w:val="00B652C3"/>
    <w:rsid w:val="00B6560A"/>
    <w:rsid w:val="00B65674"/>
    <w:rsid w:val="00B7274C"/>
    <w:rsid w:val="00B74D92"/>
    <w:rsid w:val="00B96F81"/>
    <w:rsid w:val="00B97360"/>
    <w:rsid w:val="00B977E8"/>
    <w:rsid w:val="00BA4A26"/>
    <w:rsid w:val="00BA55D7"/>
    <w:rsid w:val="00BB5053"/>
    <w:rsid w:val="00BC0B02"/>
    <w:rsid w:val="00BC30E9"/>
    <w:rsid w:val="00BC60D1"/>
    <w:rsid w:val="00BF769B"/>
    <w:rsid w:val="00C01D08"/>
    <w:rsid w:val="00C02F93"/>
    <w:rsid w:val="00C17EE9"/>
    <w:rsid w:val="00C2100C"/>
    <w:rsid w:val="00C25370"/>
    <w:rsid w:val="00C33825"/>
    <w:rsid w:val="00C3768F"/>
    <w:rsid w:val="00C574F7"/>
    <w:rsid w:val="00C601B2"/>
    <w:rsid w:val="00C611B9"/>
    <w:rsid w:val="00C64281"/>
    <w:rsid w:val="00C73E8C"/>
    <w:rsid w:val="00C836A0"/>
    <w:rsid w:val="00C946F0"/>
    <w:rsid w:val="00C961C7"/>
    <w:rsid w:val="00CA34E7"/>
    <w:rsid w:val="00CB11D2"/>
    <w:rsid w:val="00CB6830"/>
    <w:rsid w:val="00CC377F"/>
    <w:rsid w:val="00CD7543"/>
    <w:rsid w:val="00CD7EF1"/>
    <w:rsid w:val="00CE0AD8"/>
    <w:rsid w:val="00CE222F"/>
    <w:rsid w:val="00CF3A6E"/>
    <w:rsid w:val="00CF6F26"/>
    <w:rsid w:val="00D03CCE"/>
    <w:rsid w:val="00D03DD8"/>
    <w:rsid w:val="00D166F6"/>
    <w:rsid w:val="00D16CBA"/>
    <w:rsid w:val="00D22769"/>
    <w:rsid w:val="00D2340B"/>
    <w:rsid w:val="00D3396F"/>
    <w:rsid w:val="00D365FC"/>
    <w:rsid w:val="00D41C92"/>
    <w:rsid w:val="00D43741"/>
    <w:rsid w:val="00D447C5"/>
    <w:rsid w:val="00D46BC3"/>
    <w:rsid w:val="00D517CB"/>
    <w:rsid w:val="00D5434E"/>
    <w:rsid w:val="00D618EE"/>
    <w:rsid w:val="00D75832"/>
    <w:rsid w:val="00D761FD"/>
    <w:rsid w:val="00D80A35"/>
    <w:rsid w:val="00D9599E"/>
    <w:rsid w:val="00DA0D39"/>
    <w:rsid w:val="00DA34E3"/>
    <w:rsid w:val="00DA6F78"/>
    <w:rsid w:val="00DB0BB3"/>
    <w:rsid w:val="00DB1F32"/>
    <w:rsid w:val="00DB3CDF"/>
    <w:rsid w:val="00DD5565"/>
    <w:rsid w:val="00DE0130"/>
    <w:rsid w:val="00DE1774"/>
    <w:rsid w:val="00E07F01"/>
    <w:rsid w:val="00E10B01"/>
    <w:rsid w:val="00E12AC5"/>
    <w:rsid w:val="00E16961"/>
    <w:rsid w:val="00E204D5"/>
    <w:rsid w:val="00E24868"/>
    <w:rsid w:val="00E27DD0"/>
    <w:rsid w:val="00E37884"/>
    <w:rsid w:val="00E41A89"/>
    <w:rsid w:val="00E42559"/>
    <w:rsid w:val="00E44D5B"/>
    <w:rsid w:val="00E450A9"/>
    <w:rsid w:val="00E505F9"/>
    <w:rsid w:val="00E53ABB"/>
    <w:rsid w:val="00E55979"/>
    <w:rsid w:val="00E63621"/>
    <w:rsid w:val="00E67BF8"/>
    <w:rsid w:val="00E70025"/>
    <w:rsid w:val="00EA1089"/>
    <w:rsid w:val="00EB660F"/>
    <w:rsid w:val="00EC5D20"/>
    <w:rsid w:val="00EE67AE"/>
    <w:rsid w:val="00EF1006"/>
    <w:rsid w:val="00EF22DD"/>
    <w:rsid w:val="00F15B85"/>
    <w:rsid w:val="00F17002"/>
    <w:rsid w:val="00F25D2C"/>
    <w:rsid w:val="00F4093F"/>
    <w:rsid w:val="00F41914"/>
    <w:rsid w:val="00F51DE6"/>
    <w:rsid w:val="00F53FB7"/>
    <w:rsid w:val="00F54E83"/>
    <w:rsid w:val="00F700D8"/>
    <w:rsid w:val="00F756BF"/>
    <w:rsid w:val="00F86FA1"/>
    <w:rsid w:val="00F92057"/>
    <w:rsid w:val="00FA153C"/>
    <w:rsid w:val="00FA60A6"/>
    <w:rsid w:val="00FC3DBF"/>
    <w:rsid w:val="00FC5B83"/>
    <w:rsid w:val="00FD15F9"/>
    <w:rsid w:val="00FD4CDC"/>
    <w:rsid w:val="00FE26EE"/>
    <w:rsid w:val="00FE7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74F7"/>
    <w:pPr>
      <w:widowControl w:val="0"/>
      <w:autoSpaceDE w:val="0"/>
      <w:autoSpaceDN w:val="0"/>
      <w:adjustRightInd w:val="0"/>
    </w:pPr>
    <w:rPr>
      <w:sz w:val="24"/>
    </w:rPr>
  </w:style>
  <w:style w:type="paragraph" w:styleId="Heading1">
    <w:name w:val="heading 1"/>
    <w:basedOn w:val="Normal"/>
    <w:next w:val="Normal"/>
    <w:qFormat/>
    <w:rsid w:val="000F1869"/>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Cs w:val="24"/>
    </w:rPr>
  </w:style>
  <w:style w:type="paragraph" w:styleId="Heading2">
    <w:name w:val="heading 2"/>
    <w:basedOn w:val="Normal"/>
    <w:next w:val="Normal"/>
    <w:qFormat/>
    <w:rsid w:val="00616297"/>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616297"/>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F1869"/>
    <w:pPr>
      <w:tabs>
        <w:tab w:val="center" w:pos="4320"/>
        <w:tab w:val="right" w:pos="8640"/>
      </w:tabs>
    </w:pPr>
  </w:style>
  <w:style w:type="character" w:styleId="PageNumber">
    <w:name w:val="page number"/>
    <w:basedOn w:val="DefaultParagraphFont"/>
    <w:rsid w:val="000F1869"/>
  </w:style>
  <w:style w:type="paragraph" w:styleId="Title">
    <w:name w:val="Title"/>
    <w:basedOn w:val="Normal"/>
    <w:qFormat/>
    <w:rsid w:val="000F1869"/>
    <w:pPr>
      <w:jc w:val="center"/>
    </w:pPr>
    <w:rPr>
      <w:b/>
      <w:bCs/>
      <w:szCs w:val="24"/>
      <w:u w:val="single"/>
    </w:rPr>
  </w:style>
  <w:style w:type="paragraph" w:styleId="Subtitle">
    <w:name w:val="Subtitle"/>
    <w:basedOn w:val="Normal"/>
    <w:qFormat/>
    <w:rsid w:val="000F1869"/>
    <w:rPr>
      <w:b/>
      <w:bCs/>
      <w:szCs w:val="24"/>
      <w:u w:val="single"/>
    </w:rPr>
  </w:style>
  <w:style w:type="paragraph" w:styleId="BodyText">
    <w:name w:val="Body Text"/>
    <w:basedOn w:val="Normal"/>
    <w:rsid w:val="000F1869"/>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Cs w:val="24"/>
    </w:rPr>
  </w:style>
  <w:style w:type="paragraph" w:styleId="BodyTextIndent">
    <w:name w:val="Body Text Indent"/>
    <w:basedOn w:val="Normal"/>
    <w:rsid w:val="000F1869"/>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Cs w:val="24"/>
    </w:rPr>
  </w:style>
  <w:style w:type="paragraph" w:styleId="BodyText3">
    <w:name w:val="Body Text 3"/>
    <w:basedOn w:val="Normal"/>
    <w:rsid w:val="000F1869"/>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Cs w:val="24"/>
    </w:rPr>
  </w:style>
  <w:style w:type="paragraph" w:styleId="NormalWeb">
    <w:name w:val="Normal (Web)"/>
    <w:basedOn w:val="Normal"/>
    <w:rsid w:val="000F1869"/>
    <w:pPr>
      <w:widowControl/>
      <w:autoSpaceDE/>
      <w:autoSpaceDN/>
      <w:adjustRightInd/>
      <w:spacing w:before="100" w:beforeAutospacing="1" w:after="100" w:afterAutospacing="1"/>
    </w:pPr>
    <w:rPr>
      <w:rFonts w:ascii="Arial Unicode MS" w:eastAsia="Arial Unicode MS" w:hAnsi="Arial Unicode MS" w:cs="Arial Unicode MS"/>
      <w:szCs w:val="24"/>
    </w:rPr>
  </w:style>
  <w:style w:type="character" w:styleId="Hyperlink">
    <w:name w:val="Hyperlink"/>
    <w:rsid w:val="000F1869"/>
    <w:rPr>
      <w:color w:val="0000FF"/>
      <w:u w:val="single"/>
    </w:rPr>
  </w:style>
  <w:style w:type="character" w:styleId="Strong">
    <w:name w:val="Strong"/>
    <w:qFormat/>
    <w:rsid w:val="000F1869"/>
    <w:rPr>
      <w:b/>
      <w:bCs/>
    </w:rPr>
  </w:style>
  <w:style w:type="paragraph" w:styleId="BodyText2">
    <w:name w:val="Body Text 2"/>
    <w:basedOn w:val="Normal"/>
    <w:rsid w:val="000F1869"/>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b/>
      <w:bCs/>
    </w:rPr>
  </w:style>
  <w:style w:type="paragraph" w:styleId="Header">
    <w:name w:val="header"/>
    <w:basedOn w:val="Normal"/>
    <w:rsid w:val="00F92057"/>
    <w:pPr>
      <w:tabs>
        <w:tab w:val="center" w:pos="4320"/>
        <w:tab w:val="right" w:pos="8640"/>
      </w:tabs>
    </w:pPr>
  </w:style>
  <w:style w:type="table" w:styleId="TableGrid">
    <w:name w:val="Table Grid"/>
    <w:basedOn w:val="TableNormal"/>
    <w:rsid w:val="00B97360"/>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text-1">
    <w:name w:val="ptext-1"/>
    <w:rsid w:val="00616297"/>
    <w:rPr>
      <w:b w:val="0"/>
      <w:bCs w:val="0"/>
    </w:rPr>
  </w:style>
  <w:style w:type="character" w:customStyle="1" w:styleId="ptext-2">
    <w:name w:val="ptext-2"/>
    <w:rsid w:val="00616297"/>
    <w:rPr>
      <w:b w:val="0"/>
      <w:bCs w:val="0"/>
    </w:rPr>
  </w:style>
  <w:style w:type="character" w:customStyle="1" w:styleId="ptext-3">
    <w:name w:val="ptext-3"/>
    <w:rsid w:val="00616297"/>
    <w:rPr>
      <w:b w:val="0"/>
      <w:bCs w:val="0"/>
    </w:rPr>
  </w:style>
  <w:style w:type="character" w:customStyle="1" w:styleId="ptext-4">
    <w:name w:val="ptext-4"/>
    <w:rsid w:val="00616297"/>
    <w:rPr>
      <w:b w:val="0"/>
      <w:bCs w:val="0"/>
    </w:rPr>
  </w:style>
  <w:style w:type="character" w:customStyle="1" w:styleId="enumbell">
    <w:name w:val="enumbell"/>
    <w:rsid w:val="00616297"/>
    <w:rPr>
      <w:b/>
      <w:bCs/>
    </w:rPr>
  </w:style>
  <w:style w:type="paragraph" w:customStyle="1" w:styleId="Bullet1">
    <w:name w:val="Bullet 1"/>
    <w:basedOn w:val="Normal"/>
    <w:rsid w:val="007B0CC4"/>
    <w:pPr>
      <w:numPr>
        <w:numId w:val="16"/>
      </w:numPr>
    </w:pPr>
  </w:style>
  <w:style w:type="character" w:styleId="CommentReference">
    <w:name w:val="annotation reference"/>
    <w:rsid w:val="00AF140C"/>
    <w:rPr>
      <w:sz w:val="16"/>
      <w:szCs w:val="16"/>
    </w:rPr>
  </w:style>
  <w:style w:type="paragraph" w:styleId="CommentText">
    <w:name w:val="annotation text"/>
    <w:basedOn w:val="Normal"/>
    <w:link w:val="CommentTextChar"/>
    <w:rsid w:val="00AF140C"/>
    <w:rPr>
      <w:sz w:val="20"/>
    </w:rPr>
  </w:style>
  <w:style w:type="character" w:customStyle="1" w:styleId="CommentTextChar">
    <w:name w:val="Comment Text Char"/>
    <w:basedOn w:val="DefaultParagraphFont"/>
    <w:link w:val="CommentText"/>
    <w:rsid w:val="00AF140C"/>
  </w:style>
  <w:style w:type="paragraph" w:styleId="CommentSubject">
    <w:name w:val="annotation subject"/>
    <w:basedOn w:val="CommentText"/>
    <w:next w:val="CommentText"/>
    <w:link w:val="CommentSubjectChar"/>
    <w:rsid w:val="00AF140C"/>
    <w:rPr>
      <w:b/>
      <w:bCs/>
      <w:lang w:val="x-none" w:eastAsia="x-none"/>
    </w:rPr>
  </w:style>
  <w:style w:type="character" w:customStyle="1" w:styleId="CommentSubjectChar">
    <w:name w:val="Comment Subject Char"/>
    <w:link w:val="CommentSubject"/>
    <w:rsid w:val="00AF140C"/>
    <w:rPr>
      <w:b/>
      <w:bCs/>
    </w:rPr>
  </w:style>
  <w:style w:type="paragraph" w:styleId="BalloonText">
    <w:name w:val="Balloon Text"/>
    <w:basedOn w:val="Normal"/>
    <w:link w:val="BalloonTextChar"/>
    <w:rsid w:val="00AF140C"/>
    <w:rPr>
      <w:rFonts w:ascii="Tahoma" w:hAnsi="Tahoma"/>
      <w:sz w:val="16"/>
      <w:szCs w:val="16"/>
      <w:lang w:val="x-none" w:eastAsia="x-none"/>
    </w:rPr>
  </w:style>
  <w:style w:type="character" w:customStyle="1" w:styleId="BalloonTextChar">
    <w:name w:val="Balloon Text Char"/>
    <w:link w:val="BalloonText"/>
    <w:rsid w:val="00AF140C"/>
    <w:rPr>
      <w:rFonts w:ascii="Tahoma" w:hAnsi="Tahoma" w:cs="Tahoma"/>
      <w:sz w:val="16"/>
      <w:szCs w:val="16"/>
    </w:rPr>
  </w:style>
  <w:style w:type="paragraph" w:styleId="DocumentMap">
    <w:name w:val="Document Map"/>
    <w:basedOn w:val="Normal"/>
    <w:link w:val="DocumentMapChar"/>
    <w:rsid w:val="002A6BEF"/>
    <w:pPr>
      <w:shd w:val="clear" w:color="auto" w:fill="000080"/>
    </w:pPr>
    <w:rPr>
      <w:rFonts w:ascii="Tahoma" w:hAnsi="Tahoma"/>
      <w:sz w:val="20"/>
      <w:lang w:val="x-none" w:eastAsia="x-none"/>
    </w:rPr>
  </w:style>
  <w:style w:type="character" w:customStyle="1" w:styleId="DocumentMapChar">
    <w:name w:val="Document Map Char"/>
    <w:link w:val="DocumentMap"/>
    <w:rsid w:val="002A6BEF"/>
    <w:rPr>
      <w:rFonts w:ascii="Tahoma" w:hAnsi="Tahoma" w:cs="Tahoma"/>
      <w:shd w:val="clear" w:color="auto" w:fill="000080"/>
    </w:rPr>
  </w:style>
  <w:style w:type="paragraph" w:customStyle="1" w:styleId="Default">
    <w:name w:val="Default"/>
    <w:rsid w:val="002A6BEF"/>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2A6BEF"/>
    <w:rPr>
      <w:sz w:val="24"/>
    </w:rPr>
  </w:style>
  <w:style w:type="paragraph" w:styleId="FootnoteText">
    <w:name w:val="footnote text"/>
    <w:basedOn w:val="Normal"/>
    <w:link w:val="FootnoteTextChar"/>
    <w:rsid w:val="00D03CCE"/>
    <w:rPr>
      <w:sz w:val="20"/>
    </w:rPr>
  </w:style>
  <w:style w:type="character" w:customStyle="1" w:styleId="FootnoteTextChar">
    <w:name w:val="Footnote Text Char"/>
    <w:basedOn w:val="DefaultParagraphFont"/>
    <w:link w:val="FootnoteText"/>
    <w:rsid w:val="00D03CCE"/>
  </w:style>
  <w:style w:type="character" w:styleId="FootnoteReference">
    <w:name w:val="footnote reference"/>
    <w:basedOn w:val="DefaultParagraphFont"/>
    <w:rsid w:val="00D03CCE"/>
    <w:rPr>
      <w:vertAlign w:val="superscript"/>
    </w:rPr>
  </w:style>
  <w:style w:type="character" w:customStyle="1" w:styleId="FooterChar">
    <w:name w:val="Footer Char"/>
    <w:basedOn w:val="DefaultParagraphFont"/>
    <w:link w:val="Footer"/>
    <w:uiPriority w:val="99"/>
    <w:rsid w:val="007E013B"/>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74F7"/>
    <w:pPr>
      <w:widowControl w:val="0"/>
      <w:autoSpaceDE w:val="0"/>
      <w:autoSpaceDN w:val="0"/>
      <w:adjustRightInd w:val="0"/>
    </w:pPr>
    <w:rPr>
      <w:sz w:val="24"/>
    </w:rPr>
  </w:style>
  <w:style w:type="paragraph" w:styleId="Heading1">
    <w:name w:val="heading 1"/>
    <w:basedOn w:val="Normal"/>
    <w:next w:val="Normal"/>
    <w:qFormat/>
    <w:rsid w:val="000F1869"/>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Cs w:val="24"/>
    </w:rPr>
  </w:style>
  <w:style w:type="paragraph" w:styleId="Heading2">
    <w:name w:val="heading 2"/>
    <w:basedOn w:val="Normal"/>
    <w:next w:val="Normal"/>
    <w:qFormat/>
    <w:rsid w:val="00616297"/>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616297"/>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F1869"/>
    <w:pPr>
      <w:tabs>
        <w:tab w:val="center" w:pos="4320"/>
        <w:tab w:val="right" w:pos="8640"/>
      </w:tabs>
    </w:pPr>
  </w:style>
  <w:style w:type="character" w:styleId="PageNumber">
    <w:name w:val="page number"/>
    <w:basedOn w:val="DefaultParagraphFont"/>
    <w:rsid w:val="000F1869"/>
  </w:style>
  <w:style w:type="paragraph" w:styleId="Title">
    <w:name w:val="Title"/>
    <w:basedOn w:val="Normal"/>
    <w:qFormat/>
    <w:rsid w:val="000F1869"/>
    <w:pPr>
      <w:jc w:val="center"/>
    </w:pPr>
    <w:rPr>
      <w:b/>
      <w:bCs/>
      <w:szCs w:val="24"/>
      <w:u w:val="single"/>
    </w:rPr>
  </w:style>
  <w:style w:type="paragraph" w:styleId="Subtitle">
    <w:name w:val="Subtitle"/>
    <w:basedOn w:val="Normal"/>
    <w:qFormat/>
    <w:rsid w:val="000F1869"/>
    <w:rPr>
      <w:b/>
      <w:bCs/>
      <w:szCs w:val="24"/>
      <w:u w:val="single"/>
    </w:rPr>
  </w:style>
  <w:style w:type="paragraph" w:styleId="BodyText">
    <w:name w:val="Body Text"/>
    <w:basedOn w:val="Normal"/>
    <w:rsid w:val="000F1869"/>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Cs w:val="24"/>
    </w:rPr>
  </w:style>
  <w:style w:type="paragraph" w:styleId="BodyTextIndent">
    <w:name w:val="Body Text Indent"/>
    <w:basedOn w:val="Normal"/>
    <w:rsid w:val="000F1869"/>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Cs w:val="24"/>
    </w:rPr>
  </w:style>
  <w:style w:type="paragraph" w:styleId="BodyText3">
    <w:name w:val="Body Text 3"/>
    <w:basedOn w:val="Normal"/>
    <w:rsid w:val="000F1869"/>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Cs w:val="24"/>
    </w:rPr>
  </w:style>
  <w:style w:type="paragraph" w:styleId="NormalWeb">
    <w:name w:val="Normal (Web)"/>
    <w:basedOn w:val="Normal"/>
    <w:rsid w:val="000F1869"/>
    <w:pPr>
      <w:widowControl/>
      <w:autoSpaceDE/>
      <w:autoSpaceDN/>
      <w:adjustRightInd/>
      <w:spacing w:before="100" w:beforeAutospacing="1" w:after="100" w:afterAutospacing="1"/>
    </w:pPr>
    <w:rPr>
      <w:rFonts w:ascii="Arial Unicode MS" w:eastAsia="Arial Unicode MS" w:hAnsi="Arial Unicode MS" w:cs="Arial Unicode MS"/>
      <w:szCs w:val="24"/>
    </w:rPr>
  </w:style>
  <w:style w:type="character" w:styleId="Hyperlink">
    <w:name w:val="Hyperlink"/>
    <w:rsid w:val="000F1869"/>
    <w:rPr>
      <w:color w:val="0000FF"/>
      <w:u w:val="single"/>
    </w:rPr>
  </w:style>
  <w:style w:type="character" w:styleId="Strong">
    <w:name w:val="Strong"/>
    <w:qFormat/>
    <w:rsid w:val="000F1869"/>
    <w:rPr>
      <w:b/>
      <w:bCs/>
    </w:rPr>
  </w:style>
  <w:style w:type="paragraph" w:styleId="BodyText2">
    <w:name w:val="Body Text 2"/>
    <w:basedOn w:val="Normal"/>
    <w:rsid w:val="000F1869"/>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b/>
      <w:bCs/>
    </w:rPr>
  </w:style>
  <w:style w:type="paragraph" w:styleId="Header">
    <w:name w:val="header"/>
    <w:basedOn w:val="Normal"/>
    <w:rsid w:val="00F92057"/>
    <w:pPr>
      <w:tabs>
        <w:tab w:val="center" w:pos="4320"/>
        <w:tab w:val="right" w:pos="8640"/>
      </w:tabs>
    </w:pPr>
  </w:style>
  <w:style w:type="table" w:styleId="TableGrid">
    <w:name w:val="Table Grid"/>
    <w:basedOn w:val="TableNormal"/>
    <w:rsid w:val="00B97360"/>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text-1">
    <w:name w:val="ptext-1"/>
    <w:rsid w:val="00616297"/>
    <w:rPr>
      <w:b w:val="0"/>
      <w:bCs w:val="0"/>
    </w:rPr>
  </w:style>
  <w:style w:type="character" w:customStyle="1" w:styleId="ptext-2">
    <w:name w:val="ptext-2"/>
    <w:rsid w:val="00616297"/>
    <w:rPr>
      <w:b w:val="0"/>
      <w:bCs w:val="0"/>
    </w:rPr>
  </w:style>
  <w:style w:type="character" w:customStyle="1" w:styleId="ptext-3">
    <w:name w:val="ptext-3"/>
    <w:rsid w:val="00616297"/>
    <w:rPr>
      <w:b w:val="0"/>
      <w:bCs w:val="0"/>
    </w:rPr>
  </w:style>
  <w:style w:type="character" w:customStyle="1" w:styleId="ptext-4">
    <w:name w:val="ptext-4"/>
    <w:rsid w:val="00616297"/>
    <w:rPr>
      <w:b w:val="0"/>
      <w:bCs w:val="0"/>
    </w:rPr>
  </w:style>
  <w:style w:type="character" w:customStyle="1" w:styleId="enumbell">
    <w:name w:val="enumbell"/>
    <w:rsid w:val="00616297"/>
    <w:rPr>
      <w:b/>
      <w:bCs/>
    </w:rPr>
  </w:style>
  <w:style w:type="paragraph" w:customStyle="1" w:styleId="Bullet1">
    <w:name w:val="Bullet 1"/>
    <w:basedOn w:val="Normal"/>
    <w:rsid w:val="007B0CC4"/>
    <w:pPr>
      <w:numPr>
        <w:numId w:val="16"/>
      </w:numPr>
    </w:pPr>
  </w:style>
  <w:style w:type="character" w:styleId="CommentReference">
    <w:name w:val="annotation reference"/>
    <w:rsid w:val="00AF140C"/>
    <w:rPr>
      <w:sz w:val="16"/>
      <w:szCs w:val="16"/>
    </w:rPr>
  </w:style>
  <w:style w:type="paragraph" w:styleId="CommentText">
    <w:name w:val="annotation text"/>
    <w:basedOn w:val="Normal"/>
    <w:link w:val="CommentTextChar"/>
    <w:rsid w:val="00AF140C"/>
    <w:rPr>
      <w:sz w:val="20"/>
    </w:rPr>
  </w:style>
  <w:style w:type="character" w:customStyle="1" w:styleId="CommentTextChar">
    <w:name w:val="Comment Text Char"/>
    <w:basedOn w:val="DefaultParagraphFont"/>
    <w:link w:val="CommentText"/>
    <w:rsid w:val="00AF140C"/>
  </w:style>
  <w:style w:type="paragraph" w:styleId="CommentSubject">
    <w:name w:val="annotation subject"/>
    <w:basedOn w:val="CommentText"/>
    <w:next w:val="CommentText"/>
    <w:link w:val="CommentSubjectChar"/>
    <w:rsid w:val="00AF140C"/>
    <w:rPr>
      <w:b/>
      <w:bCs/>
      <w:lang w:val="x-none" w:eastAsia="x-none"/>
    </w:rPr>
  </w:style>
  <w:style w:type="character" w:customStyle="1" w:styleId="CommentSubjectChar">
    <w:name w:val="Comment Subject Char"/>
    <w:link w:val="CommentSubject"/>
    <w:rsid w:val="00AF140C"/>
    <w:rPr>
      <w:b/>
      <w:bCs/>
    </w:rPr>
  </w:style>
  <w:style w:type="paragraph" w:styleId="BalloonText">
    <w:name w:val="Balloon Text"/>
    <w:basedOn w:val="Normal"/>
    <w:link w:val="BalloonTextChar"/>
    <w:rsid w:val="00AF140C"/>
    <w:rPr>
      <w:rFonts w:ascii="Tahoma" w:hAnsi="Tahoma"/>
      <w:sz w:val="16"/>
      <w:szCs w:val="16"/>
      <w:lang w:val="x-none" w:eastAsia="x-none"/>
    </w:rPr>
  </w:style>
  <w:style w:type="character" w:customStyle="1" w:styleId="BalloonTextChar">
    <w:name w:val="Balloon Text Char"/>
    <w:link w:val="BalloonText"/>
    <w:rsid w:val="00AF140C"/>
    <w:rPr>
      <w:rFonts w:ascii="Tahoma" w:hAnsi="Tahoma" w:cs="Tahoma"/>
      <w:sz w:val="16"/>
      <w:szCs w:val="16"/>
    </w:rPr>
  </w:style>
  <w:style w:type="paragraph" w:styleId="DocumentMap">
    <w:name w:val="Document Map"/>
    <w:basedOn w:val="Normal"/>
    <w:link w:val="DocumentMapChar"/>
    <w:rsid w:val="002A6BEF"/>
    <w:pPr>
      <w:shd w:val="clear" w:color="auto" w:fill="000080"/>
    </w:pPr>
    <w:rPr>
      <w:rFonts w:ascii="Tahoma" w:hAnsi="Tahoma"/>
      <w:sz w:val="20"/>
      <w:lang w:val="x-none" w:eastAsia="x-none"/>
    </w:rPr>
  </w:style>
  <w:style w:type="character" w:customStyle="1" w:styleId="DocumentMapChar">
    <w:name w:val="Document Map Char"/>
    <w:link w:val="DocumentMap"/>
    <w:rsid w:val="002A6BEF"/>
    <w:rPr>
      <w:rFonts w:ascii="Tahoma" w:hAnsi="Tahoma" w:cs="Tahoma"/>
      <w:shd w:val="clear" w:color="auto" w:fill="000080"/>
    </w:rPr>
  </w:style>
  <w:style w:type="paragraph" w:customStyle="1" w:styleId="Default">
    <w:name w:val="Default"/>
    <w:rsid w:val="002A6BEF"/>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2A6BEF"/>
    <w:rPr>
      <w:sz w:val="24"/>
    </w:rPr>
  </w:style>
  <w:style w:type="paragraph" w:styleId="FootnoteText">
    <w:name w:val="footnote text"/>
    <w:basedOn w:val="Normal"/>
    <w:link w:val="FootnoteTextChar"/>
    <w:rsid w:val="00D03CCE"/>
    <w:rPr>
      <w:sz w:val="20"/>
    </w:rPr>
  </w:style>
  <w:style w:type="character" w:customStyle="1" w:styleId="FootnoteTextChar">
    <w:name w:val="Footnote Text Char"/>
    <w:basedOn w:val="DefaultParagraphFont"/>
    <w:link w:val="FootnoteText"/>
    <w:rsid w:val="00D03CCE"/>
  </w:style>
  <w:style w:type="character" w:styleId="FootnoteReference">
    <w:name w:val="footnote reference"/>
    <w:basedOn w:val="DefaultParagraphFont"/>
    <w:rsid w:val="00D03CCE"/>
    <w:rPr>
      <w:vertAlign w:val="superscript"/>
    </w:rPr>
  </w:style>
  <w:style w:type="character" w:customStyle="1" w:styleId="FooterChar">
    <w:name w:val="Footer Char"/>
    <w:basedOn w:val="DefaultParagraphFont"/>
    <w:link w:val="Footer"/>
    <w:uiPriority w:val="99"/>
    <w:rsid w:val="007E013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954883">
      <w:bodyDiv w:val="1"/>
      <w:marLeft w:val="0"/>
      <w:marRight w:val="0"/>
      <w:marTop w:val="0"/>
      <w:marBottom w:val="0"/>
      <w:divBdr>
        <w:top w:val="none" w:sz="0" w:space="0" w:color="auto"/>
        <w:left w:val="none" w:sz="0" w:space="0" w:color="auto"/>
        <w:bottom w:val="none" w:sz="0" w:space="0" w:color="auto"/>
        <w:right w:val="none" w:sz="0" w:space="0" w:color="auto"/>
      </w:divBdr>
      <w:divsChild>
        <w:div w:id="512378468">
          <w:marLeft w:val="0"/>
          <w:marRight w:val="0"/>
          <w:marTop w:val="0"/>
          <w:marBottom w:val="0"/>
          <w:divBdr>
            <w:top w:val="none" w:sz="0" w:space="0" w:color="auto"/>
            <w:left w:val="none" w:sz="0" w:space="0" w:color="auto"/>
            <w:bottom w:val="none" w:sz="0" w:space="0" w:color="auto"/>
            <w:right w:val="none" w:sz="0" w:space="0" w:color="auto"/>
          </w:divBdr>
          <w:divsChild>
            <w:div w:id="483010980">
              <w:marLeft w:val="0"/>
              <w:marRight w:val="0"/>
              <w:marTop w:val="0"/>
              <w:marBottom w:val="0"/>
              <w:divBdr>
                <w:top w:val="single" w:sz="6" w:space="0" w:color="333333"/>
                <w:left w:val="single" w:sz="6" w:space="0" w:color="333333"/>
                <w:bottom w:val="single" w:sz="6" w:space="0" w:color="333333"/>
                <w:right w:val="single" w:sz="6" w:space="0" w:color="333333"/>
              </w:divBdr>
              <w:divsChild>
                <w:div w:id="1778989374">
                  <w:marLeft w:val="0"/>
                  <w:marRight w:val="0"/>
                  <w:marTop w:val="0"/>
                  <w:marBottom w:val="0"/>
                  <w:divBdr>
                    <w:top w:val="none" w:sz="0" w:space="0" w:color="auto"/>
                    <w:left w:val="none" w:sz="0" w:space="0" w:color="auto"/>
                    <w:bottom w:val="none" w:sz="0" w:space="0" w:color="auto"/>
                    <w:right w:val="none" w:sz="0" w:space="0" w:color="auto"/>
                  </w:divBdr>
                  <w:divsChild>
                    <w:div w:id="359628214">
                      <w:marLeft w:val="0"/>
                      <w:marRight w:val="0"/>
                      <w:marTop w:val="0"/>
                      <w:marBottom w:val="0"/>
                      <w:divBdr>
                        <w:top w:val="none" w:sz="0" w:space="0" w:color="auto"/>
                        <w:left w:val="none" w:sz="0" w:space="0" w:color="auto"/>
                        <w:bottom w:val="none" w:sz="0" w:space="0" w:color="auto"/>
                        <w:right w:val="none" w:sz="0" w:space="0" w:color="auto"/>
                      </w:divBdr>
                      <w:divsChild>
                        <w:div w:id="1574467593">
                          <w:marLeft w:val="0"/>
                          <w:marRight w:val="0"/>
                          <w:marTop w:val="0"/>
                          <w:marBottom w:val="0"/>
                          <w:divBdr>
                            <w:top w:val="none" w:sz="0" w:space="0" w:color="auto"/>
                            <w:left w:val="none" w:sz="0" w:space="0" w:color="auto"/>
                            <w:bottom w:val="none" w:sz="0" w:space="0" w:color="auto"/>
                            <w:right w:val="none" w:sz="0" w:space="0" w:color="auto"/>
                          </w:divBdr>
                          <w:divsChild>
                            <w:div w:id="661395196">
                              <w:marLeft w:val="1"/>
                              <w:marRight w:val="1"/>
                              <w:marTop w:val="120"/>
                              <w:marBottom w:val="120"/>
                              <w:divBdr>
                                <w:top w:val="none" w:sz="0" w:space="0" w:color="auto"/>
                                <w:left w:val="none" w:sz="0" w:space="0" w:color="auto"/>
                                <w:bottom w:val="none" w:sz="0" w:space="0" w:color="auto"/>
                                <w:right w:val="none" w:sz="0" w:space="0" w:color="auto"/>
                              </w:divBdr>
                              <w:divsChild>
                                <w:div w:id="134833774">
                                  <w:marLeft w:val="0"/>
                                  <w:marRight w:val="0"/>
                                  <w:marTop w:val="0"/>
                                  <w:marBottom w:val="0"/>
                                  <w:divBdr>
                                    <w:top w:val="none" w:sz="0" w:space="0" w:color="auto"/>
                                    <w:left w:val="none" w:sz="0" w:space="0" w:color="auto"/>
                                    <w:bottom w:val="none" w:sz="0" w:space="0" w:color="auto"/>
                                    <w:right w:val="none" w:sz="0" w:space="0" w:color="auto"/>
                                  </w:divBdr>
                                  <w:divsChild>
                                    <w:div w:id="459304776">
                                      <w:marLeft w:val="0"/>
                                      <w:marRight w:val="0"/>
                                      <w:marTop w:val="0"/>
                                      <w:marBottom w:val="0"/>
                                      <w:divBdr>
                                        <w:top w:val="none" w:sz="0" w:space="0" w:color="auto"/>
                                        <w:left w:val="none" w:sz="0" w:space="0" w:color="auto"/>
                                        <w:bottom w:val="none" w:sz="0" w:space="0" w:color="auto"/>
                                        <w:right w:val="none" w:sz="0" w:space="0" w:color="auto"/>
                                      </w:divBdr>
                                      <w:divsChild>
                                        <w:div w:id="974456800">
                                          <w:marLeft w:val="0"/>
                                          <w:marRight w:val="0"/>
                                          <w:marTop w:val="0"/>
                                          <w:marBottom w:val="0"/>
                                          <w:divBdr>
                                            <w:top w:val="none" w:sz="0" w:space="0" w:color="auto"/>
                                            <w:left w:val="none" w:sz="0" w:space="0" w:color="auto"/>
                                            <w:bottom w:val="none" w:sz="0" w:space="0" w:color="auto"/>
                                            <w:right w:val="none" w:sz="0" w:space="0" w:color="auto"/>
                                          </w:divBdr>
                                        </w:div>
                                      </w:divsChild>
                                    </w:div>
                                    <w:div w:id="1207257904">
                                      <w:marLeft w:val="0"/>
                                      <w:marRight w:val="0"/>
                                      <w:marTop w:val="0"/>
                                      <w:marBottom w:val="0"/>
                                      <w:divBdr>
                                        <w:top w:val="none" w:sz="0" w:space="0" w:color="auto"/>
                                        <w:left w:val="none" w:sz="0" w:space="0" w:color="auto"/>
                                        <w:bottom w:val="none" w:sz="0" w:space="0" w:color="auto"/>
                                        <w:right w:val="none" w:sz="0" w:space="0" w:color="auto"/>
                                      </w:divBdr>
                                      <w:divsChild>
                                        <w:div w:id="52198777">
                                          <w:marLeft w:val="4"/>
                                          <w:marRight w:val="0"/>
                                          <w:marTop w:val="0"/>
                                          <w:marBottom w:val="0"/>
                                          <w:divBdr>
                                            <w:top w:val="none" w:sz="0" w:space="0" w:color="auto"/>
                                            <w:left w:val="none" w:sz="0" w:space="0" w:color="auto"/>
                                            <w:bottom w:val="none" w:sz="0" w:space="0" w:color="auto"/>
                                            <w:right w:val="none" w:sz="0" w:space="0" w:color="auto"/>
                                          </w:divBdr>
                                          <w:divsChild>
                                            <w:div w:id="507451521">
                                              <w:marLeft w:val="4"/>
                                              <w:marRight w:val="0"/>
                                              <w:marTop w:val="0"/>
                                              <w:marBottom w:val="0"/>
                                              <w:divBdr>
                                                <w:top w:val="none" w:sz="0" w:space="0" w:color="auto"/>
                                                <w:left w:val="none" w:sz="0" w:space="0" w:color="auto"/>
                                                <w:bottom w:val="none" w:sz="0" w:space="0" w:color="auto"/>
                                                <w:right w:val="none" w:sz="0" w:space="0" w:color="auto"/>
                                              </w:divBdr>
                                            </w:div>
                                            <w:div w:id="1272126242">
                                              <w:marLeft w:val="4"/>
                                              <w:marRight w:val="0"/>
                                              <w:marTop w:val="0"/>
                                              <w:marBottom w:val="0"/>
                                              <w:divBdr>
                                                <w:top w:val="none" w:sz="0" w:space="0" w:color="auto"/>
                                                <w:left w:val="none" w:sz="0" w:space="0" w:color="auto"/>
                                                <w:bottom w:val="none" w:sz="0" w:space="0" w:color="auto"/>
                                                <w:right w:val="none" w:sz="0" w:space="0" w:color="auto"/>
                                              </w:divBdr>
                                              <w:divsChild>
                                                <w:div w:id="433093889">
                                                  <w:marLeft w:val="4"/>
                                                  <w:marRight w:val="0"/>
                                                  <w:marTop w:val="0"/>
                                                  <w:marBottom w:val="0"/>
                                                  <w:divBdr>
                                                    <w:top w:val="none" w:sz="0" w:space="0" w:color="auto"/>
                                                    <w:left w:val="none" w:sz="0" w:space="0" w:color="auto"/>
                                                    <w:bottom w:val="none" w:sz="0" w:space="0" w:color="auto"/>
                                                    <w:right w:val="none" w:sz="0" w:space="0" w:color="auto"/>
                                                  </w:divBdr>
                                                </w:div>
                                                <w:div w:id="1699551602">
                                                  <w:marLeft w:val="4"/>
                                                  <w:marRight w:val="0"/>
                                                  <w:marTop w:val="0"/>
                                                  <w:marBottom w:val="0"/>
                                                  <w:divBdr>
                                                    <w:top w:val="none" w:sz="0" w:space="0" w:color="auto"/>
                                                    <w:left w:val="none" w:sz="0" w:space="0" w:color="auto"/>
                                                    <w:bottom w:val="none" w:sz="0" w:space="0" w:color="auto"/>
                                                    <w:right w:val="none" w:sz="0" w:space="0" w:color="auto"/>
                                                  </w:divBdr>
                                                  <w:divsChild>
                                                    <w:div w:id="1003512221">
                                                      <w:marLeft w:val="4"/>
                                                      <w:marRight w:val="0"/>
                                                      <w:marTop w:val="0"/>
                                                      <w:marBottom w:val="0"/>
                                                      <w:divBdr>
                                                        <w:top w:val="none" w:sz="0" w:space="0" w:color="auto"/>
                                                        <w:left w:val="none" w:sz="0" w:space="0" w:color="auto"/>
                                                        <w:bottom w:val="none" w:sz="0" w:space="0" w:color="auto"/>
                                                        <w:right w:val="none" w:sz="0" w:space="0" w:color="auto"/>
                                                      </w:divBdr>
                                                    </w:div>
                                                    <w:div w:id="1788544683">
                                                      <w:marLeft w:val="4"/>
                                                      <w:marRight w:val="0"/>
                                                      <w:marTop w:val="0"/>
                                                      <w:marBottom w:val="0"/>
                                                      <w:divBdr>
                                                        <w:top w:val="none" w:sz="0" w:space="0" w:color="auto"/>
                                                        <w:left w:val="none" w:sz="0" w:space="0" w:color="auto"/>
                                                        <w:bottom w:val="none" w:sz="0" w:space="0" w:color="auto"/>
                                                        <w:right w:val="none" w:sz="0" w:space="0" w:color="auto"/>
                                                      </w:divBdr>
                                                    </w:div>
                                                  </w:divsChild>
                                                </w:div>
                                              </w:divsChild>
                                            </w:div>
                                            <w:div w:id="1433476496">
                                              <w:marLeft w:val="4"/>
                                              <w:marRight w:val="0"/>
                                              <w:marTop w:val="0"/>
                                              <w:marBottom w:val="0"/>
                                              <w:divBdr>
                                                <w:top w:val="none" w:sz="0" w:space="0" w:color="auto"/>
                                                <w:left w:val="none" w:sz="0" w:space="0" w:color="auto"/>
                                                <w:bottom w:val="none" w:sz="0" w:space="0" w:color="auto"/>
                                                <w:right w:val="none" w:sz="0" w:space="0" w:color="auto"/>
                                              </w:divBdr>
                                            </w:div>
                                          </w:divsChild>
                                        </w:div>
                                        <w:div w:id="1085959558">
                                          <w:marLeft w:val="4"/>
                                          <w:marRight w:val="0"/>
                                          <w:marTop w:val="0"/>
                                          <w:marBottom w:val="0"/>
                                          <w:divBdr>
                                            <w:top w:val="none" w:sz="0" w:space="0" w:color="auto"/>
                                            <w:left w:val="none" w:sz="0" w:space="0" w:color="auto"/>
                                            <w:bottom w:val="none" w:sz="0" w:space="0" w:color="auto"/>
                                            <w:right w:val="none" w:sz="0" w:space="0" w:color="auto"/>
                                          </w:divBdr>
                                        </w:div>
                                        <w:div w:id="1171218228">
                                          <w:marLeft w:val="4"/>
                                          <w:marRight w:val="0"/>
                                          <w:marTop w:val="0"/>
                                          <w:marBottom w:val="0"/>
                                          <w:divBdr>
                                            <w:top w:val="none" w:sz="0" w:space="0" w:color="auto"/>
                                            <w:left w:val="none" w:sz="0" w:space="0" w:color="auto"/>
                                            <w:bottom w:val="none" w:sz="0" w:space="0" w:color="auto"/>
                                            <w:right w:val="none" w:sz="0" w:space="0" w:color="auto"/>
                                          </w:divBdr>
                                        </w:div>
                                        <w:div w:id="1965698423">
                                          <w:marLeft w:val="4"/>
                                          <w:marRight w:val="0"/>
                                          <w:marTop w:val="0"/>
                                          <w:marBottom w:val="0"/>
                                          <w:divBdr>
                                            <w:top w:val="none" w:sz="0" w:space="0" w:color="auto"/>
                                            <w:left w:val="none" w:sz="0" w:space="0" w:color="auto"/>
                                            <w:bottom w:val="none" w:sz="0" w:space="0" w:color="auto"/>
                                            <w:right w:val="none" w:sz="0" w:space="0" w:color="auto"/>
                                          </w:divBdr>
                                        </w:div>
                                        <w:div w:id="2082562757">
                                          <w:marLeft w:val="4"/>
                                          <w:marRight w:val="0"/>
                                          <w:marTop w:val="0"/>
                                          <w:marBottom w:val="0"/>
                                          <w:divBdr>
                                            <w:top w:val="none" w:sz="0" w:space="0" w:color="auto"/>
                                            <w:left w:val="none" w:sz="0" w:space="0" w:color="auto"/>
                                            <w:bottom w:val="none" w:sz="0" w:space="0" w:color="auto"/>
                                            <w:right w:val="none" w:sz="0" w:space="0" w:color="auto"/>
                                          </w:divBdr>
                                          <w:divsChild>
                                            <w:div w:id="587351855">
                                              <w:marLeft w:val="4"/>
                                              <w:marRight w:val="0"/>
                                              <w:marTop w:val="0"/>
                                              <w:marBottom w:val="0"/>
                                              <w:divBdr>
                                                <w:top w:val="none" w:sz="0" w:space="0" w:color="auto"/>
                                                <w:left w:val="none" w:sz="0" w:space="0" w:color="auto"/>
                                                <w:bottom w:val="none" w:sz="0" w:space="0" w:color="auto"/>
                                                <w:right w:val="none" w:sz="0" w:space="0" w:color="auto"/>
                                              </w:divBdr>
                                            </w:div>
                                            <w:div w:id="601647372">
                                              <w:marLeft w:val="4"/>
                                              <w:marRight w:val="0"/>
                                              <w:marTop w:val="0"/>
                                              <w:marBottom w:val="0"/>
                                              <w:divBdr>
                                                <w:top w:val="none" w:sz="0" w:space="0" w:color="auto"/>
                                                <w:left w:val="none" w:sz="0" w:space="0" w:color="auto"/>
                                                <w:bottom w:val="none" w:sz="0" w:space="0" w:color="auto"/>
                                                <w:right w:val="none" w:sz="0" w:space="0" w:color="auto"/>
                                              </w:divBdr>
                                            </w:div>
                                            <w:div w:id="1064983239">
                                              <w:marLeft w:val="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3073466">
      <w:bodyDiv w:val="1"/>
      <w:marLeft w:val="0"/>
      <w:marRight w:val="0"/>
      <w:marTop w:val="0"/>
      <w:marBottom w:val="0"/>
      <w:divBdr>
        <w:top w:val="none" w:sz="0" w:space="0" w:color="auto"/>
        <w:left w:val="none" w:sz="0" w:space="0" w:color="auto"/>
        <w:bottom w:val="none" w:sz="0" w:space="0" w:color="auto"/>
        <w:right w:val="none" w:sz="0" w:space="0" w:color="auto"/>
      </w:divBdr>
    </w:div>
    <w:div w:id="512258051">
      <w:bodyDiv w:val="1"/>
      <w:marLeft w:val="0"/>
      <w:marRight w:val="0"/>
      <w:marTop w:val="0"/>
      <w:marBottom w:val="0"/>
      <w:divBdr>
        <w:top w:val="none" w:sz="0" w:space="0" w:color="auto"/>
        <w:left w:val="none" w:sz="0" w:space="0" w:color="auto"/>
        <w:bottom w:val="none" w:sz="0" w:space="0" w:color="auto"/>
        <w:right w:val="none" w:sz="0" w:space="0" w:color="auto"/>
      </w:divBdr>
    </w:div>
    <w:div w:id="543178916">
      <w:bodyDiv w:val="1"/>
      <w:marLeft w:val="0"/>
      <w:marRight w:val="0"/>
      <w:marTop w:val="0"/>
      <w:marBottom w:val="0"/>
      <w:divBdr>
        <w:top w:val="none" w:sz="0" w:space="0" w:color="auto"/>
        <w:left w:val="none" w:sz="0" w:space="0" w:color="auto"/>
        <w:bottom w:val="none" w:sz="0" w:space="0" w:color="auto"/>
        <w:right w:val="none" w:sz="0" w:space="0" w:color="auto"/>
      </w:divBdr>
    </w:div>
    <w:div w:id="688414701">
      <w:bodyDiv w:val="1"/>
      <w:marLeft w:val="0"/>
      <w:marRight w:val="0"/>
      <w:marTop w:val="0"/>
      <w:marBottom w:val="0"/>
      <w:divBdr>
        <w:top w:val="none" w:sz="0" w:space="0" w:color="auto"/>
        <w:left w:val="none" w:sz="0" w:space="0" w:color="auto"/>
        <w:bottom w:val="none" w:sz="0" w:space="0" w:color="auto"/>
        <w:right w:val="none" w:sz="0" w:space="0" w:color="auto"/>
      </w:divBdr>
    </w:div>
    <w:div w:id="1481657267">
      <w:bodyDiv w:val="1"/>
      <w:marLeft w:val="0"/>
      <w:marRight w:val="0"/>
      <w:marTop w:val="0"/>
      <w:marBottom w:val="0"/>
      <w:divBdr>
        <w:top w:val="none" w:sz="0" w:space="0" w:color="auto"/>
        <w:left w:val="none" w:sz="0" w:space="0" w:color="auto"/>
        <w:bottom w:val="none" w:sz="0" w:space="0" w:color="auto"/>
        <w:right w:val="none" w:sz="0" w:space="0" w:color="auto"/>
      </w:divBdr>
    </w:div>
    <w:div w:id="1520050200">
      <w:bodyDiv w:val="1"/>
      <w:marLeft w:val="0"/>
      <w:marRight w:val="0"/>
      <w:marTop w:val="0"/>
      <w:marBottom w:val="0"/>
      <w:divBdr>
        <w:top w:val="none" w:sz="0" w:space="0" w:color="auto"/>
        <w:left w:val="none" w:sz="0" w:space="0" w:color="auto"/>
        <w:bottom w:val="none" w:sz="0" w:space="0" w:color="auto"/>
        <w:right w:val="none" w:sz="0" w:space="0" w:color="auto"/>
      </w:divBdr>
      <w:divsChild>
        <w:div w:id="87701407">
          <w:marLeft w:val="0"/>
          <w:marRight w:val="0"/>
          <w:marTop w:val="0"/>
          <w:marBottom w:val="0"/>
          <w:divBdr>
            <w:top w:val="none" w:sz="0" w:space="0" w:color="auto"/>
            <w:left w:val="none" w:sz="0" w:space="0" w:color="auto"/>
            <w:bottom w:val="none" w:sz="0" w:space="0" w:color="auto"/>
            <w:right w:val="none" w:sz="0" w:space="0" w:color="auto"/>
          </w:divBdr>
          <w:divsChild>
            <w:div w:id="69472831">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 w:id="1707834379">
      <w:bodyDiv w:val="1"/>
      <w:marLeft w:val="0"/>
      <w:marRight w:val="0"/>
      <w:marTop w:val="0"/>
      <w:marBottom w:val="0"/>
      <w:divBdr>
        <w:top w:val="none" w:sz="0" w:space="0" w:color="auto"/>
        <w:left w:val="none" w:sz="0" w:space="0" w:color="auto"/>
        <w:bottom w:val="none" w:sz="0" w:space="0" w:color="auto"/>
        <w:right w:val="none" w:sz="0" w:space="0" w:color="auto"/>
      </w:divBdr>
    </w:div>
    <w:div w:id="1771974965">
      <w:bodyDiv w:val="1"/>
      <w:marLeft w:val="0"/>
      <w:marRight w:val="0"/>
      <w:marTop w:val="0"/>
      <w:marBottom w:val="0"/>
      <w:divBdr>
        <w:top w:val="none" w:sz="0" w:space="0" w:color="auto"/>
        <w:left w:val="none" w:sz="0" w:space="0" w:color="auto"/>
        <w:bottom w:val="none" w:sz="0" w:space="0" w:color="auto"/>
        <w:right w:val="none" w:sz="0" w:space="0" w:color="auto"/>
      </w:divBdr>
    </w:div>
    <w:div w:id="1973100303">
      <w:bodyDiv w:val="1"/>
      <w:marLeft w:val="0"/>
      <w:marRight w:val="0"/>
      <w:marTop w:val="0"/>
      <w:marBottom w:val="0"/>
      <w:divBdr>
        <w:top w:val="none" w:sz="0" w:space="0" w:color="auto"/>
        <w:left w:val="none" w:sz="0" w:space="0" w:color="auto"/>
        <w:bottom w:val="none" w:sz="0" w:space="0" w:color="auto"/>
        <w:right w:val="none" w:sz="0" w:space="0" w:color="auto"/>
      </w:divBdr>
    </w:div>
    <w:div w:id="1989632552">
      <w:bodyDiv w:val="1"/>
      <w:marLeft w:val="0"/>
      <w:marRight w:val="0"/>
      <w:marTop w:val="0"/>
      <w:marBottom w:val="0"/>
      <w:divBdr>
        <w:top w:val="none" w:sz="0" w:space="0" w:color="auto"/>
        <w:left w:val="none" w:sz="0" w:space="0" w:color="auto"/>
        <w:bottom w:val="none" w:sz="0" w:space="0" w:color="auto"/>
        <w:right w:val="none" w:sz="0" w:space="0" w:color="auto"/>
      </w:divBdr>
    </w:div>
    <w:div w:id="200265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14437-7510-4920-A236-0EF0CC478B8A}">
  <ds:schemaRefs>
    <ds:schemaRef ds:uri="http://schemas.openxmlformats.org/officeDocument/2006/bibliography"/>
  </ds:schemaRefs>
</ds:datastoreItem>
</file>

<file path=customXml/itemProps2.xml><?xml version="1.0" encoding="utf-8"?>
<ds:datastoreItem xmlns:ds="http://schemas.openxmlformats.org/officeDocument/2006/customXml" ds:itemID="{401E30CD-C67D-41FB-8A33-BAD56B08C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2816</Words>
  <Characters>15900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18679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AKENNEDY</dc:creator>
  <cp:lastModifiedBy>herman.dogan</cp:lastModifiedBy>
  <cp:revision>2</cp:revision>
  <cp:lastPrinted>2012-08-09T19:45:00Z</cp:lastPrinted>
  <dcterms:created xsi:type="dcterms:W3CDTF">2013-08-23T19:12:00Z</dcterms:created>
  <dcterms:modified xsi:type="dcterms:W3CDTF">2013-08-23T19:12:00Z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