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7BC" w:rsidRPr="00FF689E" w:rsidRDefault="007817BC" w:rsidP="007817BC">
      <w:pPr>
        <w:jc w:val="center"/>
        <w:rPr>
          <w:rFonts w:ascii="Times New Roman" w:hAnsi="Times New Roman"/>
          <w:b/>
        </w:rPr>
      </w:pPr>
      <w:r w:rsidRPr="00FF689E">
        <w:rPr>
          <w:rFonts w:ascii="Times New Roman" w:hAnsi="Times New Roman"/>
          <w:b/>
        </w:rPr>
        <w:t>Justification for Non-material Change</w:t>
      </w:r>
    </w:p>
    <w:p w:rsidR="007817BC" w:rsidRDefault="00D51D6B" w:rsidP="007817BC">
      <w:pPr>
        <w:jc w:val="center"/>
        <w:rPr>
          <w:rFonts w:ascii="Times New Roman" w:hAnsi="Times New Roman"/>
        </w:rPr>
      </w:pPr>
      <w:r>
        <w:rPr>
          <w:rFonts w:ascii="Times New Roman" w:hAnsi="Times New Roman"/>
          <w:b/>
        </w:rPr>
        <w:t>ICR 2205.14</w:t>
      </w:r>
      <w:r w:rsidR="007817BC" w:rsidRPr="00FF689E">
        <w:rPr>
          <w:rFonts w:ascii="Times New Roman" w:hAnsi="Times New Roman"/>
          <w:b/>
        </w:rPr>
        <w:t>, OMB 2090-0028</w:t>
      </w:r>
    </w:p>
    <w:p w:rsidR="007817BC" w:rsidRDefault="007817BC" w:rsidP="002A636A">
      <w:pPr>
        <w:rPr>
          <w:rFonts w:ascii="Times New Roman" w:hAnsi="Times New Roman"/>
        </w:rPr>
      </w:pPr>
    </w:p>
    <w:p w:rsidR="008C7412" w:rsidRDefault="007817BC" w:rsidP="00875548">
      <w:pPr>
        <w:rPr>
          <w:rFonts w:ascii="Times New Roman" w:hAnsi="Times New Roman"/>
        </w:rPr>
      </w:pPr>
      <w:r>
        <w:rPr>
          <w:rFonts w:ascii="Times New Roman" w:hAnsi="Times New Roman"/>
        </w:rPr>
        <w:t xml:space="preserve">The previous renewal for this generic ICR requested a total burden of </w:t>
      </w:r>
      <w:r w:rsidR="00FF689E">
        <w:rPr>
          <w:rFonts w:ascii="Times New Roman" w:hAnsi="Times New Roman"/>
        </w:rPr>
        <w:t>4,078</w:t>
      </w:r>
      <w:r w:rsidRPr="007817BC">
        <w:rPr>
          <w:rFonts w:ascii="Times New Roman" w:hAnsi="Times New Roman"/>
        </w:rPr>
        <w:t xml:space="preserve"> </w:t>
      </w:r>
      <w:r>
        <w:rPr>
          <w:rFonts w:ascii="Times New Roman" w:hAnsi="Times New Roman"/>
        </w:rPr>
        <w:t xml:space="preserve">hours </w:t>
      </w:r>
      <w:r w:rsidRPr="007817BC">
        <w:rPr>
          <w:rFonts w:ascii="Times New Roman" w:hAnsi="Times New Roman"/>
        </w:rPr>
        <w:t xml:space="preserve">over the </w:t>
      </w:r>
      <w:r>
        <w:rPr>
          <w:rFonts w:ascii="Times New Roman" w:hAnsi="Times New Roman"/>
        </w:rPr>
        <w:t xml:space="preserve">three-year approval period in the supporting statement, however EPA erred when entering the data in the ROCIS system, requesting only </w:t>
      </w:r>
      <w:r w:rsidR="00875548">
        <w:rPr>
          <w:rFonts w:ascii="Times New Roman" w:hAnsi="Times New Roman"/>
        </w:rPr>
        <w:t xml:space="preserve">the annualized burden of </w:t>
      </w:r>
      <w:r w:rsidR="00FF689E">
        <w:rPr>
          <w:rFonts w:ascii="Times New Roman" w:hAnsi="Times New Roman"/>
        </w:rPr>
        <w:t>1,359</w:t>
      </w:r>
      <w:r>
        <w:rPr>
          <w:rFonts w:ascii="Times New Roman" w:hAnsi="Times New Roman"/>
        </w:rPr>
        <w:t xml:space="preserve"> hours</w:t>
      </w:r>
      <w:r w:rsidR="00875548">
        <w:rPr>
          <w:rFonts w:ascii="Times New Roman" w:hAnsi="Times New Roman"/>
        </w:rPr>
        <w:t xml:space="preserve"> (</w:t>
      </w:r>
      <w:r>
        <w:rPr>
          <w:rFonts w:ascii="Times New Roman" w:hAnsi="Times New Roman"/>
        </w:rPr>
        <w:t>as is done with non-generic ICRs</w:t>
      </w:r>
      <w:r w:rsidR="00875548">
        <w:rPr>
          <w:rFonts w:ascii="Times New Roman" w:hAnsi="Times New Roman"/>
        </w:rPr>
        <w:t>)</w:t>
      </w:r>
      <w:r>
        <w:rPr>
          <w:rFonts w:ascii="Times New Roman" w:hAnsi="Times New Roman"/>
        </w:rPr>
        <w:t>. Since generic ICRs approve burden based on three years</w:t>
      </w:r>
      <w:r w:rsidR="00875548">
        <w:rPr>
          <w:rFonts w:ascii="Times New Roman" w:hAnsi="Times New Roman"/>
        </w:rPr>
        <w:t>, EPA requests that the approved burden in ROCIS be corrected to reflect what was contained</w:t>
      </w:r>
      <w:r w:rsidR="00D51D6B">
        <w:rPr>
          <w:rFonts w:ascii="Times New Roman" w:hAnsi="Times New Roman"/>
        </w:rPr>
        <w:t xml:space="preserve"> in</w:t>
      </w:r>
      <w:r w:rsidR="00875548">
        <w:rPr>
          <w:rFonts w:ascii="Times New Roman" w:hAnsi="Times New Roman"/>
        </w:rPr>
        <w:t xml:space="preserve"> the original ICR.</w:t>
      </w:r>
      <w:r w:rsidR="00FF689E">
        <w:rPr>
          <w:rFonts w:ascii="Times New Roman" w:hAnsi="Times New Roman"/>
        </w:rPr>
        <w:t xml:space="preserve"> The relevant burden tables from that ICR supporting statement are copied below:</w:t>
      </w:r>
    </w:p>
    <w:p w:rsidR="00FF689E" w:rsidRDefault="00FF689E" w:rsidP="00875548">
      <w:pPr>
        <w:rPr>
          <w:rFonts w:ascii="Times New Roman" w:hAnsi="Times New Roman"/>
        </w:rPr>
      </w:pPr>
    </w:p>
    <w:p w:rsidR="00FF689E" w:rsidRDefault="00FF689E" w:rsidP="00875548">
      <w:pPr>
        <w:rPr>
          <w:rFonts w:ascii="Times New Roman" w:hAnsi="Times New Roman"/>
        </w:rPr>
      </w:pPr>
      <w:r>
        <w:rPr>
          <w:rFonts w:ascii="Times New Roman" w:hAnsi="Times New Roman"/>
        </w:rPr>
        <w:t>(from page 5)</w:t>
      </w:r>
    </w:p>
    <w:p w:rsidR="00FF689E" w:rsidRDefault="00FF689E" w:rsidP="00875548">
      <w:pPr>
        <w:rPr>
          <w:rFonts w:ascii="Times New Roman" w:hAnsi="Times New Roman"/>
        </w:rPr>
      </w:pPr>
    </w:p>
    <w:p w:rsidR="00FF689E" w:rsidRPr="006C531F" w:rsidRDefault="00FF689E" w:rsidP="00FF689E">
      <w:pPr>
        <w:pStyle w:val="BodyTextIndent"/>
        <w:ind w:left="0"/>
        <w:rPr>
          <w:rFonts w:cs="Tahoma"/>
          <w:b/>
        </w:rPr>
      </w:pPr>
      <w:r w:rsidRPr="006C531F">
        <w:rPr>
          <w:rFonts w:cs="Tahoma"/>
          <w:b/>
        </w:rPr>
        <w:t>6(b)</w:t>
      </w:r>
      <w:r w:rsidRPr="006C531F">
        <w:rPr>
          <w:rFonts w:cs="Tahoma"/>
          <w:b/>
        </w:rPr>
        <w:tab/>
        <w:t>Estimating Respondent Costs</w:t>
      </w:r>
    </w:p>
    <w:p w:rsidR="00FF689E" w:rsidRDefault="00FF689E" w:rsidP="00FF689E">
      <w:pPr>
        <w:pStyle w:val="BodyTextIndent"/>
        <w:ind w:left="0"/>
        <w:rPr>
          <w:rFonts w:cs="Tahoma"/>
        </w:rPr>
      </w:pPr>
    </w:p>
    <w:p w:rsidR="00FF689E" w:rsidRDefault="00FF689E" w:rsidP="00FF689E">
      <w:pPr>
        <w:pStyle w:val="BodyTextIndent"/>
        <w:ind w:left="720"/>
      </w:pPr>
      <w:r>
        <w:rPr>
          <w:snapToGrid w:val="0"/>
        </w:rPr>
        <w:t xml:space="preserve">Estimates of respondent burden were derived from projected focus group usage over the next three years.  Each program office was asked for the number and size of the focus groups that they anticipate conducting for economics projects over the next three years.  </w:t>
      </w:r>
      <w:r>
        <w:t>The total estimated hourly burden imposed by this collection of information over the next three years for focus groups is approximately  4,078 hours or approximately 1,359 hours annually. The total burden per year is valued at approximately $41,394.  There are no capital costs or operating and maintenance costs associated with this collection.</w:t>
      </w:r>
    </w:p>
    <w:p w:rsidR="00FF689E" w:rsidRDefault="00FF689E" w:rsidP="00875548">
      <w:pPr>
        <w:rPr>
          <w:rFonts w:ascii="Times New Roman" w:hAnsi="Times New Roman"/>
        </w:rPr>
      </w:pPr>
    </w:p>
    <w:p w:rsidR="00FF689E" w:rsidRPr="00AE7F54" w:rsidRDefault="00FF689E" w:rsidP="00FF689E">
      <w:pPr>
        <w:pStyle w:val="BodyTextIndent"/>
        <w:jc w:val="center"/>
        <w:rPr>
          <w:b/>
        </w:rPr>
      </w:pPr>
      <w:r>
        <w:t xml:space="preserve">TABLE 1a. – </w:t>
      </w:r>
      <w:r>
        <w:rPr>
          <w:b/>
        </w:rPr>
        <w:t>Estimated</w:t>
      </w:r>
      <w:r w:rsidRPr="009A632E">
        <w:rPr>
          <w:b/>
        </w:rPr>
        <w:t xml:space="preserve"> Respondent Burden and Costs</w:t>
      </w:r>
      <w:r w:rsidRPr="009A632E">
        <w:rPr>
          <w:sz w:val="16"/>
          <w:szCs w:val="16"/>
          <w:vertAlign w:val="superscript"/>
        </w:rPr>
        <w:t>1</w:t>
      </w:r>
    </w:p>
    <w:p w:rsidR="00FF689E" w:rsidRPr="00AE7F54" w:rsidRDefault="00FF689E" w:rsidP="00FF689E">
      <w:pPr>
        <w:pStyle w:val="BodyTextIndent"/>
        <w:jc w:val="center"/>
        <w:rPr>
          <w:b/>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890"/>
        <w:gridCol w:w="1170"/>
        <w:gridCol w:w="1260"/>
        <w:gridCol w:w="1170"/>
        <w:gridCol w:w="1080"/>
        <w:gridCol w:w="1170"/>
        <w:gridCol w:w="1170"/>
      </w:tblGrid>
      <w:tr w:rsidR="00FF689E" w:rsidTr="00EB6C24">
        <w:tc>
          <w:tcPr>
            <w:tcW w:w="1188"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Center</w:t>
            </w:r>
          </w:p>
        </w:tc>
        <w:tc>
          <w:tcPr>
            <w:tcW w:w="189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Subject</w:t>
            </w:r>
          </w:p>
        </w:tc>
        <w:tc>
          <w:tcPr>
            <w:tcW w:w="117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Approximate Number of Studies</w:t>
            </w:r>
          </w:p>
        </w:tc>
        <w:tc>
          <w:tcPr>
            <w:tcW w:w="126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Average Number  of Focus Groups per Study</w:t>
            </w:r>
          </w:p>
          <w:p w:rsidR="00FF689E" w:rsidRDefault="00FF689E" w:rsidP="00EB6C24">
            <w:pPr>
              <w:pStyle w:val="BodyTextIndent"/>
              <w:ind w:left="0"/>
              <w:jc w:val="center"/>
              <w:rPr>
                <w:sz w:val="16"/>
              </w:rPr>
            </w:pPr>
          </w:p>
        </w:tc>
        <w:tc>
          <w:tcPr>
            <w:tcW w:w="117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Average Number of Participants per Group</w:t>
            </w:r>
          </w:p>
        </w:tc>
        <w:tc>
          <w:tcPr>
            <w:tcW w:w="108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Average Hours of Duration for Each Group (includes screening)</w:t>
            </w:r>
          </w:p>
          <w:p w:rsidR="00FF689E" w:rsidRDefault="00FF689E" w:rsidP="00EB6C24">
            <w:pPr>
              <w:pStyle w:val="BodyTextIndent"/>
              <w:ind w:left="0"/>
              <w:jc w:val="center"/>
              <w:rPr>
                <w:sz w:val="16"/>
              </w:rPr>
            </w:pPr>
          </w:p>
        </w:tc>
        <w:tc>
          <w:tcPr>
            <w:tcW w:w="117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 xml:space="preserve">Total Estimated “Respondent” Hours </w:t>
            </w:r>
          </w:p>
          <w:p w:rsidR="00FF689E" w:rsidRDefault="00FF689E" w:rsidP="00EB6C24">
            <w:pPr>
              <w:pStyle w:val="BodyTextIndent"/>
              <w:ind w:left="0"/>
              <w:jc w:val="center"/>
              <w:rPr>
                <w:sz w:val="16"/>
              </w:rPr>
            </w:pPr>
            <w:r>
              <w:rPr>
                <w:sz w:val="16"/>
              </w:rPr>
              <w:t>Over next 3 years</w:t>
            </w:r>
          </w:p>
          <w:p w:rsidR="00FF689E" w:rsidRDefault="00FF689E" w:rsidP="00EB6C24">
            <w:pPr>
              <w:pStyle w:val="BodyTextIndent"/>
              <w:ind w:left="0"/>
              <w:jc w:val="center"/>
              <w:rPr>
                <w:sz w:val="16"/>
              </w:rPr>
            </w:pPr>
          </w:p>
        </w:tc>
        <w:tc>
          <w:tcPr>
            <w:tcW w:w="117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Total Estimated</w:t>
            </w:r>
          </w:p>
          <w:p w:rsidR="00FF689E" w:rsidRDefault="00FF689E" w:rsidP="00EB6C24">
            <w:pPr>
              <w:pStyle w:val="BodyTextIndent"/>
              <w:ind w:left="0"/>
              <w:jc w:val="center"/>
              <w:rPr>
                <w:sz w:val="16"/>
              </w:rPr>
            </w:pPr>
            <w:r>
              <w:rPr>
                <w:sz w:val="16"/>
              </w:rPr>
              <w:t>Burden per Year ($)</w:t>
            </w:r>
          </w:p>
        </w:tc>
      </w:tr>
      <w:tr w:rsidR="00FF689E" w:rsidTr="00EB6C24">
        <w:tc>
          <w:tcPr>
            <w:tcW w:w="1188" w:type="dxa"/>
          </w:tcPr>
          <w:p w:rsidR="00FF689E" w:rsidRDefault="00FF689E" w:rsidP="00EB6C24">
            <w:pPr>
              <w:pStyle w:val="BodyTextIndent"/>
              <w:ind w:left="0"/>
              <w:rPr>
                <w:sz w:val="16"/>
              </w:rPr>
            </w:pPr>
          </w:p>
          <w:p w:rsidR="00FF689E" w:rsidRDefault="00FF689E" w:rsidP="00EB6C24">
            <w:pPr>
              <w:pStyle w:val="BodyTextIndent"/>
              <w:ind w:left="0"/>
              <w:rPr>
                <w:sz w:val="16"/>
              </w:rPr>
            </w:pPr>
            <w:r>
              <w:rPr>
                <w:sz w:val="16"/>
              </w:rPr>
              <w:t xml:space="preserve">Office of Policy, </w:t>
            </w:r>
          </w:p>
        </w:tc>
        <w:tc>
          <w:tcPr>
            <w:tcW w:w="1890" w:type="dxa"/>
          </w:tcPr>
          <w:p w:rsidR="00FF689E" w:rsidRDefault="00FF689E" w:rsidP="00EB6C24">
            <w:pPr>
              <w:pStyle w:val="BodyTextIndent"/>
              <w:ind w:left="0"/>
              <w:rPr>
                <w:sz w:val="16"/>
              </w:rPr>
            </w:pPr>
          </w:p>
          <w:p w:rsidR="00FF689E" w:rsidRDefault="00FF689E" w:rsidP="00EB6C24">
            <w:pPr>
              <w:pStyle w:val="BodyTextIndent"/>
              <w:ind w:left="0"/>
              <w:rPr>
                <w:sz w:val="16"/>
              </w:rPr>
            </w:pPr>
            <w:r>
              <w:rPr>
                <w:sz w:val="16"/>
              </w:rPr>
              <w:t>Various (e.g, water valuation, children’s health valuation, health risk valuation, stream scouring, altruism, energy efficiency )</w:t>
            </w:r>
          </w:p>
        </w:tc>
        <w:tc>
          <w:tcPr>
            <w:tcW w:w="117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8</w:t>
            </w:r>
          </w:p>
        </w:tc>
        <w:tc>
          <w:tcPr>
            <w:tcW w:w="126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11.25</w:t>
            </w:r>
          </w:p>
        </w:tc>
        <w:tc>
          <w:tcPr>
            <w:tcW w:w="117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9.5</w:t>
            </w:r>
          </w:p>
        </w:tc>
        <w:tc>
          <w:tcPr>
            <w:tcW w:w="108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2.0</w:t>
            </w:r>
          </w:p>
        </w:tc>
        <w:tc>
          <w:tcPr>
            <w:tcW w:w="117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1,710</w:t>
            </w:r>
          </w:p>
        </w:tc>
        <w:tc>
          <w:tcPr>
            <w:tcW w:w="117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$17,356</w:t>
            </w:r>
          </w:p>
        </w:tc>
      </w:tr>
      <w:tr w:rsidR="00FF689E" w:rsidTr="00EB6C24">
        <w:tc>
          <w:tcPr>
            <w:tcW w:w="1188" w:type="dxa"/>
          </w:tcPr>
          <w:p w:rsidR="00FF689E" w:rsidRDefault="00FF689E" w:rsidP="00EB6C24">
            <w:pPr>
              <w:pStyle w:val="BodyTextIndent"/>
              <w:ind w:left="0"/>
              <w:rPr>
                <w:sz w:val="16"/>
              </w:rPr>
            </w:pPr>
          </w:p>
          <w:p w:rsidR="00FF689E" w:rsidRDefault="00FF689E" w:rsidP="00EB6C24">
            <w:pPr>
              <w:pStyle w:val="BodyTextIndent"/>
              <w:ind w:left="0"/>
              <w:rPr>
                <w:sz w:val="16"/>
              </w:rPr>
            </w:pPr>
            <w:r>
              <w:rPr>
                <w:sz w:val="16"/>
              </w:rPr>
              <w:t>Office of Research and Development</w:t>
            </w:r>
          </w:p>
        </w:tc>
        <w:tc>
          <w:tcPr>
            <w:tcW w:w="1890" w:type="dxa"/>
          </w:tcPr>
          <w:p w:rsidR="00FF689E" w:rsidRDefault="00FF689E" w:rsidP="00EB6C24">
            <w:pPr>
              <w:pStyle w:val="BodyTextIndent"/>
              <w:ind w:left="0"/>
              <w:rPr>
                <w:sz w:val="16"/>
              </w:rPr>
            </w:pPr>
          </w:p>
          <w:p w:rsidR="00FF689E" w:rsidRDefault="00FF689E" w:rsidP="00EB6C24">
            <w:pPr>
              <w:pStyle w:val="BodyTextIndent"/>
              <w:ind w:left="0"/>
              <w:rPr>
                <w:sz w:val="16"/>
              </w:rPr>
            </w:pPr>
            <w:r>
              <w:rPr>
                <w:sz w:val="16"/>
              </w:rPr>
              <w:t>Various (e.g.,water quality valuation, ecosystem services valuation, sustainable communities)</w:t>
            </w:r>
          </w:p>
        </w:tc>
        <w:tc>
          <w:tcPr>
            <w:tcW w:w="117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13</w:t>
            </w:r>
          </w:p>
        </w:tc>
        <w:tc>
          <w:tcPr>
            <w:tcW w:w="126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9.5</w:t>
            </w:r>
          </w:p>
        </w:tc>
        <w:tc>
          <w:tcPr>
            <w:tcW w:w="117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8</w:t>
            </w:r>
          </w:p>
        </w:tc>
        <w:tc>
          <w:tcPr>
            <w:tcW w:w="108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1.9</w:t>
            </w:r>
          </w:p>
        </w:tc>
        <w:tc>
          <w:tcPr>
            <w:tcW w:w="1170" w:type="dxa"/>
          </w:tcPr>
          <w:p w:rsidR="00FF689E" w:rsidRDefault="00FF689E" w:rsidP="00EB6C24">
            <w:pPr>
              <w:pStyle w:val="BodyTextIndent"/>
              <w:ind w:left="0"/>
              <w:jc w:val="center"/>
              <w:rPr>
                <w:sz w:val="16"/>
              </w:rPr>
            </w:pPr>
          </w:p>
          <w:p w:rsidR="00FF689E" w:rsidRDefault="00FF689E" w:rsidP="00EB6C24">
            <w:pPr>
              <w:pStyle w:val="BodyTextIndent"/>
              <w:ind w:left="0"/>
              <w:rPr>
                <w:sz w:val="16"/>
              </w:rPr>
            </w:pPr>
            <w:r>
              <w:rPr>
                <w:sz w:val="16"/>
              </w:rPr>
              <w:t>1877</w:t>
            </w:r>
          </w:p>
        </w:tc>
        <w:tc>
          <w:tcPr>
            <w:tcW w:w="117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$19,052</w:t>
            </w:r>
          </w:p>
        </w:tc>
      </w:tr>
      <w:tr w:rsidR="00FF689E" w:rsidTr="00EB6C24">
        <w:tc>
          <w:tcPr>
            <w:tcW w:w="1188" w:type="dxa"/>
          </w:tcPr>
          <w:p w:rsidR="00FF689E" w:rsidRDefault="00FF689E" w:rsidP="00EB6C24">
            <w:pPr>
              <w:pStyle w:val="BodyTextIndent"/>
              <w:ind w:left="0"/>
              <w:rPr>
                <w:sz w:val="16"/>
              </w:rPr>
            </w:pPr>
          </w:p>
          <w:p w:rsidR="00FF689E" w:rsidRDefault="00FF689E" w:rsidP="00EB6C24">
            <w:pPr>
              <w:pStyle w:val="BodyTextIndent"/>
              <w:ind w:left="0"/>
              <w:rPr>
                <w:sz w:val="16"/>
              </w:rPr>
            </w:pPr>
            <w:r>
              <w:rPr>
                <w:sz w:val="16"/>
              </w:rPr>
              <w:t>Office of Air</w:t>
            </w:r>
          </w:p>
        </w:tc>
        <w:tc>
          <w:tcPr>
            <w:tcW w:w="1890" w:type="dxa"/>
          </w:tcPr>
          <w:p w:rsidR="00FF689E" w:rsidRDefault="00FF689E" w:rsidP="00EB6C24">
            <w:pPr>
              <w:pStyle w:val="BodyTextIndent"/>
              <w:ind w:left="0"/>
              <w:rPr>
                <w:sz w:val="16"/>
              </w:rPr>
            </w:pPr>
          </w:p>
          <w:p w:rsidR="00FF689E" w:rsidRDefault="00FF689E" w:rsidP="00EB6C24">
            <w:pPr>
              <w:pStyle w:val="BodyTextIndent"/>
              <w:ind w:left="0"/>
              <w:rPr>
                <w:sz w:val="16"/>
              </w:rPr>
            </w:pPr>
            <w:r>
              <w:rPr>
                <w:sz w:val="16"/>
              </w:rPr>
              <w:t>Various (e.g.,urban visibility, fuel economy, perceptions of new technology))</w:t>
            </w:r>
          </w:p>
          <w:p w:rsidR="00FF689E" w:rsidRDefault="00FF689E" w:rsidP="00EB6C24">
            <w:pPr>
              <w:pStyle w:val="BodyTextIndent"/>
              <w:ind w:left="0"/>
              <w:rPr>
                <w:sz w:val="16"/>
              </w:rPr>
            </w:pPr>
          </w:p>
        </w:tc>
        <w:tc>
          <w:tcPr>
            <w:tcW w:w="117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3</w:t>
            </w:r>
          </w:p>
        </w:tc>
        <w:tc>
          <w:tcPr>
            <w:tcW w:w="126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8</w:t>
            </w:r>
          </w:p>
        </w:tc>
        <w:tc>
          <w:tcPr>
            <w:tcW w:w="117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9.3</w:t>
            </w:r>
          </w:p>
        </w:tc>
        <w:tc>
          <w:tcPr>
            <w:tcW w:w="108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2.2</w:t>
            </w:r>
          </w:p>
        </w:tc>
        <w:tc>
          <w:tcPr>
            <w:tcW w:w="1170" w:type="dxa"/>
          </w:tcPr>
          <w:p w:rsidR="00FF689E" w:rsidRDefault="00FF689E" w:rsidP="00EB6C24">
            <w:pPr>
              <w:pStyle w:val="BodyTextIndent"/>
              <w:ind w:left="0"/>
              <w:jc w:val="center"/>
              <w:rPr>
                <w:sz w:val="16"/>
              </w:rPr>
            </w:pPr>
          </w:p>
          <w:p w:rsidR="00FF689E" w:rsidRDefault="00FF689E" w:rsidP="00EB6C24">
            <w:pPr>
              <w:pStyle w:val="BodyTextIndent"/>
              <w:ind w:left="0"/>
              <w:rPr>
                <w:sz w:val="16"/>
              </w:rPr>
            </w:pPr>
            <w:r>
              <w:rPr>
                <w:sz w:val="16"/>
              </w:rPr>
              <w:t>491</w:t>
            </w:r>
          </w:p>
        </w:tc>
        <w:tc>
          <w:tcPr>
            <w:tcW w:w="117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$4984</w:t>
            </w:r>
          </w:p>
        </w:tc>
      </w:tr>
      <w:tr w:rsidR="00FF689E" w:rsidTr="00EB6C24">
        <w:tc>
          <w:tcPr>
            <w:tcW w:w="1188" w:type="dxa"/>
          </w:tcPr>
          <w:p w:rsidR="00FF689E" w:rsidRDefault="00FF689E" w:rsidP="00EB6C24">
            <w:pPr>
              <w:pStyle w:val="BodyTextIndent"/>
              <w:ind w:left="0"/>
              <w:rPr>
                <w:sz w:val="16"/>
              </w:rPr>
            </w:pPr>
          </w:p>
        </w:tc>
        <w:tc>
          <w:tcPr>
            <w:tcW w:w="1890" w:type="dxa"/>
          </w:tcPr>
          <w:p w:rsidR="00FF689E" w:rsidRDefault="00FF689E" w:rsidP="00EB6C24">
            <w:pPr>
              <w:pStyle w:val="BodyTextIndent"/>
              <w:ind w:left="0"/>
              <w:rPr>
                <w:sz w:val="16"/>
              </w:rPr>
            </w:pPr>
          </w:p>
        </w:tc>
        <w:tc>
          <w:tcPr>
            <w:tcW w:w="1170" w:type="dxa"/>
          </w:tcPr>
          <w:p w:rsidR="00FF689E" w:rsidRDefault="00FF689E" w:rsidP="00EB6C24">
            <w:pPr>
              <w:pStyle w:val="BodyTextIndent"/>
              <w:ind w:left="0"/>
              <w:jc w:val="center"/>
              <w:rPr>
                <w:sz w:val="16"/>
              </w:rPr>
            </w:pPr>
          </w:p>
        </w:tc>
        <w:tc>
          <w:tcPr>
            <w:tcW w:w="1260" w:type="dxa"/>
          </w:tcPr>
          <w:p w:rsidR="00FF689E" w:rsidRDefault="00FF689E" w:rsidP="00EB6C24">
            <w:pPr>
              <w:pStyle w:val="BodyTextIndent"/>
              <w:ind w:left="0"/>
              <w:jc w:val="center"/>
              <w:rPr>
                <w:sz w:val="16"/>
              </w:rPr>
            </w:pPr>
          </w:p>
        </w:tc>
        <w:tc>
          <w:tcPr>
            <w:tcW w:w="1170" w:type="dxa"/>
          </w:tcPr>
          <w:p w:rsidR="00FF689E" w:rsidRDefault="00FF689E" w:rsidP="00EB6C24">
            <w:pPr>
              <w:pStyle w:val="BodyTextIndent"/>
              <w:ind w:left="0"/>
              <w:jc w:val="center"/>
              <w:rPr>
                <w:sz w:val="16"/>
              </w:rPr>
            </w:pPr>
          </w:p>
        </w:tc>
        <w:tc>
          <w:tcPr>
            <w:tcW w:w="1080" w:type="dxa"/>
          </w:tcPr>
          <w:p w:rsidR="00FF689E" w:rsidRDefault="00FF689E" w:rsidP="00EB6C24">
            <w:pPr>
              <w:pStyle w:val="BodyTextIndent"/>
              <w:ind w:left="0"/>
              <w:jc w:val="center"/>
              <w:rPr>
                <w:sz w:val="16"/>
              </w:rPr>
            </w:pPr>
          </w:p>
        </w:tc>
        <w:tc>
          <w:tcPr>
            <w:tcW w:w="1170" w:type="dxa"/>
          </w:tcPr>
          <w:p w:rsidR="00FF689E" w:rsidRDefault="00FF689E" w:rsidP="00EB6C24">
            <w:pPr>
              <w:pStyle w:val="BodyTextIndent"/>
              <w:ind w:left="0"/>
              <w:jc w:val="center"/>
              <w:rPr>
                <w:sz w:val="16"/>
              </w:rPr>
            </w:pPr>
          </w:p>
        </w:tc>
        <w:tc>
          <w:tcPr>
            <w:tcW w:w="1170" w:type="dxa"/>
          </w:tcPr>
          <w:p w:rsidR="00FF689E" w:rsidRDefault="00FF689E" w:rsidP="00EB6C24">
            <w:pPr>
              <w:pStyle w:val="BodyTextIndent"/>
              <w:ind w:left="0"/>
              <w:jc w:val="center"/>
              <w:rPr>
                <w:sz w:val="16"/>
              </w:rPr>
            </w:pPr>
          </w:p>
        </w:tc>
      </w:tr>
      <w:tr w:rsidR="00FF689E" w:rsidTr="00EB6C24">
        <w:tc>
          <w:tcPr>
            <w:tcW w:w="1188" w:type="dxa"/>
            <w:tcBorders>
              <w:right w:val="nil"/>
            </w:tcBorders>
          </w:tcPr>
          <w:p w:rsidR="00FF689E" w:rsidRDefault="00FF689E" w:rsidP="00EB6C24">
            <w:pPr>
              <w:pStyle w:val="BodyTextIndent"/>
              <w:ind w:left="0"/>
              <w:rPr>
                <w:sz w:val="16"/>
              </w:rPr>
            </w:pPr>
          </w:p>
          <w:p w:rsidR="00FF689E" w:rsidRDefault="00FF689E" w:rsidP="00EB6C24">
            <w:pPr>
              <w:pStyle w:val="BodyTextIndent"/>
              <w:ind w:left="0"/>
              <w:rPr>
                <w:sz w:val="16"/>
              </w:rPr>
            </w:pPr>
          </w:p>
        </w:tc>
        <w:tc>
          <w:tcPr>
            <w:tcW w:w="1890" w:type="dxa"/>
            <w:tcBorders>
              <w:left w:val="nil"/>
              <w:right w:val="nil"/>
            </w:tcBorders>
          </w:tcPr>
          <w:p w:rsidR="00FF689E" w:rsidRDefault="00FF689E" w:rsidP="00EB6C24">
            <w:pPr>
              <w:pStyle w:val="BodyTextIndent"/>
              <w:ind w:left="0"/>
              <w:rPr>
                <w:sz w:val="16"/>
              </w:rPr>
            </w:pPr>
          </w:p>
          <w:p w:rsidR="00FF689E" w:rsidRDefault="00FF689E" w:rsidP="00EB6C24">
            <w:pPr>
              <w:pStyle w:val="BodyTextIndent"/>
              <w:ind w:left="0"/>
              <w:rPr>
                <w:sz w:val="16"/>
              </w:rPr>
            </w:pPr>
            <w:r>
              <w:rPr>
                <w:sz w:val="16"/>
              </w:rPr>
              <w:t>TOTAL</w:t>
            </w:r>
          </w:p>
        </w:tc>
        <w:tc>
          <w:tcPr>
            <w:tcW w:w="1170" w:type="dxa"/>
            <w:tcBorders>
              <w:left w:val="nil"/>
              <w:right w:val="nil"/>
            </w:tcBorders>
          </w:tcPr>
          <w:p w:rsidR="00FF689E" w:rsidRDefault="00FF689E" w:rsidP="00EB6C24">
            <w:pPr>
              <w:pStyle w:val="BodyTextIndent"/>
              <w:ind w:left="0"/>
              <w:jc w:val="center"/>
              <w:rPr>
                <w:sz w:val="16"/>
              </w:rPr>
            </w:pPr>
          </w:p>
        </w:tc>
        <w:tc>
          <w:tcPr>
            <w:tcW w:w="1260" w:type="dxa"/>
            <w:tcBorders>
              <w:left w:val="nil"/>
              <w:right w:val="nil"/>
            </w:tcBorders>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p>
        </w:tc>
        <w:tc>
          <w:tcPr>
            <w:tcW w:w="1170" w:type="dxa"/>
            <w:tcBorders>
              <w:left w:val="nil"/>
              <w:right w:val="nil"/>
            </w:tcBorders>
          </w:tcPr>
          <w:p w:rsidR="00FF689E" w:rsidRDefault="00FF689E" w:rsidP="00EB6C24">
            <w:pPr>
              <w:pStyle w:val="BodyTextIndent"/>
              <w:ind w:left="0"/>
              <w:jc w:val="center"/>
              <w:rPr>
                <w:sz w:val="16"/>
              </w:rPr>
            </w:pPr>
          </w:p>
        </w:tc>
        <w:tc>
          <w:tcPr>
            <w:tcW w:w="1080" w:type="dxa"/>
            <w:tcBorders>
              <w:left w:val="nil"/>
            </w:tcBorders>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p>
        </w:tc>
        <w:tc>
          <w:tcPr>
            <w:tcW w:w="117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4,078</w:t>
            </w:r>
          </w:p>
          <w:p w:rsidR="00FF689E" w:rsidRDefault="00FF689E" w:rsidP="00EB6C24">
            <w:pPr>
              <w:pStyle w:val="BodyTextIndent"/>
              <w:ind w:left="0"/>
              <w:jc w:val="center"/>
              <w:rPr>
                <w:sz w:val="16"/>
              </w:rPr>
            </w:pPr>
          </w:p>
        </w:tc>
        <w:tc>
          <w:tcPr>
            <w:tcW w:w="1170" w:type="dxa"/>
          </w:tcPr>
          <w:p w:rsidR="00FF689E" w:rsidRDefault="00FF689E" w:rsidP="00EB6C24">
            <w:pPr>
              <w:pStyle w:val="BodyTextIndent"/>
              <w:ind w:left="0"/>
              <w:jc w:val="center"/>
              <w:rPr>
                <w:sz w:val="16"/>
              </w:rPr>
            </w:pPr>
          </w:p>
          <w:p w:rsidR="00FF689E" w:rsidRDefault="00FF689E" w:rsidP="00EB6C24">
            <w:pPr>
              <w:pStyle w:val="BodyTextIndent"/>
              <w:ind w:left="0"/>
              <w:jc w:val="center"/>
              <w:rPr>
                <w:sz w:val="16"/>
              </w:rPr>
            </w:pPr>
            <w:r>
              <w:rPr>
                <w:sz w:val="16"/>
              </w:rPr>
              <w:t>$41,394</w:t>
            </w:r>
          </w:p>
        </w:tc>
      </w:tr>
    </w:tbl>
    <w:p w:rsidR="00FF689E" w:rsidRPr="001A3387" w:rsidRDefault="00FF689E" w:rsidP="00FF689E">
      <w:pPr>
        <w:pStyle w:val="BodyTextIndent"/>
        <w:rPr>
          <w:sz w:val="16"/>
          <w:szCs w:val="16"/>
        </w:rPr>
      </w:pPr>
      <w:r w:rsidRPr="009A632E">
        <w:rPr>
          <w:sz w:val="16"/>
          <w:szCs w:val="16"/>
          <w:vertAlign w:val="superscript"/>
        </w:rPr>
        <w:t>1</w:t>
      </w:r>
      <w:r>
        <w:rPr>
          <w:sz w:val="16"/>
        </w:rPr>
        <w:t xml:space="preserve">  </w:t>
      </w:r>
      <w:r w:rsidRPr="00C66DC2">
        <w:rPr>
          <w:sz w:val="16"/>
          <w:szCs w:val="16"/>
        </w:rPr>
        <w:t>There are no capital costs o</w:t>
      </w:r>
      <w:r>
        <w:rPr>
          <w:sz w:val="16"/>
          <w:szCs w:val="16"/>
        </w:rPr>
        <w:t>r</w:t>
      </w:r>
      <w:r w:rsidRPr="00C66DC2">
        <w:rPr>
          <w:sz w:val="16"/>
          <w:szCs w:val="16"/>
        </w:rPr>
        <w:t xml:space="preserve"> operating and maintenance costs ass</w:t>
      </w:r>
      <w:r>
        <w:rPr>
          <w:sz w:val="16"/>
          <w:szCs w:val="16"/>
        </w:rPr>
        <w:t>ociated with this collection of</w:t>
      </w:r>
      <w:r w:rsidRPr="00C66DC2">
        <w:rPr>
          <w:sz w:val="16"/>
          <w:szCs w:val="16"/>
        </w:rPr>
        <w:t xml:space="preserve"> information.</w:t>
      </w:r>
      <w:r w:rsidRPr="001A3387">
        <w:rPr>
          <w:sz w:val="16"/>
          <w:szCs w:val="16"/>
        </w:rPr>
        <w:tab/>
      </w:r>
    </w:p>
    <w:p w:rsidR="00FF689E" w:rsidRPr="001A3387" w:rsidRDefault="00FF689E" w:rsidP="00FF689E">
      <w:pPr>
        <w:pStyle w:val="HTMLPreformatted"/>
        <w:ind w:left="540" w:hanging="180"/>
        <w:rPr>
          <w:sz w:val="16"/>
          <w:szCs w:val="16"/>
        </w:rPr>
      </w:pPr>
      <w:r w:rsidRPr="001A3387">
        <w:rPr>
          <w:sz w:val="16"/>
          <w:szCs w:val="16"/>
          <w:vertAlign w:val="superscript"/>
        </w:rPr>
        <w:lastRenderedPageBreak/>
        <w:t xml:space="preserve">2  </w:t>
      </w:r>
      <w:r w:rsidRPr="001A3387">
        <w:rPr>
          <w:rFonts w:ascii="Tahoma" w:hAnsi="Tahoma" w:cs="Tahoma"/>
          <w:sz w:val="16"/>
          <w:szCs w:val="16"/>
        </w:rPr>
        <w:t>Hourly rate ($</w:t>
      </w:r>
      <w:r>
        <w:rPr>
          <w:rFonts w:ascii="Tahoma" w:hAnsi="Tahoma" w:cs="Tahoma"/>
          <w:sz w:val="16"/>
          <w:szCs w:val="16"/>
        </w:rPr>
        <w:t>30.45</w:t>
      </w:r>
      <w:r w:rsidRPr="001A3387">
        <w:rPr>
          <w:rFonts w:ascii="Tahoma" w:hAnsi="Tahoma" w:cs="Tahoma"/>
          <w:sz w:val="16"/>
          <w:szCs w:val="16"/>
        </w:rPr>
        <w:t xml:space="preserve">) from “Total Employer costs per hour worked for employee compensation </w:t>
      </w:r>
      <w:r>
        <w:rPr>
          <w:rFonts w:ascii="Tahoma" w:hAnsi="Tahoma" w:cs="Tahoma"/>
          <w:sz w:val="16"/>
          <w:szCs w:val="16"/>
        </w:rPr>
        <w:t xml:space="preserve">and costs as a percent of total </w:t>
      </w:r>
      <w:r w:rsidRPr="001A3387">
        <w:rPr>
          <w:rFonts w:ascii="Tahoma" w:hAnsi="Tahoma" w:cs="Tahoma"/>
          <w:sz w:val="16"/>
          <w:szCs w:val="16"/>
        </w:rPr>
        <w:t xml:space="preserve">compensation: Civilian workers, by major occupational and industry group, </w:t>
      </w:r>
      <w:r>
        <w:rPr>
          <w:rFonts w:ascii="Tahoma" w:hAnsi="Tahoma" w:cs="Tahoma"/>
          <w:sz w:val="16"/>
          <w:szCs w:val="16"/>
        </w:rPr>
        <w:t>December 2011</w:t>
      </w:r>
      <w:r>
        <w:t xml:space="preserve">. </w:t>
      </w:r>
      <w:smartTag w:uri="urn:schemas-microsoft-com:office:smarttags" w:element="place">
        <w:smartTag w:uri="urn:schemas-microsoft-com:office:smarttags" w:element="country-region">
          <w:r w:rsidRPr="001A3387">
            <w:rPr>
              <w:rFonts w:ascii="Tahoma" w:hAnsi="Tahoma" w:cs="Tahoma"/>
              <w:sz w:val="16"/>
              <w:szCs w:val="16"/>
            </w:rPr>
            <w:t>U.S.</w:t>
          </w:r>
        </w:smartTag>
      </w:smartTag>
      <w:r w:rsidRPr="001A3387">
        <w:rPr>
          <w:rFonts w:ascii="Tahoma" w:hAnsi="Tahoma" w:cs="Tahoma"/>
          <w:sz w:val="16"/>
          <w:szCs w:val="16"/>
        </w:rPr>
        <w:t xml:space="preserve"> Department of Labor, Bureau of Labor Statistics.</w:t>
      </w:r>
    </w:p>
    <w:p w:rsidR="00875548" w:rsidRDefault="00875548" w:rsidP="00875548">
      <w:pPr>
        <w:rPr>
          <w:rFonts w:ascii="Times New Roman" w:hAnsi="Times New Roman"/>
        </w:rPr>
      </w:pPr>
    </w:p>
    <w:p w:rsidR="00FF689E" w:rsidRDefault="00FF689E" w:rsidP="00875548">
      <w:pPr>
        <w:rPr>
          <w:rFonts w:ascii="Times New Roman" w:hAnsi="Times New Roman"/>
        </w:rPr>
      </w:pPr>
    </w:p>
    <w:p w:rsidR="00FF689E" w:rsidRDefault="00FF689E" w:rsidP="00875548">
      <w:pPr>
        <w:rPr>
          <w:rFonts w:ascii="Times New Roman" w:hAnsi="Times New Roman"/>
        </w:rPr>
      </w:pPr>
      <w:r>
        <w:rPr>
          <w:rFonts w:ascii="Times New Roman" w:hAnsi="Times New Roman"/>
        </w:rPr>
        <w:t>(from page 6)</w:t>
      </w:r>
    </w:p>
    <w:p w:rsidR="00FF689E" w:rsidRDefault="00FF689E" w:rsidP="00875548">
      <w:pPr>
        <w:rPr>
          <w:rFonts w:ascii="Times New Roman" w:hAnsi="Times New Roman"/>
        </w:rPr>
      </w:pPr>
    </w:p>
    <w:p w:rsidR="00FF689E" w:rsidRPr="006C531F" w:rsidRDefault="00FF689E" w:rsidP="00FF689E">
      <w:pPr>
        <w:pStyle w:val="BodyTextIndent"/>
        <w:ind w:left="0"/>
        <w:rPr>
          <w:rFonts w:cs="Tahoma"/>
          <w:b/>
        </w:rPr>
      </w:pPr>
      <w:r w:rsidRPr="006C531F">
        <w:rPr>
          <w:rFonts w:cs="Tahoma"/>
          <w:b/>
        </w:rPr>
        <w:t>6(e)</w:t>
      </w:r>
      <w:r w:rsidRPr="006C531F">
        <w:rPr>
          <w:rFonts w:cs="Tahoma"/>
          <w:b/>
        </w:rPr>
        <w:tab/>
        <w:t>Bottom Line Burden Hours and Cost Tables</w:t>
      </w:r>
    </w:p>
    <w:p w:rsidR="00FF689E" w:rsidRDefault="00FF689E" w:rsidP="00FF689E">
      <w:pPr>
        <w:pStyle w:val="BodyTextIndent"/>
        <w:ind w:left="0"/>
        <w:rPr>
          <w:rFonts w:cs="Tahoma"/>
        </w:rPr>
      </w:pPr>
    </w:p>
    <w:p w:rsidR="00FF689E" w:rsidRDefault="00FF689E" w:rsidP="00FF689E">
      <w:pPr>
        <w:pStyle w:val="BodyTextIndent"/>
        <w:ind w:left="720"/>
        <w:rPr>
          <w:rFonts w:cs="Tahoma"/>
        </w:rPr>
      </w:pPr>
      <w:r>
        <w:rPr>
          <w:rFonts w:cs="Tahoma"/>
        </w:rPr>
        <w:t>We expect respondent focus group hours to total 4,078 over the next 3 years or 1,359 each year.  These hours will be spread over approximately 238 focus groups over the course of the 3-year time frame.</w:t>
      </w:r>
    </w:p>
    <w:p w:rsidR="00FF689E" w:rsidRDefault="00FF689E" w:rsidP="00FF689E">
      <w:pPr>
        <w:pStyle w:val="BodyTextIndent"/>
        <w:ind w:left="720"/>
        <w:rPr>
          <w:rFonts w:cs="Tahoma"/>
        </w:rPr>
      </w:pPr>
    </w:p>
    <w:p w:rsidR="00FF689E" w:rsidRDefault="00FF689E" w:rsidP="00FF689E">
      <w:pPr>
        <w:pStyle w:val="BodyTextIndent"/>
        <w:numPr>
          <w:ilvl w:val="0"/>
          <w:numId w:val="1"/>
        </w:numPr>
        <w:rPr>
          <w:rFonts w:cs="Tahoma"/>
        </w:rPr>
      </w:pPr>
      <w:r>
        <w:rPr>
          <w:rFonts w:cs="Tahoma"/>
        </w:rPr>
        <w:t>Respondent Tally</w:t>
      </w:r>
    </w:p>
    <w:p w:rsidR="00FF689E" w:rsidRDefault="00FF689E" w:rsidP="00FF689E">
      <w:pPr>
        <w:pStyle w:val="BodyTextIndent"/>
        <w:rPr>
          <w:rFonts w:cs="Tahom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9"/>
        <w:gridCol w:w="1409"/>
        <w:gridCol w:w="1409"/>
        <w:gridCol w:w="1409"/>
        <w:gridCol w:w="1409"/>
        <w:gridCol w:w="1410"/>
      </w:tblGrid>
      <w:tr w:rsidR="00FF689E" w:rsidRPr="00667F39" w:rsidTr="00EB6C24">
        <w:tc>
          <w:tcPr>
            <w:tcW w:w="1409" w:type="dxa"/>
          </w:tcPr>
          <w:p w:rsidR="00FF689E" w:rsidRPr="00667F39" w:rsidRDefault="00FF689E" w:rsidP="00EB6C24">
            <w:pPr>
              <w:pStyle w:val="BodyTextIndent"/>
              <w:ind w:left="0"/>
              <w:rPr>
                <w:rFonts w:cs="Tahoma"/>
              </w:rPr>
            </w:pPr>
          </w:p>
          <w:p w:rsidR="00FF689E" w:rsidRPr="00667F39" w:rsidRDefault="00FF689E" w:rsidP="00EB6C24">
            <w:pPr>
              <w:pStyle w:val="BodyTextIndent"/>
              <w:ind w:left="0"/>
              <w:rPr>
                <w:rFonts w:cs="Tahoma"/>
              </w:rPr>
            </w:pPr>
            <w:r w:rsidRPr="00667F39">
              <w:rPr>
                <w:rFonts w:cs="Tahoma"/>
              </w:rPr>
              <w:t>Action</w:t>
            </w:r>
          </w:p>
        </w:tc>
        <w:tc>
          <w:tcPr>
            <w:tcW w:w="1409" w:type="dxa"/>
          </w:tcPr>
          <w:p w:rsidR="00FF689E" w:rsidRPr="00667F39" w:rsidRDefault="00FF689E" w:rsidP="00EB6C24">
            <w:pPr>
              <w:pStyle w:val="BodyTextIndent"/>
              <w:ind w:left="0"/>
              <w:rPr>
                <w:rFonts w:cs="Tahoma"/>
              </w:rPr>
            </w:pPr>
            <w:r w:rsidRPr="00667F39">
              <w:rPr>
                <w:rFonts w:cs="Tahoma"/>
              </w:rPr>
              <w:t>Approximate Number of Focus Groups per year</w:t>
            </w:r>
          </w:p>
        </w:tc>
        <w:tc>
          <w:tcPr>
            <w:tcW w:w="1409" w:type="dxa"/>
          </w:tcPr>
          <w:p w:rsidR="00FF689E" w:rsidRPr="00667F39" w:rsidRDefault="00FF689E" w:rsidP="00EB6C24">
            <w:pPr>
              <w:pStyle w:val="BodyTextIndent"/>
              <w:ind w:left="0"/>
              <w:rPr>
                <w:rFonts w:cs="Tahoma"/>
              </w:rPr>
            </w:pPr>
            <w:r w:rsidRPr="00667F39">
              <w:rPr>
                <w:rFonts w:cs="Tahoma"/>
              </w:rPr>
              <w:t xml:space="preserve"> Estimated Respondent Hours per Year</w:t>
            </w:r>
          </w:p>
        </w:tc>
        <w:tc>
          <w:tcPr>
            <w:tcW w:w="1409" w:type="dxa"/>
          </w:tcPr>
          <w:p w:rsidR="00FF689E" w:rsidRPr="00667F39" w:rsidRDefault="00FF689E" w:rsidP="00EB6C24">
            <w:pPr>
              <w:pStyle w:val="BodyTextIndent"/>
              <w:ind w:left="0"/>
              <w:rPr>
                <w:rFonts w:cs="Tahoma"/>
              </w:rPr>
            </w:pPr>
            <w:r w:rsidRPr="00667F39">
              <w:rPr>
                <w:rFonts w:cs="Tahoma"/>
              </w:rPr>
              <w:t>Total labor Cost per Year</w:t>
            </w:r>
          </w:p>
        </w:tc>
        <w:tc>
          <w:tcPr>
            <w:tcW w:w="1409" w:type="dxa"/>
          </w:tcPr>
          <w:p w:rsidR="00FF689E" w:rsidRPr="00667F39" w:rsidRDefault="00FF689E" w:rsidP="00EB6C24">
            <w:pPr>
              <w:pStyle w:val="BodyTextIndent"/>
              <w:ind w:left="0"/>
              <w:rPr>
                <w:rFonts w:cs="Tahoma"/>
              </w:rPr>
            </w:pPr>
            <w:r w:rsidRPr="00667F39">
              <w:rPr>
                <w:rFonts w:cs="Tahoma"/>
              </w:rPr>
              <w:t>Total Annual Capital Costs</w:t>
            </w:r>
          </w:p>
        </w:tc>
        <w:tc>
          <w:tcPr>
            <w:tcW w:w="1410" w:type="dxa"/>
          </w:tcPr>
          <w:p w:rsidR="00FF689E" w:rsidRPr="00667F39" w:rsidRDefault="00FF689E" w:rsidP="00EB6C24">
            <w:pPr>
              <w:pStyle w:val="BodyTextIndent"/>
              <w:ind w:left="0"/>
              <w:rPr>
                <w:rFonts w:cs="Tahoma"/>
              </w:rPr>
            </w:pPr>
            <w:r w:rsidRPr="00667F39">
              <w:rPr>
                <w:rFonts w:cs="Tahoma"/>
              </w:rPr>
              <w:t>Total Annual O&amp;M costs</w:t>
            </w:r>
          </w:p>
        </w:tc>
      </w:tr>
      <w:tr w:rsidR="00FF689E" w:rsidRPr="00667F39" w:rsidTr="00EB6C24">
        <w:tc>
          <w:tcPr>
            <w:tcW w:w="1409" w:type="dxa"/>
          </w:tcPr>
          <w:p w:rsidR="00FF689E" w:rsidRPr="00667F39" w:rsidRDefault="00FF689E" w:rsidP="00EB6C24">
            <w:pPr>
              <w:pStyle w:val="BodyTextIndent"/>
              <w:ind w:left="0"/>
              <w:rPr>
                <w:rFonts w:cs="Tahoma"/>
              </w:rPr>
            </w:pPr>
            <w:r w:rsidRPr="00667F39">
              <w:rPr>
                <w:rFonts w:cs="Tahoma"/>
              </w:rPr>
              <w:t>Focus Group Discussion</w:t>
            </w:r>
          </w:p>
        </w:tc>
        <w:tc>
          <w:tcPr>
            <w:tcW w:w="1409" w:type="dxa"/>
          </w:tcPr>
          <w:p w:rsidR="00FF689E" w:rsidRPr="00667F39" w:rsidRDefault="00FF689E" w:rsidP="00EB6C24">
            <w:pPr>
              <w:pStyle w:val="BodyTextIndent"/>
              <w:ind w:left="0"/>
              <w:rPr>
                <w:rFonts w:cs="Tahoma"/>
              </w:rPr>
            </w:pPr>
            <w:r>
              <w:rPr>
                <w:rFonts w:cs="Tahoma"/>
              </w:rPr>
              <w:t>79</w:t>
            </w:r>
          </w:p>
        </w:tc>
        <w:tc>
          <w:tcPr>
            <w:tcW w:w="1409" w:type="dxa"/>
          </w:tcPr>
          <w:p w:rsidR="00FF689E" w:rsidRPr="00667F39" w:rsidRDefault="00FF689E" w:rsidP="00EB6C24">
            <w:pPr>
              <w:pStyle w:val="BodyTextIndent"/>
              <w:ind w:left="0"/>
              <w:rPr>
                <w:rFonts w:cs="Tahoma"/>
              </w:rPr>
            </w:pPr>
            <w:r>
              <w:rPr>
                <w:rFonts w:cs="Tahoma"/>
              </w:rPr>
              <w:t>1,359</w:t>
            </w:r>
          </w:p>
        </w:tc>
        <w:tc>
          <w:tcPr>
            <w:tcW w:w="1409" w:type="dxa"/>
          </w:tcPr>
          <w:p w:rsidR="00FF689E" w:rsidRPr="00667F39" w:rsidRDefault="00FF689E" w:rsidP="00EB6C24">
            <w:pPr>
              <w:pStyle w:val="BodyTextIndent"/>
              <w:ind w:left="0"/>
              <w:rPr>
                <w:rFonts w:cs="Tahoma"/>
              </w:rPr>
            </w:pPr>
            <w:r w:rsidRPr="00667F39">
              <w:rPr>
                <w:rFonts w:cs="Tahoma"/>
              </w:rPr>
              <w:t>$</w:t>
            </w:r>
            <w:r>
              <w:rPr>
                <w:rFonts w:cs="Tahoma"/>
              </w:rPr>
              <w:t>41,394</w:t>
            </w:r>
          </w:p>
        </w:tc>
        <w:tc>
          <w:tcPr>
            <w:tcW w:w="1409" w:type="dxa"/>
          </w:tcPr>
          <w:p w:rsidR="00FF689E" w:rsidRPr="00667F39" w:rsidRDefault="00FF689E" w:rsidP="00EB6C24">
            <w:pPr>
              <w:pStyle w:val="BodyTextIndent"/>
              <w:ind w:left="0"/>
              <w:rPr>
                <w:rFonts w:cs="Tahoma"/>
              </w:rPr>
            </w:pPr>
            <w:r w:rsidRPr="00667F39">
              <w:rPr>
                <w:rFonts w:cs="Tahoma"/>
              </w:rPr>
              <w:t>$0</w:t>
            </w:r>
          </w:p>
        </w:tc>
        <w:tc>
          <w:tcPr>
            <w:tcW w:w="1410" w:type="dxa"/>
          </w:tcPr>
          <w:p w:rsidR="00FF689E" w:rsidRPr="00667F39" w:rsidRDefault="00FF689E" w:rsidP="00EB6C24">
            <w:pPr>
              <w:pStyle w:val="BodyTextIndent"/>
              <w:ind w:left="0"/>
              <w:rPr>
                <w:rFonts w:cs="Tahoma"/>
              </w:rPr>
            </w:pPr>
            <w:r w:rsidRPr="00667F39">
              <w:rPr>
                <w:rFonts w:cs="Tahoma"/>
              </w:rPr>
              <w:t>$0</w:t>
            </w:r>
          </w:p>
        </w:tc>
      </w:tr>
    </w:tbl>
    <w:p w:rsidR="00FF689E" w:rsidRDefault="00FF689E" w:rsidP="00FF689E">
      <w:pPr>
        <w:pStyle w:val="BodyTextIndent"/>
        <w:rPr>
          <w:rFonts w:cs="Tahoma"/>
        </w:rPr>
      </w:pPr>
    </w:p>
    <w:p w:rsidR="00875548" w:rsidRPr="002A636A" w:rsidRDefault="00875548" w:rsidP="00875548">
      <w:pPr>
        <w:rPr>
          <w:rFonts w:ascii="Times New Roman" w:hAnsi="Times New Roman"/>
        </w:rPr>
      </w:pPr>
    </w:p>
    <w:sectPr w:rsidR="00875548" w:rsidRPr="002A636A" w:rsidSect="00C94B6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CFA" w:rsidRDefault="00663CFA" w:rsidP="0096406C">
      <w:r>
        <w:separator/>
      </w:r>
    </w:p>
  </w:endnote>
  <w:endnote w:type="continuationSeparator" w:id="0">
    <w:p w:rsidR="00663CFA" w:rsidRDefault="00663CFA" w:rsidP="009640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CFA" w:rsidRDefault="00663CFA" w:rsidP="0096406C">
      <w:r>
        <w:separator/>
      </w:r>
    </w:p>
  </w:footnote>
  <w:footnote w:type="continuationSeparator" w:id="0">
    <w:p w:rsidR="00663CFA" w:rsidRDefault="00663CFA" w:rsidP="009640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613985"/>
    <w:multiLevelType w:val="hybridMultilevel"/>
    <w:tmpl w:val="C0786C8E"/>
    <w:lvl w:ilvl="0" w:tplc="5994F11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1"/>
    <w:footnote w:id="0"/>
  </w:footnotePr>
  <w:endnotePr>
    <w:endnote w:id="-1"/>
    <w:endnote w:id="0"/>
  </w:endnotePr>
  <w:compat/>
  <w:rsids>
    <w:rsidRoot w:val="00875548"/>
    <w:rsid w:val="00272ED2"/>
    <w:rsid w:val="002A636A"/>
    <w:rsid w:val="00573EA1"/>
    <w:rsid w:val="005F22C7"/>
    <w:rsid w:val="00663CFA"/>
    <w:rsid w:val="007817BC"/>
    <w:rsid w:val="00841454"/>
    <w:rsid w:val="008636BA"/>
    <w:rsid w:val="00875548"/>
    <w:rsid w:val="008C34F3"/>
    <w:rsid w:val="00922D76"/>
    <w:rsid w:val="0096406C"/>
    <w:rsid w:val="009D298E"/>
    <w:rsid w:val="00A91150"/>
    <w:rsid w:val="00AC4D38"/>
    <w:rsid w:val="00C337BC"/>
    <w:rsid w:val="00C94B6E"/>
    <w:rsid w:val="00D51D6B"/>
    <w:rsid w:val="00FA0D7D"/>
    <w:rsid w:val="00FF68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A1"/>
    <w:pPr>
      <w:spacing w:after="0" w:line="240" w:lineRule="auto"/>
    </w:pPr>
    <w:rPr>
      <w:sz w:val="24"/>
      <w:szCs w:val="24"/>
    </w:rPr>
  </w:style>
  <w:style w:type="paragraph" w:styleId="Heading1">
    <w:name w:val="heading 1"/>
    <w:basedOn w:val="Normal"/>
    <w:next w:val="Normal"/>
    <w:link w:val="Heading1Char"/>
    <w:uiPriority w:val="9"/>
    <w:qFormat/>
    <w:rsid w:val="00573E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73E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73E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73EA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3E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3EA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3EA1"/>
    <w:pPr>
      <w:spacing w:before="240" w:after="60"/>
      <w:outlineLvl w:val="6"/>
    </w:pPr>
  </w:style>
  <w:style w:type="paragraph" w:styleId="Heading8">
    <w:name w:val="heading 8"/>
    <w:basedOn w:val="Normal"/>
    <w:next w:val="Normal"/>
    <w:link w:val="Heading8Char"/>
    <w:uiPriority w:val="9"/>
    <w:semiHidden/>
    <w:unhideWhenUsed/>
    <w:qFormat/>
    <w:rsid w:val="00573EA1"/>
    <w:pPr>
      <w:spacing w:before="240" w:after="60"/>
      <w:outlineLvl w:val="7"/>
    </w:pPr>
    <w:rPr>
      <w:i/>
      <w:iCs/>
    </w:rPr>
  </w:style>
  <w:style w:type="paragraph" w:styleId="Heading9">
    <w:name w:val="heading 9"/>
    <w:basedOn w:val="Normal"/>
    <w:next w:val="Normal"/>
    <w:link w:val="Heading9Char"/>
    <w:uiPriority w:val="9"/>
    <w:semiHidden/>
    <w:unhideWhenUsed/>
    <w:qFormat/>
    <w:rsid w:val="00573EA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406C"/>
    <w:pPr>
      <w:tabs>
        <w:tab w:val="center" w:pos="4680"/>
        <w:tab w:val="right" w:pos="9360"/>
      </w:tabs>
    </w:pPr>
  </w:style>
  <w:style w:type="character" w:customStyle="1" w:styleId="HeaderChar">
    <w:name w:val="Header Char"/>
    <w:basedOn w:val="DefaultParagraphFont"/>
    <w:link w:val="Header"/>
    <w:uiPriority w:val="99"/>
    <w:semiHidden/>
    <w:rsid w:val="0096406C"/>
  </w:style>
  <w:style w:type="paragraph" w:styleId="Footer">
    <w:name w:val="footer"/>
    <w:basedOn w:val="Normal"/>
    <w:link w:val="FooterChar"/>
    <w:uiPriority w:val="99"/>
    <w:semiHidden/>
    <w:unhideWhenUsed/>
    <w:rsid w:val="0096406C"/>
    <w:pPr>
      <w:tabs>
        <w:tab w:val="center" w:pos="4680"/>
        <w:tab w:val="right" w:pos="9360"/>
      </w:tabs>
    </w:pPr>
  </w:style>
  <w:style w:type="character" w:customStyle="1" w:styleId="FooterChar">
    <w:name w:val="Footer Char"/>
    <w:basedOn w:val="DefaultParagraphFont"/>
    <w:link w:val="Footer"/>
    <w:uiPriority w:val="99"/>
    <w:semiHidden/>
    <w:rsid w:val="0096406C"/>
  </w:style>
  <w:style w:type="character" w:customStyle="1" w:styleId="Heading1Char">
    <w:name w:val="Heading 1 Char"/>
    <w:basedOn w:val="DefaultParagraphFont"/>
    <w:link w:val="Heading1"/>
    <w:uiPriority w:val="9"/>
    <w:rsid w:val="00573E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73E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73EA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73EA1"/>
    <w:rPr>
      <w:b/>
      <w:bCs/>
      <w:sz w:val="28"/>
      <w:szCs w:val="28"/>
    </w:rPr>
  </w:style>
  <w:style w:type="character" w:customStyle="1" w:styleId="Heading5Char">
    <w:name w:val="Heading 5 Char"/>
    <w:basedOn w:val="DefaultParagraphFont"/>
    <w:link w:val="Heading5"/>
    <w:uiPriority w:val="9"/>
    <w:semiHidden/>
    <w:rsid w:val="00573EA1"/>
    <w:rPr>
      <w:b/>
      <w:bCs/>
      <w:i/>
      <w:iCs/>
      <w:sz w:val="26"/>
      <w:szCs w:val="26"/>
    </w:rPr>
  </w:style>
  <w:style w:type="character" w:customStyle="1" w:styleId="Heading6Char">
    <w:name w:val="Heading 6 Char"/>
    <w:basedOn w:val="DefaultParagraphFont"/>
    <w:link w:val="Heading6"/>
    <w:uiPriority w:val="9"/>
    <w:semiHidden/>
    <w:rsid w:val="00573EA1"/>
    <w:rPr>
      <w:b/>
      <w:bCs/>
    </w:rPr>
  </w:style>
  <w:style w:type="character" w:customStyle="1" w:styleId="Heading7Char">
    <w:name w:val="Heading 7 Char"/>
    <w:basedOn w:val="DefaultParagraphFont"/>
    <w:link w:val="Heading7"/>
    <w:uiPriority w:val="9"/>
    <w:semiHidden/>
    <w:rsid w:val="00573EA1"/>
    <w:rPr>
      <w:sz w:val="24"/>
      <w:szCs w:val="24"/>
    </w:rPr>
  </w:style>
  <w:style w:type="character" w:customStyle="1" w:styleId="Heading8Char">
    <w:name w:val="Heading 8 Char"/>
    <w:basedOn w:val="DefaultParagraphFont"/>
    <w:link w:val="Heading8"/>
    <w:uiPriority w:val="9"/>
    <w:semiHidden/>
    <w:rsid w:val="00573EA1"/>
    <w:rPr>
      <w:i/>
      <w:iCs/>
      <w:sz w:val="24"/>
      <w:szCs w:val="24"/>
    </w:rPr>
  </w:style>
  <w:style w:type="character" w:customStyle="1" w:styleId="Heading9Char">
    <w:name w:val="Heading 9 Char"/>
    <w:basedOn w:val="DefaultParagraphFont"/>
    <w:link w:val="Heading9"/>
    <w:uiPriority w:val="9"/>
    <w:semiHidden/>
    <w:rsid w:val="00573EA1"/>
    <w:rPr>
      <w:rFonts w:asciiTheme="majorHAnsi" w:eastAsiaTheme="majorEastAsia" w:hAnsiTheme="majorHAnsi"/>
    </w:rPr>
  </w:style>
  <w:style w:type="paragraph" w:styleId="Title">
    <w:name w:val="Title"/>
    <w:basedOn w:val="Normal"/>
    <w:next w:val="Normal"/>
    <w:link w:val="TitleChar"/>
    <w:uiPriority w:val="10"/>
    <w:qFormat/>
    <w:rsid w:val="00573E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73E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73E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73EA1"/>
    <w:rPr>
      <w:rFonts w:asciiTheme="majorHAnsi" w:eastAsiaTheme="majorEastAsia" w:hAnsiTheme="majorHAnsi"/>
      <w:sz w:val="24"/>
      <w:szCs w:val="24"/>
    </w:rPr>
  </w:style>
  <w:style w:type="character" w:styleId="Strong">
    <w:name w:val="Strong"/>
    <w:basedOn w:val="DefaultParagraphFont"/>
    <w:uiPriority w:val="22"/>
    <w:qFormat/>
    <w:rsid w:val="00573EA1"/>
    <w:rPr>
      <w:b/>
      <w:bCs/>
    </w:rPr>
  </w:style>
  <w:style w:type="character" w:styleId="Emphasis">
    <w:name w:val="Emphasis"/>
    <w:basedOn w:val="DefaultParagraphFont"/>
    <w:uiPriority w:val="20"/>
    <w:qFormat/>
    <w:rsid w:val="00573EA1"/>
    <w:rPr>
      <w:rFonts w:asciiTheme="minorHAnsi" w:hAnsiTheme="minorHAnsi"/>
      <w:b/>
      <w:i/>
      <w:iCs/>
    </w:rPr>
  </w:style>
  <w:style w:type="paragraph" w:styleId="NoSpacing">
    <w:name w:val="No Spacing"/>
    <w:basedOn w:val="Normal"/>
    <w:link w:val="NoSpacingChar"/>
    <w:uiPriority w:val="1"/>
    <w:qFormat/>
    <w:rsid w:val="00573EA1"/>
    <w:rPr>
      <w:szCs w:val="32"/>
    </w:rPr>
  </w:style>
  <w:style w:type="character" w:customStyle="1" w:styleId="NoSpacingChar">
    <w:name w:val="No Spacing Char"/>
    <w:basedOn w:val="DefaultParagraphFont"/>
    <w:link w:val="NoSpacing"/>
    <w:uiPriority w:val="1"/>
    <w:rsid w:val="00573EA1"/>
    <w:rPr>
      <w:sz w:val="24"/>
      <w:szCs w:val="32"/>
    </w:rPr>
  </w:style>
  <w:style w:type="paragraph" w:styleId="ListParagraph">
    <w:name w:val="List Paragraph"/>
    <w:basedOn w:val="Normal"/>
    <w:uiPriority w:val="34"/>
    <w:qFormat/>
    <w:rsid w:val="00573EA1"/>
    <w:pPr>
      <w:ind w:left="720"/>
      <w:contextualSpacing/>
    </w:pPr>
  </w:style>
  <w:style w:type="paragraph" w:styleId="Quote">
    <w:name w:val="Quote"/>
    <w:basedOn w:val="Normal"/>
    <w:next w:val="Normal"/>
    <w:link w:val="QuoteChar"/>
    <w:uiPriority w:val="29"/>
    <w:qFormat/>
    <w:rsid w:val="00573EA1"/>
    <w:rPr>
      <w:i/>
    </w:rPr>
  </w:style>
  <w:style w:type="character" w:customStyle="1" w:styleId="QuoteChar">
    <w:name w:val="Quote Char"/>
    <w:basedOn w:val="DefaultParagraphFont"/>
    <w:link w:val="Quote"/>
    <w:uiPriority w:val="29"/>
    <w:rsid w:val="00573EA1"/>
    <w:rPr>
      <w:i/>
      <w:sz w:val="24"/>
      <w:szCs w:val="24"/>
    </w:rPr>
  </w:style>
  <w:style w:type="paragraph" w:styleId="IntenseQuote">
    <w:name w:val="Intense Quote"/>
    <w:basedOn w:val="Normal"/>
    <w:next w:val="Normal"/>
    <w:link w:val="IntenseQuoteChar"/>
    <w:uiPriority w:val="30"/>
    <w:qFormat/>
    <w:rsid w:val="00573EA1"/>
    <w:pPr>
      <w:ind w:left="720" w:right="720"/>
    </w:pPr>
    <w:rPr>
      <w:b/>
      <w:i/>
      <w:szCs w:val="22"/>
    </w:rPr>
  </w:style>
  <w:style w:type="character" w:customStyle="1" w:styleId="IntenseQuoteChar">
    <w:name w:val="Intense Quote Char"/>
    <w:basedOn w:val="DefaultParagraphFont"/>
    <w:link w:val="IntenseQuote"/>
    <w:uiPriority w:val="30"/>
    <w:rsid w:val="00573EA1"/>
    <w:rPr>
      <w:b/>
      <w:i/>
      <w:sz w:val="24"/>
    </w:rPr>
  </w:style>
  <w:style w:type="character" w:styleId="SubtleEmphasis">
    <w:name w:val="Subtle Emphasis"/>
    <w:uiPriority w:val="19"/>
    <w:qFormat/>
    <w:rsid w:val="00573EA1"/>
    <w:rPr>
      <w:i/>
      <w:color w:val="5A5A5A" w:themeColor="text1" w:themeTint="A5"/>
    </w:rPr>
  </w:style>
  <w:style w:type="character" w:styleId="IntenseEmphasis">
    <w:name w:val="Intense Emphasis"/>
    <w:basedOn w:val="DefaultParagraphFont"/>
    <w:uiPriority w:val="21"/>
    <w:qFormat/>
    <w:rsid w:val="00573EA1"/>
    <w:rPr>
      <w:b/>
      <w:i/>
      <w:sz w:val="24"/>
      <w:szCs w:val="24"/>
      <w:u w:val="single"/>
    </w:rPr>
  </w:style>
  <w:style w:type="character" w:styleId="SubtleReference">
    <w:name w:val="Subtle Reference"/>
    <w:basedOn w:val="DefaultParagraphFont"/>
    <w:uiPriority w:val="31"/>
    <w:qFormat/>
    <w:rsid w:val="00573EA1"/>
    <w:rPr>
      <w:sz w:val="24"/>
      <w:szCs w:val="24"/>
      <w:u w:val="single"/>
    </w:rPr>
  </w:style>
  <w:style w:type="character" w:styleId="IntenseReference">
    <w:name w:val="Intense Reference"/>
    <w:basedOn w:val="DefaultParagraphFont"/>
    <w:uiPriority w:val="32"/>
    <w:qFormat/>
    <w:rsid w:val="00573EA1"/>
    <w:rPr>
      <w:b/>
      <w:sz w:val="24"/>
      <w:u w:val="single"/>
    </w:rPr>
  </w:style>
  <w:style w:type="character" w:styleId="BookTitle">
    <w:name w:val="Book Title"/>
    <w:basedOn w:val="DefaultParagraphFont"/>
    <w:uiPriority w:val="33"/>
    <w:qFormat/>
    <w:rsid w:val="00573E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3EA1"/>
    <w:pPr>
      <w:outlineLvl w:val="9"/>
    </w:pPr>
  </w:style>
  <w:style w:type="paragraph" w:styleId="BodyTextIndent">
    <w:name w:val="Body Text Indent"/>
    <w:basedOn w:val="Normal"/>
    <w:link w:val="BodyTextIndentChar"/>
    <w:rsid w:val="00FF689E"/>
    <w:pPr>
      <w:ind w:left="360"/>
    </w:pPr>
    <w:rPr>
      <w:rFonts w:ascii="Tahoma" w:eastAsia="Times New Roman" w:hAnsi="Tahoma"/>
      <w:sz w:val="20"/>
      <w:szCs w:val="20"/>
      <w:lang w:bidi="ar-SA"/>
    </w:rPr>
  </w:style>
  <w:style w:type="character" w:customStyle="1" w:styleId="BodyTextIndentChar">
    <w:name w:val="Body Text Indent Char"/>
    <w:basedOn w:val="DefaultParagraphFont"/>
    <w:link w:val="BodyTextIndent"/>
    <w:rsid w:val="00FF689E"/>
    <w:rPr>
      <w:rFonts w:ascii="Tahoma" w:eastAsia="Times New Roman" w:hAnsi="Tahoma"/>
      <w:sz w:val="20"/>
      <w:szCs w:val="20"/>
      <w:lang w:bidi="ar-SA"/>
    </w:rPr>
  </w:style>
  <w:style w:type="paragraph" w:styleId="HTMLPreformatted">
    <w:name w:val="HTML Preformatted"/>
    <w:basedOn w:val="Normal"/>
    <w:link w:val="HTMLPreformattedChar"/>
    <w:uiPriority w:val="99"/>
    <w:rsid w:val="00FF6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lang w:bidi="ar-SA"/>
    </w:rPr>
  </w:style>
  <w:style w:type="character" w:customStyle="1" w:styleId="HTMLPreformattedChar">
    <w:name w:val="HTML Preformatted Char"/>
    <w:basedOn w:val="DefaultParagraphFont"/>
    <w:link w:val="HTMLPreformatted"/>
    <w:uiPriority w:val="99"/>
    <w:rsid w:val="00FF689E"/>
    <w:rPr>
      <w:rFonts w:ascii="Courier New" w:eastAsia="Times New Roman" w:hAnsi="Courier New" w:cs="Courier New"/>
      <w:color w:val="000000"/>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EPA</cp:lastModifiedBy>
  <cp:revision>2</cp:revision>
  <dcterms:created xsi:type="dcterms:W3CDTF">2013-08-01T15:24:00Z</dcterms:created>
  <dcterms:modified xsi:type="dcterms:W3CDTF">2013-08-01T15:24:00Z</dcterms:modified>
</cp:coreProperties>
</file>