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9DE" w:rsidRDefault="007E667F" w:rsidP="00A7661C">
      <w:pPr>
        <w:tabs>
          <w:tab w:val="center" w:pos="4680"/>
        </w:tabs>
        <w:jc w:val="center"/>
        <w:rPr>
          <w:b/>
          <w:bCs/>
        </w:rPr>
      </w:pPr>
      <w:r>
        <w:rPr>
          <w:b/>
          <w:bCs/>
        </w:rPr>
        <w:fldChar w:fldCharType="begin"/>
      </w:r>
      <w:r w:rsidR="00CF09DE">
        <w:rPr>
          <w:b/>
          <w:bCs/>
        </w:rPr>
        <w:instrText>tc  \l 2 "SF"</w:instrText>
      </w:r>
      <w:r>
        <w:rPr>
          <w:b/>
          <w:bCs/>
        </w:rPr>
        <w:fldChar w:fldCharType="end"/>
      </w:r>
      <w:r w:rsidR="00CF09DE">
        <w:rPr>
          <w:b/>
          <w:bCs/>
        </w:rPr>
        <w:t>SUPPORTING STATEMENT</w:t>
      </w:r>
    </w:p>
    <w:p w:rsidR="00CF09DE" w:rsidRDefault="00CF09DE">
      <w:pPr>
        <w:tabs>
          <w:tab w:val="center" w:pos="4680"/>
        </w:tabs>
      </w:pPr>
      <w:r>
        <w:rPr>
          <w:b/>
          <w:bCs/>
        </w:rPr>
        <w:tab/>
        <w:t>ENVIRONMENTAL PROTECTION AGENCY</w:t>
      </w:r>
    </w:p>
    <w:p w:rsidR="00CF09DE" w:rsidRDefault="00CF09DE">
      <w:pPr>
        <w:tabs>
          <w:tab w:val="center" w:pos="4680"/>
        </w:tabs>
      </w:pPr>
      <w:r>
        <w:tab/>
      </w:r>
    </w:p>
    <w:p w:rsidR="00CF09DE" w:rsidRDefault="00B77EF1" w:rsidP="004E0B26">
      <w:pPr>
        <w:rPr>
          <w:color w:val="000000"/>
        </w:rPr>
      </w:pPr>
      <w:r w:rsidRPr="00B77EF1">
        <w:rPr>
          <w:b/>
          <w:bCs/>
        </w:rPr>
        <w:t>NESHAP for Gasoline Distribution Facilities</w:t>
      </w:r>
      <w:r w:rsidRPr="00B77EF1">
        <w:rPr>
          <w:b/>
        </w:rPr>
        <w:t xml:space="preserve"> (40 CFR Part 63, Subpart R) </w:t>
      </w:r>
      <w:r w:rsidR="00CF09DE" w:rsidRPr="00236DB3">
        <w:rPr>
          <w:b/>
        </w:rPr>
        <w:t>(Renewal)</w:t>
      </w:r>
      <w:r w:rsidR="00CF09DE">
        <w:rPr>
          <w:color w:val="FF0000"/>
        </w:rPr>
        <w:t xml:space="preserve"> </w:t>
      </w:r>
    </w:p>
    <w:p w:rsidR="00CF09DE" w:rsidRDefault="00CF09DE">
      <w:pPr>
        <w:rPr>
          <w:color w:val="000000"/>
        </w:rPr>
      </w:pPr>
    </w:p>
    <w:p w:rsidR="00CF09DE" w:rsidRDefault="00CF09DE">
      <w:pPr>
        <w:rPr>
          <w:b/>
          <w:bCs/>
          <w:color w:val="000000"/>
        </w:rPr>
      </w:pPr>
      <w:r>
        <w:rPr>
          <w:b/>
          <w:bCs/>
          <w:color w:val="000000"/>
        </w:rPr>
        <w:t>1.  Identification of the Information Collection</w:t>
      </w:r>
    </w:p>
    <w:p w:rsidR="00CF09DE" w:rsidRDefault="00CF09DE">
      <w:pPr>
        <w:rPr>
          <w:b/>
          <w:bCs/>
          <w:color w:val="000000"/>
        </w:rPr>
      </w:pPr>
    </w:p>
    <w:p w:rsidR="00CF09DE" w:rsidRDefault="00CF09DE">
      <w:pPr>
        <w:ind w:firstLine="720"/>
        <w:rPr>
          <w:b/>
          <w:bCs/>
          <w:color w:val="000000"/>
        </w:rPr>
      </w:pPr>
      <w:r>
        <w:rPr>
          <w:b/>
          <w:bCs/>
          <w:color w:val="000000"/>
        </w:rPr>
        <w:t>1(a)  Title of the Information Collection</w:t>
      </w:r>
    </w:p>
    <w:p w:rsidR="00CF09DE" w:rsidRDefault="00CF09DE">
      <w:pPr>
        <w:rPr>
          <w:b/>
          <w:bCs/>
          <w:color w:val="000000"/>
        </w:rPr>
      </w:pPr>
    </w:p>
    <w:p w:rsidR="00CF09DE" w:rsidRPr="002B29A5" w:rsidRDefault="00B77EF1" w:rsidP="002B29A5">
      <w:pPr>
        <w:rPr>
          <w:bCs/>
          <w:color w:val="000000"/>
        </w:rPr>
      </w:pPr>
      <w:r w:rsidRPr="00B77EF1">
        <w:rPr>
          <w:bCs/>
        </w:rPr>
        <w:t>NESHAP for Gasoline Distribution Facilities (40 CFR Part 63, Subpart R)</w:t>
      </w:r>
      <w:r w:rsidR="00CF09DE">
        <w:rPr>
          <w:bCs/>
          <w:color w:val="FF0000"/>
        </w:rPr>
        <w:t xml:space="preserve"> </w:t>
      </w:r>
      <w:r w:rsidR="00CF09DE" w:rsidRPr="004C5E95">
        <w:rPr>
          <w:bCs/>
        </w:rPr>
        <w:t>(Renewal),</w:t>
      </w:r>
      <w:r w:rsidR="007405CF">
        <w:rPr>
          <w:bCs/>
        </w:rPr>
        <w:t xml:space="preserve"> </w:t>
      </w:r>
      <w:r w:rsidR="00E82C5D">
        <w:rPr>
          <w:bCs/>
        </w:rPr>
        <w:t xml:space="preserve">          </w:t>
      </w:r>
      <w:r w:rsidR="00CF09DE" w:rsidRPr="004C5E95">
        <w:rPr>
          <w:bCs/>
        </w:rPr>
        <w:t xml:space="preserve">EPA ICR Number </w:t>
      </w:r>
      <w:r w:rsidR="00CF09DE">
        <w:rPr>
          <w:bCs/>
        </w:rPr>
        <w:t>1659.08</w:t>
      </w:r>
      <w:r w:rsidRPr="00B77EF1">
        <w:rPr>
          <w:bCs/>
        </w:rPr>
        <w:t>,</w:t>
      </w:r>
      <w:r w:rsidR="00CF09DE">
        <w:rPr>
          <w:bCs/>
          <w:color w:val="FF0000"/>
        </w:rPr>
        <w:t xml:space="preserve"> </w:t>
      </w:r>
      <w:r w:rsidR="00CF09DE" w:rsidRPr="004C5E95">
        <w:rPr>
          <w:bCs/>
        </w:rPr>
        <w:t>OMB Control Number 2060-</w:t>
      </w:r>
      <w:r w:rsidR="00CF09DE">
        <w:rPr>
          <w:bCs/>
        </w:rPr>
        <w:t>0325</w:t>
      </w:r>
      <w:r w:rsidRPr="00B77EF1">
        <w:rPr>
          <w:bCs/>
        </w:rPr>
        <w:t>.</w:t>
      </w:r>
      <w:r w:rsidR="00CF09DE">
        <w:rPr>
          <w:bCs/>
          <w:color w:val="FF0000"/>
        </w:rPr>
        <w:t xml:space="preserve"> </w:t>
      </w:r>
    </w:p>
    <w:p w:rsidR="00CF09DE" w:rsidRDefault="00CF09DE">
      <w:pPr>
        <w:rPr>
          <w:b/>
          <w:bCs/>
          <w:color w:val="000000"/>
        </w:rPr>
      </w:pPr>
    </w:p>
    <w:p w:rsidR="00CF09DE" w:rsidRDefault="00CF09DE">
      <w:pPr>
        <w:ind w:firstLine="720"/>
        <w:rPr>
          <w:color w:val="000000"/>
        </w:rPr>
      </w:pPr>
      <w:r>
        <w:rPr>
          <w:b/>
          <w:bCs/>
          <w:color w:val="000000"/>
        </w:rPr>
        <w:t>1(b)  Short Characterization/Abstract</w:t>
      </w:r>
    </w:p>
    <w:p w:rsidR="00CF09DE" w:rsidRDefault="00CF09DE">
      <w:pPr>
        <w:rPr>
          <w:color w:val="000000"/>
        </w:rPr>
      </w:pPr>
    </w:p>
    <w:p w:rsidR="00CF09DE" w:rsidRDefault="00CF09DE">
      <w:pPr>
        <w:ind w:firstLine="720"/>
        <w:rPr>
          <w:color w:val="000000"/>
        </w:rPr>
      </w:pPr>
      <w:r>
        <w:rPr>
          <w:color w:val="000000"/>
        </w:rPr>
        <w:t xml:space="preserve">The </w:t>
      </w:r>
      <w:r w:rsidR="00B77EF1" w:rsidRPr="00B77EF1">
        <w:t xml:space="preserve">National Emission Standards for Hazardous Air Pollutants (NESHAP) for </w:t>
      </w:r>
      <w:r w:rsidR="00B77EF1" w:rsidRPr="00B77EF1">
        <w:rPr>
          <w:bCs/>
        </w:rPr>
        <w:t>Gasoline Distribution Facilities</w:t>
      </w:r>
      <w:r>
        <w:rPr>
          <w:color w:val="000000"/>
        </w:rPr>
        <w:t xml:space="preserve"> were proposed on February 8, 1994, and promulgated on </w:t>
      </w:r>
      <w:r>
        <w:t>December 14, 1994</w:t>
      </w:r>
      <w:r>
        <w:rPr>
          <w:color w:val="000000"/>
        </w:rPr>
        <w:t xml:space="preserve">.  </w:t>
      </w:r>
      <w:r>
        <w:t xml:space="preserve">The standards were revised on June 26, 1995 </w:t>
      </w:r>
      <w:r w:rsidR="00E82C5D">
        <w:t xml:space="preserve">in order </w:t>
      </w:r>
      <w:r>
        <w:t xml:space="preserve">to correct errors in the printing of the emission screening equation in the final standards, and amended on February 29, 1996 to extend the initial compliance date for the equipment leak standard.  The standards were amended again </w:t>
      </w:r>
      <w:r w:rsidR="00743535">
        <w:t xml:space="preserve">on </w:t>
      </w:r>
      <w:r>
        <w:t>June 12, 1996 to clarify the coverage of gasoline loading racks at refineries with through</w:t>
      </w:r>
      <w:r w:rsidR="00743535">
        <w:t>-</w:t>
      </w:r>
      <w:r>
        <w:t>puts greater than 75,700 liters/day.  Updated direct final standards were promulgated on February 28, 1997 to implement a proposed settlement with the American Petroleum Institute</w:t>
      </w:r>
      <w:r w:rsidR="00743535">
        <w:t xml:space="preserve"> (API)</w:t>
      </w:r>
      <w:r>
        <w:t xml:space="preserve">.  </w:t>
      </w:r>
      <w:r>
        <w:rPr>
          <w:color w:val="000000"/>
        </w:rPr>
        <w:t xml:space="preserve">These regulations apply to new and existing </w:t>
      </w:r>
      <w:r>
        <w:t>bulk gasoline terminals with through-puts greater than 75,700 liters/day.</w:t>
      </w:r>
      <w:r>
        <w:rPr>
          <w:color w:val="000000"/>
        </w:rPr>
        <w:t xml:space="preserve">  New facilities include those that commenced construction or reconstruction after the date of proposal.  This information is being collected to assure compliance with 40 CFR part 63, subpart R.</w:t>
      </w:r>
    </w:p>
    <w:p w:rsidR="00CF09DE" w:rsidRDefault="00CF09DE">
      <w:pPr>
        <w:rPr>
          <w:color w:val="000000"/>
        </w:rPr>
      </w:pPr>
    </w:p>
    <w:p w:rsidR="00CF09DE" w:rsidRDefault="00CF09DE">
      <w:pPr>
        <w:ind w:firstLine="720"/>
        <w:rPr>
          <w:color w:val="000000"/>
        </w:rPr>
      </w:pPr>
      <w:r>
        <w:rPr>
          <w:color w:val="000000"/>
        </w:rPr>
        <w:t xml:space="preserve">In general, all </w:t>
      </w:r>
      <w:r w:rsidR="00B77EF1" w:rsidRPr="00B77EF1">
        <w:t>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r>
        <w:rPr>
          <w:color w:val="000000"/>
        </w:rPr>
        <w:t xml:space="preserve">  </w:t>
      </w:r>
    </w:p>
    <w:p w:rsidR="00CF09DE" w:rsidRDefault="00CF09DE">
      <w:pP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B77EF1" w:rsidRPr="00B77EF1">
        <w:t xml:space="preserve">five </w:t>
      </w:r>
      <w:r>
        <w:rPr>
          <w:color w:val="000000"/>
        </w:rPr>
        <w:t xml:space="preserve">years following the date of such measurements, maintenance reports, and records.  All reports are sent to the delegated state or local authority.  </w:t>
      </w:r>
      <w:r w:rsidR="00613493">
        <w:rPr>
          <w:color w:val="000000"/>
        </w:rPr>
        <w:t xml:space="preserve"> </w:t>
      </w:r>
      <w:r>
        <w:rPr>
          <w:color w:val="000000"/>
        </w:rPr>
        <w:t>In the event that there is no such delegated authority, the reports are sent directly to the U</w:t>
      </w:r>
      <w:r w:rsidR="00613493">
        <w:rPr>
          <w:color w:val="000000"/>
        </w:rPr>
        <w:t>.</w:t>
      </w:r>
      <w:r>
        <w:rPr>
          <w:color w:val="000000"/>
        </w:rPr>
        <w:t xml:space="preserve"> S</w:t>
      </w:r>
      <w:r w:rsidR="00613493">
        <w:rPr>
          <w:color w:val="000000"/>
        </w:rPr>
        <w:t>.</w:t>
      </w:r>
      <w:r>
        <w:rPr>
          <w:color w:val="000000"/>
        </w:rPr>
        <w:t xml:space="preserve"> Environmental Protection Agency (EPA) regional office.</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743535">
        <w:rPr>
          <w:color w:val="000000"/>
        </w:rPr>
        <w:t>102</w:t>
      </w:r>
      <w:r>
        <w:rPr>
          <w:color w:val="000000"/>
        </w:rPr>
        <w:t xml:space="preserve"> </w:t>
      </w:r>
      <w:r w:rsidR="00743535">
        <w:rPr>
          <w:color w:val="000000"/>
        </w:rPr>
        <w:t>facilities, including bulk terminals and pipeline breakout stations, which are major sources of hazardous air pollutant (HAP), are subject to this subpart. N</w:t>
      </w:r>
      <w:r>
        <w:rPr>
          <w:color w:val="000000"/>
        </w:rPr>
        <w:t xml:space="preserve">o additional respondents per year will become subject to the standard.  </w:t>
      </w:r>
      <w:r w:rsidR="00743535">
        <w:rPr>
          <w:color w:val="000000"/>
        </w:rPr>
        <w:t>In addition, there are a total of 1,</w:t>
      </w:r>
      <w:r w:rsidR="002B5815">
        <w:rPr>
          <w:color w:val="000000"/>
        </w:rPr>
        <w:t xml:space="preserve">560 </w:t>
      </w:r>
      <w:r w:rsidR="00743535">
        <w:rPr>
          <w:color w:val="000000"/>
        </w:rPr>
        <w:t xml:space="preserve">area sources </w:t>
      </w:r>
      <w:r>
        <w:t xml:space="preserve">(i.e., </w:t>
      </w:r>
      <w:r w:rsidR="002B5815">
        <w:t xml:space="preserve">1,100 </w:t>
      </w:r>
      <w:r>
        <w:t xml:space="preserve">bulk gasoline terminal and </w:t>
      </w:r>
      <w:r w:rsidR="002B5815">
        <w:t xml:space="preserve">460 </w:t>
      </w:r>
      <w:r>
        <w:t xml:space="preserve">pipeline breakout stations), of which 25 percent will be within 50 percent of major source threshold criteria (i.e., </w:t>
      </w:r>
      <w:r w:rsidR="002B5815">
        <w:t>390</w:t>
      </w:r>
      <w:r>
        <w:t>)</w:t>
      </w:r>
      <w:r w:rsidR="00743535">
        <w:t>, who</w:t>
      </w:r>
      <w:r>
        <w:t xml:space="preserve"> will be required to conduct an annual certification testing.</w:t>
      </w:r>
      <w:r w:rsidR="00743535">
        <w:t xml:space="preserve"> This estimate was developed by the Agency in consultation with industry, including the API and the </w:t>
      </w:r>
      <w:r w:rsidR="00743535">
        <w:lastRenderedPageBreak/>
        <w:t>National Petrochemical and Refiners Association (NPRA), for the development of the recent residual risk rule addressing the same source category.</w:t>
      </w: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p>
    <w:p w:rsidR="00CF09DE" w:rsidRPr="00CF09DE" w:rsidRDefault="00B77EF1">
      <w:pPr>
        <w:pBdr>
          <w:top w:val="single" w:sz="6" w:space="0" w:color="FFFFFF"/>
          <w:left w:val="single" w:sz="6" w:space="0" w:color="FFFFFF"/>
          <w:bottom w:val="single" w:sz="6" w:space="0" w:color="FFFFFF"/>
          <w:right w:val="single" w:sz="6" w:space="0" w:color="FFFFFF"/>
        </w:pBdr>
        <w:ind w:firstLine="720"/>
      </w:pPr>
      <w:r w:rsidRPr="00B77EF1">
        <w:t>The active (previous) ICR had the following Terms of Clearance (TOC):</w:t>
      </w:r>
    </w:p>
    <w:p w:rsidR="00CF09DE" w:rsidRPr="00CF09DE" w:rsidRDefault="00CF09DE">
      <w:pPr>
        <w:pBdr>
          <w:top w:val="single" w:sz="6" w:space="0" w:color="FFFFFF"/>
          <w:left w:val="single" w:sz="6" w:space="0" w:color="FFFFFF"/>
          <w:bottom w:val="single" w:sz="6" w:space="0" w:color="FFFFFF"/>
          <w:right w:val="single" w:sz="6" w:space="0" w:color="FFFFFF"/>
        </w:pBdr>
        <w:ind w:firstLine="720"/>
      </w:pPr>
    </w:p>
    <w:p w:rsidR="00CF09DE" w:rsidRDefault="00B77EF1" w:rsidP="00743535">
      <w:pPr>
        <w:pBdr>
          <w:top w:val="single" w:sz="6" w:space="0" w:color="FFFFFF"/>
          <w:left w:val="single" w:sz="6" w:space="0" w:color="FFFFFF"/>
          <w:bottom w:val="single" w:sz="6" w:space="0" w:color="FFFFFF"/>
          <w:right w:val="single" w:sz="6" w:space="0" w:color="FFFFFF"/>
        </w:pBdr>
        <w:ind w:left="1440"/>
        <w:rPr>
          <w:color w:val="FF0000"/>
        </w:rPr>
      </w:pPr>
      <w:r w:rsidRPr="00B77EF1">
        <w:t>When this ICR is renewed, EPA should review the respondent burden, universe, labor rates, and capital costs and ensure these estimates have been updated.</w:t>
      </w:r>
    </w:p>
    <w:p w:rsidR="00CF09DE" w:rsidRPr="00CF09DE" w:rsidRDefault="00CF09DE">
      <w:pPr>
        <w:pBdr>
          <w:top w:val="single" w:sz="6" w:space="0" w:color="FFFFFF"/>
          <w:left w:val="single" w:sz="6" w:space="0" w:color="FFFFFF"/>
          <w:bottom w:val="single" w:sz="6" w:space="0" w:color="FFFFFF"/>
          <w:right w:val="single" w:sz="6" w:space="0" w:color="FFFFFF"/>
        </w:pBdr>
        <w:ind w:firstLine="720"/>
      </w:pPr>
    </w:p>
    <w:p w:rsidR="00CF09DE" w:rsidRDefault="00B77EF1">
      <w:pPr>
        <w:pBdr>
          <w:top w:val="single" w:sz="6" w:space="0" w:color="FFFFFF"/>
          <w:left w:val="single" w:sz="6" w:space="0" w:color="FFFFFF"/>
          <w:bottom w:val="single" w:sz="6" w:space="0" w:color="FFFFFF"/>
          <w:right w:val="single" w:sz="6" w:space="0" w:color="FFFFFF"/>
        </w:pBdr>
        <w:ind w:firstLine="720"/>
        <w:rPr>
          <w:color w:val="FF0000"/>
        </w:rPr>
      </w:pPr>
      <w:r w:rsidRPr="00B77EF1">
        <w:t xml:space="preserve">EPA has addressed each item of concern in the TOC by </w:t>
      </w:r>
      <w:r w:rsidR="00743535">
        <w:t>consulting</w:t>
      </w:r>
      <w:r w:rsidRPr="00B77EF1">
        <w:t xml:space="preserve"> with industry</w:t>
      </w:r>
      <w:r w:rsidR="00743535">
        <w:t xml:space="preserve"> and updating all burden estimates using the latest labor rates</w:t>
      </w:r>
      <w:r w:rsidRPr="00B77EF1">
        <w:t>.</w:t>
      </w:r>
      <w:r w:rsidR="00CF09DE" w:rsidRPr="009D6567">
        <w:rPr>
          <w:color w:val="FF0000"/>
        </w:rPr>
        <w:t xml:space="preserve"> </w:t>
      </w:r>
    </w:p>
    <w:p w:rsidR="00CF09DE" w:rsidRDefault="00CF09DE">
      <w:pPr>
        <w:pBdr>
          <w:top w:val="single" w:sz="6" w:space="0" w:color="FFFFFF"/>
          <w:left w:val="single" w:sz="6" w:space="0" w:color="FFFFFF"/>
          <w:bottom w:val="single" w:sz="6" w:space="0" w:color="FFFFFF"/>
          <w:right w:val="single" w:sz="6" w:space="0" w:color="FFFFFF"/>
        </w:pBdr>
        <w:ind w:firstLine="720"/>
        <w:rPr>
          <w:color w:val="FF0000"/>
        </w:rPr>
      </w:pPr>
    </w:p>
    <w:p w:rsidR="00CF09DE" w:rsidRPr="00CF09DE" w:rsidRDefault="00CF09DE" w:rsidP="002B29A5">
      <w:r>
        <w:tab/>
      </w:r>
      <w:r w:rsidR="00B77EF1" w:rsidRPr="00B77EF1">
        <w:t xml:space="preserve">The burden to the “Affected Public” may be found in Table 1: Annual Respondent Burden and Cost </w:t>
      </w:r>
      <w:r w:rsidRPr="004B4278">
        <w:t>–</w:t>
      </w:r>
      <w:r w:rsidR="00B77EF1" w:rsidRPr="00B77EF1">
        <w:t xml:space="preserve"> </w:t>
      </w:r>
      <w:r w:rsidR="00B77EF1" w:rsidRPr="00B77EF1">
        <w:rPr>
          <w:bCs/>
        </w:rPr>
        <w:t>NESHAP for Gasoline Distribution Facilities (40 CFR Part 63, Subpart R)</w:t>
      </w:r>
      <w:r w:rsidR="00B77EF1" w:rsidRPr="00B77EF1">
        <w:t xml:space="preserve"> (Renewal).  </w:t>
      </w:r>
      <w:r>
        <w:t>T</w:t>
      </w:r>
      <w:r w:rsidR="00B77EF1" w:rsidRPr="00B77EF1">
        <w:t xml:space="preserve">he </w:t>
      </w:r>
      <w:r w:rsidR="00613493">
        <w:t>“</w:t>
      </w:r>
      <w:r w:rsidR="00B77EF1" w:rsidRPr="00B77EF1">
        <w:t>burden</w:t>
      </w:r>
      <w:r w:rsidR="00613493">
        <w:t>”</w:t>
      </w:r>
      <w:r w:rsidR="00B77EF1" w:rsidRPr="00B77EF1">
        <w:t xml:space="preserve"> to the Federal Government is attributed entirely to work performed by </w:t>
      </w:r>
      <w:r w:rsidR="00613493">
        <w:t>either F</w:t>
      </w:r>
      <w:r w:rsidR="00B77EF1" w:rsidRPr="00B77EF1">
        <w:t xml:space="preserve">ederal employees or government contractors and </w:t>
      </w:r>
      <w:r>
        <w:t xml:space="preserve">may be found </w:t>
      </w:r>
      <w:r w:rsidR="00987C09">
        <w:t xml:space="preserve">below </w:t>
      </w:r>
      <w:r>
        <w:t>in</w:t>
      </w:r>
      <w:r w:rsidR="00B77EF1" w:rsidRPr="00B77EF1">
        <w:t xml:space="preserve"> Table 2: Average Annual EPA Burden and Cost </w:t>
      </w:r>
      <w:r w:rsidRPr="004B4278">
        <w:t>–</w:t>
      </w:r>
      <w:r w:rsidR="00B77EF1" w:rsidRPr="00B77EF1">
        <w:t xml:space="preserve"> </w:t>
      </w:r>
      <w:r w:rsidR="00B77EF1" w:rsidRPr="00B77EF1">
        <w:rPr>
          <w:bCs/>
        </w:rPr>
        <w:t>NESHAP for Gasoline Distribution Facilities (40 CFR Part 63, Subpart R)</w:t>
      </w:r>
      <w:r w:rsidR="00B77EF1" w:rsidRPr="00B77EF1">
        <w:t xml:space="preserve"> (Renewal). </w:t>
      </w:r>
    </w:p>
    <w:p w:rsidR="00CF09DE" w:rsidRPr="009D6567" w:rsidRDefault="00CF09DE" w:rsidP="002B29A5">
      <w:pPr>
        <w:rPr>
          <w:color w:val="FF0000"/>
        </w:rPr>
      </w:pPr>
    </w:p>
    <w:p w:rsidR="00CF09DE" w:rsidRDefault="00CF09DE">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F09DE" w:rsidRPr="00CF09DE" w:rsidRDefault="00CF09DE">
      <w:pPr>
        <w:pBdr>
          <w:top w:val="single" w:sz="6" w:space="0" w:color="FFFFFF"/>
          <w:left w:val="single" w:sz="6" w:space="0" w:color="FFFFFF"/>
          <w:bottom w:val="single" w:sz="6" w:space="0" w:color="FFFFFF"/>
          <w:right w:val="single" w:sz="6" w:space="0" w:color="FFFFFF"/>
        </w:pBdr>
      </w:pPr>
    </w:p>
    <w:p w:rsidR="00CF09DE" w:rsidRPr="00CF09DE" w:rsidRDefault="00B77EF1">
      <w:pPr>
        <w:pBdr>
          <w:top w:val="single" w:sz="6" w:space="0" w:color="FFFFFF"/>
          <w:left w:val="single" w:sz="6" w:space="0" w:color="FFFFFF"/>
          <w:bottom w:val="single" w:sz="6" w:space="0" w:color="FFFFFF"/>
          <w:right w:val="single" w:sz="6" w:space="0" w:color="FFFFFF"/>
        </w:pBdr>
        <w:ind w:firstLine="720"/>
      </w:pPr>
      <w:r w:rsidRPr="00B77EF1">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F09DE" w:rsidRPr="00CF09DE" w:rsidRDefault="00CF09DE">
      <w:pPr>
        <w:pBdr>
          <w:top w:val="single" w:sz="6" w:space="0" w:color="FFFFFF"/>
          <w:left w:val="single" w:sz="6" w:space="0" w:color="FFFFFF"/>
          <w:bottom w:val="single" w:sz="6" w:space="0" w:color="FFFFFF"/>
          <w:right w:val="single" w:sz="6" w:space="0" w:color="FFFFFF"/>
        </w:pBdr>
      </w:pPr>
    </w:p>
    <w:p w:rsidR="00CF09DE" w:rsidRPr="00CF09DE" w:rsidRDefault="00B77EF1">
      <w:pPr>
        <w:pBdr>
          <w:top w:val="single" w:sz="6" w:space="0" w:color="FFFFFF"/>
          <w:left w:val="single" w:sz="6" w:space="0" w:color="FFFFFF"/>
          <w:bottom w:val="single" w:sz="6" w:space="0" w:color="FFFFFF"/>
          <w:right w:val="single" w:sz="6" w:space="0" w:color="FFFFFF"/>
        </w:pBdr>
        <w:ind w:left="1440" w:right="1440"/>
      </w:pPr>
      <w:r w:rsidRPr="00B77EF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Pr="00CF09DE" w:rsidRDefault="00CF09DE">
      <w:pPr>
        <w:pBdr>
          <w:top w:val="single" w:sz="6" w:space="0" w:color="FFFFFF"/>
          <w:left w:val="single" w:sz="6" w:space="0" w:color="FFFFFF"/>
          <w:bottom w:val="single" w:sz="6" w:space="0" w:color="FFFFFF"/>
          <w:right w:val="single" w:sz="6" w:space="0" w:color="FFFFFF"/>
        </w:pBdr>
        <w:ind w:firstLine="720"/>
      </w:pPr>
      <w:r>
        <w:rPr>
          <w:color w:val="000000"/>
        </w:rPr>
        <w:t>In the Administrator's judgment,</w:t>
      </w:r>
      <w:r>
        <w:rPr>
          <w:color w:val="FF0000"/>
        </w:rPr>
        <w:t xml:space="preserve"> </w:t>
      </w:r>
      <w:r w:rsidR="00B77EF1" w:rsidRPr="00B77EF1">
        <w:t xml:space="preserve">benzene and </w:t>
      </w:r>
      <w:r w:rsidR="00743535">
        <w:t>other HAP</w:t>
      </w:r>
      <w:r>
        <w:rPr>
          <w:color w:val="000000"/>
        </w:rPr>
        <w:t xml:space="preserve"> emissions from gasoline distribution facilities</w:t>
      </w:r>
      <w:r w:rsidDel="00EF6222">
        <w:rPr>
          <w:color w:val="FF0000"/>
        </w:rPr>
        <w:t xml:space="preserve"> </w:t>
      </w:r>
      <w:r>
        <w:rPr>
          <w:color w:val="000000"/>
        </w:rPr>
        <w:t>cause or contribute to air pollution that may reasonably be anticipated to endanger public health or welfare.  Th</w:t>
      </w:r>
      <w:r w:rsidR="00B77EF1" w:rsidRPr="00B77EF1">
        <w:t xml:space="preserve">erefore, the NESHAP were promulgated for this source </w:t>
      </w:r>
      <w:r w:rsidR="00B77EF1" w:rsidRPr="00B77EF1">
        <w:lastRenderedPageBreak/>
        <w:t>category at 40 CFR part 63,</w:t>
      </w:r>
      <w:r w:rsidR="00B77EF1" w:rsidRPr="00B77EF1">
        <w:rPr>
          <w:b/>
          <w:bCs/>
          <w:i/>
          <w:iCs/>
        </w:rPr>
        <w:t xml:space="preserve"> </w:t>
      </w:r>
      <w:r w:rsidR="00B77EF1" w:rsidRPr="00B77EF1">
        <w:t>subpart R.</w:t>
      </w: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w:t>
      </w:r>
      <w:r w:rsidR="00613493">
        <w:rPr>
          <w:color w:val="000000"/>
        </w:rPr>
        <w:t xml:space="preserve"> </w:t>
      </w:r>
      <w:r>
        <w:rPr>
          <w:color w:val="000000"/>
        </w:rPr>
        <w:t>the applicable regulations which where promulgated in accordance with the Clean Air Act.  The collected information is also used for targeting inspections and as evidence in legal proceedings.</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Performance tests are required in order to determine an affected facility’s initial capability to comply with the emission standard. Continuous emission monitors are used to ensure compliance with the standard at all times. </w:t>
      </w:r>
      <w:r w:rsidRPr="00167A29">
        <w:t>During the performance test a record of the operating parameters under which compliance was achieved may be recorded and used to determine compliance in place of a continuous emission monitor.</w:t>
      </w:r>
      <w:r>
        <w:rPr>
          <w:color w:val="FF0000"/>
        </w:rPr>
        <w:t xml:space="preserve">  </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if </w:t>
      </w:r>
      <w:r w:rsidRPr="00D1231B">
        <w:t>the pollution control devices are properly installed and operated, leaks are being detected and repaired, and</w:t>
      </w:r>
      <w:r>
        <w:rPr>
          <w:color w:val="000000"/>
        </w:rPr>
        <w:t xml:space="preserve"> the standard are being met.  The performance test may also be observed.</w:t>
      </w: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B77EF1" w:rsidRPr="00B77EF1">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6427AB">
        <w:rPr>
          <w:b/>
          <w:bCs/>
          <w:color w:val="000000"/>
        </w:rPr>
        <w:t>-</w:t>
      </w:r>
      <w:r>
        <w:rPr>
          <w:b/>
          <w:bCs/>
          <w:color w:val="000000"/>
        </w:rPr>
        <w:t>duplication, Consultations, and Other Collection Criteria</w:t>
      </w:r>
    </w:p>
    <w:p w:rsidR="00CF09DE" w:rsidRDefault="00CF09DE">
      <w:pPr>
        <w:pBdr>
          <w:top w:val="single" w:sz="6" w:space="0" w:color="FFFFFF"/>
          <w:left w:val="single" w:sz="6" w:space="0" w:color="FFFFFF"/>
          <w:bottom w:val="single" w:sz="6" w:space="0" w:color="FFFFFF"/>
          <w:right w:val="single" w:sz="6" w:space="0" w:color="FFFFFF"/>
        </w:pBdr>
        <w:rPr>
          <w:b/>
          <w:bCs/>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63, subpart R.</w:t>
      </w:r>
    </w:p>
    <w:p w:rsidR="00CF09DE" w:rsidRDefault="00CF09DE">
      <w:pPr>
        <w:pBdr>
          <w:top w:val="single" w:sz="6" w:space="0" w:color="FFFFFF"/>
          <w:left w:val="single" w:sz="6" w:space="0" w:color="FFFFFF"/>
          <w:bottom w:val="single" w:sz="6" w:space="0" w:color="FFFFFF"/>
          <w:right w:val="single" w:sz="6" w:space="0" w:color="FFFFFF"/>
        </w:pBdr>
        <w:rPr>
          <w:b/>
          <w:bCs/>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6427AB">
        <w:rPr>
          <w:b/>
          <w:bCs/>
          <w:color w:val="000000"/>
        </w:rPr>
        <w:t>-</w:t>
      </w:r>
      <w:r>
        <w:rPr>
          <w:b/>
          <w:bCs/>
          <w:color w:val="000000"/>
        </w:rPr>
        <w:t>duplication</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w:t>
      </w:r>
      <w:r w:rsidR="00613493">
        <w:rPr>
          <w:color w:val="000000"/>
        </w:rPr>
        <w:t xml:space="preserve">    </w:t>
      </w:r>
      <w:r>
        <w:rPr>
          <w:color w:val="000000"/>
        </w:rPr>
        <w:t xml:space="preserve">can be sent to the Administrator in lieu of the report required by the Federal standards.  Therefore, duplication </w:t>
      </w:r>
      <w:r w:rsidR="00613493">
        <w:rPr>
          <w:color w:val="000000"/>
        </w:rPr>
        <w:t xml:space="preserve">does not </w:t>
      </w:r>
      <w:r>
        <w:rPr>
          <w:color w:val="000000"/>
        </w:rPr>
        <w:t>exist.</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B77EF1" w:rsidRPr="00B77EF1">
        <w:t xml:space="preserve">77 </w:t>
      </w:r>
      <w:r w:rsidR="00B77EF1" w:rsidRPr="00B77EF1">
        <w:rPr>
          <w:u w:val="single"/>
        </w:rPr>
        <w:t>FR</w:t>
      </w:r>
      <w:r w:rsidR="00B77EF1" w:rsidRPr="00B77EF1">
        <w:t xml:space="preserve"> 63813) on October 17, 2012</w:t>
      </w:r>
      <w:r>
        <w:rPr>
          <w:color w:val="000000"/>
        </w:rPr>
        <w:t>.</w:t>
      </w:r>
      <w:r>
        <w:rPr>
          <w:color w:val="FF0000"/>
        </w:rPr>
        <w:t xml:space="preserve">  </w:t>
      </w:r>
      <w:r w:rsidR="00B77EF1" w:rsidRPr="00B77EF1">
        <w:t xml:space="preserve">No comments were received on the burden published in the </w:t>
      </w:r>
      <w:r w:rsidR="00B77EF1" w:rsidRPr="00B77EF1">
        <w:rPr>
          <w:u w:val="single"/>
        </w:rPr>
        <w:t>Federal Register</w:t>
      </w:r>
      <w:r w:rsidR="00B77EF1" w:rsidRPr="00B77EF1">
        <w:t>.</w:t>
      </w:r>
      <w:r>
        <w:rPr>
          <w:color w:val="FF0000"/>
        </w:rPr>
        <w:t xml:space="preserve"> </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E50530" w:rsidRDefault="00E50530" w:rsidP="00123889">
      <w:pPr>
        <w:pBdr>
          <w:top w:val="single" w:sz="6" w:space="0" w:color="FFFFFF"/>
          <w:left w:val="single" w:sz="6" w:space="0" w:color="FFFFFF"/>
          <w:bottom w:val="single" w:sz="6" w:space="0" w:color="FFFFFF"/>
          <w:right w:val="single" w:sz="6" w:space="0" w:color="FFFFFF"/>
        </w:pBdr>
        <w:ind w:firstLine="720"/>
        <w:rPr>
          <w:b/>
          <w:bCs/>
          <w:color w:val="000000"/>
        </w:rPr>
      </w:pPr>
    </w:p>
    <w:p w:rsidR="00E50530" w:rsidRDefault="00E50530" w:rsidP="00123889">
      <w:pPr>
        <w:pBdr>
          <w:top w:val="single" w:sz="6" w:space="0" w:color="FFFFFF"/>
          <w:left w:val="single" w:sz="6" w:space="0" w:color="FFFFFF"/>
          <w:bottom w:val="single" w:sz="6" w:space="0" w:color="FFFFFF"/>
          <w:right w:val="single" w:sz="6" w:space="0" w:color="FFFFFF"/>
        </w:pBdr>
        <w:ind w:firstLine="720"/>
        <w:rPr>
          <w:b/>
          <w:bCs/>
          <w:color w:val="000000"/>
        </w:rPr>
      </w:pPr>
    </w:p>
    <w:p w:rsidR="00CF09DE" w:rsidRDefault="00CF09DE"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  Consultations</w:t>
      </w:r>
    </w:p>
    <w:p w:rsidR="00CF09DE" w:rsidRDefault="00CF09DE" w:rsidP="00D92F66">
      <w:pPr>
        <w:spacing w:line="244" w:lineRule="exact"/>
        <w:rPr>
          <w:color w:val="FF0000"/>
        </w:rPr>
      </w:pPr>
    </w:p>
    <w:p w:rsidR="00CF09DE" w:rsidRPr="00895D0F" w:rsidRDefault="00CF09DE" w:rsidP="00527EE6">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w:t>
      </w:r>
      <w:r w:rsidR="00E50530">
        <w:t xml:space="preserve">   </w:t>
      </w:r>
      <w:r w:rsidRPr="00895D0F">
        <w:t xml:space="preserve">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CF09DE" w:rsidRPr="00895D0F" w:rsidRDefault="00CF09DE" w:rsidP="00527EE6"/>
    <w:p w:rsidR="00CF09DE" w:rsidRPr="00895D0F" w:rsidRDefault="00CF09DE" w:rsidP="00527EE6">
      <w:pPr>
        <w:ind w:firstLine="720"/>
      </w:pPr>
      <w:r w:rsidRPr="00895D0F">
        <w:t xml:space="preserve">Industry trade associations and other interested parties were provided an opportunity to comment on the burden associated with the standard as it was being developed and the standard has been reviewed </w:t>
      </w:r>
      <w:r w:rsidR="003F340B" w:rsidRPr="00895D0F">
        <w:t>previously</w:t>
      </w:r>
      <w:r w:rsidR="003F340B" w:rsidRPr="00895D0F">
        <w:t xml:space="preserve"> </w:t>
      </w:r>
      <w:r w:rsidRPr="00895D0F">
        <w:t xml:space="preserve">to determine the minimum information needed for compliance purposes.  In developing this ICR, </w:t>
      </w:r>
      <w:r>
        <w:t>we contacted</w:t>
      </w:r>
      <w:r w:rsidR="00FC33DE">
        <w:t>: 1)</w:t>
      </w:r>
      <w:r>
        <w:t xml:space="preserve"> the American Petroleum Institute</w:t>
      </w:r>
      <w:r w:rsidR="00FC33DE">
        <w:t>,</w:t>
      </w:r>
      <w:r>
        <w:t xml:space="preserve"> </w:t>
      </w:r>
      <w:r w:rsidRPr="00E3253B">
        <w:t>at (</w:t>
      </w:r>
      <w:r>
        <w:t xml:space="preserve">202) 682-8000, </w:t>
      </w:r>
      <w:r w:rsidRPr="00E3253B">
        <w:t xml:space="preserve">and </w:t>
      </w:r>
      <w:r w:rsidR="00FC33DE">
        <w:t xml:space="preserve">2) the </w:t>
      </w:r>
      <w:r>
        <w:t>General Petroleum</w:t>
      </w:r>
      <w:r w:rsidR="00FC33DE">
        <w:t>,</w:t>
      </w:r>
      <w:r>
        <w:t xml:space="preserve"> </w:t>
      </w:r>
      <w:r w:rsidRPr="00E3253B">
        <w:t>at (</w:t>
      </w:r>
      <w:r>
        <w:t>800</w:t>
      </w:r>
      <w:r w:rsidRPr="00E3253B">
        <w:t xml:space="preserve">) </w:t>
      </w:r>
      <w:r>
        <w:t>659</w:t>
      </w:r>
      <w:r w:rsidRPr="00E3253B">
        <w:t>-</w:t>
      </w:r>
      <w:r>
        <w:t>5823</w:t>
      </w:r>
      <w:r w:rsidRPr="00E3253B">
        <w:t>.</w:t>
      </w:r>
      <w:r w:rsidRPr="00895D0F">
        <w:t xml:space="preserve"> </w:t>
      </w:r>
    </w:p>
    <w:p w:rsidR="00CF09DE" w:rsidRPr="00895D0F" w:rsidRDefault="00CF09DE" w:rsidP="00527EE6"/>
    <w:p w:rsidR="00CF09DE" w:rsidRDefault="00CF09DE">
      <w:pPr>
        <w:pBdr>
          <w:top w:val="single" w:sz="6" w:space="0" w:color="FFFFFF"/>
          <w:left w:val="single" w:sz="6" w:space="0" w:color="FFFFFF"/>
          <w:bottom w:val="single" w:sz="6" w:space="0" w:color="FFFFFF"/>
          <w:right w:val="single" w:sz="6" w:space="0" w:color="FFFFFF"/>
        </w:pBdr>
        <w:ind w:firstLine="72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3F340B">
        <w:rPr>
          <w:color w:val="000000"/>
        </w:rPr>
        <w:t xml:space="preserve">  </w:t>
      </w:r>
      <w:r>
        <w:rPr>
          <w:color w:val="000000"/>
        </w:rPr>
        <w:t xml:space="preserve">are applied and emission limitations are met.  If the information required by these standards </w:t>
      </w:r>
      <w:r w:rsidR="003F340B">
        <w:rPr>
          <w:color w:val="000000"/>
        </w:rPr>
        <w:t xml:space="preserve">   </w:t>
      </w:r>
      <w:r>
        <w:rPr>
          <w:color w:val="000000"/>
        </w:rPr>
        <w:t xml:space="preserve">was collected less frequently, the proper operation and maintenance of control equipment and </w:t>
      </w:r>
      <w:r w:rsidR="003F340B">
        <w:rPr>
          <w:color w:val="000000"/>
        </w:rPr>
        <w:t xml:space="preserve"> </w:t>
      </w:r>
      <w:r>
        <w:rPr>
          <w:color w:val="000000"/>
        </w:rPr>
        <w:t>the possibility of detecting violations would be less likely.</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reporting or recordkeeping requirements do not violate any of the regulations promulgated by OMB under 5 CFR part 1320, section 1320.5.</w:t>
      </w:r>
    </w:p>
    <w:p w:rsidR="00CF09DE" w:rsidRPr="00CF09DE" w:rsidRDefault="00CF09DE">
      <w:pPr>
        <w:pBdr>
          <w:top w:val="single" w:sz="6" w:space="0" w:color="FFFFFF"/>
          <w:left w:val="single" w:sz="6" w:space="0" w:color="FFFFFF"/>
          <w:bottom w:val="single" w:sz="6" w:space="0" w:color="FFFFFF"/>
          <w:right w:val="single" w:sz="6" w:space="0" w:color="FFFFFF"/>
        </w:pBdr>
      </w:pPr>
    </w:p>
    <w:p w:rsidR="00CF09DE" w:rsidRPr="00CF09DE" w:rsidRDefault="00B77EF1">
      <w:pPr>
        <w:pBdr>
          <w:top w:val="single" w:sz="6" w:space="0" w:color="FFFFFF"/>
          <w:left w:val="single" w:sz="6" w:space="0" w:color="FFFFFF"/>
          <w:bottom w:val="single" w:sz="6" w:space="0" w:color="FFFFFF"/>
          <w:right w:val="single" w:sz="6" w:space="0" w:color="FFFFFF"/>
        </w:pBdr>
        <w:ind w:firstLine="720"/>
      </w:pPr>
      <w:r w:rsidRPr="00B77EF1">
        <w:t>These standards require the respondents to maintain all records, including reports and notifications for at least five years.  This is consistent with the General Provisions as applied to the standards.  EPA believes that the five</w:t>
      </w:r>
      <w:r w:rsidR="003F340B">
        <w:t>-</w:t>
      </w:r>
      <w:r w:rsidRPr="00B77EF1">
        <w:t>year records retention requirement is consistent the Part 70 permit program and the five</w:t>
      </w:r>
      <w:r w:rsidR="0085298E">
        <w:t>-</w:t>
      </w:r>
      <w:r w:rsidRPr="00B77EF1">
        <w:t>year statute of limitations on which the permit program is based.  The retention of records for five</w:t>
      </w:r>
      <w:r w:rsidR="003F340B">
        <w:t xml:space="preserve"> </w:t>
      </w:r>
      <w:r w:rsidRPr="00B77EF1">
        <w:t>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3F340B" w:rsidRDefault="003F340B">
      <w:pPr>
        <w:pBdr>
          <w:top w:val="single" w:sz="6" w:space="0" w:color="FFFFFF"/>
          <w:left w:val="single" w:sz="6" w:space="0" w:color="FFFFFF"/>
          <w:bottom w:val="single" w:sz="6" w:space="0" w:color="FFFFFF"/>
          <w:right w:val="single" w:sz="6" w:space="0" w:color="FFFFFF"/>
        </w:pBdr>
        <w:ind w:firstLine="720"/>
        <w:rPr>
          <w:b/>
          <w:bCs/>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  Confidentiality</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7405CF">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reporting or recordkeeping requirements in the standard do not include sensitive questions.</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CF09DE" w:rsidRDefault="00CF09DE">
      <w:pPr>
        <w:pBdr>
          <w:top w:val="single" w:sz="6" w:space="0" w:color="FFFFFF"/>
          <w:left w:val="single" w:sz="6" w:space="0" w:color="FFFFFF"/>
          <w:bottom w:val="single" w:sz="6" w:space="0" w:color="FFFFFF"/>
          <w:right w:val="single" w:sz="6" w:space="0" w:color="FFFFFF"/>
        </w:pBdr>
        <w:rPr>
          <w:b/>
          <w:bCs/>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respondents to the recordkeeping and reporting requirements are major sources that transfer and store gasoline, including pipeline breakout stations and bulk terminals.  The United States Standard Industrial Classification (SIC) codes for the respondents affected by the standards and corresponding North American Industry Classification System (NAICS) codes may be found in the following table.</w:t>
      </w:r>
    </w:p>
    <w:p w:rsidR="00CF09DE" w:rsidRDefault="00CF09DE">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tblPr>
      <w:tblGrid>
        <w:gridCol w:w="5490"/>
        <w:gridCol w:w="1350"/>
        <w:gridCol w:w="2520"/>
      </w:tblGrid>
      <w:tr w:rsidR="00CF09DE" w:rsidTr="004C6D5D">
        <w:tc>
          <w:tcPr>
            <w:tcW w:w="5490" w:type="dxa"/>
            <w:tcBorders>
              <w:top w:val="single" w:sz="6" w:space="0" w:color="000000"/>
              <w:left w:val="single" w:sz="6" w:space="0" w:color="000000"/>
              <w:bottom w:val="single" w:sz="6" w:space="0" w:color="auto"/>
              <w:right w:val="single" w:sz="6" w:space="0" w:color="FFFFFF"/>
            </w:tcBorders>
          </w:tcPr>
          <w:p w:rsidR="00CF09DE" w:rsidRDefault="00CF09DE" w:rsidP="00621F80">
            <w:pPr>
              <w:spacing w:line="120" w:lineRule="exact"/>
              <w:jc w:val="center"/>
              <w:rPr>
                <w:color w:val="000000"/>
              </w:rPr>
            </w:pPr>
          </w:p>
          <w:p w:rsidR="00CF09DE" w:rsidRDefault="00CF09DE" w:rsidP="00621F80">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 xml:space="preserve">Standard </w:t>
            </w:r>
            <w:r w:rsidR="00182456">
              <w:rPr>
                <w:b/>
                <w:bCs/>
                <w:color w:val="000000"/>
              </w:rPr>
              <w:t>(6</w:t>
            </w:r>
            <w:r>
              <w:rPr>
                <w:b/>
                <w:bCs/>
                <w:color w:val="000000"/>
              </w:rPr>
              <w:t xml:space="preserve">0 CFR </w:t>
            </w:r>
            <w:r w:rsidR="00182456">
              <w:rPr>
                <w:b/>
                <w:bCs/>
                <w:color w:val="000000"/>
              </w:rPr>
              <w:t>P</w:t>
            </w:r>
            <w:r>
              <w:rPr>
                <w:b/>
                <w:bCs/>
                <w:color w:val="000000"/>
              </w:rPr>
              <w:t xml:space="preserve">art 63, </w:t>
            </w:r>
            <w:r w:rsidR="00182456">
              <w:rPr>
                <w:b/>
                <w:bCs/>
                <w:color w:val="000000"/>
              </w:rPr>
              <w:t>S</w:t>
            </w:r>
            <w:r>
              <w:rPr>
                <w:b/>
                <w:bCs/>
                <w:color w:val="000000"/>
              </w:rPr>
              <w:t>ubpart R</w:t>
            </w:r>
            <w:r w:rsidR="00182456">
              <w:rPr>
                <w:b/>
                <w:bCs/>
                <w:color w:val="000000"/>
              </w:rPr>
              <w:t>)</w:t>
            </w:r>
            <w:r>
              <w:rPr>
                <w:b/>
                <w:bCs/>
                <w:color w:val="000000"/>
              </w:rPr>
              <w:t xml:space="preserve"> </w:t>
            </w:r>
          </w:p>
        </w:tc>
        <w:tc>
          <w:tcPr>
            <w:tcW w:w="1350" w:type="dxa"/>
            <w:tcBorders>
              <w:top w:val="single" w:sz="6" w:space="0" w:color="000000"/>
              <w:left w:val="single" w:sz="6" w:space="0" w:color="000000"/>
              <w:bottom w:val="single" w:sz="6" w:space="0" w:color="auto"/>
              <w:right w:val="single" w:sz="6" w:space="0" w:color="FFFFFF"/>
            </w:tcBorders>
          </w:tcPr>
          <w:p w:rsidR="00CF09DE" w:rsidRDefault="00CF09DE" w:rsidP="00621F80">
            <w:pPr>
              <w:spacing w:line="120" w:lineRule="exact"/>
              <w:jc w:val="center"/>
              <w:rPr>
                <w:b/>
                <w:bCs/>
                <w:color w:val="000000"/>
              </w:rPr>
            </w:pPr>
          </w:p>
          <w:p w:rsidR="00CF09DE" w:rsidRDefault="00CF09DE" w:rsidP="00621F80">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520" w:type="dxa"/>
            <w:tcBorders>
              <w:top w:val="single" w:sz="6" w:space="0" w:color="000000"/>
              <w:left w:val="single" w:sz="6" w:space="0" w:color="000000"/>
              <w:bottom w:val="single" w:sz="6" w:space="0" w:color="auto"/>
              <w:right w:val="single" w:sz="6" w:space="0" w:color="000000"/>
            </w:tcBorders>
          </w:tcPr>
          <w:p w:rsidR="00CF09DE" w:rsidRDefault="00CF09DE" w:rsidP="00621F80">
            <w:pPr>
              <w:spacing w:line="120" w:lineRule="exact"/>
              <w:jc w:val="center"/>
              <w:rPr>
                <w:b/>
                <w:bCs/>
                <w:color w:val="000000"/>
              </w:rPr>
            </w:pPr>
          </w:p>
          <w:p w:rsidR="00CF09DE" w:rsidRDefault="00CF09DE" w:rsidP="00621F80">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CF09DE" w:rsidTr="004C6D5D">
        <w:tblPrEx>
          <w:tblCellMar>
            <w:left w:w="108" w:type="dxa"/>
            <w:right w:w="108" w:type="dxa"/>
          </w:tblCellMar>
        </w:tblPrEx>
        <w:tc>
          <w:tcPr>
            <w:tcW w:w="5490" w:type="dxa"/>
            <w:tcBorders>
              <w:top w:val="single" w:sz="6" w:space="0" w:color="auto"/>
              <w:left w:val="single" w:sz="6" w:space="0" w:color="auto"/>
              <w:bottom w:val="single" w:sz="6" w:space="0" w:color="auto"/>
              <w:right w:val="single" w:sz="6" w:space="0" w:color="auto"/>
            </w:tcBorders>
          </w:tcPr>
          <w:p w:rsidR="00CF09DE" w:rsidRDefault="004C6D5D">
            <w:pPr>
              <w:pBdr>
                <w:top w:val="single" w:sz="6" w:space="0" w:color="FFFFFF"/>
                <w:left w:val="single" w:sz="6" w:space="0" w:color="FFFFFF"/>
                <w:bottom w:val="single" w:sz="6" w:space="0" w:color="FFFFFF"/>
                <w:right w:val="single" w:sz="6" w:space="0" w:color="FFFFFF"/>
              </w:pBdr>
              <w:spacing w:after="54"/>
              <w:rPr>
                <w:color w:val="000000"/>
              </w:rPr>
            </w:pPr>
            <w:r>
              <w:rPr>
                <w:color w:val="000000"/>
              </w:rPr>
              <w:t>General Warehousing and Storage</w:t>
            </w:r>
          </w:p>
        </w:tc>
        <w:tc>
          <w:tcPr>
            <w:tcW w:w="1350" w:type="dxa"/>
            <w:tcBorders>
              <w:top w:val="single" w:sz="6" w:space="0" w:color="auto"/>
              <w:left w:val="single" w:sz="6" w:space="0" w:color="auto"/>
              <w:bottom w:val="single" w:sz="6" w:space="0" w:color="auto"/>
              <w:right w:val="single" w:sz="6" w:space="0" w:color="auto"/>
            </w:tcBorders>
            <w:vAlign w:val="center"/>
          </w:tcPr>
          <w:p w:rsidR="00CF09DE" w:rsidRDefault="004C6D5D" w:rsidP="004C6D5D">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4226</w:t>
            </w:r>
          </w:p>
        </w:tc>
        <w:tc>
          <w:tcPr>
            <w:tcW w:w="2520" w:type="dxa"/>
            <w:tcBorders>
              <w:top w:val="single" w:sz="6" w:space="0" w:color="auto"/>
              <w:left w:val="single" w:sz="6" w:space="0" w:color="auto"/>
              <w:bottom w:val="single" w:sz="6" w:space="0" w:color="auto"/>
              <w:right w:val="single" w:sz="6" w:space="0" w:color="auto"/>
            </w:tcBorders>
            <w:vAlign w:val="center"/>
          </w:tcPr>
          <w:p w:rsidR="00CF09DE" w:rsidRDefault="004C6D5D" w:rsidP="004C6D5D">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49311</w:t>
            </w:r>
          </w:p>
        </w:tc>
      </w:tr>
      <w:tr w:rsidR="004C6D5D" w:rsidTr="004C6D5D">
        <w:tblPrEx>
          <w:tblCellMar>
            <w:left w:w="108" w:type="dxa"/>
            <w:right w:w="108" w:type="dxa"/>
          </w:tblCellMar>
        </w:tblPrEx>
        <w:tc>
          <w:tcPr>
            <w:tcW w:w="5490" w:type="dxa"/>
            <w:tcBorders>
              <w:top w:val="single" w:sz="6" w:space="0" w:color="auto"/>
              <w:left w:val="single" w:sz="6" w:space="0" w:color="auto"/>
              <w:bottom w:val="single" w:sz="6" w:space="0" w:color="auto"/>
              <w:right w:val="single" w:sz="6" w:space="0" w:color="auto"/>
            </w:tcBorders>
          </w:tcPr>
          <w:p w:rsidR="004C6D5D" w:rsidRDefault="004C6D5D" w:rsidP="00E81B25">
            <w:pPr>
              <w:pBdr>
                <w:top w:val="single" w:sz="6" w:space="0" w:color="FFFFFF"/>
                <w:left w:val="single" w:sz="6" w:space="0" w:color="FFFFFF"/>
                <w:bottom w:val="single" w:sz="6" w:space="0" w:color="FFFFFF"/>
                <w:right w:val="single" w:sz="6" w:space="0" w:color="FFFFFF"/>
              </w:pBdr>
              <w:spacing w:after="54"/>
              <w:rPr>
                <w:color w:val="000000"/>
              </w:rPr>
            </w:pPr>
            <w:r w:rsidRPr="00F13F11">
              <w:rPr>
                <w:color w:val="000000"/>
              </w:rPr>
              <w:t>Deep Sea, Coastal, and Great Lakes Water Transportation</w:t>
            </w:r>
          </w:p>
        </w:tc>
        <w:tc>
          <w:tcPr>
            <w:tcW w:w="1350" w:type="dxa"/>
            <w:tcBorders>
              <w:top w:val="single" w:sz="6" w:space="0" w:color="auto"/>
              <w:left w:val="single" w:sz="6" w:space="0" w:color="auto"/>
              <w:bottom w:val="single" w:sz="6" w:space="0" w:color="auto"/>
              <w:right w:val="single" w:sz="6" w:space="0" w:color="auto"/>
            </w:tcBorders>
            <w:vAlign w:val="center"/>
          </w:tcPr>
          <w:p w:rsidR="004C6D5D" w:rsidRDefault="004C6D5D" w:rsidP="00E81B25">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4400</w:t>
            </w:r>
          </w:p>
        </w:tc>
        <w:tc>
          <w:tcPr>
            <w:tcW w:w="2520" w:type="dxa"/>
            <w:tcBorders>
              <w:top w:val="single" w:sz="6" w:space="0" w:color="auto"/>
              <w:left w:val="single" w:sz="6" w:space="0" w:color="auto"/>
              <w:bottom w:val="single" w:sz="6" w:space="0" w:color="auto"/>
              <w:right w:val="single" w:sz="6" w:space="0" w:color="auto"/>
            </w:tcBorders>
            <w:vAlign w:val="center"/>
          </w:tcPr>
          <w:p w:rsidR="004C6D5D" w:rsidRDefault="004C6D5D" w:rsidP="00E81B25">
            <w:pPr>
              <w:pBdr>
                <w:top w:val="single" w:sz="6" w:space="0" w:color="FFFFFF"/>
                <w:left w:val="single" w:sz="6" w:space="0" w:color="FFFFFF"/>
                <w:bottom w:val="single" w:sz="6" w:space="0" w:color="FFFFFF"/>
                <w:right w:val="single" w:sz="6" w:space="0" w:color="FFFFFF"/>
              </w:pBdr>
              <w:spacing w:after="54"/>
              <w:jc w:val="center"/>
              <w:rPr>
                <w:color w:val="000000"/>
              </w:rPr>
            </w:pPr>
            <w:r w:rsidRPr="00683042">
              <w:t>48311</w:t>
            </w:r>
          </w:p>
        </w:tc>
      </w:tr>
      <w:tr w:rsidR="004C6D5D" w:rsidTr="004C6D5D">
        <w:tblPrEx>
          <w:tblCellMar>
            <w:left w:w="108" w:type="dxa"/>
            <w:right w:w="108" w:type="dxa"/>
          </w:tblCellMar>
        </w:tblPrEx>
        <w:tc>
          <w:tcPr>
            <w:tcW w:w="5490" w:type="dxa"/>
            <w:tcBorders>
              <w:top w:val="single" w:sz="6" w:space="0" w:color="auto"/>
              <w:left w:val="single" w:sz="6" w:space="0" w:color="auto"/>
              <w:bottom w:val="single" w:sz="6" w:space="0" w:color="auto"/>
              <w:right w:val="single" w:sz="6" w:space="0" w:color="auto"/>
            </w:tcBorders>
          </w:tcPr>
          <w:p w:rsidR="004C6D5D" w:rsidRDefault="004C6D5D">
            <w:pPr>
              <w:pBdr>
                <w:top w:val="single" w:sz="6" w:space="0" w:color="FFFFFF"/>
                <w:left w:val="single" w:sz="6" w:space="0" w:color="FFFFFF"/>
                <w:bottom w:val="single" w:sz="6" w:space="0" w:color="FFFFFF"/>
                <w:right w:val="single" w:sz="6" w:space="0" w:color="FFFFFF"/>
              </w:pBdr>
              <w:spacing w:after="54"/>
              <w:rPr>
                <w:color w:val="000000"/>
              </w:rPr>
            </w:pPr>
            <w:r w:rsidRPr="007A59AF">
              <w:rPr>
                <w:color w:val="000000"/>
              </w:rPr>
              <w:t>Other Chemical and Allied Products Merchant Wholesalers</w:t>
            </w:r>
          </w:p>
        </w:tc>
        <w:tc>
          <w:tcPr>
            <w:tcW w:w="1350" w:type="dxa"/>
            <w:tcBorders>
              <w:top w:val="single" w:sz="6" w:space="0" w:color="auto"/>
              <w:left w:val="single" w:sz="6" w:space="0" w:color="auto"/>
              <w:bottom w:val="single" w:sz="6" w:space="0" w:color="auto"/>
              <w:right w:val="single" w:sz="6" w:space="0" w:color="auto"/>
            </w:tcBorders>
            <w:vAlign w:val="center"/>
          </w:tcPr>
          <w:p w:rsidR="004C6D5D" w:rsidRDefault="004C6D5D" w:rsidP="004C6D5D">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5169</w:t>
            </w:r>
          </w:p>
        </w:tc>
        <w:tc>
          <w:tcPr>
            <w:tcW w:w="2520" w:type="dxa"/>
            <w:tcBorders>
              <w:top w:val="single" w:sz="6" w:space="0" w:color="auto"/>
              <w:left w:val="single" w:sz="6" w:space="0" w:color="auto"/>
              <w:bottom w:val="single" w:sz="6" w:space="0" w:color="auto"/>
              <w:right w:val="single" w:sz="6" w:space="0" w:color="auto"/>
            </w:tcBorders>
            <w:vAlign w:val="center"/>
          </w:tcPr>
          <w:p w:rsidR="004C6D5D" w:rsidRDefault="004C6D5D" w:rsidP="004C6D5D">
            <w:pPr>
              <w:pBdr>
                <w:top w:val="single" w:sz="6" w:space="0" w:color="FFFFFF"/>
                <w:left w:val="single" w:sz="6" w:space="0" w:color="FFFFFF"/>
                <w:bottom w:val="single" w:sz="6" w:space="0" w:color="FFFFFF"/>
                <w:right w:val="single" w:sz="6" w:space="0" w:color="FFFFFF"/>
              </w:pBdr>
              <w:spacing w:after="54"/>
              <w:jc w:val="center"/>
              <w:rPr>
                <w:color w:val="000000"/>
              </w:rPr>
            </w:pPr>
            <w:r w:rsidRPr="007A59AF">
              <w:rPr>
                <w:color w:val="000000"/>
              </w:rPr>
              <w:t>424690</w:t>
            </w:r>
          </w:p>
        </w:tc>
      </w:tr>
      <w:tr w:rsidR="004C6D5D" w:rsidTr="004C6D5D">
        <w:tblPrEx>
          <w:tblCellMar>
            <w:left w:w="108" w:type="dxa"/>
            <w:right w:w="108" w:type="dxa"/>
          </w:tblCellMar>
        </w:tblPrEx>
        <w:tc>
          <w:tcPr>
            <w:tcW w:w="5490" w:type="dxa"/>
            <w:tcBorders>
              <w:top w:val="single" w:sz="6" w:space="0" w:color="auto"/>
              <w:left w:val="single" w:sz="6" w:space="0" w:color="auto"/>
              <w:bottom w:val="single" w:sz="6" w:space="0" w:color="auto"/>
              <w:right w:val="single" w:sz="6" w:space="0" w:color="auto"/>
            </w:tcBorders>
          </w:tcPr>
          <w:p w:rsidR="004C6D5D" w:rsidRDefault="004C6D5D">
            <w:pPr>
              <w:pBdr>
                <w:top w:val="single" w:sz="6" w:space="0" w:color="FFFFFF"/>
                <w:left w:val="single" w:sz="6" w:space="0" w:color="FFFFFF"/>
                <w:bottom w:val="single" w:sz="6" w:space="0" w:color="FFFFFF"/>
                <w:right w:val="single" w:sz="6" w:space="0" w:color="FFFFFF"/>
              </w:pBdr>
              <w:spacing w:after="54"/>
              <w:rPr>
                <w:color w:val="000000"/>
              </w:rPr>
            </w:pPr>
            <w:r w:rsidRPr="008E21E1">
              <w:rPr>
                <w:color w:val="000000"/>
              </w:rPr>
              <w:t>Petroleum Bulk Stations and Terminals</w:t>
            </w:r>
          </w:p>
        </w:tc>
        <w:tc>
          <w:tcPr>
            <w:tcW w:w="1350" w:type="dxa"/>
            <w:tcBorders>
              <w:top w:val="single" w:sz="6" w:space="0" w:color="auto"/>
              <w:left w:val="single" w:sz="6" w:space="0" w:color="auto"/>
              <w:bottom w:val="single" w:sz="6" w:space="0" w:color="auto"/>
              <w:right w:val="single" w:sz="6" w:space="0" w:color="auto"/>
            </w:tcBorders>
            <w:vAlign w:val="center"/>
          </w:tcPr>
          <w:p w:rsidR="004C6D5D" w:rsidRDefault="004C6D5D" w:rsidP="004C6D5D">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5171</w:t>
            </w:r>
          </w:p>
        </w:tc>
        <w:tc>
          <w:tcPr>
            <w:tcW w:w="2520" w:type="dxa"/>
            <w:tcBorders>
              <w:top w:val="single" w:sz="6" w:space="0" w:color="auto"/>
              <w:left w:val="single" w:sz="6" w:space="0" w:color="auto"/>
              <w:bottom w:val="single" w:sz="6" w:space="0" w:color="auto"/>
              <w:right w:val="single" w:sz="6" w:space="0" w:color="auto"/>
            </w:tcBorders>
            <w:vAlign w:val="center"/>
          </w:tcPr>
          <w:p w:rsidR="004C6D5D" w:rsidRDefault="004C6D5D" w:rsidP="004C6D5D">
            <w:pPr>
              <w:pBdr>
                <w:top w:val="single" w:sz="6" w:space="0" w:color="FFFFFF"/>
                <w:left w:val="single" w:sz="6" w:space="0" w:color="FFFFFF"/>
                <w:bottom w:val="single" w:sz="6" w:space="0" w:color="FFFFFF"/>
                <w:right w:val="single" w:sz="6" w:space="0" w:color="FFFFFF"/>
              </w:pBdr>
              <w:spacing w:after="54"/>
              <w:jc w:val="center"/>
              <w:rPr>
                <w:color w:val="000000"/>
              </w:rPr>
            </w:pPr>
            <w:r w:rsidRPr="00683042">
              <w:t>454311, 454312, 42271</w:t>
            </w:r>
          </w:p>
        </w:tc>
      </w:tr>
      <w:tr w:rsidR="004C6D5D" w:rsidTr="004C6D5D">
        <w:tblPrEx>
          <w:tblCellMar>
            <w:left w:w="108" w:type="dxa"/>
            <w:right w:w="108" w:type="dxa"/>
          </w:tblCellMar>
        </w:tblPrEx>
        <w:tc>
          <w:tcPr>
            <w:tcW w:w="5490" w:type="dxa"/>
            <w:tcBorders>
              <w:top w:val="single" w:sz="6" w:space="0" w:color="auto"/>
              <w:left w:val="single" w:sz="6" w:space="0" w:color="auto"/>
              <w:bottom w:val="single" w:sz="6" w:space="0" w:color="auto"/>
              <w:right w:val="single" w:sz="6" w:space="0" w:color="auto"/>
            </w:tcBorders>
          </w:tcPr>
          <w:p w:rsidR="004C6D5D" w:rsidRDefault="004C6D5D">
            <w:pPr>
              <w:pBdr>
                <w:top w:val="single" w:sz="6" w:space="0" w:color="FFFFFF"/>
                <w:left w:val="single" w:sz="6" w:space="0" w:color="FFFFFF"/>
                <w:bottom w:val="single" w:sz="6" w:space="0" w:color="FFFFFF"/>
                <w:right w:val="single" w:sz="6" w:space="0" w:color="FFFFFF"/>
              </w:pBdr>
              <w:spacing w:after="73"/>
              <w:rPr>
                <w:color w:val="000000"/>
              </w:rPr>
            </w:pPr>
            <w:r w:rsidRPr="008E21E1">
              <w:rPr>
                <w:color w:val="000000"/>
              </w:rPr>
              <w:t>Petroleum and Petroleum Products Merchant Wholesalers (except Bulk Stations and Terminals)</w:t>
            </w:r>
          </w:p>
        </w:tc>
        <w:tc>
          <w:tcPr>
            <w:tcW w:w="1350" w:type="dxa"/>
            <w:tcBorders>
              <w:top w:val="single" w:sz="6" w:space="0" w:color="auto"/>
              <w:left w:val="single" w:sz="6" w:space="0" w:color="auto"/>
              <w:bottom w:val="single" w:sz="6" w:space="0" w:color="auto"/>
              <w:right w:val="single" w:sz="6" w:space="0" w:color="auto"/>
            </w:tcBorders>
            <w:vAlign w:val="center"/>
          </w:tcPr>
          <w:p w:rsidR="004C6D5D" w:rsidRDefault="004C6D5D" w:rsidP="004C6D5D">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5172</w:t>
            </w:r>
          </w:p>
        </w:tc>
        <w:tc>
          <w:tcPr>
            <w:tcW w:w="2520" w:type="dxa"/>
            <w:tcBorders>
              <w:top w:val="single" w:sz="6" w:space="0" w:color="auto"/>
              <w:left w:val="single" w:sz="6" w:space="0" w:color="auto"/>
              <w:bottom w:val="single" w:sz="6" w:space="0" w:color="auto"/>
              <w:right w:val="single" w:sz="6" w:space="0" w:color="auto"/>
            </w:tcBorders>
            <w:vAlign w:val="center"/>
          </w:tcPr>
          <w:p w:rsidR="004C6D5D" w:rsidRDefault="004C6D5D" w:rsidP="004C6D5D">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42272</w:t>
            </w:r>
          </w:p>
        </w:tc>
      </w:tr>
    </w:tbl>
    <w:p w:rsidR="00CF09DE" w:rsidRDefault="00CF09DE">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Data Items</w:t>
      </w:r>
    </w:p>
    <w:p w:rsidR="00CF09DE" w:rsidRPr="00806DA0" w:rsidRDefault="00CF09DE">
      <w:pPr>
        <w:pBdr>
          <w:top w:val="single" w:sz="6" w:space="0" w:color="FFFFFF"/>
          <w:left w:val="single" w:sz="6" w:space="0" w:color="FFFFFF"/>
          <w:bottom w:val="single" w:sz="6" w:space="0" w:color="FFFFFF"/>
          <w:right w:val="single" w:sz="6" w:space="0" w:color="FFFFFF"/>
        </w:pBdr>
      </w:pPr>
    </w:p>
    <w:p w:rsidR="00CF09DE" w:rsidRPr="00806DA0" w:rsidRDefault="00CF09DE">
      <w:pPr>
        <w:pBdr>
          <w:top w:val="single" w:sz="6" w:space="0" w:color="FFFFFF"/>
          <w:left w:val="single" w:sz="6" w:space="0" w:color="FFFFFF"/>
          <w:bottom w:val="single" w:sz="6" w:space="0" w:color="FFFFFF"/>
          <w:right w:val="single" w:sz="6" w:space="0" w:color="FFFFFF"/>
        </w:pBdr>
        <w:ind w:firstLine="720"/>
      </w:pPr>
      <w:r w:rsidRPr="00806DA0">
        <w:t xml:space="preserve">In this ICR, all the data that is recorded or reported is required by </w:t>
      </w:r>
      <w:r w:rsidR="00621F80" w:rsidRPr="00806DA0">
        <w:t xml:space="preserve">the </w:t>
      </w:r>
      <w:r w:rsidRPr="00806DA0">
        <w:rPr>
          <w:bCs/>
        </w:rPr>
        <w:t>NESHAP for Gasoline Distribution Facilities</w:t>
      </w:r>
      <w:r w:rsidRPr="00806DA0">
        <w:t xml:space="preserve"> </w:t>
      </w:r>
      <w:r w:rsidR="00B77EF1" w:rsidRPr="00806DA0">
        <w:t xml:space="preserve">(40 CFR </w:t>
      </w:r>
      <w:r w:rsidR="00621F80" w:rsidRPr="00806DA0">
        <w:t xml:space="preserve">Part </w:t>
      </w:r>
      <w:r w:rsidR="00B77EF1" w:rsidRPr="00806DA0">
        <w:t xml:space="preserve">63, </w:t>
      </w:r>
      <w:r w:rsidR="00621F80" w:rsidRPr="00806DA0">
        <w:t xml:space="preserve">Subpart </w:t>
      </w:r>
      <w:r w:rsidR="00B77EF1" w:rsidRPr="00806DA0">
        <w:t>R).</w:t>
      </w:r>
      <w:r w:rsidRPr="00806DA0">
        <w:t xml:space="preserve">  </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F09DE" w:rsidRDefault="00CF09DE">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CF09DE" w:rsidTr="00D50CEA">
        <w:trPr>
          <w:tblHeader/>
          <w:jc w:val="center"/>
        </w:trPr>
        <w:tc>
          <w:tcPr>
            <w:tcW w:w="9360" w:type="dxa"/>
            <w:gridSpan w:val="2"/>
            <w:tcBorders>
              <w:top w:val="single" w:sz="6" w:space="0" w:color="000000"/>
              <w:left w:val="single" w:sz="6" w:space="0" w:color="000000"/>
              <w:bottom w:val="single" w:sz="6" w:space="0" w:color="000000"/>
              <w:right w:val="single" w:sz="6" w:space="0" w:color="000000"/>
            </w:tcBorders>
          </w:tcPr>
          <w:p w:rsidR="00CF09DE" w:rsidRDefault="00CF09DE">
            <w:pPr>
              <w:spacing w:line="120" w:lineRule="exact"/>
              <w:rPr>
                <w:color w:val="000000"/>
              </w:rPr>
            </w:pPr>
          </w:p>
          <w:p w:rsidR="00CF09DE" w:rsidRPr="006E4A6E" w:rsidRDefault="00CF09DE"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Pr>
                <w:b/>
                <w:color w:val="000000"/>
              </w:rPr>
              <w:t>s/ Reports</w:t>
            </w:r>
          </w:p>
        </w:tc>
      </w:tr>
      <w:tr w:rsidR="00CF09DE">
        <w:trPr>
          <w:jc w:val="center"/>
        </w:trPr>
        <w:tc>
          <w:tcPr>
            <w:tcW w:w="7020" w:type="dxa"/>
            <w:tcBorders>
              <w:top w:val="single" w:sz="6" w:space="0" w:color="000000"/>
              <w:left w:val="single" w:sz="6" w:space="0" w:color="000000"/>
              <w:bottom w:val="single" w:sz="6" w:space="0" w:color="000000"/>
              <w:right w:val="single" w:sz="6" w:space="0" w:color="000000"/>
            </w:tcBorders>
          </w:tcPr>
          <w:p w:rsidR="00CF09DE" w:rsidRDefault="00CF09DE">
            <w:pPr>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facility subject to relevant standard</w:t>
            </w:r>
          </w:p>
        </w:tc>
        <w:tc>
          <w:tcPr>
            <w:tcW w:w="2340" w:type="dxa"/>
            <w:tcBorders>
              <w:top w:val="single" w:sz="6" w:space="0" w:color="000000"/>
              <w:left w:val="single" w:sz="6" w:space="0" w:color="000000"/>
              <w:bottom w:val="single" w:sz="6" w:space="0" w:color="000000"/>
              <w:right w:val="single" w:sz="6" w:space="0" w:color="000000"/>
            </w:tcBorders>
          </w:tcPr>
          <w:p w:rsidR="00CF09DE" w:rsidRDefault="00A126E5" w:rsidP="00A126E5">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63.9(b)(2), </w:t>
            </w:r>
            <w:r w:rsidR="00CF09DE">
              <w:rPr>
                <w:color w:val="000000"/>
              </w:rPr>
              <w:t>63.9(b)(3)</w:t>
            </w:r>
          </w:p>
        </w:tc>
      </w:tr>
      <w:tr w:rsidR="00CF09DE">
        <w:trPr>
          <w:jc w:val="center"/>
        </w:trPr>
        <w:tc>
          <w:tcPr>
            <w:tcW w:w="7020" w:type="dxa"/>
            <w:tcBorders>
              <w:top w:val="single" w:sz="6" w:space="0" w:color="000000"/>
              <w:left w:val="single" w:sz="6" w:space="0" w:color="000000"/>
              <w:bottom w:val="single" w:sz="6" w:space="0" w:color="000000"/>
              <w:right w:val="single" w:sz="6" w:space="0" w:color="000000"/>
            </w:tcBorders>
          </w:tcPr>
          <w:p w:rsidR="00CF09DE" w:rsidRDefault="00CF09DE">
            <w:pPr>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anticipated construction or reconstruction of a source subject to the relevant standard not later than 180 days prior to commencement of construction or reconstruction</w:t>
            </w:r>
          </w:p>
        </w:tc>
        <w:tc>
          <w:tcPr>
            <w:tcW w:w="2340" w:type="dxa"/>
            <w:tcBorders>
              <w:top w:val="single" w:sz="6" w:space="0" w:color="000000"/>
              <w:left w:val="single" w:sz="6" w:space="0" w:color="000000"/>
              <w:bottom w:val="single" w:sz="6" w:space="0" w:color="000000"/>
              <w:right w:val="single" w:sz="6" w:space="0" w:color="000000"/>
            </w:tcBorders>
          </w:tcPr>
          <w:p w:rsidR="00CF09DE" w:rsidRDefault="00CF09DE">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63.9(b)(5) </w:t>
            </w:r>
          </w:p>
        </w:tc>
      </w:tr>
      <w:tr w:rsidR="00CF09DE">
        <w:trPr>
          <w:jc w:val="center"/>
        </w:trPr>
        <w:tc>
          <w:tcPr>
            <w:tcW w:w="7020" w:type="dxa"/>
            <w:tcBorders>
              <w:top w:val="single" w:sz="6" w:space="0" w:color="000000"/>
              <w:left w:val="single" w:sz="6" w:space="0" w:color="000000"/>
              <w:bottom w:val="single" w:sz="6" w:space="0" w:color="000000"/>
              <w:right w:val="single" w:sz="6" w:space="0" w:color="000000"/>
            </w:tcBorders>
          </w:tcPr>
          <w:p w:rsidR="00CF09DE" w:rsidDel="00D50CEA" w:rsidRDefault="00CF09DE">
            <w:pPr>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anticipated date of initial startup not more than 60 days nor less than 30 days prior to such date</w:t>
            </w:r>
          </w:p>
        </w:tc>
        <w:tc>
          <w:tcPr>
            <w:tcW w:w="2340" w:type="dxa"/>
            <w:tcBorders>
              <w:top w:val="single" w:sz="6" w:space="0" w:color="000000"/>
              <w:left w:val="single" w:sz="6" w:space="0" w:color="000000"/>
              <w:bottom w:val="single" w:sz="6" w:space="0" w:color="000000"/>
              <w:right w:val="single" w:sz="6" w:space="0" w:color="000000"/>
            </w:tcBorders>
          </w:tcPr>
          <w:p w:rsidR="00CF09DE" w:rsidDel="00D50CEA" w:rsidRDefault="00CF09DE">
            <w:pPr>
              <w:pBdr>
                <w:top w:val="single" w:sz="6" w:space="0" w:color="FFFFFF"/>
                <w:left w:val="single" w:sz="6" w:space="0" w:color="FFFFFF"/>
                <w:bottom w:val="single" w:sz="6" w:space="0" w:color="FFFFFF"/>
                <w:right w:val="single" w:sz="6" w:space="0" w:color="FFFFFF"/>
              </w:pBdr>
              <w:spacing w:after="58"/>
              <w:rPr>
                <w:color w:val="000000"/>
              </w:rPr>
            </w:pPr>
            <w:r>
              <w:rPr>
                <w:color w:val="000000"/>
              </w:rPr>
              <w:t>63.9(b)(4)(iv)</w:t>
            </w:r>
          </w:p>
        </w:tc>
      </w:tr>
      <w:tr w:rsidR="00CF09DE">
        <w:trPr>
          <w:jc w:val="center"/>
        </w:trPr>
        <w:tc>
          <w:tcPr>
            <w:tcW w:w="7020" w:type="dxa"/>
            <w:tcBorders>
              <w:top w:val="single" w:sz="6" w:space="0" w:color="000000"/>
              <w:left w:val="single" w:sz="6" w:space="0" w:color="000000"/>
              <w:bottom w:val="single" w:sz="6" w:space="0" w:color="000000"/>
              <w:right w:val="single" w:sz="6" w:space="0" w:color="000000"/>
            </w:tcBorders>
          </w:tcPr>
          <w:p w:rsidR="00CF09DE" w:rsidRDefault="00CF09DE">
            <w:pPr>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construction or reconstruction not later than 30 days after the change is commenced</w:t>
            </w:r>
          </w:p>
        </w:tc>
        <w:tc>
          <w:tcPr>
            <w:tcW w:w="2340" w:type="dxa"/>
            <w:tcBorders>
              <w:top w:val="single" w:sz="6" w:space="0" w:color="000000"/>
              <w:left w:val="single" w:sz="6" w:space="0" w:color="000000"/>
              <w:bottom w:val="single" w:sz="6" w:space="0" w:color="000000"/>
              <w:right w:val="single" w:sz="6" w:space="0" w:color="000000"/>
            </w:tcBorders>
          </w:tcPr>
          <w:p w:rsidR="00CF09DE" w:rsidRDefault="00CF09DE">
            <w:pPr>
              <w:pBdr>
                <w:top w:val="single" w:sz="6" w:space="0" w:color="FFFFFF"/>
                <w:left w:val="single" w:sz="6" w:space="0" w:color="FFFFFF"/>
                <w:bottom w:val="single" w:sz="6" w:space="0" w:color="FFFFFF"/>
                <w:right w:val="single" w:sz="6" w:space="0" w:color="FFFFFF"/>
              </w:pBdr>
              <w:spacing w:after="58"/>
              <w:rPr>
                <w:color w:val="000000"/>
              </w:rPr>
            </w:pPr>
            <w:r>
              <w:rPr>
                <w:color w:val="000000"/>
              </w:rPr>
              <w:t>63.9(b)(4)(iii)</w:t>
            </w:r>
          </w:p>
        </w:tc>
      </w:tr>
      <w:tr w:rsidR="00CF09DE">
        <w:trPr>
          <w:jc w:val="center"/>
        </w:trPr>
        <w:tc>
          <w:tcPr>
            <w:tcW w:w="7020" w:type="dxa"/>
            <w:tcBorders>
              <w:top w:val="single" w:sz="6" w:space="0" w:color="000000"/>
              <w:left w:val="single" w:sz="6" w:space="0" w:color="000000"/>
              <w:bottom w:val="single" w:sz="6" w:space="0" w:color="000000"/>
              <w:right w:val="single" w:sz="6" w:space="0" w:color="000000"/>
            </w:tcBorders>
          </w:tcPr>
          <w:p w:rsidR="00CF09DE" w:rsidRDefault="00CF09DE">
            <w:pPr>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anticipated date of initial startup not more than 60 days nor less than 30 days prior to such date</w:t>
            </w:r>
          </w:p>
        </w:tc>
        <w:tc>
          <w:tcPr>
            <w:tcW w:w="2340" w:type="dxa"/>
            <w:tcBorders>
              <w:top w:val="single" w:sz="6" w:space="0" w:color="000000"/>
              <w:left w:val="single" w:sz="6" w:space="0" w:color="000000"/>
              <w:bottom w:val="single" w:sz="6" w:space="0" w:color="000000"/>
              <w:right w:val="single" w:sz="6" w:space="0" w:color="000000"/>
            </w:tcBorders>
          </w:tcPr>
          <w:p w:rsidR="00CF09DE" w:rsidRDefault="00CF09DE">
            <w:pPr>
              <w:pBdr>
                <w:top w:val="single" w:sz="6" w:space="0" w:color="FFFFFF"/>
                <w:left w:val="single" w:sz="6" w:space="0" w:color="FFFFFF"/>
                <w:bottom w:val="single" w:sz="6" w:space="0" w:color="FFFFFF"/>
                <w:right w:val="single" w:sz="6" w:space="0" w:color="FFFFFF"/>
              </w:pBdr>
              <w:spacing w:after="58"/>
              <w:rPr>
                <w:color w:val="000000"/>
              </w:rPr>
            </w:pPr>
            <w:r>
              <w:rPr>
                <w:color w:val="000000"/>
              </w:rPr>
              <w:t>63.9(b)(4)(iv)</w:t>
            </w:r>
          </w:p>
        </w:tc>
      </w:tr>
      <w:tr w:rsidR="00CF09DE">
        <w:trPr>
          <w:jc w:val="center"/>
        </w:trPr>
        <w:tc>
          <w:tcPr>
            <w:tcW w:w="7020" w:type="dxa"/>
            <w:tcBorders>
              <w:top w:val="single" w:sz="6" w:space="0" w:color="000000"/>
              <w:left w:val="single" w:sz="6" w:space="0" w:color="000000"/>
              <w:bottom w:val="single" w:sz="6" w:space="0" w:color="000000"/>
              <w:right w:val="single" w:sz="6" w:space="0" w:color="000000"/>
            </w:tcBorders>
          </w:tcPr>
          <w:p w:rsidR="00CF09DE" w:rsidRDefault="00CF09DE">
            <w:pPr>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the actual date of startup, within 15 days after such date</w:t>
            </w:r>
          </w:p>
        </w:tc>
        <w:tc>
          <w:tcPr>
            <w:tcW w:w="2340" w:type="dxa"/>
            <w:tcBorders>
              <w:top w:val="single" w:sz="6" w:space="0" w:color="000000"/>
              <w:left w:val="single" w:sz="6" w:space="0" w:color="000000"/>
              <w:bottom w:val="single" w:sz="6" w:space="0" w:color="000000"/>
              <w:right w:val="single" w:sz="6" w:space="0" w:color="000000"/>
            </w:tcBorders>
          </w:tcPr>
          <w:p w:rsidR="00CF09DE" w:rsidRDefault="00CF09DE">
            <w:pPr>
              <w:pBdr>
                <w:top w:val="single" w:sz="6" w:space="0" w:color="FFFFFF"/>
                <w:left w:val="single" w:sz="6" w:space="0" w:color="FFFFFF"/>
                <w:bottom w:val="single" w:sz="6" w:space="0" w:color="FFFFFF"/>
                <w:right w:val="single" w:sz="6" w:space="0" w:color="FFFFFF"/>
              </w:pBdr>
              <w:spacing w:after="58"/>
              <w:rPr>
                <w:color w:val="000000"/>
              </w:rPr>
            </w:pPr>
            <w:r>
              <w:rPr>
                <w:color w:val="000000"/>
              </w:rPr>
              <w:t>63.9(b)(4)(v)</w:t>
            </w:r>
          </w:p>
        </w:tc>
      </w:tr>
      <w:tr w:rsidR="00CF09DE">
        <w:trPr>
          <w:jc w:val="center"/>
        </w:trPr>
        <w:tc>
          <w:tcPr>
            <w:tcW w:w="7020" w:type="dxa"/>
            <w:tcBorders>
              <w:top w:val="single" w:sz="6" w:space="0" w:color="000000"/>
              <w:left w:val="single" w:sz="6" w:space="0" w:color="000000"/>
              <w:bottom w:val="single" w:sz="6" w:space="0" w:color="000000"/>
              <w:right w:val="single" w:sz="6" w:space="0" w:color="000000"/>
            </w:tcBorders>
          </w:tcPr>
          <w:p w:rsidR="00CF09DE" w:rsidRDefault="00CF09DE">
            <w:pPr>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performance tests at least 60 days prior to the date of a performance test</w:t>
            </w:r>
          </w:p>
        </w:tc>
        <w:tc>
          <w:tcPr>
            <w:tcW w:w="2340" w:type="dxa"/>
            <w:tcBorders>
              <w:top w:val="single" w:sz="6" w:space="0" w:color="000000"/>
              <w:left w:val="single" w:sz="6" w:space="0" w:color="000000"/>
              <w:bottom w:val="single" w:sz="6" w:space="0" w:color="000000"/>
              <w:right w:val="single" w:sz="6" w:space="0" w:color="000000"/>
            </w:tcBorders>
          </w:tcPr>
          <w:p w:rsidR="00CF09DE" w:rsidRDefault="00CF09DE" w:rsidP="00753090">
            <w:pPr>
              <w:pBdr>
                <w:top w:val="single" w:sz="6" w:space="0" w:color="FFFFFF"/>
                <w:left w:val="single" w:sz="6" w:space="0" w:color="FFFFFF"/>
                <w:bottom w:val="single" w:sz="6" w:space="0" w:color="FFFFFF"/>
                <w:right w:val="single" w:sz="6" w:space="0" w:color="FFFFFF"/>
              </w:pBdr>
              <w:spacing w:after="58"/>
              <w:rPr>
                <w:color w:val="000000"/>
              </w:rPr>
            </w:pPr>
            <w:r>
              <w:rPr>
                <w:color w:val="000000"/>
              </w:rPr>
              <w:t>63.7(a)</w:t>
            </w:r>
            <w:r w:rsidR="00753090">
              <w:rPr>
                <w:color w:val="000000"/>
              </w:rPr>
              <w:t>,</w:t>
            </w:r>
            <w:r>
              <w:rPr>
                <w:color w:val="000000"/>
              </w:rPr>
              <w:t xml:space="preserve"> 63.9(e)</w:t>
            </w:r>
          </w:p>
        </w:tc>
      </w:tr>
      <w:tr w:rsidR="00CF09DE">
        <w:trPr>
          <w:jc w:val="center"/>
        </w:trPr>
        <w:tc>
          <w:tcPr>
            <w:tcW w:w="7020" w:type="dxa"/>
            <w:tcBorders>
              <w:top w:val="single" w:sz="6" w:space="0" w:color="000000"/>
              <w:left w:val="single" w:sz="6" w:space="0" w:color="000000"/>
              <w:bottom w:val="single" w:sz="6" w:space="0" w:color="000000"/>
              <w:right w:val="single" w:sz="6" w:space="0" w:color="000000"/>
            </w:tcBorders>
          </w:tcPr>
          <w:p w:rsidR="00CF09DE" w:rsidRDefault="00CF09DE">
            <w:pPr>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installation of a new control device or reconstruction of an existing control device within 180 days before the installation or reconstruction is planned to commence</w:t>
            </w:r>
          </w:p>
        </w:tc>
        <w:tc>
          <w:tcPr>
            <w:tcW w:w="2340" w:type="dxa"/>
            <w:tcBorders>
              <w:top w:val="single" w:sz="6" w:space="0" w:color="000000"/>
              <w:left w:val="single" w:sz="6" w:space="0" w:color="000000"/>
              <w:bottom w:val="single" w:sz="6" w:space="0" w:color="000000"/>
              <w:right w:val="single" w:sz="6" w:space="0" w:color="000000"/>
            </w:tcBorders>
          </w:tcPr>
          <w:p w:rsidR="00CF09DE" w:rsidRDefault="00CF09DE" w:rsidP="00753090">
            <w:pPr>
              <w:pBdr>
                <w:top w:val="single" w:sz="6" w:space="0" w:color="FFFFFF"/>
                <w:left w:val="single" w:sz="6" w:space="0" w:color="FFFFFF"/>
                <w:bottom w:val="single" w:sz="6" w:space="0" w:color="FFFFFF"/>
                <w:right w:val="single" w:sz="6" w:space="0" w:color="FFFFFF"/>
              </w:pBdr>
              <w:spacing w:after="58"/>
              <w:rPr>
                <w:color w:val="000000"/>
              </w:rPr>
            </w:pPr>
            <w:r>
              <w:rPr>
                <w:color w:val="000000"/>
              </w:rPr>
              <w:t>63.5(b)(6</w:t>
            </w:r>
            <w:r w:rsidR="00753090">
              <w:rPr>
                <w:color w:val="000000"/>
              </w:rPr>
              <w:t>),</w:t>
            </w:r>
            <w:r>
              <w:rPr>
                <w:color w:val="000000"/>
              </w:rPr>
              <w:t xml:space="preserve"> 63.5(d)(1)</w:t>
            </w:r>
          </w:p>
        </w:tc>
      </w:tr>
      <w:tr w:rsidR="00CF09DE">
        <w:trPr>
          <w:jc w:val="center"/>
        </w:trPr>
        <w:tc>
          <w:tcPr>
            <w:tcW w:w="7020" w:type="dxa"/>
            <w:tcBorders>
              <w:top w:val="single" w:sz="6" w:space="0" w:color="000000"/>
              <w:left w:val="single" w:sz="6" w:space="0" w:color="000000"/>
              <w:bottom w:val="single" w:sz="6" w:space="0" w:color="000000"/>
              <w:right w:val="single" w:sz="6" w:space="0" w:color="000000"/>
            </w:tcBorders>
          </w:tcPr>
          <w:p w:rsidR="00CF09DE" w:rsidRDefault="00CF09DE">
            <w:pPr>
              <w:pBdr>
                <w:top w:val="single" w:sz="6" w:space="0" w:color="FFFFFF"/>
                <w:left w:val="single" w:sz="6" w:space="0" w:color="FFFFFF"/>
                <w:bottom w:val="single" w:sz="6" w:space="0" w:color="FFFFFF"/>
                <w:right w:val="single" w:sz="6" w:space="0" w:color="FFFFFF"/>
              </w:pBdr>
              <w:spacing w:after="58"/>
              <w:rPr>
                <w:color w:val="000000"/>
              </w:rPr>
            </w:pPr>
            <w:r>
              <w:rPr>
                <w:color w:val="000000"/>
              </w:rPr>
              <w:t>A request for an extension of compliance report must be submitted if the owner or operator cannot comply with the standards by the designated date</w:t>
            </w:r>
          </w:p>
        </w:tc>
        <w:tc>
          <w:tcPr>
            <w:tcW w:w="2340" w:type="dxa"/>
            <w:tcBorders>
              <w:top w:val="single" w:sz="6" w:space="0" w:color="000000"/>
              <w:left w:val="single" w:sz="6" w:space="0" w:color="000000"/>
              <w:bottom w:val="single" w:sz="6" w:space="0" w:color="000000"/>
              <w:right w:val="single" w:sz="6" w:space="0" w:color="000000"/>
            </w:tcBorders>
          </w:tcPr>
          <w:p w:rsidR="00CF09DE" w:rsidRDefault="00CF09DE">
            <w:pPr>
              <w:pBdr>
                <w:top w:val="single" w:sz="6" w:space="0" w:color="FFFFFF"/>
                <w:left w:val="single" w:sz="6" w:space="0" w:color="FFFFFF"/>
                <w:bottom w:val="single" w:sz="6" w:space="0" w:color="FFFFFF"/>
                <w:right w:val="single" w:sz="6" w:space="0" w:color="FFFFFF"/>
              </w:pBdr>
              <w:spacing w:after="58"/>
              <w:rPr>
                <w:color w:val="000000"/>
              </w:rPr>
            </w:pPr>
            <w:r>
              <w:rPr>
                <w:color w:val="000000"/>
              </w:rPr>
              <w:t>63.9(c)</w:t>
            </w:r>
          </w:p>
        </w:tc>
      </w:tr>
      <w:tr w:rsidR="00CF09DE">
        <w:trPr>
          <w:jc w:val="center"/>
        </w:trPr>
        <w:tc>
          <w:tcPr>
            <w:tcW w:w="7020" w:type="dxa"/>
            <w:tcBorders>
              <w:top w:val="single" w:sz="6" w:space="0" w:color="000000"/>
              <w:left w:val="single" w:sz="6" w:space="0" w:color="000000"/>
              <w:bottom w:val="single" w:sz="6" w:space="0" w:color="000000"/>
              <w:right w:val="single" w:sz="6" w:space="0" w:color="000000"/>
            </w:tcBorders>
          </w:tcPr>
          <w:p w:rsidR="00CF09DE" w:rsidRDefault="00CF09DE">
            <w:pPr>
              <w:pBdr>
                <w:top w:val="single" w:sz="6" w:space="0" w:color="FFFFFF"/>
                <w:left w:val="single" w:sz="6" w:space="0" w:color="FFFFFF"/>
                <w:bottom w:val="single" w:sz="6" w:space="0" w:color="FFFFFF"/>
                <w:right w:val="single" w:sz="6" w:space="0" w:color="FFFFFF"/>
              </w:pBdr>
              <w:spacing w:after="58"/>
              <w:rPr>
                <w:color w:val="000000"/>
              </w:rPr>
            </w:pPr>
            <w:r>
              <w:rPr>
                <w:color w:val="000000"/>
              </w:rPr>
              <w:t>Semiannual compliance reports stating whether or not established parameters have been exceeded</w:t>
            </w:r>
          </w:p>
        </w:tc>
        <w:tc>
          <w:tcPr>
            <w:tcW w:w="2340" w:type="dxa"/>
            <w:tcBorders>
              <w:top w:val="single" w:sz="6" w:space="0" w:color="000000"/>
              <w:left w:val="single" w:sz="6" w:space="0" w:color="000000"/>
              <w:bottom w:val="single" w:sz="6" w:space="0" w:color="000000"/>
              <w:right w:val="single" w:sz="6" w:space="0" w:color="000000"/>
            </w:tcBorders>
          </w:tcPr>
          <w:p w:rsidR="00CF09DE" w:rsidRDefault="00CF09DE">
            <w:pPr>
              <w:pBdr>
                <w:top w:val="single" w:sz="6" w:space="0" w:color="FFFFFF"/>
                <w:left w:val="single" w:sz="6" w:space="0" w:color="FFFFFF"/>
                <w:bottom w:val="single" w:sz="6" w:space="0" w:color="FFFFFF"/>
                <w:right w:val="single" w:sz="6" w:space="0" w:color="FFFFFF"/>
              </w:pBdr>
              <w:spacing w:after="58"/>
              <w:rPr>
                <w:color w:val="000000"/>
              </w:rPr>
            </w:pPr>
            <w:r>
              <w:rPr>
                <w:color w:val="000000"/>
              </w:rPr>
              <w:t>63.428(g)(1) and (i)</w:t>
            </w:r>
          </w:p>
        </w:tc>
      </w:tr>
      <w:tr w:rsidR="00CF09DE">
        <w:trPr>
          <w:jc w:val="center"/>
        </w:trPr>
        <w:tc>
          <w:tcPr>
            <w:tcW w:w="7020" w:type="dxa"/>
            <w:tcBorders>
              <w:top w:val="single" w:sz="6" w:space="0" w:color="000000"/>
              <w:left w:val="single" w:sz="6" w:space="0" w:color="000000"/>
              <w:bottom w:val="single" w:sz="6" w:space="0" w:color="000000"/>
              <w:right w:val="single" w:sz="6" w:space="0" w:color="000000"/>
            </w:tcBorders>
          </w:tcPr>
          <w:p w:rsidR="00CF09DE" w:rsidRDefault="00CF09DE">
            <w:pPr>
              <w:pBdr>
                <w:top w:val="single" w:sz="6" w:space="0" w:color="FFFFFF"/>
                <w:left w:val="single" w:sz="6" w:space="0" w:color="FFFFFF"/>
                <w:bottom w:val="single" w:sz="6" w:space="0" w:color="FFFFFF"/>
                <w:right w:val="single" w:sz="6" w:space="0" w:color="FFFFFF"/>
              </w:pBdr>
              <w:spacing w:after="58"/>
              <w:rPr>
                <w:color w:val="000000"/>
              </w:rPr>
            </w:pPr>
            <w:r>
              <w:rPr>
                <w:color w:val="000000"/>
              </w:rPr>
              <w:t>Annual reports stating non-applicability of the regulation are required from area sources within 50 percent of the major source threshold</w:t>
            </w:r>
          </w:p>
        </w:tc>
        <w:tc>
          <w:tcPr>
            <w:tcW w:w="2340" w:type="dxa"/>
            <w:tcBorders>
              <w:top w:val="single" w:sz="6" w:space="0" w:color="000000"/>
              <w:left w:val="single" w:sz="6" w:space="0" w:color="000000"/>
              <w:bottom w:val="single" w:sz="6" w:space="0" w:color="000000"/>
              <w:right w:val="single" w:sz="6" w:space="0" w:color="000000"/>
            </w:tcBorders>
          </w:tcPr>
          <w:p w:rsidR="00CF09DE" w:rsidRDefault="00CF09DE">
            <w:pPr>
              <w:pBdr>
                <w:top w:val="single" w:sz="6" w:space="0" w:color="FFFFFF"/>
                <w:left w:val="single" w:sz="6" w:space="0" w:color="FFFFFF"/>
                <w:bottom w:val="single" w:sz="6" w:space="0" w:color="FFFFFF"/>
                <w:right w:val="single" w:sz="6" w:space="0" w:color="FFFFFF"/>
              </w:pBdr>
              <w:spacing w:after="58"/>
              <w:rPr>
                <w:color w:val="000000"/>
              </w:rPr>
            </w:pPr>
            <w:r>
              <w:rPr>
                <w:color w:val="000000"/>
              </w:rPr>
              <w:t>63.428(i)</w:t>
            </w:r>
          </w:p>
        </w:tc>
      </w:tr>
    </w:tbl>
    <w:p w:rsidR="00CF09DE" w:rsidRDefault="00CF09DE">
      <w:pPr>
        <w:pBdr>
          <w:top w:val="single" w:sz="6" w:space="0" w:color="FFFFFF"/>
          <w:left w:val="single" w:sz="6" w:space="0" w:color="FFFFFF"/>
          <w:bottom w:val="single" w:sz="6" w:space="0" w:color="FFFFFF"/>
          <w:right w:val="single" w:sz="6" w:space="0" w:color="FFFFFF"/>
        </w:pBdr>
        <w:rPr>
          <w:color w:val="000000"/>
        </w:rPr>
      </w:pPr>
    </w:p>
    <w:p w:rsidR="006A6AC0" w:rsidRDefault="00CF09DE">
      <w:pPr>
        <w:pBdr>
          <w:top w:val="single" w:sz="6" w:space="0" w:color="FFFFFF"/>
          <w:left w:val="single" w:sz="6" w:space="0" w:color="FFFFFF"/>
          <w:bottom w:val="single" w:sz="6" w:space="0" w:color="FFFFFF"/>
          <w:right w:val="single" w:sz="6" w:space="0" w:color="FFFFFF"/>
        </w:pBdr>
        <w:rPr>
          <w:color w:val="000000"/>
        </w:rPr>
      </w:pPr>
      <w:r>
        <w:rPr>
          <w:color w:val="000000"/>
        </w:rPr>
        <w:tab/>
        <w:t>A source must keep the following records:</w:t>
      </w:r>
    </w:p>
    <w:p w:rsidR="00CF09DE" w:rsidRDefault="00CF09DE">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110"/>
        <w:gridCol w:w="2250"/>
      </w:tblGrid>
      <w:tr w:rsidR="00CF09DE" w:rsidTr="00C237FC">
        <w:trPr>
          <w:tblHeader/>
          <w:jc w:val="center"/>
        </w:trPr>
        <w:tc>
          <w:tcPr>
            <w:tcW w:w="9360" w:type="dxa"/>
            <w:gridSpan w:val="2"/>
            <w:tcBorders>
              <w:top w:val="single" w:sz="6" w:space="0" w:color="000000"/>
              <w:left w:val="single" w:sz="6" w:space="0" w:color="000000"/>
              <w:bottom w:val="single" w:sz="6" w:space="0" w:color="000000"/>
              <w:right w:val="single" w:sz="6" w:space="0" w:color="000000"/>
            </w:tcBorders>
          </w:tcPr>
          <w:p w:rsidR="00CF09DE" w:rsidRDefault="00CF09DE">
            <w:pPr>
              <w:spacing w:line="120" w:lineRule="exact"/>
              <w:rPr>
                <w:color w:val="000000"/>
              </w:rPr>
            </w:pPr>
          </w:p>
          <w:p w:rsidR="00CF09DE" w:rsidRPr="006E4A6E" w:rsidRDefault="00CF09DE"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6A6AC0" w:rsidTr="006A6AC0">
        <w:trPr>
          <w:jc w:val="center"/>
        </w:trPr>
        <w:tc>
          <w:tcPr>
            <w:tcW w:w="7110" w:type="dxa"/>
            <w:tcBorders>
              <w:top w:val="single" w:sz="6" w:space="0" w:color="000000"/>
              <w:left w:val="single" w:sz="6" w:space="0" w:color="000000"/>
              <w:bottom w:val="single" w:sz="6" w:space="0" w:color="000000"/>
              <w:right w:val="single" w:sz="6" w:space="0" w:color="000000"/>
            </w:tcBorders>
            <w:vAlign w:val="center"/>
          </w:tcPr>
          <w:p w:rsidR="006A6AC0" w:rsidRDefault="006A6AC0" w:rsidP="006A6AC0">
            <w:pPr>
              <w:pBdr>
                <w:top w:val="single" w:sz="6" w:space="0" w:color="FFFFFF"/>
                <w:left w:val="single" w:sz="6" w:space="0" w:color="FFFFFF"/>
                <w:bottom w:val="single" w:sz="6" w:space="0" w:color="FFFFFF"/>
                <w:right w:val="single" w:sz="6" w:space="0" w:color="FFFFFF"/>
              </w:pBdr>
              <w:spacing w:after="58"/>
              <w:rPr>
                <w:color w:val="000000"/>
              </w:rPr>
            </w:pPr>
            <w:r>
              <w:rPr>
                <w:color w:val="000000"/>
              </w:rPr>
              <w:t>Maintain records of monthly visual inspection data on gasoline transfer and vapor collection and processing equipment</w:t>
            </w:r>
          </w:p>
        </w:tc>
        <w:tc>
          <w:tcPr>
            <w:tcW w:w="2250" w:type="dxa"/>
            <w:tcBorders>
              <w:top w:val="single" w:sz="6" w:space="0" w:color="000000"/>
              <w:left w:val="single" w:sz="6" w:space="0" w:color="000000"/>
              <w:bottom w:val="single" w:sz="6" w:space="0" w:color="000000"/>
              <w:right w:val="single" w:sz="6" w:space="0" w:color="000000"/>
            </w:tcBorders>
          </w:tcPr>
          <w:p w:rsidR="006A6AC0" w:rsidRDefault="006A6AC0" w:rsidP="006A6AC0">
            <w:pPr>
              <w:pBdr>
                <w:top w:val="single" w:sz="6" w:space="0" w:color="FFFFFF"/>
                <w:left w:val="single" w:sz="6" w:space="0" w:color="FFFFFF"/>
                <w:bottom w:val="single" w:sz="6" w:space="0" w:color="FFFFFF"/>
                <w:right w:val="single" w:sz="6" w:space="0" w:color="FFFFFF"/>
              </w:pBdr>
              <w:spacing w:after="58"/>
              <w:rPr>
                <w:color w:val="000000"/>
              </w:rPr>
            </w:pPr>
            <w:r>
              <w:rPr>
                <w:color w:val="000000"/>
              </w:rPr>
              <w:t>63.428(e) and (f)</w:t>
            </w:r>
          </w:p>
        </w:tc>
      </w:tr>
      <w:tr w:rsidR="006A6AC0" w:rsidTr="006A6AC0">
        <w:trPr>
          <w:jc w:val="center"/>
        </w:trPr>
        <w:tc>
          <w:tcPr>
            <w:tcW w:w="7110" w:type="dxa"/>
            <w:tcBorders>
              <w:top w:val="single" w:sz="6" w:space="0" w:color="000000"/>
              <w:left w:val="single" w:sz="6" w:space="0" w:color="000000"/>
              <w:bottom w:val="single" w:sz="6" w:space="0" w:color="000000"/>
              <w:right w:val="single" w:sz="6" w:space="0" w:color="000000"/>
            </w:tcBorders>
            <w:vAlign w:val="center"/>
          </w:tcPr>
          <w:p w:rsidR="006A6AC0" w:rsidRDefault="006A6AC0" w:rsidP="006A6AC0">
            <w:pPr>
              <w:pBdr>
                <w:top w:val="single" w:sz="6" w:space="0" w:color="FFFFFF"/>
                <w:left w:val="single" w:sz="6" w:space="0" w:color="FFFFFF"/>
                <w:bottom w:val="single" w:sz="6" w:space="0" w:color="FFFFFF"/>
                <w:right w:val="single" w:sz="6" w:space="0" w:color="FFFFFF"/>
              </w:pBdr>
              <w:spacing w:after="58"/>
              <w:rPr>
                <w:color w:val="000000"/>
              </w:rPr>
            </w:pPr>
            <w:r>
              <w:rPr>
                <w:color w:val="000000"/>
              </w:rPr>
              <w:t>Maintain and updated records on cargo tank vapor tightness</w:t>
            </w:r>
          </w:p>
        </w:tc>
        <w:tc>
          <w:tcPr>
            <w:tcW w:w="2250" w:type="dxa"/>
            <w:tcBorders>
              <w:top w:val="single" w:sz="6" w:space="0" w:color="000000"/>
              <w:left w:val="single" w:sz="6" w:space="0" w:color="000000"/>
              <w:bottom w:val="single" w:sz="6" w:space="0" w:color="000000"/>
              <w:right w:val="single" w:sz="6" w:space="0" w:color="000000"/>
            </w:tcBorders>
          </w:tcPr>
          <w:p w:rsidR="006A6AC0" w:rsidRDefault="006A6AC0" w:rsidP="006A6AC0">
            <w:pPr>
              <w:pBdr>
                <w:top w:val="single" w:sz="6" w:space="0" w:color="FFFFFF"/>
                <w:left w:val="single" w:sz="6" w:space="0" w:color="FFFFFF"/>
                <w:bottom w:val="single" w:sz="6" w:space="0" w:color="FFFFFF"/>
                <w:right w:val="single" w:sz="6" w:space="0" w:color="FFFFFF"/>
              </w:pBdr>
              <w:spacing w:after="58"/>
              <w:rPr>
                <w:color w:val="000000"/>
              </w:rPr>
            </w:pPr>
            <w:r>
              <w:rPr>
                <w:color w:val="000000"/>
              </w:rPr>
              <w:t>63.428(b)</w:t>
            </w:r>
          </w:p>
        </w:tc>
      </w:tr>
      <w:tr w:rsidR="00CF09DE" w:rsidTr="00C237FC">
        <w:trPr>
          <w:jc w:val="center"/>
        </w:trPr>
        <w:tc>
          <w:tcPr>
            <w:tcW w:w="7110" w:type="dxa"/>
            <w:tcBorders>
              <w:top w:val="single" w:sz="6" w:space="0" w:color="000000"/>
              <w:left w:val="single" w:sz="6" w:space="0" w:color="000000"/>
              <w:bottom w:val="single" w:sz="6" w:space="0" w:color="000000"/>
              <w:right w:val="single" w:sz="6" w:space="0" w:color="000000"/>
            </w:tcBorders>
          </w:tcPr>
          <w:p w:rsidR="00CF09DE" w:rsidRDefault="00CF09DE">
            <w:pPr>
              <w:pBdr>
                <w:top w:val="single" w:sz="6" w:space="0" w:color="FFFFFF"/>
                <w:left w:val="single" w:sz="6" w:space="0" w:color="FFFFFF"/>
                <w:bottom w:val="single" w:sz="6" w:space="0" w:color="FFFFFF"/>
                <w:right w:val="single" w:sz="6" w:space="0" w:color="FFFFFF"/>
              </w:pBdr>
              <w:spacing w:after="58"/>
              <w:rPr>
                <w:color w:val="000000"/>
              </w:rPr>
            </w:pPr>
            <w:r>
              <w:rPr>
                <w:color w:val="000000"/>
              </w:rPr>
              <w:t>Maintain records of the annual inspections of storage vessels</w:t>
            </w:r>
          </w:p>
        </w:tc>
        <w:tc>
          <w:tcPr>
            <w:tcW w:w="2250" w:type="dxa"/>
            <w:tcBorders>
              <w:top w:val="single" w:sz="6" w:space="0" w:color="000000"/>
              <w:left w:val="single" w:sz="6" w:space="0" w:color="000000"/>
              <w:bottom w:val="single" w:sz="6" w:space="0" w:color="000000"/>
              <w:right w:val="single" w:sz="6" w:space="0" w:color="000000"/>
            </w:tcBorders>
          </w:tcPr>
          <w:p w:rsidR="00CF09DE" w:rsidRDefault="00CF09DE">
            <w:pPr>
              <w:pBdr>
                <w:top w:val="single" w:sz="6" w:space="0" w:color="FFFFFF"/>
                <w:left w:val="single" w:sz="6" w:space="0" w:color="FFFFFF"/>
                <w:bottom w:val="single" w:sz="6" w:space="0" w:color="FFFFFF"/>
                <w:right w:val="single" w:sz="6" w:space="0" w:color="FFFFFF"/>
              </w:pBdr>
              <w:spacing w:after="58"/>
              <w:rPr>
                <w:color w:val="000000"/>
              </w:rPr>
            </w:pPr>
            <w:r>
              <w:rPr>
                <w:color w:val="000000"/>
              </w:rPr>
              <w:t>60.115(b)</w:t>
            </w:r>
          </w:p>
        </w:tc>
      </w:tr>
      <w:tr w:rsidR="00CF09DE">
        <w:trPr>
          <w:jc w:val="center"/>
        </w:trPr>
        <w:tc>
          <w:tcPr>
            <w:tcW w:w="7110" w:type="dxa"/>
            <w:tcBorders>
              <w:top w:val="single" w:sz="6" w:space="0" w:color="000000"/>
              <w:left w:val="single" w:sz="6" w:space="0" w:color="000000"/>
              <w:bottom w:val="single" w:sz="6" w:space="0" w:color="000000"/>
              <w:right w:val="single" w:sz="6" w:space="0" w:color="000000"/>
            </w:tcBorders>
          </w:tcPr>
          <w:p w:rsidR="00CF09DE" w:rsidRDefault="00CF09DE">
            <w:pPr>
              <w:pBdr>
                <w:top w:val="single" w:sz="6" w:space="0" w:color="FFFFFF"/>
                <w:left w:val="single" w:sz="6" w:space="0" w:color="FFFFFF"/>
                <w:bottom w:val="single" w:sz="6" w:space="0" w:color="FFFFFF"/>
                <w:right w:val="single" w:sz="6" w:space="0" w:color="FFFFFF"/>
              </w:pBdr>
              <w:spacing w:after="58"/>
              <w:rPr>
                <w:color w:val="000000"/>
              </w:rPr>
            </w:pPr>
            <w:r>
              <w:rPr>
                <w:color w:val="000000"/>
              </w:rPr>
              <w:t>Continuously monitor and record operating parameter monitoring data</w:t>
            </w:r>
          </w:p>
        </w:tc>
        <w:tc>
          <w:tcPr>
            <w:tcW w:w="2250" w:type="dxa"/>
            <w:tcBorders>
              <w:top w:val="single" w:sz="6" w:space="0" w:color="000000"/>
              <w:left w:val="single" w:sz="6" w:space="0" w:color="000000"/>
              <w:bottom w:val="single" w:sz="6" w:space="0" w:color="000000"/>
              <w:right w:val="single" w:sz="6" w:space="0" w:color="000000"/>
            </w:tcBorders>
          </w:tcPr>
          <w:p w:rsidR="00CF09DE" w:rsidRDefault="00CF09DE">
            <w:pPr>
              <w:pBdr>
                <w:top w:val="single" w:sz="6" w:space="0" w:color="FFFFFF"/>
                <w:left w:val="single" w:sz="6" w:space="0" w:color="FFFFFF"/>
                <w:bottom w:val="single" w:sz="6" w:space="0" w:color="FFFFFF"/>
                <w:right w:val="single" w:sz="6" w:space="0" w:color="FFFFFF"/>
              </w:pBdr>
              <w:spacing w:after="58"/>
              <w:rPr>
                <w:color w:val="000000"/>
              </w:rPr>
            </w:pPr>
            <w:r>
              <w:rPr>
                <w:color w:val="000000"/>
              </w:rPr>
              <w:t>63.428(c)(1)</w:t>
            </w:r>
          </w:p>
        </w:tc>
      </w:tr>
      <w:tr w:rsidR="00CF09DE">
        <w:trPr>
          <w:jc w:val="center"/>
        </w:trPr>
        <w:tc>
          <w:tcPr>
            <w:tcW w:w="7110" w:type="dxa"/>
            <w:tcBorders>
              <w:top w:val="single" w:sz="6" w:space="0" w:color="000000"/>
              <w:left w:val="single" w:sz="6" w:space="0" w:color="000000"/>
              <w:bottom w:val="single" w:sz="6" w:space="0" w:color="000000"/>
              <w:right w:val="single" w:sz="6" w:space="0" w:color="000000"/>
            </w:tcBorders>
          </w:tcPr>
          <w:p w:rsidR="00CF09DE" w:rsidRDefault="00CF09DE">
            <w:pPr>
              <w:pBdr>
                <w:top w:val="single" w:sz="6" w:space="0" w:color="FFFFFF"/>
                <w:left w:val="single" w:sz="6" w:space="0" w:color="FFFFFF"/>
                <w:bottom w:val="single" w:sz="6" w:space="0" w:color="FFFFFF"/>
                <w:right w:val="single" w:sz="6" w:space="0" w:color="FFFFFF"/>
              </w:pBdr>
              <w:spacing w:after="58"/>
              <w:rPr>
                <w:color w:val="000000"/>
              </w:rPr>
            </w:pPr>
            <w:r>
              <w:rPr>
                <w:color w:val="000000"/>
              </w:rPr>
              <w:t>Records are required to be retained for 5 Years</w:t>
            </w:r>
          </w:p>
        </w:tc>
        <w:tc>
          <w:tcPr>
            <w:tcW w:w="2250" w:type="dxa"/>
            <w:tcBorders>
              <w:top w:val="single" w:sz="6" w:space="0" w:color="000000"/>
              <w:left w:val="single" w:sz="6" w:space="0" w:color="000000"/>
              <w:bottom w:val="single" w:sz="6" w:space="0" w:color="000000"/>
              <w:right w:val="single" w:sz="6" w:space="0" w:color="000000"/>
            </w:tcBorders>
          </w:tcPr>
          <w:p w:rsidR="00CF09DE" w:rsidRDefault="00CF09DE">
            <w:pPr>
              <w:pBdr>
                <w:top w:val="single" w:sz="6" w:space="0" w:color="FFFFFF"/>
                <w:left w:val="single" w:sz="6" w:space="0" w:color="FFFFFF"/>
                <w:bottom w:val="single" w:sz="6" w:space="0" w:color="FFFFFF"/>
                <w:right w:val="single" w:sz="6" w:space="0" w:color="FFFFFF"/>
              </w:pBdr>
              <w:spacing w:after="58"/>
              <w:rPr>
                <w:color w:val="000000"/>
              </w:rPr>
            </w:pPr>
            <w:r>
              <w:rPr>
                <w:color w:val="000000"/>
              </w:rPr>
              <w:t>63.10(b), 63.428(d)</w:t>
            </w:r>
          </w:p>
        </w:tc>
      </w:tr>
    </w:tbl>
    <w:p w:rsidR="00CF09DE" w:rsidRDefault="00CF09DE">
      <w:pPr>
        <w:pBdr>
          <w:top w:val="single" w:sz="6" w:space="0" w:color="FFFFFF"/>
          <w:left w:val="single" w:sz="6" w:space="0" w:color="FFFFFF"/>
          <w:bottom w:val="single" w:sz="6" w:space="0" w:color="FFFFFF"/>
          <w:right w:val="single" w:sz="6" w:space="0" w:color="FFFFFF"/>
        </w:pBdr>
        <w:rPr>
          <w:color w:val="000000"/>
        </w:rPr>
      </w:pPr>
    </w:p>
    <w:p w:rsidR="00586186" w:rsidRDefault="00586186">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rPr>
          <w:color w:val="000000"/>
        </w:rPr>
      </w:pPr>
      <w:r>
        <w:rPr>
          <w:color w:val="000000"/>
          <w:u w:val="single"/>
        </w:rPr>
        <w:lastRenderedPageBreak/>
        <w:t>Electronic Reporting</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reporting.</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CF09DE" w:rsidRDefault="00CF09DE">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F09DE">
        <w:trPr>
          <w:tblHeader/>
          <w:jc w:val="center"/>
        </w:trPr>
        <w:tc>
          <w:tcPr>
            <w:tcW w:w="9360" w:type="dxa"/>
            <w:tcBorders>
              <w:top w:val="single" w:sz="6" w:space="0" w:color="000000"/>
              <w:left w:val="single" w:sz="6" w:space="0" w:color="000000"/>
              <w:bottom w:val="single" w:sz="6" w:space="0" w:color="FFFFFF"/>
              <w:right w:val="single" w:sz="6" w:space="0" w:color="000000"/>
            </w:tcBorders>
          </w:tcPr>
          <w:p w:rsidR="00CF09DE" w:rsidRDefault="00CF09DE">
            <w:pPr>
              <w:spacing w:line="120" w:lineRule="exact"/>
              <w:rPr>
                <w:color w:val="000000"/>
              </w:rPr>
            </w:pPr>
          </w:p>
          <w:p w:rsidR="00CF09DE" w:rsidRDefault="00CF09DE">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F09DE">
        <w:trPr>
          <w:jc w:val="center"/>
        </w:trPr>
        <w:tc>
          <w:tcPr>
            <w:tcW w:w="9360" w:type="dxa"/>
            <w:tcBorders>
              <w:top w:val="single" w:sz="6" w:space="0" w:color="000000"/>
              <w:left w:val="single" w:sz="6" w:space="0" w:color="000000"/>
              <w:bottom w:val="single" w:sz="6" w:space="0" w:color="FFFFFF"/>
              <w:right w:val="single" w:sz="6" w:space="0" w:color="000000"/>
            </w:tcBorders>
          </w:tcPr>
          <w:p w:rsidR="00CF09DE" w:rsidRDefault="00CF09DE">
            <w:pPr>
              <w:spacing w:line="120" w:lineRule="exact"/>
              <w:rPr>
                <w:b/>
                <w:bCs/>
                <w:color w:val="000000"/>
              </w:rPr>
            </w:pPr>
          </w:p>
          <w:p w:rsidR="00CF09DE" w:rsidRDefault="00CF09DE">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F09DE">
        <w:trPr>
          <w:jc w:val="center"/>
        </w:trPr>
        <w:tc>
          <w:tcPr>
            <w:tcW w:w="9360" w:type="dxa"/>
            <w:tcBorders>
              <w:top w:val="single" w:sz="6" w:space="0" w:color="000000"/>
              <w:left w:val="single" w:sz="6" w:space="0" w:color="000000"/>
              <w:bottom w:val="single" w:sz="6" w:space="0" w:color="FFFFFF"/>
              <w:right w:val="single" w:sz="6" w:space="0" w:color="000000"/>
            </w:tcBorders>
          </w:tcPr>
          <w:p w:rsidR="00CF09DE" w:rsidRDefault="00CF09DE">
            <w:pPr>
              <w:spacing w:line="120" w:lineRule="exact"/>
              <w:rPr>
                <w:color w:val="000000"/>
              </w:rPr>
            </w:pPr>
          </w:p>
          <w:p w:rsidR="00CF09DE" w:rsidRDefault="00CF09DE">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B77EF1" w:rsidRPr="00B77EF1">
              <w:t>control device.</w:t>
            </w:r>
          </w:p>
        </w:tc>
      </w:tr>
      <w:tr w:rsidR="00CF09DE">
        <w:trPr>
          <w:jc w:val="center"/>
        </w:trPr>
        <w:tc>
          <w:tcPr>
            <w:tcW w:w="9360" w:type="dxa"/>
            <w:tcBorders>
              <w:top w:val="single" w:sz="6" w:space="0" w:color="000000"/>
              <w:left w:val="single" w:sz="6" w:space="0" w:color="000000"/>
              <w:bottom w:val="single" w:sz="6" w:space="0" w:color="FFFFFF"/>
              <w:right w:val="single" w:sz="6" w:space="0" w:color="000000"/>
            </w:tcBorders>
          </w:tcPr>
          <w:p w:rsidR="00CF09DE" w:rsidRDefault="00CF09DE">
            <w:pPr>
              <w:spacing w:line="120" w:lineRule="exact"/>
              <w:rPr>
                <w:color w:val="000000"/>
              </w:rPr>
            </w:pPr>
          </w:p>
          <w:p w:rsidR="00CF09DE" w:rsidRDefault="00CF09DE">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Method 21 and 27 tests, and repeat performance tests if necessary.</w:t>
            </w:r>
          </w:p>
        </w:tc>
      </w:tr>
      <w:tr w:rsidR="00CF09DE">
        <w:trPr>
          <w:jc w:val="center"/>
        </w:trPr>
        <w:tc>
          <w:tcPr>
            <w:tcW w:w="9360" w:type="dxa"/>
            <w:tcBorders>
              <w:top w:val="single" w:sz="6" w:space="0" w:color="000000"/>
              <w:left w:val="single" w:sz="6" w:space="0" w:color="000000"/>
              <w:bottom w:val="single" w:sz="6" w:space="0" w:color="FFFFFF"/>
              <w:right w:val="single" w:sz="6" w:space="0" w:color="000000"/>
            </w:tcBorders>
          </w:tcPr>
          <w:p w:rsidR="00CF09DE" w:rsidRDefault="00CF09DE">
            <w:pPr>
              <w:spacing w:line="120" w:lineRule="exact"/>
              <w:rPr>
                <w:color w:val="000000"/>
              </w:rPr>
            </w:pPr>
          </w:p>
          <w:p w:rsidR="00CF09DE" w:rsidRDefault="00CF09DE">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F09DE">
        <w:trPr>
          <w:jc w:val="center"/>
        </w:trPr>
        <w:tc>
          <w:tcPr>
            <w:tcW w:w="9360" w:type="dxa"/>
            <w:tcBorders>
              <w:top w:val="single" w:sz="6" w:space="0" w:color="000000"/>
              <w:left w:val="single" w:sz="6" w:space="0" w:color="000000"/>
              <w:bottom w:val="single" w:sz="6" w:space="0" w:color="FFFFFF"/>
              <w:right w:val="single" w:sz="6" w:space="0" w:color="000000"/>
            </w:tcBorders>
          </w:tcPr>
          <w:p w:rsidR="00CF09DE" w:rsidRDefault="00CF09DE">
            <w:pPr>
              <w:spacing w:line="120" w:lineRule="exact"/>
              <w:rPr>
                <w:color w:val="000000"/>
              </w:rPr>
            </w:pPr>
          </w:p>
          <w:p w:rsidR="00CF09DE" w:rsidRDefault="00CF09DE">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F09DE">
        <w:trPr>
          <w:jc w:val="center"/>
        </w:trPr>
        <w:tc>
          <w:tcPr>
            <w:tcW w:w="9360" w:type="dxa"/>
            <w:tcBorders>
              <w:top w:val="single" w:sz="6" w:space="0" w:color="000000"/>
              <w:left w:val="single" w:sz="6" w:space="0" w:color="000000"/>
              <w:bottom w:val="single" w:sz="6" w:space="0" w:color="FFFFFF"/>
              <w:right w:val="single" w:sz="6" w:space="0" w:color="000000"/>
            </w:tcBorders>
          </w:tcPr>
          <w:p w:rsidR="00CF09DE" w:rsidRDefault="00CF09DE">
            <w:pPr>
              <w:spacing w:line="120" w:lineRule="exact"/>
              <w:rPr>
                <w:color w:val="000000"/>
              </w:rPr>
            </w:pPr>
          </w:p>
          <w:p w:rsidR="00CF09DE" w:rsidRDefault="00CF09DE">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F09DE">
        <w:trPr>
          <w:jc w:val="center"/>
        </w:trPr>
        <w:tc>
          <w:tcPr>
            <w:tcW w:w="9360" w:type="dxa"/>
            <w:tcBorders>
              <w:top w:val="single" w:sz="6" w:space="0" w:color="000000"/>
              <w:left w:val="single" w:sz="6" w:space="0" w:color="000000"/>
              <w:bottom w:val="single" w:sz="6" w:space="0" w:color="FFFFFF"/>
              <w:right w:val="single" w:sz="6" w:space="0" w:color="000000"/>
            </w:tcBorders>
          </w:tcPr>
          <w:p w:rsidR="00CF09DE" w:rsidRDefault="00CF09DE">
            <w:pPr>
              <w:spacing w:line="120" w:lineRule="exact"/>
              <w:rPr>
                <w:color w:val="000000"/>
              </w:rPr>
            </w:pPr>
          </w:p>
          <w:p w:rsidR="00CF09DE" w:rsidRDefault="00CF09DE">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F09DE">
        <w:trPr>
          <w:jc w:val="center"/>
        </w:trPr>
        <w:tc>
          <w:tcPr>
            <w:tcW w:w="9360" w:type="dxa"/>
            <w:tcBorders>
              <w:top w:val="single" w:sz="6" w:space="0" w:color="000000"/>
              <w:left w:val="single" w:sz="6" w:space="0" w:color="000000"/>
              <w:bottom w:val="single" w:sz="6" w:space="0" w:color="FFFFFF"/>
              <w:right w:val="single" w:sz="6" w:space="0" w:color="000000"/>
            </w:tcBorders>
          </w:tcPr>
          <w:p w:rsidR="00CF09DE" w:rsidRDefault="00CF09DE">
            <w:pPr>
              <w:spacing w:line="120" w:lineRule="exact"/>
              <w:rPr>
                <w:color w:val="000000"/>
              </w:rPr>
            </w:pPr>
          </w:p>
          <w:p w:rsidR="00CF09DE" w:rsidRDefault="00CF09DE">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F09DE">
        <w:trPr>
          <w:jc w:val="center"/>
        </w:trPr>
        <w:tc>
          <w:tcPr>
            <w:tcW w:w="9360" w:type="dxa"/>
            <w:tcBorders>
              <w:top w:val="single" w:sz="6" w:space="0" w:color="000000"/>
              <w:left w:val="single" w:sz="6" w:space="0" w:color="000000"/>
              <w:bottom w:val="single" w:sz="6" w:space="0" w:color="FFFFFF"/>
              <w:right w:val="single" w:sz="6" w:space="0" w:color="000000"/>
            </w:tcBorders>
          </w:tcPr>
          <w:p w:rsidR="00CF09DE" w:rsidRDefault="00CF09DE">
            <w:pPr>
              <w:spacing w:line="120" w:lineRule="exact"/>
              <w:rPr>
                <w:color w:val="000000"/>
              </w:rPr>
            </w:pPr>
          </w:p>
          <w:p w:rsidR="00CF09DE" w:rsidRDefault="00CF09DE">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F09DE">
        <w:trPr>
          <w:jc w:val="center"/>
        </w:trPr>
        <w:tc>
          <w:tcPr>
            <w:tcW w:w="9360" w:type="dxa"/>
            <w:tcBorders>
              <w:top w:val="single" w:sz="6" w:space="0" w:color="000000"/>
              <w:left w:val="single" w:sz="6" w:space="0" w:color="000000"/>
              <w:bottom w:val="single" w:sz="6" w:space="0" w:color="000000"/>
              <w:right w:val="single" w:sz="6" w:space="0" w:color="000000"/>
            </w:tcBorders>
          </w:tcPr>
          <w:p w:rsidR="00CF09DE" w:rsidRDefault="00CF09DE">
            <w:pPr>
              <w:spacing w:line="120" w:lineRule="exact"/>
              <w:rPr>
                <w:color w:val="000000"/>
              </w:rPr>
            </w:pPr>
          </w:p>
          <w:p w:rsidR="00CF09DE" w:rsidRDefault="00CF09DE">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rsidP="006A6AC0">
      <w:pPr>
        <w:pBdr>
          <w:top w:val="single" w:sz="6" w:space="0" w:color="FFFFFF"/>
          <w:left w:val="single" w:sz="6" w:space="0" w:color="FFFFFF"/>
          <w:bottom w:val="single" w:sz="6" w:space="0" w:color="FFFFFF"/>
          <w:right w:val="single" w:sz="6" w:space="0" w:color="FFFFFF"/>
        </w:pBdr>
        <w:ind w:firstLine="720"/>
      </w:pPr>
      <w:r w:rsidRPr="00FE2B0F">
        <w:t xml:space="preserve">Currently sources are using monitoring and reporting equipment that provide parameter data in an automated way </w:t>
      </w:r>
      <w:r w:rsidR="004E71D5">
        <w:t>(</w:t>
      </w:r>
      <w:r w:rsidRPr="00FE2B0F">
        <w:t>e.g., continuous parameter monitoring system</w:t>
      </w:r>
      <w:r w:rsidR="004E71D5">
        <w:t>)</w:t>
      </w:r>
      <w:r w:rsidRPr="00FE2B0F">
        <w:t>.  Although personnel at the source still need to evaluate the data, this type of monitoring equipment has significantly reduced the burden associated with monitoring and recordkeeping.</w:t>
      </w:r>
    </w:p>
    <w:p w:rsidR="007405CF" w:rsidRDefault="007405CF">
      <w:pPr>
        <w:pBdr>
          <w:top w:val="single" w:sz="6" w:space="0" w:color="FFFFFF"/>
          <w:left w:val="single" w:sz="6" w:space="0" w:color="FFFFFF"/>
          <w:bottom w:val="single" w:sz="6" w:space="0" w:color="FFFFFF"/>
          <w:right w:val="single" w:sz="6" w:space="0" w:color="FFFFFF"/>
        </w:pBdr>
        <w:rPr>
          <w:b/>
          <w:bCs/>
          <w:color w:val="000000"/>
        </w:rPr>
      </w:pPr>
    </w:p>
    <w:p w:rsidR="00CF09DE" w:rsidRDefault="00CF09DE">
      <w:pPr>
        <w:pBdr>
          <w:top w:val="single" w:sz="6" w:space="0" w:color="FFFFFF"/>
          <w:left w:val="single" w:sz="6" w:space="0" w:color="FFFFFF"/>
          <w:bottom w:val="single" w:sz="6" w:space="0" w:color="FFFFFF"/>
          <w:right w:val="single" w:sz="6" w:space="0" w:color="FFFFFF"/>
        </w:pBdr>
        <w:rPr>
          <w:b/>
          <w:bCs/>
          <w:color w:val="000000"/>
        </w:rPr>
      </w:pPr>
      <w:r>
        <w:rPr>
          <w:b/>
          <w:bCs/>
          <w:color w:val="000000"/>
        </w:rPr>
        <w:lastRenderedPageBreak/>
        <w:t>5.  The Information Collected:  Agency Activities, Collection Methodology, and Information Management</w:t>
      </w:r>
    </w:p>
    <w:p w:rsidR="00CF09DE" w:rsidRDefault="00CF09DE">
      <w:pPr>
        <w:pBdr>
          <w:top w:val="single" w:sz="6" w:space="0" w:color="FFFFFF"/>
          <w:left w:val="single" w:sz="6" w:space="0" w:color="FFFFFF"/>
          <w:bottom w:val="single" w:sz="6" w:space="0" w:color="FFFFFF"/>
          <w:right w:val="single" w:sz="6" w:space="0" w:color="FFFFFF"/>
        </w:pBdr>
        <w:rPr>
          <w:b/>
          <w:bCs/>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F09DE" w:rsidRDefault="00CF09DE">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F09DE">
        <w:trPr>
          <w:tblHeader/>
        </w:trPr>
        <w:tc>
          <w:tcPr>
            <w:tcW w:w="9360" w:type="dxa"/>
            <w:tcBorders>
              <w:top w:val="single" w:sz="6" w:space="0" w:color="000000"/>
              <w:left w:val="single" w:sz="6" w:space="0" w:color="000000"/>
              <w:bottom w:val="single" w:sz="6" w:space="0" w:color="FFFFFF"/>
              <w:right w:val="single" w:sz="6" w:space="0" w:color="000000"/>
            </w:tcBorders>
          </w:tcPr>
          <w:p w:rsidR="00CF09DE" w:rsidRDefault="00CF09DE">
            <w:pPr>
              <w:spacing w:line="120" w:lineRule="exact"/>
              <w:rPr>
                <w:color w:val="000000"/>
              </w:rPr>
            </w:pPr>
          </w:p>
          <w:p w:rsidR="00CF09DE" w:rsidRDefault="00CF09DE">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F09DE">
        <w:tc>
          <w:tcPr>
            <w:tcW w:w="9360" w:type="dxa"/>
            <w:tcBorders>
              <w:top w:val="single" w:sz="6" w:space="0" w:color="000000"/>
              <w:left w:val="single" w:sz="6" w:space="0" w:color="000000"/>
              <w:bottom w:val="single" w:sz="6" w:space="0" w:color="FFFFFF"/>
              <w:right w:val="single" w:sz="6" w:space="0" w:color="000000"/>
            </w:tcBorders>
          </w:tcPr>
          <w:p w:rsidR="00CF09DE" w:rsidRDefault="00CF09DE">
            <w:pPr>
              <w:spacing w:line="120" w:lineRule="exact"/>
              <w:rPr>
                <w:color w:val="000000"/>
              </w:rPr>
            </w:pPr>
          </w:p>
          <w:p w:rsidR="00CF09DE" w:rsidRDefault="00CF09DE">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F09DE">
        <w:tc>
          <w:tcPr>
            <w:tcW w:w="9360" w:type="dxa"/>
            <w:tcBorders>
              <w:top w:val="single" w:sz="6" w:space="0" w:color="000000"/>
              <w:left w:val="single" w:sz="6" w:space="0" w:color="000000"/>
              <w:bottom w:val="single" w:sz="6" w:space="0" w:color="FFFFFF"/>
              <w:right w:val="single" w:sz="6" w:space="0" w:color="000000"/>
            </w:tcBorders>
          </w:tcPr>
          <w:p w:rsidR="00CF09DE" w:rsidRDefault="00CF09DE">
            <w:pPr>
              <w:spacing w:line="120" w:lineRule="exact"/>
              <w:rPr>
                <w:color w:val="000000"/>
              </w:rPr>
            </w:pPr>
          </w:p>
          <w:p w:rsidR="00CF09DE" w:rsidRDefault="00CF09DE">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F09DE">
        <w:tc>
          <w:tcPr>
            <w:tcW w:w="9360" w:type="dxa"/>
            <w:tcBorders>
              <w:top w:val="single" w:sz="6" w:space="0" w:color="000000"/>
              <w:left w:val="single" w:sz="6" w:space="0" w:color="000000"/>
              <w:bottom w:val="single" w:sz="6" w:space="0" w:color="000000"/>
              <w:right w:val="single" w:sz="6" w:space="0" w:color="000000"/>
            </w:tcBorders>
          </w:tcPr>
          <w:p w:rsidR="00CF09DE" w:rsidRDefault="00CF09DE">
            <w:pPr>
              <w:spacing w:line="120" w:lineRule="exact"/>
              <w:rPr>
                <w:color w:val="000000"/>
              </w:rPr>
            </w:pPr>
          </w:p>
          <w:p w:rsidR="00CF09DE" w:rsidRDefault="00CF09DE"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Online Tracking Information System (OTIS). </w:t>
            </w:r>
          </w:p>
        </w:tc>
      </w:tr>
    </w:tbl>
    <w:p w:rsidR="00CF09DE" w:rsidRDefault="00CF09DE">
      <w:pPr>
        <w:pBdr>
          <w:top w:val="single" w:sz="6" w:space="0" w:color="FFFFFF"/>
          <w:left w:val="single" w:sz="6" w:space="0" w:color="FFFFFF"/>
          <w:bottom w:val="single" w:sz="6" w:space="0" w:color="FFFFFF"/>
          <w:right w:val="single" w:sz="6" w:space="0" w:color="FFFFFF"/>
        </w:pBdr>
        <w:rPr>
          <w:b/>
          <w:bCs/>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Pr="00566AFD" w:rsidRDefault="00CF09DE">
      <w:pPr>
        <w:pBdr>
          <w:top w:val="single" w:sz="6" w:space="0" w:color="FFFFFF"/>
          <w:left w:val="single" w:sz="6" w:space="0" w:color="FFFFFF"/>
          <w:bottom w:val="single" w:sz="6" w:space="0" w:color="FFFFFF"/>
          <w:right w:val="single" w:sz="6" w:space="0" w:color="FFFFFF"/>
        </w:pBdr>
        <w:ind w:firstLine="720"/>
      </w:pPr>
      <w:r w:rsidRPr="00566AFD">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entered into OTIS which is operated and maintained by EPA's Office of Compliance.  OTIS is EPA’s database for the collection, maintenance, and retrieval of compliance data for approximately 125,000 industrial and government-owned facilities.  EPA uses the OTIS for tracking air pollution compliance and enforcement by local and state regulatory agencies, EPA regional offices and EPA headquarters.  EPA and its delegated Authorities can edit, store, retrieve and analyze the data.</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five years.</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F09DE" w:rsidRDefault="00CF09DE" w:rsidP="006E4A6E">
      <w:pPr>
        <w:pBdr>
          <w:top w:val="single" w:sz="6" w:space="0" w:color="FFFFFF"/>
          <w:left w:val="single" w:sz="6" w:space="0" w:color="FFFFFF"/>
          <w:bottom w:val="single" w:sz="6" w:space="0" w:color="FFFFFF"/>
          <w:right w:val="single" w:sz="6" w:space="0" w:color="FFFFFF"/>
        </w:pBdr>
        <w:rPr>
          <w:color w:val="000000"/>
        </w:rPr>
      </w:pPr>
    </w:p>
    <w:p w:rsidR="006A6AC0" w:rsidRDefault="00CF09DE" w:rsidP="00F03125">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small entities potentially subject to the requirements of this ICR is estimated to be 56 percent of the respondent universe; however, f</w:t>
      </w:r>
      <w:r w:rsidRPr="007557D1">
        <w:rPr>
          <w:color w:val="000000"/>
        </w:rPr>
        <w:t>iner</w:t>
      </w:r>
      <w:r>
        <w:rPr>
          <w:color w:val="000000"/>
        </w:rPr>
        <w:t xml:space="preserve"> and</w:t>
      </w:r>
      <w:r w:rsidRPr="007557D1">
        <w:rPr>
          <w:color w:val="000000"/>
        </w:rPr>
        <w:t xml:space="preserve"> more</w:t>
      </w:r>
      <w:r>
        <w:rPr>
          <w:color w:val="000000"/>
        </w:rPr>
        <w:t>-</w:t>
      </w:r>
      <w:r w:rsidRPr="007557D1">
        <w:rPr>
          <w:color w:val="000000"/>
        </w:rPr>
        <w:t>complete data would probably</w:t>
      </w:r>
      <w:r>
        <w:rPr>
          <w:color w:val="000000"/>
        </w:rPr>
        <w:t xml:space="preserve"> </w:t>
      </w:r>
      <w:r w:rsidRPr="007557D1">
        <w:rPr>
          <w:color w:val="000000"/>
        </w:rPr>
        <w:t>result in a substantial reduction in the number of firms</w:t>
      </w:r>
      <w:r>
        <w:rPr>
          <w:color w:val="000000"/>
        </w:rPr>
        <w:t xml:space="preserve"> </w:t>
      </w:r>
      <w:r w:rsidRPr="007557D1">
        <w:rPr>
          <w:color w:val="000000"/>
        </w:rPr>
        <w:t>classified as small</w:t>
      </w:r>
      <w:r>
        <w:rPr>
          <w:color w:val="000000"/>
        </w:rPr>
        <w:t xml:space="preserve">.  This estimate is based on the discussion of small business impacts during the development of the rule (see BID </w:t>
      </w:r>
      <w:r w:rsidRPr="007557D1">
        <w:rPr>
          <w:color w:val="000000"/>
        </w:rPr>
        <w:t>EPA-453/R-94-002a</w:t>
      </w:r>
      <w:r w:rsidRPr="00C668FB">
        <w:rPr>
          <w:color w:val="000000"/>
        </w:rPr>
        <w:t xml:space="preserve"> </w:t>
      </w:r>
      <w:r>
        <w:rPr>
          <w:color w:val="000000"/>
        </w:rPr>
        <w:t>January 1994, pages 8-84 through 8-87).</w:t>
      </w:r>
      <w:r w:rsidRPr="00C668FB">
        <w:rPr>
          <w:color w:val="000000"/>
        </w:rPr>
        <w:t xml:space="preserve"> </w:t>
      </w:r>
      <w:r>
        <w:rPr>
          <w:color w:val="000000"/>
        </w:rPr>
        <w:t xml:space="preserve"> </w:t>
      </w:r>
    </w:p>
    <w:p w:rsidR="006A6AC0" w:rsidRDefault="006A6AC0">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w:t>
      </w:r>
      <w:r w:rsidR="00CF09DE">
        <w:rPr>
          <w:color w:val="000000"/>
        </w:rPr>
        <w: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F09DE" w:rsidRDefault="00CF09DE">
      <w:pPr>
        <w:pBdr>
          <w:top w:val="single" w:sz="6" w:space="0" w:color="FFFFFF"/>
          <w:left w:val="single" w:sz="6" w:space="0" w:color="FFFFFF"/>
          <w:bottom w:val="single" w:sz="6" w:space="0" w:color="FFFFFF"/>
          <w:right w:val="single" w:sz="6" w:space="0" w:color="FFFFFF"/>
        </w:pBdr>
        <w:rPr>
          <w:b/>
          <w:bCs/>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below </w:t>
      </w:r>
      <w:r w:rsidRPr="00775689">
        <w:t xml:space="preserve">Table 1: Annual Respondent Burden and Cost – </w:t>
      </w:r>
      <w:r w:rsidRPr="00775689">
        <w:rPr>
          <w:bCs/>
        </w:rPr>
        <w:t>NESHAP for Gasoline Distribution Facilities (40 CFR Part 63, Subpart R)</w:t>
      </w:r>
      <w:r w:rsidRPr="00775689">
        <w:t xml:space="preserve"> (Renewal)</w:t>
      </w:r>
      <w:r>
        <w:rPr>
          <w:color w:val="000000"/>
        </w:rPr>
        <w:t>.</w:t>
      </w:r>
    </w:p>
    <w:p w:rsidR="00CF09DE" w:rsidRDefault="00CF09DE">
      <w:pPr>
        <w:pBdr>
          <w:top w:val="single" w:sz="6" w:space="0" w:color="FFFFFF"/>
          <w:left w:val="single" w:sz="6" w:space="0" w:color="FFFFFF"/>
          <w:bottom w:val="single" w:sz="6" w:space="0" w:color="FFFFFF"/>
          <w:right w:val="single" w:sz="6" w:space="0" w:color="FFFFFF"/>
        </w:pBdr>
        <w:rPr>
          <w:b/>
          <w:bCs/>
          <w:color w:val="000000"/>
        </w:rPr>
      </w:pPr>
    </w:p>
    <w:p w:rsidR="00CF09DE" w:rsidRDefault="00CF09DE"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F09DE" w:rsidRDefault="00CF09DE" w:rsidP="004C701D">
      <w:pPr>
        <w:pBdr>
          <w:top w:val="single" w:sz="6" w:space="1" w:color="FFFFFF"/>
          <w:left w:val="single" w:sz="6" w:space="0" w:color="FFFFFF"/>
          <w:bottom w:val="single" w:sz="6" w:space="0" w:color="FFFFFF"/>
          <w:right w:val="single" w:sz="6" w:space="0" w:color="FFFFFF"/>
        </w:pBdr>
        <w:rPr>
          <w:b/>
          <w:bCs/>
          <w:color w:val="000000"/>
        </w:rPr>
      </w:pPr>
    </w:p>
    <w:p w:rsidR="00CF09DE" w:rsidRDefault="00CF09DE"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00C237FC">
        <w:rPr>
          <w:color w:val="000000"/>
        </w:rPr>
        <w:t xml:space="preserve"> </w:t>
      </w:r>
      <w:r>
        <w:rPr>
          <w:color w:val="000000"/>
        </w:rPr>
        <w:t>included in this ICR.  The individual burdens are expressed under standardized headings believed to be consistent with the concept of burden under the Paperwork Reduction Act.  Where</w:t>
      </w:r>
      <w:r w:rsidR="00D73A90">
        <w:rPr>
          <w:color w:val="000000"/>
        </w:rPr>
        <w:t>ver</w:t>
      </w:r>
      <w:r>
        <w:rPr>
          <w:color w:val="000000"/>
        </w:rPr>
        <w:t xml:space="preserve"> appropriate, specific tasks and major assumptions have been identified.  Responses to this information collection are mandatory.</w:t>
      </w:r>
    </w:p>
    <w:p w:rsidR="00CF09DE" w:rsidRDefault="00CF09DE" w:rsidP="004C701D">
      <w:pPr>
        <w:pBdr>
          <w:top w:val="single" w:sz="6" w:space="1" w:color="FFFFFF"/>
          <w:left w:val="single" w:sz="6" w:space="0" w:color="FFFFFF"/>
          <w:bottom w:val="single" w:sz="6" w:space="0" w:color="FFFFFF"/>
          <w:right w:val="single" w:sz="6" w:space="0" w:color="FFFFFF"/>
        </w:pBdr>
        <w:rPr>
          <w:color w:val="000000"/>
        </w:rPr>
      </w:pPr>
    </w:p>
    <w:p w:rsidR="00CF09DE" w:rsidRDefault="00CF09DE"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F09DE" w:rsidRDefault="00CF09DE" w:rsidP="004C701D">
      <w:pPr>
        <w:pBdr>
          <w:top w:val="single" w:sz="6" w:space="1" w:color="FFFFFF"/>
          <w:left w:val="single" w:sz="6" w:space="0" w:color="FFFFFF"/>
          <w:bottom w:val="single" w:sz="6" w:space="0" w:color="FFFFFF"/>
          <w:right w:val="single" w:sz="6" w:space="0" w:color="FFFFFF"/>
        </w:pBdr>
        <w:rPr>
          <w:color w:val="000000"/>
        </w:rPr>
      </w:pPr>
    </w:p>
    <w:p w:rsidR="00CF09DE" w:rsidRDefault="00CF09DE"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F09DE" w:rsidRDefault="00CF09DE" w:rsidP="004C701D">
      <w:pPr>
        <w:pBdr>
          <w:top w:val="single" w:sz="6" w:space="1" w:color="FFFFFF"/>
          <w:left w:val="single" w:sz="6" w:space="0" w:color="FFFFFF"/>
          <w:bottom w:val="single" w:sz="6" w:space="0" w:color="FFFFFF"/>
          <w:right w:val="single" w:sz="6" w:space="0" w:color="FFFFFF"/>
        </w:pBdr>
        <w:rPr>
          <w:color w:val="000000"/>
        </w:rPr>
      </w:pPr>
    </w:p>
    <w:p w:rsidR="00CF09DE" w:rsidRDefault="00CF09DE"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requirements is estimated to be 15,</w:t>
      </w:r>
      <w:r w:rsidR="002B5815">
        <w:rPr>
          <w:color w:val="000000"/>
        </w:rPr>
        <w:t>823</w:t>
      </w:r>
      <w:r w:rsidR="00984EFC">
        <w:rPr>
          <w:color w:val="000000"/>
        </w:rPr>
        <w:t xml:space="preserve"> hours</w:t>
      </w:r>
      <w:r w:rsidR="002B5815">
        <w:rPr>
          <w:color w:val="000000"/>
        </w:rPr>
        <w:t xml:space="preserve"> </w:t>
      </w:r>
      <w:r w:rsidR="000730BB">
        <w:rPr>
          <w:color w:val="000000"/>
        </w:rPr>
        <w:t>(Total Labor Hours from Table 1 below</w:t>
      </w:r>
      <w:r>
        <w:rPr>
          <w:color w:val="000000"/>
        </w:rPr>
        <w:t xml:space="preserve">).   These hours are based on Agency studies and background documents from the development of the regulation, Agency knowledge and experience with the </w:t>
      </w:r>
      <w:r w:rsidR="00B77EF1" w:rsidRPr="00B77EF1">
        <w:t xml:space="preserve">NESHAP </w:t>
      </w:r>
      <w:r>
        <w:rPr>
          <w:color w:val="000000"/>
        </w:rPr>
        <w:t>program, the previously approved ICR, and any comments received.</w:t>
      </w:r>
    </w:p>
    <w:p w:rsidR="00CF09DE" w:rsidRDefault="00CF09DE" w:rsidP="004C701D">
      <w:pPr>
        <w:pBdr>
          <w:top w:val="single" w:sz="6" w:space="1" w:color="FFFFFF"/>
          <w:left w:val="single" w:sz="6" w:space="0" w:color="FFFFFF"/>
          <w:bottom w:val="single" w:sz="6" w:space="0" w:color="FFFFFF"/>
          <w:right w:val="single" w:sz="6" w:space="0" w:color="FFFFFF"/>
        </w:pBdr>
        <w:rPr>
          <w:color w:val="000000"/>
        </w:rPr>
      </w:pPr>
    </w:p>
    <w:p w:rsidR="00CF09DE" w:rsidRDefault="00CF09DE"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CF09DE" w:rsidRDefault="00CF09DE" w:rsidP="004C701D">
      <w:pPr>
        <w:pBdr>
          <w:top w:val="single" w:sz="6" w:space="1" w:color="FFFFFF"/>
          <w:left w:val="single" w:sz="6" w:space="0" w:color="FFFFFF"/>
          <w:bottom w:val="single" w:sz="6" w:space="0" w:color="FFFFFF"/>
          <w:right w:val="single" w:sz="6" w:space="0" w:color="FFFFFF"/>
        </w:pBdr>
        <w:rPr>
          <w:b/>
          <w:bCs/>
          <w:color w:val="000000"/>
        </w:rPr>
      </w:pPr>
    </w:p>
    <w:p w:rsidR="00CF09DE" w:rsidRDefault="00CF09DE"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(i)  Estimating Labor Costs</w:t>
      </w:r>
      <w:r>
        <w:rPr>
          <w:color w:val="000000"/>
        </w:rPr>
        <w:t xml:space="preserve"> </w:t>
      </w:r>
    </w:p>
    <w:p w:rsidR="00CF09DE" w:rsidRDefault="00CF09DE"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CF09DE" w:rsidRDefault="00CF09DE"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CF09DE" w:rsidRDefault="00CF09DE" w:rsidP="004C701D">
      <w:pPr>
        <w:pBdr>
          <w:top w:val="single" w:sz="6" w:space="1" w:color="FFFFFF"/>
          <w:left w:val="single" w:sz="6" w:space="0" w:color="FFFFFF"/>
          <w:bottom w:val="single" w:sz="6" w:space="0" w:color="FFFFFF"/>
          <w:right w:val="single" w:sz="6" w:space="0" w:color="FFFFFF"/>
        </w:pBdr>
        <w:rPr>
          <w:color w:val="000000"/>
        </w:rPr>
      </w:pPr>
    </w:p>
    <w:p w:rsidR="00CF09DE" w:rsidRDefault="00CF09DE"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 xml:space="preserve">$122.49 ($58.33 + 110%)   </w:t>
      </w:r>
    </w:p>
    <w:p w:rsidR="00CF09DE" w:rsidRDefault="00CF09DE"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$101.28 ($48.23 + 110%)</w:t>
      </w:r>
    </w:p>
    <w:p w:rsidR="00CF09DE" w:rsidRDefault="00CF09DE"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$50.80 ($24.19 + 110%)</w:t>
      </w:r>
    </w:p>
    <w:p w:rsidR="00F03125" w:rsidRDefault="00F03125" w:rsidP="002712EB">
      <w:pPr>
        <w:pBdr>
          <w:top w:val="single" w:sz="6" w:space="0" w:color="FFFFFF"/>
          <w:left w:val="single" w:sz="6" w:space="0" w:color="FFFFFF"/>
          <w:bottom w:val="single" w:sz="6" w:space="0" w:color="FFFFFF"/>
          <w:right w:val="single" w:sz="6" w:space="0" w:color="FFFFFF"/>
        </w:pBdr>
        <w:rPr>
          <w:color w:val="000000"/>
        </w:rPr>
      </w:pPr>
    </w:p>
    <w:p w:rsidR="00CF09DE" w:rsidRDefault="00CF09DE"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Pr>
          <w:color w:val="000000"/>
        </w:rPr>
        <w:lastRenderedPageBreak/>
        <w:t>September 2012, “Table 2. Civilian Workers, by occupational and industry group.”  The rates are from column 1, “Total compensation.”  The rates have been increased by 110 percent to account for the benefit packages available to those employed by private industry.</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The capital/startup costs are one</w:t>
      </w:r>
      <w:r w:rsidR="00DC7823">
        <w:rPr>
          <w:color w:val="000000"/>
        </w:rPr>
        <w:t>-</w:t>
      </w:r>
      <w:r>
        <w:rPr>
          <w:color w:val="000000"/>
        </w:rPr>
        <w:t>time costs when a facility becomes subject to the regulation.  The annual operation and maintenance costs are the ongoing costs to maintain the monitor and other costs such as photocopying and postage.</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CF09DE" w:rsidRDefault="00CF09DE">
      <w:pPr>
        <w:pBdr>
          <w:top w:val="single" w:sz="6" w:space="0" w:color="FFFFFF"/>
          <w:left w:val="single" w:sz="6" w:space="0" w:color="FFFFFF"/>
          <w:bottom w:val="single" w:sz="6" w:space="0" w:color="FFFFFF"/>
          <w:right w:val="single" w:sz="6" w:space="0" w:color="FFFFFF"/>
        </w:pBdr>
        <w:rPr>
          <w:color w:val="000000"/>
        </w:rPr>
      </w:pPr>
    </w:p>
    <w:tbl>
      <w:tblPr>
        <w:tblW w:w="0" w:type="auto"/>
        <w:tblInd w:w="-159" w:type="dxa"/>
        <w:tblLayout w:type="fixed"/>
        <w:tblCellMar>
          <w:left w:w="111" w:type="dxa"/>
          <w:right w:w="111" w:type="dxa"/>
        </w:tblCellMar>
        <w:tblLook w:val="0000"/>
      </w:tblPr>
      <w:tblGrid>
        <w:gridCol w:w="1530"/>
        <w:gridCol w:w="1440"/>
        <w:gridCol w:w="1260"/>
        <w:gridCol w:w="1440"/>
        <w:gridCol w:w="1350"/>
        <w:gridCol w:w="1260"/>
        <w:gridCol w:w="1350"/>
      </w:tblGrid>
      <w:tr w:rsidR="00CF09DE" w:rsidTr="00DE2DBE">
        <w:trPr>
          <w:tblHeader/>
        </w:trPr>
        <w:tc>
          <w:tcPr>
            <w:tcW w:w="9630" w:type="dxa"/>
            <w:gridSpan w:val="7"/>
            <w:tcBorders>
              <w:top w:val="single" w:sz="6" w:space="0" w:color="000000"/>
              <w:left w:val="single" w:sz="6" w:space="0" w:color="000000"/>
              <w:bottom w:val="single" w:sz="8" w:space="0" w:color="000000"/>
              <w:right w:val="single" w:sz="6" w:space="0" w:color="000000"/>
            </w:tcBorders>
          </w:tcPr>
          <w:p w:rsidR="00CF09DE" w:rsidRDefault="00CF09DE">
            <w:pPr>
              <w:spacing w:line="120" w:lineRule="exact"/>
              <w:rPr>
                <w:color w:val="000000"/>
              </w:rPr>
            </w:pPr>
          </w:p>
          <w:p w:rsidR="00CF09DE" w:rsidRDefault="00CF09DE">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F09DE" w:rsidTr="00DE2DBE">
        <w:tblPrEx>
          <w:tblCellMar>
            <w:left w:w="108" w:type="dxa"/>
            <w:right w:w="108" w:type="dxa"/>
          </w:tblCellMar>
        </w:tblPrEx>
        <w:tc>
          <w:tcPr>
            <w:tcW w:w="1530" w:type="dxa"/>
            <w:tcBorders>
              <w:top w:val="single" w:sz="8" w:space="0" w:color="000000"/>
              <w:left w:val="single" w:sz="8" w:space="0" w:color="000000"/>
              <w:bottom w:val="single" w:sz="8" w:space="0" w:color="000000"/>
              <w:right w:val="single" w:sz="8" w:space="0" w:color="000000"/>
            </w:tcBorders>
          </w:tcPr>
          <w:p w:rsidR="00CF09DE" w:rsidRDefault="00CF09DE" w:rsidP="00DE2DBE">
            <w:pPr>
              <w:spacing w:line="120" w:lineRule="exact"/>
              <w:jc w:val="center"/>
              <w:rPr>
                <w:b/>
                <w:bCs/>
                <w:color w:val="000000"/>
              </w:rPr>
            </w:pPr>
          </w:p>
          <w:p w:rsidR="00CF09DE" w:rsidRDefault="00CF09DE" w:rsidP="00DE2DB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F09DE" w:rsidRDefault="00CF09DE" w:rsidP="00DE2DB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8" w:space="0" w:color="000000"/>
              <w:left w:val="single" w:sz="8" w:space="0" w:color="000000"/>
              <w:bottom w:val="single" w:sz="8" w:space="0" w:color="000000"/>
              <w:right w:val="single" w:sz="8" w:space="0" w:color="000000"/>
            </w:tcBorders>
          </w:tcPr>
          <w:p w:rsidR="00CF09DE" w:rsidRDefault="00CF09DE" w:rsidP="00DE2DBE">
            <w:pPr>
              <w:spacing w:line="120" w:lineRule="exact"/>
              <w:jc w:val="center"/>
              <w:rPr>
                <w:color w:val="000000"/>
                <w:sz w:val="20"/>
                <w:szCs w:val="20"/>
              </w:rPr>
            </w:pPr>
          </w:p>
          <w:p w:rsidR="00CF09DE" w:rsidRDefault="00CF09DE" w:rsidP="00DE2DB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F09DE" w:rsidRDefault="00CF09DE" w:rsidP="00DE2DB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8" w:space="0" w:color="000000"/>
              <w:left w:val="single" w:sz="8" w:space="0" w:color="000000"/>
              <w:bottom w:val="single" w:sz="8" w:space="0" w:color="000000"/>
              <w:right w:val="single" w:sz="8" w:space="0" w:color="000000"/>
            </w:tcBorders>
          </w:tcPr>
          <w:p w:rsidR="00CF09DE" w:rsidRDefault="00CF09DE" w:rsidP="00DE2DBE">
            <w:pPr>
              <w:spacing w:line="120" w:lineRule="exact"/>
              <w:jc w:val="center"/>
              <w:rPr>
                <w:color w:val="000000"/>
                <w:sz w:val="20"/>
                <w:szCs w:val="20"/>
              </w:rPr>
            </w:pPr>
          </w:p>
          <w:p w:rsidR="00CF09DE" w:rsidRDefault="00CF09DE" w:rsidP="00DE2DB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F09DE" w:rsidRDefault="00CF09DE" w:rsidP="00DE2DB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8" w:space="0" w:color="000000"/>
              <w:left w:val="single" w:sz="8" w:space="0" w:color="000000"/>
              <w:bottom w:val="single" w:sz="8" w:space="0" w:color="000000"/>
              <w:right w:val="single" w:sz="8" w:space="0" w:color="000000"/>
            </w:tcBorders>
          </w:tcPr>
          <w:p w:rsidR="00CF09DE" w:rsidRDefault="00CF09DE" w:rsidP="00DE2DBE">
            <w:pPr>
              <w:spacing w:line="120" w:lineRule="exact"/>
              <w:jc w:val="center"/>
              <w:rPr>
                <w:color w:val="000000"/>
                <w:sz w:val="20"/>
                <w:szCs w:val="20"/>
              </w:rPr>
            </w:pPr>
          </w:p>
          <w:p w:rsidR="00CF09DE" w:rsidRDefault="00CF09DE" w:rsidP="00DE2DB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F09DE" w:rsidRDefault="00CF09DE" w:rsidP="00DE2DB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8" w:space="0" w:color="000000"/>
              <w:left w:val="single" w:sz="8" w:space="0" w:color="000000"/>
              <w:bottom w:val="single" w:sz="8" w:space="0" w:color="000000"/>
              <w:right w:val="single" w:sz="8" w:space="0" w:color="000000"/>
            </w:tcBorders>
          </w:tcPr>
          <w:p w:rsidR="00CF09DE" w:rsidRDefault="00CF09DE" w:rsidP="00DE2DBE">
            <w:pPr>
              <w:spacing w:line="120" w:lineRule="exact"/>
              <w:jc w:val="center"/>
              <w:rPr>
                <w:color w:val="000000"/>
                <w:sz w:val="20"/>
                <w:szCs w:val="20"/>
              </w:rPr>
            </w:pPr>
          </w:p>
          <w:p w:rsidR="00CF09DE" w:rsidRDefault="00CF09DE" w:rsidP="00DE2DB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F09DE" w:rsidRDefault="00CF09DE" w:rsidP="00DE2DB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8" w:space="0" w:color="000000"/>
              <w:left w:val="single" w:sz="8" w:space="0" w:color="000000"/>
              <w:bottom w:val="single" w:sz="8" w:space="0" w:color="000000"/>
              <w:right w:val="single" w:sz="8" w:space="0" w:color="000000"/>
            </w:tcBorders>
          </w:tcPr>
          <w:p w:rsidR="00CF09DE" w:rsidRDefault="00CF09DE" w:rsidP="00DE2DBE">
            <w:pPr>
              <w:spacing w:line="120" w:lineRule="exact"/>
              <w:jc w:val="center"/>
              <w:rPr>
                <w:color w:val="000000"/>
                <w:sz w:val="20"/>
                <w:szCs w:val="20"/>
              </w:rPr>
            </w:pPr>
          </w:p>
          <w:p w:rsidR="00CF09DE" w:rsidRDefault="00CF09DE" w:rsidP="00DE2DB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F09DE" w:rsidRDefault="00CF09DE" w:rsidP="00DE2DB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Borders>
              <w:top w:val="single" w:sz="8" w:space="0" w:color="000000"/>
              <w:left w:val="single" w:sz="8" w:space="0" w:color="000000"/>
              <w:bottom w:val="single" w:sz="8" w:space="0" w:color="000000"/>
              <w:right w:val="single" w:sz="8" w:space="0" w:color="000000"/>
            </w:tcBorders>
          </w:tcPr>
          <w:p w:rsidR="00CF09DE" w:rsidRDefault="00CF09DE" w:rsidP="00DE2DBE">
            <w:pPr>
              <w:spacing w:line="120" w:lineRule="exact"/>
              <w:jc w:val="center"/>
              <w:rPr>
                <w:color w:val="000000"/>
                <w:sz w:val="20"/>
                <w:szCs w:val="20"/>
              </w:rPr>
            </w:pPr>
          </w:p>
          <w:p w:rsidR="00CF09DE" w:rsidRDefault="00CF09DE" w:rsidP="00DE2DB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F09DE" w:rsidRDefault="00CF09DE" w:rsidP="00DE2DB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F09DE" w:rsidRDefault="00CF09DE" w:rsidP="00DE2DB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CF09DE" w:rsidTr="00DE2DBE">
        <w:tblPrEx>
          <w:tblCellMar>
            <w:left w:w="108" w:type="dxa"/>
            <w:right w:w="108" w:type="dxa"/>
          </w:tblCellMar>
        </w:tblPrEx>
        <w:tc>
          <w:tcPr>
            <w:tcW w:w="1530" w:type="dxa"/>
            <w:tcBorders>
              <w:top w:val="single" w:sz="8" w:space="0" w:color="000000"/>
              <w:left w:val="single" w:sz="8" w:space="0" w:color="000000"/>
              <w:bottom w:val="single" w:sz="8" w:space="0" w:color="000000"/>
              <w:right w:val="single" w:sz="8" w:space="0" w:color="000000"/>
            </w:tcBorders>
          </w:tcPr>
          <w:p w:rsidR="00CF09DE" w:rsidRDefault="00CF09DE">
            <w:pPr>
              <w:spacing w:line="120" w:lineRule="exact"/>
              <w:rPr>
                <w:color w:val="000000"/>
                <w:sz w:val="20"/>
                <w:szCs w:val="20"/>
              </w:rPr>
            </w:pPr>
          </w:p>
          <w:p w:rsidR="00CF09DE" w:rsidRDefault="00CF09DE" w:rsidP="00DE2DB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CMS for pressure drop and liquid supply pressure</w:t>
            </w:r>
          </w:p>
        </w:tc>
        <w:tc>
          <w:tcPr>
            <w:tcW w:w="1440" w:type="dxa"/>
            <w:tcBorders>
              <w:top w:val="single" w:sz="8" w:space="0" w:color="000000"/>
              <w:left w:val="single" w:sz="8" w:space="0" w:color="000000"/>
              <w:bottom w:val="single" w:sz="8" w:space="0" w:color="000000"/>
              <w:right w:val="single" w:sz="8" w:space="0" w:color="000000"/>
            </w:tcBorders>
            <w:vAlign w:val="center"/>
          </w:tcPr>
          <w:p w:rsidR="00CF09DE" w:rsidRDefault="00CF09DE" w:rsidP="00DE2DBE">
            <w:pPr>
              <w:spacing w:line="120" w:lineRule="exact"/>
              <w:jc w:val="center"/>
              <w:rPr>
                <w:color w:val="000000"/>
                <w:sz w:val="20"/>
                <w:szCs w:val="20"/>
              </w:rPr>
            </w:pPr>
          </w:p>
          <w:p w:rsidR="00CF09DE" w:rsidRDefault="00CF09DE" w:rsidP="00DE2DB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260" w:type="dxa"/>
            <w:tcBorders>
              <w:top w:val="single" w:sz="8" w:space="0" w:color="000000"/>
              <w:left w:val="single" w:sz="8" w:space="0" w:color="000000"/>
              <w:bottom w:val="single" w:sz="8" w:space="0" w:color="000000"/>
              <w:right w:val="single" w:sz="8" w:space="0" w:color="000000"/>
            </w:tcBorders>
            <w:vAlign w:val="center"/>
          </w:tcPr>
          <w:p w:rsidR="00CF09DE" w:rsidRDefault="00CF09DE" w:rsidP="00DE2DBE">
            <w:pPr>
              <w:spacing w:line="120" w:lineRule="exact"/>
              <w:jc w:val="center"/>
              <w:rPr>
                <w:color w:val="000000"/>
                <w:sz w:val="20"/>
                <w:szCs w:val="20"/>
              </w:rPr>
            </w:pPr>
          </w:p>
          <w:p w:rsidR="00CF09DE" w:rsidRDefault="00CF09DE" w:rsidP="00DE2DB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8" w:space="0" w:color="000000"/>
              <w:right w:val="single" w:sz="8" w:space="0" w:color="000000"/>
            </w:tcBorders>
            <w:vAlign w:val="center"/>
          </w:tcPr>
          <w:p w:rsidR="00CF09DE" w:rsidRDefault="00CF09DE" w:rsidP="00DE2DBE">
            <w:pPr>
              <w:spacing w:line="120" w:lineRule="exact"/>
              <w:jc w:val="center"/>
              <w:rPr>
                <w:color w:val="000000"/>
                <w:sz w:val="20"/>
                <w:szCs w:val="20"/>
              </w:rPr>
            </w:pPr>
          </w:p>
          <w:p w:rsidR="00CF09DE" w:rsidRDefault="00CF09DE" w:rsidP="00DE2DB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CF09DE" w:rsidRDefault="00CF09DE" w:rsidP="00DE2DBE">
            <w:pPr>
              <w:spacing w:line="120" w:lineRule="exact"/>
              <w:jc w:val="center"/>
              <w:rPr>
                <w:color w:val="000000"/>
                <w:sz w:val="20"/>
                <w:szCs w:val="20"/>
              </w:rPr>
            </w:pPr>
          </w:p>
          <w:p w:rsidR="00CF09DE" w:rsidRDefault="00CF09DE" w:rsidP="00DE2DB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$3,500</w:t>
            </w:r>
          </w:p>
        </w:tc>
        <w:tc>
          <w:tcPr>
            <w:tcW w:w="1260" w:type="dxa"/>
            <w:tcBorders>
              <w:top w:val="single" w:sz="8" w:space="0" w:color="000000"/>
              <w:left w:val="single" w:sz="8" w:space="0" w:color="000000"/>
              <w:bottom w:val="single" w:sz="8" w:space="0" w:color="000000"/>
              <w:right w:val="single" w:sz="8" w:space="0" w:color="000000"/>
            </w:tcBorders>
            <w:vAlign w:val="center"/>
          </w:tcPr>
          <w:p w:rsidR="00CF09DE" w:rsidRDefault="00CF09DE" w:rsidP="00DE2DBE">
            <w:pPr>
              <w:spacing w:line="120" w:lineRule="exact"/>
              <w:jc w:val="center"/>
              <w:rPr>
                <w:color w:val="000000"/>
                <w:sz w:val="20"/>
                <w:szCs w:val="20"/>
              </w:rPr>
            </w:pPr>
          </w:p>
          <w:p w:rsidR="00CF09DE" w:rsidRDefault="00CF09DE" w:rsidP="00DE2DB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102</w:t>
            </w:r>
          </w:p>
        </w:tc>
        <w:tc>
          <w:tcPr>
            <w:tcW w:w="1350" w:type="dxa"/>
            <w:tcBorders>
              <w:top w:val="single" w:sz="8" w:space="0" w:color="000000"/>
              <w:left w:val="single" w:sz="8" w:space="0" w:color="000000"/>
              <w:bottom w:val="single" w:sz="8" w:space="0" w:color="000000"/>
              <w:right w:val="single" w:sz="8" w:space="0" w:color="000000"/>
            </w:tcBorders>
            <w:vAlign w:val="center"/>
          </w:tcPr>
          <w:p w:rsidR="00CF09DE" w:rsidRDefault="00CF09DE" w:rsidP="00DE2DBE">
            <w:pPr>
              <w:spacing w:line="120" w:lineRule="exact"/>
              <w:jc w:val="center"/>
              <w:rPr>
                <w:color w:val="000000"/>
                <w:sz w:val="20"/>
                <w:szCs w:val="20"/>
              </w:rPr>
            </w:pPr>
          </w:p>
          <w:p w:rsidR="00CF09DE" w:rsidRDefault="00CF09DE" w:rsidP="00DE2DB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$357,000</w:t>
            </w:r>
          </w:p>
        </w:tc>
      </w:tr>
    </w:tbl>
    <w:p w:rsidR="00DE2DBE" w:rsidRDefault="00DE2DBE">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Note: We estimate 102 facilities, which are major sources HAP, are subject to this rule. </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$0.  This is the total of column D in the above table. </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$357,000.  This is the total of column G. </w:t>
      </w: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$357,000.   These are</w:t>
      </w:r>
      <w:r w:rsidR="003F340B">
        <w:rPr>
          <w:color w:val="000000"/>
        </w:rPr>
        <w:t xml:space="preserve"> the costs</w:t>
      </w:r>
      <w:r>
        <w:rPr>
          <w:color w:val="000000"/>
        </w:rPr>
        <w:t xml:space="preserve"> </w:t>
      </w:r>
      <w:r w:rsidR="003F340B">
        <w:rPr>
          <w:color w:val="000000"/>
        </w:rPr>
        <w:t xml:space="preserve">of </w:t>
      </w:r>
      <w:r>
        <w:rPr>
          <w:color w:val="000000"/>
        </w:rPr>
        <w:t xml:space="preserve">recordkeeping. </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rsidP="00F0312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$63,444.  </w:t>
      </w: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This cost is based on the average hourly labor rate as follows:</w:t>
      </w:r>
    </w:p>
    <w:p w:rsidR="00CF09DE" w:rsidRPr="00D2273E" w:rsidRDefault="00CF09DE" w:rsidP="00D2273E"/>
    <w:p w:rsidR="00CF09DE" w:rsidRPr="00D2273E" w:rsidRDefault="00CF09DE" w:rsidP="00D2273E">
      <w:r>
        <w:tab/>
      </w:r>
      <w:r w:rsidRPr="00D2273E">
        <w:tab/>
        <w:t>Managerial</w:t>
      </w:r>
      <w:r w:rsidRPr="00D2273E">
        <w:tab/>
        <w:t>$6</w:t>
      </w:r>
      <w:r>
        <w:t>2.27</w:t>
      </w:r>
      <w:r w:rsidRPr="00D2273E">
        <w:t xml:space="preserve"> (GS-13, Step 5, $38.</w:t>
      </w:r>
      <w:r>
        <w:t>92</w:t>
      </w:r>
      <w:r w:rsidRPr="00D2273E">
        <w:t xml:space="preserve"> + 60%) </w:t>
      </w:r>
    </w:p>
    <w:p w:rsidR="00CF09DE" w:rsidRPr="00D2273E" w:rsidRDefault="00CF09DE" w:rsidP="00D2273E">
      <w:r>
        <w:tab/>
      </w:r>
      <w:r w:rsidRPr="00D2273E">
        <w:tab/>
        <w:t>Technical</w:t>
      </w:r>
      <w:r w:rsidRPr="00D2273E">
        <w:tab/>
        <w:t>$4</w:t>
      </w:r>
      <w:r>
        <w:t>6</w:t>
      </w:r>
      <w:r w:rsidRPr="00D2273E">
        <w:t>.</w:t>
      </w:r>
      <w:r>
        <w:t>21</w:t>
      </w:r>
      <w:r w:rsidRPr="00D2273E">
        <w:t xml:space="preserve"> (GS-12, Step 1, $28.</w:t>
      </w:r>
      <w:r>
        <w:t>88</w:t>
      </w:r>
      <w:r w:rsidRPr="00D2273E">
        <w:t xml:space="preserve"> + 60%)</w:t>
      </w:r>
    </w:p>
    <w:p w:rsidR="00CF09DE" w:rsidRPr="00D2273E" w:rsidRDefault="00CF09DE" w:rsidP="00D2273E">
      <w:r>
        <w:tab/>
      </w:r>
      <w:r w:rsidRPr="00D2273E">
        <w:tab/>
        <w:t>Clerical</w:t>
      </w:r>
      <w:r w:rsidRPr="00D2273E">
        <w:tab/>
        <w:t>$2</w:t>
      </w:r>
      <w:r>
        <w:t>5.01</w:t>
      </w:r>
      <w:r w:rsidRPr="00D2273E">
        <w:t xml:space="preserve"> (GS-6, Step 3, $15.</w:t>
      </w:r>
      <w:r>
        <w:t>63</w:t>
      </w:r>
      <w:r w:rsidRPr="00D2273E">
        <w:t xml:space="preserve"> + 60%)</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 2012 General Schedule, which excludes locality</w:t>
      </w:r>
      <w:r w:rsidR="00F03125">
        <w:rPr>
          <w:color w:val="000000"/>
        </w:rPr>
        <w:t>,</w:t>
      </w:r>
      <w:r>
        <w:rPr>
          <w:color w:val="000000"/>
        </w:rPr>
        <w:t xml:space="preserve"> rates of pay.  The rates have been increased by 60 percent to account for the benefit packages available to government employees</w:t>
      </w:r>
      <w:r w:rsidRPr="007A0634">
        <w:t xml:space="preserve">.  </w:t>
      </w:r>
      <w:r>
        <w:rPr>
          <w:color w:val="000000"/>
        </w:rPr>
        <w:t xml:space="preserve">Details upon which this estimate is based appear below in </w:t>
      </w:r>
      <w:r w:rsidRPr="00775689">
        <w:t xml:space="preserve">Table 2: Average Annual EPA Burden and Cost – </w:t>
      </w:r>
      <w:r w:rsidRPr="00775689">
        <w:rPr>
          <w:bCs/>
        </w:rPr>
        <w:t>NESHAP for Gasoline Distribution Facilities (40 CFR Part 63, Subpart R)</w:t>
      </w:r>
      <w:r w:rsidRPr="00775689">
        <w:t xml:space="preserve"> (Renewal).</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F09DE" w:rsidRDefault="00CF09DE">
      <w:pPr>
        <w:pBdr>
          <w:top w:val="single" w:sz="6" w:space="0" w:color="FFFFFF"/>
          <w:left w:val="single" w:sz="6" w:space="0" w:color="FFFFFF"/>
          <w:bottom w:val="single" w:sz="6" w:space="0" w:color="FFFFFF"/>
          <w:right w:val="single" w:sz="6" w:space="0" w:color="FFFFFF"/>
        </w:pBdr>
        <w:rPr>
          <w:b/>
          <w:bCs/>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sidRPr="00806DA0">
        <w:t xml:space="preserve">Based on our research for this ICR, on average over the next three years, approximately </w:t>
      </w:r>
      <w:r w:rsidR="00DE2DBE" w:rsidRPr="00806DA0">
        <w:t>102</w:t>
      </w:r>
      <w:r w:rsidRPr="00806DA0">
        <w:t xml:space="preserve"> existing </w:t>
      </w:r>
      <w:r w:rsidR="00DE2DBE" w:rsidRPr="00806DA0">
        <w:t xml:space="preserve">major sources </w:t>
      </w:r>
      <w:r w:rsidR="00806DA0">
        <w:t xml:space="preserve">(87 bulk gasoline terminals and 15 pipeline breakout stations) </w:t>
      </w:r>
      <w:r w:rsidRPr="00806DA0">
        <w:t>will be subject to the standard</w:t>
      </w:r>
      <w:r w:rsidR="003F340B">
        <w:t>s</w:t>
      </w:r>
      <w:r w:rsidRPr="00806DA0">
        <w:t xml:space="preserve">.  </w:t>
      </w:r>
      <w:r w:rsidR="00DE2DBE" w:rsidRPr="00806DA0">
        <w:t>We have further estimated that there are total of</w:t>
      </w:r>
      <w:r w:rsidR="00DE2DBE">
        <w:t xml:space="preserve"> 1,</w:t>
      </w:r>
      <w:r w:rsidR="002B5815">
        <w:t xml:space="preserve">560 </w:t>
      </w:r>
      <w:r w:rsidR="00DE2DBE">
        <w:t xml:space="preserve">area sources (i.e., </w:t>
      </w:r>
      <w:r w:rsidR="002B5815">
        <w:t xml:space="preserve">1,100 </w:t>
      </w:r>
      <w:r w:rsidR="00DE2DBE">
        <w:t>bulk gasoline terminal</w:t>
      </w:r>
      <w:r w:rsidR="00806DA0">
        <w:t>s</w:t>
      </w:r>
      <w:r w:rsidR="00DE2DBE">
        <w:t xml:space="preserve"> and </w:t>
      </w:r>
      <w:r w:rsidR="002B5815">
        <w:t xml:space="preserve">460 </w:t>
      </w:r>
      <w:r w:rsidR="00DE2DBE">
        <w:t xml:space="preserve">pipeline breakout stations), of which 25 percent will be within 50 percent of major source threshold criteria (i.e., </w:t>
      </w:r>
      <w:r w:rsidR="002B5815">
        <w:t>390</w:t>
      </w:r>
      <w:r w:rsidR="00DE2DBE">
        <w:t xml:space="preserve">) and will be required to conduct an annual certification testing.  </w:t>
      </w:r>
      <w:r>
        <w:rPr>
          <w:color w:val="000000"/>
        </w:rPr>
        <w:t xml:space="preserve">It is estimated that no additional respondents per year will become subject.  The overall average number of respondents, as shown in the table below is </w:t>
      </w:r>
      <w:r w:rsidR="00CA5016">
        <w:rPr>
          <w:color w:val="000000"/>
        </w:rPr>
        <w:t xml:space="preserve">492 </w:t>
      </w:r>
      <w:r>
        <w:rPr>
          <w:color w:val="000000"/>
        </w:rPr>
        <w:t>per year</w:t>
      </w:r>
      <w:r w:rsidR="00DE2DBE">
        <w:rPr>
          <w:color w:val="000000"/>
        </w:rPr>
        <w:t xml:space="preserve"> (102 + </w:t>
      </w:r>
      <w:r w:rsidR="002B5815">
        <w:rPr>
          <w:color w:val="000000"/>
        </w:rPr>
        <w:t xml:space="preserve">390 </w:t>
      </w:r>
      <w:r w:rsidR="00DE2DBE">
        <w:rPr>
          <w:color w:val="000000"/>
        </w:rPr>
        <w:t xml:space="preserve">= </w:t>
      </w:r>
      <w:r w:rsidR="002B5815">
        <w:rPr>
          <w:color w:val="000000"/>
        </w:rPr>
        <w:t>492</w:t>
      </w:r>
      <w:r w:rsidR="00DE2DBE">
        <w:rPr>
          <w:color w:val="000000"/>
        </w:rPr>
        <w:t>)</w:t>
      </w:r>
      <w:r>
        <w:rPr>
          <w:color w:val="000000"/>
        </w:rPr>
        <w:t xml:space="preserve">.  </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that addresses the three years covered by this ICR.  </w:t>
      </w:r>
    </w:p>
    <w:p w:rsidR="00CF09DE" w:rsidRDefault="00CF09DE">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91"/>
        <w:gridCol w:w="1619"/>
      </w:tblGrid>
      <w:tr w:rsidR="00F03125" w:rsidTr="00E81B25">
        <w:trPr>
          <w:tblHeader/>
        </w:trPr>
        <w:tc>
          <w:tcPr>
            <w:tcW w:w="9359" w:type="dxa"/>
            <w:gridSpan w:val="6"/>
            <w:tcBorders>
              <w:top w:val="single" w:sz="4" w:space="0" w:color="auto"/>
              <w:left w:val="single" w:sz="4" w:space="0" w:color="auto"/>
              <w:bottom w:val="single" w:sz="4" w:space="0" w:color="auto"/>
              <w:right w:val="single" w:sz="4" w:space="0" w:color="auto"/>
            </w:tcBorders>
          </w:tcPr>
          <w:p w:rsidR="00F03125" w:rsidRDefault="00F03125" w:rsidP="00E81B25">
            <w:pPr>
              <w:keepNext/>
              <w:keepLines/>
              <w:spacing w:line="120" w:lineRule="exact"/>
              <w:rPr>
                <w:color w:val="000000"/>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F03125" w:rsidTr="00F03125">
        <w:tc>
          <w:tcPr>
            <w:tcW w:w="900" w:type="dxa"/>
            <w:tcBorders>
              <w:top w:val="single" w:sz="4" w:space="0" w:color="auto"/>
              <w:left w:val="single" w:sz="6" w:space="0" w:color="000000"/>
              <w:bottom w:val="single" w:sz="8" w:space="0" w:color="000000"/>
              <w:right w:val="single" w:sz="6" w:space="0" w:color="FFFFFF"/>
            </w:tcBorders>
          </w:tcPr>
          <w:p w:rsidR="00F03125" w:rsidRDefault="00F03125" w:rsidP="00E81B25">
            <w:pPr>
              <w:keepNext/>
              <w:keepLines/>
              <w:spacing w:line="120" w:lineRule="exact"/>
              <w:jc w:val="center"/>
              <w:rPr>
                <w:color w:val="000000"/>
                <w:sz w:val="18"/>
                <w:szCs w:val="18"/>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6" w:space="0" w:color="000000"/>
              <w:bottom w:val="single" w:sz="8" w:space="0" w:color="000000"/>
              <w:right w:val="single" w:sz="6" w:space="0" w:color="FFFFFF"/>
            </w:tcBorders>
          </w:tcPr>
          <w:p w:rsidR="00F03125" w:rsidRDefault="00F03125" w:rsidP="00E81B25">
            <w:pPr>
              <w:keepNext/>
              <w:keepLines/>
              <w:spacing w:line="120" w:lineRule="exact"/>
              <w:jc w:val="center"/>
              <w:rPr>
                <w:color w:val="000000"/>
                <w:sz w:val="20"/>
                <w:szCs w:val="20"/>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282" w:type="dxa"/>
            <w:tcBorders>
              <w:top w:val="single" w:sz="4" w:space="0" w:color="auto"/>
              <w:left w:val="single" w:sz="6" w:space="0" w:color="000000"/>
              <w:bottom w:val="single" w:sz="8" w:space="0" w:color="000000"/>
              <w:right w:val="single" w:sz="6" w:space="0" w:color="FFFFFF"/>
            </w:tcBorders>
          </w:tcPr>
          <w:p w:rsidR="00F03125" w:rsidRDefault="00F03125" w:rsidP="00E81B25">
            <w:pPr>
              <w:keepNext/>
              <w:keepLines/>
              <w:spacing w:line="120" w:lineRule="exact"/>
              <w:jc w:val="center"/>
              <w:rPr>
                <w:color w:val="000000"/>
                <w:sz w:val="20"/>
                <w:szCs w:val="20"/>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6" w:space="0" w:color="000000"/>
              <w:bottom w:val="single" w:sz="8" w:space="0" w:color="000000"/>
              <w:right w:val="single" w:sz="4" w:space="0" w:color="auto"/>
            </w:tcBorders>
          </w:tcPr>
          <w:p w:rsidR="00F03125" w:rsidRDefault="00F03125" w:rsidP="00E81B25">
            <w:pPr>
              <w:keepNext/>
              <w:keepLines/>
              <w:spacing w:line="120" w:lineRule="exact"/>
              <w:jc w:val="center"/>
              <w:rPr>
                <w:color w:val="000000"/>
                <w:sz w:val="20"/>
                <w:szCs w:val="20"/>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91" w:type="dxa"/>
            <w:tcBorders>
              <w:top w:val="single" w:sz="4" w:space="0" w:color="auto"/>
              <w:left w:val="single" w:sz="4" w:space="0" w:color="auto"/>
              <w:bottom w:val="single" w:sz="4" w:space="0" w:color="auto"/>
              <w:right w:val="single" w:sz="4" w:space="0" w:color="auto"/>
            </w:tcBorders>
          </w:tcPr>
          <w:p w:rsidR="00F03125" w:rsidRDefault="00F03125" w:rsidP="00E81B25">
            <w:pPr>
              <w:keepNext/>
              <w:keepLines/>
              <w:spacing w:line="120" w:lineRule="exact"/>
              <w:jc w:val="center"/>
              <w:rPr>
                <w:color w:val="000000"/>
                <w:sz w:val="20"/>
                <w:szCs w:val="20"/>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F03125" w:rsidRDefault="00F03125" w:rsidP="00F0312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619" w:type="dxa"/>
            <w:tcBorders>
              <w:top w:val="single" w:sz="4" w:space="0" w:color="auto"/>
              <w:left w:val="single" w:sz="4" w:space="0" w:color="auto"/>
              <w:bottom w:val="single" w:sz="4" w:space="0" w:color="auto"/>
              <w:right w:val="single" w:sz="4" w:space="0" w:color="auto"/>
            </w:tcBorders>
          </w:tcPr>
          <w:p w:rsidR="00F03125" w:rsidRDefault="00F03125" w:rsidP="00E81B25">
            <w:pPr>
              <w:keepNext/>
              <w:keepLines/>
              <w:spacing w:line="120" w:lineRule="exact"/>
              <w:jc w:val="center"/>
              <w:rPr>
                <w:color w:val="000000"/>
                <w:sz w:val="20"/>
                <w:szCs w:val="20"/>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F03125" w:rsidRDefault="00F03125" w:rsidP="00E81B2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F03125" w:rsidTr="00F03125">
        <w:tc>
          <w:tcPr>
            <w:tcW w:w="900" w:type="dxa"/>
            <w:tcBorders>
              <w:top w:val="single" w:sz="8" w:space="0" w:color="000000"/>
              <w:left w:val="single" w:sz="8" w:space="0" w:color="000000"/>
              <w:bottom w:val="single" w:sz="6" w:space="0" w:color="000000"/>
              <w:right w:val="single" w:sz="6" w:space="0" w:color="000000"/>
            </w:tcBorders>
          </w:tcPr>
          <w:p w:rsidR="00F03125" w:rsidRDefault="00F03125" w:rsidP="00E81B25">
            <w:pPr>
              <w:keepNext/>
              <w:keepLines/>
              <w:spacing w:line="120" w:lineRule="exact"/>
              <w:rPr>
                <w:color w:val="000000"/>
                <w:sz w:val="20"/>
                <w:szCs w:val="20"/>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F03125" w:rsidRDefault="00F03125" w:rsidP="00E81B25">
            <w:pPr>
              <w:keepNext/>
              <w:keepLines/>
              <w:spacing w:line="120" w:lineRule="exact"/>
              <w:rPr>
                <w:color w:val="000000"/>
                <w:sz w:val="18"/>
                <w:szCs w:val="18"/>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F03125" w:rsidRDefault="00F03125" w:rsidP="00E81B25">
            <w:pPr>
              <w:keepNext/>
              <w:keepLines/>
              <w:spacing w:line="120" w:lineRule="exact"/>
              <w:rPr>
                <w:color w:val="000000"/>
                <w:sz w:val="18"/>
                <w:szCs w:val="18"/>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61</w:t>
            </w:r>
            <w:r w:rsidRPr="00B77EF1">
              <w:rPr>
                <w:color w:val="000000"/>
                <w:sz w:val="18"/>
                <w:szCs w:val="18"/>
                <w:vertAlign w:val="superscript"/>
              </w:rPr>
              <w:t>1</w:t>
            </w:r>
          </w:p>
        </w:tc>
        <w:tc>
          <w:tcPr>
            <w:tcW w:w="2070" w:type="dxa"/>
            <w:tcBorders>
              <w:top w:val="single" w:sz="4" w:space="0" w:color="auto"/>
              <w:left w:val="single" w:sz="6" w:space="0" w:color="000000"/>
              <w:bottom w:val="single" w:sz="6" w:space="0" w:color="000000"/>
              <w:right w:val="single" w:sz="6" w:space="0" w:color="000000"/>
            </w:tcBorders>
          </w:tcPr>
          <w:p w:rsidR="00F03125" w:rsidRDefault="00F03125" w:rsidP="00E81B25">
            <w:pPr>
              <w:keepNext/>
              <w:keepLines/>
              <w:spacing w:line="120" w:lineRule="exact"/>
              <w:rPr>
                <w:color w:val="000000"/>
                <w:sz w:val="18"/>
                <w:szCs w:val="18"/>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tabs>
                <w:tab w:val="left" w:pos="705"/>
                <w:tab w:val="center" w:pos="925"/>
              </w:tabs>
              <w:spacing w:after="52"/>
              <w:rPr>
                <w:color w:val="000000"/>
                <w:sz w:val="18"/>
                <w:szCs w:val="18"/>
              </w:rPr>
            </w:pPr>
            <w:r>
              <w:rPr>
                <w:color w:val="000000"/>
                <w:sz w:val="18"/>
                <w:szCs w:val="18"/>
              </w:rPr>
              <w:tab/>
            </w:r>
            <w:r>
              <w:rPr>
                <w:color w:val="000000"/>
                <w:sz w:val="18"/>
                <w:szCs w:val="18"/>
              </w:rPr>
              <w:tab/>
              <w:t>431</w:t>
            </w:r>
            <w:r w:rsidRPr="00B77EF1">
              <w:rPr>
                <w:color w:val="000000"/>
                <w:sz w:val="18"/>
                <w:szCs w:val="18"/>
                <w:vertAlign w:val="superscript"/>
              </w:rPr>
              <w:t>2</w:t>
            </w:r>
          </w:p>
        </w:tc>
        <w:tc>
          <w:tcPr>
            <w:tcW w:w="1891" w:type="dxa"/>
            <w:tcBorders>
              <w:top w:val="single" w:sz="4" w:space="0" w:color="auto"/>
              <w:left w:val="single" w:sz="6" w:space="0" w:color="000000"/>
              <w:bottom w:val="single" w:sz="6" w:space="0" w:color="000000"/>
              <w:right w:val="single" w:sz="6" w:space="0" w:color="000000"/>
            </w:tcBorders>
          </w:tcPr>
          <w:p w:rsidR="00F03125" w:rsidRDefault="00F03125" w:rsidP="00E81B25">
            <w:pPr>
              <w:keepNext/>
              <w:keepLines/>
              <w:spacing w:line="120" w:lineRule="exact"/>
              <w:rPr>
                <w:color w:val="000000"/>
                <w:sz w:val="18"/>
                <w:szCs w:val="18"/>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619" w:type="dxa"/>
            <w:tcBorders>
              <w:top w:val="single" w:sz="4" w:space="0" w:color="auto"/>
              <w:left w:val="single" w:sz="6" w:space="0" w:color="000000"/>
              <w:bottom w:val="single" w:sz="6" w:space="0" w:color="000000"/>
              <w:right w:val="single" w:sz="8" w:space="0" w:color="000000"/>
            </w:tcBorders>
          </w:tcPr>
          <w:p w:rsidR="00F03125" w:rsidRDefault="00F03125" w:rsidP="00E81B25">
            <w:pPr>
              <w:keepNext/>
              <w:keepLines/>
              <w:spacing w:line="120" w:lineRule="exact"/>
              <w:rPr>
                <w:color w:val="000000"/>
                <w:sz w:val="18"/>
                <w:szCs w:val="18"/>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492</w:t>
            </w:r>
          </w:p>
        </w:tc>
      </w:tr>
      <w:tr w:rsidR="00F03125" w:rsidTr="00F03125">
        <w:tc>
          <w:tcPr>
            <w:tcW w:w="900" w:type="dxa"/>
            <w:tcBorders>
              <w:top w:val="single" w:sz="6" w:space="0" w:color="000000"/>
              <w:left w:val="single" w:sz="8" w:space="0" w:color="000000"/>
              <w:bottom w:val="single" w:sz="6" w:space="0" w:color="000000"/>
              <w:right w:val="single" w:sz="6" w:space="0" w:color="000000"/>
            </w:tcBorders>
          </w:tcPr>
          <w:p w:rsidR="00F03125" w:rsidRDefault="00F03125" w:rsidP="00E81B25">
            <w:pPr>
              <w:keepNext/>
              <w:keepLines/>
              <w:spacing w:line="120" w:lineRule="exact"/>
              <w:rPr>
                <w:color w:val="000000"/>
                <w:sz w:val="18"/>
                <w:szCs w:val="18"/>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F03125" w:rsidRDefault="00F03125" w:rsidP="00E81B25">
            <w:pPr>
              <w:keepNext/>
              <w:keepLines/>
              <w:spacing w:line="120" w:lineRule="exact"/>
              <w:rPr>
                <w:color w:val="000000"/>
                <w:sz w:val="18"/>
                <w:szCs w:val="18"/>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F03125" w:rsidRDefault="00F03125" w:rsidP="00E81B25">
            <w:pPr>
              <w:keepNext/>
              <w:keepLines/>
              <w:spacing w:line="120" w:lineRule="exact"/>
              <w:rPr>
                <w:color w:val="000000"/>
                <w:sz w:val="18"/>
                <w:szCs w:val="18"/>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61</w:t>
            </w:r>
          </w:p>
        </w:tc>
        <w:tc>
          <w:tcPr>
            <w:tcW w:w="2070" w:type="dxa"/>
            <w:tcBorders>
              <w:top w:val="single" w:sz="6" w:space="0" w:color="000000"/>
              <w:left w:val="single" w:sz="6" w:space="0" w:color="000000"/>
              <w:bottom w:val="single" w:sz="6" w:space="0" w:color="000000"/>
              <w:right w:val="single" w:sz="6" w:space="0" w:color="000000"/>
            </w:tcBorders>
          </w:tcPr>
          <w:p w:rsidR="00F03125" w:rsidRDefault="00F03125" w:rsidP="00E81B25">
            <w:pPr>
              <w:keepNext/>
              <w:keepLines/>
              <w:spacing w:line="120" w:lineRule="exact"/>
              <w:rPr>
                <w:color w:val="000000"/>
                <w:sz w:val="18"/>
                <w:szCs w:val="18"/>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431</w:t>
            </w:r>
          </w:p>
        </w:tc>
        <w:tc>
          <w:tcPr>
            <w:tcW w:w="1891" w:type="dxa"/>
            <w:tcBorders>
              <w:top w:val="single" w:sz="6" w:space="0" w:color="000000"/>
              <w:left w:val="single" w:sz="6" w:space="0" w:color="000000"/>
              <w:bottom w:val="single" w:sz="6" w:space="0" w:color="000000"/>
              <w:right w:val="single" w:sz="6" w:space="0" w:color="000000"/>
            </w:tcBorders>
          </w:tcPr>
          <w:p w:rsidR="00F03125" w:rsidRDefault="00F03125" w:rsidP="00E81B25">
            <w:pPr>
              <w:keepNext/>
              <w:keepLines/>
              <w:spacing w:line="120" w:lineRule="exact"/>
              <w:rPr>
                <w:color w:val="000000"/>
                <w:sz w:val="18"/>
                <w:szCs w:val="18"/>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619" w:type="dxa"/>
            <w:tcBorders>
              <w:top w:val="single" w:sz="6" w:space="0" w:color="000000"/>
              <w:left w:val="single" w:sz="6" w:space="0" w:color="000000"/>
              <w:bottom w:val="single" w:sz="6" w:space="0" w:color="000000"/>
              <w:right w:val="single" w:sz="8" w:space="0" w:color="000000"/>
            </w:tcBorders>
          </w:tcPr>
          <w:p w:rsidR="00F03125" w:rsidRDefault="00F03125" w:rsidP="00E81B25">
            <w:pPr>
              <w:keepNext/>
              <w:keepLines/>
              <w:spacing w:line="120" w:lineRule="exact"/>
              <w:rPr>
                <w:color w:val="000000"/>
                <w:sz w:val="18"/>
                <w:szCs w:val="18"/>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492</w:t>
            </w:r>
          </w:p>
        </w:tc>
      </w:tr>
      <w:tr w:rsidR="00F03125" w:rsidTr="00F03125">
        <w:tc>
          <w:tcPr>
            <w:tcW w:w="900" w:type="dxa"/>
            <w:tcBorders>
              <w:top w:val="single" w:sz="6" w:space="0" w:color="000000"/>
              <w:left w:val="single" w:sz="8" w:space="0" w:color="000000"/>
              <w:bottom w:val="single" w:sz="6" w:space="0" w:color="000000"/>
              <w:right w:val="single" w:sz="6" w:space="0" w:color="000000"/>
            </w:tcBorders>
          </w:tcPr>
          <w:p w:rsidR="00F03125" w:rsidRDefault="00F03125" w:rsidP="00E81B25">
            <w:pPr>
              <w:keepNext/>
              <w:keepLines/>
              <w:spacing w:line="120" w:lineRule="exact"/>
              <w:rPr>
                <w:color w:val="000000"/>
                <w:sz w:val="18"/>
                <w:szCs w:val="18"/>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F03125" w:rsidRDefault="00F03125" w:rsidP="00E81B25">
            <w:pPr>
              <w:keepNext/>
              <w:keepLines/>
              <w:spacing w:line="120" w:lineRule="exact"/>
              <w:rPr>
                <w:color w:val="000000"/>
                <w:sz w:val="18"/>
                <w:szCs w:val="18"/>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F03125" w:rsidRDefault="00F03125" w:rsidP="00E81B25">
            <w:pPr>
              <w:keepNext/>
              <w:keepLines/>
              <w:spacing w:line="120" w:lineRule="exact"/>
              <w:rPr>
                <w:color w:val="000000"/>
                <w:sz w:val="18"/>
                <w:szCs w:val="18"/>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61</w:t>
            </w:r>
          </w:p>
        </w:tc>
        <w:tc>
          <w:tcPr>
            <w:tcW w:w="2070" w:type="dxa"/>
            <w:tcBorders>
              <w:top w:val="single" w:sz="6" w:space="0" w:color="000000"/>
              <w:left w:val="single" w:sz="6" w:space="0" w:color="000000"/>
              <w:bottom w:val="single" w:sz="6" w:space="0" w:color="000000"/>
              <w:right w:val="single" w:sz="6" w:space="0" w:color="000000"/>
            </w:tcBorders>
          </w:tcPr>
          <w:p w:rsidR="00F03125" w:rsidRDefault="00F03125" w:rsidP="00E81B25">
            <w:pPr>
              <w:keepNext/>
              <w:keepLines/>
              <w:spacing w:line="120" w:lineRule="exact"/>
              <w:rPr>
                <w:color w:val="000000"/>
                <w:sz w:val="18"/>
                <w:szCs w:val="18"/>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431</w:t>
            </w:r>
          </w:p>
        </w:tc>
        <w:tc>
          <w:tcPr>
            <w:tcW w:w="1891" w:type="dxa"/>
            <w:tcBorders>
              <w:top w:val="single" w:sz="6" w:space="0" w:color="000000"/>
              <w:left w:val="single" w:sz="6" w:space="0" w:color="000000"/>
              <w:bottom w:val="single" w:sz="6" w:space="0" w:color="000000"/>
              <w:right w:val="single" w:sz="6" w:space="0" w:color="000000"/>
            </w:tcBorders>
          </w:tcPr>
          <w:p w:rsidR="00F03125" w:rsidRDefault="00F03125" w:rsidP="00E81B25">
            <w:pPr>
              <w:keepNext/>
              <w:keepLines/>
              <w:spacing w:line="120" w:lineRule="exact"/>
              <w:rPr>
                <w:color w:val="000000"/>
                <w:sz w:val="18"/>
                <w:szCs w:val="18"/>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619" w:type="dxa"/>
            <w:tcBorders>
              <w:top w:val="single" w:sz="6" w:space="0" w:color="000000"/>
              <w:left w:val="single" w:sz="6" w:space="0" w:color="000000"/>
              <w:bottom w:val="single" w:sz="6" w:space="0" w:color="000000"/>
              <w:right w:val="single" w:sz="8" w:space="0" w:color="000000"/>
            </w:tcBorders>
          </w:tcPr>
          <w:p w:rsidR="00F03125" w:rsidRDefault="00F03125" w:rsidP="00E81B25">
            <w:pPr>
              <w:keepNext/>
              <w:keepLines/>
              <w:spacing w:line="120" w:lineRule="exact"/>
              <w:rPr>
                <w:color w:val="000000"/>
                <w:sz w:val="18"/>
                <w:szCs w:val="18"/>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492</w:t>
            </w:r>
          </w:p>
        </w:tc>
      </w:tr>
      <w:tr w:rsidR="00F03125" w:rsidTr="00F03125">
        <w:tc>
          <w:tcPr>
            <w:tcW w:w="900" w:type="dxa"/>
            <w:tcBorders>
              <w:top w:val="single" w:sz="6" w:space="0" w:color="000000"/>
              <w:left w:val="single" w:sz="8" w:space="0" w:color="000000"/>
              <w:bottom w:val="single" w:sz="8" w:space="0" w:color="000000"/>
              <w:right w:val="single" w:sz="6" w:space="0" w:color="000000"/>
            </w:tcBorders>
          </w:tcPr>
          <w:p w:rsidR="00F03125" w:rsidRDefault="00F03125" w:rsidP="00E81B25">
            <w:pPr>
              <w:keepNext/>
              <w:keepLines/>
              <w:spacing w:line="120" w:lineRule="exact"/>
              <w:rPr>
                <w:color w:val="000000"/>
                <w:sz w:val="18"/>
                <w:szCs w:val="18"/>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F03125" w:rsidRDefault="00F03125" w:rsidP="00E81B25">
            <w:pPr>
              <w:keepNext/>
              <w:keepLines/>
              <w:spacing w:line="120" w:lineRule="exact"/>
              <w:rPr>
                <w:color w:val="000000"/>
                <w:sz w:val="18"/>
                <w:szCs w:val="18"/>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F03125" w:rsidRDefault="00F03125" w:rsidP="00E81B25">
            <w:pPr>
              <w:keepNext/>
              <w:keepLines/>
              <w:spacing w:line="120" w:lineRule="exact"/>
              <w:rPr>
                <w:color w:val="000000"/>
                <w:sz w:val="18"/>
                <w:szCs w:val="18"/>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61</w:t>
            </w:r>
          </w:p>
        </w:tc>
        <w:tc>
          <w:tcPr>
            <w:tcW w:w="2070" w:type="dxa"/>
            <w:tcBorders>
              <w:top w:val="single" w:sz="6" w:space="0" w:color="000000"/>
              <w:left w:val="single" w:sz="6" w:space="0" w:color="000000"/>
              <w:bottom w:val="single" w:sz="8" w:space="0" w:color="000000"/>
              <w:right w:val="single" w:sz="6" w:space="0" w:color="000000"/>
            </w:tcBorders>
          </w:tcPr>
          <w:p w:rsidR="00F03125" w:rsidRDefault="00F03125" w:rsidP="00E81B25">
            <w:pPr>
              <w:keepNext/>
              <w:keepLines/>
              <w:spacing w:line="120" w:lineRule="exact"/>
              <w:rPr>
                <w:color w:val="000000"/>
                <w:sz w:val="18"/>
                <w:szCs w:val="18"/>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431</w:t>
            </w:r>
          </w:p>
        </w:tc>
        <w:tc>
          <w:tcPr>
            <w:tcW w:w="1891" w:type="dxa"/>
            <w:tcBorders>
              <w:top w:val="single" w:sz="6" w:space="0" w:color="000000"/>
              <w:left w:val="single" w:sz="6" w:space="0" w:color="000000"/>
              <w:bottom w:val="single" w:sz="8" w:space="0" w:color="000000"/>
              <w:right w:val="single" w:sz="6" w:space="0" w:color="000000"/>
            </w:tcBorders>
          </w:tcPr>
          <w:p w:rsidR="00F03125" w:rsidRDefault="00F03125" w:rsidP="00E81B25">
            <w:pPr>
              <w:keepNext/>
              <w:keepLines/>
              <w:spacing w:line="120" w:lineRule="exact"/>
              <w:rPr>
                <w:color w:val="000000"/>
                <w:sz w:val="18"/>
                <w:szCs w:val="18"/>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619" w:type="dxa"/>
            <w:tcBorders>
              <w:top w:val="single" w:sz="6" w:space="0" w:color="000000"/>
              <w:left w:val="single" w:sz="6" w:space="0" w:color="000000"/>
              <w:bottom w:val="single" w:sz="8" w:space="0" w:color="000000"/>
              <w:right w:val="single" w:sz="8" w:space="0" w:color="000000"/>
            </w:tcBorders>
          </w:tcPr>
          <w:p w:rsidR="00F03125" w:rsidRDefault="00F03125" w:rsidP="00E81B25">
            <w:pPr>
              <w:keepNext/>
              <w:keepLines/>
              <w:spacing w:line="120" w:lineRule="exact"/>
              <w:rPr>
                <w:color w:val="000000"/>
                <w:sz w:val="18"/>
                <w:szCs w:val="18"/>
              </w:rPr>
            </w:pPr>
          </w:p>
          <w:p w:rsidR="00F03125" w:rsidRDefault="00F03125" w:rsidP="00E81B25">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492</w:t>
            </w:r>
          </w:p>
        </w:tc>
      </w:tr>
    </w:tbl>
    <w:p w:rsidR="00F03125" w:rsidRPr="00F03125" w:rsidRDefault="00F03125" w:rsidP="00F03125">
      <w:pPr>
        <w:keepNext/>
        <w:keepLines/>
        <w:pBdr>
          <w:top w:val="single" w:sz="6" w:space="0" w:color="FFFFFF"/>
          <w:left w:val="single" w:sz="6" w:space="0" w:color="FFFFFF"/>
          <w:bottom w:val="single" w:sz="6" w:space="0" w:color="FFFFFF"/>
          <w:right w:val="single" w:sz="6" w:space="0" w:color="FFFFFF"/>
        </w:pBdr>
        <w:ind w:left="90" w:hanging="90"/>
        <w:rPr>
          <w:color w:val="000000"/>
          <w:sz w:val="20"/>
          <w:szCs w:val="20"/>
        </w:rPr>
      </w:pPr>
      <w:r w:rsidRPr="00F03125">
        <w:rPr>
          <w:color w:val="000000"/>
          <w:sz w:val="20"/>
          <w:szCs w:val="20"/>
          <w:vertAlign w:val="superscript"/>
        </w:rPr>
        <w:t>1</w:t>
      </w:r>
      <w:r w:rsidRPr="00F03125">
        <w:rPr>
          <w:color w:val="000000"/>
          <w:sz w:val="20"/>
          <w:szCs w:val="20"/>
        </w:rPr>
        <w:t>60 percent of the sources (i.e. 61 respondents) would be required to submit semiannual reports under the NESHAP subpart R.</w:t>
      </w:r>
    </w:p>
    <w:p w:rsidR="00CF09DE" w:rsidRDefault="00F03125" w:rsidP="00D735E4">
      <w:pPr>
        <w:pBdr>
          <w:top w:val="single" w:sz="6" w:space="0" w:color="FFFFFF"/>
          <w:left w:val="single" w:sz="6" w:space="0" w:color="FFFFFF"/>
          <w:bottom w:val="single" w:sz="6" w:space="0" w:color="FFFFFF"/>
          <w:right w:val="single" w:sz="6" w:space="0" w:color="FFFFFF"/>
        </w:pBdr>
        <w:rPr>
          <w:color w:val="000000"/>
          <w:sz w:val="20"/>
          <w:szCs w:val="20"/>
        </w:rPr>
      </w:pPr>
      <w:r w:rsidRPr="00F03125">
        <w:rPr>
          <w:color w:val="000000"/>
          <w:sz w:val="20"/>
          <w:szCs w:val="20"/>
          <w:vertAlign w:val="superscript"/>
        </w:rPr>
        <w:t>2</w:t>
      </w:r>
      <w:r w:rsidRPr="00F03125">
        <w:rPr>
          <w:color w:val="000000"/>
          <w:sz w:val="20"/>
          <w:szCs w:val="20"/>
        </w:rPr>
        <w:t xml:space="preserve">This estimate includes 41 major sources, or 40 percent of the 102 respondents, that are currently subject to NSPS reporting requirements equivalent to the Bulk Gasoline Terminal NSPS (40 CFR part 60, subpart XX) for bulk terminals and the VOL storage NSPS (40 CFR part 60, subparts K, Ka, Kb) or storage tank CTG’s for pipeline breakout stations.  It also includes recordkeeping for 390 area sources.  </w:t>
      </w:r>
    </w:p>
    <w:p w:rsidR="00D735E4" w:rsidRPr="00D735E4" w:rsidRDefault="00D735E4" w:rsidP="00D735E4">
      <w:pPr>
        <w:pBdr>
          <w:top w:val="single" w:sz="6" w:space="0" w:color="FFFFFF"/>
          <w:left w:val="single" w:sz="6" w:space="0" w:color="FFFFFF"/>
          <w:bottom w:val="single" w:sz="6" w:space="0" w:color="FFFFFF"/>
          <w:right w:val="single" w:sz="6" w:space="0" w:color="FFFFFF"/>
        </w:pBdr>
        <w:rPr>
          <w:color w:val="000000"/>
          <w:sz w:val="20"/>
          <w:szCs w:val="2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Column D is subtracted to avoid double-counting respondents.  As shown above, the average Number of Respondents over the three year period of this ICR is </w:t>
      </w:r>
      <w:r w:rsidR="00CA5016">
        <w:rPr>
          <w:color w:val="000000"/>
        </w:rPr>
        <w:t>492</w:t>
      </w:r>
      <w:r>
        <w:rPr>
          <w:color w:val="000000"/>
        </w:rPr>
        <w:t xml:space="preserve">. </w:t>
      </w: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F09DE" w:rsidRDefault="00CF09DE">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CF09DE" w:rsidTr="0052364E">
        <w:trPr>
          <w:tblHeader/>
        </w:trPr>
        <w:tc>
          <w:tcPr>
            <w:tcW w:w="9180" w:type="dxa"/>
            <w:gridSpan w:val="5"/>
            <w:tcBorders>
              <w:top w:val="single" w:sz="8" w:space="0" w:color="000000"/>
            </w:tcBorders>
          </w:tcPr>
          <w:p w:rsidR="00CF09DE" w:rsidRDefault="00CF09DE" w:rsidP="004802C4">
            <w:pPr>
              <w:keepNext/>
              <w:keepLines/>
              <w:spacing w:line="120" w:lineRule="exact"/>
              <w:rPr>
                <w:color w:val="000000"/>
              </w:rPr>
            </w:pPr>
          </w:p>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F09DE" w:rsidTr="00C237FC">
        <w:tc>
          <w:tcPr>
            <w:tcW w:w="2700" w:type="dxa"/>
            <w:tcBorders>
              <w:bottom w:val="single" w:sz="6" w:space="0" w:color="000000"/>
            </w:tcBorders>
          </w:tcPr>
          <w:p w:rsidR="00CF09DE" w:rsidRDefault="00CF09DE" w:rsidP="004802C4">
            <w:pPr>
              <w:keepNext/>
              <w:keepLines/>
              <w:spacing w:line="120" w:lineRule="exact"/>
              <w:rPr>
                <w:b/>
                <w:bCs/>
                <w:color w:val="000000"/>
                <w:sz w:val="18"/>
                <w:szCs w:val="18"/>
              </w:rPr>
            </w:pPr>
          </w:p>
          <w:p w:rsidR="00CF09DE" w:rsidRDefault="00CF09DE" w:rsidP="004802C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F09DE" w:rsidRDefault="00CF09DE" w:rsidP="004802C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Borders>
              <w:bottom w:val="single" w:sz="6" w:space="0" w:color="000000"/>
            </w:tcBorders>
          </w:tcPr>
          <w:p w:rsidR="00CF09DE" w:rsidRDefault="00CF09DE" w:rsidP="004802C4">
            <w:pPr>
              <w:keepNext/>
              <w:keepLines/>
              <w:spacing w:line="120" w:lineRule="exact"/>
              <w:rPr>
                <w:color w:val="000000"/>
                <w:sz w:val="18"/>
                <w:szCs w:val="18"/>
              </w:rPr>
            </w:pPr>
          </w:p>
          <w:p w:rsidR="00CF09DE" w:rsidRDefault="00CF09DE" w:rsidP="004802C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F09DE" w:rsidRDefault="00CF09DE" w:rsidP="004802C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Borders>
              <w:bottom w:val="single" w:sz="6" w:space="0" w:color="000000"/>
            </w:tcBorders>
          </w:tcPr>
          <w:p w:rsidR="00CF09DE" w:rsidRDefault="00CF09DE" w:rsidP="004802C4">
            <w:pPr>
              <w:keepNext/>
              <w:keepLines/>
              <w:spacing w:line="120" w:lineRule="exact"/>
              <w:rPr>
                <w:color w:val="000000"/>
                <w:sz w:val="18"/>
                <w:szCs w:val="18"/>
              </w:rPr>
            </w:pPr>
          </w:p>
          <w:p w:rsidR="00CF09DE" w:rsidRDefault="00CF09DE" w:rsidP="004802C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F09DE" w:rsidRDefault="00CF09DE" w:rsidP="004802C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Borders>
              <w:bottom w:val="single" w:sz="6" w:space="0" w:color="000000"/>
            </w:tcBorders>
          </w:tcPr>
          <w:p w:rsidR="00CF09DE" w:rsidRDefault="00CF09DE" w:rsidP="004802C4">
            <w:pPr>
              <w:keepNext/>
              <w:keepLines/>
              <w:spacing w:line="120" w:lineRule="exact"/>
              <w:rPr>
                <w:color w:val="000000"/>
                <w:sz w:val="18"/>
                <w:szCs w:val="18"/>
              </w:rPr>
            </w:pPr>
          </w:p>
          <w:p w:rsidR="00CF09DE" w:rsidRDefault="00CF09DE" w:rsidP="004802C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Number of Existing Respondents That Keep Records But Do Not Submit Reports</w:t>
            </w:r>
          </w:p>
        </w:tc>
        <w:tc>
          <w:tcPr>
            <w:tcW w:w="2070" w:type="dxa"/>
            <w:tcBorders>
              <w:bottom w:val="single" w:sz="6" w:space="0" w:color="000000"/>
            </w:tcBorders>
          </w:tcPr>
          <w:p w:rsidR="00CF09DE" w:rsidRDefault="00CF09DE" w:rsidP="004802C4">
            <w:pPr>
              <w:keepNext/>
              <w:keepLines/>
              <w:spacing w:line="120" w:lineRule="exact"/>
              <w:rPr>
                <w:color w:val="000000"/>
                <w:sz w:val="18"/>
                <w:szCs w:val="18"/>
              </w:rPr>
            </w:pPr>
          </w:p>
          <w:p w:rsidR="00CF09DE" w:rsidRDefault="00CF09DE" w:rsidP="004802C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F09DE" w:rsidRDefault="00CF09DE" w:rsidP="004802C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F09DE" w:rsidTr="00C237FC">
        <w:tc>
          <w:tcPr>
            <w:tcW w:w="2700" w:type="dxa"/>
            <w:tcBorders>
              <w:top w:val="single" w:sz="6" w:space="0" w:color="000000"/>
              <w:left w:val="single" w:sz="6" w:space="0" w:color="000000"/>
              <w:bottom w:val="single" w:sz="6" w:space="0" w:color="000000"/>
              <w:right w:val="single" w:sz="6" w:space="0" w:color="000000"/>
            </w:tcBorders>
          </w:tcPr>
          <w:p w:rsidR="00CF09DE" w:rsidRPr="009E6C99" w:rsidRDefault="00CF09DE" w:rsidP="004802C4">
            <w:pPr>
              <w:keepNext/>
              <w:keepLines/>
              <w:spacing w:line="120" w:lineRule="exact"/>
              <w:rPr>
                <w:sz w:val="20"/>
                <w:szCs w:val="20"/>
                <w:lang w:val="pt-BR"/>
              </w:rPr>
            </w:pPr>
          </w:p>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construction/ reconstruction</w:t>
            </w:r>
          </w:p>
        </w:tc>
        <w:tc>
          <w:tcPr>
            <w:tcW w:w="1260" w:type="dxa"/>
            <w:tcBorders>
              <w:top w:val="single" w:sz="6" w:space="0" w:color="000000"/>
              <w:left w:val="single" w:sz="6" w:space="0" w:color="000000"/>
              <w:bottom w:val="single" w:sz="6" w:space="0" w:color="000000"/>
              <w:right w:val="single" w:sz="6" w:space="0" w:color="000000"/>
            </w:tcBorders>
            <w:vAlign w:val="center"/>
          </w:tcPr>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tcBorders>
              <w:top w:val="single" w:sz="6" w:space="0" w:color="000000"/>
              <w:left w:val="single" w:sz="6" w:space="0" w:color="000000"/>
              <w:bottom w:val="single" w:sz="6" w:space="0" w:color="000000"/>
              <w:right w:val="single" w:sz="6" w:space="0" w:color="000000"/>
            </w:tcBorders>
            <w:vAlign w:val="center"/>
          </w:tcPr>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tcBorders>
              <w:top w:val="single" w:sz="6" w:space="0" w:color="000000"/>
              <w:left w:val="single" w:sz="6" w:space="0" w:color="000000"/>
              <w:bottom w:val="single" w:sz="6" w:space="0" w:color="000000"/>
              <w:right w:val="single" w:sz="6" w:space="0" w:color="000000"/>
            </w:tcBorders>
            <w:vAlign w:val="center"/>
          </w:tcPr>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CF09DE" w:rsidTr="00C237FC">
        <w:tc>
          <w:tcPr>
            <w:tcW w:w="2700" w:type="dxa"/>
            <w:tcBorders>
              <w:top w:val="single" w:sz="6" w:space="0" w:color="000000"/>
              <w:left w:val="single" w:sz="6" w:space="0" w:color="000000"/>
              <w:bottom w:val="single" w:sz="6" w:space="0" w:color="000000"/>
              <w:right w:val="single" w:sz="6" w:space="0" w:color="000000"/>
            </w:tcBorders>
          </w:tcPr>
          <w:p w:rsidR="00CF09DE" w:rsidRDefault="00CF09DE" w:rsidP="004802C4">
            <w:pPr>
              <w:keepNext/>
              <w:keepLines/>
              <w:spacing w:line="120" w:lineRule="exact"/>
              <w:rPr>
                <w:sz w:val="20"/>
                <w:szCs w:val="20"/>
              </w:rPr>
            </w:pPr>
          </w:p>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actual startup</w:t>
            </w:r>
          </w:p>
        </w:tc>
        <w:tc>
          <w:tcPr>
            <w:tcW w:w="1260" w:type="dxa"/>
            <w:tcBorders>
              <w:top w:val="single" w:sz="6" w:space="0" w:color="000000"/>
              <w:left w:val="single" w:sz="6" w:space="0" w:color="000000"/>
              <w:bottom w:val="single" w:sz="6" w:space="0" w:color="000000"/>
              <w:right w:val="single" w:sz="6" w:space="0" w:color="000000"/>
            </w:tcBorders>
            <w:vAlign w:val="center"/>
          </w:tcPr>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tcBorders>
              <w:top w:val="single" w:sz="6" w:space="0" w:color="000000"/>
              <w:left w:val="single" w:sz="6" w:space="0" w:color="000000"/>
              <w:bottom w:val="single" w:sz="6" w:space="0" w:color="000000"/>
              <w:right w:val="single" w:sz="6" w:space="0" w:color="000000"/>
            </w:tcBorders>
            <w:vAlign w:val="center"/>
          </w:tcPr>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tcBorders>
              <w:top w:val="single" w:sz="6" w:space="0" w:color="000000"/>
              <w:left w:val="single" w:sz="6" w:space="0" w:color="000000"/>
              <w:bottom w:val="single" w:sz="6" w:space="0" w:color="000000"/>
              <w:right w:val="single" w:sz="6" w:space="0" w:color="000000"/>
            </w:tcBorders>
            <w:vAlign w:val="center"/>
          </w:tcPr>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CF09DE" w:rsidTr="00C237FC">
        <w:tc>
          <w:tcPr>
            <w:tcW w:w="2700" w:type="dxa"/>
            <w:tcBorders>
              <w:top w:val="single" w:sz="6" w:space="0" w:color="000000"/>
              <w:left w:val="single" w:sz="6" w:space="0" w:color="000000"/>
              <w:bottom w:val="single" w:sz="6" w:space="0" w:color="000000"/>
              <w:right w:val="single" w:sz="6" w:space="0" w:color="000000"/>
            </w:tcBorders>
          </w:tcPr>
          <w:p w:rsidR="00CF09DE" w:rsidRDefault="00CF09DE" w:rsidP="004802C4">
            <w:pPr>
              <w:keepNext/>
              <w:keepLines/>
              <w:spacing w:line="120" w:lineRule="exact"/>
              <w:rPr>
                <w:sz w:val="20"/>
                <w:szCs w:val="20"/>
              </w:rPr>
            </w:pPr>
          </w:p>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initial performance test</w:t>
            </w:r>
          </w:p>
        </w:tc>
        <w:tc>
          <w:tcPr>
            <w:tcW w:w="1260" w:type="dxa"/>
            <w:tcBorders>
              <w:top w:val="single" w:sz="6" w:space="0" w:color="000000"/>
              <w:left w:val="single" w:sz="6" w:space="0" w:color="000000"/>
              <w:bottom w:val="single" w:sz="6" w:space="0" w:color="000000"/>
              <w:right w:val="single" w:sz="6" w:space="0" w:color="000000"/>
            </w:tcBorders>
            <w:vAlign w:val="center"/>
          </w:tcPr>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tcBorders>
              <w:top w:val="single" w:sz="6" w:space="0" w:color="000000"/>
              <w:left w:val="single" w:sz="6" w:space="0" w:color="000000"/>
              <w:bottom w:val="single" w:sz="6" w:space="0" w:color="000000"/>
              <w:right w:val="single" w:sz="6" w:space="0" w:color="000000"/>
            </w:tcBorders>
            <w:vAlign w:val="center"/>
          </w:tcPr>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tcBorders>
              <w:top w:val="single" w:sz="6" w:space="0" w:color="000000"/>
              <w:left w:val="single" w:sz="6" w:space="0" w:color="000000"/>
              <w:bottom w:val="single" w:sz="6" w:space="0" w:color="000000"/>
              <w:right w:val="single" w:sz="6" w:space="0" w:color="000000"/>
            </w:tcBorders>
            <w:vAlign w:val="center"/>
          </w:tcPr>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CF09DE" w:rsidTr="00C237FC">
        <w:tc>
          <w:tcPr>
            <w:tcW w:w="2700" w:type="dxa"/>
            <w:tcBorders>
              <w:top w:val="single" w:sz="6" w:space="0" w:color="000000"/>
              <w:left w:val="single" w:sz="6" w:space="0" w:color="000000"/>
              <w:bottom w:val="single" w:sz="6" w:space="0" w:color="000000"/>
              <w:right w:val="single" w:sz="6" w:space="0" w:color="000000"/>
            </w:tcBorders>
          </w:tcPr>
          <w:p w:rsidR="00CF09DE" w:rsidRDefault="00CF09DE" w:rsidP="004802C4">
            <w:pPr>
              <w:keepNext/>
              <w:keepLines/>
              <w:spacing w:line="120" w:lineRule="exact"/>
              <w:rPr>
                <w:sz w:val="20"/>
                <w:szCs w:val="20"/>
              </w:rPr>
            </w:pPr>
          </w:p>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Initial performance test report</w:t>
            </w:r>
          </w:p>
        </w:tc>
        <w:tc>
          <w:tcPr>
            <w:tcW w:w="1260" w:type="dxa"/>
            <w:tcBorders>
              <w:top w:val="single" w:sz="6" w:space="0" w:color="000000"/>
              <w:left w:val="single" w:sz="6" w:space="0" w:color="000000"/>
              <w:bottom w:val="single" w:sz="6" w:space="0" w:color="000000"/>
              <w:right w:val="single" w:sz="6" w:space="0" w:color="000000"/>
            </w:tcBorders>
            <w:vAlign w:val="center"/>
          </w:tcPr>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tcBorders>
              <w:top w:val="single" w:sz="6" w:space="0" w:color="000000"/>
              <w:left w:val="single" w:sz="6" w:space="0" w:color="000000"/>
              <w:bottom w:val="single" w:sz="6" w:space="0" w:color="000000"/>
              <w:right w:val="single" w:sz="6" w:space="0" w:color="000000"/>
            </w:tcBorders>
            <w:vAlign w:val="center"/>
          </w:tcPr>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tcBorders>
              <w:top w:val="single" w:sz="6" w:space="0" w:color="000000"/>
              <w:left w:val="single" w:sz="6" w:space="0" w:color="000000"/>
              <w:bottom w:val="single" w:sz="6" w:space="0" w:color="000000"/>
              <w:right w:val="single" w:sz="6" w:space="0" w:color="000000"/>
            </w:tcBorders>
            <w:vAlign w:val="center"/>
          </w:tcPr>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CF09DE" w:rsidTr="00C237FC">
        <w:tc>
          <w:tcPr>
            <w:tcW w:w="2700" w:type="dxa"/>
            <w:tcBorders>
              <w:top w:val="single" w:sz="6" w:space="0" w:color="000000"/>
              <w:left w:val="single" w:sz="6" w:space="0" w:color="000000"/>
              <w:bottom w:val="single" w:sz="6" w:space="0" w:color="000000"/>
              <w:right w:val="single" w:sz="6" w:space="0" w:color="000000"/>
            </w:tcBorders>
          </w:tcPr>
          <w:p w:rsidR="00CF09DE" w:rsidRDefault="00CF09DE" w:rsidP="004802C4">
            <w:pPr>
              <w:keepNext/>
              <w:keepLines/>
              <w:spacing w:line="120" w:lineRule="exact"/>
              <w:rPr>
                <w:sz w:val="20"/>
                <w:szCs w:val="20"/>
              </w:rPr>
            </w:pPr>
          </w:p>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Semiannual reports</w:t>
            </w:r>
          </w:p>
        </w:tc>
        <w:tc>
          <w:tcPr>
            <w:tcW w:w="1260" w:type="dxa"/>
            <w:tcBorders>
              <w:top w:val="single" w:sz="6" w:space="0" w:color="000000"/>
              <w:left w:val="single" w:sz="6" w:space="0" w:color="000000"/>
              <w:bottom w:val="single" w:sz="6" w:space="0" w:color="000000"/>
              <w:right w:val="single" w:sz="6" w:space="0" w:color="000000"/>
            </w:tcBorders>
            <w:vAlign w:val="center"/>
          </w:tcPr>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61</w:t>
            </w:r>
          </w:p>
        </w:tc>
        <w:tc>
          <w:tcPr>
            <w:tcW w:w="1260" w:type="dxa"/>
            <w:tcBorders>
              <w:top w:val="single" w:sz="6" w:space="0" w:color="000000"/>
              <w:left w:val="single" w:sz="6" w:space="0" w:color="000000"/>
              <w:bottom w:val="single" w:sz="6" w:space="0" w:color="000000"/>
              <w:right w:val="single" w:sz="6" w:space="0" w:color="000000"/>
            </w:tcBorders>
            <w:vAlign w:val="center"/>
          </w:tcPr>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890" w:type="dxa"/>
            <w:tcBorders>
              <w:top w:val="single" w:sz="6" w:space="0" w:color="000000"/>
              <w:left w:val="single" w:sz="6" w:space="0" w:color="000000"/>
              <w:bottom w:val="single" w:sz="6" w:space="0" w:color="000000"/>
              <w:right w:val="single" w:sz="6" w:space="0" w:color="000000"/>
            </w:tcBorders>
            <w:vAlign w:val="center"/>
          </w:tcPr>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386</w:t>
            </w:r>
          </w:p>
        </w:tc>
        <w:tc>
          <w:tcPr>
            <w:tcW w:w="2070" w:type="dxa"/>
            <w:tcBorders>
              <w:top w:val="single" w:sz="6" w:space="0" w:color="000000"/>
              <w:left w:val="single" w:sz="6" w:space="0" w:color="000000"/>
              <w:bottom w:val="single" w:sz="6" w:space="0" w:color="000000"/>
              <w:right w:val="single" w:sz="6" w:space="0" w:color="000000"/>
            </w:tcBorders>
            <w:vAlign w:val="center"/>
          </w:tcPr>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508</w:t>
            </w:r>
          </w:p>
        </w:tc>
      </w:tr>
      <w:tr w:rsidR="00CF09DE" w:rsidTr="00C237FC">
        <w:tc>
          <w:tcPr>
            <w:tcW w:w="2700" w:type="dxa"/>
            <w:tcBorders>
              <w:top w:val="single" w:sz="6" w:space="0" w:color="000000"/>
              <w:left w:val="single" w:sz="6" w:space="0" w:color="000000"/>
              <w:bottom w:val="single" w:sz="6" w:space="0" w:color="000000"/>
              <w:right w:val="single" w:sz="6" w:space="0" w:color="000000"/>
            </w:tcBorders>
          </w:tcPr>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CF09DE"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Borders>
              <w:top w:val="single" w:sz="6" w:space="0" w:color="000000"/>
              <w:left w:val="single" w:sz="6" w:space="0" w:color="000000"/>
              <w:bottom w:val="single" w:sz="6" w:space="0" w:color="000000"/>
              <w:right w:val="single" w:sz="6" w:space="0" w:color="000000"/>
            </w:tcBorders>
            <w:vAlign w:val="center"/>
          </w:tcPr>
          <w:p w:rsidR="00CF09DE" w:rsidRPr="00FB0984"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FB0984">
              <w:rPr>
                <w:b/>
                <w:color w:val="000000"/>
                <w:sz w:val="20"/>
                <w:szCs w:val="20"/>
              </w:rPr>
              <w:t>Total</w:t>
            </w:r>
          </w:p>
        </w:tc>
        <w:tc>
          <w:tcPr>
            <w:tcW w:w="2070" w:type="dxa"/>
            <w:tcBorders>
              <w:top w:val="single" w:sz="6" w:space="0" w:color="000000"/>
              <w:left w:val="single" w:sz="6" w:space="0" w:color="000000"/>
              <w:bottom w:val="single" w:sz="6" w:space="0" w:color="000000"/>
              <w:right w:val="single" w:sz="6" w:space="0" w:color="000000"/>
            </w:tcBorders>
            <w:vAlign w:val="center"/>
          </w:tcPr>
          <w:p w:rsidR="00CF09DE" w:rsidRPr="00FB0984" w:rsidRDefault="00CF09DE" w:rsidP="004802C4">
            <w:pPr>
              <w:keepNext/>
              <w:keepLines/>
              <w:pBdr>
                <w:top w:val="single" w:sz="6" w:space="0" w:color="FFFFFF"/>
                <w:left w:val="single" w:sz="6" w:space="0" w:color="FFFFFF"/>
                <w:bottom w:val="single" w:sz="6" w:space="0" w:color="FFFFFF"/>
                <w:right w:val="single" w:sz="6" w:space="0" w:color="FFFFFF"/>
              </w:pBdr>
              <w:spacing w:after="52"/>
              <w:jc w:val="center"/>
              <w:rPr>
                <w:b/>
                <w:color w:val="FF0000"/>
                <w:sz w:val="18"/>
                <w:szCs w:val="18"/>
              </w:rPr>
            </w:pPr>
            <w:r w:rsidRPr="00FB0984">
              <w:rPr>
                <w:b/>
                <w:color w:val="000000"/>
                <w:sz w:val="20"/>
                <w:szCs w:val="20"/>
              </w:rPr>
              <w:t>508</w:t>
            </w:r>
          </w:p>
        </w:tc>
      </w:tr>
    </w:tbl>
    <w:p w:rsidR="005F55A4" w:rsidRDefault="00806DA0" w:rsidP="004802C4">
      <w:pPr>
        <w:keepNext/>
        <w:keepLines/>
        <w:pBdr>
          <w:top w:val="single" w:sz="6" w:space="0" w:color="FFFFFF"/>
          <w:left w:val="single" w:sz="6" w:space="0" w:color="FFFFFF"/>
          <w:bottom w:val="single" w:sz="6" w:space="0" w:color="FFFFFF"/>
          <w:right w:val="single" w:sz="6" w:space="0" w:color="FFFFFF"/>
        </w:pBdr>
        <w:ind w:left="90"/>
        <w:rPr>
          <w:color w:val="000000"/>
          <w:sz w:val="20"/>
          <w:szCs w:val="20"/>
        </w:rPr>
      </w:pPr>
      <w:r>
        <w:rPr>
          <w:color w:val="000000"/>
          <w:sz w:val="20"/>
          <w:szCs w:val="20"/>
        </w:rPr>
        <w:t xml:space="preserve">Note: We estimate </w:t>
      </w:r>
      <w:r w:rsidR="00EB108C" w:rsidRPr="00806DA0">
        <w:rPr>
          <w:vanish/>
          <w:color w:val="000000"/>
          <w:sz w:val="20"/>
          <w:szCs w:val="20"/>
          <w:vertAlign w:val="superscript"/>
        </w:rPr>
        <w:t xml:space="preserve">Note: We estimate </w:t>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EB108C" w:rsidRPr="00806DA0">
        <w:rPr>
          <w:vanish/>
          <w:color w:val="000000"/>
          <w:sz w:val="20"/>
          <w:szCs w:val="20"/>
          <w:vertAlign w:val="superscript"/>
        </w:rPr>
        <w:pgNum/>
      </w:r>
      <w:r w:rsidR="005F55A4" w:rsidRPr="00806DA0">
        <w:rPr>
          <w:vanish/>
          <w:color w:val="000000"/>
          <w:sz w:val="20"/>
          <w:szCs w:val="20"/>
          <w:vertAlign w:val="superscript"/>
        </w:rPr>
        <w:t>1t102 + 345 = 447)e 2 major sources are subject or ratese., 980 ons, which are maj</w:t>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vanish/>
          <w:color w:val="000000"/>
          <w:sz w:val="20"/>
          <w:szCs w:val="20"/>
          <w:vertAlign w:val="superscript"/>
        </w:rPr>
        <w:pgNum/>
      </w:r>
      <w:r w:rsidR="005F55A4" w:rsidRPr="00806DA0">
        <w:rPr>
          <w:color w:val="000000"/>
          <w:sz w:val="20"/>
          <w:szCs w:val="20"/>
        </w:rPr>
        <w:t xml:space="preserve">60 percent of the </w:t>
      </w:r>
      <w:r w:rsidRPr="00806DA0">
        <w:rPr>
          <w:color w:val="000000"/>
          <w:sz w:val="20"/>
          <w:szCs w:val="20"/>
        </w:rPr>
        <w:t xml:space="preserve">major </w:t>
      </w:r>
      <w:r w:rsidR="005F55A4" w:rsidRPr="00806DA0">
        <w:rPr>
          <w:color w:val="000000"/>
          <w:sz w:val="20"/>
          <w:szCs w:val="20"/>
        </w:rPr>
        <w:t>sources (i.e. 61</w:t>
      </w:r>
      <w:r>
        <w:rPr>
          <w:color w:val="000000"/>
          <w:sz w:val="20"/>
          <w:szCs w:val="20"/>
        </w:rPr>
        <w:t>.2</w:t>
      </w:r>
      <w:r w:rsidR="005F55A4" w:rsidRPr="00806DA0">
        <w:rPr>
          <w:color w:val="000000"/>
          <w:sz w:val="20"/>
          <w:szCs w:val="20"/>
        </w:rPr>
        <w:t xml:space="preserve"> respondents) would be required to submit semiannual reports under the NESHAP subpart R.</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508.  </w:t>
      </w:r>
    </w:p>
    <w:p w:rsidR="00806DA0" w:rsidRDefault="00806DA0">
      <w:pPr>
        <w:pBdr>
          <w:top w:val="single" w:sz="6" w:space="0" w:color="FFFFFF"/>
          <w:left w:val="single" w:sz="6" w:space="0" w:color="FFFFFF"/>
          <w:bottom w:val="single" w:sz="6" w:space="0" w:color="FFFFFF"/>
          <w:right w:val="single" w:sz="6" w:space="0" w:color="FFFFFF"/>
        </w:pBdr>
        <w:ind w:firstLine="720"/>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FF0000"/>
          <w:u w:val="single"/>
        </w:rPr>
      </w:pPr>
      <w:r>
        <w:rPr>
          <w:color w:val="000000"/>
        </w:rPr>
        <w:t>The total annual labor costs are $1,</w:t>
      </w:r>
      <w:r w:rsidR="00CA5016">
        <w:rPr>
          <w:color w:val="000000"/>
        </w:rPr>
        <w:t>547</w:t>
      </w:r>
      <w:r>
        <w:rPr>
          <w:color w:val="000000"/>
        </w:rPr>
        <w:t>,</w:t>
      </w:r>
      <w:r w:rsidR="00CA5016">
        <w:rPr>
          <w:color w:val="000000"/>
        </w:rPr>
        <w:t>020</w:t>
      </w:r>
      <w:r>
        <w:rPr>
          <w:color w:val="000000"/>
        </w:rPr>
        <w:t xml:space="preserve">.  Details regarding these estimates may be found below in </w:t>
      </w:r>
      <w:r w:rsidRPr="00775689">
        <w:t xml:space="preserve">Table 1: Annual Respondent Burden and Cost – </w:t>
      </w:r>
      <w:r w:rsidRPr="00775689">
        <w:rPr>
          <w:bCs/>
        </w:rPr>
        <w:t>NESHAP for Gasoline Distribution Facilities (40 CFR Part 63, Subpart R)</w:t>
      </w:r>
      <w:r w:rsidRPr="00775689">
        <w:t xml:space="preserve"> (Renewal)</w:t>
      </w:r>
      <w:r>
        <w:rPr>
          <w:color w:val="000000"/>
        </w:rPr>
        <w:t>.</w:t>
      </w:r>
    </w:p>
    <w:p w:rsidR="00CF09DE" w:rsidRDefault="00CF09DE">
      <w:pPr>
        <w:pBdr>
          <w:top w:val="single" w:sz="6" w:space="0" w:color="FFFFFF"/>
          <w:left w:val="single" w:sz="6" w:space="0" w:color="FFFFFF"/>
          <w:bottom w:val="single" w:sz="6" w:space="0" w:color="FFFFFF"/>
          <w:right w:val="single" w:sz="6" w:space="0" w:color="FFFFFF"/>
        </w:pBdr>
        <w:rPr>
          <w:color w:val="FF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hours are 15,</w:t>
      </w:r>
      <w:r w:rsidR="00CA5016">
        <w:rPr>
          <w:color w:val="000000"/>
        </w:rPr>
        <w:t>823</w:t>
      </w:r>
      <w:r w:rsidR="003F340B">
        <w:rPr>
          <w:color w:val="000000"/>
        </w:rPr>
        <w:t xml:space="preserve"> hours</w:t>
      </w:r>
      <w:r w:rsidR="00FB0984">
        <w:rPr>
          <w:color w:val="000000"/>
        </w:rPr>
        <w:t xml:space="preserve"> at a cost of $1,547,020</w:t>
      </w:r>
      <w:r>
        <w:rPr>
          <w:color w:val="000000"/>
        </w:rPr>
        <w:t xml:space="preserve">.  Details regarding these estimates may be found </w:t>
      </w:r>
      <w:r w:rsidR="00495536">
        <w:rPr>
          <w:color w:val="000000"/>
        </w:rPr>
        <w:t xml:space="preserve">below </w:t>
      </w:r>
      <w:r>
        <w:rPr>
          <w:color w:val="000000"/>
        </w:rPr>
        <w:t xml:space="preserve">in </w:t>
      </w:r>
      <w:r w:rsidRPr="00775689">
        <w:t xml:space="preserve">Table 1: Annual Respondent Burden and Cost – </w:t>
      </w:r>
      <w:r w:rsidRPr="00775689">
        <w:rPr>
          <w:bCs/>
        </w:rPr>
        <w:t>NESHAP for Gasoline Distribution Facilities (40 CFR Part 63, Subpart R)</w:t>
      </w:r>
      <w:r w:rsidRPr="00775689">
        <w:t xml:space="preserve"> (Renewal)</w:t>
      </w:r>
      <w:r>
        <w:rPr>
          <w:color w:val="000000"/>
        </w:rPr>
        <w:t xml:space="preserve">.  </w:t>
      </w:r>
    </w:p>
    <w:p w:rsidR="00CF09DE" w:rsidRDefault="00CF09DE" w:rsidP="0021722B">
      <w:pPr>
        <w:pBdr>
          <w:top w:val="single" w:sz="6" w:space="0" w:color="FFFFFF"/>
          <w:left w:val="single" w:sz="6" w:space="0" w:color="FFFFFF"/>
          <w:bottom w:val="single" w:sz="6" w:space="0" w:color="FFFFFF"/>
          <w:right w:val="single" w:sz="6" w:space="0" w:color="FFFFFF"/>
        </w:pBdr>
        <w:ind w:firstLine="720"/>
        <w:rPr>
          <w:color w:val="000000"/>
        </w:rPr>
      </w:pPr>
    </w:p>
    <w:p w:rsidR="00CF09DE" w:rsidRDefault="00CF09DE"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 31 hours per response.</w:t>
      </w:r>
    </w:p>
    <w:p w:rsidR="00CF09DE" w:rsidRDefault="00CF09DE" w:rsidP="0021722B">
      <w:pPr>
        <w:pBdr>
          <w:top w:val="single" w:sz="6" w:space="0" w:color="FFFFFF"/>
          <w:left w:val="single" w:sz="6" w:space="0" w:color="FFFFFF"/>
          <w:bottom w:val="single" w:sz="6" w:space="0" w:color="FFFFFF"/>
          <w:right w:val="single" w:sz="6" w:space="0" w:color="FFFFFF"/>
        </w:pBdr>
        <w:ind w:firstLine="720"/>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total annual capital/startup and O&amp;M costs to the regulated entity are </w:t>
      </w:r>
      <w:r w:rsidR="00847760">
        <w:rPr>
          <w:color w:val="000000"/>
        </w:rPr>
        <w:t>$</w:t>
      </w:r>
      <w:r>
        <w:rPr>
          <w:color w:val="000000"/>
        </w:rPr>
        <w:t>357,000.  The cost calculations are detailed in Section 6(b)(iii), Capital/Startup vs. Operation and Maintenance (O&amp;M) Costs.</w:t>
      </w:r>
    </w:p>
    <w:p w:rsidR="00CF09DE" w:rsidRDefault="00CF09DE">
      <w:pPr>
        <w:pBdr>
          <w:top w:val="single" w:sz="6" w:space="0" w:color="FFFFFF"/>
          <w:left w:val="single" w:sz="6" w:space="0" w:color="FFFFFF"/>
          <w:bottom w:val="single" w:sz="6" w:space="0" w:color="FFFFFF"/>
          <w:right w:val="single" w:sz="6" w:space="0" w:color="FFFFFF"/>
        </w:pBdr>
        <w:ind w:firstLine="2160"/>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F09DE" w:rsidRDefault="00CF09DE">
      <w:pPr>
        <w:pBdr>
          <w:top w:val="single" w:sz="6" w:space="0" w:color="FFFFFF"/>
          <w:left w:val="single" w:sz="6" w:space="0" w:color="FFFFFF"/>
          <w:bottom w:val="single" w:sz="6" w:space="0" w:color="FFFFFF"/>
          <w:right w:val="single" w:sz="6" w:space="0" w:color="FFFFFF"/>
        </w:pBdr>
        <w:rPr>
          <w:color w:val="FF0000"/>
        </w:rPr>
      </w:pPr>
    </w:p>
    <w:p w:rsidR="00CF09DE" w:rsidRPr="00144F35" w:rsidRDefault="00CF09DE"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1,408 labor hours at a cost of $63,444.  See </w:t>
      </w:r>
      <w:r w:rsidR="00EC0826">
        <w:rPr>
          <w:color w:val="000000"/>
        </w:rPr>
        <w:t xml:space="preserve">below </w:t>
      </w:r>
      <w:r w:rsidRPr="00775689">
        <w:t xml:space="preserve">Table 2: Average Annual EPA Burden and Cost – </w:t>
      </w:r>
      <w:r w:rsidRPr="00775689">
        <w:rPr>
          <w:bCs/>
        </w:rPr>
        <w:t>NESHAP for Gasoline Distribution Facilities (40 CFR Part 63, Subpart R)</w:t>
      </w:r>
      <w:r w:rsidRPr="00775689">
        <w:t xml:space="preserve"> (Renewal).</w:t>
      </w:r>
    </w:p>
    <w:p w:rsidR="00CF09DE" w:rsidRDefault="00CF09DE">
      <w:pPr>
        <w:pBdr>
          <w:top w:val="single" w:sz="6" w:space="0" w:color="FFFFFF"/>
          <w:left w:val="single" w:sz="6" w:space="0" w:color="FFFFFF"/>
          <w:bottom w:val="single" w:sz="6" w:space="0" w:color="FFFFFF"/>
          <w:right w:val="single" w:sz="6" w:space="0" w:color="FFFFFF"/>
        </w:pBdr>
        <w:rPr>
          <w:color w:val="FF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6A6AC0" w:rsidRDefault="006A6AC0">
      <w:pPr>
        <w:pBdr>
          <w:top w:val="single" w:sz="6" w:space="0" w:color="FFFFFF"/>
          <w:left w:val="single" w:sz="6" w:space="0" w:color="FFFFFF"/>
          <w:bottom w:val="single" w:sz="6" w:space="0" w:color="FFFFFF"/>
          <w:right w:val="single" w:sz="6" w:space="0" w:color="FFFFFF"/>
        </w:pBdr>
      </w:pPr>
    </w:p>
    <w:p w:rsidR="00CF09DE" w:rsidRPr="00335B02" w:rsidRDefault="00CA5016" w:rsidP="00335B02">
      <w:pPr>
        <w:pBdr>
          <w:top w:val="single" w:sz="6" w:space="0" w:color="FFFFFF"/>
          <w:left w:val="single" w:sz="6" w:space="0" w:color="FFFFFF"/>
          <w:bottom w:val="single" w:sz="6" w:space="0" w:color="FFFFFF"/>
          <w:right w:val="single" w:sz="6" w:space="0" w:color="FFFFFF"/>
        </w:pBdr>
        <w:ind w:firstLine="720"/>
      </w:pPr>
      <w:bookmarkStart w:id="0" w:name="OLE_LINK1"/>
      <w:bookmarkStart w:id="1" w:name="OLE_LINK2"/>
      <w:r>
        <w:t>There is an adjustment increase in the respondent burden</w:t>
      </w:r>
      <w:r w:rsidR="00CF09DE">
        <w:t xml:space="preserve"> </w:t>
      </w:r>
      <w:r w:rsidR="00CF09DE" w:rsidRPr="00335B02">
        <w:t xml:space="preserve">in this ICR compared to the previous ICR.  </w:t>
      </w:r>
      <w:r>
        <w:t xml:space="preserve">The increase occurred due to an increase in the total estimated number of area sources, 25 percent of which are within the 50 percent major source threshold criteria and are affected by this standard.  This ICR uses updated estimates to more accurately reflect the respondent universe, and to be consistent with EPA ICR Number 2237.03.  This ICR also uses updated labor rates from the Bureau of Labor Statistics to calculate burden costs.  </w:t>
      </w:r>
    </w:p>
    <w:bookmarkEnd w:id="0"/>
    <w:bookmarkEnd w:id="1"/>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31 hours per response.  </w:t>
      </w:r>
      <w:r w:rsidR="003F340B">
        <w:rPr>
          <w:color w:val="000000"/>
        </w:rPr>
        <w:t>“</w:t>
      </w:r>
      <w:r>
        <w:rPr>
          <w:color w:val="000000"/>
        </w:rPr>
        <w:t>Burden</w:t>
      </w:r>
      <w:r w:rsidR="003F340B">
        <w:rPr>
          <w:color w:val="000000"/>
        </w:rPr>
        <w:t>”</w:t>
      </w:r>
      <w:r>
        <w:rPr>
          <w:color w:val="000000"/>
        </w:rPr>
        <w:t xml:space="preserve"> means the total time, effort, or financial resources expended by persons to generate, maintain, retain, or disclose or provide information </w:t>
      </w:r>
      <w:r w:rsidR="003F340B">
        <w:rPr>
          <w:color w:val="000000"/>
        </w:rPr>
        <w:t xml:space="preserve">either </w:t>
      </w:r>
      <w:r>
        <w:rPr>
          <w:color w:val="000000"/>
        </w:rPr>
        <w:t>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F09DE" w:rsidRDefault="00CF09DE">
      <w:pPr>
        <w:pBdr>
          <w:top w:val="single" w:sz="6" w:space="0" w:color="FFFFFF"/>
          <w:left w:val="single" w:sz="6" w:space="0" w:color="FFFFFF"/>
          <w:bottom w:val="single" w:sz="6" w:space="0" w:color="FFFFFF"/>
          <w:right w:val="single" w:sz="6" w:space="0" w:color="FFFFFF"/>
        </w:pBdr>
        <w:rPr>
          <w:color w:val="000000"/>
        </w:rPr>
      </w:pPr>
    </w:p>
    <w:p w:rsidR="00CF09DE" w:rsidRPr="00FB0650" w:rsidRDefault="00CF0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 regulations are listed at 40 CFR part 9 and 48 CFR chapter 15.</w:t>
      </w:r>
    </w:p>
    <w:p w:rsidR="00CF09DE" w:rsidRPr="00354C15" w:rsidRDefault="00CF09DE" w:rsidP="00354C15"/>
    <w:p w:rsidR="00CF09DE" w:rsidRDefault="00CF09DE" w:rsidP="00354C15">
      <w:r w:rsidRPr="00354C15">
        <w:ta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t xml:space="preserve"> EPA-HQ-OECA-2012-0662</w:t>
      </w:r>
      <w:r w:rsidR="00B77EF1" w:rsidRPr="00B77EF1">
        <w:t>.</w:t>
      </w:r>
      <w:r>
        <w:rPr>
          <w:color w:val="FF0000"/>
        </w:rPr>
        <w:t xml:space="preserve">  </w:t>
      </w:r>
      <w:r w:rsidRPr="00354C15">
        <w:t xml:space="preserve">An electronic version of the public docket is available at </w:t>
      </w:r>
      <w:r w:rsidRPr="003F340B">
        <w:rPr>
          <w:u w:val="single"/>
        </w:rPr>
        <w:t>http://www.regulations.gov/</w:t>
      </w:r>
      <w:r>
        <w:t xml:space="preserve"> 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t xml:space="preserve">  </w:t>
      </w:r>
      <w:r w:rsidRPr="00354C15">
        <w:t>When in the system</w:t>
      </w:r>
      <w:r w:rsidRPr="00354C15">
        <w:rPr>
          <w:rStyle w:val="1"/>
        </w:rPr>
        <w:t>, select “search,” then key in the docket ID number identified in this document.</w:t>
      </w:r>
      <w:r>
        <w:rPr>
          <w:rStyle w:val="1"/>
        </w:rPr>
        <w:t xml:space="preserve">  The documents are also </w:t>
      </w:r>
      <w:r w:rsidRPr="00354C15">
        <w:t xml:space="preserve">available for public viewing at the Enforcement and </w:t>
      </w:r>
      <w:r w:rsidRPr="00354C15">
        <w:lastRenderedPageBreak/>
        <w:t xml:space="preserve">Compliance Docket and Information Center in the EPA Docket Center (EPA/DC), </w:t>
      </w:r>
      <w:r w:rsidRPr="000E187E">
        <w:t xml:space="preserve">EPA West, Room </w:t>
      </w:r>
      <w:r>
        <w:t>3334</w:t>
      </w:r>
      <w:r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t>for the docket center i</w:t>
      </w:r>
      <w:r w:rsidRPr="00354C15">
        <w:t>s (202) 566-</w:t>
      </w:r>
      <w:r>
        <w:t>17</w:t>
      </w:r>
      <w:r w:rsidR="007F17D7">
        <w:t>52</w:t>
      </w:r>
      <w:r>
        <w:t xml:space="preserve">.  Also, you can send comments to the Office of Information and Regulatory Affairs, Office of Management and Budget, 725 17th Street, NW, Washington, DC 20503, Attention: Desk Officer for EPA.  Please include the EPA Docket ID Number EPA-HQ-OECA-2012-0662 and OMB Control Number 2060-0325 in any correspondence. </w:t>
      </w:r>
    </w:p>
    <w:p w:rsidR="00CF09DE" w:rsidRDefault="00CF09DE" w:rsidP="00F340DF">
      <w:pPr>
        <w:rPr>
          <w:rStyle w:val="1"/>
          <w:rFonts w:ascii="WP TypographicSymbols" w:hAnsi="WP TypographicSymbols" w:cs="WP TypographicSymbols"/>
          <w:color w:val="000000"/>
        </w:rPr>
      </w:pPr>
    </w:p>
    <w:p w:rsidR="00CF09DE" w:rsidRDefault="00CF09DE" w:rsidP="00F340DF">
      <w:pPr>
        <w:rPr>
          <w:b/>
          <w:bCs/>
          <w:color w:val="000000"/>
        </w:rPr>
      </w:pPr>
      <w:r>
        <w:rPr>
          <w:b/>
          <w:bCs/>
          <w:color w:val="000000"/>
        </w:rPr>
        <w:t>Part B of the Supporting Statement</w:t>
      </w:r>
    </w:p>
    <w:p w:rsidR="00CF09DE" w:rsidRDefault="00CF09DE" w:rsidP="00F340DF">
      <w:pPr>
        <w:rPr>
          <w:b/>
          <w:bCs/>
          <w:color w:val="000000"/>
        </w:rPr>
      </w:pPr>
    </w:p>
    <w:p w:rsidR="00CF09DE" w:rsidRDefault="00CF09DE" w:rsidP="00F340DF">
      <w:pPr>
        <w:rPr>
          <w:color w:val="000000"/>
        </w:rPr>
      </w:pPr>
      <w:r>
        <w:rPr>
          <w:color w:val="000000"/>
        </w:rPr>
        <w:t>This part is not applicable because no statistical methods were used in collecting this information.</w:t>
      </w:r>
    </w:p>
    <w:p w:rsidR="00CF09DE" w:rsidRDefault="00CF09DE" w:rsidP="00F340DF">
      <w:pPr>
        <w:rPr>
          <w:color w:val="000000"/>
        </w:rPr>
        <w:sectPr w:rsidR="00CF09DE" w:rsidSect="00C237FC">
          <w:headerReference w:type="default" r:id="rId7"/>
          <w:type w:val="continuous"/>
          <w:pgSz w:w="12240" w:h="15840"/>
          <w:pgMar w:top="1350" w:right="1440" w:bottom="1440" w:left="1440" w:header="1350" w:footer="1440" w:gutter="0"/>
          <w:cols w:space="720"/>
          <w:noEndnote/>
          <w:titlePg/>
          <w:rtlGutter/>
          <w:docGrid w:linePitch="326"/>
        </w:sectPr>
      </w:pPr>
    </w:p>
    <w:p w:rsidR="00446E46" w:rsidRDefault="00CF09DE" w:rsidP="0013765B">
      <w:pPr>
        <w:jc w:val="center"/>
        <w:rPr>
          <w:b/>
          <w:bCs/>
          <w:color w:val="000000"/>
        </w:rPr>
      </w:pPr>
      <w:r w:rsidRPr="00F55827">
        <w:rPr>
          <w:b/>
          <w:bCs/>
          <w:color w:val="000000"/>
        </w:rPr>
        <w:lastRenderedPageBreak/>
        <w:t>Table 1: Annual Respondent Burden and Cost – NESHAP for Gasoline Distribution Facilities (40 CFR Part 63, Subpart R)</w:t>
      </w:r>
    </w:p>
    <w:p w:rsidR="00CF09DE" w:rsidRDefault="00446E46" w:rsidP="00446E46">
      <w:pPr>
        <w:rPr>
          <w:color w:val="FF0000"/>
        </w:rPr>
      </w:pPr>
      <w:r>
        <w:rPr>
          <w:b/>
          <w:bCs/>
          <w:color w:val="000000"/>
        </w:rPr>
        <w:t xml:space="preserve">    </w:t>
      </w:r>
      <w:r w:rsidR="00CF09DE" w:rsidRPr="00F55827">
        <w:rPr>
          <w:b/>
          <w:bCs/>
          <w:color w:val="000000"/>
        </w:rPr>
        <w:t xml:space="preserve"> (Renewal)</w:t>
      </w:r>
    </w:p>
    <w:p w:rsidR="00CF09DE" w:rsidRDefault="00CF09DE">
      <w:pPr>
        <w:rPr>
          <w:b/>
          <w:bCs/>
          <w:color w:val="000000"/>
        </w:rPr>
      </w:pPr>
    </w:p>
    <w:tbl>
      <w:tblPr>
        <w:tblW w:w="15209" w:type="dxa"/>
        <w:jc w:val="center"/>
        <w:tblInd w:w="3420" w:type="dxa"/>
        <w:tblLayout w:type="fixed"/>
        <w:tblLook w:val="04A0"/>
      </w:tblPr>
      <w:tblGrid>
        <w:gridCol w:w="4860"/>
        <w:gridCol w:w="1260"/>
        <w:gridCol w:w="1440"/>
        <w:gridCol w:w="1260"/>
        <w:gridCol w:w="1346"/>
        <w:gridCol w:w="1135"/>
        <w:gridCol w:w="1338"/>
        <w:gridCol w:w="1204"/>
        <w:gridCol w:w="1366"/>
      </w:tblGrid>
      <w:tr w:rsidR="002F0B65" w:rsidRPr="0013765B" w:rsidTr="0077445C">
        <w:trPr>
          <w:trHeight w:val="1530"/>
          <w:tblHeader/>
          <w:jc w:val="center"/>
        </w:trPr>
        <w:tc>
          <w:tcPr>
            <w:tcW w:w="48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37FC" w:rsidRPr="0013765B" w:rsidRDefault="007153B8" w:rsidP="007153B8">
            <w:pPr>
              <w:widowControl/>
              <w:autoSpaceDE/>
              <w:autoSpaceDN/>
              <w:adjustRightInd/>
              <w:jc w:val="center"/>
              <w:rPr>
                <w:b/>
                <w:sz w:val="20"/>
                <w:szCs w:val="20"/>
              </w:rPr>
            </w:pPr>
            <w:r>
              <w:rPr>
                <w:b/>
                <w:sz w:val="20"/>
                <w:szCs w:val="20"/>
              </w:rPr>
              <w:t>Burden Items</w:t>
            </w:r>
          </w:p>
        </w:tc>
        <w:tc>
          <w:tcPr>
            <w:tcW w:w="1260" w:type="dxa"/>
            <w:tcBorders>
              <w:top w:val="single" w:sz="4" w:space="0" w:color="auto"/>
              <w:left w:val="nil"/>
              <w:bottom w:val="single" w:sz="4" w:space="0" w:color="auto"/>
              <w:right w:val="single" w:sz="4" w:space="0" w:color="auto"/>
            </w:tcBorders>
            <w:shd w:val="clear" w:color="auto" w:fill="FFFFFF" w:themeFill="background1"/>
            <w:hideMark/>
          </w:tcPr>
          <w:p w:rsidR="00C237FC" w:rsidRPr="0013765B" w:rsidRDefault="00C237FC" w:rsidP="006A3372">
            <w:pPr>
              <w:widowControl/>
              <w:autoSpaceDE/>
              <w:autoSpaceDN/>
              <w:adjustRightInd/>
              <w:jc w:val="center"/>
              <w:rPr>
                <w:b/>
                <w:sz w:val="20"/>
                <w:szCs w:val="20"/>
              </w:rPr>
            </w:pPr>
            <w:r w:rsidRPr="0013765B">
              <w:rPr>
                <w:b/>
                <w:sz w:val="20"/>
                <w:szCs w:val="20"/>
              </w:rPr>
              <w:t>(A)</w:t>
            </w:r>
            <w:r w:rsidRPr="0013765B">
              <w:rPr>
                <w:b/>
                <w:sz w:val="20"/>
                <w:szCs w:val="20"/>
              </w:rPr>
              <w:br/>
              <w:t>Respondent Hours</w:t>
            </w:r>
            <w:r w:rsidRPr="0013765B">
              <w:rPr>
                <w:b/>
                <w:sz w:val="20"/>
                <w:szCs w:val="20"/>
              </w:rPr>
              <w:br/>
              <w:t>per Occurrence</w:t>
            </w:r>
            <w:r w:rsidRPr="0013765B">
              <w:rPr>
                <w:b/>
                <w:sz w:val="20"/>
                <w:szCs w:val="20"/>
              </w:rPr>
              <w:br/>
            </w:r>
          </w:p>
        </w:tc>
        <w:tc>
          <w:tcPr>
            <w:tcW w:w="1440" w:type="dxa"/>
            <w:tcBorders>
              <w:top w:val="single" w:sz="4" w:space="0" w:color="auto"/>
              <w:left w:val="nil"/>
              <w:bottom w:val="single" w:sz="4" w:space="0" w:color="auto"/>
              <w:right w:val="single" w:sz="4" w:space="0" w:color="auto"/>
            </w:tcBorders>
            <w:shd w:val="clear" w:color="auto" w:fill="FFFFFF" w:themeFill="background1"/>
            <w:hideMark/>
          </w:tcPr>
          <w:p w:rsidR="00C237FC" w:rsidRPr="0013765B" w:rsidRDefault="00C237FC" w:rsidP="00C237FC">
            <w:pPr>
              <w:widowControl/>
              <w:autoSpaceDE/>
              <w:autoSpaceDN/>
              <w:adjustRightInd/>
              <w:jc w:val="center"/>
              <w:rPr>
                <w:b/>
                <w:sz w:val="20"/>
                <w:szCs w:val="20"/>
              </w:rPr>
            </w:pPr>
            <w:r w:rsidRPr="0013765B">
              <w:rPr>
                <w:b/>
                <w:sz w:val="20"/>
                <w:szCs w:val="20"/>
              </w:rPr>
              <w:t>(B)</w:t>
            </w:r>
            <w:r w:rsidRPr="0013765B">
              <w:rPr>
                <w:b/>
                <w:sz w:val="20"/>
                <w:szCs w:val="20"/>
              </w:rPr>
              <w:br/>
              <w:t>Number of</w:t>
            </w:r>
            <w:r w:rsidRPr="0013765B">
              <w:rPr>
                <w:b/>
                <w:sz w:val="20"/>
                <w:szCs w:val="20"/>
              </w:rPr>
              <w:br/>
            </w:r>
            <w:r w:rsidR="00EA44AE" w:rsidRPr="0013765B">
              <w:rPr>
                <w:b/>
                <w:sz w:val="20"/>
                <w:szCs w:val="20"/>
              </w:rPr>
              <w:t>Occurrences</w:t>
            </w:r>
            <w:r w:rsidRPr="0013765B">
              <w:rPr>
                <w:b/>
                <w:sz w:val="20"/>
                <w:szCs w:val="20"/>
              </w:rPr>
              <w:br/>
              <w:t>per Respondent</w:t>
            </w:r>
            <w:r w:rsidRPr="0013765B">
              <w:rPr>
                <w:b/>
                <w:sz w:val="20"/>
                <w:szCs w:val="20"/>
              </w:rPr>
              <w:br/>
              <w:t xml:space="preserve">per Year                        </w:t>
            </w:r>
          </w:p>
        </w:tc>
        <w:tc>
          <w:tcPr>
            <w:tcW w:w="1260" w:type="dxa"/>
            <w:tcBorders>
              <w:top w:val="single" w:sz="4" w:space="0" w:color="auto"/>
              <w:left w:val="nil"/>
              <w:bottom w:val="single" w:sz="4" w:space="0" w:color="auto"/>
              <w:right w:val="single" w:sz="4" w:space="0" w:color="auto"/>
            </w:tcBorders>
            <w:shd w:val="clear" w:color="auto" w:fill="FFFFFF" w:themeFill="background1"/>
            <w:hideMark/>
          </w:tcPr>
          <w:p w:rsidR="00C237FC" w:rsidRPr="0013765B" w:rsidRDefault="00C237FC" w:rsidP="00C237FC">
            <w:pPr>
              <w:widowControl/>
              <w:autoSpaceDE/>
              <w:autoSpaceDN/>
              <w:adjustRightInd/>
              <w:jc w:val="center"/>
              <w:rPr>
                <w:b/>
                <w:sz w:val="20"/>
                <w:szCs w:val="20"/>
              </w:rPr>
            </w:pPr>
            <w:r w:rsidRPr="0013765B">
              <w:rPr>
                <w:b/>
                <w:sz w:val="20"/>
                <w:szCs w:val="20"/>
              </w:rPr>
              <w:t>(C)</w:t>
            </w:r>
            <w:r w:rsidRPr="0013765B">
              <w:rPr>
                <w:b/>
                <w:sz w:val="20"/>
                <w:szCs w:val="20"/>
              </w:rPr>
              <w:br/>
              <w:t>Hours</w:t>
            </w:r>
            <w:r w:rsidRPr="0013765B">
              <w:rPr>
                <w:b/>
                <w:sz w:val="20"/>
                <w:szCs w:val="20"/>
              </w:rPr>
              <w:br/>
              <w:t>per Respondent</w:t>
            </w:r>
            <w:r w:rsidRPr="0013765B">
              <w:rPr>
                <w:b/>
                <w:sz w:val="20"/>
                <w:szCs w:val="20"/>
              </w:rPr>
              <w:br/>
              <w:t>per Year</w:t>
            </w:r>
            <w:r w:rsidRPr="0013765B">
              <w:rPr>
                <w:b/>
                <w:sz w:val="20"/>
                <w:szCs w:val="20"/>
              </w:rPr>
              <w:br/>
              <w:t xml:space="preserve">(C=A x B)          </w:t>
            </w:r>
          </w:p>
        </w:tc>
        <w:tc>
          <w:tcPr>
            <w:tcW w:w="1346" w:type="dxa"/>
            <w:tcBorders>
              <w:top w:val="single" w:sz="4" w:space="0" w:color="auto"/>
              <w:left w:val="nil"/>
              <w:bottom w:val="single" w:sz="4" w:space="0" w:color="auto"/>
              <w:right w:val="single" w:sz="4" w:space="0" w:color="auto"/>
            </w:tcBorders>
            <w:shd w:val="clear" w:color="auto" w:fill="FFFFFF" w:themeFill="background1"/>
            <w:hideMark/>
          </w:tcPr>
          <w:p w:rsidR="00C237FC" w:rsidRPr="0013765B" w:rsidRDefault="00C237FC" w:rsidP="00C237FC">
            <w:pPr>
              <w:widowControl/>
              <w:autoSpaceDE/>
              <w:autoSpaceDN/>
              <w:adjustRightInd/>
              <w:jc w:val="center"/>
              <w:rPr>
                <w:b/>
                <w:sz w:val="20"/>
                <w:szCs w:val="20"/>
              </w:rPr>
            </w:pPr>
            <w:r w:rsidRPr="0013765B">
              <w:rPr>
                <w:b/>
                <w:sz w:val="20"/>
                <w:szCs w:val="20"/>
              </w:rPr>
              <w:t>(D)</w:t>
            </w:r>
            <w:r w:rsidRPr="0013765B">
              <w:rPr>
                <w:b/>
                <w:sz w:val="20"/>
                <w:szCs w:val="20"/>
              </w:rPr>
              <w:br/>
              <w:t>Number of</w:t>
            </w:r>
            <w:r w:rsidRPr="0013765B">
              <w:rPr>
                <w:b/>
                <w:sz w:val="20"/>
                <w:szCs w:val="20"/>
              </w:rPr>
              <w:br/>
              <w:t xml:space="preserve">Respondents </w:t>
            </w:r>
            <w:r w:rsidRPr="0013765B">
              <w:rPr>
                <w:b/>
                <w:sz w:val="20"/>
                <w:szCs w:val="20"/>
              </w:rPr>
              <w:br/>
              <w:t xml:space="preserve">per Year </w:t>
            </w:r>
            <w:r w:rsidRPr="0013765B">
              <w:rPr>
                <w:b/>
                <w:sz w:val="20"/>
                <w:szCs w:val="20"/>
                <w:vertAlign w:val="superscript"/>
              </w:rPr>
              <w:t>a</w:t>
            </w:r>
            <w:r w:rsidRPr="0013765B">
              <w:rPr>
                <w:b/>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FFFFFF" w:themeFill="background1"/>
            <w:hideMark/>
          </w:tcPr>
          <w:p w:rsidR="00C237FC" w:rsidRPr="0013765B" w:rsidRDefault="006A3372" w:rsidP="006A3372">
            <w:pPr>
              <w:widowControl/>
              <w:autoSpaceDE/>
              <w:autoSpaceDN/>
              <w:adjustRightInd/>
              <w:jc w:val="center"/>
              <w:rPr>
                <w:b/>
                <w:sz w:val="20"/>
                <w:szCs w:val="20"/>
              </w:rPr>
            </w:pPr>
            <w:r>
              <w:rPr>
                <w:b/>
                <w:sz w:val="20"/>
                <w:szCs w:val="20"/>
              </w:rPr>
              <w:t>(E)</w:t>
            </w:r>
            <w:r>
              <w:rPr>
                <w:b/>
                <w:sz w:val="20"/>
                <w:szCs w:val="20"/>
              </w:rPr>
              <w:br/>
              <w:t>Technical Hours</w:t>
            </w:r>
            <w:r>
              <w:rPr>
                <w:b/>
                <w:sz w:val="20"/>
                <w:szCs w:val="20"/>
              </w:rPr>
              <w:br/>
              <w:t>per Year</w:t>
            </w:r>
            <w:r w:rsidR="00C237FC" w:rsidRPr="0013765B">
              <w:rPr>
                <w:b/>
                <w:sz w:val="20"/>
                <w:szCs w:val="20"/>
              </w:rPr>
              <w:br/>
              <w:t xml:space="preserve">(E=C x D)        </w:t>
            </w:r>
          </w:p>
        </w:tc>
        <w:tc>
          <w:tcPr>
            <w:tcW w:w="1338" w:type="dxa"/>
            <w:tcBorders>
              <w:top w:val="single" w:sz="4" w:space="0" w:color="auto"/>
              <w:left w:val="nil"/>
              <w:bottom w:val="single" w:sz="4" w:space="0" w:color="auto"/>
              <w:right w:val="single" w:sz="4" w:space="0" w:color="auto"/>
            </w:tcBorders>
            <w:shd w:val="clear" w:color="auto" w:fill="FFFFFF" w:themeFill="background1"/>
            <w:hideMark/>
          </w:tcPr>
          <w:p w:rsidR="00C237FC" w:rsidRPr="0013765B" w:rsidRDefault="009033C2" w:rsidP="009033C2">
            <w:pPr>
              <w:widowControl/>
              <w:autoSpaceDE/>
              <w:autoSpaceDN/>
              <w:adjustRightInd/>
              <w:jc w:val="center"/>
              <w:rPr>
                <w:b/>
                <w:sz w:val="20"/>
                <w:szCs w:val="20"/>
              </w:rPr>
            </w:pPr>
            <w:r>
              <w:rPr>
                <w:b/>
                <w:sz w:val="20"/>
                <w:szCs w:val="20"/>
              </w:rPr>
              <w:t>(F)</w:t>
            </w:r>
            <w:r>
              <w:rPr>
                <w:b/>
                <w:sz w:val="20"/>
                <w:szCs w:val="20"/>
              </w:rPr>
              <w:br/>
              <w:t xml:space="preserve">Management </w:t>
            </w:r>
            <w:r>
              <w:rPr>
                <w:b/>
                <w:sz w:val="20"/>
                <w:szCs w:val="20"/>
              </w:rPr>
              <w:br/>
              <w:t>Hours per Year</w:t>
            </w:r>
            <w:r>
              <w:rPr>
                <w:b/>
                <w:sz w:val="20"/>
                <w:szCs w:val="20"/>
              </w:rPr>
              <w:br/>
              <w:t>(F=</w:t>
            </w:r>
            <w:r w:rsidR="00C237FC" w:rsidRPr="0013765B">
              <w:rPr>
                <w:b/>
                <w:sz w:val="20"/>
                <w:szCs w:val="20"/>
              </w:rPr>
              <w:t xml:space="preserve">E x 0.05)        </w:t>
            </w:r>
          </w:p>
        </w:tc>
        <w:tc>
          <w:tcPr>
            <w:tcW w:w="1204" w:type="dxa"/>
            <w:tcBorders>
              <w:top w:val="single" w:sz="4" w:space="0" w:color="auto"/>
              <w:left w:val="nil"/>
              <w:bottom w:val="single" w:sz="4" w:space="0" w:color="auto"/>
              <w:right w:val="single" w:sz="4" w:space="0" w:color="auto"/>
            </w:tcBorders>
            <w:shd w:val="clear" w:color="auto" w:fill="FFFFFF" w:themeFill="background1"/>
            <w:hideMark/>
          </w:tcPr>
          <w:p w:rsidR="00C237FC" w:rsidRPr="0013765B" w:rsidRDefault="00C237FC" w:rsidP="009033C2">
            <w:pPr>
              <w:widowControl/>
              <w:autoSpaceDE/>
              <w:autoSpaceDN/>
              <w:adjustRightInd/>
              <w:jc w:val="center"/>
              <w:rPr>
                <w:b/>
                <w:sz w:val="20"/>
                <w:szCs w:val="20"/>
              </w:rPr>
            </w:pPr>
            <w:r w:rsidRPr="0013765B">
              <w:rPr>
                <w:b/>
                <w:sz w:val="20"/>
                <w:szCs w:val="20"/>
              </w:rPr>
              <w:t>(G)</w:t>
            </w:r>
            <w:r w:rsidRPr="0013765B">
              <w:rPr>
                <w:b/>
                <w:sz w:val="20"/>
                <w:szCs w:val="20"/>
              </w:rPr>
              <w:br/>
              <w:t xml:space="preserve">Clerical Hours </w:t>
            </w:r>
            <w:r w:rsidRPr="0013765B">
              <w:rPr>
                <w:b/>
                <w:sz w:val="20"/>
                <w:szCs w:val="20"/>
              </w:rPr>
              <w:br/>
              <w:t>per Year</w:t>
            </w:r>
            <w:r w:rsidRPr="0013765B">
              <w:rPr>
                <w:b/>
                <w:sz w:val="20"/>
                <w:szCs w:val="20"/>
              </w:rPr>
              <w:br/>
            </w:r>
            <w:r w:rsidR="009033C2">
              <w:rPr>
                <w:b/>
                <w:sz w:val="20"/>
                <w:szCs w:val="20"/>
              </w:rPr>
              <w:t>(G=</w:t>
            </w:r>
            <w:r w:rsidRPr="0013765B">
              <w:rPr>
                <w:b/>
                <w:sz w:val="20"/>
                <w:szCs w:val="20"/>
              </w:rPr>
              <w:t xml:space="preserve">E x 0.1)        </w:t>
            </w:r>
          </w:p>
        </w:tc>
        <w:tc>
          <w:tcPr>
            <w:tcW w:w="1366" w:type="dxa"/>
            <w:tcBorders>
              <w:top w:val="single" w:sz="4" w:space="0" w:color="auto"/>
              <w:left w:val="nil"/>
              <w:bottom w:val="single" w:sz="4" w:space="0" w:color="auto"/>
              <w:right w:val="single" w:sz="4" w:space="0" w:color="auto"/>
            </w:tcBorders>
            <w:shd w:val="clear" w:color="auto" w:fill="FFFFFF" w:themeFill="background1"/>
            <w:hideMark/>
          </w:tcPr>
          <w:p w:rsidR="00C237FC" w:rsidRPr="0013765B" w:rsidRDefault="00C237FC" w:rsidP="00C237FC">
            <w:pPr>
              <w:widowControl/>
              <w:autoSpaceDE/>
              <w:autoSpaceDN/>
              <w:adjustRightInd/>
              <w:jc w:val="center"/>
              <w:rPr>
                <w:b/>
                <w:sz w:val="20"/>
                <w:szCs w:val="20"/>
              </w:rPr>
            </w:pPr>
            <w:r w:rsidRPr="0013765B">
              <w:rPr>
                <w:b/>
                <w:sz w:val="20"/>
                <w:szCs w:val="20"/>
              </w:rPr>
              <w:br/>
              <w:t>Total</w:t>
            </w:r>
            <w:r w:rsidRPr="0013765B">
              <w:rPr>
                <w:b/>
                <w:sz w:val="20"/>
                <w:szCs w:val="20"/>
              </w:rPr>
              <w:br/>
              <w:t>Labor Costs</w:t>
            </w:r>
            <w:r w:rsidRPr="0013765B">
              <w:rPr>
                <w:b/>
                <w:sz w:val="20"/>
                <w:szCs w:val="20"/>
              </w:rPr>
              <w:br/>
              <w:t>per Year</w:t>
            </w:r>
            <w:r w:rsidR="005160FD" w:rsidRPr="0013765B">
              <w:rPr>
                <w:b/>
                <w:sz w:val="20"/>
                <w:szCs w:val="20"/>
              </w:rPr>
              <w:t xml:space="preserve"> </w:t>
            </w:r>
            <w:r w:rsidRPr="0013765B">
              <w:rPr>
                <w:b/>
                <w:sz w:val="20"/>
                <w:szCs w:val="20"/>
                <w:vertAlign w:val="superscript"/>
              </w:rPr>
              <w:t>b</w:t>
            </w:r>
            <w:r w:rsidRPr="0013765B">
              <w:rPr>
                <w:b/>
                <w:sz w:val="20"/>
                <w:szCs w:val="20"/>
              </w:rPr>
              <w:t xml:space="preserve">               </w:t>
            </w:r>
          </w:p>
        </w:tc>
      </w:tr>
      <w:tr w:rsidR="0077445C"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C237FC" w:rsidP="007153B8">
            <w:pPr>
              <w:widowControl/>
              <w:autoSpaceDE/>
              <w:autoSpaceDN/>
              <w:adjustRightInd/>
              <w:rPr>
                <w:sz w:val="20"/>
                <w:szCs w:val="20"/>
              </w:rPr>
            </w:pPr>
            <w:r w:rsidRPr="0013765B">
              <w:rPr>
                <w:sz w:val="20"/>
                <w:szCs w:val="20"/>
              </w:rPr>
              <w:t>1.  A</w:t>
            </w:r>
            <w:r w:rsidR="007153B8">
              <w:rPr>
                <w:sz w:val="20"/>
                <w:szCs w:val="20"/>
              </w:rPr>
              <w:t>pplications</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N/A</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right"/>
              <w:rPr>
                <w:sz w:val="20"/>
                <w:szCs w:val="20"/>
              </w:rPr>
            </w:pPr>
          </w:p>
        </w:tc>
      </w:tr>
      <w:tr w:rsidR="0077445C"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C237FC" w:rsidP="007153B8">
            <w:pPr>
              <w:widowControl/>
              <w:autoSpaceDE/>
              <w:autoSpaceDN/>
              <w:adjustRightInd/>
              <w:rPr>
                <w:sz w:val="20"/>
                <w:szCs w:val="20"/>
              </w:rPr>
            </w:pPr>
            <w:r w:rsidRPr="0013765B">
              <w:rPr>
                <w:sz w:val="20"/>
                <w:szCs w:val="20"/>
              </w:rPr>
              <w:t xml:space="preserve">2.  </w:t>
            </w:r>
            <w:r w:rsidR="007153B8">
              <w:rPr>
                <w:sz w:val="20"/>
                <w:szCs w:val="20"/>
              </w:rPr>
              <w:t>Survey and Studies</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N/A</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right"/>
              <w:rPr>
                <w:sz w:val="20"/>
                <w:szCs w:val="20"/>
              </w:rPr>
            </w:pPr>
          </w:p>
        </w:tc>
      </w:tr>
      <w:tr w:rsidR="002F0B65"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7153B8" w:rsidP="007153B8">
            <w:pPr>
              <w:widowControl/>
              <w:autoSpaceDE/>
              <w:autoSpaceDN/>
              <w:adjustRightInd/>
              <w:rPr>
                <w:sz w:val="20"/>
                <w:szCs w:val="20"/>
              </w:rPr>
            </w:pPr>
            <w:r>
              <w:rPr>
                <w:sz w:val="20"/>
                <w:szCs w:val="20"/>
              </w:rPr>
              <w:t>3</w:t>
            </w:r>
            <w:r w:rsidR="00C237FC" w:rsidRPr="0013765B">
              <w:rPr>
                <w:sz w:val="20"/>
                <w:szCs w:val="20"/>
              </w:rPr>
              <w:t>. R</w:t>
            </w:r>
            <w:r>
              <w:rPr>
                <w:sz w:val="20"/>
                <w:szCs w:val="20"/>
              </w:rPr>
              <w:t xml:space="preserve">eporting </w:t>
            </w:r>
            <w:r w:rsidR="00C237FC" w:rsidRPr="0013765B">
              <w:rPr>
                <w:sz w:val="20"/>
                <w:szCs w:val="20"/>
              </w:rPr>
              <w:t>R</w:t>
            </w:r>
            <w:r>
              <w:rPr>
                <w:sz w:val="20"/>
                <w:szCs w:val="20"/>
              </w:rPr>
              <w:t>equirements</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C237FC" w:rsidRPr="007153B8" w:rsidRDefault="00C237FC" w:rsidP="00C237FC">
            <w:pPr>
              <w:widowControl/>
              <w:autoSpaceDE/>
              <w:autoSpaceDN/>
              <w:adjustRightInd/>
              <w:jc w:val="center"/>
              <w:rPr>
                <w:color w:val="EEECE1" w:themeColor="background2"/>
                <w:sz w:val="20"/>
                <w:szCs w:val="20"/>
              </w:rPr>
            </w:pPr>
            <w:r w:rsidRPr="007153B8">
              <w:rPr>
                <w:color w:val="EEECE1" w:themeColor="background2"/>
                <w:sz w:val="20"/>
                <w:szCs w:val="20"/>
              </w:rPr>
              <w:t> </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C237FC" w:rsidRPr="007153B8" w:rsidRDefault="00C237FC" w:rsidP="00C237FC">
            <w:pPr>
              <w:widowControl/>
              <w:autoSpaceDE/>
              <w:autoSpaceDN/>
              <w:adjustRightInd/>
              <w:jc w:val="center"/>
              <w:rPr>
                <w:color w:val="EEECE1" w:themeColor="background2"/>
                <w:sz w:val="20"/>
                <w:szCs w:val="20"/>
              </w:rPr>
            </w:pPr>
            <w:r w:rsidRPr="007153B8">
              <w:rPr>
                <w:color w:val="EEECE1" w:themeColor="background2"/>
                <w:sz w:val="20"/>
                <w:szCs w:val="20"/>
              </w:rPr>
              <w:t> </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C237FC" w:rsidRPr="007153B8" w:rsidRDefault="00C237FC" w:rsidP="00C237FC">
            <w:pPr>
              <w:widowControl/>
              <w:autoSpaceDE/>
              <w:autoSpaceDN/>
              <w:adjustRightInd/>
              <w:jc w:val="center"/>
              <w:rPr>
                <w:color w:val="EEECE1" w:themeColor="background2"/>
                <w:sz w:val="20"/>
                <w:szCs w:val="20"/>
              </w:rPr>
            </w:pPr>
            <w:r w:rsidRPr="007153B8">
              <w:rPr>
                <w:color w:val="EEECE1" w:themeColor="background2"/>
                <w:sz w:val="20"/>
                <w:szCs w:val="20"/>
              </w:rPr>
              <w:t> </w:t>
            </w:r>
          </w:p>
        </w:tc>
        <w:tc>
          <w:tcPr>
            <w:tcW w:w="1346" w:type="dxa"/>
            <w:tcBorders>
              <w:top w:val="nil"/>
              <w:left w:val="nil"/>
              <w:bottom w:val="single" w:sz="4" w:space="0" w:color="auto"/>
              <w:right w:val="single" w:sz="4" w:space="0" w:color="auto"/>
            </w:tcBorders>
            <w:shd w:val="clear" w:color="auto" w:fill="FFFFFF" w:themeFill="background1"/>
            <w:noWrap/>
            <w:vAlign w:val="bottom"/>
            <w:hideMark/>
          </w:tcPr>
          <w:p w:rsidR="00C237FC" w:rsidRPr="007153B8" w:rsidRDefault="00C237FC" w:rsidP="00C237FC">
            <w:pPr>
              <w:widowControl/>
              <w:autoSpaceDE/>
              <w:autoSpaceDN/>
              <w:adjustRightInd/>
              <w:jc w:val="center"/>
              <w:rPr>
                <w:color w:val="EEECE1" w:themeColor="background2"/>
                <w:sz w:val="20"/>
                <w:szCs w:val="20"/>
              </w:rPr>
            </w:pPr>
            <w:r w:rsidRPr="007153B8">
              <w:rPr>
                <w:color w:val="EEECE1" w:themeColor="background2"/>
                <w:sz w:val="20"/>
                <w:szCs w:val="20"/>
              </w:rPr>
              <w:t> </w:t>
            </w:r>
          </w:p>
        </w:tc>
        <w:tc>
          <w:tcPr>
            <w:tcW w:w="1135" w:type="dxa"/>
            <w:tcBorders>
              <w:top w:val="nil"/>
              <w:left w:val="nil"/>
              <w:bottom w:val="single" w:sz="4" w:space="0" w:color="auto"/>
              <w:right w:val="single" w:sz="4" w:space="0" w:color="auto"/>
            </w:tcBorders>
            <w:shd w:val="clear" w:color="auto" w:fill="FFFFFF" w:themeFill="background1"/>
            <w:noWrap/>
            <w:vAlign w:val="bottom"/>
            <w:hideMark/>
          </w:tcPr>
          <w:p w:rsidR="00C237FC" w:rsidRPr="007153B8" w:rsidRDefault="00C237FC" w:rsidP="00C237FC">
            <w:pPr>
              <w:widowControl/>
              <w:autoSpaceDE/>
              <w:autoSpaceDN/>
              <w:adjustRightInd/>
              <w:jc w:val="center"/>
              <w:rPr>
                <w:color w:val="EEECE1" w:themeColor="background2"/>
                <w:sz w:val="20"/>
                <w:szCs w:val="20"/>
              </w:rPr>
            </w:pPr>
            <w:r w:rsidRPr="007153B8">
              <w:rPr>
                <w:color w:val="EEECE1" w:themeColor="background2"/>
                <w:sz w:val="20"/>
                <w:szCs w:val="20"/>
              </w:rPr>
              <w:t> </w:t>
            </w:r>
          </w:p>
        </w:tc>
        <w:tc>
          <w:tcPr>
            <w:tcW w:w="1338" w:type="dxa"/>
            <w:tcBorders>
              <w:top w:val="nil"/>
              <w:left w:val="nil"/>
              <w:bottom w:val="single" w:sz="4" w:space="0" w:color="auto"/>
              <w:right w:val="single" w:sz="4" w:space="0" w:color="auto"/>
            </w:tcBorders>
            <w:shd w:val="clear" w:color="auto" w:fill="FFFFFF" w:themeFill="background1"/>
            <w:noWrap/>
            <w:vAlign w:val="bottom"/>
            <w:hideMark/>
          </w:tcPr>
          <w:p w:rsidR="00C237FC" w:rsidRPr="007153B8" w:rsidRDefault="00C237FC" w:rsidP="00C237FC">
            <w:pPr>
              <w:widowControl/>
              <w:autoSpaceDE/>
              <w:autoSpaceDN/>
              <w:adjustRightInd/>
              <w:jc w:val="center"/>
              <w:rPr>
                <w:color w:val="EEECE1" w:themeColor="background2"/>
                <w:sz w:val="20"/>
                <w:szCs w:val="20"/>
              </w:rPr>
            </w:pPr>
            <w:r w:rsidRPr="007153B8">
              <w:rPr>
                <w:color w:val="EEECE1" w:themeColor="background2"/>
                <w:sz w:val="20"/>
                <w:szCs w:val="20"/>
              </w:rPr>
              <w:t> </w:t>
            </w:r>
          </w:p>
        </w:tc>
        <w:tc>
          <w:tcPr>
            <w:tcW w:w="1204" w:type="dxa"/>
            <w:tcBorders>
              <w:top w:val="nil"/>
              <w:left w:val="nil"/>
              <w:bottom w:val="single" w:sz="4" w:space="0" w:color="auto"/>
              <w:right w:val="single" w:sz="4" w:space="0" w:color="auto"/>
            </w:tcBorders>
            <w:shd w:val="clear" w:color="auto" w:fill="FFFFFF" w:themeFill="background1"/>
            <w:noWrap/>
            <w:vAlign w:val="bottom"/>
            <w:hideMark/>
          </w:tcPr>
          <w:p w:rsidR="00C237FC" w:rsidRPr="007153B8" w:rsidRDefault="00C237FC" w:rsidP="00C237FC">
            <w:pPr>
              <w:widowControl/>
              <w:autoSpaceDE/>
              <w:autoSpaceDN/>
              <w:adjustRightInd/>
              <w:jc w:val="center"/>
              <w:rPr>
                <w:color w:val="EEECE1" w:themeColor="background2"/>
                <w:sz w:val="20"/>
                <w:szCs w:val="20"/>
              </w:rPr>
            </w:pPr>
            <w:r w:rsidRPr="007153B8">
              <w:rPr>
                <w:color w:val="EEECE1" w:themeColor="background2"/>
                <w:sz w:val="20"/>
                <w:szCs w:val="20"/>
              </w:rPr>
              <w:t> </w:t>
            </w:r>
          </w:p>
        </w:tc>
        <w:tc>
          <w:tcPr>
            <w:tcW w:w="1366" w:type="dxa"/>
            <w:tcBorders>
              <w:top w:val="nil"/>
              <w:left w:val="nil"/>
              <w:bottom w:val="single" w:sz="4" w:space="0" w:color="auto"/>
              <w:right w:val="single" w:sz="4" w:space="0" w:color="auto"/>
            </w:tcBorders>
            <w:shd w:val="clear" w:color="auto" w:fill="FFFFFF" w:themeFill="background1"/>
            <w:noWrap/>
            <w:vAlign w:val="bottom"/>
            <w:hideMark/>
          </w:tcPr>
          <w:p w:rsidR="00C237FC" w:rsidRPr="007153B8" w:rsidRDefault="00C237FC" w:rsidP="00C237FC">
            <w:pPr>
              <w:widowControl/>
              <w:autoSpaceDE/>
              <w:autoSpaceDN/>
              <w:adjustRightInd/>
              <w:jc w:val="right"/>
              <w:rPr>
                <w:color w:val="EEECE1" w:themeColor="background2"/>
                <w:sz w:val="20"/>
                <w:szCs w:val="20"/>
              </w:rPr>
            </w:pPr>
            <w:r w:rsidRPr="007153B8">
              <w:rPr>
                <w:color w:val="EEECE1" w:themeColor="background2"/>
                <w:sz w:val="20"/>
                <w:szCs w:val="20"/>
              </w:rPr>
              <w:t> </w:t>
            </w:r>
          </w:p>
        </w:tc>
      </w:tr>
      <w:tr w:rsidR="0077445C"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A.  Read Instructions</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DE0ABD" w:rsidP="00C237FC">
            <w:pPr>
              <w:widowControl/>
              <w:autoSpaceDE/>
              <w:autoSpaceDN/>
              <w:adjustRightInd/>
              <w:jc w:val="right"/>
              <w:rPr>
                <w:sz w:val="20"/>
                <w:szCs w:val="20"/>
              </w:rPr>
            </w:pPr>
            <w:r>
              <w:rPr>
                <w:sz w:val="20"/>
                <w:szCs w:val="20"/>
              </w:rPr>
              <w:t>$0</w:t>
            </w:r>
          </w:p>
        </w:tc>
      </w:tr>
      <w:tr w:rsidR="002F0B65"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B.  Required Activities</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u w:val="single"/>
              </w:rPr>
            </w:pP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346"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135"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338"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204"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366"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right"/>
              <w:rPr>
                <w:sz w:val="20"/>
                <w:szCs w:val="20"/>
              </w:rPr>
            </w:pPr>
            <w:r w:rsidRPr="0013765B">
              <w:rPr>
                <w:sz w:val="20"/>
                <w:szCs w:val="20"/>
              </w:rPr>
              <w:t> </w:t>
            </w:r>
          </w:p>
        </w:tc>
      </w:tr>
      <w:tr w:rsidR="0077445C" w:rsidRPr="0013765B" w:rsidTr="0077445C">
        <w:trPr>
          <w:trHeight w:val="28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13765B" w:rsidP="00C237FC">
            <w:pPr>
              <w:widowControl/>
              <w:autoSpaceDE/>
              <w:autoSpaceDN/>
              <w:adjustRightInd/>
              <w:rPr>
                <w:sz w:val="20"/>
                <w:szCs w:val="20"/>
              </w:rPr>
            </w:pPr>
            <w:r>
              <w:rPr>
                <w:sz w:val="20"/>
                <w:szCs w:val="20"/>
              </w:rPr>
              <w:t xml:space="preserve">     </w:t>
            </w:r>
            <w:r w:rsidR="00C237FC" w:rsidRPr="0013765B">
              <w:rPr>
                <w:sz w:val="20"/>
                <w:szCs w:val="20"/>
              </w:rPr>
              <w:t>Initial performance test</w:t>
            </w:r>
            <w:r>
              <w:rPr>
                <w:sz w:val="20"/>
                <w:szCs w:val="20"/>
              </w:rPr>
              <w:t xml:space="preserve"> </w:t>
            </w:r>
            <w:r w:rsidR="00C237FC" w:rsidRPr="0013765B">
              <w:rPr>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175</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175</w:t>
            </w: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DE0ABD" w:rsidP="00C237FC">
            <w:pPr>
              <w:widowControl/>
              <w:autoSpaceDE/>
              <w:autoSpaceDN/>
              <w:adjustRightInd/>
              <w:jc w:val="right"/>
              <w:rPr>
                <w:sz w:val="20"/>
                <w:szCs w:val="20"/>
              </w:rPr>
            </w:pPr>
            <w:r>
              <w:rPr>
                <w:sz w:val="20"/>
                <w:szCs w:val="20"/>
              </w:rPr>
              <w:t>$0</w:t>
            </w:r>
          </w:p>
        </w:tc>
      </w:tr>
      <w:tr w:rsidR="0077445C" w:rsidRPr="0013765B" w:rsidTr="0077445C">
        <w:trPr>
          <w:trHeight w:val="260"/>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13765B" w:rsidP="00C237FC">
            <w:pPr>
              <w:widowControl/>
              <w:autoSpaceDE/>
              <w:autoSpaceDN/>
              <w:adjustRightInd/>
              <w:rPr>
                <w:sz w:val="20"/>
                <w:szCs w:val="20"/>
              </w:rPr>
            </w:pPr>
            <w:r>
              <w:rPr>
                <w:sz w:val="20"/>
                <w:szCs w:val="20"/>
              </w:rPr>
              <w:t xml:space="preserve">     </w:t>
            </w:r>
            <w:r w:rsidR="00C237FC" w:rsidRPr="0013765B">
              <w:rPr>
                <w:sz w:val="20"/>
                <w:szCs w:val="20"/>
              </w:rPr>
              <w:t>Repeat of performance test</w:t>
            </w:r>
            <w:r>
              <w:rPr>
                <w:sz w:val="20"/>
                <w:szCs w:val="20"/>
              </w:rPr>
              <w:t xml:space="preserve"> </w:t>
            </w:r>
            <w:r w:rsidR="00C237FC" w:rsidRPr="0013765B">
              <w:rPr>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175</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175</w:t>
            </w: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DE0ABD" w:rsidP="00C237FC">
            <w:pPr>
              <w:widowControl/>
              <w:autoSpaceDE/>
              <w:autoSpaceDN/>
              <w:adjustRightInd/>
              <w:jc w:val="right"/>
              <w:rPr>
                <w:sz w:val="20"/>
                <w:szCs w:val="20"/>
              </w:rPr>
            </w:pPr>
            <w:r>
              <w:rPr>
                <w:sz w:val="20"/>
                <w:szCs w:val="20"/>
              </w:rPr>
              <w:t>$0</w:t>
            </w:r>
          </w:p>
        </w:tc>
      </w:tr>
      <w:tr w:rsidR="0077445C" w:rsidRPr="0013765B" w:rsidTr="0077445C">
        <w:trPr>
          <w:trHeight w:val="28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13765B" w:rsidP="0013765B">
            <w:pPr>
              <w:widowControl/>
              <w:autoSpaceDE/>
              <w:autoSpaceDN/>
              <w:adjustRightInd/>
              <w:ind w:left="289" w:hanging="289"/>
              <w:rPr>
                <w:sz w:val="20"/>
                <w:szCs w:val="20"/>
              </w:rPr>
            </w:pPr>
            <w:r>
              <w:rPr>
                <w:sz w:val="20"/>
                <w:szCs w:val="20"/>
              </w:rPr>
              <w:t xml:space="preserve">     </w:t>
            </w:r>
            <w:r w:rsidR="00C237FC" w:rsidRPr="0013765B">
              <w:rPr>
                <w:sz w:val="20"/>
                <w:szCs w:val="20"/>
              </w:rPr>
              <w:t>Storage tank seal/seal gap inspections tanks certification</w:t>
            </w:r>
            <w:r>
              <w:rPr>
                <w:sz w:val="20"/>
                <w:szCs w:val="20"/>
              </w:rPr>
              <w:t xml:space="preserve"> </w:t>
            </w:r>
            <w:r w:rsidR="00C237FC" w:rsidRPr="0013765B">
              <w:rPr>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16</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16</w:t>
            </w: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51</w:t>
            </w: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816</w:t>
            </w: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40.8</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81.6</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right"/>
              <w:rPr>
                <w:sz w:val="20"/>
                <w:szCs w:val="20"/>
              </w:rPr>
            </w:pPr>
            <w:r w:rsidRPr="0013765B">
              <w:rPr>
                <w:sz w:val="20"/>
                <w:szCs w:val="20"/>
              </w:rPr>
              <w:t>$91,746.55</w:t>
            </w:r>
          </w:p>
        </w:tc>
      </w:tr>
      <w:tr w:rsidR="0077445C" w:rsidRPr="0013765B" w:rsidTr="0077445C">
        <w:trPr>
          <w:trHeight w:val="28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13765B" w:rsidP="0013765B">
            <w:pPr>
              <w:widowControl/>
              <w:autoSpaceDE/>
              <w:autoSpaceDN/>
              <w:adjustRightInd/>
              <w:ind w:left="289" w:hanging="289"/>
              <w:rPr>
                <w:sz w:val="20"/>
                <w:szCs w:val="20"/>
              </w:rPr>
            </w:pPr>
            <w:r>
              <w:rPr>
                <w:sz w:val="20"/>
                <w:szCs w:val="20"/>
              </w:rPr>
              <w:t xml:space="preserve">     </w:t>
            </w:r>
            <w:r w:rsidR="00C237FC" w:rsidRPr="0013765B">
              <w:rPr>
                <w:sz w:val="20"/>
                <w:szCs w:val="20"/>
              </w:rPr>
              <w:t>Annual testing certification of area source compliance status</w:t>
            </w:r>
            <w:r>
              <w:rPr>
                <w:sz w:val="20"/>
                <w:szCs w:val="20"/>
              </w:rPr>
              <w:t xml:space="preserve"> </w:t>
            </w:r>
            <w:r w:rsidR="00C237FC" w:rsidRPr="0013765B">
              <w:rPr>
                <w:sz w:val="20"/>
                <w:szCs w:val="20"/>
                <w:vertAlign w:val="superscript"/>
              </w:rPr>
              <w:t>e</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A5016" w:rsidP="00C237FC">
            <w:pPr>
              <w:widowControl/>
              <w:autoSpaceDE/>
              <w:autoSpaceDN/>
              <w:adjustRightInd/>
              <w:jc w:val="center"/>
              <w:rPr>
                <w:sz w:val="20"/>
                <w:szCs w:val="20"/>
              </w:rPr>
            </w:pPr>
            <w:r>
              <w:rPr>
                <w:sz w:val="20"/>
                <w:szCs w:val="20"/>
              </w:rPr>
              <w:t>390</w:t>
            </w: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A5016" w:rsidP="00C237FC">
            <w:pPr>
              <w:widowControl/>
              <w:autoSpaceDE/>
              <w:autoSpaceDN/>
              <w:adjustRightInd/>
              <w:jc w:val="center"/>
              <w:rPr>
                <w:sz w:val="20"/>
                <w:szCs w:val="20"/>
              </w:rPr>
            </w:pPr>
            <w:r>
              <w:rPr>
                <w:sz w:val="20"/>
                <w:szCs w:val="20"/>
              </w:rPr>
              <w:t>390</w:t>
            </w: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A5016" w:rsidP="00C237FC">
            <w:pPr>
              <w:widowControl/>
              <w:autoSpaceDE/>
              <w:autoSpaceDN/>
              <w:adjustRightInd/>
              <w:jc w:val="center"/>
              <w:rPr>
                <w:sz w:val="20"/>
                <w:szCs w:val="20"/>
              </w:rPr>
            </w:pPr>
            <w:r>
              <w:rPr>
                <w:sz w:val="20"/>
                <w:szCs w:val="20"/>
              </w:rPr>
              <w:t>19.5</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A5016" w:rsidP="00C237FC">
            <w:pPr>
              <w:widowControl/>
              <w:autoSpaceDE/>
              <w:autoSpaceDN/>
              <w:adjustRightInd/>
              <w:jc w:val="center"/>
              <w:rPr>
                <w:sz w:val="20"/>
                <w:szCs w:val="20"/>
              </w:rPr>
            </w:pPr>
            <w:r>
              <w:rPr>
                <w:sz w:val="20"/>
                <w:szCs w:val="20"/>
              </w:rPr>
              <w:t>39</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CA5016" w:rsidP="00C237FC">
            <w:pPr>
              <w:widowControl/>
              <w:autoSpaceDE/>
              <w:autoSpaceDN/>
              <w:adjustRightInd/>
              <w:jc w:val="right"/>
              <w:rPr>
                <w:sz w:val="20"/>
                <w:szCs w:val="20"/>
              </w:rPr>
            </w:pPr>
            <w:r>
              <w:rPr>
                <w:sz w:val="20"/>
                <w:szCs w:val="20"/>
              </w:rPr>
              <w:t>$43,849.46</w:t>
            </w:r>
          </w:p>
        </w:tc>
      </w:tr>
      <w:tr w:rsidR="0039702C" w:rsidRPr="0013765B" w:rsidTr="0077445C">
        <w:trPr>
          <w:trHeight w:val="21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C.  Create Information</w:t>
            </w:r>
          </w:p>
        </w:tc>
        <w:tc>
          <w:tcPr>
            <w:tcW w:w="3960" w:type="dxa"/>
            <w:gridSpan w:val="3"/>
            <w:tcBorders>
              <w:top w:val="single" w:sz="4" w:space="0" w:color="auto"/>
              <w:left w:val="single" w:sz="4" w:space="0" w:color="auto"/>
              <w:bottom w:val="single" w:sz="4" w:space="0" w:color="auto"/>
              <w:right w:val="nil"/>
            </w:tcBorders>
            <w:shd w:val="clear" w:color="auto" w:fill="auto"/>
            <w:noWrap/>
            <w:vAlign w:val="bottom"/>
            <w:hideMark/>
          </w:tcPr>
          <w:p w:rsidR="00C237FC" w:rsidRPr="0013765B" w:rsidRDefault="00C237FC" w:rsidP="006A3372">
            <w:pPr>
              <w:widowControl/>
              <w:autoSpaceDE/>
              <w:autoSpaceDN/>
              <w:adjustRightInd/>
              <w:rPr>
                <w:sz w:val="20"/>
                <w:szCs w:val="20"/>
              </w:rPr>
            </w:pPr>
            <w:r w:rsidRPr="0013765B">
              <w:rPr>
                <w:sz w:val="20"/>
                <w:szCs w:val="20"/>
              </w:rPr>
              <w:t xml:space="preserve">-------------Included in </w:t>
            </w:r>
            <w:r w:rsidR="007153B8">
              <w:rPr>
                <w:sz w:val="20"/>
                <w:szCs w:val="20"/>
              </w:rPr>
              <w:t>3</w:t>
            </w:r>
            <w:r w:rsidRPr="0013765B">
              <w:rPr>
                <w:sz w:val="20"/>
                <w:szCs w:val="20"/>
              </w:rPr>
              <w:t>B------------</w:t>
            </w:r>
          </w:p>
        </w:tc>
        <w:tc>
          <w:tcPr>
            <w:tcW w:w="1346" w:type="dxa"/>
            <w:tcBorders>
              <w:top w:val="nil"/>
              <w:left w:val="nil"/>
              <w:bottom w:val="single" w:sz="4" w:space="0" w:color="auto"/>
              <w:right w:val="nil"/>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w:t>
            </w:r>
          </w:p>
        </w:tc>
        <w:tc>
          <w:tcPr>
            <w:tcW w:w="1135" w:type="dxa"/>
            <w:tcBorders>
              <w:top w:val="nil"/>
              <w:left w:val="nil"/>
              <w:bottom w:val="single" w:sz="4" w:space="0" w:color="auto"/>
              <w:right w:val="nil"/>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w:t>
            </w:r>
          </w:p>
        </w:tc>
        <w:tc>
          <w:tcPr>
            <w:tcW w:w="1338" w:type="dxa"/>
            <w:tcBorders>
              <w:top w:val="nil"/>
              <w:left w:val="nil"/>
              <w:bottom w:val="single" w:sz="4" w:space="0" w:color="auto"/>
              <w:right w:val="nil"/>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right"/>
              <w:rPr>
                <w:sz w:val="20"/>
                <w:szCs w:val="20"/>
              </w:rPr>
            </w:pPr>
            <w:r w:rsidRPr="0013765B">
              <w:rPr>
                <w:sz w:val="20"/>
                <w:szCs w:val="20"/>
              </w:rPr>
              <w:t> </w:t>
            </w:r>
          </w:p>
        </w:tc>
      </w:tr>
      <w:tr w:rsidR="0039702C" w:rsidRPr="0013765B" w:rsidTr="0077445C">
        <w:trPr>
          <w:trHeight w:val="197"/>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rPr>
                <w:sz w:val="20"/>
                <w:szCs w:val="20"/>
              </w:rPr>
            </w:pPr>
            <w:bookmarkStart w:id="2" w:name="OLE_LINK3"/>
            <w:bookmarkStart w:id="3" w:name="OLE_LINK4"/>
            <w:r w:rsidRPr="0013765B">
              <w:rPr>
                <w:sz w:val="20"/>
                <w:szCs w:val="20"/>
              </w:rPr>
              <w:t>D.  Gather Existing Information</w:t>
            </w:r>
            <w:bookmarkEnd w:id="2"/>
            <w:bookmarkEnd w:id="3"/>
          </w:p>
        </w:tc>
        <w:tc>
          <w:tcPr>
            <w:tcW w:w="3960" w:type="dxa"/>
            <w:gridSpan w:val="3"/>
            <w:tcBorders>
              <w:top w:val="single" w:sz="4" w:space="0" w:color="auto"/>
              <w:left w:val="single" w:sz="4" w:space="0" w:color="auto"/>
              <w:bottom w:val="single" w:sz="4" w:space="0" w:color="auto"/>
              <w:right w:val="nil"/>
            </w:tcBorders>
            <w:shd w:val="clear" w:color="auto" w:fill="auto"/>
            <w:noWrap/>
            <w:vAlign w:val="bottom"/>
            <w:hideMark/>
          </w:tcPr>
          <w:p w:rsidR="00C237FC" w:rsidRPr="0013765B" w:rsidRDefault="00C237FC" w:rsidP="006A3372">
            <w:pPr>
              <w:widowControl/>
              <w:autoSpaceDE/>
              <w:autoSpaceDN/>
              <w:adjustRightInd/>
              <w:rPr>
                <w:sz w:val="20"/>
                <w:szCs w:val="20"/>
              </w:rPr>
            </w:pPr>
            <w:r w:rsidRPr="0013765B">
              <w:rPr>
                <w:sz w:val="20"/>
                <w:szCs w:val="20"/>
              </w:rPr>
              <w:t xml:space="preserve">-------------Included in </w:t>
            </w:r>
            <w:r w:rsidR="007153B8">
              <w:rPr>
                <w:sz w:val="20"/>
                <w:szCs w:val="20"/>
              </w:rPr>
              <w:t>3</w:t>
            </w:r>
            <w:r w:rsidRPr="0013765B">
              <w:rPr>
                <w:sz w:val="20"/>
                <w:szCs w:val="20"/>
              </w:rPr>
              <w:t>B------------</w:t>
            </w:r>
          </w:p>
        </w:tc>
        <w:tc>
          <w:tcPr>
            <w:tcW w:w="1346" w:type="dxa"/>
            <w:tcBorders>
              <w:top w:val="nil"/>
              <w:left w:val="nil"/>
              <w:bottom w:val="single" w:sz="4" w:space="0" w:color="auto"/>
              <w:right w:val="nil"/>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w:t>
            </w:r>
          </w:p>
        </w:tc>
        <w:tc>
          <w:tcPr>
            <w:tcW w:w="1135" w:type="dxa"/>
            <w:tcBorders>
              <w:top w:val="nil"/>
              <w:left w:val="nil"/>
              <w:bottom w:val="single" w:sz="4" w:space="0" w:color="auto"/>
              <w:right w:val="nil"/>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w:t>
            </w:r>
          </w:p>
        </w:tc>
        <w:tc>
          <w:tcPr>
            <w:tcW w:w="1338" w:type="dxa"/>
            <w:tcBorders>
              <w:top w:val="nil"/>
              <w:left w:val="nil"/>
              <w:bottom w:val="single" w:sz="4" w:space="0" w:color="auto"/>
              <w:right w:val="nil"/>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right"/>
              <w:rPr>
                <w:sz w:val="20"/>
                <w:szCs w:val="20"/>
              </w:rPr>
            </w:pPr>
            <w:r w:rsidRPr="0013765B">
              <w:rPr>
                <w:sz w:val="20"/>
                <w:szCs w:val="20"/>
              </w:rPr>
              <w:t> </w:t>
            </w:r>
          </w:p>
        </w:tc>
      </w:tr>
      <w:tr w:rsidR="0077445C" w:rsidRPr="0013765B" w:rsidTr="0077445C">
        <w:trPr>
          <w:trHeight w:val="28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6A3372" w:rsidRPr="0013765B" w:rsidRDefault="006A3372" w:rsidP="00C237FC">
            <w:pPr>
              <w:widowControl/>
              <w:autoSpaceDE/>
              <w:autoSpaceDN/>
              <w:adjustRightInd/>
              <w:rPr>
                <w:sz w:val="20"/>
                <w:szCs w:val="20"/>
              </w:rPr>
            </w:pPr>
            <w:r w:rsidRPr="0013765B">
              <w:rPr>
                <w:sz w:val="20"/>
                <w:szCs w:val="20"/>
              </w:rPr>
              <w:t>E.  Write Report</w:t>
            </w:r>
            <w:r>
              <w:rPr>
                <w:sz w:val="20"/>
                <w:szCs w:val="20"/>
              </w:rPr>
              <w:t xml:space="preserve"> </w:t>
            </w:r>
            <w:r w:rsidRPr="0013765B">
              <w:rPr>
                <w:sz w:val="20"/>
                <w:szCs w:val="20"/>
                <w:vertAlign w:val="superscript"/>
              </w:rPr>
              <w:t>c</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6A3372" w:rsidRPr="0013765B" w:rsidRDefault="006A3372" w:rsidP="00C237FC">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6A3372" w:rsidRPr="0013765B" w:rsidRDefault="006A3372" w:rsidP="00C237FC">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6A3372" w:rsidRPr="0013765B" w:rsidRDefault="006A3372" w:rsidP="00C237FC">
            <w:pPr>
              <w:widowControl/>
              <w:autoSpaceDE/>
              <w:autoSpaceDN/>
              <w:adjustRightInd/>
              <w:jc w:val="center"/>
              <w:rPr>
                <w:sz w:val="20"/>
                <w:szCs w:val="20"/>
              </w:rPr>
            </w:pPr>
          </w:p>
        </w:tc>
        <w:tc>
          <w:tcPr>
            <w:tcW w:w="1346" w:type="dxa"/>
            <w:tcBorders>
              <w:top w:val="nil"/>
              <w:left w:val="nil"/>
              <w:bottom w:val="single" w:sz="4" w:space="0" w:color="auto"/>
              <w:right w:val="single" w:sz="4" w:space="0" w:color="auto"/>
            </w:tcBorders>
            <w:shd w:val="clear" w:color="auto" w:fill="FFFFFF" w:themeFill="background1"/>
            <w:noWrap/>
            <w:vAlign w:val="bottom"/>
            <w:hideMark/>
          </w:tcPr>
          <w:p w:rsidR="006A3372" w:rsidRPr="0013765B" w:rsidRDefault="006A3372" w:rsidP="00C237FC">
            <w:pPr>
              <w:widowControl/>
              <w:autoSpaceDE/>
              <w:autoSpaceDN/>
              <w:adjustRightInd/>
              <w:jc w:val="center"/>
              <w:rPr>
                <w:sz w:val="20"/>
                <w:szCs w:val="20"/>
              </w:rPr>
            </w:pPr>
          </w:p>
        </w:tc>
        <w:tc>
          <w:tcPr>
            <w:tcW w:w="1135" w:type="dxa"/>
            <w:tcBorders>
              <w:top w:val="nil"/>
              <w:left w:val="nil"/>
              <w:bottom w:val="single" w:sz="4" w:space="0" w:color="auto"/>
              <w:right w:val="single" w:sz="4" w:space="0" w:color="auto"/>
            </w:tcBorders>
            <w:shd w:val="clear" w:color="auto" w:fill="FFFFFF" w:themeFill="background1"/>
            <w:noWrap/>
            <w:vAlign w:val="bottom"/>
            <w:hideMark/>
          </w:tcPr>
          <w:p w:rsidR="006A3372" w:rsidRPr="0013765B" w:rsidRDefault="006A3372" w:rsidP="00C237FC">
            <w:pPr>
              <w:widowControl/>
              <w:autoSpaceDE/>
              <w:autoSpaceDN/>
              <w:adjustRightInd/>
              <w:jc w:val="center"/>
              <w:rPr>
                <w:sz w:val="20"/>
                <w:szCs w:val="20"/>
              </w:rPr>
            </w:pPr>
          </w:p>
        </w:tc>
        <w:tc>
          <w:tcPr>
            <w:tcW w:w="1338" w:type="dxa"/>
            <w:tcBorders>
              <w:top w:val="nil"/>
              <w:left w:val="nil"/>
              <w:bottom w:val="single" w:sz="4" w:space="0" w:color="auto"/>
              <w:right w:val="single" w:sz="4" w:space="0" w:color="auto"/>
            </w:tcBorders>
            <w:shd w:val="clear" w:color="auto" w:fill="FFFFFF" w:themeFill="background1"/>
            <w:noWrap/>
            <w:vAlign w:val="bottom"/>
            <w:hideMark/>
          </w:tcPr>
          <w:p w:rsidR="006A3372" w:rsidRPr="0013765B" w:rsidRDefault="006A3372" w:rsidP="00C237FC">
            <w:pPr>
              <w:widowControl/>
              <w:autoSpaceDE/>
              <w:autoSpaceDN/>
              <w:adjustRightInd/>
              <w:jc w:val="center"/>
              <w:rPr>
                <w:sz w:val="20"/>
                <w:szCs w:val="20"/>
              </w:rPr>
            </w:pPr>
          </w:p>
        </w:tc>
        <w:tc>
          <w:tcPr>
            <w:tcW w:w="1204" w:type="dxa"/>
            <w:tcBorders>
              <w:top w:val="nil"/>
              <w:left w:val="nil"/>
              <w:bottom w:val="single" w:sz="4" w:space="0" w:color="auto"/>
              <w:right w:val="single" w:sz="4" w:space="0" w:color="auto"/>
            </w:tcBorders>
            <w:shd w:val="clear" w:color="auto" w:fill="FFFFFF" w:themeFill="background1"/>
            <w:noWrap/>
            <w:vAlign w:val="bottom"/>
            <w:hideMark/>
          </w:tcPr>
          <w:p w:rsidR="006A3372" w:rsidRPr="0013765B" w:rsidRDefault="006A3372" w:rsidP="00C237FC">
            <w:pPr>
              <w:widowControl/>
              <w:autoSpaceDE/>
              <w:autoSpaceDN/>
              <w:adjustRightInd/>
              <w:jc w:val="center"/>
              <w:rPr>
                <w:sz w:val="20"/>
                <w:szCs w:val="20"/>
              </w:rPr>
            </w:pPr>
          </w:p>
        </w:tc>
        <w:tc>
          <w:tcPr>
            <w:tcW w:w="1366" w:type="dxa"/>
            <w:tcBorders>
              <w:top w:val="nil"/>
              <w:left w:val="nil"/>
              <w:bottom w:val="single" w:sz="4" w:space="0" w:color="auto"/>
              <w:right w:val="single" w:sz="4" w:space="0" w:color="auto"/>
            </w:tcBorders>
            <w:shd w:val="clear" w:color="auto" w:fill="FFFFFF" w:themeFill="background1"/>
            <w:noWrap/>
            <w:vAlign w:val="bottom"/>
            <w:hideMark/>
          </w:tcPr>
          <w:p w:rsidR="006A3372" w:rsidRPr="0013765B" w:rsidRDefault="006A3372" w:rsidP="00C237FC">
            <w:pPr>
              <w:widowControl/>
              <w:autoSpaceDE/>
              <w:autoSpaceDN/>
              <w:adjustRightInd/>
              <w:jc w:val="right"/>
              <w:rPr>
                <w:sz w:val="20"/>
                <w:szCs w:val="20"/>
              </w:rPr>
            </w:pPr>
          </w:p>
        </w:tc>
      </w:tr>
      <w:tr w:rsidR="0077445C"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DE0ABD" w:rsidP="00C237FC">
            <w:pPr>
              <w:widowControl/>
              <w:autoSpaceDE/>
              <w:autoSpaceDN/>
              <w:adjustRightInd/>
              <w:rPr>
                <w:sz w:val="20"/>
                <w:szCs w:val="20"/>
              </w:rPr>
            </w:pPr>
            <w:r>
              <w:rPr>
                <w:sz w:val="20"/>
                <w:szCs w:val="20"/>
              </w:rPr>
              <w:t xml:space="preserve">     </w:t>
            </w:r>
            <w:r w:rsidR="00C237FC" w:rsidRPr="0013765B">
              <w:rPr>
                <w:sz w:val="20"/>
                <w:szCs w:val="20"/>
              </w:rPr>
              <w:t>Notification of applicability</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3</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3</w:t>
            </w: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DE0ABD" w:rsidP="00C237FC">
            <w:pPr>
              <w:widowControl/>
              <w:autoSpaceDE/>
              <w:autoSpaceDN/>
              <w:adjustRightInd/>
              <w:jc w:val="right"/>
              <w:rPr>
                <w:sz w:val="20"/>
                <w:szCs w:val="20"/>
              </w:rPr>
            </w:pPr>
            <w:r>
              <w:rPr>
                <w:sz w:val="20"/>
                <w:szCs w:val="20"/>
              </w:rPr>
              <w:t>$0</w:t>
            </w:r>
          </w:p>
        </w:tc>
      </w:tr>
      <w:tr w:rsidR="0077445C"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DE0ABD" w:rsidP="00DE0ABD">
            <w:pPr>
              <w:widowControl/>
              <w:autoSpaceDE/>
              <w:autoSpaceDN/>
              <w:adjustRightInd/>
              <w:ind w:left="289" w:hanging="289"/>
              <w:rPr>
                <w:sz w:val="20"/>
                <w:szCs w:val="20"/>
              </w:rPr>
            </w:pPr>
            <w:r>
              <w:rPr>
                <w:sz w:val="20"/>
                <w:szCs w:val="20"/>
              </w:rPr>
              <w:t xml:space="preserve">     </w:t>
            </w:r>
            <w:r w:rsidR="00C237FC" w:rsidRPr="0013765B">
              <w:rPr>
                <w:sz w:val="20"/>
                <w:szCs w:val="20"/>
              </w:rPr>
              <w:t>Notification of construction/reconstruction/</w:t>
            </w:r>
            <w:r>
              <w:rPr>
                <w:sz w:val="20"/>
                <w:szCs w:val="20"/>
              </w:rPr>
              <w:t xml:space="preserve"> </w:t>
            </w:r>
            <w:r w:rsidR="00C237FC" w:rsidRPr="0013765B">
              <w:rPr>
                <w:sz w:val="20"/>
                <w:szCs w:val="20"/>
              </w:rPr>
              <w:t>modification</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2</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2</w:t>
            </w: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DE0ABD" w:rsidP="00C237FC">
            <w:pPr>
              <w:widowControl/>
              <w:autoSpaceDE/>
              <w:autoSpaceDN/>
              <w:adjustRightInd/>
              <w:jc w:val="right"/>
              <w:rPr>
                <w:sz w:val="20"/>
                <w:szCs w:val="20"/>
              </w:rPr>
            </w:pPr>
            <w:r>
              <w:rPr>
                <w:sz w:val="20"/>
                <w:szCs w:val="20"/>
              </w:rPr>
              <w:t>$0</w:t>
            </w:r>
          </w:p>
        </w:tc>
      </w:tr>
      <w:tr w:rsidR="0077445C"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DE0ABD" w:rsidP="00C237FC">
            <w:pPr>
              <w:widowControl/>
              <w:autoSpaceDE/>
              <w:autoSpaceDN/>
              <w:adjustRightInd/>
              <w:rPr>
                <w:sz w:val="20"/>
                <w:szCs w:val="20"/>
              </w:rPr>
            </w:pPr>
            <w:r>
              <w:rPr>
                <w:sz w:val="20"/>
                <w:szCs w:val="20"/>
              </w:rPr>
              <w:t xml:space="preserve">     </w:t>
            </w:r>
            <w:r w:rsidR="00C237FC" w:rsidRPr="0013765B">
              <w:rPr>
                <w:sz w:val="20"/>
                <w:szCs w:val="20"/>
              </w:rPr>
              <w:t>Notification of actual startup</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2</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2</w:t>
            </w: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DE0ABD" w:rsidP="00C237FC">
            <w:pPr>
              <w:widowControl/>
              <w:autoSpaceDE/>
              <w:autoSpaceDN/>
              <w:adjustRightInd/>
              <w:jc w:val="right"/>
              <w:rPr>
                <w:sz w:val="20"/>
                <w:szCs w:val="20"/>
              </w:rPr>
            </w:pPr>
            <w:r>
              <w:rPr>
                <w:sz w:val="20"/>
                <w:szCs w:val="20"/>
              </w:rPr>
              <w:t>$0</w:t>
            </w:r>
          </w:p>
        </w:tc>
      </w:tr>
      <w:tr w:rsidR="0077445C"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DE0ABD" w:rsidP="00C237FC">
            <w:pPr>
              <w:widowControl/>
              <w:autoSpaceDE/>
              <w:autoSpaceDN/>
              <w:adjustRightInd/>
              <w:rPr>
                <w:sz w:val="20"/>
                <w:szCs w:val="20"/>
              </w:rPr>
            </w:pPr>
            <w:r>
              <w:rPr>
                <w:sz w:val="20"/>
                <w:szCs w:val="20"/>
              </w:rPr>
              <w:t xml:space="preserve">     </w:t>
            </w:r>
            <w:r w:rsidR="00C237FC" w:rsidRPr="0013765B">
              <w:rPr>
                <w:sz w:val="20"/>
                <w:szCs w:val="20"/>
              </w:rPr>
              <w:t>Notification of performance test</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2</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2</w:t>
            </w: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DE0ABD" w:rsidP="00C237FC">
            <w:pPr>
              <w:widowControl/>
              <w:autoSpaceDE/>
              <w:autoSpaceDN/>
              <w:adjustRightInd/>
              <w:jc w:val="right"/>
              <w:rPr>
                <w:sz w:val="20"/>
                <w:szCs w:val="20"/>
              </w:rPr>
            </w:pPr>
            <w:r>
              <w:rPr>
                <w:sz w:val="20"/>
                <w:szCs w:val="20"/>
              </w:rPr>
              <w:t>$0</w:t>
            </w:r>
          </w:p>
        </w:tc>
      </w:tr>
      <w:tr w:rsidR="0077445C"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DE0ABD" w:rsidP="00DE0ABD">
            <w:pPr>
              <w:widowControl/>
              <w:autoSpaceDE/>
              <w:autoSpaceDN/>
              <w:adjustRightInd/>
              <w:ind w:left="289" w:hanging="289"/>
              <w:rPr>
                <w:sz w:val="20"/>
                <w:szCs w:val="20"/>
              </w:rPr>
            </w:pPr>
            <w:r>
              <w:rPr>
                <w:sz w:val="20"/>
                <w:szCs w:val="20"/>
              </w:rPr>
              <w:t xml:space="preserve">     </w:t>
            </w:r>
            <w:r w:rsidR="00C237FC" w:rsidRPr="0013765B">
              <w:rPr>
                <w:sz w:val="20"/>
                <w:szCs w:val="20"/>
              </w:rPr>
              <w:t>Notification of CEMS performance evaluation</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2</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2</w:t>
            </w: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DE0ABD" w:rsidP="00C237FC">
            <w:pPr>
              <w:widowControl/>
              <w:autoSpaceDE/>
              <w:autoSpaceDN/>
              <w:adjustRightInd/>
              <w:jc w:val="right"/>
              <w:rPr>
                <w:sz w:val="20"/>
                <w:szCs w:val="20"/>
              </w:rPr>
            </w:pPr>
            <w:r>
              <w:rPr>
                <w:sz w:val="20"/>
                <w:szCs w:val="20"/>
              </w:rPr>
              <w:t>$0</w:t>
            </w:r>
          </w:p>
        </w:tc>
      </w:tr>
      <w:tr w:rsidR="0077445C"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DE0ABD" w:rsidP="00DE0ABD">
            <w:pPr>
              <w:widowControl/>
              <w:autoSpaceDE/>
              <w:autoSpaceDN/>
              <w:adjustRightInd/>
              <w:ind w:left="199" w:hanging="199"/>
              <w:rPr>
                <w:sz w:val="20"/>
                <w:szCs w:val="20"/>
              </w:rPr>
            </w:pPr>
            <w:r>
              <w:rPr>
                <w:sz w:val="20"/>
                <w:szCs w:val="20"/>
              </w:rPr>
              <w:t xml:space="preserve">     </w:t>
            </w:r>
            <w:r w:rsidR="00C237FC" w:rsidRPr="0013765B">
              <w:rPr>
                <w:sz w:val="20"/>
                <w:szCs w:val="20"/>
              </w:rPr>
              <w:t>Notification of area sour</w:t>
            </w:r>
            <w:r>
              <w:rPr>
                <w:sz w:val="20"/>
                <w:szCs w:val="20"/>
              </w:rPr>
              <w:t>c</w:t>
            </w:r>
            <w:r w:rsidR="00C237FC" w:rsidRPr="0013765B">
              <w:rPr>
                <w:sz w:val="20"/>
                <w:szCs w:val="20"/>
              </w:rPr>
              <w:t>e compliance status</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DE0ABD" w:rsidP="00C237FC">
            <w:pPr>
              <w:widowControl/>
              <w:autoSpaceDE/>
              <w:autoSpaceDN/>
              <w:adjustRightInd/>
              <w:jc w:val="right"/>
              <w:rPr>
                <w:sz w:val="20"/>
                <w:szCs w:val="20"/>
              </w:rPr>
            </w:pPr>
            <w:r>
              <w:rPr>
                <w:sz w:val="20"/>
                <w:szCs w:val="20"/>
              </w:rPr>
              <w:t>$0</w:t>
            </w:r>
          </w:p>
        </w:tc>
      </w:tr>
      <w:tr w:rsidR="002F0B65"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B113A6" w:rsidP="00C237FC">
            <w:pPr>
              <w:widowControl/>
              <w:autoSpaceDE/>
              <w:autoSpaceDN/>
              <w:adjustRightInd/>
              <w:rPr>
                <w:sz w:val="20"/>
                <w:szCs w:val="20"/>
              </w:rPr>
            </w:pPr>
            <w:r>
              <w:rPr>
                <w:sz w:val="20"/>
                <w:szCs w:val="20"/>
              </w:rPr>
              <w:t xml:space="preserve">    </w:t>
            </w:r>
            <w:r w:rsidR="00C237FC" w:rsidRPr="0013765B">
              <w:rPr>
                <w:sz w:val="20"/>
                <w:szCs w:val="20"/>
              </w:rPr>
              <w:t xml:space="preserve">Report of performance test </w:t>
            </w:r>
          </w:p>
        </w:tc>
        <w:tc>
          <w:tcPr>
            <w:tcW w:w="3960" w:type="dxa"/>
            <w:gridSpan w:val="3"/>
            <w:tcBorders>
              <w:top w:val="single" w:sz="4" w:space="0" w:color="auto"/>
              <w:left w:val="single" w:sz="4" w:space="0" w:color="auto"/>
              <w:bottom w:val="single" w:sz="4" w:space="0" w:color="auto"/>
              <w:right w:val="nil"/>
            </w:tcBorders>
            <w:shd w:val="clear" w:color="auto" w:fill="auto"/>
            <w:noWrap/>
            <w:vAlign w:val="bottom"/>
            <w:hideMark/>
          </w:tcPr>
          <w:p w:rsidR="00C237FC" w:rsidRPr="0013765B" w:rsidRDefault="00C237FC" w:rsidP="006A3372">
            <w:pPr>
              <w:widowControl/>
              <w:autoSpaceDE/>
              <w:autoSpaceDN/>
              <w:adjustRightInd/>
              <w:rPr>
                <w:sz w:val="20"/>
                <w:szCs w:val="20"/>
              </w:rPr>
            </w:pPr>
            <w:r w:rsidRPr="0013765B">
              <w:rPr>
                <w:sz w:val="20"/>
                <w:szCs w:val="20"/>
              </w:rPr>
              <w:t xml:space="preserve">-------------Included in </w:t>
            </w:r>
            <w:r w:rsidR="007153B8">
              <w:rPr>
                <w:sz w:val="20"/>
                <w:szCs w:val="20"/>
              </w:rPr>
              <w:t>3</w:t>
            </w:r>
            <w:r w:rsidRPr="0013765B">
              <w:rPr>
                <w:sz w:val="20"/>
                <w:szCs w:val="20"/>
              </w:rPr>
              <w:t>B------------</w:t>
            </w:r>
          </w:p>
        </w:tc>
        <w:tc>
          <w:tcPr>
            <w:tcW w:w="1346" w:type="dxa"/>
            <w:tcBorders>
              <w:top w:val="nil"/>
              <w:left w:val="nil"/>
              <w:bottom w:val="single" w:sz="4" w:space="0" w:color="auto"/>
              <w:right w:val="nil"/>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w:t>
            </w:r>
          </w:p>
        </w:tc>
        <w:tc>
          <w:tcPr>
            <w:tcW w:w="1135" w:type="dxa"/>
            <w:tcBorders>
              <w:top w:val="nil"/>
              <w:left w:val="nil"/>
              <w:bottom w:val="single" w:sz="4" w:space="0" w:color="auto"/>
              <w:right w:val="nil"/>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w:t>
            </w:r>
          </w:p>
        </w:tc>
        <w:tc>
          <w:tcPr>
            <w:tcW w:w="1338" w:type="dxa"/>
            <w:tcBorders>
              <w:top w:val="nil"/>
              <w:left w:val="nil"/>
              <w:bottom w:val="single" w:sz="4" w:space="0" w:color="auto"/>
              <w:right w:val="nil"/>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right"/>
              <w:rPr>
                <w:sz w:val="20"/>
                <w:szCs w:val="20"/>
              </w:rPr>
            </w:pPr>
            <w:r w:rsidRPr="0013765B">
              <w:rPr>
                <w:sz w:val="20"/>
                <w:szCs w:val="20"/>
              </w:rPr>
              <w:t> </w:t>
            </w:r>
          </w:p>
        </w:tc>
      </w:tr>
      <w:tr w:rsidR="0077445C" w:rsidRPr="0013765B" w:rsidTr="0077445C">
        <w:trPr>
          <w:trHeight w:val="28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B113A6" w:rsidP="00B113A6">
            <w:pPr>
              <w:widowControl/>
              <w:autoSpaceDE/>
              <w:autoSpaceDN/>
              <w:adjustRightInd/>
              <w:ind w:left="199" w:hanging="199"/>
              <w:rPr>
                <w:sz w:val="20"/>
                <w:szCs w:val="20"/>
              </w:rPr>
            </w:pPr>
            <w:r>
              <w:rPr>
                <w:sz w:val="20"/>
                <w:szCs w:val="20"/>
              </w:rPr>
              <w:t xml:space="preserve">    </w:t>
            </w:r>
            <w:r w:rsidR="00C237FC" w:rsidRPr="0013765B">
              <w:rPr>
                <w:sz w:val="20"/>
                <w:szCs w:val="20"/>
              </w:rPr>
              <w:t>Semiannual compliance reports bulk terminals major sources</w:t>
            </w:r>
            <w:r w:rsidR="00DE0ABD">
              <w:rPr>
                <w:sz w:val="20"/>
                <w:szCs w:val="20"/>
              </w:rPr>
              <w:t xml:space="preserve"> </w:t>
            </w:r>
            <w:r w:rsidR="00C237FC" w:rsidRPr="0013765B">
              <w:rPr>
                <w:sz w:val="20"/>
                <w:szCs w:val="20"/>
                <w:vertAlign w:val="superscript"/>
              </w:rPr>
              <w:t>f</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10</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20</w:t>
            </w: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52.2</w:t>
            </w: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1,044</w:t>
            </w: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52.2</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104.4</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right"/>
              <w:rPr>
                <w:sz w:val="20"/>
                <w:szCs w:val="20"/>
              </w:rPr>
            </w:pPr>
            <w:r w:rsidRPr="0013765B">
              <w:rPr>
                <w:sz w:val="20"/>
                <w:szCs w:val="20"/>
              </w:rPr>
              <w:t>$117,381.62</w:t>
            </w:r>
          </w:p>
        </w:tc>
      </w:tr>
      <w:tr w:rsidR="0077445C" w:rsidRPr="0013765B" w:rsidTr="0077445C">
        <w:trPr>
          <w:trHeight w:val="28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B113A6" w:rsidP="00B113A6">
            <w:pPr>
              <w:widowControl/>
              <w:autoSpaceDE/>
              <w:autoSpaceDN/>
              <w:adjustRightInd/>
              <w:ind w:left="199" w:hanging="199"/>
              <w:rPr>
                <w:sz w:val="20"/>
                <w:szCs w:val="20"/>
              </w:rPr>
            </w:pPr>
            <w:r>
              <w:rPr>
                <w:sz w:val="20"/>
                <w:szCs w:val="20"/>
              </w:rPr>
              <w:t xml:space="preserve">    </w:t>
            </w:r>
            <w:r w:rsidR="00C237FC" w:rsidRPr="0013765B">
              <w:rPr>
                <w:sz w:val="20"/>
                <w:szCs w:val="20"/>
              </w:rPr>
              <w:t xml:space="preserve">Semiannual compliance reports pipeline breakout </w:t>
            </w:r>
            <w:r w:rsidR="00C237FC" w:rsidRPr="0013765B">
              <w:rPr>
                <w:sz w:val="20"/>
                <w:szCs w:val="20"/>
              </w:rPr>
              <w:lastRenderedPageBreak/>
              <w:t>major sources</w:t>
            </w:r>
            <w:r>
              <w:rPr>
                <w:sz w:val="20"/>
                <w:szCs w:val="20"/>
              </w:rPr>
              <w:t xml:space="preserve"> </w:t>
            </w:r>
            <w:r w:rsidR="00C237FC" w:rsidRPr="0013765B">
              <w:rPr>
                <w:sz w:val="20"/>
                <w:szCs w:val="20"/>
                <w:vertAlign w:val="superscript"/>
              </w:rPr>
              <w:t>f</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lastRenderedPageBreak/>
              <w:t>8</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16</w:t>
            </w: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9</w:t>
            </w: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144</w:t>
            </w: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7.2</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14.4</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right"/>
              <w:rPr>
                <w:sz w:val="20"/>
                <w:szCs w:val="20"/>
              </w:rPr>
            </w:pPr>
            <w:r w:rsidRPr="0013765B">
              <w:rPr>
                <w:sz w:val="20"/>
                <w:szCs w:val="20"/>
              </w:rPr>
              <w:t>$16,190.57</w:t>
            </w:r>
          </w:p>
        </w:tc>
      </w:tr>
      <w:tr w:rsidR="0077445C"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13765B" w:rsidRPr="0013765B" w:rsidRDefault="00446E46" w:rsidP="0013765B">
            <w:pPr>
              <w:widowControl/>
              <w:autoSpaceDE/>
              <w:autoSpaceDN/>
              <w:adjustRightInd/>
              <w:rPr>
                <w:b/>
                <w:bCs/>
                <w:sz w:val="20"/>
                <w:szCs w:val="20"/>
              </w:rPr>
            </w:pPr>
            <w:r>
              <w:rPr>
                <w:b/>
                <w:bCs/>
                <w:sz w:val="20"/>
                <w:szCs w:val="20"/>
              </w:rPr>
              <w:lastRenderedPageBreak/>
              <w:t>Subtotal for Reporting Requirements</w:t>
            </w:r>
          </w:p>
        </w:tc>
        <w:tc>
          <w:tcPr>
            <w:tcW w:w="1260" w:type="dxa"/>
            <w:tcBorders>
              <w:top w:val="nil"/>
              <w:left w:val="nil"/>
              <w:bottom w:val="single" w:sz="4" w:space="0" w:color="auto"/>
              <w:right w:val="single" w:sz="4" w:space="0" w:color="auto"/>
            </w:tcBorders>
            <w:shd w:val="clear" w:color="auto" w:fill="auto"/>
            <w:noWrap/>
            <w:vAlign w:val="bottom"/>
            <w:hideMark/>
          </w:tcPr>
          <w:p w:rsidR="0013765B" w:rsidRPr="0013765B" w:rsidRDefault="0013765B" w:rsidP="00C237FC">
            <w:pPr>
              <w:widowControl/>
              <w:autoSpaceDE/>
              <w:autoSpaceDN/>
              <w:adjustRightInd/>
              <w:jc w:val="center"/>
              <w:rPr>
                <w:sz w:val="20"/>
                <w:szCs w:val="20"/>
              </w:rPr>
            </w:pPr>
            <w:r w:rsidRPr="0013765B">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13765B" w:rsidRPr="0013765B" w:rsidRDefault="0013765B" w:rsidP="00C237FC">
            <w:pPr>
              <w:widowControl/>
              <w:autoSpaceDE/>
              <w:autoSpaceDN/>
              <w:adjustRightInd/>
              <w:jc w:val="center"/>
              <w:rPr>
                <w:sz w:val="20"/>
                <w:szCs w:val="20"/>
              </w:rPr>
            </w:pPr>
            <w:r w:rsidRPr="0013765B">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13765B" w:rsidRPr="0013765B" w:rsidRDefault="0013765B" w:rsidP="00C237FC">
            <w:pPr>
              <w:widowControl/>
              <w:autoSpaceDE/>
              <w:autoSpaceDN/>
              <w:adjustRightInd/>
              <w:jc w:val="center"/>
              <w:rPr>
                <w:sz w:val="20"/>
                <w:szCs w:val="20"/>
              </w:rPr>
            </w:pPr>
            <w:r w:rsidRPr="0013765B">
              <w:rPr>
                <w:sz w:val="20"/>
                <w:szCs w:val="20"/>
              </w:rPr>
              <w:t> </w:t>
            </w:r>
          </w:p>
        </w:tc>
        <w:tc>
          <w:tcPr>
            <w:tcW w:w="1346" w:type="dxa"/>
            <w:tcBorders>
              <w:top w:val="nil"/>
              <w:left w:val="nil"/>
              <w:bottom w:val="single" w:sz="4" w:space="0" w:color="auto"/>
              <w:right w:val="single" w:sz="4" w:space="0" w:color="auto"/>
            </w:tcBorders>
            <w:shd w:val="clear" w:color="auto" w:fill="auto"/>
            <w:noWrap/>
            <w:vAlign w:val="bottom"/>
            <w:hideMark/>
          </w:tcPr>
          <w:p w:rsidR="0013765B" w:rsidRPr="0013765B" w:rsidRDefault="0013765B" w:rsidP="00C237FC">
            <w:pPr>
              <w:widowControl/>
              <w:autoSpaceDE/>
              <w:autoSpaceDN/>
              <w:adjustRightInd/>
              <w:jc w:val="center"/>
              <w:rPr>
                <w:sz w:val="20"/>
                <w:szCs w:val="20"/>
              </w:rPr>
            </w:pPr>
            <w:r w:rsidRPr="0013765B">
              <w:rPr>
                <w:sz w:val="20"/>
                <w:szCs w:val="20"/>
              </w:rPr>
              <w:t> </w:t>
            </w:r>
          </w:p>
        </w:tc>
        <w:tc>
          <w:tcPr>
            <w:tcW w:w="3677" w:type="dxa"/>
            <w:gridSpan w:val="3"/>
            <w:tcBorders>
              <w:top w:val="nil"/>
              <w:left w:val="nil"/>
              <w:bottom w:val="single" w:sz="4" w:space="0" w:color="auto"/>
              <w:right w:val="single" w:sz="4" w:space="0" w:color="auto"/>
            </w:tcBorders>
            <w:shd w:val="clear" w:color="auto" w:fill="auto"/>
            <w:noWrap/>
            <w:vAlign w:val="bottom"/>
            <w:hideMark/>
          </w:tcPr>
          <w:p w:rsidR="0013765B" w:rsidRPr="0013765B" w:rsidRDefault="0013765B" w:rsidP="00D876D5">
            <w:pPr>
              <w:widowControl/>
              <w:autoSpaceDE/>
              <w:autoSpaceDN/>
              <w:adjustRightInd/>
              <w:jc w:val="center"/>
              <w:rPr>
                <w:b/>
                <w:bCs/>
                <w:sz w:val="20"/>
                <w:szCs w:val="20"/>
              </w:rPr>
            </w:pPr>
            <w:r w:rsidRPr="0013765B">
              <w:rPr>
                <w:b/>
                <w:bCs/>
                <w:sz w:val="20"/>
                <w:szCs w:val="20"/>
              </w:rPr>
              <w:t>2,</w:t>
            </w:r>
            <w:r w:rsidR="00CA5016">
              <w:rPr>
                <w:b/>
                <w:bCs/>
                <w:sz w:val="20"/>
                <w:szCs w:val="20"/>
              </w:rPr>
              <w:t>753</w:t>
            </w:r>
            <w:r w:rsidR="00434D1E">
              <w:rPr>
                <w:b/>
                <w:bCs/>
                <w:sz w:val="20"/>
                <w:szCs w:val="20"/>
              </w:rPr>
              <w:t>.10</w:t>
            </w:r>
          </w:p>
        </w:tc>
        <w:tc>
          <w:tcPr>
            <w:tcW w:w="1366" w:type="dxa"/>
            <w:tcBorders>
              <w:top w:val="nil"/>
              <w:left w:val="nil"/>
              <w:bottom w:val="single" w:sz="4" w:space="0" w:color="auto"/>
              <w:right w:val="single" w:sz="4" w:space="0" w:color="auto"/>
            </w:tcBorders>
            <w:shd w:val="clear" w:color="auto" w:fill="auto"/>
            <w:noWrap/>
            <w:vAlign w:val="bottom"/>
            <w:hideMark/>
          </w:tcPr>
          <w:p w:rsidR="0013765B" w:rsidRPr="0013765B" w:rsidRDefault="00CA5016" w:rsidP="00C237FC">
            <w:pPr>
              <w:widowControl/>
              <w:autoSpaceDE/>
              <w:autoSpaceDN/>
              <w:adjustRightInd/>
              <w:jc w:val="right"/>
              <w:rPr>
                <w:b/>
                <w:bCs/>
                <w:sz w:val="20"/>
                <w:szCs w:val="20"/>
              </w:rPr>
            </w:pPr>
            <w:r>
              <w:rPr>
                <w:b/>
                <w:bCs/>
                <w:sz w:val="20"/>
                <w:szCs w:val="20"/>
              </w:rPr>
              <w:t>$269,168</w:t>
            </w:r>
            <w:r w:rsidR="002B50CC">
              <w:rPr>
                <w:b/>
                <w:bCs/>
                <w:sz w:val="20"/>
                <w:szCs w:val="20"/>
              </w:rPr>
              <w:t>.20</w:t>
            </w:r>
          </w:p>
        </w:tc>
      </w:tr>
      <w:tr w:rsidR="002F0B65"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7153B8" w:rsidP="003070AB">
            <w:pPr>
              <w:widowControl/>
              <w:autoSpaceDE/>
              <w:autoSpaceDN/>
              <w:adjustRightInd/>
              <w:rPr>
                <w:sz w:val="20"/>
                <w:szCs w:val="20"/>
              </w:rPr>
            </w:pPr>
            <w:r>
              <w:rPr>
                <w:sz w:val="20"/>
                <w:szCs w:val="20"/>
              </w:rPr>
              <w:t>4</w:t>
            </w:r>
            <w:r w:rsidR="00C237FC" w:rsidRPr="0013765B">
              <w:rPr>
                <w:sz w:val="20"/>
                <w:szCs w:val="20"/>
              </w:rPr>
              <w:t>.  R</w:t>
            </w:r>
            <w:r w:rsidR="003070AB">
              <w:rPr>
                <w:sz w:val="20"/>
                <w:szCs w:val="20"/>
              </w:rPr>
              <w:t>ecordkeeping</w:t>
            </w:r>
            <w:r w:rsidR="00C237FC" w:rsidRPr="0013765B">
              <w:rPr>
                <w:sz w:val="20"/>
                <w:szCs w:val="20"/>
              </w:rPr>
              <w:t xml:space="preserve"> R</w:t>
            </w:r>
            <w:r w:rsidR="003070AB">
              <w:rPr>
                <w:sz w:val="20"/>
                <w:szCs w:val="20"/>
              </w:rPr>
              <w:t>equirements</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346"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135"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338"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204"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366"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right"/>
              <w:rPr>
                <w:sz w:val="20"/>
                <w:szCs w:val="20"/>
              </w:rPr>
            </w:pPr>
            <w:r w:rsidRPr="0013765B">
              <w:rPr>
                <w:sz w:val="20"/>
                <w:szCs w:val="20"/>
              </w:rPr>
              <w:t> </w:t>
            </w:r>
          </w:p>
        </w:tc>
      </w:tr>
      <w:tr w:rsidR="002F0B65"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A.  Read Instructions</w:t>
            </w:r>
          </w:p>
        </w:tc>
        <w:tc>
          <w:tcPr>
            <w:tcW w:w="3960" w:type="dxa"/>
            <w:gridSpan w:val="3"/>
            <w:tcBorders>
              <w:top w:val="single" w:sz="4" w:space="0" w:color="auto"/>
              <w:left w:val="single" w:sz="4" w:space="0" w:color="auto"/>
              <w:bottom w:val="single" w:sz="4" w:space="0" w:color="auto"/>
              <w:right w:val="nil"/>
            </w:tcBorders>
            <w:shd w:val="clear" w:color="auto" w:fill="auto"/>
            <w:noWrap/>
            <w:vAlign w:val="bottom"/>
            <w:hideMark/>
          </w:tcPr>
          <w:p w:rsidR="00C237FC" w:rsidRPr="0013765B" w:rsidRDefault="00C237FC" w:rsidP="005B1F63">
            <w:pPr>
              <w:widowControl/>
              <w:autoSpaceDE/>
              <w:autoSpaceDN/>
              <w:adjustRightInd/>
              <w:rPr>
                <w:sz w:val="20"/>
                <w:szCs w:val="20"/>
              </w:rPr>
            </w:pPr>
            <w:r w:rsidRPr="0013765B">
              <w:rPr>
                <w:sz w:val="20"/>
                <w:szCs w:val="20"/>
              </w:rPr>
              <w:t xml:space="preserve">------------Included in </w:t>
            </w:r>
            <w:r w:rsidR="007153B8">
              <w:rPr>
                <w:sz w:val="20"/>
                <w:szCs w:val="20"/>
              </w:rPr>
              <w:t>3</w:t>
            </w:r>
            <w:r w:rsidRPr="0013765B">
              <w:rPr>
                <w:sz w:val="20"/>
                <w:szCs w:val="20"/>
              </w:rPr>
              <w:t>A------------</w:t>
            </w:r>
          </w:p>
        </w:tc>
        <w:tc>
          <w:tcPr>
            <w:tcW w:w="1346" w:type="dxa"/>
            <w:tcBorders>
              <w:top w:val="nil"/>
              <w:left w:val="nil"/>
              <w:bottom w:val="single" w:sz="4" w:space="0" w:color="auto"/>
              <w:right w:val="nil"/>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w:t>
            </w:r>
          </w:p>
        </w:tc>
        <w:tc>
          <w:tcPr>
            <w:tcW w:w="1135" w:type="dxa"/>
            <w:tcBorders>
              <w:top w:val="nil"/>
              <w:left w:val="nil"/>
              <w:bottom w:val="single" w:sz="4" w:space="0" w:color="auto"/>
              <w:right w:val="nil"/>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w:t>
            </w:r>
          </w:p>
        </w:tc>
        <w:tc>
          <w:tcPr>
            <w:tcW w:w="1338" w:type="dxa"/>
            <w:tcBorders>
              <w:top w:val="nil"/>
              <w:left w:val="nil"/>
              <w:bottom w:val="single" w:sz="4" w:space="0" w:color="auto"/>
              <w:right w:val="nil"/>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right"/>
              <w:rPr>
                <w:sz w:val="20"/>
                <w:szCs w:val="20"/>
              </w:rPr>
            </w:pPr>
            <w:r w:rsidRPr="0013765B">
              <w:rPr>
                <w:sz w:val="20"/>
                <w:szCs w:val="20"/>
              </w:rPr>
              <w:t> </w:t>
            </w:r>
          </w:p>
        </w:tc>
      </w:tr>
      <w:tr w:rsidR="002F0B65"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B.  Plan Activities</w:t>
            </w:r>
          </w:p>
        </w:tc>
        <w:tc>
          <w:tcPr>
            <w:tcW w:w="3960" w:type="dxa"/>
            <w:gridSpan w:val="3"/>
            <w:tcBorders>
              <w:top w:val="single" w:sz="4" w:space="0" w:color="auto"/>
              <w:left w:val="single" w:sz="4" w:space="0" w:color="auto"/>
              <w:bottom w:val="single" w:sz="4" w:space="0" w:color="auto"/>
              <w:right w:val="nil"/>
            </w:tcBorders>
            <w:shd w:val="clear" w:color="auto" w:fill="auto"/>
            <w:noWrap/>
            <w:vAlign w:val="bottom"/>
            <w:hideMark/>
          </w:tcPr>
          <w:p w:rsidR="00C237FC" w:rsidRPr="0013765B" w:rsidRDefault="005B1F63" w:rsidP="007153B8">
            <w:pPr>
              <w:widowControl/>
              <w:autoSpaceDE/>
              <w:autoSpaceDN/>
              <w:adjustRightInd/>
              <w:rPr>
                <w:sz w:val="20"/>
                <w:szCs w:val="20"/>
              </w:rPr>
            </w:pPr>
            <w:r>
              <w:rPr>
                <w:sz w:val="20"/>
                <w:szCs w:val="20"/>
              </w:rPr>
              <w:t xml:space="preserve"> </w:t>
            </w:r>
            <w:r w:rsidR="00C237FC" w:rsidRPr="0013765B">
              <w:rPr>
                <w:sz w:val="20"/>
                <w:szCs w:val="20"/>
              </w:rPr>
              <w:t xml:space="preserve">-----------Included in </w:t>
            </w:r>
            <w:r w:rsidR="007153B8">
              <w:rPr>
                <w:sz w:val="20"/>
                <w:szCs w:val="20"/>
              </w:rPr>
              <w:t>3</w:t>
            </w:r>
            <w:r w:rsidR="00C237FC" w:rsidRPr="0013765B">
              <w:rPr>
                <w:sz w:val="20"/>
                <w:szCs w:val="20"/>
              </w:rPr>
              <w:t xml:space="preserve">B and </w:t>
            </w:r>
            <w:r w:rsidR="007153B8">
              <w:rPr>
                <w:sz w:val="20"/>
                <w:szCs w:val="20"/>
              </w:rPr>
              <w:t>4</w:t>
            </w:r>
            <w:r w:rsidR="00C237FC" w:rsidRPr="0013765B">
              <w:rPr>
                <w:sz w:val="20"/>
                <w:szCs w:val="20"/>
              </w:rPr>
              <w:t>C------</w:t>
            </w:r>
          </w:p>
        </w:tc>
        <w:tc>
          <w:tcPr>
            <w:tcW w:w="1346" w:type="dxa"/>
            <w:tcBorders>
              <w:top w:val="nil"/>
              <w:left w:val="nil"/>
              <w:bottom w:val="single" w:sz="4" w:space="0" w:color="auto"/>
              <w:right w:val="nil"/>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w:t>
            </w:r>
          </w:p>
        </w:tc>
        <w:tc>
          <w:tcPr>
            <w:tcW w:w="1135" w:type="dxa"/>
            <w:tcBorders>
              <w:top w:val="nil"/>
              <w:left w:val="nil"/>
              <w:bottom w:val="single" w:sz="4" w:space="0" w:color="auto"/>
              <w:right w:val="nil"/>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w:t>
            </w:r>
          </w:p>
        </w:tc>
        <w:tc>
          <w:tcPr>
            <w:tcW w:w="1338" w:type="dxa"/>
            <w:tcBorders>
              <w:top w:val="nil"/>
              <w:left w:val="nil"/>
              <w:bottom w:val="single" w:sz="4" w:space="0" w:color="auto"/>
              <w:right w:val="nil"/>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right"/>
              <w:rPr>
                <w:sz w:val="20"/>
                <w:szCs w:val="20"/>
              </w:rPr>
            </w:pPr>
            <w:r w:rsidRPr="0013765B">
              <w:rPr>
                <w:sz w:val="20"/>
                <w:szCs w:val="20"/>
              </w:rPr>
              <w:t> </w:t>
            </w:r>
          </w:p>
        </w:tc>
      </w:tr>
      <w:tr w:rsidR="002F0B65"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C.  Implement Activities</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346"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135"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338"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204"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366"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r>
      <w:tr w:rsidR="002F0B65"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B113A6" w:rsidP="00C237FC">
            <w:pPr>
              <w:widowControl/>
              <w:autoSpaceDE/>
              <w:autoSpaceDN/>
              <w:adjustRightInd/>
              <w:rPr>
                <w:sz w:val="20"/>
                <w:szCs w:val="20"/>
              </w:rPr>
            </w:pPr>
            <w:r>
              <w:rPr>
                <w:sz w:val="20"/>
                <w:szCs w:val="20"/>
              </w:rPr>
              <w:t xml:space="preserve">     </w:t>
            </w:r>
            <w:r w:rsidR="00C237FC" w:rsidRPr="0013765B">
              <w:rPr>
                <w:sz w:val="20"/>
                <w:szCs w:val="20"/>
              </w:rPr>
              <w:t>Gasoline terminals:</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346"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135"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338"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204"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366"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r>
      <w:tr w:rsidR="0077445C" w:rsidRPr="0013765B" w:rsidTr="0077445C">
        <w:trPr>
          <w:trHeight w:val="28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B113A6" w:rsidP="00C237FC">
            <w:pPr>
              <w:widowControl/>
              <w:autoSpaceDE/>
              <w:autoSpaceDN/>
              <w:adjustRightInd/>
              <w:rPr>
                <w:sz w:val="20"/>
                <w:szCs w:val="20"/>
              </w:rPr>
            </w:pPr>
            <w:r>
              <w:rPr>
                <w:sz w:val="20"/>
                <w:szCs w:val="20"/>
              </w:rPr>
              <w:t xml:space="preserve">     </w:t>
            </w:r>
            <w:r w:rsidR="00C237FC" w:rsidRPr="0013765B">
              <w:rPr>
                <w:sz w:val="20"/>
                <w:szCs w:val="20"/>
              </w:rPr>
              <w:t>File cargo tank inspection records</w:t>
            </w:r>
            <w:r>
              <w:rPr>
                <w:sz w:val="20"/>
                <w:szCs w:val="20"/>
              </w:rPr>
              <w:t xml:space="preserve"> </w:t>
            </w:r>
            <w:r w:rsidR="00C237FC" w:rsidRPr="0013765B">
              <w:rPr>
                <w:sz w:val="20"/>
                <w:szCs w:val="20"/>
                <w:vertAlign w:val="superscript"/>
              </w:rPr>
              <w:t>g</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0.5</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26</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13</w:t>
            </w: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61.2</w:t>
            </w: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795.6</w:t>
            </w: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39.78</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79.56</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right"/>
              <w:rPr>
                <w:sz w:val="20"/>
                <w:szCs w:val="20"/>
              </w:rPr>
            </w:pPr>
            <w:r w:rsidRPr="0013765B">
              <w:rPr>
                <w:sz w:val="20"/>
                <w:szCs w:val="20"/>
              </w:rPr>
              <w:t>$89,452.89</w:t>
            </w:r>
          </w:p>
        </w:tc>
      </w:tr>
      <w:tr w:rsidR="0077445C" w:rsidRPr="0013765B" w:rsidTr="0077445C">
        <w:trPr>
          <w:trHeight w:val="28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B113A6" w:rsidP="00B113A6">
            <w:pPr>
              <w:widowControl/>
              <w:autoSpaceDE/>
              <w:autoSpaceDN/>
              <w:adjustRightInd/>
              <w:ind w:left="289" w:hanging="289"/>
              <w:rPr>
                <w:sz w:val="20"/>
                <w:szCs w:val="20"/>
              </w:rPr>
            </w:pPr>
            <w:r>
              <w:rPr>
                <w:sz w:val="20"/>
                <w:szCs w:val="20"/>
              </w:rPr>
              <w:t xml:space="preserve">     </w:t>
            </w:r>
            <w:r w:rsidR="00C237FC" w:rsidRPr="0013765B">
              <w:rPr>
                <w:sz w:val="20"/>
                <w:szCs w:val="20"/>
              </w:rPr>
              <w:t>Update cargo tank inspection records</w:t>
            </w:r>
            <w:r>
              <w:rPr>
                <w:sz w:val="20"/>
                <w:szCs w:val="20"/>
              </w:rPr>
              <w:t xml:space="preserve"> </w:t>
            </w:r>
            <w:r w:rsidR="00C237FC" w:rsidRPr="0013765B">
              <w:rPr>
                <w:sz w:val="20"/>
                <w:szCs w:val="20"/>
                <w:vertAlign w:val="superscript"/>
              </w:rPr>
              <w:t>g</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6</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6</w:t>
            </w: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61.2</w:t>
            </w: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367.2</w:t>
            </w: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18.36</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36.72</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right"/>
              <w:rPr>
                <w:sz w:val="20"/>
                <w:szCs w:val="20"/>
              </w:rPr>
            </w:pPr>
            <w:r w:rsidRPr="0013765B">
              <w:rPr>
                <w:sz w:val="20"/>
                <w:szCs w:val="20"/>
              </w:rPr>
              <w:t>$41,285.95</w:t>
            </w:r>
          </w:p>
        </w:tc>
      </w:tr>
      <w:tr w:rsidR="0077445C" w:rsidRPr="0013765B" w:rsidTr="0077445C">
        <w:trPr>
          <w:trHeight w:val="28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B113A6" w:rsidP="00B113A6">
            <w:pPr>
              <w:widowControl/>
              <w:autoSpaceDE/>
              <w:autoSpaceDN/>
              <w:adjustRightInd/>
              <w:ind w:left="199" w:hanging="199"/>
              <w:rPr>
                <w:sz w:val="20"/>
                <w:szCs w:val="20"/>
              </w:rPr>
            </w:pPr>
            <w:r>
              <w:rPr>
                <w:sz w:val="20"/>
                <w:szCs w:val="20"/>
              </w:rPr>
              <w:t xml:space="preserve">     </w:t>
            </w:r>
            <w:r w:rsidR="00C237FC" w:rsidRPr="0013765B">
              <w:rPr>
                <w:sz w:val="20"/>
                <w:szCs w:val="20"/>
              </w:rPr>
              <w:t>Cross-check cargo tank inspection file</w:t>
            </w:r>
            <w:r>
              <w:rPr>
                <w:sz w:val="20"/>
                <w:szCs w:val="20"/>
              </w:rPr>
              <w:t xml:space="preserve"> </w:t>
            </w:r>
            <w:r w:rsidR="00C237FC" w:rsidRPr="0013765B">
              <w:rPr>
                <w:sz w:val="20"/>
                <w:szCs w:val="20"/>
                <w:vertAlign w:val="superscript"/>
              </w:rPr>
              <w:t>g</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6</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26</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156</w:t>
            </w: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61.2</w:t>
            </w: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9,547.2</w:t>
            </w: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477.36</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954.72</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right"/>
              <w:rPr>
                <w:sz w:val="20"/>
                <w:szCs w:val="20"/>
              </w:rPr>
            </w:pPr>
            <w:r w:rsidRPr="0013765B">
              <w:rPr>
                <w:sz w:val="20"/>
                <w:szCs w:val="20"/>
              </w:rPr>
              <w:t>$1,073,434.66</w:t>
            </w:r>
          </w:p>
        </w:tc>
      </w:tr>
      <w:tr w:rsidR="002F0B65"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B113A6" w:rsidP="00C237FC">
            <w:pPr>
              <w:widowControl/>
              <w:autoSpaceDE/>
              <w:autoSpaceDN/>
              <w:adjustRightInd/>
              <w:rPr>
                <w:sz w:val="20"/>
                <w:szCs w:val="20"/>
              </w:rPr>
            </w:pPr>
            <w:r>
              <w:rPr>
                <w:sz w:val="20"/>
                <w:szCs w:val="20"/>
              </w:rPr>
              <w:t xml:space="preserve">     </w:t>
            </w:r>
            <w:r w:rsidR="00C237FC" w:rsidRPr="0013765B">
              <w:rPr>
                <w:sz w:val="20"/>
                <w:szCs w:val="20"/>
              </w:rPr>
              <w:t>Pipeline breakout stations</w:t>
            </w:r>
          </w:p>
        </w:tc>
        <w:tc>
          <w:tcPr>
            <w:tcW w:w="3960" w:type="dxa"/>
            <w:gridSpan w:val="3"/>
            <w:tcBorders>
              <w:top w:val="single" w:sz="4" w:space="0" w:color="auto"/>
              <w:left w:val="single" w:sz="4" w:space="0" w:color="auto"/>
              <w:bottom w:val="single" w:sz="4" w:space="0" w:color="auto"/>
              <w:right w:val="nil"/>
            </w:tcBorders>
            <w:shd w:val="clear" w:color="auto" w:fill="auto"/>
            <w:noWrap/>
            <w:vAlign w:val="bottom"/>
            <w:hideMark/>
          </w:tcPr>
          <w:p w:rsidR="00C237FC" w:rsidRPr="0013765B" w:rsidRDefault="00C237FC" w:rsidP="003070AB">
            <w:pPr>
              <w:widowControl/>
              <w:autoSpaceDE/>
              <w:autoSpaceDN/>
              <w:adjustRightInd/>
              <w:rPr>
                <w:sz w:val="20"/>
                <w:szCs w:val="20"/>
              </w:rPr>
            </w:pPr>
            <w:r w:rsidRPr="0013765B">
              <w:rPr>
                <w:sz w:val="20"/>
                <w:szCs w:val="20"/>
              </w:rPr>
              <w:t xml:space="preserve">-----------Included in </w:t>
            </w:r>
            <w:r w:rsidR="007153B8">
              <w:rPr>
                <w:sz w:val="20"/>
                <w:szCs w:val="20"/>
              </w:rPr>
              <w:t>3</w:t>
            </w:r>
            <w:r w:rsidRPr="0013765B">
              <w:rPr>
                <w:sz w:val="20"/>
                <w:szCs w:val="20"/>
              </w:rPr>
              <w:t>B------------</w:t>
            </w:r>
          </w:p>
        </w:tc>
        <w:tc>
          <w:tcPr>
            <w:tcW w:w="1346" w:type="dxa"/>
            <w:tcBorders>
              <w:top w:val="nil"/>
              <w:left w:val="nil"/>
              <w:bottom w:val="single" w:sz="4" w:space="0" w:color="auto"/>
              <w:right w:val="nil"/>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w:t>
            </w:r>
          </w:p>
        </w:tc>
        <w:tc>
          <w:tcPr>
            <w:tcW w:w="1135" w:type="dxa"/>
            <w:tcBorders>
              <w:top w:val="nil"/>
              <w:left w:val="nil"/>
              <w:bottom w:val="single" w:sz="4" w:space="0" w:color="auto"/>
              <w:right w:val="nil"/>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w:t>
            </w:r>
          </w:p>
        </w:tc>
        <w:tc>
          <w:tcPr>
            <w:tcW w:w="1338" w:type="dxa"/>
            <w:tcBorders>
              <w:top w:val="nil"/>
              <w:left w:val="nil"/>
              <w:bottom w:val="single" w:sz="4" w:space="0" w:color="auto"/>
              <w:right w:val="nil"/>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right"/>
              <w:rPr>
                <w:sz w:val="20"/>
                <w:szCs w:val="20"/>
              </w:rPr>
            </w:pPr>
            <w:r w:rsidRPr="0013765B">
              <w:rPr>
                <w:sz w:val="20"/>
                <w:szCs w:val="20"/>
              </w:rPr>
              <w:t> </w:t>
            </w:r>
          </w:p>
        </w:tc>
      </w:tr>
      <w:tr w:rsidR="0077445C" w:rsidRPr="0013765B" w:rsidTr="0077445C">
        <w:trPr>
          <w:trHeight w:val="28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xml:space="preserve">D.  Develop Record System </w:t>
            </w:r>
            <w:r w:rsidRPr="0013765B">
              <w:rPr>
                <w:sz w:val="20"/>
                <w:szCs w:val="20"/>
                <w:vertAlign w:val="superscript"/>
              </w:rPr>
              <w:t>h</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8</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8</w:t>
            </w: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2F0E00" w:rsidP="00C237FC">
            <w:pPr>
              <w:widowControl/>
              <w:autoSpaceDE/>
              <w:autoSpaceDN/>
              <w:adjustRightInd/>
              <w:jc w:val="right"/>
              <w:rPr>
                <w:sz w:val="20"/>
                <w:szCs w:val="20"/>
              </w:rPr>
            </w:pPr>
            <w:r>
              <w:rPr>
                <w:sz w:val="20"/>
                <w:szCs w:val="20"/>
              </w:rPr>
              <w:t>$0</w:t>
            </w:r>
          </w:p>
        </w:tc>
      </w:tr>
      <w:tr w:rsidR="002F0B65"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xml:space="preserve">E.  Time to Enter Information  </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346"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135"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338"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204"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c>
          <w:tcPr>
            <w:tcW w:w="1366" w:type="dxa"/>
            <w:tcBorders>
              <w:top w:val="nil"/>
              <w:left w:val="nil"/>
              <w:bottom w:val="single" w:sz="4" w:space="0" w:color="auto"/>
              <w:right w:val="single" w:sz="4" w:space="0" w:color="auto"/>
            </w:tcBorders>
            <w:shd w:val="clear" w:color="auto" w:fill="FFFFFF" w:themeFill="background1"/>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 </w:t>
            </w:r>
          </w:p>
        </w:tc>
      </w:tr>
      <w:tr w:rsidR="0077445C" w:rsidRPr="0013765B" w:rsidTr="0077445C">
        <w:trPr>
          <w:trHeight w:val="510"/>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39702C" w:rsidRDefault="00B113A6" w:rsidP="00B113A6">
            <w:pPr>
              <w:widowControl/>
              <w:autoSpaceDE/>
              <w:autoSpaceDN/>
              <w:adjustRightInd/>
              <w:ind w:left="199" w:hanging="199"/>
              <w:rPr>
                <w:sz w:val="20"/>
                <w:szCs w:val="20"/>
              </w:rPr>
            </w:pPr>
            <w:r>
              <w:rPr>
                <w:sz w:val="20"/>
                <w:szCs w:val="20"/>
              </w:rPr>
              <w:t xml:space="preserve">    </w:t>
            </w:r>
            <w:r w:rsidR="0039702C">
              <w:rPr>
                <w:sz w:val="20"/>
                <w:szCs w:val="20"/>
              </w:rPr>
              <w:t xml:space="preserve"> </w:t>
            </w:r>
            <w:r w:rsidR="00C237FC" w:rsidRPr="0013765B">
              <w:rPr>
                <w:sz w:val="20"/>
                <w:szCs w:val="20"/>
              </w:rPr>
              <w:t xml:space="preserve">Record equipment subject to visual inspection </w:t>
            </w:r>
            <w:r w:rsidR="0039702C">
              <w:rPr>
                <w:sz w:val="20"/>
                <w:szCs w:val="20"/>
              </w:rPr>
              <w:t xml:space="preserve"> </w:t>
            </w:r>
          </w:p>
          <w:p w:rsidR="00C237FC" w:rsidRPr="0013765B" w:rsidRDefault="0039702C" w:rsidP="00B113A6">
            <w:pPr>
              <w:widowControl/>
              <w:autoSpaceDE/>
              <w:autoSpaceDN/>
              <w:adjustRightInd/>
              <w:ind w:left="199" w:hanging="199"/>
              <w:rPr>
                <w:sz w:val="20"/>
                <w:szCs w:val="20"/>
              </w:rPr>
            </w:pPr>
            <w:r>
              <w:rPr>
                <w:sz w:val="20"/>
                <w:szCs w:val="20"/>
              </w:rPr>
              <w:t xml:space="preserve">     </w:t>
            </w:r>
            <w:r w:rsidR="00C237FC" w:rsidRPr="0013765B">
              <w:rPr>
                <w:sz w:val="20"/>
                <w:szCs w:val="20"/>
              </w:rPr>
              <w:t>requirements at pipeline breakout stations</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2F0E00" w:rsidP="00C237FC">
            <w:pPr>
              <w:widowControl/>
              <w:autoSpaceDE/>
              <w:autoSpaceDN/>
              <w:adjustRightInd/>
              <w:jc w:val="right"/>
              <w:rPr>
                <w:sz w:val="20"/>
                <w:szCs w:val="20"/>
              </w:rPr>
            </w:pPr>
            <w:r>
              <w:rPr>
                <w:sz w:val="20"/>
                <w:szCs w:val="20"/>
              </w:rPr>
              <w:t>$0</w:t>
            </w:r>
          </w:p>
        </w:tc>
      </w:tr>
      <w:tr w:rsidR="0077445C" w:rsidRPr="0013765B" w:rsidTr="0077445C">
        <w:trPr>
          <w:trHeight w:val="30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B113A6" w:rsidP="003070AB">
            <w:pPr>
              <w:widowControl/>
              <w:autoSpaceDE/>
              <w:autoSpaceDN/>
              <w:adjustRightInd/>
              <w:rPr>
                <w:sz w:val="20"/>
                <w:szCs w:val="20"/>
              </w:rPr>
            </w:pPr>
            <w:r>
              <w:rPr>
                <w:sz w:val="20"/>
                <w:szCs w:val="20"/>
              </w:rPr>
              <w:t xml:space="preserve">   </w:t>
            </w:r>
            <w:r w:rsidR="0039702C">
              <w:rPr>
                <w:sz w:val="20"/>
                <w:szCs w:val="20"/>
              </w:rPr>
              <w:t xml:space="preserve">  </w:t>
            </w:r>
            <w:r w:rsidR="00C237FC" w:rsidRPr="0013765B">
              <w:rPr>
                <w:sz w:val="20"/>
                <w:szCs w:val="20"/>
              </w:rPr>
              <w:t>Record equipment leaks data at bulk terminals</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0.1</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4</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0.4</w:t>
            </w: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87</w:t>
            </w: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34.8</w:t>
            </w: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1.74</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3.48</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right"/>
              <w:rPr>
                <w:sz w:val="20"/>
                <w:szCs w:val="20"/>
              </w:rPr>
            </w:pPr>
            <w:r w:rsidRPr="0013765B">
              <w:rPr>
                <w:sz w:val="20"/>
                <w:szCs w:val="20"/>
              </w:rPr>
              <w:t>$3,912.72</w:t>
            </w:r>
          </w:p>
        </w:tc>
      </w:tr>
      <w:tr w:rsidR="0077445C"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39702C" w:rsidRDefault="00B113A6" w:rsidP="00B113A6">
            <w:pPr>
              <w:widowControl/>
              <w:autoSpaceDE/>
              <w:autoSpaceDN/>
              <w:adjustRightInd/>
              <w:ind w:left="199" w:hanging="199"/>
              <w:rPr>
                <w:sz w:val="20"/>
                <w:szCs w:val="20"/>
              </w:rPr>
            </w:pPr>
            <w:r>
              <w:rPr>
                <w:sz w:val="20"/>
                <w:szCs w:val="20"/>
              </w:rPr>
              <w:t xml:space="preserve">   </w:t>
            </w:r>
            <w:r w:rsidR="0039702C">
              <w:rPr>
                <w:sz w:val="20"/>
                <w:szCs w:val="20"/>
              </w:rPr>
              <w:t xml:space="preserve"> </w:t>
            </w:r>
            <w:r>
              <w:rPr>
                <w:sz w:val="20"/>
                <w:szCs w:val="20"/>
              </w:rPr>
              <w:t xml:space="preserve"> </w:t>
            </w:r>
            <w:r w:rsidR="00C237FC" w:rsidRPr="0013765B">
              <w:rPr>
                <w:sz w:val="20"/>
                <w:szCs w:val="20"/>
              </w:rPr>
              <w:t>Record equipment leaks data at pipeline breakout</w:t>
            </w:r>
          </w:p>
          <w:p w:rsidR="00C237FC" w:rsidRPr="0013765B" w:rsidRDefault="0039702C" w:rsidP="00B113A6">
            <w:pPr>
              <w:widowControl/>
              <w:autoSpaceDE/>
              <w:autoSpaceDN/>
              <w:adjustRightInd/>
              <w:ind w:left="199" w:hanging="199"/>
              <w:rPr>
                <w:sz w:val="20"/>
                <w:szCs w:val="20"/>
              </w:rPr>
            </w:pPr>
            <w:r>
              <w:rPr>
                <w:sz w:val="20"/>
                <w:szCs w:val="20"/>
              </w:rPr>
              <w:t xml:space="preserve">  </w:t>
            </w:r>
            <w:r w:rsidR="00C237FC" w:rsidRPr="0013765B">
              <w:rPr>
                <w:sz w:val="20"/>
                <w:szCs w:val="20"/>
              </w:rPr>
              <w:t xml:space="preserve"> </w:t>
            </w:r>
            <w:r>
              <w:rPr>
                <w:sz w:val="20"/>
                <w:szCs w:val="20"/>
              </w:rPr>
              <w:t xml:space="preserve">  </w:t>
            </w:r>
            <w:r w:rsidR="00C237FC" w:rsidRPr="0013765B">
              <w:rPr>
                <w:sz w:val="20"/>
                <w:szCs w:val="20"/>
              </w:rPr>
              <w:t>stations</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0.1</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12</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1.2</w:t>
            </w: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15</w:t>
            </w: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18</w:t>
            </w: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0.90</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1.80</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right"/>
              <w:rPr>
                <w:sz w:val="20"/>
                <w:szCs w:val="20"/>
              </w:rPr>
            </w:pPr>
            <w:r w:rsidRPr="0013765B">
              <w:rPr>
                <w:sz w:val="20"/>
                <w:szCs w:val="20"/>
              </w:rPr>
              <w:t>$2,023.82</w:t>
            </w:r>
          </w:p>
        </w:tc>
      </w:tr>
      <w:tr w:rsidR="0077445C"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B113A6" w:rsidP="00B113A6">
            <w:pPr>
              <w:widowControl/>
              <w:autoSpaceDE/>
              <w:autoSpaceDN/>
              <w:adjustRightInd/>
              <w:ind w:left="199" w:hanging="199"/>
              <w:rPr>
                <w:sz w:val="20"/>
                <w:szCs w:val="20"/>
              </w:rPr>
            </w:pPr>
            <w:r>
              <w:rPr>
                <w:sz w:val="20"/>
                <w:szCs w:val="20"/>
              </w:rPr>
              <w:t xml:space="preserve">    </w:t>
            </w:r>
            <w:r w:rsidR="0039702C">
              <w:rPr>
                <w:sz w:val="20"/>
                <w:szCs w:val="20"/>
              </w:rPr>
              <w:t xml:space="preserve"> </w:t>
            </w:r>
            <w:r w:rsidR="00C237FC" w:rsidRPr="0013765B">
              <w:rPr>
                <w:sz w:val="20"/>
                <w:szCs w:val="20"/>
              </w:rPr>
              <w:t>Record storage tank seal inspection results</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51</w:t>
            </w: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51</w:t>
            </w: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2.55</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2F0E00" w:rsidP="00C237FC">
            <w:pPr>
              <w:widowControl/>
              <w:autoSpaceDE/>
              <w:autoSpaceDN/>
              <w:adjustRightInd/>
              <w:jc w:val="center"/>
              <w:rPr>
                <w:sz w:val="20"/>
                <w:szCs w:val="20"/>
              </w:rPr>
            </w:pPr>
            <w:r>
              <w:rPr>
                <w:sz w:val="20"/>
                <w:szCs w:val="20"/>
              </w:rPr>
              <w:t>5.1</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right"/>
              <w:rPr>
                <w:sz w:val="20"/>
                <w:szCs w:val="20"/>
              </w:rPr>
            </w:pPr>
            <w:r w:rsidRPr="0013765B">
              <w:rPr>
                <w:sz w:val="20"/>
                <w:szCs w:val="20"/>
              </w:rPr>
              <w:t>$5,734.16</w:t>
            </w:r>
          </w:p>
        </w:tc>
      </w:tr>
      <w:tr w:rsidR="0077445C"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B113A6" w:rsidP="00B113A6">
            <w:pPr>
              <w:widowControl/>
              <w:autoSpaceDE/>
              <w:autoSpaceDN/>
              <w:adjustRightInd/>
              <w:ind w:left="199" w:hanging="199"/>
              <w:rPr>
                <w:sz w:val="20"/>
                <w:szCs w:val="20"/>
              </w:rPr>
            </w:pPr>
            <w:r>
              <w:rPr>
                <w:sz w:val="20"/>
                <w:szCs w:val="20"/>
              </w:rPr>
              <w:t xml:space="preserve">  </w:t>
            </w:r>
            <w:r w:rsidR="0039702C">
              <w:rPr>
                <w:sz w:val="20"/>
                <w:szCs w:val="20"/>
              </w:rPr>
              <w:t xml:space="preserve"> </w:t>
            </w:r>
            <w:r>
              <w:rPr>
                <w:sz w:val="20"/>
                <w:szCs w:val="20"/>
              </w:rPr>
              <w:t xml:space="preserve"> </w:t>
            </w:r>
            <w:r w:rsidR="0039702C">
              <w:rPr>
                <w:sz w:val="20"/>
                <w:szCs w:val="20"/>
              </w:rPr>
              <w:t xml:space="preserve"> </w:t>
            </w:r>
            <w:r w:rsidR="00C237FC" w:rsidRPr="0013765B">
              <w:rPr>
                <w:sz w:val="20"/>
                <w:szCs w:val="20"/>
              </w:rPr>
              <w:t>Records of startups, shutdowns, malfunctions, etc.</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4</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4</w:t>
            </w: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51</w:t>
            </w: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204</w:t>
            </w: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10.2</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20.4</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right"/>
              <w:rPr>
                <w:sz w:val="20"/>
                <w:szCs w:val="20"/>
              </w:rPr>
            </w:pPr>
            <w:r w:rsidRPr="0013765B">
              <w:rPr>
                <w:sz w:val="20"/>
                <w:szCs w:val="20"/>
              </w:rPr>
              <w:t>$22,936.64</w:t>
            </w:r>
          </w:p>
        </w:tc>
      </w:tr>
      <w:tr w:rsidR="0077445C" w:rsidRPr="0013765B" w:rsidTr="0077445C">
        <w:trPr>
          <w:trHeight w:val="28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B113A6" w:rsidP="00C237FC">
            <w:pPr>
              <w:widowControl/>
              <w:autoSpaceDE/>
              <w:autoSpaceDN/>
              <w:adjustRightInd/>
              <w:rPr>
                <w:sz w:val="20"/>
                <w:szCs w:val="20"/>
              </w:rPr>
            </w:pPr>
            <w:r>
              <w:rPr>
                <w:sz w:val="20"/>
                <w:szCs w:val="20"/>
              </w:rPr>
              <w:t xml:space="preserve">    </w:t>
            </w:r>
            <w:r w:rsidR="0039702C">
              <w:rPr>
                <w:sz w:val="20"/>
                <w:szCs w:val="20"/>
              </w:rPr>
              <w:t xml:space="preserve"> </w:t>
            </w:r>
            <w:r w:rsidR="00C237FC" w:rsidRPr="0013765B">
              <w:rPr>
                <w:sz w:val="20"/>
                <w:szCs w:val="20"/>
              </w:rPr>
              <w:t>Area source recordkeeping:</w:t>
            </w:r>
            <w:r>
              <w:rPr>
                <w:sz w:val="20"/>
                <w:szCs w:val="20"/>
              </w:rPr>
              <w:t xml:space="preserve"> </w:t>
            </w:r>
            <w:r w:rsidR="00C237FC" w:rsidRPr="0013765B">
              <w:rPr>
                <w:sz w:val="20"/>
                <w:szCs w:val="20"/>
                <w:vertAlign w:val="superscript"/>
              </w:rPr>
              <w:t>i</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0.25</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1.0</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0.25</w:t>
            </w: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A5016" w:rsidP="00C237FC">
            <w:pPr>
              <w:widowControl/>
              <w:autoSpaceDE/>
              <w:autoSpaceDN/>
              <w:adjustRightInd/>
              <w:jc w:val="center"/>
              <w:rPr>
                <w:sz w:val="20"/>
                <w:szCs w:val="20"/>
              </w:rPr>
            </w:pPr>
            <w:r>
              <w:rPr>
                <w:sz w:val="20"/>
                <w:szCs w:val="20"/>
              </w:rPr>
              <w:t>390</w:t>
            </w: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A5016" w:rsidP="00C237FC">
            <w:pPr>
              <w:widowControl/>
              <w:autoSpaceDE/>
              <w:autoSpaceDN/>
              <w:adjustRightInd/>
              <w:jc w:val="center"/>
              <w:rPr>
                <w:sz w:val="20"/>
                <w:szCs w:val="20"/>
              </w:rPr>
            </w:pPr>
            <w:r>
              <w:rPr>
                <w:sz w:val="20"/>
                <w:szCs w:val="20"/>
              </w:rPr>
              <w:t>97.5</w:t>
            </w: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A5016" w:rsidP="00C237FC">
            <w:pPr>
              <w:widowControl/>
              <w:autoSpaceDE/>
              <w:autoSpaceDN/>
              <w:adjustRightInd/>
              <w:jc w:val="center"/>
              <w:rPr>
                <w:sz w:val="20"/>
                <w:szCs w:val="20"/>
              </w:rPr>
            </w:pPr>
            <w:r>
              <w:rPr>
                <w:sz w:val="20"/>
                <w:szCs w:val="20"/>
              </w:rPr>
              <w:t>4.88</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A5016" w:rsidP="00C237FC">
            <w:pPr>
              <w:widowControl/>
              <w:autoSpaceDE/>
              <w:autoSpaceDN/>
              <w:adjustRightInd/>
              <w:jc w:val="center"/>
              <w:rPr>
                <w:sz w:val="20"/>
                <w:szCs w:val="20"/>
              </w:rPr>
            </w:pPr>
            <w:r>
              <w:rPr>
                <w:sz w:val="20"/>
                <w:szCs w:val="20"/>
              </w:rPr>
              <w:t>9.75</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CA5016" w:rsidP="00C237FC">
            <w:pPr>
              <w:widowControl/>
              <w:autoSpaceDE/>
              <w:autoSpaceDN/>
              <w:adjustRightInd/>
              <w:jc w:val="right"/>
              <w:rPr>
                <w:sz w:val="20"/>
                <w:szCs w:val="20"/>
              </w:rPr>
            </w:pPr>
            <w:r>
              <w:rPr>
                <w:sz w:val="20"/>
                <w:szCs w:val="20"/>
              </w:rPr>
              <w:t>$10,962.36</w:t>
            </w:r>
          </w:p>
        </w:tc>
      </w:tr>
      <w:tr w:rsidR="0077445C"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F.  Time to train personnel</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102</w:t>
            </w: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102</w:t>
            </w: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5.1</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10.2</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right"/>
              <w:rPr>
                <w:sz w:val="20"/>
                <w:szCs w:val="20"/>
              </w:rPr>
            </w:pPr>
            <w:r w:rsidRPr="0013765B">
              <w:rPr>
                <w:sz w:val="20"/>
                <w:szCs w:val="20"/>
              </w:rPr>
              <w:t>$11,468.32</w:t>
            </w:r>
          </w:p>
        </w:tc>
      </w:tr>
      <w:tr w:rsidR="0077445C" w:rsidRPr="0013765B" w:rsidTr="0077445C">
        <w:trPr>
          <w:trHeight w:val="49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G. Time to adjust existing ways to comply with previously applicable requirements</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N/A</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right"/>
              <w:rPr>
                <w:sz w:val="20"/>
                <w:szCs w:val="20"/>
              </w:rPr>
            </w:pPr>
          </w:p>
        </w:tc>
      </w:tr>
      <w:tr w:rsidR="002F0B65"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H. Time to transmit information</w:t>
            </w:r>
          </w:p>
        </w:tc>
        <w:tc>
          <w:tcPr>
            <w:tcW w:w="3960" w:type="dxa"/>
            <w:gridSpan w:val="3"/>
            <w:tcBorders>
              <w:top w:val="single" w:sz="4" w:space="0" w:color="auto"/>
              <w:left w:val="single" w:sz="4" w:space="0" w:color="auto"/>
              <w:bottom w:val="single" w:sz="4" w:space="0" w:color="auto"/>
              <w:right w:val="nil"/>
            </w:tcBorders>
            <w:shd w:val="clear" w:color="auto" w:fill="auto"/>
            <w:noWrap/>
            <w:vAlign w:val="bottom"/>
            <w:hideMark/>
          </w:tcPr>
          <w:p w:rsidR="00C237FC" w:rsidRPr="0013765B" w:rsidRDefault="00C237FC" w:rsidP="005B1F63">
            <w:pPr>
              <w:widowControl/>
              <w:autoSpaceDE/>
              <w:autoSpaceDN/>
              <w:adjustRightInd/>
              <w:rPr>
                <w:sz w:val="20"/>
                <w:szCs w:val="20"/>
              </w:rPr>
            </w:pPr>
            <w:r w:rsidRPr="0013765B">
              <w:rPr>
                <w:sz w:val="20"/>
                <w:szCs w:val="20"/>
              </w:rPr>
              <w:t xml:space="preserve">---------Included in </w:t>
            </w:r>
            <w:r w:rsidR="007153B8">
              <w:rPr>
                <w:sz w:val="20"/>
                <w:szCs w:val="20"/>
              </w:rPr>
              <w:t>4</w:t>
            </w:r>
            <w:r w:rsidRPr="0013765B">
              <w:rPr>
                <w:sz w:val="20"/>
                <w:szCs w:val="20"/>
              </w:rPr>
              <w:t>E-----------------</w:t>
            </w:r>
          </w:p>
        </w:tc>
        <w:tc>
          <w:tcPr>
            <w:tcW w:w="1346" w:type="dxa"/>
            <w:tcBorders>
              <w:top w:val="nil"/>
              <w:left w:val="nil"/>
              <w:bottom w:val="single" w:sz="4" w:space="0" w:color="auto"/>
              <w:right w:val="nil"/>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w:t>
            </w:r>
          </w:p>
        </w:tc>
        <w:tc>
          <w:tcPr>
            <w:tcW w:w="1135" w:type="dxa"/>
            <w:tcBorders>
              <w:top w:val="nil"/>
              <w:left w:val="nil"/>
              <w:bottom w:val="single" w:sz="4" w:space="0" w:color="auto"/>
              <w:right w:val="nil"/>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w:t>
            </w:r>
          </w:p>
        </w:tc>
        <w:tc>
          <w:tcPr>
            <w:tcW w:w="1338" w:type="dxa"/>
            <w:tcBorders>
              <w:top w:val="nil"/>
              <w:left w:val="nil"/>
              <w:bottom w:val="single" w:sz="4" w:space="0" w:color="auto"/>
              <w:right w:val="nil"/>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right"/>
              <w:rPr>
                <w:sz w:val="20"/>
                <w:szCs w:val="20"/>
              </w:rPr>
            </w:pPr>
            <w:r w:rsidRPr="0013765B">
              <w:rPr>
                <w:sz w:val="20"/>
                <w:szCs w:val="20"/>
              </w:rPr>
              <w:t> </w:t>
            </w:r>
          </w:p>
        </w:tc>
      </w:tr>
      <w:tr w:rsidR="0077445C" w:rsidRPr="0013765B" w:rsidTr="0077445C">
        <w:trPr>
          <w:trHeight w:val="28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rPr>
                <w:sz w:val="20"/>
                <w:szCs w:val="20"/>
              </w:rPr>
            </w:pPr>
            <w:r w:rsidRPr="0013765B">
              <w:rPr>
                <w:sz w:val="20"/>
                <w:szCs w:val="20"/>
              </w:rPr>
              <w:t>I.  Time for audits:</w:t>
            </w:r>
            <w:r w:rsidR="0013765B">
              <w:rPr>
                <w:sz w:val="20"/>
                <w:szCs w:val="20"/>
              </w:rPr>
              <w:t xml:space="preserve"> </w:t>
            </w:r>
            <w:r w:rsidRPr="0013765B">
              <w:rPr>
                <w:sz w:val="20"/>
                <w:szCs w:val="20"/>
                <w:vertAlign w:val="superscript"/>
              </w:rPr>
              <w:t>j</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N/A</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right"/>
              <w:rPr>
                <w:sz w:val="20"/>
                <w:szCs w:val="20"/>
              </w:rPr>
            </w:pPr>
          </w:p>
        </w:tc>
      </w:tr>
      <w:tr w:rsidR="0077445C"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13765B" w:rsidP="0013765B">
            <w:pPr>
              <w:widowControl/>
              <w:autoSpaceDE/>
              <w:autoSpaceDN/>
              <w:adjustRightInd/>
              <w:ind w:left="171" w:hanging="171"/>
              <w:rPr>
                <w:sz w:val="20"/>
                <w:szCs w:val="20"/>
              </w:rPr>
            </w:pPr>
            <w:r>
              <w:rPr>
                <w:sz w:val="20"/>
                <w:szCs w:val="20"/>
              </w:rPr>
              <w:t xml:space="preserve">     </w:t>
            </w:r>
            <w:r w:rsidR="00C237FC" w:rsidRPr="0013765B">
              <w:rPr>
                <w:sz w:val="20"/>
                <w:szCs w:val="20"/>
              </w:rPr>
              <w:t>Bulk gasoline terminals</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6</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6</w:t>
            </w: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22</w:t>
            </w: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132</w:t>
            </w: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6.6</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13.2</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right"/>
              <w:rPr>
                <w:sz w:val="20"/>
                <w:szCs w:val="20"/>
              </w:rPr>
            </w:pPr>
            <w:r w:rsidRPr="0013765B">
              <w:rPr>
                <w:sz w:val="20"/>
                <w:szCs w:val="20"/>
              </w:rPr>
              <w:t>$14,841.35</w:t>
            </w:r>
          </w:p>
        </w:tc>
      </w:tr>
      <w:tr w:rsidR="0077445C"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C237FC" w:rsidRPr="0013765B" w:rsidRDefault="0013765B" w:rsidP="00C237FC">
            <w:pPr>
              <w:widowControl/>
              <w:autoSpaceDE/>
              <w:autoSpaceDN/>
              <w:adjustRightInd/>
              <w:rPr>
                <w:sz w:val="20"/>
                <w:szCs w:val="20"/>
              </w:rPr>
            </w:pPr>
            <w:r>
              <w:rPr>
                <w:sz w:val="20"/>
                <w:szCs w:val="20"/>
              </w:rPr>
              <w:lastRenderedPageBreak/>
              <w:t xml:space="preserve">     </w:t>
            </w:r>
            <w:r w:rsidR="00C237FC" w:rsidRPr="0013765B">
              <w:rPr>
                <w:sz w:val="20"/>
                <w:szCs w:val="20"/>
              </w:rPr>
              <w:t>Pipeline breakout stations</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4</w:t>
            </w:r>
          </w:p>
        </w:tc>
        <w:tc>
          <w:tcPr>
            <w:tcW w:w="144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4</w:t>
            </w:r>
          </w:p>
        </w:tc>
        <w:tc>
          <w:tcPr>
            <w:tcW w:w="134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4</w:t>
            </w:r>
          </w:p>
        </w:tc>
        <w:tc>
          <w:tcPr>
            <w:tcW w:w="1135"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16</w:t>
            </w:r>
          </w:p>
        </w:tc>
        <w:tc>
          <w:tcPr>
            <w:tcW w:w="1338"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0.8</w:t>
            </w:r>
          </w:p>
        </w:tc>
        <w:tc>
          <w:tcPr>
            <w:tcW w:w="1204"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center"/>
              <w:rPr>
                <w:sz w:val="20"/>
                <w:szCs w:val="20"/>
              </w:rPr>
            </w:pPr>
            <w:r w:rsidRPr="0013765B">
              <w:rPr>
                <w:sz w:val="20"/>
                <w:szCs w:val="20"/>
              </w:rPr>
              <w:t>1.6</w:t>
            </w:r>
          </w:p>
        </w:tc>
        <w:tc>
          <w:tcPr>
            <w:tcW w:w="1366" w:type="dxa"/>
            <w:tcBorders>
              <w:top w:val="nil"/>
              <w:left w:val="nil"/>
              <w:bottom w:val="single" w:sz="4" w:space="0" w:color="auto"/>
              <w:right w:val="single" w:sz="4" w:space="0" w:color="auto"/>
            </w:tcBorders>
            <w:shd w:val="clear" w:color="auto" w:fill="auto"/>
            <w:noWrap/>
            <w:vAlign w:val="bottom"/>
            <w:hideMark/>
          </w:tcPr>
          <w:p w:rsidR="00C237FC" w:rsidRPr="0013765B" w:rsidRDefault="00C237FC" w:rsidP="00C237FC">
            <w:pPr>
              <w:widowControl/>
              <w:autoSpaceDE/>
              <w:autoSpaceDN/>
              <w:adjustRightInd/>
              <w:jc w:val="right"/>
              <w:rPr>
                <w:sz w:val="20"/>
                <w:szCs w:val="20"/>
              </w:rPr>
            </w:pPr>
            <w:r w:rsidRPr="0013765B">
              <w:rPr>
                <w:sz w:val="20"/>
                <w:szCs w:val="20"/>
              </w:rPr>
              <w:t>$1,798.95</w:t>
            </w:r>
          </w:p>
        </w:tc>
      </w:tr>
      <w:tr w:rsidR="0077445C"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13765B" w:rsidRPr="0013765B" w:rsidRDefault="002F0B65" w:rsidP="0013765B">
            <w:pPr>
              <w:widowControl/>
              <w:autoSpaceDE/>
              <w:autoSpaceDN/>
              <w:adjustRightInd/>
              <w:rPr>
                <w:b/>
                <w:bCs/>
                <w:sz w:val="20"/>
                <w:szCs w:val="20"/>
              </w:rPr>
            </w:pPr>
            <w:r>
              <w:rPr>
                <w:b/>
                <w:bCs/>
                <w:sz w:val="20"/>
                <w:szCs w:val="20"/>
              </w:rPr>
              <w:t>Subtotal for Recordkeeping Requirements</w:t>
            </w:r>
            <w:r w:rsidR="0013765B" w:rsidRPr="0013765B">
              <w:rPr>
                <w:b/>
                <w:bCs/>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rsidR="0013765B" w:rsidRPr="0013765B" w:rsidRDefault="0013765B" w:rsidP="00C237FC">
            <w:pPr>
              <w:widowControl/>
              <w:autoSpaceDE/>
              <w:autoSpaceDN/>
              <w:adjustRightInd/>
              <w:jc w:val="center"/>
              <w:rPr>
                <w:sz w:val="20"/>
                <w:szCs w:val="20"/>
              </w:rPr>
            </w:pPr>
            <w:r w:rsidRPr="0013765B">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13765B" w:rsidRPr="0013765B" w:rsidRDefault="0013765B" w:rsidP="00C237FC">
            <w:pPr>
              <w:widowControl/>
              <w:autoSpaceDE/>
              <w:autoSpaceDN/>
              <w:adjustRightInd/>
              <w:jc w:val="center"/>
              <w:rPr>
                <w:sz w:val="20"/>
                <w:szCs w:val="20"/>
              </w:rPr>
            </w:pPr>
            <w:r w:rsidRPr="0013765B">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13765B" w:rsidRPr="0013765B" w:rsidRDefault="0013765B" w:rsidP="00C237FC">
            <w:pPr>
              <w:widowControl/>
              <w:autoSpaceDE/>
              <w:autoSpaceDN/>
              <w:adjustRightInd/>
              <w:jc w:val="center"/>
              <w:rPr>
                <w:sz w:val="20"/>
                <w:szCs w:val="20"/>
              </w:rPr>
            </w:pPr>
            <w:r w:rsidRPr="0013765B">
              <w:rPr>
                <w:sz w:val="20"/>
                <w:szCs w:val="20"/>
              </w:rPr>
              <w:t> </w:t>
            </w:r>
          </w:p>
        </w:tc>
        <w:tc>
          <w:tcPr>
            <w:tcW w:w="1346" w:type="dxa"/>
            <w:tcBorders>
              <w:top w:val="nil"/>
              <w:left w:val="nil"/>
              <w:bottom w:val="single" w:sz="4" w:space="0" w:color="auto"/>
              <w:right w:val="single" w:sz="4" w:space="0" w:color="auto"/>
            </w:tcBorders>
            <w:shd w:val="clear" w:color="auto" w:fill="auto"/>
            <w:noWrap/>
            <w:vAlign w:val="bottom"/>
            <w:hideMark/>
          </w:tcPr>
          <w:p w:rsidR="0013765B" w:rsidRPr="0013765B" w:rsidRDefault="0013765B" w:rsidP="00C237FC">
            <w:pPr>
              <w:widowControl/>
              <w:autoSpaceDE/>
              <w:autoSpaceDN/>
              <w:adjustRightInd/>
              <w:jc w:val="center"/>
              <w:rPr>
                <w:sz w:val="20"/>
                <w:szCs w:val="20"/>
              </w:rPr>
            </w:pPr>
            <w:r w:rsidRPr="0013765B">
              <w:rPr>
                <w:sz w:val="20"/>
                <w:szCs w:val="20"/>
              </w:rPr>
              <w:t> </w:t>
            </w:r>
          </w:p>
        </w:tc>
        <w:tc>
          <w:tcPr>
            <w:tcW w:w="3677" w:type="dxa"/>
            <w:gridSpan w:val="3"/>
            <w:tcBorders>
              <w:top w:val="nil"/>
              <w:left w:val="nil"/>
              <w:bottom w:val="single" w:sz="4" w:space="0" w:color="auto"/>
              <w:right w:val="single" w:sz="4" w:space="0" w:color="auto"/>
            </w:tcBorders>
            <w:shd w:val="clear" w:color="auto" w:fill="auto"/>
            <w:noWrap/>
            <w:vAlign w:val="bottom"/>
            <w:hideMark/>
          </w:tcPr>
          <w:p w:rsidR="0013765B" w:rsidRPr="0013765B" w:rsidRDefault="0013765B" w:rsidP="00CA5016">
            <w:pPr>
              <w:widowControl/>
              <w:autoSpaceDE/>
              <w:autoSpaceDN/>
              <w:adjustRightInd/>
              <w:jc w:val="center"/>
              <w:rPr>
                <w:b/>
                <w:bCs/>
                <w:sz w:val="20"/>
                <w:szCs w:val="20"/>
              </w:rPr>
            </w:pPr>
            <w:r w:rsidRPr="0013765B">
              <w:rPr>
                <w:b/>
                <w:bCs/>
                <w:sz w:val="20"/>
                <w:szCs w:val="20"/>
              </w:rPr>
              <w:t>13,</w:t>
            </w:r>
            <w:r w:rsidR="00CA5016">
              <w:rPr>
                <w:b/>
                <w:bCs/>
                <w:sz w:val="20"/>
                <w:szCs w:val="20"/>
              </w:rPr>
              <w:t>070</w:t>
            </w:r>
          </w:p>
        </w:tc>
        <w:tc>
          <w:tcPr>
            <w:tcW w:w="1366" w:type="dxa"/>
            <w:tcBorders>
              <w:top w:val="nil"/>
              <w:left w:val="nil"/>
              <w:bottom w:val="single" w:sz="4" w:space="0" w:color="auto"/>
              <w:right w:val="single" w:sz="4" w:space="0" w:color="auto"/>
            </w:tcBorders>
            <w:shd w:val="clear" w:color="auto" w:fill="auto"/>
            <w:noWrap/>
            <w:vAlign w:val="bottom"/>
            <w:hideMark/>
          </w:tcPr>
          <w:p w:rsidR="0013765B" w:rsidRPr="0013765B" w:rsidRDefault="00CA5016" w:rsidP="00C237FC">
            <w:pPr>
              <w:widowControl/>
              <w:autoSpaceDE/>
              <w:autoSpaceDN/>
              <w:adjustRightInd/>
              <w:jc w:val="right"/>
              <w:rPr>
                <w:b/>
                <w:bCs/>
                <w:sz w:val="20"/>
                <w:szCs w:val="20"/>
              </w:rPr>
            </w:pPr>
            <w:r>
              <w:rPr>
                <w:b/>
                <w:bCs/>
                <w:sz w:val="20"/>
                <w:szCs w:val="20"/>
              </w:rPr>
              <w:t>$1,277,85</w:t>
            </w:r>
            <w:r w:rsidR="002B50CC">
              <w:rPr>
                <w:b/>
                <w:bCs/>
                <w:sz w:val="20"/>
                <w:szCs w:val="20"/>
              </w:rPr>
              <w:t>1.82</w:t>
            </w:r>
          </w:p>
        </w:tc>
      </w:tr>
      <w:tr w:rsidR="0077445C" w:rsidRPr="0013765B" w:rsidTr="0077445C">
        <w:trPr>
          <w:trHeight w:val="255"/>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3765B" w:rsidRPr="0013765B" w:rsidRDefault="0013765B" w:rsidP="00C237FC">
            <w:pPr>
              <w:widowControl/>
              <w:autoSpaceDE/>
              <w:autoSpaceDN/>
              <w:adjustRightInd/>
              <w:rPr>
                <w:b/>
                <w:bCs/>
                <w:sz w:val="20"/>
                <w:szCs w:val="20"/>
              </w:rPr>
            </w:pPr>
            <w:r w:rsidRPr="0013765B">
              <w:rPr>
                <w:b/>
                <w:bCs/>
                <w:sz w:val="20"/>
                <w:szCs w:val="20"/>
              </w:rPr>
              <w:t>TOTAL ANNUAL BURDEN</w:t>
            </w:r>
            <w:r w:rsidR="002F0B65">
              <w:rPr>
                <w:b/>
                <w:bCs/>
                <w:sz w:val="20"/>
                <w:szCs w:val="20"/>
              </w:rPr>
              <w:t xml:space="preserve"> AND COST (rounded)</w:t>
            </w:r>
          </w:p>
        </w:tc>
        <w:tc>
          <w:tcPr>
            <w:tcW w:w="1260" w:type="dxa"/>
            <w:tcBorders>
              <w:top w:val="nil"/>
              <w:left w:val="nil"/>
              <w:bottom w:val="single" w:sz="4" w:space="0" w:color="auto"/>
              <w:right w:val="single" w:sz="4" w:space="0" w:color="auto"/>
            </w:tcBorders>
            <w:shd w:val="clear" w:color="auto" w:fill="auto"/>
            <w:noWrap/>
            <w:vAlign w:val="bottom"/>
            <w:hideMark/>
          </w:tcPr>
          <w:p w:rsidR="0013765B" w:rsidRPr="0013765B" w:rsidRDefault="0013765B" w:rsidP="00C237FC">
            <w:pPr>
              <w:widowControl/>
              <w:autoSpaceDE/>
              <w:autoSpaceDN/>
              <w:adjustRightInd/>
              <w:jc w:val="center"/>
              <w:rPr>
                <w:sz w:val="20"/>
                <w:szCs w:val="20"/>
              </w:rPr>
            </w:pPr>
            <w:r w:rsidRPr="0013765B">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13765B" w:rsidRPr="0013765B" w:rsidRDefault="0013765B" w:rsidP="00C237FC">
            <w:pPr>
              <w:widowControl/>
              <w:autoSpaceDE/>
              <w:autoSpaceDN/>
              <w:adjustRightInd/>
              <w:jc w:val="center"/>
              <w:rPr>
                <w:sz w:val="20"/>
                <w:szCs w:val="20"/>
              </w:rPr>
            </w:pPr>
            <w:r w:rsidRPr="0013765B">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13765B" w:rsidRPr="0013765B" w:rsidRDefault="0013765B" w:rsidP="00C237FC">
            <w:pPr>
              <w:widowControl/>
              <w:autoSpaceDE/>
              <w:autoSpaceDN/>
              <w:adjustRightInd/>
              <w:jc w:val="center"/>
              <w:rPr>
                <w:sz w:val="20"/>
                <w:szCs w:val="20"/>
              </w:rPr>
            </w:pPr>
            <w:r w:rsidRPr="0013765B">
              <w:rPr>
                <w:sz w:val="20"/>
                <w:szCs w:val="20"/>
              </w:rPr>
              <w:t> </w:t>
            </w:r>
          </w:p>
        </w:tc>
        <w:tc>
          <w:tcPr>
            <w:tcW w:w="1346" w:type="dxa"/>
            <w:tcBorders>
              <w:top w:val="nil"/>
              <w:left w:val="nil"/>
              <w:bottom w:val="single" w:sz="4" w:space="0" w:color="auto"/>
              <w:right w:val="single" w:sz="4" w:space="0" w:color="auto"/>
            </w:tcBorders>
            <w:shd w:val="clear" w:color="auto" w:fill="auto"/>
            <w:noWrap/>
            <w:vAlign w:val="bottom"/>
            <w:hideMark/>
          </w:tcPr>
          <w:p w:rsidR="0013765B" w:rsidRPr="0013765B" w:rsidRDefault="0013765B" w:rsidP="00C237FC">
            <w:pPr>
              <w:widowControl/>
              <w:autoSpaceDE/>
              <w:autoSpaceDN/>
              <w:adjustRightInd/>
              <w:jc w:val="center"/>
              <w:rPr>
                <w:sz w:val="20"/>
                <w:szCs w:val="20"/>
              </w:rPr>
            </w:pPr>
            <w:r w:rsidRPr="0013765B">
              <w:rPr>
                <w:sz w:val="20"/>
                <w:szCs w:val="20"/>
              </w:rPr>
              <w:t> </w:t>
            </w:r>
          </w:p>
        </w:tc>
        <w:tc>
          <w:tcPr>
            <w:tcW w:w="3677" w:type="dxa"/>
            <w:gridSpan w:val="3"/>
            <w:tcBorders>
              <w:top w:val="nil"/>
              <w:left w:val="nil"/>
              <w:bottom w:val="single" w:sz="4" w:space="0" w:color="auto"/>
              <w:right w:val="single" w:sz="4" w:space="0" w:color="auto"/>
            </w:tcBorders>
            <w:shd w:val="clear" w:color="auto" w:fill="auto"/>
            <w:noWrap/>
            <w:vAlign w:val="bottom"/>
            <w:hideMark/>
          </w:tcPr>
          <w:p w:rsidR="0013765B" w:rsidRPr="0013765B" w:rsidRDefault="0013765B" w:rsidP="00CA5016">
            <w:pPr>
              <w:widowControl/>
              <w:autoSpaceDE/>
              <w:autoSpaceDN/>
              <w:adjustRightInd/>
              <w:jc w:val="center"/>
              <w:rPr>
                <w:b/>
                <w:bCs/>
                <w:sz w:val="20"/>
                <w:szCs w:val="20"/>
              </w:rPr>
            </w:pPr>
            <w:r w:rsidRPr="0013765B">
              <w:rPr>
                <w:sz w:val="20"/>
                <w:szCs w:val="20"/>
              </w:rPr>
              <w:t> </w:t>
            </w:r>
            <w:r w:rsidRPr="0013765B">
              <w:rPr>
                <w:b/>
                <w:bCs/>
                <w:sz w:val="20"/>
                <w:szCs w:val="20"/>
              </w:rPr>
              <w:t>15,</w:t>
            </w:r>
            <w:r w:rsidR="00CA5016">
              <w:rPr>
                <w:b/>
                <w:bCs/>
                <w:sz w:val="20"/>
                <w:szCs w:val="20"/>
              </w:rPr>
              <w:t>823</w:t>
            </w:r>
          </w:p>
        </w:tc>
        <w:tc>
          <w:tcPr>
            <w:tcW w:w="1366" w:type="dxa"/>
            <w:tcBorders>
              <w:top w:val="nil"/>
              <w:left w:val="nil"/>
              <w:bottom w:val="single" w:sz="4" w:space="0" w:color="auto"/>
              <w:right w:val="single" w:sz="4" w:space="0" w:color="auto"/>
            </w:tcBorders>
            <w:shd w:val="clear" w:color="auto" w:fill="auto"/>
            <w:noWrap/>
            <w:vAlign w:val="bottom"/>
            <w:hideMark/>
          </w:tcPr>
          <w:p w:rsidR="0013765B" w:rsidRPr="0013765B" w:rsidRDefault="00CA5016" w:rsidP="00C237FC">
            <w:pPr>
              <w:widowControl/>
              <w:autoSpaceDE/>
              <w:autoSpaceDN/>
              <w:adjustRightInd/>
              <w:jc w:val="right"/>
              <w:rPr>
                <w:b/>
                <w:bCs/>
                <w:sz w:val="20"/>
                <w:szCs w:val="20"/>
              </w:rPr>
            </w:pPr>
            <w:r>
              <w:rPr>
                <w:b/>
                <w:bCs/>
                <w:sz w:val="20"/>
                <w:szCs w:val="20"/>
              </w:rPr>
              <w:t>$1,547,020</w:t>
            </w:r>
          </w:p>
        </w:tc>
      </w:tr>
    </w:tbl>
    <w:p w:rsidR="00C237FC" w:rsidRDefault="00C237FC">
      <w:pPr>
        <w:rPr>
          <w:b/>
          <w:bCs/>
          <w:color w:val="000000"/>
        </w:rPr>
      </w:pPr>
    </w:p>
    <w:tbl>
      <w:tblPr>
        <w:tblW w:w="13590" w:type="dxa"/>
        <w:tblInd w:w="-342" w:type="dxa"/>
        <w:tblLook w:val="0000"/>
      </w:tblPr>
      <w:tblGrid>
        <w:gridCol w:w="342"/>
        <w:gridCol w:w="3618"/>
        <w:gridCol w:w="1350"/>
        <w:gridCol w:w="1350"/>
        <w:gridCol w:w="1173"/>
        <w:gridCol w:w="784"/>
        <w:gridCol w:w="1050"/>
        <w:gridCol w:w="1403"/>
        <w:gridCol w:w="1350"/>
        <w:gridCol w:w="1016"/>
        <w:gridCol w:w="154"/>
      </w:tblGrid>
      <w:tr w:rsidR="00CF09DE" w:rsidRPr="00203837" w:rsidTr="00010D1C">
        <w:trPr>
          <w:gridBefore w:val="1"/>
          <w:gridAfter w:val="1"/>
          <w:wBefore w:w="342" w:type="dxa"/>
          <w:wAfter w:w="154" w:type="dxa"/>
          <w:trHeight w:val="255"/>
        </w:trPr>
        <w:tc>
          <w:tcPr>
            <w:tcW w:w="13094" w:type="dxa"/>
            <w:gridSpan w:val="9"/>
            <w:noWrap/>
          </w:tcPr>
          <w:p w:rsidR="00CF09DE" w:rsidRPr="00203837" w:rsidRDefault="00C03168" w:rsidP="00203837">
            <w:pPr>
              <w:widowControl/>
              <w:autoSpaceDE/>
              <w:autoSpaceDN/>
              <w:adjustRightInd/>
              <w:rPr>
                <w:sz w:val="20"/>
                <w:szCs w:val="20"/>
                <w:u w:val="single"/>
              </w:rPr>
            </w:pPr>
            <w:r>
              <w:rPr>
                <w:sz w:val="20"/>
                <w:szCs w:val="20"/>
                <w:u w:val="single"/>
              </w:rPr>
              <w:t>Assumptions:</w:t>
            </w:r>
          </w:p>
        </w:tc>
      </w:tr>
      <w:tr w:rsidR="00CF09DE" w:rsidRPr="00203837" w:rsidTr="00010D1C">
        <w:trPr>
          <w:gridBefore w:val="1"/>
          <w:gridAfter w:val="1"/>
          <w:wBefore w:w="342" w:type="dxa"/>
          <w:wAfter w:w="154" w:type="dxa"/>
          <w:trHeight w:val="555"/>
        </w:trPr>
        <w:tc>
          <w:tcPr>
            <w:tcW w:w="13094" w:type="dxa"/>
            <w:gridSpan w:val="9"/>
          </w:tcPr>
          <w:p w:rsidR="00010D1C" w:rsidRDefault="00B77EF1" w:rsidP="00203837">
            <w:pPr>
              <w:widowControl/>
              <w:autoSpaceDE/>
              <w:autoSpaceDN/>
              <w:adjustRightInd/>
              <w:rPr>
                <w:sz w:val="20"/>
                <w:szCs w:val="20"/>
              </w:rPr>
            </w:pPr>
            <w:r w:rsidRPr="00B77EF1">
              <w:rPr>
                <w:sz w:val="20"/>
                <w:szCs w:val="20"/>
                <w:vertAlign w:val="superscript"/>
              </w:rPr>
              <w:t xml:space="preserve">a  </w:t>
            </w:r>
            <w:r w:rsidR="00C03168">
              <w:rPr>
                <w:sz w:val="20"/>
                <w:szCs w:val="20"/>
              </w:rPr>
              <w:t>We have estimated that there are 102 respondents, comprised of 87 bulk terminals and 15 pipeline breakout stations, which are major sources of HAPs subject to this NESHAP.  We have also estimated that no new respondents will become subject to the regulation in the next three years.</w:t>
            </w:r>
          </w:p>
          <w:p w:rsidR="00010D1C" w:rsidRDefault="00010D1C" w:rsidP="00203837">
            <w:pPr>
              <w:widowControl/>
              <w:autoSpaceDE/>
              <w:autoSpaceDN/>
              <w:adjustRightInd/>
              <w:rPr>
                <w:sz w:val="20"/>
                <w:szCs w:val="20"/>
              </w:rPr>
            </w:pPr>
            <w:r w:rsidRPr="00B77EF1">
              <w:rPr>
                <w:sz w:val="20"/>
                <w:szCs w:val="20"/>
                <w:vertAlign w:val="superscript"/>
              </w:rPr>
              <w:t>b</w:t>
            </w:r>
            <w:r>
              <w:rPr>
                <w:sz w:val="20"/>
                <w:szCs w:val="20"/>
              </w:rPr>
              <w:t xml:space="preserve">  The labor rates are from the United States Department of Labor, Bureau of Labor Statistics, September 2012, “Table 2. Civilian Workers, by occupational and industry group.”  The rates are from column 1, “Total compensation.”  The rate has been increased by 110 percent to account for the benefit packages available to those employed by private industry.</w:t>
            </w:r>
          </w:p>
          <w:p w:rsidR="00010D1C" w:rsidRDefault="00010D1C" w:rsidP="00203837">
            <w:pPr>
              <w:widowControl/>
              <w:autoSpaceDE/>
              <w:autoSpaceDN/>
              <w:adjustRightInd/>
              <w:rPr>
                <w:sz w:val="20"/>
                <w:szCs w:val="20"/>
              </w:rPr>
            </w:pPr>
            <w:r w:rsidRPr="00B77EF1">
              <w:rPr>
                <w:sz w:val="20"/>
                <w:szCs w:val="20"/>
                <w:vertAlign w:val="superscript"/>
              </w:rPr>
              <w:t>c</w:t>
            </w:r>
            <w:r>
              <w:rPr>
                <w:sz w:val="20"/>
                <w:szCs w:val="20"/>
              </w:rPr>
              <w:t xml:space="preserve">  We have assumed that existing respondents are in compliance with initial rule requirements.  New respondents would have to comply with the initial rule requirements including notifications and performance tests for add-on control devices. </w:t>
            </w:r>
          </w:p>
          <w:p w:rsidR="00010D1C" w:rsidRDefault="00010D1C" w:rsidP="00203837">
            <w:pPr>
              <w:widowControl/>
              <w:autoSpaceDE/>
              <w:autoSpaceDN/>
              <w:adjustRightInd/>
              <w:rPr>
                <w:sz w:val="20"/>
                <w:szCs w:val="20"/>
              </w:rPr>
            </w:pPr>
            <w:r w:rsidRPr="00B77EF1">
              <w:rPr>
                <w:sz w:val="20"/>
                <w:szCs w:val="20"/>
                <w:vertAlign w:val="superscript"/>
              </w:rPr>
              <w:t>d</w:t>
            </w:r>
            <w:r>
              <w:rPr>
                <w:sz w:val="20"/>
                <w:szCs w:val="20"/>
              </w:rPr>
              <w:t xml:space="preserve">  Performance tests are required for vapor processing and collection systems: Method 27 for pressure, Method 21 for leak detection testing at cargo tanks.  Annual certification test for cargo tanks using Methods 21 and 27 is required.  However, we have assumed that 50 percent of the respondents that are major sources are currently subject to test requirements equivalent to the requirements of Bulk Gasoline Terminal NSPS (40 CFR part 60, subpart XX) and Volatile Organic Liquid (VOL) storage NSPS (40 CFR part 60, subparts K, Ka, and Kb) or the storage tank EPA Control Technique Guidelines (CTG) for pipeline breakout stations.</w:t>
            </w:r>
          </w:p>
          <w:p w:rsidR="00010D1C" w:rsidRDefault="00010D1C" w:rsidP="00203837">
            <w:pPr>
              <w:widowControl/>
              <w:autoSpaceDE/>
              <w:autoSpaceDN/>
              <w:adjustRightInd/>
              <w:rPr>
                <w:sz w:val="20"/>
                <w:szCs w:val="20"/>
              </w:rPr>
            </w:pPr>
            <w:r w:rsidRPr="00B77EF1">
              <w:rPr>
                <w:sz w:val="20"/>
                <w:szCs w:val="20"/>
                <w:vertAlign w:val="superscript"/>
              </w:rPr>
              <w:t>e</w:t>
            </w:r>
            <w:r>
              <w:rPr>
                <w:sz w:val="20"/>
                <w:szCs w:val="20"/>
              </w:rPr>
              <w:t xml:space="preserve">  We have estimated that there is a total of 1,560 area sources (i.e., 1,100 bulk gasoline terminal and 460 pipeline breakout stations), of which 25 percent will be within 50 percent of major source threshold criteria (i.e., 390) and will be required to submit conduct an annual certification testing. </w:t>
            </w:r>
          </w:p>
          <w:p w:rsidR="00010D1C" w:rsidRDefault="00010D1C" w:rsidP="00203837">
            <w:pPr>
              <w:widowControl/>
              <w:autoSpaceDE/>
              <w:autoSpaceDN/>
              <w:adjustRightInd/>
              <w:rPr>
                <w:sz w:val="20"/>
                <w:szCs w:val="20"/>
              </w:rPr>
            </w:pPr>
            <w:r w:rsidRPr="00B77EF1">
              <w:rPr>
                <w:sz w:val="20"/>
                <w:szCs w:val="20"/>
                <w:vertAlign w:val="superscript"/>
              </w:rPr>
              <w:t>f</w:t>
            </w:r>
            <w:r>
              <w:rPr>
                <w:sz w:val="20"/>
                <w:szCs w:val="20"/>
              </w:rPr>
              <w:t xml:space="preserve">  Respondents that are major sources of HAPs (i.e., 87 bulk terminals and 15 pipeline breakout stations) are required to submit semiannual compliance reports.  We have assumed that 60 percent of the sources (i.e., 61.2 respondents, comprised of 52.2 bulk terminals and 9 pipeline breakout stations) would be required to submit semiannual reports under the NESHAP subpart R since the remaining 40 percent are already complying with similar reporting requirements under NSPS reporting requirements equivalent to the Bulk Gasoline Terminal NSPS (40 CFR part 60, subpart XX) for bulk terminals and the VOL storage NSPS (40 CFR part 60, subparts K, Ka, and Kb) or storage tank CTG’s for pipeline breakout stations. </w:t>
            </w:r>
          </w:p>
          <w:p w:rsidR="00010D1C" w:rsidRDefault="00010D1C" w:rsidP="00203837">
            <w:pPr>
              <w:widowControl/>
              <w:autoSpaceDE/>
              <w:autoSpaceDN/>
              <w:adjustRightInd/>
              <w:rPr>
                <w:sz w:val="20"/>
                <w:szCs w:val="20"/>
              </w:rPr>
            </w:pPr>
            <w:r w:rsidRPr="00B77EF1">
              <w:rPr>
                <w:sz w:val="20"/>
                <w:szCs w:val="20"/>
                <w:vertAlign w:val="superscript"/>
              </w:rPr>
              <w:t>g</w:t>
            </w:r>
            <w:r>
              <w:rPr>
                <w:sz w:val="20"/>
                <w:szCs w:val="20"/>
              </w:rPr>
              <w:t xml:space="preserve">  We have assumed that 60 percent of the 102 respondents (i.e., 61.2) are required to maintain cargo tank implementation files.</w:t>
            </w:r>
          </w:p>
          <w:p w:rsidR="00010D1C" w:rsidRDefault="00010D1C" w:rsidP="00203837">
            <w:pPr>
              <w:widowControl/>
              <w:autoSpaceDE/>
              <w:autoSpaceDN/>
              <w:adjustRightInd/>
              <w:rPr>
                <w:sz w:val="20"/>
                <w:szCs w:val="20"/>
              </w:rPr>
            </w:pPr>
            <w:r w:rsidRPr="00B77EF1">
              <w:rPr>
                <w:sz w:val="20"/>
                <w:szCs w:val="20"/>
                <w:vertAlign w:val="superscript"/>
              </w:rPr>
              <w:t>h</w:t>
            </w:r>
            <w:r>
              <w:rPr>
                <w:sz w:val="20"/>
                <w:szCs w:val="20"/>
              </w:rPr>
              <w:t xml:space="preserve">  We have assumed that respondents already have the technology and recordkeeping systems in place to monitor its daily operations and to comply with existing regulations.</w:t>
            </w:r>
          </w:p>
          <w:p w:rsidR="00010D1C" w:rsidRDefault="00010D1C" w:rsidP="00203837">
            <w:pPr>
              <w:widowControl/>
              <w:autoSpaceDE/>
              <w:autoSpaceDN/>
              <w:adjustRightInd/>
              <w:rPr>
                <w:color w:val="000000"/>
                <w:sz w:val="20"/>
                <w:szCs w:val="20"/>
              </w:rPr>
            </w:pPr>
            <w:r w:rsidRPr="00B77EF1">
              <w:rPr>
                <w:sz w:val="20"/>
                <w:szCs w:val="20"/>
                <w:vertAlign w:val="superscript"/>
              </w:rPr>
              <w:t xml:space="preserve">i </w:t>
            </w:r>
            <w:r w:rsidRPr="00B77EF1">
              <w:rPr>
                <w:sz w:val="20"/>
                <w:szCs w:val="20"/>
              </w:rPr>
              <w:t xml:space="preserve"> We have assumed that 25</w:t>
            </w:r>
            <w:r>
              <w:rPr>
                <w:color w:val="000000"/>
                <w:sz w:val="20"/>
                <w:szCs w:val="20"/>
              </w:rPr>
              <w:t xml:space="preserve"> percent of area source facilities (i.e., 390) will be required to keep annual records of their area source status using the screening equation.</w:t>
            </w:r>
          </w:p>
          <w:p w:rsidR="00010D1C" w:rsidRDefault="00010D1C" w:rsidP="00203837">
            <w:pPr>
              <w:widowControl/>
              <w:autoSpaceDE/>
              <w:autoSpaceDN/>
              <w:adjustRightInd/>
              <w:rPr>
                <w:sz w:val="20"/>
                <w:szCs w:val="20"/>
              </w:rPr>
            </w:pPr>
            <w:r w:rsidRPr="00B77EF1">
              <w:rPr>
                <w:sz w:val="20"/>
                <w:szCs w:val="20"/>
                <w:vertAlign w:val="superscript"/>
              </w:rPr>
              <w:t>j</w:t>
            </w:r>
            <w:r w:rsidRPr="00B77EF1">
              <w:rPr>
                <w:sz w:val="20"/>
                <w:szCs w:val="20"/>
              </w:rPr>
              <w:t xml:space="preserve">  We have assumed that 25 percent of respondents (i.e., 22 bulk terminals and 4 pipeline breakout stations) will conduct audits.</w:t>
            </w:r>
          </w:p>
          <w:p w:rsidR="00844E40" w:rsidRDefault="00844E40" w:rsidP="00203837">
            <w:pPr>
              <w:widowControl/>
              <w:autoSpaceDE/>
              <w:autoSpaceDN/>
              <w:adjustRightInd/>
              <w:rPr>
                <w:sz w:val="20"/>
                <w:szCs w:val="20"/>
              </w:rPr>
            </w:pPr>
          </w:p>
          <w:p w:rsidR="00010D1C" w:rsidRDefault="00010D1C" w:rsidP="00010D1C">
            <w:pPr>
              <w:rPr>
                <w:bCs/>
                <w:color w:val="FF0000"/>
              </w:rPr>
            </w:pPr>
            <w:r w:rsidRPr="00F55827">
              <w:rPr>
                <w:b/>
                <w:bCs/>
                <w:color w:val="000000"/>
              </w:rPr>
              <w:lastRenderedPageBreak/>
              <w:t>Table 2: Average Annual EPA Burden and Cost – NESHAP for Gasoline Distribution Facilities (40 CFR Part 63, Subpart R) (Renewal)</w:t>
            </w:r>
            <w:r>
              <w:rPr>
                <w:bCs/>
                <w:color w:val="FF0000"/>
              </w:rPr>
              <w:t xml:space="preserve">    </w:t>
            </w:r>
          </w:p>
          <w:p w:rsidR="00010D1C" w:rsidRPr="00010D1C" w:rsidRDefault="00010D1C" w:rsidP="00010D1C">
            <w:pPr>
              <w:rPr>
                <w:bCs/>
                <w:color w:val="FF0000"/>
              </w:rPr>
            </w:pPr>
            <w:r>
              <w:rPr>
                <w:sz w:val="20"/>
                <w:szCs w:val="20"/>
              </w:rPr>
              <w:t xml:space="preserve"> </w:t>
            </w:r>
          </w:p>
        </w:tc>
      </w:tr>
      <w:tr w:rsidR="00CF09DE" w:rsidRPr="0013765B" w:rsidTr="00010D1C">
        <w:trPr>
          <w:trHeight w:val="1545"/>
        </w:trPr>
        <w:tc>
          <w:tcPr>
            <w:tcW w:w="3960" w:type="dxa"/>
            <w:gridSpan w:val="2"/>
            <w:tcBorders>
              <w:top w:val="single" w:sz="4" w:space="0" w:color="auto"/>
              <w:left w:val="single" w:sz="4" w:space="0" w:color="auto"/>
              <w:bottom w:val="single" w:sz="4" w:space="0" w:color="auto"/>
              <w:right w:val="nil"/>
            </w:tcBorders>
            <w:shd w:val="clear" w:color="auto" w:fill="FFFFFF" w:themeFill="background1"/>
            <w:vAlign w:val="center"/>
          </w:tcPr>
          <w:p w:rsidR="00CF09DE" w:rsidRPr="0013765B" w:rsidRDefault="00010D1C" w:rsidP="00010D1C">
            <w:pPr>
              <w:widowControl/>
              <w:autoSpaceDE/>
              <w:autoSpaceDN/>
              <w:adjustRightInd/>
              <w:jc w:val="center"/>
              <w:rPr>
                <w:b/>
                <w:sz w:val="20"/>
                <w:szCs w:val="20"/>
              </w:rPr>
            </w:pPr>
            <w:r>
              <w:rPr>
                <w:b/>
                <w:sz w:val="20"/>
                <w:szCs w:val="20"/>
              </w:rPr>
              <w:lastRenderedPageBreak/>
              <w:t>Activity</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CF09DE" w:rsidRPr="0013765B" w:rsidRDefault="00C03168" w:rsidP="00B73D4D">
            <w:pPr>
              <w:widowControl/>
              <w:autoSpaceDE/>
              <w:autoSpaceDN/>
              <w:adjustRightInd/>
              <w:jc w:val="center"/>
              <w:rPr>
                <w:b/>
                <w:sz w:val="20"/>
                <w:szCs w:val="20"/>
              </w:rPr>
            </w:pPr>
            <w:r w:rsidRPr="0013765B">
              <w:rPr>
                <w:b/>
                <w:sz w:val="20"/>
                <w:szCs w:val="20"/>
              </w:rPr>
              <w:t>(A)</w:t>
            </w:r>
            <w:r w:rsidRPr="0013765B">
              <w:rPr>
                <w:b/>
                <w:sz w:val="20"/>
                <w:szCs w:val="20"/>
              </w:rPr>
              <w:br/>
              <w:t>EPA Hours per Occur</w:t>
            </w:r>
            <w:r w:rsidR="002D08B2">
              <w:rPr>
                <w:b/>
                <w:sz w:val="20"/>
                <w:szCs w:val="20"/>
              </w:rPr>
              <w:t>r</w:t>
            </w:r>
            <w:r w:rsidRPr="0013765B">
              <w:rPr>
                <w:b/>
                <w:sz w:val="20"/>
                <w:szCs w:val="20"/>
              </w:rPr>
              <w:t xml:space="preserve">ence  hours        </w:t>
            </w:r>
          </w:p>
        </w:tc>
        <w:tc>
          <w:tcPr>
            <w:tcW w:w="1350" w:type="dxa"/>
            <w:tcBorders>
              <w:top w:val="single" w:sz="4" w:space="0" w:color="auto"/>
              <w:left w:val="nil"/>
              <w:bottom w:val="single" w:sz="4" w:space="0" w:color="auto"/>
              <w:right w:val="single" w:sz="4" w:space="0" w:color="auto"/>
            </w:tcBorders>
            <w:shd w:val="clear" w:color="auto" w:fill="FFFFFF" w:themeFill="background1"/>
          </w:tcPr>
          <w:p w:rsidR="00CF09DE" w:rsidRPr="0013765B" w:rsidRDefault="00C03168" w:rsidP="008D6931">
            <w:pPr>
              <w:widowControl/>
              <w:autoSpaceDE/>
              <w:autoSpaceDN/>
              <w:adjustRightInd/>
              <w:jc w:val="center"/>
              <w:rPr>
                <w:b/>
                <w:sz w:val="20"/>
                <w:szCs w:val="20"/>
              </w:rPr>
            </w:pPr>
            <w:r w:rsidRPr="0013765B">
              <w:rPr>
                <w:b/>
                <w:sz w:val="20"/>
                <w:szCs w:val="20"/>
              </w:rPr>
              <w:t>(B)</w:t>
            </w:r>
            <w:r w:rsidRPr="0013765B">
              <w:rPr>
                <w:b/>
                <w:sz w:val="20"/>
                <w:szCs w:val="20"/>
              </w:rPr>
              <w:br/>
              <w:t>Number of Occur</w:t>
            </w:r>
            <w:r w:rsidR="002D08B2">
              <w:rPr>
                <w:b/>
                <w:sz w:val="20"/>
                <w:szCs w:val="20"/>
              </w:rPr>
              <w:t>r</w:t>
            </w:r>
            <w:r w:rsidRPr="0013765B">
              <w:rPr>
                <w:b/>
                <w:sz w:val="20"/>
                <w:szCs w:val="20"/>
              </w:rPr>
              <w:t xml:space="preserve">ences per Plant per Year </w:t>
            </w:r>
          </w:p>
        </w:tc>
        <w:tc>
          <w:tcPr>
            <w:tcW w:w="1173" w:type="dxa"/>
            <w:tcBorders>
              <w:top w:val="single" w:sz="4" w:space="0" w:color="auto"/>
              <w:left w:val="nil"/>
              <w:bottom w:val="single" w:sz="4" w:space="0" w:color="auto"/>
              <w:right w:val="single" w:sz="4" w:space="0" w:color="auto"/>
            </w:tcBorders>
            <w:shd w:val="clear" w:color="auto" w:fill="FFFFFF" w:themeFill="background1"/>
          </w:tcPr>
          <w:p w:rsidR="00CF09DE" w:rsidRPr="0013765B" w:rsidRDefault="00CF09DE" w:rsidP="008D6931">
            <w:pPr>
              <w:widowControl/>
              <w:autoSpaceDE/>
              <w:autoSpaceDN/>
              <w:adjustRightInd/>
              <w:jc w:val="center"/>
              <w:rPr>
                <w:b/>
                <w:sz w:val="20"/>
                <w:szCs w:val="20"/>
              </w:rPr>
            </w:pPr>
            <w:r w:rsidRPr="0013765B">
              <w:rPr>
                <w:b/>
                <w:sz w:val="20"/>
                <w:szCs w:val="20"/>
              </w:rPr>
              <w:t>(C)</w:t>
            </w:r>
            <w:r w:rsidRPr="0013765B">
              <w:rPr>
                <w:b/>
                <w:sz w:val="20"/>
                <w:szCs w:val="20"/>
              </w:rPr>
              <w:br/>
              <w:t>EPA Hours per Year</w:t>
            </w:r>
            <w:r w:rsidRPr="0013765B">
              <w:rPr>
                <w:b/>
                <w:sz w:val="20"/>
                <w:szCs w:val="20"/>
              </w:rPr>
              <w:br/>
              <w:t>(Ax</w:t>
            </w:r>
            <w:r w:rsidR="00C03168" w:rsidRPr="0013765B">
              <w:rPr>
                <w:b/>
                <w:sz w:val="20"/>
                <w:szCs w:val="20"/>
              </w:rPr>
              <w:t xml:space="preserve">B)          </w:t>
            </w:r>
          </w:p>
        </w:tc>
        <w:tc>
          <w:tcPr>
            <w:tcW w:w="784" w:type="dxa"/>
            <w:tcBorders>
              <w:top w:val="single" w:sz="4" w:space="0" w:color="auto"/>
              <w:left w:val="nil"/>
              <w:bottom w:val="single" w:sz="4" w:space="0" w:color="auto"/>
              <w:right w:val="single" w:sz="4" w:space="0" w:color="auto"/>
            </w:tcBorders>
            <w:shd w:val="clear" w:color="auto" w:fill="FFFFFF" w:themeFill="background1"/>
          </w:tcPr>
          <w:p w:rsidR="00CF09DE" w:rsidRPr="0013765B" w:rsidRDefault="00C03168" w:rsidP="008D6931">
            <w:pPr>
              <w:widowControl/>
              <w:autoSpaceDE/>
              <w:autoSpaceDN/>
              <w:adjustRightInd/>
              <w:jc w:val="center"/>
              <w:rPr>
                <w:b/>
                <w:sz w:val="20"/>
                <w:szCs w:val="20"/>
              </w:rPr>
            </w:pPr>
            <w:r w:rsidRPr="0013765B">
              <w:rPr>
                <w:b/>
                <w:sz w:val="20"/>
                <w:szCs w:val="20"/>
              </w:rPr>
              <w:t>(D)</w:t>
            </w:r>
            <w:r w:rsidRPr="0013765B">
              <w:rPr>
                <w:b/>
                <w:sz w:val="20"/>
                <w:szCs w:val="20"/>
              </w:rPr>
              <w:br/>
              <w:t>Plants per Year</w:t>
            </w:r>
            <w:r w:rsidRPr="0013765B">
              <w:rPr>
                <w:b/>
                <w:sz w:val="20"/>
                <w:szCs w:val="20"/>
                <w:vertAlign w:val="superscript"/>
              </w:rPr>
              <w:t xml:space="preserve"> a   </w:t>
            </w:r>
            <w:r w:rsidRPr="0013765B">
              <w:rPr>
                <w:b/>
                <w:sz w:val="20"/>
                <w:szCs w:val="20"/>
              </w:rPr>
              <w:t xml:space="preserve">              </w:t>
            </w:r>
          </w:p>
        </w:tc>
        <w:tc>
          <w:tcPr>
            <w:tcW w:w="1050" w:type="dxa"/>
            <w:tcBorders>
              <w:top w:val="single" w:sz="4" w:space="0" w:color="auto"/>
              <w:left w:val="nil"/>
              <w:bottom w:val="single" w:sz="4" w:space="0" w:color="auto"/>
              <w:right w:val="single" w:sz="4" w:space="0" w:color="auto"/>
            </w:tcBorders>
            <w:shd w:val="clear" w:color="auto" w:fill="FFFFFF" w:themeFill="background1"/>
          </w:tcPr>
          <w:p w:rsidR="00CF09DE" w:rsidRPr="0013765B" w:rsidRDefault="00C03168" w:rsidP="008D6931">
            <w:pPr>
              <w:widowControl/>
              <w:autoSpaceDE/>
              <w:autoSpaceDN/>
              <w:adjustRightInd/>
              <w:jc w:val="center"/>
              <w:rPr>
                <w:b/>
                <w:sz w:val="20"/>
                <w:szCs w:val="20"/>
              </w:rPr>
            </w:pPr>
            <w:r w:rsidRPr="0013765B">
              <w:rPr>
                <w:b/>
                <w:sz w:val="20"/>
                <w:szCs w:val="20"/>
              </w:rPr>
              <w:t xml:space="preserve">(E)            Technical Hours per Year  </w:t>
            </w:r>
            <w:r w:rsidR="00CF09DE" w:rsidRPr="0013765B">
              <w:rPr>
                <w:b/>
                <w:sz w:val="20"/>
                <w:szCs w:val="20"/>
              </w:rPr>
              <w:t xml:space="preserve">              @ $46.22   (Cx</w:t>
            </w:r>
            <w:r w:rsidRPr="0013765B">
              <w:rPr>
                <w:b/>
                <w:sz w:val="20"/>
                <w:szCs w:val="20"/>
              </w:rPr>
              <w:t xml:space="preserve">D)        </w:t>
            </w:r>
          </w:p>
        </w:tc>
        <w:tc>
          <w:tcPr>
            <w:tcW w:w="1403" w:type="dxa"/>
            <w:tcBorders>
              <w:top w:val="single" w:sz="4" w:space="0" w:color="auto"/>
              <w:left w:val="nil"/>
              <w:bottom w:val="single" w:sz="4" w:space="0" w:color="auto"/>
              <w:right w:val="single" w:sz="4" w:space="0" w:color="auto"/>
            </w:tcBorders>
            <w:shd w:val="clear" w:color="auto" w:fill="FFFFFF" w:themeFill="background1"/>
          </w:tcPr>
          <w:p w:rsidR="00CF09DE" w:rsidRPr="0013765B" w:rsidRDefault="00C03168" w:rsidP="008D6931">
            <w:pPr>
              <w:widowControl/>
              <w:autoSpaceDE/>
              <w:autoSpaceDN/>
              <w:adjustRightInd/>
              <w:jc w:val="center"/>
              <w:rPr>
                <w:b/>
                <w:sz w:val="20"/>
                <w:szCs w:val="20"/>
              </w:rPr>
            </w:pPr>
            <w:r w:rsidRPr="0013765B">
              <w:rPr>
                <w:b/>
                <w:sz w:val="20"/>
                <w:szCs w:val="20"/>
              </w:rPr>
              <w:t>(F)</w:t>
            </w:r>
            <w:r w:rsidRPr="0013765B">
              <w:rPr>
                <w:b/>
                <w:sz w:val="20"/>
                <w:szCs w:val="20"/>
              </w:rPr>
              <w:br/>
              <w:t>Management Ho</w:t>
            </w:r>
            <w:r w:rsidR="00CF09DE" w:rsidRPr="0013765B">
              <w:rPr>
                <w:b/>
                <w:sz w:val="20"/>
                <w:szCs w:val="20"/>
              </w:rPr>
              <w:t xml:space="preserve">urs per Year </w:t>
            </w:r>
            <w:r w:rsidR="00CF09DE" w:rsidRPr="0013765B">
              <w:rPr>
                <w:b/>
                <w:sz w:val="20"/>
                <w:szCs w:val="20"/>
              </w:rPr>
              <w:br/>
              <w:t xml:space="preserve"> @ $62.27</w:t>
            </w:r>
            <w:r w:rsidR="00CF09DE" w:rsidRPr="0013765B">
              <w:rPr>
                <w:b/>
                <w:sz w:val="20"/>
                <w:szCs w:val="20"/>
              </w:rPr>
              <w:br/>
              <w:t>(Ex</w:t>
            </w:r>
            <w:r w:rsidRPr="0013765B">
              <w:rPr>
                <w:b/>
                <w:sz w:val="20"/>
                <w:szCs w:val="20"/>
              </w:rPr>
              <w:t xml:space="preserve">0.05)        </w:t>
            </w:r>
          </w:p>
        </w:tc>
        <w:tc>
          <w:tcPr>
            <w:tcW w:w="1350" w:type="dxa"/>
            <w:tcBorders>
              <w:top w:val="single" w:sz="4" w:space="0" w:color="auto"/>
              <w:left w:val="nil"/>
              <w:bottom w:val="single" w:sz="4" w:space="0" w:color="auto"/>
              <w:right w:val="single" w:sz="4" w:space="0" w:color="auto"/>
            </w:tcBorders>
            <w:shd w:val="clear" w:color="auto" w:fill="FFFFFF" w:themeFill="background1"/>
          </w:tcPr>
          <w:p w:rsidR="00CF09DE" w:rsidRPr="0013765B" w:rsidRDefault="00C03168" w:rsidP="008D6931">
            <w:pPr>
              <w:widowControl/>
              <w:autoSpaceDE/>
              <w:autoSpaceDN/>
              <w:adjustRightInd/>
              <w:jc w:val="center"/>
              <w:rPr>
                <w:b/>
                <w:sz w:val="20"/>
                <w:szCs w:val="20"/>
              </w:rPr>
            </w:pPr>
            <w:r w:rsidRPr="0013765B">
              <w:rPr>
                <w:b/>
                <w:sz w:val="20"/>
                <w:szCs w:val="20"/>
              </w:rPr>
              <w:t>(G)</w:t>
            </w:r>
            <w:r w:rsidRPr="0013765B">
              <w:rPr>
                <w:b/>
                <w:sz w:val="20"/>
                <w:szCs w:val="20"/>
              </w:rPr>
              <w:br/>
              <w:t>Cleri</w:t>
            </w:r>
            <w:r w:rsidR="00CF09DE" w:rsidRPr="0013765B">
              <w:rPr>
                <w:b/>
                <w:sz w:val="20"/>
                <w:szCs w:val="20"/>
              </w:rPr>
              <w:t>cal Hours per Year</w:t>
            </w:r>
            <w:r w:rsidR="00CF09DE" w:rsidRPr="0013765B">
              <w:rPr>
                <w:b/>
                <w:sz w:val="20"/>
                <w:szCs w:val="20"/>
              </w:rPr>
              <w:br/>
              <w:t>@ $25.01</w:t>
            </w:r>
            <w:r w:rsidR="00CF09DE" w:rsidRPr="0013765B">
              <w:rPr>
                <w:b/>
                <w:sz w:val="20"/>
                <w:szCs w:val="20"/>
              </w:rPr>
              <w:br/>
              <w:t>(Ex</w:t>
            </w:r>
            <w:r w:rsidRPr="0013765B">
              <w:rPr>
                <w:b/>
                <w:sz w:val="20"/>
                <w:szCs w:val="20"/>
              </w:rPr>
              <w:t xml:space="preserve">0.1)        </w:t>
            </w:r>
          </w:p>
        </w:tc>
        <w:tc>
          <w:tcPr>
            <w:tcW w:w="1170" w:type="dxa"/>
            <w:gridSpan w:val="2"/>
            <w:tcBorders>
              <w:top w:val="single" w:sz="4" w:space="0" w:color="auto"/>
              <w:left w:val="nil"/>
              <w:bottom w:val="single" w:sz="4" w:space="0" w:color="auto"/>
              <w:right w:val="single" w:sz="4" w:space="0" w:color="auto"/>
            </w:tcBorders>
            <w:shd w:val="clear" w:color="auto" w:fill="FFFFFF" w:themeFill="background1"/>
          </w:tcPr>
          <w:p w:rsidR="00CF09DE" w:rsidRPr="0013765B" w:rsidRDefault="00C03168" w:rsidP="008D6931">
            <w:pPr>
              <w:widowControl/>
              <w:autoSpaceDE/>
              <w:autoSpaceDN/>
              <w:adjustRightInd/>
              <w:jc w:val="center"/>
              <w:rPr>
                <w:b/>
                <w:sz w:val="20"/>
                <w:szCs w:val="20"/>
              </w:rPr>
            </w:pPr>
            <w:r w:rsidRPr="0013765B">
              <w:rPr>
                <w:b/>
                <w:sz w:val="20"/>
                <w:szCs w:val="20"/>
              </w:rPr>
              <w:br/>
              <w:t>Costs per Year</w:t>
            </w:r>
            <w:r w:rsidR="008110D9">
              <w:rPr>
                <w:b/>
                <w:sz w:val="20"/>
                <w:szCs w:val="20"/>
              </w:rPr>
              <w:t xml:space="preserve"> </w:t>
            </w:r>
            <w:r w:rsidRPr="0013765B">
              <w:rPr>
                <w:b/>
                <w:sz w:val="20"/>
                <w:szCs w:val="20"/>
                <w:vertAlign w:val="superscript"/>
              </w:rPr>
              <w:t xml:space="preserve">b  </w:t>
            </w:r>
            <w:r w:rsidRPr="0013765B">
              <w:rPr>
                <w:b/>
                <w:sz w:val="20"/>
                <w:szCs w:val="20"/>
              </w:rPr>
              <w:t xml:space="preserve">                               </w:t>
            </w:r>
          </w:p>
        </w:tc>
      </w:tr>
      <w:tr w:rsidR="00CF09DE" w:rsidRPr="008D6931" w:rsidTr="00010D1C">
        <w:trPr>
          <w:trHeight w:val="255"/>
        </w:trPr>
        <w:tc>
          <w:tcPr>
            <w:tcW w:w="3960" w:type="dxa"/>
            <w:gridSpan w:val="2"/>
            <w:tcBorders>
              <w:top w:val="nil"/>
              <w:left w:val="single" w:sz="4" w:space="0" w:color="auto"/>
              <w:bottom w:val="single" w:sz="4" w:space="0" w:color="auto"/>
              <w:right w:val="nil"/>
            </w:tcBorders>
            <w:shd w:val="clear" w:color="auto" w:fill="FFFFFF" w:themeFill="background1"/>
            <w:noWrap/>
            <w:vAlign w:val="bottom"/>
          </w:tcPr>
          <w:p w:rsidR="00CF09DE" w:rsidRPr="00010D1C" w:rsidRDefault="00C03168" w:rsidP="008D6931">
            <w:pPr>
              <w:widowControl/>
              <w:autoSpaceDE/>
              <w:autoSpaceDN/>
              <w:adjustRightInd/>
              <w:rPr>
                <w:b/>
                <w:sz w:val="20"/>
                <w:szCs w:val="20"/>
              </w:rPr>
            </w:pPr>
            <w:r w:rsidRPr="00010D1C">
              <w:rPr>
                <w:b/>
                <w:sz w:val="20"/>
                <w:szCs w:val="20"/>
              </w:rPr>
              <w:t>REPORT REVIEW</w:t>
            </w:r>
          </w:p>
        </w:tc>
        <w:tc>
          <w:tcPr>
            <w:tcW w:w="1350" w:type="dxa"/>
            <w:tcBorders>
              <w:top w:val="nil"/>
              <w:left w:val="single" w:sz="4" w:space="0" w:color="auto"/>
              <w:bottom w:val="single" w:sz="4" w:space="0" w:color="auto"/>
              <w:right w:val="single" w:sz="4" w:space="0" w:color="auto"/>
            </w:tcBorders>
            <w:shd w:val="clear" w:color="auto" w:fill="FFFFFF" w:themeFill="background1"/>
            <w:noWrap/>
            <w:vAlign w:val="bottom"/>
          </w:tcPr>
          <w:p w:rsidR="00CF09DE" w:rsidRPr="008D6931" w:rsidRDefault="00C03168" w:rsidP="008D6931">
            <w:pPr>
              <w:widowControl/>
              <w:autoSpaceDE/>
              <w:autoSpaceDN/>
              <w:adjustRightInd/>
              <w:jc w:val="center"/>
              <w:rPr>
                <w:sz w:val="20"/>
                <w:szCs w:val="20"/>
              </w:rPr>
            </w:pPr>
            <w:r>
              <w:rPr>
                <w:sz w:val="20"/>
                <w:szCs w:val="20"/>
              </w:rPr>
              <w:t> </w:t>
            </w:r>
          </w:p>
        </w:tc>
        <w:tc>
          <w:tcPr>
            <w:tcW w:w="1350" w:type="dxa"/>
            <w:tcBorders>
              <w:top w:val="nil"/>
              <w:left w:val="nil"/>
              <w:bottom w:val="single" w:sz="4" w:space="0" w:color="auto"/>
              <w:right w:val="single" w:sz="4" w:space="0" w:color="auto"/>
            </w:tcBorders>
            <w:shd w:val="clear" w:color="auto" w:fill="FFFFFF" w:themeFill="background1"/>
            <w:noWrap/>
            <w:vAlign w:val="bottom"/>
          </w:tcPr>
          <w:p w:rsidR="00CF09DE" w:rsidRPr="008D6931" w:rsidRDefault="00C03168" w:rsidP="008D6931">
            <w:pPr>
              <w:widowControl/>
              <w:autoSpaceDE/>
              <w:autoSpaceDN/>
              <w:adjustRightInd/>
              <w:jc w:val="center"/>
              <w:rPr>
                <w:sz w:val="20"/>
                <w:szCs w:val="20"/>
              </w:rPr>
            </w:pPr>
            <w:r>
              <w:rPr>
                <w:sz w:val="20"/>
                <w:szCs w:val="20"/>
              </w:rPr>
              <w:t> </w:t>
            </w:r>
          </w:p>
        </w:tc>
        <w:tc>
          <w:tcPr>
            <w:tcW w:w="1173" w:type="dxa"/>
            <w:tcBorders>
              <w:top w:val="nil"/>
              <w:left w:val="nil"/>
              <w:bottom w:val="single" w:sz="4" w:space="0" w:color="auto"/>
              <w:right w:val="single" w:sz="4" w:space="0" w:color="auto"/>
            </w:tcBorders>
            <w:shd w:val="clear" w:color="auto" w:fill="FFFFFF" w:themeFill="background1"/>
            <w:noWrap/>
            <w:vAlign w:val="bottom"/>
          </w:tcPr>
          <w:p w:rsidR="00CF09DE" w:rsidRPr="008D6931" w:rsidRDefault="00C03168" w:rsidP="008D6931">
            <w:pPr>
              <w:widowControl/>
              <w:autoSpaceDE/>
              <w:autoSpaceDN/>
              <w:adjustRightInd/>
              <w:jc w:val="center"/>
              <w:rPr>
                <w:sz w:val="20"/>
                <w:szCs w:val="20"/>
              </w:rPr>
            </w:pPr>
            <w:r>
              <w:rPr>
                <w:sz w:val="20"/>
                <w:szCs w:val="20"/>
              </w:rPr>
              <w:t> </w:t>
            </w:r>
          </w:p>
        </w:tc>
        <w:tc>
          <w:tcPr>
            <w:tcW w:w="784" w:type="dxa"/>
            <w:tcBorders>
              <w:top w:val="nil"/>
              <w:left w:val="nil"/>
              <w:bottom w:val="single" w:sz="4" w:space="0" w:color="auto"/>
              <w:right w:val="single" w:sz="4" w:space="0" w:color="auto"/>
            </w:tcBorders>
            <w:shd w:val="clear" w:color="auto" w:fill="FFFFFF" w:themeFill="background1"/>
            <w:noWrap/>
            <w:vAlign w:val="bottom"/>
          </w:tcPr>
          <w:p w:rsidR="00CF09DE" w:rsidRPr="008D6931" w:rsidRDefault="00C03168" w:rsidP="008D6931">
            <w:pPr>
              <w:widowControl/>
              <w:autoSpaceDE/>
              <w:autoSpaceDN/>
              <w:adjustRightInd/>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FFFFFF" w:themeFill="background1"/>
            <w:noWrap/>
            <w:vAlign w:val="bottom"/>
          </w:tcPr>
          <w:p w:rsidR="00CF09DE" w:rsidRPr="008D6931" w:rsidRDefault="00C03168" w:rsidP="008D6931">
            <w:pPr>
              <w:widowControl/>
              <w:autoSpaceDE/>
              <w:autoSpaceDN/>
              <w:adjustRightInd/>
              <w:jc w:val="center"/>
              <w:rPr>
                <w:sz w:val="20"/>
                <w:szCs w:val="20"/>
              </w:rPr>
            </w:pPr>
            <w:r>
              <w:rPr>
                <w:sz w:val="20"/>
                <w:szCs w:val="20"/>
              </w:rPr>
              <w:t> </w:t>
            </w:r>
          </w:p>
        </w:tc>
        <w:tc>
          <w:tcPr>
            <w:tcW w:w="1403" w:type="dxa"/>
            <w:tcBorders>
              <w:top w:val="nil"/>
              <w:left w:val="nil"/>
              <w:bottom w:val="single" w:sz="4" w:space="0" w:color="auto"/>
              <w:right w:val="single" w:sz="4" w:space="0" w:color="auto"/>
            </w:tcBorders>
            <w:shd w:val="clear" w:color="auto" w:fill="FFFFFF" w:themeFill="background1"/>
            <w:noWrap/>
            <w:vAlign w:val="bottom"/>
          </w:tcPr>
          <w:p w:rsidR="00CF09DE" w:rsidRPr="008D6931" w:rsidRDefault="00C03168" w:rsidP="008D6931">
            <w:pPr>
              <w:widowControl/>
              <w:autoSpaceDE/>
              <w:autoSpaceDN/>
              <w:adjustRightInd/>
              <w:jc w:val="center"/>
              <w:rPr>
                <w:sz w:val="20"/>
                <w:szCs w:val="20"/>
              </w:rPr>
            </w:pPr>
            <w:r>
              <w:rPr>
                <w:sz w:val="20"/>
                <w:szCs w:val="20"/>
              </w:rPr>
              <w:t> </w:t>
            </w:r>
          </w:p>
        </w:tc>
        <w:tc>
          <w:tcPr>
            <w:tcW w:w="1350" w:type="dxa"/>
            <w:tcBorders>
              <w:top w:val="nil"/>
              <w:left w:val="nil"/>
              <w:bottom w:val="single" w:sz="4" w:space="0" w:color="auto"/>
              <w:right w:val="single" w:sz="4" w:space="0" w:color="auto"/>
            </w:tcBorders>
            <w:shd w:val="clear" w:color="auto" w:fill="FFFFFF" w:themeFill="background1"/>
            <w:noWrap/>
            <w:vAlign w:val="bottom"/>
          </w:tcPr>
          <w:p w:rsidR="00CF09DE" w:rsidRPr="008D6931" w:rsidRDefault="00C03168" w:rsidP="008D6931">
            <w:pPr>
              <w:widowControl/>
              <w:autoSpaceDE/>
              <w:autoSpaceDN/>
              <w:adjustRightInd/>
              <w:jc w:val="center"/>
              <w:rPr>
                <w:sz w:val="20"/>
                <w:szCs w:val="20"/>
              </w:rPr>
            </w:pPr>
            <w:r>
              <w:rPr>
                <w:sz w:val="20"/>
                <w:szCs w:val="20"/>
              </w:rPr>
              <w:t> </w:t>
            </w:r>
          </w:p>
        </w:tc>
        <w:tc>
          <w:tcPr>
            <w:tcW w:w="1170" w:type="dxa"/>
            <w:gridSpan w:val="2"/>
            <w:tcBorders>
              <w:top w:val="nil"/>
              <w:left w:val="nil"/>
              <w:bottom w:val="single" w:sz="4" w:space="0" w:color="auto"/>
              <w:right w:val="single" w:sz="4" w:space="0" w:color="auto"/>
            </w:tcBorders>
            <w:shd w:val="clear" w:color="auto" w:fill="FFFFFF" w:themeFill="background1"/>
            <w:noWrap/>
            <w:vAlign w:val="bottom"/>
          </w:tcPr>
          <w:p w:rsidR="00CF09DE" w:rsidRPr="008D6931" w:rsidRDefault="00C03168" w:rsidP="008D6931">
            <w:pPr>
              <w:widowControl/>
              <w:autoSpaceDE/>
              <w:autoSpaceDN/>
              <w:adjustRightInd/>
              <w:jc w:val="right"/>
              <w:rPr>
                <w:sz w:val="20"/>
                <w:szCs w:val="20"/>
              </w:rPr>
            </w:pPr>
            <w:r>
              <w:rPr>
                <w:sz w:val="20"/>
                <w:szCs w:val="20"/>
              </w:rPr>
              <w:t> </w:t>
            </w:r>
          </w:p>
        </w:tc>
      </w:tr>
      <w:tr w:rsidR="00CF09DE" w:rsidRPr="008D6931" w:rsidTr="00010D1C">
        <w:trPr>
          <w:trHeight w:val="255"/>
        </w:trPr>
        <w:tc>
          <w:tcPr>
            <w:tcW w:w="3960" w:type="dxa"/>
            <w:gridSpan w:val="2"/>
            <w:tcBorders>
              <w:top w:val="nil"/>
              <w:left w:val="single" w:sz="4" w:space="0" w:color="auto"/>
              <w:bottom w:val="single" w:sz="4" w:space="0" w:color="auto"/>
              <w:right w:val="single" w:sz="4" w:space="0" w:color="auto"/>
            </w:tcBorders>
            <w:noWrap/>
            <w:vAlign w:val="bottom"/>
          </w:tcPr>
          <w:p w:rsidR="00CF09DE" w:rsidRPr="008D6931" w:rsidRDefault="00C03168" w:rsidP="008D6931">
            <w:pPr>
              <w:widowControl/>
              <w:autoSpaceDE/>
              <w:autoSpaceDN/>
              <w:adjustRightInd/>
              <w:rPr>
                <w:sz w:val="20"/>
                <w:szCs w:val="20"/>
              </w:rPr>
            </w:pPr>
            <w:r>
              <w:rPr>
                <w:sz w:val="20"/>
                <w:szCs w:val="20"/>
              </w:rPr>
              <w:t>Notification of construction/reconstruction</w:t>
            </w:r>
          </w:p>
        </w:tc>
        <w:tc>
          <w:tcPr>
            <w:tcW w:w="1350" w:type="dxa"/>
            <w:tcBorders>
              <w:top w:val="nil"/>
              <w:left w:val="nil"/>
              <w:bottom w:val="single" w:sz="4" w:space="0" w:color="auto"/>
              <w:right w:val="single" w:sz="4" w:space="0" w:color="auto"/>
            </w:tcBorders>
            <w:noWrap/>
            <w:vAlign w:val="bottom"/>
          </w:tcPr>
          <w:p w:rsidR="00CF09DE" w:rsidRPr="008D6931" w:rsidRDefault="00010D1C" w:rsidP="008D6931">
            <w:pPr>
              <w:widowControl/>
              <w:autoSpaceDE/>
              <w:autoSpaceDN/>
              <w:adjustRightInd/>
              <w:jc w:val="center"/>
              <w:rPr>
                <w:sz w:val="20"/>
                <w:szCs w:val="20"/>
              </w:rPr>
            </w:pPr>
            <w:r>
              <w:rPr>
                <w:sz w:val="20"/>
                <w:szCs w:val="20"/>
              </w:rPr>
              <w:t>N/A</w:t>
            </w:r>
          </w:p>
        </w:tc>
        <w:tc>
          <w:tcPr>
            <w:tcW w:w="1350" w:type="dxa"/>
            <w:tcBorders>
              <w:top w:val="nil"/>
              <w:left w:val="nil"/>
              <w:bottom w:val="single" w:sz="4" w:space="0" w:color="auto"/>
              <w:right w:val="single" w:sz="4" w:space="0" w:color="auto"/>
            </w:tcBorders>
            <w:noWrap/>
            <w:vAlign w:val="bottom"/>
          </w:tcPr>
          <w:p w:rsidR="00CF09DE" w:rsidRPr="008D6931" w:rsidRDefault="00CF09DE" w:rsidP="008D6931">
            <w:pPr>
              <w:widowControl/>
              <w:autoSpaceDE/>
              <w:autoSpaceDN/>
              <w:adjustRightInd/>
              <w:jc w:val="center"/>
              <w:rPr>
                <w:sz w:val="20"/>
                <w:szCs w:val="20"/>
              </w:rPr>
            </w:pPr>
          </w:p>
        </w:tc>
        <w:tc>
          <w:tcPr>
            <w:tcW w:w="1173" w:type="dxa"/>
            <w:tcBorders>
              <w:top w:val="nil"/>
              <w:left w:val="nil"/>
              <w:bottom w:val="single" w:sz="4" w:space="0" w:color="auto"/>
              <w:right w:val="single" w:sz="4" w:space="0" w:color="auto"/>
            </w:tcBorders>
            <w:noWrap/>
            <w:vAlign w:val="bottom"/>
          </w:tcPr>
          <w:p w:rsidR="00CF09DE" w:rsidRPr="008D6931" w:rsidRDefault="00CF09DE" w:rsidP="008D6931">
            <w:pPr>
              <w:widowControl/>
              <w:autoSpaceDE/>
              <w:autoSpaceDN/>
              <w:adjustRightInd/>
              <w:jc w:val="center"/>
              <w:rPr>
                <w:sz w:val="20"/>
                <w:szCs w:val="20"/>
              </w:rPr>
            </w:pPr>
          </w:p>
        </w:tc>
        <w:tc>
          <w:tcPr>
            <w:tcW w:w="784" w:type="dxa"/>
            <w:tcBorders>
              <w:top w:val="nil"/>
              <w:left w:val="nil"/>
              <w:bottom w:val="single" w:sz="4" w:space="0" w:color="auto"/>
              <w:right w:val="single" w:sz="4" w:space="0" w:color="auto"/>
            </w:tcBorders>
            <w:noWrap/>
            <w:vAlign w:val="bottom"/>
          </w:tcPr>
          <w:p w:rsidR="00CF09DE" w:rsidRPr="008D6931" w:rsidRDefault="00CF09DE" w:rsidP="008D6931">
            <w:pPr>
              <w:widowControl/>
              <w:autoSpaceDE/>
              <w:autoSpaceDN/>
              <w:adjustRightInd/>
              <w:jc w:val="center"/>
              <w:rPr>
                <w:sz w:val="20"/>
                <w:szCs w:val="20"/>
              </w:rPr>
            </w:pPr>
          </w:p>
        </w:tc>
        <w:tc>
          <w:tcPr>
            <w:tcW w:w="1050" w:type="dxa"/>
            <w:tcBorders>
              <w:top w:val="nil"/>
              <w:left w:val="nil"/>
              <w:bottom w:val="single" w:sz="4" w:space="0" w:color="auto"/>
              <w:right w:val="single" w:sz="4" w:space="0" w:color="auto"/>
            </w:tcBorders>
            <w:noWrap/>
            <w:vAlign w:val="bottom"/>
          </w:tcPr>
          <w:p w:rsidR="00CF09DE" w:rsidRPr="008D6931" w:rsidRDefault="00CF09DE" w:rsidP="008D6931">
            <w:pPr>
              <w:widowControl/>
              <w:autoSpaceDE/>
              <w:autoSpaceDN/>
              <w:adjustRightInd/>
              <w:jc w:val="center"/>
              <w:rPr>
                <w:sz w:val="20"/>
                <w:szCs w:val="20"/>
              </w:rPr>
            </w:pPr>
          </w:p>
        </w:tc>
        <w:tc>
          <w:tcPr>
            <w:tcW w:w="1403" w:type="dxa"/>
            <w:tcBorders>
              <w:top w:val="nil"/>
              <w:left w:val="nil"/>
              <w:bottom w:val="single" w:sz="4" w:space="0" w:color="auto"/>
              <w:right w:val="single" w:sz="4" w:space="0" w:color="auto"/>
            </w:tcBorders>
            <w:noWrap/>
            <w:vAlign w:val="bottom"/>
          </w:tcPr>
          <w:p w:rsidR="00CF09DE" w:rsidRPr="008D6931" w:rsidRDefault="00CF09DE" w:rsidP="008D6931">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noWrap/>
            <w:vAlign w:val="bottom"/>
          </w:tcPr>
          <w:p w:rsidR="00CF09DE" w:rsidRPr="008D6931" w:rsidRDefault="00CF09DE" w:rsidP="008D6931">
            <w:pPr>
              <w:widowControl/>
              <w:autoSpaceDE/>
              <w:autoSpaceDN/>
              <w:adjustRightInd/>
              <w:jc w:val="center"/>
              <w:rPr>
                <w:sz w:val="20"/>
                <w:szCs w:val="20"/>
              </w:rPr>
            </w:pPr>
          </w:p>
        </w:tc>
        <w:tc>
          <w:tcPr>
            <w:tcW w:w="1170" w:type="dxa"/>
            <w:gridSpan w:val="2"/>
            <w:tcBorders>
              <w:top w:val="nil"/>
              <w:left w:val="nil"/>
              <w:bottom w:val="single" w:sz="4" w:space="0" w:color="auto"/>
              <w:right w:val="single" w:sz="4" w:space="0" w:color="auto"/>
            </w:tcBorders>
            <w:noWrap/>
            <w:vAlign w:val="bottom"/>
          </w:tcPr>
          <w:p w:rsidR="00CF09DE" w:rsidRPr="008D6931" w:rsidRDefault="00CF09DE" w:rsidP="008D6931">
            <w:pPr>
              <w:widowControl/>
              <w:autoSpaceDE/>
              <w:autoSpaceDN/>
              <w:adjustRightInd/>
              <w:jc w:val="center"/>
              <w:rPr>
                <w:sz w:val="20"/>
                <w:szCs w:val="20"/>
              </w:rPr>
            </w:pPr>
          </w:p>
        </w:tc>
      </w:tr>
      <w:tr w:rsidR="00CF09DE" w:rsidRPr="008D6931" w:rsidTr="00010D1C">
        <w:trPr>
          <w:trHeight w:val="255"/>
        </w:trPr>
        <w:tc>
          <w:tcPr>
            <w:tcW w:w="3960" w:type="dxa"/>
            <w:gridSpan w:val="2"/>
            <w:tcBorders>
              <w:top w:val="nil"/>
              <w:left w:val="single" w:sz="4" w:space="0" w:color="auto"/>
              <w:bottom w:val="single" w:sz="4" w:space="0" w:color="auto"/>
              <w:right w:val="single" w:sz="4" w:space="0" w:color="auto"/>
            </w:tcBorders>
            <w:noWrap/>
            <w:vAlign w:val="bottom"/>
          </w:tcPr>
          <w:p w:rsidR="00CF09DE" w:rsidRPr="008D6931" w:rsidRDefault="00C03168" w:rsidP="008D6931">
            <w:pPr>
              <w:widowControl/>
              <w:autoSpaceDE/>
              <w:autoSpaceDN/>
              <w:adjustRightInd/>
              <w:rPr>
                <w:sz w:val="20"/>
                <w:szCs w:val="20"/>
              </w:rPr>
            </w:pPr>
            <w:r>
              <w:rPr>
                <w:sz w:val="20"/>
                <w:szCs w:val="20"/>
              </w:rPr>
              <w:t xml:space="preserve">Notification of actual startup      </w:t>
            </w:r>
          </w:p>
        </w:tc>
        <w:tc>
          <w:tcPr>
            <w:tcW w:w="1350" w:type="dxa"/>
            <w:tcBorders>
              <w:top w:val="nil"/>
              <w:left w:val="nil"/>
              <w:bottom w:val="single" w:sz="4" w:space="0" w:color="auto"/>
              <w:right w:val="single" w:sz="4" w:space="0" w:color="auto"/>
            </w:tcBorders>
            <w:noWrap/>
            <w:vAlign w:val="bottom"/>
          </w:tcPr>
          <w:p w:rsidR="00CF09DE" w:rsidRPr="008D6931" w:rsidRDefault="00010D1C" w:rsidP="008D6931">
            <w:pPr>
              <w:widowControl/>
              <w:autoSpaceDE/>
              <w:autoSpaceDN/>
              <w:adjustRightInd/>
              <w:jc w:val="center"/>
              <w:rPr>
                <w:sz w:val="20"/>
                <w:szCs w:val="20"/>
              </w:rPr>
            </w:pPr>
            <w:r>
              <w:rPr>
                <w:sz w:val="20"/>
                <w:szCs w:val="20"/>
              </w:rPr>
              <w:t>N/A</w:t>
            </w:r>
          </w:p>
        </w:tc>
        <w:tc>
          <w:tcPr>
            <w:tcW w:w="1350" w:type="dxa"/>
            <w:tcBorders>
              <w:top w:val="nil"/>
              <w:left w:val="nil"/>
              <w:bottom w:val="single" w:sz="4" w:space="0" w:color="auto"/>
              <w:right w:val="single" w:sz="4" w:space="0" w:color="auto"/>
            </w:tcBorders>
            <w:noWrap/>
            <w:vAlign w:val="bottom"/>
          </w:tcPr>
          <w:p w:rsidR="00CF09DE" w:rsidRPr="008D6931" w:rsidRDefault="00CF09DE" w:rsidP="008D6931">
            <w:pPr>
              <w:widowControl/>
              <w:autoSpaceDE/>
              <w:autoSpaceDN/>
              <w:adjustRightInd/>
              <w:jc w:val="center"/>
              <w:rPr>
                <w:sz w:val="20"/>
                <w:szCs w:val="20"/>
              </w:rPr>
            </w:pPr>
          </w:p>
        </w:tc>
        <w:tc>
          <w:tcPr>
            <w:tcW w:w="1173" w:type="dxa"/>
            <w:tcBorders>
              <w:top w:val="nil"/>
              <w:left w:val="nil"/>
              <w:bottom w:val="single" w:sz="4" w:space="0" w:color="auto"/>
              <w:right w:val="single" w:sz="4" w:space="0" w:color="auto"/>
            </w:tcBorders>
            <w:noWrap/>
            <w:vAlign w:val="bottom"/>
          </w:tcPr>
          <w:p w:rsidR="00CF09DE" w:rsidRPr="008D6931" w:rsidRDefault="00CF09DE" w:rsidP="008D6931">
            <w:pPr>
              <w:widowControl/>
              <w:autoSpaceDE/>
              <w:autoSpaceDN/>
              <w:adjustRightInd/>
              <w:jc w:val="center"/>
              <w:rPr>
                <w:sz w:val="20"/>
                <w:szCs w:val="20"/>
              </w:rPr>
            </w:pPr>
          </w:p>
        </w:tc>
        <w:tc>
          <w:tcPr>
            <w:tcW w:w="784" w:type="dxa"/>
            <w:tcBorders>
              <w:top w:val="nil"/>
              <w:left w:val="nil"/>
              <w:bottom w:val="single" w:sz="4" w:space="0" w:color="auto"/>
              <w:right w:val="single" w:sz="4" w:space="0" w:color="auto"/>
            </w:tcBorders>
            <w:noWrap/>
            <w:vAlign w:val="bottom"/>
          </w:tcPr>
          <w:p w:rsidR="00CF09DE" w:rsidRPr="008D6931" w:rsidRDefault="00CF09DE" w:rsidP="008D6931">
            <w:pPr>
              <w:widowControl/>
              <w:autoSpaceDE/>
              <w:autoSpaceDN/>
              <w:adjustRightInd/>
              <w:jc w:val="center"/>
              <w:rPr>
                <w:sz w:val="20"/>
                <w:szCs w:val="20"/>
              </w:rPr>
            </w:pPr>
          </w:p>
        </w:tc>
        <w:tc>
          <w:tcPr>
            <w:tcW w:w="1050" w:type="dxa"/>
            <w:tcBorders>
              <w:top w:val="nil"/>
              <w:left w:val="nil"/>
              <w:bottom w:val="single" w:sz="4" w:space="0" w:color="auto"/>
              <w:right w:val="single" w:sz="4" w:space="0" w:color="auto"/>
            </w:tcBorders>
            <w:noWrap/>
            <w:vAlign w:val="bottom"/>
          </w:tcPr>
          <w:p w:rsidR="00CF09DE" w:rsidRPr="008D6931" w:rsidRDefault="00CF09DE" w:rsidP="008D6931">
            <w:pPr>
              <w:widowControl/>
              <w:autoSpaceDE/>
              <w:autoSpaceDN/>
              <w:adjustRightInd/>
              <w:jc w:val="center"/>
              <w:rPr>
                <w:sz w:val="20"/>
                <w:szCs w:val="20"/>
              </w:rPr>
            </w:pPr>
          </w:p>
        </w:tc>
        <w:tc>
          <w:tcPr>
            <w:tcW w:w="1403" w:type="dxa"/>
            <w:tcBorders>
              <w:top w:val="nil"/>
              <w:left w:val="nil"/>
              <w:bottom w:val="single" w:sz="4" w:space="0" w:color="auto"/>
              <w:right w:val="single" w:sz="4" w:space="0" w:color="auto"/>
            </w:tcBorders>
            <w:noWrap/>
            <w:vAlign w:val="bottom"/>
          </w:tcPr>
          <w:p w:rsidR="00CF09DE" w:rsidRPr="008D6931" w:rsidRDefault="00CF09DE" w:rsidP="008D6931">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noWrap/>
            <w:vAlign w:val="bottom"/>
          </w:tcPr>
          <w:p w:rsidR="00CF09DE" w:rsidRPr="008D6931" w:rsidRDefault="00CF09DE" w:rsidP="008D6931">
            <w:pPr>
              <w:widowControl/>
              <w:autoSpaceDE/>
              <w:autoSpaceDN/>
              <w:adjustRightInd/>
              <w:jc w:val="center"/>
              <w:rPr>
                <w:sz w:val="20"/>
                <w:szCs w:val="20"/>
              </w:rPr>
            </w:pPr>
          </w:p>
        </w:tc>
        <w:tc>
          <w:tcPr>
            <w:tcW w:w="1170" w:type="dxa"/>
            <w:gridSpan w:val="2"/>
            <w:tcBorders>
              <w:top w:val="nil"/>
              <w:left w:val="nil"/>
              <w:bottom w:val="single" w:sz="4" w:space="0" w:color="auto"/>
              <w:right w:val="single" w:sz="4" w:space="0" w:color="auto"/>
            </w:tcBorders>
            <w:noWrap/>
            <w:vAlign w:val="bottom"/>
          </w:tcPr>
          <w:p w:rsidR="00CF09DE" w:rsidRPr="008D6931" w:rsidRDefault="00CF09DE" w:rsidP="008D6931">
            <w:pPr>
              <w:widowControl/>
              <w:autoSpaceDE/>
              <w:autoSpaceDN/>
              <w:adjustRightInd/>
              <w:jc w:val="center"/>
              <w:rPr>
                <w:sz w:val="20"/>
                <w:szCs w:val="20"/>
              </w:rPr>
            </w:pPr>
          </w:p>
        </w:tc>
      </w:tr>
      <w:tr w:rsidR="00CF09DE" w:rsidRPr="008D6931" w:rsidTr="00010D1C">
        <w:trPr>
          <w:trHeight w:val="255"/>
        </w:trPr>
        <w:tc>
          <w:tcPr>
            <w:tcW w:w="3960" w:type="dxa"/>
            <w:gridSpan w:val="2"/>
            <w:tcBorders>
              <w:top w:val="nil"/>
              <w:left w:val="single" w:sz="4" w:space="0" w:color="auto"/>
              <w:bottom w:val="single" w:sz="4" w:space="0" w:color="auto"/>
              <w:right w:val="single" w:sz="4" w:space="0" w:color="auto"/>
            </w:tcBorders>
            <w:noWrap/>
            <w:vAlign w:val="bottom"/>
          </w:tcPr>
          <w:p w:rsidR="00CF09DE" w:rsidRPr="008D6931" w:rsidRDefault="00C03168" w:rsidP="008D6931">
            <w:pPr>
              <w:widowControl/>
              <w:autoSpaceDE/>
              <w:autoSpaceDN/>
              <w:adjustRightInd/>
              <w:rPr>
                <w:sz w:val="20"/>
                <w:szCs w:val="20"/>
              </w:rPr>
            </w:pPr>
            <w:r>
              <w:rPr>
                <w:sz w:val="20"/>
                <w:szCs w:val="20"/>
              </w:rPr>
              <w:t>Notification of compliance status</w:t>
            </w:r>
          </w:p>
        </w:tc>
        <w:tc>
          <w:tcPr>
            <w:tcW w:w="1350"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10</w:t>
            </w:r>
          </w:p>
        </w:tc>
        <w:tc>
          <w:tcPr>
            <w:tcW w:w="1350"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1173"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784"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1050"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1403"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1350"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1170" w:type="dxa"/>
            <w:gridSpan w:val="2"/>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right"/>
              <w:rPr>
                <w:sz w:val="20"/>
                <w:szCs w:val="20"/>
              </w:rPr>
            </w:pPr>
            <w:r>
              <w:rPr>
                <w:sz w:val="20"/>
                <w:szCs w:val="20"/>
              </w:rPr>
              <w:t>$0</w:t>
            </w:r>
          </w:p>
        </w:tc>
      </w:tr>
      <w:tr w:rsidR="00CF09DE" w:rsidRPr="008D6931" w:rsidTr="00010D1C">
        <w:trPr>
          <w:trHeight w:val="255"/>
        </w:trPr>
        <w:tc>
          <w:tcPr>
            <w:tcW w:w="3960" w:type="dxa"/>
            <w:gridSpan w:val="2"/>
            <w:tcBorders>
              <w:top w:val="nil"/>
              <w:left w:val="single" w:sz="4" w:space="0" w:color="auto"/>
              <w:bottom w:val="single" w:sz="4" w:space="0" w:color="auto"/>
              <w:right w:val="single" w:sz="4" w:space="0" w:color="auto"/>
            </w:tcBorders>
            <w:noWrap/>
            <w:vAlign w:val="bottom"/>
          </w:tcPr>
          <w:p w:rsidR="00CF09DE" w:rsidRPr="008D6931" w:rsidRDefault="00C03168" w:rsidP="008D6931">
            <w:pPr>
              <w:widowControl/>
              <w:autoSpaceDE/>
              <w:autoSpaceDN/>
              <w:adjustRightInd/>
              <w:rPr>
                <w:sz w:val="20"/>
                <w:szCs w:val="20"/>
              </w:rPr>
            </w:pPr>
            <w:r>
              <w:rPr>
                <w:sz w:val="20"/>
                <w:szCs w:val="20"/>
              </w:rPr>
              <w:t>Notification of applicability</w:t>
            </w:r>
          </w:p>
        </w:tc>
        <w:tc>
          <w:tcPr>
            <w:tcW w:w="1350"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2</w:t>
            </w:r>
          </w:p>
        </w:tc>
        <w:tc>
          <w:tcPr>
            <w:tcW w:w="1350"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1173"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784"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1050"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1403"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1350"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1170" w:type="dxa"/>
            <w:gridSpan w:val="2"/>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right"/>
              <w:rPr>
                <w:sz w:val="20"/>
                <w:szCs w:val="20"/>
              </w:rPr>
            </w:pPr>
            <w:r>
              <w:rPr>
                <w:sz w:val="20"/>
                <w:szCs w:val="20"/>
              </w:rPr>
              <w:t>$0</w:t>
            </w:r>
          </w:p>
        </w:tc>
      </w:tr>
      <w:tr w:rsidR="00CF09DE" w:rsidRPr="008D6931" w:rsidTr="00010D1C">
        <w:trPr>
          <w:trHeight w:val="285"/>
        </w:trPr>
        <w:tc>
          <w:tcPr>
            <w:tcW w:w="3960" w:type="dxa"/>
            <w:gridSpan w:val="2"/>
            <w:tcBorders>
              <w:top w:val="nil"/>
              <w:left w:val="single" w:sz="4" w:space="0" w:color="auto"/>
              <w:bottom w:val="single" w:sz="4" w:space="0" w:color="auto"/>
              <w:right w:val="nil"/>
            </w:tcBorders>
            <w:noWrap/>
            <w:vAlign w:val="bottom"/>
          </w:tcPr>
          <w:p w:rsidR="00CF09DE" w:rsidRPr="008D6931" w:rsidRDefault="00C03168" w:rsidP="008D6931">
            <w:pPr>
              <w:widowControl/>
              <w:autoSpaceDE/>
              <w:autoSpaceDN/>
              <w:adjustRightInd/>
              <w:rPr>
                <w:sz w:val="20"/>
                <w:szCs w:val="20"/>
              </w:rPr>
            </w:pPr>
            <w:r>
              <w:rPr>
                <w:sz w:val="20"/>
                <w:szCs w:val="20"/>
              </w:rPr>
              <w:t>Notification of  performance test</w:t>
            </w:r>
            <w:r w:rsidR="002D08B2">
              <w:rPr>
                <w:sz w:val="20"/>
                <w:szCs w:val="20"/>
              </w:rPr>
              <w:t xml:space="preserve"> </w:t>
            </w:r>
            <w:r>
              <w:rPr>
                <w:sz w:val="20"/>
                <w:szCs w:val="20"/>
                <w:vertAlign w:val="superscript"/>
              </w:rPr>
              <w:t>c</w:t>
            </w:r>
          </w:p>
        </w:tc>
        <w:tc>
          <w:tcPr>
            <w:tcW w:w="1350" w:type="dxa"/>
            <w:tcBorders>
              <w:top w:val="nil"/>
              <w:left w:val="single" w:sz="4" w:space="0" w:color="auto"/>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2</w:t>
            </w:r>
          </w:p>
        </w:tc>
        <w:tc>
          <w:tcPr>
            <w:tcW w:w="1350"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1173"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784"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1050"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1403"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1350"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1170" w:type="dxa"/>
            <w:gridSpan w:val="2"/>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right"/>
              <w:rPr>
                <w:sz w:val="20"/>
                <w:szCs w:val="20"/>
              </w:rPr>
            </w:pPr>
            <w:r>
              <w:rPr>
                <w:sz w:val="20"/>
                <w:szCs w:val="20"/>
              </w:rPr>
              <w:t>$0</w:t>
            </w:r>
          </w:p>
        </w:tc>
      </w:tr>
      <w:tr w:rsidR="00CF09DE" w:rsidRPr="008D6931" w:rsidTr="00010D1C">
        <w:trPr>
          <w:trHeight w:val="255"/>
        </w:trPr>
        <w:tc>
          <w:tcPr>
            <w:tcW w:w="3960" w:type="dxa"/>
            <w:gridSpan w:val="2"/>
            <w:tcBorders>
              <w:top w:val="nil"/>
              <w:left w:val="single" w:sz="4" w:space="0" w:color="auto"/>
              <w:bottom w:val="single" w:sz="4" w:space="0" w:color="auto"/>
              <w:right w:val="nil"/>
            </w:tcBorders>
            <w:noWrap/>
            <w:vAlign w:val="bottom"/>
          </w:tcPr>
          <w:p w:rsidR="00CF09DE" w:rsidRPr="008D6931" w:rsidRDefault="00C03168" w:rsidP="008D6931">
            <w:pPr>
              <w:widowControl/>
              <w:autoSpaceDE/>
              <w:autoSpaceDN/>
              <w:adjustRightInd/>
              <w:rPr>
                <w:sz w:val="20"/>
                <w:szCs w:val="20"/>
              </w:rPr>
            </w:pPr>
            <w:r>
              <w:rPr>
                <w:sz w:val="20"/>
                <w:szCs w:val="20"/>
              </w:rPr>
              <w:t>Notification of CEMS performance evaluation</w:t>
            </w:r>
          </w:p>
        </w:tc>
        <w:tc>
          <w:tcPr>
            <w:tcW w:w="1350" w:type="dxa"/>
            <w:tcBorders>
              <w:top w:val="nil"/>
              <w:left w:val="single" w:sz="4" w:space="0" w:color="auto"/>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2</w:t>
            </w:r>
          </w:p>
        </w:tc>
        <w:tc>
          <w:tcPr>
            <w:tcW w:w="1350"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1173"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784"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1050"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1403"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1350"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1170" w:type="dxa"/>
            <w:gridSpan w:val="2"/>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right"/>
              <w:rPr>
                <w:sz w:val="20"/>
                <w:szCs w:val="20"/>
              </w:rPr>
            </w:pPr>
            <w:r>
              <w:rPr>
                <w:sz w:val="20"/>
                <w:szCs w:val="20"/>
              </w:rPr>
              <w:t>$0</w:t>
            </w:r>
          </w:p>
        </w:tc>
      </w:tr>
      <w:tr w:rsidR="00CF09DE" w:rsidRPr="008D6931" w:rsidTr="00010D1C">
        <w:trPr>
          <w:trHeight w:val="255"/>
        </w:trPr>
        <w:tc>
          <w:tcPr>
            <w:tcW w:w="3960" w:type="dxa"/>
            <w:gridSpan w:val="2"/>
            <w:tcBorders>
              <w:top w:val="nil"/>
              <w:left w:val="single" w:sz="4" w:space="0" w:color="auto"/>
              <w:bottom w:val="single" w:sz="4" w:space="0" w:color="auto"/>
              <w:right w:val="nil"/>
            </w:tcBorders>
            <w:noWrap/>
            <w:vAlign w:val="bottom"/>
          </w:tcPr>
          <w:p w:rsidR="00CF09DE" w:rsidRPr="008D6931" w:rsidRDefault="00C03168" w:rsidP="008D6931">
            <w:pPr>
              <w:widowControl/>
              <w:autoSpaceDE/>
              <w:autoSpaceDN/>
              <w:adjustRightInd/>
              <w:rPr>
                <w:sz w:val="20"/>
                <w:szCs w:val="20"/>
              </w:rPr>
            </w:pPr>
            <w:r>
              <w:rPr>
                <w:sz w:val="20"/>
                <w:szCs w:val="20"/>
              </w:rPr>
              <w:t>Notification of compliance status</w:t>
            </w:r>
          </w:p>
        </w:tc>
        <w:tc>
          <w:tcPr>
            <w:tcW w:w="1350" w:type="dxa"/>
            <w:tcBorders>
              <w:top w:val="nil"/>
              <w:left w:val="single" w:sz="4" w:space="0" w:color="auto"/>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4</w:t>
            </w:r>
          </w:p>
        </w:tc>
        <w:tc>
          <w:tcPr>
            <w:tcW w:w="1350"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1173"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784"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1050"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1403"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1350"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0</w:t>
            </w:r>
          </w:p>
        </w:tc>
        <w:tc>
          <w:tcPr>
            <w:tcW w:w="1170" w:type="dxa"/>
            <w:gridSpan w:val="2"/>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right"/>
              <w:rPr>
                <w:sz w:val="20"/>
                <w:szCs w:val="20"/>
              </w:rPr>
            </w:pPr>
            <w:r>
              <w:rPr>
                <w:sz w:val="20"/>
                <w:szCs w:val="20"/>
              </w:rPr>
              <w:t>$0</w:t>
            </w:r>
          </w:p>
        </w:tc>
      </w:tr>
      <w:tr w:rsidR="00CF09DE" w:rsidRPr="008D6931" w:rsidTr="00010D1C">
        <w:trPr>
          <w:trHeight w:val="285"/>
        </w:trPr>
        <w:tc>
          <w:tcPr>
            <w:tcW w:w="3960" w:type="dxa"/>
            <w:gridSpan w:val="2"/>
            <w:tcBorders>
              <w:top w:val="nil"/>
              <w:left w:val="single" w:sz="4" w:space="0" w:color="auto"/>
              <w:bottom w:val="single" w:sz="4" w:space="0" w:color="auto"/>
              <w:right w:val="nil"/>
            </w:tcBorders>
            <w:noWrap/>
            <w:vAlign w:val="bottom"/>
          </w:tcPr>
          <w:p w:rsidR="00CF09DE" w:rsidRPr="008D6931" w:rsidRDefault="00C03168" w:rsidP="008D6931">
            <w:pPr>
              <w:widowControl/>
              <w:autoSpaceDE/>
              <w:autoSpaceDN/>
              <w:adjustRightInd/>
              <w:rPr>
                <w:sz w:val="20"/>
                <w:szCs w:val="20"/>
              </w:rPr>
            </w:pPr>
            <w:r>
              <w:rPr>
                <w:sz w:val="20"/>
                <w:szCs w:val="20"/>
              </w:rPr>
              <w:t>Semiannual compliance reports</w:t>
            </w:r>
            <w:r w:rsidR="002D08B2">
              <w:rPr>
                <w:sz w:val="20"/>
                <w:szCs w:val="20"/>
              </w:rPr>
              <w:t xml:space="preserve"> </w:t>
            </w:r>
            <w:r>
              <w:rPr>
                <w:sz w:val="20"/>
                <w:szCs w:val="20"/>
                <w:vertAlign w:val="superscript"/>
              </w:rPr>
              <w:t>d</w:t>
            </w:r>
          </w:p>
        </w:tc>
        <w:tc>
          <w:tcPr>
            <w:tcW w:w="1350" w:type="dxa"/>
            <w:tcBorders>
              <w:top w:val="nil"/>
              <w:left w:val="single" w:sz="4" w:space="0" w:color="auto"/>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10</w:t>
            </w:r>
          </w:p>
        </w:tc>
        <w:tc>
          <w:tcPr>
            <w:tcW w:w="1350"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2</w:t>
            </w:r>
          </w:p>
        </w:tc>
        <w:tc>
          <w:tcPr>
            <w:tcW w:w="1173"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20</w:t>
            </w:r>
          </w:p>
        </w:tc>
        <w:tc>
          <w:tcPr>
            <w:tcW w:w="784"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61.2</w:t>
            </w:r>
          </w:p>
        </w:tc>
        <w:tc>
          <w:tcPr>
            <w:tcW w:w="1050"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1</w:t>
            </w:r>
            <w:r w:rsidR="002D08B2">
              <w:rPr>
                <w:sz w:val="20"/>
                <w:szCs w:val="20"/>
              </w:rPr>
              <w:t>,</w:t>
            </w:r>
            <w:r>
              <w:rPr>
                <w:sz w:val="20"/>
                <w:szCs w:val="20"/>
              </w:rPr>
              <w:t>224</w:t>
            </w:r>
          </w:p>
        </w:tc>
        <w:tc>
          <w:tcPr>
            <w:tcW w:w="1403"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61.2</w:t>
            </w:r>
          </w:p>
        </w:tc>
        <w:tc>
          <w:tcPr>
            <w:tcW w:w="1350" w:type="dxa"/>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center"/>
              <w:rPr>
                <w:sz w:val="20"/>
                <w:szCs w:val="20"/>
              </w:rPr>
            </w:pPr>
            <w:r>
              <w:rPr>
                <w:sz w:val="20"/>
                <w:szCs w:val="20"/>
              </w:rPr>
              <w:t>122.4</w:t>
            </w:r>
          </w:p>
        </w:tc>
        <w:tc>
          <w:tcPr>
            <w:tcW w:w="1170" w:type="dxa"/>
            <w:gridSpan w:val="2"/>
            <w:tcBorders>
              <w:top w:val="nil"/>
              <w:left w:val="nil"/>
              <w:bottom w:val="single" w:sz="4" w:space="0" w:color="auto"/>
              <w:right w:val="single" w:sz="4" w:space="0" w:color="auto"/>
            </w:tcBorders>
            <w:noWrap/>
            <w:vAlign w:val="bottom"/>
          </w:tcPr>
          <w:p w:rsidR="00CF09DE" w:rsidRPr="008D6931" w:rsidRDefault="00C03168" w:rsidP="008D6931">
            <w:pPr>
              <w:widowControl/>
              <w:autoSpaceDE/>
              <w:autoSpaceDN/>
              <w:adjustRightInd/>
              <w:jc w:val="right"/>
              <w:rPr>
                <w:sz w:val="20"/>
                <w:szCs w:val="20"/>
              </w:rPr>
            </w:pPr>
            <w:r>
              <w:rPr>
                <w:sz w:val="20"/>
                <w:szCs w:val="20"/>
              </w:rPr>
              <w:t>$63,444.20</w:t>
            </w:r>
          </w:p>
        </w:tc>
      </w:tr>
      <w:tr w:rsidR="002D08B2" w:rsidRPr="008D6931" w:rsidTr="00010D1C">
        <w:trPr>
          <w:trHeight w:val="255"/>
        </w:trPr>
        <w:tc>
          <w:tcPr>
            <w:tcW w:w="3960" w:type="dxa"/>
            <w:gridSpan w:val="2"/>
            <w:tcBorders>
              <w:top w:val="nil"/>
              <w:left w:val="single" w:sz="4" w:space="0" w:color="000000"/>
              <w:bottom w:val="single" w:sz="4" w:space="0" w:color="000000"/>
              <w:right w:val="nil"/>
            </w:tcBorders>
            <w:noWrap/>
            <w:vAlign w:val="center"/>
          </w:tcPr>
          <w:p w:rsidR="002D08B2" w:rsidRPr="008D6931" w:rsidRDefault="002D08B2" w:rsidP="008D6931">
            <w:pPr>
              <w:widowControl/>
              <w:autoSpaceDE/>
              <w:autoSpaceDN/>
              <w:adjustRightInd/>
              <w:rPr>
                <w:b/>
                <w:bCs/>
                <w:sz w:val="20"/>
                <w:szCs w:val="20"/>
              </w:rPr>
            </w:pPr>
            <w:r>
              <w:rPr>
                <w:b/>
                <w:bCs/>
                <w:sz w:val="20"/>
                <w:szCs w:val="20"/>
              </w:rPr>
              <w:t>TOTAL ANNUAL BURDEN</w:t>
            </w:r>
          </w:p>
        </w:tc>
        <w:tc>
          <w:tcPr>
            <w:tcW w:w="1350" w:type="dxa"/>
            <w:tcBorders>
              <w:top w:val="nil"/>
              <w:left w:val="single" w:sz="4" w:space="0" w:color="auto"/>
              <w:bottom w:val="single" w:sz="4" w:space="0" w:color="auto"/>
              <w:right w:val="single" w:sz="4" w:space="0" w:color="auto"/>
            </w:tcBorders>
            <w:noWrap/>
            <w:vAlign w:val="bottom"/>
          </w:tcPr>
          <w:p w:rsidR="002D08B2" w:rsidRPr="008D6931" w:rsidRDefault="002D08B2" w:rsidP="008D6931">
            <w:pPr>
              <w:widowControl/>
              <w:autoSpaceDE/>
              <w:autoSpaceDN/>
              <w:adjustRightInd/>
              <w:jc w:val="center"/>
              <w:rPr>
                <w:sz w:val="20"/>
                <w:szCs w:val="20"/>
              </w:rPr>
            </w:pPr>
            <w:r>
              <w:rPr>
                <w:sz w:val="20"/>
                <w:szCs w:val="20"/>
              </w:rPr>
              <w:t> </w:t>
            </w:r>
          </w:p>
        </w:tc>
        <w:tc>
          <w:tcPr>
            <w:tcW w:w="1350" w:type="dxa"/>
            <w:tcBorders>
              <w:top w:val="nil"/>
              <w:left w:val="nil"/>
              <w:bottom w:val="single" w:sz="4" w:space="0" w:color="auto"/>
              <w:right w:val="single" w:sz="4" w:space="0" w:color="auto"/>
            </w:tcBorders>
            <w:noWrap/>
            <w:vAlign w:val="bottom"/>
          </w:tcPr>
          <w:p w:rsidR="002D08B2" w:rsidRPr="008D6931" w:rsidRDefault="002D08B2" w:rsidP="008D6931">
            <w:pPr>
              <w:widowControl/>
              <w:autoSpaceDE/>
              <w:autoSpaceDN/>
              <w:adjustRightInd/>
              <w:jc w:val="center"/>
              <w:rPr>
                <w:sz w:val="20"/>
                <w:szCs w:val="20"/>
              </w:rPr>
            </w:pPr>
            <w:r>
              <w:rPr>
                <w:sz w:val="20"/>
                <w:szCs w:val="20"/>
              </w:rPr>
              <w:t> </w:t>
            </w:r>
          </w:p>
        </w:tc>
        <w:tc>
          <w:tcPr>
            <w:tcW w:w="1173" w:type="dxa"/>
            <w:tcBorders>
              <w:top w:val="nil"/>
              <w:left w:val="nil"/>
              <w:bottom w:val="single" w:sz="4" w:space="0" w:color="auto"/>
              <w:right w:val="single" w:sz="4" w:space="0" w:color="auto"/>
            </w:tcBorders>
            <w:noWrap/>
            <w:vAlign w:val="bottom"/>
          </w:tcPr>
          <w:p w:rsidR="002D08B2" w:rsidRPr="008D6931" w:rsidRDefault="002D08B2" w:rsidP="008D6931">
            <w:pPr>
              <w:widowControl/>
              <w:autoSpaceDE/>
              <w:autoSpaceDN/>
              <w:adjustRightInd/>
              <w:jc w:val="center"/>
              <w:rPr>
                <w:sz w:val="20"/>
                <w:szCs w:val="20"/>
              </w:rPr>
            </w:pPr>
            <w:r>
              <w:rPr>
                <w:sz w:val="20"/>
                <w:szCs w:val="20"/>
              </w:rPr>
              <w:t> </w:t>
            </w:r>
          </w:p>
        </w:tc>
        <w:tc>
          <w:tcPr>
            <w:tcW w:w="784" w:type="dxa"/>
            <w:tcBorders>
              <w:top w:val="nil"/>
              <w:left w:val="nil"/>
              <w:bottom w:val="single" w:sz="4" w:space="0" w:color="auto"/>
              <w:right w:val="single" w:sz="4" w:space="0" w:color="auto"/>
            </w:tcBorders>
            <w:noWrap/>
            <w:vAlign w:val="bottom"/>
          </w:tcPr>
          <w:p w:rsidR="002D08B2" w:rsidRPr="008D6931" w:rsidRDefault="002D08B2" w:rsidP="008D6931">
            <w:pPr>
              <w:widowControl/>
              <w:autoSpaceDE/>
              <w:autoSpaceDN/>
              <w:adjustRightInd/>
              <w:jc w:val="center"/>
              <w:rPr>
                <w:sz w:val="20"/>
                <w:szCs w:val="20"/>
              </w:rPr>
            </w:pPr>
            <w:r>
              <w:rPr>
                <w:sz w:val="20"/>
                <w:szCs w:val="20"/>
              </w:rPr>
              <w:t> </w:t>
            </w:r>
          </w:p>
        </w:tc>
        <w:tc>
          <w:tcPr>
            <w:tcW w:w="3803" w:type="dxa"/>
            <w:gridSpan w:val="3"/>
            <w:tcBorders>
              <w:top w:val="nil"/>
              <w:left w:val="nil"/>
              <w:bottom w:val="single" w:sz="4" w:space="0" w:color="auto"/>
              <w:right w:val="single" w:sz="4" w:space="0" w:color="auto"/>
            </w:tcBorders>
            <w:noWrap/>
            <w:vAlign w:val="bottom"/>
          </w:tcPr>
          <w:p w:rsidR="002D08B2" w:rsidRPr="008D6931" w:rsidRDefault="002D08B2" w:rsidP="002D08B2">
            <w:pPr>
              <w:widowControl/>
              <w:autoSpaceDE/>
              <w:autoSpaceDN/>
              <w:adjustRightInd/>
              <w:jc w:val="center"/>
              <w:rPr>
                <w:b/>
                <w:bCs/>
                <w:sz w:val="20"/>
                <w:szCs w:val="20"/>
              </w:rPr>
            </w:pPr>
            <w:r>
              <w:rPr>
                <w:sz w:val="20"/>
                <w:szCs w:val="20"/>
              </w:rPr>
              <w:t> </w:t>
            </w:r>
            <w:r>
              <w:rPr>
                <w:b/>
                <w:bCs/>
                <w:sz w:val="20"/>
                <w:szCs w:val="20"/>
              </w:rPr>
              <w:t>1,408</w:t>
            </w:r>
          </w:p>
        </w:tc>
        <w:tc>
          <w:tcPr>
            <w:tcW w:w="1170" w:type="dxa"/>
            <w:gridSpan w:val="2"/>
            <w:tcBorders>
              <w:top w:val="nil"/>
              <w:left w:val="nil"/>
              <w:bottom w:val="single" w:sz="4" w:space="0" w:color="auto"/>
              <w:right w:val="single" w:sz="4" w:space="0" w:color="auto"/>
            </w:tcBorders>
            <w:noWrap/>
            <w:vAlign w:val="bottom"/>
          </w:tcPr>
          <w:p w:rsidR="002D08B2" w:rsidRPr="008D6931" w:rsidRDefault="002D08B2" w:rsidP="008D6931">
            <w:pPr>
              <w:widowControl/>
              <w:autoSpaceDE/>
              <w:autoSpaceDN/>
              <w:adjustRightInd/>
              <w:jc w:val="right"/>
              <w:rPr>
                <w:b/>
                <w:bCs/>
                <w:sz w:val="20"/>
                <w:szCs w:val="20"/>
              </w:rPr>
            </w:pPr>
            <w:r>
              <w:rPr>
                <w:b/>
                <w:bCs/>
                <w:sz w:val="20"/>
                <w:szCs w:val="20"/>
              </w:rPr>
              <w:t>$63,444</w:t>
            </w:r>
          </w:p>
        </w:tc>
      </w:tr>
    </w:tbl>
    <w:p w:rsidR="00CF09DE" w:rsidRDefault="00CF09DE" w:rsidP="00F340DF">
      <w:pPr>
        <w:rPr>
          <w:color w:val="000000"/>
        </w:rPr>
      </w:pPr>
    </w:p>
    <w:tbl>
      <w:tblPr>
        <w:tblW w:w="12374" w:type="dxa"/>
        <w:tblLook w:val="0000"/>
      </w:tblPr>
      <w:tblGrid>
        <w:gridCol w:w="12374"/>
      </w:tblGrid>
      <w:tr w:rsidR="00CF09DE" w:rsidRPr="00221801" w:rsidTr="00CF09DE">
        <w:trPr>
          <w:trHeight w:val="255"/>
        </w:trPr>
        <w:tc>
          <w:tcPr>
            <w:tcW w:w="12374" w:type="dxa"/>
            <w:noWrap/>
          </w:tcPr>
          <w:p w:rsidR="00CF09DE" w:rsidRPr="00221801" w:rsidRDefault="00C03168" w:rsidP="00221801">
            <w:pPr>
              <w:widowControl/>
              <w:autoSpaceDE/>
              <w:autoSpaceDN/>
              <w:adjustRightInd/>
              <w:rPr>
                <w:sz w:val="20"/>
                <w:szCs w:val="20"/>
                <w:u w:val="single"/>
              </w:rPr>
            </w:pPr>
            <w:r>
              <w:rPr>
                <w:sz w:val="20"/>
                <w:szCs w:val="20"/>
                <w:u w:val="single"/>
              </w:rPr>
              <w:t>Assumptions:</w:t>
            </w:r>
          </w:p>
        </w:tc>
      </w:tr>
      <w:tr w:rsidR="00CF09DE" w:rsidRPr="00221801" w:rsidTr="00CF09DE">
        <w:trPr>
          <w:trHeight w:val="870"/>
        </w:trPr>
        <w:tc>
          <w:tcPr>
            <w:tcW w:w="12374" w:type="dxa"/>
          </w:tcPr>
          <w:p w:rsidR="00C8013B" w:rsidRDefault="00B77EF1" w:rsidP="00221801">
            <w:pPr>
              <w:widowControl/>
              <w:autoSpaceDE/>
              <w:autoSpaceDN/>
              <w:adjustRightInd/>
              <w:rPr>
                <w:sz w:val="20"/>
                <w:szCs w:val="20"/>
              </w:rPr>
            </w:pPr>
            <w:r w:rsidRPr="00B77EF1">
              <w:rPr>
                <w:sz w:val="20"/>
                <w:szCs w:val="20"/>
                <w:vertAlign w:val="superscript"/>
              </w:rPr>
              <w:t>a</w:t>
            </w:r>
            <w:r w:rsidR="00CF09DE" w:rsidRPr="00221801">
              <w:rPr>
                <w:sz w:val="20"/>
                <w:szCs w:val="20"/>
              </w:rPr>
              <w:t xml:space="preserve">  We have estimated that there are 102 respondents, including 87 bulk terminals and 15 pipeline breakout stations which are major sources of HAPs, subject to NESHAP subpart R.  We have further estimated that there are total of 1,380 area sources (i.e., 980 bulk gasoline terminal and 400 pipeline breakout stations), of which 50 percent (i.e., 345) would be certifying annually that they are below the cutoff value for rule applicability.</w:t>
            </w:r>
          </w:p>
          <w:p w:rsidR="00C8013B" w:rsidRDefault="00C8013B" w:rsidP="00221801">
            <w:pPr>
              <w:widowControl/>
              <w:autoSpaceDE/>
              <w:autoSpaceDN/>
              <w:adjustRightInd/>
              <w:rPr>
                <w:sz w:val="20"/>
                <w:szCs w:val="20"/>
              </w:rPr>
            </w:pPr>
            <w:r w:rsidRPr="00B77EF1">
              <w:rPr>
                <w:sz w:val="20"/>
                <w:szCs w:val="20"/>
                <w:vertAlign w:val="superscript"/>
              </w:rPr>
              <w:t>b</w:t>
            </w:r>
            <w:r w:rsidRPr="00221801">
              <w:rPr>
                <w:sz w:val="20"/>
                <w:szCs w:val="20"/>
              </w:rPr>
              <w:t xml:space="preserve">   This cost is based on the following hourly labor rates times a 1.6 benefits multiplication factor to account for government overhead expenses: $62.27 for Managerial (GS-13, Step 5, $38.92 x 1.6), $46.21 for Technical (GS-12, Step 1, $28.88 x 1.6) and $25.01 Clerical (GS-6, Step 3, $15.63 x 1.6).  These rates are from the Office of Personnel Management (OPM) "2012 General Schedule" which excludes locality rates of pay.</w:t>
            </w:r>
            <w:r w:rsidR="00CF09DE" w:rsidRPr="00221801">
              <w:rPr>
                <w:sz w:val="20"/>
                <w:szCs w:val="20"/>
              </w:rPr>
              <w:t xml:space="preserve"> </w:t>
            </w:r>
          </w:p>
          <w:p w:rsidR="00C8013B" w:rsidRDefault="00C8013B" w:rsidP="00221801">
            <w:pPr>
              <w:widowControl/>
              <w:autoSpaceDE/>
              <w:autoSpaceDN/>
              <w:adjustRightInd/>
              <w:rPr>
                <w:sz w:val="20"/>
                <w:szCs w:val="20"/>
              </w:rPr>
            </w:pPr>
            <w:r w:rsidRPr="00B77EF1">
              <w:rPr>
                <w:sz w:val="20"/>
                <w:szCs w:val="20"/>
                <w:vertAlign w:val="superscript"/>
              </w:rPr>
              <w:t>c</w:t>
            </w:r>
            <w:r w:rsidRPr="00221801">
              <w:rPr>
                <w:sz w:val="20"/>
                <w:szCs w:val="20"/>
              </w:rPr>
              <w:t xml:space="preserve">  We have assumed that existing respondents are in compliance with initial rule requirements.  New respondents would have to comply with the initial rule requirements including notifications and performance tests for add-on control devices. </w:t>
            </w:r>
          </w:p>
          <w:p w:rsidR="00CF09DE" w:rsidRPr="00CF09DE" w:rsidRDefault="00C8013B" w:rsidP="00221801">
            <w:pPr>
              <w:widowControl/>
              <w:autoSpaceDE/>
              <w:autoSpaceDN/>
              <w:adjustRightInd/>
              <w:rPr>
                <w:sz w:val="20"/>
                <w:szCs w:val="20"/>
              </w:rPr>
            </w:pPr>
            <w:r w:rsidRPr="00B77EF1">
              <w:rPr>
                <w:sz w:val="20"/>
                <w:szCs w:val="20"/>
                <w:vertAlign w:val="superscript"/>
              </w:rPr>
              <w:t>d</w:t>
            </w:r>
            <w:r w:rsidRPr="00221801">
              <w:rPr>
                <w:sz w:val="20"/>
                <w:szCs w:val="20"/>
              </w:rPr>
              <w:t xml:space="preserve">  We have assumed that 60 percent of the sources (i.e., 61.2) would be required to submit semiannual reports under the NESHAP subpart R since the remaining 40 percent are already complying with similar reporting requirements under another applicable NSPS rule. </w:t>
            </w:r>
            <w:r w:rsidR="00CF09DE" w:rsidRPr="00221801">
              <w:rPr>
                <w:sz w:val="20"/>
                <w:szCs w:val="20"/>
              </w:rPr>
              <w:t xml:space="preserve"> </w:t>
            </w:r>
          </w:p>
        </w:tc>
      </w:tr>
    </w:tbl>
    <w:p w:rsidR="00CF09DE" w:rsidRDefault="00CF09DE" w:rsidP="00C8013B">
      <w:pPr>
        <w:rPr>
          <w:color w:val="000000"/>
        </w:rPr>
      </w:pPr>
    </w:p>
    <w:sectPr w:rsidR="00CF09DE" w:rsidSect="00C237FC">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3E2" w:rsidRDefault="005543E2">
      <w:r>
        <w:separator/>
      </w:r>
    </w:p>
  </w:endnote>
  <w:endnote w:type="continuationSeparator" w:id="0">
    <w:p w:rsidR="005543E2" w:rsidRDefault="005543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3E2" w:rsidRDefault="005543E2">
      <w:r>
        <w:separator/>
      </w:r>
    </w:p>
  </w:footnote>
  <w:footnote w:type="continuationSeparator" w:id="0">
    <w:p w:rsidR="005543E2" w:rsidRDefault="005543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98E" w:rsidRDefault="007E667F">
    <w:pPr>
      <w:framePr w:w="9361" w:wrap="notBeside" w:vAnchor="text" w:hAnchor="text" w:x="1" w:y="1"/>
      <w:jc w:val="center"/>
    </w:pPr>
    <w:fldSimple w:instr="PAGE ">
      <w:r w:rsidR="007405CF">
        <w:rPr>
          <w:noProof/>
        </w:rPr>
        <w:t>9</w:t>
      </w:r>
    </w:fldSimple>
  </w:p>
  <w:p w:rsidR="0085298E" w:rsidRDefault="0085298E"/>
  <w:p w:rsidR="0085298E" w:rsidRDefault="0085298E">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
    <w:nsid w:val="00000002"/>
    <w:multiLevelType w:val="multilevel"/>
    <w:tmpl w:val="00000000"/>
    <w:name w:val="AutoList1"/>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3">
    <w:nsid w:val="00000003"/>
    <w:multiLevelType w:val="multilevel"/>
    <w:tmpl w:val="00000000"/>
    <w:name w:val="AutoList2"/>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4">
    <w:nsid w:val="00000004"/>
    <w:multiLevelType w:val="multilevel"/>
    <w:tmpl w:val="00000000"/>
    <w:name w:val="AutoList3"/>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5">
    <w:nsid w:val="00000005"/>
    <w:multiLevelType w:val="multilevel"/>
    <w:tmpl w:val="00000000"/>
    <w:name w:val="AutoList4"/>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nsid w:val="00000006"/>
    <w:multiLevelType w:val="multilevel"/>
    <w:tmpl w:val="00000000"/>
    <w:name w:val="AutoList5"/>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7">
    <w:nsid w:val="00000007"/>
    <w:multiLevelType w:val="multilevel"/>
    <w:tmpl w:val="00000000"/>
    <w:name w:val="AutoList6"/>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8">
    <w:nsid w:val="00000008"/>
    <w:multiLevelType w:val="multilevel"/>
    <w:tmpl w:val="00000000"/>
    <w:name w:val="AutoList7"/>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9">
    <w:nsid w:val="00000009"/>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0D1C"/>
    <w:rsid w:val="000302D8"/>
    <w:rsid w:val="0003619B"/>
    <w:rsid w:val="000514CA"/>
    <w:rsid w:val="00055BDF"/>
    <w:rsid w:val="00055DC5"/>
    <w:rsid w:val="000730BB"/>
    <w:rsid w:val="000A1FBB"/>
    <w:rsid w:val="000A687C"/>
    <w:rsid w:val="000B76FD"/>
    <w:rsid w:val="000D2272"/>
    <w:rsid w:val="000E187E"/>
    <w:rsid w:val="000F772C"/>
    <w:rsid w:val="00101B40"/>
    <w:rsid w:val="0010697C"/>
    <w:rsid w:val="00120F72"/>
    <w:rsid w:val="00123889"/>
    <w:rsid w:val="00126A7C"/>
    <w:rsid w:val="0013765B"/>
    <w:rsid w:val="0014079D"/>
    <w:rsid w:val="00144978"/>
    <w:rsid w:val="00144A82"/>
    <w:rsid w:val="00144F35"/>
    <w:rsid w:val="00153BB8"/>
    <w:rsid w:val="0015433E"/>
    <w:rsid w:val="00155FBE"/>
    <w:rsid w:val="00167A29"/>
    <w:rsid w:val="001723DC"/>
    <w:rsid w:val="00182456"/>
    <w:rsid w:val="00186DA3"/>
    <w:rsid w:val="00187D5C"/>
    <w:rsid w:val="00195753"/>
    <w:rsid w:val="001A0B41"/>
    <w:rsid w:val="001B0B9A"/>
    <w:rsid w:val="001B35F2"/>
    <w:rsid w:val="001C2583"/>
    <w:rsid w:val="001C5991"/>
    <w:rsid w:val="001D762C"/>
    <w:rsid w:val="001F19FF"/>
    <w:rsid w:val="001F7C07"/>
    <w:rsid w:val="00203837"/>
    <w:rsid w:val="002041C5"/>
    <w:rsid w:val="002063FE"/>
    <w:rsid w:val="00206932"/>
    <w:rsid w:val="0021722B"/>
    <w:rsid w:val="00221801"/>
    <w:rsid w:val="0022738C"/>
    <w:rsid w:val="00234A28"/>
    <w:rsid w:val="00236DB3"/>
    <w:rsid w:val="00241EF2"/>
    <w:rsid w:val="002431D9"/>
    <w:rsid w:val="002607FC"/>
    <w:rsid w:val="002638A0"/>
    <w:rsid w:val="002712EB"/>
    <w:rsid w:val="0027222A"/>
    <w:rsid w:val="002738C7"/>
    <w:rsid w:val="002743D2"/>
    <w:rsid w:val="00277F42"/>
    <w:rsid w:val="00281CAE"/>
    <w:rsid w:val="0029006A"/>
    <w:rsid w:val="002904E7"/>
    <w:rsid w:val="002976E9"/>
    <w:rsid w:val="002A1A16"/>
    <w:rsid w:val="002B1E28"/>
    <w:rsid w:val="002B29A5"/>
    <w:rsid w:val="002B29A7"/>
    <w:rsid w:val="002B50CC"/>
    <w:rsid w:val="002B517F"/>
    <w:rsid w:val="002B5815"/>
    <w:rsid w:val="002B6993"/>
    <w:rsid w:val="002C1F95"/>
    <w:rsid w:val="002C416A"/>
    <w:rsid w:val="002C77DF"/>
    <w:rsid w:val="002D08B2"/>
    <w:rsid w:val="002D7683"/>
    <w:rsid w:val="002E5BB2"/>
    <w:rsid w:val="002F0B65"/>
    <w:rsid w:val="002F0E00"/>
    <w:rsid w:val="002F674B"/>
    <w:rsid w:val="002F6DB3"/>
    <w:rsid w:val="003070AB"/>
    <w:rsid w:val="003139FC"/>
    <w:rsid w:val="00330D07"/>
    <w:rsid w:val="00334830"/>
    <w:rsid w:val="00335B02"/>
    <w:rsid w:val="00341540"/>
    <w:rsid w:val="003511C6"/>
    <w:rsid w:val="00354C15"/>
    <w:rsid w:val="00393859"/>
    <w:rsid w:val="0039702C"/>
    <w:rsid w:val="003C4B46"/>
    <w:rsid w:val="003C5023"/>
    <w:rsid w:val="003C6674"/>
    <w:rsid w:val="003E30B5"/>
    <w:rsid w:val="003E4C18"/>
    <w:rsid w:val="003E730E"/>
    <w:rsid w:val="003F0123"/>
    <w:rsid w:val="003F1CB6"/>
    <w:rsid w:val="003F340B"/>
    <w:rsid w:val="00403846"/>
    <w:rsid w:val="0040391F"/>
    <w:rsid w:val="00434AF0"/>
    <w:rsid w:val="00434D1E"/>
    <w:rsid w:val="0044133C"/>
    <w:rsid w:val="00446E46"/>
    <w:rsid w:val="00455557"/>
    <w:rsid w:val="004802C4"/>
    <w:rsid w:val="00484A45"/>
    <w:rsid w:val="00495536"/>
    <w:rsid w:val="004A4B25"/>
    <w:rsid w:val="004B4278"/>
    <w:rsid w:val="004C5E95"/>
    <w:rsid w:val="004C6D5D"/>
    <w:rsid w:val="004C701D"/>
    <w:rsid w:val="004C7DFF"/>
    <w:rsid w:val="004D7C13"/>
    <w:rsid w:val="004E0B26"/>
    <w:rsid w:val="004E3458"/>
    <w:rsid w:val="004E71D5"/>
    <w:rsid w:val="004F1469"/>
    <w:rsid w:val="004F249E"/>
    <w:rsid w:val="004F6FCD"/>
    <w:rsid w:val="00507EC5"/>
    <w:rsid w:val="005160FD"/>
    <w:rsid w:val="00516952"/>
    <w:rsid w:val="0052364E"/>
    <w:rsid w:val="005239B3"/>
    <w:rsid w:val="005253D4"/>
    <w:rsid w:val="00527EE6"/>
    <w:rsid w:val="00551815"/>
    <w:rsid w:val="005543E2"/>
    <w:rsid w:val="00560AD2"/>
    <w:rsid w:val="00565A51"/>
    <w:rsid w:val="00566AFD"/>
    <w:rsid w:val="00571260"/>
    <w:rsid w:val="005727CF"/>
    <w:rsid w:val="00583626"/>
    <w:rsid w:val="00586186"/>
    <w:rsid w:val="00591AA3"/>
    <w:rsid w:val="005A1986"/>
    <w:rsid w:val="005B1F63"/>
    <w:rsid w:val="005B3DB3"/>
    <w:rsid w:val="005B5DE8"/>
    <w:rsid w:val="005C3665"/>
    <w:rsid w:val="005D385C"/>
    <w:rsid w:val="005D416A"/>
    <w:rsid w:val="005E0A60"/>
    <w:rsid w:val="005E194B"/>
    <w:rsid w:val="005F3FC9"/>
    <w:rsid w:val="005F42F8"/>
    <w:rsid w:val="005F55A4"/>
    <w:rsid w:val="00600699"/>
    <w:rsid w:val="00601205"/>
    <w:rsid w:val="00601CDB"/>
    <w:rsid w:val="00606DEF"/>
    <w:rsid w:val="00613493"/>
    <w:rsid w:val="00621F80"/>
    <w:rsid w:val="006257E8"/>
    <w:rsid w:val="00625A3C"/>
    <w:rsid w:val="00631517"/>
    <w:rsid w:val="00635DBD"/>
    <w:rsid w:val="006427AB"/>
    <w:rsid w:val="006741F7"/>
    <w:rsid w:val="00683042"/>
    <w:rsid w:val="00685BBC"/>
    <w:rsid w:val="00694B55"/>
    <w:rsid w:val="006A3372"/>
    <w:rsid w:val="006A6AC0"/>
    <w:rsid w:val="006D66A9"/>
    <w:rsid w:val="006E4A6E"/>
    <w:rsid w:val="006E642B"/>
    <w:rsid w:val="00711E7D"/>
    <w:rsid w:val="007153B8"/>
    <w:rsid w:val="00734D33"/>
    <w:rsid w:val="007405CF"/>
    <w:rsid w:val="00741A95"/>
    <w:rsid w:val="00741F9C"/>
    <w:rsid w:val="00743535"/>
    <w:rsid w:val="00753090"/>
    <w:rsid w:val="007557D1"/>
    <w:rsid w:val="00763160"/>
    <w:rsid w:val="0077445C"/>
    <w:rsid w:val="0077563F"/>
    <w:rsid w:val="00775689"/>
    <w:rsid w:val="00780612"/>
    <w:rsid w:val="00784549"/>
    <w:rsid w:val="00786A20"/>
    <w:rsid w:val="00787732"/>
    <w:rsid w:val="007A0634"/>
    <w:rsid w:val="007A16F4"/>
    <w:rsid w:val="007A458D"/>
    <w:rsid w:val="007A59AF"/>
    <w:rsid w:val="007C0FAA"/>
    <w:rsid w:val="007C36D6"/>
    <w:rsid w:val="007E667F"/>
    <w:rsid w:val="007F07FB"/>
    <w:rsid w:val="007F17D7"/>
    <w:rsid w:val="00806DA0"/>
    <w:rsid w:val="00810507"/>
    <w:rsid w:val="008110D9"/>
    <w:rsid w:val="00813E69"/>
    <w:rsid w:val="00817E8B"/>
    <w:rsid w:val="0082545D"/>
    <w:rsid w:val="008338D4"/>
    <w:rsid w:val="0084255D"/>
    <w:rsid w:val="00844E40"/>
    <w:rsid w:val="00847760"/>
    <w:rsid w:val="00850ACF"/>
    <w:rsid w:val="00852038"/>
    <w:rsid w:val="0085298E"/>
    <w:rsid w:val="0086202B"/>
    <w:rsid w:val="0088639E"/>
    <w:rsid w:val="00895D0F"/>
    <w:rsid w:val="008B407C"/>
    <w:rsid w:val="008D6931"/>
    <w:rsid w:val="008E21E1"/>
    <w:rsid w:val="008E65E6"/>
    <w:rsid w:val="008F285B"/>
    <w:rsid w:val="008F4564"/>
    <w:rsid w:val="009018EC"/>
    <w:rsid w:val="009033C2"/>
    <w:rsid w:val="00906EDB"/>
    <w:rsid w:val="009116D5"/>
    <w:rsid w:val="00912E00"/>
    <w:rsid w:val="00920DF1"/>
    <w:rsid w:val="00923C46"/>
    <w:rsid w:val="0093108E"/>
    <w:rsid w:val="009711DB"/>
    <w:rsid w:val="00973D84"/>
    <w:rsid w:val="00984432"/>
    <w:rsid w:val="00984EFC"/>
    <w:rsid w:val="00987C09"/>
    <w:rsid w:val="009A0F50"/>
    <w:rsid w:val="009A16CD"/>
    <w:rsid w:val="009A6B51"/>
    <w:rsid w:val="009C06F5"/>
    <w:rsid w:val="009D6567"/>
    <w:rsid w:val="009E0F31"/>
    <w:rsid w:val="009E6C99"/>
    <w:rsid w:val="00A007F5"/>
    <w:rsid w:val="00A038EC"/>
    <w:rsid w:val="00A10824"/>
    <w:rsid w:val="00A126E5"/>
    <w:rsid w:val="00A145B0"/>
    <w:rsid w:val="00A15172"/>
    <w:rsid w:val="00A15483"/>
    <w:rsid w:val="00A25D2D"/>
    <w:rsid w:val="00A26EF7"/>
    <w:rsid w:val="00A277D6"/>
    <w:rsid w:val="00A379F8"/>
    <w:rsid w:val="00A431CA"/>
    <w:rsid w:val="00A4423D"/>
    <w:rsid w:val="00A54EEA"/>
    <w:rsid w:val="00A56BFF"/>
    <w:rsid w:val="00A73600"/>
    <w:rsid w:val="00A74C1E"/>
    <w:rsid w:val="00A7661C"/>
    <w:rsid w:val="00A8290C"/>
    <w:rsid w:val="00A95BC7"/>
    <w:rsid w:val="00A962DF"/>
    <w:rsid w:val="00AA7C86"/>
    <w:rsid w:val="00AC04ED"/>
    <w:rsid w:val="00B07F79"/>
    <w:rsid w:val="00B113A6"/>
    <w:rsid w:val="00B16C07"/>
    <w:rsid w:val="00B46A57"/>
    <w:rsid w:val="00B65754"/>
    <w:rsid w:val="00B66231"/>
    <w:rsid w:val="00B73D4D"/>
    <w:rsid w:val="00B769F1"/>
    <w:rsid w:val="00B77EF1"/>
    <w:rsid w:val="00B82025"/>
    <w:rsid w:val="00B96184"/>
    <w:rsid w:val="00BA0A91"/>
    <w:rsid w:val="00BA4887"/>
    <w:rsid w:val="00BB3390"/>
    <w:rsid w:val="00BB3C1A"/>
    <w:rsid w:val="00BC2BA5"/>
    <w:rsid w:val="00BC6DEF"/>
    <w:rsid w:val="00BD2163"/>
    <w:rsid w:val="00BE2989"/>
    <w:rsid w:val="00BE7A11"/>
    <w:rsid w:val="00BF722F"/>
    <w:rsid w:val="00C03168"/>
    <w:rsid w:val="00C13FE8"/>
    <w:rsid w:val="00C14483"/>
    <w:rsid w:val="00C237FC"/>
    <w:rsid w:val="00C30A60"/>
    <w:rsid w:val="00C33ABA"/>
    <w:rsid w:val="00C37BB6"/>
    <w:rsid w:val="00C4183F"/>
    <w:rsid w:val="00C52EFD"/>
    <w:rsid w:val="00C64378"/>
    <w:rsid w:val="00C668FB"/>
    <w:rsid w:val="00C75CF0"/>
    <w:rsid w:val="00C8013B"/>
    <w:rsid w:val="00C808B5"/>
    <w:rsid w:val="00C82DB6"/>
    <w:rsid w:val="00C90C16"/>
    <w:rsid w:val="00C976AB"/>
    <w:rsid w:val="00CA4CD6"/>
    <w:rsid w:val="00CA5016"/>
    <w:rsid w:val="00CC48AB"/>
    <w:rsid w:val="00CC58F6"/>
    <w:rsid w:val="00CD04D9"/>
    <w:rsid w:val="00CD12C2"/>
    <w:rsid w:val="00CD2069"/>
    <w:rsid w:val="00CD280D"/>
    <w:rsid w:val="00CD31D2"/>
    <w:rsid w:val="00CF09DE"/>
    <w:rsid w:val="00D00036"/>
    <w:rsid w:val="00D033C3"/>
    <w:rsid w:val="00D1231B"/>
    <w:rsid w:val="00D13D9A"/>
    <w:rsid w:val="00D14A8D"/>
    <w:rsid w:val="00D21198"/>
    <w:rsid w:val="00D2273E"/>
    <w:rsid w:val="00D2488C"/>
    <w:rsid w:val="00D3261B"/>
    <w:rsid w:val="00D42D52"/>
    <w:rsid w:val="00D46FA2"/>
    <w:rsid w:val="00D5080D"/>
    <w:rsid w:val="00D50CEA"/>
    <w:rsid w:val="00D56F5F"/>
    <w:rsid w:val="00D61B37"/>
    <w:rsid w:val="00D63B96"/>
    <w:rsid w:val="00D735E4"/>
    <w:rsid w:val="00D73A90"/>
    <w:rsid w:val="00D876D5"/>
    <w:rsid w:val="00D92F66"/>
    <w:rsid w:val="00D95819"/>
    <w:rsid w:val="00DA7285"/>
    <w:rsid w:val="00DB59E1"/>
    <w:rsid w:val="00DC7823"/>
    <w:rsid w:val="00DD1AC1"/>
    <w:rsid w:val="00DD7D49"/>
    <w:rsid w:val="00DE0ABD"/>
    <w:rsid w:val="00DE2DBE"/>
    <w:rsid w:val="00DF5C4E"/>
    <w:rsid w:val="00DF6AFC"/>
    <w:rsid w:val="00E03FCA"/>
    <w:rsid w:val="00E10DA7"/>
    <w:rsid w:val="00E1538C"/>
    <w:rsid w:val="00E25DB6"/>
    <w:rsid w:val="00E276CD"/>
    <w:rsid w:val="00E3253B"/>
    <w:rsid w:val="00E32EDA"/>
    <w:rsid w:val="00E50530"/>
    <w:rsid w:val="00E521AA"/>
    <w:rsid w:val="00E53137"/>
    <w:rsid w:val="00E702F6"/>
    <w:rsid w:val="00E77D5E"/>
    <w:rsid w:val="00E82C5D"/>
    <w:rsid w:val="00E868BB"/>
    <w:rsid w:val="00E917A4"/>
    <w:rsid w:val="00EA37A9"/>
    <w:rsid w:val="00EA44AE"/>
    <w:rsid w:val="00EA7026"/>
    <w:rsid w:val="00EB108C"/>
    <w:rsid w:val="00EC0826"/>
    <w:rsid w:val="00EC4074"/>
    <w:rsid w:val="00EF113F"/>
    <w:rsid w:val="00EF6222"/>
    <w:rsid w:val="00F03125"/>
    <w:rsid w:val="00F03803"/>
    <w:rsid w:val="00F066C9"/>
    <w:rsid w:val="00F13F11"/>
    <w:rsid w:val="00F20822"/>
    <w:rsid w:val="00F24033"/>
    <w:rsid w:val="00F340DF"/>
    <w:rsid w:val="00F538BC"/>
    <w:rsid w:val="00F55827"/>
    <w:rsid w:val="00F906B4"/>
    <w:rsid w:val="00F9092B"/>
    <w:rsid w:val="00F92D22"/>
    <w:rsid w:val="00FA755A"/>
    <w:rsid w:val="00FB0650"/>
    <w:rsid w:val="00FB0984"/>
    <w:rsid w:val="00FB4D98"/>
    <w:rsid w:val="00FB7BCE"/>
    <w:rsid w:val="00FC33DE"/>
    <w:rsid w:val="00FC4E09"/>
    <w:rsid w:val="00FD3AC0"/>
    <w:rsid w:val="00FE2099"/>
    <w:rsid w:val="00FE2B0F"/>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30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3E730E"/>
    <w:rPr>
      <w:rFonts w:cs="Times New Roman"/>
    </w:rPr>
  </w:style>
  <w:style w:type="character" w:customStyle="1" w:styleId="Hypertext">
    <w:name w:val="Hypertext"/>
    <w:uiPriority w:val="99"/>
    <w:rsid w:val="003E730E"/>
    <w:rPr>
      <w:color w:val="0000FF"/>
      <w:u w:val="single"/>
    </w:rPr>
  </w:style>
  <w:style w:type="paragraph" w:customStyle="1" w:styleId="Level1">
    <w:name w:val="Level 1"/>
    <w:basedOn w:val="Normal"/>
    <w:uiPriority w:val="99"/>
    <w:rsid w:val="003E730E"/>
    <w:pPr>
      <w:ind w:left="1440" w:hanging="720"/>
    </w:pPr>
  </w:style>
  <w:style w:type="character" w:customStyle="1" w:styleId="1">
    <w:name w:val="1"/>
    <w:uiPriority w:val="99"/>
    <w:rsid w:val="003E730E"/>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locked/>
    <w:rsid w:val="002B29A5"/>
    <w:rPr>
      <w:rFonts w:cs="Times New Roman"/>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locked/>
    <w:rsid w:val="002B29A5"/>
    <w:rPr>
      <w:rFonts w:cs="Times New Roman"/>
      <w:sz w:val="24"/>
      <w:szCs w:val="24"/>
    </w:rPr>
  </w:style>
  <w:style w:type="character" w:styleId="CommentReference">
    <w:name w:val="annotation reference"/>
    <w:basedOn w:val="DefaultParagraphFont"/>
    <w:uiPriority w:val="99"/>
    <w:rsid w:val="002B29A5"/>
    <w:rPr>
      <w:rFonts w:cs="Times New Roman"/>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locked/>
    <w:rsid w:val="002B29A5"/>
    <w:rPr>
      <w:rFonts w:cs="Times New Roman"/>
    </w:rPr>
  </w:style>
  <w:style w:type="paragraph" w:styleId="CommentSubject">
    <w:name w:val="annotation subject"/>
    <w:basedOn w:val="CommentText"/>
    <w:next w:val="CommentText"/>
    <w:link w:val="CommentSubjectChar"/>
    <w:uiPriority w:val="99"/>
    <w:rsid w:val="002B29A5"/>
    <w:rPr>
      <w:b/>
      <w:bCs/>
    </w:rPr>
  </w:style>
  <w:style w:type="character" w:customStyle="1" w:styleId="CommentSubjectChar">
    <w:name w:val="Comment Subject Char"/>
    <w:basedOn w:val="CommentTextChar"/>
    <w:link w:val="CommentSubject"/>
    <w:uiPriority w:val="99"/>
    <w:locked/>
    <w:rsid w:val="002B29A5"/>
    <w:rPr>
      <w:b/>
      <w:bCs/>
    </w:rPr>
  </w:style>
  <w:style w:type="paragraph" w:styleId="BalloonText">
    <w:name w:val="Balloon Text"/>
    <w:basedOn w:val="Normal"/>
    <w:link w:val="BalloonTextChar"/>
    <w:uiPriority w:val="99"/>
    <w:rsid w:val="002B29A5"/>
    <w:rPr>
      <w:rFonts w:ascii="Tahoma" w:hAnsi="Tahoma" w:cs="Tahoma"/>
      <w:sz w:val="16"/>
      <w:szCs w:val="16"/>
    </w:rPr>
  </w:style>
  <w:style w:type="character" w:customStyle="1" w:styleId="BalloonTextChar">
    <w:name w:val="Balloon Text Char"/>
    <w:basedOn w:val="DefaultParagraphFont"/>
    <w:link w:val="BalloonText"/>
    <w:uiPriority w:val="99"/>
    <w:locked/>
    <w:rsid w:val="002B29A5"/>
    <w:rPr>
      <w:rFonts w:ascii="Tahoma" w:hAnsi="Tahoma" w:cs="Tahoma"/>
      <w:sz w:val="16"/>
      <w:szCs w:val="16"/>
    </w:rPr>
  </w:style>
  <w:style w:type="character" w:styleId="Hyperlink">
    <w:name w:val="Hyperlink"/>
    <w:basedOn w:val="DefaultParagraphFont"/>
    <w:uiPriority w:val="99"/>
    <w:rsid w:val="00527EE6"/>
    <w:rPr>
      <w:rFonts w:cs="Times New Roman"/>
      <w:color w:val="0000FF"/>
      <w:u w:val="single"/>
    </w:rPr>
  </w:style>
  <w:style w:type="paragraph" w:styleId="Revision">
    <w:name w:val="Revision"/>
    <w:hidden/>
    <w:uiPriority w:val="99"/>
    <w:semiHidden/>
    <w:rsid w:val="00743535"/>
    <w:rPr>
      <w:sz w:val="24"/>
      <w:szCs w:val="24"/>
    </w:rPr>
  </w:style>
</w:styles>
</file>

<file path=word/webSettings.xml><?xml version="1.0" encoding="utf-8"?>
<w:webSettings xmlns:r="http://schemas.openxmlformats.org/officeDocument/2006/relationships" xmlns:w="http://schemas.openxmlformats.org/wordprocessingml/2006/main">
  <w:divs>
    <w:div w:id="29115805">
      <w:bodyDiv w:val="1"/>
      <w:marLeft w:val="0"/>
      <w:marRight w:val="0"/>
      <w:marTop w:val="0"/>
      <w:marBottom w:val="0"/>
      <w:divBdr>
        <w:top w:val="none" w:sz="0" w:space="0" w:color="auto"/>
        <w:left w:val="none" w:sz="0" w:space="0" w:color="auto"/>
        <w:bottom w:val="none" w:sz="0" w:space="0" w:color="auto"/>
        <w:right w:val="none" w:sz="0" w:space="0" w:color="auto"/>
      </w:divBdr>
    </w:div>
    <w:div w:id="456024027">
      <w:bodyDiv w:val="1"/>
      <w:marLeft w:val="0"/>
      <w:marRight w:val="0"/>
      <w:marTop w:val="0"/>
      <w:marBottom w:val="0"/>
      <w:divBdr>
        <w:top w:val="none" w:sz="0" w:space="0" w:color="auto"/>
        <w:left w:val="none" w:sz="0" w:space="0" w:color="auto"/>
        <w:bottom w:val="none" w:sz="0" w:space="0" w:color="auto"/>
        <w:right w:val="none" w:sz="0" w:space="0" w:color="auto"/>
      </w:divBdr>
    </w:div>
    <w:div w:id="1376656879">
      <w:bodyDiv w:val="1"/>
      <w:marLeft w:val="0"/>
      <w:marRight w:val="0"/>
      <w:marTop w:val="0"/>
      <w:marBottom w:val="0"/>
      <w:divBdr>
        <w:top w:val="none" w:sz="0" w:space="0" w:color="auto"/>
        <w:left w:val="none" w:sz="0" w:space="0" w:color="auto"/>
        <w:bottom w:val="none" w:sz="0" w:space="0" w:color="auto"/>
        <w:right w:val="none" w:sz="0" w:space="0" w:color="auto"/>
      </w:divBdr>
    </w:div>
    <w:div w:id="1665474744">
      <w:bodyDiv w:val="1"/>
      <w:marLeft w:val="0"/>
      <w:marRight w:val="0"/>
      <w:marTop w:val="0"/>
      <w:marBottom w:val="0"/>
      <w:divBdr>
        <w:top w:val="none" w:sz="0" w:space="0" w:color="auto"/>
        <w:left w:val="none" w:sz="0" w:space="0" w:color="auto"/>
        <w:bottom w:val="none" w:sz="0" w:space="0" w:color="auto"/>
        <w:right w:val="none" w:sz="0" w:space="0" w:color="auto"/>
      </w:divBdr>
    </w:div>
    <w:div w:id="2144225464">
      <w:marLeft w:val="0"/>
      <w:marRight w:val="0"/>
      <w:marTop w:val="0"/>
      <w:marBottom w:val="0"/>
      <w:divBdr>
        <w:top w:val="none" w:sz="0" w:space="0" w:color="auto"/>
        <w:left w:val="none" w:sz="0" w:space="0" w:color="auto"/>
        <w:bottom w:val="none" w:sz="0" w:space="0" w:color="auto"/>
        <w:right w:val="none" w:sz="0" w:space="0" w:color="auto"/>
      </w:divBdr>
    </w:div>
    <w:div w:id="2144225465">
      <w:marLeft w:val="0"/>
      <w:marRight w:val="0"/>
      <w:marTop w:val="0"/>
      <w:marBottom w:val="0"/>
      <w:divBdr>
        <w:top w:val="none" w:sz="0" w:space="0" w:color="auto"/>
        <w:left w:val="none" w:sz="0" w:space="0" w:color="auto"/>
        <w:bottom w:val="none" w:sz="0" w:space="0" w:color="auto"/>
        <w:right w:val="none" w:sz="0" w:space="0" w:color="auto"/>
      </w:divBdr>
    </w:div>
    <w:div w:id="2144225466">
      <w:marLeft w:val="0"/>
      <w:marRight w:val="0"/>
      <w:marTop w:val="0"/>
      <w:marBottom w:val="0"/>
      <w:divBdr>
        <w:top w:val="none" w:sz="0" w:space="0" w:color="auto"/>
        <w:left w:val="none" w:sz="0" w:space="0" w:color="auto"/>
        <w:bottom w:val="none" w:sz="0" w:space="0" w:color="auto"/>
        <w:right w:val="none" w:sz="0" w:space="0" w:color="auto"/>
      </w:divBdr>
    </w:div>
    <w:div w:id="2144225467">
      <w:marLeft w:val="0"/>
      <w:marRight w:val="0"/>
      <w:marTop w:val="0"/>
      <w:marBottom w:val="0"/>
      <w:divBdr>
        <w:top w:val="none" w:sz="0" w:space="0" w:color="auto"/>
        <w:left w:val="none" w:sz="0" w:space="0" w:color="auto"/>
        <w:bottom w:val="none" w:sz="0" w:space="0" w:color="auto"/>
        <w:right w:val="none" w:sz="0" w:space="0" w:color="auto"/>
      </w:divBdr>
    </w:div>
    <w:div w:id="2144225468">
      <w:marLeft w:val="0"/>
      <w:marRight w:val="0"/>
      <w:marTop w:val="0"/>
      <w:marBottom w:val="0"/>
      <w:divBdr>
        <w:top w:val="none" w:sz="0" w:space="0" w:color="auto"/>
        <w:left w:val="none" w:sz="0" w:space="0" w:color="auto"/>
        <w:bottom w:val="none" w:sz="0" w:space="0" w:color="auto"/>
        <w:right w:val="none" w:sz="0" w:space="0" w:color="auto"/>
      </w:divBdr>
    </w:div>
    <w:div w:id="21442254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6126</Words>
  <Characters>34934</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wwrigley</cp:lastModifiedBy>
  <cp:revision>2</cp:revision>
  <cp:lastPrinted>2013-07-30T19:55:00Z</cp:lastPrinted>
  <dcterms:created xsi:type="dcterms:W3CDTF">2013-08-02T19:12:00Z</dcterms:created>
  <dcterms:modified xsi:type="dcterms:W3CDTF">2013-08-02T19:12:00Z</dcterms:modified>
</cp:coreProperties>
</file>