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22" w:rsidRDefault="002C4822" w:rsidP="000872AC">
      <w:pPr>
        <w:jc w:val="center"/>
        <w:outlineLvl w:val="0"/>
      </w:pPr>
    </w:p>
    <w:p w:rsidR="002C4822" w:rsidRDefault="002C4822" w:rsidP="000872AC">
      <w:pPr>
        <w:jc w:val="center"/>
        <w:outlineLvl w:val="0"/>
      </w:pPr>
    </w:p>
    <w:p w:rsidR="002C4822" w:rsidRDefault="002C4822" w:rsidP="000872AC">
      <w:pPr>
        <w:jc w:val="center"/>
        <w:outlineLvl w:val="0"/>
      </w:pPr>
    </w:p>
    <w:p w:rsidR="002C4822" w:rsidRDefault="002C4822" w:rsidP="000872AC">
      <w:pPr>
        <w:jc w:val="center"/>
        <w:outlineLvl w:val="0"/>
      </w:pPr>
    </w:p>
    <w:p w:rsidR="00BA36F8" w:rsidRPr="00C910ED" w:rsidRDefault="00BA36F8" w:rsidP="000872AC">
      <w:pPr>
        <w:jc w:val="center"/>
        <w:outlineLvl w:val="0"/>
      </w:pPr>
      <w:r w:rsidRPr="00C910ED">
        <w:t>INFORMATION COLLECTION REQUEST (ICR)</w:t>
      </w:r>
    </w:p>
    <w:p w:rsidR="00BA36F8" w:rsidRPr="00C910ED" w:rsidRDefault="00BA36F8" w:rsidP="000872AC">
      <w:pPr>
        <w:jc w:val="center"/>
        <w:outlineLvl w:val="0"/>
      </w:pPr>
      <w:r w:rsidRPr="00C910ED">
        <w:t>ENVIRONMENTAL PROTECTION AGENCY</w:t>
      </w:r>
    </w:p>
    <w:p w:rsidR="00BA36F8" w:rsidRDefault="00BA36F8" w:rsidP="000872AC">
      <w:pPr>
        <w:jc w:val="center"/>
        <w:outlineLvl w:val="0"/>
      </w:pPr>
      <w:r w:rsidRPr="00C910ED">
        <w:t>OFFICE OF AIR &amp; RADIATION</w:t>
      </w:r>
    </w:p>
    <w:p w:rsidR="009D41CA" w:rsidRPr="00C910ED" w:rsidRDefault="009D41CA" w:rsidP="000872AC">
      <w:pPr>
        <w:jc w:val="center"/>
        <w:outlineLvl w:val="0"/>
      </w:pPr>
    </w:p>
    <w:p w:rsidR="00BA36F8" w:rsidRPr="00C910ED" w:rsidRDefault="00BA36F8"/>
    <w:p w:rsidR="00BA36F8" w:rsidRPr="00C910ED" w:rsidRDefault="00BA36F8">
      <w:r w:rsidRPr="00C910ED">
        <w:t>A.</w:t>
      </w:r>
      <w:r w:rsidRPr="00C910ED">
        <w:tab/>
        <w:t>JUSTIFICATION</w:t>
      </w:r>
    </w:p>
    <w:p w:rsidR="00BA36F8" w:rsidRPr="00C910ED" w:rsidRDefault="00BA36F8"/>
    <w:p w:rsidR="00BA36F8" w:rsidRPr="00C910ED" w:rsidRDefault="00BA36F8" w:rsidP="007E0D52">
      <w:pPr>
        <w:outlineLvl w:val="0"/>
      </w:pPr>
      <w:r w:rsidRPr="00C910ED">
        <w:t>1.</w:t>
      </w:r>
      <w:r w:rsidRPr="00C910ED">
        <w:tab/>
      </w:r>
      <w:r w:rsidRPr="00C910ED">
        <w:rPr>
          <w:u w:val="single"/>
        </w:rPr>
        <w:t>Identification of the Information Collection</w:t>
      </w:r>
    </w:p>
    <w:p w:rsidR="00BA36F8" w:rsidRPr="00C910ED" w:rsidRDefault="00BA36F8"/>
    <w:p w:rsidR="00BA36F8" w:rsidRPr="00C910ED" w:rsidRDefault="00987F63" w:rsidP="00E65F6B">
      <w:r>
        <w:tab/>
        <w:t>1(</w:t>
      </w:r>
      <w:r w:rsidR="00E65F6B" w:rsidRPr="00C910ED">
        <w:t>a</w:t>
      </w:r>
      <w:r>
        <w:t>)</w:t>
      </w:r>
      <w:r w:rsidR="00E65F6B" w:rsidRPr="00C910ED">
        <w:tab/>
      </w:r>
      <w:r w:rsidR="00BA36F8" w:rsidRPr="00C910ED">
        <w:t xml:space="preserve">Title:  </w:t>
      </w:r>
      <w:r w:rsidR="0034247F" w:rsidRPr="00C910ED">
        <w:t>Reformulated Gasoline Commingling Provision</w:t>
      </w:r>
      <w:r w:rsidR="00C93A6F" w:rsidRPr="00C910ED">
        <w:t>s</w:t>
      </w:r>
    </w:p>
    <w:p w:rsidR="00E65F6B" w:rsidRPr="00C910ED" w:rsidRDefault="00E65F6B" w:rsidP="00E65F6B"/>
    <w:p w:rsidR="00BA36F8" w:rsidRPr="00C910ED" w:rsidRDefault="00273CA5" w:rsidP="007E0D52">
      <w:pPr>
        <w:outlineLvl w:val="0"/>
      </w:pPr>
      <w:r>
        <w:tab/>
      </w:r>
      <w:r>
        <w:tab/>
      </w:r>
      <w:r w:rsidR="00BA36F8" w:rsidRPr="00C910ED">
        <w:t>EPA Number:  2</w:t>
      </w:r>
      <w:r w:rsidR="008E43C3" w:rsidRPr="00C910ED">
        <w:t>228</w:t>
      </w:r>
      <w:r w:rsidR="00BA36F8" w:rsidRPr="00C910ED">
        <w:t>.0</w:t>
      </w:r>
      <w:r w:rsidR="00A55037">
        <w:t>4</w:t>
      </w:r>
    </w:p>
    <w:p w:rsidR="00BA36F8" w:rsidRPr="00C910ED" w:rsidRDefault="00BA36F8"/>
    <w:p w:rsidR="00BA36F8" w:rsidRPr="00C910ED" w:rsidRDefault="00273CA5">
      <w:r>
        <w:tab/>
        <w:t>1(b)</w:t>
      </w:r>
      <w:r>
        <w:tab/>
      </w:r>
      <w:r w:rsidR="00325EFF" w:rsidRPr="00C910ED">
        <w:t>Short</w:t>
      </w:r>
      <w:r w:rsidR="00BA36F8" w:rsidRPr="00C910ED">
        <w:t xml:space="preserve"> characterization:</w:t>
      </w:r>
    </w:p>
    <w:p w:rsidR="002F0900" w:rsidRPr="00C910ED" w:rsidRDefault="002F0900"/>
    <w:p w:rsidR="00BA36F8" w:rsidRPr="00C910ED" w:rsidRDefault="00BA36F8"/>
    <w:p w:rsidR="00D24289" w:rsidRDefault="00BA36F8" w:rsidP="002F0900">
      <w:pPr>
        <w:outlineLvl w:val="0"/>
      </w:pPr>
      <w:r w:rsidRPr="00C910ED">
        <w:tab/>
        <w:t xml:space="preserve">With this information collection request (ICR), the Office of Air and Radiation (OAR) is seeking permission to </w:t>
      </w:r>
      <w:r w:rsidR="00E65F6B" w:rsidRPr="00C910ED">
        <w:t xml:space="preserve">accept notifications from gasoline retailers and wholesale purchaser-consumers related to commingling of </w:t>
      </w:r>
      <w:r w:rsidR="000872AC" w:rsidRPr="00C910ED">
        <w:t>ethanol blended</w:t>
      </w:r>
      <w:r w:rsidR="00E65F6B" w:rsidRPr="00C910ED">
        <w:t xml:space="preserve"> and non-ethanol-blended reformulated gasoline (RFG) under §1513 of the Energy Policy Act of 2005 (EP</w:t>
      </w:r>
      <w:r w:rsidR="00E63361" w:rsidRPr="00C910ED">
        <w:t>A</w:t>
      </w:r>
      <w:r w:rsidR="00E65F6B" w:rsidRPr="00C910ED">
        <w:t xml:space="preserve">ct) and 40 CFR § 80.78(a)(8)(ii)(B); and to provide for a compliance option whereby a retailer or wholesale purchaser-consumer may demonstrate compliance via test results under </w:t>
      </w:r>
    </w:p>
    <w:p w:rsidR="00BA36F8" w:rsidRPr="00C910ED" w:rsidRDefault="00E65F6B" w:rsidP="002F0900">
      <w:pPr>
        <w:outlineLvl w:val="0"/>
      </w:pPr>
      <w:r w:rsidRPr="00C910ED">
        <w:t>§ 80.78(a</w:t>
      </w:r>
      <w:proofErr w:type="gramStart"/>
      <w:r w:rsidRPr="00C910ED">
        <w:t>)(</w:t>
      </w:r>
      <w:proofErr w:type="gramEnd"/>
      <w:r w:rsidRPr="00C910ED">
        <w:t xml:space="preserve">8)(iii)(A). </w:t>
      </w:r>
      <w:r w:rsidR="007E0D52" w:rsidRPr="00C910ED">
        <w:t>These provisions are designed to grant compliance flexibility.  P</w:t>
      </w:r>
      <w:r w:rsidRPr="00C910ED">
        <w:t xml:space="preserve">arties </w:t>
      </w:r>
      <w:r w:rsidR="002F0900" w:rsidRPr="00C910ED">
        <w:t>were</w:t>
      </w:r>
      <w:r w:rsidR="00B435C2" w:rsidRPr="00C910ED">
        <w:t xml:space="preserve"> </w:t>
      </w:r>
      <w:r w:rsidR="00C910ED">
        <w:t xml:space="preserve">first subject to this </w:t>
      </w:r>
      <w:r w:rsidR="00B435C2" w:rsidRPr="00C910ED">
        <w:t>recordkeeping and reporting</w:t>
      </w:r>
      <w:r w:rsidRPr="00C910ED">
        <w:t xml:space="preserve"> </w:t>
      </w:r>
      <w:r w:rsidR="002F0900" w:rsidRPr="00C910ED">
        <w:t xml:space="preserve">on </w:t>
      </w:r>
      <w:r w:rsidRPr="00C910ED">
        <w:t xml:space="preserve">June 1, 2006.  </w:t>
      </w:r>
      <w:r w:rsidR="00055C5E" w:rsidRPr="00C910ED">
        <w:t>W</w:t>
      </w:r>
      <w:r w:rsidRPr="00C910ED">
        <w:t>e are requesting that the Office of Management and Budget (OMB)</w:t>
      </w:r>
      <w:r w:rsidR="00756E47" w:rsidRPr="00C910ED">
        <w:t xml:space="preserve"> </w:t>
      </w:r>
      <w:r w:rsidRPr="00C910ED">
        <w:t>approv</w:t>
      </w:r>
      <w:r w:rsidR="00055C5E" w:rsidRPr="00C910ED">
        <w:t>e the</w:t>
      </w:r>
      <w:r w:rsidR="00D24289">
        <w:t xml:space="preserve"> </w:t>
      </w:r>
      <w:r w:rsidR="00055C5E" w:rsidRPr="00C910ED">
        <w:t xml:space="preserve">renewal of this ICR and that it remain in effect 3 years from the approval date. </w:t>
      </w:r>
    </w:p>
    <w:p w:rsidR="00B435C2" w:rsidRPr="00C910ED" w:rsidRDefault="00B435C2"/>
    <w:p w:rsidR="00D24289" w:rsidRDefault="00BA36F8" w:rsidP="00D24289">
      <w:r w:rsidRPr="00C910ED">
        <w:tab/>
      </w:r>
      <w:r w:rsidR="00E65F6B" w:rsidRPr="00C910ED">
        <w:t>Section 1513 of the EPAct addresses the combining of ethanol</w:t>
      </w:r>
      <w:r w:rsidR="000B5017" w:rsidRPr="00C910ED">
        <w:t>-</w:t>
      </w:r>
      <w:r w:rsidR="00E65F6B" w:rsidRPr="00C910ED">
        <w:t>blended RFG with non-ethanol</w:t>
      </w:r>
      <w:r w:rsidR="000B5017" w:rsidRPr="00C910ED">
        <w:t>-</w:t>
      </w:r>
      <w:r w:rsidR="00E65F6B" w:rsidRPr="00C910ED">
        <w:t>blended RFG.</w:t>
      </w:r>
      <w:r w:rsidR="00B435C2" w:rsidRPr="00C910ED">
        <w:t xml:space="preserve">  </w:t>
      </w:r>
      <w:r w:rsidR="00E65F6B" w:rsidRPr="00C910ED">
        <w:t>This provision amended the C</w:t>
      </w:r>
      <w:r w:rsidR="00B435C2" w:rsidRPr="00C910ED">
        <w:t>lean Air Act (C</w:t>
      </w:r>
      <w:r w:rsidR="00E65F6B" w:rsidRPr="00C910ED">
        <w:t>AA</w:t>
      </w:r>
      <w:r w:rsidR="00B435C2" w:rsidRPr="00C910ED">
        <w:t>)</w:t>
      </w:r>
      <w:r w:rsidR="00E65F6B" w:rsidRPr="00C910ED">
        <w:t xml:space="preserve"> to add </w:t>
      </w:r>
      <w:r w:rsidR="000B5017" w:rsidRPr="00C910ED">
        <w:t xml:space="preserve">a </w:t>
      </w:r>
      <w:r w:rsidR="00E65F6B" w:rsidRPr="00C910ED">
        <w:t xml:space="preserve">new </w:t>
      </w:r>
      <w:r w:rsidR="00B435C2" w:rsidRPr="00C910ED">
        <w:t xml:space="preserve">§ </w:t>
      </w:r>
      <w:r w:rsidR="00E65F6B" w:rsidRPr="00C910ED">
        <w:t>211(s) providing retail outlets two ten-day opportunities during a single VOC-</w:t>
      </w:r>
      <w:proofErr w:type="gramStart"/>
      <w:r w:rsidR="00E65F6B" w:rsidRPr="00C910ED">
        <w:t>control</w:t>
      </w:r>
      <w:proofErr w:type="gramEnd"/>
      <w:r w:rsidR="00E65F6B" w:rsidRPr="00C910ED">
        <w:t xml:space="preserve"> season to blend batches of ethanol</w:t>
      </w:r>
      <w:r w:rsidR="000B5017" w:rsidRPr="00C910ED">
        <w:t>-b</w:t>
      </w:r>
      <w:r w:rsidR="00E65F6B" w:rsidRPr="00C910ED">
        <w:t>lended and non-ethanol</w:t>
      </w:r>
      <w:r w:rsidR="000B5017" w:rsidRPr="00C910ED">
        <w:t>-</w:t>
      </w:r>
      <w:r w:rsidR="00E65F6B" w:rsidRPr="00C910ED">
        <w:t xml:space="preserve"> blended RFG.  Under this new section, retail outlets are allowed to sell non-ethanol</w:t>
      </w:r>
      <w:r w:rsidR="00B23AA7" w:rsidRPr="00C910ED">
        <w:t>-</w:t>
      </w:r>
      <w:r w:rsidR="00E65F6B" w:rsidRPr="00C910ED">
        <w:t>blended RFG which has been combined with ethanol blended RFG under certain conditions</w:t>
      </w:r>
      <w:r w:rsidR="00B435C2" w:rsidRPr="00C910ED">
        <w:t>:</w:t>
      </w:r>
    </w:p>
    <w:p w:rsidR="00D24289" w:rsidRDefault="00D24289" w:rsidP="00D24289"/>
    <w:p w:rsidR="00D24289" w:rsidRDefault="00E65F6B" w:rsidP="00D263FA">
      <w:pPr>
        <w:numPr>
          <w:ilvl w:val="0"/>
          <w:numId w:val="12"/>
        </w:numPr>
      </w:pPr>
      <w:r w:rsidRPr="00C910ED">
        <w:t xml:space="preserve">First, each batch of gasoline to be blended must have been “individually certified as in compliance with subsections (h) and (k) </w:t>
      </w:r>
      <w:r w:rsidR="00B56AE1" w:rsidRPr="00C910ED">
        <w:t xml:space="preserve">[of CAA § 211] </w:t>
      </w:r>
      <w:r w:rsidRPr="00C910ED">
        <w:t>prior to b</w:t>
      </w:r>
      <w:r w:rsidR="00D24289">
        <w:t>eing blended.”</w:t>
      </w:r>
    </w:p>
    <w:p w:rsidR="00D24289" w:rsidRDefault="00D24289" w:rsidP="00D24289"/>
    <w:p w:rsidR="00D24289" w:rsidRDefault="00E65F6B" w:rsidP="00D263FA">
      <w:pPr>
        <w:numPr>
          <w:ilvl w:val="0"/>
          <w:numId w:val="12"/>
        </w:numPr>
      </w:pPr>
      <w:r w:rsidRPr="00C910ED">
        <w:t>Second, the retailer must notify EPA prior to combining the gasolines and identify the exact location of the retail outlet and specific tank in which the gasoline is to be combined</w:t>
      </w:r>
      <w:r w:rsidR="003F2C19" w:rsidRPr="00C910ED">
        <w:t>.</w:t>
      </w:r>
    </w:p>
    <w:p w:rsidR="00D24289" w:rsidRDefault="00D24289" w:rsidP="00D24289"/>
    <w:p w:rsidR="00D24289" w:rsidRDefault="00E65F6B" w:rsidP="00D263FA">
      <w:pPr>
        <w:numPr>
          <w:ilvl w:val="0"/>
          <w:numId w:val="12"/>
        </w:numPr>
      </w:pPr>
      <w:r w:rsidRPr="00C910ED">
        <w:lastRenderedPageBreak/>
        <w:t>Third, the retailer must retain, and, upon request by EPA, make available for inspection</w:t>
      </w:r>
      <w:r w:rsidR="00B56AE1" w:rsidRPr="00C910ED">
        <w:t>,</w:t>
      </w:r>
      <w:r w:rsidRPr="00C910ED">
        <w:t xml:space="preserve"> certifications accounting for all gasoline at the retail outlet.</w:t>
      </w:r>
      <w:r w:rsidR="00D24289">
        <w:t xml:space="preserve">  (</w:t>
      </w:r>
      <w:r w:rsidR="00B435C2" w:rsidRPr="00C910ED">
        <w:t xml:space="preserve">This information is normally kept in the normal course of business and we believe </w:t>
      </w:r>
      <w:r w:rsidR="00B56AE1" w:rsidRPr="00C910ED">
        <w:t xml:space="preserve">retaining it </w:t>
      </w:r>
      <w:r w:rsidR="00B435C2" w:rsidRPr="00C910ED">
        <w:t>is a customary business practice</w:t>
      </w:r>
      <w:r w:rsidR="007E0D52" w:rsidRPr="00C910ED">
        <w:t xml:space="preserve"> </w:t>
      </w:r>
      <w:r w:rsidR="00B435C2" w:rsidRPr="00C910ED">
        <w:t>(CBP</w:t>
      </w:r>
      <w:r w:rsidR="00756E47" w:rsidRPr="00C910ED">
        <w:t>).</w:t>
      </w:r>
      <w:r w:rsidR="00D24289">
        <w:t xml:space="preserve">) </w:t>
      </w:r>
    </w:p>
    <w:p w:rsidR="00D24289" w:rsidRDefault="00D24289" w:rsidP="00D24289"/>
    <w:p w:rsidR="00B435C2" w:rsidRPr="00C910ED" w:rsidRDefault="00E65F6B" w:rsidP="00D263FA">
      <w:pPr>
        <w:numPr>
          <w:ilvl w:val="0"/>
          <w:numId w:val="12"/>
        </w:numPr>
      </w:pPr>
      <w:r w:rsidRPr="00C910ED">
        <w:t>Fourth, retailers are prohibited from combining VOC-controlled gasoline with non-VOC</w:t>
      </w:r>
      <w:r w:rsidR="00B23AA7" w:rsidRPr="00C910ED">
        <w:t>-</w:t>
      </w:r>
      <w:r w:rsidRPr="00C910ED">
        <w:t xml:space="preserve">controlled gasoline between June 1 and September 15.  </w:t>
      </w:r>
    </w:p>
    <w:p w:rsidR="00867129" w:rsidRPr="00C910ED" w:rsidRDefault="00867129" w:rsidP="00867129"/>
    <w:p w:rsidR="00867129" w:rsidRPr="00C910ED" w:rsidRDefault="00867129" w:rsidP="00867129">
      <w:r w:rsidRPr="00C910ED">
        <w:rPr>
          <w:lang w:val="en-CA"/>
        </w:rPr>
        <w:tab/>
      </w:r>
      <w:r w:rsidR="00167237" w:rsidRPr="00167237">
        <w:rPr>
          <w:lang w:val="en-CA"/>
        </w:rPr>
        <w:fldChar w:fldCharType="begin"/>
      </w:r>
      <w:r w:rsidRPr="00C910ED">
        <w:rPr>
          <w:lang w:val="en-CA"/>
        </w:rPr>
        <w:instrText xml:space="preserve"> SEQ CHAPTER \h \r 1</w:instrText>
      </w:r>
      <w:r w:rsidR="00167237" w:rsidRPr="00C910ED">
        <w:fldChar w:fldCharType="end"/>
      </w:r>
      <w:r w:rsidRPr="00C910ED">
        <w:t xml:space="preserve">To provide assurance that gasoline is in compliance with the downstream VOC standard after the ten-day period, </w:t>
      </w:r>
      <w:r w:rsidR="007E0D52" w:rsidRPr="00C910ED">
        <w:t>EPA issued a direct final rule that amended 40 CFR Part 80 to address commingling</w:t>
      </w:r>
      <w:r w:rsidR="00E00FBC" w:rsidRPr="00C910ED">
        <w:t xml:space="preserve"> </w:t>
      </w:r>
      <w:r w:rsidR="00756E47" w:rsidRPr="00C910ED">
        <w:t>(</w:t>
      </w:r>
      <w:r w:rsidR="00E00FBC" w:rsidRPr="00C910ED">
        <w:t>71 FR 8973</w:t>
      </w:r>
      <w:r w:rsidR="00756E47" w:rsidRPr="00C910ED">
        <w:t xml:space="preserve">, </w:t>
      </w:r>
      <w:r w:rsidR="00E00FBC" w:rsidRPr="00C910ED">
        <w:t>February 22, 2006)</w:t>
      </w:r>
      <w:r w:rsidR="00B23AA7" w:rsidRPr="00C910ED">
        <w:t>.</w:t>
      </w:r>
      <w:r w:rsidR="007E0D52" w:rsidRPr="00C910ED">
        <w:t xml:space="preserve">  </w:t>
      </w:r>
      <w:r w:rsidR="00B23AA7" w:rsidRPr="00C910ED">
        <w:t>T</w:t>
      </w:r>
      <w:r w:rsidR="007E0D52" w:rsidRPr="00C910ED">
        <w:t xml:space="preserve">here are </w:t>
      </w:r>
      <w:r w:rsidRPr="00C910ED">
        <w:t>two options available for retailers and wholesale purchaser-consumers.  Under the first option, the retailer may add both ethanol</w:t>
      </w:r>
      <w:r w:rsidR="00B23AA7" w:rsidRPr="00C910ED">
        <w:t>-</w:t>
      </w:r>
      <w:r w:rsidRPr="00C910ED">
        <w:t>blended RFG and non-ethanol</w:t>
      </w:r>
      <w:r w:rsidR="00B23AA7" w:rsidRPr="00C910ED">
        <w:t>-</w:t>
      </w:r>
      <w:r w:rsidRPr="00C910ED">
        <w:t xml:space="preserve">blended RFG to the same tank an unlimited number of times during the ten-day period, but must test the gasoline in the tank at the end of the ten-day period to make sure that the RFG is in compliance with the VOC standard.  Under the second option, the retailer must draw the tank down as much as practicable at the start of the ten-day period, before RFG of another type is added to the tank, and add only RFG of one type to the tank during the ten-day period.  Because there is a recordkeeping requirement associated with retail station test results under the first option, we have </w:t>
      </w:r>
      <w:r w:rsidR="007236DC">
        <w:t xml:space="preserve">also </w:t>
      </w:r>
      <w:r w:rsidRPr="00C910ED">
        <w:t xml:space="preserve">calculated an estimated burden for that activity.  </w:t>
      </w:r>
      <w:r w:rsidR="007236DC">
        <w:t>We believe 5% or fewer of respondents will elect the testing option.</w:t>
      </w:r>
    </w:p>
    <w:p w:rsidR="00B435C2" w:rsidRPr="00C910ED" w:rsidRDefault="00B435C2" w:rsidP="00E65F6B"/>
    <w:p w:rsidR="00E65F6B" w:rsidRPr="00C910ED" w:rsidRDefault="00B435C2" w:rsidP="00E65F6B">
      <w:r w:rsidRPr="00C910ED">
        <w:tab/>
      </w:r>
      <w:r w:rsidR="007E0D52" w:rsidRPr="00C910ED">
        <w:t>R</w:t>
      </w:r>
      <w:r w:rsidR="00E65F6B" w:rsidRPr="00C910ED">
        <w:t xml:space="preserve">etailers are </w:t>
      </w:r>
      <w:r w:rsidR="007E0D52" w:rsidRPr="00C910ED">
        <w:t xml:space="preserve">also limited </w:t>
      </w:r>
      <w:r w:rsidR="00B23AA7" w:rsidRPr="00C910ED">
        <w:t>in</w:t>
      </w:r>
      <w:r w:rsidR="00E65F6B" w:rsidRPr="00C910ED">
        <w:t xml:space="preserve"> the frequency </w:t>
      </w:r>
      <w:r w:rsidR="00B23AA7" w:rsidRPr="00C910ED">
        <w:t>with</w:t>
      </w:r>
      <w:r w:rsidR="00E65F6B" w:rsidRPr="00C910ED">
        <w:t xml:space="preserve"> which batches of non-ethanol RFG may be combined with ethanol RFG.  Retailers may combine such batches of RFG a maximum of two periods between May 1 and September 15. Each period may be no more than ten consecutive calendar days.</w:t>
      </w:r>
      <w:r w:rsidR="00AA7074" w:rsidRPr="00C910ED">
        <w:t xml:space="preserve">  </w:t>
      </w:r>
      <w:r w:rsidR="00867129" w:rsidRPr="00C910ED">
        <w:t xml:space="preserve">  </w:t>
      </w:r>
    </w:p>
    <w:p w:rsidR="00BA36F8" w:rsidRPr="00C910ED" w:rsidRDefault="00E65F6B">
      <w:r w:rsidRPr="00C910ED">
        <w:tab/>
      </w:r>
    </w:p>
    <w:p w:rsidR="00BA36F8" w:rsidRPr="00C910ED" w:rsidRDefault="00BA36F8"/>
    <w:p w:rsidR="00273CA5" w:rsidRDefault="00BA36F8" w:rsidP="007E0D52">
      <w:pPr>
        <w:outlineLvl w:val="0"/>
        <w:rPr>
          <w:u w:val="single"/>
        </w:rPr>
      </w:pPr>
      <w:r w:rsidRPr="00C910ED">
        <w:t xml:space="preserve">2.  </w:t>
      </w:r>
      <w:r w:rsidRPr="00C910ED">
        <w:rPr>
          <w:u w:val="single"/>
        </w:rPr>
        <w:t>Need For, and Use of, the Collection</w:t>
      </w:r>
    </w:p>
    <w:p w:rsidR="00273CA5" w:rsidRDefault="00273CA5" w:rsidP="007E0D52">
      <w:pPr>
        <w:outlineLvl w:val="0"/>
        <w:rPr>
          <w:u w:val="single"/>
        </w:rPr>
      </w:pPr>
    </w:p>
    <w:p w:rsidR="00BA36F8" w:rsidRPr="00C910ED" w:rsidRDefault="00273CA5" w:rsidP="00273CA5">
      <w:pPr>
        <w:outlineLvl w:val="0"/>
      </w:pPr>
      <w:r>
        <w:tab/>
      </w:r>
      <w:r w:rsidRPr="00273CA5">
        <w:t xml:space="preserve"> 1(a)</w:t>
      </w:r>
      <w:r w:rsidRPr="00273CA5">
        <w:tab/>
      </w:r>
      <w:r w:rsidR="00BA36F8" w:rsidRPr="00C910ED">
        <w:t>Authority for the Collection</w:t>
      </w:r>
    </w:p>
    <w:p w:rsidR="00126179" w:rsidRPr="00C910ED" w:rsidRDefault="00126179" w:rsidP="00126179">
      <w:pPr>
        <w:ind w:left="720"/>
      </w:pPr>
    </w:p>
    <w:p w:rsidR="00BA36F8" w:rsidRPr="00C910ED" w:rsidRDefault="00C042E2" w:rsidP="00EE42DD">
      <w:pPr>
        <w:autoSpaceDE w:val="0"/>
        <w:autoSpaceDN w:val="0"/>
        <w:adjustRightInd w:val="0"/>
      </w:pPr>
      <w:r w:rsidRPr="00C910ED">
        <w:rPr>
          <w:szCs w:val="24"/>
          <w:lang w:val="en-CA"/>
        </w:rPr>
        <w:tab/>
      </w:r>
      <w:r w:rsidR="00167237" w:rsidRPr="00C910ED">
        <w:rPr>
          <w:szCs w:val="24"/>
          <w:lang w:val="en-CA"/>
        </w:rPr>
        <w:fldChar w:fldCharType="begin"/>
      </w:r>
      <w:r w:rsidR="00126179" w:rsidRPr="00C910ED">
        <w:rPr>
          <w:szCs w:val="24"/>
          <w:lang w:val="en-CA"/>
        </w:rPr>
        <w:instrText xml:space="preserve"> SEQ CHAPTER \h \r 1</w:instrText>
      </w:r>
      <w:r w:rsidR="00167237" w:rsidRPr="00C910ED">
        <w:rPr>
          <w:szCs w:val="24"/>
          <w:lang w:val="en-CA"/>
        </w:rPr>
        <w:fldChar w:fldCharType="end"/>
      </w:r>
      <w:r w:rsidR="00126179" w:rsidRPr="00C910ED">
        <w:rPr>
          <w:szCs w:val="24"/>
        </w:rPr>
        <w:t>Sections 114 and 208 of the</w:t>
      </w:r>
      <w:r w:rsidR="00AA7074" w:rsidRPr="00C910ED">
        <w:rPr>
          <w:szCs w:val="24"/>
        </w:rPr>
        <w:t xml:space="preserve"> CAA</w:t>
      </w:r>
      <w:r w:rsidR="00126179" w:rsidRPr="00C910ED">
        <w:rPr>
          <w:szCs w:val="24"/>
        </w:rPr>
        <w:t>, 42 U.S.C. §§ 7414 and 7542, authorize EPA to require recordkeeping and reporting regarding enforcement of the provisions of Title II of the CAA.  The relevant regulations are in 40 CFR Part 80, Regulation of Fuels and Fuel Additives.</w:t>
      </w:r>
      <w:r w:rsidR="00756E47" w:rsidRPr="00C910ED">
        <w:rPr>
          <w:szCs w:val="24"/>
        </w:rPr>
        <w:t xml:space="preserve"> </w:t>
      </w:r>
      <w:r w:rsidR="00B56AE1" w:rsidRPr="00C910ED">
        <w:rPr>
          <w:szCs w:val="24"/>
        </w:rPr>
        <w:t>See §§</w:t>
      </w:r>
      <w:r w:rsidR="00756E47" w:rsidRPr="00C910ED">
        <w:rPr>
          <w:szCs w:val="24"/>
        </w:rPr>
        <w:t xml:space="preserve"> 8</w:t>
      </w:r>
      <w:r w:rsidR="00B56AE1" w:rsidRPr="00C910ED">
        <w:rPr>
          <w:szCs w:val="24"/>
        </w:rPr>
        <w:t>0.78(a</w:t>
      </w:r>
      <w:proofErr w:type="gramStart"/>
      <w:r w:rsidR="00755547" w:rsidRPr="00C910ED">
        <w:rPr>
          <w:szCs w:val="24"/>
        </w:rPr>
        <w:t>)(</w:t>
      </w:r>
      <w:proofErr w:type="gramEnd"/>
      <w:r w:rsidR="00B56AE1" w:rsidRPr="00C910ED">
        <w:rPr>
          <w:szCs w:val="24"/>
        </w:rPr>
        <w:t>8</w:t>
      </w:r>
      <w:r w:rsidR="00756E47" w:rsidRPr="00C910ED">
        <w:rPr>
          <w:szCs w:val="24"/>
        </w:rPr>
        <w:t>)(</w:t>
      </w:r>
      <w:r w:rsidR="00B56AE1" w:rsidRPr="00C910ED">
        <w:rPr>
          <w:szCs w:val="24"/>
        </w:rPr>
        <w:t>ii</w:t>
      </w:r>
      <w:r w:rsidR="00756E47" w:rsidRPr="00C910ED">
        <w:rPr>
          <w:szCs w:val="24"/>
        </w:rPr>
        <w:t>)(</w:t>
      </w:r>
      <w:r w:rsidR="00B56AE1" w:rsidRPr="00C910ED">
        <w:rPr>
          <w:szCs w:val="24"/>
        </w:rPr>
        <w:t>B</w:t>
      </w:r>
      <w:r w:rsidR="00756E47" w:rsidRPr="00C910ED">
        <w:rPr>
          <w:szCs w:val="24"/>
        </w:rPr>
        <w:t>)</w:t>
      </w:r>
      <w:r w:rsidR="00281C5B" w:rsidRPr="00C910ED">
        <w:rPr>
          <w:szCs w:val="24"/>
        </w:rPr>
        <w:t xml:space="preserve"> </w:t>
      </w:r>
      <w:r w:rsidR="00756E47" w:rsidRPr="00C910ED">
        <w:rPr>
          <w:szCs w:val="24"/>
        </w:rPr>
        <w:t>and</w:t>
      </w:r>
      <w:r w:rsidR="00281C5B" w:rsidRPr="00C910ED">
        <w:rPr>
          <w:szCs w:val="24"/>
        </w:rPr>
        <w:t xml:space="preserve"> </w:t>
      </w:r>
      <w:r w:rsidR="00756E47" w:rsidRPr="00C910ED">
        <w:rPr>
          <w:szCs w:val="24"/>
        </w:rPr>
        <w:t>(</w:t>
      </w:r>
      <w:r w:rsidR="00B56AE1" w:rsidRPr="00C910ED">
        <w:rPr>
          <w:szCs w:val="24"/>
        </w:rPr>
        <w:t>iii</w:t>
      </w:r>
      <w:r w:rsidR="00756E47" w:rsidRPr="00C910ED">
        <w:rPr>
          <w:szCs w:val="24"/>
        </w:rPr>
        <w:t>)(</w:t>
      </w:r>
      <w:r w:rsidR="00B56AE1" w:rsidRPr="00C910ED">
        <w:rPr>
          <w:szCs w:val="24"/>
        </w:rPr>
        <w:t>A).</w:t>
      </w:r>
      <w:r w:rsidR="00126179" w:rsidRPr="00C910ED">
        <w:rPr>
          <w:szCs w:val="24"/>
        </w:rPr>
        <w:t xml:space="preserve">  </w:t>
      </w:r>
    </w:p>
    <w:p w:rsidR="00126179" w:rsidRPr="00C910ED" w:rsidRDefault="00BA36F8">
      <w:r w:rsidRPr="00C910ED">
        <w:tab/>
      </w:r>
    </w:p>
    <w:p w:rsidR="00BA36F8" w:rsidRPr="00C910ED" w:rsidRDefault="00BA36F8">
      <w:r w:rsidRPr="00C910ED">
        <w:tab/>
      </w:r>
      <w:r w:rsidR="00273CA5">
        <w:t>2(</w:t>
      </w:r>
      <w:r w:rsidRPr="00C910ED">
        <w:t>b</w:t>
      </w:r>
      <w:r w:rsidR="00273CA5">
        <w:t>)</w:t>
      </w:r>
      <w:r w:rsidR="00281C5B" w:rsidRPr="00C910ED">
        <w:tab/>
        <w:t>P</w:t>
      </w:r>
      <w:r w:rsidRPr="00C910ED">
        <w:t>ractical Utility/Uses of the Data</w:t>
      </w:r>
    </w:p>
    <w:p w:rsidR="00BA36F8" w:rsidRPr="00C910ED" w:rsidRDefault="00BA36F8"/>
    <w:p w:rsidR="00BA36F8" w:rsidRPr="00C910ED" w:rsidRDefault="00BA36F8">
      <w:r w:rsidRPr="00C910ED">
        <w:tab/>
      </w:r>
      <w:r w:rsidR="00AA7074" w:rsidRPr="00C910ED">
        <w:t>The recordkeeping and reporting requirements of this regulation will allow EPA to monitor compliance with the commingling requirements of</w:t>
      </w:r>
      <w:r w:rsidR="00281C5B" w:rsidRPr="00C910ED">
        <w:t xml:space="preserve"> </w:t>
      </w:r>
      <w:r w:rsidR="00AA7074" w:rsidRPr="00C910ED">
        <w:t xml:space="preserve">CAA § 211(s), as added by </w:t>
      </w:r>
      <w:r w:rsidR="00B56AE1" w:rsidRPr="00C910ED">
        <w:t>§ 15</w:t>
      </w:r>
      <w:r w:rsidR="00D24289">
        <w:t>13</w:t>
      </w:r>
      <w:r w:rsidR="00B56AE1" w:rsidRPr="00C910ED">
        <w:t xml:space="preserve"> of </w:t>
      </w:r>
      <w:r w:rsidR="00AA7074" w:rsidRPr="00C910ED">
        <w:t>the EPAct</w:t>
      </w:r>
      <w:r w:rsidRPr="00C910ED">
        <w:t>.</w:t>
      </w:r>
    </w:p>
    <w:p w:rsidR="00BA36F8" w:rsidRPr="00C910ED" w:rsidRDefault="00BA36F8"/>
    <w:p w:rsidR="00BA36F8" w:rsidRPr="00C910ED" w:rsidRDefault="00BA36F8" w:rsidP="007E0D52">
      <w:pPr>
        <w:outlineLvl w:val="0"/>
        <w:rPr>
          <w:u w:val="single"/>
        </w:rPr>
      </w:pPr>
      <w:r w:rsidRPr="00C910ED">
        <w:t xml:space="preserve">3.  </w:t>
      </w:r>
      <w:r w:rsidRPr="00C910ED">
        <w:rPr>
          <w:u w:val="single"/>
        </w:rPr>
        <w:t>Non-duplication, Consultation, and other Collection Criteria</w:t>
      </w:r>
    </w:p>
    <w:p w:rsidR="00BA36F8" w:rsidRPr="00C910ED" w:rsidRDefault="00BA36F8">
      <w:pPr>
        <w:rPr>
          <w:u w:val="single"/>
        </w:rPr>
      </w:pPr>
    </w:p>
    <w:p w:rsidR="00BA36F8" w:rsidRPr="00C910ED" w:rsidRDefault="00BA36F8" w:rsidP="007E0D52">
      <w:pPr>
        <w:outlineLvl w:val="0"/>
      </w:pPr>
      <w:r w:rsidRPr="00C910ED">
        <w:tab/>
      </w:r>
      <w:r w:rsidR="00273CA5">
        <w:t>3(a)</w:t>
      </w:r>
      <w:r w:rsidR="00273CA5" w:rsidRPr="00C910ED">
        <w:t xml:space="preserve"> </w:t>
      </w:r>
      <w:r w:rsidR="00273CA5">
        <w:tab/>
      </w:r>
      <w:r w:rsidRPr="00C910ED">
        <w:t>Non-duplication</w:t>
      </w:r>
    </w:p>
    <w:p w:rsidR="00BA36F8" w:rsidRPr="00C910ED" w:rsidRDefault="00BA36F8"/>
    <w:p w:rsidR="00BA36F8" w:rsidRPr="00C910ED" w:rsidRDefault="00BA36F8">
      <w:pPr>
        <w:rPr>
          <w:szCs w:val="24"/>
        </w:rPr>
      </w:pPr>
      <w:r w:rsidRPr="00C910ED">
        <w:tab/>
      </w:r>
      <w:r w:rsidR="00167237" w:rsidRPr="00C910ED">
        <w:rPr>
          <w:szCs w:val="24"/>
          <w:lang w:val="en-CA"/>
        </w:rPr>
        <w:fldChar w:fldCharType="begin"/>
      </w:r>
      <w:r w:rsidR="00126179" w:rsidRPr="00C910ED">
        <w:rPr>
          <w:szCs w:val="24"/>
          <w:lang w:val="en-CA"/>
        </w:rPr>
        <w:instrText xml:space="preserve"> SEQ CHAPTER \h \r 1</w:instrText>
      </w:r>
      <w:r w:rsidR="00167237" w:rsidRPr="00C910ED">
        <w:rPr>
          <w:szCs w:val="24"/>
          <w:lang w:val="en-CA"/>
        </w:rPr>
        <w:fldChar w:fldCharType="end"/>
      </w:r>
      <w:r w:rsidR="00126179" w:rsidRPr="00C910ED">
        <w:rPr>
          <w:szCs w:val="24"/>
        </w:rPr>
        <w:t>Efforts have been made to eliminate duplication in this information collection. Where possible, information requirements from various organizations within the Agency have been combined to minimize the submittal of duplicate information in different formats.  The information in this collection will not be available from another source.</w:t>
      </w:r>
    </w:p>
    <w:p w:rsidR="00AA7074" w:rsidRPr="00C910ED" w:rsidRDefault="00AA7074"/>
    <w:p w:rsidR="00BA36F8" w:rsidRPr="00C910ED" w:rsidRDefault="00BA36F8" w:rsidP="007E0D52">
      <w:pPr>
        <w:outlineLvl w:val="0"/>
      </w:pPr>
      <w:r w:rsidRPr="00C910ED">
        <w:tab/>
      </w:r>
      <w:r w:rsidR="00273CA5">
        <w:t>3(</w:t>
      </w:r>
      <w:r w:rsidRPr="00C910ED">
        <w:t>b</w:t>
      </w:r>
      <w:r w:rsidR="00273CA5">
        <w:t>)</w:t>
      </w:r>
      <w:r w:rsidR="00281C5B" w:rsidRPr="00C910ED">
        <w:tab/>
      </w:r>
      <w:r w:rsidRPr="00C910ED">
        <w:t>Public Notice</w:t>
      </w:r>
    </w:p>
    <w:p w:rsidR="00BA36F8" w:rsidRPr="00C910ED" w:rsidRDefault="00BA36F8"/>
    <w:p w:rsidR="00BA36F8" w:rsidRPr="00C910ED" w:rsidRDefault="00BA36F8">
      <w:r w:rsidRPr="00C910ED">
        <w:tab/>
        <w:t xml:space="preserve">EPA </w:t>
      </w:r>
      <w:r w:rsidR="0022307B">
        <w:t>sought comment on recordkeeping and reporting requirements via the Federal Register on April 3, 2013 (78 FR 20102).  EPA received no public comments</w:t>
      </w:r>
      <w:r w:rsidR="00B55C4B">
        <w:t xml:space="preserve">. The second Federal Register notice was published August 22, 2013 (78 FR </w:t>
      </w:r>
      <w:r w:rsidR="00DA77F6">
        <w:t xml:space="preserve"> </w:t>
      </w:r>
      <w:r w:rsidR="008C05E1">
        <w:t>52191</w:t>
      </w:r>
      <w:proofErr w:type="gramStart"/>
      <w:r w:rsidR="00DA77F6">
        <w:t xml:space="preserve">) </w:t>
      </w:r>
      <w:r w:rsidR="008C05E1">
        <w:t>.</w:t>
      </w:r>
      <w:proofErr w:type="gramEnd"/>
      <w:r w:rsidR="008C05E1">
        <w:t xml:space="preserve">  This notice allowed for an additional 30 days of public comment.</w:t>
      </w:r>
    </w:p>
    <w:p w:rsidR="00BA36F8" w:rsidRPr="00C910ED" w:rsidRDefault="00BA36F8"/>
    <w:p w:rsidR="00BA36F8" w:rsidRPr="00C910ED" w:rsidRDefault="00BA36F8" w:rsidP="007E0D52">
      <w:pPr>
        <w:outlineLvl w:val="0"/>
      </w:pPr>
      <w:r w:rsidRPr="00C910ED">
        <w:tab/>
      </w:r>
      <w:r w:rsidR="00274E23">
        <w:t>3(</w:t>
      </w:r>
      <w:r w:rsidRPr="00C910ED">
        <w:t>c</w:t>
      </w:r>
      <w:r w:rsidR="00274E23">
        <w:t>)</w:t>
      </w:r>
      <w:r w:rsidRPr="00C910ED">
        <w:t xml:space="preserve"> </w:t>
      </w:r>
      <w:r w:rsidR="00281C5B" w:rsidRPr="00C910ED">
        <w:tab/>
      </w:r>
      <w:r w:rsidRPr="00C910ED">
        <w:t>Consultations</w:t>
      </w:r>
    </w:p>
    <w:p w:rsidR="0022307B" w:rsidRDefault="0022307B"/>
    <w:p w:rsidR="0079012E" w:rsidRDefault="00BA36F8">
      <w:r w:rsidRPr="00C910ED">
        <w:tab/>
      </w:r>
      <w:r w:rsidR="0022307B">
        <w:t xml:space="preserve">EPA has </w:t>
      </w:r>
      <w:r w:rsidR="00CA5629">
        <w:t xml:space="preserve">made an asserted effort </w:t>
      </w:r>
      <w:r w:rsidR="007F6580">
        <w:t>to seek industry comment for this ICR.  EPA</w:t>
      </w:r>
      <w:r w:rsidR="00CA5629">
        <w:t xml:space="preserve"> contact</w:t>
      </w:r>
      <w:r w:rsidR="007F6580">
        <w:t xml:space="preserve">ed </w:t>
      </w:r>
      <w:r w:rsidR="00CA5629">
        <w:t xml:space="preserve">Mr. Lyle Beckwith of the Association for Convenience and Fuel Retailing </w:t>
      </w:r>
      <w:r w:rsidR="0079012E">
        <w:t>and received no</w:t>
      </w:r>
      <w:r w:rsidR="00CA5629">
        <w:t xml:space="preserve"> comment.  Contact number for Mr. Beckwith 703-684-3600. </w:t>
      </w:r>
      <w:r w:rsidR="0079012E">
        <w:t xml:space="preserve"> </w:t>
      </w:r>
    </w:p>
    <w:p w:rsidR="0079012E" w:rsidRPr="00C910ED" w:rsidRDefault="0079012E"/>
    <w:p w:rsidR="00BA36F8" w:rsidRPr="00C910ED" w:rsidRDefault="00BA36F8" w:rsidP="007E0D52">
      <w:pPr>
        <w:outlineLvl w:val="0"/>
      </w:pPr>
      <w:r w:rsidRPr="00C910ED">
        <w:tab/>
      </w:r>
      <w:r w:rsidR="00274E23">
        <w:t>3(</w:t>
      </w:r>
      <w:r w:rsidRPr="00C910ED">
        <w:t>d</w:t>
      </w:r>
      <w:r w:rsidR="00274E23">
        <w:t>)</w:t>
      </w:r>
      <w:r w:rsidR="00281C5B" w:rsidRPr="00C910ED">
        <w:tab/>
      </w:r>
      <w:r w:rsidRPr="00C910ED">
        <w:t>Effects of Less Frequent Data Collection</w:t>
      </w:r>
    </w:p>
    <w:p w:rsidR="00BA36F8" w:rsidRPr="00C910ED" w:rsidRDefault="00BA36F8"/>
    <w:p w:rsidR="00BA36F8" w:rsidRPr="00C910ED" w:rsidRDefault="00BA36F8">
      <w:r w:rsidRPr="00C910ED">
        <w:tab/>
      </w:r>
      <w:r w:rsidR="00AA7074" w:rsidRPr="00C910ED">
        <w:t xml:space="preserve">We </w:t>
      </w:r>
      <w:r w:rsidR="00756E47" w:rsidRPr="00C910ED">
        <w:t xml:space="preserve">very likely </w:t>
      </w:r>
      <w:r w:rsidR="00AA7074" w:rsidRPr="00C910ED">
        <w:t>have over-estimated the burden because we have used a conservative approach that assumes all parties may respond</w:t>
      </w:r>
      <w:r w:rsidR="00AA6507" w:rsidRPr="00C910ED">
        <w:t xml:space="preserve"> </w:t>
      </w:r>
      <w:r w:rsidR="00B56AE1" w:rsidRPr="00C910ED">
        <w:t xml:space="preserve">twice </w:t>
      </w:r>
      <w:r w:rsidR="00AA6507" w:rsidRPr="00C910ED">
        <w:t>annually</w:t>
      </w:r>
      <w:r w:rsidR="003F2C19" w:rsidRPr="00C910ED">
        <w:t xml:space="preserve"> (i.e., we have assumed the maximum number of responses)</w:t>
      </w:r>
      <w:r w:rsidR="00AA7074" w:rsidRPr="00C910ED">
        <w:t xml:space="preserve">.  </w:t>
      </w:r>
      <w:r w:rsidR="00AA6507" w:rsidRPr="00C910ED">
        <w:t>With regard to the testing option and retention of those records, we anticipate that 5% or fewer of respondents will be affected annually.  Less frequent collection of data would make it impossible to carry out the provisions of the CAA and EP</w:t>
      </w:r>
      <w:r w:rsidR="00333616" w:rsidRPr="00C910ED">
        <w:t>A</w:t>
      </w:r>
      <w:r w:rsidR="00AA6507" w:rsidRPr="00C910ED">
        <w:t xml:space="preserve">ct.  </w:t>
      </w:r>
      <w:r w:rsidRPr="00C910ED">
        <w:t xml:space="preserve">  </w:t>
      </w:r>
    </w:p>
    <w:p w:rsidR="00BA36F8" w:rsidRPr="00C910ED" w:rsidRDefault="00BA36F8"/>
    <w:p w:rsidR="00BA36F8" w:rsidRPr="00C910ED" w:rsidRDefault="00BA36F8" w:rsidP="007E0D52">
      <w:pPr>
        <w:outlineLvl w:val="0"/>
      </w:pPr>
      <w:r w:rsidRPr="00C910ED">
        <w:tab/>
      </w:r>
      <w:r w:rsidR="00274E23">
        <w:t>3(</w:t>
      </w:r>
      <w:r w:rsidR="00281C5B" w:rsidRPr="00C910ED">
        <w:t>e</w:t>
      </w:r>
      <w:r w:rsidR="00274E23">
        <w:t>)</w:t>
      </w:r>
      <w:r w:rsidR="00281C5B" w:rsidRPr="00C910ED">
        <w:tab/>
        <w:t>G</w:t>
      </w:r>
      <w:r w:rsidRPr="00C910ED">
        <w:t>eneral Guidelines</w:t>
      </w:r>
    </w:p>
    <w:p w:rsidR="00BA36F8" w:rsidRPr="00C910ED" w:rsidRDefault="00BA36F8"/>
    <w:p w:rsidR="00BA36F8" w:rsidRPr="00C910ED" w:rsidRDefault="00BA36F8" w:rsidP="007E0D52">
      <w:pPr>
        <w:outlineLvl w:val="0"/>
      </w:pPr>
      <w:r w:rsidRPr="00C910ED">
        <w:tab/>
        <w:t>This rule does not exceed any of the OMB guidelines.</w:t>
      </w:r>
    </w:p>
    <w:p w:rsidR="00BA36F8" w:rsidRPr="00C910ED" w:rsidRDefault="00BA36F8"/>
    <w:p w:rsidR="00BA36F8" w:rsidRPr="00C910ED" w:rsidRDefault="00BA36F8" w:rsidP="007E0D52">
      <w:pPr>
        <w:outlineLvl w:val="0"/>
      </w:pPr>
      <w:r w:rsidRPr="00C910ED">
        <w:tab/>
      </w:r>
      <w:r w:rsidR="00274E23">
        <w:t>3(f)</w:t>
      </w:r>
      <w:r w:rsidRPr="00C910ED">
        <w:t xml:space="preserve"> </w:t>
      </w:r>
      <w:r w:rsidR="00281C5B" w:rsidRPr="00C910ED">
        <w:tab/>
      </w:r>
      <w:r w:rsidRPr="00C910ED">
        <w:t>Confidentiality</w:t>
      </w:r>
    </w:p>
    <w:p w:rsidR="00BA36F8" w:rsidRPr="00C910ED" w:rsidRDefault="00BA36F8"/>
    <w:p w:rsidR="00BA36F8" w:rsidRDefault="00BA36F8">
      <w:r w:rsidRPr="00C910ED">
        <w:tab/>
      </w:r>
      <w:r w:rsidR="00AA6507" w:rsidRPr="00C910ED">
        <w:t xml:space="preserve">We inform </w:t>
      </w:r>
      <w:r w:rsidRPr="00C910ED">
        <w:t xml:space="preserve">respondents that they may assert claims of business confidentiality </w:t>
      </w:r>
      <w:r w:rsidR="00AA6507" w:rsidRPr="00C910ED">
        <w:t xml:space="preserve">(CBI) </w:t>
      </w:r>
      <w:r w:rsidRPr="00C910ED">
        <w:t>for any or</w:t>
      </w:r>
      <w:r w:rsidR="00756E47" w:rsidRPr="00C910ED">
        <w:t xml:space="preserve"> all </w:t>
      </w:r>
      <w:r w:rsidRPr="00C910ED">
        <w:t xml:space="preserve">of the information they submit. </w:t>
      </w:r>
      <w:r w:rsidR="00AA6507" w:rsidRPr="00C910ED">
        <w:t xml:space="preserve">We do not believe that most respondents would </w:t>
      </w:r>
      <w:r w:rsidR="007E0D52" w:rsidRPr="00C910ED">
        <w:t xml:space="preserve">characterize </w:t>
      </w:r>
      <w:r w:rsidR="00AA6507" w:rsidRPr="00C910ED">
        <w:t xml:space="preserve">the information they submit to us under this information collection </w:t>
      </w:r>
      <w:r w:rsidR="007E0D52" w:rsidRPr="00C910ED">
        <w:t xml:space="preserve">as </w:t>
      </w:r>
      <w:r w:rsidR="00AA6507" w:rsidRPr="00C910ED">
        <w:t xml:space="preserve">CBI.  </w:t>
      </w:r>
      <w:r w:rsidR="007E0D52" w:rsidRPr="00C910ED">
        <w:t xml:space="preserve">Because of this, we are permitting reporting via e-mail.  </w:t>
      </w:r>
      <w:r w:rsidR="00AA6507" w:rsidRPr="00C910ED">
        <w:t>However, any i</w:t>
      </w:r>
      <w:r w:rsidRPr="00C910ED">
        <w:t>nformation claimed as confidential will be treated in accordance with 40 CFR Part 2</w:t>
      </w:r>
      <w:r w:rsidR="00B56AE1" w:rsidRPr="00C910ED">
        <w:t xml:space="preserve"> and established Agency procedures</w:t>
      </w:r>
      <w:r w:rsidRPr="00C910ED">
        <w:t>.  Information th</w:t>
      </w:r>
      <w:r w:rsidR="00325EFF" w:rsidRPr="00C910ED">
        <w:t>at</w:t>
      </w:r>
      <w:r w:rsidRPr="00C910ED">
        <w:t xml:space="preserve"> is received without a claim of confidentiality may be made available to the public without further notice to the submitter under 40 CFR § 2.203.</w:t>
      </w:r>
    </w:p>
    <w:p w:rsidR="00E46628" w:rsidRPr="00C910ED" w:rsidRDefault="00E46628"/>
    <w:p w:rsidR="00BA36F8" w:rsidRPr="00C910ED" w:rsidRDefault="00BA36F8"/>
    <w:p w:rsidR="00BA36F8" w:rsidRPr="00C910ED" w:rsidRDefault="00274E23" w:rsidP="007E0D52">
      <w:pPr>
        <w:ind w:firstLine="720"/>
        <w:outlineLvl w:val="0"/>
      </w:pPr>
      <w:r>
        <w:t>3(g)</w:t>
      </w:r>
      <w:r w:rsidR="00BA36F8" w:rsidRPr="00C910ED">
        <w:tab/>
        <w:t>Sensitive Information</w:t>
      </w:r>
    </w:p>
    <w:p w:rsidR="00BA36F8" w:rsidRPr="00C910ED" w:rsidRDefault="00BA36F8">
      <w:r w:rsidRPr="00C910ED">
        <w:tab/>
      </w:r>
    </w:p>
    <w:p w:rsidR="00BA36F8" w:rsidRPr="00C910ED" w:rsidRDefault="00BA36F8">
      <w:r w:rsidRPr="00C910ED">
        <w:lastRenderedPageBreak/>
        <w:tab/>
      </w:r>
      <w:r w:rsidR="00AA6507" w:rsidRPr="00C910ED">
        <w:t>This information collection does not require submission of any sensitive information</w:t>
      </w:r>
      <w:r w:rsidRPr="00C910ED">
        <w:t>.</w:t>
      </w:r>
    </w:p>
    <w:p w:rsidR="00BA36F8" w:rsidRPr="00C910ED" w:rsidRDefault="00BA36F8"/>
    <w:p w:rsidR="00BA36F8" w:rsidRPr="00C910ED" w:rsidRDefault="00BA36F8" w:rsidP="007E0D52">
      <w:pPr>
        <w:outlineLvl w:val="0"/>
      </w:pPr>
      <w:r w:rsidRPr="00C910ED">
        <w:t>4.</w:t>
      </w:r>
      <w:r w:rsidRPr="00C910ED">
        <w:tab/>
        <w:t>The Respondents and the Information Requested</w:t>
      </w:r>
    </w:p>
    <w:p w:rsidR="00BA36F8" w:rsidRPr="00C910ED" w:rsidRDefault="00BA36F8"/>
    <w:p w:rsidR="00BA36F8" w:rsidRPr="00C910ED" w:rsidRDefault="00BA36F8" w:rsidP="007E0D52">
      <w:pPr>
        <w:outlineLvl w:val="0"/>
      </w:pPr>
      <w:r w:rsidRPr="00C910ED">
        <w:tab/>
      </w:r>
      <w:r w:rsidR="00274E23">
        <w:t>4(</w:t>
      </w:r>
      <w:r w:rsidRPr="00C910ED">
        <w:t>a</w:t>
      </w:r>
      <w:r w:rsidR="00274E23">
        <w:t>)</w:t>
      </w:r>
      <w:r w:rsidRPr="00C910ED">
        <w:tab/>
        <w:t>Respondents</w:t>
      </w:r>
      <w:r w:rsidR="00781AEA">
        <w:t xml:space="preserve"> with NAICS</w:t>
      </w:r>
      <w:r w:rsidRPr="00C910ED">
        <w:t>/SIC Codes</w:t>
      </w:r>
    </w:p>
    <w:p w:rsidR="00126179" w:rsidRPr="00C910ED" w:rsidRDefault="00126179"/>
    <w:p w:rsidR="00D263FA" w:rsidRDefault="00726DBC" w:rsidP="00D263FA">
      <w:pPr>
        <w:autoSpaceDE w:val="0"/>
        <w:autoSpaceDN w:val="0"/>
        <w:adjustRightInd w:val="0"/>
        <w:rPr>
          <w:szCs w:val="24"/>
        </w:rPr>
      </w:pPr>
      <w:r>
        <w:rPr>
          <w:szCs w:val="24"/>
          <w:lang w:val="en-CA"/>
        </w:rPr>
        <w:tab/>
      </w:r>
      <w:r w:rsidR="00167237" w:rsidRPr="00C910ED">
        <w:rPr>
          <w:szCs w:val="24"/>
          <w:lang w:val="en-CA"/>
        </w:rPr>
        <w:fldChar w:fldCharType="begin"/>
      </w:r>
      <w:r w:rsidR="00126179" w:rsidRPr="00C910ED">
        <w:rPr>
          <w:szCs w:val="24"/>
          <w:lang w:val="en-CA"/>
        </w:rPr>
        <w:instrText xml:space="preserve"> SEQ CHAPTER \h \r 1</w:instrText>
      </w:r>
      <w:r w:rsidR="00167237" w:rsidRPr="00C910ED">
        <w:rPr>
          <w:szCs w:val="24"/>
          <w:lang w:val="en-CA"/>
        </w:rPr>
        <w:fldChar w:fldCharType="end"/>
      </w:r>
      <w:r w:rsidR="00126179" w:rsidRPr="00C910ED">
        <w:rPr>
          <w:szCs w:val="24"/>
        </w:rPr>
        <w:t>The respondents to this information collection are:</w:t>
      </w:r>
    </w:p>
    <w:p w:rsidR="00D263FA" w:rsidRDefault="00D263FA" w:rsidP="00D263FA">
      <w:pPr>
        <w:autoSpaceDE w:val="0"/>
        <w:autoSpaceDN w:val="0"/>
        <w:adjustRightInd w:val="0"/>
        <w:rPr>
          <w:szCs w:val="24"/>
        </w:rPr>
      </w:pPr>
    </w:p>
    <w:p w:rsidR="00126179" w:rsidRPr="00C910ED" w:rsidRDefault="00AA6507" w:rsidP="00D263FA">
      <w:pPr>
        <w:numPr>
          <w:ilvl w:val="0"/>
          <w:numId w:val="11"/>
        </w:numPr>
        <w:autoSpaceDE w:val="0"/>
        <w:autoSpaceDN w:val="0"/>
        <w:adjustRightInd w:val="0"/>
        <w:ind w:left="1440"/>
        <w:rPr>
          <w:szCs w:val="24"/>
        </w:rPr>
      </w:pPr>
      <w:r w:rsidRPr="00C910ED">
        <w:rPr>
          <w:szCs w:val="24"/>
        </w:rPr>
        <w:t>Retailers (including wholesale purchaser-consumers)</w:t>
      </w:r>
    </w:p>
    <w:p w:rsidR="00126179" w:rsidRPr="00C910ED" w:rsidRDefault="00126179" w:rsidP="00126179">
      <w:pPr>
        <w:autoSpaceDE w:val="0"/>
        <w:autoSpaceDN w:val="0"/>
        <w:adjustRightInd w:val="0"/>
        <w:rPr>
          <w:szCs w:val="24"/>
        </w:rPr>
      </w:pPr>
    </w:p>
    <w:p w:rsidR="00D263FA" w:rsidRDefault="00126179" w:rsidP="00D263FA">
      <w:pPr>
        <w:rPr>
          <w:szCs w:val="24"/>
        </w:rPr>
      </w:pPr>
      <w:r w:rsidRPr="00C910ED">
        <w:rPr>
          <w:szCs w:val="24"/>
        </w:rPr>
        <w:tab/>
        <w:t xml:space="preserve">Recordkeeping and reporting </w:t>
      </w:r>
      <w:r w:rsidR="00B56AE1" w:rsidRPr="00C910ED">
        <w:rPr>
          <w:szCs w:val="24"/>
        </w:rPr>
        <w:t xml:space="preserve">may be </w:t>
      </w:r>
      <w:r w:rsidRPr="00C910ED">
        <w:rPr>
          <w:szCs w:val="24"/>
        </w:rPr>
        <w:t xml:space="preserve">required by the following industries, </w:t>
      </w:r>
      <w:r w:rsidRPr="00C910ED">
        <w:rPr>
          <w:i/>
          <w:iCs/>
          <w:szCs w:val="24"/>
        </w:rPr>
        <w:t>with 2002 NAICS Code indicated in parentheses</w:t>
      </w:r>
      <w:r w:rsidRPr="00C910ED">
        <w:rPr>
          <w:szCs w:val="24"/>
        </w:rPr>
        <w:t xml:space="preserve">:  </w:t>
      </w:r>
    </w:p>
    <w:p w:rsidR="00D263FA" w:rsidRDefault="00D263FA" w:rsidP="00D263FA">
      <w:pPr>
        <w:rPr>
          <w:szCs w:val="24"/>
        </w:rPr>
      </w:pPr>
    </w:p>
    <w:p w:rsidR="00D263FA" w:rsidRDefault="00D263FA" w:rsidP="00D263FA">
      <w:pPr>
        <w:numPr>
          <w:ilvl w:val="0"/>
          <w:numId w:val="10"/>
        </w:numPr>
        <w:ind w:left="1440"/>
        <w:rPr>
          <w:szCs w:val="24"/>
        </w:rPr>
      </w:pPr>
      <w:r>
        <w:rPr>
          <w:szCs w:val="24"/>
        </w:rPr>
        <w:t>Gasoline stations (447)</w:t>
      </w:r>
    </w:p>
    <w:p w:rsidR="00D263FA" w:rsidRDefault="00927CCF" w:rsidP="00D263FA">
      <w:pPr>
        <w:numPr>
          <w:ilvl w:val="0"/>
          <w:numId w:val="10"/>
        </w:numPr>
        <w:ind w:left="1440"/>
        <w:rPr>
          <w:szCs w:val="24"/>
        </w:rPr>
      </w:pPr>
      <w:r w:rsidRPr="00C910ED">
        <w:rPr>
          <w:szCs w:val="24"/>
        </w:rPr>
        <w:t>Gasoline stations with convenience stores (447110)</w:t>
      </w:r>
    </w:p>
    <w:p w:rsidR="00927CCF" w:rsidRPr="00C910ED" w:rsidRDefault="00927CCF" w:rsidP="00D263FA">
      <w:pPr>
        <w:numPr>
          <w:ilvl w:val="0"/>
          <w:numId w:val="10"/>
        </w:numPr>
        <w:ind w:left="1440"/>
        <w:rPr>
          <w:szCs w:val="24"/>
        </w:rPr>
      </w:pPr>
      <w:r w:rsidRPr="00C910ED">
        <w:rPr>
          <w:szCs w:val="24"/>
        </w:rPr>
        <w:t>Gasoline stations without convenience stores (447190)</w:t>
      </w:r>
    </w:p>
    <w:p w:rsidR="00BA36F8" w:rsidRPr="00C910ED" w:rsidRDefault="00BA36F8"/>
    <w:p w:rsidR="00BA36F8" w:rsidRPr="00C910ED" w:rsidRDefault="00BA36F8" w:rsidP="007E0D52">
      <w:pPr>
        <w:outlineLvl w:val="0"/>
      </w:pPr>
      <w:r w:rsidRPr="00C910ED">
        <w:tab/>
      </w:r>
      <w:r w:rsidR="00274E23">
        <w:t>4(b)</w:t>
      </w:r>
      <w:r w:rsidRPr="00C910ED">
        <w:tab/>
        <w:t>Information Requested</w:t>
      </w:r>
    </w:p>
    <w:p w:rsidR="00BA36F8" w:rsidRPr="00C910ED" w:rsidRDefault="00BA36F8">
      <w:r w:rsidRPr="00C910ED">
        <w:tab/>
      </w:r>
      <w:r w:rsidRPr="00C910ED">
        <w:tab/>
      </w:r>
    </w:p>
    <w:p w:rsidR="009D41CA" w:rsidRDefault="00BA36F8">
      <w:r w:rsidRPr="00C910ED">
        <w:tab/>
      </w:r>
      <w:r w:rsidRPr="00C910ED">
        <w:tab/>
      </w:r>
      <w:r w:rsidR="009D41CA">
        <w:t>4</w:t>
      </w:r>
      <w:r w:rsidR="00274E23">
        <w:t>(</w:t>
      </w:r>
      <w:proofErr w:type="spellStart"/>
      <w:r w:rsidR="00274E23">
        <w:t>i</w:t>
      </w:r>
      <w:proofErr w:type="spellEnd"/>
      <w:r w:rsidRPr="00C910ED">
        <w:t>)</w:t>
      </w:r>
      <w:r w:rsidRPr="00C910ED">
        <w:tab/>
        <w:t>Reporting:  Respondents</w:t>
      </w:r>
      <w:r w:rsidR="00CB03A9" w:rsidRPr="00C910ED">
        <w:t xml:space="preserve"> who </w:t>
      </w:r>
      <w:r w:rsidR="007E0D52" w:rsidRPr="00C910ED">
        <w:t xml:space="preserve">use the notification option </w:t>
      </w:r>
      <w:r w:rsidR="00CB03A9" w:rsidRPr="00C910ED">
        <w:t>will be sending a very simple report that could take the form of a short e-mail or similar communication</w:t>
      </w:r>
      <w:r w:rsidRPr="00C910ED">
        <w:t>.</w:t>
      </w:r>
      <w:r w:rsidR="00CB03A9" w:rsidRPr="00C910ED">
        <w:t xml:space="preserve">  No form is to be developed, although we may consider developing a simple web </w:t>
      </w:r>
      <w:r w:rsidR="007E0D52" w:rsidRPr="00C910ED">
        <w:t>based reporting</w:t>
      </w:r>
      <w:r w:rsidR="00CB03A9" w:rsidRPr="00C910ED">
        <w:t xml:space="preserve"> interface for submission of the information,</w:t>
      </w:r>
      <w:r w:rsidR="00281C5B" w:rsidRPr="00C910ED">
        <w:t xml:space="preserve"> </w:t>
      </w:r>
      <w:r w:rsidR="00CB03A9" w:rsidRPr="00C910ED">
        <w:t xml:space="preserve">if that </w:t>
      </w:r>
      <w:r w:rsidR="007E0D52" w:rsidRPr="00C910ED">
        <w:t xml:space="preserve">option </w:t>
      </w:r>
      <w:r w:rsidR="00CB03A9" w:rsidRPr="00C910ED">
        <w:t xml:space="preserve">is desired by the respondent community.  </w:t>
      </w:r>
      <w:r w:rsidRPr="00C910ED">
        <w:tab/>
      </w:r>
      <w:r w:rsidRPr="00C910ED">
        <w:tab/>
      </w:r>
    </w:p>
    <w:p w:rsidR="009D41CA" w:rsidRDefault="009D41CA"/>
    <w:p w:rsidR="00BA36F8" w:rsidRPr="00C910ED" w:rsidRDefault="009D41CA">
      <w:r>
        <w:tab/>
      </w:r>
      <w:r>
        <w:tab/>
      </w:r>
      <w:r w:rsidR="00781AEA">
        <w:t>4(</w:t>
      </w:r>
      <w:r w:rsidR="00274E23">
        <w:t>ii</w:t>
      </w:r>
      <w:r w:rsidR="00BA36F8" w:rsidRPr="00C910ED">
        <w:t>)</w:t>
      </w:r>
      <w:r w:rsidR="00BA36F8" w:rsidRPr="00C910ED">
        <w:tab/>
        <w:t xml:space="preserve">Recordkeeping:  </w:t>
      </w:r>
      <w:r w:rsidR="00CB03A9" w:rsidRPr="00C910ED">
        <w:t>Under the testing option, r</w:t>
      </w:r>
      <w:r w:rsidR="00BA36F8" w:rsidRPr="00C910ED">
        <w:t xml:space="preserve">espondents must retain underlying records related to </w:t>
      </w:r>
      <w:r w:rsidR="00B56AE1" w:rsidRPr="00C910ED">
        <w:t xml:space="preserve">results of </w:t>
      </w:r>
      <w:r w:rsidR="00CB03A9" w:rsidRPr="00C910ED">
        <w:t xml:space="preserve">any tests they perform </w:t>
      </w:r>
      <w:r w:rsidR="00BA36F8" w:rsidRPr="00C910ED">
        <w:t>for five years.</w:t>
      </w:r>
      <w:r w:rsidR="00CB03A9" w:rsidRPr="00C910ED">
        <w:t xml:space="preserve"> We anticipate that 5% </w:t>
      </w:r>
      <w:r w:rsidR="007E0D52" w:rsidRPr="00C910ED">
        <w:t xml:space="preserve">or fewer respondents </w:t>
      </w:r>
      <w:r w:rsidR="00CB03A9" w:rsidRPr="00C910ED">
        <w:t>will choose the testing option</w:t>
      </w:r>
      <w:r w:rsidR="00756E47" w:rsidRPr="00C910ED">
        <w:t xml:space="preserve">. </w:t>
      </w:r>
      <w:r w:rsidR="00CB03A9" w:rsidRPr="00C910ED">
        <w:t xml:space="preserve">The burden of retaining the </w:t>
      </w:r>
      <w:r w:rsidR="00B56AE1" w:rsidRPr="00C910ED">
        <w:t>testing results record i</w:t>
      </w:r>
      <w:r w:rsidR="00CB03A9" w:rsidRPr="00C910ED">
        <w:t xml:space="preserve">s small.  </w:t>
      </w:r>
    </w:p>
    <w:p w:rsidR="00BA36F8" w:rsidRDefault="00BA36F8"/>
    <w:p w:rsidR="00BA36F8" w:rsidRPr="00C910ED" w:rsidRDefault="00BA36F8" w:rsidP="007E0D52">
      <w:pPr>
        <w:outlineLvl w:val="0"/>
      </w:pPr>
      <w:r w:rsidRPr="00C910ED">
        <w:t>5.  The Information Collected, Agency Activities, Collection Methodology, and Information Management</w:t>
      </w:r>
    </w:p>
    <w:p w:rsidR="00BA36F8" w:rsidRPr="00C910ED" w:rsidRDefault="00BA36F8"/>
    <w:p w:rsidR="00BA36F8" w:rsidRPr="00C910ED" w:rsidRDefault="008178CB" w:rsidP="007E0D52">
      <w:pPr>
        <w:outlineLvl w:val="0"/>
      </w:pPr>
      <w:r>
        <w:tab/>
        <w:t>5(</w:t>
      </w:r>
      <w:r w:rsidR="00BA36F8" w:rsidRPr="00C910ED">
        <w:t>a</w:t>
      </w:r>
      <w:r>
        <w:t>)</w:t>
      </w:r>
      <w:r w:rsidR="00BA36F8" w:rsidRPr="00C910ED">
        <w:tab/>
        <w:t>Agency Activities</w:t>
      </w:r>
    </w:p>
    <w:p w:rsidR="00BA36F8" w:rsidRPr="00C910ED" w:rsidRDefault="00BA36F8"/>
    <w:p w:rsidR="00726DBC" w:rsidRDefault="00726DBC" w:rsidP="00726DBC">
      <w:pPr>
        <w:numPr>
          <w:ilvl w:val="0"/>
          <w:numId w:val="1"/>
        </w:numPr>
        <w:tabs>
          <w:tab w:val="clear" w:pos="360"/>
          <w:tab w:val="num" w:pos="1080"/>
        </w:tabs>
        <w:ind w:left="1080"/>
      </w:pPr>
      <w:r>
        <w:t>A</w:t>
      </w:r>
      <w:r w:rsidR="00BA36F8" w:rsidRPr="00C910ED">
        <w:t xml:space="preserve">ll </w:t>
      </w:r>
      <w:r w:rsidR="00CB03A9" w:rsidRPr="00C910ED">
        <w:t xml:space="preserve">notifications </w:t>
      </w:r>
      <w:r w:rsidR="00BA36F8" w:rsidRPr="00C910ED">
        <w:t>will be reviewed by EPA.</w:t>
      </w:r>
      <w:r w:rsidR="00CB03A9" w:rsidRPr="00C910ED">
        <w:t xml:space="preserve">  (Test results will be shown to EPA field compliance and enforcement personnel upon request.)</w:t>
      </w:r>
    </w:p>
    <w:p w:rsidR="00BA36F8" w:rsidRPr="00C910ED" w:rsidRDefault="00CB03A9" w:rsidP="00726DBC">
      <w:pPr>
        <w:numPr>
          <w:ilvl w:val="0"/>
          <w:numId w:val="1"/>
        </w:numPr>
        <w:tabs>
          <w:tab w:val="clear" w:pos="360"/>
          <w:tab w:val="num" w:pos="1080"/>
        </w:tabs>
        <w:ind w:left="1080"/>
      </w:pPr>
      <w:r w:rsidRPr="00C910ED">
        <w:t>Notifications</w:t>
      </w:r>
      <w:r w:rsidR="00BA36F8" w:rsidRPr="00C910ED">
        <w:t xml:space="preserve"> will be stored</w:t>
      </w:r>
      <w:r w:rsidRPr="00C910ED">
        <w:t xml:space="preserve"> by EPA</w:t>
      </w:r>
      <w:r w:rsidR="00BA36F8" w:rsidRPr="00C910ED">
        <w:t>.</w:t>
      </w:r>
    </w:p>
    <w:p w:rsidR="00BA36F8" w:rsidRPr="00C910ED" w:rsidRDefault="00BA36F8"/>
    <w:p w:rsidR="00BA36F8" w:rsidRPr="00C910ED" w:rsidRDefault="008178CB" w:rsidP="007E0D52">
      <w:pPr>
        <w:outlineLvl w:val="0"/>
      </w:pPr>
      <w:r>
        <w:tab/>
        <w:t>5(</w:t>
      </w:r>
      <w:r w:rsidR="00BA36F8" w:rsidRPr="00C910ED">
        <w:t>b</w:t>
      </w:r>
      <w:r>
        <w:t>)</w:t>
      </w:r>
      <w:r w:rsidR="00BA36F8" w:rsidRPr="00C910ED">
        <w:tab/>
        <w:t>Collection Methodology and Management</w:t>
      </w:r>
    </w:p>
    <w:p w:rsidR="00BA36F8" w:rsidRPr="00C910ED" w:rsidRDefault="00BA36F8"/>
    <w:p w:rsidR="00BA36F8" w:rsidRPr="00C910ED" w:rsidRDefault="00BA36F8">
      <w:r w:rsidRPr="00C910ED">
        <w:tab/>
        <w:t>Data will be collected by industry and reported to EPA</w:t>
      </w:r>
      <w:r w:rsidR="00CB03A9" w:rsidRPr="00C910ED">
        <w:t xml:space="preserve"> in the form of a simple e-mail that identifies the service station</w:t>
      </w:r>
      <w:r w:rsidR="00EA2F88" w:rsidRPr="00C910ED">
        <w:t xml:space="preserve"> and its address and identifies the tank where commingling will occur</w:t>
      </w:r>
      <w:r w:rsidRPr="00C910ED">
        <w:t xml:space="preserve">. </w:t>
      </w:r>
      <w:r w:rsidR="007E0D52" w:rsidRPr="00C910ED">
        <w:t>As mentioned above, w</w:t>
      </w:r>
      <w:r w:rsidR="00EA2F88" w:rsidRPr="00C910ED">
        <w:t xml:space="preserve">e do not anticipate </w:t>
      </w:r>
      <w:r w:rsidR="003D5515" w:rsidRPr="00C910ED">
        <w:t xml:space="preserve">that </w:t>
      </w:r>
      <w:r w:rsidR="00EA2F88" w:rsidRPr="00C910ED">
        <w:t xml:space="preserve">this information will come in under a CBI claim; however, that is a possibility and we will treat all such </w:t>
      </w:r>
      <w:r w:rsidR="00EA2F88" w:rsidRPr="00C910ED">
        <w:lastRenderedPageBreak/>
        <w:t xml:space="preserve">information in accordance with 40 CFR Part 2 and established Agency procedures for handling CBI.  Information claimed as CBI </w:t>
      </w:r>
      <w:r w:rsidRPr="00C910ED">
        <w:t>will be stored in appropriately controlled areas.</w:t>
      </w:r>
    </w:p>
    <w:p w:rsidR="00BA36F8" w:rsidRPr="00C910ED" w:rsidRDefault="00BA36F8"/>
    <w:p w:rsidR="00BA36F8" w:rsidRPr="00C910ED" w:rsidRDefault="000D380E" w:rsidP="007E0D52">
      <w:pPr>
        <w:outlineLvl w:val="0"/>
      </w:pPr>
      <w:r>
        <w:tab/>
      </w:r>
      <w:r w:rsidR="002C4822">
        <w:t xml:space="preserve"> </w:t>
      </w:r>
      <w:proofErr w:type="gramStart"/>
      <w:r w:rsidR="008178CB">
        <w:t>5(c)</w:t>
      </w:r>
      <w:r w:rsidR="00B66A7B">
        <w:tab/>
      </w:r>
      <w:r w:rsidR="00B66A7B" w:rsidRPr="00C910ED">
        <w:t xml:space="preserve"> </w:t>
      </w:r>
      <w:r w:rsidR="00BA36F8" w:rsidRPr="00C910ED">
        <w:t>Small Entity Flexibility</w:t>
      </w:r>
      <w:proofErr w:type="gramEnd"/>
    </w:p>
    <w:p w:rsidR="00BA36F8" w:rsidRPr="00C910ED" w:rsidRDefault="00BA36F8"/>
    <w:p w:rsidR="00BA36F8" w:rsidRPr="00C910ED" w:rsidRDefault="00BA36F8">
      <w:r w:rsidRPr="00C910ED">
        <w:tab/>
        <w:t xml:space="preserve">This collection will not adversely affect small entities. </w:t>
      </w:r>
      <w:r w:rsidR="007E0D52" w:rsidRPr="00C910ED">
        <w:t>The whole purpose of the commingling provision of the EPAct is to provide flexibility.  The actual estimated annual burden for a typical respondent who submits up to two notifications per year is $</w:t>
      </w:r>
      <w:r w:rsidR="00102FD4">
        <w:t>17</w:t>
      </w:r>
      <w:r w:rsidR="00667456" w:rsidRPr="00C910ED">
        <w:t>.00</w:t>
      </w:r>
      <w:r w:rsidR="007236DC">
        <w:t xml:space="preserve"> and </w:t>
      </w:r>
      <w:r w:rsidR="007E0D52" w:rsidRPr="00C910ED">
        <w:t>0.50 hours</w:t>
      </w:r>
      <w:r w:rsidR="007236DC">
        <w:t xml:space="preserve"> (30 minutes)</w:t>
      </w:r>
      <w:r w:rsidR="007E0D52" w:rsidRPr="00C910ED">
        <w:t xml:space="preserve"> annually.</w:t>
      </w:r>
      <w:r w:rsidRPr="00C910ED">
        <w:t xml:space="preserve"> </w:t>
      </w:r>
    </w:p>
    <w:p w:rsidR="00EA2F88" w:rsidRPr="00C910ED" w:rsidRDefault="00EA2F88"/>
    <w:p w:rsidR="00BA36F8" w:rsidRPr="00C910ED" w:rsidRDefault="008178CB" w:rsidP="007E0D52">
      <w:pPr>
        <w:outlineLvl w:val="0"/>
      </w:pPr>
      <w:r>
        <w:tab/>
        <w:t>5(</w:t>
      </w:r>
      <w:r w:rsidR="00BA36F8" w:rsidRPr="00C910ED">
        <w:t>d</w:t>
      </w:r>
      <w:r>
        <w:t>)</w:t>
      </w:r>
      <w:r>
        <w:tab/>
      </w:r>
      <w:r w:rsidR="00BA36F8" w:rsidRPr="00C910ED">
        <w:t>Collection Schedule</w:t>
      </w:r>
    </w:p>
    <w:p w:rsidR="00BA36F8" w:rsidRPr="00C910ED" w:rsidRDefault="00BA36F8"/>
    <w:p w:rsidR="00BA36F8" w:rsidRPr="00C910ED" w:rsidRDefault="00BA36F8">
      <w:r w:rsidRPr="00C910ED">
        <w:tab/>
      </w:r>
      <w:r w:rsidR="00EA2F88" w:rsidRPr="00C910ED">
        <w:t>We anticipate that notifications will be submitted no more than twice per year</w:t>
      </w:r>
      <w:r w:rsidRPr="00C910ED">
        <w:t>.</w:t>
      </w:r>
    </w:p>
    <w:p w:rsidR="00BA36F8" w:rsidRPr="00C910ED" w:rsidRDefault="00BA36F8"/>
    <w:p w:rsidR="00BA36F8" w:rsidRPr="00C910ED" w:rsidRDefault="00BA36F8" w:rsidP="007E0D52">
      <w:pPr>
        <w:outlineLvl w:val="0"/>
      </w:pPr>
      <w:r w:rsidRPr="00C910ED">
        <w:t>6.</w:t>
      </w:r>
      <w:r w:rsidRPr="00C910ED">
        <w:tab/>
      </w:r>
      <w:r w:rsidRPr="00C910ED">
        <w:rPr>
          <w:u w:val="single"/>
        </w:rPr>
        <w:t xml:space="preserve">Estimating the Burden and </w:t>
      </w:r>
      <w:bookmarkStart w:id="0" w:name="_GoBack"/>
      <w:r w:rsidRPr="00C910ED">
        <w:rPr>
          <w:u w:val="single"/>
        </w:rPr>
        <w:t>Cost</w:t>
      </w:r>
      <w:bookmarkEnd w:id="0"/>
      <w:r w:rsidRPr="00C910ED">
        <w:rPr>
          <w:u w:val="single"/>
        </w:rPr>
        <w:t xml:space="preserve"> of Collection</w:t>
      </w:r>
    </w:p>
    <w:p w:rsidR="00BA36F8" w:rsidRPr="00C910ED" w:rsidRDefault="00BA36F8"/>
    <w:p w:rsidR="00B84C95" w:rsidRPr="00C910ED" w:rsidRDefault="008178CB" w:rsidP="007E0D52">
      <w:pPr>
        <w:outlineLvl w:val="0"/>
      </w:pPr>
      <w:r>
        <w:tab/>
        <w:t>6</w:t>
      </w:r>
      <w:r w:rsidR="00B84C95" w:rsidRPr="00C910ED">
        <w:t>(</w:t>
      </w:r>
      <w:r w:rsidR="00BA36F8" w:rsidRPr="00C910ED">
        <w:t>a</w:t>
      </w:r>
      <w:r w:rsidR="00B84C95" w:rsidRPr="00C910ED">
        <w:t>)</w:t>
      </w:r>
      <w:r w:rsidR="00B84C95" w:rsidRPr="00C910ED">
        <w:tab/>
        <w:t xml:space="preserve">Estimating the Respondent </w:t>
      </w:r>
      <w:r w:rsidR="006E6DDB">
        <w:t>Burden</w:t>
      </w:r>
    </w:p>
    <w:p w:rsidR="00B84C95" w:rsidRPr="00C910ED" w:rsidRDefault="00B84C95"/>
    <w:p w:rsidR="00BA36F8" w:rsidRPr="00A41ADF" w:rsidRDefault="00BA36F8" w:rsidP="00C53951">
      <w:pPr>
        <w:pStyle w:val="Default"/>
        <w:rPr>
          <w:rFonts w:ascii="Times New Roman" w:hAnsi="Times New Roman" w:cs="Times New Roman"/>
        </w:rPr>
      </w:pPr>
      <w:r w:rsidRPr="00C910ED">
        <w:tab/>
      </w:r>
      <w:r w:rsidRPr="00C53951">
        <w:rPr>
          <w:rFonts w:ascii="Times New Roman" w:hAnsi="Times New Roman" w:cs="Times New Roman"/>
        </w:rPr>
        <w:t xml:space="preserve">We drew upon experience implementing similar regulations among the same entities to develop estimates of the burden associated with this collection.  </w:t>
      </w:r>
      <w:r w:rsidR="00EA2F88" w:rsidRPr="00C53951">
        <w:rPr>
          <w:rFonts w:ascii="Times New Roman" w:hAnsi="Times New Roman" w:cs="Times New Roman"/>
        </w:rPr>
        <w:t xml:space="preserve">We consulted the </w:t>
      </w:r>
      <w:r w:rsidR="00D15AFA">
        <w:rPr>
          <w:rFonts w:ascii="Times New Roman" w:hAnsi="Times New Roman" w:cs="Times New Roman"/>
        </w:rPr>
        <w:t>2008 Economic Census for Retail T</w:t>
      </w:r>
      <w:r w:rsidR="00C53951" w:rsidRPr="00C53951">
        <w:rPr>
          <w:rFonts w:ascii="Times New Roman" w:hAnsi="Times New Roman" w:cs="Times New Roman"/>
        </w:rPr>
        <w:t xml:space="preserve">rade </w:t>
      </w:r>
      <w:r w:rsidR="00EA2F88" w:rsidRPr="00C53951">
        <w:rPr>
          <w:rFonts w:ascii="Times New Roman" w:hAnsi="Times New Roman" w:cs="Times New Roman"/>
        </w:rPr>
        <w:t xml:space="preserve">to assist us in estimating the </w:t>
      </w:r>
      <w:r w:rsidR="007E0D52" w:rsidRPr="00C53951">
        <w:rPr>
          <w:rFonts w:ascii="Times New Roman" w:hAnsi="Times New Roman" w:cs="Times New Roman"/>
        </w:rPr>
        <w:t xml:space="preserve">total </w:t>
      </w:r>
      <w:r w:rsidR="00EA2F88" w:rsidRPr="00C53951">
        <w:rPr>
          <w:rFonts w:ascii="Times New Roman" w:hAnsi="Times New Roman" w:cs="Times New Roman"/>
        </w:rPr>
        <w:t>number of retail stations</w:t>
      </w:r>
      <w:r w:rsidR="005326C6" w:rsidRPr="00C53951">
        <w:rPr>
          <w:rFonts w:ascii="Times New Roman" w:hAnsi="Times New Roman" w:cs="Times New Roman"/>
        </w:rPr>
        <w:t xml:space="preserve">. </w:t>
      </w:r>
      <w:r w:rsidR="00C53951" w:rsidRPr="00C53951">
        <w:rPr>
          <w:rFonts w:ascii="Times New Roman" w:hAnsi="Times New Roman" w:cs="Times New Roman"/>
        </w:rPr>
        <w:t xml:space="preserve"> </w:t>
      </w:r>
      <w:r w:rsidR="00EA2F88" w:rsidRPr="00C53951">
        <w:rPr>
          <w:rFonts w:ascii="Times New Roman" w:hAnsi="Times New Roman" w:cs="Times New Roman"/>
        </w:rPr>
        <w:t>Since th</w:t>
      </w:r>
      <w:r w:rsidR="00B35624">
        <w:rPr>
          <w:rFonts w:ascii="Times New Roman" w:hAnsi="Times New Roman" w:cs="Times New Roman"/>
        </w:rPr>
        <w:t xml:space="preserve">e </w:t>
      </w:r>
      <w:r w:rsidR="00C53951">
        <w:rPr>
          <w:rFonts w:ascii="Times New Roman" w:hAnsi="Times New Roman" w:cs="Times New Roman"/>
        </w:rPr>
        <w:t>Economic Census</w:t>
      </w:r>
      <w:r w:rsidR="00102FD4">
        <w:rPr>
          <w:rFonts w:ascii="Times New Roman" w:hAnsi="Times New Roman" w:cs="Times New Roman"/>
        </w:rPr>
        <w:t xml:space="preserve"> for</w:t>
      </w:r>
      <w:r w:rsidR="00C53951">
        <w:rPr>
          <w:rFonts w:ascii="Times New Roman" w:hAnsi="Times New Roman" w:cs="Times New Roman"/>
        </w:rPr>
        <w:t xml:space="preserve"> </w:t>
      </w:r>
      <w:r w:rsidR="00D15AFA">
        <w:rPr>
          <w:rFonts w:ascii="Times New Roman" w:hAnsi="Times New Roman" w:cs="Times New Roman"/>
        </w:rPr>
        <w:t>Retail T</w:t>
      </w:r>
      <w:r w:rsidR="00102FD4">
        <w:rPr>
          <w:rFonts w:ascii="Times New Roman" w:hAnsi="Times New Roman" w:cs="Times New Roman"/>
        </w:rPr>
        <w:t xml:space="preserve">rade </w:t>
      </w:r>
      <w:r w:rsidR="00C53951">
        <w:rPr>
          <w:rFonts w:ascii="Times New Roman" w:hAnsi="Times New Roman" w:cs="Times New Roman"/>
        </w:rPr>
        <w:t xml:space="preserve">provided </w:t>
      </w:r>
      <w:r w:rsidR="00EA2F88" w:rsidRPr="00C53951">
        <w:rPr>
          <w:rFonts w:ascii="Times New Roman" w:hAnsi="Times New Roman" w:cs="Times New Roman"/>
        </w:rPr>
        <w:t>a nationwide estimate</w:t>
      </w:r>
      <w:r w:rsidR="00B35624">
        <w:rPr>
          <w:rFonts w:ascii="Times New Roman" w:hAnsi="Times New Roman" w:cs="Times New Roman"/>
        </w:rPr>
        <w:t xml:space="preserve"> of 1</w:t>
      </w:r>
      <w:r w:rsidR="00776CD6">
        <w:rPr>
          <w:rFonts w:ascii="Times New Roman" w:hAnsi="Times New Roman" w:cs="Times New Roman"/>
        </w:rPr>
        <w:t>15</w:t>
      </w:r>
      <w:r w:rsidR="00B35624">
        <w:rPr>
          <w:rFonts w:ascii="Times New Roman" w:hAnsi="Times New Roman" w:cs="Times New Roman"/>
        </w:rPr>
        <w:t>,223</w:t>
      </w:r>
      <w:r w:rsidR="00D81140">
        <w:rPr>
          <w:rStyle w:val="FootnoteReference"/>
          <w:rFonts w:ascii="Times New Roman" w:hAnsi="Times New Roman" w:cs="Times New Roman"/>
        </w:rPr>
        <w:footnoteReference w:id="1"/>
      </w:r>
      <w:r w:rsidR="00D81140">
        <w:rPr>
          <w:rFonts w:ascii="Times New Roman" w:hAnsi="Times New Roman" w:cs="Times New Roman"/>
        </w:rPr>
        <w:t>,</w:t>
      </w:r>
      <w:r w:rsidR="00EA2F88" w:rsidRPr="00C53951">
        <w:rPr>
          <w:rFonts w:ascii="Times New Roman" w:hAnsi="Times New Roman" w:cs="Times New Roman"/>
        </w:rPr>
        <w:t xml:space="preserve"> we assumed 30% of that number for stations in RFG areas (since 30% of the gasoline market nationwide is RFG). </w:t>
      </w:r>
      <w:r w:rsidR="002849DC">
        <w:rPr>
          <w:rFonts w:ascii="Times New Roman" w:hAnsi="Times New Roman" w:cs="Times New Roman"/>
        </w:rPr>
        <w:t>The number used for stations in the RFG area will be 34,566.9 rounded up for ease of use (35,000).</w:t>
      </w:r>
      <w:r w:rsidR="00EA2F88" w:rsidRPr="00C53951">
        <w:rPr>
          <w:rFonts w:ascii="Times New Roman" w:hAnsi="Times New Roman" w:cs="Times New Roman"/>
        </w:rPr>
        <w:t xml:space="preserve"> Although imperfect, we believe this is a reasonable estimate</w:t>
      </w:r>
      <w:r w:rsidR="007E0D52" w:rsidRPr="00C53951">
        <w:rPr>
          <w:rFonts w:ascii="Times New Roman" w:hAnsi="Times New Roman" w:cs="Times New Roman"/>
        </w:rPr>
        <w:t>, and have applied similar logic in estimating the number of wholesale purchaser-consumers</w:t>
      </w:r>
      <w:r w:rsidR="00EA2F88" w:rsidRPr="00C53951">
        <w:rPr>
          <w:rFonts w:ascii="Times New Roman" w:hAnsi="Times New Roman" w:cs="Times New Roman"/>
        </w:rPr>
        <w:t xml:space="preserve">. </w:t>
      </w:r>
      <w:r w:rsidR="00A41ADF" w:rsidRPr="00A41ADF">
        <w:rPr>
          <w:rFonts w:ascii="Times New Roman" w:hAnsi="Times New Roman" w:cs="Times New Roman"/>
          <w:bCs/>
        </w:rPr>
        <w:t>The 200</w:t>
      </w:r>
      <w:r w:rsidR="007C44A4">
        <w:rPr>
          <w:rFonts w:ascii="Times New Roman" w:hAnsi="Times New Roman" w:cs="Times New Roman"/>
          <w:bCs/>
        </w:rPr>
        <w:t>7</w:t>
      </w:r>
      <w:r w:rsidR="00A41ADF" w:rsidRPr="00A41ADF">
        <w:rPr>
          <w:rFonts w:ascii="Times New Roman" w:hAnsi="Times New Roman" w:cs="Times New Roman"/>
          <w:bCs/>
        </w:rPr>
        <w:t xml:space="preserve"> Census Bureau Fact Finder2 reported that there are 20,202 wholesale purchaser-consumer facilities handling petroleum product.</w:t>
      </w:r>
      <w:r w:rsidR="00DC58BD">
        <w:rPr>
          <w:rStyle w:val="FootnoteReference"/>
          <w:rFonts w:ascii="Times New Roman" w:hAnsi="Times New Roman" w:cs="Times New Roman"/>
          <w:bCs/>
        </w:rPr>
        <w:footnoteReference w:id="2"/>
      </w:r>
      <w:r w:rsidR="00A41ADF" w:rsidRPr="00A41ADF">
        <w:rPr>
          <w:rFonts w:ascii="Times New Roman" w:hAnsi="Times New Roman" w:cs="Times New Roman"/>
          <w:bCs/>
        </w:rPr>
        <w:t xml:space="preserve">  For purposes of this ICR, we are multiplying this number by 0.30 to yield 6060.9 facilities.</w:t>
      </w:r>
      <w:r w:rsidR="00A41ADF" w:rsidRPr="00A41ADF">
        <w:rPr>
          <w:rFonts w:ascii="Times New Roman" w:hAnsi="Times New Roman" w:cs="Times New Roman"/>
          <w:b/>
          <w:bCs/>
        </w:rPr>
        <w:t xml:space="preserve"> </w:t>
      </w:r>
      <w:r w:rsidR="00A41ADF" w:rsidRPr="00A41ADF">
        <w:rPr>
          <w:rFonts w:ascii="Times New Roman" w:hAnsi="Times New Roman" w:cs="Times New Roman"/>
          <w:bCs/>
        </w:rPr>
        <w:t>Adding our estimate of the number of retailers (35,000) and the number of wholesale purchaser-consum</w:t>
      </w:r>
      <w:r w:rsidR="0083629F">
        <w:rPr>
          <w:rFonts w:ascii="Times New Roman" w:hAnsi="Times New Roman" w:cs="Times New Roman"/>
          <w:bCs/>
        </w:rPr>
        <w:t>ers 6060.9 rounded to (6,</w:t>
      </w:r>
      <w:r w:rsidR="00A41ADF" w:rsidRPr="00A41ADF">
        <w:rPr>
          <w:rFonts w:ascii="Times New Roman" w:hAnsi="Times New Roman" w:cs="Times New Roman"/>
          <w:bCs/>
        </w:rPr>
        <w:t>000) for ease of use</w:t>
      </w:r>
      <w:r w:rsidR="00D15AFA">
        <w:rPr>
          <w:rFonts w:ascii="Times New Roman" w:hAnsi="Times New Roman" w:cs="Times New Roman"/>
          <w:bCs/>
        </w:rPr>
        <w:t xml:space="preserve"> gives us a collection of </w:t>
      </w:r>
      <w:r w:rsidR="0083629F">
        <w:rPr>
          <w:rFonts w:ascii="Times New Roman" w:hAnsi="Times New Roman" w:cs="Times New Roman"/>
          <w:bCs/>
        </w:rPr>
        <w:t>41</w:t>
      </w:r>
      <w:r w:rsidR="00A41ADF" w:rsidRPr="00A41ADF">
        <w:rPr>
          <w:rFonts w:ascii="Times New Roman" w:hAnsi="Times New Roman" w:cs="Times New Roman"/>
          <w:bCs/>
        </w:rPr>
        <w:t>,000 respondents.</w:t>
      </w:r>
      <w:r w:rsidR="00A41ADF" w:rsidRPr="00A41ADF">
        <w:rPr>
          <w:rFonts w:ascii="Times New Roman" w:hAnsi="Times New Roman" w:cs="Times New Roman"/>
          <w:b/>
          <w:bCs/>
        </w:rPr>
        <w:t xml:space="preserve">  </w:t>
      </w:r>
      <w:r w:rsidR="00A41ADF" w:rsidRPr="00A41ADF">
        <w:rPr>
          <w:rFonts w:ascii="Times New Roman" w:hAnsi="Times New Roman" w:cs="Times New Roman"/>
        </w:rPr>
        <w:t xml:space="preserve">We believe this number to be on the high side in estimating actual respondents, but it does provide a reasonable benchmark.    </w:t>
      </w:r>
      <w:r w:rsidR="005E439C" w:rsidRPr="00A41ADF">
        <w:rPr>
          <w:rFonts w:ascii="Times New Roman" w:hAnsi="Times New Roman" w:cs="Times New Roman"/>
        </w:rPr>
        <w:t xml:space="preserve"> </w:t>
      </w:r>
      <w:r w:rsidR="00EA2F88" w:rsidRPr="00A41ADF">
        <w:rPr>
          <w:rFonts w:ascii="Times New Roman" w:hAnsi="Times New Roman" w:cs="Times New Roman"/>
        </w:rPr>
        <w:t xml:space="preserve"> </w:t>
      </w:r>
      <w:r w:rsidR="005326C6" w:rsidRPr="00A41ADF">
        <w:rPr>
          <w:rFonts w:ascii="Times New Roman" w:hAnsi="Times New Roman" w:cs="Times New Roman"/>
        </w:rPr>
        <w:t xml:space="preserve"> </w:t>
      </w:r>
      <w:r w:rsidRPr="00A41ADF">
        <w:rPr>
          <w:rFonts w:ascii="Times New Roman" w:hAnsi="Times New Roman" w:cs="Times New Roman"/>
        </w:rPr>
        <w:t xml:space="preserve">  </w:t>
      </w:r>
    </w:p>
    <w:p w:rsidR="00BA36F8" w:rsidRPr="00C910ED" w:rsidRDefault="00BA36F8"/>
    <w:p w:rsidR="001116B3" w:rsidRDefault="008178CB" w:rsidP="0085148C">
      <w:pPr>
        <w:outlineLvl w:val="0"/>
      </w:pPr>
      <w:r>
        <w:tab/>
        <w:t>6</w:t>
      </w:r>
      <w:r w:rsidR="001116B3" w:rsidRPr="00C910ED">
        <w:t xml:space="preserve">(b) </w:t>
      </w:r>
      <w:r w:rsidR="00115707" w:rsidRPr="00C910ED">
        <w:tab/>
      </w:r>
      <w:r w:rsidR="00B84C95" w:rsidRPr="00C910ED">
        <w:t>Estimating the Respondent Burden and Cost</w:t>
      </w:r>
    </w:p>
    <w:p w:rsidR="00117EB5" w:rsidRPr="00C910ED" w:rsidRDefault="00117EB5" w:rsidP="0085148C">
      <w:pPr>
        <w:outlineLvl w:val="0"/>
      </w:pPr>
    </w:p>
    <w:p w:rsidR="001116B3" w:rsidRPr="00C910ED" w:rsidRDefault="001116B3" w:rsidP="001116B3">
      <w:r w:rsidRPr="00C910ED">
        <w:tab/>
      </w:r>
      <w:r w:rsidR="003F2C19" w:rsidRPr="00C910ED">
        <w:t>We used the</w:t>
      </w:r>
      <w:r w:rsidR="007236DC">
        <w:t xml:space="preserve"> Bureau of Labor Statistics (BLS),</w:t>
      </w:r>
      <w:r w:rsidR="003F2C19" w:rsidRPr="00C910ED">
        <w:t xml:space="preserve"> </w:t>
      </w:r>
      <w:r w:rsidR="003F2C19" w:rsidRPr="00C910ED">
        <w:rPr>
          <w:i/>
        </w:rPr>
        <w:t>May 20</w:t>
      </w:r>
      <w:r w:rsidR="008E7617">
        <w:rPr>
          <w:i/>
        </w:rPr>
        <w:t>11</w:t>
      </w:r>
      <w:r w:rsidR="003F2C19" w:rsidRPr="00C910ED">
        <w:rPr>
          <w:i/>
        </w:rPr>
        <w:t xml:space="preserve"> National Industry-Specific Occupational Employment and Wage Estimates</w:t>
      </w:r>
      <w:r w:rsidR="003F2C19" w:rsidRPr="00C910ED">
        <w:t xml:space="preserve"> applicable to </w:t>
      </w:r>
      <w:r w:rsidR="007236DC">
        <w:t>“</w:t>
      </w:r>
      <w:r w:rsidR="003F2C19" w:rsidRPr="00C910ED">
        <w:t>NAICS 44710 – Gasoline Stations</w:t>
      </w:r>
      <w:r w:rsidR="007236DC">
        <w:t>,”</w:t>
      </w:r>
      <w:r w:rsidR="003F2C19" w:rsidRPr="00C910ED">
        <w:t xml:space="preserve"> as the basis for our estimates.</w:t>
      </w:r>
      <w:r w:rsidR="003F2C19" w:rsidRPr="00C910ED">
        <w:rPr>
          <w:rStyle w:val="FootnoteReference"/>
        </w:rPr>
        <w:footnoteReference w:id="3"/>
      </w:r>
      <w:r w:rsidR="003F2C19" w:rsidRPr="00C910ED">
        <w:t xml:space="preserve">  We used the mean hourly salary for a </w:t>
      </w:r>
      <w:r w:rsidR="003F2C19" w:rsidRPr="00C910ED">
        <w:lastRenderedPageBreak/>
        <w:t>first-line supervisor/manager of retail sales workers ($1</w:t>
      </w:r>
      <w:r w:rsidR="00912BAF">
        <w:t>6</w:t>
      </w:r>
      <w:r w:rsidR="003F2C19" w:rsidRPr="00C910ED">
        <w:t>.</w:t>
      </w:r>
      <w:r w:rsidR="00912BAF">
        <w:t>53</w:t>
      </w:r>
      <w:r w:rsidR="003F2C19" w:rsidRPr="00C910ED">
        <w:t>), rounded this up to the next whole dollar amount ($1</w:t>
      </w:r>
      <w:r w:rsidR="00912BAF">
        <w:t>7</w:t>
      </w:r>
      <w:r w:rsidR="003F2C19" w:rsidRPr="00C910ED">
        <w:t xml:space="preserve">.00), and doubled </w:t>
      </w:r>
      <w:r w:rsidRPr="00C910ED">
        <w:t>for company overhead beyond wages and benefits</w:t>
      </w:r>
      <w:r w:rsidR="003F2C19" w:rsidRPr="00C910ED">
        <w:t>.  This yield</w:t>
      </w:r>
      <w:r w:rsidR="007236DC">
        <w:t>s</w:t>
      </w:r>
      <w:r w:rsidR="003F2C19" w:rsidRPr="00C910ED">
        <w:t xml:space="preserve"> an </w:t>
      </w:r>
      <w:r w:rsidR="007236DC">
        <w:t xml:space="preserve">estimated </w:t>
      </w:r>
      <w:r w:rsidR="003F2C19" w:rsidRPr="00C910ED">
        <w:t>hourly cost of $3</w:t>
      </w:r>
      <w:r w:rsidR="00912BAF">
        <w:t>4</w:t>
      </w:r>
      <w:r w:rsidR="003F2C19" w:rsidRPr="00C910ED">
        <w:t xml:space="preserve">.00.  </w:t>
      </w:r>
      <w:r w:rsidR="008D7EB2">
        <w:t>There is no capitol and maintenance cost associated with this collection.</w:t>
      </w:r>
    </w:p>
    <w:p w:rsidR="001116B3" w:rsidRPr="00C910ED" w:rsidRDefault="001116B3" w:rsidP="001116B3"/>
    <w:p w:rsidR="00C910ED" w:rsidRDefault="00C910ED" w:rsidP="001116B3">
      <w:pPr>
        <w:sectPr w:rsidR="00C910ED" w:rsidSect="00C910ED">
          <w:footerReference w:type="even" r:id="rId8"/>
          <w:footerReference w:type="default" r:id="rId9"/>
          <w:type w:val="nextColumn"/>
          <w:pgSz w:w="12240" w:h="15840"/>
          <w:pgMar w:top="1440" w:right="1800" w:bottom="1440" w:left="1800" w:header="720" w:footer="720" w:gutter="0"/>
          <w:cols w:space="720"/>
        </w:sectPr>
      </w:pPr>
    </w:p>
    <w:p w:rsidR="001116B3" w:rsidRPr="00C910ED" w:rsidRDefault="001116B3" w:rsidP="001116B3"/>
    <w:p w:rsidR="000872AC" w:rsidRPr="00C910ED" w:rsidRDefault="007C44A4" w:rsidP="00145426">
      <w:pPr>
        <w:jc w:val="center"/>
        <w:outlineLvl w:val="0"/>
        <w:rPr>
          <w:szCs w:val="24"/>
        </w:rPr>
      </w:pPr>
      <w:proofErr w:type="gramStart"/>
      <w:r>
        <w:rPr>
          <w:b/>
          <w:szCs w:val="24"/>
        </w:rPr>
        <w:t>Table 1.</w:t>
      </w:r>
      <w:proofErr w:type="gramEnd"/>
      <w:r>
        <w:rPr>
          <w:b/>
          <w:szCs w:val="24"/>
        </w:rPr>
        <w:t xml:space="preserve">  </w:t>
      </w:r>
      <w:r w:rsidR="000872AC" w:rsidRPr="00C910ED">
        <w:rPr>
          <w:b/>
          <w:szCs w:val="24"/>
        </w:rPr>
        <w:t>Respondent Burden Hours &amp; Costs (Including Capital &amp; Maintenance - O&amp;M)</w:t>
      </w:r>
    </w:p>
    <w:p w:rsidR="000872AC" w:rsidRPr="00C910ED" w:rsidRDefault="000872AC" w:rsidP="000872A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2"/>
        <w:gridCol w:w="1882"/>
        <w:gridCol w:w="1882"/>
        <w:gridCol w:w="1882"/>
        <w:gridCol w:w="1882"/>
        <w:gridCol w:w="1882"/>
        <w:gridCol w:w="1882"/>
      </w:tblGrid>
      <w:tr w:rsidR="000872AC" w:rsidRPr="00C910ED">
        <w:tc>
          <w:tcPr>
            <w:tcW w:w="1882" w:type="dxa"/>
          </w:tcPr>
          <w:p w:rsidR="000872AC" w:rsidRPr="00C910ED" w:rsidRDefault="000872AC" w:rsidP="007345BD">
            <w:pPr>
              <w:rPr>
                <w:szCs w:val="24"/>
              </w:rPr>
            </w:pPr>
            <w:r w:rsidRPr="00C910ED">
              <w:rPr>
                <w:szCs w:val="24"/>
              </w:rPr>
              <w:t>Collection Activity</w:t>
            </w:r>
          </w:p>
        </w:tc>
        <w:tc>
          <w:tcPr>
            <w:tcW w:w="1882" w:type="dxa"/>
          </w:tcPr>
          <w:p w:rsidR="000872AC" w:rsidRPr="00C910ED" w:rsidRDefault="000872AC" w:rsidP="007345BD">
            <w:pPr>
              <w:rPr>
                <w:szCs w:val="24"/>
              </w:rPr>
            </w:pPr>
            <w:r w:rsidRPr="00C910ED">
              <w:rPr>
                <w:szCs w:val="24"/>
              </w:rPr>
              <w:t>Number of</w:t>
            </w:r>
          </w:p>
          <w:p w:rsidR="000872AC" w:rsidRPr="00C910ED" w:rsidRDefault="000872AC" w:rsidP="007345BD">
            <w:pPr>
              <w:rPr>
                <w:szCs w:val="24"/>
              </w:rPr>
            </w:pPr>
            <w:r w:rsidRPr="00C910ED">
              <w:rPr>
                <w:szCs w:val="24"/>
              </w:rPr>
              <w:t>Respondents</w:t>
            </w:r>
          </w:p>
        </w:tc>
        <w:tc>
          <w:tcPr>
            <w:tcW w:w="1882" w:type="dxa"/>
          </w:tcPr>
          <w:p w:rsidR="000872AC" w:rsidRPr="00C910ED" w:rsidRDefault="000872AC" w:rsidP="007345BD">
            <w:pPr>
              <w:rPr>
                <w:szCs w:val="24"/>
              </w:rPr>
            </w:pPr>
            <w:r w:rsidRPr="00C910ED">
              <w:rPr>
                <w:szCs w:val="24"/>
              </w:rPr>
              <w:t>Number of</w:t>
            </w:r>
          </w:p>
          <w:p w:rsidR="000872AC" w:rsidRPr="00C910ED" w:rsidRDefault="000872AC" w:rsidP="007345BD">
            <w:pPr>
              <w:rPr>
                <w:szCs w:val="24"/>
              </w:rPr>
            </w:pPr>
            <w:r w:rsidRPr="00C910ED">
              <w:rPr>
                <w:szCs w:val="24"/>
              </w:rPr>
              <w:t>Responses</w:t>
            </w:r>
          </w:p>
          <w:p w:rsidR="000872AC" w:rsidRPr="00C910ED" w:rsidRDefault="000872AC" w:rsidP="007345BD">
            <w:pPr>
              <w:rPr>
                <w:szCs w:val="24"/>
              </w:rPr>
            </w:pPr>
            <w:r w:rsidRPr="00C910ED">
              <w:rPr>
                <w:szCs w:val="24"/>
              </w:rPr>
              <w:t>per</w:t>
            </w:r>
          </w:p>
          <w:p w:rsidR="000872AC" w:rsidRPr="00C910ED" w:rsidRDefault="000872AC" w:rsidP="007345BD">
            <w:pPr>
              <w:rPr>
                <w:szCs w:val="24"/>
              </w:rPr>
            </w:pPr>
            <w:r w:rsidRPr="00C910ED">
              <w:rPr>
                <w:szCs w:val="24"/>
              </w:rPr>
              <w:t>Respondent</w:t>
            </w:r>
          </w:p>
        </w:tc>
        <w:tc>
          <w:tcPr>
            <w:tcW w:w="1882" w:type="dxa"/>
          </w:tcPr>
          <w:p w:rsidR="000872AC" w:rsidRPr="00C910ED" w:rsidRDefault="000872AC" w:rsidP="007345BD">
            <w:pPr>
              <w:rPr>
                <w:szCs w:val="24"/>
              </w:rPr>
            </w:pPr>
            <w:r w:rsidRPr="00C910ED">
              <w:rPr>
                <w:szCs w:val="24"/>
              </w:rPr>
              <w:t>Total Number of Responses</w:t>
            </w:r>
          </w:p>
        </w:tc>
        <w:tc>
          <w:tcPr>
            <w:tcW w:w="1882" w:type="dxa"/>
          </w:tcPr>
          <w:p w:rsidR="000872AC" w:rsidRPr="00C910ED" w:rsidRDefault="000872AC" w:rsidP="007345BD">
            <w:pPr>
              <w:rPr>
                <w:szCs w:val="24"/>
              </w:rPr>
            </w:pPr>
            <w:r w:rsidRPr="00C910ED">
              <w:rPr>
                <w:szCs w:val="24"/>
              </w:rPr>
              <w:t>Hours per Response</w:t>
            </w:r>
          </w:p>
          <w:p w:rsidR="000872AC" w:rsidRPr="00C910ED" w:rsidRDefault="000872AC" w:rsidP="007345BD">
            <w:pPr>
              <w:rPr>
                <w:szCs w:val="24"/>
              </w:rPr>
            </w:pPr>
            <w:r w:rsidRPr="00C910ED">
              <w:rPr>
                <w:szCs w:val="24"/>
              </w:rPr>
              <w:t>&amp; Cost per</w:t>
            </w:r>
          </w:p>
          <w:p w:rsidR="000872AC" w:rsidRPr="00C910ED" w:rsidRDefault="000872AC" w:rsidP="007345BD">
            <w:pPr>
              <w:rPr>
                <w:szCs w:val="24"/>
              </w:rPr>
            </w:pPr>
            <w:r w:rsidRPr="00C910ED">
              <w:rPr>
                <w:szCs w:val="24"/>
              </w:rPr>
              <w:t>Response</w:t>
            </w:r>
          </w:p>
        </w:tc>
        <w:tc>
          <w:tcPr>
            <w:tcW w:w="1882" w:type="dxa"/>
          </w:tcPr>
          <w:p w:rsidR="000872AC" w:rsidRPr="00C910ED" w:rsidRDefault="000872AC" w:rsidP="007345BD">
            <w:pPr>
              <w:rPr>
                <w:szCs w:val="24"/>
              </w:rPr>
            </w:pPr>
            <w:r w:rsidRPr="00C910ED">
              <w:rPr>
                <w:szCs w:val="24"/>
              </w:rPr>
              <w:t>Total Hours</w:t>
            </w:r>
          </w:p>
          <w:p w:rsidR="000872AC" w:rsidRPr="00C910ED" w:rsidRDefault="000872AC" w:rsidP="007345BD">
            <w:pPr>
              <w:rPr>
                <w:szCs w:val="24"/>
              </w:rPr>
            </w:pPr>
            <w:r w:rsidRPr="00C910ED">
              <w:rPr>
                <w:szCs w:val="24"/>
              </w:rPr>
              <w:t>&amp;</w:t>
            </w:r>
          </w:p>
          <w:p w:rsidR="000872AC" w:rsidRPr="00C910ED" w:rsidRDefault="000872AC" w:rsidP="007345BD">
            <w:pPr>
              <w:rPr>
                <w:szCs w:val="24"/>
              </w:rPr>
            </w:pPr>
            <w:r w:rsidRPr="00C910ED">
              <w:rPr>
                <w:szCs w:val="24"/>
              </w:rPr>
              <w:t xml:space="preserve">Total Cost </w:t>
            </w:r>
          </w:p>
          <w:p w:rsidR="000872AC" w:rsidRPr="00C910ED" w:rsidRDefault="000872AC" w:rsidP="00BF63BF">
            <w:pPr>
              <w:rPr>
                <w:szCs w:val="24"/>
              </w:rPr>
            </w:pPr>
            <w:r w:rsidRPr="00C910ED">
              <w:rPr>
                <w:szCs w:val="24"/>
              </w:rPr>
              <w:t>@ $</w:t>
            </w:r>
            <w:r w:rsidR="00BF63BF">
              <w:rPr>
                <w:szCs w:val="24"/>
              </w:rPr>
              <w:t>17</w:t>
            </w:r>
            <w:r w:rsidRPr="00C910ED">
              <w:rPr>
                <w:szCs w:val="24"/>
              </w:rPr>
              <w:t>/hour</w:t>
            </w:r>
          </w:p>
        </w:tc>
        <w:tc>
          <w:tcPr>
            <w:tcW w:w="1882" w:type="dxa"/>
          </w:tcPr>
          <w:p w:rsidR="000872AC" w:rsidRPr="00C910ED" w:rsidRDefault="000872AC" w:rsidP="007345BD">
            <w:pPr>
              <w:rPr>
                <w:szCs w:val="24"/>
              </w:rPr>
            </w:pPr>
            <w:r w:rsidRPr="00C910ED">
              <w:rPr>
                <w:szCs w:val="24"/>
              </w:rPr>
              <w:t>Total O&amp;M</w:t>
            </w:r>
          </w:p>
        </w:tc>
      </w:tr>
      <w:tr w:rsidR="000872AC" w:rsidRPr="00C910ED">
        <w:tc>
          <w:tcPr>
            <w:tcW w:w="1882" w:type="dxa"/>
          </w:tcPr>
          <w:p w:rsidR="000872AC" w:rsidRPr="00C910ED" w:rsidRDefault="000872AC" w:rsidP="007345BD">
            <w:pPr>
              <w:rPr>
                <w:szCs w:val="24"/>
              </w:rPr>
            </w:pPr>
            <w:r w:rsidRPr="00C910ED">
              <w:rPr>
                <w:szCs w:val="24"/>
              </w:rPr>
              <w:t xml:space="preserve">Prepare and Submit </w:t>
            </w:r>
          </w:p>
          <w:p w:rsidR="000872AC" w:rsidRPr="00C910ED" w:rsidRDefault="000872AC" w:rsidP="007345BD">
            <w:pPr>
              <w:rPr>
                <w:szCs w:val="24"/>
              </w:rPr>
            </w:pPr>
            <w:r w:rsidRPr="00C910ED">
              <w:rPr>
                <w:szCs w:val="24"/>
              </w:rPr>
              <w:t>Notification</w:t>
            </w:r>
          </w:p>
        </w:tc>
        <w:tc>
          <w:tcPr>
            <w:tcW w:w="1882" w:type="dxa"/>
          </w:tcPr>
          <w:p w:rsidR="000872AC" w:rsidRPr="00C910ED" w:rsidRDefault="008D7EB2" w:rsidP="007345BD">
            <w:pPr>
              <w:rPr>
                <w:szCs w:val="24"/>
              </w:rPr>
            </w:pPr>
            <w:r>
              <w:rPr>
                <w:szCs w:val="24"/>
              </w:rPr>
              <w:t>41</w:t>
            </w:r>
            <w:r w:rsidR="000872AC" w:rsidRPr="00C910ED">
              <w:rPr>
                <w:szCs w:val="24"/>
              </w:rPr>
              <w:t>,000</w:t>
            </w:r>
          </w:p>
        </w:tc>
        <w:tc>
          <w:tcPr>
            <w:tcW w:w="1882" w:type="dxa"/>
          </w:tcPr>
          <w:p w:rsidR="000872AC" w:rsidRPr="00C910ED" w:rsidRDefault="000872AC" w:rsidP="007345BD">
            <w:pPr>
              <w:rPr>
                <w:szCs w:val="24"/>
              </w:rPr>
            </w:pPr>
            <w:r w:rsidRPr="00C910ED">
              <w:rPr>
                <w:szCs w:val="24"/>
              </w:rPr>
              <w:t>2</w:t>
            </w:r>
          </w:p>
        </w:tc>
        <w:tc>
          <w:tcPr>
            <w:tcW w:w="1882" w:type="dxa"/>
          </w:tcPr>
          <w:p w:rsidR="000872AC" w:rsidRPr="00C910ED" w:rsidRDefault="00853AF9" w:rsidP="00375393">
            <w:pPr>
              <w:rPr>
                <w:szCs w:val="24"/>
              </w:rPr>
            </w:pPr>
            <w:r>
              <w:rPr>
                <w:szCs w:val="24"/>
              </w:rPr>
              <w:t>82000</w:t>
            </w:r>
          </w:p>
        </w:tc>
        <w:tc>
          <w:tcPr>
            <w:tcW w:w="1882" w:type="dxa"/>
          </w:tcPr>
          <w:p w:rsidR="000872AC" w:rsidRPr="00C910ED" w:rsidRDefault="000872AC" w:rsidP="007345BD">
            <w:pPr>
              <w:rPr>
                <w:szCs w:val="24"/>
              </w:rPr>
            </w:pPr>
            <w:r w:rsidRPr="00C910ED">
              <w:rPr>
                <w:szCs w:val="24"/>
              </w:rPr>
              <w:t>0.25</w:t>
            </w:r>
          </w:p>
          <w:p w:rsidR="000872AC" w:rsidRPr="00C910ED" w:rsidRDefault="000872AC" w:rsidP="007345BD">
            <w:pPr>
              <w:rPr>
                <w:szCs w:val="24"/>
              </w:rPr>
            </w:pPr>
            <w:r w:rsidRPr="00C910ED">
              <w:rPr>
                <w:szCs w:val="24"/>
              </w:rPr>
              <w:t>-----</w:t>
            </w:r>
          </w:p>
          <w:p w:rsidR="000872AC" w:rsidRPr="00C910ED" w:rsidRDefault="000872AC" w:rsidP="007C44A4">
            <w:pPr>
              <w:rPr>
                <w:szCs w:val="24"/>
              </w:rPr>
            </w:pPr>
            <w:r w:rsidRPr="00C910ED">
              <w:rPr>
                <w:szCs w:val="24"/>
              </w:rPr>
              <w:t>$</w:t>
            </w:r>
            <w:r w:rsidR="007C44A4">
              <w:rPr>
                <w:szCs w:val="24"/>
              </w:rPr>
              <w:t>4.25</w:t>
            </w:r>
          </w:p>
        </w:tc>
        <w:tc>
          <w:tcPr>
            <w:tcW w:w="1882" w:type="dxa"/>
          </w:tcPr>
          <w:p w:rsidR="000872AC" w:rsidRPr="00C910ED" w:rsidRDefault="007C44A4" w:rsidP="007345BD">
            <w:pPr>
              <w:rPr>
                <w:szCs w:val="24"/>
              </w:rPr>
            </w:pPr>
            <w:r>
              <w:rPr>
                <w:szCs w:val="24"/>
              </w:rPr>
              <w:t xml:space="preserve">20,500 </w:t>
            </w:r>
            <w:r w:rsidR="000872AC" w:rsidRPr="00C910ED">
              <w:rPr>
                <w:szCs w:val="24"/>
              </w:rPr>
              <w:t>hours</w:t>
            </w:r>
          </w:p>
          <w:p w:rsidR="000872AC" w:rsidRPr="00C910ED" w:rsidRDefault="000872AC" w:rsidP="007345BD">
            <w:pPr>
              <w:rPr>
                <w:szCs w:val="24"/>
              </w:rPr>
            </w:pPr>
            <w:r w:rsidRPr="00C910ED">
              <w:rPr>
                <w:szCs w:val="24"/>
              </w:rPr>
              <w:t>------</w:t>
            </w:r>
          </w:p>
          <w:p w:rsidR="000872AC" w:rsidRPr="00C910ED" w:rsidRDefault="000872AC" w:rsidP="007345BD">
            <w:pPr>
              <w:rPr>
                <w:szCs w:val="24"/>
              </w:rPr>
            </w:pPr>
            <w:r w:rsidRPr="00C910ED">
              <w:rPr>
                <w:szCs w:val="24"/>
              </w:rPr>
              <w:t>$</w:t>
            </w:r>
            <w:r w:rsidR="0071679F">
              <w:rPr>
                <w:szCs w:val="24"/>
              </w:rPr>
              <w:t>348,500</w:t>
            </w:r>
          </w:p>
          <w:p w:rsidR="000872AC" w:rsidRPr="00C910ED" w:rsidRDefault="000872AC" w:rsidP="007345BD">
            <w:pPr>
              <w:rPr>
                <w:szCs w:val="24"/>
              </w:rPr>
            </w:pPr>
            <w:r w:rsidRPr="00C910ED">
              <w:rPr>
                <w:szCs w:val="24"/>
              </w:rPr>
              <w:t xml:space="preserve"> </w:t>
            </w:r>
          </w:p>
          <w:p w:rsidR="000872AC" w:rsidRPr="00C910ED" w:rsidRDefault="000872AC" w:rsidP="007345BD">
            <w:pPr>
              <w:rPr>
                <w:szCs w:val="24"/>
              </w:rPr>
            </w:pPr>
          </w:p>
        </w:tc>
        <w:tc>
          <w:tcPr>
            <w:tcW w:w="1882" w:type="dxa"/>
          </w:tcPr>
          <w:p w:rsidR="000872AC" w:rsidRPr="00C910ED" w:rsidRDefault="000872AC" w:rsidP="007345BD">
            <w:pPr>
              <w:rPr>
                <w:szCs w:val="24"/>
              </w:rPr>
            </w:pPr>
            <w:r w:rsidRPr="00C910ED">
              <w:rPr>
                <w:szCs w:val="24"/>
              </w:rPr>
              <w:t>0</w:t>
            </w:r>
          </w:p>
        </w:tc>
      </w:tr>
      <w:tr w:rsidR="000872AC" w:rsidRPr="00C910ED">
        <w:tc>
          <w:tcPr>
            <w:tcW w:w="1882" w:type="dxa"/>
          </w:tcPr>
          <w:p w:rsidR="000872AC" w:rsidRPr="00C910ED" w:rsidRDefault="000872AC" w:rsidP="007345BD">
            <w:pPr>
              <w:rPr>
                <w:szCs w:val="24"/>
              </w:rPr>
            </w:pPr>
            <w:r w:rsidRPr="00C910ED">
              <w:rPr>
                <w:szCs w:val="24"/>
              </w:rPr>
              <w:t>Maintain</w:t>
            </w:r>
          </w:p>
          <w:p w:rsidR="000872AC" w:rsidRPr="00C910ED" w:rsidRDefault="000872AC" w:rsidP="007345BD">
            <w:pPr>
              <w:rPr>
                <w:szCs w:val="24"/>
              </w:rPr>
            </w:pPr>
            <w:r w:rsidRPr="00C910ED">
              <w:rPr>
                <w:szCs w:val="24"/>
              </w:rPr>
              <w:t>Test</w:t>
            </w:r>
          </w:p>
          <w:p w:rsidR="000872AC" w:rsidRPr="00C910ED" w:rsidRDefault="000872AC" w:rsidP="007345BD">
            <w:pPr>
              <w:rPr>
                <w:szCs w:val="24"/>
              </w:rPr>
            </w:pPr>
            <w:r w:rsidRPr="00C910ED">
              <w:rPr>
                <w:szCs w:val="24"/>
              </w:rPr>
              <w:t xml:space="preserve">Results </w:t>
            </w:r>
          </w:p>
          <w:p w:rsidR="000872AC" w:rsidRPr="00C910ED" w:rsidRDefault="000872AC" w:rsidP="007345BD">
            <w:pPr>
              <w:rPr>
                <w:szCs w:val="24"/>
              </w:rPr>
            </w:pPr>
            <w:r w:rsidRPr="00C910ED">
              <w:rPr>
                <w:szCs w:val="24"/>
              </w:rPr>
              <w:t>Documents</w:t>
            </w:r>
          </w:p>
          <w:p w:rsidR="000872AC" w:rsidRPr="00C910ED" w:rsidRDefault="000872AC" w:rsidP="007345BD">
            <w:pPr>
              <w:rPr>
                <w:szCs w:val="24"/>
              </w:rPr>
            </w:pPr>
            <w:r w:rsidRPr="00C910ED">
              <w:rPr>
                <w:szCs w:val="24"/>
              </w:rPr>
              <w:t>(assumes</w:t>
            </w:r>
          </w:p>
          <w:p w:rsidR="000872AC" w:rsidRPr="00C910ED" w:rsidRDefault="000872AC" w:rsidP="007345BD">
            <w:pPr>
              <w:rPr>
                <w:szCs w:val="24"/>
              </w:rPr>
            </w:pPr>
            <w:r w:rsidRPr="00C910ED">
              <w:rPr>
                <w:szCs w:val="24"/>
              </w:rPr>
              <w:t xml:space="preserve">5% of </w:t>
            </w:r>
          </w:p>
          <w:p w:rsidR="000872AC" w:rsidRPr="00C910ED" w:rsidRDefault="000872AC" w:rsidP="007345BD">
            <w:pPr>
              <w:rPr>
                <w:szCs w:val="24"/>
              </w:rPr>
            </w:pPr>
            <w:r w:rsidRPr="00C910ED">
              <w:rPr>
                <w:szCs w:val="24"/>
              </w:rPr>
              <w:t>respondents test)</w:t>
            </w:r>
          </w:p>
        </w:tc>
        <w:tc>
          <w:tcPr>
            <w:tcW w:w="1882" w:type="dxa"/>
          </w:tcPr>
          <w:p w:rsidR="000872AC" w:rsidRPr="00C910ED" w:rsidRDefault="008D7EB2" w:rsidP="008D7EB2">
            <w:pPr>
              <w:rPr>
                <w:szCs w:val="24"/>
              </w:rPr>
            </w:pPr>
            <w:r>
              <w:rPr>
                <w:szCs w:val="24"/>
              </w:rPr>
              <w:t>2</w:t>
            </w:r>
            <w:r w:rsidR="000872AC" w:rsidRPr="00C910ED">
              <w:rPr>
                <w:szCs w:val="24"/>
              </w:rPr>
              <w:t>,</w:t>
            </w:r>
            <w:r w:rsidR="00853AF9">
              <w:rPr>
                <w:szCs w:val="24"/>
              </w:rPr>
              <w:t>050</w:t>
            </w:r>
          </w:p>
        </w:tc>
        <w:tc>
          <w:tcPr>
            <w:tcW w:w="1882" w:type="dxa"/>
          </w:tcPr>
          <w:p w:rsidR="000872AC" w:rsidRPr="00C910ED" w:rsidRDefault="000872AC" w:rsidP="007345BD">
            <w:pPr>
              <w:rPr>
                <w:szCs w:val="24"/>
              </w:rPr>
            </w:pPr>
            <w:r w:rsidRPr="00C910ED">
              <w:rPr>
                <w:szCs w:val="24"/>
              </w:rPr>
              <w:t>1</w:t>
            </w:r>
          </w:p>
        </w:tc>
        <w:tc>
          <w:tcPr>
            <w:tcW w:w="1882" w:type="dxa"/>
          </w:tcPr>
          <w:p w:rsidR="000872AC" w:rsidRPr="00C910ED" w:rsidRDefault="000872AC" w:rsidP="00853AF9">
            <w:pPr>
              <w:rPr>
                <w:szCs w:val="24"/>
              </w:rPr>
            </w:pPr>
            <w:r w:rsidRPr="00C910ED">
              <w:rPr>
                <w:szCs w:val="24"/>
              </w:rPr>
              <w:t xml:space="preserve"> </w:t>
            </w:r>
            <w:r w:rsidR="00375393">
              <w:rPr>
                <w:szCs w:val="24"/>
              </w:rPr>
              <w:t xml:space="preserve"> </w:t>
            </w:r>
            <w:r w:rsidR="00853AF9">
              <w:rPr>
                <w:szCs w:val="24"/>
              </w:rPr>
              <w:t>2050</w:t>
            </w:r>
          </w:p>
        </w:tc>
        <w:tc>
          <w:tcPr>
            <w:tcW w:w="1882" w:type="dxa"/>
          </w:tcPr>
          <w:p w:rsidR="000872AC" w:rsidRPr="00C910ED" w:rsidRDefault="000872AC" w:rsidP="007345BD">
            <w:pPr>
              <w:rPr>
                <w:szCs w:val="24"/>
              </w:rPr>
            </w:pPr>
            <w:r w:rsidRPr="00C910ED">
              <w:rPr>
                <w:szCs w:val="24"/>
              </w:rPr>
              <w:t>0.25</w:t>
            </w:r>
          </w:p>
          <w:p w:rsidR="000872AC" w:rsidRPr="00C910ED" w:rsidRDefault="000872AC" w:rsidP="007345BD">
            <w:pPr>
              <w:rPr>
                <w:szCs w:val="24"/>
              </w:rPr>
            </w:pPr>
            <w:r w:rsidRPr="00C910ED">
              <w:rPr>
                <w:szCs w:val="24"/>
              </w:rPr>
              <w:t>-----</w:t>
            </w:r>
          </w:p>
          <w:p w:rsidR="000872AC" w:rsidRPr="00C910ED" w:rsidRDefault="000872AC" w:rsidP="00853AF9">
            <w:pPr>
              <w:rPr>
                <w:szCs w:val="24"/>
              </w:rPr>
            </w:pPr>
            <w:r w:rsidRPr="00C910ED">
              <w:rPr>
                <w:szCs w:val="24"/>
              </w:rPr>
              <w:t>$</w:t>
            </w:r>
            <w:r w:rsidR="00853AF9">
              <w:rPr>
                <w:szCs w:val="24"/>
              </w:rPr>
              <w:t>4</w:t>
            </w:r>
            <w:r w:rsidR="00667456" w:rsidRPr="00C910ED">
              <w:rPr>
                <w:szCs w:val="24"/>
              </w:rPr>
              <w:t>.</w:t>
            </w:r>
            <w:r w:rsidR="00853AF9">
              <w:rPr>
                <w:szCs w:val="24"/>
              </w:rPr>
              <w:t>25</w:t>
            </w:r>
          </w:p>
        </w:tc>
        <w:tc>
          <w:tcPr>
            <w:tcW w:w="1882" w:type="dxa"/>
          </w:tcPr>
          <w:p w:rsidR="000872AC" w:rsidRPr="00C910ED" w:rsidRDefault="00853AF9" w:rsidP="007345BD">
            <w:pPr>
              <w:rPr>
                <w:szCs w:val="24"/>
              </w:rPr>
            </w:pPr>
            <w:r>
              <w:rPr>
                <w:szCs w:val="24"/>
              </w:rPr>
              <w:t>513</w:t>
            </w:r>
            <w:r w:rsidR="000872AC" w:rsidRPr="00C910ED">
              <w:rPr>
                <w:szCs w:val="24"/>
              </w:rPr>
              <w:t xml:space="preserve"> hours</w:t>
            </w:r>
          </w:p>
          <w:p w:rsidR="000872AC" w:rsidRPr="00C910ED" w:rsidRDefault="000872AC" w:rsidP="007345BD">
            <w:pPr>
              <w:rPr>
                <w:szCs w:val="24"/>
              </w:rPr>
            </w:pPr>
            <w:r w:rsidRPr="00C910ED">
              <w:rPr>
                <w:szCs w:val="24"/>
              </w:rPr>
              <w:t>------</w:t>
            </w:r>
          </w:p>
          <w:p w:rsidR="000872AC" w:rsidRPr="00C910ED" w:rsidRDefault="000872AC" w:rsidP="007C44A4">
            <w:pPr>
              <w:rPr>
                <w:szCs w:val="24"/>
              </w:rPr>
            </w:pPr>
            <w:r w:rsidRPr="00C910ED">
              <w:rPr>
                <w:szCs w:val="24"/>
              </w:rPr>
              <w:t>$</w:t>
            </w:r>
            <w:r w:rsidR="007C44A4">
              <w:rPr>
                <w:szCs w:val="24"/>
              </w:rPr>
              <w:t>8712.50</w:t>
            </w:r>
          </w:p>
        </w:tc>
        <w:tc>
          <w:tcPr>
            <w:tcW w:w="1882" w:type="dxa"/>
          </w:tcPr>
          <w:p w:rsidR="000872AC" w:rsidRPr="00C910ED" w:rsidRDefault="000872AC" w:rsidP="007345BD">
            <w:pPr>
              <w:rPr>
                <w:szCs w:val="24"/>
              </w:rPr>
            </w:pPr>
            <w:r w:rsidRPr="00C910ED">
              <w:rPr>
                <w:szCs w:val="24"/>
              </w:rPr>
              <w:t>0</w:t>
            </w:r>
          </w:p>
        </w:tc>
      </w:tr>
      <w:tr w:rsidR="000872AC" w:rsidRPr="00C910ED">
        <w:tc>
          <w:tcPr>
            <w:tcW w:w="1882" w:type="dxa"/>
          </w:tcPr>
          <w:p w:rsidR="000872AC" w:rsidRPr="00C910ED" w:rsidRDefault="000872AC" w:rsidP="007345BD">
            <w:pPr>
              <w:rPr>
                <w:b/>
                <w:szCs w:val="24"/>
              </w:rPr>
            </w:pPr>
            <w:r w:rsidRPr="00C910ED">
              <w:rPr>
                <w:b/>
                <w:szCs w:val="24"/>
              </w:rPr>
              <w:t>Total</w:t>
            </w:r>
          </w:p>
        </w:tc>
        <w:tc>
          <w:tcPr>
            <w:tcW w:w="1882" w:type="dxa"/>
          </w:tcPr>
          <w:p w:rsidR="000872AC" w:rsidRPr="00C910ED" w:rsidRDefault="00853AF9" w:rsidP="007345BD">
            <w:pPr>
              <w:rPr>
                <w:szCs w:val="24"/>
              </w:rPr>
            </w:pPr>
            <w:r>
              <w:rPr>
                <w:b/>
                <w:szCs w:val="24"/>
              </w:rPr>
              <w:t xml:space="preserve">43,050 </w:t>
            </w:r>
            <w:r w:rsidR="000872AC" w:rsidRPr="00C910ED">
              <w:rPr>
                <w:b/>
                <w:szCs w:val="24"/>
              </w:rPr>
              <w:t>respondents</w:t>
            </w:r>
          </w:p>
        </w:tc>
        <w:tc>
          <w:tcPr>
            <w:tcW w:w="1882" w:type="dxa"/>
          </w:tcPr>
          <w:p w:rsidR="000872AC" w:rsidRPr="00C910ED" w:rsidRDefault="000872AC" w:rsidP="007345BD">
            <w:pPr>
              <w:rPr>
                <w:szCs w:val="24"/>
              </w:rPr>
            </w:pPr>
          </w:p>
          <w:p w:rsidR="000872AC" w:rsidRPr="00C910ED" w:rsidRDefault="000872AC" w:rsidP="007345BD">
            <w:pPr>
              <w:rPr>
                <w:szCs w:val="24"/>
              </w:rPr>
            </w:pPr>
            <w:r w:rsidRPr="00C910ED">
              <w:rPr>
                <w:szCs w:val="24"/>
              </w:rPr>
              <w:t>-----------</w:t>
            </w:r>
          </w:p>
        </w:tc>
        <w:tc>
          <w:tcPr>
            <w:tcW w:w="1882" w:type="dxa"/>
          </w:tcPr>
          <w:p w:rsidR="00853AF9" w:rsidRDefault="00853AF9" w:rsidP="007345BD">
            <w:pPr>
              <w:rPr>
                <w:b/>
                <w:szCs w:val="24"/>
              </w:rPr>
            </w:pPr>
            <w:r>
              <w:rPr>
                <w:b/>
                <w:szCs w:val="24"/>
              </w:rPr>
              <w:t>84,050</w:t>
            </w:r>
          </w:p>
          <w:p w:rsidR="000872AC" w:rsidRPr="00C910ED" w:rsidRDefault="000872AC" w:rsidP="007345BD">
            <w:pPr>
              <w:rPr>
                <w:b/>
                <w:szCs w:val="24"/>
              </w:rPr>
            </w:pPr>
            <w:r w:rsidRPr="00C910ED">
              <w:rPr>
                <w:b/>
                <w:szCs w:val="24"/>
              </w:rPr>
              <w:t>responses</w:t>
            </w:r>
          </w:p>
        </w:tc>
        <w:tc>
          <w:tcPr>
            <w:tcW w:w="1882" w:type="dxa"/>
          </w:tcPr>
          <w:p w:rsidR="000872AC" w:rsidRPr="00C910ED" w:rsidRDefault="000872AC" w:rsidP="007345BD">
            <w:pPr>
              <w:rPr>
                <w:szCs w:val="24"/>
              </w:rPr>
            </w:pPr>
          </w:p>
          <w:p w:rsidR="000872AC" w:rsidRPr="00C910ED" w:rsidRDefault="000872AC" w:rsidP="007345BD">
            <w:pPr>
              <w:rPr>
                <w:szCs w:val="24"/>
              </w:rPr>
            </w:pPr>
            <w:r w:rsidRPr="00C910ED">
              <w:rPr>
                <w:szCs w:val="24"/>
              </w:rPr>
              <w:t>-----------</w:t>
            </w:r>
          </w:p>
        </w:tc>
        <w:tc>
          <w:tcPr>
            <w:tcW w:w="1882" w:type="dxa"/>
          </w:tcPr>
          <w:p w:rsidR="000872AC" w:rsidRPr="00C910ED" w:rsidRDefault="007C44A4" w:rsidP="007345BD">
            <w:pPr>
              <w:rPr>
                <w:b/>
                <w:szCs w:val="24"/>
              </w:rPr>
            </w:pPr>
            <w:r>
              <w:rPr>
                <w:b/>
                <w:szCs w:val="24"/>
              </w:rPr>
              <w:t>2</w:t>
            </w:r>
            <w:r w:rsidR="0071679F">
              <w:rPr>
                <w:b/>
                <w:szCs w:val="24"/>
              </w:rPr>
              <w:t>1,</w:t>
            </w:r>
            <w:r>
              <w:rPr>
                <w:b/>
                <w:szCs w:val="24"/>
              </w:rPr>
              <w:t xml:space="preserve">013 </w:t>
            </w:r>
            <w:r w:rsidR="0071679F">
              <w:rPr>
                <w:b/>
                <w:szCs w:val="24"/>
              </w:rPr>
              <w:t xml:space="preserve"> </w:t>
            </w:r>
            <w:r w:rsidR="000872AC" w:rsidRPr="00C910ED">
              <w:rPr>
                <w:b/>
                <w:szCs w:val="24"/>
              </w:rPr>
              <w:t>hours</w:t>
            </w:r>
          </w:p>
          <w:p w:rsidR="000872AC" w:rsidRPr="00C910ED" w:rsidRDefault="000872AC" w:rsidP="007345BD">
            <w:pPr>
              <w:rPr>
                <w:b/>
                <w:szCs w:val="24"/>
              </w:rPr>
            </w:pPr>
            <w:r w:rsidRPr="00C910ED">
              <w:rPr>
                <w:b/>
                <w:szCs w:val="24"/>
              </w:rPr>
              <w:t>------</w:t>
            </w:r>
          </w:p>
          <w:p w:rsidR="000872AC" w:rsidRPr="00C910ED" w:rsidRDefault="000872AC" w:rsidP="007C44A4">
            <w:pPr>
              <w:rPr>
                <w:b/>
                <w:szCs w:val="24"/>
              </w:rPr>
            </w:pPr>
            <w:r w:rsidRPr="00C910ED">
              <w:rPr>
                <w:b/>
                <w:szCs w:val="24"/>
              </w:rPr>
              <w:t>$</w:t>
            </w:r>
            <w:r w:rsidR="0071679F">
              <w:rPr>
                <w:b/>
                <w:szCs w:val="24"/>
              </w:rPr>
              <w:t>35</w:t>
            </w:r>
            <w:r w:rsidR="007C44A4">
              <w:rPr>
                <w:b/>
                <w:szCs w:val="24"/>
              </w:rPr>
              <w:t>7</w:t>
            </w:r>
            <w:r w:rsidR="0071679F">
              <w:rPr>
                <w:b/>
                <w:szCs w:val="24"/>
              </w:rPr>
              <w:t>,</w:t>
            </w:r>
            <w:r w:rsidR="007C44A4">
              <w:rPr>
                <w:b/>
                <w:szCs w:val="24"/>
              </w:rPr>
              <w:t>221</w:t>
            </w:r>
          </w:p>
        </w:tc>
        <w:tc>
          <w:tcPr>
            <w:tcW w:w="1882" w:type="dxa"/>
          </w:tcPr>
          <w:p w:rsidR="000872AC" w:rsidRPr="00C910ED" w:rsidRDefault="000872AC" w:rsidP="007345BD">
            <w:pPr>
              <w:rPr>
                <w:b/>
                <w:szCs w:val="24"/>
              </w:rPr>
            </w:pPr>
            <w:r w:rsidRPr="00C910ED">
              <w:rPr>
                <w:b/>
                <w:szCs w:val="24"/>
              </w:rPr>
              <w:t>0</w:t>
            </w:r>
          </w:p>
        </w:tc>
      </w:tr>
    </w:tbl>
    <w:p w:rsidR="000872AC" w:rsidRPr="00C910ED" w:rsidRDefault="000872AC" w:rsidP="000872AC">
      <w:pPr>
        <w:rPr>
          <w:szCs w:val="24"/>
        </w:rPr>
      </w:pPr>
    </w:p>
    <w:p w:rsidR="000872AC" w:rsidRPr="00C910ED" w:rsidRDefault="000872AC" w:rsidP="000872AC">
      <w:pPr>
        <w:rPr>
          <w:szCs w:val="24"/>
        </w:rPr>
      </w:pPr>
      <w:r w:rsidRPr="00C910ED">
        <w:rPr>
          <w:szCs w:val="24"/>
        </w:rPr>
        <w:t xml:space="preserve"> </w:t>
      </w:r>
    </w:p>
    <w:p w:rsidR="000872AC" w:rsidRPr="00C910ED" w:rsidRDefault="000872AC" w:rsidP="000872AC">
      <w:pPr>
        <w:rPr>
          <w:szCs w:val="24"/>
        </w:rPr>
      </w:pPr>
    </w:p>
    <w:p w:rsidR="000872AC" w:rsidRPr="00C910ED" w:rsidRDefault="000872AC" w:rsidP="000872AC">
      <w:pPr>
        <w:rPr>
          <w:szCs w:val="24"/>
        </w:rPr>
      </w:pPr>
    </w:p>
    <w:p w:rsidR="000872AC" w:rsidRPr="00C910ED" w:rsidRDefault="000872AC" w:rsidP="000872AC">
      <w:pPr>
        <w:rPr>
          <w:szCs w:val="24"/>
        </w:rPr>
        <w:sectPr w:rsidR="000872AC" w:rsidRPr="00C910ED" w:rsidSect="00C910ED">
          <w:type w:val="nextColumn"/>
          <w:pgSz w:w="15840" w:h="12240" w:orient="landscape"/>
          <w:pgMar w:top="1800" w:right="1440" w:bottom="1800" w:left="1440" w:header="720" w:footer="720" w:gutter="0"/>
          <w:cols w:space="720"/>
        </w:sectPr>
      </w:pPr>
      <w:r w:rsidRPr="00C910ED">
        <w:rPr>
          <w:szCs w:val="24"/>
        </w:rPr>
        <w:t xml:space="preserve">  </w:t>
      </w:r>
    </w:p>
    <w:p w:rsidR="00BA36F8" w:rsidRPr="00C910ED" w:rsidRDefault="008178CB">
      <w:r>
        <w:lastRenderedPageBreak/>
        <w:tab/>
        <w:t>6(c)</w:t>
      </w:r>
      <w:r w:rsidR="003D5515" w:rsidRPr="00C910ED">
        <w:tab/>
      </w:r>
      <w:r w:rsidR="00BA36F8" w:rsidRPr="00C910ED">
        <w:t xml:space="preserve">Estimating </w:t>
      </w:r>
      <w:r w:rsidR="00B84C95" w:rsidRPr="00C910ED">
        <w:t xml:space="preserve">the </w:t>
      </w:r>
      <w:r w:rsidR="00BA36F8" w:rsidRPr="00C910ED">
        <w:t>Agency Burden and Cost</w:t>
      </w:r>
    </w:p>
    <w:p w:rsidR="00F91D77" w:rsidRPr="00C910ED" w:rsidRDefault="00F91D77"/>
    <w:p w:rsidR="00F41CE9" w:rsidRDefault="00F91D77" w:rsidP="00F41CE9">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910ED">
        <w:tab/>
        <w:t>No response is required to notifications unless a potential violation is noted.  This activity will present no significant</w:t>
      </w:r>
      <w:r w:rsidR="00B84C95" w:rsidRPr="00C910ED">
        <w:t>, quantifiable</w:t>
      </w:r>
      <w:r w:rsidRPr="00C910ED">
        <w:t xml:space="preserve"> burden to the Agency.  </w:t>
      </w:r>
      <w:r w:rsidR="00F41CE9">
        <w:t>We have drawn upon our experiences with the</w:t>
      </w:r>
      <w:r w:rsidR="00F41CE9" w:rsidRPr="00F41CE9">
        <w:t xml:space="preserve"> </w:t>
      </w:r>
      <w:r w:rsidR="00F41CE9" w:rsidRPr="00C910ED">
        <w:t>Reformulated Gasoline Commingling Provisions</w:t>
      </w:r>
      <w:r w:rsidR="00F41CE9">
        <w:t xml:space="preserve"> and estimate no more than 5 notifications</w:t>
      </w:r>
      <w:r w:rsidR="00D05217">
        <w:t xml:space="preserve"> with an annual burden of 1</w:t>
      </w:r>
      <w:r w:rsidR="00B66A7B">
        <w:t xml:space="preserve"> hour</w:t>
      </w:r>
      <w:r w:rsidR="00F41CE9">
        <w:t xml:space="preserve">.  </w:t>
      </w:r>
      <w:r w:rsidR="002A6424" w:rsidRPr="00B26DA2">
        <w:rPr>
          <w:szCs w:val="24"/>
        </w:rPr>
        <w:t xml:space="preserve">We have assumed a </w:t>
      </w:r>
      <w:r w:rsidR="002A6424">
        <w:rPr>
          <w:szCs w:val="24"/>
        </w:rPr>
        <w:t xml:space="preserve">full </w:t>
      </w:r>
      <w:r w:rsidR="002A6424" w:rsidRPr="00B26DA2">
        <w:rPr>
          <w:szCs w:val="24"/>
        </w:rPr>
        <w:t>-time GS-7 clerical worker, one full-time GS-13 technical worker, and a GS-15 manager</w:t>
      </w:r>
      <w:r w:rsidR="002A6424">
        <w:rPr>
          <w:szCs w:val="24"/>
        </w:rPr>
        <w:t xml:space="preserve"> all</w:t>
      </w:r>
      <w:r w:rsidR="002A6424" w:rsidRPr="00B26DA2">
        <w:rPr>
          <w:szCs w:val="24"/>
        </w:rPr>
        <w:t xml:space="preserve"> working one-eighth of his/her time managing this project (0.125). </w:t>
      </w:r>
      <w:r w:rsidR="00F41CE9">
        <w:t>T</w:t>
      </w:r>
      <w:r w:rsidR="00F41CE9">
        <w:rPr>
          <w:szCs w:val="24"/>
        </w:rPr>
        <w:t>he Agency burden consist of a GS-13 technical worker ($</w:t>
      </w:r>
      <w:r w:rsidR="00E13EB9">
        <w:rPr>
          <w:szCs w:val="24"/>
        </w:rPr>
        <w:t>81.55</w:t>
      </w:r>
      <w:r w:rsidR="006B7E2C">
        <w:rPr>
          <w:szCs w:val="24"/>
        </w:rPr>
        <w:t xml:space="preserve"> </w:t>
      </w:r>
      <w:r w:rsidR="00F41CE9">
        <w:rPr>
          <w:szCs w:val="24"/>
        </w:rPr>
        <w:t>including overhead), or $</w:t>
      </w:r>
      <w:r w:rsidR="00E13EB9">
        <w:rPr>
          <w:szCs w:val="24"/>
        </w:rPr>
        <w:t>10.19</w:t>
      </w:r>
      <w:r w:rsidR="00F41CE9">
        <w:rPr>
          <w:szCs w:val="24"/>
        </w:rPr>
        <w:t>; and a GS-7 clerical worker ($</w:t>
      </w:r>
      <w:r w:rsidR="00E13EB9">
        <w:rPr>
          <w:szCs w:val="24"/>
        </w:rPr>
        <w:t xml:space="preserve">38.66 </w:t>
      </w:r>
      <w:r w:rsidR="00F41CE9">
        <w:rPr>
          <w:szCs w:val="24"/>
        </w:rPr>
        <w:t>including overhead) or $</w:t>
      </w:r>
      <w:r w:rsidR="00E13EB9">
        <w:rPr>
          <w:szCs w:val="24"/>
        </w:rPr>
        <w:t>4.83</w:t>
      </w:r>
      <w:r w:rsidR="00D26F2A">
        <w:rPr>
          <w:szCs w:val="24"/>
        </w:rPr>
        <w:t xml:space="preserve">, </w:t>
      </w:r>
      <w:r w:rsidR="00D26F2A" w:rsidRPr="00B26DA2">
        <w:rPr>
          <w:szCs w:val="24"/>
        </w:rPr>
        <w:t>and a GS-15 manager (</w:t>
      </w:r>
      <w:r w:rsidR="00E13EB9">
        <w:rPr>
          <w:szCs w:val="24"/>
        </w:rPr>
        <w:t>$ 113.36 including overhead</w:t>
      </w:r>
      <w:r w:rsidR="00D26F2A" w:rsidRPr="00B26DA2">
        <w:rPr>
          <w:szCs w:val="24"/>
        </w:rPr>
        <w:t>)</w:t>
      </w:r>
      <w:r w:rsidR="00E13EB9">
        <w:rPr>
          <w:szCs w:val="24"/>
        </w:rPr>
        <w:t xml:space="preserve"> or $14.17,</w:t>
      </w:r>
      <w:r w:rsidR="00F41CE9">
        <w:rPr>
          <w:szCs w:val="24"/>
        </w:rPr>
        <w:t xml:space="preserve"> for a total of $</w:t>
      </w:r>
      <w:r w:rsidR="00E13EB9">
        <w:rPr>
          <w:szCs w:val="24"/>
        </w:rPr>
        <w:t>29.20 per hour and an annual Agency burden of $146</w:t>
      </w:r>
      <w:r w:rsidR="00F41CE9">
        <w:rPr>
          <w:szCs w:val="24"/>
        </w:rPr>
        <w:t>.</w:t>
      </w:r>
    </w:p>
    <w:p w:rsidR="00F41CE9" w:rsidRDefault="00F41CE9" w:rsidP="00F41CE9">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9222E1" w:rsidRDefault="00F41CE9" w:rsidP="00F41CE9">
      <w:pPr>
        <w:pStyle w:val="FootnoteText"/>
        <w:rPr>
          <w:sz w:val="24"/>
          <w:szCs w:val="24"/>
        </w:rPr>
      </w:pPr>
      <w:r>
        <w:rPr>
          <w:sz w:val="24"/>
          <w:szCs w:val="24"/>
        </w:rPr>
        <w:t xml:space="preserve"> </w:t>
      </w:r>
      <w:r w:rsidRPr="00B26DA2">
        <w:rPr>
          <w:sz w:val="24"/>
          <w:szCs w:val="24"/>
        </w:rPr>
        <w:t>These estimates are derived from "OPM Salary Table 2</w:t>
      </w:r>
      <w:r w:rsidR="00D26F2A">
        <w:rPr>
          <w:sz w:val="24"/>
          <w:szCs w:val="24"/>
        </w:rPr>
        <w:t>010-DCB," effective January 2010</w:t>
      </w:r>
      <w:r w:rsidRPr="00B26DA2">
        <w:rPr>
          <w:sz w:val="24"/>
          <w:szCs w:val="24"/>
        </w:rPr>
        <w:t>.  This table may be found at http://</w:t>
      </w:r>
      <w:r w:rsidR="00D26F2A">
        <w:rPr>
          <w:sz w:val="24"/>
          <w:szCs w:val="24"/>
        </w:rPr>
        <w:t>archive</w:t>
      </w:r>
      <w:r w:rsidRPr="00B26DA2">
        <w:rPr>
          <w:sz w:val="24"/>
          <w:szCs w:val="24"/>
        </w:rPr>
        <w:t>.opm.gov/oca/</w:t>
      </w:r>
      <w:r w:rsidR="00D26F2A">
        <w:rPr>
          <w:sz w:val="24"/>
          <w:szCs w:val="24"/>
        </w:rPr>
        <w:t>10</w:t>
      </w:r>
      <w:r w:rsidRPr="00B26DA2">
        <w:rPr>
          <w:sz w:val="24"/>
          <w:szCs w:val="24"/>
        </w:rPr>
        <w:t>tables/</w:t>
      </w:r>
      <w:r w:rsidR="00D26F2A">
        <w:rPr>
          <w:sz w:val="24"/>
          <w:szCs w:val="24"/>
        </w:rPr>
        <w:t>html/RUS-h</w:t>
      </w:r>
      <w:r w:rsidRPr="00B26DA2">
        <w:rPr>
          <w:sz w:val="24"/>
          <w:szCs w:val="24"/>
        </w:rPr>
        <w:t xml:space="preserve">.asp.  The extreme of step 10 was assumed for all categories.  </w:t>
      </w:r>
      <w:r w:rsidR="00E13EB9" w:rsidRPr="00B26DA2">
        <w:rPr>
          <w:sz w:val="24"/>
          <w:szCs w:val="24"/>
        </w:rPr>
        <w:t>All values were multiplied by 1.6 (which is a common factor utilized in ICRs to account for overhead costs). We rounded the resulting dollar value to the nearest</w:t>
      </w:r>
      <w:r w:rsidR="002A6424">
        <w:rPr>
          <w:sz w:val="24"/>
          <w:szCs w:val="24"/>
        </w:rPr>
        <w:t xml:space="preserve"> tenth</w:t>
      </w:r>
      <w:r w:rsidR="00E13EB9" w:rsidRPr="00B26DA2">
        <w:rPr>
          <w:sz w:val="24"/>
          <w:szCs w:val="24"/>
        </w:rPr>
        <w:t xml:space="preserve">.  </w:t>
      </w:r>
    </w:p>
    <w:p w:rsidR="009222E1" w:rsidRPr="00B26DA2" w:rsidRDefault="009222E1" w:rsidP="00F41CE9">
      <w:pPr>
        <w:pStyle w:val="FootnoteText"/>
        <w:rPr>
          <w:sz w:val="24"/>
          <w:szCs w:val="24"/>
        </w:rPr>
      </w:pPr>
    </w:p>
    <w:p w:rsidR="00BA36F8" w:rsidRPr="00C910ED" w:rsidRDefault="00BA36F8"/>
    <w:p w:rsidR="00BA36F8" w:rsidRPr="00C910ED" w:rsidRDefault="00BA36F8">
      <w:r w:rsidRPr="00C910ED">
        <w:tab/>
      </w:r>
    </w:p>
    <w:p w:rsidR="00BA36F8" w:rsidRPr="00C910ED" w:rsidRDefault="008178CB">
      <w:r>
        <w:tab/>
        <w:t>6(</w:t>
      </w:r>
      <w:r w:rsidR="00BA36F8" w:rsidRPr="00C910ED">
        <w:t>d</w:t>
      </w:r>
      <w:r>
        <w:t>)</w:t>
      </w:r>
      <w:r w:rsidR="00BA36F8" w:rsidRPr="00C910ED">
        <w:tab/>
        <w:t>Estimating the Respondent Universe</w:t>
      </w:r>
    </w:p>
    <w:p w:rsidR="00BA36F8" w:rsidRPr="00C910ED" w:rsidRDefault="00BA36F8"/>
    <w:p w:rsidR="00BA36F8" w:rsidRPr="00C910ED" w:rsidRDefault="00BA36F8">
      <w:r w:rsidRPr="00C910ED">
        <w:tab/>
      </w:r>
      <w:r w:rsidR="00BB501C" w:rsidRPr="00C910ED">
        <w:t xml:space="preserve">We were </w:t>
      </w:r>
      <w:r w:rsidRPr="00C910ED">
        <w:t>able to estimate the number of regulated entities drawing upon experience regulating the same entities</w:t>
      </w:r>
      <w:r w:rsidR="00B56AE1" w:rsidRPr="00C910ED">
        <w:t xml:space="preserve"> and through the use of</w:t>
      </w:r>
      <w:r w:rsidR="00FA5465">
        <w:t xml:space="preserve"> business and industry economic statistics. </w:t>
      </w:r>
      <w:r w:rsidR="00D81140" w:rsidRPr="00C53951">
        <w:t xml:space="preserve">We consulted the </w:t>
      </w:r>
      <w:r w:rsidR="00D81140">
        <w:t>2008 Economic Census for Retail T</w:t>
      </w:r>
      <w:r w:rsidR="00D81140" w:rsidRPr="00C53951">
        <w:t>rade to assist us in estimating the total number of retail stations</w:t>
      </w:r>
      <w:r w:rsidR="00D81140">
        <w:t xml:space="preserve"> and the </w:t>
      </w:r>
      <w:r w:rsidR="00D81140" w:rsidRPr="00A41ADF">
        <w:rPr>
          <w:bCs/>
        </w:rPr>
        <w:t xml:space="preserve">2008 Census Bureau Fact Finder2 </w:t>
      </w:r>
      <w:r w:rsidR="00FA5465">
        <w:rPr>
          <w:bCs/>
        </w:rPr>
        <w:t xml:space="preserve">to assist in estimating the number of </w:t>
      </w:r>
      <w:r w:rsidR="00D81140" w:rsidRPr="00A41ADF">
        <w:rPr>
          <w:bCs/>
        </w:rPr>
        <w:t>wholesale purchaser-consumer facilities handling petroleum product.</w:t>
      </w:r>
    </w:p>
    <w:p w:rsidR="00BA36F8" w:rsidRPr="00C910ED" w:rsidRDefault="00BA36F8"/>
    <w:p w:rsidR="00BA36F8" w:rsidRPr="00C910ED" w:rsidRDefault="008178CB">
      <w:r>
        <w:tab/>
        <w:t>6(</w:t>
      </w:r>
      <w:r w:rsidR="00BA36F8" w:rsidRPr="00C910ED">
        <w:t>e</w:t>
      </w:r>
      <w:r>
        <w:t>)</w:t>
      </w:r>
      <w:r w:rsidR="00BA36F8" w:rsidRPr="00C910ED">
        <w:tab/>
        <w:t>Bottom Line Burden Hours and Costs</w:t>
      </w:r>
    </w:p>
    <w:p w:rsidR="00BA36F8" w:rsidRPr="00C910ED" w:rsidRDefault="00BA36F8"/>
    <w:p w:rsidR="00BA36F8" w:rsidRDefault="00BA36F8">
      <w:r w:rsidRPr="00C910ED">
        <w:tab/>
      </w:r>
      <w:r w:rsidR="000872AC" w:rsidRPr="00C910ED">
        <w:t xml:space="preserve">From Table </w:t>
      </w:r>
      <w:r w:rsidR="00E21CED">
        <w:t xml:space="preserve">1 </w:t>
      </w:r>
      <w:r w:rsidR="00B84C95" w:rsidRPr="00C910ED">
        <w:t>we estimate the following:</w:t>
      </w:r>
    </w:p>
    <w:p w:rsidR="007C5CD7" w:rsidRPr="00C910ED" w:rsidRDefault="007C5CD7"/>
    <w:p w:rsidR="00B84C95" w:rsidRPr="00C910ED" w:rsidRDefault="007C5CD7">
      <w:r>
        <w:t>TOTAL NO. OF RESPONDENTS</w:t>
      </w:r>
      <w:r>
        <w:tab/>
        <w:t>43,050</w:t>
      </w:r>
    </w:p>
    <w:p w:rsidR="00B84C95" w:rsidRPr="00C910ED" w:rsidRDefault="00B84C95" w:rsidP="007E0D52">
      <w:pPr>
        <w:outlineLvl w:val="0"/>
        <w:rPr>
          <w:szCs w:val="24"/>
        </w:rPr>
      </w:pPr>
      <w:r w:rsidRPr="00C910ED">
        <w:rPr>
          <w:szCs w:val="24"/>
        </w:rPr>
        <w:t xml:space="preserve">TOTAL NO. OF REPORTS:   </w:t>
      </w:r>
      <w:r w:rsidR="00A43D4B">
        <w:rPr>
          <w:szCs w:val="24"/>
        </w:rPr>
        <w:t xml:space="preserve"> </w:t>
      </w:r>
      <w:r w:rsidR="007C5CD7">
        <w:rPr>
          <w:szCs w:val="24"/>
        </w:rPr>
        <w:tab/>
      </w:r>
      <w:r w:rsidR="001642A6">
        <w:rPr>
          <w:szCs w:val="24"/>
        </w:rPr>
        <w:t>84,05</w:t>
      </w:r>
      <w:r w:rsidRPr="00C910ED">
        <w:rPr>
          <w:szCs w:val="24"/>
        </w:rPr>
        <w:t>0</w:t>
      </w:r>
    </w:p>
    <w:p w:rsidR="00B84C95" w:rsidRPr="00C910ED" w:rsidRDefault="00B84C95" w:rsidP="00B84C95">
      <w:pPr>
        <w:rPr>
          <w:szCs w:val="24"/>
        </w:rPr>
      </w:pPr>
      <w:r w:rsidRPr="00C910ED">
        <w:rPr>
          <w:szCs w:val="24"/>
        </w:rPr>
        <w:t xml:space="preserve">TOTAL BURDEN HOURS:  </w:t>
      </w:r>
      <w:r w:rsidR="001642A6">
        <w:rPr>
          <w:szCs w:val="24"/>
        </w:rPr>
        <w:t xml:space="preserve">   </w:t>
      </w:r>
      <w:r w:rsidR="007C5CD7">
        <w:rPr>
          <w:szCs w:val="24"/>
        </w:rPr>
        <w:tab/>
      </w:r>
      <w:r w:rsidR="00E21CED">
        <w:rPr>
          <w:szCs w:val="24"/>
        </w:rPr>
        <w:t>21,013</w:t>
      </w:r>
    </w:p>
    <w:p w:rsidR="00BA36F8" w:rsidRPr="00C910ED" w:rsidRDefault="00667456">
      <w:r w:rsidRPr="00C910ED">
        <w:t xml:space="preserve">TOTAL COST:  </w:t>
      </w:r>
      <w:r w:rsidRPr="00C910ED">
        <w:tab/>
      </w:r>
      <w:r w:rsidRPr="00C910ED">
        <w:tab/>
      </w:r>
      <w:r w:rsidR="007C5CD7">
        <w:t xml:space="preserve">         </w:t>
      </w:r>
      <w:r w:rsidRPr="00C910ED">
        <w:t>$</w:t>
      </w:r>
      <w:r w:rsidR="001642A6">
        <w:t>35</w:t>
      </w:r>
      <w:r w:rsidR="00E21CED">
        <w:t>7</w:t>
      </w:r>
      <w:r w:rsidR="001642A6">
        <w:t>,</w:t>
      </w:r>
      <w:r w:rsidR="00E21CED">
        <w:t>221</w:t>
      </w:r>
    </w:p>
    <w:p w:rsidR="00667456" w:rsidRDefault="00667456"/>
    <w:p w:rsidR="00A66A8F" w:rsidRDefault="00A66A8F"/>
    <w:p w:rsidR="00A66A8F" w:rsidRDefault="00A66A8F"/>
    <w:p w:rsidR="00A66A8F" w:rsidRDefault="00A66A8F"/>
    <w:p w:rsidR="00A66A8F" w:rsidRDefault="00A66A8F"/>
    <w:p w:rsidR="00A66A8F" w:rsidRDefault="00A66A8F"/>
    <w:p w:rsidR="00A66A8F" w:rsidRDefault="00A66A8F"/>
    <w:p w:rsidR="00A66A8F" w:rsidRDefault="00A66A8F"/>
    <w:p w:rsidR="00A66A8F" w:rsidRPr="00C910ED" w:rsidRDefault="00A66A8F"/>
    <w:p w:rsidR="00BA36F8" w:rsidRPr="00C910ED" w:rsidRDefault="008178CB">
      <w:r>
        <w:tab/>
        <w:t>6(</w:t>
      </w:r>
      <w:r w:rsidR="00BA36F8" w:rsidRPr="00C910ED">
        <w:t>f</w:t>
      </w:r>
      <w:r>
        <w:t>)</w:t>
      </w:r>
      <w:r w:rsidR="00BA36F8" w:rsidRPr="00C910ED">
        <w:tab/>
        <w:t>Reason for Change in Burden</w:t>
      </w:r>
    </w:p>
    <w:p w:rsidR="00BA36F8" w:rsidRPr="00C910ED" w:rsidRDefault="00BA36F8"/>
    <w:p w:rsidR="007F5AB6" w:rsidRDefault="00BA36F8" w:rsidP="007F5AB6">
      <w:pPr>
        <w:rPr>
          <w:szCs w:val="24"/>
        </w:rPr>
      </w:pPr>
      <w:r w:rsidRPr="00C910ED">
        <w:tab/>
      </w:r>
      <w:r w:rsidR="007F5AB6" w:rsidRPr="00874F05">
        <w:rPr>
          <w:szCs w:val="24"/>
        </w:rPr>
        <w:t xml:space="preserve">The change in burden from the prior ICR is due in part to better numbers extracted from business and industry economic statistics that assisted in calculating the numbers of respondents. These better numbers reduced the party size by 13,650 members. The number of responses also declined from 110,700 to 84,050 a difference of 26,650 reports which reduced the industry burden hours from 27,675 to 21,013.  </w:t>
      </w:r>
      <w:r w:rsidR="007F5AB6">
        <w:rPr>
          <w:szCs w:val="24"/>
        </w:rPr>
        <w:t xml:space="preserve">We also found that the original cost per response was overstated by a factor of 2. </w:t>
      </w:r>
      <w:r w:rsidR="007F5AB6" w:rsidRPr="00874F05">
        <w:rPr>
          <w:szCs w:val="24"/>
        </w:rPr>
        <w:t xml:space="preserve">With the decline of respondents, burden hours and responses, </w:t>
      </w:r>
      <w:r w:rsidR="007F5AB6">
        <w:rPr>
          <w:szCs w:val="24"/>
        </w:rPr>
        <w:t xml:space="preserve">and revisit cost per response, </w:t>
      </w:r>
      <w:r w:rsidR="007F5AB6" w:rsidRPr="00874F05">
        <w:rPr>
          <w:szCs w:val="24"/>
        </w:rPr>
        <w:t xml:space="preserve">the cost </w:t>
      </w:r>
      <w:r w:rsidR="00136E18">
        <w:rPr>
          <w:szCs w:val="24"/>
        </w:rPr>
        <w:t xml:space="preserve">associated with </w:t>
      </w:r>
      <w:r w:rsidR="007F5AB6" w:rsidRPr="00874F05">
        <w:rPr>
          <w:szCs w:val="24"/>
        </w:rPr>
        <w:t xml:space="preserve">this ICR is $357,221 a difference of $528,379 calculated from the prior collection approved by OMB. </w:t>
      </w:r>
    </w:p>
    <w:p w:rsidR="007F5AB6" w:rsidRPr="00874F05" w:rsidRDefault="007F5AB6" w:rsidP="007F5AB6">
      <w:pPr>
        <w:rPr>
          <w:szCs w:val="24"/>
        </w:rPr>
      </w:pPr>
    </w:p>
    <w:p w:rsidR="00BA36F8" w:rsidRPr="00C910ED" w:rsidRDefault="008178CB">
      <w:r>
        <w:tab/>
        <w:t>6(</w:t>
      </w:r>
      <w:r w:rsidR="00BA36F8" w:rsidRPr="00C910ED">
        <w:t>g</w:t>
      </w:r>
      <w:r>
        <w:t>)</w:t>
      </w:r>
      <w:r w:rsidR="00BA36F8" w:rsidRPr="00C910ED">
        <w:tab/>
        <w:t>Burden Statement</w:t>
      </w:r>
    </w:p>
    <w:p w:rsidR="00BA36F8" w:rsidRPr="00C910ED" w:rsidRDefault="00BA36F8"/>
    <w:p w:rsidR="00B84C95" w:rsidRPr="00C910ED" w:rsidRDefault="00BA36F8" w:rsidP="00B84C95">
      <w:r w:rsidRPr="00C910ED">
        <w:tab/>
      </w:r>
      <w:r w:rsidR="00B84C95" w:rsidRPr="00C910ED">
        <w:t xml:space="preserve">The average respondent burden in hours </w:t>
      </w:r>
      <w:r w:rsidR="00B84C95" w:rsidRPr="00D76CD4">
        <w:t>per response</w:t>
      </w:r>
      <w:r w:rsidR="00B84C95" w:rsidRPr="00C910ED">
        <w:t xml:space="preserve"> for this ICR is estimated at 0.</w:t>
      </w:r>
      <w:r w:rsidR="000872AC" w:rsidRPr="00C910ED">
        <w:t>25</w:t>
      </w:r>
      <w:r w:rsidR="00B84C95" w:rsidRPr="00C910ED">
        <w:t xml:space="preserve"> hours</w:t>
      </w:r>
      <w:r w:rsidR="00667456" w:rsidRPr="00C910ED">
        <w:t xml:space="preserve"> (15 minutes)</w:t>
      </w:r>
      <w:r w:rsidR="00B84C95" w:rsidRPr="00C910ED">
        <w:t>.</w:t>
      </w:r>
      <w:r w:rsidR="00B84C95" w:rsidRPr="00C910ED">
        <w:rPr>
          <w:vertAlign w:val="superscript"/>
        </w:rPr>
        <w:footnoteReference w:id="4"/>
      </w:r>
      <w:r w:rsidR="000872AC" w:rsidRPr="00C910ED">
        <w:t xml:space="preserve"> </w:t>
      </w:r>
    </w:p>
    <w:p w:rsidR="00390555" w:rsidRPr="00C910ED" w:rsidRDefault="00390555" w:rsidP="00B84C95"/>
    <w:p w:rsidR="004222A3" w:rsidRPr="00C910ED" w:rsidRDefault="00860D38" w:rsidP="004222A3">
      <w:r w:rsidRPr="00C910ED">
        <w:tab/>
      </w:r>
      <w:r w:rsidR="004222A3" w:rsidRPr="00C910ED">
        <w:t xml:space="preserve">Burden means the total time, effort, or financial resources expended by persons to generate, maintain, retain, or disclose or provide information to or for a Federal agency.  This includes the time needed to review the instructions; develop, acquire, install, and utilize technology and systems for the purpose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transit or otherwise disclose the information.  </w:t>
      </w:r>
    </w:p>
    <w:p w:rsidR="00BA36F8" w:rsidRPr="00C910ED" w:rsidRDefault="00BA36F8">
      <w:r w:rsidRPr="00C910ED">
        <w:tab/>
      </w:r>
    </w:p>
    <w:p w:rsidR="00BA36F8" w:rsidRPr="00C910ED" w:rsidRDefault="00BA36F8">
      <w:r w:rsidRPr="00C910ED">
        <w:tab/>
        <w:t>An Agency may not conduct or sponsor, and a person is not required to respond to a collection of information unless it displays a currently valid OMB control number.  The OMB control numbers for EPA's regulations are listed in 40 CFR Part 9 and 48 CFR Chapter 15.</w:t>
      </w:r>
    </w:p>
    <w:p w:rsidR="00BA36F8" w:rsidRPr="00C910ED" w:rsidRDefault="00BA36F8"/>
    <w:p w:rsidR="00BA36F8" w:rsidRPr="00C910ED" w:rsidRDefault="0035257E">
      <w:r>
        <w:t xml:space="preserve">To comment on the Agency's need for this information, the accuracy of the provided burden estimates, and any suggested methods for minimizing respondent burden, including the use of automated collection techniques, the U.S. EPA has established a public docket for this ICR under Docket ID No. EPA-HQ-OAR-2006-0745, which is available for public viewing at the Air and Radiation Docket and Information Center Docket in the EPA Docket Center (EPA/DC), William Jefferson Clinton Federal Building West, Room 3334, 1301 Constitution Ave., NW, Washington, DC. The EPA Docket Center Public Reading Room is open from 8:30 a.m. to 4:30 p.m., Monday through </w:t>
      </w:r>
      <w:r>
        <w:lastRenderedPageBreak/>
        <w:t>Friday, excluding legal holidays. The telephone number for the Reading Room is (202) 566-1744, and the telephone number for the Air and Radiation Docket and</w:t>
      </w:r>
      <w:r>
        <w:rPr>
          <w:b/>
        </w:rPr>
        <w:t xml:space="preserve"> </w:t>
      </w:r>
      <w:r>
        <w:t>Information</w:t>
      </w:r>
      <w:r>
        <w:rPr>
          <w:b/>
        </w:rPr>
        <w:t xml:space="preserve"> </w:t>
      </w:r>
      <w:r>
        <w:t xml:space="preserve">Center Docket is (202) 566-1742.  </w:t>
      </w:r>
      <w:r>
        <w:rPr>
          <w:color w:val="0F0F0F"/>
          <w:szCs w:val="24"/>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t>
      </w:r>
      <w:r>
        <w:rPr>
          <w:color w:val="000000"/>
        </w:rPr>
        <w:t>Also, you can send comments to the Office of Information and Regulatory Affairs, Office of Management and Budget, 725 17th Street, NW, Washington, DC 20503, Attention: Desk Office for EPA. Please include the EPA Docket ID No. EPA-HQ-OAR-200</w:t>
      </w:r>
      <w:r w:rsidR="00C20A3D">
        <w:rPr>
          <w:color w:val="000000"/>
        </w:rPr>
        <w:t>6</w:t>
      </w:r>
      <w:r>
        <w:rPr>
          <w:color w:val="000000"/>
        </w:rPr>
        <w:t>-</w:t>
      </w:r>
      <w:r w:rsidR="00C20A3D">
        <w:rPr>
          <w:color w:val="000000"/>
        </w:rPr>
        <w:t>0745</w:t>
      </w:r>
      <w:r>
        <w:rPr>
          <w:rFonts w:ascii="Helv" w:hAnsi="Helv"/>
          <w:color w:val="000000"/>
          <w:sz w:val="20"/>
        </w:rPr>
        <w:t xml:space="preserve"> </w:t>
      </w:r>
      <w:r>
        <w:rPr>
          <w:color w:val="000000"/>
        </w:rPr>
        <w:t>and OMB control number 2060-</w:t>
      </w:r>
      <w:r w:rsidR="00C20A3D">
        <w:rPr>
          <w:color w:val="000000"/>
        </w:rPr>
        <w:t>0587</w:t>
      </w:r>
      <w:r>
        <w:rPr>
          <w:color w:val="000000"/>
        </w:rPr>
        <w:t xml:space="preserve"> in any correspondence.</w:t>
      </w:r>
    </w:p>
    <w:sectPr w:rsidR="00BA36F8" w:rsidRPr="00C910ED" w:rsidSect="00C910ED">
      <w:footerReference w:type="even" r:id="rId10"/>
      <w:footerReference w:type="default" r:id="rId11"/>
      <w:pgSz w:w="12240" w:h="15840"/>
      <w:pgMar w:top="1440" w:right="1800" w:bottom="1440" w:left="1800" w:header="720" w:footer="720" w:gutter="0"/>
      <w:pgNumType w:start="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C0A" w:rsidRDefault="000C1C0A">
      <w:r>
        <w:separator/>
      </w:r>
    </w:p>
  </w:endnote>
  <w:endnote w:type="continuationSeparator" w:id="0">
    <w:p w:rsidR="000C1C0A" w:rsidRDefault="000C1C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66" w:rsidRDefault="00167237" w:rsidP="00390555">
    <w:pPr>
      <w:pStyle w:val="Footer"/>
      <w:framePr w:wrap="around" w:vAnchor="text" w:hAnchor="margin" w:xAlign="center" w:y="1"/>
      <w:rPr>
        <w:rStyle w:val="PageNumber"/>
      </w:rPr>
    </w:pPr>
    <w:r>
      <w:rPr>
        <w:rStyle w:val="PageNumber"/>
      </w:rPr>
      <w:fldChar w:fldCharType="begin"/>
    </w:r>
    <w:r w:rsidR="00DE4666">
      <w:rPr>
        <w:rStyle w:val="PageNumber"/>
      </w:rPr>
      <w:instrText xml:space="preserve">PAGE  </w:instrText>
    </w:r>
    <w:r>
      <w:rPr>
        <w:rStyle w:val="PageNumber"/>
      </w:rPr>
      <w:fldChar w:fldCharType="end"/>
    </w:r>
  </w:p>
  <w:p w:rsidR="00DE4666" w:rsidRDefault="00DE46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66" w:rsidRDefault="00167237" w:rsidP="00390555">
    <w:pPr>
      <w:pStyle w:val="Footer"/>
      <w:framePr w:wrap="around" w:vAnchor="text" w:hAnchor="margin" w:xAlign="center" w:y="1"/>
      <w:rPr>
        <w:rStyle w:val="PageNumber"/>
      </w:rPr>
    </w:pPr>
    <w:r>
      <w:rPr>
        <w:rStyle w:val="PageNumber"/>
      </w:rPr>
      <w:fldChar w:fldCharType="begin"/>
    </w:r>
    <w:r w:rsidR="00DE4666">
      <w:rPr>
        <w:rStyle w:val="PageNumber"/>
      </w:rPr>
      <w:instrText xml:space="preserve">PAGE  </w:instrText>
    </w:r>
    <w:r>
      <w:rPr>
        <w:rStyle w:val="PageNumber"/>
      </w:rPr>
      <w:fldChar w:fldCharType="separate"/>
    </w:r>
    <w:r w:rsidR="00AA66FD">
      <w:rPr>
        <w:rStyle w:val="PageNumber"/>
        <w:noProof/>
      </w:rPr>
      <w:t>7</w:t>
    </w:r>
    <w:r>
      <w:rPr>
        <w:rStyle w:val="PageNumber"/>
      </w:rPr>
      <w:fldChar w:fldCharType="end"/>
    </w:r>
  </w:p>
  <w:p w:rsidR="00DE4666" w:rsidRDefault="00DE46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66" w:rsidRDefault="00167237" w:rsidP="00390555">
    <w:pPr>
      <w:pStyle w:val="Footer"/>
      <w:framePr w:wrap="around" w:vAnchor="text" w:hAnchor="margin" w:xAlign="center" w:y="1"/>
      <w:rPr>
        <w:rStyle w:val="PageNumber"/>
      </w:rPr>
    </w:pPr>
    <w:r>
      <w:rPr>
        <w:rStyle w:val="PageNumber"/>
      </w:rPr>
      <w:fldChar w:fldCharType="begin"/>
    </w:r>
    <w:r w:rsidR="00DE4666">
      <w:rPr>
        <w:rStyle w:val="PageNumber"/>
      </w:rPr>
      <w:instrText xml:space="preserve">PAGE  </w:instrText>
    </w:r>
    <w:r>
      <w:rPr>
        <w:rStyle w:val="PageNumber"/>
      </w:rPr>
      <w:fldChar w:fldCharType="end"/>
    </w:r>
  </w:p>
  <w:p w:rsidR="00DE4666" w:rsidRDefault="00DE466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66" w:rsidRDefault="00167237" w:rsidP="00390555">
    <w:pPr>
      <w:pStyle w:val="Footer"/>
      <w:framePr w:wrap="around" w:vAnchor="text" w:hAnchor="margin" w:xAlign="center" w:y="1"/>
      <w:jc w:val="center"/>
      <w:rPr>
        <w:rStyle w:val="PageNumber"/>
      </w:rPr>
    </w:pPr>
    <w:r>
      <w:rPr>
        <w:rStyle w:val="PageNumber"/>
      </w:rPr>
      <w:fldChar w:fldCharType="begin"/>
    </w:r>
    <w:r w:rsidR="00DE4666">
      <w:rPr>
        <w:rStyle w:val="PageNumber"/>
      </w:rPr>
      <w:instrText xml:space="preserve">PAGE  </w:instrText>
    </w:r>
    <w:r>
      <w:rPr>
        <w:rStyle w:val="PageNumber"/>
      </w:rPr>
      <w:fldChar w:fldCharType="separate"/>
    </w:r>
    <w:r w:rsidR="00AA66FD">
      <w:rPr>
        <w:rStyle w:val="PageNumber"/>
        <w:noProof/>
      </w:rPr>
      <w:t>10</w:t>
    </w:r>
    <w:r>
      <w:rPr>
        <w:rStyle w:val="PageNumber"/>
      </w:rPr>
      <w:fldChar w:fldCharType="end"/>
    </w:r>
  </w:p>
  <w:p w:rsidR="00DE4666" w:rsidRDefault="00DE4666" w:rsidP="00325EFF">
    <w:pPr>
      <w:pStyle w:val="Footer"/>
      <w:framePr w:wrap="around" w:vAnchor="text" w:hAnchor="margin" w:xAlign="center" w:y="1"/>
      <w:rPr>
        <w:rStyle w:val="PageNumber"/>
      </w:rPr>
    </w:pPr>
  </w:p>
  <w:p w:rsidR="00DE4666" w:rsidRDefault="00DE4666" w:rsidP="000F70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C0A" w:rsidRDefault="000C1C0A">
      <w:r>
        <w:separator/>
      </w:r>
    </w:p>
  </w:footnote>
  <w:footnote w:type="continuationSeparator" w:id="0">
    <w:p w:rsidR="000C1C0A" w:rsidRDefault="000C1C0A">
      <w:r>
        <w:continuationSeparator/>
      </w:r>
    </w:p>
  </w:footnote>
  <w:footnote w:id="1">
    <w:p w:rsidR="00D81140" w:rsidRDefault="00D81140">
      <w:pPr>
        <w:pStyle w:val="FootnoteText"/>
      </w:pPr>
      <w:r>
        <w:rPr>
          <w:rStyle w:val="FootnoteReference"/>
        </w:rPr>
        <w:footnoteRef/>
      </w:r>
      <w:r>
        <w:t xml:space="preserve"> </w:t>
      </w:r>
      <w:r w:rsidR="00DC58BD" w:rsidRPr="00DC58BD">
        <w:t>2007 E</w:t>
      </w:r>
      <w:r w:rsidR="00DC58BD">
        <w:t>conomic Census for retail trade</w:t>
      </w:r>
      <w:r w:rsidR="00DC58BD" w:rsidRPr="00DC58BD">
        <w:t xml:space="preserve"> at </w:t>
      </w:r>
      <w:hyperlink r:id="rId1" w:history="1">
        <w:r w:rsidR="00DC58BD" w:rsidRPr="007C61D5">
          <w:rPr>
            <w:rStyle w:val="Hyperlink"/>
          </w:rPr>
          <w:t>http://www.census.gov/econ/industry/current/c4471.htm</w:t>
        </w:r>
      </w:hyperlink>
    </w:p>
  </w:footnote>
  <w:footnote w:id="2">
    <w:p w:rsidR="00DC58BD" w:rsidRDefault="00DC58BD">
      <w:pPr>
        <w:pStyle w:val="FootnoteText"/>
      </w:pPr>
      <w:r>
        <w:rPr>
          <w:rStyle w:val="FootnoteReference"/>
        </w:rPr>
        <w:footnoteRef/>
      </w:r>
      <w:r>
        <w:t xml:space="preserve"> </w:t>
      </w:r>
      <w:r w:rsidRPr="00DC58BD">
        <w:t xml:space="preserve">2007 U.S. Economic Census Bureau Fact Finder2 </w:t>
      </w:r>
      <w:hyperlink r:id="rId2" w:history="1">
        <w:r w:rsidRPr="00DC58BD">
          <w:rPr>
            <w:rStyle w:val="Hyperlink"/>
          </w:rPr>
          <w:t>http://factfinder2.census.gov/faces/tableservices/jsf/pages/productview.xhtml?pid=ECN_2007_US_00A1&amp;prodType=table</w:t>
        </w:r>
      </w:hyperlink>
    </w:p>
  </w:footnote>
  <w:footnote w:id="3">
    <w:p w:rsidR="00117EB5" w:rsidRDefault="00E1726C">
      <w:pPr>
        <w:pStyle w:val="FootnoteText"/>
      </w:pPr>
      <w:r>
        <w:rPr>
          <w:rStyle w:val="FootnoteReference"/>
        </w:rPr>
        <w:t>3</w:t>
      </w:r>
      <w:r w:rsidR="00DE4666" w:rsidRPr="003F2C19">
        <w:t xml:space="preserve">  “May 20</w:t>
      </w:r>
      <w:r w:rsidR="00912BAF">
        <w:t>11</w:t>
      </w:r>
      <w:r w:rsidR="00DE4666" w:rsidRPr="003F2C19">
        <w:t xml:space="preserve"> National Industry-Specific Occupational Employment and Wage Estimates:  NAICS 44710 – Gasoline Stations;” Bureau of Labor Statistics</w:t>
      </w:r>
      <w:r w:rsidR="002A604A">
        <w:t xml:space="preserve"> (BLS)</w:t>
      </w:r>
      <w:r>
        <w:t>, under section sales and related occupations at</w:t>
      </w:r>
      <w:r w:rsidR="00DE4666" w:rsidRPr="003F2C19">
        <w:t xml:space="preserve"> </w:t>
      </w:r>
      <w:hyperlink r:id="rId3" w:history="1">
        <w:r w:rsidR="00DE4666" w:rsidRPr="003F2C19">
          <w:rPr>
            <w:rStyle w:val="Hyperlink"/>
          </w:rPr>
          <w:t>http://www.bls.gov/oes/2008/may/naics4_447100.htm</w:t>
        </w:r>
      </w:hyperlink>
      <w:r w:rsidR="00DE4666" w:rsidRPr="003F2C19">
        <w:t xml:space="preserve">, accessed </w:t>
      </w:r>
      <w:r w:rsidR="00912BAF">
        <w:t xml:space="preserve">March 13, </w:t>
      </w:r>
      <w:r w:rsidR="00DE4666" w:rsidRPr="003F2C19">
        <w:t>20</w:t>
      </w:r>
      <w:r w:rsidR="00912BAF">
        <w:t>13</w:t>
      </w:r>
      <w:r w:rsidR="00DE4666" w:rsidRPr="003F2C19">
        <w:t>.</w:t>
      </w:r>
      <w:r w:rsidR="00117EB5" w:rsidRPr="00117EB5">
        <w:t xml:space="preserve"> </w:t>
      </w:r>
    </w:p>
    <w:p w:rsidR="00117EB5" w:rsidRPr="003F2C19" w:rsidRDefault="00117EB5">
      <w:pPr>
        <w:pStyle w:val="FootnoteText"/>
      </w:pPr>
    </w:p>
  </w:footnote>
  <w:footnote w:id="4">
    <w:p w:rsidR="00DE4666" w:rsidRPr="00667456" w:rsidRDefault="00DE4666" w:rsidP="00390555">
      <w:pPr>
        <w:pStyle w:val="FootnoteText"/>
      </w:pPr>
      <w:r w:rsidRPr="00667456">
        <w:rPr>
          <w:rStyle w:val="FootnoteReference"/>
        </w:rPr>
        <w:footnoteRef/>
      </w:r>
      <w:r w:rsidRPr="00667456">
        <w:t xml:space="preserve"> The average respondent burden</w:t>
      </w:r>
      <w:r w:rsidR="00D76CD4">
        <w:t xml:space="preserve"> per response </w:t>
      </w:r>
      <w:r w:rsidRPr="00667456">
        <w:t>is the total number of hours divided by the total number of re</w:t>
      </w:r>
      <w:r w:rsidR="00D76CD4">
        <w:t>sponse</w:t>
      </w:r>
      <w:r w:rsidRPr="00667456">
        <w:t>s from Table</w:t>
      </w:r>
      <w:r w:rsidR="00D76CD4">
        <w:t xml:space="preserve"> 1</w:t>
      </w:r>
      <w:r w:rsidRPr="00667456">
        <w:t xml:space="preserve">, rounded up for simplicity. </w:t>
      </w:r>
    </w:p>
    <w:p w:rsidR="00DE4666" w:rsidRDefault="00DE4666" w:rsidP="00B84C95">
      <w:pPr>
        <w:pStyle w:val="FootnoteText"/>
        <w:rPr>
          <w:sz w:val="24"/>
          <w:szCs w:val="24"/>
        </w:rPr>
      </w:pPr>
    </w:p>
    <w:p w:rsidR="00DE4666" w:rsidRDefault="00DE4666" w:rsidP="00B84C95">
      <w:pPr>
        <w:pStyle w:val="FootnoteText"/>
        <w:rPr>
          <w:sz w:val="24"/>
          <w:szCs w:val="24"/>
        </w:rPr>
      </w:pPr>
    </w:p>
    <w:p w:rsidR="00DE4666" w:rsidRPr="003D5515" w:rsidRDefault="00DE4666" w:rsidP="00860D38">
      <w:pPr>
        <w:pStyle w:val="FootnoteText"/>
        <w:jc w:val="center"/>
        <w:rPr>
          <w:sz w:val="24"/>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1671"/>
    <w:multiLevelType w:val="hybridMultilevel"/>
    <w:tmpl w:val="6760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755D0"/>
    <w:multiLevelType w:val="hybridMultilevel"/>
    <w:tmpl w:val="7826CEB4"/>
    <w:lvl w:ilvl="0" w:tplc="86C01E0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971BB1"/>
    <w:multiLevelType w:val="hybridMultilevel"/>
    <w:tmpl w:val="0908D2B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21165"/>
    <w:multiLevelType w:val="hybridMultilevel"/>
    <w:tmpl w:val="198C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057333"/>
    <w:multiLevelType w:val="hybridMultilevel"/>
    <w:tmpl w:val="D2DE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291DCF"/>
    <w:multiLevelType w:val="hybridMultilevel"/>
    <w:tmpl w:val="8374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7274C"/>
    <w:multiLevelType w:val="hybridMultilevel"/>
    <w:tmpl w:val="8FF898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B05381A"/>
    <w:multiLevelType w:val="hybridMultilevel"/>
    <w:tmpl w:val="E9D89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703C7B"/>
    <w:multiLevelType w:val="hybridMultilevel"/>
    <w:tmpl w:val="FA5E6EBA"/>
    <w:lvl w:ilvl="0" w:tplc="666843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52428D"/>
    <w:multiLevelType w:val="hybridMultilevel"/>
    <w:tmpl w:val="203C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A0356E"/>
    <w:multiLevelType w:val="hybridMultilevel"/>
    <w:tmpl w:val="5C1CFA7E"/>
    <w:lvl w:ilvl="0" w:tplc="3580D596">
      <w:start w:val="1"/>
      <w:numFmt w:val="low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1"/>
  </w:num>
  <w:num w:numId="3">
    <w:abstractNumId w:val="1"/>
  </w:num>
  <w:num w:numId="4">
    <w:abstractNumId w:val="2"/>
  </w:num>
  <w:num w:numId="5">
    <w:abstractNumId w:val="8"/>
  </w:num>
  <w:num w:numId="6">
    <w:abstractNumId w:val="10"/>
  </w:num>
  <w:num w:numId="7">
    <w:abstractNumId w:val="4"/>
  </w:num>
  <w:num w:numId="8">
    <w:abstractNumId w:val="3"/>
  </w:num>
  <w:num w:numId="9">
    <w:abstractNumId w:val="7"/>
  </w:num>
  <w:num w:numId="10">
    <w:abstractNumId w:val="6"/>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26179"/>
    <w:rsid w:val="00006C78"/>
    <w:rsid w:val="0003182B"/>
    <w:rsid w:val="000368B7"/>
    <w:rsid w:val="00041E36"/>
    <w:rsid w:val="00042E03"/>
    <w:rsid w:val="00055C5E"/>
    <w:rsid w:val="00065576"/>
    <w:rsid w:val="000872AC"/>
    <w:rsid w:val="000A2D5E"/>
    <w:rsid w:val="000B315B"/>
    <w:rsid w:val="000B5017"/>
    <w:rsid w:val="000C1C0A"/>
    <w:rsid w:val="000D380E"/>
    <w:rsid w:val="000F700B"/>
    <w:rsid w:val="00102FD4"/>
    <w:rsid w:val="001116B3"/>
    <w:rsid w:val="00115707"/>
    <w:rsid w:val="00117EB5"/>
    <w:rsid w:val="00126179"/>
    <w:rsid w:val="00133130"/>
    <w:rsid w:val="00133159"/>
    <w:rsid w:val="00136E18"/>
    <w:rsid w:val="0014466A"/>
    <w:rsid w:val="00145426"/>
    <w:rsid w:val="001642A6"/>
    <w:rsid w:val="00167237"/>
    <w:rsid w:val="001741FC"/>
    <w:rsid w:val="001A571F"/>
    <w:rsid w:val="001E1E99"/>
    <w:rsid w:val="002124FA"/>
    <w:rsid w:val="0022307B"/>
    <w:rsid w:val="00231B0F"/>
    <w:rsid w:val="00236262"/>
    <w:rsid w:val="00260E4C"/>
    <w:rsid w:val="00273CA5"/>
    <w:rsid w:val="00274E23"/>
    <w:rsid w:val="00275696"/>
    <w:rsid w:val="00281C5B"/>
    <w:rsid w:val="002849DC"/>
    <w:rsid w:val="002A4E3C"/>
    <w:rsid w:val="002A4FEA"/>
    <w:rsid w:val="002A604A"/>
    <w:rsid w:val="002A6424"/>
    <w:rsid w:val="002A7614"/>
    <w:rsid w:val="002B420D"/>
    <w:rsid w:val="002B6AC8"/>
    <w:rsid w:val="002C4822"/>
    <w:rsid w:val="002F0900"/>
    <w:rsid w:val="002F36CF"/>
    <w:rsid w:val="00325EFF"/>
    <w:rsid w:val="00327A50"/>
    <w:rsid w:val="00330A70"/>
    <w:rsid w:val="00333616"/>
    <w:rsid w:val="0034247F"/>
    <w:rsid w:val="0035257E"/>
    <w:rsid w:val="00354739"/>
    <w:rsid w:val="0036427B"/>
    <w:rsid w:val="003737BB"/>
    <w:rsid w:val="00375393"/>
    <w:rsid w:val="00390555"/>
    <w:rsid w:val="00395825"/>
    <w:rsid w:val="003A010E"/>
    <w:rsid w:val="003A46FE"/>
    <w:rsid w:val="003D5515"/>
    <w:rsid w:val="003E1262"/>
    <w:rsid w:val="003E1365"/>
    <w:rsid w:val="003F2C19"/>
    <w:rsid w:val="004222A3"/>
    <w:rsid w:val="00451674"/>
    <w:rsid w:val="004804EB"/>
    <w:rsid w:val="0049161C"/>
    <w:rsid w:val="004B1120"/>
    <w:rsid w:val="004C345A"/>
    <w:rsid w:val="004E1E78"/>
    <w:rsid w:val="00500393"/>
    <w:rsid w:val="005033A3"/>
    <w:rsid w:val="005326C6"/>
    <w:rsid w:val="00552009"/>
    <w:rsid w:val="00592EBE"/>
    <w:rsid w:val="005B22AF"/>
    <w:rsid w:val="005B31E0"/>
    <w:rsid w:val="005C7D3B"/>
    <w:rsid w:val="005E439C"/>
    <w:rsid w:val="005F19AE"/>
    <w:rsid w:val="00603943"/>
    <w:rsid w:val="00622122"/>
    <w:rsid w:val="0063639B"/>
    <w:rsid w:val="00661669"/>
    <w:rsid w:val="00667456"/>
    <w:rsid w:val="006A2DF9"/>
    <w:rsid w:val="006B7977"/>
    <w:rsid w:val="006B7E2C"/>
    <w:rsid w:val="006E6DDB"/>
    <w:rsid w:val="0071679F"/>
    <w:rsid w:val="007236DC"/>
    <w:rsid w:val="00726DBC"/>
    <w:rsid w:val="00730E0F"/>
    <w:rsid w:val="007345BD"/>
    <w:rsid w:val="007454C9"/>
    <w:rsid w:val="00747B55"/>
    <w:rsid w:val="00752E1A"/>
    <w:rsid w:val="007535A9"/>
    <w:rsid w:val="007546EE"/>
    <w:rsid w:val="00755547"/>
    <w:rsid w:val="00756E47"/>
    <w:rsid w:val="00776CD6"/>
    <w:rsid w:val="00781AEA"/>
    <w:rsid w:val="0079012E"/>
    <w:rsid w:val="007A0FD6"/>
    <w:rsid w:val="007B3BBD"/>
    <w:rsid w:val="007C44A4"/>
    <w:rsid w:val="007C5512"/>
    <w:rsid w:val="007C5CD7"/>
    <w:rsid w:val="007C61D5"/>
    <w:rsid w:val="007D6752"/>
    <w:rsid w:val="007E0D52"/>
    <w:rsid w:val="007E27E7"/>
    <w:rsid w:val="007F1655"/>
    <w:rsid w:val="007F5AB6"/>
    <w:rsid w:val="007F6580"/>
    <w:rsid w:val="008178CB"/>
    <w:rsid w:val="0083629F"/>
    <w:rsid w:val="0085148C"/>
    <w:rsid w:val="0085173A"/>
    <w:rsid w:val="00853AF9"/>
    <w:rsid w:val="00860D38"/>
    <w:rsid w:val="00867129"/>
    <w:rsid w:val="0087690F"/>
    <w:rsid w:val="0089264E"/>
    <w:rsid w:val="008A1D8A"/>
    <w:rsid w:val="008C05E1"/>
    <w:rsid w:val="008D7EB2"/>
    <w:rsid w:val="008E43C3"/>
    <w:rsid w:val="008E7617"/>
    <w:rsid w:val="00901BF6"/>
    <w:rsid w:val="00912BAF"/>
    <w:rsid w:val="0092013B"/>
    <w:rsid w:val="009222E1"/>
    <w:rsid w:val="00927CCF"/>
    <w:rsid w:val="00936967"/>
    <w:rsid w:val="00956F50"/>
    <w:rsid w:val="00987F63"/>
    <w:rsid w:val="009971A8"/>
    <w:rsid w:val="009A396C"/>
    <w:rsid w:val="009C5E32"/>
    <w:rsid w:val="009D41CA"/>
    <w:rsid w:val="009E100D"/>
    <w:rsid w:val="009F29AE"/>
    <w:rsid w:val="00A37612"/>
    <w:rsid w:val="00A41ADF"/>
    <w:rsid w:val="00A43D4B"/>
    <w:rsid w:val="00A55037"/>
    <w:rsid w:val="00A62C1E"/>
    <w:rsid w:val="00A66A8F"/>
    <w:rsid w:val="00A71286"/>
    <w:rsid w:val="00AA6507"/>
    <w:rsid w:val="00AA66FD"/>
    <w:rsid w:val="00AA7074"/>
    <w:rsid w:val="00AB6444"/>
    <w:rsid w:val="00AF4309"/>
    <w:rsid w:val="00B017B2"/>
    <w:rsid w:val="00B04E82"/>
    <w:rsid w:val="00B23AA7"/>
    <w:rsid w:val="00B31AB7"/>
    <w:rsid w:val="00B35624"/>
    <w:rsid w:val="00B435C2"/>
    <w:rsid w:val="00B55C4B"/>
    <w:rsid w:val="00B56AE1"/>
    <w:rsid w:val="00B66A7B"/>
    <w:rsid w:val="00B84C95"/>
    <w:rsid w:val="00B96C93"/>
    <w:rsid w:val="00BA36F8"/>
    <w:rsid w:val="00BB501C"/>
    <w:rsid w:val="00BD1733"/>
    <w:rsid w:val="00BD1C59"/>
    <w:rsid w:val="00BF63BF"/>
    <w:rsid w:val="00BF69A0"/>
    <w:rsid w:val="00C042E2"/>
    <w:rsid w:val="00C1282B"/>
    <w:rsid w:val="00C204D1"/>
    <w:rsid w:val="00C20A3D"/>
    <w:rsid w:val="00C22A57"/>
    <w:rsid w:val="00C24BFC"/>
    <w:rsid w:val="00C33473"/>
    <w:rsid w:val="00C36A21"/>
    <w:rsid w:val="00C506B0"/>
    <w:rsid w:val="00C53951"/>
    <w:rsid w:val="00C53DC4"/>
    <w:rsid w:val="00C637EA"/>
    <w:rsid w:val="00C66A22"/>
    <w:rsid w:val="00C910ED"/>
    <w:rsid w:val="00C93A6F"/>
    <w:rsid w:val="00CA5629"/>
    <w:rsid w:val="00CB03A9"/>
    <w:rsid w:val="00CC4F93"/>
    <w:rsid w:val="00CC572A"/>
    <w:rsid w:val="00CE6A7E"/>
    <w:rsid w:val="00CE73FF"/>
    <w:rsid w:val="00D05217"/>
    <w:rsid w:val="00D15AFA"/>
    <w:rsid w:val="00D21FB5"/>
    <w:rsid w:val="00D24289"/>
    <w:rsid w:val="00D263FA"/>
    <w:rsid w:val="00D26F2A"/>
    <w:rsid w:val="00D4699D"/>
    <w:rsid w:val="00D6328E"/>
    <w:rsid w:val="00D63767"/>
    <w:rsid w:val="00D76CD4"/>
    <w:rsid w:val="00D76D47"/>
    <w:rsid w:val="00D81140"/>
    <w:rsid w:val="00D815E4"/>
    <w:rsid w:val="00D868FE"/>
    <w:rsid w:val="00D90E44"/>
    <w:rsid w:val="00D9568F"/>
    <w:rsid w:val="00DA1EF4"/>
    <w:rsid w:val="00DA77F6"/>
    <w:rsid w:val="00DC58BD"/>
    <w:rsid w:val="00DC6946"/>
    <w:rsid w:val="00DE4666"/>
    <w:rsid w:val="00E00FBC"/>
    <w:rsid w:val="00E0327F"/>
    <w:rsid w:val="00E13EB9"/>
    <w:rsid w:val="00E1726C"/>
    <w:rsid w:val="00E21CED"/>
    <w:rsid w:val="00E43C07"/>
    <w:rsid w:val="00E46628"/>
    <w:rsid w:val="00E63361"/>
    <w:rsid w:val="00E65F6B"/>
    <w:rsid w:val="00E933CB"/>
    <w:rsid w:val="00EA2F88"/>
    <w:rsid w:val="00EA3F05"/>
    <w:rsid w:val="00EA7C89"/>
    <w:rsid w:val="00EE42DD"/>
    <w:rsid w:val="00EF4B59"/>
    <w:rsid w:val="00F04621"/>
    <w:rsid w:val="00F167D9"/>
    <w:rsid w:val="00F27808"/>
    <w:rsid w:val="00F41CE9"/>
    <w:rsid w:val="00F41EFF"/>
    <w:rsid w:val="00F4385B"/>
    <w:rsid w:val="00F71174"/>
    <w:rsid w:val="00F91D77"/>
    <w:rsid w:val="00FA5465"/>
    <w:rsid w:val="00FA71E3"/>
    <w:rsid w:val="00FB51A5"/>
    <w:rsid w:val="00FB732E"/>
    <w:rsid w:val="00FC3E3D"/>
    <w:rsid w:val="00FD0E11"/>
    <w:rsid w:val="00FD2C1B"/>
    <w:rsid w:val="00FE3F38"/>
    <w:rsid w:val="00FF5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13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6179"/>
    <w:rPr>
      <w:color w:val="0000FF"/>
      <w:u w:val="single"/>
    </w:rPr>
  </w:style>
  <w:style w:type="paragraph" w:styleId="Footer">
    <w:name w:val="footer"/>
    <w:basedOn w:val="Normal"/>
    <w:rsid w:val="00325EFF"/>
    <w:pPr>
      <w:tabs>
        <w:tab w:val="center" w:pos="4320"/>
        <w:tab w:val="right" w:pos="8640"/>
      </w:tabs>
    </w:pPr>
  </w:style>
  <w:style w:type="character" w:styleId="PageNumber">
    <w:name w:val="page number"/>
    <w:basedOn w:val="DefaultParagraphFont"/>
    <w:rsid w:val="00325EFF"/>
  </w:style>
  <w:style w:type="paragraph" w:styleId="BalloonText">
    <w:name w:val="Balloon Text"/>
    <w:basedOn w:val="Normal"/>
    <w:semiHidden/>
    <w:rsid w:val="009F29AE"/>
    <w:rPr>
      <w:rFonts w:ascii="Tahoma" w:hAnsi="Tahoma" w:cs="Tahoma"/>
      <w:sz w:val="16"/>
      <w:szCs w:val="16"/>
    </w:rPr>
  </w:style>
  <w:style w:type="paragraph" w:styleId="FootnoteText">
    <w:name w:val="footnote text"/>
    <w:basedOn w:val="Normal"/>
    <w:link w:val="FootnoteTextChar"/>
    <w:rsid w:val="009C5E32"/>
    <w:rPr>
      <w:sz w:val="20"/>
    </w:rPr>
  </w:style>
  <w:style w:type="character" w:styleId="FootnoteReference">
    <w:name w:val="footnote reference"/>
    <w:basedOn w:val="DefaultParagraphFont"/>
    <w:semiHidden/>
    <w:rsid w:val="009C5E32"/>
    <w:rPr>
      <w:vertAlign w:val="superscript"/>
    </w:rPr>
  </w:style>
  <w:style w:type="paragraph" w:styleId="DocumentMap">
    <w:name w:val="Document Map"/>
    <w:basedOn w:val="Normal"/>
    <w:semiHidden/>
    <w:rsid w:val="007E0D52"/>
    <w:pPr>
      <w:shd w:val="clear" w:color="auto" w:fill="000080"/>
    </w:pPr>
    <w:rPr>
      <w:rFonts w:ascii="Tahoma" w:hAnsi="Tahoma" w:cs="Tahoma"/>
      <w:sz w:val="20"/>
    </w:rPr>
  </w:style>
  <w:style w:type="paragraph" w:styleId="Header">
    <w:name w:val="header"/>
    <w:basedOn w:val="Normal"/>
    <w:rsid w:val="000872AC"/>
    <w:pPr>
      <w:tabs>
        <w:tab w:val="center" w:pos="4320"/>
        <w:tab w:val="right" w:pos="8640"/>
      </w:tabs>
    </w:pPr>
  </w:style>
  <w:style w:type="paragraph" w:customStyle="1" w:styleId="Default">
    <w:name w:val="Default"/>
    <w:rsid w:val="00C5395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E1726C"/>
    <w:rPr>
      <w:color w:val="800080"/>
      <w:u w:val="single"/>
    </w:rPr>
  </w:style>
  <w:style w:type="character" w:customStyle="1" w:styleId="FootnoteTextChar">
    <w:name w:val="Footnote Text Char"/>
    <w:basedOn w:val="DefaultParagraphFont"/>
    <w:link w:val="FootnoteText"/>
    <w:rsid w:val="00F41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13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6179"/>
    <w:rPr>
      <w:color w:val="0000FF"/>
      <w:u w:val="single"/>
    </w:rPr>
  </w:style>
  <w:style w:type="paragraph" w:styleId="Footer">
    <w:name w:val="footer"/>
    <w:basedOn w:val="Normal"/>
    <w:rsid w:val="00325EFF"/>
    <w:pPr>
      <w:tabs>
        <w:tab w:val="center" w:pos="4320"/>
        <w:tab w:val="right" w:pos="8640"/>
      </w:tabs>
    </w:pPr>
  </w:style>
  <w:style w:type="character" w:styleId="PageNumber">
    <w:name w:val="page number"/>
    <w:basedOn w:val="DefaultParagraphFont"/>
    <w:rsid w:val="00325EFF"/>
  </w:style>
  <w:style w:type="paragraph" w:styleId="BalloonText">
    <w:name w:val="Balloon Text"/>
    <w:basedOn w:val="Normal"/>
    <w:semiHidden/>
    <w:rsid w:val="009F29AE"/>
    <w:rPr>
      <w:rFonts w:ascii="Tahoma" w:hAnsi="Tahoma" w:cs="Tahoma"/>
      <w:sz w:val="16"/>
      <w:szCs w:val="16"/>
    </w:rPr>
  </w:style>
  <w:style w:type="paragraph" w:styleId="FootnoteText">
    <w:name w:val="footnote text"/>
    <w:basedOn w:val="Normal"/>
    <w:semiHidden/>
    <w:rsid w:val="009C5E32"/>
    <w:rPr>
      <w:sz w:val="20"/>
    </w:rPr>
  </w:style>
  <w:style w:type="character" w:styleId="FootnoteReference">
    <w:name w:val="footnote reference"/>
    <w:basedOn w:val="DefaultParagraphFont"/>
    <w:semiHidden/>
    <w:rsid w:val="009C5E32"/>
    <w:rPr>
      <w:vertAlign w:val="superscript"/>
    </w:rPr>
  </w:style>
  <w:style w:type="paragraph" w:styleId="DocumentMap">
    <w:name w:val="Document Map"/>
    <w:basedOn w:val="Normal"/>
    <w:semiHidden/>
    <w:rsid w:val="007E0D52"/>
    <w:pPr>
      <w:shd w:val="clear" w:color="auto" w:fill="000080"/>
    </w:pPr>
    <w:rPr>
      <w:rFonts w:ascii="Tahoma" w:hAnsi="Tahoma" w:cs="Tahoma"/>
      <w:sz w:val="20"/>
    </w:rPr>
  </w:style>
  <w:style w:type="paragraph" w:styleId="Header">
    <w:name w:val="header"/>
    <w:basedOn w:val="Normal"/>
    <w:rsid w:val="000872AC"/>
    <w:pPr>
      <w:tabs>
        <w:tab w:val="center" w:pos="4320"/>
        <w:tab w:val="right" w:pos="8640"/>
      </w:tabs>
    </w:pPr>
  </w:style>
  <w:style w:type="paragraph" w:customStyle="1" w:styleId="Default">
    <w:name w:val="Default"/>
    <w:rsid w:val="00C5395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E1726C"/>
    <w:rPr>
      <w:color w:val="800080"/>
      <w:u w:val="single"/>
    </w:rPr>
  </w:style>
</w:styles>
</file>

<file path=word/webSettings.xml><?xml version="1.0" encoding="utf-8"?>
<w:webSettings xmlns:r="http://schemas.openxmlformats.org/officeDocument/2006/relationships" xmlns:w="http://schemas.openxmlformats.org/wordprocessingml/2006/main">
  <w:divs>
    <w:div w:id="98913643">
      <w:bodyDiv w:val="1"/>
      <w:marLeft w:val="0"/>
      <w:marRight w:val="0"/>
      <w:marTop w:val="0"/>
      <w:marBottom w:val="0"/>
      <w:divBdr>
        <w:top w:val="none" w:sz="0" w:space="0" w:color="auto"/>
        <w:left w:val="none" w:sz="0" w:space="0" w:color="auto"/>
        <w:bottom w:val="none" w:sz="0" w:space="0" w:color="auto"/>
        <w:right w:val="none" w:sz="0" w:space="0" w:color="auto"/>
      </w:divBdr>
    </w:div>
    <w:div w:id="109393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2008/may/naics4_447100.htm" TargetMode="External"/><Relationship Id="rId2" Type="http://schemas.openxmlformats.org/officeDocument/2006/relationships/hyperlink" Target="http://factfinder2.census.gov/faces/tableservices/jsf/pages/productview.xhtml?pid=ECN_2007_US_00A1&amp;prodType=table" TargetMode="External"/><Relationship Id="rId1" Type="http://schemas.openxmlformats.org/officeDocument/2006/relationships/hyperlink" Target="http://www.census.gov/econ/industry/current/c44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4B10D-10E7-4A26-8CC4-66D75E69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FIRST DRAFT - items in yellow are for me to fill in</vt:lpstr>
    </vt:vector>
  </TitlesOfParts>
  <Company>EOP</Company>
  <LinksUpToDate>false</LinksUpToDate>
  <CharactersWithSpaces>17135</CharactersWithSpaces>
  <SharedDoc>false</SharedDoc>
  <HLinks>
    <vt:vector size="18" baseType="variant">
      <vt:variant>
        <vt:i4>721010</vt:i4>
      </vt:variant>
      <vt:variant>
        <vt:i4>6</vt:i4>
      </vt:variant>
      <vt:variant>
        <vt:i4>0</vt:i4>
      </vt:variant>
      <vt:variant>
        <vt:i4>5</vt:i4>
      </vt:variant>
      <vt:variant>
        <vt:lpwstr>http://www.bls.gov/oes/2008/may/naics4_447100.htm</vt:lpwstr>
      </vt:variant>
      <vt:variant>
        <vt:lpwstr/>
      </vt:variant>
      <vt:variant>
        <vt:i4>589933</vt:i4>
      </vt:variant>
      <vt:variant>
        <vt:i4>3</vt:i4>
      </vt:variant>
      <vt:variant>
        <vt:i4>0</vt:i4>
      </vt:variant>
      <vt:variant>
        <vt:i4>5</vt:i4>
      </vt:variant>
      <vt:variant>
        <vt:lpwstr>http://factfinder2.census.gov/faces/tableservices/jsf/pages/productview.xhtml?pid=ECN_2007_US_00A1&amp;prodType=table</vt:lpwstr>
      </vt:variant>
      <vt:variant>
        <vt:lpwstr/>
      </vt:variant>
      <vt:variant>
        <vt:i4>786457</vt:i4>
      </vt:variant>
      <vt:variant>
        <vt:i4>0</vt:i4>
      </vt:variant>
      <vt:variant>
        <vt:i4>0</vt:i4>
      </vt:variant>
      <vt:variant>
        <vt:i4>5</vt:i4>
      </vt:variant>
      <vt:variant>
        <vt:lpwstr>http://www.census.gov/econ/industry/current/c4471.htm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 - items in yellow are for me to fill in</dc:title>
  <dc:creator>S. Past</dc:creator>
  <cp:lastModifiedBy>Courtney Kerwin</cp:lastModifiedBy>
  <cp:revision>2</cp:revision>
  <cp:lastPrinted>2013-03-21T18:42:00Z</cp:lastPrinted>
  <dcterms:created xsi:type="dcterms:W3CDTF">2013-12-05T15:03:00Z</dcterms:created>
  <dcterms:modified xsi:type="dcterms:W3CDTF">2013-12-05T15:03:00Z</dcterms:modified>
</cp:coreProperties>
</file>