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F78" w:rsidRDefault="00AD7EF7" w:rsidP="00786F78">
      <w:pPr>
        <w:pStyle w:val="FERCparanumber"/>
        <w:numPr>
          <w:ilvl w:val="0"/>
          <w:numId w:val="0"/>
        </w:numPr>
        <w:spacing w:line="240" w:lineRule="auto"/>
        <w:jc w:val="center"/>
        <w:rPr>
          <w:b/>
          <w:szCs w:val="26"/>
        </w:rPr>
      </w:pPr>
      <w:r>
        <w:rPr>
          <w:b/>
          <w:szCs w:val="26"/>
        </w:rPr>
        <w:t xml:space="preserve">FERC Request for OMB Approval of Non-Substantive Change </w:t>
      </w:r>
      <w:r w:rsidR="00F46ADF">
        <w:rPr>
          <w:b/>
          <w:szCs w:val="26"/>
        </w:rPr>
        <w:t>to FERC-725A,</w:t>
      </w:r>
    </w:p>
    <w:p w:rsidR="00AD7EF7" w:rsidRPr="00AD7EF7" w:rsidRDefault="00AD7EF7" w:rsidP="00786F78">
      <w:pPr>
        <w:pStyle w:val="FERCparanumber"/>
        <w:numPr>
          <w:ilvl w:val="0"/>
          <w:numId w:val="0"/>
        </w:numPr>
        <w:spacing w:line="240" w:lineRule="auto"/>
        <w:jc w:val="center"/>
        <w:rPr>
          <w:b/>
          <w:szCs w:val="26"/>
        </w:rPr>
      </w:pPr>
      <w:proofErr w:type="gramStart"/>
      <w:r>
        <w:rPr>
          <w:b/>
          <w:szCs w:val="26"/>
        </w:rPr>
        <w:t>as</w:t>
      </w:r>
      <w:proofErr w:type="gramEnd"/>
      <w:r>
        <w:rPr>
          <w:b/>
          <w:szCs w:val="26"/>
        </w:rPr>
        <w:t xml:space="preserve"> Contained in the </w:t>
      </w:r>
      <w:r w:rsidR="00E13742">
        <w:rPr>
          <w:b/>
          <w:szCs w:val="26"/>
        </w:rPr>
        <w:t xml:space="preserve">Final </w:t>
      </w:r>
      <w:r>
        <w:rPr>
          <w:b/>
          <w:szCs w:val="26"/>
        </w:rPr>
        <w:t xml:space="preserve">Rule </w:t>
      </w:r>
      <w:r w:rsidR="00E13742">
        <w:rPr>
          <w:b/>
          <w:szCs w:val="26"/>
        </w:rPr>
        <w:t xml:space="preserve">(Order 782) </w:t>
      </w:r>
      <w:r>
        <w:rPr>
          <w:b/>
          <w:szCs w:val="26"/>
        </w:rPr>
        <w:t>in Docket Number RM12-19</w:t>
      </w:r>
      <w:r w:rsidR="00EA62A8">
        <w:rPr>
          <w:rStyle w:val="FootnoteReference"/>
          <w:b w:val="0"/>
        </w:rPr>
        <w:footnoteReference w:id="1"/>
      </w:r>
    </w:p>
    <w:p w:rsidR="000F37AC" w:rsidRDefault="000F37AC" w:rsidP="000F37AC">
      <w:pPr>
        <w:pStyle w:val="FERCparanumber"/>
        <w:numPr>
          <w:ilvl w:val="0"/>
          <w:numId w:val="0"/>
        </w:numPr>
        <w:spacing w:line="240" w:lineRule="auto"/>
        <w:rPr>
          <w:szCs w:val="26"/>
        </w:rPr>
      </w:pPr>
    </w:p>
    <w:p w:rsidR="00EB03D3" w:rsidRPr="00EB03D3" w:rsidRDefault="00EB03D3" w:rsidP="000F37AC">
      <w:pPr>
        <w:pStyle w:val="FERCparanumber"/>
        <w:numPr>
          <w:ilvl w:val="0"/>
          <w:numId w:val="0"/>
        </w:numPr>
        <w:spacing w:line="240" w:lineRule="auto"/>
        <w:rPr>
          <w:szCs w:val="26"/>
        </w:rPr>
      </w:pPr>
    </w:p>
    <w:p w:rsidR="00595394" w:rsidRDefault="00595394" w:rsidP="00D03781">
      <w:pPr>
        <w:pStyle w:val="FERCparanumber"/>
        <w:numPr>
          <w:ilvl w:val="0"/>
          <w:numId w:val="0"/>
        </w:numPr>
        <w:spacing w:line="240" w:lineRule="auto"/>
        <w:rPr>
          <w:szCs w:val="26"/>
        </w:rPr>
      </w:pPr>
      <w:r w:rsidRPr="00D03781">
        <w:rPr>
          <w:b/>
          <w:szCs w:val="26"/>
        </w:rPr>
        <w:t>N</w:t>
      </w:r>
      <w:r>
        <w:rPr>
          <w:b/>
          <w:szCs w:val="26"/>
        </w:rPr>
        <w:t>OTE</w:t>
      </w:r>
      <w:r w:rsidR="008631C5" w:rsidRPr="00D03781">
        <w:rPr>
          <w:b/>
          <w:szCs w:val="26"/>
        </w:rPr>
        <w:t>:</w:t>
      </w:r>
      <w:r w:rsidR="008631C5">
        <w:rPr>
          <w:szCs w:val="26"/>
        </w:rPr>
        <w:t xml:space="preserve">  </w:t>
      </w:r>
      <w:r w:rsidR="000F37AC" w:rsidRPr="00EB03D3">
        <w:rPr>
          <w:szCs w:val="26"/>
        </w:rPr>
        <w:t>The related Notice of Proposed Rulemaking (NOPR</w:t>
      </w:r>
      <w:r w:rsidR="00C3500E">
        <w:rPr>
          <w:szCs w:val="26"/>
        </w:rPr>
        <w:t>)</w:t>
      </w:r>
      <w:r w:rsidR="00C3500E">
        <w:rPr>
          <w:rStyle w:val="FootnoteReference"/>
        </w:rPr>
        <w:footnoteReference w:id="2"/>
      </w:r>
      <w:r w:rsidR="00C3500E">
        <w:rPr>
          <w:szCs w:val="26"/>
        </w:rPr>
        <w:t xml:space="preserve"> </w:t>
      </w:r>
      <w:r w:rsidR="000F37AC" w:rsidRPr="00EB03D3">
        <w:rPr>
          <w:szCs w:val="26"/>
        </w:rPr>
        <w:t xml:space="preserve">was ‘approved without change’ </w:t>
      </w:r>
      <w:r w:rsidR="00EB03D3" w:rsidRPr="00EB03D3">
        <w:rPr>
          <w:szCs w:val="26"/>
        </w:rPr>
        <w:t xml:space="preserve">by OMB </w:t>
      </w:r>
      <w:r w:rsidR="000F37AC" w:rsidRPr="00EB03D3">
        <w:rPr>
          <w:szCs w:val="26"/>
        </w:rPr>
        <w:t xml:space="preserve">on 6/20/2013 in ICR 201306-1902-001 (for ‘No material or </w:t>
      </w:r>
      <w:proofErr w:type="spellStart"/>
      <w:r w:rsidR="000F37AC" w:rsidRPr="00EB03D3">
        <w:rPr>
          <w:szCs w:val="26"/>
        </w:rPr>
        <w:t>nonsubstantive</w:t>
      </w:r>
      <w:proofErr w:type="spellEnd"/>
      <w:r w:rsidR="000F37AC" w:rsidRPr="00EB03D3">
        <w:rPr>
          <w:szCs w:val="26"/>
        </w:rPr>
        <w:t xml:space="preserve"> change to a currently approved collection’).  </w:t>
      </w:r>
    </w:p>
    <w:p w:rsidR="00595394" w:rsidRDefault="00595394" w:rsidP="00D03781">
      <w:pPr>
        <w:pStyle w:val="FERCparanumber"/>
        <w:numPr>
          <w:ilvl w:val="0"/>
          <w:numId w:val="0"/>
        </w:numPr>
        <w:spacing w:line="240" w:lineRule="auto"/>
        <w:rPr>
          <w:szCs w:val="26"/>
        </w:rPr>
      </w:pPr>
    </w:p>
    <w:p w:rsidR="000F37AC" w:rsidRPr="00A44305" w:rsidRDefault="00595394" w:rsidP="00D03781">
      <w:pPr>
        <w:pStyle w:val="FERCparanumber"/>
        <w:numPr>
          <w:ilvl w:val="0"/>
          <w:numId w:val="0"/>
        </w:numPr>
        <w:spacing w:line="240" w:lineRule="auto"/>
        <w:rPr>
          <w:szCs w:val="26"/>
        </w:rPr>
      </w:pPr>
      <w:r>
        <w:rPr>
          <w:szCs w:val="26"/>
        </w:rPr>
        <w:t>S</w:t>
      </w:r>
      <w:r w:rsidRPr="00EB03D3">
        <w:rPr>
          <w:szCs w:val="26"/>
        </w:rPr>
        <w:t>ince the NOPR</w:t>
      </w:r>
      <w:r>
        <w:rPr>
          <w:szCs w:val="26"/>
        </w:rPr>
        <w:t>, t</w:t>
      </w:r>
      <w:r w:rsidR="000F37AC" w:rsidRPr="00EB03D3">
        <w:rPr>
          <w:szCs w:val="26"/>
        </w:rPr>
        <w:t>here have been no further changes</w:t>
      </w:r>
      <w:r>
        <w:rPr>
          <w:szCs w:val="26"/>
        </w:rPr>
        <w:t xml:space="preserve"> and no public comments</w:t>
      </w:r>
      <w:r w:rsidR="000F37AC" w:rsidRPr="00EB03D3">
        <w:rPr>
          <w:szCs w:val="26"/>
        </w:rPr>
        <w:t xml:space="preserve"> related to </w:t>
      </w:r>
      <w:r w:rsidR="005C4C64">
        <w:rPr>
          <w:szCs w:val="26"/>
        </w:rPr>
        <w:t>Paperwork Reduction Act (</w:t>
      </w:r>
      <w:r w:rsidR="000F37AC" w:rsidRPr="00EB03D3">
        <w:rPr>
          <w:szCs w:val="26"/>
        </w:rPr>
        <w:t>PRA</w:t>
      </w:r>
      <w:r w:rsidR="005C4C64">
        <w:rPr>
          <w:szCs w:val="26"/>
        </w:rPr>
        <w:t>)</w:t>
      </w:r>
      <w:r w:rsidR="000F37AC" w:rsidRPr="00EB03D3">
        <w:rPr>
          <w:szCs w:val="26"/>
        </w:rPr>
        <w:t xml:space="preserve"> items</w:t>
      </w:r>
      <w:r w:rsidR="00EB03D3" w:rsidRPr="00EB03D3">
        <w:rPr>
          <w:szCs w:val="26"/>
        </w:rPr>
        <w:t>.  W</w:t>
      </w:r>
      <w:r w:rsidR="000F37AC" w:rsidRPr="00EB03D3">
        <w:rPr>
          <w:szCs w:val="26"/>
        </w:rPr>
        <w:t xml:space="preserve">e are </w:t>
      </w:r>
      <w:r w:rsidR="00A30548">
        <w:rPr>
          <w:szCs w:val="26"/>
        </w:rPr>
        <w:t xml:space="preserve">therefore </w:t>
      </w:r>
      <w:r w:rsidR="000F37AC" w:rsidRPr="00EB03D3">
        <w:rPr>
          <w:szCs w:val="26"/>
        </w:rPr>
        <w:t xml:space="preserve">sending the </w:t>
      </w:r>
      <w:r w:rsidR="00EB03D3" w:rsidRPr="00EB03D3">
        <w:rPr>
          <w:szCs w:val="26"/>
        </w:rPr>
        <w:t>F</w:t>
      </w:r>
      <w:r w:rsidR="000F37AC" w:rsidRPr="00EB03D3">
        <w:rPr>
          <w:szCs w:val="26"/>
        </w:rPr>
        <w:t xml:space="preserve">inal </w:t>
      </w:r>
      <w:r w:rsidR="00EB03D3" w:rsidRPr="00EB03D3">
        <w:rPr>
          <w:szCs w:val="26"/>
        </w:rPr>
        <w:t>R</w:t>
      </w:r>
      <w:r w:rsidR="000F37AC" w:rsidRPr="00EB03D3">
        <w:rPr>
          <w:szCs w:val="26"/>
        </w:rPr>
        <w:t>ule</w:t>
      </w:r>
      <w:r w:rsidR="00A30548">
        <w:rPr>
          <w:rStyle w:val="FootnoteReference"/>
        </w:rPr>
        <w:footnoteReference w:id="3"/>
      </w:r>
      <w:r w:rsidR="000F37AC" w:rsidRPr="00EB03D3">
        <w:rPr>
          <w:szCs w:val="26"/>
        </w:rPr>
        <w:t xml:space="preserve"> to OMB for </w:t>
      </w:r>
      <w:r w:rsidR="00EB03D3">
        <w:rPr>
          <w:szCs w:val="26"/>
        </w:rPr>
        <w:t xml:space="preserve">review and </w:t>
      </w:r>
      <w:r w:rsidR="00EB03D3" w:rsidRPr="00EB03D3">
        <w:rPr>
          <w:szCs w:val="26"/>
        </w:rPr>
        <w:t xml:space="preserve">approval of the ‘non-substantive change’ </w:t>
      </w:r>
      <w:r w:rsidR="005C4C64">
        <w:rPr>
          <w:szCs w:val="26"/>
        </w:rPr>
        <w:t>at OMB’s request</w:t>
      </w:r>
      <w:r w:rsidR="000F37AC" w:rsidRPr="00EB03D3">
        <w:rPr>
          <w:szCs w:val="26"/>
        </w:rPr>
        <w:t>.</w:t>
      </w:r>
      <w:r w:rsidR="000F37AC" w:rsidRPr="00A44305">
        <w:rPr>
          <w:szCs w:val="26"/>
        </w:rPr>
        <w:t xml:space="preserve">  </w:t>
      </w:r>
    </w:p>
    <w:p w:rsidR="00EB03D3" w:rsidRDefault="00EB03D3" w:rsidP="001539E8">
      <w:pPr>
        <w:pStyle w:val="FERCparanumber"/>
        <w:numPr>
          <w:ilvl w:val="0"/>
          <w:numId w:val="0"/>
        </w:numPr>
        <w:spacing w:line="240" w:lineRule="auto"/>
      </w:pPr>
    </w:p>
    <w:p w:rsidR="003C779D" w:rsidRDefault="008631C5" w:rsidP="001539E8">
      <w:pPr>
        <w:pStyle w:val="FERCparanumber"/>
        <w:numPr>
          <w:ilvl w:val="0"/>
          <w:numId w:val="0"/>
        </w:numPr>
        <w:spacing w:line="240" w:lineRule="auto"/>
      </w:pPr>
      <w:r w:rsidRPr="00D03781">
        <w:rPr>
          <w:b/>
        </w:rPr>
        <w:t>Final Rule:</w:t>
      </w:r>
      <w:r w:rsidRPr="008631C5">
        <w:t xml:space="preserve">  This Final Rule approves one revision to a previously</w:t>
      </w:r>
      <w:r w:rsidR="008B45CA">
        <w:t>-</w:t>
      </w:r>
      <w:r w:rsidRPr="008631C5">
        <w:t xml:space="preserve">approved Reliability Standard </w:t>
      </w:r>
      <w:r w:rsidR="008B45CA">
        <w:t xml:space="preserve">MOD-028-1, which was </w:t>
      </w:r>
      <w:r w:rsidRPr="008631C5">
        <w:t xml:space="preserve">developed by </w:t>
      </w:r>
      <w:r w:rsidR="008B45CA">
        <w:t>the North American Electric Reliability Corporation (</w:t>
      </w:r>
      <w:r w:rsidRPr="008631C5">
        <w:t>NERC</w:t>
      </w:r>
      <w:r w:rsidR="008B45CA">
        <w:t>)</w:t>
      </w:r>
      <w:r w:rsidRPr="008631C5">
        <w:t xml:space="preserve"> as the </w:t>
      </w:r>
      <w:r w:rsidR="008B45CA">
        <w:t>Electric Reliability Organization</w:t>
      </w:r>
      <w:r w:rsidR="008B45CA" w:rsidRPr="008631C5">
        <w:t xml:space="preserve"> </w:t>
      </w:r>
      <w:r w:rsidR="008B45CA">
        <w:t>(</w:t>
      </w:r>
      <w:r w:rsidRPr="008631C5">
        <w:t>ERO</w:t>
      </w:r>
      <w:r w:rsidR="008B45CA">
        <w:t>)</w:t>
      </w:r>
      <w:r w:rsidRPr="008631C5">
        <w:t xml:space="preserve">.  </w:t>
      </w:r>
      <w:r w:rsidR="008B45CA" w:rsidRPr="008631C5">
        <w:t xml:space="preserve">The Commission </w:t>
      </w:r>
      <w:r w:rsidR="008B45CA">
        <w:t xml:space="preserve">had </w:t>
      </w:r>
      <w:r w:rsidR="008B45CA" w:rsidRPr="008631C5">
        <w:t>previously approved</w:t>
      </w:r>
      <w:r w:rsidR="008B45CA">
        <w:t xml:space="preserve"> this Reliability Standard, as well as the related information requirements,</w:t>
      </w:r>
      <w:r w:rsidR="008B45CA" w:rsidRPr="008631C5">
        <w:t xml:space="preserve"> in Order No. 729.</w:t>
      </w:r>
      <w:r w:rsidR="00C3500E">
        <w:rPr>
          <w:rStyle w:val="FootnoteReference"/>
        </w:rPr>
        <w:footnoteReference w:id="4"/>
      </w:r>
      <w:r w:rsidR="008B45CA" w:rsidRPr="008631C5">
        <w:t xml:space="preserve">  </w:t>
      </w:r>
      <w:r w:rsidRPr="008631C5">
        <w:t xml:space="preserve">The minor revision relates to an existing Reliability Standard and does not add to or otherwise increase entities’ current reporting burden.  </w:t>
      </w:r>
      <w:r w:rsidRPr="008631C5">
        <w:lastRenderedPageBreak/>
        <w:t>Thus, the revision does not materially affect the burden esti</w:t>
      </w:r>
      <w:r w:rsidR="008B45CA">
        <w:t>mates relating to the currently-</w:t>
      </w:r>
      <w:r w:rsidRPr="008631C5">
        <w:t>effective version of the Reliability Standards presented in Order No. 729.</w:t>
      </w:r>
      <w:r w:rsidR="00C3500E">
        <w:rPr>
          <w:rStyle w:val="FootnoteReference"/>
        </w:rPr>
        <w:footnoteReference w:id="5"/>
      </w:r>
      <w:r w:rsidRPr="008631C5">
        <w:t xml:space="preserve">  </w:t>
      </w:r>
    </w:p>
    <w:p w:rsidR="008631C5" w:rsidRDefault="003C779D" w:rsidP="001539E8">
      <w:pPr>
        <w:pStyle w:val="FERCparanumber"/>
        <w:numPr>
          <w:ilvl w:val="0"/>
          <w:numId w:val="0"/>
        </w:numPr>
        <w:spacing w:line="240" w:lineRule="auto"/>
      </w:pPr>
      <w:r>
        <w:t>A</w:t>
      </w:r>
      <w:r w:rsidRPr="008631C5">
        <w:t>t the NOPR stage</w:t>
      </w:r>
      <w:r>
        <w:t>,</w:t>
      </w:r>
      <w:r w:rsidRPr="008631C5">
        <w:t xml:space="preserve"> </w:t>
      </w:r>
      <w:r>
        <w:t>t</w:t>
      </w:r>
      <w:r w:rsidR="008631C5" w:rsidRPr="008631C5">
        <w:t xml:space="preserve">he Commission submitted the revised Reliability Standard to OMB </w:t>
      </w:r>
      <w:r w:rsidR="008B45CA">
        <w:t>and requested that it be classified as a</w:t>
      </w:r>
      <w:r w:rsidR="008631C5" w:rsidRPr="008631C5">
        <w:t xml:space="preserve"> “no material” or “non</w:t>
      </w:r>
      <w:r w:rsidR="008B45CA">
        <w:t>-</w:t>
      </w:r>
      <w:r w:rsidR="008631C5" w:rsidRPr="008631C5">
        <w:t>substantive” change.  OMB approved the non</w:t>
      </w:r>
      <w:r w:rsidR="008B45CA">
        <w:t>-</w:t>
      </w:r>
      <w:r w:rsidR="008631C5" w:rsidRPr="008631C5">
        <w:t xml:space="preserve">substantive change, as noted above.  FERC is </w:t>
      </w:r>
      <w:r w:rsidR="008B45CA">
        <w:t xml:space="preserve">now </w:t>
      </w:r>
      <w:r w:rsidR="008631C5" w:rsidRPr="008631C5">
        <w:t xml:space="preserve">requesting that OMB </w:t>
      </w:r>
      <w:r w:rsidR="008B45CA">
        <w:t xml:space="preserve">similarly </w:t>
      </w:r>
      <w:r w:rsidR="008631C5" w:rsidRPr="008631C5">
        <w:t xml:space="preserve">approve </w:t>
      </w:r>
      <w:r w:rsidR="008B45CA" w:rsidRPr="008631C5">
        <w:t>th</w:t>
      </w:r>
      <w:r w:rsidR="008B45CA">
        <w:t>e</w:t>
      </w:r>
      <w:r w:rsidR="008B45CA" w:rsidRPr="008631C5">
        <w:t xml:space="preserve"> Final Rule </w:t>
      </w:r>
      <w:r w:rsidR="008B45CA">
        <w:t xml:space="preserve">as a </w:t>
      </w:r>
      <w:r w:rsidR="008631C5" w:rsidRPr="008631C5">
        <w:t>non-substantive change.</w:t>
      </w:r>
    </w:p>
    <w:p w:rsidR="008631C5" w:rsidRDefault="008631C5" w:rsidP="001539E8">
      <w:pPr>
        <w:pStyle w:val="FERCparanumber"/>
        <w:numPr>
          <w:ilvl w:val="0"/>
          <w:numId w:val="0"/>
        </w:numPr>
        <w:spacing w:line="240" w:lineRule="auto"/>
      </w:pPr>
    </w:p>
    <w:p w:rsidR="00C3500E" w:rsidRDefault="00EB03D3" w:rsidP="00C3500E">
      <w:pPr>
        <w:pStyle w:val="FERCparanumber"/>
        <w:numPr>
          <w:ilvl w:val="0"/>
          <w:numId w:val="0"/>
        </w:numPr>
        <w:spacing w:line="240" w:lineRule="auto"/>
      </w:pPr>
      <w:r>
        <w:rPr>
          <w:b/>
          <w:szCs w:val="28"/>
        </w:rPr>
        <w:t xml:space="preserve">Background:  </w:t>
      </w:r>
    </w:p>
    <w:p w:rsidR="001539E8" w:rsidRDefault="001539E8" w:rsidP="001539E8">
      <w:pPr>
        <w:tabs>
          <w:tab w:val="num" w:pos="720"/>
        </w:tabs>
        <w:autoSpaceDE w:val="0"/>
        <w:autoSpaceDN w:val="0"/>
        <w:adjustRightInd w:val="0"/>
        <w:spacing w:after="0" w:line="240" w:lineRule="auto"/>
        <w:rPr>
          <w:rFonts w:ascii="Times New Roman" w:eastAsia="Times New Roman" w:hAnsi="Times New Roman" w:cs="Times New Roman"/>
          <w:sz w:val="26"/>
          <w:szCs w:val="28"/>
        </w:rPr>
      </w:pPr>
      <w:r w:rsidRPr="001539E8">
        <w:rPr>
          <w:rFonts w:ascii="Times New Roman" w:eastAsia="Times New Roman" w:hAnsi="Times New Roman" w:cs="Times New Roman"/>
          <w:sz w:val="26"/>
          <w:szCs w:val="28"/>
        </w:rPr>
        <w:t xml:space="preserve">On August 24, 2012, NERC submitted a Petition for Approval of Proposed Reliability Standard (Petition), seeking Commission approval of a proposed Reliability Standard, MOD-028-2, Area Interchange Methodology, </w:t>
      </w:r>
      <w:proofErr w:type="gramStart"/>
      <w:r w:rsidRPr="001539E8">
        <w:rPr>
          <w:rFonts w:ascii="Times New Roman" w:eastAsia="Times New Roman" w:hAnsi="Times New Roman" w:cs="Times New Roman"/>
          <w:sz w:val="26"/>
          <w:szCs w:val="28"/>
        </w:rPr>
        <w:t>Requirement</w:t>
      </w:r>
      <w:proofErr w:type="gramEnd"/>
      <w:r w:rsidRPr="001539E8">
        <w:rPr>
          <w:rFonts w:ascii="Times New Roman" w:eastAsia="Times New Roman" w:hAnsi="Times New Roman" w:cs="Times New Roman"/>
          <w:sz w:val="26"/>
          <w:szCs w:val="28"/>
        </w:rPr>
        <w:t xml:space="preserve"> R3.1, which would revise the currently effective “Version 1” standard – MOD-028-1. </w:t>
      </w:r>
    </w:p>
    <w:p w:rsidR="001539E8" w:rsidRDefault="001539E8" w:rsidP="001539E8">
      <w:pPr>
        <w:tabs>
          <w:tab w:val="num" w:pos="720"/>
        </w:tabs>
        <w:autoSpaceDE w:val="0"/>
        <w:autoSpaceDN w:val="0"/>
        <w:adjustRightInd w:val="0"/>
        <w:spacing w:after="0" w:line="240" w:lineRule="auto"/>
        <w:rPr>
          <w:rFonts w:ascii="Times New Roman" w:eastAsia="Times New Roman" w:hAnsi="Times New Roman" w:cs="Times New Roman"/>
          <w:sz w:val="26"/>
          <w:szCs w:val="28"/>
        </w:rPr>
      </w:pPr>
    </w:p>
    <w:p w:rsidR="00BA6138" w:rsidRDefault="00BA6138" w:rsidP="00D03781">
      <w:pPr>
        <w:tabs>
          <w:tab w:val="num" w:pos="720"/>
        </w:tabs>
        <w:autoSpaceDE w:val="0"/>
        <w:autoSpaceDN w:val="0"/>
        <w:adjustRightInd w:val="0"/>
        <w:spacing w:after="0" w:line="240" w:lineRule="auto"/>
        <w:rPr>
          <w:rFonts w:ascii="Times New Roman" w:eastAsia="Times New Roman" w:hAnsi="Times New Roman" w:cs="Times New Roman"/>
          <w:sz w:val="26"/>
          <w:szCs w:val="24"/>
        </w:rPr>
      </w:pPr>
      <w:r w:rsidRPr="00BA6138">
        <w:rPr>
          <w:rFonts w:ascii="Times New Roman" w:eastAsia="Times New Roman" w:hAnsi="Times New Roman" w:cs="Times New Roman"/>
          <w:sz w:val="26"/>
          <w:szCs w:val="24"/>
        </w:rPr>
        <w:t xml:space="preserve">In its Petition, NERC asserted that it intended the language of MOD-028-1 to specify that, for Total Transfer Capability </w:t>
      </w:r>
      <w:r w:rsidR="00C3500E">
        <w:rPr>
          <w:rFonts w:ascii="Times New Roman" w:eastAsia="Times New Roman" w:hAnsi="Times New Roman" w:cs="Times New Roman"/>
          <w:sz w:val="26"/>
          <w:szCs w:val="24"/>
        </w:rPr>
        <w:t>(</w:t>
      </w:r>
      <w:r w:rsidR="00C3500E" w:rsidRPr="00BA6138">
        <w:rPr>
          <w:rFonts w:ascii="Times New Roman" w:eastAsia="Times New Roman" w:hAnsi="Times New Roman" w:cs="Times New Roman"/>
          <w:sz w:val="26"/>
          <w:szCs w:val="24"/>
        </w:rPr>
        <w:t>TTC</w:t>
      </w:r>
      <w:r w:rsidR="00C3500E">
        <w:rPr>
          <w:rFonts w:ascii="Times New Roman" w:eastAsia="Times New Roman" w:hAnsi="Times New Roman" w:cs="Times New Roman"/>
          <w:sz w:val="26"/>
          <w:szCs w:val="24"/>
        </w:rPr>
        <w:t>)</w:t>
      </w:r>
      <w:r w:rsidR="00C3500E" w:rsidRPr="00BA6138">
        <w:rPr>
          <w:rFonts w:ascii="Times New Roman" w:eastAsia="Times New Roman" w:hAnsi="Times New Roman" w:cs="Times New Roman"/>
          <w:sz w:val="26"/>
          <w:szCs w:val="24"/>
        </w:rPr>
        <w:t xml:space="preserve"> </w:t>
      </w:r>
      <w:r w:rsidRPr="00BA6138">
        <w:rPr>
          <w:rFonts w:ascii="Times New Roman" w:eastAsia="Times New Roman" w:hAnsi="Times New Roman" w:cs="Times New Roman"/>
          <w:sz w:val="26"/>
          <w:szCs w:val="24"/>
        </w:rPr>
        <w:t xml:space="preserve">used in current-day and next-day Available Transfer Capability </w:t>
      </w:r>
      <w:r w:rsidR="00C3500E">
        <w:rPr>
          <w:rFonts w:ascii="Times New Roman" w:eastAsia="Times New Roman" w:hAnsi="Times New Roman" w:cs="Times New Roman"/>
          <w:sz w:val="26"/>
          <w:szCs w:val="24"/>
        </w:rPr>
        <w:t>(</w:t>
      </w:r>
      <w:r w:rsidR="00C3500E" w:rsidRPr="00BA6138">
        <w:rPr>
          <w:rFonts w:ascii="Times New Roman" w:eastAsia="Times New Roman" w:hAnsi="Times New Roman" w:cs="Times New Roman"/>
          <w:sz w:val="26"/>
          <w:szCs w:val="24"/>
        </w:rPr>
        <w:t>ATC</w:t>
      </w:r>
      <w:r w:rsidR="00C3500E">
        <w:rPr>
          <w:rFonts w:ascii="Times New Roman" w:eastAsia="Times New Roman" w:hAnsi="Times New Roman" w:cs="Times New Roman"/>
          <w:sz w:val="26"/>
          <w:szCs w:val="24"/>
        </w:rPr>
        <w:t>)</w:t>
      </w:r>
      <w:r w:rsidR="00C3500E" w:rsidRPr="00BA6138">
        <w:rPr>
          <w:rFonts w:ascii="Times New Roman" w:eastAsia="Times New Roman" w:hAnsi="Times New Roman" w:cs="Times New Roman"/>
          <w:sz w:val="26"/>
          <w:szCs w:val="24"/>
        </w:rPr>
        <w:t xml:space="preserve"> </w:t>
      </w:r>
      <w:r w:rsidRPr="00BA6138">
        <w:rPr>
          <w:rFonts w:ascii="Times New Roman" w:eastAsia="Times New Roman" w:hAnsi="Times New Roman" w:cs="Times New Roman"/>
          <w:sz w:val="26"/>
          <w:szCs w:val="24"/>
        </w:rPr>
        <w:t>calculations, the load forecast used should be consistent with the period being calculated.  Specifically, NERC stated:</w:t>
      </w:r>
    </w:p>
    <w:p w:rsidR="00BA6138" w:rsidRPr="00BA6138" w:rsidRDefault="00BA6138" w:rsidP="00D03781">
      <w:pPr>
        <w:tabs>
          <w:tab w:val="num" w:pos="720"/>
        </w:tabs>
        <w:autoSpaceDE w:val="0"/>
        <w:autoSpaceDN w:val="0"/>
        <w:adjustRightInd w:val="0"/>
        <w:spacing w:after="0" w:line="240" w:lineRule="auto"/>
        <w:rPr>
          <w:rFonts w:ascii="Times New Roman" w:eastAsia="Times New Roman" w:hAnsi="Times New Roman" w:cs="Times New Roman"/>
          <w:sz w:val="26"/>
          <w:szCs w:val="24"/>
        </w:rPr>
      </w:pPr>
    </w:p>
    <w:p w:rsidR="00BA6138" w:rsidRPr="00BA6138" w:rsidRDefault="00BA6138" w:rsidP="00BA6138">
      <w:pPr>
        <w:widowControl w:val="0"/>
        <w:autoSpaceDE w:val="0"/>
        <w:autoSpaceDN w:val="0"/>
        <w:adjustRightInd w:val="0"/>
        <w:spacing w:after="0" w:line="240" w:lineRule="auto"/>
        <w:ind w:left="720" w:right="720"/>
        <w:jc w:val="both"/>
        <w:rPr>
          <w:rFonts w:ascii="Times New Roman" w:eastAsia="Times New Roman" w:hAnsi="Times New Roman" w:cs="Times New Roman"/>
          <w:sz w:val="26"/>
          <w:szCs w:val="24"/>
        </w:rPr>
      </w:pPr>
      <w:r w:rsidRPr="00BA6138">
        <w:rPr>
          <w:rFonts w:ascii="Times New Roman" w:eastAsia="Times New Roman" w:hAnsi="Times New Roman" w:cs="Times New Roman"/>
          <w:sz w:val="26"/>
          <w:szCs w:val="24"/>
        </w:rPr>
        <w:t xml:space="preserve">Requirement R3 of the MOD-028-1 standard is proposed to be modified to clarify language regarding load forecasting, to indicate that for days two through 31, a daily load forecast is required (identical to the current standard); for months two through 13, a monthly load forecast is required (identical to the current standard); and for current-day and next-day, entities may use </w:t>
      </w:r>
      <w:r w:rsidRPr="00BA6138">
        <w:rPr>
          <w:rFonts w:ascii="Times New Roman" w:eastAsia="Times New Roman" w:hAnsi="Times New Roman" w:cs="Times New Roman"/>
          <w:i/>
          <w:sz w:val="26"/>
          <w:szCs w:val="24"/>
        </w:rPr>
        <w:t>either</w:t>
      </w:r>
      <w:r w:rsidRPr="00BA6138">
        <w:rPr>
          <w:rFonts w:ascii="Times New Roman" w:eastAsia="Times New Roman" w:hAnsi="Times New Roman" w:cs="Times New Roman"/>
          <w:sz w:val="26"/>
          <w:szCs w:val="24"/>
        </w:rPr>
        <w:t xml:space="preserve"> a daily or hourly load forecast (the language being clarified).  The new language clarifies and is consistent with the intent of the original requirement language, and does not materially change the standard.</w:t>
      </w:r>
      <w:r w:rsidRPr="00BA6138">
        <w:rPr>
          <w:rFonts w:ascii="Times New Roman" w:eastAsia="Times New Roman" w:hAnsi="Times New Roman" w:cs="Times New Roman"/>
          <w:b/>
          <w:sz w:val="26"/>
          <w:szCs w:val="26"/>
          <w:vertAlign w:val="superscript"/>
        </w:rPr>
        <w:footnoteReference w:id="6"/>
      </w:r>
    </w:p>
    <w:p w:rsidR="001539E8" w:rsidRPr="001539E8" w:rsidRDefault="001539E8" w:rsidP="00BA6138">
      <w:pPr>
        <w:widowControl w:val="0"/>
        <w:autoSpaceDE w:val="0"/>
        <w:autoSpaceDN w:val="0"/>
        <w:adjustRightInd w:val="0"/>
        <w:spacing w:after="0" w:line="240" w:lineRule="auto"/>
        <w:ind w:left="720" w:right="720"/>
        <w:jc w:val="both"/>
        <w:rPr>
          <w:rFonts w:ascii="Times New Roman" w:eastAsia="Times New Roman" w:hAnsi="Times New Roman" w:cs="Times New Roman"/>
          <w:sz w:val="26"/>
          <w:szCs w:val="26"/>
        </w:rPr>
      </w:pPr>
    </w:p>
    <w:p w:rsidR="00BA6138" w:rsidRPr="00BA6138" w:rsidRDefault="00BA6138" w:rsidP="00D03781">
      <w:pPr>
        <w:tabs>
          <w:tab w:val="num" w:pos="720"/>
        </w:tabs>
        <w:autoSpaceDE w:val="0"/>
        <w:autoSpaceDN w:val="0"/>
        <w:adjustRightInd w:val="0"/>
        <w:spacing w:after="0" w:line="240" w:lineRule="auto"/>
        <w:rPr>
          <w:rFonts w:ascii="Times New Roman" w:eastAsia="Times New Roman" w:hAnsi="Times New Roman" w:cs="Times New Roman"/>
          <w:sz w:val="26"/>
          <w:szCs w:val="24"/>
        </w:rPr>
      </w:pPr>
      <w:r w:rsidRPr="00BA6138">
        <w:rPr>
          <w:rFonts w:ascii="Times New Roman" w:eastAsia="Times New Roman" w:hAnsi="Times New Roman" w:cs="Times New Roman"/>
          <w:sz w:val="26"/>
          <w:szCs w:val="24"/>
        </w:rPr>
        <w:t>NERC thus proposed Reliability Standard MOD-028-2, which revises MOD-028-1 as follows:</w:t>
      </w:r>
    </w:p>
    <w:p w:rsidR="00BA6138" w:rsidRPr="00BA6138" w:rsidRDefault="00BA6138" w:rsidP="00BA6138">
      <w:pPr>
        <w:widowControl w:val="0"/>
        <w:autoSpaceDE w:val="0"/>
        <w:autoSpaceDN w:val="0"/>
        <w:adjustRightInd w:val="0"/>
        <w:spacing w:after="0" w:line="240" w:lineRule="auto"/>
        <w:ind w:left="1440" w:right="720" w:hanging="720"/>
        <w:jc w:val="both"/>
        <w:rPr>
          <w:rFonts w:ascii="Times New Roman" w:eastAsia="Times New Roman" w:hAnsi="Times New Roman" w:cs="Times New Roman"/>
          <w:sz w:val="26"/>
          <w:szCs w:val="26"/>
        </w:rPr>
      </w:pPr>
      <w:r w:rsidRPr="00BA6138">
        <w:rPr>
          <w:rFonts w:ascii="Times New Roman" w:eastAsia="Times New Roman" w:hAnsi="Times New Roman" w:cs="Times New Roman"/>
          <w:sz w:val="26"/>
          <w:szCs w:val="26"/>
        </w:rPr>
        <w:t>R3.</w:t>
      </w:r>
      <w:r w:rsidRPr="00BA6138">
        <w:rPr>
          <w:rFonts w:ascii="Times New Roman" w:eastAsia="Times New Roman" w:hAnsi="Times New Roman" w:cs="Times New Roman"/>
          <w:sz w:val="26"/>
          <w:szCs w:val="26"/>
        </w:rPr>
        <w:tab/>
        <w:t>When calculating TTCs for ATC Paths, the Transmission Operator shall include the following data for the Transmission Service Provider’s area … </w:t>
      </w:r>
    </w:p>
    <w:p w:rsidR="00BA6138" w:rsidRPr="00BA6138" w:rsidRDefault="00BA6138" w:rsidP="00BA6138">
      <w:pPr>
        <w:widowControl w:val="0"/>
        <w:autoSpaceDE w:val="0"/>
        <w:autoSpaceDN w:val="0"/>
        <w:adjustRightInd w:val="0"/>
        <w:spacing w:after="0" w:line="240" w:lineRule="auto"/>
        <w:ind w:left="720" w:right="720" w:hanging="720"/>
        <w:jc w:val="both"/>
        <w:rPr>
          <w:rFonts w:ascii="Times New Roman" w:eastAsia="Times New Roman" w:hAnsi="Times New Roman" w:cs="Times New Roman"/>
          <w:sz w:val="26"/>
          <w:szCs w:val="26"/>
        </w:rPr>
      </w:pPr>
    </w:p>
    <w:p w:rsidR="00BA6138" w:rsidRPr="00BA6138" w:rsidRDefault="00BA6138" w:rsidP="00BA6138">
      <w:pPr>
        <w:widowControl w:val="0"/>
        <w:autoSpaceDE w:val="0"/>
        <w:autoSpaceDN w:val="0"/>
        <w:adjustRightInd w:val="0"/>
        <w:spacing w:after="0" w:line="240" w:lineRule="auto"/>
        <w:ind w:left="2160" w:right="720" w:hanging="720"/>
        <w:jc w:val="both"/>
        <w:rPr>
          <w:rFonts w:ascii="Times New Roman" w:eastAsia="Times New Roman" w:hAnsi="Times New Roman" w:cs="Times New Roman"/>
          <w:sz w:val="26"/>
          <w:szCs w:val="26"/>
        </w:rPr>
      </w:pPr>
      <w:r w:rsidRPr="00BA6138">
        <w:rPr>
          <w:rFonts w:ascii="Times New Roman" w:eastAsia="Times New Roman" w:hAnsi="Times New Roman" w:cs="Times New Roman"/>
          <w:sz w:val="26"/>
          <w:szCs w:val="26"/>
        </w:rPr>
        <w:t>R3.1.</w:t>
      </w:r>
      <w:r w:rsidRPr="00BA6138">
        <w:rPr>
          <w:rFonts w:ascii="Times New Roman" w:eastAsia="Times New Roman" w:hAnsi="Times New Roman" w:cs="Times New Roman"/>
          <w:sz w:val="26"/>
          <w:szCs w:val="26"/>
        </w:rPr>
        <w:tab/>
      </w:r>
      <w:r w:rsidRPr="00BA6138">
        <w:rPr>
          <w:rFonts w:ascii="Times New Roman" w:eastAsia="Times New Roman" w:hAnsi="Times New Roman" w:cs="Times New Roman"/>
          <w:strike/>
          <w:sz w:val="26"/>
          <w:szCs w:val="26"/>
        </w:rPr>
        <w:t xml:space="preserve">For on peak and off peak </w:t>
      </w:r>
      <w:proofErr w:type="spellStart"/>
      <w:r w:rsidRPr="00BA6138">
        <w:rPr>
          <w:rFonts w:ascii="Times New Roman" w:eastAsia="Times New Roman" w:hAnsi="Times New Roman" w:cs="Times New Roman"/>
          <w:strike/>
          <w:sz w:val="26"/>
          <w:szCs w:val="26"/>
        </w:rPr>
        <w:t>intra day</w:t>
      </w:r>
      <w:proofErr w:type="spellEnd"/>
      <w:r w:rsidRPr="00BA6138">
        <w:rPr>
          <w:rFonts w:ascii="Times New Roman" w:eastAsia="Times New Roman" w:hAnsi="Times New Roman" w:cs="Times New Roman"/>
          <w:strike/>
          <w:sz w:val="26"/>
          <w:szCs w:val="26"/>
        </w:rPr>
        <w:t xml:space="preserve"> and next </w:t>
      </w:r>
      <w:proofErr w:type="spellStart"/>
      <w:r w:rsidRPr="00BA6138">
        <w:rPr>
          <w:rFonts w:ascii="Times New Roman" w:eastAsia="Times New Roman" w:hAnsi="Times New Roman" w:cs="Times New Roman"/>
          <w:strike/>
          <w:sz w:val="26"/>
          <w:szCs w:val="26"/>
        </w:rPr>
        <w:t>day</w:t>
      </w:r>
      <w:r w:rsidRPr="00BA6138">
        <w:rPr>
          <w:rFonts w:ascii="Times New Roman" w:eastAsia="Times New Roman" w:hAnsi="Times New Roman" w:cs="Times New Roman"/>
          <w:sz w:val="26"/>
          <w:szCs w:val="26"/>
          <w:u w:val="single"/>
        </w:rPr>
        <w:t>For</w:t>
      </w:r>
      <w:proofErr w:type="spellEnd"/>
      <w:r w:rsidRPr="00BA6138">
        <w:rPr>
          <w:rFonts w:ascii="Times New Roman" w:eastAsia="Times New Roman" w:hAnsi="Times New Roman" w:cs="Times New Roman"/>
          <w:sz w:val="26"/>
          <w:szCs w:val="26"/>
        </w:rPr>
        <w:t xml:space="preserve"> TTCs, use </w:t>
      </w:r>
      <w:r w:rsidRPr="00BA6138">
        <w:rPr>
          <w:rFonts w:ascii="Times New Roman" w:eastAsia="Times New Roman" w:hAnsi="Times New Roman" w:cs="Times New Roman"/>
          <w:sz w:val="26"/>
          <w:szCs w:val="26"/>
        </w:rPr>
        <w:lastRenderedPageBreak/>
        <w:t>the following (as well as any other values and additional parameters as specified in the ATCID.</w:t>
      </w:r>
    </w:p>
    <w:p w:rsidR="00BA6138" w:rsidRPr="00BA6138" w:rsidRDefault="00BA6138" w:rsidP="00BA6138">
      <w:pPr>
        <w:widowControl w:val="0"/>
        <w:autoSpaceDE w:val="0"/>
        <w:autoSpaceDN w:val="0"/>
        <w:adjustRightInd w:val="0"/>
        <w:spacing w:after="0" w:line="240" w:lineRule="auto"/>
        <w:ind w:left="720" w:right="720" w:hanging="720"/>
        <w:jc w:val="both"/>
        <w:rPr>
          <w:rFonts w:ascii="Times New Roman" w:eastAsia="Times New Roman" w:hAnsi="Times New Roman" w:cs="Times New Roman"/>
          <w:sz w:val="26"/>
          <w:szCs w:val="26"/>
        </w:rPr>
      </w:pPr>
    </w:p>
    <w:p w:rsidR="00BA6138" w:rsidRPr="00BA6138" w:rsidRDefault="00BA6138" w:rsidP="00BA6138">
      <w:pPr>
        <w:widowControl w:val="0"/>
        <w:autoSpaceDE w:val="0"/>
        <w:autoSpaceDN w:val="0"/>
        <w:adjustRightInd w:val="0"/>
        <w:spacing w:after="0" w:line="240" w:lineRule="auto"/>
        <w:ind w:left="3600" w:right="720" w:hanging="1440"/>
        <w:jc w:val="both"/>
        <w:rPr>
          <w:rFonts w:ascii="Times New Roman" w:eastAsia="Times New Roman" w:hAnsi="Times New Roman" w:cs="Times New Roman"/>
          <w:sz w:val="26"/>
          <w:szCs w:val="26"/>
        </w:rPr>
      </w:pPr>
      <w:r w:rsidRPr="00BA6138">
        <w:rPr>
          <w:rFonts w:ascii="Times New Roman" w:eastAsia="Times New Roman" w:hAnsi="Times New Roman" w:cs="Times New Roman"/>
          <w:sz w:val="26"/>
          <w:szCs w:val="26"/>
        </w:rPr>
        <w:t xml:space="preserve">R3.1.1.  </w:t>
      </w:r>
      <w:r w:rsidRPr="00BA6138">
        <w:rPr>
          <w:rFonts w:ascii="Times New Roman" w:eastAsia="Times New Roman" w:hAnsi="Times New Roman" w:cs="Times New Roman"/>
          <w:sz w:val="26"/>
          <w:szCs w:val="26"/>
        </w:rPr>
        <w:tab/>
        <w:t>Expected generation and Transmission outages, additions, and retirements, included as specified in the ATCID.</w:t>
      </w:r>
    </w:p>
    <w:p w:rsidR="00BA6138" w:rsidRPr="00BA6138" w:rsidRDefault="00BA6138" w:rsidP="00BA6138">
      <w:pPr>
        <w:widowControl w:val="0"/>
        <w:autoSpaceDE w:val="0"/>
        <w:autoSpaceDN w:val="0"/>
        <w:adjustRightInd w:val="0"/>
        <w:spacing w:after="0" w:line="240" w:lineRule="auto"/>
        <w:ind w:left="2520" w:right="720" w:hanging="1080"/>
        <w:jc w:val="both"/>
        <w:rPr>
          <w:rFonts w:ascii="Times New Roman" w:eastAsia="Times New Roman" w:hAnsi="Times New Roman" w:cs="Times New Roman"/>
          <w:sz w:val="26"/>
          <w:szCs w:val="26"/>
        </w:rPr>
      </w:pPr>
    </w:p>
    <w:p w:rsidR="00BA6138" w:rsidRPr="00BA6138" w:rsidRDefault="00BA6138" w:rsidP="00BA6138">
      <w:pPr>
        <w:widowControl w:val="0"/>
        <w:autoSpaceDE w:val="0"/>
        <w:autoSpaceDN w:val="0"/>
        <w:adjustRightInd w:val="0"/>
        <w:spacing w:after="0" w:line="240" w:lineRule="auto"/>
        <w:ind w:left="3600" w:right="720" w:hanging="1440"/>
        <w:jc w:val="both"/>
        <w:rPr>
          <w:rFonts w:ascii="Times New Roman" w:eastAsia="Times New Roman" w:hAnsi="Times New Roman" w:cs="Times New Roman"/>
          <w:sz w:val="26"/>
          <w:szCs w:val="26"/>
          <w:u w:val="single"/>
        </w:rPr>
      </w:pPr>
      <w:r w:rsidRPr="00BA6138">
        <w:rPr>
          <w:rFonts w:ascii="Times New Roman" w:eastAsia="Times New Roman" w:hAnsi="Times New Roman" w:cs="Times New Roman"/>
          <w:sz w:val="26"/>
          <w:szCs w:val="26"/>
          <w:u w:val="single"/>
        </w:rPr>
        <w:t>R.3.1.2.</w:t>
      </w:r>
      <w:r w:rsidRPr="00BA6138">
        <w:rPr>
          <w:rFonts w:ascii="Times New Roman" w:eastAsia="Times New Roman" w:hAnsi="Times New Roman" w:cs="Times New Roman"/>
          <w:sz w:val="26"/>
          <w:szCs w:val="26"/>
          <w:u w:val="single"/>
        </w:rPr>
        <w:tab/>
      </w:r>
      <w:proofErr w:type="spellStart"/>
      <w:r w:rsidRPr="00BA6138">
        <w:rPr>
          <w:rFonts w:ascii="Times New Roman" w:eastAsia="Times New Roman" w:hAnsi="Times New Roman" w:cs="Times New Roman"/>
          <w:strike/>
          <w:sz w:val="26"/>
          <w:szCs w:val="26"/>
        </w:rPr>
        <w:t>Load</w:t>
      </w:r>
      <w:r w:rsidRPr="00BA6138">
        <w:rPr>
          <w:rFonts w:ascii="Times New Roman" w:eastAsia="Times New Roman" w:hAnsi="Times New Roman" w:cs="Times New Roman"/>
          <w:sz w:val="26"/>
          <w:szCs w:val="26"/>
          <w:u w:val="single"/>
        </w:rPr>
        <w:t>A</w:t>
      </w:r>
      <w:proofErr w:type="spellEnd"/>
      <w:r w:rsidRPr="00BA6138">
        <w:rPr>
          <w:rFonts w:ascii="Times New Roman" w:eastAsia="Times New Roman" w:hAnsi="Times New Roman" w:cs="Times New Roman"/>
          <w:sz w:val="26"/>
          <w:szCs w:val="26"/>
          <w:u w:val="single"/>
        </w:rPr>
        <w:t xml:space="preserve"> daily or hourly load</w:t>
      </w:r>
      <w:r w:rsidRPr="00BA6138">
        <w:rPr>
          <w:rFonts w:ascii="Times New Roman" w:eastAsia="Times New Roman" w:hAnsi="Times New Roman" w:cs="Times New Roman"/>
          <w:sz w:val="26"/>
          <w:szCs w:val="26"/>
        </w:rPr>
        <w:t xml:space="preserve"> forecast for </w:t>
      </w:r>
      <w:r w:rsidRPr="00BA6138">
        <w:rPr>
          <w:rFonts w:ascii="Times New Roman" w:eastAsia="Times New Roman" w:hAnsi="Times New Roman" w:cs="Times New Roman"/>
          <w:strike/>
          <w:sz w:val="26"/>
          <w:szCs w:val="26"/>
        </w:rPr>
        <w:t xml:space="preserve">the applicable period being </w:t>
      </w:r>
      <w:proofErr w:type="spellStart"/>
      <w:r w:rsidRPr="00BA6138">
        <w:rPr>
          <w:rFonts w:ascii="Times New Roman" w:eastAsia="Times New Roman" w:hAnsi="Times New Roman" w:cs="Times New Roman"/>
          <w:strike/>
          <w:sz w:val="26"/>
          <w:szCs w:val="26"/>
        </w:rPr>
        <w:t>calculated</w:t>
      </w:r>
      <w:r w:rsidRPr="00BA6138">
        <w:rPr>
          <w:rFonts w:ascii="Times New Roman" w:eastAsia="Times New Roman" w:hAnsi="Times New Roman" w:cs="Times New Roman"/>
          <w:sz w:val="26"/>
          <w:szCs w:val="26"/>
          <w:u w:val="single"/>
        </w:rPr>
        <w:t>TTCs</w:t>
      </w:r>
      <w:proofErr w:type="spellEnd"/>
      <w:r w:rsidRPr="00BA6138">
        <w:rPr>
          <w:rFonts w:ascii="Times New Roman" w:eastAsia="Times New Roman" w:hAnsi="Times New Roman" w:cs="Times New Roman"/>
          <w:sz w:val="26"/>
          <w:szCs w:val="26"/>
          <w:u w:val="single"/>
        </w:rPr>
        <w:t xml:space="preserve"> used in current-day and next-day ATC calculations.</w:t>
      </w:r>
    </w:p>
    <w:p w:rsidR="00BA6138" w:rsidRPr="00BA6138" w:rsidRDefault="00BA6138" w:rsidP="00BA6138">
      <w:pPr>
        <w:widowControl w:val="0"/>
        <w:autoSpaceDE w:val="0"/>
        <w:autoSpaceDN w:val="0"/>
        <w:adjustRightInd w:val="0"/>
        <w:spacing w:after="0" w:line="240" w:lineRule="auto"/>
        <w:ind w:left="2520" w:right="720" w:hanging="1080"/>
        <w:jc w:val="both"/>
        <w:rPr>
          <w:rFonts w:ascii="Times New Roman" w:eastAsia="Times New Roman" w:hAnsi="Times New Roman" w:cs="Times New Roman"/>
          <w:sz w:val="26"/>
          <w:szCs w:val="26"/>
        </w:rPr>
      </w:pPr>
    </w:p>
    <w:p w:rsidR="00BA6138" w:rsidRPr="00BA6138" w:rsidRDefault="00BA6138" w:rsidP="00BA6138">
      <w:pPr>
        <w:widowControl w:val="0"/>
        <w:autoSpaceDE w:val="0"/>
        <w:autoSpaceDN w:val="0"/>
        <w:adjustRightInd w:val="0"/>
        <w:spacing w:after="0" w:line="240" w:lineRule="auto"/>
        <w:ind w:left="3600" w:right="720" w:hanging="1440"/>
        <w:jc w:val="both"/>
        <w:rPr>
          <w:rFonts w:ascii="Times New Roman" w:eastAsia="Times New Roman" w:hAnsi="Times New Roman" w:cs="Times New Roman"/>
          <w:sz w:val="26"/>
          <w:szCs w:val="26"/>
          <w:u w:val="single"/>
        </w:rPr>
      </w:pPr>
      <w:r w:rsidRPr="00BA6138">
        <w:rPr>
          <w:rFonts w:ascii="Times New Roman" w:eastAsia="Times New Roman" w:hAnsi="Times New Roman" w:cs="Times New Roman"/>
          <w:sz w:val="26"/>
          <w:szCs w:val="26"/>
          <w:u w:val="single"/>
        </w:rPr>
        <w:t>R.3.1.3.</w:t>
      </w:r>
      <w:r w:rsidRPr="00BA6138">
        <w:rPr>
          <w:rFonts w:ascii="Times New Roman" w:eastAsia="Times New Roman" w:hAnsi="Times New Roman" w:cs="Times New Roman"/>
          <w:sz w:val="26"/>
          <w:szCs w:val="26"/>
          <w:u w:val="single"/>
        </w:rPr>
        <w:tab/>
        <w:t>A daily load forecast for TTCs used in ATC calculations for days two through 31.</w:t>
      </w:r>
    </w:p>
    <w:p w:rsidR="00BA6138" w:rsidRPr="00BA6138" w:rsidRDefault="00BA6138" w:rsidP="00BA6138">
      <w:pPr>
        <w:widowControl w:val="0"/>
        <w:autoSpaceDE w:val="0"/>
        <w:autoSpaceDN w:val="0"/>
        <w:adjustRightInd w:val="0"/>
        <w:spacing w:after="0" w:line="240" w:lineRule="auto"/>
        <w:ind w:left="2520" w:right="720" w:hanging="1080"/>
        <w:jc w:val="both"/>
        <w:rPr>
          <w:rFonts w:ascii="Times New Roman" w:eastAsia="Times New Roman" w:hAnsi="Times New Roman" w:cs="Times New Roman"/>
          <w:sz w:val="26"/>
          <w:szCs w:val="26"/>
          <w:u w:val="single"/>
        </w:rPr>
      </w:pPr>
    </w:p>
    <w:p w:rsidR="00BA6138" w:rsidRPr="00BA6138" w:rsidRDefault="00BA6138" w:rsidP="00BA6138">
      <w:pPr>
        <w:widowControl w:val="0"/>
        <w:autoSpaceDE w:val="0"/>
        <w:autoSpaceDN w:val="0"/>
        <w:adjustRightInd w:val="0"/>
        <w:spacing w:after="240" w:line="240" w:lineRule="auto"/>
        <w:ind w:left="3600" w:right="720" w:hanging="1440"/>
        <w:jc w:val="both"/>
        <w:rPr>
          <w:rFonts w:ascii="Times New Roman" w:eastAsia="Times New Roman" w:hAnsi="Times New Roman" w:cs="Times New Roman"/>
          <w:sz w:val="26"/>
          <w:szCs w:val="24"/>
        </w:rPr>
      </w:pPr>
      <w:r w:rsidRPr="00BA6138">
        <w:rPr>
          <w:rFonts w:ascii="Times New Roman" w:eastAsia="Times New Roman" w:hAnsi="Times New Roman" w:cs="Times New Roman"/>
          <w:strike/>
          <w:sz w:val="26"/>
          <w:szCs w:val="24"/>
        </w:rPr>
        <w:t>R.3.1.2.</w:t>
      </w:r>
      <w:r w:rsidRPr="00BA6138">
        <w:rPr>
          <w:rFonts w:ascii="Times New Roman" w:eastAsia="Times New Roman" w:hAnsi="Times New Roman" w:cs="Times New Roman"/>
          <w:sz w:val="26"/>
          <w:szCs w:val="24"/>
        </w:rPr>
        <w:t xml:space="preserve">R3.1.4. </w:t>
      </w:r>
      <w:proofErr w:type="gramStart"/>
      <w:r w:rsidRPr="00BA6138">
        <w:rPr>
          <w:rFonts w:ascii="Times New Roman" w:eastAsia="Times New Roman" w:hAnsi="Times New Roman" w:cs="Times New Roman"/>
          <w:sz w:val="26"/>
          <w:szCs w:val="24"/>
        </w:rPr>
        <w:t>A</w:t>
      </w:r>
      <w:proofErr w:type="gramEnd"/>
      <w:r w:rsidRPr="00BA6138">
        <w:rPr>
          <w:rFonts w:ascii="Times New Roman" w:eastAsia="Times New Roman" w:hAnsi="Times New Roman" w:cs="Times New Roman"/>
          <w:sz w:val="26"/>
          <w:szCs w:val="24"/>
        </w:rPr>
        <w:t xml:space="preserve"> monthly load forecast for TTCs used in ATC calculations for months two through 13 months TTCs.</w:t>
      </w:r>
    </w:p>
    <w:p w:rsidR="001539E8" w:rsidRDefault="001539E8" w:rsidP="001539E8">
      <w:pPr>
        <w:pStyle w:val="FERCparanumber"/>
        <w:numPr>
          <w:ilvl w:val="0"/>
          <w:numId w:val="0"/>
        </w:numPr>
        <w:spacing w:line="240" w:lineRule="auto"/>
      </w:pPr>
    </w:p>
    <w:p w:rsidR="006B55E8" w:rsidRDefault="006B55E8" w:rsidP="001539E8">
      <w:pPr>
        <w:pStyle w:val="FERCparanumber"/>
        <w:numPr>
          <w:ilvl w:val="0"/>
          <w:numId w:val="0"/>
        </w:numPr>
        <w:spacing w:line="240" w:lineRule="auto"/>
      </w:pPr>
    </w:p>
    <w:p w:rsidR="001539E8" w:rsidRDefault="00D03781" w:rsidP="001539E8">
      <w:pPr>
        <w:pStyle w:val="FERCparanumber"/>
        <w:numPr>
          <w:ilvl w:val="0"/>
          <w:numId w:val="0"/>
        </w:numPr>
        <w:spacing w:line="240" w:lineRule="auto"/>
      </w:pPr>
      <w:r>
        <w:t>P</w:t>
      </w:r>
      <w:r w:rsidRPr="00D03781">
        <w:t>ursuant to FPA section 215(d</w:t>
      </w:r>
      <w:proofErr w:type="gramStart"/>
      <w:r w:rsidRPr="00D03781">
        <w:t>)(</w:t>
      </w:r>
      <w:proofErr w:type="gramEnd"/>
      <w:r w:rsidRPr="00D03781">
        <w:t xml:space="preserve">2), </w:t>
      </w:r>
      <w:r w:rsidR="00C3500E">
        <w:t>the Commission</w:t>
      </w:r>
      <w:r w:rsidR="00C3500E" w:rsidRPr="00D03781">
        <w:t xml:space="preserve"> </w:t>
      </w:r>
      <w:r w:rsidRPr="00D03781">
        <w:t>approve</w:t>
      </w:r>
      <w:r>
        <w:t>s</w:t>
      </w:r>
      <w:r w:rsidRPr="00D03781">
        <w:t xml:space="preserve"> Reliability Standard MOD-028-2</w:t>
      </w:r>
      <w:r>
        <w:t xml:space="preserve"> in Order </w:t>
      </w:r>
      <w:r w:rsidR="00C3500E">
        <w:t xml:space="preserve">No. </w:t>
      </w:r>
      <w:r>
        <w:t xml:space="preserve">782 in </w:t>
      </w:r>
      <w:r w:rsidR="00C3500E">
        <w:t xml:space="preserve">Docket No. </w:t>
      </w:r>
      <w:proofErr w:type="gramStart"/>
      <w:r>
        <w:t>RM12-19</w:t>
      </w:r>
      <w:r w:rsidR="00C3500E">
        <w:t>-000</w:t>
      </w:r>
      <w:r w:rsidRPr="00D03781">
        <w:t>.</w:t>
      </w:r>
      <w:proofErr w:type="gramEnd"/>
    </w:p>
    <w:p w:rsidR="008631C5" w:rsidRDefault="008631C5" w:rsidP="001539E8">
      <w:pPr>
        <w:pStyle w:val="FERCparanumber"/>
        <w:numPr>
          <w:ilvl w:val="0"/>
          <w:numId w:val="0"/>
        </w:numPr>
        <w:spacing w:line="240" w:lineRule="auto"/>
      </w:pPr>
    </w:p>
    <w:p w:rsidR="00AD7EF7" w:rsidRPr="00F6691F" w:rsidRDefault="006B55E8" w:rsidP="001539E8">
      <w:pPr>
        <w:pStyle w:val="FERCparanumber"/>
        <w:numPr>
          <w:ilvl w:val="0"/>
          <w:numId w:val="0"/>
        </w:numPr>
        <w:spacing w:line="240" w:lineRule="auto"/>
      </w:pPr>
      <w:r>
        <w:rPr>
          <w:b/>
        </w:rPr>
        <w:t xml:space="preserve">In Summary:  </w:t>
      </w:r>
      <w:r w:rsidR="00AD7EF7">
        <w:t xml:space="preserve">Based on the above, the Commission requests </w:t>
      </w:r>
      <w:r>
        <w:t xml:space="preserve">OMB </w:t>
      </w:r>
      <w:r w:rsidR="00AD7EF7">
        <w:t xml:space="preserve">approval of this </w:t>
      </w:r>
      <w:proofErr w:type="spellStart"/>
      <w:r w:rsidR="00AD7EF7">
        <w:t>nonsubstantive</w:t>
      </w:r>
      <w:proofErr w:type="spellEnd"/>
      <w:r w:rsidR="00AD7EF7">
        <w:t xml:space="preserve"> change</w:t>
      </w:r>
      <w:r w:rsidR="00A06823">
        <w:t>, contained in the Final Rule in RM12-19, issued 7/18/2013</w:t>
      </w:r>
      <w:r w:rsidR="00AD7EF7">
        <w:t>.</w:t>
      </w:r>
      <w:r w:rsidR="00AD7EF7" w:rsidRPr="00F6691F">
        <w:t xml:space="preserve"> </w:t>
      </w:r>
    </w:p>
    <w:p w:rsidR="00A208B9" w:rsidRDefault="00A208B9" w:rsidP="001539E8">
      <w:pPr>
        <w:spacing w:line="240" w:lineRule="auto"/>
      </w:pPr>
      <w:bookmarkStart w:id="0" w:name="_GoBack"/>
      <w:bookmarkEnd w:id="0"/>
    </w:p>
    <w:sectPr w:rsidR="00A208B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9E8" w:rsidRDefault="001539E8" w:rsidP="00AD7EF7">
      <w:pPr>
        <w:spacing w:after="0" w:line="240" w:lineRule="auto"/>
      </w:pPr>
      <w:r>
        <w:separator/>
      </w:r>
    </w:p>
  </w:endnote>
  <w:endnote w:type="continuationSeparator" w:id="0">
    <w:p w:rsidR="001539E8" w:rsidRDefault="001539E8" w:rsidP="00AD7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9E8" w:rsidRDefault="001539E8" w:rsidP="00AD7EF7">
      <w:pPr>
        <w:spacing w:after="0" w:line="240" w:lineRule="auto"/>
      </w:pPr>
      <w:r>
        <w:separator/>
      </w:r>
    </w:p>
  </w:footnote>
  <w:footnote w:type="continuationSeparator" w:id="0">
    <w:p w:rsidR="001539E8" w:rsidRDefault="001539E8" w:rsidP="00AD7EF7">
      <w:pPr>
        <w:spacing w:after="0" w:line="240" w:lineRule="auto"/>
      </w:pPr>
      <w:r>
        <w:continuationSeparator/>
      </w:r>
    </w:p>
  </w:footnote>
  <w:footnote w:id="1">
    <w:p w:rsidR="00EA62A8" w:rsidRDefault="00EA62A8">
      <w:pPr>
        <w:pStyle w:val="FootnoteText"/>
      </w:pPr>
      <w:r>
        <w:rPr>
          <w:rStyle w:val="FootnoteReference"/>
        </w:rPr>
        <w:footnoteRef/>
      </w:r>
      <w:r>
        <w:t xml:space="preserve"> </w:t>
      </w:r>
      <w:r w:rsidR="008A3826">
        <w:t xml:space="preserve">The Final Rule </w:t>
      </w:r>
      <w:r w:rsidR="008A3826">
        <w:t xml:space="preserve">in RM12-19 </w:t>
      </w:r>
      <w:r w:rsidR="008A3826">
        <w:t xml:space="preserve">was submitted to OMB for information only on 7/18/2013.  </w:t>
      </w:r>
      <w:r>
        <w:t xml:space="preserve">The Commission was unable to submit this non-substantive change request </w:t>
      </w:r>
      <w:r w:rsidR="000F37AC">
        <w:t xml:space="preserve">through reginfo.gov and ROCIS </w:t>
      </w:r>
      <w:r>
        <w:t xml:space="preserve">at the time the </w:t>
      </w:r>
      <w:r w:rsidR="008B45CA">
        <w:t xml:space="preserve">Final Rule was </w:t>
      </w:r>
      <w:r>
        <w:t>published in the Federal Register because of another item in the same control number pending an OMB decision (ICR#</w:t>
      </w:r>
      <w:r w:rsidR="000F37AC" w:rsidRPr="000F37AC">
        <w:t>201306-1902-008</w:t>
      </w:r>
      <w:r w:rsidR="00F46ADF" w:rsidRPr="00D03781">
        <w:rPr>
          <w:rStyle w:val="Hyperlink"/>
          <w:color w:val="auto"/>
          <w:u w:val="none"/>
        </w:rPr>
        <w:t>)</w:t>
      </w:r>
      <w:r w:rsidR="008A3826">
        <w:rPr>
          <w:rStyle w:val="Hyperlink"/>
          <w:color w:val="auto"/>
          <w:u w:val="none"/>
        </w:rPr>
        <w:t>; a decision in ICR#</w:t>
      </w:r>
      <w:r w:rsidR="008A3826" w:rsidRPr="008A3826">
        <w:rPr>
          <w:rStyle w:val="Hyperlink"/>
          <w:color w:val="auto"/>
          <w:u w:val="none"/>
        </w:rPr>
        <w:t>201306-1902-008</w:t>
      </w:r>
      <w:r w:rsidR="008A3826">
        <w:rPr>
          <w:rStyle w:val="Hyperlink"/>
          <w:color w:val="auto"/>
          <w:u w:val="none"/>
        </w:rPr>
        <w:t xml:space="preserve"> was issued on 8/15/2013</w:t>
      </w:r>
      <w:r w:rsidRPr="00D03781">
        <w:t xml:space="preserve">. </w:t>
      </w:r>
      <w:r w:rsidR="000F37AC">
        <w:t xml:space="preserve"> </w:t>
      </w:r>
    </w:p>
  </w:footnote>
  <w:footnote w:id="2">
    <w:p w:rsidR="00C3500E" w:rsidRPr="00C3500E" w:rsidRDefault="00C3500E">
      <w:pPr>
        <w:pStyle w:val="FootnoteText"/>
      </w:pPr>
      <w:r>
        <w:rPr>
          <w:rStyle w:val="FootnoteReference"/>
        </w:rPr>
        <w:footnoteRef/>
      </w:r>
      <w:r>
        <w:t xml:space="preserve"> </w:t>
      </w:r>
      <w:proofErr w:type="gramStart"/>
      <w:r>
        <w:rPr>
          <w:i/>
        </w:rPr>
        <w:t>Revisions to Modeling, Data, and Analysis Reliability Standard</w:t>
      </w:r>
      <w:r>
        <w:t>, Notice of Proposed Rulemaking, 142 FERC ¶ 61,210 (2013) (</w:t>
      </w:r>
      <w:r>
        <w:rPr>
          <w:i/>
        </w:rPr>
        <w:t>available at</w:t>
      </w:r>
      <w:r>
        <w:t xml:space="preserve"> </w:t>
      </w:r>
      <w:r w:rsidRPr="00EB03D3">
        <w:rPr>
          <w:szCs w:val="26"/>
        </w:rPr>
        <w:t>http://elibrary.ferc.gov/idmws/common/opennat.asp?fileID=13210777</w:t>
      </w:r>
      <w:r>
        <w:rPr>
          <w:szCs w:val="26"/>
        </w:rPr>
        <w:t>).</w:t>
      </w:r>
      <w:proofErr w:type="gramEnd"/>
    </w:p>
  </w:footnote>
  <w:footnote w:id="3">
    <w:p w:rsidR="00A30548" w:rsidRPr="00A30548" w:rsidRDefault="00A30548">
      <w:pPr>
        <w:pStyle w:val="FootnoteText"/>
      </w:pPr>
      <w:r>
        <w:rPr>
          <w:rStyle w:val="FootnoteReference"/>
        </w:rPr>
        <w:footnoteRef/>
      </w:r>
      <w:r>
        <w:t xml:space="preserve"> </w:t>
      </w:r>
      <w:proofErr w:type="gramStart"/>
      <w:r>
        <w:rPr>
          <w:i/>
        </w:rPr>
        <w:t>Revisions to Modeling, Data, and Analysis Reliability Standard</w:t>
      </w:r>
      <w:r>
        <w:t>, Order No. 782, 144 FERC ¶ 61,027 (2013) (</w:t>
      </w:r>
      <w:r>
        <w:rPr>
          <w:i/>
        </w:rPr>
        <w:t>available at</w:t>
      </w:r>
      <w:r>
        <w:t xml:space="preserve"> </w:t>
      </w:r>
      <w:hyperlink r:id="rId1" w:history="1">
        <w:r w:rsidRPr="00EB03D3">
          <w:rPr>
            <w:rStyle w:val="Hyperlink"/>
            <w:szCs w:val="26"/>
          </w:rPr>
          <w:t>http://elibrary.ferc.gov/idmws/common/opennat.asp?fileID=13308625</w:t>
        </w:r>
      </w:hyperlink>
      <w:r>
        <w:rPr>
          <w:rStyle w:val="Hyperlink"/>
          <w:szCs w:val="26"/>
        </w:rPr>
        <w:t>).</w:t>
      </w:r>
      <w:proofErr w:type="gramEnd"/>
    </w:p>
  </w:footnote>
  <w:footnote w:id="4">
    <w:p w:rsidR="00C3500E" w:rsidRDefault="00C3500E">
      <w:pPr>
        <w:pStyle w:val="FootnoteText"/>
      </w:pPr>
      <w:r>
        <w:rPr>
          <w:rStyle w:val="FootnoteReference"/>
        </w:rPr>
        <w:footnoteRef/>
      </w:r>
      <w:r>
        <w:t xml:space="preserve"> </w:t>
      </w:r>
      <w:r>
        <w:rPr>
          <w:i/>
        </w:rPr>
        <w:t>Mandatory Reliability Standards for the Calculation of Available Transfer Capability, Capacity Benefit Margins, Transmission Reliability Margins, Total Transfer Capability, and Existing Transmission Commitments and Mandatory Reliability Standards for the Bulk Power System</w:t>
      </w:r>
      <w:r>
        <w:t xml:space="preserve">, Order No. 729, 129 FERC ¶ 61,155 (2009), </w:t>
      </w:r>
      <w:r>
        <w:rPr>
          <w:i/>
        </w:rPr>
        <w:t>order on clarification</w:t>
      </w:r>
      <w:r>
        <w:t xml:space="preserve">, Order No. 729-A, 131 FERC ¶ 61,109, </w:t>
      </w:r>
      <w:r>
        <w:rPr>
          <w:i/>
        </w:rPr>
        <w:t xml:space="preserve">order on </w:t>
      </w:r>
      <w:proofErr w:type="spellStart"/>
      <w:r>
        <w:rPr>
          <w:i/>
        </w:rPr>
        <w:t>reh’g</w:t>
      </w:r>
      <w:proofErr w:type="spellEnd"/>
      <w:r>
        <w:rPr>
          <w:i/>
        </w:rPr>
        <w:t xml:space="preserve"> and reconsideration</w:t>
      </w:r>
      <w:r>
        <w:t>, Order No. 729-B, 132 FERC ¶ 61,027 (2010).</w:t>
      </w:r>
    </w:p>
  </w:footnote>
  <w:footnote w:id="5">
    <w:p w:rsidR="00C3500E" w:rsidRDefault="00C3500E">
      <w:pPr>
        <w:pStyle w:val="FootnoteText"/>
      </w:pPr>
      <w:r>
        <w:rPr>
          <w:rStyle w:val="FootnoteReference"/>
        </w:rPr>
        <w:footnoteRef/>
      </w:r>
      <w:r>
        <w:t xml:space="preserve"> </w:t>
      </w:r>
      <w:r w:rsidRPr="00D03781">
        <w:t>The MOD-028-1 Reliability Standard that is subject of the approved revision was approved in Order No. 729, and the related information collection requirements were reviewed and approved, accordingly.</w:t>
      </w:r>
      <w:r>
        <w:t xml:space="preserve">  </w:t>
      </w:r>
      <w:r>
        <w:rPr>
          <w:i/>
        </w:rPr>
        <w:t xml:space="preserve">See </w:t>
      </w:r>
      <w:r w:rsidRPr="00ED3BBF">
        <w:t>Order No. 729</w:t>
      </w:r>
      <w:r>
        <w:t xml:space="preserve">, 129 FERC ¶ 61,155 at </w:t>
      </w:r>
      <w:r w:rsidRPr="0001159E">
        <w:t>P</w:t>
      </w:r>
      <w:r>
        <w:t>P</w:t>
      </w:r>
      <w:r w:rsidRPr="0001159E">
        <w:t xml:space="preserve"> </w:t>
      </w:r>
      <w:r>
        <w:t>307-312.</w:t>
      </w:r>
    </w:p>
  </w:footnote>
  <w:footnote w:id="6">
    <w:p w:rsidR="00BA6138" w:rsidRDefault="00BA6138" w:rsidP="00BA6138">
      <w:pPr>
        <w:pStyle w:val="FootnoteText"/>
      </w:pPr>
      <w:r>
        <w:rPr>
          <w:rStyle w:val="FootnoteReference"/>
        </w:rPr>
        <w:footnoteRef/>
      </w:r>
      <w:r>
        <w:t xml:space="preserve"> NERC Petition at 7 (emphasis added).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9E8" w:rsidRDefault="001539E8" w:rsidP="00FA0842">
    <w:pPr>
      <w:pStyle w:val="Header"/>
      <w:rPr>
        <w:rFonts w:ascii="Times New Roman" w:hAnsi="Times New Roman" w:cs="Times New Roman"/>
        <w:sz w:val="24"/>
        <w:szCs w:val="24"/>
      </w:rPr>
    </w:pPr>
    <w:r>
      <w:rPr>
        <w:rFonts w:ascii="Times New Roman" w:hAnsi="Times New Roman" w:cs="Times New Roman"/>
        <w:sz w:val="24"/>
        <w:szCs w:val="24"/>
      </w:rPr>
      <w:t>FERC-725A (OMB Control No. 1902-0244)</w:t>
    </w:r>
  </w:p>
  <w:p w:rsidR="001539E8" w:rsidRDefault="001539E8" w:rsidP="00FA0842">
    <w:pPr>
      <w:pStyle w:val="Header"/>
      <w:rPr>
        <w:rFonts w:ascii="Times New Roman" w:hAnsi="Times New Roman" w:cs="Times New Roman"/>
        <w:sz w:val="24"/>
        <w:szCs w:val="24"/>
      </w:rPr>
    </w:pPr>
    <w:r>
      <w:rPr>
        <w:rFonts w:ascii="Times New Roman" w:hAnsi="Times New Roman" w:cs="Times New Roman"/>
        <w:sz w:val="24"/>
        <w:szCs w:val="24"/>
      </w:rPr>
      <w:t xml:space="preserve">Docket No. RM12-19-000, </w:t>
    </w:r>
    <w:r w:rsidR="00E13742">
      <w:rPr>
        <w:rFonts w:ascii="Times New Roman" w:hAnsi="Times New Roman" w:cs="Times New Roman"/>
        <w:sz w:val="24"/>
        <w:szCs w:val="24"/>
      </w:rPr>
      <w:t xml:space="preserve">Final </w:t>
    </w:r>
    <w:r>
      <w:rPr>
        <w:rFonts w:ascii="Times New Roman" w:hAnsi="Times New Roman" w:cs="Times New Roman"/>
        <w:sz w:val="24"/>
        <w:szCs w:val="24"/>
      </w:rPr>
      <w:t xml:space="preserve">Rule issued </w:t>
    </w:r>
    <w:r w:rsidR="00E13742">
      <w:rPr>
        <w:rFonts w:ascii="Times New Roman" w:hAnsi="Times New Roman" w:cs="Times New Roman"/>
        <w:sz w:val="24"/>
        <w:szCs w:val="24"/>
      </w:rPr>
      <w:t>7/18/</w:t>
    </w:r>
    <w:r>
      <w:rPr>
        <w:rFonts w:ascii="Times New Roman" w:hAnsi="Times New Roman" w:cs="Times New Roman"/>
        <w:sz w:val="24"/>
        <w:szCs w:val="24"/>
      </w:rPr>
      <w:t xml:space="preserve">2013 </w:t>
    </w:r>
  </w:p>
  <w:p w:rsidR="001539E8" w:rsidRPr="00FD66F1" w:rsidRDefault="001539E8" w:rsidP="00FA0842">
    <w:pPr>
      <w:pStyle w:val="Header"/>
      <w:rPr>
        <w:rFonts w:ascii="Times New Roman" w:hAnsi="Times New Roman" w:cs="Times New Roman"/>
        <w:sz w:val="24"/>
        <w:szCs w:val="24"/>
      </w:rPr>
    </w:pPr>
    <w:r w:rsidRPr="000D2FC0">
      <w:rPr>
        <w:rFonts w:ascii="Times New Roman" w:hAnsi="Times New Roman" w:cs="Times New Roman"/>
        <w:sz w:val="24"/>
        <w:szCs w:val="24"/>
      </w:rPr>
      <w:t>RIN: 1902-</w:t>
    </w:r>
    <w:r w:rsidR="000D2FC0" w:rsidRPr="000D2FC0">
      <w:rPr>
        <w:rFonts w:ascii="Times New Roman" w:hAnsi="Times New Roman" w:cs="Times New Roman"/>
        <w:sz w:val="24"/>
        <w:szCs w:val="24"/>
      </w:rPr>
      <w:t>AE65</w:t>
    </w:r>
  </w:p>
  <w:p w:rsidR="001539E8" w:rsidRDefault="001539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4E4DD3"/>
    <w:multiLevelType w:val="hybridMultilevel"/>
    <w:tmpl w:val="DFBE2616"/>
    <w:lvl w:ilvl="0" w:tplc="FFFFFFFF">
      <w:start w:val="1"/>
      <w:numFmt w:val="decimal"/>
      <w:pStyle w:val="FERCparanumber"/>
      <w:lvlText w:val="%1."/>
      <w:lvlJc w:val="left"/>
      <w:pPr>
        <w:tabs>
          <w:tab w:val="num" w:pos="720"/>
        </w:tabs>
        <w:ind w:left="0" w:firstLine="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EF7"/>
    <w:rsid w:val="0004005E"/>
    <w:rsid w:val="000D2FC0"/>
    <w:rsid w:val="000F37AC"/>
    <w:rsid w:val="001267A4"/>
    <w:rsid w:val="001539E8"/>
    <w:rsid w:val="003C7133"/>
    <w:rsid w:val="003C779D"/>
    <w:rsid w:val="003F5FEC"/>
    <w:rsid w:val="00595394"/>
    <w:rsid w:val="005C4C64"/>
    <w:rsid w:val="00663FF7"/>
    <w:rsid w:val="006B55E8"/>
    <w:rsid w:val="00786F78"/>
    <w:rsid w:val="00830E37"/>
    <w:rsid w:val="008631C5"/>
    <w:rsid w:val="008A3826"/>
    <w:rsid w:val="008B45CA"/>
    <w:rsid w:val="009B21C3"/>
    <w:rsid w:val="00A06823"/>
    <w:rsid w:val="00A208B9"/>
    <w:rsid w:val="00A30548"/>
    <w:rsid w:val="00A43B00"/>
    <w:rsid w:val="00AD7EF7"/>
    <w:rsid w:val="00B017FB"/>
    <w:rsid w:val="00BA6138"/>
    <w:rsid w:val="00C3500E"/>
    <w:rsid w:val="00C61B4D"/>
    <w:rsid w:val="00C94379"/>
    <w:rsid w:val="00D03781"/>
    <w:rsid w:val="00DC3066"/>
    <w:rsid w:val="00E13742"/>
    <w:rsid w:val="00EA62A8"/>
    <w:rsid w:val="00EB03D3"/>
    <w:rsid w:val="00F46ADF"/>
    <w:rsid w:val="00F71317"/>
    <w:rsid w:val="00FA0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rsid w:val="00AD7EF7"/>
    <w:pPr>
      <w:widowControl w:val="0"/>
      <w:autoSpaceDE w:val="0"/>
      <w:autoSpaceDN w:val="0"/>
      <w:adjustRightInd w:val="0"/>
      <w:spacing w:after="240" w:line="240" w:lineRule="auto"/>
      <w:ind w:firstLine="720"/>
    </w:pPr>
    <w:rPr>
      <w:rFonts w:ascii="Times New Roman" w:eastAsia="Times New Roman" w:hAnsi="Times New Roman" w:cs="Times New Roman"/>
      <w:sz w:val="26"/>
      <w:szCs w:val="20"/>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rsid w:val="00AD7EF7"/>
    <w:rPr>
      <w:rFonts w:ascii="Times New Roman" w:eastAsia="Times New Roman" w:hAnsi="Times New Roman" w:cs="Times New Roman"/>
      <w:sz w:val="26"/>
      <w:szCs w:val="20"/>
    </w:rPr>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basedOn w:val="DefaultParagraphFont"/>
    <w:rsid w:val="00AD7EF7"/>
    <w:rPr>
      <w:rFonts w:ascii="Times New Roman" w:hAnsi="Times New Roman"/>
      <w:b/>
      <w:dstrike w:val="0"/>
      <w:sz w:val="26"/>
      <w:szCs w:val="26"/>
      <w:vertAlign w:val="superscript"/>
    </w:rPr>
  </w:style>
  <w:style w:type="paragraph" w:customStyle="1" w:styleId="FERCparanumber">
    <w:name w:val="FERC paranumber"/>
    <w:basedOn w:val="Normal"/>
    <w:link w:val="FERCparanumberChar1"/>
    <w:rsid w:val="00AD7EF7"/>
    <w:pPr>
      <w:numPr>
        <w:numId w:val="1"/>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1">
    <w:name w:val="FERC paranumber Char1"/>
    <w:basedOn w:val="DefaultParagraphFont"/>
    <w:link w:val="FERCparanumber"/>
    <w:rsid w:val="00AD7EF7"/>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FA0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842"/>
  </w:style>
  <w:style w:type="paragraph" w:styleId="Footer">
    <w:name w:val="footer"/>
    <w:basedOn w:val="Normal"/>
    <w:link w:val="FooterChar"/>
    <w:uiPriority w:val="99"/>
    <w:unhideWhenUsed/>
    <w:rsid w:val="00FA0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842"/>
  </w:style>
  <w:style w:type="character" w:styleId="Hyperlink">
    <w:name w:val="Hyperlink"/>
    <w:basedOn w:val="DefaultParagraphFont"/>
    <w:uiPriority w:val="99"/>
    <w:unhideWhenUsed/>
    <w:rsid w:val="00EA62A8"/>
    <w:rPr>
      <w:color w:val="0000FF" w:themeColor="hyperlink"/>
      <w:u w:val="single"/>
    </w:rPr>
  </w:style>
  <w:style w:type="paragraph" w:styleId="BalloonText">
    <w:name w:val="Balloon Text"/>
    <w:basedOn w:val="Normal"/>
    <w:link w:val="BalloonTextChar"/>
    <w:uiPriority w:val="99"/>
    <w:semiHidden/>
    <w:unhideWhenUsed/>
    <w:rsid w:val="00663F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FF7"/>
    <w:rPr>
      <w:rFonts w:ascii="Tahoma" w:hAnsi="Tahoma" w:cs="Tahoma"/>
      <w:sz w:val="16"/>
      <w:szCs w:val="16"/>
    </w:rPr>
  </w:style>
  <w:style w:type="character" w:styleId="CommentReference">
    <w:name w:val="annotation reference"/>
    <w:basedOn w:val="DefaultParagraphFont"/>
    <w:uiPriority w:val="99"/>
    <w:semiHidden/>
    <w:unhideWhenUsed/>
    <w:rsid w:val="005C4C64"/>
    <w:rPr>
      <w:sz w:val="16"/>
      <w:szCs w:val="16"/>
    </w:rPr>
  </w:style>
  <w:style w:type="paragraph" w:styleId="CommentText">
    <w:name w:val="annotation text"/>
    <w:basedOn w:val="Normal"/>
    <w:link w:val="CommentTextChar"/>
    <w:uiPriority w:val="99"/>
    <w:semiHidden/>
    <w:unhideWhenUsed/>
    <w:rsid w:val="005C4C64"/>
    <w:pPr>
      <w:spacing w:line="240" w:lineRule="auto"/>
    </w:pPr>
    <w:rPr>
      <w:sz w:val="20"/>
      <w:szCs w:val="20"/>
    </w:rPr>
  </w:style>
  <w:style w:type="character" w:customStyle="1" w:styleId="CommentTextChar">
    <w:name w:val="Comment Text Char"/>
    <w:basedOn w:val="DefaultParagraphFont"/>
    <w:link w:val="CommentText"/>
    <w:uiPriority w:val="99"/>
    <w:semiHidden/>
    <w:rsid w:val="005C4C64"/>
    <w:rPr>
      <w:sz w:val="20"/>
      <w:szCs w:val="20"/>
    </w:rPr>
  </w:style>
  <w:style w:type="paragraph" w:styleId="CommentSubject">
    <w:name w:val="annotation subject"/>
    <w:basedOn w:val="CommentText"/>
    <w:next w:val="CommentText"/>
    <w:link w:val="CommentSubjectChar"/>
    <w:uiPriority w:val="99"/>
    <w:semiHidden/>
    <w:unhideWhenUsed/>
    <w:rsid w:val="005C4C64"/>
    <w:rPr>
      <w:b/>
      <w:bCs/>
    </w:rPr>
  </w:style>
  <w:style w:type="character" w:customStyle="1" w:styleId="CommentSubjectChar">
    <w:name w:val="Comment Subject Char"/>
    <w:basedOn w:val="CommentTextChar"/>
    <w:link w:val="CommentSubject"/>
    <w:uiPriority w:val="99"/>
    <w:semiHidden/>
    <w:rsid w:val="005C4C64"/>
    <w:rPr>
      <w:b/>
      <w:bCs/>
      <w:sz w:val="20"/>
      <w:szCs w:val="20"/>
    </w:rPr>
  </w:style>
  <w:style w:type="character" w:styleId="FollowedHyperlink">
    <w:name w:val="FollowedHyperlink"/>
    <w:basedOn w:val="DefaultParagraphFont"/>
    <w:uiPriority w:val="99"/>
    <w:semiHidden/>
    <w:unhideWhenUsed/>
    <w:rsid w:val="00A3054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rsid w:val="00AD7EF7"/>
    <w:pPr>
      <w:widowControl w:val="0"/>
      <w:autoSpaceDE w:val="0"/>
      <w:autoSpaceDN w:val="0"/>
      <w:adjustRightInd w:val="0"/>
      <w:spacing w:after="240" w:line="240" w:lineRule="auto"/>
      <w:ind w:firstLine="720"/>
    </w:pPr>
    <w:rPr>
      <w:rFonts w:ascii="Times New Roman" w:eastAsia="Times New Roman" w:hAnsi="Times New Roman" w:cs="Times New Roman"/>
      <w:sz w:val="26"/>
      <w:szCs w:val="20"/>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rsid w:val="00AD7EF7"/>
    <w:rPr>
      <w:rFonts w:ascii="Times New Roman" w:eastAsia="Times New Roman" w:hAnsi="Times New Roman" w:cs="Times New Roman"/>
      <w:sz w:val="26"/>
      <w:szCs w:val="20"/>
    </w:rPr>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basedOn w:val="DefaultParagraphFont"/>
    <w:rsid w:val="00AD7EF7"/>
    <w:rPr>
      <w:rFonts w:ascii="Times New Roman" w:hAnsi="Times New Roman"/>
      <w:b/>
      <w:dstrike w:val="0"/>
      <w:sz w:val="26"/>
      <w:szCs w:val="26"/>
      <w:vertAlign w:val="superscript"/>
    </w:rPr>
  </w:style>
  <w:style w:type="paragraph" w:customStyle="1" w:styleId="FERCparanumber">
    <w:name w:val="FERC paranumber"/>
    <w:basedOn w:val="Normal"/>
    <w:link w:val="FERCparanumberChar1"/>
    <w:rsid w:val="00AD7EF7"/>
    <w:pPr>
      <w:numPr>
        <w:numId w:val="1"/>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1">
    <w:name w:val="FERC paranumber Char1"/>
    <w:basedOn w:val="DefaultParagraphFont"/>
    <w:link w:val="FERCparanumber"/>
    <w:rsid w:val="00AD7EF7"/>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FA0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842"/>
  </w:style>
  <w:style w:type="paragraph" w:styleId="Footer">
    <w:name w:val="footer"/>
    <w:basedOn w:val="Normal"/>
    <w:link w:val="FooterChar"/>
    <w:uiPriority w:val="99"/>
    <w:unhideWhenUsed/>
    <w:rsid w:val="00FA0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842"/>
  </w:style>
  <w:style w:type="character" w:styleId="Hyperlink">
    <w:name w:val="Hyperlink"/>
    <w:basedOn w:val="DefaultParagraphFont"/>
    <w:uiPriority w:val="99"/>
    <w:unhideWhenUsed/>
    <w:rsid w:val="00EA62A8"/>
    <w:rPr>
      <w:color w:val="0000FF" w:themeColor="hyperlink"/>
      <w:u w:val="single"/>
    </w:rPr>
  </w:style>
  <w:style w:type="paragraph" w:styleId="BalloonText">
    <w:name w:val="Balloon Text"/>
    <w:basedOn w:val="Normal"/>
    <w:link w:val="BalloonTextChar"/>
    <w:uiPriority w:val="99"/>
    <w:semiHidden/>
    <w:unhideWhenUsed/>
    <w:rsid w:val="00663F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FF7"/>
    <w:rPr>
      <w:rFonts w:ascii="Tahoma" w:hAnsi="Tahoma" w:cs="Tahoma"/>
      <w:sz w:val="16"/>
      <w:szCs w:val="16"/>
    </w:rPr>
  </w:style>
  <w:style w:type="character" w:styleId="CommentReference">
    <w:name w:val="annotation reference"/>
    <w:basedOn w:val="DefaultParagraphFont"/>
    <w:uiPriority w:val="99"/>
    <w:semiHidden/>
    <w:unhideWhenUsed/>
    <w:rsid w:val="005C4C64"/>
    <w:rPr>
      <w:sz w:val="16"/>
      <w:szCs w:val="16"/>
    </w:rPr>
  </w:style>
  <w:style w:type="paragraph" w:styleId="CommentText">
    <w:name w:val="annotation text"/>
    <w:basedOn w:val="Normal"/>
    <w:link w:val="CommentTextChar"/>
    <w:uiPriority w:val="99"/>
    <w:semiHidden/>
    <w:unhideWhenUsed/>
    <w:rsid w:val="005C4C64"/>
    <w:pPr>
      <w:spacing w:line="240" w:lineRule="auto"/>
    </w:pPr>
    <w:rPr>
      <w:sz w:val="20"/>
      <w:szCs w:val="20"/>
    </w:rPr>
  </w:style>
  <w:style w:type="character" w:customStyle="1" w:styleId="CommentTextChar">
    <w:name w:val="Comment Text Char"/>
    <w:basedOn w:val="DefaultParagraphFont"/>
    <w:link w:val="CommentText"/>
    <w:uiPriority w:val="99"/>
    <w:semiHidden/>
    <w:rsid w:val="005C4C64"/>
    <w:rPr>
      <w:sz w:val="20"/>
      <w:szCs w:val="20"/>
    </w:rPr>
  </w:style>
  <w:style w:type="paragraph" w:styleId="CommentSubject">
    <w:name w:val="annotation subject"/>
    <w:basedOn w:val="CommentText"/>
    <w:next w:val="CommentText"/>
    <w:link w:val="CommentSubjectChar"/>
    <w:uiPriority w:val="99"/>
    <w:semiHidden/>
    <w:unhideWhenUsed/>
    <w:rsid w:val="005C4C64"/>
    <w:rPr>
      <w:b/>
      <w:bCs/>
    </w:rPr>
  </w:style>
  <w:style w:type="character" w:customStyle="1" w:styleId="CommentSubjectChar">
    <w:name w:val="Comment Subject Char"/>
    <w:basedOn w:val="CommentTextChar"/>
    <w:link w:val="CommentSubject"/>
    <w:uiPriority w:val="99"/>
    <w:semiHidden/>
    <w:rsid w:val="005C4C64"/>
    <w:rPr>
      <w:b/>
      <w:bCs/>
      <w:sz w:val="20"/>
      <w:szCs w:val="20"/>
    </w:rPr>
  </w:style>
  <w:style w:type="character" w:styleId="FollowedHyperlink">
    <w:name w:val="FollowedHyperlink"/>
    <w:basedOn w:val="DefaultParagraphFont"/>
    <w:uiPriority w:val="99"/>
    <w:semiHidden/>
    <w:unhideWhenUsed/>
    <w:rsid w:val="00A305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elibrary.ferc.gov/idmws/common/opennat.asp?fileID=13308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3E31B-EEFB-4EAF-A076-6D0C4603E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4006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ferc</dc:creator>
  <cp:lastModifiedBy>Ellen Brown</cp:lastModifiedBy>
  <cp:revision>5</cp:revision>
  <dcterms:created xsi:type="dcterms:W3CDTF">2013-08-08T19:29:00Z</dcterms:created>
  <dcterms:modified xsi:type="dcterms:W3CDTF">2013-08-19T14:10:00Z</dcterms:modified>
</cp:coreProperties>
</file>