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6A" w:rsidRDefault="00E85B6A" w:rsidP="00E85B6A">
      <w:pPr>
        <w:widowControl/>
        <w:tabs>
          <w:tab w:val="center" w:pos="4680"/>
        </w:tabs>
        <w:jc w:val="center"/>
        <w:rPr>
          <w:b/>
          <w:bCs/>
          <w:sz w:val="26"/>
          <w:szCs w:val="26"/>
        </w:rPr>
      </w:pPr>
      <w:r>
        <w:rPr>
          <w:b/>
          <w:bCs/>
          <w:sz w:val="26"/>
          <w:szCs w:val="26"/>
        </w:rPr>
        <w:t>SUPPORTING STATEMENT FOR</w:t>
      </w:r>
    </w:p>
    <w:p w:rsidR="00E85B6A" w:rsidRDefault="00E85B6A" w:rsidP="00E85B6A">
      <w:pPr>
        <w:widowControl/>
        <w:tabs>
          <w:tab w:val="center" w:pos="4680"/>
        </w:tabs>
        <w:jc w:val="center"/>
        <w:rPr>
          <w:b/>
          <w:bCs/>
          <w:sz w:val="26"/>
          <w:szCs w:val="26"/>
        </w:rPr>
      </w:pPr>
      <w:r>
        <w:rPr>
          <w:b/>
          <w:bCs/>
          <w:sz w:val="26"/>
          <w:szCs w:val="26"/>
        </w:rPr>
        <w:t>FERC-717</w:t>
      </w:r>
      <w:r w:rsidR="00A11775">
        <w:rPr>
          <w:b/>
          <w:bCs/>
          <w:sz w:val="26"/>
          <w:szCs w:val="26"/>
        </w:rPr>
        <w:t>A</w:t>
      </w:r>
      <w:r>
        <w:rPr>
          <w:b/>
          <w:bCs/>
          <w:sz w:val="26"/>
          <w:szCs w:val="26"/>
        </w:rPr>
        <w:t xml:space="preserve"> (</w:t>
      </w:r>
      <w:r w:rsidR="00A11775">
        <w:rPr>
          <w:b/>
          <w:bCs/>
          <w:sz w:val="26"/>
          <w:szCs w:val="26"/>
        </w:rPr>
        <w:t xml:space="preserve">RM05-5-022, </w:t>
      </w:r>
      <w:r>
        <w:rPr>
          <w:b/>
          <w:bCs/>
          <w:sz w:val="26"/>
          <w:szCs w:val="26"/>
        </w:rPr>
        <w:t xml:space="preserve">Standards for Business Practices and Communication </w:t>
      </w:r>
    </w:p>
    <w:p w:rsidR="00E85B6A" w:rsidRDefault="00E85B6A" w:rsidP="00E85B6A">
      <w:pPr>
        <w:widowControl/>
        <w:tabs>
          <w:tab w:val="center" w:pos="4680"/>
        </w:tabs>
        <w:jc w:val="center"/>
        <w:rPr>
          <w:b/>
          <w:bCs/>
          <w:sz w:val="26"/>
          <w:szCs w:val="26"/>
        </w:rPr>
      </w:pPr>
      <w:r>
        <w:rPr>
          <w:b/>
          <w:bCs/>
          <w:sz w:val="26"/>
          <w:szCs w:val="26"/>
        </w:rPr>
        <w:t xml:space="preserve">Protocols for Public Utilities), and </w:t>
      </w:r>
    </w:p>
    <w:p w:rsidR="00E85B6A" w:rsidRDefault="00E85B6A" w:rsidP="00E85B6A">
      <w:pPr>
        <w:widowControl/>
        <w:tabs>
          <w:tab w:val="center" w:pos="4680"/>
        </w:tabs>
        <w:jc w:val="center"/>
        <w:rPr>
          <w:b/>
          <w:bCs/>
          <w:sz w:val="26"/>
          <w:szCs w:val="26"/>
        </w:rPr>
      </w:pPr>
      <w:r>
        <w:rPr>
          <w:b/>
          <w:bCs/>
          <w:sz w:val="26"/>
          <w:szCs w:val="26"/>
        </w:rPr>
        <w:t>FERC-516 (Electric Rate Schedule and Tariff Filings)</w:t>
      </w:r>
    </w:p>
    <w:p w:rsidR="00E85B6A" w:rsidRPr="005D1BC1" w:rsidRDefault="00E85B6A" w:rsidP="00E85B6A">
      <w:pPr>
        <w:widowControl/>
        <w:tabs>
          <w:tab w:val="center" w:pos="4680"/>
        </w:tabs>
        <w:jc w:val="center"/>
        <w:rPr>
          <w:bCs/>
          <w:sz w:val="26"/>
          <w:szCs w:val="26"/>
        </w:rPr>
      </w:pPr>
      <w:r>
        <w:rPr>
          <w:sz w:val="26"/>
          <w:szCs w:val="26"/>
        </w:rPr>
        <w:t xml:space="preserve">Notice of Proposed </w:t>
      </w:r>
      <w:r w:rsidR="00A348D1">
        <w:rPr>
          <w:sz w:val="26"/>
          <w:szCs w:val="26"/>
        </w:rPr>
        <w:t xml:space="preserve">Rulemaking (issued </w:t>
      </w:r>
      <w:r w:rsidR="007D6DC9">
        <w:rPr>
          <w:sz w:val="26"/>
          <w:szCs w:val="26"/>
        </w:rPr>
        <w:t>July</w:t>
      </w:r>
      <w:r w:rsidR="00A348D1">
        <w:rPr>
          <w:sz w:val="26"/>
          <w:szCs w:val="26"/>
        </w:rPr>
        <w:t xml:space="preserve"> 18, 2013</w:t>
      </w:r>
      <w:r w:rsidRPr="004940CB">
        <w:rPr>
          <w:sz w:val="26"/>
          <w:szCs w:val="26"/>
        </w:rPr>
        <w:t>) in</w:t>
      </w:r>
      <w:r w:rsidR="00AD3051">
        <w:rPr>
          <w:sz w:val="26"/>
          <w:szCs w:val="26"/>
        </w:rPr>
        <w:t xml:space="preserve"> </w:t>
      </w:r>
      <w:r w:rsidRPr="00FF3236">
        <w:rPr>
          <w:bCs/>
          <w:sz w:val="26"/>
          <w:szCs w:val="26"/>
        </w:rPr>
        <w:t>Do</w:t>
      </w:r>
      <w:r w:rsidRPr="005D1BC1">
        <w:rPr>
          <w:bCs/>
          <w:sz w:val="26"/>
          <w:szCs w:val="26"/>
        </w:rPr>
        <w:t>cket</w:t>
      </w:r>
      <w:r w:rsidRPr="005D1BC1">
        <w:rPr>
          <w:sz w:val="26"/>
          <w:szCs w:val="26"/>
        </w:rPr>
        <w:t xml:space="preserve"> No. RM05-05-0</w:t>
      </w:r>
      <w:r w:rsidR="00A348D1">
        <w:rPr>
          <w:sz w:val="26"/>
          <w:szCs w:val="26"/>
        </w:rPr>
        <w:t>22</w:t>
      </w:r>
    </w:p>
    <w:p w:rsidR="00E85B6A" w:rsidRPr="005D1BC1" w:rsidRDefault="00E85B6A" w:rsidP="00E85B6A">
      <w:pPr>
        <w:widowControl/>
        <w:rPr>
          <w:bCs/>
          <w:sz w:val="26"/>
          <w:szCs w:val="26"/>
        </w:rPr>
      </w:pPr>
    </w:p>
    <w:p w:rsidR="00E85B6A" w:rsidRDefault="00E85B6A" w:rsidP="00A348D1">
      <w:pPr>
        <w:widowControl/>
        <w:rPr>
          <w:sz w:val="26"/>
          <w:szCs w:val="26"/>
        </w:rPr>
      </w:pPr>
      <w:r>
        <w:rPr>
          <w:sz w:val="26"/>
          <w:szCs w:val="26"/>
        </w:rPr>
        <w:t>The Federal Energy Regulatory Commission (Commission or FERC) requests</w:t>
      </w:r>
      <w:r w:rsidR="00AE0AF0">
        <w:rPr>
          <w:sz w:val="26"/>
          <w:szCs w:val="26"/>
        </w:rPr>
        <w:t xml:space="preserve"> that</w:t>
      </w:r>
      <w:r>
        <w:rPr>
          <w:sz w:val="26"/>
          <w:szCs w:val="26"/>
        </w:rPr>
        <w:t xml:space="preserve"> the Office of Management and Budget (OMB) review </w:t>
      </w:r>
      <w:r w:rsidRPr="00B25AAE">
        <w:rPr>
          <w:bCs/>
          <w:sz w:val="26"/>
          <w:szCs w:val="26"/>
        </w:rPr>
        <w:t>FERC-717</w:t>
      </w:r>
      <w:r w:rsidR="00A11775">
        <w:rPr>
          <w:bCs/>
          <w:sz w:val="26"/>
          <w:szCs w:val="26"/>
        </w:rPr>
        <w:t>A</w:t>
      </w:r>
      <w:r w:rsidRPr="00B25AAE">
        <w:rPr>
          <w:bCs/>
          <w:sz w:val="26"/>
          <w:szCs w:val="26"/>
        </w:rPr>
        <w:t xml:space="preserve"> </w:t>
      </w:r>
      <w:r>
        <w:rPr>
          <w:bCs/>
          <w:sz w:val="26"/>
          <w:szCs w:val="26"/>
        </w:rPr>
        <w:t>(</w:t>
      </w:r>
      <w:r w:rsidR="00A11775">
        <w:rPr>
          <w:bCs/>
          <w:sz w:val="26"/>
          <w:szCs w:val="26"/>
        </w:rPr>
        <w:t xml:space="preserve">RM05-5-022, </w:t>
      </w:r>
      <w:r w:rsidRPr="00B25AAE">
        <w:rPr>
          <w:bCs/>
          <w:sz w:val="26"/>
          <w:szCs w:val="26"/>
        </w:rPr>
        <w:t>Standards for Business Practices and Communication Protocols for Public Utilities</w:t>
      </w:r>
      <w:r>
        <w:rPr>
          <w:bCs/>
          <w:sz w:val="26"/>
          <w:szCs w:val="26"/>
        </w:rPr>
        <w:t>)</w:t>
      </w:r>
      <w:r w:rsidR="00EA3A8A" w:rsidRPr="00EA3A8A">
        <w:rPr>
          <w:rStyle w:val="FootnoteReference"/>
          <w:sz w:val="26"/>
          <w:szCs w:val="26"/>
          <w:vertAlign w:val="superscript"/>
        </w:rPr>
        <w:footnoteReference w:id="1"/>
      </w:r>
      <w:r w:rsidR="00F03E37" w:rsidRPr="00F03E37">
        <w:rPr>
          <w:bCs/>
          <w:sz w:val="26"/>
          <w:szCs w:val="26"/>
        </w:rPr>
        <w:t xml:space="preserve"> </w:t>
      </w:r>
      <w:r w:rsidR="00F03E37" w:rsidRPr="00B25AAE">
        <w:rPr>
          <w:bCs/>
          <w:sz w:val="26"/>
          <w:szCs w:val="26"/>
        </w:rPr>
        <w:t xml:space="preserve">and FERC-516 </w:t>
      </w:r>
      <w:r w:rsidR="00F03E37">
        <w:rPr>
          <w:bCs/>
          <w:sz w:val="26"/>
          <w:szCs w:val="26"/>
        </w:rPr>
        <w:t>(</w:t>
      </w:r>
      <w:r w:rsidR="00F03E37" w:rsidRPr="00B25AAE">
        <w:rPr>
          <w:bCs/>
          <w:sz w:val="26"/>
          <w:szCs w:val="26"/>
        </w:rPr>
        <w:t>Electric Rate Schedule and Tariff Filings</w:t>
      </w:r>
      <w:r w:rsidR="00F03E37">
        <w:rPr>
          <w:bCs/>
          <w:sz w:val="26"/>
          <w:szCs w:val="26"/>
        </w:rPr>
        <w:t>)</w:t>
      </w:r>
      <w:r w:rsidR="00F03E37" w:rsidRPr="00B25AAE">
        <w:rPr>
          <w:bCs/>
          <w:sz w:val="26"/>
          <w:szCs w:val="26"/>
        </w:rPr>
        <w:t>.</w:t>
      </w:r>
      <w:r w:rsidR="00F03E37">
        <w:rPr>
          <w:sz w:val="26"/>
          <w:szCs w:val="26"/>
        </w:rPr>
        <w:t xml:space="preserve">  This is a consolidated supporting statement that will be submitted to OMB under two different Information Collection Requests</w:t>
      </w:r>
    </w:p>
    <w:p w:rsidR="00E85B6A" w:rsidRDefault="00E85B6A" w:rsidP="00E85B6A">
      <w:pPr>
        <w:pStyle w:val="FERCparanumber"/>
        <w:numPr>
          <w:ilvl w:val="0"/>
          <w:numId w:val="0"/>
        </w:numPr>
        <w:tabs>
          <w:tab w:val="left" w:pos="0"/>
          <w:tab w:val="left" w:pos="780"/>
          <w:tab w:val="left" w:pos="1440"/>
          <w:tab w:val="left" w:pos="2210"/>
          <w:tab w:val="left" w:pos="2860"/>
          <w:tab w:val="left" w:pos="3640"/>
          <w:tab w:val="left" w:pos="4320"/>
          <w:tab w:val="left" w:pos="5040"/>
          <w:tab w:val="left" w:pos="5760"/>
          <w:tab w:val="left" w:pos="6480"/>
          <w:tab w:val="left" w:pos="7200"/>
        </w:tabs>
        <w:spacing w:line="240" w:lineRule="auto"/>
      </w:pPr>
      <w:r>
        <w:tab/>
      </w:r>
    </w:p>
    <w:p w:rsidR="00177C71" w:rsidRPr="00A348D1" w:rsidRDefault="00A35BA9" w:rsidP="00A35BA9">
      <w:pPr>
        <w:widowControl/>
        <w:autoSpaceDE/>
        <w:autoSpaceDN/>
        <w:adjustRightInd/>
      </w:pPr>
      <w:r w:rsidRPr="00A35BA9">
        <w:rPr>
          <w:sz w:val="26"/>
        </w:rPr>
        <w:t xml:space="preserve">In this Notice of Proposed Rulemaking (NOPR), the </w:t>
      </w:r>
      <w:r>
        <w:rPr>
          <w:sz w:val="26"/>
        </w:rPr>
        <w:t>Commission</w:t>
      </w:r>
      <w:r w:rsidRPr="00A35BA9">
        <w:rPr>
          <w:sz w:val="26"/>
        </w:rPr>
        <w:t xml:space="preserve"> proposes to amend its regulations under the Federal Power Act</w:t>
      </w:r>
      <w:r w:rsidRPr="00A35BA9">
        <w:rPr>
          <w:b/>
          <w:sz w:val="26"/>
          <w:szCs w:val="26"/>
          <w:vertAlign w:val="superscript"/>
        </w:rPr>
        <w:footnoteReference w:id="2"/>
      </w:r>
      <w:r w:rsidRPr="00A35BA9">
        <w:rPr>
          <w:sz w:val="26"/>
        </w:rPr>
        <w:t xml:space="preserve"> to incorporate by ref</w:t>
      </w:r>
      <w:r w:rsidR="007D6DC9">
        <w:rPr>
          <w:sz w:val="26"/>
        </w:rPr>
        <w:t xml:space="preserve">erence, with certain </w:t>
      </w:r>
      <w:r w:rsidRPr="00A35BA9">
        <w:rPr>
          <w:sz w:val="26"/>
        </w:rPr>
        <w:t>exceptions</w:t>
      </w:r>
      <w:r w:rsidR="007D6DC9">
        <w:rPr>
          <w:sz w:val="26"/>
        </w:rPr>
        <w:t xml:space="preserve"> enumerated in the NOPR</w:t>
      </w:r>
      <w:r w:rsidRPr="00A35BA9">
        <w:rPr>
          <w:sz w:val="26"/>
        </w:rPr>
        <w:t>, the latest version of the Standards for Business Practices and Communication Protocols for Public Utilities (Version 003) adopted by the Wholesale Electric Quadrant (WEQ) of the North American Energy Standards Board (NAESB) and filed with the Commission as a package on September 18, 2012 (September 18 Filing), as modified in a report filed with the Commission on January 30, 2013.</w:t>
      </w:r>
    </w:p>
    <w:p w:rsidR="00E85B6A" w:rsidRDefault="00E85B6A" w:rsidP="00E85B6A">
      <w:pPr>
        <w:widowControl/>
        <w:rPr>
          <w:b/>
          <w:bCs/>
          <w:sz w:val="26"/>
          <w:szCs w:val="26"/>
          <w:u w:val="single"/>
        </w:rPr>
      </w:pPr>
    </w:p>
    <w:p w:rsidR="00E85B6A" w:rsidRPr="002524C9" w:rsidRDefault="00E85B6A" w:rsidP="00E85B6A">
      <w:pPr>
        <w:widowControl/>
        <w:rPr>
          <w:sz w:val="26"/>
          <w:szCs w:val="26"/>
        </w:rPr>
      </w:pPr>
      <w:r w:rsidRPr="002524C9">
        <w:rPr>
          <w:bCs/>
          <w:sz w:val="26"/>
          <w:szCs w:val="26"/>
          <w:u w:val="single"/>
        </w:rPr>
        <w:t>Background</w:t>
      </w:r>
      <w:r>
        <w:rPr>
          <w:bCs/>
          <w:sz w:val="26"/>
          <w:szCs w:val="26"/>
          <w:u w:val="single"/>
        </w:rPr>
        <w:t xml:space="preserve"> on NAESB and the Business Practice Standards in this proceeding</w:t>
      </w:r>
    </w:p>
    <w:p w:rsidR="001E0E81" w:rsidRDefault="001E0E81" w:rsidP="001E0E81">
      <w:pPr>
        <w:pStyle w:val="FERCparanumber"/>
        <w:widowControl w:val="0"/>
        <w:numPr>
          <w:ilvl w:val="0"/>
          <w:numId w:val="0"/>
        </w:numPr>
        <w:tabs>
          <w:tab w:val="left" w:pos="0"/>
          <w:tab w:val="left" w:pos="780"/>
          <w:tab w:val="left" w:pos="1440"/>
          <w:tab w:val="left" w:pos="2210"/>
          <w:tab w:val="left" w:pos="2860"/>
          <w:tab w:val="left" w:pos="3640"/>
          <w:tab w:val="left" w:pos="4320"/>
          <w:tab w:val="left" w:pos="5040"/>
          <w:tab w:val="left" w:pos="5760"/>
          <w:tab w:val="left" w:pos="6480"/>
          <w:tab w:val="left" w:pos="7200"/>
        </w:tabs>
        <w:spacing w:line="240" w:lineRule="auto"/>
      </w:pPr>
    </w:p>
    <w:p w:rsidR="00E85B6A" w:rsidRDefault="00E85B6A" w:rsidP="001E0E81">
      <w:pPr>
        <w:pStyle w:val="FERCparanumber"/>
        <w:widowControl w:val="0"/>
        <w:numPr>
          <w:ilvl w:val="0"/>
          <w:numId w:val="0"/>
        </w:numPr>
        <w:tabs>
          <w:tab w:val="left" w:pos="0"/>
          <w:tab w:val="left" w:pos="780"/>
          <w:tab w:val="left" w:pos="1440"/>
          <w:tab w:val="left" w:pos="2210"/>
          <w:tab w:val="left" w:pos="2860"/>
          <w:tab w:val="left" w:pos="3640"/>
          <w:tab w:val="left" w:pos="4320"/>
          <w:tab w:val="left" w:pos="5040"/>
          <w:tab w:val="left" w:pos="5760"/>
          <w:tab w:val="left" w:pos="6480"/>
          <w:tab w:val="left" w:pos="7200"/>
        </w:tabs>
        <w:spacing w:line="240" w:lineRule="auto"/>
      </w:pPr>
      <w:r>
        <w:t xml:space="preserve">When the Commission developed its </w:t>
      </w:r>
      <w:r w:rsidR="007D6DC9">
        <w:t>Open Access Same-Time Information System (</w:t>
      </w:r>
      <w:r>
        <w:t>OASIS</w:t>
      </w:r>
      <w:r w:rsidR="007D6DC9">
        <w:t>)</w:t>
      </w:r>
      <w:r>
        <w:t xml:space="preserve"> program (</w:t>
      </w:r>
      <w:r w:rsidR="0037377F">
        <w:t>Regulations</w:t>
      </w:r>
      <w:r>
        <w:t xml:space="preserve">, Standards and Communication Protocols, Data Dictionary, and Business Practice Standards), it relied heavily on the assistance provided by all segments of the wholesale electric power industry and its customers in the ad hoc working groups that came </w:t>
      </w:r>
      <w:bookmarkStart w:id="0" w:name="_GoBack"/>
      <w:bookmarkEnd w:id="0"/>
      <w:r>
        <w:t>together and offered consensus proposals for FERC’s consideration.  This process was very successful</w:t>
      </w:r>
      <w:r w:rsidR="0037377F">
        <w:t>;</w:t>
      </w:r>
      <w:r>
        <w:t xml:space="preserve"> however, it bec</w:t>
      </w:r>
      <w:r w:rsidRPr="00B40252">
        <w:t xml:space="preserve">ame apparent to FERC that issues remained that would be better addressed by an ongoing industry group rather than by continued reliance on an ad hoc approach.  </w:t>
      </w:r>
      <w:r w:rsidR="00AE0AF0">
        <w:t>It was envisioned that t</w:t>
      </w:r>
      <w:r w:rsidRPr="00B40252">
        <w:t xml:space="preserve">he </w:t>
      </w:r>
      <w:r w:rsidR="00AE0AF0">
        <w:t xml:space="preserve">ongoing </w:t>
      </w:r>
      <w:r w:rsidRPr="00B40252">
        <w:t xml:space="preserve">industry group would be dedicated to drafting consensus industry standards to implement the FERC’s OASIS-related policies, and policies for other industry business practices, </w:t>
      </w:r>
      <w:r w:rsidRPr="00B40252">
        <w:lastRenderedPageBreak/>
        <w:t>that would benefit from the implementation of generic industry standards.</w:t>
      </w:r>
    </w:p>
    <w:p w:rsidR="001E0E81" w:rsidRDefault="001E0E81" w:rsidP="001E0E81">
      <w:pPr>
        <w:pStyle w:val="FERCparanumber"/>
        <w:widowControl w:val="0"/>
        <w:numPr>
          <w:ilvl w:val="0"/>
          <w:numId w:val="0"/>
        </w:numPr>
        <w:tabs>
          <w:tab w:val="left" w:pos="0"/>
          <w:tab w:val="left" w:pos="780"/>
          <w:tab w:val="left" w:pos="1440"/>
          <w:tab w:val="left" w:pos="2210"/>
          <w:tab w:val="left" w:pos="2860"/>
          <w:tab w:val="left" w:pos="3640"/>
          <w:tab w:val="left" w:pos="4320"/>
          <w:tab w:val="left" w:pos="5040"/>
          <w:tab w:val="left" w:pos="5760"/>
          <w:tab w:val="left" w:pos="6480"/>
          <w:tab w:val="left" w:pos="7200"/>
        </w:tabs>
        <w:spacing w:line="240" w:lineRule="auto"/>
      </w:pPr>
    </w:p>
    <w:p w:rsidR="00E85B6A" w:rsidRDefault="00E85B6A" w:rsidP="001E0E81">
      <w:pPr>
        <w:pStyle w:val="FERCparanumber"/>
        <w:widowControl w:val="0"/>
        <w:numPr>
          <w:ilvl w:val="0"/>
          <w:numId w:val="0"/>
        </w:numPr>
        <w:tabs>
          <w:tab w:val="left" w:pos="0"/>
          <w:tab w:val="left" w:pos="780"/>
          <w:tab w:val="left" w:pos="1440"/>
          <w:tab w:val="left" w:pos="2210"/>
          <w:tab w:val="left" w:pos="2860"/>
          <w:tab w:val="left" w:pos="3640"/>
          <w:tab w:val="left" w:pos="4320"/>
          <w:tab w:val="left" w:pos="5040"/>
          <w:tab w:val="left" w:pos="5760"/>
          <w:tab w:val="left" w:pos="6480"/>
          <w:tab w:val="left" w:pos="7200"/>
        </w:tabs>
        <w:spacing w:line="240" w:lineRule="auto"/>
      </w:pPr>
      <w:r>
        <w:t xml:space="preserve">On </w:t>
      </w:r>
      <w:r w:rsidRPr="009A4448">
        <w:t>December 19, 2001, the Commission issued an order</w:t>
      </w:r>
      <w:r w:rsidRPr="000F6165">
        <w:rPr>
          <w:rStyle w:val="FootnoteReference"/>
          <w:vertAlign w:val="superscript"/>
        </w:rPr>
        <w:footnoteReference w:id="3"/>
      </w:r>
      <w:r w:rsidRPr="009A4448">
        <w:t xml:space="preserve">asking the </w:t>
      </w:r>
      <w:r>
        <w:t xml:space="preserve">wholesale electric power </w:t>
      </w:r>
      <w:r w:rsidRPr="009A4448">
        <w:t>industry to develop business practice standards and communication protocols by establishing a</w:t>
      </w:r>
      <w:r w:rsidR="0040152A">
        <w:t xml:space="preserve"> </w:t>
      </w:r>
      <w:r w:rsidRPr="009A4448">
        <w:t>single consensus, industry-wide standards organization for the wholesale electric industry, to complement the market design principles the Commission was developing.</w:t>
      </w:r>
    </w:p>
    <w:p w:rsidR="001E0E81" w:rsidRDefault="001E0E81" w:rsidP="001E0E81">
      <w:pPr>
        <w:pStyle w:val="FERCparanumber"/>
        <w:widowControl w:val="0"/>
        <w:numPr>
          <w:ilvl w:val="0"/>
          <w:numId w:val="0"/>
        </w:numPr>
        <w:tabs>
          <w:tab w:val="left" w:pos="0"/>
          <w:tab w:val="left" w:pos="780"/>
          <w:tab w:val="left" w:pos="1440"/>
          <w:tab w:val="left" w:pos="2210"/>
          <w:tab w:val="left" w:pos="2860"/>
          <w:tab w:val="left" w:pos="3640"/>
          <w:tab w:val="left" w:pos="4320"/>
          <w:tab w:val="left" w:pos="5040"/>
          <w:tab w:val="left" w:pos="5760"/>
          <w:tab w:val="left" w:pos="6480"/>
          <w:tab w:val="left" w:pos="7200"/>
        </w:tabs>
        <w:spacing w:line="240" w:lineRule="auto"/>
      </w:pPr>
    </w:p>
    <w:p w:rsidR="00E85B6A" w:rsidRDefault="00E85B6A" w:rsidP="001E0E81">
      <w:pPr>
        <w:pStyle w:val="FERCparanumber"/>
        <w:widowControl w:val="0"/>
        <w:numPr>
          <w:ilvl w:val="0"/>
          <w:numId w:val="0"/>
        </w:numPr>
        <w:tabs>
          <w:tab w:val="left" w:pos="0"/>
          <w:tab w:val="left" w:pos="780"/>
          <w:tab w:val="left" w:pos="1440"/>
          <w:tab w:val="left" w:pos="2210"/>
          <w:tab w:val="left" w:pos="2860"/>
          <w:tab w:val="left" w:pos="3640"/>
          <w:tab w:val="left" w:pos="4320"/>
          <w:tab w:val="left" w:pos="5040"/>
          <w:tab w:val="left" w:pos="5760"/>
          <w:tab w:val="left" w:pos="6480"/>
          <w:tab w:val="left" w:pos="7200"/>
        </w:tabs>
        <w:spacing w:line="240" w:lineRule="auto"/>
      </w:pPr>
      <w:r>
        <w:t>In response to FERC’s request, NAESB and the North American Electric Reliability Council (NERC)</w:t>
      </w:r>
      <w:r w:rsidRPr="005053E7">
        <w:rPr>
          <w:rStyle w:val="FootnoteReference"/>
          <w:b/>
          <w:vertAlign w:val="superscript"/>
        </w:rPr>
        <w:footnoteReference w:id="4"/>
      </w:r>
      <w:r>
        <w:t xml:space="preserve"> filed a joint letter (on December 16, 2002) explaining that both organizations had signed a memorandum of understanding </w:t>
      </w:r>
      <w:r w:rsidRPr="005053E7">
        <w:t>“designed to ensure that the development of wholesale electric business practices and reliability standards are harmonized and that every practicable effort is made to eliminate overlap and duplication of efforts between the two organizations.”</w:t>
      </w:r>
      <w:r w:rsidRPr="005053E7">
        <w:rPr>
          <w:rStyle w:val="FootnoteReference"/>
          <w:b/>
          <w:vertAlign w:val="superscript"/>
        </w:rPr>
        <w:footnoteReference w:id="5"/>
      </w:r>
    </w:p>
    <w:p w:rsidR="001E0E81" w:rsidRDefault="001E0E81" w:rsidP="001E0E81">
      <w:pPr>
        <w:widowControl/>
        <w:rPr>
          <w:sz w:val="26"/>
          <w:szCs w:val="26"/>
        </w:rPr>
      </w:pPr>
    </w:p>
    <w:p w:rsidR="00E85B6A" w:rsidRDefault="00E85B6A" w:rsidP="001E0E81">
      <w:pPr>
        <w:widowControl/>
        <w:rPr>
          <w:sz w:val="26"/>
          <w:szCs w:val="26"/>
        </w:rPr>
      </w:pPr>
      <w:r>
        <w:rPr>
          <w:sz w:val="26"/>
          <w:szCs w:val="26"/>
        </w:rPr>
        <w:t xml:space="preserve">On </w:t>
      </w:r>
      <w:r w:rsidR="008070E3">
        <w:rPr>
          <w:sz w:val="26"/>
          <w:szCs w:val="26"/>
        </w:rPr>
        <w:t>January 18, 2005,</w:t>
      </w:r>
      <w:r>
        <w:rPr>
          <w:sz w:val="26"/>
          <w:szCs w:val="26"/>
        </w:rPr>
        <w:t xml:space="preserve"> NAESB filed a report with FERC detailing th</w:t>
      </w:r>
      <w:r w:rsidR="007D6DC9">
        <w:rPr>
          <w:sz w:val="26"/>
          <w:szCs w:val="26"/>
        </w:rPr>
        <w:t xml:space="preserve">e WEQ’s activities over </w:t>
      </w:r>
      <w:r w:rsidR="00AE0AF0">
        <w:rPr>
          <w:sz w:val="26"/>
          <w:szCs w:val="26"/>
        </w:rPr>
        <w:t>its first</w:t>
      </w:r>
      <w:r w:rsidR="00AA1818">
        <w:rPr>
          <w:sz w:val="26"/>
          <w:szCs w:val="26"/>
        </w:rPr>
        <w:t xml:space="preserve"> </w:t>
      </w:r>
      <w:r>
        <w:rPr>
          <w:sz w:val="26"/>
          <w:szCs w:val="26"/>
        </w:rPr>
        <w:t xml:space="preserve">two years.  This filing represented NAESB’s first filing with FERC to report on wholesale electric business practices.  NAESB reported that the WEQ </w:t>
      </w:r>
      <w:r w:rsidR="00AE0AF0">
        <w:rPr>
          <w:sz w:val="26"/>
          <w:szCs w:val="26"/>
        </w:rPr>
        <w:t xml:space="preserve">had </w:t>
      </w:r>
      <w:r>
        <w:rPr>
          <w:sz w:val="26"/>
          <w:szCs w:val="26"/>
        </w:rPr>
        <w:t>adopted business practices standards and communication protocols for the wholesale electric industry.  These standards included the following OASIS-related business practice standards and communications protocols:  (1) OASIS Business Practice Standards; (2) OASIS Standards and Communication Protocols; and (3) an OASIS Data Dictionary.</w:t>
      </w:r>
      <w:r w:rsidRPr="005053E7">
        <w:rPr>
          <w:rStyle w:val="FootnoteReference"/>
          <w:b/>
          <w:sz w:val="26"/>
          <w:szCs w:val="26"/>
          <w:vertAlign w:val="superscript"/>
        </w:rPr>
        <w:footnoteReference w:id="6"/>
      </w:r>
    </w:p>
    <w:p w:rsidR="00A35BA9" w:rsidRDefault="00A35BA9" w:rsidP="00A35BA9">
      <w:pPr>
        <w:pStyle w:val="FERCparanumber"/>
        <w:numPr>
          <w:ilvl w:val="0"/>
          <w:numId w:val="0"/>
        </w:numPr>
        <w:spacing w:line="240" w:lineRule="auto"/>
      </w:pPr>
    </w:p>
    <w:p w:rsidR="00E85B6A" w:rsidRDefault="00E85B6A" w:rsidP="00A35BA9">
      <w:pPr>
        <w:pStyle w:val="FERCparanumber"/>
        <w:numPr>
          <w:ilvl w:val="0"/>
          <w:numId w:val="0"/>
        </w:numPr>
        <w:spacing w:line="240" w:lineRule="auto"/>
      </w:pPr>
      <w:r>
        <w:t xml:space="preserve">These standards established a set of business practice standards and communication protocols for the electric industry to enable industry members to achieve efficiencies by streamlining utility business and transactional processes and communication procedures.  The standards replaced, with modifications, the Commission’s existing Business Practice Standards for OASIS Transactions and OASIS Standards and Communication Protocols and Data Dictionary requirements.  </w:t>
      </w:r>
      <w:r w:rsidRPr="0007318A">
        <w:t>A</w:t>
      </w:r>
      <w:r>
        <w:t xml:space="preserve">dopting these standards established a formal ongoing process for reviewing and upgrading the Commission’s OASIS standards as well as </w:t>
      </w:r>
      <w:r w:rsidR="00AE0AF0">
        <w:t xml:space="preserve">a process for </w:t>
      </w:r>
      <w:r>
        <w:t>adopting other electric industry business practice standards.</w:t>
      </w:r>
    </w:p>
    <w:p w:rsidR="001E0E81" w:rsidRDefault="001E0E81" w:rsidP="001E0E81">
      <w:pPr>
        <w:pStyle w:val="FERCparanumber"/>
        <w:numPr>
          <w:ilvl w:val="0"/>
          <w:numId w:val="0"/>
        </w:numPr>
        <w:spacing w:line="240" w:lineRule="auto"/>
      </w:pPr>
    </w:p>
    <w:p w:rsidR="00E85B6A" w:rsidRDefault="001E0E81" w:rsidP="001E0E81">
      <w:pPr>
        <w:pStyle w:val="FERCparanumber"/>
        <w:numPr>
          <w:ilvl w:val="0"/>
          <w:numId w:val="0"/>
        </w:numPr>
        <w:spacing w:line="240" w:lineRule="auto"/>
      </w:pPr>
      <w:r>
        <w:lastRenderedPageBreak/>
        <w:t>N</w:t>
      </w:r>
      <w:r w:rsidR="00E85B6A" w:rsidRPr="003075F3">
        <w:t xml:space="preserve">AESB </w:t>
      </w:r>
      <w:r w:rsidR="00AA1818">
        <w:t xml:space="preserve">is </w:t>
      </w:r>
      <w:r w:rsidR="00E85B6A" w:rsidRPr="003075F3">
        <w:t>a private consensus standards developer that divides its activities among four quadrants, each of which is composed of members from all segments of its respective industry.</w:t>
      </w:r>
      <w:r w:rsidR="00E85B6A" w:rsidRPr="003075F3">
        <w:rPr>
          <w:b/>
          <w:vertAlign w:val="superscript"/>
        </w:rPr>
        <w:footnoteReference w:id="7"/>
      </w:r>
      <w:r w:rsidR="00E85B6A" w:rsidRPr="003075F3">
        <w:t xml:space="preserve">  NAESB is an accredited standards organization under the auspices of the American National Standards Institute (ANSI).  NAESB’s procedures are designed to ensure that all industry members can have input into the development of a standard, whether or not they are members of NAESB, and each wholesale electricity standard that NAESB’s WEQ adopts is supported by a consensus of the seven industry segments:  end users, distribution/load serving entities, transmission, generation, marketers/brokers, independent grid operators/planners and technology/services.  Under the WEQ process, for a standard to be approved, it must receive a super-majority vote of 67 percent of the members of the WEQ’s Executive Committee, with support from at least 40 percent of each of the seven industry segments.</w:t>
      </w:r>
      <w:r w:rsidR="00E85B6A" w:rsidRPr="003075F3">
        <w:rPr>
          <w:b/>
          <w:vertAlign w:val="superscript"/>
        </w:rPr>
        <w:footnoteReference w:id="8"/>
      </w:r>
      <w:r w:rsidR="00E85B6A" w:rsidRPr="003075F3">
        <w:t xml:space="preserve">  For final approval, 67 percent of the WEQ’s general membership must ratify the standard.</w:t>
      </w:r>
      <w:bookmarkStart w:id="1" w:name="_Ref322677686"/>
      <w:r w:rsidR="00E85B6A" w:rsidRPr="005053E7">
        <w:rPr>
          <w:rStyle w:val="FootnoteReference"/>
          <w:b/>
          <w:vertAlign w:val="superscript"/>
        </w:rPr>
        <w:footnoteReference w:id="9"/>
      </w:r>
      <w:bookmarkEnd w:id="1"/>
    </w:p>
    <w:p w:rsidR="00A35BA9" w:rsidRDefault="00A35BA9" w:rsidP="001E0E81">
      <w:pPr>
        <w:pStyle w:val="FERCparanumber"/>
        <w:numPr>
          <w:ilvl w:val="0"/>
          <w:numId w:val="0"/>
        </w:numPr>
        <w:spacing w:line="240" w:lineRule="auto"/>
      </w:pPr>
    </w:p>
    <w:p w:rsidR="007D6DC9" w:rsidRPr="007D6DC9" w:rsidRDefault="007D6DC9" w:rsidP="00A35BA9">
      <w:pPr>
        <w:pStyle w:val="FERCparanumber"/>
        <w:numPr>
          <w:ilvl w:val="0"/>
          <w:numId w:val="0"/>
        </w:numPr>
        <w:spacing w:line="240" w:lineRule="auto"/>
        <w:rPr>
          <w:u w:val="single"/>
        </w:rPr>
      </w:pPr>
      <w:r>
        <w:rPr>
          <w:u w:val="single"/>
        </w:rPr>
        <w:t>Proposed Rule in RM05-5-022 (this package)</w:t>
      </w:r>
    </w:p>
    <w:p w:rsidR="007D6DC9" w:rsidRDefault="007D6DC9" w:rsidP="00A35BA9">
      <w:pPr>
        <w:pStyle w:val="FERCparanumber"/>
        <w:numPr>
          <w:ilvl w:val="0"/>
          <w:numId w:val="0"/>
        </w:numPr>
        <w:spacing w:line="240" w:lineRule="auto"/>
      </w:pPr>
    </w:p>
    <w:p w:rsidR="00A35BA9" w:rsidRPr="00A35BA9" w:rsidRDefault="00F8041D" w:rsidP="00A35BA9">
      <w:pPr>
        <w:pStyle w:val="FERCparanumber"/>
        <w:numPr>
          <w:ilvl w:val="0"/>
          <w:numId w:val="0"/>
        </w:numPr>
        <w:spacing w:line="240" w:lineRule="auto"/>
      </w:pPr>
      <w:r>
        <w:t xml:space="preserve">The Version 003 </w:t>
      </w:r>
      <w:r w:rsidR="00AE0AF0">
        <w:t xml:space="preserve">WEQ business practice </w:t>
      </w:r>
      <w:r>
        <w:t>standards</w:t>
      </w:r>
      <w:r w:rsidR="00A35BA9" w:rsidRPr="00A35BA9">
        <w:t xml:space="preserve"> update earlier versions of these standards that the Commission previously incorporated by reference into its regulations at 18 CFR 38.2.  These new and revised standards include modifications to support Order Nos. 890, 890-A, 890-B and 890-C,</w:t>
      </w:r>
      <w:r w:rsidR="00A35BA9" w:rsidRPr="00A35BA9">
        <w:rPr>
          <w:b/>
          <w:vertAlign w:val="superscript"/>
        </w:rPr>
        <w:footnoteReference w:id="10"/>
      </w:r>
      <w:r w:rsidR="00A35BA9" w:rsidRPr="00A35BA9">
        <w:t xml:space="preserve"> including the standards to support Network Integration Transmission Service on an Open Access Same-Time Information System (OASIS), Service Across Multiple Transmission Systems (SAMTS), standards to support the Commission</w:t>
      </w:r>
      <w:r w:rsidR="00E73148">
        <w:t>’</w:t>
      </w:r>
      <w:r w:rsidR="00A35BA9" w:rsidRPr="00A35BA9">
        <w:t xml:space="preserve">s policy regarding rollover rights for redirects on a firm basis, standards that incorporate the functionality for transmission providers to credit redirect requests </w:t>
      </w:r>
      <w:r w:rsidR="00A35BA9" w:rsidRPr="00A35BA9">
        <w:lastRenderedPageBreak/>
        <w:t>with the capacity of the parent reservation and standards modifications to support consistency across the OASIS-related standards.</w:t>
      </w:r>
    </w:p>
    <w:p w:rsidR="00A35BA9" w:rsidRDefault="00A35BA9" w:rsidP="00A35BA9">
      <w:pPr>
        <w:pStyle w:val="FERCparanumber"/>
        <w:numPr>
          <w:ilvl w:val="0"/>
          <w:numId w:val="0"/>
        </w:numPr>
        <w:spacing w:line="240" w:lineRule="auto"/>
      </w:pPr>
    </w:p>
    <w:p w:rsidR="00A35BA9" w:rsidRPr="00A35BA9" w:rsidRDefault="00A35BA9" w:rsidP="00A35BA9">
      <w:pPr>
        <w:pStyle w:val="FERCparanumber"/>
        <w:numPr>
          <w:ilvl w:val="0"/>
          <w:numId w:val="0"/>
        </w:numPr>
        <w:spacing w:line="240" w:lineRule="auto"/>
      </w:pPr>
      <w:r w:rsidRPr="00A35BA9">
        <w:t>The Version 003 Standards also include modifications to the OASIS-related standards that NAESB states support Order Nos. 676, 676-A, 676-E and 717 and add consistency.</w:t>
      </w:r>
      <w:r w:rsidRPr="00A35BA9">
        <w:rPr>
          <w:b/>
          <w:vertAlign w:val="superscript"/>
        </w:rPr>
        <w:footnoteReference w:id="11"/>
      </w:r>
      <w:r w:rsidRPr="00A35BA9">
        <w:t xml:space="preserve">  In addition, NAESB states that it made modifications to the Coordinate Interchange standards to compliment the updates to the e-Tag specifications,</w:t>
      </w:r>
      <w:r w:rsidRPr="00A35BA9">
        <w:rPr>
          <w:b/>
          <w:vertAlign w:val="superscript"/>
        </w:rPr>
        <w:footnoteReference w:id="12"/>
      </w:r>
      <w:r w:rsidRPr="00A35BA9">
        <w:t xml:space="preserve"> modifications to the Gas/Electric Coordination standards to provide consistency between the two markets</w:t>
      </w:r>
      <w:r w:rsidRPr="00A35BA9">
        <w:rPr>
          <w:b/>
          <w:vertAlign w:val="superscript"/>
        </w:rPr>
        <w:footnoteReference w:id="13"/>
      </w:r>
      <w:r w:rsidRPr="00A35BA9">
        <w:t xml:space="preserve"> and re-organized and revised definitions to create a standard set of terms, definitions and acronyms applicable to all NAESB WEQ standards.</w:t>
      </w:r>
      <w:r w:rsidRPr="00A35BA9">
        <w:rPr>
          <w:b/>
          <w:vertAlign w:val="superscript"/>
        </w:rPr>
        <w:footnoteReference w:id="14"/>
      </w:r>
      <w:r w:rsidRPr="00A35BA9">
        <w:t xml:space="preserve">  NAESB states that the Version 003 Standards also include standards related to Demand Side Management and Energy Efficiency,</w:t>
      </w:r>
      <w:r w:rsidRPr="00A35BA9">
        <w:rPr>
          <w:b/>
          <w:vertAlign w:val="superscript"/>
        </w:rPr>
        <w:footnoteReference w:id="15"/>
      </w:r>
      <w:r w:rsidRPr="00A35BA9">
        <w:t xml:space="preserve"> which the Commission incorporated by reference in Docket No. RM05-5-020</w:t>
      </w:r>
      <w:r w:rsidRPr="00A35BA9">
        <w:rPr>
          <w:b/>
          <w:vertAlign w:val="superscript"/>
        </w:rPr>
        <w:footnoteReference w:id="16"/>
      </w:r>
      <w:r w:rsidRPr="00A35BA9">
        <w:t xml:space="preserve"> after NAESB filed its Version 003 report, and Smart Grid-related standards that NAESB previously filed with the Commission in Docket No. </w:t>
      </w:r>
      <w:proofErr w:type="gramStart"/>
      <w:r w:rsidRPr="00A35BA9">
        <w:t>RM05-5-021.</w:t>
      </w:r>
      <w:proofErr w:type="gramEnd"/>
      <w:r w:rsidRPr="00A35BA9">
        <w:rPr>
          <w:b/>
          <w:vertAlign w:val="superscript"/>
        </w:rPr>
        <w:footnoteReference w:id="17"/>
      </w:r>
    </w:p>
    <w:p w:rsidR="00177C71" w:rsidRPr="001E0E81" w:rsidRDefault="00177C71" w:rsidP="001E0E81">
      <w:pPr>
        <w:pStyle w:val="FERCparanumber"/>
        <w:numPr>
          <w:ilvl w:val="0"/>
          <w:numId w:val="0"/>
        </w:numPr>
        <w:spacing w:line="240" w:lineRule="auto"/>
        <w:rPr>
          <w:rStyle w:val="CommentReference"/>
          <w:sz w:val="26"/>
          <w:szCs w:val="24"/>
        </w:rPr>
      </w:pPr>
    </w:p>
    <w:p w:rsidR="00E85B6A" w:rsidRDefault="00E85B6A" w:rsidP="00E85B6A">
      <w:pPr>
        <w:widowControl/>
        <w:rPr>
          <w:sz w:val="26"/>
          <w:szCs w:val="26"/>
        </w:rPr>
      </w:pPr>
      <w:r>
        <w:rPr>
          <w:b/>
          <w:bCs/>
          <w:sz w:val="26"/>
          <w:szCs w:val="26"/>
        </w:rPr>
        <w:t>A.</w:t>
      </w:r>
      <w:r>
        <w:rPr>
          <w:b/>
          <w:bCs/>
          <w:sz w:val="26"/>
          <w:szCs w:val="26"/>
        </w:rPr>
        <w:tab/>
      </w:r>
      <w:r>
        <w:rPr>
          <w:b/>
          <w:bCs/>
          <w:sz w:val="26"/>
          <w:szCs w:val="26"/>
          <w:u w:val="single"/>
        </w:rPr>
        <w:t>JUSTIFICATION</w:t>
      </w:r>
    </w:p>
    <w:p w:rsidR="00E85B6A" w:rsidRDefault="00E85B6A" w:rsidP="00E85B6A">
      <w:pPr>
        <w:widowControl/>
        <w:rPr>
          <w:b/>
          <w:bCs/>
          <w:sz w:val="26"/>
          <w:szCs w:val="26"/>
          <w:u w:val="single"/>
        </w:rPr>
      </w:pPr>
    </w:p>
    <w:p w:rsidR="00E85B6A" w:rsidRDefault="00E85B6A" w:rsidP="00E85B6A">
      <w:pPr>
        <w:widowControl/>
        <w:ind w:left="720" w:hanging="720"/>
        <w:rPr>
          <w:b/>
          <w:sz w:val="26"/>
          <w:szCs w:val="26"/>
        </w:rPr>
      </w:pPr>
      <w:r>
        <w:rPr>
          <w:b/>
          <w:bCs/>
          <w:sz w:val="26"/>
          <w:szCs w:val="26"/>
        </w:rPr>
        <w:t>1.</w:t>
      </w:r>
      <w:r>
        <w:rPr>
          <w:sz w:val="26"/>
          <w:szCs w:val="26"/>
        </w:rPr>
        <w:tab/>
      </w:r>
      <w:r>
        <w:rPr>
          <w:b/>
          <w:sz w:val="26"/>
          <w:szCs w:val="26"/>
        </w:rPr>
        <w:t>CIRCUMSTANCES THAT MAKE THE COLLECTION OF INFORMATION NECESSARY</w:t>
      </w:r>
    </w:p>
    <w:p w:rsidR="00E85B6A" w:rsidRDefault="00E85B6A" w:rsidP="00E85B6A">
      <w:pPr>
        <w:widowControl/>
        <w:rPr>
          <w:b/>
          <w:bCs/>
          <w:sz w:val="26"/>
          <w:szCs w:val="26"/>
          <w:u w:val="single"/>
        </w:rPr>
      </w:pPr>
    </w:p>
    <w:p w:rsidR="00E85B6A" w:rsidRPr="00631AB0" w:rsidRDefault="00E85B6A" w:rsidP="001E0E81">
      <w:pPr>
        <w:widowControl/>
        <w:rPr>
          <w:sz w:val="26"/>
          <w:szCs w:val="26"/>
        </w:rPr>
      </w:pPr>
      <w:r w:rsidRPr="00631AB0">
        <w:rPr>
          <w:sz w:val="26"/>
          <w:szCs w:val="26"/>
        </w:rPr>
        <w:lastRenderedPageBreak/>
        <w:t xml:space="preserve">In general, the Federal Power Act, </w:t>
      </w:r>
      <w:r w:rsidR="00901A1A">
        <w:rPr>
          <w:sz w:val="26"/>
          <w:szCs w:val="26"/>
        </w:rPr>
        <w:t>S</w:t>
      </w:r>
      <w:r w:rsidR="00AA1818">
        <w:rPr>
          <w:sz w:val="26"/>
          <w:szCs w:val="26"/>
        </w:rPr>
        <w:t xml:space="preserve">ection 205, 16 U.S.C. </w:t>
      </w:r>
      <w:proofErr w:type="gramStart"/>
      <w:r w:rsidRPr="00631AB0">
        <w:rPr>
          <w:sz w:val="26"/>
          <w:szCs w:val="26"/>
        </w:rPr>
        <w:t>824d(</w:t>
      </w:r>
      <w:proofErr w:type="gramEnd"/>
      <w:r w:rsidRPr="00631AB0">
        <w:rPr>
          <w:sz w:val="26"/>
          <w:szCs w:val="26"/>
        </w:rPr>
        <w:t>a) 2006, requires the Federal Energy Regulatory Commission to ensure that the rates and charges for the wholesale sale of electric energy must be just and reasonable.  Section 205 also requires that the rules and regulations affecting or pertaining to the rates and charges for the wholesale sale of electric energy be just and reasonable</w:t>
      </w:r>
      <w:r>
        <w:rPr>
          <w:sz w:val="26"/>
          <w:szCs w:val="26"/>
        </w:rPr>
        <w:t xml:space="preserve">.  </w:t>
      </w:r>
    </w:p>
    <w:p w:rsidR="001E0E81" w:rsidRDefault="001E0E81" w:rsidP="00E85B6A">
      <w:pPr>
        <w:widowControl/>
        <w:ind w:firstLine="720"/>
        <w:rPr>
          <w:sz w:val="26"/>
          <w:szCs w:val="26"/>
        </w:rPr>
      </w:pPr>
    </w:p>
    <w:p w:rsidR="0010642A" w:rsidRDefault="00B77B4E" w:rsidP="00B77B4E">
      <w:pPr>
        <w:widowControl/>
        <w:rPr>
          <w:sz w:val="26"/>
          <w:szCs w:val="26"/>
        </w:rPr>
      </w:pPr>
      <w:r>
        <w:rPr>
          <w:sz w:val="26"/>
          <w:szCs w:val="26"/>
        </w:rPr>
        <w:t>Business practice standards help the industry achieve increased levels of efficiency.  Version 003 builds on the Commission’s work on preventing undue discrimination and preference in transmission service (Order</w:t>
      </w:r>
      <w:r w:rsidR="0010642A">
        <w:rPr>
          <w:sz w:val="26"/>
          <w:szCs w:val="26"/>
        </w:rPr>
        <w:t xml:space="preserve"> Nos.</w:t>
      </w:r>
      <w:r>
        <w:rPr>
          <w:sz w:val="26"/>
          <w:szCs w:val="26"/>
        </w:rPr>
        <w:t xml:space="preserve"> 890, 890-A, 890-B and 890-C) and its previous work related to </w:t>
      </w:r>
      <w:r w:rsidR="0010642A">
        <w:rPr>
          <w:sz w:val="26"/>
          <w:szCs w:val="26"/>
        </w:rPr>
        <w:t>s</w:t>
      </w:r>
      <w:r w:rsidRPr="00B77B4E">
        <w:rPr>
          <w:sz w:val="26"/>
          <w:szCs w:val="26"/>
        </w:rPr>
        <w:t xml:space="preserve">tandards for </w:t>
      </w:r>
      <w:r w:rsidR="0010642A">
        <w:rPr>
          <w:sz w:val="26"/>
          <w:szCs w:val="26"/>
        </w:rPr>
        <w:t>b</w:t>
      </w:r>
      <w:r w:rsidRPr="00B77B4E">
        <w:rPr>
          <w:sz w:val="26"/>
          <w:szCs w:val="26"/>
        </w:rPr>
        <w:t xml:space="preserve">usiness </w:t>
      </w:r>
      <w:r w:rsidR="0010642A">
        <w:rPr>
          <w:sz w:val="26"/>
          <w:szCs w:val="26"/>
        </w:rPr>
        <w:t>p</w:t>
      </w:r>
      <w:r w:rsidRPr="00B77B4E">
        <w:rPr>
          <w:sz w:val="26"/>
          <w:szCs w:val="26"/>
        </w:rPr>
        <w:t>ractices and</w:t>
      </w:r>
      <w:r w:rsidR="00AA1818">
        <w:rPr>
          <w:sz w:val="26"/>
          <w:szCs w:val="26"/>
        </w:rPr>
        <w:t xml:space="preserve"> </w:t>
      </w:r>
      <w:r w:rsidR="0010642A">
        <w:rPr>
          <w:sz w:val="26"/>
          <w:szCs w:val="26"/>
        </w:rPr>
        <w:t>c</w:t>
      </w:r>
      <w:r w:rsidRPr="00B77B4E">
        <w:rPr>
          <w:sz w:val="26"/>
          <w:szCs w:val="26"/>
        </w:rPr>
        <w:t xml:space="preserve">ommunication </w:t>
      </w:r>
      <w:r w:rsidR="0010642A">
        <w:rPr>
          <w:sz w:val="26"/>
          <w:szCs w:val="26"/>
        </w:rPr>
        <w:t>protocols for public u</w:t>
      </w:r>
      <w:r w:rsidRPr="00B77B4E">
        <w:rPr>
          <w:sz w:val="26"/>
          <w:szCs w:val="26"/>
        </w:rPr>
        <w:t xml:space="preserve">tilities </w:t>
      </w:r>
      <w:r w:rsidR="0010642A">
        <w:rPr>
          <w:sz w:val="26"/>
          <w:szCs w:val="26"/>
        </w:rPr>
        <w:t xml:space="preserve">(Order Nos. 676, 676-A, 676-E and 717).  </w:t>
      </w:r>
    </w:p>
    <w:p w:rsidR="0010642A" w:rsidRDefault="0010642A" w:rsidP="00B77B4E">
      <w:pPr>
        <w:widowControl/>
        <w:rPr>
          <w:sz w:val="26"/>
          <w:szCs w:val="26"/>
        </w:rPr>
      </w:pPr>
    </w:p>
    <w:p w:rsidR="00B77B4E" w:rsidRPr="00B77B4E" w:rsidRDefault="0010642A" w:rsidP="00B77B4E">
      <w:pPr>
        <w:widowControl/>
        <w:rPr>
          <w:sz w:val="26"/>
          <w:szCs w:val="26"/>
        </w:rPr>
      </w:pPr>
      <w:r w:rsidRPr="00A35BA9">
        <w:rPr>
          <w:sz w:val="26"/>
          <w:szCs w:val="26"/>
        </w:rPr>
        <w:t>In addition, NAESB made modifications to the Coordinate Interchange standards to compl</w:t>
      </w:r>
      <w:r w:rsidR="009206F1">
        <w:rPr>
          <w:sz w:val="26"/>
          <w:szCs w:val="26"/>
        </w:rPr>
        <w:t>e</w:t>
      </w:r>
      <w:r w:rsidRPr="00A35BA9">
        <w:rPr>
          <w:sz w:val="26"/>
          <w:szCs w:val="26"/>
        </w:rPr>
        <w:t>ment the updates to the e-Tag specifications, modifications to the Gas/Electric Coordination standards to provide consistency between the two markets and re-organized and revised definitions to create a standard set of terms, definitions and acronyms applicable to all NAESB WEQ standards.</w:t>
      </w:r>
    </w:p>
    <w:p w:rsidR="00B77B4E" w:rsidRDefault="00B77B4E" w:rsidP="00F8041D">
      <w:pPr>
        <w:widowControl/>
        <w:rPr>
          <w:sz w:val="26"/>
          <w:szCs w:val="26"/>
        </w:rPr>
      </w:pPr>
    </w:p>
    <w:p w:rsidR="0010642A" w:rsidRDefault="0010642A" w:rsidP="00F8041D">
      <w:pPr>
        <w:widowControl/>
        <w:rPr>
          <w:sz w:val="26"/>
          <w:szCs w:val="26"/>
        </w:rPr>
      </w:pPr>
      <w:r w:rsidRPr="00A35BA9">
        <w:rPr>
          <w:sz w:val="26"/>
          <w:szCs w:val="26"/>
        </w:rPr>
        <w:t xml:space="preserve">The Version 003 Standards also include standards related to Demand Side Management and Energy Efficiency, which the Commission separately acted on in Docket No. RM05-5-020 after NAESB filed its Version 003 report, and Smart Grid-related standards that NAESB previously filed with the Commission in Docket No. </w:t>
      </w:r>
      <w:proofErr w:type="gramStart"/>
      <w:r w:rsidRPr="00A35BA9">
        <w:rPr>
          <w:sz w:val="26"/>
          <w:szCs w:val="26"/>
        </w:rPr>
        <w:t>RM05-5-021</w:t>
      </w:r>
      <w:r w:rsidR="00E73148">
        <w:rPr>
          <w:sz w:val="26"/>
          <w:szCs w:val="26"/>
        </w:rPr>
        <w:t>.</w:t>
      </w:r>
      <w:proofErr w:type="gramEnd"/>
    </w:p>
    <w:p w:rsidR="00E85B6A" w:rsidRDefault="00E85B6A" w:rsidP="00E85B6A">
      <w:pPr>
        <w:widowControl/>
        <w:rPr>
          <w:sz w:val="26"/>
          <w:szCs w:val="26"/>
        </w:rPr>
      </w:pPr>
    </w:p>
    <w:p w:rsidR="00E85B6A" w:rsidRPr="00A731B2" w:rsidRDefault="00E85B6A" w:rsidP="00E85B6A">
      <w:pPr>
        <w:widowControl/>
        <w:numPr>
          <w:ilvl w:val="0"/>
          <w:numId w:val="2"/>
        </w:numPr>
        <w:ind w:hanging="720"/>
        <w:rPr>
          <w:b/>
          <w:sz w:val="26"/>
          <w:szCs w:val="26"/>
        </w:rPr>
      </w:pPr>
      <w:r w:rsidRPr="00A731B2">
        <w:rPr>
          <w:b/>
          <w:sz w:val="26"/>
          <w:szCs w:val="26"/>
        </w:rPr>
        <w:t>HOW, BY WHOM AND FOR WHAT PURPOSE</w:t>
      </w:r>
      <w:r w:rsidR="00E73148">
        <w:rPr>
          <w:b/>
          <w:sz w:val="26"/>
          <w:szCs w:val="26"/>
        </w:rPr>
        <w:t>,</w:t>
      </w:r>
      <w:r w:rsidRPr="00A731B2">
        <w:rPr>
          <w:b/>
          <w:sz w:val="26"/>
          <w:szCs w:val="26"/>
        </w:rPr>
        <w:t xml:space="preserve"> IS THE INFORMATION TO BE USED AND THE CONSEQUENCES OF NOT COLLECTING THE INFORMATION </w:t>
      </w:r>
    </w:p>
    <w:p w:rsidR="00E85B6A" w:rsidRDefault="00E85B6A" w:rsidP="00E85B6A">
      <w:pPr>
        <w:widowControl/>
        <w:ind w:left="360"/>
        <w:rPr>
          <w:b/>
          <w:sz w:val="26"/>
          <w:szCs w:val="26"/>
        </w:rPr>
      </w:pPr>
    </w:p>
    <w:p w:rsidR="00A35BA9" w:rsidRDefault="00A35BA9" w:rsidP="00A35BA9">
      <w:pPr>
        <w:widowControl/>
        <w:rPr>
          <w:sz w:val="26"/>
          <w:szCs w:val="26"/>
        </w:rPr>
      </w:pPr>
      <w:proofErr w:type="gramStart"/>
      <w:r>
        <w:rPr>
          <w:b/>
          <w:sz w:val="26"/>
          <w:szCs w:val="26"/>
        </w:rPr>
        <w:t>FERC-516.</w:t>
      </w:r>
      <w:proofErr w:type="gramEnd"/>
      <w:r w:rsidR="007E1F46">
        <w:rPr>
          <w:b/>
          <w:sz w:val="26"/>
          <w:szCs w:val="26"/>
        </w:rPr>
        <w:t xml:space="preserve">  </w:t>
      </w:r>
      <w:r>
        <w:rPr>
          <w:sz w:val="26"/>
          <w:szCs w:val="26"/>
        </w:rPr>
        <w:t>The proposed rule, if adopted</w:t>
      </w:r>
      <w:r w:rsidR="00E73148">
        <w:rPr>
          <w:sz w:val="26"/>
          <w:szCs w:val="26"/>
        </w:rPr>
        <w:t>,</w:t>
      </w:r>
      <w:r>
        <w:rPr>
          <w:sz w:val="26"/>
          <w:szCs w:val="26"/>
        </w:rPr>
        <w:t xml:space="preserve"> would require public utilit</w:t>
      </w:r>
      <w:r w:rsidR="00E73148">
        <w:rPr>
          <w:sz w:val="26"/>
          <w:szCs w:val="26"/>
        </w:rPr>
        <w:t>ies that</w:t>
      </w:r>
      <w:r>
        <w:rPr>
          <w:sz w:val="26"/>
          <w:szCs w:val="26"/>
        </w:rPr>
        <w:t xml:space="preserve"> own and/or control facilities used for the transmission of electricity in interstate commerce (public utilities) to modify their existing tariffs </w:t>
      </w:r>
      <w:r w:rsidR="00E73148">
        <w:rPr>
          <w:sz w:val="26"/>
          <w:szCs w:val="26"/>
        </w:rPr>
        <w:t>to</w:t>
      </w:r>
      <w:r w:rsidR="00901A1A">
        <w:rPr>
          <w:sz w:val="26"/>
          <w:szCs w:val="26"/>
        </w:rPr>
        <w:t xml:space="preserve"> </w:t>
      </w:r>
      <w:r w:rsidR="00BB68F4">
        <w:rPr>
          <w:sz w:val="26"/>
          <w:szCs w:val="26"/>
        </w:rPr>
        <w:t xml:space="preserve">reference the standards and </w:t>
      </w:r>
      <w:r w:rsidR="00E73148">
        <w:rPr>
          <w:sz w:val="26"/>
          <w:szCs w:val="26"/>
        </w:rPr>
        <w:t xml:space="preserve">state that </w:t>
      </w:r>
      <w:r w:rsidR="00907BFA">
        <w:rPr>
          <w:sz w:val="26"/>
          <w:szCs w:val="26"/>
        </w:rPr>
        <w:t>transactions made under their respective tariffs</w:t>
      </w:r>
      <w:r w:rsidR="00E73148">
        <w:rPr>
          <w:sz w:val="26"/>
          <w:szCs w:val="26"/>
        </w:rPr>
        <w:t xml:space="preserve"> would be </w:t>
      </w:r>
      <w:r w:rsidR="00907BFA">
        <w:rPr>
          <w:sz w:val="26"/>
          <w:szCs w:val="26"/>
        </w:rPr>
        <w:t>performed in accordance with</w:t>
      </w:r>
      <w:r>
        <w:rPr>
          <w:sz w:val="26"/>
          <w:szCs w:val="26"/>
        </w:rPr>
        <w:t xml:space="preserve"> the Version 003 standards.  Tariffs provide the Commission and the public with information regarding a utility’s rates and service conditions.  Without tariffs, FERC and the public would not be able to </w:t>
      </w:r>
      <w:r w:rsidR="005C3174">
        <w:rPr>
          <w:sz w:val="26"/>
          <w:szCs w:val="26"/>
        </w:rPr>
        <w:t xml:space="preserve">properly </w:t>
      </w:r>
      <w:r>
        <w:rPr>
          <w:sz w:val="26"/>
          <w:szCs w:val="26"/>
        </w:rPr>
        <w:t xml:space="preserve">evaluate rates.    </w:t>
      </w:r>
    </w:p>
    <w:p w:rsidR="00A35BA9" w:rsidRDefault="00A35BA9" w:rsidP="00E85B6A">
      <w:pPr>
        <w:widowControl/>
        <w:ind w:firstLine="720"/>
        <w:rPr>
          <w:sz w:val="26"/>
          <w:szCs w:val="26"/>
        </w:rPr>
      </w:pPr>
    </w:p>
    <w:p w:rsidR="002A3135" w:rsidRDefault="00E85B6A" w:rsidP="00A35BA9">
      <w:pPr>
        <w:widowControl/>
        <w:rPr>
          <w:sz w:val="26"/>
          <w:szCs w:val="26"/>
        </w:rPr>
      </w:pPr>
      <w:proofErr w:type="gramStart"/>
      <w:r w:rsidRPr="00A35BA9">
        <w:rPr>
          <w:b/>
          <w:iCs/>
          <w:sz w:val="26"/>
          <w:szCs w:val="26"/>
        </w:rPr>
        <w:t>FERC-717</w:t>
      </w:r>
      <w:r w:rsidR="00A11775">
        <w:rPr>
          <w:b/>
          <w:iCs/>
          <w:sz w:val="26"/>
          <w:szCs w:val="26"/>
        </w:rPr>
        <w:t>A</w:t>
      </w:r>
      <w:r w:rsidR="00A35BA9">
        <w:rPr>
          <w:b/>
          <w:bCs/>
          <w:iCs/>
          <w:sz w:val="26"/>
          <w:szCs w:val="26"/>
        </w:rPr>
        <w:t>.</w:t>
      </w:r>
      <w:proofErr w:type="gramEnd"/>
      <w:r w:rsidR="007E1F46">
        <w:rPr>
          <w:b/>
          <w:bCs/>
          <w:iCs/>
          <w:sz w:val="26"/>
          <w:szCs w:val="26"/>
        </w:rPr>
        <w:t xml:space="preserve">  </w:t>
      </w:r>
      <w:r w:rsidR="00A35BA9">
        <w:rPr>
          <w:sz w:val="26"/>
          <w:szCs w:val="26"/>
        </w:rPr>
        <w:t>The proposed rule, if adopted</w:t>
      </w:r>
      <w:r w:rsidR="00907BFA">
        <w:rPr>
          <w:sz w:val="26"/>
          <w:szCs w:val="26"/>
        </w:rPr>
        <w:t>,</w:t>
      </w:r>
      <w:r w:rsidR="00A35BA9">
        <w:rPr>
          <w:sz w:val="26"/>
          <w:szCs w:val="26"/>
        </w:rPr>
        <w:t xml:space="preserve"> would require public utilities to </w:t>
      </w:r>
      <w:r w:rsidR="00907BFA">
        <w:rPr>
          <w:sz w:val="26"/>
          <w:szCs w:val="26"/>
        </w:rPr>
        <w:t xml:space="preserve">operate in </w:t>
      </w:r>
      <w:r w:rsidR="00A35BA9">
        <w:rPr>
          <w:sz w:val="26"/>
          <w:szCs w:val="26"/>
        </w:rPr>
        <w:t>conform</w:t>
      </w:r>
      <w:r w:rsidR="00907BFA">
        <w:rPr>
          <w:sz w:val="26"/>
          <w:szCs w:val="26"/>
        </w:rPr>
        <w:t>ance with the WEQ</w:t>
      </w:r>
      <w:r w:rsidR="00A35BA9">
        <w:rPr>
          <w:sz w:val="26"/>
          <w:szCs w:val="26"/>
        </w:rPr>
        <w:t xml:space="preserve"> Version 003 business practice standards. </w:t>
      </w:r>
    </w:p>
    <w:p w:rsidR="002A3135" w:rsidRDefault="002A3135" w:rsidP="00A35BA9">
      <w:pPr>
        <w:widowControl/>
        <w:rPr>
          <w:sz w:val="26"/>
          <w:szCs w:val="26"/>
        </w:rPr>
      </w:pPr>
    </w:p>
    <w:p w:rsidR="002A3135" w:rsidRDefault="002A3135" w:rsidP="00B81BDB">
      <w:pPr>
        <w:widowControl/>
        <w:tabs>
          <w:tab w:val="left" w:pos="-1440"/>
        </w:tabs>
        <w:rPr>
          <w:sz w:val="26"/>
          <w:szCs w:val="26"/>
        </w:rPr>
      </w:pPr>
      <w:r>
        <w:rPr>
          <w:sz w:val="26"/>
          <w:szCs w:val="26"/>
        </w:rPr>
        <w:lastRenderedPageBreak/>
        <w:t>In its Final Rule</w:t>
      </w:r>
      <w:r w:rsidR="00907BFA">
        <w:rPr>
          <w:sz w:val="26"/>
          <w:szCs w:val="26"/>
        </w:rPr>
        <w:t>,</w:t>
      </w:r>
      <w:r>
        <w:rPr>
          <w:sz w:val="26"/>
          <w:szCs w:val="26"/>
        </w:rPr>
        <w:t xml:space="preserve"> Order No. 88</w:t>
      </w:r>
      <w:r w:rsidR="00907BFA">
        <w:rPr>
          <w:sz w:val="26"/>
          <w:szCs w:val="26"/>
        </w:rPr>
        <w:t>9,</w:t>
      </w:r>
      <w:r w:rsidR="00AA1818">
        <w:rPr>
          <w:sz w:val="26"/>
          <w:szCs w:val="26"/>
        </w:rPr>
        <w:t xml:space="preserve"> </w:t>
      </w:r>
      <w:r>
        <w:rPr>
          <w:sz w:val="26"/>
          <w:szCs w:val="26"/>
        </w:rPr>
        <w:t xml:space="preserve">the Commission required public utilities to establish </w:t>
      </w:r>
      <w:r w:rsidR="00B81BDB">
        <w:rPr>
          <w:sz w:val="26"/>
          <w:szCs w:val="26"/>
        </w:rPr>
        <w:t>Open Access Same-Time Information System (</w:t>
      </w:r>
      <w:r>
        <w:rPr>
          <w:sz w:val="26"/>
          <w:szCs w:val="26"/>
        </w:rPr>
        <w:t>OASIS</w:t>
      </w:r>
      <w:r w:rsidR="00B81BDB">
        <w:rPr>
          <w:sz w:val="26"/>
          <w:szCs w:val="26"/>
        </w:rPr>
        <w:t>)</w:t>
      </w:r>
      <w:r>
        <w:rPr>
          <w:sz w:val="26"/>
          <w:szCs w:val="26"/>
        </w:rPr>
        <w:t xml:space="preserve"> sites to provide transmission customers with equal and timely access to information about transmission and ancillary services provided in the tariffs.  Th</w:t>
      </w:r>
      <w:r w:rsidR="00907BFA">
        <w:rPr>
          <w:sz w:val="26"/>
          <w:szCs w:val="26"/>
        </w:rPr>
        <w:t>is requir</w:t>
      </w:r>
      <w:r>
        <w:rPr>
          <w:sz w:val="26"/>
          <w:szCs w:val="26"/>
        </w:rPr>
        <w:t>e</w:t>
      </w:r>
      <w:r w:rsidR="00907BFA">
        <w:rPr>
          <w:sz w:val="26"/>
          <w:szCs w:val="26"/>
        </w:rPr>
        <w:t xml:space="preserve">ment was established because the </w:t>
      </w:r>
      <w:r>
        <w:rPr>
          <w:sz w:val="26"/>
          <w:szCs w:val="26"/>
        </w:rPr>
        <w:t xml:space="preserve">Commission believes that transmission customers must have simultaneous access to the same information available to the Transmission Provider </w:t>
      </w:r>
      <w:r w:rsidR="008D7578">
        <w:rPr>
          <w:sz w:val="26"/>
          <w:szCs w:val="26"/>
        </w:rPr>
        <w:t xml:space="preserve">in order to achieve </w:t>
      </w:r>
      <w:r>
        <w:rPr>
          <w:sz w:val="26"/>
          <w:szCs w:val="26"/>
        </w:rPr>
        <w:t>nondiscriminatory transmission services.</w:t>
      </w:r>
    </w:p>
    <w:p w:rsidR="002A3135" w:rsidRDefault="002A3135" w:rsidP="002A3135">
      <w:pPr>
        <w:pStyle w:val="FERCparanumber"/>
        <w:numPr>
          <w:ilvl w:val="0"/>
          <w:numId w:val="0"/>
        </w:numPr>
        <w:spacing w:line="240" w:lineRule="auto"/>
      </w:pPr>
    </w:p>
    <w:p w:rsidR="002A3135" w:rsidRDefault="00907BFA" w:rsidP="00B81BDB">
      <w:pPr>
        <w:pStyle w:val="FERCparanumber"/>
        <w:numPr>
          <w:ilvl w:val="0"/>
          <w:numId w:val="0"/>
        </w:numPr>
        <w:spacing w:line="240" w:lineRule="auto"/>
      </w:pPr>
      <w:r>
        <w:t>The Commission determined that s</w:t>
      </w:r>
      <w:r w:rsidR="002A3135">
        <w:t>tandardization of business practices and communication processes benefit</w:t>
      </w:r>
      <w:r>
        <w:t>s</w:t>
      </w:r>
      <w:r w:rsidR="002A3135">
        <w:t xml:space="preserve"> the electric industry by providing uniform methods </w:t>
      </w:r>
      <w:r>
        <w:t>for public utilities to conduct</w:t>
      </w:r>
      <w:r w:rsidR="002A3135">
        <w:t xml:space="preserve"> business with different transmission providers.  Many participants in electric markets conduct business transactions involving a number of different transmission providers</w:t>
      </w:r>
      <w:r w:rsidR="00D06FB2">
        <w:t>.</w:t>
      </w:r>
      <w:r w:rsidR="002A3135">
        <w:t xml:space="preserve"> </w:t>
      </w:r>
      <w:r w:rsidR="00D06FB2">
        <w:t>E</w:t>
      </w:r>
      <w:r w:rsidR="002A3135">
        <w:t xml:space="preserve">stablishing a uniform set of procedures and communication protocols </w:t>
      </w:r>
      <w:r w:rsidR="0010642A">
        <w:t xml:space="preserve">increases the efficiency </w:t>
      </w:r>
      <w:r>
        <w:t>of</w:t>
      </w:r>
      <w:r w:rsidR="00AA1818">
        <w:t xml:space="preserve"> </w:t>
      </w:r>
      <w:r w:rsidR="0010642A">
        <w:t>such</w:t>
      </w:r>
      <w:r w:rsidR="00B81BDB">
        <w:t xml:space="preserve"> transactions</w:t>
      </w:r>
      <w:r w:rsidR="0010642A">
        <w:t>.</w:t>
      </w:r>
    </w:p>
    <w:p w:rsidR="002A3135" w:rsidRDefault="002A3135" w:rsidP="00A35BA9">
      <w:pPr>
        <w:widowControl/>
        <w:rPr>
          <w:sz w:val="26"/>
          <w:szCs w:val="26"/>
        </w:rPr>
      </w:pPr>
    </w:p>
    <w:p w:rsidR="00A35BA9" w:rsidRDefault="0010642A" w:rsidP="00A35BA9">
      <w:pPr>
        <w:widowControl/>
        <w:rPr>
          <w:sz w:val="26"/>
          <w:szCs w:val="26"/>
        </w:rPr>
      </w:pPr>
      <w:r>
        <w:rPr>
          <w:sz w:val="26"/>
          <w:szCs w:val="26"/>
        </w:rPr>
        <w:t xml:space="preserve">The public utilities subject to this </w:t>
      </w:r>
      <w:r w:rsidR="002B0B21">
        <w:rPr>
          <w:sz w:val="26"/>
          <w:szCs w:val="26"/>
        </w:rPr>
        <w:t>propos</w:t>
      </w:r>
      <w:r w:rsidR="00D06FB2">
        <w:rPr>
          <w:sz w:val="26"/>
          <w:szCs w:val="26"/>
        </w:rPr>
        <w:t>ed</w:t>
      </w:r>
      <w:r w:rsidR="00AA1818">
        <w:rPr>
          <w:sz w:val="26"/>
          <w:szCs w:val="26"/>
        </w:rPr>
        <w:t xml:space="preserve"> rule </w:t>
      </w:r>
      <w:r>
        <w:rPr>
          <w:sz w:val="26"/>
          <w:szCs w:val="26"/>
        </w:rPr>
        <w:t>will be required to</w:t>
      </w:r>
      <w:r w:rsidR="00907BFA">
        <w:rPr>
          <w:sz w:val="26"/>
          <w:szCs w:val="26"/>
        </w:rPr>
        <w:t xml:space="preserve"> make tariff filings </w:t>
      </w:r>
      <w:r w:rsidR="00FE45A6">
        <w:rPr>
          <w:sz w:val="26"/>
          <w:szCs w:val="26"/>
        </w:rPr>
        <w:t xml:space="preserve">(FERC-516) </w:t>
      </w:r>
      <w:r w:rsidR="002B0B21">
        <w:rPr>
          <w:sz w:val="26"/>
          <w:szCs w:val="26"/>
        </w:rPr>
        <w:t>refer</w:t>
      </w:r>
      <w:r w:rsidR="00BB68F4">
        <w:rPr>
          <w:sz w:val="26"/>
          <w:szCs w:val="26"/>
        </w:rPr>
        <w:t>en</w:t>
      </w:r>
      <w:r w:rsidR="002B0B21">
        <w:rPr>
          <w:sz w:val="26"/>
          <w:szCs w:val="26"/>
        </w:rPr>
        <w:t xml:space="preserve">cing the Version 003 standards and </w:t>
      </w:r>
      <w:r w:rsidR="00907BFA">
        <w:rPr>
          <w:sz w:val="26"/>
          <w:szCs w:val="26"/>
        </w:rPr>
        <w:t xml:space="preserve">stating that they will implement their tariff in accordance with the requirements of the WEQ Version 003 standards.  </w:t>
      </w:r>
      <w:r w:rsidR="0040152A">
        <w:rPr>
          <w:sz w:val="26"/>
          <w:szCs w:val="26"/>
        </w:rPr>
        <w:t>Public utilities currently collect and post information on various systems such as OASIS currently in use by the industry.  The proposed revisions within these revised NAESB standards may adjust some of the business practices around this information but does not substantially affect the amount or content of the information</w:t>
      </w:r>
      <w:r w:rsidR="002B0B21">
        <w:rPr>
          <w:sz w:val="26"/>
          <w:szCs w:val="26"/>
        </w:rPr>
        <w:t>.</w:t>
      </w:r>
    </w:p>
    <w:p w:rsidR="0010642A" w:rsidRDefault="0010642A" w:rsidP="00A35BA9">
      <w:pPr>
        <w:widowControl/>
        <w:rPr>
          <w:sz w:val="26"/>
          <w:szCs w:val="26"/>
        </w:rPr>
      </w:pPr>
    </w:p>
    <w:p w:rsidR="00E85B6A" w:rsidRPr="00762BE3" w:rsidRDefault="00E85B6A" w:rsidP="00E85B6A">
      <w:pPr>
        <w:widowControl/>
        <w:ind w:left="720" w:hanging="720"/>
        <w:rPr>
          <w:sz w:val="26"/>
          <w:szCs w:val="26"/>
        </w:rPr>
      </w:pPr>
      <w:r>
        <w:rPr>
          <w:sz w:val="26"/>
          <w:szCs w:val="26"/>
        </w:rPr>
        <w:t>3.</w:t>
      </w:r>
      <w:r>
        <w:rPr>
          <w:sz w:val="26"/>
          <w:szCs w:val="26"/>
        </w:rPr>
        <w:tab/>
      </w:r>
      <w:r>
        <w:rPr>
          <w:b/>
          <w:sz w:val="26"/>
          <w:szCs w:val="26"/>
        </w:rPr>
        <w:t>DESCRIBE ANY CONSIDERATION OF THE USE OF IMPROVED INFORMATION TECHNOLOGY TO REDUCE BURDEN AND THE TECHNICAL OR LEGAL OBSTACLES TO REDUCING BURDEN</w:t>
      </w:r>
    </w:p>
    <w:p w:rsidR="00E85B6A" w:rsidRDefault="00E85B6A" w:rsidP="00E85B6A">
      <w:pPr>
        <w:widowControl/>
        <w:rPr>
          <w:sz w:val="26"/>
          <w:szCs w:val="26"/>
        </w:rPr>
      </w:pPr>
    </w:p>
    <w:p w:rsidR="00E85B6A" w:rsidRDefault="00E85B6A" w:rsidP="00126C70">
      <w:pPr>
        <w:widowControl/>
        <w:rPr>
          <w:sz w:val="26"/>
          <w:szCs w:val="26"/>
        </w:rPr>
      </w:pPr>
      <w:r>
        <w:rPr>
          <w:sz w:val="26"/>
          <w:szCs w:val="26"/>
        </w:rPr>
        <w:t xml:space="preserve">FERC has made no significant changes in information technology </w:t>
      </w:r>
      <w:r w:rsidR="0010642A">
        <w:rPr>
          <w:sz w:val="26"/>
          <w:szCs w:val="26"/>
        </w:rPr>
        <w:t xml:space="preserve">use </w:t>
      </w:r>
      <w:r>
        <w:rPr>
          <w:sz w:val="26"/>
          <w:szCs w:val="26"/>
        </w:rPr>
        <w:t>for complying with the FERC-516</w:t>
      </w:r>
      <w:r w:rsidR="00BB68F4">
        <w:rPr>
          <w:sz w:val="26"/>
          <w:szCs w:val="26"/>
        </w:rPr>
        <w:t>, as these issues were already addressed by FERC in a rule implementing</w:t>
      </w:r>
      <w:r w:rsidR="00AA1818">
        <w:rPr>
          <w:sz w:val="26"/>
          <w:szCs w:val="26"/>
        </w:rPr>
        <w:t xml:space="preserve"> </w:t>
      </w:r>
      <w:r>
        <w:rPr>
          <w:sz w:val="26"/>
          <w:szCs w:val="26"/>
        </w:rPr>
        <w:t xml:space="preserve">the Commission’s </w:t>
      </w:r>
      <w:proofErr w:type="spellStart"/>
      <w:r>
        <w:rPr>
          <w:sz w:val="26"/>
          <w:szCs w:val="26"/>
        </w:rPr>
        <w:t>eTariff</w:t>
      </w:r>
      <w:proofErr w:type="spellEnd"/>
      <w:r>
        <w:rPr>
          <w:sz w:val="26"/>
          <w:szCs w:val="26"/>
        </w:rPr>
        <w:t xml:space="preserve"> system (fully implemented in 2010) for the electronic filing of tariffs.  Applicable entities also continue to use OASIS (under the FERC-717 collection), providing the public online access to transmission service information.</w:t>
      </w:r>
    </w:p>
    <w:p w:rsidR="00E85B6A" w:rsidRDefault="00E85B6A" w:rsidP="00E85B6A">
      <w:pPr>
        <w:widowControl/>
        <w:rPr>
          <w:sz w:val="26"/>
          <w:szCs w:val="26"/>
        </w:rPr>
      </w:pPr>
    </w:p>
    <w:p w:rsidR="00E85B6A" w:rsidRDefault="00E85B6A" w:rsidP="00E85B6A">
      <w:pPr>
        <w:widowControl/>
        <w:ind w:left="720" w:hanging="720"/>
        <w:rPr>
          <w:b/>
          <w:sz w:val="26"/>
          <w:szCs w:val="26"/>
        </w:rPr>
      </w:pPr>
      <w:r>
        <w:rPr>
          <w:sz w:val="26"/>
          <w:szCs w:val="26"/>
        </w:rPr>
        <w:t>4.</w:t>
      </w:r>
      <w:r>
        <w:rPr>
          <w:sz w:val="26"/>
          <w:szCs w:val="26"/>
        </w:rPr>
        <w:tab/>
      </w:r>
      <w:r>
        <w:rPr>
          <w:b/>
          <w:sz w:val="26"/>
          <w:szCs w:val="26"/>
        </w:rPr>
        <w:t>DESCRIBE EFFORTS TO IDENTIFY DUPLICATON AND SHOW SPECIFICALLY WHY ANY SIMILAR INFORMATION ALREADY AVAILABLE CANNOT BE USED OR MODIFIED FOR USE FOR THE PURPOSE(S) DESCRIBED IN INSTRUCTION NO. 2.</w:t>
      </w:r>
    </w:p>
    <w:p w:rsidR="00E85B6A" w:rsidRDefault="00E85B6A" w:rsidP="00E85B6A">
      <w:pPr>
        <w:widowControl/>
        <w:ind w:left="1440" w:hanging="720"/>
        <w:rPr>
          <w:b/>
          <w:sz w:val="26"/>
          <w:szCs w:val="26"/>
        </w:rPr>
      </w:pPr>
    </w:p>
    <w:p w:rsidR="00E85B6A" w:rsidRDefault="00E85B6A" w:rsidP="00126C70">
      <w:pPr>
        <w:widowControl/>
        <w:rPr>
          <w:sz w:val="26"/>
          <w:szCs w:val="26"/>
        </w:rPr>
      </w:pPr>
      <w:r w:rsidRPr="00F37449">
        <w:rPr>
          <w:sz w:val="26"/>
          <w:szCs w:val="26"/>
        </w:rPr>
        <w:lastRenderedPageBreak/>
        <w:t>FERC rules and data requirements are periodically reviewed in conjunction with OMB clearance expiration dates.  This includes a review of FERC's regulations and data requirements to identify duplication.  The information to be submitted</w:t>
      </w:r>
      <w:r w:rsidR="00126C70">
        <w:rPr>
          <w:sz w:val="26"/>
          <w:szCs w:val="26"/>
        </w:rPr>
        <w:t>, generated, kept, or posted,</w:t>
      </w:r>
      <w:r w:rsidRPr="00F37449">
        <w:rPr>
          <w:sz w:val="26"/>
          <w:szCs w:val="26"/>
        </w:rPr>
        <w:t xml:space="preserve"> pursuant to this NOPR is not readily available from other sources, and therefore, no use or other modification of the information can be made to perform oversight and review responsibilities under applicable legislation (e.g. Federal Power Act (FPA), Energy Policy Act of 1992 (EPAct)).</w:t>
      </w:r>
    </w:p>
    <w:p w:rsidR="00E85B6A" w:rsidRDefault="00E85B6A" w:rsidP="00E85B6A">
      <w:pPr>
        <w:widowControl/>
        <w:ind w:firstLine="720"/>
        <w:rPr>
          <w:sz w:val="26"/>
          <w:szCs w:val="26"/>
        </w:rPr>
      </w:pPr>
    </w:p>
    <w:p w:rsidR="00E85B6A" w:rsidRDefault="00E85B6A" w:rsidP="00E85B6A">
      <w:pPr>
        <w:widowControl/>
        <w:ind w:left="720" w:hanging="720"/>
        <w:rPr>
          <w:sz w:val="26"/>
          <w:szCs w:val="26"/>
        </w:rPr>
      </w:pPr>
      <w:r w:rsidRPr="00305E44">
        <w:rPr>
          <w:sz w:val="26"/>
          <w:szCs w:val="26"/>
        </w:rPr>
        <w:t>5</w:t>
      </w:r>
      <w:r>
        <w:rPr>
          <w:b/>
          <w:sz w:val="26"/>
          <w:szCs w:val="26"/>
        </w:rPr>
        <w:t>.</w:t>
      </w:r>
      <w:r>
        <w:rPr>
          <w:b/>
          <w:sz w:val="26"/>
          <w:szCs w:val="26"/>
        </w:rPr>
        <w:tab/>
        <w:t>METHODS USED TO MINIMIZE BURDEN IN COLLECTION OF INFORMATION INVOLVING SMALL ENTITIES</w:t>
      </w:r>
    </w:p>
    <w:p w:rsidR="00E85B6A" w:rsidRDefault="00E85B6A" w:rsidP="00E85B6A">
      <w:pPr>
        <w:widowControl/>
        <w:ind w:left="360"/>
        <w:rPr>
          <w:sz w:val="26"/>
          <w:szCs w:val="26"/>
        </w:rPr>
      </w:pPr>
    </w:p>
    <w:p w:rsidR="00126C70" w:rsidRPr="0030030C" w:rsidRDefault="00126C70" w:rsidP="00E85B6A">
      <w:pPr>
        <w:widowControl/>
        <w:rPr>
          <w:b/>
          <w:sz w:val="26"/>
          <w:szCs w:val="26"/>
        </w:rPr>
      </w:pPr>
      <w:r>
        <w:rPr>
          <w:sz w:val="26"/>
          <w:szCs w:val="26"/>
        </w:rPr>
        <w:t>FERC estimates that there are five small public utilities applicable to this rule.  FERC considers the impact of the rule to be very minimal.  The Commission does consider waivers for small entities</w:t>
      </w:r>
      <w:r w:rsidR="0010642A">
        <w:rPr>
          <w:sz w:val="26"/>
          <w:szCs w:val="26"/>
        </w:rPr>
        <w:t>, which serves as an option for small entities to reduce their burden</w:t>
      </w:r>
      <w:r>
        <w:rPr>
          <w:sz w:val="26"/>
          <w:szCs w:val="26"/>
        </w:rPr>
        <w:t>.</w:t>
      </w:r>
      <w:r w:rsidR="0030030C">
        <w:rPr>
          <w:sz w:val="26"/>
          <w:szCs w:val="26"/>
        </w:rPr>
        <w:t xml:space="preserve">  The Commission grants these waivers on a case-by-case basis.</w:t>
      </w:r>
    </w:p>
    <w:p w:rsidR="00E85B6A" w:rsidRDefault="00E85B6A" w:rsidP="00E85B6A">
      <w:pPr>
        <w:widowControl/>
        <w:rPr>
          <w:sz w:val="26"/>
          <w:szCs w:val="26"/>
        </w:rPr>
      </w:pPr>
    </w:p>
    <w:p w:rsidR="00E85B6A" w:rsidRDefault="00E85B6A" w:rsidP="00E85B6A">
      <w:pPr>
        <w:widowControl/>
        <w:ind w:left="720" w:hanging="720"/>
        <w:rPr>
          <w:b/>
          <w:sz w:val="26"/>
          <w:szCs w:val="26"/>
        </w:rPr>
      </w:pPr>
      <w:r>
        <w:rPr>
          <w:sz w:val="26"/>
          <w:szCs w:val="26"/>
        </w:rPr>
        <w:t>6.</w:t>
      </w:r>
      <w:r>
        <w:rPr>
          <w:sz w:val="26"/>
          <w:szCs w:val="26"/>
        </w:rPr>
        <w:tab/>
      </w:r>
      <w:r>
        <w:rPr>
          <w:b/>
          <w:sz w:val="26"/>
          <w:szCs w:val="26"/>
        </w:rPr>
        <w:t>CONSEQUENCE TO FEDERAL PROGRAM IF COLLECTION WERE CONDUCTED LESS FREQUENTLY</w:t>
      </w:r>
    </w:p>
    <w:p w:rsidR="00E85B6A" w:rsidRDefault="00E85B6A" w:rsidP="00E85B6A">
      <w:pPr>
        <w:widowControl/>
        <w:rPr>
          <w:sz w:val="26"/>
          <w:szCs w:val="26"/>
        </w:rPr>
      </w:pPr>
    </w:p>
    <w:p w:rsidR="00E85B6A" w:rsidRDefault="00927DB0" w:rsidP="00927DB0">
      <w:pPr>
        <w:widowControl/>
        <w:rPr>
          <w:sz w:val="26"/>
          <w:szCs w:val="26"/>
        </w:rPr>
      </w:pPr>
      <w:r>
        <w:rPr>
          <w:sz w:val="26"/>
          <w:szCs w:val="26"/>
        </w:rPr>
        <w:t>The Commission promotes an open transmission system through its policies and regulations.  The NAESB WEQ Version 003 standards were developed and vetted through an industry consensus process.  If the information collection components of the standards were conducted less frequently</w:t>
      </w:r>
      <w:r w:rsidR="00BB68F4">
        <w:rPr>
          <w:sz w:val="26"/>
          <w:szCs w:val="26"/>
        </w:rPr>
        <w:t xml:space="preserve"> then</w:t>
      </w:r>
      <w:r>
        <w:rPr>
          <w:sz w:val="26"/>
          <w:szCs w:val="26"/>
        </w:rPr>
        <w:t xml:space="preserve"> the standards would not fully achieve their purpose of promoting efficiency</w:t>
      </w:r>
      <w:r w:rsidR="00AD6C99">
        <w:rPr>
          <w:sz w:val="26"/>
          <w:szCs w:val="26"/>
        </w:rPr>
        <w:t xml:space="preserve"> in the </w:t>
      </w:r>
      <w:r w:rsidR="00BB68F4">
        <w:rPr>
          <w:sz w:val="26"/>
          <w:szCs w:val="26"/>
        </w:rPr>
        <w:t>wholesale electric</w:t>
      </w:r>
      <w:r w:rsidR="00A000C9">
        <w:rPr>
          <w:sz w:val="26"/>
          <w:szCs w:val="26"/>
        </w:rPr>
        <w:t xml:space="preserve"> </w:t>
      </w:r>
      <w:r w:rsidR="00AD6C99">
        <w:rPr>
          <w:sz w:val="26"/>
          <w:szCs w:val="26"/>
        </w:rPr>
        <w:t>industry</w:t>
      </w:r>
      <w:r>
        <w:rPr>
          <w:sz w:val="26"/>
          <w:szCs w:val="26"/>
        </w:rPr>
        <w:t>.  Further, anything different from the standards under consideration here would not be in line with what the industry has already</w:t>
      </w:r>
      <w:r w:rsidR="00AD6C99">
        <w:rPr>
          <w:sz w:val="26"/>
          <w:szCs w:val="26"/>
        </w:rPr>
        <w:t xml:space="preserve"> vetted and</w:t>
      </w:r>
      <w:r>
        <w:rPr>
          <w:sz w:val="26"/>
          <w:szCs w:val="26"/>
        </w:rPr>
        <w:t xml:space="preserve"> approved</w:t>
      </w:r>
      <w:r w:rsidR="00BB68F4">
        <w:rPr>
          <w:sz w:val="26"/>
          <w:szCs w:val="26"/>
        </w:rPr>
        <w:t xml:space="preserve"> in an open consensus building process through NAESB</w:t>
      </w:r>
      <w:r>
        <w:rPr>
          <w:sz w:val="26"/>
          <w:szCs w:val="26"/>
        </w:rPr>
        <w:t xml:space="preserve">. </w:t>
      </w:r>
    </w:p>
    <w:p w:rsidR="00126C70" w:rsidRDefault="00126C70" w:rsidP="00E85B6A">
      <w:pPr>
        <w:widowControl/>
        <w:ind w:left="720" w:hanging="720"/>
        <w:rPr>
          <w:sz w:val="26"/>
          <w:szCs w:val="26"/>
        </w:rPr>
      </w:pPr>
    </w:p>
    <w:p w:rsidR="00E85B6A" w:rsidRDefault="00E85B6A" w:rsidP="00E85B6A">
      <w:pPr>
        <w:widowControl/>
        <w:ind w:left="720" w:hanging="720"/>
        <w:rPr>
          <w:b/>
          <w:sz w:val="26"/>
          <w:szCs w:val="26"/>
        </w:rPr>
      </w:pPr>
      <w:r>
        <w:rPr>
          <w:sz w:val="26"/>
          <w:szCs w:val="26"/>
        </w:rPr>
        <w:t>7.</w:t>
      </w:r>
      <w:r>
        <w:rPr>
          <w:sz w:val="26"/>
          <w:szCs w:val="26"/>
        </w:rPr>
        <w:tab/>
      </w:r>
      <w:r>
        <w:rPr>
          <w:b/>
          <w:sz w:val="26"/>
          <w:szCs w:val="26"/>
        </w:rPr>
        <w:t>EXPLAIN ANY SPECIAL CIRCUMSTANCES RELATING TO THE INFORMATION</w:t>
      </w:r>
    </w:p>
    <w:p w:rsidR="00E85B6A" w:rsidRDefault="00E85B6A" w:rsidP="00E85B6A">
      <w:pPr>
        <w:widowControl/>
        <w:ind w:left="720" w:hanging="720"/>
        <w:rPr>
          <w:b/>
          <w:sz w:val="26"/>
          <w:szCs w:val="26"/>
        </w:rPr>
      </w:pPr>
    </w:p>
    <w:p w:rsidR="00E85B6A" w:rsidRDefault="00E85B6A" w:rsidP="00927DB0">
      <w:pPr>
        <w:rPr>
          <w:sz w:val="26"/>
          <w:szCs w:val="26"/>
        </w:rPr>
      </w:pPr>
      <w:r>
        <w:rPr>
          <w:sz w:val="26"/>
          <w:szCs w:val="26"/>
        </w:rPr>
        <w:t>FERC-717</w:t>
      </w:r>
      <w:r w:rsidR="007E1F46">
        <w:rPr>
          <w:sz w:val="26"/>
          <w:szCs w:val="26"/>
        </w:rPr>
        <w:t>A</w:t>
      </w:r>
      <w:r>
        <w:rPr>
          <w:sz w:val="26"/>
          <w:szCs w:val="26"/>
        </w:rPr>
        <w:t xml:space="preserve"> and FERC-516 are consistent with the guidelines in 5 CFR 1320.5(d). </w:t>
      </w:r>
    </w:p>
    <w:p w:rsidR="00E85B6A" w:rsidRDefault="00E85B6A" w:rsidP="00E85B6A">
      <w:pPr>
        <w:widowControl/>
        <w:rPr>
          <w:sz w:val="26"/>
          <w:szCs w:val="26"/>
        </w:rPr>
      </w:pPr>
    </w:p>
    <w:p w:rsidR="00E85B6A" w:rsidRDefault="00E85B6A" w:rsidP="00E85B6A">
      <w:pPr>
        <w:widowControl/>
        <w:ind w:left="720" w:hanging="720"/>
        <w:rPr>
          <w:b/>
          <w:sz w:val="26"/>
          <w:szCs w:val="26"/>
        </w:rPr>
      </w:pPr>
      <w:r>
        <w:rPr>
          <w:sz w:val="26"/>
          <w:szCs w:val="26"/>
        </w:rPr>
        <w:t>8.</w:t>
      </w:r>
      <w:r>
        <w:rPr>
          <w:sz w:val="26"/>
          <w:szCs w:val="26"/>
        </w:rPr>
        <w:tab/>
      </w:r>
      <w:r>
        <w:rPr>
          <w:b/>
          <w:sz w:val="26"/>
          <w:szCs w:val="26"/>
        </w:rPr>
        <w:t>DESCRIBE EFFORTS TO CONSULT OUTSIDE THE AGENCY:  SUMMARIZE PUBLIC COMMENTS AND THE AGENCY’S</w:t>
      </w:r>
    </w:p>
    <w:p w:rsidR="00E85B6A" w:rsidRDefault="00E85B6A" w:rsidP="00E85B6A">
      <w:pPr>
        <w:widowControl/>
        <w:ind w:left="360" w:firstLine="360"/>
        <w:rPr>
          <w:b/>
          <w:sz w:val="26"/>
          <w:szCs w:val="26"/>
        </w:rPr>
      </w:pPr>
      <w:r>
        <w:rPr>
          <w:b/>
          <w:sz w:val="26"/>
          <w:szCs w:val="26"/>
        </w:rPr>
        <w:t>RESPONSE TO THESE COMMENTS</w:t>
      </w:r>
    </w:p>
    <w:p w:rsidR="00E85B6A" w:rsidRDefault="00E85B6A" w:rsidP="00E85B6A">
      <w:pPr>
        <w:widowControl/>
        <w:rPr>
          <w:sz w:val="26"/>
          <w:szCs w:val="26"/>
        </w:rPr>
      </w:pPr>
    </w:p>
    <w:p w:rsidR="00E85B6A" w:rsidRPr="00CD6469" w:rsidRDefault="00E85B6A" w:rsidP="00E85B6A">
      <w:pPr>
        <w:rPr>
          <w:sz w:val="26"/>
          <w:szCs w:val="26"/>
        </w:rPr>
      </w:pPr>
      <w:r w:rsidRPr="00CD6469">
        <w:rPr>
          <w:sz w:val="26"/>
          <w:szCs w:val="26"/>
        </w:rPr>
        <w:t>In the proposed rule</w:t>
      </w:r>
      <w:r w:rsidR="00BB68F4">
        <w:rPr>
          <w:sz w:val="26"/>
          <w:szCs w:val="26"/>
        </w:rPr>
        <w:t>,</w:t>
      </w:r>
      <w:r w:rsidRPr="00CD6469">
        <w:rPr>
          <w:sz w:val="26"/>
          <w:szCs w:val="26"/>
        </w:rPr>
        <w:t xml:space="preserve"> the Commission seeks comment on various aspects of the new </w:t>
      </w:r>
      <w:r w:rsidRPr="00CD6469">
        <w:rPr>
          <w:sz w:val="26"/>
          <w:szCs w:val="26"/>
        </w:rPr>
        <w:lastRenderedPageBreak/>
        <w:t xml:space="preserve">business practice standards, including the burden estimates provided.  </w:t>
      </w:r>
      <w:r w:rsidR="00AD6C99">
        <w:rPr>
          <w:sz w:val="26"/>
          <w:szCs w:val="26"/>
        </w:rPr>
        <w:t>Further</w:t>
      </w:r>
      <w:r>
        <w:rPr>
          <w:sz w:val="26"/>
          <w:szCs w:val="26"/>
        </w:rPr>
        <w:t xml:space="preserve">, the NAESB WEQ business practice standards are developed and voted on by industry representatives prior to submission to FERC.  </w:t>
      </w:r>
      <w:r w:rsidRPr="002D3065">
        <w:rPr>
          <w:sz w:val="26"/>
          <w:szCs w:val="26"/>
        </w:rPr>
        <w:t>For final approval, 67 percent of the WEQ’s general membership must ratify the standard</w:t>
      </w:r>
      <w:r w:rsidR="00714A72">
        <w:rPr>
          <w:sz w:val="26"/>
          <w:szCs w:val="26"/>
        </w:rPr>
        <w:t>.  Additionally, the standards</w:t>
      </w:r>
      <w:r w:rsidR="00D52AED">
        <w:rPr>
          <w:sz w:val="26"/>
          <w:szCs w:val="26"/>
        </w:rPr>
        <w:t xml:space="preserve"> </w:t>
      </w:r>
      <w:r w:rsidR="00714A72">
        <w:rPr>
          <w:sz w:val="26"/>
          <w:szCs w:val="26"/>
        </w:rPr>
        <w:t xml:space="preserve">have already </w:t>
      </w:r>
      <w:r w:rsidR="00BB68F4">
        <w:rPr>
          <w:sz w:val="26"/>
          <w:szCs w:val="26"/>
        </w:rPr>
        <w:t>gained approval among the industry sectors</w:t>
      </w:r>
      <w:r w:rsidRPr="002D3065">
        <w:rPr>
          <w:sz w:val="26"/>
          <w:szCs w:val="26"/>
        </w:rPr>
        <w:t>.</w:t>
      </w:r>
    </w:p>
    <w:p w:rsidR="00E85B6A" w:rsidRDefault="00E85B6A" w:rsidP="00E85B6A"/>
    <w:p w:rsidR="00E85B6A" w:rsidRDefault="00E85B6A" w:rsidP="00E85B6A">
      <w:pPr>
        <w:rPr>
          <w:b/>
          <w:sz w:val="26"/>
          <w:szCs w:val="26"/>
        </w:rPr>
      </w:pPr>
      <w:r>
        <w:rPr>
          <w:sz w:val="26"/>
          <w:szCs w:val="26"/>
        </w:rPr>
        <w:t xml:space="preserve">9. </w:t>
      </w:r>
      <w:r>
        <w:rPr>
          <w:sz w:val="26"/>
          <w:szCs w:val="26"/>
        </w:rPr>
        <w:tab/>
      </w:r>
      <w:r>
        <w:rPr>
          <w:b/>
          <w:sz w:val="26"/>
          <w:szCs w:val="26"/>
        </w:rPr>
        <w:t>EXPLAIN ANY PAYMENT OR GIFTS TO RESPONDENTS</w:t>
      </w:r>
    </w:p>
    <w:p w:rsidR="00E85B6A" w:rsidRDefault="00E85B6A" w:rsidP="00E85B6A">
      <w:pPr>
        <w:widowControl/>
        <w:rPr>
          <w:b/>
          <w:sz w:val="26"/>
          <w:szCs w:val="26"/>
        </w:rPr>
      </w:pPr>
    </w:p>
    <w:p w:rsidR="00E85B6A" w:rsidRPr="00AA578C" w:rsidRDefault="00E85B6A" w:rsidP="00927DB0">
      <w:pPr>
        <w:widowControl/>
        <w:rPr>
          <w:b/>
          <w:sz w:val="26"/>
          <w:szCs w:val="26"/>
        </w:rPr>
      </w:pPr>
      <w:r>
        <w:rPr>
          <w:sz w:val="26"/>
          <w:szCs w:val="26"/>
        </w:rPr>
        <w:t>There are no payments or gifts to respondents</w:t>
      </w:r>
      <w:r w:rsidR="00AD6C99">
        <w:rPr>
          <w:sz w:val="26"/>
          <w:szCs w:val="26"/>
        </w:rPr>
        <w:t xml:space="preserve"> associated with these collections.</w:t>
      </w:r>
    </w:p>
    <w:p w:rsidR="00E85B6A" w:rsidRDefault="00E85B6A" w:rsidP="00E85B6A">
      <w:pPr>
        <w:widowControl/>
        <w:rPr>
          <w:sz w:val="26"/>
          <w:szCs w:val="26"/>
        </w:rPr>
      </w:pPr>
    </w:p>
    <w:p w:rsidR="00E85B6A" w:rsidRDefault="00E85B6A" w:rsidP="00E85B6A">
      <w:pPr>
        <w:widowControl/>
        <w:ind w:left="720" w:hanging="720"/>
        <w:rPr>
          <w:sz w:val="26"/>
          <w:szCs w:val="26"/>
        </w:rPr>
      </w:pPr>
      <w:r>
        <w:rPr>
          <w:sz w:val="26"/>
          <w:szCs w:val="26"/>
        </w:rPr>
        <w:t>10.</w:t>
      </w:r>
      <w:r>
        <w:rPr>
          <w:sz w:val="26"/>
          <w:szCs w:val="26"/>
        </w:rPr>
        <w:tab/>
      </w:r>
      <w:r>
        <w:rPr>
          <w:b/>
          <w:sz w:val="26"/>
          <w:szCs w:val="26"/>
        </w:rPr>
        <w:t>DESCRIBE ANY ASSURANCE OF CONFIDENTIALITY PROVIDED TO RESPONDENTS</w:t>
      </w:r>
    </w:p>
    <w:p w:rsidR="00927DB0" w:rsidRDefault="00927DB0" w:rsidP="00927DB0">
      <w:pPr>
        <w:widowControl/>
        <w:rPr>
          <w:sz w:val="26"/>
          <w:szCs w:val="26"/>
        </w:rPr>
      </w:pPr>
    </w:p>
    <w:p w:rsidR="00E85B6A" w:rsidRDefault="00AD6C99" w:rsidP="00927DB0">
      <w:pPr>
        <w:widowControl/>
        <w:rPr>
          <w:sz w:val="26"/>
          <w:szCs w:val="26"/>
        </w:rPr>
      </w:pPr>
      <w:r>
        <w:rPr>
          <w:sz w:val="26"/>
          <w:szCs w:val="26"/>
        </w:rPr>
        <w:t>Any</w:t>
      </w:r>
      <w:r w:rsidR="00E85B6A">
        <w:rPr>
          <w:sz w:val="26"/>
          <w:szCs w:val="26"/>
        </w:rPr>
        <w:t xml:space="preserve"> data filed are public information and, therefore, not confidential.  However, a company may request confidential treatment of some or all parts of the information requirement under the FERC regulations at 18 CFR 388.112.  </w:t>
      </w:r>
      <w:r w:rsidR="00714A72">
        <w:rPr>
          <w:sz w:val="26"/>
          <w:szCs w:val="26"/>
        </w:rPr>
        <w:t>The Commission will review e</w:t>
      </w:r>
      <w:r w:rsidR="00E85B6A">
        <w:rPr>
          <w:sz w:val="26"/>
          <w:szCs w:val="26"/>
        </w:rPr>
        <w:t>ach request for confidential treatment on a case-by-case basis.</w:t>
      </w:r>
    </w:p>
    <w:p w:rsidR="00E85B6A" w:rsidRDefault="00E85B6A" w:rsidP="00E85B6A">
      <w:pPr>
        <w:widowControl/>
        <w:ind w:firstLine="720"/>
        <w:rPr>
          <w:sz w:val="26"/>
          <w:szCs w:val="26"/>
        </w:rPr>
      </w:pPr>
    </w:p>
    <w:p w:rsidR="00E85B6A" w:rsidRDefault="00E85B6A" w:rsidP="00E85B6A">
      <w:pPr>
        <w:widowControl/>
        <w:ind w:left="720" w:hanging="720"/>
        <w:rPr>
          <w:sz w:val="26"/>
          <w:szCs w:val="26"/>
        </w:rPr>
      </w:pPr>
      <w:r>
        <w:rPr>
          <w:sz w:val="26"/>
          <w:szCs w:val="26"/>
        </w:rPr>
        <w:t>11.</w:t>
      </w:r>
      <w:r>
        <w:rPr>
          <w:sz w:val="26"/>
          <w:szCs w:val="26"/>
        </w:rPr>
        <w:tab/>
      </w:r>
      <w:r>
        <w:rPr>
          <w:b/>
          <w:sz w:val="26"/>
          <w:szCs w:val="26"/>
        </w:rPr>
        <w:t>PROVIDE ADDITIONAL JUSTIFICATION FOR ANY QUESTIONS OF A SENSITIVE NATURE</w:t>
      </w:r>
    </w:p>
    <w:p w:rsidR="005430A9" w:rsidRDefault="005430A9" w:rsidP="005430A9">
      <w:pPr>
        <w:widowControl/>
        <w:rPr>
          <w:sz w:val="26"/>
          <w:szCs w:val="26"/>
        </w:rPr>
      </w:pPr>
    </w:p>
    <w:p w:rsidR="00E85B6A" w:rsidRDefault="00E85B6A" w:rsidP="005430A9">
      <w:pPr>
        <w:widowControl/>
        <w:rPr>
          <w:sz w:val="26"/>
          <w:szCs w:val="26"/>
        </w:rPr>
      </w:pPr>
      <w:r>
        <w:rPr>
          <w:sz w:val="26"/>
          <w:szCs w:val="26"/>
        </w:rPr>
        <w:t>There are no questions of a sensitive nature in the reporting requirements.</w:t>
      </w:r>
    </w:p>
    <w:p w:rsidR="00E85B6A" w:rsidRDefault="00E85B6A" w:rsidP="00E85B6A">
      <w:pPr>
        <w:widowControl/>
        <w:rPr>
          <w:sz w:val="26"/>
          <w:szCs w:val="26"/>
        </w:rPr>
      </w:pPr>
    </w:p>
    <w:p w:rsidR="00E85B6A" w:rsidRDefault="00E85B6A" w:rsidP="00E85B6A">
      <w:pPr>
        <w:pStyle w:val="FERCparanumber"/>
        <w:numPr>
          <w:ilvl w:val="0"/>
          <w:numId w:val="3"/>
        </w:numPr>
        <w:spacing w:line="240" w:lineRule="auto"/>
        <w:ind w:hanging="720"/>
        <w:rPr>
          <w:b/>
          <w:szCs w:val="26"/>
        </w:rPr>
      </w:pPr>
      <w:r>
        <w:rPr>
          <w:b/>
          <w:szCs w:val="26"/>
        </w:rPr>
        <w:t>ESTIMATED BURDEN COLLECTION OF INFORMATION</w:t>
      </w:r>
    </w:p>
    <w:p w:rsidR="005430A9" w:rsidRDefault="005430A9" w:rsidP="005430A9">
      <w:pPr>
        <w:pStyle w:val="FERCparanumber"/>
        <w:numPr>
          <w:ilvl w:val="0"/>
          <w:numId w:val="0"/>
        </w:numPr>
        <w:spacing w:line="240" w:lineRule="auto"/>
        <w:rPr>
          <w:szCs w:val="26"/>
        </w:rPr>
      </w:pPr>
    </w:p>
    <w:p w:rsidR="005430A9" w:rsidRDefault="005430A9" w:rsidP="005430A9">
      <w:pPr>
        <w:pStyle w:val="FERCparanumber"/>
        <w:numPr>
          <w:ilvl w:val="0"/>
          <w:numId w:val="0"/>
        </w:numPr>
        <w:spacing w:line="240" w:lineRule="auto"/>
        <w:rPr>
          <w:szCs w:val="26"/>
        </w:rPr>
      </w:pPr>
      <w:r>
        <w:rPr>
          <w:szCs w:val="26"/>
        </w:rPr>
        <w:t xml:space="preserve">The current burden for the </w:t>
      </w:r>
      <w:r w:rsidRPr="00D52AED">
        <w:rPr>
          <w:b/>
          <w:szCs w:val="26"/>
        </w:rPr>
        <w:t>FERC-516</w:t>
      </w:r>
      <w:r w:rsidRPr="00AD6C99">
        <w:rPr>
          <w:szCs w:val="26"/>
        </w:rPr>
        <w:t xml:space="preserve"> </w:t>
      </w:r>
      <w:r w:rsidR="00F6205C" w:rsidRPr="00AD6C99">
        <w:rPr>
          <w:szCs w:val="26"/>
        </w:rPr>
        <w:t>is 497,458</w:t>
      </w:r>
      <w:r w:rsidRPr="00AD6C99">
        <w:rPr>
          <w:szCs w:val="26"/>
        </w:rPr>
        <w:t xml:space="preserve"> hours.  The</w:t>
      </w:r>
      <w:r>
        <w:rPr>
          <w:szCs w:val="26"/>
        </w:rPr>
        <w:t xml:space="preserve"> majority of these hours (approximately 400,000) are due to general tariff filings related to the electric utility industry.  Respondents make tariff filings anytime they wish to modify existing rates or services, or when the Commission directs.  The </w:t>
      </w:r>
      <w:r w:rsidR="008F4DE3">
        <w:rPr>
          <w:szCs w:val="26"/>
        </w:rPr>
        <w:t xml:space="preserve">Commission proposes that the tariff filing to reference the Version 003 standards could be made as part of an unrelated tariff filing, to reduce the burden on filers.  </w:t>
      </w:r>
      <w:r w:rsidR="009206F1">
        <w:rPr>
          <w:szCs w:val="26"/>
        </w:rPr>
        <w:t>T</w:t>
      </w:r>
      <w:r w:rsidR="008F4DE3">
        <w:rPr>
          <w:szCs w:val="26"/>
        </w:rPr>
        <w:t>he</w:t>
      </w:r>
      <w:r w:rsidR="001B60D8">
        <w:rPr>
          <w:szCs w:val="26"/>
        </w:rPr>
        <w:t xml:space="preserve"> </w:t>
      </w:r>
      <w:r>
        <w:rPr>
          <w:szCs w:val="26"/>
        </w:rPr>
        <w:t xml:space="preserve">remaining burden hours </w:t>
      </w:r>
      <w:r w:rsidR="009206F1">
        <w:rPr>
          <w:szCs w:val="26"/>
        </w:rPr>
        <w:t>include</w:t>
      </w:r>
      <w:r w:rsidR="008F4DE3">
        <w:rPr>
          <w:szCs w:val="26"/>
        </w:rPr>
        <w:t xml:space="preserve"> a</w:t>
      </w:r>
      <w:r>
        <w:rPr>
          <w:szCs w:val="26"/>
        </w:rPr>
        <w:t xml:space="preserve"> one-time tariff filing requirement, a recent rulemaking (Variable Energy Resources in Docket RM10-</w:t>
      </w:r>
      <w:r w:rsidRPr="00AD6C99">
        <w:rPr>
          <w:szCs w:val="26"/>
        </w:rPr>
        <w:t>11), and the Electric Quarterly Report.</w:t>
      </w:r>
      <w:r w:rsidRPr="00AD6C99">
        <w:rPr>
          <w:rStyle w:val="FootnoteReference"/>
          <w:szCs w:val="26"/>
          <w:vertAlign w:val="superscript"/>
        </w:rPr>
        <w:footnoteReference w:id="18"/>
      </w:r>
    </w:p>
    <w:p w:rsidR="005430A9" w:rsidRDefault="005430A9" w:rsidP="005430A9">
      <w:pPr>
        <w:pStyle w:val="FERCparanumber"/>
        <w:numPr>
          <w:ilvl w:val="0"/>
          <w:numId w:val="0"/>
        </w:numPr>
        <w:spacing w:line="240" w:lineRule="auto"/>
        <w:rPr>
          <w:szCs w:val="26"/>
        </w:rPr>
      </w:pPr>
    </w:p>
    <w:p w:rsidR="001B60D8" w:rsidRDefault="007E1F46" w:rsidP="005430A9">
      <w:pPr>
        <w:pStyle w:val="FERCparanumber"/>
        <w:numPr>
          <w:ilvl w:val="0"/>
          <w:numId w:val="0"/>
        </w:numPr>
        <w:spacing w:line="240" w:lineRule="auto"/>
        <w:rPr>
          <w:szCs w:val="26"/>
        </w:rPr>
      </w:pPr>
      <w:r>
        <w:rPr>
          <w:szCs w:val="26"/>
        </w:rPr>
        <w:lastRenderedPageBreak/>
        <w:t>The FERC-717A is a new temporary collection to account for the burden necessary to comply with paperwork aspects of the Version 003 standards.</w:t>
      </w:r>
    </w:p>
    <w:p w:rsidR="001F3F74" w:rsidRDefault="001F3F74" w:rsidP="005430A9">
      <w:pPr>
        <w:pStyle w:val="FERCparanumber"/>
        <w:numPr>
          <w:ilvl w:val="0"/>
          <w:numId w:val="0"/>
        </w:numPr>
        <w:spacing w:line="240" w:lineRule="auto"/>
        <w:rPr>
          <w:szCs w:val="26"/>
        </w:rPr>
      </w:pPr>
    </w:p>
    <w:p w:rsidR="001F3F74" w:rsidRDefault="001F3F74" w:rsidP="005430A9">
      <w:pPr>
        <w:pStyle w:val="FERCparanumber"/>
        <w:numPr>
          <w:ilvl w:val="0"/>
          <w:numId w:val="0"/>
        </w:numPr>
        <w:spacing w:line="240" w:lineRule="auto"/>
        <w:rPr>
          <w:szCs w:val="26"/>
        </w:rPr>
      </w:pPr>
      <w:r>
        <w:rPr>
          <w:szCs w:val="26"/>
        </w:rPr>
        <w:t>The burden imposed by the NOPR in RM05-5-022 follows.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710"/>
        <w:gridCol w:w="1620"/>
        <w:gridCol w:w="1350"/>
        <w:gridCol w:w="1260"/>
      </w:tblGrid>
      <w:tr w:rsidR="001B60D8" w:rsidRPr="001B60D8" w:rsidTr="00D52AED">
        <w:trPr>
          <w:cantSplit/>
          <w:trHeight w:val="1250"/>
        </w:trPr>
        <w:tc>
          <w:tcPr>
            <w:tcW w:w="1728" w:type="dxa"/>
            <w:shd w:val="clear" w:color="auto" w:fill="D9D9D9"/>
            <w:vAlign w:val="bottom"/>
          </w:tcPr>
          <w:p w:rsidR="001B60D8" w:rsidRPr="001B60D8" w:rsidRDefault="001B60D8" w:rsidP="001B60D8">
            <w:pPr>
              <w:widowControl/>
              <w:autoSpaceDE/>
              <w:autoSpaceDN/>
              <w:adjustRightInd/>
              <w:rPr>
                <w:rFonts w:eastAsiaTheme="minorHAnsi"/>
                <w:b/>
              </w:rPr>
            </w:pPr>
          </w:p>
        </w:tc>
        <w:tc>
          <w:tcPr>
            <w:tcW w:w="1620" w:type="dxa"/>
            <w:shd w:val="clear" w:color="auto" w:fill="D9D9D9"/>
            <w:vAlign w:val="bottom"/>
          </w:tcPr>
          <w:p w:rsidR="001B60D8" w:rsidRPr="001B60D8" w:rsidRDefault="001B60D8" w:rsidP="001B60D8">
            <w:pPr>
              <w:widowControl/>
              <w:autoSpaceDE/>
              <w:autoSpaceDN/>
              <w:adjustRightInd/>
              <w:jc w:val="center"/>
              <w:rPr>
                <w:rFonts w:eastAsiaTheme="minorHAnsi"/>
                <w:b/>
              </w:rPr>
            </w:pPr>
            <w:r w:rsidRPr="001B60D8">
              <w:rPr>
                <w:rFonts w:eastAsiaTheme="minorHAnsi"/>
                <w:b/>
              </w:rPr>
              <w:t>Number of Respondents</w:t>
            </w:r>
          </w:p>
          <w:p w:rsidR="001B60D8" w:rsidRPr="001B60D8" w:rsidRDefault="001B60D8" w:rsidP="001B60D8">
            <w:pPr>
              <w:widowControl/>
              <w:autoSpaceDE/>
              <w:autoSpaceDN/>
              <w:adjustRightInd/>
              <w:jc w:val="center"/>
              <w:rPr>
                <w:rFonts w:eastAsiaTheme="minorHAnsi"/>
                <w:b/>
              </w:rPr>
            </w:pPr>
            <w:r w:rsidRPr="001B60D8">
              <w:rPr>
                <w:rFonts w:eastAsiaTheme="minorHAnsi"/>
                <w:b/>
              </w:rPr>
              <w:t>(A)</w:t>
            </w:r>
          </w:p>
        </w:tc>
        <w:tc>
          <w:tcPr>
            <w:tcW w:w="1710" w:type="dxa"/>
            <w:shd w:val="clear" w:color="auto" w:fill="D9D9D9"/>
            <w:vAlign w:val="bottom"/>
          </w:tcPr>
          <w:p w:rsidR="001B60D8" w:rsidRPr="001B60D8" w:rsidRDefault="001B60D8" w:rsidP="001B60D8">
            <w:pPr>
              <w:widowControl/>
              <w:autoSpaceDE/>
              <w:autoSpaceDN/>
              <w:adjustRightInd/>
              <w:jc w:val="center"/>
              <w:rPr>
                <w:rFonts w:eastAsiaTheme="minorHAnsi"/>
                <w:b/>
              </w:rPr>
            </w:pPr>
            <w:r w:rsidRPr="001B60D8">
              <w:rPr>
                <w:rFonts w:eastAsiaTheme="minorHAnsi"/>
                <w:b/>
              </w:rPr>
              <w:t>Annual Number of Responses Per Respondent</w:t>
            </w:r>
          </w:p>
          <w:p w:rsidR="001B60D8" w:rsidRPr="001B60D8" w:rsidRDefault="001B60D8" w:rsidP="001B60D8">
            <w:pPr>
              <w:widowControl/>
              <w:autoSpaceDE/>
              <w:autoSpaceDN/>
              <w:adjustRightInd/>
              <w:jc w:val="center"/>
              <w:rPr>
                <w:rFonts w:eastAsiaTheme="minorHAnsi"/>
                <w:b/>
              </w:rPr>
            </w:pPr>
            <w:r w:rsidRPr="001B60D8">
              <w:rPr>
                <w:rFonts w:eastAsiaTheme="minorHAnsi"/>
                <w:b/>
              </w:rPr>
              <w:t>(B)</w:t>
            </w:r>
          </w:p>
        </w:tc>
        <w:tc>
          <w:tcPr>
            <w:tcW w:w="1620" w:type="dxa"/>
            <w:shd w:val="clear" w:color="auto" w:fill="D9D9D9"/>
            <w:vAlign w:val="bottom"/>
          </w:tcPr>
          <w:p w:rsidR="001B60D8" w:rsidRPr="001B60D8" w:rsidRDefault="001B60D8" w:rsidP="001B60D8">
            <w:pPr>
              <w:widowControl/>
              <w:autoSpaceDE/>
              <w:autoSpaceDN/>
              <w:adjustRightInd/>
              <w:jc w:val="center"/>
              <w:rPr>
                <w:rFonts w:eastAsiaTheme="minorHAnsi"/>
                <w:b/>
              </w:rPr>
            </w:pPr>
            <w:r w:rsidRPr="001B60D8">
              <w:rPr>
                <w:rFonts w:eastAsiaTheme="minorHAnsi"/>
                <w:b/>
              </w:rPr>
              <w:t>Total Number of Responses</w:t>
            </w:r>
          </w:p>
          <w:p w:rsidR="001B60D8" w:rsidRPr="001B60D8" w:rsidRDefault="001B60D8" w:rsidP="001B60D8">
            <w:pPr>
              <w:widowControl/>
              <w:autoSpaceDE/>
              <w:autoSpaceDN/>
              <w:adjustRightInd/>
              <w:jc w:val="center"/>
              <w:rPr>
                <w:rFonts w:eastAsiaTheme="minorHAnsi"/>
                <w:b/>
              </w:rPr>
            </w:pPr>
            <w:r w:rsidRPr="001B60D8">
              <w:rPr>
                <w:rFonts w:eastAsiaTheme="minorHAnsi"/>
                <w:b/>
              </w:rPr>
              <w:t>(A) x(B)=(C)</w:t>
            </w:r>
          </w:p>
        </w:tc>
        <w:tc>
          <w:tcPr>
            <w:tcW w:w="1350" w:type="dxa"/>
            <w:shd w:val="clear" w:color="auto" w:fill="D9D9D9"/>
            <w:vAlign w:val="bottom"/>
          </w:tcPr>
          <w:p w:rsidR="001B60D8" w:rsidRPr="001B60D8" w:rsidRDefault="001B60D8" w:rsidP="001B60D8">
            <w:pPr>
              <w:widowControl/>
              <w:autoSpaceDE/>
              <w:autoSpaceDN/>
              <w:adjustRightInd/>
              <w:jc w:val="center"/>
              <w:rPr>
                <w:rFonts w:eastAsiaTheme="minorHAnsi"/>
                <w:b/>
              </w:rPr>
            </w:pPr>
            <w:r w:rsidRPr="001B60D8">
              <w:rPr>
                <w:rFonts w:eastAsiaTheme="minorHAnsi"/>
                <w:b/>
              </w:rPr>
              <w:t>Average Burden Hours per Response</w:t>
            </w:r>
          </w:p>
          <w:p w:rsidR="001B60D8" w:rsidRPr="001B60D8" w:rsidRDefault="001B60D8" w:rsidP="001B60D8">
            <w:pPr>
              <w:widowControl/>
              <w:autoSpaceDE/>
              <w:autoSpaceDN/>
              <w:adjustRightInd/>
              <w:jc w:val="center"/>
              <w:rPr>
                <w:rFonts w:eastAsiaTheme="minorHAnsi"/>
                <w:b/>
              </w:rPr>
            </w:pPr>
            <w:r w:rsidRPr="001B60D8">
              <w:rPr>
                <w:rFonts w:eastAsiaTheme="minorHAnsi"/>
                <w:b/>
              </w:rPr>
              <w:t>(D)</w:t>
            </w:r>
          </w:p>
        </w:tc>
        <w:tc>
          <w:tcPr>
            <w:tcW w:w="1260" w:type="dxa"/>
            <w:shd w:val="clear" w:color="auto" w:fill="D9D9D9"/>
            <w:vAlign w:val="bottom"/>
          </w:tcPr>
          <w:p w:rsidR="001B60D8" w:rsidRPr="001B60D8" w:rsidRDefault="001B60D8" w:rsidP="001B60D8">
            <w:pPr>
              <w:widowControl/>
              <w:autoSpaceDE/>
              <w:autoSpaceDN/>
              <w:adjustRightInd/>
              <w:jc w:val="center"/>
              <w:rPr>
                <w:rFonts w:eastAsiaTheme="minorHAnsi"/>
                <w:b/>
              </w:rPr>
            </w:pPr>
            <w:r w:rsidRPr="001B60D8">
              <w:rPr>
                <w:rFonts w:eastAsiaTheme="minorHAnsi"/>
                <w:b/>
              </w:rPr>
              <w:t>Estimated Total Annual Burden</w:t>
            </w:r>
          </w:p>
          <w:p w:rsidR="001B60D8" w:rsidRPr="001B60D8" w:rsidRDefault="001B60D8" w:rsidP="001B60D8">
            <w:pPr>
              <w:widowControl/>
              <w:autoSpaceDE/>
              <w:autoSpaceDN/>
              <w:adjustRightInd/>
              <w:jc w:val="center"/>
              <w:rPr>
                <w:rFonts w:eastAsiaTheme="minorHAnsi"/>
                <w:b/>
              </w:rPr>
            </w:pPr>
            <w:r w:rsidRPr="001B60D8">
              <w:rPr>
                <w:rFonts w:eastAsiaTheme="minorHAnsi"/>
                <w:b/>
              </w:rPr>
              <w:t>(C)x(D)</w:t>
            </w:r>
          </w:p>
        </w:tc>
      </w:tr>
      <w:tr w:rsidR="001B60D8" w:rsidRPr="001B60D8" w:rsidTr="00D52AED">
        <w:trPr>
          <w:cantSplit/>
          <w:trHeight w:val="586"/>
        </w:trPr>
        <w:tc>
          <w:tcPr>
            <w:tcW w:w="1728" w:type="dxa"/>
          </w:tcPr>
          <w:p w:rsidR="001B60D8" w:rsidRPr="001B60D8" w:rsidRDefault="001B60D8" w:rsidP="001B60D8">
            <w:r w:rsidRPr="001B60D8">
              <w:t>FERC-516</w:t>
            </w:r>
            <w:r w:rsidRPr="001B60D8">
              <w:rPr>
                <w:b/>
                <w:vertAlign w:val="superscript"/>
              </w:rPr>
              <w:footnoteReference w:id="19"/>
            </w:r>
          </w:p>
          <w:p w:rsidR="001B60D8" w:rsidRPr="001B60D8" w:rsidRDefault="001B60D8" w:rsidP="001B60D8">
            <w:pPr>
              <w:widowControl/>
              <w:autoSpaceDE/>
              <w:autoSpaceDN/>
              <w:adjustRightInd/>
              <w:rPr>
                <w:rFonts w:eastAsiaTheme="minorHAnsi"/>
              </w:rPr>
            </w:pPr>
            <w:r w:rsidRPr="001B60D8">
              <w:t>(tariff filing)</w:t>
            </w:r>
          </w:p>
        </w:tc>
        <w:tc>
          <w:tcPr>
            <w:tcW w:w="1620" w:type="dxa"/>
            <w:vAlign w:val="bottom"/>
          </w:tcPr>
          <w:p w:rsidR="001B60D8" w:rsidRPr="001B60D8" w:rsidRDefault="001B60D8" w:rsidP="001B60D8">
            <w:pPr>
              <w:widowControl/>
              <w:autoSpaceDE/>
              <w:autoSpaceDN/>
              <w:adjustRightInd/>
              <w:jc w:val="right"/>
            </w:pPr>
            <w:r>
              <w:t>132</w:t>
            </w:r>
          </w:p>
        </w:tc>
        <w:tc>
          <w:tcPr>
            <w:tcW w:w="1710" w:type="dxa"/>
            <w:vAlign w:val="bottom"/>
          </w:tcPr>
          <w:p w:rsidR="001B60D8" w:rsidRPr="001B60D8" w:rsidRDefault="001B60D8" w:rsidP="001B60D8">
            <w:pPr>
              <w:widowControl/>
              <w:autoSpaceDE/>
              <w:autoSpaceDN/>
              <w:adjustRightInd/>
              <w:jc w:val="right"/>
            </w:pPr>
            <w:r>
              <w:t>1</w:t>
            </w:r>
          </w:p>
        </w:tc>
        <w:tc>
          <w:tcPr>
            <w:tcW w:w="1620" w:type="dxa"/>
            <w:vAlign w:val="bottom"/>
          </w:tcPr>
          <w:p w:rsidR="001B60D8" w:rsidRPr="001B60D8" w:rsidRDefault="001B60D8" w:rsidP="001B60D8">
            <w:pPr>
              <w:widowControl/>
              <w:autoSpaceDE/>
              <w:autoSpaceDN/>
              <w:adjustRightInd/>
              <w:jc w:val="right"/>
            </w:pPr>
            <w:r>
              <w:t>132</w:t>
            </w:r>
          </w:p>
        </w:tc>
        <w:tc>
          <w:tcPr>
            <w:tcW w:w="1350" w:type="dxa"/>
            <w:vAlign w:val="bottom"/>
          </w:tcPr>
          <w:p w:rsidR="001B60D8" w:rsidRPr="001B60D8" w:rsidRDefault="001B60D8" w:rsidP="001B60D8">
            <w:pPr>
              <w:widowControl/>
              <w:autoSpaceDE/>
              <w:autoSpaceDN/>
              <w:adjustRightInd/>
              <w:jc w:val="right"/>
            </w:pPr>
            <w:r>
              <w:t>6</w:t>
            </w:r>
          </w:p>
        </w:tc>
        <w:tc>
          <w:tcPr>
            <w:tcW w:w="1260" w:type="dxa"/>
            <w:vAlign w:val="bottom"/>
          </w:tcPr>
          <w:p w:rsidR="001B60D8" w:rsidRPr="001B60D8" w:rsidRDefault="001B60D8" w:rsidP="001B60D8">
            <w:pPr>
              <w:widowControl/>
              <w:autoSpaceDE/>
              <w:autoSpaceDN/>
              <w:adjustRightInd/>
              <w:jc w:val="right"/>
            </w:pPr>
            <w:r>
              <w:t>792</w:t>
            </w:r>
          </w:p>
        </w:tc>
      </w:tr>
      <w:tr w:rsidR="001B60D8" w:rsidRPr="001B60D8" w:rsidTr="00D52AED">
        <w:trPr>
          <w:cantSplit/>
          <w:trHeight w:val="802"/>
        </w:trPr>
        <w:tc>
          <w:tcPr>
            <w:tcW w:w="1728" w:type="dxa"/>
          </w:tcPr>
          <w:p w:rsidR="001B60D8" w:rsidRPr="001B60D8" w:rsidRDefault="001B60D8" w:rsidP="001B60D8">
            <w:r w:rsidRPr="001B60D8">
              <w:t>FERC-717</w:t>
            </w:r>
            <w:r w:rsidR="007E1F46">
              <w:t>A</w:t>
            </w:r>
            <w:r w:rsidRPr="001B60D8">
              <w:rPr>
                <w:b/>
                <w:vertAlign w:val="superscript"/>
              </w:rPr>
              <w:footnoteReference w:id="20"/>
            </w:r>
          </w:p>
          <w:p w:rsidR="001B60D8" w:rsidRPr="001B60D8" w:rsidRDefault="001B60D8" w:rsidP="001B60D8">
            <w:pPr>
              <w:widowControl/>
              <w:autoSpaceDE/>
              <w:autoSpaceDN/>
              <w:adjustRightInd/>
              <w:rPr>
                <w:rFonts w:eastAsiaTheme="minorHAnsi"/>
              </w:rPr>
            </w:pPr>
            <w:r w:rsidRPr="001B60D8">
              <w:t>(compliance with standards)</w:t>
            </w:r>
          </w:p>
        </w:tc>
        <w:tc>
          <w:tcPr>
            <w:tcW w:w="1620" w:type="dxa"/>
            <w:tcBorders>
              <w:bottom w:val="single" w:sz="4" w:space="0" w:color="auto"/>
            </w:tcBorders>
            <w:vAlign w:val="bottom"/>
          </w:tcPr>
          <w:p w:rsidR="001B60D8" w:rsidRPr="001B60D8" w:rsidRDefault="001B60D8" w:rsidP="001B60D8">
            <w:pPr>
              <w:widowControl/>
              <w:autoSpaceDE/>
              <w:autoSpaceDN/>
              <w:adjustRightInd/>
              <w:jc w:val="right"/>
            </w:pPr>
            <w:r>
              <w:t>132</w:t>
            </w:r>
          </w:p>
        </w:tc>
        <w:tc>
          <w:tcPr>
            <w:tcW w:w="1710" w:type="dxa"/>
            <w:tcBorders>
              <w:bottom w:val="single" w:sz="4" w:space="0" w:color="auto"/>
            </w:tcBorders>
            <w:vAlign w:val="bottom"/>
          </w:tcPr>
          <w:p w:rsidR="001B60D8" w:rsidRPr="001B60D8" w:rsidRDefault="001B60D8" w:rsidP="001B60D8">
            <w:pPr>
              <w:widowControl/>
              <w:autoSpaceDE/>
              <w:autoSpaceDN/>
              <w:adjustRightInd/>
              <w:jc w:val="right"/>
            </w:pPr>
            <w:r>
              <w:t>1</w:t>
            </w:r>
          </w:p>
        </w:tc>
        <w:tc>
          <w:tcPr>
            <w:tcW w:w="1620" w:type="dxa"/>
            <w:tcBorders>
              <w:bottom w:val="single" w:sz="4" w:space="0" w:color="auto"/>
            </w:tcBorders>
            <w:vAlign w:val="bottom"/>
          </w:tcPr>
          <w:p w:rsidR="001B60D8" w:rsidRPr="001B60D8" w:rsidRDefault="001B60D8" w:rsidP="001B60D8">
            <w:pPr>
              <w:widowControl/>
              <w:autoSpaceDE/>
              <w:autoSpaceDN/>
              <w:adjustRightInd/>
              <w:jc w:val="right"/>
            </w:pPr>
            <w:r>
              <w:t>132</w:t>
            </w:r>
          </w:p>
        </w:tc>
        <w:tc>
          <w:tcPr>
            <w:tcW w:w="1350" w:type="dxa"/>
            <w:tcBorders>
              <w:bottom w:val="single" w:sz="4" w:space="0" w:color="auto"/>
            </w:tcBorders>
            <w:vAlign w:val="bottom"/>
          </w:tcPr>
          <w:p w:rsidR="001B60D8" w:rsidRPr="001B60D8" w:rsidRDefault="001B60D8" w:rsidP="001B60D8">
            <w:pPr>
              <w:widowControl/>
              <w:autoSpaceDE/>
              <w:autoSpaceDN/>
              <w:adjustRightInd/>
              <w:jc w:val="right"/>
            </w:pPr>
            <w:r w:rsidRPr="001B60D8">
              <w:t>30</w:t>
            </w:r>
            <w:r w:rsidRPr="001B60D8">
              <w:rPr>
                <w:b/>
                <w:vertAlign w:val="superscript"/>
              </w:rPr>
              <w:footnoteReference w:id="21"/>
            </w:r>
          </w:p>
        </w:tc>
        <w:tc>
          <w:tcPr>
            <w:tcW w:w="1260" w:type="dxa"/>
            <w:vAlign w:val="bottom"/>
          </w:tcPr>
          <w:p w:rsidR="001B60D8" w:rsidRPr="001B60D8" w:rsidRDefault="001B60D8" w:rsidP="001B60D8">
            <w:pPr>
              <w:widowControl/>
              <w:autoSpaceDE/>
              <w:autoSpaceDN/>
              <w:adjustRightInd/>
              <w:jc w:val="right"/>
            </w:pPr>
            <w:r>
              <w:t>3,960</w:t>
            </w:r>
          </w:p>
        </w:tc>
      </w:tr>
      <w:tr w:rsidR="001B60D8" w:rsidRPr="001B60D8" w:rsidTr="00D52AED">
        <w:trPr>
          <w:cantSplit/>
          <w:trHeight w:val="226"/>
        </w:trPr>
        <w:tc>
          <w:tcPr>
            <w:tcW w:w="1728" w:type="dxa"/>
          </w:tcPr>
          <w:p w:rsidR="001B60D8" w:rsidRPr="001B60D8" w:rsidRDefault="001B60D8" w:rsidP="001B60D8">
            <w:pPr>
              <w:widowControl/>
              <w:autoSpaceDE/>
              <w:autoSpaceDN/>
              <w:adjustRightInd/>
              <w:rPr>
                <w:rFonts w:eastAsiaTheme="minorHAnsi"/>
              </w:rPr>
            </w:pPr>
            <w:r>
              <w:rPr>
                <w:rFonts w:eastAsiaTheme="minorHAnsi"/>
              </w:rPr>
              <w:t>TOTALS</w:t>
            </w:r>
          </w:p>
        </w:tc>
        <w:tc>
          <w:tcPr>
            <w:tcW w:w="6300" w:type="dxa"/>
            <w:gridSpan w:val="4"/>
            <w:shd w:val="clear" w:color="auto" w:fill="D9D9D9" w:themeFill="background1" w:themeFillShade="D9"/>
            <w:vAlign w:val="bottom"/>
          </w:tcPr>
          <w:p w:rsidR="001B60D8" w:rsidRPr="001B60D8" w:rsidRDefault="001B60D8" w:rsidP="001B60D8">
            <w:pPr>
              <w:widowControl/>
              <w:autoSpaceDE/>
              <w:autoSpaceDN/>
              <w:adjustRightInd/>
              <w:jc w:val="right"/>
            </w:pPr>
          </w:p>
        </w:tc>
        <w:tc>
          <w:tcPr>
            <w:tcW w:w="1260" w:type="dxa"/>
            <w:vAlign w:val="bottom"/>
          </w:tcPr>
          <w:p w:rsidR="001B60D8" w:rsidRPr="001B60D8" w:rsidRDefault="001B60D8" w:rsidP="001B60D8">
            <w:pPr>
              <w:widowControl/>
              <w:autoSpaceDE/>
              <w:autoSpaceDN/>
              <w:adjustRightInd/>
              <w:jc w:val="right"/>
            </w:pPr>
            <w:r>
              <w:t>4,752</w:t>
            </w:r>
          </w:p>
        </w:tc>
      </w:tr>
    </w:tbl>
    <w:p w:rsidR="00E85B6A" w:rsidRDefault="00E85B6A" w:rsidP="00E85B6A">
      <w:pPr>
        <w:widowControl/>
        <w:rPr>
          <w:sz w:val="26"/>
          <w:szCs w:val="26"/>
        </w:rPr>
      </w:pPr>
    </w:p>
    <w:p w:rsidR="00E85B6A" w:rsidRPr="00740C23" w:rsidRDefault="00E85B6A" w:rsidP="00E85B6A">
      <w:pPr>
        <w:widowControl/>
        <w:ind w:left="720" w:hanging="660"/>
        <w:rPr>
          <w:b/>
          <w:sz w:val="26"/>
          <w:szCs w:val="26"/>
        </w:rPr>
      </w:pPr>
      <w:r>
        <w:rPr>
          <w:sz w:val="26"/>
          <w:szCs w:val="26"/>
        </w:rPr>
        <w:t>13.</w:t>
      </w:r>
      <w:r>
        <w:rPr>
          <w:sz w:val="26"/>
          <w:szCs w:val="26"/>
        </w:rPr>
        <w:tab/>
      </w:r>
      <w:r>
        <w:rPr>
          <w:b/>
          <w:sz w:val="26"/>
          <w:szCs w:val="26"/>
        </w:rPr>
        <w:t>ESTIMATE OF TOTAL ANNUAL COST OF BURDEN TO RESPO</w:t>
      </w:r>
      <w:r w:rsidRPr="00740C23">
        <w:rPr>
          <w:b/>
          <w:sz w:val="26"/>
          <w:szCs w:val="26"/>
        </w:rPr>
        <w:t>NDENTS</w:t>
      </w:r>
    </w:p>
    <w:p w:rsidR="00E85B6A" w:rsidRDefault="00E85B6A" w:rsidP="00E85B6A">
      <w:pPr>
        <w:widowControl/>
        <w:ind w:left="720"/>
        <w:rPr>
          <w:b/>
          <w:sz w:val="26"/>
          <w:szCs w:val="26"/>
        </w:rPr>
      </w:pPr>
    </w:p>
    <w:p w:rsidR="00DF758B" w:rsidRPr="00DF758B" w:rsidRDefault="00DF758B" w:rsidP="00DF758B">
      <w:pPr>
        <w:widowControl/>
        <w:rPr>
          <w:sz w:val="26"/>
          <w:szCs w:val="26"/>
        </w:rPr>
      </w:pPr>
      <w:r w:rsidRPr="006D1CDC">
        <w:rPr>
          <w:sz w:val="26"/>
          <w:szCs w:val="26"/>
        </w:rPr>
        <w:t xml:space="preserve">There are no non-labor costs </w:t>
      </w:r>
      <w:r w:rsidR="008B61D3">
        <w:rPr>
          <w:sz w:val="26"/>
          <w:szCs w:val="26"/>
        </w:rPr>
        <w:t xml:space="preserve">currently </w:t>
      </w:r>
      <w:r w:rsidRPr="006D1CDC">
        <w:rPr>
          <w:sz w:val="26"/>
          <w:szCs w:val="26"/>
        </w:rPr>
        <w:t>associated with the</w:t>
      </w:r>
      <w:r>
        <w:rPr>
          <w:sz w:val="26"/>
          <w:szCs w:val="26"/>
        </w:rPr>
        <w:t xml:space="preserve"> either the FERC-516 or the FERC-717</w:t>
      </w:r>
      <w:r w:rsidR="003A3F8B">
        <w:rPr>
          <w:sz w:val="26"/>
          <w:szCs w:val="26"/>
        </w:rPr>
        <w:t>A</w:t>
      </w:r>
      <w:r>
        <w:rPr>
          <w:sz w:val="26"/>
          <w:szCs w:val="26"/>
        </w:rPr>
        <w:t>.</w:t>
      </w:r>
    </w:p>
    <w:p w:rsidR="00DF758B" w:rsidRPr="006D1CDC" w:rsidRDefault="00DF758B" w:rsidP="00DF758B">
      <w:pPr>
        <w:widowControl/>
        <w:rPr>
          <w:sz w:val="26"/>
          <w:szCs w:val="26"/>
          <w:u w:val="single"/>
        </w:rPr>
      </w:pPr>
    </w:p>
    <w:p w:rsidR="00DF758B" w:rsidRPr="006D1CDC" w:rsidRDefault="00DF758B" w:rsidP="00DF758B">
      <w:pPr>
        <w:widowControl/>
        <w:rPr>
          <w:sz w:val="26"/>
          <w:szCs w:val="26"/>
        </w:rPr>
      </w:pPr>
      <w:r>
        <w:rPr>
          <w:sz w:val="26"/>
          <w:szCs w:val="26"/>
        </w:rPr>
        <w:t>All of the costs in the proposed</w:t>
      </w:r>
      <w:r w:rsidRPr="006D1CDC">
        <w:rPr>
          <w:sz w:val="26"/>
          <w:szCs w:val="26"/>
        </w:rPr>
        <w:t xml:space="preserve"> rule are associated with labor and are not shown in ROCIS metadata.  </w:t>
      </w:r>
    </w:p>
    <w:p w:rsidR="00E85B6A" w:rsidRPr="00112320" w:rsidRDefault="00E85B6A" w:rsidP="00E85B6A">
      <w:pPr>
        <w:widowControl/>
        <w:rPr>
          <w:sz w:val="26"/>
          <w:szCs w:val="26"/>
        </w:rPr>
      </w:pPr>
    </w:p>
    <w:p w:rsidR="00E85B6A" w:rsidRPr="00112320" w:rsidRDefault="00E85B6A" w:rsidP="00E85B6A">
      <w:pPr>
        <w:widowControl/>
        <w:numPr>
          <w:ilvl w:val="0"/>
          <w:numId w:val="5"/>
        </w:numPr>
        <w:ind w:hanging="720"/>
        <w:rPr>
          <w:b/>
          <w:sz w:val="26"/>
          <w:szCs w:val="26"/>
        </w:rPr>
      </w:pPr>
      <w:r w:rsidRPr="00112320">
        <w:rPr>
          <w:b/>
          <w:sz w:val="26"/>
          <w:szCs w:val="26"/>
        </w:rPr>
        <w:t>ESTIMATED ANNUALIZED COST TO FEDERAL GOVERNMENT</w:t>
      </w:r>
    </w:p>
    <w:p w:rsidR="005B4509" w:rsidRDefault="005B4509" w:rsidP="00DF758B">
      <w:pPr>
        <w:widowControl/>
        <w:rPr>
          <w:sz w:val="26"/>
          <w:szCs w:val="26"/>
        </w:rPr>
      </w:pPr>
    </w:p>
    <w:p w:rsidR="00E85B6A" w:rsidRPr="007260C2" w:rsidRDefault="00E85B6A" w:rsidP="00DF758B">
      <w:pPr>
        <w:widowControl/>
        <w:rPr>
          <w:b/>
          <w:sz w:val="26"/>
          <w:szCs w:val="26"/>
        </w:rPr>
      </w:pPr>
      <w:r>
        <w:rPr>
          <w:sz w:val="26"/>
          <w:szCs w:val="26"/>
        </w:rPr>
        <w:t>The estimated annualized cost to the Federal Government, for F</w:t>
      </w:r>
      <w:r w:rsidR="00DF758B">
        <w:rPr>
          <w:sz w:val="26"/>
          <w:szCs w:val="26"/>
        </w:rPr>
        <w:t>ERC-516 and FERC-717</w:t>
      </w:r>
      <w:r w:rsidR="003A3F8B">
        <w:rPr>
          <w:sz w:val="26"/>
          <w:szCs w:val="26"/>
        </w:rPr>
        <w:t>A</w:t>
      </w:r>
      <w:r w:rsidR="00DF758B">
        <w:rPr>
          <w:sz w:val="26"/>
          <w:szCs w:val="26"/>
        </w:rPr>
        <w:t>, as related</w:t>
      </w:r>
      <w:r>
        <w:rPr>
          <w:sz w:val="26"/>
          <w:szCs w:val="26"/>
        </w:rPr>
        <w:t xml:space="preserve"> to the requir</w:t>
      </w:r>
      <w:r w:rsidR="00D91CF7">
        <w:rPr>
          <w:sz w:val="26"/>
          <w:szCs w:val="26"/>
        </w:rPr>
        <w:t>ements in the NOPR in RM05-5-022</w:t>
      </w:r>
      <w:r>
        <w:rPr>
          <w:sz w:val="26"/>
          <w:szCs w:val="26"/>
        </w:rPr>
        <w:t xml:space="preserve"> follows:</w:t>
      </w:r>
    </w:p>
    <w:p w:rsidR="00E85B6A" w:rsidRDefault="00E85B6A" w:rsidP="00E85B6A">
      <w:pPr>
        <w:widowControl/>
        <w:ind w:left="360"/>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2700"/>
        <w:gridCol w:w="2358"/>
      </w:tblGrid>
      <w:tr w:rsidR="00E85B6A" w:rsidRPr="00E66BF0" w:rsidTr="00E66BF0">
        <w:tc>
          <w:tcPr>
            <w:tcW w:w="4518" w:type="dxa"/>
            <w:shd w:val="clear" w:color="auto" w:fill="CCCCCC"/>
          </w:tcPr>
          <w:p w:rsidR="00E85B6A" w:rsidRPr="00E66BF0" w:rsidRDefault="00E85B6A" w:rsidP="00E66BF0">
            <w:pPr>
              <w:widowControl/>
              <w:rPr>
                <w:sz w:val="26"/>
                <w:szCs w:val="26"/>
              </w:rPr>
            </w:pPr>
          </w:p>
        </w:tc>
        <w:tc>
          <w:tcPr>
            <w:tcW w:w="2700" w:type="dxa"/>
            <w:shd w:val="clear" w:color="auto" w:fill="CCCCCC"/>
          </w:tcPr>
          <w:p w:rsidR="00E85B6A" w:rsidRPr="00E66BF0" w:rsidRDefault="00E85B6A" w:rsidP="00E66BF0">
            <w:pPr>
              <w:widowControl/>
              <w:rPr>
                <w:b/>
                <w:sz w:val="26"/>
                <w:szCs w:val="26"/>
              </w:rPr>
            </w:pPr>
            <w:r w:rsidRPr="00E66BF0">
              <w:rPr>
                <w:b/>
                <w:sz w:val="26"/>
                <w:szCs w:val="26"/>
              </w:rPr>
              <w:t>Number of Employees (FTEs)</w:t>
            </w:r>
            <w:r w:rsidR="003B3FB0" w:rsidRPr="00E66BF0">
              <w:rPr>
                <w:rStyle w:val="FootnoteReference"/>
                <w:b/>
                <w:sz w:val="26"/>
                <w:szCs w:val="26"/>
                <w:vertAlign w:val="superscript"/>
              </w:rPr>
              <w:footnoteReference w:id="22"/>
            </w:r>
          </w:p>
        </w:tc>
        <w:tc>
          <w:tcPr>
            <w:tcW w:w="2358" w:type="dxa"/>
            <w:shd w:val="clear" w:color="auto" w:fill="CCCCCC"/>
          </w:tcPr>
          <w:p w:rsidR="00E85B6A" w:rsidRPr="00E66BF0" w:rsidRDefault="00E85B6A" w:rsidP="00E66BF0">
            <w:pPr>
              <w:widowControl/>
              <w:rPr>
                <w:b/>
                <w:sz w:val="26"/>
                <w:szCs w:val="26"/>
              </w:rPr>
            </w:pPr>
            <w:r w:rsidRPr="00E66BF0">
              <w:rPr>
                <w:b/>
                <w:sz w:val="26"/>
                <w:szCs w:val="26"/>
              </w:rPr>
              <w:t>Estimated Annual Federal Cost</w:t>
            </w:r>
            <w:r w:rsidRPr="00E66BF0">
              <w:rPr>
                <w:rStyle w:val="FootnoteReference"/>
                <w:b/>
                <w:sz w:val="26"/>
                <w:szCs w:val="26"/>
                <w:vertAlign w:val="superscript"/>
              </w:rPr>
              <w:footnoteReference w:id="23"/>
            </w:r>
          </w:p>
        </w:tc>
      </w:tr>
      <w:tr w:rsidR="00E85B6A" w:rsidRPr="00E66BF0" w:rsidTr="00E66BF0">
        <w:tc>
          <w:tcPr>
            <w:tcW w:w="4518" w:type="dxa"/>
            <w:shd w:val="clear" w:color="auto" w:fill="auto"/>
          </w:tcPr>
          <w:p w:rsidR="00E85B6A" w:rsidRPr="00E66BF0" w:rsidRDefault="00A9083D" w:rsidP="00E66BF0">
            <w:pPr>
              <w:widowControl/>
              <w:rPr>
                <w:sz w:val="26"/>
                <w:szCs w:val="26"/>
              </w:rPr>
            </w:pPr>
            <w:r>
              <w:rPr>
                <w:sz w:val="26"/>
                <w:szCs w:val="26"/>
              </w:rPr>
              <w:t>PRA Administrative</w:t>
            </w:r>
            <w:r w:rsidR="00E85B6A" w:rsidRPr="00E66BF0">
              <w:rPr>
                <w:sz w:val="26"/>
                <w:szCs w:val="26"/>
              </w:rPr>
              <w:t xml:space="preserve"> Cost</w:t>
            </w:r>
            <w:r w:rsidR="00E85B6A" w:rsidRPr="00E66BF0">
              <w:rPr>
                <w:rStyle w:val="FootnoteReference"/>
                <w:b/>
                <w:sz w:val="26"/>
                <w:szCs w:val="26"/>
                <w:vertAlign w:val="superscript"/>
              </w:rPr>
              <w:footnoteReference w:id="24"/>
            </w:r>
          </w:p>
        </w:tc>
        <w:tc>
          <w:tcPr>
            <w:tcW w:w="2700" w:type="dxa"/>
            <w:shd w:val="clear" w:color="auto" w:fill="auto"/>
          </w:tcPr>
          <w:p w:rsidR="00E85B6A" w:rsidRPr="00E66BF0" w:rsidRDefault="00E85B6A" w:rsidP="00E66BF0">
            <w:pPr>
              <w:widowControl/>
              <w:jc w:val="center"/>
              <w:rPr>
                <w:sz w:val="26"/>
                <w:szCs w:val="26"/>
              </w:rPr>
            </w:pPr>
            <w:r w:rsidRPr="00E66BF0">
              <w:rPr>
                <w:sz w:val="26"/>
                <w:szCs w:val="26"/>
              </w:rPr>
              <w:t>-</w:t>
            </w:r>
          </w:p>
        </w:tc>
        <w:tc>
          <w:tcPr>
            <w:tcW w:w="2358" w:type="dxa"/>
            <w:shd w:val="clear" w:color="auto" w:fill="auto"/>
          </w:tcPr>
          <w:p w:rsidR="00E85B6A" w:rsidRPr="00E66BF0" w:rsidRDefault="00E85B6A" w:rsidP="00E66BF0">
            <w:pPr>
              <w:widowControl/>
              <w:jc w:val="right"/>
              <w:rPr>
                <w:sz w:val="26"/>
                <w:szCs w:val="26"/>
              </w:rPr>
            </w:pPr>
            <w:r w:rsidRPr="00CB5ED0">
              <w:rPr>
                <w:sz w:val="26"/>
                <w:szCs w:val="26"/>
              </w:rPr>
              <w:t>$</w:t>
            </w:r>
            <w:r w:rsidR="00A9083D" w:rsidRPr="00CB5ED0">
              <w:rPr>
                <w:sz w:val="26"/>
                <w:szCs w:val="26"/>
              </w:rPr>
              <w:t>2,250</w:t>
            </w:r>
          </w:p>
        </w:tc>
      </w:tr>
      <w:tr w:rsidR="00E85B6A" w:rsidRPr="00E66BF0" w:rsidTr="00E66BF0">
        <w:tc>
          <w:tcPr>
            <w:tcW w:w="4518" w:type="dxa"/>
            <w:shd w:val="clear" w:color="auto" w:fill="auto"/>
          </w:tcPr>
          <w:p w:rsidR="00E85B6A" w:rsidRPr="00E66BF0" w:rsidRDefault="003B3FB0" w:rsidP="00E66BF0">
            <w:pPr>
              <w:widowControl/>
              <w:rPr>
                <w:sz w:val="26"/>
                <w:szCs w:val="26"/>
              </w:rPr>
            </w:pPr>
            <w:r w:rsidRPr="00E66BF0">
              <w:rPr>
                <w:sz w:val="26"/>
                <w:szCs w:val="26"/>
              </w:rPr>
              <w:t xml:space="preserve">FERC-516 </w:t>
            </w:r>
            <w:r w:rsidR="00EF743E" w:rsidRPr="00E66BF0">
              <w:rPr>
                <w:sz w:val="26"/>
                <w:szCs w:val="26"/>
              </w:rPr>
              <w:t>Analysis</w:t>
            </w:r>
            <w:r w:rsidR="00A9083D">
              <w:rPr>
                <w:sz w:val="26"/>
                <w:szCs w:val="26"/>
              </w:rPr>
              <w:t xml:space="preserve"> and Processing of filings [$145,818</w:t>
            </w:r>
            <w:r w:rsidR="00EF743E" w:rsidRPr="00E66BF0">
              <w:rPr>
                <w:sz w:val="26"/>
                <w:szCs w:val="26"/>
              </w:rPr>
              <w:t xml:space="preserve"> /year]</w:t>
            </w:r>
          </w:p>
        </w:tc>
        <w:tc>
          <w:tcPr>
            <w:tcW w:w="2700" w:type="dxa"/>
            <w:shd w:val="clear" w:color="auto" w:fill="auto"/>
          </w:tcPr>
          <w:p w:rsidR="00E85B6A" w:rsidRPr="00E66BF0" w:rsidRDefault="00CB5ED0" w:rsidP="00E66BF0">
            <w:pPr>
              <w:widowControl/>
              <w:jc w:val="center"/>
              <w:rPr>
                <w:sz w:val="26"/>
                <w:szCs w:val="26"/>
              </w:rPr>
            </w:pPr>
            <w:r w:rsidRPr="00D52AED">
              <w:rPr>
                <w:sz w:val="26"/>
                <w:szCs w:val="26"/>
              </w:rPr>
              <w:t>2.5</w:t>
            </w:r>
          </w:p>
        </w:tc>
        <w:tc>
          <w:tcPr>
            <w:tcW w:w="2358" w:type="dxa"/>
            <w:shd w:val="clear" w:color="auto" w:fill="auto"/>
          </w:tcPr>
          <w:p w:rsidR="00E85B6A" w:rsidRPr="00E66BF0" w:rsidRDefault="00E85B6A" w:rsidP="00CB5ED0">
            <w:pPr>
              <w:widowControl/>
              <w:jc w:val="right"/>
              <w:rPr>
                <w:sz w:val="26"/>
                <w:szCs w:val="26"/>
              </w:rPr>
            </w:pPr>
            <w:r w:rsidRPr="00E66BF0">
              <w:rPr>
                <w:sz w:val="26"/>
                <w:szCs w:val="26"/>
              </w:rPr>
              <w:t>$</w:t>
            </w:r>
            <w:r w:rsidR="00CB5ED0">
              <w:rPr>
                <w:sz w:val="26"/>
                <w:szCs w:val="26"/>
              </w:rPr>
              <w:t>364,545</w:t>
            </w:r>
          </w:p>
        </w:tc>
      </w:tr>
      <w:tr w:rsidR="003B3FB0" w:rsidRPr="00E66BF0" w:rsidTr="00E66BF0">
        <w:tc>
          <w:tcPr>
            <w:tcW w:w="4518" w:type="dxa"/>
            <w:shd w:val="clear" w:color="auto" w:fill="auto"/>
          </w:tcPr>
          <w:p w:rsidR="003B3FB0" w:rsidRPr="00E66BF0" w:rsidRDefault="003B3FB0" w:rsidP="00E66BF0">
            <w:pPr>
              <w:widowControl/>
              <w:rPr>
                <w:sz w:val="26"/>
                <w:szCs w:val="26"/>
              </w:rPr>
            </w:pPr>
            <w:r w:rsidRPr="00E66BF0">
              <w:rPr>
                <w:sz w:val="26"/>
                <w:szCs w:val="26"/>
              </w:rPr>
              <w:t>FERC-717</w:t>
            </w:r>
            <w:r w:rsidR="0008345E">
              <w:rPr>
                <w:sz w:val="26"/>
                <w:szCs w:val="26"/>
              </w:rPr>
              <w:t xml:space="preserve">A </w:t>
            </w:r>
            <w:r w:rsidR="00EF743E" w:rsidRPr="00E66BF0">
              <w:rPr>
                <w:sz w:val="26"/>
                <w:szCs w:val="26"/>
              </w:rPr>
              <w:t xml:space="preserve"> Analysis and</w:t>
            </w:r>
            <w:r w:rsidR="00A9083D">
              <w:rPr>
                <w:sz w:val="26"/>
                <w:szCs w:val="26"/>
              </w:rPr>
              <w:t xml:space="preserve"> Processing of filings [$145,818</w:t>
            </w:r>
            <w:r w:rsidR="00EF743E" w:rsidRPr="00E66BF0">
              <w:rPr>
                <w:sz w:val="26"/>
                <w:szCs w:val="26"/>
              </w:rPr>
              <w:t xml:space="preserve"> /year]</w:t>
            </w:r>
          </w:p>
        </w:tc>
        <w:tc>
          <w:tcPr>
            <w:tcW w:w="2700" w:type="dxa"/>
            <w:shd w:val="clear" w:color="auto" w:fill="auto"/>
          </w:tcPr>
          <w:p w:rsidR="003B3FB0" w:rsidRPr="00E66BF0" w:rsidRDefault="00CB5ED0" w:rsidP="00E66BF0">
            <w:pPr>
              <w:widowControl/>
              <w:jc w:val="center"/>
              <w:rPr>
                <w:sz w:val="26"/>
                <w:szCs w:val="26"/>
              </w:rPr>
            </w:pPr>
            <w:r>
              <w:rPr>
                <w:sz w:val="26"/>
                <w:szCs w:val="26"/>
              </w:rPr>
              <w:t>.5</w:t>
            </w:r>
          </w:p>
        </w:tc>
        <w:tc>
          <w:tcPr>
            <w:tcW w:w="2358" w:type="dxa"/>
            <w:shd w:val="clear" w:color="auto" w:fill="auto"/>
          </w:tcPr>
          <w:p w:rsidR="003B3FB0" w:rsidRPr="00E66BF0" w:rsidRDefault="00D24CA2" w:rsidP="00A9083D">
            <w:pPr>
              <w:widowControl/>
              <w:jc w:val="right"/>
              <w:rPr>
                <w:sz w:val="26"/>
                <w:szCs w:val="26"/>
              </w:rPr>
            </w:pPr>
            <w:r w:rsidRPr="00E66BF0">
              <w:rPr>
                <w:sz w:val="26"/>
                <w:szCs w:val="26"/>
              </w:rPr>
              <w:t>$</w:t>
            </w:r>
            <w:r w:rsidR="00CB5ED0">
              <w:rPr>
                <w:sz w:val="26"/>
                <w:szCs w:val="26"/>
              </w:rPr>
              <w:t>72,909</w:t>
            </w:r>
          </w:p>
        </w:tc>
      </w:tr>
      <w:tr w:rsidR="00E85B6A" w:rsidRPr="00E66BF0" w:rsidTr="00E66BF0">
        <w:tc>
          <w:tcPr>
            <w:tcW w:w="4518" w:type="dxa"/>
            <w:shd w:val="clear" w:color="auto" w:fill="auto"/>
          </w:tcPr>
          <w:p w:rsidR="00E85B6A" w:rsidRPr="00E66BF0" w:rsidRDefault="00E85B6A" w:rsidP="00E66BF0">
            <w:pPr>
              <w:widowControl/>
              <w:rPr>
                <w:b/>
                <w:sz w:val="26"/>
                <w:szCs w:val="26"/>
              </w:rPr>
            </w:pPr>
            <w:r w:rsidRPr="00E66BF0">
              <w:rPr>
                <w:b/>
                <w:sz w:val="26"/>
                <w:szCs w:val="26"/>
              </w:rPr>
              <w:t>FERC Total</w:t>
            </w:r>
          </w:p>
        </w:tc>
        <w:tc>
          <w:tcPr>
            <w:tcW w:w="2700" w:type="dxa"/>
            <w:shd w:val="clear" w:color="auto" w:fill="auto"/>
          </w:tcPr>
          <w:p w:rsidR="00E85B6A" w:rsidRPr="00E66BF0" w:rsidRDefault="00E85B6A" w:rsidP="00E66BF0">
            <w:pPr>
              <w:widowControl/>
              <w:rPr>
                <w:sz w:val="26"/>
                <w:szCs w:val="26"/>
              </w:rPr>
            </w:pPr>
          </w:p>
        </w:tc>
        <w:tc>
          <w:tcPr>
            <w:tcW w:w="2358" w:type="dxa"/>
            <w:shd w:val="clear" w:color="auto" w:fill="auto"/>
          </w:tcPr>
          <w:p w:rsidR="00E85B6A" w:rsidRPr="00E66BF0" w:rsidRDefault="00E85B6A" w:rsidP="00CB5ED0">
            <w:pPr>
              <w:widowControl/>
              <w:jc w:val="right"/>
              <w:rPr>
                <w:sz w:val="26"/>
                <w:szCs w:val="26"/>
              </w:rPr>
            </w:pPr>
            <w:r w:rsidRPr="00E66BF0">
              <w:rPr>
                <w:sz w:val="26"/>
                <w:szCs w:val="26"/>
              </w:rPr>
              <w:t>$</w:t>
            </w:r>
            <w:r w:rsidR="00CB5ED0">
              <w:rPr>
                <w:sz w:val="26"/>
                <w:szCs w:val="26"/>
              </w:rPr>
              <w:t>439,704</w:t>
            </w:r>
          </w:p>
        </w:tc>
      </w:tr>
    </w:tbl>
    <w:p w:rsidR="005B4509" w:rsidRPr="005B4509" w:rsidRDefault="005B4509" w:rsidP="005B4509">
      <w:pPr>
        <w:widowControl/>
        <w:rPr>
          <w:sz w:val="26"/>
          <w:szCs w:val="26"/>
        </w:rPr>
      </w:pPr>
    </w:p>
    <w:p w:rsidR="005B4509" w:rsidRPr="005B4509" w:rsidRDefault="005B4509" w:rsidP="005B4509">
      <w:pPr>
        <w:widowControl/>
        <w:rPr>
          <w:sz w:val="26"/>
          <w:szCs w:val="26"/>
        </w:rPr>
      </w:pPr>
      <w:r w:rsidRPr="00CA7BBA">
        <w:rPr>
          <w:sz w:val="26"/>
          <w:szCs w:val="26"/>
        </w:rPr>
        <w:t>Based on the above table, the total additional Federal Cost for the FERC-516 is $</w:t>
      </w:r>
      <w:r w:rsidR="00CB5ED0" w:rsidRPr="00CA7BBA">
        <w:rPr>
          <w:sz w:val="26"/>
          <w:szCs w:val="26"/>
        </w:rPr>
        <w:t>365,670</w:t>
      </w:r>
      <w:r w:rsidR="00A9083D" w:rsidRPr="00CA7BBA">
        <w:rPr>
          <w:sz w:val="26"/>
          <w:szCs w:val="26"/>
        </w:rPr>
        <w:t xml:space="preserve"> [($2,250</w:t>
      </w:r>
      <w:r w:rsidRPr="00CA7BBA">
        <w:rPr>
          <w:sz w:val="26"/>
          <w:szCs w:val="26"/>
        </w:rPr>
        <w:t>/2) + $</w:t>
      </w:r>
      <w:r w:rsidR="00CB5ED0" w:rsidRPr="00CA7BBA">
        <w:rPr>
          <w:sz w:val="26"/>
          <w:szCs w:val="26"/>
        </w:rPr>
        <w:t>364,545</w:t>
      </w:r>
      <w:r w:rsidRPr="00CA7BBA">
        <w:rPr>
          <w:sz w:val="26"/>
          <w:szCs w:val="26"/>
        </w:rPr>
        <w:t>=$</w:t>
      </w:r>
      <w:r w:rsidR="00CB5ED0" w:rsidRPr="00CA7BBA">
        <w:rPr>
          <w:sz w:val="26"/>
          <w:szCs w:val="26"/>
        </w:rPr>
        <w:t>365,670</w:t>
      </w:r>
      <w:r w:rsidR="003A3F8B">
        <w:rPr>
          <w:sz w:val="26"/>
          <w:szCs w:val="26"/>
        </w:rPr>
        <w:t>]; and for the FERC-717A</w:t>
      </w:r>
      <w:r w:rsidRPr="00CA7BBA">
        <w:rPr>
          <w:sz w:val="26"/>
          <w:szCs w:val="26"/>
        </w:rPr>
        <w:t xml:space="preserve"> is $</w:t>
      </w:r>
      <w:r w:rsidR="00CB5ED0" w:rsidRPr="00CA7BBA">
        <w:rPr>
          <w:sz w:val="26"/>
          <w:szCs w:val="26"/>
        </w:rPr>
        <w:t>74,034</w:t>
      </w:r>
      <w:r w:rsidRPr="00CA7BBA">
        <w:rPr>
          <w:sz w:val="26"/>
          <w:szCs w:val="26"/>
        </w:rPr>
        <w:t xml:space="preserve"> [($</w:t>
      </w:r>
      <w:r w:rsidR="00CB5ED0" w:rsidRPr="00CA7BBA">
        <w:rPr>
          <w:sz w:val="26"/>
          <w:szCs w:val="26"/>
        </w:rPr>
        <w:t>2,250/2) + $72,909</w:t>
      </w:r>
      <w:r w:rsidR="00A9083D" w:rsidRPr="00CA7BBA">
        <w:rPr>
          <w:sz w:val="26"/>
          <w:szCs w:val="26"/>
        </w:rPr>
        <w:t>=$</w:t>
      </w:r>
      <w:r w:rsidR="00CB5ED0" w:rsidRPr="00CA7BBA">
        <w:rPr>
          <w:sz w:val="26"/>
          <w:szCs w:val="26"/>
        </w:rPr>
        <w:t>74,034</w:t>
      </w:r>
      <w:r w:rsidRPr="00CA7BBA">
        <w:rPr>
          <w:sz w:val="26"/>
          <w:szCs w:val="26"/>
        </w:rPr>
        <w:t>].  These additional costs will be added to the existing Federal costs for a total of $</w:t>
      </w:r>
      <w:r w:rsidR="00CB5ED0" w:rsidRPr="00CA7BBA">
        <w:rPr>
          <w:sz w:val="26"/>
          <w:szCs w:val="26"/>
        </w:rPr>
        <w:t>2,432,2</w:t>
      </w:r>
      <w:r w:rsidR="003A3F8B">
        <w:rPr>
          <w:sz w:val="26"/>
          <w:szCs w:val="26"/>
        </w:rPr>
        <w:t>88 for the FERC-516 and $74,034</w:t>
      </w:r>
      <w:r w:rsidRPr="00CA7BBA">
        <w:rPr>
          <w:sz w:val="26"/>
          <w:szCs w:val="26"/>
        </w:rPr>
        <w:t xml:space="preserve"> for the FERC-717</w:t>
      </w:r>
      <w:r w:rsidR="003A3F8B">
        <w:rPr>
          <w:sz w:val="26"/>
          <w:szCs w:val="26"/>
        </w:rPr>
        <w:t>A</w:t>
      </w:r>
      <w:r w:rsidRPr="00CA7BBA">
        <w:rPr>
          <w:sz w:val="26"/>
          <w:szCs w:val="26"/>
        </w:rPr>
        <w:t>.</w:t>
      </w:r>
    </w:p>
    <w:p w:rsidR="005B4509" w:rsidRPr="005B4509" w:rsidRDefault="005B4509" w:rsidP="005B4509">
      <w:pPr>
        <w:widowControl/>
        <w:rPr>
          <w:sz w:val="26"/>
          <w:szCs w:val="26"/>
        </w:rPr>
      </w:pPr>
    </w:p>
    <w:p w:rsidR="005B4509" w:rsidRDefault="005B4509" w:rsidP="005B4509">
      <w:pPr>
        <w:widowControl/>
        <w:rPr>
          <w:sz w:val="26"/>
          <w:szCs w:val="26"/>
        </w:rPr>
      </w:pPr>
      <w:r w:rsidRPr="005B4509">
        <w:rPr>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EF743E" w:rsidRDefault="00EF743E" w:rsidP="00E85B6A">
      <w:pPr>
        <w:widowControl/>
        <w:rPr>
          <w:sz w:val="26"/>
          <w:szCs w:val="26"/>
        </w:rPr>
      </w:pPr>
    </w:p>
    <w:p w:rsidR="00E85B6A" w:rsidRDefault="00E85B6A" w:rsidP="00E85B6A">
      <w:pPr>
        <w:widowControl/>
        <w:ind w:left="720" w:hanging="720"/>
        <w:rPr>
          <w:sz w:val="26"/>
          <w:szCs w:val="26"/>
        </w:rPr>
      </w:pPr>
      <w:r>
        <w:rPr>
          <w:sz w:val="26"/>
          <w:szCs w:val="26"/>
        </w:rPr>
        <w:t>15.</w:t>
      </w:r>
      <w:r>
        <w:rPr>
          <w:sz w:val="26"/>
          <w:szCs w:val="26"/>
        </w:rPr>
        <w:tab/>
      </w:r>
      <w:r w:rsidRPr="00D8193F">
        <w:rPr>
          <w:b/>
          <w:sz w:val="26"/>
          <w:szCs w:val="26"/>
        </w:rPr>
        <w:t>REAS</w:t>
      </w:r>
      <w:r>
        <w:rPr>
          <w:b/>
          <w:sz w:val="26"/>
          <w:szCs w:val="26"/>
        </w:rPr>
        <w:t>ONS FOR CHANGES IN BURDEN INCLUDING THE NEED FOR ANY INCREASE</w:t>
      </w:r>
    </w:p>
    <w:p w:rsidR="00E85B6A" w:rsidRDefault="00E85B6A" w:rsidP="00E85B6A">
      <w:pPr>
        <w:widowControl/>
        <w:rPr>
          <w:sz w:val="26"/>
          <w:szCs w:val="26"/>
        </w:rPr>
      </w:pPr>
    </w:p>
    <w:p w:rsidR="00D3262E" w:rsidRDefault="00D3262E" w:rsidP="00E85B6A">
      <w:pPr>
        <w:widowControl/>
        <w:rPr>
          <w:sz w:val="26"/>
          <w:szCs w:val="26"/>
        </w:rPr>
      </w:pPr>
      <w:r>
        <w:rPr>
          <w:sz w:val="26"/>
          <w:szCs w:val="26"/>
        </w:rPr>
        <w:t>The burden for both the FERC-516 and FERC-717</w:t>
      </w:r>
      <w:r w:rsidR="003A3F8B">
        <w:rPr>
          <w:sz w:val="26"/>
          <w:szCs w:val="26"/>
        </w:rPr>
        <w:t>A</w:t>
      </w:r>
      <w:r>
        <w:rPr>
          <w:sz w:val="26"/>
          <w:szCs w:val="26"/>
        </w:rPr>
        <w:t xml:space="preserve"> information collections is increasing so that the industry can implement the new and revised business practice standards adopted by NAESB and proposed </w:t>
      </w:r>
      <w:r w:rsidR="001F3F74">
        <w:rPr>
          <w:sz w:val="26"/>
          <w:szCs w:val="26"/>
        </w:rPr>
        <w:t xml:space="preserve">in the NOPR </w:t>
      </w:r>
      <w:r>
        <w:rPr>
          <w:sz w:val="26"/>
          <w:szCs w:val="26"/>
        </w:rPr>
        <w:t>to be i</w:t>
      </w:r>
      <w:r w:rsidR="00CA7BBA">
        <w:rPr>
          <w:sz w:val="26"/>
          <w:szCs w:val="26"/>
        </w:rPr>
        <w:t>ncorporated by reference</w:t>
      </w:r>
      <w:r w:rsidR="001F3F74">
        <w:rPr>
          <w:sz w:val="26"/>
          <w:szCs w:val="26"/>
        </w:rPr>
        <w:t xml:space="preserve"> into FERC’s regulations</w:t>
      </w:r>
      <w:r>
        <w:rPr>
          <w:sz w:val="26"/>
          <w:szCs w:val="26"/>
        </w:rPr>
        <w:t>.  For both collections, th</w:t>
      </w:r>
      <w:r w:rsidR="00DF758B">
        <w:rPr>
          <w:sz w:val="26"/>
          <w:szCs w:val="26"/>
        </w:rPr>
        <w:t>e burden increase is smal</w:t>
      </w:r>
      <w:r>
        <w:rPr>
          <w:sz w:val="26"/>
          <w:szCs w:val="26"/>
        </w:rPr>
        <w:t>l</w:t>
      </w:r>
      <w:r w:rsidR="00DF758B">
        <w:rPr>
          <w:sz w:val="26"/>
          <w:szCs w:val="26"/>
        </w:rPr>
        <w:t xml:space="preserve"> and only one-time</w:t>
      </w:r>
      <w:r>
        <w:rPr>
          <w:sz w:val="26"/>
          <w:szCs w:val="26"/>
        </w:rPr>
        <w:t>.</w:t>
      </w:r>
      <w:r w:rsidR="00CA7BBA">
        <w:rPr>
          <w:sz w:val="26"/>
          <w:szCs w:val="26"/>
        </w:rPr>
        <w:t xml:space="preserve">  FERC assumes that burden associated with implementing the new standards is reduced to zero over time because of the increased efficiencies related to standardization. </w:t>
      </w:r>
    </w:p>
    <w:p w:rsidR="00D3262E" w:rsidRDefault="00D3262E" w:rsidP="00E85B6A">
      <w:pPr>
        <w:widowControl/>
        <w:rPr>
          <w:sz w:val="26"/>
          <w:szCs w:val="26"/>
        </w:rPr>
      </w:pPr>
    </w:p>
    <w:p w:rsidR="00D3262E" w:rsidRDefault="00D3262E" w:rsidP="00D3262E">
      <w:pPr>
        <w:widowControl/>
        <w:rPr>
          <w:sz w:val="26"/>
          <w:szCs w:val="26"/>
        </w:rPr>
      </w:pPr>
      <w:r w:rsidRPr="00D3262E">
        <w:rPr>
          <w:sz w:val="26"/>
          <w:szCs w:val="26"/>
        </w:rPr>
        <w:t xml:space="preserve">The following burden estimate is based on the projected </w:t>
      </w:r>
      <w:r w:rsidR="00CA7BBA">
        <w:rPr>
          <w:sz w:val="26"/>
          <w:szCs w:val="26"/>
        </w:rPr>
        <w:t>burden</w:t>
      </w:r>
      <w:r w:rsidRPr="00D3262E">
        <w:rPr>
          <w:sz w:val="26"/>
          <w:szCs w:val="26"/>
        </w:rPr>
        <w:t xml:space="preserve"> for the industry to implement the new and revised business practice standards adopted by NAESB and proposed to be incorporated by reference in this NOPR.</w:t>
      </w:r>
    </w:p>
    <w:p w:rsidR="00D3262E" w:rsidRPr="00D3262E" w:rsidRDefault="00D3262E" w:rsidP="00D3262E">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772"/>
        <w:gridCol w:w="2128"/>
        <w:gridCol w:w="1702"/>
        <w:gridCol w:w="1916"/>
      </w:tblGrid>
      <w:tr w:rsidR="00D3262E" w:rsidRPr="00D3262E" w:rsidTr="00D3262E">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3262E" w:rsidRPr="00D3262E" w:rsidRDefault="00D3262E" w:rsidP="00D3262E">
            <w:pPr>
              <w:widowControl/>
              <w:jc w:val="center"/>
              <w:rPr>
                <w:b/>
                <w:sz w:val="26"/>
                <w:szCs w:val="26"/>
              </w:rPr>
            </w:pPr>
            <w:r w:rsidRPr="00D3262E">
              <w:rPr>
                <w:sz w:val="26"/>
                <w:szCs w:val="26"/>
              </w:rPr>
              <w:lastRenderedPageBreak/>
              <w:br w:type="page"/>
            </w:r>
            <w:r w:rsidRPr="00D3262E">
              <w:rPr>
                <w:sz w:val="26"/>
                <w:szCs w:val="26"/>
              </w:rPr>
              <w:br w:type="page"/>
            </w:r>
            <w:r w:rsidRPr="00D3262E">
              <w:rPr>
                <w:sz w:val="26"/>
                <w:szCs w:val="26"/>
              </w:rPr>
              <w:br w:type="page"/>
            </w:r>
            <w:r w:rsidRPr="00D3262E">
              <w:rPr>
                <w:b/>
                <w:sz w:val="26"/>
                <w:szCs w:val="26"/>
              </w:rPr>
              <w:t>Data Collection</w:t>
            </w:r>
          </w:p>
        </w:tc>
        <w:tc>
          <w:tcPr>
            <w:tcW w:w="1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3262E" w:rsidRPr="00D3262E" w:rsidRDefault="00D3262E" w:rsidP="00D3262E">
            <w:pPr>
              <w:widowControl/>
              <w:jc w:val="center"/>
              <w:rPr>
                <w:b/>
                <w:sz w:val="26"/>
                <w:szCs w:val="26"/>
              </w:rPr>
            </w:pPr>
            <w:r w:rsidRPr="00D3262E">
              <w:rPr>
                <w:b/>
                <w:sz w:val="26"/>
                <w:szCs w:val="26"/>
              </w:rPr>
              <w:t>No. of Respondents</w:t>
            </w:r>
          </w:p>
          <w:p w:rsidR="00D3262E" w:rsidRPr="00D3262E" w:rsidRDefault="00D3262E" w:rsidP="00D3262E">
            <w:pPr>
              <w:widowControl/>
              <w:jc w:val="center"/>
              <w:rPr>
                <w:b/>
                <w:sz w:val="26"/>
                <w:szCs w:val="26"/>
              </w:rPr>
            </w:pPr>
            <w:r w:rsidRPr="00D3262E">
              <w:rPr>
                <w:b/>
                <w:sz w:val="26"/>
                <w:szCs w:val="26"/>
              </w:rPr>
              <w:t>(1)</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3262E" w:rsidRPr="00D3262E" w:rsidRDefault="00D3262E" w:rsidP="00D3262E">
            <w:pPr>
              <w:widowControl/>
              <w:jc w:val="center"/>
              <w:rPr>
                <w:b/>
                <w:sz w:val="26"/>
                <w:szCs w:val="26"/>
              </w:rPr>
            </w:pPr>
            <w:r w:rsidRPr="00D3262E">
              <w:rPr>
                <w:b/>
                <w:sz w:val="26"/>
                <w:szCs w:val="26"/>
              </w:rPr>
              <w:t>No. of Responses Per Respondent</w:t>
            </w:r>
          </w:p>
          <w:p w:rsidR="00D3262E" w:rsidRPr="00D3262E" w:rsidRDefault="00D3262E" w:rsidP="00D3262E">
            <w:pPr>
              <w:widowControl/>
              <w:jc w:val="center"/>
              <w:rPr>
                <w:b/>
                <w:sz w:val="26"/>
                <w:szCs w:val="26"/>
              </w:rPr>
            </w:pPr>
            <w:r w:rsidRPr="00D3262E">
              <w:rPr>
                <w:b/>
                <w:sz w:val="26"/>
                <w:szCs w:val="26"/>
              </w:rPr>
              <w:t>(2)</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3262E" w:rsidRPr="00D3262E" w:rsidRDefault="00D3262E" w:rsidP="00D3262E">
            <w:pPr>
              <w:widowControl/>
              <w:jc w:val="center"/>
              <w:rPr>
                <w:b/>
                <w:sz w:val="26"/>
                <w:szCs w:val="26"/>
              </w:rPr>
            </w:pPr>
            <w:r w:rsidRPr="00D3262E">
              <w:rPr>
                <w:b/>
                <w:sz w:val="26"/>
                <w:szCs w:val="26"/>
              </w:rPr>
              <w:t>Hours Per Response</w:t>
            </w:r>
          </w:p>
          <w:p w:rsidR="00D3262E" w:rsidRPr="00D3262E" w:rsidRDefault="00D3262E" w:rsidP="00D3262E">
            <w:pPr>
              <w:widowControl/>
              <w:jc w:val="center"/>
              <w:rPr>
                <w:b/>
                <w:sz w:val="26"/>
                <w:szCs w:val="26"/>
              </w:rPr>
            </w:pPr>
            <w:r w:rsidRPr="00D3262E">
              <w:rPr>
                <w:b/>
                <w:sz w:val="26"/>
                <w:szCs w:val="26"/>
              </w:rPr>
              <w:t>(3)</w:t>
            </w:r>
          </w:p>
        </w:tc>
        <w:tc>
          <w:tcPr>
            <w:tcW w:w="1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3262E" w:rsidRPr="00D3262E" w:rsidRDefault="00D3262E" w:rsidP="00D3262E">
            <w:pPr>
              <w:widowControl/>
              <w:jc w:val="center"/>
              <w:rPr>
                <w:b/>
                <w:sz w:val="26"/>
                <w:szCs w:val="26"/>
              </w:rPr>
            </w:pPr>
            <w:r w:rsidRPr="00D3262E">
              <w:rPr>
                <w:b/>
                <w:sz w:val="26"/>
                <w:szCs w:val="26"/>
              </w:rPr>
              <w:t>Total No. of Hours</w:t>
            </w:r>
          </w:p>
          <w:p w:rsidR="00D3262E" w:rsidRPr="00D3262E" w:rsidRDefault="00D3262E" w:rsidP="00D3262E">
            <w:pPr>
              <w:widowControl/>
              <w:jc w:val="center"/>
              <w:rPr>
                <w:b/>
                <w:sz w:val="26"/>
                <w:szCs w:val="26"/>
              </w:rPr>
            </w:pPr>
            <w:r w:rsidRPr="00D3262E">
              <w:rPr>
                <w:b/>
                <w:sz w:val="26"/>
                <w:szCs w:val="26"/>
              </w:rPr>
              <w:t>(1)x(2)x(3)</w:t>
            </w:r>
          </w:p>
        </w:tc>
      </w:tr>
      <w:tr w:rsidR="00D3262E" w:rsidRPr="00D3262E" w:rsidTr="00D3262E">
        <w:tc>
          <w:tcPr>
            <w:tcW w:w="1950" w:type="dxa"/>
            <w:tcBorders>
              <w:top w:val="single" w:sz="4" w:space="0" w:color="auto"/>
              <w:left w:val="single" w:sz="4" w:space="0" w:color="auto"/>
              <w:bottom w:val="single" w:sz="4" w:space="0" w:color="auto"/>
              <w:right w:val="single" w:sz="4" w:space="0" w:color="auto"/>
            </w:tcBorders>
            <w:hideMark/>
          </w:tcPr>
          <w:p w:rsidR="00D3262E" w:rsidRPr="00D3262E" w:rsidRDefault="00D3262E" w:rsidP="00D3262E">
            <w:pPr>
              <w:widowControl/>
              <w:rPr>
                <w:sz w:val="26"/>
                <w:szCs w:val="26"/>
              </w:rPr>
            </w:pPr>
            <w:r w:rsidRPr="00D3262E">
              <w:rPr>
                <w:sz w:val="26"/>
                <w:szCs w:val="26"/>
              </w:rPr>
              <w:t>FERC-516</w:t>
            </w:r>
          </w:p>
          <w:p w:rsidR="00D3262E" w:rsidRPr="00D3262E" w:rsidRDefault="00D3262E" w:rsidP="00D3262E">
            <w:pPr>
              <w:widowControl/>
              <w:rPr>
                <w:sz w:val="26"/>
                <w:szCs w:val="26"/>
              </w:rPr>
            </w:pPr>
            <w:r w:rsidRPr="00D3262E">
              <w:rPr>
                <w:sz w:val="26"/>
                <w:szCs w:val="26"/>
              </w:rPr>
              <w:t>(tariff filing)</w:t>
            </w:r>
          </w:p>
        </w:tc>
        <w:tc>
          <w:tcPr>
            <w:tcW w:w="1772" w:type="dxa"/>
            <w:tcBorders>
              <w:top w:val="single" w:sz="4" w:space="0" w:color="auto"/>
              <w:left w:val="single" w:sz="4" w:space="0" w:color="auto"/>
              <w:bottom w:val="single" w:sz="4" w:space="0" w:color="auto"/>
              <w:right w:val="single" w:sz="4" w:space="0" w:color="auto"/>
            </w:tcBorders>
            <w:vAlign w:val="bottom"/>
          </w:tcPr>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r w:rsidRPr="00D3262E">
              <w:rPr>
                <w:sz w:val="26"/>
                <w:szCs w:val="26"/>
              </w:rPr>
              <w:t>132</w:t>
            </w:r>
          </w:p>
        </w:tc>
        <w:tc>
          <w:tcPr>
            <w:tcW w:w="2128" w:type="dxa"/>
            <w:tcBorders>
              <w:top w:val="single" w:sz="4" w:space="0" w:color="auto"/>
              <w:left w:val="single" w:sz="4" w:space="0" w:color="auto"/>
              <w:bottom w:val="single" w:sz="4" w:space="0" w:color="auto"/>
              <w:right w:val="single" w:sz="4" w:space="0" w:color="auto"/>
            </w:tcBorders>
            <w:vAlign w:val="bottom"/>
          </w:tcPr>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r w:rsidRPr="00D3262E">
              <w:rPr>
                <w:sz w:val="26"/>
                <w:szCs w:val="26"/>
              </w:rPr>
              <w:t>1</w:t>
            </w:r>
          </w:p>
        </w:tc>
        <w:tc>
          <w:tcPr>
            <w:tcW w:w="1702" w:type="dxa"/>
            <w:tcBorders>
              <w:top w:val="single" w:sz="4" w:space="0" w:color="auto"/>
              <w:left w:val="single" w:sz="4" w:space="0" w:color="auto"/>
              <w:bottom w:val="single" w:sz="4" w:space="0" w:color="auto"/>
              <w:right w:val="single" w:sz="4" w:space="0" w:color="auto"/>
            </w:tcBorders>
            <w:vAlign w:val="bottom"/>
            <w:hideMark/>
          </w:tcPr>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r w:rsidRPr="00D3262E">
              <w:rPr>
                <w:sz w:val="26"/>
                <w:szCs w:val="26"/>
              </w:rPr>
              <w:t xml:space="preserve"> 6</w:t>
            </w:r>
          </w:p>
        </w:tc>
        <w:tc>
          <w:tcPr>
            <w:tcW w:w="1916" w:type="dxa"/>
            <w:tcBorders>
              <w:top w:val="single" w:sz="4" w:space="0" w:color="auto"/>
              <w:left w:val="single" w:sz="4" w:space="0" w:color="auto"/>
              <w:bottom w:val="single" w:sz="4" w:space="0" w:color="auto"/>
              <w:right w:val="single" w:sz="4" w:space="0" w:color="auto"/>
            </w:tcBorders>
            <w:vAlign w:val="bottom"/>
            <w:hideMark/>
          </w:tcPr>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r w:rsidRPr="00D3262E">
              <w:rPr>
                <w:sz w:val="26"/>
                <w:szCs w:val="26"/>
              </w:rPr>
              <w:t xml:space="preserve">   792</w:t>
            </w:r>
          </w:p>
        </w:tc>
      </w:tr>
      <w:tr w:rsidR="00D3262E" w:rsidRPr="00D3262E" w:rsidTr="00D3262E">
        <w:tc>
          <w:tcPr>
            <w:tcW w:w="1950" w:type="dxa"/>
            <w:tcBorders>
              <w:top w:val="single" w:sz="4" w:space="0" w:color="auto"/>
              <w:left w:val="single" w:sz="4" w:space="0" w:color="auto"/>
              <w:bottom w:val="single" w:sz="4" w:space="0" w:color="auto"/>
              <w:right w:val="single" w:sz="4" w:space="0" w:color="auto"/>
            </w:tcBorders>
            <w:hideMark/>
          </w:tcPr>
          <w:p w:rsidR="00D3262E" w:rsidRPr="00D3262E" w:rsidRDefault="00D3262E" w:rsidP="00D3262E">
            <w:pPr>
              <w:widowControl/>
              <w:rPr>
                <w:sz w:val="26"/>
                <w:szCs w:val="26"/>
              </w:rPr>
            </w:pPr>
            <w:r w:rsidRPr="00D3262E">
              <w:rPr>
                <w:sz w:val="26"/>
                <w:szCs w:val="26"/>
              </w:rPr>
              <w:t>FERC-717</w:t>
            </w:r>
            <w:r w:rsidR="003A3F8B">
              <w:rPr>
                <w:sz w:val="26"/>
                <w:szCs w:val="26"/>
              </w:rPr>
              <w:t>A</w:t>
            </w:r>
          </w:p>
          <w:p w:rsidR="00D3262E" w:rsidRPr="00D3262E" w:rsidRDefault="00D3262E" w:rsidP="00D3262E">
            <w:pPr>
              <w:widowControl/>
              <w:rPr>
                <w:sz w:val="26"/>
                <w:szCs w:val="26"/>
              </w:rPr>
            </w:pPr>
            <w:r w:rsidRPr="00D3262E">
              <w:rPr>
                <w:sz w:val="26"/>
                <w:szCs w:val="26"/>
              </w:rPr>
              <w:t>(compliance with standards)</w:t>
            </w:r>
          </w:p>
        </w:tc>
        <w:tc>
          <w:tcPr>
            <w:tcW w:w="1772" w:type="dxa"/>
            <w:tcBorders>
              <w:top w:val="single" w:sz="4" w:space="0" w:color="auto"/>
              <w:left w:val="single" w:sz="4" w:space="0" w:color="auto"/>
              <w:bottom w:val="single" w:sz="4" w:space="0" w:color="auto"/>
              <w:right w:val="single" w:sz="4" w:space="0" w:color="auto"/>
            </w:tcBorders>
            <w:vAlign w:val="bottom"/>
          </w:tcPr>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r w:rsidRPr="00D3262E">
              <w:rPr>
                <w:sz w:val="26"/>
                <w:szCs w:val="26"/>
              </w:rPr>
              <w:t>132</w:t>
            </w:r>
          </w:p>
        </w:tc>
        <w:tc>
          <w:tcPr>
            <w:tcW w:w="2128" w:type="dxa"/>
            <w:tcBorders>
              <w:top w:val="single" w:sz="4" w:space="0" w:color="auto"/>
              <w:left w:val="single" w:sz="4" w:space="0" w:color="auto"/>
              <w:bottom w:val="single" w:sz="4" w:space="0" w:color="auto"/>
              <w:right w:val="single" w:sz="4" w:space="0" w:color="auto"/>
            </w:tcBorders>
            <w:vAlign w:val="bottom"/>
          </w:tcPr>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r w:rsidRPr="00D3262E">
              <w:rPr>
                <w:sz w:val="26"/>
                <w:szCs w:val="26"/>
              </w:rPr>
              <w:t>1</w:t>
            </w:r>
          </w:p>
        </w:tc>
        <w:tc>
          <w:tcPr>
            <w:tcW w:w="1702" w:type="dxa"/>
            <w:tcBorders>
              <w:top w:val="single" w:sz="4" w:space="0" w:color="auto"/>
              <w:left w:val="single" w:sz="4" w:space="0" w:color="auto"/>
              <w:bottom w:val="single" w:sz="4" w:space="0" w:color="auto"/>
              <w:right w:val="single" w:sz="4" w:space="0" w:color="auto"/>
            </w:tcBorders>
            <w:vAlign w:val="bottom"/>
          </w:tcPr>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r w:rsidRPr="00D3262E">
              <w:rPr>
                <w:sz w:val="26"/>
                <w:szCs w:val="26"/>
              </w:rPr>
              <w:t>30</w:t>
            </w:r>
            <w:r w:rsidRPr="00D3262E">
              <w:rPr>
                <w:b/>
                <w:sz w:val="26"/>
                <w:szCs w:val="26"/>
                <w:vertAlign w:val="superscript"/>
              </w:rPr>
              <w:footnoteReference w:id="25"/>
            </w:r>
          </w:p>
        </w:tc>
        <w:tc>
          <w:tcPr>
            <w:tcW w:w="1916" w:type="dxa"/>
            <w:tcBorders>
              <w:top w:val="single" w:sz="4" w:space="0" w:color="auto"/>
              <w:left w:val="single" w:sz="4" w:space="0" w:color="auto"/>
              <w:bottom w:val="single" w:sz="4" w:space="0" w:color="auto"/>
              <w:right w:val="single" w:sz="4" w:space="0" w:color="auto"/>
            </w:tcBorders>
            <w:vAlign w:val="bottom"/>
          </w:tcPr>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p>
          <w:p w:rsidR="00D3262E" w:rsidRPr="00D3262E" w:rsidRDefault="00D3262E" w:rsidP="00D3262E">
            <w:pPr>
              <w:widowControl/>
              <w:jc w:val="right"/>
              <w:rPr>
                <w:sz w:val="26"/>
                <w:szCs w:val="26"/>
              </w:rPr>
            </w:pPr>
            <w:r w:rsidRPr="00D3262E">
              <w:rPr>
                <w:sz w:val="26"/>
                <w:szCs w:val="26"/>
              </w:rPr>
              <w:t>3,960</w:t>
            </w:r>
          </w:p>
        </w:tc>
      </w:tr>
      <w:tr w:rsidR="00D3262E" w:rsidRPr="00D3262E" w:rsidTr="00D3262E">
        <w:tc>
          <w:tcPr>
            <w:tcW w:w="1950" w:type="dxa"/>
            <w:tcBorders>
              <w:top w:val="single" w:sz="4" w:space="0" w:color="auto"/>
              <w:left w:val="single" w:sz="4" w:space="0" w:color="auto"/>
              <w:bottom w:val="single" w:sz="4" w:space="0" w:color="auto"/>
              <w:right w:val="single" w:sz="4" w:space="0" w:color="auto"/>
            </w:tcBorders>
            <w:hideMark/>
          </w:tcPr>
          <w:p w:rsidR="00D3262E" w:rsidRPr="00D3262E" w:rsidRDefault="00D3262E" w:rsidP="00D3262E">
            <w:pPr>
              <w:widowControl/>
              <w:rPr>
                <w:sz w:val="26"/>
                <w:szCs w:val="26"/>
              </w:rPr>
            </w:pPr>
            <w:r w:rsidRPr="00D3262E">
              <w:rPr>
                <w:sz w:val="26"/>
                <w:szCs w:val="26"/>
              </w:rPr>
              <w:t>Totals</w:t>
            </w:r>
          </w:p>
        </w:tc>
        <w:tc>
          <w:tcPr>
            <w:tcW w:w="5602" w:type="dxa"/>
            <w:gridSpan w:val="3"/>
            <w:tcBorders>
              <w:top w:val="single" w:sz="4" w:space="0" w:color="auto"/>
              <w:left w:val="single" w:sz="4" w:space="0" w:color="auto"/>
              <w:bottom w:val="single" w:sz="4" w:space="0" w:color="auto"/>
              <w:right w:val="single" w:sz="4" w:space="0" w:color="auto"/>
            </w:tcBorders>
            <w:vAlign w:val="bottom"/>
          </w:tcPr>
          <w:p w:rsidR="00D3262E" w:rsidRPr="00D3262E" w:rsidRDefault="00D3262E" w:rsidP="00D3262E">
            <w:pPr>
              <w:widowControl/>
              <w:jc w:val="right"/>
              <w:rPr>
                <w:sz w:val="26"/>
                <w:szCs w:val="26"/>
              </w:rPr>
            </w:pPr>
          </w:p>
        </w:tc>
        <w:tc>
          <w:tcPr>
            <w:tcW w:w="1916" w:type="dxa"/>
            <w:tcBorders>
              <w:top w:val="single" w:sz="4" w:space="0" w:color="auto"/>
              <w:left w:val="single" w:sz="4" w:space="0" w:color="auto"/>
              <w:bottom w:val="single" w:sz="4" w:space="0" w:color="auto"/>
              <w:right w:val="single" w:sz="4" w:space="0" w:color="auto"/>
            </w:tcBorders>
            <w:vAlign w:val="bottom"/>
            <w:hideMark/>
          </w:tcPr>
          <w:p w:rsidR="00D3262E" w:rsidRPr="00D3262E" w:rsidRDefault="00D3262E" w:rsidP="00D3262E">
            <w:pPr>
              <w:widowControl/>
              <w:jc w:val="right"/>
              <w:rPr>
                <w:sz w:val="26"/>
                <w:szCs w:val="26"/>
              </w:rPr>
            </w:pPr>
            <w:r w:rsidRPr="00D3262E">
              <w:rPr>
                <w:sz w:val="26"/>
                <w:szCs w:val="26"/>
              </w:rPr>
              <w:t>4,752</w:t>
            </w:r>
          </w:p>
        </w:tc>
      </w:tr>
    </w:tbl>
    <w:p w:rsidR="00D3262E" w:rsidRPr="00D3262E" w:rsidRDefault="00D3262E" w:rsidP="00D3262E">
      <w:pPr>
        <w:widowControl/>
        <w:rPr>
          <w:sz w:val="26"/>
          <w:szCs w:val="26"/>
        </w:rPr>
      </w:pPr>
    </w:p>
    <w:p w:rsidR="00D3262E" w:rsidRDefault="00D3262E" w:rsidP="00D3262E">
      <w:pPr>
        <w:widowControl/>
        <w:rPr>
          <w:sz w:val="26"/>
          <w:szCs w:val="26"/>
        </w:rPr>
      </w:pPr>
      <w:r>
        <w:rPr>
          <w:sz w:val="26"/>
          <w:szCs w:val="26"/>
        </w:rPr>
        <w:t xml:space="preserve">FERC estimates the costs </w:t>
      </w:r>
      <w:r w:rsidR="00DF758B">
        <w:rPr>
          <w:sz w:val="26"/>
          <w:szCs w:val="26"/>
        </w:rPr>
        <w:t xml:space="preserve">associated with the above burden hours </w:t>
      </w:r>
      <w:r>
        <w:rPr>
          <w:sz w:val="26"/>
          <w:szCs w:val="26"/>
        </w:rPr>
        <w:t>as follows</w:t>
      </w:r>
      <w:r w:rsidRPr="00D3262E">
        <w:rPr>
          <w:sz w:val="26"/>
          <w:szCs w:val="26"/>
        </w:rPr>
        <w:t>:</w:t>
      </w:r>
    </w:p>
    <w:p w:rsidR="00D3262E" w:rsidRPr="00D3262E" w:rsidRDefault="00D3262E" w:rsidP="00D3262E">
      <w:pPr>
        <w:widowControl/>
        <w:rPr>
          <w:sz w:val="26"/>
          <w:szCs w:val="26"/>
        </w:rPr>
      </w:pPr>
    </w:p>
    <w:p w:rsidR="00D3262E" w:rsidRPr="00D3262E" w:rsidRDefault="00D3262E" w:rsidP="00D3262E">
      <w:pPr>
        <w:widowControl/>
        <w:rPr>
          <w:sz w:val="26"/>
          <w:szCs w:val="26"/>
        </w:rPr>
      </w:pPr>
      <w:r>
        <w:rPr>
          <w:sz w:val="26"/>
          <w:szCs w:val="26"/>
        </w:rPr>
        <w:t xml:space="preserve">• </w:t>
      </w:r>
      <w:r w:rsidRPr="00D3262E">
        <w:rPr>
          <w:sz w:val="26"/>
          <w:szCs w:val="26"/>
        </w:rPr>
        <w:t>FERC-516: 132 entities * 1 response/entity * (6 hours/response * $72/hour</w:t>
      </w:r>
      <w:r w:rsidRPr="00D3262E">
        <w:rPr>
          <w:b/>
          <w:sz w:val="26"/>
          <w:szCs w:val="26"/>
          <w:vertAlign w:val="superscript"/>
        </w:rPr>
        <w:footnoteReference w:id="26"/>
      </w:r>
      <w:r w:rsidRPr="00D3262E">
        <w:rPr>
          <w:sz w:val="26"/>
          <w:szCs w:val="26"/>
        </w:rPr>
        <w:t>) = $57,024.</w:t>
      </w:r>
    </w:p>
    <w:p w:rsidR="00D3262E" w:rsidRPr="00D3262E" w:rsidRDefault="00D3262E" w:rsidP="00D3262E">
      <w:pPr>
        <w:widowControl/>
        <w:rPr>
          <w:sz w:val="26"/>
          <w:szCs w:val="26"/>
        </w:rPr>
      </w:pPr>
    </w:p>
    <w:p w:rsidR="00D3262E" w:rsidRPr="00D3262E" w:rsidRDefault="00D3262E" w:rsidP="00D3262E">
      <w:pPr>
        <w:widowControl/>
        <w:rPr>
          <w:sz w:val="26"/>
          <w:szCs w:val="26"/>
        </w:rPr>
      </w:pPr>
      <w:r w:rsidRPr="00D3262E">
        <w:rPr>
          <w:sz w:val="26"/>
          <w:szCs w:val="26"/>
        </w:rPr>
        <w:t>•FERC-717</w:t>
      </w:r>
      <w:r w:rsidR="003A3F8B">
        <w:rPr>
          <w:sz w:val="26"/>
          <w:szCs w:val="26"/>
        </w:rPr>
        <w:t>A</w:t>
      </w:r>
      <w:r w:rsidRPr="00D3262E">
        <w:rPr>
          <w:sz w:val="26"/>
          <w:szCs w:val="26"/>
        </w:rPr>
        <w:t>: 132 entities * 1 response/entity * (30 hours/response * $72/hour) = $285,120.</w:t>
      </w:r>
    </w:p>
    <w:p w:rsidR="00D3262E" w:rsidRDefault="00D3262E" w:rsidP="00E85B6A">
      <w:pPr>
        <w:widowControl/>
        <w:rPr>
          <w:sz w:val="26"/>
          <w:szCs w:val="26"/>
        </w:rPr>
      </w:pPr>
    </w:p>
    <w:p w:rsidR="00D3262E" w:rsidRPr="00DF758B" w:rsidRDefault="00DF758B" w:rsidP="00DF758B">
      <w:pPr>
        <w:widowControl/>
        <w:rPr>
          <w:sz w:val="26"/>
          <w:szCs w:val="26"/>
        </w:rPr>
      </w:pPr>
      <w:r w:rsidRPr="00DF758B">
        <w:rPr>
          <w:sz w:val="26"/>
          <w:szCs w:val="26"/>
        </w:rPr>
        <w:t>The following two tables show the total burden hours and costs for each collection and the impact of the changes discussed in detail in item 12 above.</w:t>
      </w:r>
    </w:p>
    <w:p w:rsidR="00D3262E" w:rsidRDefault="00D3262E" w:rsidP="00D3262E">
      <w:pPr>
        <w:pStyle w:val="FERCparanumber"/>
        <w:numPr>
          <w:ilvl w:val="0"/>
          <w:numId w:val="0"/>
        </w:numPr>
        <w:spacing w:line="240" w:lineRule="auto"/>
        <w:ind w:firstLine="720"/>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D3262E" w:rsidRPr="004E516F" w:rsidTr="00D3262E">
        <w:trPr>
          <w:trHeight w:val="870"/>
        </w:trPr>
        <w:tc>
          <w:tcPr>
            <w:tcW w:w="2589" w:type="dxa"/>
            <w:shd w:val="clear" w:color="auto" w:fill="D9D9D9"/>
            <w:vAlign w:val="bottom"/>
          </w:tcPr>
          <w:p w:rsidR="00D3262E" w:rsidRPr="004E516F" w:rsidRDefault="00D3262E" w:rsidP="00D3262E">
            <w:pPr>
              <w:jc w:val="center"/>
              <w:rPr>
                <w:b/>
                <w:szCs w:val="26"/>
              </w:rPr>
            </w:pPr>
            <w:r w:rsidRPr="004E516F">
              <w:rPr>
                <w:b/>
                <w:szCs w:val="26"/>
              </w:rPr>
              <w:t>F</w:t>
            </w:r>
            <w:r>
              <w:rPr>
                <w:b/>
                <w:szCs w:val="26"/>
              </w:rPr>
              <w:t>ERC-516</w:t>
            </w:r>
          </w:p>
        </w:tc>
        <w:tc>
          <w:tcPr>
            <w:tcW w:w="1779" w:type="dxa"/>
            <w:shd w:val="clear" w:color="auto" w:fill="D9D9D9"/>
            <w:vAlign w:val="bottom"/>
          </w:tcPr>
          <w:p w:rsidR="00D3262E" w:rsidRPr="004E516F" w:rsidRDefault="00D3262E" w:rsidP="00D3262E">
            <w:pPr>
              <w:jc w:val="center"/>
              <w:rPr>
                <w:b/>
                <w:szCs w:val="26"/>
              </w:rPr>
            </w:pPr>
            <w:r>
              <w:rPr>
                <w:b/>
                <w:szCs w:val="26"/>
              </w:rPr>
              <w:t>Total Request</w:t>
            </w:r>
          </w:p>
        </w:tc>
        <w:tc>
          <w:tcPr>
            <w:tcW w:w="1959" w:type="dxa"/>
            <w:shd w:val="clear" w:color="auto" w:fill="D9D9D9"/>
            <w:vAlign w:val="bottom"/>
          </w:tcPr>
          <w:p w:rsidR="00D3262E" w:rsidRPr="004E516F" w:rsidRDefault="00D3262E" w:rsidP="00D3262E">
            <w:pPr>
              <w:jc w:val="center"/>
              <w:rPr>
                <w:b/>
                <w:szCs w:val="26"/>
              </w:rPr>
            </w:pPr>
            <w:r>
              <w:rPr>
                <w:b/>
                <w:szCs w:val="26"/>
              </w:rPr>
              <w:t>Previously Approved</w:t>
            </w:r>
          </w:p>
        </w:tc>
        <w:tc>
          <w:tcPr>
            <w:tcW w:w="1958" w:type="dxa"/>
            <w:shd w:val="clear" w:color="auto" w:fill="D9D9D9"/>
            <w:vAlign w:val="bottom"/>
          </w:tcPr>
          <w:p w:rsidR="00D3262E" w:rsidRPr="004E516F" w:rsidRDefault="00D3262E" w:rsidP="00D3262E">
            <w:pPr>
              <w:jc w:val="center"/>
              <w:rPr>
                <w:b/>
                <w:szCs w:val="26"/>
              </w:rPr>
            </w:pPr>
            <w:r>
              <w:rPr>
                <w:b/>
                <w:szCs w:val="26"/>
              </w:rPr>
              <w:t>Change due to Adjustment in Estimate</w:t>
            </w:r>
          </w:p>
        </w:tc>
        <w:tc>
          <w:tcPr>
            <w:tcW w:w="1960" w:type="dxa"/>
            <w:shd w:val="clear" w:color="auto" w:fill="D9D9D9"/>
            <w:vAlign w:val="bottom"/>
          </w:tcPr>
          <w:p w:rsidR="00D3262E" w:rsidRPr="004E516F" w:rsidRDefault="00D3262E" w:rsidP="00D3262E">
            <w:pPr>
              <w:jc w:val="center"/>
              <w:rPr>
                <w:b/>
                <w:szCs w:val="26"/>
              </w:rPr>
            </w:pPr>
            <w:r>
              <w:rPr>
                <w:b/>
                <w:szCs w:val="26"/>
              </w:rPr>
              <w:t>Change Due to Agency Discretion</w:t>
            </w:r>
          </w:p>
        </w:tc>
      </w:tr>
      <w:tr w:rsidR="00D3262E" w:rsidRPr="004E516F" w:rsidTr="00D3262E">
        <w:trPr>
          <w:trHeight w:val="591"/>
        </w:trPr>
        <w:tc>
          <w:tcPr>
            <w:tcW w:w="2589" w:type="dxa"/>
            <w:shd w:val="clear" w:color="auto" w:fill="auto"/>
          </w:tcPr>
          <w:p w:rsidR="00D3262E" w:rsidRPr="004E516F" w:rsidRDefault="00D3262E" w:rsidP="00D3262E">
            <w:pPr>
              <w:jc w:val="center"/>
              <w:rPr>
                <w:szCs w:val="26"/>
              </w:rPr>
            </w:pPr>
            <w:r>
              <w:rPr>
                <w:szCs w:val="26"/>
              </w:rPr>
              <w:t>Annual Number of Responses</w:t>
            </w:r>
          </w:p>
        </w:tc>
        <w:tc>
          <w:tcPr>
            <w:tcW w:w="1779" w:type="dxa"/>
            <w:shd w:val="clear" w:color="auto" w:fill="auto"/>
            <w:vAlign w:val="center"/>
          </w:tcPr>
          <w:p w:rsidR="00D3262E" w:rsidRPr="004E516F" w:rsidRDefault="00F6205C" w:rsidP="00D3262E">
            <w:pPr>
              <w:jc w:val="right"/>
              <w:rPr>
                <w:szCs w:val="26"/>
              </w:rPr>
            </w:pPr>
            <w:r>
              <w:rPr>
                <w:szCs w:val="26"/>
              </w:rPr>
              <w:t>5,547</w:t>
            </w:r>
          </w:p>
        </w:tc>
        <w:tc>
          <w:tcPr>
            <w:tcW w:w="1959" w:type="dxa"/>
            <w:shd w:val="clear" w:color="auto" w:fill="auto"/>
            <w:vAlign w:val="center"/>
          </w:tcPr>
          <w:p w:rsidR="00D3262E" w:rsidRPr="004E516F" w:rsidRDefault="00F6205C" w:rsidP="00F6205C">
            <w:pPr>
              <w:jc w:val="right"/>
              <w:rPr>
                <w:szCs w:val="26"/>
              </w:rPr>
            </w:pPr>
            <w:r>
              <w:rPr>
                <w:szCs w:val="26"/>
              </w:rPr>
              <w:t>5</w:t>
            </w:r>
            <w:r w:rsidR="00D3262E">
              <w:rPr>
                <w:szCs w:val="26"/>
              </w:rPr>
              <w:t>,</w:t>
            </w:r>
            <w:r>
              <w:rPr>
                <w:szCs w:val="26"/>
              </w:rPr>
              <w:t>415</w:t>
            </w:r>
          </w:p>
        </w:tc>
        <w:tc>
          <w:tcPr>
            <w:tcW w:w="1958" w:type="dxa"/>
            <w:shd w:val="clear" w:color="auto" w:fill="auto"/>
            <w:vAlign w:val="center"/>
          </w:tcPr>
          <w:p w:rsidR="00D3262E" w:rsidRPr="004E516F" w:rsidRDefault="00D3262E" w:rsidP="00D3262E">
            <w:pPr>
              <w:jc w:val="right"/>
              <w:rPr>
                <w:szCs w:val="26"/>
              </w:rPr>
            </w:pPr>
            <w:r>
              <w:rPr>
                <w:szCs w:val="26"/>
              </w:rPr>
              <w:t>-</w:t>
            </w:r>
          </w:p>
        </w:tc>
        <w:tc>
          <w:tcPr>
            <w:tcW w:w="1960" w:type="dxa"/>
            <w:shd w:val="clear" w:color="auto" w:fill="auto"/>
            <w:vAlign w:val="center"/>
          </w:tcPr>
          <w:p w:rsidR="00D3262E" w:rsidRPr="004E516F" w:rsidRDefault="00F6205C" w:rsidP="00D3262E">
            <w:pPr>
              <w:jc w:val="right"/>
              <w:rPr>
                <w:szCs w:val="26"/>
              </w:rPr>
            </w:pPr>
            <w:r>
              <w:rPr>
                <w:szCs w:val="26"/>
              </w:rPr>
              <w:t>132</w:t>
            </w:r>
          </w:p>
        </w:tc>
      </w:tr>
      <w:tr w:rsidR="00D3262E" w:rsidRPr="004E516F" w:rsidTr="00D3262E">
        <w:trPr>
          <w:trHeight w:val="575"/>
        </w:trPr>
        <w:tc>
          <w:tcPr>
            <w:tcW w:w="2589" w:type="dxa"/>
            <w:shd w:val="clear" w:color="auto" w:fill="auto"/>
          </w:tcPr>
          <w:p w:rsidR="00D3262E" w:rsidRPr="004E516F" w:rsidRDefault="00D3262E" w:rsidP="00D3262E">
            <w:pPr>
              <w:jc w:val="center"/>
              <w:rPr>
                <w:szCs w:val="26"/>
              </w:rPr>
            </w:pPr>
            <w:r>
              <w:rPr>
                <w:szCs w:val="26"/>
              </w:rPr>
              <w:t>Annual Time Burden (</w:t>
            </w:r>
            <w:proofErr w:type="spellStart"/>
            <w:r>
              <w:rPr>
                <w:szCs w:val="26"/>
              </w:rPr>
              <w:t>Hr</w:t>
            </w:r>
            <w:proofErr w:type="spellEnd"/>
            <w:r>
              <w:rPr>
                <w:szCs w:val="26"/>
              </w:rPr>
              <w:t>)</w:t>
            </w:r>
          </w:p>
        </w:tc>
        <w:tc>
          <w:tcPr>
            <w:tcW w:w="1779" w:type="dxa"/>
            <w:shd w:val="clear" w:color="auto" w:fill="auto"/>
            <w:vAlign w:val="center"/>
          </w:tcPr>
          <w:p w:rsidR="00D3262E" w:rsidRPr="004E516F" w:rsidRDefault="00F6205C" w:rsidP="00D3262E">
            <w:pPr>
              <w:jc w:val="right"/>
              <w:rPr>
                <w:szCs w:val="26"/>
              </w:rPr>
            </w:pPr>
            <w:r>
              <w:rPr>
                <w:szCs w:val="26"/>
              </w:rPr>
              <w:t>498,250</w:t>
            </w:r>
          </w:p>
        </w:tc>
        <w:tc>
          <w:tcPr>
            <w:tcW w:w="1959" w:type="dxa"/>
            <w:shd w:val="clear" w:color="auto" w:fill="auto"/>
            <w:vAlign w:val="center"/>
          </w:tcPr>
          <w:p w:rsidR="00D3262E" w:rsidRPr="004E516F" w:rsidRDefault="00F6205C" w:rsidP="00D3262E">
            <w:pPr>
              <w:jc w:val="right"/>
              <w:rPr>
                <w:szCs w:val="26"/>
              </w:rPr>
            </w:pPr>
            <w:r>
              <w:rPr>
                <w:szCs w:val="26"/>
              </w:rPr>
              <w:t>497,458</w:t>
            </w:r>
          </w:p>
        </w:tc>
        <w:tc>
          <w:tcPr>
            <w:tcW w:w="1958" w:type="dxa"/>
            <w:shd w:val="clear" w:color="auto" w:fill="auto"/>
            <w:vAlign w:val="center"/>
          </w:tcPr>
          <w:p w:rsidR="00D3262E" w:rsidRPr="004E516F" w:rsidRDefault="00D3262E" w:rsidP="00D3262E">
            <w:pPr>
              <w:jc w:val="right"/>
              <w:rPr>
                <w:szCs w:val="26"/>
              </w:rPr>
            </w:pPr>
            <w:r>
              <w:rPr>
                <w:szCs w:val="26"/>
              </w:rPr>
              <w:t>-</w:t>
            </w:r>
          </w:p>
        </w:tc>
        <w:tc>
          <w:tcPr>
            <w:tcW w:w="1960" w:type="dxa"/>
            <w:shd w:val="clear" w:color="auto" w:fill="auto"/>
            <w:vAlign w:val="center"/>
          </w:tcPr>
          <w:p w:rsidR="00D3262E" w:rsidRPr="004E516F" w:rsidRDefault="00F6205C" w:rsidP="00D3262E">
            <w:pPr>
              <w:jc w:val="right"/>
              <w:rPr>
                <w:szCs w:val="26"/>
              </w:rPr>
            </w:pPr>
            <w:r>
              <w:rPr>
                <w:szCs w:val="26"/>
              </w:rPr>
              <w:t>792</w:t>
            </w:r>
          </w:p>
        </w:tc>
      </w:tr>
      <w:tr w:rsidR="00D3262E" w:rsidRPr="004E516F" w:rsidTr="00D3262E">
        <w:trPr>
          <w:trHeight w:val="295"/>
        </w:trPr>
        <w:tc>
          <w:tcPr>
            <w:tcW w:w="2589" w:type="dxa"/>
            <w:tcBorders>
              <w:bottom w:val="single" w:sz="4" w:space="0" w:color="auto"/>
            </w:tcBorders>
            <w:shd w:val="clear" w:color="auto" w:fill="auto"/>
          </w:tcPr>
          <w:p w:rsidR="00D3262E" w:rsidRPr="004E516F" w:rsidRDefault="00D3262E" w:rsidP="00D3262E">
            <w:pPr>
              <w:jc w:val="center"/>
              <w:rPr>
                <w:szCs w:val="26"/>
              </w:rPr>
            </w:pPr>
            <w:r>
              <w:rPr>
                <w:szCs w:val="26"/>
              </w:rPr>
              <w:t>Annual Cost Burden ($)</w:t>
            </w:r>
          </w:p>
        </w:tc>
        <w:tc>
          <w:tcPr>
            <w:tcW w:w="1779" w:type="dxa"/>
            <w:tcBorders>
              <w:bottom w:val="single" w:sz="4" w:space="0" w:color="auto"/>
            </w:tcBorders>
            <w:shd w:val="clear" w:color="auto" w:fill="auto"/>
            <w:vAlign w:val="center"/>
          </w:tcPr>
          <w:p w:rsidR="00D3262E" w:rsidRPr="004E516F" w:rsidRDefault="00F6205C" w:rsidP="00D3262E">
            <w:pPr>
              <w:jc w:val="right"/>
              <w:rPr>
                <w:szCs w:val="26"/>
              </w:rPr>
            </w:pPr>
            <w:r>
              <w:rPr>
                <w:szCs w:val="26"/>
              </w:rPr>
              <w:t>-</w:t>
            </w:r>
          </w:p>
        </w:tc>
        <w:tc>
          <w:tcPr>
            <w:tcW w:w="1959" w:type="dxa"/>
            <w:tcBorders>
              <w:bottom w:val="single" w:sz="4" w:space="0" w:color="auto"/>
            </w:tcBorders>
            <w:shd w:val="clear" w:color="auto" w:fill="auto"/>
            <w:vAlign w:val="center"/>
          </w:tcPr>
          <w:p w:rsidR="00D3262E" w:rsidRPr="004E516F" w:rsidRDefault="00F6205C" w:rsidP="00D3262E">
            <w:pPr>
              <w:jc w:val="right"/>
              <w:rPr>
                <w:szCs w:val="26"/>
              </w:rPr>
            </w:pPr>
            <w:r>
              <w:rPr>
                <w:szCs w:val="26"/>
              </w:rPr>
              <w:t>-</w:t>
            </w:r>
          </w:p>
        </w:tc>
        <w:tc>
          <w:tcPr>
            <w:tcW w:w="1958" w:type="dxa"/>
            <w:tcBorders>
              <w:bottom w:val="single" w:sz="4" w:space="0" w:color="auto"/>
            </w:tcBorders>
            <w:shd w:val="clear" w:color="auto" w:fill="auto"/>
            <w:vAlign w:val="center"/>
          </w:tcPr>
          <w:p w:rsidR="00D3262E" w:rsidRPr="004E516F" w:rsidRDefault="00D3262E" w:rsidP="00D3262E">
            <w:pPr>
              <w:jc w:val="right"/>
              <w:rPr>
                <w:szCs w:val="26"/>
              </w:rPr>
            </w:pPr>
            <w:r>
              <w:rPr>
                <w:szCs w:val="26"/>
              </w:rPr>
              <w:t>-</w:t>
            </w:r>
          </w:p>
        </w:tc>
        <w:tc>
          <w:tcPr>
            <w:tcW w:w="1960" w:type="dxa"/>
            <w:tcBorders>
              <w:bottom w:val="single" w:sz="4" w:space="0" w:color="auto"/>
            </w:tcBorders>
            <w:shd w:val="clear" w:color="auto" w:fill="auto"/>
            <w:vAlign w:val="center"/>
          </w:tcPr>
          <w:p w:rsidR="00D3262E" w:rsidRPr="004E516F" w:rsidRDefault="00D3262E" w:rsidP="00D3262E">
            <w:pPr>
              <w:jc w:val="right"/>
              <w:rPr>
                <w:szCs w:val="26"/>
              </w:rPr>
            </w:pPr>
            <w:r>
              <w:rPr>
                <w:szCs w:val="26"/>
              </w:rPr>
              <w:t>-</w:t>
            </w:r>
          </w:p>
        </w:tc>
      </w:tr>
    </w:tbl>
    <w:p w:rsidR="00D3262E" w:rsidRDefault="00D3262E" w:rsidP="00D3262E">
      <w:pPr>
        <w:pStyle w:val="FERCparanumber"/>
        <w:numPr>
          <w:ilvl w:val="0"/>
          <w:numId w:val="0"/>
        </w:numPr>
        <w:spacing w:line="240" w:lineRule="auto"/>
        <w:ind w:firstLine="720"/>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D3262E" w:rsidRPr="004E516F" w:rsidTr="00D3262E">
        <w:trPr>
          <w:trHeight w:val="870"/>
        </w:trPr>
        <w:tc>
          <w:tcPr>
            <w:tcW w:w="2589" w:type="dxa"/>
            <w:shd w:val="clear" w:color="auto" w:fill="D9D9D9"/>
            <w:vAlign w:val="bottom"/>
          </w:tcPr>
          <w:p w:rsidR="00D3262E" w:rsidRPr="004E516F" w:rsidRDefault="00D3262E" w:rsidP="00D3262E">
            <w:pPr>
              <w:jc w:val="center"/>
              <w:rPr>
                <w:b/>
                <w:szCs w:val="26"/>
              </w:rPr>
            </w:pPr>
            <w:r w:rsidRPr="004E516F">
              <w:rPr>
                <w:b/>
                <w:szCs w:val="26"/>
              </w:rPr>
              <w:t>F</w:t>
            </w:r>
            <w:r>
              <w:rPr>
                <w:b/>
                <w:szCs w:val="26"/>
              </w:rPr>
              <w:t>ERC-717</w:t>
            </w:r>
            <w:r w:rsidR="003A3F8B">
              <w:rPr>
                <w:b/>
                <w:szCs w:val="26"/>
              </w:rPr>
              <w:t>A</w:t>
            </w:r>
          </w:p>
        </w:tc>
        <w:tc>
          <w:tcPr>
            <w:tcW w:w="1779" w:type="dxa"/>
            <w:shd w:val="clear" w:color="auto" w:fill="D9D9D9"/>
            <w:vAlign w:val="bottom"/>
          </w:tcPr>
          <w:p w:rsidR="00D3262E" w:rsidRPr="004E516F" w:rsidRDefault="00D3262E" w:rsidP="00D3262E">
            <w:pPr>
              <w:jc w:val="center"/>
              <w:rPr>
                <w:b/>
                <w:szCs w:val="26"/>
              </w:rPr>
            </w:pPr>
            <w:r>
              <w:rPr>
                <w:b/>
                <w:szCs w:val="26"/>
              </w:rPr>
              <w:t>Total Request</w:t>
            </w:r>
          </w:p>
        </w:tc>
        <w:tc>
          <w:tcPr>
            <w:tcW w:w="1959" w:type="dxa"/>
            <w:shd w:val="clear" w:color="auto" w:fill="D9D9D9"/>
            <w:vAlign w:val="bottom"/>
          </w:tcPr>
          <w:p w:rsidR="00D3262E" w:rsidRPr="004E516F" w:rsidRDefault="00D3262E" w:rsidP="00D3262E">
            <w:pPr>
              <w:jc w:val="center"/>
              <w:rPr>
                <w:b/>
                <w:szCs w:val="26"/>
              </w:rPr>
            </w:pPr>
            <w:r>
              <w:rPr>
                <w:b/>
                <w:szCs w:val="26"/>
              </w:rPr>
              <w:t>Previously Approved</w:t>
            </w:r>
          </w:p>
        </w:tc>
        <w:tc>
          <w:tcPr>
            <w:tcW w:w="1958" w:type="dxa"/>
            <w:shd w:val="clear" w:color="auto" w:fill="D9D9D9"/>
            <w:vAlign w:val="bottom"/>
          </w:tcPr>
          <w:p w:rsidR="00D3262E" w:rsidRPr="004E516F" w:rsidRDefault="00D3262E" w:rsidP="00D3262E">
            <w:pPr>
              <w:jc w:val="center"/>
              <w:rPr>
                <w:b/>
                <w:szCs w:val="26"/>
              </w:rPr>
            </w:pPr>
            <w:r>
              <w:rPr>
                <w:b/>
                <w:szCs w:val="26"/>
              </w:rPr>
              <w:t>Change due to Adjustment in Estimate</w:t>
            </w:r>
          </w:p>
        </w:tc>
        <w:tc>
          <w:tcPr>
            <w:tcW w:w="1960" w:type="dxa"/>
            <w:shd w:val="clear" w:color="auto" w:fill="D9D9D9"/>
            <w:vAlign w:val="bottom"/>
          </w:tcPr>
          <w:p w:rsidR="00D3262E" w:rsidRPr="004E516F" w:rsidRDefault="00D3262E" w:rsidP="00D3262E">
            <w:pPr>
              <w:jc w:val="center"/>
              <w:rPr>
                <w:b/>
                <w:szCs w:val="26"/>
              </w:rPr>
            </w:pPr>
            <w:r>
              <w:rPr>
                <w:b/>
                <w:szCs w:val="26"/>
              </w:rPr>
              <w:t>Change Due to Agency Discretion</w:t>
            </w:r>
          </w:p>
        </w:tc>
      </w:tr>
      <w:tr w:rsidR="00D3262E" w:rsidRPr="004E516F" w:rsidTr="00D3262E">
        <w:trPr>
          <w:trHeight w:val="591"/>
        </w:trPr>
        <w:tc>
          <w:tcPr>
            <w:tcW w:w="2589" w:type="dxa"/>
            <w:shd w:val="clear" w:color="auto" w:fill="auto"/>
          </w:tcPr>
          <w:p w:rsidR="00D3262E" w:rsidRPr="004E516F" w:rsidRDefault="00D3262E" w:rsidP="00D3262E">
            <w:pPr>
              <w:jc w:val="center"/>
              <w:rPr>
                <w:szCs w:val="26"/>
              </w:rPr>
            </w:pPr>
            <w:r>
              <w:rPr>
                <w:szCs w:val="26"/>
              </w:rPr>
              <w:t>Annual Number of Responses</w:t>
            </w:r>
          </w:p>
        </w:tc>
        <w:tc>
          <w:tcPr>
            <w:tcW w:w="1779" w:type="dxa"/>
            <w:shd w:val="clear" w:color="auto" w:fill="auto"/>
            <w:vAlign w:val="center"/>
          </w:tcPr>
          <w:p w:rsidR="00D3262E" w:rsidRPr="004E516F" w:rsidRDefault="003A3F8B" w:rsidP="00D3262E">
            <w:pPr>
              <w:jc w:val="right"/>
              <w:rPr>
                <w:szCs w:val="26"/>
              </w:rPr>
            </w:pPr>
            <w:r>
              <w:rPr>
                <w:szCs w:val="26"/>
              </w:rPr>
              <w:t>132</w:t>
            </w:r>
          </w:p>
        </w:tc>
        <w:tc>
          <w:tcPr>
            <w:tcW w:w="1959" w:type="dxa"/>
            <w:shd w:val="clear" w:color="auto" w:fill="auto"/>
            <w:vAlign w:val="center"/>
          </w:tcPr>
          <w:p w:rsidR="00D3262E" w:rsidRPr="004E516F" w:rsidRDefault="003A3F8B" w:rsidP="00D3262E">
            <w:pPr>
              <w:jc w:val="right"/>
              <w:rPr>
                <w:szCs w:val="26"/>
              </w:rPr>
            </w:pPr>
            <w:r>
              <w:rPr>
                <w:szCs w:val="26"/>
              </w:rPr>
              <w:t>-</w:t>
            </w:r>
          </w:p>
        </w:tc>
        <w:tc>
          <w:tcPr>
            <w:tcW w:w="1958" w:type="dxa"/>
            <w:shd w:val="clear" w:color="auto" w:fill="auto"/>
            <w:vAlign w:val="center"/>
          </w:tcPr>
          <w:p w:rsidR="00D3262E" w:rsidRPr="004E516F" w:rsidRDefault="00D3262E" w:rsidP="00D3262E">
            <w:pPr>
              <w:jc w:val="right"/>
              <w:rPr>
                <w:szCs w:val="26"/>
              </w:rPr>
            </w:pPr>
            <w:r>
              <w:rPr>
                <w:szCs w:val="26"/>
              </w:rPr>
              <w:t>-</w:t>
            </w:r>
          </w:p>
        </w:tc>
        <w:tc>
          <w:tcPr>
            <w:tcW w:w="1960" w:type="dxa"/>
            <w:shd w:val="clear" w:color="auto" w:fill="auto"/>
            <w:vAlign w:val="center"/>
          </w:tcPr>
          <w:p w:rsidR="00D3262E" w:rsidRPr="004E516F" w:rsidRDefault="00D947DF" w:rsidP="00D3262E">
            <w:pPr>
              <w:jc w:val="right"/>
              <w:rPr>
                <w:szCs w:val="26"/>
              </w:rPr>
            </w:pPr>
            <w:r>
              <w:rPr>
                <w:szCs w:val="26"/>
              </w:rPr>
              <w:t>132</w:t>
            </w:r>
          </w:p>
        </w:tc>
      </w:tr>
      <w:tr w:rsidR="00D3262E" w:rsidRPr="004E516F" w:rsidTr="00D3262E">
        <w:trPr>
          <w:trHeight w:val="575"/>
        </w:trPr>
        <w:tc>
          <w:tcPr>
            <w:tcW w:w="2589" w:type="dxa"/>
            <w:shd w:val="clear" w:color="auto" w:fill="auto"/>
          </w:tcPr>
          <w:p w:rsidR="00D3262E" w:rsidRPr="004E516F" w:rsidRDefault="00D3262E" w:rsidP="00D3262E">
            <w:pPr>
              <w:jc w:val="center"/>
              <w:rPr>
                <w:szCs w:val="26"/>
              </w:rPr>
            </w:pPr>
            <w:r>
              <w:rPr>
                <w:szCs w:val="26"/>
              </w:rPr>
              <w:t>Annual Time Burden (</w:t>
            </w:r>
            <w:proofErr w:type="spellStart"/>
            <w:r>
              <w:rPr>
                <w:szCs w:val="26"/>
              </w:rPr>
              <w:t>Hr</w:t>
            </w:r>
            <w:proofErr w:type="spellEnd"/>
            <w:r>
              <w:rPr>
                <w:szCs w:val="26"/>
              </w:rPr>
              <w:t>)</w:t>
            </w:r>
          </w:p>
        </w:tc>
        <w:tc>
          <w:tcPr>
            <w:tcW w:w="1779" w:type="dxa"/>
            <w:shd w:val="clear" w:color="auto" w:fill="auto"/>
            <w:vAlign w:val="center"/>
          </w:tcPr>
          <w:p w:rsidR="00D3262E" w:rsidRPr="004E516F" w:rsidRDefault="003A3F8B" w:rsidP="00D3262E">
            <w:pPr>
              <w:jc w:val="right"/>
              <w:rPr>
                <w:szCs w:val="26"/>
              </w:rPr>
            </w:pPr>
            <w:r>
              <w:rPr>
                <w:szCs w:val="26"/>
              </w:rPr>
              <w:t>3.960</w:t>
            </w:r>
          </w:p>
        </w:tc>
        <w:tc>
          <w:tcPr>
            <w:tcW w:w="1959" w:type="dxa"/>
            <w:shd w:val="clear" w:color="auto" w:fill="auto"/>
            <w:vAlign w:val="center"/>
          </w:tcPr>
          <w:p w:rsidR="00D3262E" w:rsidRPr="004E516F" w:rsidRDefault="003A3F8B" w:rsidP="00D3262E">
            <w:pPr>
              <w:jc w:val="right"/>
              <w:rPr>
                <w:szCs w:val="26"/>
              </w:rPr>
            </w:pPr>
            <w:r>
              <w:rPr>
                <w:szCs w:val="26"/>
              </w:rPr>
              <w:t>-</w:t>
            </w:r>
          </w:p>
        </w:tc>
        <w:tc>
          <w:tcPr>
            <w:tcW w:w="1958" w:type="dxa"/>
            <w:shd w:val="clear" w:color="auto" w:fill="auto"/>
            <w:vAlign w:val="center"/>
          </w:tcPr>
          <w:p w:rsidR="00D3262E" w:rsidRPr="004E516F" w:rsidRDefault="00D3262E" w:rsidP="00D3262E">
            <w:pPr>
              <w:jc w:val="right"/>
              <w:rPr>
                <w:szCs w:val="26"/>
              </w:rPr>
            </w:pPr>
            <w:r>
              <w:rPr>
                <w:szCs w:val="26"/>
              </w:rPr>
              <w:t>-</w:t>
            </w:r>
          </w:p>
        </w:tc>
        <w:tc>
          <w:tcPr>
            <w:tcW w:w="1960" w:type="dxa"/>
            <w:shd w:val="clear" w:color="auto" w:fill="auto"/>
            <w:vAlign w:val="center"/>
          </w:tcPr>
          <w:p w:rsidR="00D3262E" w:rsidRPr="004E516F" w:rsidRDefault="00D947DF" w:rsidP="00D3262E">
            <w:pPr>
              <w:jc w:val="right"/>
              <w:rPr>
                <w:szCs w:val="26"/>
              </w:rPr>
            </w:pPr>
            <w:r>
              <w:rPr>
                <w:szCs w:val="26"/>
              </w:rPr>
              <w:t>3,960</w:t>
            </w:r>
          </w:p>
        </w:tc>
      </w:tr>
      <w:tr w:rsidR="00D3262E" w:rsidRPr="004E516F" w:rsidTr="00D3262E">
        <w:trPr>
          <w:trHeight w:val="295"/>
        </w:trPr>
        <w:tc>
          <w:tcPr>
            <w:tcW w:w="2589" w:type="dxa"/>
            <w:tcBorders>
              <w:bottom w:val="single" w:sz="4" w:space="0" w:color="auto"/>
            </w:tcBorders>
            <w:shd w:val="clear" w:color="auto" w:fill="auto"/>
          </w:tcPr>
          <w:p w:rsidR="00D3262E" w:rsidRPr="004E516F" w:rsidRDefault="00D3262E" w:rsidP="00D3262E">
            <w:pPr>
              <w:jc w:val="center"/>
              <w:rPr>
                <w:szCs w:val="26"/>
              </w:rPr>
            </w:pPr>
            <w:r>
              <w:rPr>
                <w:szCs w:val="26"/>
              </w:rPr>
              <w:t>Annual Cost Burden ($)</w:t>
            </w:r>
          </w:p>
        </w:tc>
        <w:tc>
          <w:tcPr>
            <w:tcW w:w="1779" w:type="dxa"/>
            <w:tcBorders>
              <w:bottom w:val="single" w:sz="4" w:space="0" w:color="auto"/>
            </w:tcBorders>
            <w:shd w:val="clear" w:color="auto" w:fill="auto"/>
            <w:vAlign w:val="center"/>
          </w:tcPr>
          <w:p w:rsidR="00D3262E" w:rsidRPr="004E516F" w:rsidRDefault="00D947DF" w:rsidP="00D3262E">
            <w:pPr>
              <w:jc w:val="right"/>
              <w:rPr>
                <w:szCs w:val="26"/>
              </w:rPr>
            </w:pPr>
            <w:r>
              <w:rPr>
                <w:szCs w:val="26"/>
              </w:rPr>
              <w:t>-</w:t>
            </w:r>
          </w:p>
        </w:tc>
        <w:tc>
          <w:tcPr>
            <w:tcW w:w="1959" w:type="dxa"/>
            <w:tcBorders>
              <w:bottom w:val="single" w:sz="4" w:space="0" w:color="auto"/>
            </w:tcBorders>
            <w:shd w:val="clear" w:color="auto" w:fill="auto"/>
            <w:vAlign w:val="center"/>
          </w:tcPr>
          <w:p w:rsidR="00D3262E" w:rsidRPr="004E516F" w:rsidRDefault="00F6205C" w:rsidP="00D3262E">
            <w:pPr>
              <w:jc w:val="right"/>
              <w:rPr>
                <w:szCs w:val="26"/>
              </w:rPr>
            </w:pPr>
            <w:r>
              <w:rPr>
                <w:szCs w:val="26"/>
              </w:rPr>
              <w:t>-</w:t>
            </w:r>
          </w:p>
        </w:tc>
        <w:tc>
          <w:tcPr>
            <w:tcW w:w="1958" w:type="dxa"/>
            <w:tcBorders>
              <w:bottom w:val="single" w:sz="4" w:space="0" w:color="auto"/>
            </w:tcBorders>
            <w:shd w:val="clear" w:color="auto" w:fill="auto"/>
            <w:vAlign w:val="center"/>
          </w:tcPr>
          <w:p w:rsidR="00D3262E" w:rsidRPr="004E516F" w:rsidRDefault="00D3262E" w:rsidP="00D3262E">
            <w:pPr>
              <w:jc w:val="right"/>
              <w:rPr>
                <w:szCs w:val="26"/>
              </w:rPr>
            </w:pPr>
            <w:r>
              <w:rPr>
                <w:szCs w:val="26"/>
              </w:rPr>
              <w:t>-</w:t>
            </w:r>
          </w:p>
        </w:tc>
        <w:tc>
          <w:tcPr>
            <w:tcW w:w="1960" w:type="dxa"/>
            <w:tcBorders>
              <w:bottom w:val="single" w:sz="4" w:space="0" w:color="auto"/>
            </w:tcBorders>
            <w:shd w:val="clear" w:color="auto" w:fill="auto"/>
            <w:vAlign w:val="center"/>
          </w:tcPr>
          <w:p w:rsidR="00D3262E" w:rsidRPr="004E516F" w:rsidRDefault="00D3262E" w:rsidP="00D3262E">
            <w:pPr>
              <w:jc w:val="right"/>
              <w:rPr>
                <w:szCs w:val="26"/>
              </w:rPr>
            </w:pPr>
            <w:r>
              <w:rPr>
                <w:szCs w:val="26"/>
              </w:rPr>
              <w:t>-</w:t>
            </w:r>
          </w:p>
        </w:tc>
      </w:tr>
    </w:tbl>
    <w:p w:rsidR="00D3262E" w:rsidRDefault="00D3262E" w:rsidP="00D3262E">
      <w:pPr>
        <w:widowControl/>
        <w:rPr>
          <w:sz w:val="26"/>
        </w:rPr>
      </w:pPr>
    </w:p>
    <w:p w:rsidR="00E85B6A" w:rsidRDefault="00E85B6A" w:rsidP="00E85B6A">
      <w:pPr>
        <w:widowControl/>
        <w:rPr>
          <w:sz w:val="26"/>
          <w:szCs w:val="26"/>
        </w:rPr>
      </w:pPr>
    </w:p>
    <w:p w:rsidR="00E85B6A" w:rsidRDefault="00E85B6A" w:rsidP="00E85B6A">
      <w:pPr>
        <w:widowControl/>
        <w:rPr>
          <w:b/>
          <w:sz w:val="26"/>
          <w:szCs w:val="26"/>
        </w:rPr>
      </w:pPr>
      <w:r>
        <w:rPr>
          <w:sz w:val="26"/>
          <w:szCs w:val="26"/>
        </w:rPr>
        <w:t>16.</w:t>
      </w:r>
      <w:r>
        <w:rPr>
          <w:sz w:val="26"/>
          <w:szCs w:val="26"/>
        </w:rPr>
        <w:tab/>
      </w:r>
      <w:r>
        <w:rPr>
          <w:b/>
          <w:sz w:val="26"/>
          <w:szCs w:val="26"/>
        </w:rPr>
        <w:t>TIME SCHEDULE FOR PUBLICATION OF DATA</w:t>
      </w:r>
    </w:p>
    <w:p w:rsidR="00E85B6A" w:rsidRDefault="00E85B6A" w:rsidP="00E85B6A">
      <w:pPr>
        <w:widowControl/>
        <w:rPr>
          <w:sz w:val="26"/>
          <w:szCs w:val="26"/>
        </w:rPr>
      </w:pPr>
    </w:p>
    <w:p w:rsidR="00E85B6A" w:rsidRDefault="00526149" w:rsidP="00526149">
      <w:pPr>
        <w:widowControl/>
        <w:rPr>
          <w:sz w:val="26"/>
          <w:szCs w:val="26"/>
        </w:rPr>
      </w:pPr>
      <w:r>
        <w:rPr>
          <w:sz w:val="26"/>
          <w:szCs w:val="26"/>
        </w:rPr>
        <w:t>FERC does not publish any data associated with these collections</w:t>
      </w:r>
      <w:r w:rsidR="00E85B6A">
        <w:rPr>
          <w:sz w:val="26"/>
          <w:szCs w:val="26"/>
        </w:rPr>
        <w:t>.</w:t>
      </w:r>
    </w:p>
    <w:p w:rsidR="00E85B6A" w:rsidRDefault="00E85B6A" w:rsidP="00E85B6A">
      <w:pPr>
        <w:widowControl/>
        <w:rPr>
          <w:sz w:val="26"/>
          <w:szCs w:val="26"/>
        </w:rPr>
      </w:pPr>
    </w:p>
    <w:p w:rsidR="00E85B6A" w:rsidRDefault="00E85B6A" w:rsidP="00E85B6A">
      <w:pPr>
        <w:widowControl/>
        <w:rPr>
          <w:b/>
          <w:sz w:val="26"/>
          <w:szCs w:val="26"/>
        </w:rPr>
      </w:pPr>
      <w:r>
        <w:rPr>
          <w:sz w:val="26"/>
          <w:szCs w:val="26"/>
        </w:rPr>
        <w:t>17.</w:t>
      </w:r>
      <w:r>
        <w:rPr>
          <w:sz w:val="26"/>
          <w:szCs w:val="26"/>
        </w:rPr>
        <w:tab/>
      </w:r>
      <w:r>
        <w:rPr>
          <w:b/>
          <w:sz w:val="26"/>
          <w:szCs w:val="26"/>
        </w:rPr>
        <w:t>DISPLAY OF EXPIRATION DATE</w:t>
      </w:r>
    </w:p>
    <w:p w:rsidR="00E85B6A" w:rsidRPr="0063440B" w:rsidRDefault="00E85B6A" w:rsidP="00E85B6A"/>
    <w:p w:rsidR="00E85B6A" w:rsidRDefault="00E85B6A" w:rsidP="00526149">
      <w:pPr>
        <w:widowControl/>
        <w:rPr>
          <w:sz w:val="26"/>
          <w:szCs w:val="26"/>
        </w:rPr>
      </w:pPr>
      <w:r>
        <w:rPr>
          <w:sz w:val="26"/>
          <w:szCs w:val="26"/>
        </w:rPr>
        <w:t>It is not appropriate to display the expiration date for OMB approval of the information collected pursuant to this rulemaking affecting FERC-516 and FERC-717</w:t>
      </w:r>
      <w:r w:rsidR="003A3F8B">
        <w:rPr>
          <w:sz w:val="26"/>
          <w:szCs w:val="26"/>
        </w:rPr>
        <w:t>A</w:t>
      </w:r>
      <w:r w:rsidRPr="00891870">
        <w:rPr>
          <w:sz w:val="26"/>
          <w:szCs w:val="26"/>
        </w:rPr>
        <w:t>. The substance of the requirements is incorporated by reference into FERC’s regulations at 18</w:t>
      </w:r>
      <w:r w:rsidR="003A3F8B">
        <w:rPr>
          <w:sz w:val="26"/>
          <w:szCs w:val="26"/>
        </w:rPr>
        <w:t xml:space="preserve"> </w:t>
      </w:r>
      <w:r w:rsidRPr="00891870">
        <w:rPr>
          <w:sz w:val="26"/>
          <w:szCs w:val="26"/>
        </w:rPr>
        <w:t>CFR</w:t>
      </w:r>
      <w:r>
        <w:rPr>
          <w:sz w:val="26"/>
          <w:szCs w:val="26"/>
        </w:rPr>
        <w:t xml:space="preserve"> (making the standards</w:t>
      </w:r>
      <w:r w:rsidRPr="00891870">
        <w:rPr>
          <w:sz w:val="26"/>
          <w:szCs w:val="26"/>
        </w:rPr>
        <w:t xml:space="preserve"> mandatory).  How</w:t>
      </w:r>
      <w:r w:rsidRPr="00C73E1E">
        <w:rPr>
          <w:sz w:val="26"/>
          <w:szCs w:val="26"/>
        </w:rPr>
        <w:t>ever the standards themselves are copyrighted by NAESB, so the OMB Control Numbers and expiration dates are not displayed in the standards.</w:t>
      </w:r>
    </w:p>
    <w:p w:rsidR="00E85B6A" w:rsidRDefault="00E85B6A" w:rsidP="00E85B6A">
      <w:pPr>
        <w:widowControl/>
        <w:rPr>
          <w:sz w:val="26"/>
          <w:szCs w:val="26"/>
          <w:highlight w:val="yellow"/>
        </w:rPr>
      </w:pPr>
    </w:p>
    <w:p w:rsidR="00E85B6A" w:rsidRDefault="00E85B6A" w:rsidP="00E85B6A">
      <w:pPr>
        <w:widowControl/>
        <w:ind w:left="720" w:hanging="720"/>
        <w:rPr>
          <w:b/>
          <w:bCs/>
          <w:sz w:val="26"/>
          <w:szCs w:val="26"/>
        </w:rPr>
      </w:pPr>
      <w:r>
        <w:rPr>
          <w:sz w:val="26"/>
          <w:szCs w:val="26"/>
        </w:rPr>
        <w:t xml:space="preserve">18.  </w:t>
      </w:r>
      <w:r>
        <w:rPr>
          <w:sz w:val="26"/>
          <w:szCs w:val="26"/>
        </w:rPr>
        <w:tab/>
      </w:r>
      <w:r>
        <w:rPr>
          <w:b/>
          <w:bCs/>
          <w:sz w:val="26"/>
          <w:szCs w:val="26"/>
        </w:rPr>
        <w:t>EXCEPTIONS TO THE CERTIFICATION STATEMENT</w:t>
      </w:r>
    </w:p>
    <w:p w:rsidR="00E85B6A" w:rsidRDefault="00E85B6A" w:rsidP="00E85B6A">
      <w:pPr>
        <w:widowControl/>
        <w:rPr>
          <w:b/>
          <w:bCs/>
          <w:sz w:val="26"/>
          <w:szCs w:val="26"/>
        </w:rPr>
      </w:pPr>
    </w:p>
    <w:p w:rsidR="00E85B6A" w:rsidRPr="00545CDA" w:rsidRDefault="00FC0111" w:rsidP="00526149">
      <w:pPr>
        <w:widowControl/>
        <w:rPr>
          <w:sz w:val="26"/>
          <w:szCs w:val="26"/>
          <w:highlight w:val="yellow"/>
        </w:rPr>
      </w:pPr>
      <w:r>
        <w:rPr>
          <w:sz w:val="26"/>
          <w:szCs w:val="26"/>
        </w:rPr>
        <w:t>There is no stated record retention requirement as part of this collection.  Also, t</w:t>
      </w:r>
      <w:r w:rsidR="00E85B6A">
        <w:rPr>
          <w:sz w:val="26"/>
          <w:szCs w:val="26"/>
        </w:rPr>
        <w:t xml:space="preserve">he data collected for this reporting requirement are not used for statistical purposes.  </w:t>
      </w:r>
    </w:p>
    <w:p w:rsidR="00E51078" w:rsidRDefault="00E51078"/>
    <w:sectPr w:rsidR="00E51078" w:rsidSect="00E85B6A">
      <w:headerReference w:type="even" r:id="rId9"/>
      <w:headerReference w:type="default" r:id="rId10"/>
      <w:footerReference w:type="even" r:id="rId11"/>
      <w:footerReference w:type="default" r:id="rId12"/>
      <w:headerReference w:type="first" r:id="rId13"/>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ED" w:rsidRDefault="00D52AED">
      <w:r>
        <w:separator/>
      </w:r>
    </w:p>
  </w:endnote>
  <w:endnote w:type="continuationSeparator" w:id="0">
    <w:p w:rsidR="00D52AED" w:rsidRDefault="00D5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ED" w:rsidRDefault="00D52AED" w:rsidP="00AF6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AED" w:rsidRDefault="00D52AED" w:rsidP="00AF6D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ED" w:rsidRDefault="00D52AED" w:rsidP="00AF6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3E37">
      <w:rPr>
        <w:rStyle w:val="PageNumber"/>
        <w:noProof/>
      </w:rPr>
      <w:t>1</w:t>
    </w:r>
    <w:r>
      <w:rPr>
        <w:rStyle w:val="PageNumber"/>
      </w:rPr>
      <w:fldChar w:fldCharType="end"/>
    </w:r>
  </w:p>
  <w:p w:rsidR="00D52AED" w:rsidRDefault="00D52AED" w:rsidP="00AF6D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ED" w:rsidRDefault="00D52AED">
      <w:r>
        <w:separator/>
      </w:r>
    </w:p>
  </w:footnote>
  <w:footnote w:type="continuationSeparator" w:id="0">
    <w:p w:rsidR="00D52AED" w:rsidRDefault="00D52AED">
      <w:r>
        <w:continuationSeparator/>
      </w:r>
    </w:p>
  </w:footnote>
  <w:footnote w:id="1">
    <w:p w:rsidR="0008345E" w:rsidRDefault="00EA3A8A" w:rsidP="0008345E">
      <w:pPr>
        <w:pStyle w:val="FootnoteText"/>
        <w:ind w:firstLine="720"/>
      </w:pPr>
      <w:r>
        <w:rPr>
          <w:rStyle w:val="FootnoteReference"/>
        </w:rPr>
        <w:footnoteRef/>
      </w:r>
      <w:r>
        <w:t xml:space="preserve"> </w:t>
      </w:r>
      <w:r w:rsidR="0008345E">
        <w:t>FERC-717 is the reference given in the proposed rule in RM05-5-022.</w:t>
      </w:r>
      <w:r w:rsidR="0008345E">
        <w:t xml:space="preserve">  </w:t>
      </w:r>
      <w:r w:rsidR="00A11775">
        <w:t>The FERC-717 control number is affected by a recent Final Rule</w:t>
      </w:r>
      <w:r w:rsidR="007E1F46">
        <w:t xml:space="preserve"> (</w:t>
      </w:r>
      <w:r w:rsidR="001D4CA4">
        <w:t xml:space="preserve">in </w:t>
      </w:r>
      <w:r w:rsidR="007E1F46">
        <w:t xml:space="preserve">Docket No. </w:t>
      </w:r>
      <w:proofErr w:type="gramStart"/>
      <w:r w:rsidR="007E1F46">
        <w:t>RM11-24).</w:t>
      </w:r>
      <w:proofErr w:type="gramEnd"/>
      <w:r w:rsidR="007E1F46">
        <w:t xml:space="preserve">  For this</w:t>
      </w:r>
      <w:r w:rsidR="00A11775">
        <w:t xml:space="preserve"> reason, </w:t>
      </w:r>
      <w:r>
        <w:t xml:space="preserve">FERC is </w:t>
      </w:r>
      <w:r w:rsidR="00A11775">
        <w:t>submitting th</w:t>
      </w:r>
      <w:r w:rsidR="0008345E">
        <w:t>is</w:t>
      </w:r>
      <w:r>
        <w:t xml:space="preserve"> supporting </w:t>
      </w:r>
      <w:proofErr w:type="gramStart"/>
      <w:r>
        <w:t>statement</w:t>
      </w:r>
      <w:r w:rsidR="0008345E">
        <w:t>,</w:t>
      </w:r>
      <w:r>
        <w:t xml:space="preserve"> </w:t>
      </w:r>
      <w:r w:rsidR="00A11775">
        <w:t>that</w:t>
      </w:r>
      <w:proofErr w:type="gramEnd"/>
      <w:r w:rsidR="00A11775">
        <w:t xml:space="preserve"> should be part of the FERC-717 (1902-0173)</w:t>
      </w:r>
      <w:r w:rsidR="0008345E">
        <w:t>,</w:t>
      </w:r>
      <w:r w:rsidR="00A11775">
        <w:t xml:space="preserve"> under a temporary collection number, FERC-717A, in order to submit to OMB for review in a timely manner.  FERC </w:t>
      </w:r>
      <w:r w:rsidR="0008345E">
        <w:t>plan</w:t>
      </w:r>
      <w:r w:rsidR="0008345E">
        <w:t xml:space="preserve">s </w:t>
      </w:r>
      <w:r w:rsidR="00A11775">
        <w:t xml:space="preserve">to submit the Final Rule </w:t>
      </w:r>
      <w:r w:rsidR="0008345E">
        <w:t xml:space="preserve">(when and if one is issued) </w:t>
      </w:r>
      <w:r w:rsidR="00A11775">
        <w:t>in this proceeding under FERC-717 (and FERC-516).</w:t>
      </w:r>
      <w:r w:rsidR="00C11477">
        <w:t xml:space="preserve">  </w:t>
      </w:r>
    </w:p>
  </w:footnote>
  <w:footnote w:id="2">
    <w:p w:rsidR="00D52AED" w:rsidRPr="001B60D8" w:rsidRDefault="00D52AED" w:rsidP="00526149">
      <w:pPr>
        <w:pStyle w:val="FootnoteText"/>
        <w:ind w:firstLine="720"/>
      </w:pPr>
      <w:r w:rsidRPr="001B60D8">
        <w:rPr>
          <w:rStyle w:val="FootnoteReference"/>
        </w:rPr>
        <w:footnoteRef/>
      </w:r>
      <w:r w:rsidR="00BC18BA">
        <w:t xml:space="preserve"> </w:t>
      </w:r>
      <w:proofErr w:type="gramStart"/>
      <w:r w:rsidRPr="001B60D8">
        <w:t xml:space="preserve">16 U.S.C. 791a, </w:t>
      </w:r>
      <w:r w:rsidRPr="001B60D8">
        <w:rPr>
          <w:i/>
        </w:rPr>
        <w:t>et seq.</w:t>
      </w:r>
      <w:proofErr w:type="gramEnd"/>
    </w:p>
  </w:footnote>
  <w:footnote w:id="3">
    <w:p w:rsidR="00D52AED" w:rsidRPr="001B60D8" w:rsidRDefault="00D52AED" w:rsidP="00526149">
      <w:pPr>
        <w:pStyle w:val="FootnoteText"/>
        <w:spacing w:before="120" w:after="120"/>
        <w:ind w:firstLine="720"/>
      </w:pPr>
      <w:r w:rsidRPr="001B60D8">
        <w:rPr>
          <w:rStyle w:val="FootnoteReference"/>
        </w:rPr>
        <w:footnoteRef/>
      </w:r>
      <w:r w:rsidRPr="001B60D8">
        <w:rPr>
          <w:u w:val="single"/>
        </w:rPr>
        <w:t>See</w:t>
      </w:r>
      <w:r>
        <w:rPr>
          <w:u w:val="single"/>
        </w:rPr>
        <w:t xml:space="preserve"> </w:t>
      </w:r>
      <w:r w:rsidRPr="001B60D8">
        <w:rPr>
          <w:u w:val="single"/>
        </w:rPr>
        <w:t>Electricity Market Design and Structure</w:t>
      </w:r>
      <w:r w:rsidRPr="001B60D8">
        <w:t>, 97 FERC ¶ 61,289 (2001) (December 2001 Order), 99 FERC ¶ 61,171 (May 2002 Order)</w:t>
      </w:r>
      <w:r w:rsidRPr="001B60D8">
        <w:rPr>
          <w:color w:val="000000"/>
        </w:rPr>
        <w:t xml:space="preserve">, </w:t>
      </w:r>
      <w:proofErr w:type="spellStart"/>
      <w:r w:rsidRPr="001B60D8">
        <w:rPr>
          <w:color w:val="000000"/>
          <w:u w:val="single"/>
        </w:rPr>
        <w:t>reh’g</w:t>
      </w:r>
      <w:proofErr w:type="spellEnd"/>
      <w:r w:rsidRPr="001B60D8">
        <w:rPr>
          <w:color w:val="000000"/>
          <w:u w:val="single"/>
        </w:rPr>
        <w:t xml:space="preserve"> denied</w:t>
      </w:r>
      <w:r w:rsidRPr="001B60D8">
        <w:rPr>
          <w:color w:val="000000"/>
        </w:rPr>
        <w:t>, 101 FERC ¶ 61,297 (2002) (December 2002 Order).</w:t>
      </w:r>
    </w:p>
  </w:footnote>
  <w:footnote w:id="4">
    <w:p w:rsidR="00D52AED" w:rsidRPr="001B60D8" w:rsidRDefault="00D52AED" w:rsidP="001B60D8">
      <w:pPr>
        <w:pStyle w:val="FootnoteText"/>
        <w:spacing w:after="120"/>
        <w:ind w:firstLine="720"/>
      </w:pPr>
      <w:r w:rsidRPr="001B60D8">
        <w:rPr>
          <w:rStyle w:val="FootnoteReference"/>
        </w:rPr>
        <w:footnoteRef/>
      </w:r>
      <w:r w:rsidRPr="001B60D8">
        <w:t xml:space="preserve"> NERC is now the North American Electric Reliability </w:t>
      </w:r>
      <w:r w:rsidRPr="001B60D8">
        <w:rPr>
          <w:i/>
        </w:rPr>
        <w:t>Corporation</w:t>
      </w:r>
      <w:r w:rsidRPr="001B60D8">
        <w:t>.</w:t>
      </w:r>
    </w:p>
  </w:footnote>
  <w:footnote w:id="5">
    <w:p w:rsidR="00D52AED" w:rsidRPr="001B60D8" w:rsidRDefault="00D52AED" w:rsidP="001B60D8">
      <w:pPr>
        <w:pStyle w:val="FootnoteText"/>
        <w:spacing w:after="120"/>
        <w:ind w:firstLine="720"/>
      </w:pPr>
      <w:r w:rsidRPr="001B60D8">
        <w:rPr>
          <w:rStyle w:val="FootnoteReference"/>
        </w:rPr>
        <w:footnoteRef/>
      </w:r>
      <w:r w:rsidRPr="001B60D8">
        <w:t xml:space="preserve"> The filing is available at </w:t>
      </w:r>
      <w:hyperlink r:id="rId1" w:history="1">
        <w:r w:rsidRPr="001B60D8">
          <w:rPr>
            <w:rStyle w:val="Hyperlink"/>
          </w:rPr>
          <w:t>http://elibrary.ferc.gov/idmws/common/opennat.asp?fileID=9607888</w:t>
        </w:r>
      </w:hyperlink>
    </w:p>
  </w:footnote>
  <w:footnote w:id="6">
    <w:p w:rsidR="00D52AED" w:rsidRPr="001B60D8" w:rsidRDefault="00D52AED" w:rsidP="00526149">
      <w:pPr>
        <w:pStyle w:val="FootnoteText"/>
        <w:ind w:firstLine="720"/>
      </w:pPr>
      <w:r w:rsidRPr="001B60D8">
        <w:rPr>
          <w:rStyle w:val="FootnoteReference"/>
        </w:rPr>
        <w:footnoteRef/>
      </w:r>
      <w:r w:rsidRPr="001B60D8">
        <w:t xml:space="preserve"> The filing is available at </w:t>
      </w:r>
      <w:hyperlink r:id="rId2" w:history="1">
        <w:r w:rsidRPr="001B60D8">
          <w:rPr>
            <w:rStyle w:val="Hyperlink"/>
          </w:rPr>
          <w:t>http://elibrary.ferc.gov/idmws/common/OpenNat.asp?fileID=10369845</w:t>
        </w:r>
      </w:hyperlink>
    </w:p>
  </w:footnote>
  <w:footnote w:id="7">
    <w:p w:rsidR="00D52AED" w:rsidRPr="001B60D8" w:rsidRDefault="00D52AED" w:rsidP="00901A1A">
      <w:pPr>
        <w:pStyle w:val="FootnoteText"/>
        <w:spacing w:after="120"/>
        <w:ind w:firstLine="720"/>
      </w:pPr>
      <w:r w:rsidRPr="00901A1A">
        <w:rPr>
          <w:rStyle w:val="FootnoteReference"/>
        </w:rPr>
        <w:footnoteRef/>
      </w:r>
      <w:r w:rsidRPr="001B60D8">
        <w:t xml:space="preserve"> The four quadrants are the wholesale and retail electric quadrants and the wholesale and retail natural gas quadrants.</w:t>
      </w:r>
    </w:p>
  </w:footnote>
  <w:footnote w:id="8">
    <w:p w:rsidR="00D52AED" w:rsidRPr="001B60D8" w:rsidRDefault="00D52AED" w:rsidP="00901A1A">
      <w:pPr>
        <w:pStyle w:val="FootnoteText"/>
        <w:spacing w:after="120"/>
        <w:ind w:firstLine="720"/>
      </w:pPr>
      <w:r w:rsidRPr="001B60D8">
        <w:rPr>
          <w:b/>
          <w:vertAlign w:val="superscript"/>
        </w:rPr>
        <w:footnoteRef/>
      </w:r>
      <w:r w:rsidRPr="001B60D8">
        <w:t xml:space="preserve"> Under NAESB’s procedures, interested persons may attend and participate in NAESB committee meetings and phone conferences, even if they are not NAESB members.</w:t>
      </w:r>
    </w:p>
  </w:footnote>
  <w:footnote w:id="9">
    <w:p w:rsidR="00D52AED" w:rsidRPr="001B60D8" w:rsidRDefault="00D52AED" w:rsidP="00901A1A">
      <w:pPr>
        <w:pStyle w:val="FootnoteText"/>
        <w:spacing w:after="120"/>
        <w:ind w:firstLine="720"/>
      </w:pPr>
      <w:r w:rsidRPr="001B60D8">
        <w:rPr>
          <w:rStyle w:val="FootnoteReference"/>
        </w:rPr>
        <w:footnoteRef/>
      </w:r>
      <w:r>
        <w:rPr>
          <w:i/>
        </w:rPr>
        <w:t xml:space="preserve"> </w:t>
      </w:r>
      <w:r w:rsidRPr="001B60D8">
        <w:rPr>
          <w:i/>
        </w:rPr>
        <w:t>See</w:t>
      </w:r>
      <w:r w:rsidRPr="001B60D8">
        <w:t xml:space="preserve"> Report at 2, North American Energy Standards Board, Measurement and Verification of Demand Response Products, Docket No. </w:t>
      </w:r>
      <w:proofErr w:type="gramStart"/>
      <w:r w:rsidRPr="001B60D8">
        <w:t>RM05-5-020 (filed May 3, 2011) (May 3 Report) (providing a status update and description of the proposed standards).</w:t>
      </w:r>
      <w:proofErr w:type="gramEnd"/>
      <w:r w:rsidRPr="001B60D8">
        <w:t xml:space="preserve">  In accordance with applicable copyright laws, complete versions of the standards are available from NAESB at 801 Travis Street, Suite 1675, Houston, TX  77002, telephone:  (713) 356-0060, http://www.naesb.org, and are available for viewing in the Commission’s Public Reference Room.</w:t>
      </w:r>
    </w:p>
  </w:footnote>
  <w:footnote w:id="10">
    <w:p w:rsidR="00D52AED" w:rsidRPr="001B60D8" w:rsidRDefault="00D52AED" w:rsidP="00901A1A">
      <w:pPr>
        <w:tabs>
          <w:tab w:val="left" w:pos="720"/>
        </w:tabs>
        <w:spacing w:after="120"/>
        <w:ind w:firstLine="720"/>
        <w:rPr>
          <w:sz w:val="20"/>
          <w:szCs w:val="20"/>
        </w:rPr>
      </w:pPr>
      <w:r w:rsidRPr="001B60D8">
        <w:rPr>
          <w:rStyle w:val="FootnoteReference"/>
          <w:sz w:val="20"/>
          <w:szCs w:val="20"/>
        </w:rPr>
        <w:footnoteRef/>
      </w:r>
      <w:r>
        <w:rPr>
          <w:i/>
          <w:sz w:val="20"/>
          <w:szCs w:val="20"/>
        </w:rPr>
        <w:t xml:space="preserve"> </w:t>
      </w:r>
      <w:r w:rsidRPr="001B60D8">
        <w:rPr>
          <w:i/>
          <w:sz w:val="20"/>
          <w:szCs w:val="20"/>
        </w:rPr>
        <w:t>Preventing Undue Discrimination and Preference in Transmission Service</w:t>
      </w:r>
      <w:r w:rsidRPr="001B60D8">
        <w:rPr>
          <w:sz w:val="20"/>
          <w:szCs w:val="20"/>
        </w:rPr>
        <w:t xml:space="preserve">, Order No. 890, FERC Stats. </w:t>
      </w:r>
      <w:proofErr w:type="gramStart"/>
      <w:r w:rsidRPr="001B60D8">
        <w:rPr>
          <w:sz w:val="20"/>
          <w:szCs w:val="20"/>
        </w:rPr>
        <w:t xml:space="preserve">&amp; </w:t>
      </w:r>
      <w:proofErr w:type="spellStart"/>
      <w:r w:rsidRPr="001B60D8">
        <w:rPr>
          <w:sz w:val="20"/>
          <w:szCs w:val="20"/>
        </w:rPr>
        <w:t>Regs</w:t>
      </w:r>
      <w:proofErr w:type="spellEnd"/>
      <w:r w:rsidRPr="001B60D8">
        <w:rPr>
          <w:sz w:val="20"/>
          <w:szCs w:val="20"/>
        </w:rPr>
        <w:t>.</w:t>
      </w:r>
      <w:proofErr w:type="gramEnd"/>
      <w:r w:rsidRPr="001B60D8">
        <w:rPr>
          <w:sz w:val="20"/>
          <w:szCs w:val="20"/>
        </w:rPr>
        <w:t xml:space="preserve"> ¶ 31, 241 (2007), </w:t>
      </w:r>
      <w:r w:rsidRPr="001B60D8">
        <w:rPr>
          <w:i/>
          <w:sz w:val="20"/>
          <w:szCs w:val="20"/>
        </w:rPr>
        <w:t xml:space="preserve">order on </w:t>
      </w:r>
      <w:proofErr w:type="spellStart"/>
      <w:r w:rsidRPr="001B60D8">
        <w:rPr>
          <w:i/>
          <w:sz w:val="20"/>
          <w:szCs w:val="20"/>
        </w:rPr>
        <w:t>reh’g</w:t>
      </w:r>
      <w:proofErr w:type="spellEnd"/>
      <w:r w:rsidRPr="001B60D8">
        <w:rPr>
          <w:sz w:val="20"/>
          <w:szCs w:val="20"/>
        </w:rPr>
        <w:t xml:space="preserve">, Order No. 890-A, FERC Stats. </w:t>
      </w:r>
      <w:proofErr w:type="gramStart"/>
      <w:r w:rsidRPr="001B60D8">
        <w:rPr>
          <w:sz w:val="20"/>
          <w:szCs w:val="20"/>
        </w:rPr>
        <w:t xml:space="preserve">&amp; </w:t>
      </w:r>
      <w:proofErr w:type="spellStart"/>
      <w:r w:rsidRPr="001B60D8">
        <w:rPr>
          <w:sz w:val="20"/>
          <w:szCs w:val="20"/>
        </w:rPr>
        <w:t>Regs</w:t>
      </w:r>
      <w:proofErr w:type="spellEnd"/>
      <w:r w:rsidRPr="001B60D8">
        <w:rPr>
          <w:sz w:val="20"/>
          <w:szCs w:val="20"/>
        </w:rPr>
        <w:t>.</w:t>
      </w:r>
      <w:proofErr w:type="gramEnd"/>
      <w:r w:rsidRPr="001B60D8">
        <w:rPr>
          <w:sz w:val="20"/>
          <w:szCs w:val="20"/>
        </w:rPr>
        <w:t xml:space="preserve"> ¶ 31,261 (2007), </w:t>
      </w:r>
      <w:r w:rsidRPr="001B60D8">
        <w:rPr>
          <w:i/>
          <w:sz w:val="20"/>
          <w:szCs w:val="20"/>
        </w:rPr>
        <w:t xml:space="preserve">order on </w:t>
      </w:r>
      <w:proofErr w:type="spellStart"/>
      <w:r w:rsidRPr="001B60D8">
        <w:rPr>
          <w:i/>
          <w:sz w:val="20"/>
          <w:szCs w:val="20"/>
        </w:rPr>
        <w:t>reh’g</w:t>
      </w:r>
      <w:proofErr w:type="spellEnd"/>
      <w:r w:rsidRPr="001B60D8">
        <w:rPr>
          <w:sz w:val="20"/>
          <w:szCs w:val="20"/>
        </w:rPr>
        <w:t xml:space="preserve">, Order No. 890-B, 123 FERC ¶ 61,299 (2008), </w:t>
      </w:r>
      <w:r w:rsidRPr="001B60D8">
        <w:rPr>
          <w:i/>
          <w:sz w:val="20"/>
          <w:szCs w:val="20"/>
        </w:rPr>
        <w:t xml:space="preserve">order on </w:t>
      </w:r>
      <w:proofErr w:type="spellStart"/>
      <w:r w:rsidRPr="001B60D8">
        <w:rPr>
          <w:i/>
          <w:sz w:val="20"/>
          <w:szCs w:val="20"/>
        </w:rPr>
        <w:t>reh’g</w:t>
      </w:r>
      <w:proofErr w:type="spellEnd"/>
      <w:r w:rsidRPr="001B60D8">
        <w:rPr>
          <w:i/>
          <w:sz w:val="20"/>
          <w:szCs w:val="20"/>
        </w:rPr>
        <w:t xml:space="preserve"> and clarification</w:t>
      </w:r>
      <w:r w:rsidRPr="001B60D8">
        <w:rPr>
          <w:sz w:val="20"/>
          <w:szCs w:val="20"/>
        </w:rPr>
        <w:t>, Order No. 890-C, 126 FERC ¶ 61,228 (2009) (Order No. 890-C).  The Version 002 standards also included revisions made in response to Order No. 890 (</w:t>
      </w:r>
      <w:r w:rsidRPr="001B60D8">
        <w:rPr>
          <w:i/>
          <w:sz w:val="20"/>
          <w:szCs w:val="20"/>
        </w:rPr>
        <w:t>see infra</w:t>
      </w:r>
      <w:r w:rsidRPr="001B60D8">
        <w:rPr>
          <w:sz w:val="20"/>
          <w:szCs w:val="20"/>
        </w:rPr>
        <w:t xml:space="preserve"> P 11).</w:t>
      </w:r>
    </w:p>
  </w:footnote>
  <w:footnote w:id="11">
    <w:p w:rsidR="00D52AED" w:rsidRPr="001B60D8" w:rsidRDefault="00D52AED" w:rsidP="00901A1A">
      <w:pPr>
        <w:widowControl/>
        <w:spacing w:after="120"/>
        <w:ind w:firstLine="720"/>
        <w:rPr>
          <w:i/>
          <w:sz w:val="20"/>
          <w:szCs w:val="20"/>
        </w:rPr>
      </w:pPr>
      <w:r w:rsidRPr="001B60D8">
        <w:rPr>
          <w:rStyle w:val="FootnoteReference"/>
          <w:sz w:val="20"/>
          <w:szCs w:val="20"/>
        </w:rPr>
        <w:footnoteRef/>
      </w:r>
      <w:r>
        <w:rPr>
          <w:i/>
          <w:sz w:val="20"/>
          <w:szCs w:val="20"/>
        </w:rPr>
        <w:t xml:space="preserve"> </w:t>
      </w:r>
      <w:r w:rsidRPr="001B60D8">
        <w:rPr>
          <w:i/>
          <w:sz w:val="20"/>
          <w:szCs w:val="20"/>
        </w:rPr>
        <w:t>Standards for Business Practices and Communication Protocols for Public Utilities</w:t>
      </w:r>
      <w:r w:rsidRPr="001B60D8">
        <w:rPr>
          <w:sz w:val="20"/>
          <w:szCs w:val="20"/>
        </w:rPr>
        <w:t xml:space="preserve">, Order No. 676, FERC Stats. </w:t>
      </w:r>
      <w:proofErr w:type="gramStart"/>
      <w:r w:rsidRPr="001B60D8">
        <w:rPr>
          <w:sz w:val="20"/>
          <w:szCs w:val="20"/>
        </w:rPr>
        <w:t xml:space="preserve">&amp; </w:t>
      </w:r>
      <w:proofErr w:type="spellStart"/>
      <w:r w:rsidRPr="001B60D8">
        <w:rPr>
          <w:sz w:val="20"/>
          <w:szCs w:val="20"/>
        </w:rPr>
        <w:t>Regs</w:t>
      </w:r>
      <w:proofErr w:type="spellEnd"/>
      <w:r w:rsidRPr="001B60D8">
        <w:rPr>
          <w:sz w:val="20"/>
          <w:szCs w:val="20"/>
        </w:rPr>
        <w:t>.</w:t>
      </w:r>
      <w:proofErr w:type="gramEnd"/>
      <w:r w:rsidRPr="001B60D8">
        <w:rPr>
          <w:sz w:val="20"/>
          <w:szCs w:val="20"/>
        </w:rPr>
        <w:t xml:space="preserve"> ¶ 31,216, (2006), </w:t>
      </w:r>
      <w:proofErr w:type="spellStart"/>
      <w:r w:rsidRPr="001B60D8">
        <w:rPr>
          <w:i/>
          <w:sz w:val="20"/>
          <w:szCs w:val="20"/>
        </w:rPr>
        <w:t>reh’gdenied</w:t>
      </w:r>
      <w:proofErr w:type="spellEnd"/>
      <w:r w:rsidRPr="001B60D8">
        <w:rPr>
          <w:sz w:val="20"/>
          <w:szCs w:val="20"/>
        </w:rPr>
        <w:t xml:space="preserve">, Order No. 676-A, 116 FERC ¶ 61,255 (2006), Order No. 676-B, </w:t>
      </w:r>
      <w:r w:rsidRPr="001B60D8">
        <w:rPr>
          <w:i/>
          <w:sz w:val="20"/>
          <w:szCs w:val="20"/>
        </w:rPr>
        <w:t>Final Rule</w:t>
      </w:r>
      <w:r w:rsidRPr="001B60D8">
        <w:rPr>
          <w:sz w:val="20"/>
          <w:szCs w:val="20"/>
        </w:rPr>
        <w:t xml:space="preserve">, FERC Stats. </w:t>
      </w:r>
      <w:proofErr w:type="gramStart"/>
      <w:r w:rsidRPr="001B60D8">
        <w:rPr>
          <w:sz w:val="20"/>
          <w:szCs w:val="20"/>
        </w:rPr>
        <w:t xml:space="preserve">&amp; </w:t>
      </w:r>
      <w:proofErr w:type="spellStart"/>
      <w:r w:rsidRPr="001B60D8">
        <w:rPr>
          <w:sz w:val="20"/>
          <w:szCs w:val="20"/>
        </w:rPr>
        <w:t>Regs</w:t>
      </w:r>
      <w:proofErr w:type="spellEnd"/>
      <w:r w:rsidRPr="001B60D8">
        <w:rPr>
          <w:sz w:val="20"/>
          <w:szCs w:val="20"/>
        </w:rPr>
        <w:t>.</w:t>
      </w:r>
      <w:proofErr w:type="gramEnd"/>
      <w:r w:rsidRPr="001B60D8">
        <w:rPr>
          <w:sz w:val="20"/>
          <w:szCs w:val="20"/>
        </w:rPr>
        <w:t xml:space="preserve"> ¶ 31,246 (2007), Order No. 676-C, </w:t>
      </w:r>
      <w:r w:rsidRPr="001B60D8">
        <w:rPr>
          <w:i/>
          <w:sz w:val="20"/>
          <w:szCs w:val="20"/>
        </w:rPr>
        <w:t>Final Rule</w:t>
      </w:r>
      <w:r w:rsidRPr="001B60D8">
        <w:rPr>
          <w:sz w:val="20"/>
          <w:szCs w:val="20"/>
        </w:rPr>
        <w:t xml:space="preserve">, FERC Stats. </w:t>
      </w:r>
      <w:proofErr w:type="gramStart"/>
      <w:r w:rsidRPr="001B60D8">
        <w:rPr>
          <w:sz w:val="20"/>
          <w:szCs w:val="20"/>
        </w:rPr>
        <w:t xml:space="preserve">&amp; </w:t>
      </w:r>
      <w:proofErr w:type="spellStart"/>
      <w:r w:rsidRPr="001B60D8">
        <w:rPr>
          <w:sz w:val="20"/>
          <w:szCs w:val="20"/>
        </w:rPr>
        <w:t>Regs</w:t>
      </w:r>
      <w:proofErr w:type="spellEnd"/>
      <w:r w:rsidRPr="001B60D8">
        <w:rPr>
          <w:sz w:val="20"/>
          <w:szCs w:val="20"/>
        </w:rPr>
        <w:t>.</w:t>
      </w:r>
      <w:proofErr w:type="gramEnd"/>
      <w:r w:rsidRPr="001B60D8">
        <w:rPr>
          <w:sz w:val="20"/>
          <w:szCs w:val="20"/>
        </w:rPr>
        <w:t xml:space="preserve"> ¶ 31,274 (2008), Order No. 676-D, </w:t>
      </w:r>
      <w:r w:rsidRPr="001B60D8">
        <w:rPr>
          <w:i/>
          <w:sz w:val="20"/>
          <w:szCs w:val="20"/>
        </w:rPr>
        <w:t xml:space="preserve">order granting clarification and denying </w:t>
      </w:r>
      <w:proofErr w:type="spellStart"/>
      <w:r w:rsidRPr="001B60D8">
        <w:rPr>
          <w:i/>
          <w:sz w:val="20"/>
          <w:szCs w:val="20"/>
        </w:rPr>
        <w:t>reh’g</w:t>
      </w:r>
      <w:proofErr w:type="spellEnd"/>
      <w:r w:rsidRPr="001B60D8">
        <w:rPr>
          <w:sz w:val="20"/>
          <w:szCs w:val="20"/>
        </w:rPr>
        <w:t xml:space="preserve">, 124 FERC ¶ 61,317 (2008), Order No. 676-E, </w:t>
      </w:r>
      <w:r w:rsidRPr="001B60D8">
        <w:rPr>
          <w:i/>
          <w:sz w:val="20"/>
          <w:szCs w:val="20"/>
        </w:rPr>
        <w:t>Final Rule</w:t>
      </w:r>
      <w:r w:rsidRPr="001B60D8">
        <w:rPr>
          <w:sz w:val="20"/>
          <w:szCs w:val="20"/>
        </w:rPr>
        <w:t xml:space="preserve">, FERC Stats. </w:t>
      </w:r>
      <w:proofErr w:type="gramStart"/>
      <w:r w:rsidRPr="001B60D8">
        <w:rPr>
          <w:sz w:val="20"/>
          <w:szCs w:val="20"/>
        </w:rPr>
        <w:t xml:space="preserve">&amp; </w:t>
      </w:r>
      <w:proofErr w:type="spellStart"/>
      <w:r w:rsidRPr="001B60D8">
        <w:rPr>
          <w:sz w:val="20"/>
          <w:szCs w:val="20"/>
        </w:rPr>
        <w:t>Regs</w:t>
      </w:r>
      <w:proofErr w:type="spellEnd"/>
      <w:r w:rsidRPr="001B60D8">
        <w:rPr>
          <w:sz w:val="20"/>
          <w:szCs w:val="20"/>
        </w:rPr>
        <w:t>.</w:t>
      </w:r>
      <w:proofErr w:type="gramEnd"/>
      <w:r w:rsidRPr="001B60D8">
        <w:rPr>
          <w:sz w:val="20"/>
          <w:szCs w:val="20"/>
        </w:rPr>
        <w:t xml:space="preserve"> ¶ 31,299 (2009) (Order No. 676-E); </w:t>
      </w:r>
      <w:r w:rsidRPr="001B60D8">
        <w:rPr>
          <w:i/>
          <w:sz w:val="20"/>
          <w:szCs w:val="20"/>
        </w:rPr>
        <w:t>Standards of Conduct for Transmission Providers</w:t>
      </w:r>
      <w:r w:rsidRPr="001B60D8">
        <w:rPr>
          <w:sz w:val="20"/>
          <w:szCs w:val="20"/>
        </w:rPr>
        <w:t xml:space="preserve">, Order No. 717, FERC Stats. </w:t>
      </w:r>
      <w:proofErr w:type="gramStart"/>
      <w:r w:rsidRPr="001B60D8">
        <w:rPr>
          <w:sz w:val="20"/>
          <w:szCs w:val="20"/>
        </w:rPr>
        <w:t xml:space="preserve">&amp; </w:t>
      </w:r>
      <w:proofErr w:type="spellStart"/>
      <w:r w:rsidRPr="001B60D8">
        <w:rPr>
          <w:sz w:val="20"/>
          <w:szCs w:val="20"/>
        </w:rPr>
        <w:t>Regs</w:t>
      </w:r>
      <w:proofErr w:type="spellEnd"/>
      <w:r w:rsidRPr="001B60D8">
        <w:rPr>
          <w:sz w:val="20"/>
          <w:szCs w:val="20"/>
        </w:rPr>
        <w:t>.</w:t>
      </w:r>
      <w:proofErr w:type="gramEnd"/>
      <w:r w:rsidRPr="001B60D8">
        <w:rPr>
          <w:sz w:val="20"/>
          <w:szCs w:val="20"/>
        </w:rPr>
        <w:t xml:space="preserve"> ¶ 31,280 (2008) (Order No. 717).</w:t>
      </w:r>
    </w:p>
  </w:footnote>
  <w:footnote w:id="12">
    <w:p w:rsidR="00D52AED" w:rsidRPr="001B60D8" w:rsidRDefault="00D52AED" w:rsidP="00901A1A">
      <w:pPr>
        <w:pStyle w:val="FootnoteText"/>
        <w:spacing w:after="120"/>
        <w:ind w:firstLine="720"/>
      </w:pPr>
      <w:r w:rsidRPr="001B60D8">
        <w:rPr>
          <w:rStyle w:val="FootnoteReference"/>
        </w:rPr>
        <w:footnoteRef/>
      </w:r>
      <w:r w:rsidRPr="001B60D8">
        <w:t xml:space="preserve"> September 18 Filing, transmittal at 2</w:t>
      </w:r>
      <w:proofErr w:type="gramStart"/>
      <w:r w:rsidRPr="001B60D8">
        <w:t>, citing</w:t>
      </w:r>
      <w:proofErr w:type="gramEnd"/>
      <w:r w:rsidRPr="001B60D8">
        <w:t xml:space="preserve"> NAESB WEQ Electronic Tagging – Functional Specifications, Version 1.8.1.</w:t>
      </w:r>
    </w:p>
  </w:footnote>
  <w:footnote w:id="13">
    <w:p w:rsidR="00D52AED" w:rsidRPr="001B60D8" w:rsidRDefault="00D52AED" w:rsidP="00901A1A">
      <w:pPr>
        <w:pStyle w:val="FootnoteText"/>
        <w:spacing w:after="120"/>
        <w:ind w:firstLine="720"/>
        <w:rPr>
          <w:i/>
        </w:rPr>
      </w:pPr>
      <w:r w:rsidRPr="001B60D8">
        <w:rPr>
          <w:rStyle w:val="FootnoteReference"/>
        </w:rPr>
        <w:footnoteRef/>
      </w:r>
      <w:r>
        <w:rPr>
          <w:i/>
        </w:rPr>
        <w:t xml:space="preserve"> </w:t>
      </w:r>
      <w:r w:rsidRPr="001B60D8">
        <w:rPr>
          <w:i/>
        </w:rPr>
        <w:t>Id.</w:t>
      </w:r>
    </w:p>
  </w:footnote>
  <w:footnote w:id="14">
    <w:p w:rsidR="00D52AED" w:rsidRPr="001B60D8" w:rsidRDefault="00D52AED" w:rsidP="00901A1A">
      <w:pPr>
        <w:pStyle w:val="FootnoteText"/>
        <w:spacing w:after="120"/>
        <w:ind w:firstLine="720"/>
        <w:rPr>
          <w:i/>
        </w:rPr>
      </w:pPr>
      <w:r w:rsidRPr="001B60D8">
        <w:rPr>
          <w:rStyle w:val="FootnoteReference"/>
        </w:rPr>
        <w:footnoteRef/>
      </w:r>
      <w:r>
        <w:rPr>
          <w:i/>
        </w:rPr>
        <w:t xml:space="preserve"> </w:t>
      </w:r>
      <w:r w:rsidRPr="001B60D8">
        <w:rPr>
          <w:i/>
        </w:rPr>
        <w:t>Id.</w:t>
      </w:r>
    </w:p>
  </w:footnote>
  <w:footnote w:id="15">
    <w:p w:rsidR="00D52AED" w:rsidRPr="001B60D8" w:rsidRDefault="00D52AED" w:rsidP="00901A1A">
      <w:pPr>
        <w:pStyle w:val="FootnoteText"/>
        <w:spacing w:after="120"/>
        <w:ind w:firstLine="720"/>
        <w:rPr>
          <w:i/>
        </w:rPr>
      </w:pPr>
      <w:r w:rsidRPr="001B60D8">
        <w:rPr>
          <w:rStyle w:val="FootnoteReference"/>
        </w:rPr>
        <w:footnoteRef/>
      </w:r>
      <w:r>
        <w:rPr>
          <w:i/>
        </w:rPr>
        <w:t xml:space="preserve"> </w:t>
      </w:r>
      <w:r w:rsidRPr="001B60D8">
        <w:rPr>
          <w:i/>
        </w:rPr>
        <w:t>Id.</w:t>
      </w:r>
    </w:p>
  </w:footnote>
  <w:footnote w:id="16">
    <w:p w:rsidR="00D52AED" w:rsidRPr="001B60D8" w:rsidRDefault="00D52AED" w:rsidP="00901A1A">
      <w:pPr>
        <w:pStyle w:val="FootnoteText"/>
        <w:spacing w:after="120"/>
        <w:ind w:firstLine="720"/>
      </w:pPr>
      <w:r w:rsidRPr="001B60D8">
        <w:rPr>
          <w:rStyle w:val="FootnoteReference"/>
        </w:rPr>
        <w:footnoteRef/>
      </w:r>
      <w:r>
        <w:rPr>
          <w:i/>
        </w:rPr>
        <w:t xml:space="preserve"> </w:t>
      </w:r>
      <w:r w:rsidRPr="001B60D8">
        <w:rPr>
          <w:i/>
        </w:rPr>
        <w:t>Standards for Business Practices and Communication Protocols for Public Utilities</w:t>
      </w:r>
      <w:r w:rsidRPr="001B60D8">
        <w:t xml:space="preserve">, Order No. 676-G, 78 FR 14654 (Mar. 7, 2013), FERC Stats. </w:t>
      </w:r>
      <w:proofErr w:type="gramStart"/>
      <w:r w:rsidRPr="001B60D8">
        <w:t xml:space="preserve">&amp; </w:t>
      </w:r>
      <w:proofErr w:type="spellStart"/>
      <w:r w:rsidRPr="001B60D8">
        <w:t>Regs</w:t>
      </w:r>
      <w:proofErr w:type="spellEnd"/>
      <w:r w:rsidRPr="001B60D8">
        <w:t>.</w:t>
      </w:r>
      <w:proofErr w:type="gramEnd"/>
      <w:r w:rsidRPr="001B60D8">
        <w:t xml:space="preserve"> ¶ 31,343 (Feb. 21, 2013).  In this rule, the Commission incorporated by reference into its regulations updated business practice standards adopted by NAESB’s WEQ to categorize various products and services for demand response and energy efficiency and to support the measurement and verification of these products and services in organized wholesale electric markets.  These same standards are included without revision in the Version 003 standards.</w:t>
      </w:r>
    </w:p>
  </w:footnote>
  <w:footnote w:id="17">
    <w:p w:rsidR="00D52AED" w:rsidRPr="001B60D8" w:rsidRDefault="00D52AED" w:rsidP="00526149">
      <w:pPr>
        <w:pStyle w:val="FootnoteText"/>
        <w:ind w:firstLine="720"/>
      </w:pPr>
      <w:r w:rsidRPr="001B60D8">
        <w:rPr>
          <w:rStyle w:val="FootnoteReference"/>
        </w:rPr>
        <w:footnoteRef/>
      </w:r>
      <w:r w:rsidRPr="001B60D8">
        <w:t xml:space="preserve"> These standards were originally included</w:t>
      </w:r>
      <w:r>
        <w:t xml:space="preserve"> </w:t>
      </w:r>
      <w:r w:rsidRPr="001B60D8">
        <w:t xml:space="preserve">in a NAESB July 2011 report filed with the Commission and were resubmitted as part of WEQ Version 003.  </w:t>
      </w:r>
      <w:r w:rsidRPr="001B60D8">
        <w:rPr>
          <w:i/>
        </w:rPr>
        <w:t>See</w:t>
      </w:r>
      <w:r w:rsidRPr="001B60D8">
        <w:t xml:space="preserve"> Report of the North American Energy Standards Board on Smart Grid Related Standards, Docket No. </w:t>
      </w:r>
      <w:proofErr w:type="gramStart"/>
      <w:r w:rsidRPr="001B60D8">
        <w:t>RM05-5-021 (filed July 7, 2011); NAESB Sept. 18 Filing at 2.</w:t>
      </w:r>
      <w:proofErr w:type="gramEnd"/>
    </w:p>
  </w:footnote>
  <w:footnote w:id="18">
    <w:p w:rsidR="00D52AED" w:rsidRPr="001B60D8" w:rsidRDefault="00D52AED" w:rsidP="001B60D8">
      <w:pPr>
        <w:pStyle w:val="FootnoteText"/>
        <w:spacing w:after="120"/>
        <w:ind w:firstLine="720"/>
      </w:pPr>
      <w:r w:rsidRPr="001B60D8">
        <w:rPr>
          <w:rStyle w:val="FootnoteReference"/>
        </w:rPr>
        <w:footnoteRef/>
      </w:r>
      <w:r w:rsidRPr="001B60D8">
        <w:t xml:space="preserve"> The burden for the Electric Quarterly Report (EQR) is currently double counted in FERC-516 and FERC-920.   FERC will be removing the burden hours (approximately 66,000) from the FERC-516 at a future date.  </w:t>
      </w:r>
    </w:p>
  </w:footnote>
  <w:footnote w:id="19">
    <w:p w:rsidR="00D52AED" w:rsidRDefault="00D52AED" w:rsidP="001B60D8">
      <w:pPr>
        <w:pStyle w:val="FootnoteText"/>
      </w:pPr>
      <w:r>
        <w:rPr>
          <w:rStyle w:val="FootnoteReference"/>
        </w:rPr>
        <w:footnoteRef/>
      </w:r>
      <w:r>
        <w:t xml:space="preserve"> “FERC-516” is the Commission’s identifier that corresponds to OMB control no. 1902-0096 which identifies the information collection associated with Electric Rate Schedules and Tariff Filings.</w:t>
      </w:r>
    </w:p>
  </w:footnote>
  <w:footnote w:id="20">
    <w:p w:rsidR="00D52AED" w:rsidRDefault="00D52AED" w:rsidP="001B60D8">
      <w:pPr>
        <w:pStyle w:val="FootnoteText"/>
      </w:pPr>
      <w:r>
        <w:rPr>
          <w:rStyle w:val="FootnoteReference"/>
        </w:rPr>
        <w:footnoteRef/>
      </w:r>
      <w:r>
        <w:t xml:space="preserve"> </w:t>
      </w:r>
      <w:r w:rsidR="007E1F46">
        <w:t xml:space="preserve">In the NOPR document the Commission used </w:t>
      </w:r>
      <w:r>
        <w:t>“FERC-717”</w:t>
      </w:r>
      <w:r w:rsidR="007E1F46">
        <w:t>, we are using FERC-717A here as a temporary identifier in order to submit this ICR to OMB in a timely fashion.</w:t>
      </w:r>
    </w:p>
  </w:footnote>
  <w:footnote w:id="21">
    <w:p w:rsidR="00D52AED" w:rsidRDefault="00D52AED" w:rsidP="001B60D8">
      <w:pPr>
        <w:pStyle w:val="FootnoteText"/>
      </w:pPr>
      <w:r>
        <w:rPr>
          <w:rStyle w:val="FootnoteReference"/>
        </w:rPr>
        <w:footnoteRef/>
      </w:r>
      <w:r>
        <w:t xml:space="preserve"> The 30-hour estimate was developed in Docket No. RM05-5-013, when the Commission prepared its estimate of the scope of work involved in transitioning to the NAESB Version 002.1 Business Practice Standards.  </w:t>
      </w:r>
      <w:r w:rsidRPr="002A4F39">
        <w:rPr>
          <w:i/>
        </w:rPr>
        <w:t>See</w:t>
      </w:r>
      <w:r>
        <w:t xml:space="preserve"> Order No. 676-E, FERC Stats. </w:t>
      </w:r>
      <w:proofErr w:type="gramStart"/>
      <w:r>
        <w:t xml:space="preserve">&amp; </w:t>
      </w:r>
      <w:proofErr w:type="spellStart"/>
      <w:r>
        <w:t>Regs</w:t>
      </w:r>
      <w:proofErr w:type="spellEnd"/>
      <w:r>
        <w:t>.</w:t>
      </w:r>
      <w:proofErr w:type="gramEnd"/>
      <w:r>
        <w:t xml:space="preserve"> </w:t>
      </w:r>
      <w:proofErr w:type="gramStart"/>
      <w:r>
        <w:t>¶ 31,299 at P 134.</w:t>
      </w:r>
      <w:proofErr w:type="gramEnd"/>
      <w:r>
        <w:t xml:space="preserve">  We have retained the same estimate here, because the scope of the tasks involved in the transition to Version 003 of the Business Practice Standards is very similar to that for the transition to the Version 002.1 Standards. </w:t>
      </w:r>
    </w:p>
  </w:footnote>
  <w:footnote w:id="22">
    <w:p w:rsidR="00D52AED" w:rsidRPr="001B60D8" w:rsidRDefault="00D52AED" w:rsidP="001B60D8">
      <w:pPr>
        <w:pStyle w:val="FootnoteText"/>
        <w:spacing w:after="120"/>
        <w:ind w:firstLine="720"/>
      </w:pPr>
      <w:r w:rsidRPr="001B60D8">
        <w:rPr>
          <w:rStyle w:val="FootnoteReference"/>
        </w:rPr>
        <w:footnoteRef/>
      </w:r>
      <w:r w:rsidRPr="001B60D8">
        <w:t xml:space="preserve"> FTE = Full-Time Equivalent or 2,080 work hours per year. </w:t>
      </w:r>
    </w:p>
  </w:footnote>
  <w:footnote w:id="23">
    <w:p w:rsidR="00D52AED" w:rsidRPr="001B60D8" w:rsidRDefault="00D52AED" w:rsidP="001B60D8">
      <w:pPr>
        <w:pStyle w:val="FootnoteText"/>
        <w:spacing w:after="120"/>
        <w:ind w:firstLine="720"/>
      </w:pPr>
      <w:r w:rsidRPr="001B60D8">
        <w:rPr>
          <w:rStyle w:val="FootnoteReference"/>
        </w:rPr>
        <w:footnoteRef/>
      </w:r>
      <w:r w:rsidRPr="001B60D8">
        <w:t xml:space="preserve"> Based on 2013 cost per FTE of $145,818</w:t>
      </w:r>
    </w:p>
  </w:footnote>
  <w:footnote w:id="24">
    <w:p w:rsidR="00D52AED" w:rsidRPr="001B60D8" w:rsidRDefault="00D52AED" w:rsidP="00526149">
      <w:pPr>
        <w:pStyle w:val="FootnoteText"/>
        <w:ind w:firstLine="720"/>
      </w:pPr>
      <w:r w:rsidRPr="001B60D8">
        <w:rPr>
          <w:rStyle w:val="FootnoteReference"/>
        </w:rPr>
        <w:footnoteRef/>
      </w:r>
      <w:r w:rsidRPr="001B60D8">
        <w:t xml:space="preserve"> </w:t>
      </w:r>
      <w:proofErr w:type="gramStart"/>
      <w:r w:rsidRPr="001B60D8">
        <w:t>For the data clearance cost, the Commission bases this cost on the activities and efforts of FERC staff to comply with the Paperwork Reduction Act of 1995.</w:t>
      </w:r>
      <w:proofErr w:type="gramEnd"/>
    </w:p>
  </w:footnote>
  <w:footnote w:id="25">
    <w:p w:rsidR="00D52AED" w:rsidRPr="001B60D8" w:rsidRDefault="00D52AED" w:rsidP="001B60D8">
      <w:pPr>
        <w:pStyle w:val="FootnoteText"/>
        <w:spacing w:after="120"/>
        <w:ind w:firstLine="720"/>
      </w:pPr>
      <w:r w:rsidRPr="000510CF">
        <w:rPr>
          <w:rStyle w:val="FootnoteReference"/>
        </w:rPr>
        <w:footnoteRef/>
      </w:r>
      <w:r w:rsidRPr="000510CF">
        <w:t xml:space="preserve"> The 30-hour estimate was developed in Docket No. RM05-5-013, when the Commission prepared its estimate of the scope of work involved in transitioning to the NAESB Version 002.1 Business Practice Standards.  </w:t>
      </w:r>
      <w:r w:rsidRPr="000510CF">
        <w:rPr>
          <w:i/>
        </w:rPr>
        <w:t>See</w:t>
      </w:r>
      <w:r w:rsidRPr="000510CF">
        <w:t xml:space="preserve"> Order No. 676-E at P 134.  We have retained the same estimate here, because the scope of the tasks involved in the transition to Version 003 of the Business Practice Standards is very similar to that for the transition to the Version 002.1 Standards.</w:t>
      </w:r>
    </w:p>
  </w:footnote>
  <w:footnote w:id="26">
    <w:p w:rsidR="00D52AED" w:rsidRPr="001B60D8" w:rsidRDefault="00D52AED" w:rsidP="00526149">
      <w:pPr>
        <w:tabs>
          <w:tab w:val="left" w:pos="720"/>
        </w:tabs>
        <w:spacing w:after="120"/>
        <w:ind w:firstLine="720"/>
        <w:rPr>
          <w:sz w:val="20"/>
          <w:szCs w:val="20"/>
        </w:rPr>
      </w:pPr>
      <w:r w:rsidRPr="001B60D8">
        <w:rPr>
          <w:rStyle w:val="FootnoteReference"/>
          <w:sz w:val="20"/>
          <w:szCs w:val="20"/>
        </w:rPr>
        <w:footnoteRef/>
      </w:r>
      <w:r w:rsidRPr="001B60D8">
        <w:rPr>
          <w:sz w:val="20"/>
          <w:szCs w:val="20"/>
        </w:rPr>
        <w:t xml:space="preserve"> The estimated hourly loaded cost (salary plus benefits) is a composite estimate that includes legal, technical, and support staff rates, based on data from the Bureau of Labor Statistics at </w:t>
      </w:r>
      <w:r w:rsidRPr="001B60D8">
        <w:rPr>
          <w:sz w:val="20"/>
          <w:szCs w:val="20"/>
          <w:u w:val="single"/>
        </w:rPr>
        <w:t>http://bls.gov/oes/current/naics3_221000.htm</w:t>
      </w:r>
      <w:r w:rsidRPr="001B60D8">
        <w:rPr>
          <w:sz w:val="20"/>
          <w:szCs w:val="20"/>
        </w:rPr>
        <w:t xml:space="preserve"> and.  Loaded costs are BLS rates divided by 0.703 and rounded to the nearest dollar. (</w:t>
      </w:r>
      <w:hyperlink r:id="rId3" w:history="1">
        <w:r w:rsidRPr="001B60D8">
          <w:rPr>
            <w:rStyle w:val="Hyperlink"/>
            <w:sz w:val="20"/>
            <w:szCs w:val="20"/>
          </w:rPr>
          <w:t>http://www.bls.gov/news.release/ecec.nr0.htm</w:t>
        </w:r>
      </w:hyperlink>
      <w:r w:rsidRPr="001B60D8">
        <w:rPr>
          <w:rStyle w:val="Hyperlink"/>
          <w:sz w:val="20"/>
          <w:szCs w:val="20"/>
        </w:rPr>
        <w:t>)</w:t>
      </w:r>
      <w:r w:rsidRPr="001B60D8">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ED" w:rsidRDefault="00D52AED" w:rsidP="00AF6D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AED" w:rsidRDefault="00D52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ED" w:rsidRPr="00A348D1" w:rsidRDefault="00D52AED" w:rsidP="00AF6DA1">
    <w:pPr>
      <w:pStyle w:val="Header"/>
    </w:pPr>
    <w:r w:rsidRPr="00A348D1">
      <w:t>FERC-717</w:t>
    </w:r>
    <w:r w:rsidR="00A11775">
      <w:t>A</w:t>
    </w:r>
    <w:r w:rsidRPr="00A348D1">
      <w:t xml:space="preserve"> and FERC-516 (1902-0096)</w:t>
    </w:r>
  </w:p>
  <w:p w:rsidR="00D52AED" w:rsidRPr="00A348D1" w:rsidRDefault="00D52AED" w:rsidP="00AF6DA1">
    <w:pPr>
      <w:pStyle w:val="Header"/>
    </w:pPr>
    <w:r w:rsidRPr="00A348D1">
      <w:t>NOPR in Docket No. RM05-5-022 (Issued 7/18/2013)</w:t>
    </w:r>
  </w:p>
  <w:p w:rsidR="00D52AED" w:rsidRDefault="00D52AED" w:rsidP="00AF6DA1">
    <w:pPr>
      <w:pStyle w:val="Header"/>
    </w:pPr>
    <w:r>
      <w:t>RIN: 1902-AE76</w:t>
    </w:r>
  </w:p>
  <w:p w:rsidR="00D52AED" w:rsidRDefault="00D52AED" w:rsidP="00AF6D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ED" w:rsidRDefault="00D52AED">
    <w:pPr>
      <w:pStyle w:val="Header"/>
    </w:pPr>
    <w:r>
      <w:rPr>
        <w:b/>
      </w:rPr>
      <w:t>FERC-717 (1902-0173) and FERC-516 (1902-0096)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F4892"/>
    <w:multiLevelType w:val="hybridMultilevel"/>
    <w:tmpl w:val="F8023100"/>
    <w:lvl w:ilvl="0" w:tplc="04D0E984">
      <w:start w:val="1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5933BF"/>
    <w:multiLevelType w:val="hybridMultilevel"/>
    <w:tmpl w:val="7D98C50C"/>
    <w:lvl w:ilvl="0" w:tplc="E80E0B88">
      <w:start w:val="1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nsid w:val="3D471D67"/>
    <w:multiLevelType w:val="hybridMultilevel"/>
    <w:tmpl w:val="95F423AE"/>
    <w:lvl w:ilvl="0" w:tplc="EF148E6E">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E61190"/>
    <w:multiLevelType w:val="hybridMultilevel"/>
    <w:tmpl w:val="D678768C"/>
    <w:lvl w:ilvl="0" w:tplc="DE32E33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E4E4DD3"/>
    <w:multiLevelType w:val="multilevel"/>
    <w:tmpl w:val="459CE6E4"/>
    <w:lvl w:ilvl="0">
      <w:start w:val="1"/>
      <w:numFmt w:val="decimal"/>
      <w:pStyle w:val="FERCparanumber"/>
      <w:lvlText w:val="%1."/>
      <w:lvlJc w:val="left"/>
      <w:pPr>
        <w:tabs>
          <w:tab w:val="num" w:pos="720"/>
        </w:tabs>
        <w:ind w:left="0" w:firstLine="0"/>
      </w:pPr>
      <w:rPr>
        <w:rFonts w:hint="default"/>
        <w:b w:val="0"/>
      </w:r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6A"/>
    <w:rsid w:val="000028CE"/>
    <w:rsid w:val="00030EA5"/>
    <w:rsid w:val="00035343"/>
    <w:rsid w:val="000510CF"/>
    <w:rsid w:val="00053CA4"/>
    <w:rsid w:val="00062406"/>
    <w:rsid w:val="0007379E"/>
    <w:rsid w:val="0008345E"/>
    <w:rsid w:val="000F61F9"/>
    <w:rsid w:val="0010642A"/>
    <w:rsid w:val="001228CF"/>
    <w:rsid w:val="00126C70"/>
    <w:rsid w:val="001345BF"/>
    <w:rsid w:val="00137074"/>
    <w:rsid w:val="0015533C"/>
    <w:rsid w:val="00177C71"/>
    <w:rsid w:val="001A1748"/>
    <w:rsid w:val="001A203B"/>
    <w:rsid w:val="001A3408"/>
    <w:rsid w:val="001B3B9B"/>
    <w:rsid w:val="001B60D8"/>
    <w:rsid w:val="001B644F"/>
    <w:rsid w:val="001C787A"/>
    <w:rsid w:val="001D4CA4"/>
    <w:rsid w:val="001E0E81"/>
    <w:rsid w:val="001F3F74"/>
    <w:rsid w:val="002123BF"/>
    <w:rsid w:val="00224EE6"/>
    <w:rsid w:val="002A3135"/>
    <w:rsid w:val="002B0B21"/>
    <w:rsid w:val="002F48B9"/>
    <w:rsid w:val="0030030C"/>
    <w:rsid w:val="0030788B"/>
    <w:rsid w:val="00320B36"/>
    <w:rsid w:val="003278AF"/>
    <w:rsid w:val="00333E13"/>
    <w:rsid w:val="00364E85"/>
    <w:rsid w:val="0037377F"/>
    <w:rsid w:val="003A1D62"/>
    <w:rsid w:val="003A3F8B"/>
    <w:rsid w:val="003B3FB0"/>
    <w:rsid w:val="003F0F61"/>
    <w:rsid w:val="003F2F39"/>
    <w:rsid w:val="0040152A"/>
    <w:rsid w:val="00423067"/>
    <w:rsid w:val="00434778"/>
    <w:rsid w:val="00460900"/>
    <w:rsid w:val="004B7764"/>
    <w:rsid w:val="004F2E69"/>
    <w:rsid w:val="004F3A73"/>
    <w:rsid w:val="00526149"/>
    <w:rsid w:val="005430A9"/>
    <w:rsid w:val="005470EF"/>
    <w:rsid w:val="005615B1"/>
    <w:rsid w:val="005B4509"/>
    <w:rsid w:val="005C3174"/>
    <w:rsid w:val="006006AC"/>
    <w:rsid w:val="00611B54"/>
    <w:rsid w:val="00634FA6"/>
    <w:rsid w:val="00681AEF"/>
    <w:rsid w:val="0069717A"/>
    <w:rsid w:val="006A701B"/>
    <w:rsid w:val="006D6D6B"/>
    <w:rsid w:val="006E043B"/>
    <w:rsid w:val="006E48B3"/>
    <w:rsid w:val="00706CA5"/>
    <w:rsid w:val="00714A72"/>
    <w:rsid w:val="00714F80"/>
    <w:rsid w:val="00752671"/>
    <w:rsid w:val="007676C3"/>
    <w:rsid w:val="00773013"/>
    <w:rsid w:val="0077668A"/>
    <w:rsid w:val="007C70E7"/>
    <w:rsid w:val="007D6DC9"/>
    <w:rsid w:val="007E1F46"/>
    <w:rsid w:val="007E2A4E"/>
    <w:rsid w:val="008070E3"/>
    <w:rsid w:val="008307EB"/>
    <w:rsid w:val="0084350B"/>
    <w:rsid w:val="00871F45"/>
    <w:rsid w:val="0088114D"/>
    <w:rsid w:val="00884CEE"/>
    <w:rsid w:val="008B2569"/>
    <w:rsid w:val="008B61D3"/>
    <w:rsid w:val="008C66D7"/>
    <w:rsid w:val="008D7578"/>
    <w:rsid w:val="008D7B19"/>
    <w:rsid w:val="008E0000"/>
    <w:rsid w:val="008F4DE3"/>
    <w:rsid w:val="00901A1A"/>
    <w:rsid w:val="00907BFA"/>
    <w:rsid w:val="009206F1"/>
    <w:rsid w:val="00927DB0"/>
    <w:rsid w:val="00937D47"/>
    <w:rsid w:val="009457AF"/>
    <w:rsid w:val="009959B5"/>
    <w:rsid w:val="00997450"/>
    <w:rsid w:val="009A6735"/>
    <w:rsid w:val="009A67AA"/>
    <w:rsid w:val="009D7AEB"/>
    <w:rsid w:val="00A000C9"/>
    <w:rsid w:val="00A11775"/>
    <w:rsid w:val="00A246FC"/>
    <w:rsid w:val="00A267CC"/>
    <w:rsid w:val="00A348D1"/>
    <w:rsid w:val="00A35BA9"/>
    <w:rsid w:val="00A671F4"/>
    <w:rsid w:val="00A9083D"/>
    <w:rsid w:val="00AA0A6C"/>
    <w:rsid w:val="00AA1818"/>
    <w:rsid w:val="00AB4635"/>
    <w:rsid w:val="00AD3051"/>
    <w:rsid w:val="00AD3925"/>
    <w:rsid w:val="00AD6985"/>
    <w:rsid w:val="00AD6C99"/>
    <w:rsid w:val="00AE0AF0"/>
    <w:rsid w:val="00AF6DA1"/>
    <w:rsid w:val="00B021A4"/>
    <w:rsid w:val="00B037E0"/>
    <w:rsid w:val="00B37137"/>
    <w:rsid w:val="00B47038"/>
    <w:rsid w:val="00B77B4E"/>
    <w:rsid w:val="00B81BDB"/>
    <w:rsid w:val="00B9516D"/>
    <w:rsid w:val="00BA010A"/>
    <w:rsid w:val="00BB68F4"/>
    <w:rsid w:val="00BC18BA"/>
    <w:rsid w:val="00BD3EA9"/>
    <w:rsid w:val="00C11477"/>
    <w:rsid w:val="00C22D68"/>
    <w:rsid w:val="00C74FAE"/>
    <w:rsid w:val="00C9032B"/>
    <w:rsid w:val="00CA7BBA"/>
    <w:rsid w:val="00CB5ED0"/>
    <w:rsid w:val="00D06FB2"/>
    <w:rsid w:val="00D24CA2"/>
    <w:rsid w:val="00D3262E"/>
    <w:rsid w:val="00D52AED"/>
    <w:rsid w:val="00D70712"/>
    <w:rsid w:val="00D81418"/>
    <w:rsid w:val="00D91CF7"/>
    <w:rsid w:val="00D947DF"/>
    <w:rsid w:val="00D970D9"/>
    <w:rsid w:val="00DA2D84"/>
    <w:rsid w:val="00DC0A63"/>
    <w:rsid w:val="00DF758B"/>
    <w:rsid w:val="00E15626"/>
    <w:rsid w:val="00E33FA4"/>
    <w:rsid w:val="00E35F79"/>
    <w:rsid w:val="00E4035B"/>
    <w:rsid w:val="00E51078"/>
    <w:rsid w:val="00E62EB3"/>
    <w:rsid w:val="00E66BF0"/>
    <w:rsid w:val="00E71210"/>
    <w:rsid w:val="00E73148"/>
    <w:rsid w:val="00E73BAE"/>
    <w:rsid w:val="00E81EC9"/>
    <w:rsid w:val="00E85B6A"/>
    <w:rsid w:val="00EA3A8A"/>
    <w:rsid w:val="00ED0F93"/>
    <w:rsid w:val="00EF743E"/>
    <w:rsid w:val="00F03E37"/>
    <w:rsid w:val="00F1383D"/>
    <w:rsid w:val="00F255AF"/>
    <w:rsid w:val="00F6067F"/>
    <w:rsid w:val="00F61155"/>
    <w:rsid w:val="00F6205C"/>
    <w:rsid w:val="00F8041D"/>
    <w:rsid w:val="00F82376"/>
    <w:rsid w:val="00FA6804"/>
    <w:rsid w:val="00FA7D7B"/>
    <w:rsid w:val="00FC0111"/>
    <w:rsid w:val="00FE2BED"/>
    <w:rsid w:val="00FE45A6"/>
    <w:rsid w:val="00FF2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B6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rsid w:val="00E85B6A"/>
  </w:style>
  <w:style w:type="paragraph" w:styleId="Footer">
    <w:name w:val="footer"/>
    <w:basedOn w:val="Normal"/>
    <w:rsid w:val="00E85B6A"/>
    <w:pPr>
      <w:tabs>
        <w:tab w:val="center" w:pos="4320"/>
        <w:tab w:val="right" w:pos="8640"/>
      </w:tabs>
    </w:pPr>
  </w:style>
  <w:style w:type="character" w:styleId="PageNumber">
    <w:name w:val="page number"/>
    <w:basedOn w:val="DefaultParagraphFont"/>
    <w:rsid w:val="00E85B6A"/>
  </w:style>
  <w:style w:type="paragraph" w:styleId="Header">
    <w:name w:val="header"/>
    <w:basedOn w:val="Normal"/>
    <w:rsid w:val="00E85B6A"/>
    <w:pPr>
      <w:tabs>
        <w:tab w:val="center" w:pos="4320"/>
        <w:tab w:val="right" w:pos="8640"/>
      </w:tabs>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E85B6A"/>
    <w:rPr>
      <w:sz w:val="20"/>
      <w:szCs w:val="20"/>
    </w:rPr>
  </w:style>
  <w:style w:type="character" w:styleId="Hyperlink">
    <w:name w:val="Hyperlink"/>
    <w:rsid w:val="00E85B6A"/>
    <w:rPr>
      <w:color w:val="0000FF"/>
      <w:u w:val="single"/>
    </w:rPr>
  </w:style>
  <w:style w:type="paragraph" w:customStyle="1" w:styleId="FERCparanumber">
    <w:name w:val="FERC paranumber"/>
    <w:basedOn w:val="Normal"/>
    <w:link w:val="FERCparanumberChar"/>
    <w:rsid w:val="00E85B6A"/>
    <w:pPr>
      <w:widowControl/>
      <w:numPr>
        <w:numId w:val="1"/>
      </w:numPr>
      <w:spacing w:line="480" w:lineRule="auto"/>
    </w:pPr>
    <w:rPr>
      <w:sz w:val="26"/>
    </w:rPr>
  </w:style>
  <w:style w:type="character" w:customStyle="1" w:styleId="FERCparanumberChar">
    <w:name w:val="FERC paranumber Char"/>
    <w:link w:val="FERCparanumber"/>
    <w:rsid w:val="00E85B6A"/>
    <w:rPr>
      <w:sz w:val="26"/>
      <w:szCs w:val="24"/>
      <w:lang w:val="en-US" w:eastAsia="en-US" w:bidi="ar-SA"/>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link w:val="FootnoteText"/>
    <w:uiPriority w:val="99"/>
    <w:rsid w:val="00E85B6A"/>
    <w:rPr>
      <w:lang w:val="en-US" w:eastAsia="en-US" w:bidi="ar-SA"/>
    </w:rPr>
  </w:style>
  <w:style w:type="table" w:styleId="TableGrid">
    <w:name w:val="Table Grid"/>
    <w:basedOn w:val="TableNormal"/>
    <w:rsid w:val="00E85B6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E85B6A"/>
    <w:pPr>
      <w:widowControl/>
      <w:numPr>
        <w:numId w:val="4"/>
      </w:numPr>
      <w:autoSpaceDE/>
      <w:autoSpaceDN/>
      <w:adjustRightInd/>
      <w:spacing w:after="120" w:line="480" w:lineRule="auto"/>
    </w:pPr>
    <w:rPr>
      <w:sz w:val="26"/>
    </w:rPr>
  </w:style>
  <w:style w:type="paragraph" w:customStyle="1" w:styleId="LegalFormat">
    <w:name w:val="Legal Format"/>
    <w:basedOn w:val="ListContinue"/>
    <w:rsid w:val="00E85B6A"/>
    <w:pPr>
      <w:spacing w:after="0"/>
      <w:ind w:left="0"/>
    </w:pPr>
    <w:rPr>
      <w:u w:val="single"/>
    </w:rPr>
  </w:style>
  <w:style w:type="character" w:styleId="FollowedHyperlink">
    <w:name w:val="FollowedHyperlink"/>
    <w:rsid w:val="00E71210"/>
    <w:rPr>
      <w:color w:val="000080"/>
      <w:u w:val="single"/>
    </w:rPr>
  </w:style>
  <w:style w:type="paragraph" w:styleId="BalloonText">
    <w:name w:val="Balloon Text"/>
    <w:basedOn w:val="Normal"/>
    <w:semiHidden/>
    <w:rsid w:val="003A1D62"/>
    <w:rPr>
      <w:rFonts w:ascii="Tahoma" w:hAnsi="Tahoma" w:cs="Tahoma"/>
      <w:sz w:val="16"/>
      <w:szCs w:val="16"/>
    </w:rPr>
  </w:style>
  <w:style w:type="character" w:styleId="CommentReference">
    <w:name w:val="annotation reference"/>
    <w:semiHidden/>
    <w:rsid w:val="003A1D62"/>
    <w:rPr>
      <w:sz w:val="16"/>
      <w:szCs w:val="16"/>
    </w:rPr>
  </w:style>
  <w:style w:type="paragraph" w:styleId="CommentText">
    <w:name w:val="annotation text"/>
    <w:basedOn w:val="Normal"/>
    <w:semiHidden/>
    <w:rsid w:val="003A1D62"/>
    <w:rPr>
      <w:sz w:val="20"/>
      <w:szCs w:val="20"/>
    </w:rPr>
  </w:style>
  <w:style w:type="paragraph" w:styleId="CommentSubject">
    <w:name w:val="annotation subject"/>
    <w:basedOn w:val="CommentText"/>
    <w:next w:val="CommentText"/>
    <w:semiHidden/>
    <w:rsid w:val="003A1D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B6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rsid w:val="00E85B6A"/>
  </w:style>
  <w:style w:type="paragraph" w:styleId="Footer">
    <w:name w:val="footer"/>
    <w:basedOn w:val="Normal"/>
    <w:rsid w:val="00E85B6A"/>
    <w:pPr>
      <w:tabs>
        <w:tab w:val="center" w:pos="4320"/>
        <w:tab w:val="right" w:pos="8640"/>
      </w:tabs>
    </w:pPr>
  </w:style>
  <w:style w:type="character" w:styleId="PageNumber">
    <w:name w:val="page number"/>
    <w:basedOn w:val="DefaultParagraphFont"/>
    <w:rsid w:val="00E85B6A"/>
  </w:style>
  <w:style w:type="paragraph" w:styleId="Header">
    <w:name w:val="header"/>
    <w:basedOn w:val="Normal"/>
    <w:rsid w:val="00E85B6A"/>
    <w:pPr>
      <w:tabs>
        <w:tab w:val="center" w:pos="4320"/>
        <w:tab w:val="right" w:pos="8640"/>
      </w:tabs>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E85B6A"/>
    <w:rPr>
      <w:sz w:val="20"/>
      <w:szCs w:val="20"/>
    </w:rPr>
  </w:style>
  <w:style w:type="character" w:styleId="Hyperlink">
    <w:name w:val="Hyperlink"/>
    <w:rsid w:val="00E85B6A"/>
    <w:rPr>
      <w:color w:val="0000FF"/>
      <w:u w:val="single"/>
    </w:rPr>
  </w:style>
  <w:style w:type="paragraph" w:customStyle="1" w:styleId="FERCparanumber">
    <w:name w:val="FERC paranumber"/>
    <w:basedOn w:val="Normal"/>
    <w:link w:val="FERCparanumberChar"/>
    <w:rsid w:val="00E85B6A"/>
    <w:pPr>
      <w:widowControl/>
      <w:numPr>
        <w:numId w:val="1"/>
      </w:numPr>
      <w:spacing w:line="480" w:lineRule="auto"/>
    </w:pPr>
    <w:rPr>
      <w:sz w:val="26"/>
    </w:rPr>
  </w:style>
  <w:style w:type="character" w:customStyle="1" w:styleId="FERCparanumberChar">
    <w:name w:val="FERC paranumber Char"/>
    <w:link w:val="FERCparanumber"/>
    <w:rsid w:val="00E85B6A"/>
    <w:rPr>
      <w:sz w:val="26"/>
      <w:szCs w:val="24"/>
      <w:lang w:val="en-US" w:eastAsia="en-US" w:bidi="ar-SA"/>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link w:val="FootnoteText"/>
    <w:uiPriority w:val="99"/>
    <w:rsid w:val="00E85B6A"/>
    <w:rPr>
      <w:lang w:val="en-US" w:eastAsia="en-US" w:bidi="ar-SA"/>
    </w:rPr>
  </w:style>
  <w:style w:type="table" w:styleId="TableGrid">
    <w:name w:val="Table Grid"/>
    <w:basedOn w:val="TableNormal"/>
    <w:rsid w:val="00E85B6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E85B6A"/>
    <w:pPr>
      <w:widowControl/>
      <w:numPr>
        <w:numId w:val="4"/>
      </w:numPr>
      <w:autoSpaceDE/>
      <w:autoSpaceDN/>
      <w:adjustRightInd/>
      <w:spacing w:after="120" w:line="480" w:lineRule="auto"/>
    </w:pPr>
    <w:rPr>
      <w:sz w:val="26"/>
    </w:rPr>
  </w:style>
  <w:style w:type="paragraph" w:customStyle="1" w:styleId="LegalFormat">
    <w:name w:val="Legal Format"/>
    <w:basedOn w:val="ListContinue"/>
    <w:rsid w:val="00E85B6A"/>
    <w:pPr>
      <w:spacing w:after="0"/>
      <w:ind w:left="0"/>
    </w:pPr>
    <w:rPr>
      <w:u w:val="single"/>
    </w:rPr>
  </w:style>
  <w:style w:type="character" w:styleId="FollowedHyperlink">
    <w:name w:val="FollowedHyperlink"/>
    <w:rsid w:val="00E71210"/>
    <w:rPr>
      <w:color w:val="000080"/>
      <w:u w:val="single"/>
    </w:rPr>
  </w:style>
  <w:style w:type="paragraph" w:styleId="BalloonText">
    <w:name w:val="Balloon Text"/>
    <w:basedOn w:val="Normal"/>
    <w:semiHidden/>
    <w:rsid w:val="003A1D62"/>
    <w:rPr>
      <w:rFonts w:ascii="Tahoma" w:hAnsi="Tahoma" w:cs="Tahoma"/>
      <w:sz w:val="16"/>
      <w:szCs w:val="16"/>
    </w:rPr>
  </w:style>
  <w:style w:type="character" w:styleId="CommentReference">
    <w:name w:val="annotation reference"/>
    <w:semiHidden/>
    <w:rsid w:val="003A1D62"/>
    <w:rPr>
      <w:sz w:val="16"/>
      <w:szCs w:val="16"/>
    </w:rPr>
  </w:style>
  <w:style w:type="paragraph" w:styleId="CommentText">
    <w:name w:val="annotation text"/>
    <w:basedOn w:val="Normal"/>
    <w:semiHidden/>
    <w:rsid w:val="003A1D62"/>
    <w:rPr>
      <w:sz w:val="20"/>
      <w:szCs w:val="20"/>
    </w:rPr>
  </w:style>
  <w:style w:type="paragraph" w:styleId="CommentSubject">
    <w:name w:val="annotation subject"/>
    <w:basedOn w:val="CommentText"/>
    <w:next w:val="CommentText"/>
    <w:semiHidden/>
    <w:rsid w:val="003A1D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9958">
      <w:bodyDiv w:val="1"/>
      <w:marLeft w:val="0"/>
      <w:marRight w:val="0"/>
      <w:marTop w:val="0"/>
      <w:marBottom w:val="0"/>
      <w:divBdr>
        <w:top w:val="none" w:sz="0" w:space="0" w:color="auto"/>
        <w:left w:val="none" w:sz="0" w:space="0" w:color="auto"/>
        <w:bottom w:val="none" w:sz="0" w:space="0" w:color="auto"/>
        <w:right w:val="none" w:sz="0" w:space="0" w:color="auto"/>
      </w:divBdr>
    </w:div>
    <w:div w:id="755633252">
      <w:bodyDiv w:val="1"/>
      <w:marLeft w:val="0"/>
      <w:marRight w:val="0"/>
      <w:marTop w:val="0"/>
      <w:marBottom w:val="0"/>
      <w:divBdr>
        <w:top w:val="none" w:sz="0" w:space="0" w:color="auto"/>
        <w:left w:val="none" w:sz="0" w:space="0" w:color="auto"/>
        <w:bottom w:val="none" w:sz="0" w:space="0" w:color="auto"/>
        <w:right w:val="none" w:sz="0" w:space="0" w:color="auto"/>
      </w:divBdr>
    </w:div>
    <w:div w:id="1361203953">
      <w:bodyDiv w:val="1"/>
      <w:marLeft w:val="0"/>
      <w:marRight w:val="0"/>
      <w:marTop w:val="0"/>
      <w:marBottom w:val="0"/>
      <w:divBdr>
        <w:top w:val="none" w:sz="0" w:space="0" w:color="auto"/>
        <w:left w:val="none" w:sz="0" w:space="0" w:color="auto"/>
        <w:bottom w:val="none" w:sz="0" w:space="0" w:color="auto"/>
        <w:right w:val="none" w:sz="0" w:space="0" w:color="auto"/>
      </w:divBdr>
    </w:div>
    <w:div w:id="1545557384">
      <w:bodyDiv w:val="1"/>
      <w:marLeft w:val="0"/>
      <w:marRight w:val="0"/>
      <w:marTop w:val="0"/>
      <w:marBottom w:val="0"/>
      <w:divBdr>
        <w:top w:val="none" w:sz="0" w:space="0" w:color="auto"/>
        <w:left w:val="none" w:sz="0" w:space="0" w:color="auto"/>
        <w:bottom w:val="none" w:sz="0" w:space="0" w:color="auto"/>
        <w:right w:val="none" w:sz="0" w:space="0" w:color="auto"/>
      </w:divBdr>
    </w:div>
    <w:div w:id="1741754674">
      <w:bodyDiv w:val="1"/>
      <w:marLeft w:val="0"/>
      <w:marRight w:val="0"/>
      <w:marTop w:val="0"/>
      <w:marBottom w:val="0"/>
      <w:divBdr>
        <w:top w:val="none" w:sz="0" w:space="0" w:color="auto"/>
        <w:left w:val="none" w:sz="0" w:space="0" w:color="auto"/>
        <w:bottom w:val="none" w:sz="0" w:space="0" w:color="auto"/>
        <w:right w:val="none" w:sz="0" w:space="0" w:color="auto"/>
      </w:divBdr>
    </w:div>
    <w:div w:id="1834566238">
      <w:bodyDiv w:val="1"/>
      <w:marLeft w:val="0"/>
      <w:marRight w:val="0"/>
      <w:marTop w:val="0"/>
      <w:marBottom w:val="0"/>
      <w:divBdr>
        <w:top w:val="none" w:sz="0" w:space="0" w:color="auto"/>
        <w:left w:val="none" w:sz="0" w:space="0" w:color="auto"/>
        <w:bottom w:val="none" w:sz="0" w:space="0" w:color="auto"/>
        <w:right w:val="none" w:sz="0" w:space="0" w:color="auto"/>
      </w:divBdr>
    </w:div>
    <w:div w:id="1995061422">
      <w:bodyDiv w:val="1"/>
      <w:marLeft w:val="0"/>
      <w:marRight w:val="0"/>
      <w:marTop w:val="0"/>
      <w:marBottom w:val="0"/>
      <w:divBdr>
        <w:top w:val="none" w:sz="0" w:space="0" w:color="auto"/>
        <w:left w:val="none" w:sz="0" w:space="0" w:color="auto"/>
        <w:bottom w:val="none" w:sz="0" w:space="0" w:color="auto"/>
        <w:right w:val="none" w:sz="0" w:space="0" w:color="auto"/>
      </w:divBdr>
    </w:div>
    <w:div w:id="20895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elibrary.ferc.gov/idmws/common/OpenNat.asp?fileID=10369845" TargetMode="External"/><Relationship Id="rId1" Type="http://schemas.openxmlformats.org/officeDocument/2006/relationships/hyperlink" Target="http://elibrary.ferc.gov/idmws/common/opennat.asp?fileID=9607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3C8A4-B70A-4A44-9FB3-A560EB9A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2968</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䕆䍒</Company>
  <LinksUpToDate>false</LinksUpToDate>
  <CharactersWithSpaces>20373</CharactersWithSpaces>
  <SharedDoc>false</SharedDoc>
  <HLinks>
    <vt:vector size="42" baseType="variant">
      <vt:variant>
        <vt:i4>1769560</vt:i4>
      </vt:variant>
      <vt:variant>
        <vt:i4>6</vt:i4>
      </vt:variant>
      <vt:variant>
        <vt:i4>0</vt:i4>
      </vt:variant>
      <vt:variant>
        <vt:i4>5</vt:i4>
      </vt:variant>
      <vt:variant>
        <vt:lpwstr>http://www.bls.gov/news.release/ecec.nr0.htm</vt:lpwstr>
      </vt:variant>
      <vt:variant>
        <vt:lpwstr/>
      </vt:variant>
      <vt:variant>
        <vt:i4>2818143</vt:i4>
      </vt:variant>
      <vt:variant>
        <vt:i4>3</vt:i4>
      </vt:variant>
      <vt:variant>
        <vt:i4>0</vt:i4>
      </vt:variant>
      <vt:variant>
        <vt:i4>5</vt:i4>
      </vt:variant>
      <vt:variant>
        <vt:lpwstr>http://bls.gov/oes/current/naics3_221000.htm</vt:lpwstr>
      </vt:variant>
      <vt:variant>
        <vt:lpwstr/>
      </vt:variant>
      <vt:variant>
        <vt:i4>852051</vt:i4>
      </vt:variant>
      <vt:variant>
        <vt:i4>12</vt:i4>
      </vt:variant>
      <vt:variant>
        <vt:i4>0</vt:i4>
      </vt:variant>
      <vt:variant>
        <vt:i4>5</vt:i4>
      </vt:variant>
      <vt:variant>
        <vt:lpwstr>http://www.eia.gov/tools/glossary/index.cfm?id=E</vt:lpwstr>
      </vt:variant>
      <vt:variant>
        <vt:lpwstr/>
      </vt:variant>
      <vt:variant>
        <vt:i4>6094932</vt:i4>
      </vt:variant>
      <vt:variant>
        <vt:i4>9</vt:i4>
      </vt:variant>
      <vt:variant>
        <vt:i4>0</vt:i4>
      </vt:variant>
      <vt:variant>
        <vt:i4>5</vt:i4>
      </vt:variant>
      <vt:variant>
        <vt:lpwstr>http://elibrary.ferc.gov/idmws/common/OpenNat.asp?fileID=10369845</vt:lpwstr>
      </vt:variant>
      <vt:variant>
        <vt:lpwstr/>
      </vt:variant>
      <vt:variant>
        <vt:i4>5963859</vt:i4>
      </vt:variant>
      <vt:variant>
        <vt:i4>6</vt:i4>
      </vt:variant>
      <vt:variant>
        <vt:i4>0</vt:i4>
      </vt:variant>
      <vt:variant>
        <vt:i4>5</vt:i4>
      </vt:variant>
      <vt:variant>
        <vt:lpwstr>http://elibrary.ferc.gov/idmws/common/opennat.asp?fileID=9607888</vt:lpwstr>
      </vt:variant>
      <vt:variant>
        <vt:lpwstr/>
      </vt:variant>
      <vt:variant>
        <vt:i4>589846</vt:i4>
      </vt:variant>
      <vt:variant>
        <vt:i4>3</vt:i4>
      </vt:variant>
      <vt:variant>
        <vt:i4>0</vt:i4>
      </vt:variant>
      <vt:variant>
        <vt:i4>5</vt:i4>
      </vt:variant>
      <vt:variant>
        <vt:lpwstr>http://www.ferc.gov/legal/maj-ord-reg/land-docs/order889.asp</vt:lpwstr>
      </vt:variant>
      <vt:variant>
        <vt:lpwstr/>
      </vt:variant>
      <vt:variant>
        <vt:i4>6422548</vt:i4>
      </vt:variant>
      <vt:variant>
        <vt:i4>0</vt:i4>
      </vt:variant>
      <vt:variant>
        <vt:i4>0</vt:i4>
      </vt:variant>
      <vt:variant>
        <vt:i4>5</vt:i4>
      </vt:variant>
      <vt:variant>
        <vt:lpwstr>https://www.rocis.gov/rocis/do/ViewICR?icrRefNbr=201204-1902-004&amp;from=SUBMITTED_LIST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serveradmin3</dc:creator>
  <cp:lastModifiedBy>Ellen Brown</cp:lastModifiedBy>
  <cp:revision>3</cp:revision>
  <dcterms:created xsi:type="dcterms:W3CDTF">2013-08-08T15:51:00Z</dcterms:created>
  <dcterms:modified xsi:type="dcterms:W3CDTF">2013-08-08T15:54:00Z</dcterms:modified>
</cp:coreProperties>
</file>