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b/>
        </w:rPr>
        <w:t>B.</w:t>
      </w:r>
      <w:r w:rsidRPr="00B5163D">
        <w:rPr>
          <w:rFonts w:ascii="Times New Roman" w:hAnsi="Times New Roman"/>
        </w:rPr>
        <w:t xml:space="preserve"> </w:t>
      </w:r>
      <w:r w:rsidRPr="00B5163D">
        <w:rPr>
          <w:rFonts w:ascii="Times New Roman" w:hAnsi="Times New Roman"/>
          <w:b/>
        </w:rPr>
        <w:t>Statistical Methods</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r w:rsidRPr="00B5163D">
        <w:rPr>
          <w:rFonts w:ascii="Times New Roman" w:hAnsi="Times New Roman"/>
        </w:rPr>
        <w:t xml:space="preserve">1. </w:t>
      </w:r>
      <w:r w:rsidRPr="00B5163D">
        <w:rPr>
          <w:rFonts w:ascii="Times New Roman" w:hAnsi="Times New Roman"/>
        </w:rPr>
        <w:tab/>
      </w:r>
      <w:r w:rsidRPr="00B5163D">
        <w:rPr>
          <w:rFonts w:ascii="Times New Roman" w:hAnsi="Times New Roman"/>
          <w:u w:val="single"/>
        </w:rPr>
        <w:t>Universe and Respondents Selection</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p>
    <w:p w:rsidR="00505160" w:rsidRPr="00B5163D" w:rsidRDefault="00505160"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The universe for the </w:t>
      </w:r>
      <w:r w:rsidR="00A63147">
        <w:rPr>
          <w:rFonts w:ascii="Times New Roman" w:hAnsi="Times New Roman"/>
        </w:rPr>
        <w:t>Deaths in Custody Reporting Program (</w:t>
      </w:r>
      <w:r w:rsidRPr="00B5163D">
        <w:rPr>
          <w:rFonts w:ascii="Times New Roman" w:hAnsi="Times New Roman"/>
        </w:rPr>
        <w:t>DCRP</w:t>
      </w:r>
      <w:r w:rsidR="00A63147">
        <w:rPr>
          <w:rFonts w:ascii="Times New Roman" w:hAnsi="Times New Roman"/>
        </w:rPr>
        <w:t>)</w:t>
      </w:r>
      <w:r w:rsidRPr="00B5163D">
        <w:rPr>
          <w:rFonts w:ascii="Times New Roman" w:hAnsi="Times New Roman"/>
        </w:rPr>
        <w:t xml:space="preserve"> is all deaths occurring during the process of arrest by</w:t>
      </w:r>
      <w:r w:rsidR="00914272" w:rsidRPr="00B5163D">
        <w:rPr>
          <w:rFonts w:ascii="Times New Roman" w:hAnsi="Times New Roman"/>
        </w:rPr>
        <w:t>,</w:t>
      </w:r>
      <w:r w:rsidRPr="00B5163D">
        <w:rPr>
          <w:rFonts w:ascii="Times New Roman" w:hAnsi="Times New Roman"/>
        </w:rPr>
        <w:t xml:space="preserve"> </w:t>
      </w:r>
      <w:r w:rsidR="00914272" w:rsidRPr="00B5163D">
        <w:rPr>
          <w:rFonts w:ascii="Times New Roman" w:hAnsi="Times New Roman"/>
        </w:rPr>
        <w:t>or in the custody</w:t>
      </w:r>
      <w:r w:rsidR="009E4557">
        <w:rPr>
          <w:rFonts w:ascii="Times New Roman" w:hAnsi="Times New Roman"/>
        </w:rPr>
        <w:t>,</w:t>
      </w:r>
      <w:r w:rsidR="00914272" w:rsidRPr="00B5163D">
        <w:rPr>
          <w:rFonts w:ascii="Times New Roman" w:hAnsi="Times New Roman"/>
        </w:rPr>
        <w:t xml:space="preserve"> of </w:t>
      </w:r>
      <w:r w:rsidRPr="00B5163D">
        <w:rPr>
          <w:rFonts w:ascii="Times New Roman" w:hAnsi="Times New Roman"/>
        </w:rPr>
        <w:t xml:space="preserve">state </w:t>
      </w:r>
      <w:r w:rsidR="00914272" w:rsidRPr="00B5163D">
        <w:rPr>
          <w:rFonts w:ascii="Times New Roman" w:hAnsi="Times New Roman"/>
        </w:rPr>
        <w:t>or local law enforcement personnel</w:t>
      </w:r>
      <w:r w:rsidR="009E4557">
        <w:rPr>
          <w:rFonts w:ascii="Times New Roman" w:hAnsi="Times New Roman"/>
        </w:rPr>
        <w:t>;</w:t>
      </w:r>
      <w:r w:rsidR="00914272" w:rsidRPr="00B5163D">
        <w:rPr>
          <w:rFonts w:ascii="Times New Roman" w:hAnsi="Times New Roman"/>
        </w:rPr>
        <w:t xml:space="preserve"> </w:t>
      </w:r>
      <w:r w:rsidRPr="00B5163D">
        <w:rPr>
          <w:rFonts w:ascii="Times New Roman" w:hAnsi="Times New Roman"/>
        </w:rPr>
        <w:t>while persons are in custody in local jails</w:t>
      </w:r>
      <w:r w:rsidR="009E4557">
        <w:rPr>
          <w:rFonts w:ascii="Times New Roman" w:hAnsi="Times New Roman"/>
        </w:rPr>
        <w:t>;</w:t>
      </w:r>
      <w:r w:rsidRPr="00B5163D">
        <w:rPr>
          <w:rFonts w:ascii="Times New Roman" w:hAnsi="Times New Roman"/>
        </w:rPr>
        <w:t xml:space="preserve"> and while offenders are incarcerated in state prisons. </w:t>
      </w:r>
      <w:r w:rsidR="006B0C8D">
        <w:rPr>
          <w:rFonts w:ascii="Times New Roman" w:hAnsi="Times New Roman"/>
        </w:rPr>
        <w:t>Respondents are perso</w:t>
      </w:r>
      <w:r w:rsidR="00D65410">
        <w:rPr>
          <w:rFonts w:ascii="Times New Roman" w:hAnsi="Times New Roman"/>
        </w:rPr>
        <w:t xml:space="preserve">ns in organizations having custody over the decedent. </w:t>
      </w:r>
      <w:r w:rsidR="002219CD">
        <w:rPr>
          <w:rFonts w:ascii="Times New Roman" w:hAnsi="Times New Roman"/>
        </w:rPr>
        <w:t>The potential r</w:t>
      </w:r>
      <w:r w:rsidRPr="00B5163D">
        <w:rPr>
          <w:rFonts w:ascii="Times New Roman" w:hAnsi="Times New Roman"/>
        </w:rPr>
        <w:t xml:space="preserve">espondent universe consists of (1) all state and local </w:t>
      </w:r>
      <w:r w:rsidR="004B5167">
        <w:rPr>
          <w:rFonts w:ascii="Times New Roman" w:hAnsi="Times New Roman"/>
        </w:rPr>
        <w:t>law enforcement agencies</w:t>
      </w:r>
      <w:r w:rsidRPr="00B5163D">
        <w:rPr>
          <w:rFonts w:ascii="Times New Roman" w:hAnsi="Times New Roman"/>
        </w:rPr>
        <w:t xml:space="preserve"> in the United States (about 18,000 agencies); (2) all local jails in the United States (about 3,000 such jails); and (3) each of the 50 state departments of corrections.  </w:t>
      </w:r>
      <w:r w:rsidR="004B5167" w:rsidRPr="00B5163D">
        <w:rPr>
          <w:rFonts w:ascii="Times New Roman" w:hAnsi="Times New Roman"/>
        </w:rPr>
        <w:t>For</w:t>
      </w:r>
      <w:r w:rsidR="004B5167">
        <w:rPr>
          <w:rFonts w:ascii="Times New Roman" w:hAnsi="Times New Roman"/>
        </w:rPr>
        <w:t xml:space="preserve"> (1)</w:t>
      </w:r>
      <w:r w:rsidR="004B5167" w:rsidRPr="00B5163D">
        <w:rPr>
          <w:rFonts w:ascii="Times New Roman" w:hAnsi="Times New Roman"/>
        </w:rPr>
        <w:t xml:space="preserve">, BJS uses State Reporting Coordinators (SRCs) who, as agents of BJS, </w:t>
      </w:r>
      <w:r w:rsidR="004B5167">
        <w:rPr>
          <w:rFonts w:ascii="Times New Roman" w:hAnsi="Times New Roman"/>
        </w:rPr>
        <w:t xml:space="preserve">use various methods to </w:t>
      </w:r>
      <w:r w:rsidR="004B5167" w:rsidRPr="00B5163D">
        <w:rPr>
          <w:rFonts w:ascii="Times New Roman" w:hAnsi="Times New Roman"/>
        </w:rPr>
        <w:t>collect data</w:t>
      </w:r>
      <w:r w:rsidR="004B5167">
        <w:rPr>
          <w:rFonts w:ascii="Times New Roman" w:hAnsi="Times New Roman"/>
        </w:rPr>
        <w:t xml:space="preserve"> about arrest-related deaths occurring in state and</w:t>
      </w:r>
      <w:r w:rsidR="004B5167" w:rsidRPr="00B5163D">
        <w:rPr>
          <w:rFonts w:ascii="Times New Roman" w:hAnsi="Times New Roman"/>
        </w:rPr>
        <w:t xml:space="preserve"> local law enforcement agencies. </w:t>
      </w:r>
      <w:r w:rsidRPr="00B5163D">
        <w:rPr>
          <w:rFonts w:ascii="Times New Roman" w:hAnsi="Times New Roman"/>
        </w:rPr>
        <w:t xml:space="preserve">For (2) and (3), BJS collects data from persons in the organizations directly. </w:t>
      </w:r>
    </w:p>
    <w:p w:rsidR="00B535BD" w:rsidRPr="00B5163D" w:rsidRDefault="00B535BD" w:rsidP="0050516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747202"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For </w:t>
      </w:r>
      <w:r w:rsidR="00505160" w:rsidRPr="00B5163D">
        <w:rPr>
          <w:rFonts w:ascii="Times New Roman" w:hAnsi="Times New Roman"/>
        </w:rPr>
        <w:t xml:space="preserve">each of the three collections under the DCRP (as identified in the introduction to Part A), BJS collects data on the entire universe of deaths that fall under the scope of the DCRP, rather than sampling </w:t>
      </w:r>
      <w:r w:rsidR="00D65410">
        <w:rPr>
          <w:rFonts w:ascii="Times New Roman" w:hAnsi="Times New Roman"/>
        </w:rPr>
        <w:t xml:space="preserve">deaths or </w:t>
      </w:r>
      <w:r w:rsidR="00747202" w:rsidRPr="00B5163D">
        <w:rPr>
          <w:rFonts w:ascii="Times New Roman" w:hAnsi="Times New Roman"/>
        </w:rPr>
        <w:t xml:space="preserve">agencies. </w:t>
      </w:r>
      <w:r w:rsidRPr="00B5163D">
        <w:rPr>
          <w:rFonts w:ascii="Times New Roman" w:hAnsi="Times New Roman"/>
        </w:rPr>
        <w:t>The original D</w:t>
      </w:r>
      <w:r w:rsidR="00D65410">
        <w:rPr>
          <w:rFonts w:ascii="Times New Roman" w:hAnsi="Times New Roman"/>
        </w:rPr>
        <w:t xml:space="preserve">eath in Custody Reporting Act </w:t>
      </w:r>
      <w:r w:rsidR="00A63147">
        <w:rPr>
          <w:rFonts w:ascii="Times New Roman" w:hAnsi="Times New Roman"/>
        </w:rPr>
        <w:t xml:space="preserve">(DICRA) </w:t>
      </w:r>
      <w:r w:rsidRPr="00B5163D">
        <w:rPr>
          <w:rFonts w:ascii="Times New Roman" w:hAnsi="Times New Roman"/>
        </w:rPr>
        <w:t xml:space="preserve">legislation </w:t>
      </w:r>
      <w:r w:rsidR="00747202" w:rsidRPr="00B5163D">
        <w:rPr>
          <w:rFonts w:ascii="Times New Roman" w:hAnsi="Times New Roman"/>
        </w:rPr>
        <w:t xml:space="preserve">(referenced in Part A, Item 1) required </w:t>
      </w:r>
      <w:r w:rsidRPr="00B5163D">
        <w:rPr>
          <w:rFonts w:ascii="Times New Roman" w:hAnsi="Times New Roman"/>
        </w:rPr>
        <w:t>all state prisons</w:t>
      </w:r>
      <w:r w:rsidR="00747202" w:rsidRPr="00B5163D">
        <w:rPr>
          <w:rFonts w:ascii="Times New Roman" w:hAnsi="Times New Roman"/>
        </w:rPr>
        <w:t xml:space="preserve">, </w:t>
      </w:r>
      <w:r w:rsidRPr="00B5163D">
        <w:rPr>
          <w:rFonts w:ascii="Times New Roman" w:hAnsi="Times New Roman"/>
        </w:rPr>
        <w:t>local jails</w:t>
      </w:r>
      <w:r w:rsidR="00747202" w:rsidRPr="00B5163D">
        <w:rPr>
          <w:rFonts w:ascii="Times New Roman" w:hAnsi="Times New Roman"/>
        </w:rPr>
        <w:t>, and</w:t>
      </w:r>
      <w:r w:rsidR="004B5167">
        <w:rPr>
          <w:rFonts w:ascii="Times New Roman" w:hAnsi="Times New Roman"/>
        </w:rPr>
        <w:t xml:space="preserve"> state and</w:t>
      </w:r>
      <w:r w:rsidR="00747202" w:rsidRPr="00B5163D">
        <w:rPr>
          <w:rFonts w:ascii="Times New Roman" w:hAnsi="Times New Roman"/>
        </w:rPr>
        <w:t xml:space="preserve"> local law enforcement agencies</w:t>
      </w:r>
      <w:r w:rsidRPr="00B5163D">
        <w:rPr>
          <w:rFonts w:ascii="Times New Roman" w:hAnsi="Times New Roman"/>
        </w:rPr>
        <w:t xml:space="preserve"> </w:t>
      </w:r>
      <w:r w:rsidR="00747202" w:rsidRPr="00B5163D">
        <w:rPr>
          <w:rFonts w:ascii="Times New Roman" w:hAnsi="Times New Roman"/>
        </w:rPr>
        <w:t xml:space="preserve">to </w:t>
      </w:r>
      <w:r w:rsidRPr="00B5163D">
        <w:rPr>
          <w:rFonts w:ascii="Times New Roman" w:hAnsi="Times New Roman"/>
        </w:rPr>
        <w:t>report data on deaths in custody</w:t>
      </w:r>
      <w:r w:rsidR="00747202" w:rsidRPr="00B5163D">
        <w:rPr>
          <w:rFonts w:ascii="Times New Roman" w:hAnsi="Times New Roman"/>
        </w:rPr>
        <w:t xml:space="preserve"> to the Attorney General.  </w:t>
      </w:r>
      <w:r w:rsidR="002219CD">
        <w:rPr>
          <w:rFonts w:ascii="Times New Roman" w:hAnsi="Times New Roman"/>
        </w:rPr>
        <w:t xml:space="preserve">BJS established reporting procedures for the DCRP in </w:t>
      </w:r>
      <w:r w:rsidR="00747202" w:rsidRPr="00B5163D">
        <w:rPr>
          <w:rFonts w:ascii="Times New Roman" w:hAnsi="Times New Roman"/>
        </w:rPr>
        <w:t xml:space="preserve">response </w:t>
      </w:r>
      <w:r w:rsidR="00D65410">
        <w:rPr>
          <w:rFonts w:ascii="Times New Roman" w:hAnsi="Times New Roman"/>
        </w:rPr>
        <w:t>to the DICRA legislation</w:t>
      </w:r>
      <w:r w:rsidR="002219CD">
        <w:rPr>
          <w:rFonts w:ascii="Times New Roman" w:hAnsi="Times New Roman"/>
        </w:rPr>
        <w:t xml:space="preserve"> and has maintained these reporting procedures since.  </w:t>
      </w:r>
      <w:r w:rsidR="00140849">
        <w:rPr>
          <w:rFonts w:ascii="Times New Roman" w:hAnsi="Times New Roman"/>
        </w:rPr>
        <w:t>I</w:t>
      </w:r>
      <w:r w:rsidR="00747202" w:rsidRPr="00B5163D">
        <w:rPr>
          <w:rFonts w:ascii="Times New Roman" w:hAnsi="Times New Roman"/>
        </w:rPr>
        <w:t xml:space="preserve">n 2000 and 2001, BJS established procedures for collecting data directly from the roughly 3,000 local jails and 50 state departments of corrections. In doing this, BJS built upon established contacts and procedures for collecting data from these entities for other BJS collections. </w:t>
      </w:r>
    </w:p>
    <w:p w:rsidR="002219CD" w:rsidRPr="00B5163D" w:rsidRDefault="002219C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B535BD" w:rsidRPr="00B5163D" w:rsidRDefault="00747202"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Due to cost constraints, BJS developed a different approach to identifying respondents for the </w:t>
      </w:r>
      <w:r w:rsidR="00A63147">
        <w:rPr>
          <w:rFonts w:ascii="Times New Roman" w:hAnsi="Times New Roman"/>
        </w:rPr>
        <w:t>Arrest</w:t>
      </w:r>
      <w:r w:rsidR="00361105">
        <w:rPr>
          <w:rFonts w:ascii="Times New Roman" w:hAnsi="Times New Roman"/>
        </w:rPr>
        <w:t>-</w:t>
      </w:r>
      <w:r w:rsidR="00A63147">
        <w:rPr>
          <w:rFonts w:ascii="Times New Roman" w:hAnsi="Times New Roman"/>
        </w:rPr>
        <w:t>Related Deaths (</w:t>
      </w:r>
      <w:r w:rsidRPr="00B5163D">
        <w:rPr>
          <w:rFonts w:ascii="Times New Roman" w:hAnsi="Times New Roman"/>
        </w:rPr>
        <w:t>ARD</w:t>
      </w:r>
      <w:r w:rsidR="00A63147">
        <w:rPr>
          <w:rFonts w:ascii="Times New Roman" w:hAnsi="Times New Roman"/>
        </w:rPr>
        <w:t>)</w:t>
      </w:r>
      <w:r w:rsidRPr="00B5163D">
        <w:rPr>
          <w:rFonts w:ascii="Times New Roman" w:hAnsi="Times New Roman"/>
        </w:rPr>
        <w:t xml:space="preserve">, as contacting the 18,000 state and local law enforcement agencies was beyond BJS’ means.  </w:t>
      </w:r>
      <w:r w:rsidR="00140849">
        <w:rPr>
          <w:rFonts w:ascii="Times New Roman" w:hAnsi="Times New Roman"/>
        </w:rPr>
        <w:t xml:space="preserve">In establishing the ARD portion of DCRP, BJS </w:t>
      </w:r>
      <w:r w:rsidRPr="00B5163D">
        <w:rPr>
          <w:rFonts w:ascii="Times New Roman" w:hAnsi="Times New Roman"/>
        </w:rPr>
        <w:t>identified</w:t>
      </w:r>
      <w:r w:rsidR="003A50D8">
        <w:rPr>
          <w:rFonts w:ascii="Times New Roman" w:hAnsi="Times New Roman"/>
        </w:rPr>
        <w:t xml:space="preserve"> and relied upon</w:t>
      </w:r>
      <w:r w:rsidRPr="00B5163D">
        <w:rPr>
          <w:rFonts w:ascii="Times New Roman" w:hAnsi="Times New Roman"/>
        </w:rPr>
        <w:t xml:space="preserve"> </w:t>
      </w:r>
      <w:r w:rsidR="00140849">
        <w:rPr>
          <w:rFonts w:ascii="Times New Roman" w:hAnsi="Times New Roman"/>
        </w:rPr>
        <w:t xml:space="preserve">centralized </w:t>
      </w:r>
      <w:r w:rsidRPr="00B5163D">
        <w:rPr>
          <w:rFonts w:ascii="Times New Roman" w:hAnsi="Times New Roman"/>
        </w:rPr>
        <w:t xml:space="preserve">state-level </w:t>
      </w:r>
      <w:r w:rsidR="00140849">
        <w:rPr>
          <w:rFonts w:ascii="Times New Roman" w:hAnsi="Times New Roman"/>
        </w:rPr>
        <w:t xml:space="preserve">coordinators </w:t>
      </w:r>
      <w:r w:rsidRPr="00B5163D">
        <w:rPr>
          <w:rFonts w:ascii="Times New Roman" w:hAnsi="Times New Roman"/>
        </w:rPr>
        <w:t xml:space="preserve">(the </w:t>
      </w:r>
      <w:r w:rsidR="00F40C7F" w:rsidRPr="00B5163D">
        <w:rPr>
          <w:rFonts w:ascii="Times New Roman" w:hAnsi="Times New Roman"/>
        </w:rPr>
        <w:t xml:space="preserve">State Reporting Coordinators or </w:t>
      </w:r>
      <w:r w:rsidRPr="00B5163D">
        <w:rPr>
          <w:rFonts w:ascii="Times New Roman" w:hAnsi="Times New Roman"/>
        </w:rPr>
        <w:t xml:space="preserve">SRCs) </w:t>
      </w:r>
      <w:r w:rsidR="003A50D8">
        <w:rPr>
          <w:rFonts w:ascii="Times New Roman" w:hAnsi="Times New Roman"/>
        </w:rPr>
        <w:t xml:space="preserve">to </w:t>
      </w:r>
      <w:r w:rsidR="0073448A">
        <w:rPr>
          <w:rFonts w:ascii="Times New Roman" w:hAnsi="Times New Roman"/>
        </w:rPr>
        <w:t>identify deaths that were within the scope of ARD</w:t>
      </w:r>
      <w:r w:rsidR="00140849">
        <w:rPr>
          <w:rFonts w:ascii="Times New Roman" w:hAnsi="Times New Roman"/>
        </w:rPr>
        <w:t xml:space="preserve"> and then </w:t>
      </w:r>
      <w:r w:rsidRPr="00B5163D">
        <w:rPr>
          <w:rFonts w:ascii="Times New Roman" w:hAnsi="Times New Roman"/>
        </w:rPr>
        <w:t>collect data</w:t>
      </w:r>
      <w:r w:rsidR="0073448A">
        <w:rPr>
          <w:rFonts w:ascii="Times New Roman" w:hAnsi="Times New Roman"/>
        </w:rPr>
        <w:t xml:space="preserve"> </w:t>
      </w:r>
      <w:r w:rsidR="003A50D8">
        <w:rPr>
          <w:rFonts w:ascii="Times New Roman" w:hAnsi="Times New Roman"/>
        </w:rPr>
        <w:t xml:space="preserve">directly </w:t>
      </w:r>
      <w:r w:rsidR="0073448A">
        <w:rPr>
          <w:rFonts w:ascii="Times New Roman" w:hAnsi="Times New Roman"/>
        </w:rPr>
        <w:t xml:space="preserve">from </w:t>
      </w:r>
      <w:r w:rsidR="003A50D8">
        <w:rPr>
          <w:rFonts w:ascii="Times New Roman" w:hAnsi="Times New Roman"/>
        </w:rPr>
        <w:t xml:space="preserve">the local </w:t>
      </w:r>
      <w:r w:rsidR="0073448A">
        <w:rPr>
          <w:rFonts w:ascii="Times New Roman" w:hAnsi="Times New Roman"/>
        </w:rPr>
        <w:t>law enforcement agencies</w:t>
      </w:r>
      <w:r w:rsidR="003A50D8">
        <w:rPr>
          <w:rFonts w:ascii="Times New Roman" w:hAnsi="Times New Roman"/>
        </w:rPr>
        <w:t xml:space="preserve"> in their respective states in which the deaths</w:t>
      </w:r>
      <w:r w:rsidR="004B5167">
        <w:rPr>
          <w:rFonts w:ascii="Times New Roman" w:hAnsi="Times New Roman"/>
        </w:rPr>
        <w:t xml:space="preserve"> occurred</w:t>
      </w:r>
      <w:r w:rsidR="002219CD">
        <w:rPr>
          <w:rFonts w:ascii="Times New Roman" w:hAnsi="Times New Roman"/>
        </w:rPr>
        <w:t xml:space="preserve">.  </w:t>
      </w:r>
      <w:r w:rsidR="003A50D8">
        <w:rPr>
          <w:rFonts w:ascii="Times New Roman" w:hAnsi="Times New Roman"/>
        </w:rPr>
        <w:t>The SRCs</w:t>
      </w:r>
      <w:r w:rsidR="00D77EB1">
        <w:rPr>
          <w:rFonts w:ascii="Times New Roman" w:hAnsi="Times New Roman"/>
        </w:rPr>
        <w:t xml:space="preserve"> would</w:t>
      </w:r>
      <w:r w:rsidR="003A50D8">
        <w:rPr>
          <w:rFonts w:ascii="Times New Roman" w:hAnsi="Times New Roman"/>
        </w:rPr>
        <w:t xml:space="preserve"> </w:t>
      </w:r>
      <w:r w:rsidR="00140849">
        <w:rPr>
          <w:rFonts w:ascii="Times New Roman" w:hAnsi="Times New Roman"/>
        </w:rPr>
        <w:t xml:space="preserve">then transmit </w:t>
      </w:r>
      <w:r w:rsidR="003A50D8">
        <w:rPr>
          <w:rFonts w:ascii="Times New Roman" w:hAnsi="Times New Roman"/>
        </w:rPr>
        <w:t>the data to BJS. T</w:t>
      </w:r>
      <w:r w:rsidR="002219CD">
        <w:rPr>
          <w:rFonts w:ascii="Times New Roman" w:hAnsi="Times New Roman"/>
        </w:rPr>
        <w:t>he</w:t>
      </w:r>
      <w:r w:rsidR="0073448A">
        <w:rPr>
          <w:rFonts w:ascii="Times New Roman" w:hAnsi="Times New Roman"/>
        </w:rPr>
        <w:t xml:space="preserve"> </w:t>
      </w:r>
      <w:r w:rsidR="00B535BD" w:rsidRPr="00B5163D">
        <w:rPr>
          <w:rFonts w:ascii="Times New Roman" w:hAnsi="Times New Roman"/>
        </w:rPr>
        <w:t>SRCs are typically located within state criminal justice commissions</w:t>
      </w:r>
      <w:r w:rsidR="002219CD">
        <w:rPr>
          <w:rFonts w:ascii="Times New Roman" w:hAnsi="Times New Roman"/>
        </w:rPr>
        <w:t xml:space="preserve"> (c</w:t>
      </w:r>
      <w:r w:rsidR="00B535BD" w:rsidRPr="00B5163D">
        <w:rPr>
          <w:rFonts w:ascii="Times New Roman" w:hAnsi="Times New Roman"/>
        </w:rPr>
        <w:t>ommonly administered by the governor’s office</w:t>
      </w:r>
      <w:r w:rsidR="002219CD">
        <w:rPr>
          <w:rFonts w:ascii="Times New Roman" w:hAnsi="Times New Roman"/>
        </w:rPr>
        <w:t>)</w:t>
      </w:r>
      <w:r w:rsidR="00B535BD" w:rsidRPr="00B5163D">
        <w:rPr>
          <w:rFonts w:ascii="Times New Roman" w:hAnsi="Times New Roman"/>
        </w:rPr>
        <w:t xml:space="preserve"> as well as </w:t>
      </w:r>
      <w:r w:rsidR="002219CD">
        <w:rPr>
          <w:rFonts w:ascii="Times New Roman" w:hAnsi="Times New Roman"/>
        </w:rPr>
        <w:t xml:space="preserve">in </w:t>
      </w:r>
      <w:r w:rsidR="00B535BD" w:rsidRPr="00B5163D">
        <w:rPr>
          <w:rFonts w:ascii="Times New Roman" w:hAnsi="Times New Roman"/>
        </w:rPr>
        <w:t>state attorney general offices and state police department</w:t>
      </w:r>
      <w:r w:rsidR="002219CD">
        <w:rPr>
          <w:rFonts w:ascii="Times New Roman" w:hAnsi="Times New Roman"/>
        </w:rPr>
        <w:t xml:space="preserve">s.  (See </w:t>
      </w:r>
      <w:r w:rsidR="00914272" w:rsidRPr="00B5163D">
        <w:rPr>
          <w:rFonts w:ascii="Times New Roman" w:hAnsi="Times New Roman"/>
        </w:rPr>
        <w:t>Part B, Item 2,</w:t>
      </w:r>
      <w:r w:rsidR="00140849">
        <w:rPr>
          <w:rFonts w:ascii="Times New Roman" w:hAnsi="Times New Roman"/>
        </w:rPr>
        <w:t xml:space="preserve"> </w:t>
      </w:r>
      <w:r w:rsidR="004B5167">
        <w:rPr>
          <w:rFonts w:ascii="Times New Roman" w:hAnsi="Times New Roman"/>
        </w:rPr>
        <w:t>“</w:t>
      </w:r>
      <w:r w:rsidR="00D71C71" w:rsidRPr="00B5163D">
        <w:rPr>
          <w:rFonts w:ascii="Times New Roman" w:hAnsi="Times New Roman"/>
        </w:rPr>
        <w:t>Procedures for Information Collection” for information about how the SRCs obtain the data.)</w:t>
      </w:r>
      <w:r w:rsidR="00140849">
        <w:rPr>
          <w:rFonts w:ascii="Times New Roman" w:hAnsi="Times New Roman"/>
        </w:rPr>
        <w:t xml:space="preserve"> BJS chose the SRCs because the offices in which they were located were established and recognized state-level, criminal justice offices that had legitimacy with local police departments, because they had connections with local law enforcement agencies in their states, and in many cases the SRCs had pre-existing contacts with local law enforcement agencies.</w:t>
      </w:r>
    </w:p>
    <w:p w:rsidR="00D71C71" w:rsidRPr="00B5163D" w:rsidRDefault="00D71C71"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D71C71" w:rsidRPr="00B5163D" w:rsidRDefault="00D71C71" w:rsidP="00D71C7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BJS obtains the universe of deaths rather than samples for a number of reasons.  One goal of the DCRP is to track changes in mortality in state prisons, local jails, and </w:t>
      </w:r>
      <w:r w:rsidR="00555A9F" w:rsidRPr="00B5163D">
        <w:rPr>
          <w:rFonts w:ascii="Times New Roman" w:hAnsi="Times New Roman"/>
        </w:rPr>
        <w:t>in the process of arrest</w:t>
      </w:r>
      <w:r w:rsidRPr="00B5163D">
        <w:rPr>
          <w:rFonts w:ascii="Times New Roman" w:hAnsi="Times New Roman"/>
        </w:rPr>
        <w:t xml:space="preserve">, and sampling would complicate this task immensely as well as preclude making important comparisons over time among causes of death and by demographic groups.  Sampling deaths to obtain information about the circumstances leading to DCRP-related deaths would significantly compromise BJS’ ability to accurately report on mortality in prisons, jails and in the process of </w:t>
      </w:r>
      <w:r w:rsidRPr="00B5163D">
        <w:rPr>
          <w:rFonts w:ascii="Times New Roman" w:hAnsi="Times New Roman"/>
        </w:rPr>
        <w:lastRenderedPageBreak/>
        <w:t xml:space="preserve">arrest. Sampling respondents would not appreciably reduce burden but would greatly diminish the quality and utility of the data. </w:t>
      </w:r>
    </w:p>
    <w:p w:rsidR="00D71C71" w:rsidRPr="00B5163D" w:rsidRDefault="00D71C71" w:rsidP="00D71C7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D71C71" w:rsidRPr="00B5163D" w:rsidRDefault="00D71C71" w:rsidP="00D71C7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For the prison portion of the DCRP, one goal of the program is to track state-level changes in mortality in prisons, not simply to generate a national estimate of prison mortality. The only option to achieve this goal by sampling would be to sample death records within a state. Given the relative rarity of some important</w:t>
      </w:r>
      <w:r w:rsidR="009B2CFC">
        <w:rPr>
          <w:rFonts w:ascii="Times New Roman" w:hAnsi="Times New Roman"/>
        </w:rPr>
        <w:t xml:space="preserve"> manners</w:t>
      </w:r>
      <w:r w:rsidRPr="00B5163D">
        <w:rPr>
          <w:rFonts w:ascii="Times New Roman" w:hAnsi="Times New Roman"/>
        </w:rPr>
        <w:t xml:space="preserve"> of death (e.g., suicide and homicide), sampling strategies, by design, would be very complicated and potentially burdensome on the respondents.  </w:t>
      </w:r>
    </w:p>
    <w:p w:rsidR="00D71C71" w:rsidRPr="00B5163D" w:rsidRDefault="00D71C71" w:rsidP="009911B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D71C71" w:rsidRPr="00B5163D" w:rsidRDefault="00D71C71" w:rsidP="00D71C7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In the local jail portion of the DCRP, BJS tracks changes in mortality and makes temporal and geographic comparisons over time, while also producing national data on mortality in jails. Sampling local jails would not appreciably reduce burden, and would diminish </w:t>
      </w:r>
      <w:r w:rsidR="009911B1" w:rsidRPr="00B5163D">
        <w:rPr>
          <w:rFonts w:ascii="Times New Roman" w:hAnsi="Times New Roman"/>
        </w:rPr>
        <w:t xml:space="preserve">the quality of the data, since </w:t>
      </w:r>
      <w:r w:rsidR="009B2CFC">
        <w:rPr>
          <w:rFonts w:ascii="Times New Roman" w:hAnsi="Times New Roman"/>
        </w:rPr>
        <w:t>a</w:t>
      </w:r>
      <w:r w:rsidR="009B2CFC" w:rsidRPr="00B5163D">
        <w:rPr>
          <w:rFonts w:ascii="Times New Roman" w:hAnsi="Times New Roman"/>
        </w:rPr>
        <w:t xml:space="preserve"> </w:t>
      </w:r>
      <w:r w:rsidRPr="00B5163D">
        <w:rPr>
          <w:rFonts w:ascii="Times New Roman" w:hAnsi="Times New Roman"/>
        </w:rPr>
        <w:t xml:space="preserve">sampling strategy </w:t>
      </w:r>
      <w:r w:rsidR="009B2CFC">
        <w:rPr>
          <w:rFonts w:ascii="Times New Roman" w:hAnsi="Times New Roman"/>
        </w:rPr>
        <w:t>producing</w:t>
      </w:r>
      <w:r w:rsidRPr="00B5163D">
        <w:rPr>
          <w:rFonts w:ascii="Times New Roman" w:hAnsi="Times New Roman"/>
        </w:rPr>
        <w:t xml:space="preserve"> national estimates of jail deaths would necessarily include the largest jails in the country, plus regional jails (those that serve multiple counties). These 300 jails consistently provide the majority of deaths, so a sampling plan</w:t>
      </w:r>
      <w:r w:rsidR="009911B1" w:rsidRPr="00B5163D">
        <w:rPr>
          <w:rFonts w:ascii="Times New Roman" w:hAnsi="Times New Roman"/>
        </w:rPr>
        <w:t xml:space="preserve"> that yielded precise national estimates of mortality </w:t>
      </w:r>
      <w:r w:rsidRPr="00B5163D">
        <w:rPr>
          <w:rFonts w:ascii="Times New Roman" w:hAnsi="Times New Roman"/>
        </w:rPr>
        <w:t xml:space="preserve">would not reduce their burden. </w:t>
      </w:r>
    </w:p>
    <w:p w:rsidR="00D71C71" w:rsidRPr="00B5163D" w:rsidRDefault="00D71C71" w:rsidP="009911B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D71C71" w:rsidRPr="00B5163D" w:rsidRDefault="00D71C71" w:rsidP="00D71C7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Sampling smaller jails would decrease the </w:t>
      </w:r>
      <w:r w:rsidR="009911B1" w:rsidRPr="00B5163D">
        <w:rPr>
          <w:rFonts w:ascii="Times New Roman" w:hAnsi="Times New Roman"/>
        </w:rPr>
        <w:t xml:space="preserve">reliability of estimates. </w:t>
      </w:r>
      <w:r w:rsidRPr="00B5163D">
        <w:rPr>
          <w:rFonts w:ascii="Times New Roman" w:hAnsi="Times New Roman"/>
        </w:rPr>
        <w:t xml:space="preserve">During a given year, approximately 80% of jails report no deaths, so their reporting burden is quite small—i.e., they only fill out the annual summary form and participate in the verification calls. However, jails do not report zero deaths from year to year on a consistent or predictable basis. Sampling to capture variation would require either a fairly large number of small jails or different cross-sections from year to year. A large panel would not appreciably reduce burden and would reduce accuracy. A cross-sectional design could allow for greater accuracy in estimates of deaths in jails with small numbers of deaths, but would involve greater administrative burden and possibly increase respondent burden for respondents that fall in and out of the sample. </w:t>
      </w:r>
    </w:p>
    <w:p w:rsidR="00D71C71" w:rsidRPr="00B5163D" w:rsidRDefault="00D71C71" w:rsidP="00D71C7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D71C71" w:rsidRPr="00B5163D" w:rsidRDefault="00D71C71" w:rsidP="00D71C7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Further, although local jails are typically administered at a county level, BJS generates state-level total counts of jail inmate deaths. On average, there are 60 jails per state, so sampling to produce state-level estimates would require a nearly full enumeration of jails, eliminating any reduction in burden. Consequently, sampling jails to obtain mortality data does not provide cost or burden savings and would likely reduce the accuracy of information. Finally, jails are now accustomed to the collection and have adapted their information systems to readily provide the data we seek. </w:t>
      </w:r>
    </w:p>
    <w:p w:rsidR="00F40C7F" w:rsidRPr="00B5163D" w:rsidRDefault="00F40C7F" w:rsidP="00F40C7F">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B535BD" w:rsidRPr="00B5163D" w:rsidRDefault="009911B1" w:rsidP="009911B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Sampling </w:t>
      </w:r>
      <w:r w:rsidR="009B2CFC">
        <w:rPr>
          <w:rFonts w:ascii="Times New Roman" w:hAnsi="Times New Roman"/>
        </w:rPr>
        <w:t>law enforcement agencies</w:t>
      </w:r>
      <w:r w:rsidRPr="00B5163D">
        <w:rPr>
          <w:rFonts w:ascii="Times New Roman" w:hAnsi="Times New Roman"/>
        </w:rPr>
        <w:t xml:space="preserve"> to collect data on arrest-related deaths would present the same obstacles as sampling local jails. Much like local jails, arrest-related deaths are rare</w:t>
      </w:r>
      <w:r w:rsidR="00A63147">
        <w:rPr>
          <w:rFonts w:ascii="Times New Roman" w:hAnsi="Times New Roman"/>
        </w:rPr>
        <w:t xml:space="preserve"> </w:t>
      </w:r>
      <w:r w:rsidRPr="00B5163D">
        <w:rPr>
          <w:rFonts w:ascii="Times New Roman" w:hAnsi="Times New Roman"/>
        </w:rPr>
        <w:t>events and a sampling scheme would be costly, burdensome</w:t>
      </w:r>
      <w:r w:rsidR="00914272" w:rsidRPr="00B5163D">
        <w:rPr>
          <w:rFonts w:ascii="Times New Roman" w:hAnsi="Times New Roman"/>
        </w:rPr>
        <w:t>,</w:t>
      </w:r>
      <w:r w:rsidRPr="00B5163D">
        <w:rPr>
          <w:rFonts w:ascii="Times New Roman" w:hAnsi="Times New Roman"/>
        </w:rPr>
        <w:t xml:space="preserve"> and unlikely to produce accurate results.</w:t>
      </w:r>
    </w:p>
    <w:p w:rsidR="00954A8C" w:rsidRPr="00B5163D" w:rsidRDefault="00954A8C"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r w:rsidRPr="00B5163D" w:rsidDel="003E7A37">
        <w:rPr>
          <w:rFonts w:ascii="Times New Roman" w:hAnsi="Times New Roman"/>
        </w:rPr>
        <w:t xml:space="preserve"> </w:t>
      </w:r>
      <w:r w:rsidRPr="00B5163D">
        <w:rPr>
          <w:rFonts w:ascii="Times New Roman" w:hAnsi="Times New Roman"/>
        </w:rPr>
        <w:t>2.</w:t>
      </w:r>
      <w:r w:rsidRPr="00B5163D">
        <w:rPr>
          <w:rFonts w:ascii="Times New Roman" w:hAnsi="Times New Roman"/>
        </w:rPr>
        <w:tab/>
      </w:r>
      <w:r w:rsidRPr="00B5163D">
        <w:rPr>
          <w:rFonts w:ascii="Times New Roman" w:hAnsi="Times New Roman"/>
          <w:u w:val="single"/>
        </w:rPr>
        <w:t>Procedures for Information Collection</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p>
    <w:p w:rsidR="00C0727C" w:rsidRPr="00C0727C" w:rsidRDefault="00B535BD" w:rsidP="007E49F2">
      <w:pPr>
        <w:pStyle w:val="NoSpacing"/>
        <w:rPr>
          <w:rFonts w:ascii="Times New Roman" w:hAnsi="Times New Roman"/>
          <w:sz w:val="24"/>
          <w:szCs w:val="24"/>
        </w:rPr>
      </w:pPr>
      <w:r w:rsidRPr="00B5163D">
        <w:rPr>
          <w:rFonts w:ascii="Times New Roman" w:hAnsi="Times New Roman" w:cs="Times New Roman"/>
          <w:b/>
          <w:i/>
          <w:sz w:val="24"/>
          <w:szCs w:val="24"/>
        </w:rPr>
        <w:t xml:space="preserve">Procedures for the </w:t>
      </w:r>
      <w:r w:rsidR="009911B1" w:rsidRPr="00B5163D">
        <w:rPr>
          <w:rFonts w:ascii="Times New Roman" w:hAnsi="Times New Roman" w:cs="Times New Roman"/>
          <w:b/>
          <w:i/>
          <w:sz w:val="24"/>
          <w:szCs w:val="24"/>
        </w:rPr>
        <w:t>DCRP-ARD collection.</w:t>
      </w:r>
      <w:r w:rsidR="009911B1" w:rsidRPr="00B5163D">
        <w:rPr>
          <w:rFonts w:ascii="Times New Roman" w:hAnsi="Times New Roman" w:cs="Times New Roman"/>
          <w:sz w:val="24"/>
          <w:szCs w:val="24"/>
        </w:rPr>
        <w:t xml:space="preserve">  </w:t>
      </w:r>
      <w:r w:rsidR="00C0727C" w:rsidRPr="00C0727C">
        <w:rPr>
          <w:rFonts w:ascii="Times New Roman" w:hAnsi="Times New Roman"/>
          <w:sz w:val="24"/>
          <w:szCs w:val="24"/>
        </w:rPr>
        <w:t xml:space="preserve">In establishing the ARD program, BJS determined it was not feasible to survey the universe of state and local law enforcement agencies in order to identify and obtain national information on arrest-related deaths.  As an alternative approach to a direct survey of law enforcement agencies, BJS identified offices to act as centralized reporting agents for the state.  </w:t>
      </w:r>
      <w:r w:rsidR="007E49F2" w:rsidRPr="00C0727C">
        <w:rPr>
          <w:rFonts w:ascii="Times New Roman" w:hAnsi="Times New Roman" w:cs="Times New Roman"/>
          <w:sz w:val="24"/>
          <w:szCs w:val="24"/>
        </w:rPr>
        <w:t xml:space="preserve">Since 2003, </w:t>
      </w:r>
      <w:r w:rsidR="00A12144" w:rsidRPr="00C0727C">
        <w:rPr>
          <w:rFonts w:ascii="Times New Roman" w:hAnsi="Times New Roman" w:cs="Times New Roman"/>
          <w:sz w:val="24"/>
          <w:szCs w:val="24"/>
        </w:rPr>
        <w:t xml:space="preserve">BJS has </w:t>
      </w:r>
      <w:r w:rsidR="004B08FC" w:rsidRPr="00C0727C">
        <w:rPr>
          <w:rFonts w:ascii="Times New Roman" w:hAnsi="Times New Roman" w:cs="Times New Roman"/>
          <w:sz w:val="24"/>
          <w:szCs w:val="24"/>
        </w:rPr>
        <w:t>used</w:t>
      </w:r>
      <w:r w:rsidR="00A12144" w:rsidRPr="00C0727C">
        <w:rPr>
          <w:rFonts w:ascii="Times New Roman" w:hAnsi="Times New Roman" w:cs="Times New Roman"/>
          <w:sz w:val="24"/>
          <w:szCs w:val="24"/>
        </w:rPr>
        <w:t xml:space="preserve"> </w:t>
      </w:r>
      <w:r w:rsidR="007E49F2" w:rsidRPr="00C0727C">
        <w:rPr>
          <w:rFonts w:ascii="Times New Roman" w:hAnsi="Times New Roman" w:cs="Times New Roman"/>
          <w:sz w:val="24"/>
          <w:szCs w:val="24"/>
        </w:rPr>
        <w:t xml:space="preserve">State Reporting Coordinators (SRC) </w:t>
      </w:r>
      <w:r w:rsidR="00A12144" w:rsidRPr="00C0727C">
        <w:rPr>
          <w:rFonts w:ascii="Times New Roman" w:hAnsi="Times New Roman" w:cs="Times New Roman"/>
          <w:sz w:val="24"/>
          <w:szCs w:val="24"/>
        </w:rPr>
        <w:t xml:space="preserve">to compile </w:t>
      </w:r>
      <w:r w:rsidR="007E49F2" w:rsidRPr="00C0727C">
        <w:rPr>
          <w:rFonts w:ascii="Times New Roman" w:hAnsi="Times New Roman" w:cs="Times New Roman"/>
          <w:sz w:val="24"/>
          <w:szCs w:val="24"/>
        </w:rPr>
        <w:t xml:space="preserve">information about deaths </w:t>
      </w:r>
      <w:r w:rsidR="00914272" w:rsidRPr="00C0727C">
        <w:rPr>
          <w:rFonts w:ascii="Times New Roman" w:hAnsi="Times New Roman" w:cs="Times New Roman"/>
          <w:sz w:val="24"/>
          <w:szCs w:val="24"/>
        </w:rPr>
        <w:t>that occur during the process of arrest by, or in the custody of,</w:t>
      </w:r>
      <w:r w:rsidR="007E49F2" w:rsidRPr="00C0727C">
        <w:rPr>
          <w:rFonts w:ascii="Times New Roman" w:hAnsi="Times New Roman" w:cs="Times New Roman"/>
          <w:sz w:val="24"/>
          <w:szCs w:val="24"/>
        </w:rPr>
        <w:t xml:space="preserve"> state and local law enforcement personnel.  </w:t>
      </w:r>
      <w:r w:rsidR="00C0727C" w:rsidRPr="00C0727C">
        <w:rPr>
          <w:rFonts w:ascii="Times New Roman" w:hAnsi="Times New Roman"/>
          <w:sz w:val="24"/>
          <w:szCs w:val="24"/>
        </w:rPr>
        <w:t xml:space="preserve">These offices are typically located within state criminal justice </w:t>
      </w:r>
      <w:r w:rsidR="00C0727C" w:rsidRPr="00C0727C">
        <w:rPr>
          <w:rFonts w:ascii="Times New Roman" w:hAnsi="Times New Roman"/>
          <w:sz w:val="24"/>
          <w:szCs w:val="24"/>
        </w:rPr>
        <w:lastRenderedPageBreak/>
        <w:t xml:space="preserve">commissions (commonly administered by the governor’s office) as well as in state attorney general offices and state police departments.  Each SRC office (which vary by state) was selected to act as the reporting coordinator for the ARD program because BJS determined each office was capable of identifying and collecting information on arrest-related deaths.  </w:t>
      </w:r>
    </w:p>
    <w:p w:rsidR="00C0727C" w:rsidRDefault="00C0727C" w:rsidP="007E49F2">
      <w:pPr>
        <w:pStyle w:val="NoSpacing"/>
        <w:rPr>
          <w:rFonts w:ascii="Times New Roman" w:hAnsi="Times New Roman" w:cs="Times New Roman"/>
          <w:sz w:val="24"/>
          <w:szCs w:val="24"/>
        </w:rPr>
      </w:pPr>
    </w:p>
    <w:p w:rsidR="007E49F2" w:rsidRPr="00B5163D" w:rsidRDefault="007E49F2" w:rsidP="007E49F2">
      <w:pPr>
        <w:pStyle w:val="NoSpacing"/>
        <w:rPr>
          <w:rFonts w:ascii="Times New Roman" w:hAnsi="Times New Roman" w:cs="Times New Roman"/>
          <w:sz w:val="24"/>
          <w:szCs w:val="24"/>
        </w:rPr>
      </w:pPr>
      <w:r w:rsidRPr="00B5163D">
        <w:rPr>
          <w:rFonts w:ascii="Times New Roman" w:hAnsi="Times New Roman" w:cs="Times New Roman"/>
          <w:sz w:val="24"/>
          <w:szCs w:val="24"/>
        </w:rPr>
        <w:t>The role of the SRC is to actively identify deaths that are reportable to the ARD program, compile information about these deaths, and submit data on these incidents to BJS.</w:t>
      </w:r>
      <w:r w:rsidR="00A12144">
        <w:rPr>
          <w:rFonts w:ascii="Times New Roman" w:hAnsi="Times New Roman" w:cs="Times New Roman"/>
          <w:sz w:val="24"/>
          <w:szCs w:val="24"/>
        </w:rPr>
        <w:t xml:space="preserve"> </w:t>
      </w:r>
      <w:r w:rsidR="003007F9">
        <w:rPr>
          <w:rFonts w:ascii="Times New Roman" w:hAnsi="Times New Roman" w:cs="Times New Roman"/>
          <w:sz w:val="24"/>
          <w:szCs w:val="24"/>
        </w:rPr>
        <w:t>S</w:t>
      </w:r>
      <w:r w:rsidR="004F0C4D">
        <w:rPr>
          <w:rFonts w:ascii="Times New Roman" w:hAnsi="Times New Roman" w:cs="Times New Roman"/>
          <w:sz w:val="24"/>
          <w:szCs w:val="24"/>
        </w:rPr>
        <w:t>ome S</w:t>
      </w:r>
      <w:r w:rsidR="003007F9">
        <w:rPr>
          <w:rFonts w:ascii="Times New Roman" w:hAnsi="Times New Roman" w:cs="Times New Roman"/>
          <w:sz w:val="24"/>
          <w:szCs w:val="24"/>
        </w:rPr>
        <w:t>RCs use BJS funding</w:t>
      </w:r>
      <w:r w:rsidR="00A12144">
        <w:rPr>
          <w:rFonts w:ascii="Times New Roman" w:hAnsi="Times New Roman" w:cs="Times New Roman"/>
          <w:sz w:val="24"/>
          <w:szCs w:val="24"/>
        </w:rPr>
        <w:t xml:space="preserve"> through </w:t>
      </w:r>
      <w:r w:rsidR="004B08FC">
        <w:rPr>
          <w:rFonts w:ascii="Times New Roman" w:hAnsi="Times New Roman" w:cs="Times New Roman"/>
          <w:sz w:val="24"/>
          <w:szCs w:val="24"/>
        </w:rPr>
        <w:t>BJS’ State</w:t>
      </w:r>
      <w:r w:rsidR="00A12144">
        <w:rPr>
          <w:rFonts w:ascii="Times New Roman" w:hAnsi="Times New Roman" w:cs="Times New Roman"/>
          <w:sz w:val="24"/>
          <w:szCs w:val="24"/>
        </w:rPr>
        <w:t xml:space="preserve"> Justice </w:t>
      </w:r>
      <w:r w:rsidR="00404C84">
        <w:rPr>
          <w:rFonts w:ascii="Times New Roman" w:hAnsi="Times New Roman" w:cs="Times New Roman"/>
          <w:sz w:val="24"/>
          <w:szCs w:val="24"/>
        </w:rPr>
        <w:t>Statistics Program for State Statistical Analysis Centers</w:t>
      </w:r>
      <w:r w:rsidR="003007F9">
        <w:rPr>
          <w:rFonts w:ascii="Times New Roman" w:hAnsi="Times New Roman" w:cs="Times New Roman"/>
          <w:sz w:val="24"/>
          <w:szCs w:val="24"/>
        </w:rPr>
        <w:t xml:space="preserve"> to support staff time for ARD-related work.</w:t>
      </w:r>
      <w:r w:rsidR="00A12144">
        <w:rPr>
          <w:rFonts w:ascii="Times New Roman" w:hAnsi="Times New Roman" w:cs="Times New Roman"/>
          <w:sz w:val="24"/>
          <w:szCs w:val="24"/>
        </w:rPr>
        <w:t xml:space="preserve">  </w:t>
      </w:r>
    </w:p>
    <w:p w:rsidR="007E49F2" w:rsidRPr="00B5163D" w:rsidRDefault="007E49F2" w:rsidP="007E49F2">
      <w:pPr>
        <w:pStyle w:val="NoSpacing"/>
        <w:rPr>
          <w:rFonts w:ascii="Times New Roman" w:hAnsi="Times New Roman" w:cs="Times New Roman"/>
          <w:sz w:val="24"/>
          <w:szCs w:val="24"/>
        </w:rPr>
      </w:pPr>
    </w:p>
    <w:p w:rsidR="007E49F2" w:rsidRPr="00B5163D" w:rsidRDefault="007E49F2" w:rsidP="00A12144">
      <w:pPr>
        <w:pStyle w:val="NoSpacing"/>
        <w:rPr>
          <w:rFonts w:ascii="Times New Roman" w:hAnsi="Times New Roman" w:cs="Times New Roman"/>
          <w:sz w:val="24"/>
          <w:szCs w:val="24"/>
        </w:rPr>
      </w:pPr>
      <w:r w:rsidRPr="00B5163D">
        <w:rPr>
          <w:rFonts w:ascii="Times New Roman" w:hAnsi="Times New Roman" w:cs="Times New Roman"/>
          <w:sz w:val="24"/>
          <w:szCs w:val="24"/>
        </w:rPr>
        <w:t>In January of each year,</w:t>
      </w:r>
      <w:r w:rsidR="00A12144">
        <w:rPr>
          <w:rFonts w:ascii="Times New Roman" w:hAnsi="Times New Roman" w:cs="Times New Roman"/>
          <w:sz w:val="24"/>
          <w:szCs w:val="24"/>
        </w:rPr>
        <w:t xml:space="preserve"> BJS notifies</w:t>
      </w:r>
      <w:r w:rsidRPr="00B5163D">
        <w:rPr>
          <w:rFonts w:ascii="Times New Roman" w:hAnsi="Times New Roman" w:cs="Times New Roman"/>
          <w:sz w:val="24"/>
          <w:szCs w:val="24"/>
        </w:rPr>
        <w:t xml:space="preserve"> the SRC</w:t>
      </w:r>
      <w:r w:rsidR="00A12144">
        <w:rPr>
          <w:rFonts w:ascii="Times New Roman" w:hAnsi="Times New Roman" w:cs="Times New Roman"/>
          <w:sz w:val="24"/>
          <w:szCs w:val="24"/>
        </w:rPr>
        <w:t>s</w:t>
      </w:r>
      <w:r w:rsidRPr="00B5163D">
        <w:rPr>
          <w:rFonts w:ascii="Times New Roman" w:hAnsi="Times New Roman" w:cs="Times New Roman"/>
          <w:sz w:val="24"/>
          <w:szCs w:val="24"/>
        </w:rPr>
        <w:t xml:space="preserve"> </w:t>
      </w:r>
      <w:r w:rsidR="00A12144">
        <w:rPr>
          <w:rFonts w:ascii="Times New Roman" w:hAnsi="Times New Roman" w:cs="Times New Roman"/>
          <w:sz w:val="24"/>
          <w:szCs w:val="24"/>
        </w:rPr>
        <w:t>b</w:t>
      </w:r>
      <w:r w:rsidRPr="00B5163D">
        <w:rPr>
          <w:rFonts w:ascii="Times New Roman" w:hAnsi="Times New Roman" w:cs="Times New Roman"/>
          <w:sz w:val="24"/>
          <w:szCs w:val="24"/>
        </w:rPr>
        <w:t>y email (</w:t>
      </w:r>
      <w:r w:rsidR="009147B8" w:rsidRPr="00B5163D">
        <w:rPr>
          <w:rFonts w:ascii="Times New Roman" w:hAnsi="Times New Roman" w:cs="Times New Roman"/>
          <w:sz w:val="24"/>
          <w:szCs w:val="24"/>
        </w:rPr>
        <w:t xml:space="preserve">see Appendix C, Attachment </w:t>
      </w:r>
      <w:r w:rsidR="00D77EB1">
        <w:rPr>
          <w:rFonts w:ascii="Times New Roman" w:hAnsi="Times New Roman" w:cs="Times New Roman"/>
          <w:sz w:val="24"/>
          <w:szCs w:val="24"/>
        </w:rPr>
        <w:t>G</w:t>
      </w:r>
      <w:r w:rsidRPr="00B5163D">
        <w:rPr>
          <w:rFonts w:ascii="Times New Roman" w:hAnsi="Times New Roman" w:cs="Times New Roman"/>
          <w:sz w:val="24"/>
          <w:szCs w:val="24"/>
        </w:rPr>
        <w:t>) abo</w:t>
      </w:r>
      <w:r w:rsidR="00914272" w:rsidRPr="00B5163D">
        <w:rPr>
          <w:rFonts w:ascii="Times New Roman" w:hAnsi="Times New Roman" w:cs="Times New Roman"/>
          <w:sz w:val="24"/>
          <w:szCs w:val="24"/>
        </w:rPr>
        <w:t xml:space="preserve">ut </w:t>
      </w:r>
      <w:r w:rsidR="00A12144">
        <w:rPr>
          <w:rFonts w:ascii="Times New Roman" w:hAnsi="Times New Roman" w:cs="Times New Roman"/>
          <w:sz w:val="24"/>
          <w:szCs w:val="24"/>
        </w:rPr>
        <w:t xml:space="preserve">the initiation of a new year of ARD data collection and provides the SRCs with </w:t>
      </w:r>
      <w:r w:rsidRPr="00B5163D">
        <w:rPr>
          <w:rFonts w:ascii="Times New Roman" w:hAnsi="Times New Roman" w:cs="Times New Roman"/>
          <w:sz w:val="24"/>
          <w:szCs w:val="24"/>
        </w:rPr>
        <w:t>key program materials</w:t>
      </w:r>
      <w:r w:rsidR="00A12144">
        <w:rPr>
          <w:rFonts w:ascii="Times New Roman" w:hAnsi="Times New Roman" w:cs="Times New Roman"/>
          <w:sz w:val="24"/>
          <w:szCs w:val="24"/>
        </w:rPr>
        <w:t xml:space="preserve">, including (a) the </w:t>
      </w:r>
      <w:r w:rsidRPr="00B5163D">
        <w:rPr>
          <w:rFonts w:ascii="Times New Roman" w:hAnsi="Times New Roman" w:cs="Times New Roman"/>
          <w:sz w:val="24"/>
          <w:szCs w:val="24"/>
        </w:rPr>
        <w:t>CJ-11 Summary of Incidents</w:t>
      </w:r>
      <w:r w:rsidR="00A12144">
        <w:rPr>
          <w:rFonts w:ascii="Times New Roman" w:hAnsi="Times New Roman" w:cs="Times New Roman"/>
          <w:sz w:val="24"/>
          <w:szCs w:val="24"/>
        </w:rPr>
        <w:t xml:space="preserve"> form; (b) the</w:t>
      </w:r>
      <w:r w:rsidRPr="00B5163D">
        <w:rPr>
          <w:rFonts w:ascii="Times New Roman" w:hAnsi="Times New Roman" w:cs="Times New Roman"/>
          <w:sz w:val="24"/>
          <w:szCs w:val="24"/>
        </w:rPr>
        <w:t xml:space="preserve"> CJ-11A Incident Report,</w:t>
      </w:r>
      <w:r w:rsidR="00CD4166" w:rsidRPr="00B5163D">
        <w:rPr>
          <w:rFonts w:ascii="Times New Roman" w:hAnsi="Times New Roman" w:cs="Times New Roman"/>
          <w:sz w:val="24"/>
          <w:szCs w:val="24"/>
        </w:rPr>
        <w:t xml:space="preserve"> </w:t>
      </w:r>
      <w:r w:rsidR="00A12144">
        <w:rPr>
          <w:rFonts w:ascii="Times New Roman" w:hAnsi="Times New Roman" w:cs="Times New Roman"/>
          <w:sz w:val="24"/>
          <w:szCs w:val="24"/>
        </w:rPr>
        <w:t xml:space="preserve">and (c) </w:t>
      </w:r>
      <w:r w:rsidR="00CD4166" w:rsidRPr="00B5163D">
        <w:rPr>
          <w:rFonts w:ascii="Times New Roman" w:hAnsi="Times New Roman" w:cs="Times New Roman"/>
          <w:sz w:val="24"/>
          <w:szCs w:val="24"/>
        </w:rPr>
        <w:t>a</w:t>
      </w:r>
      <w:r w:rsidRPr="00B5163D">
        <w:rPr>
          <w:rFonts w:ascii="Times New Roman" w:hAnsi="Times New Roman" w:cs="Times New Roman"/>
          <w:sz w:val="24"/>
          <w:szCs w:val="24"/>
        </w:rPr>
        <w:t xml:space="preserve"> Question-by-Question Guide to aid in completing the CJ-11A.  In addition, the email provides general program information, such as key dates </w:t>
      </w:r>
      <w:r w:rsidR="002F5C32">
        <w:rPr>
          <w:rFonts w:ascii="Times New Roman" w:hAnsi="Times New Roman" w:cs="Times New Roman"/>
          <w:sz w:val="24"/>
          <w:szCs w:val="24"/>
        </w:rPr>
        <w:t xml:space="preserve">and methods </w:t>
      </w:r>
      <w:r w:rsidRPr="00B5163D">
        <w:rPr>
          <w:rFonts w:ascii="Times New Roman" w:hAnsi="Times New Roman" w:cs="Times New Roman"/>
          <w:sz w:val="24"/>
          <w:szCs w:val="24"/>
        </w:rPr>
        <w:t xml:space="preserve">for submitting data. </w:t>
      </w:r>
      <w:r w:rsidR="00A12144">
        <w:rPr>
          <w:rFonts w:ascii="Times New Roman" w:hAnsi="Times New Roman" w:cs="Times New Roman"/>
          <w:sz w:val="24"/>
          <w:szCs w:val="24"/>
        </w:rPr>
        <w:t xml:space="preserve">SRCs may submit data on </w:t>
      </w:r>
      <w:r w:rsidRPr="00B5163D">
        <w:rPr>
          <w:rFonts w:ascii="Times New Roman" w:hAnsi="Times New Roman" w:cs="Times New Roman"/>
          <w:sz w:val="24"/>
          <w:szCs w:val="24"/>
        </w:rPr>
        <w:t>an ongoing basis</w:t>
      </w:r>
      <w:r w:rsidR="00A12144">
        <w:rPr>
          <w:rFonts w:ascii="Times New Roman" w:hAnsi="Times New Roman" w:cs="Times New Roman"/>
          <w:sz w:val="24"/>
          <w:szCs w:val="24"/>
        </w:rPr>
        <w:t xml:space="preserve"> or they may </w:t>
      </w:r>
      <w:r w:rsidRPr="00B5163D">
        <w:rPr>
          <w:rFonts w:ascii="Times New Roman" w:hAnsi="Times New Roman" w:cs="Times New Roman"/>
          <w:sz w:val="24"/>
          <w:szCs w:val="24"/>
        </w:rPr>
        <w:t xml:space="preserve">submit </w:t>
      </w:r>
      <w:r w:rsidR="00A12144">
        <w:rPr>
          <w:rFonts w:ascii="Times New Roman" w:hAnsi="Times New Roman" w:cs="Times New Roman"/>
          <w:sz w:val="24"/>
          <w:szCs w:val="24"/>
        </w:rPr>
        <w:t xml:space="preserve">records according to a predetermined </w:t>
      </w:r>
      <w:r w:rsidRPr="00B5163D">
        <w:rPr>
          <w:rFonts w:ascii="Times New Roman" w:hAnsi="Times New Roman" w:cs="Times New Roman"/>
          <w:sz w:val="24"/>
          <w:szCs w:val="24"/>
        </w:rPr>
        <w:t>submission</w:t>
      </w:r>
      <w:r w:rsidR="00A12144">
        <w:rPr>
          <w:rFonts w:ascii="Times New Roman" w:hAnsi="Times New Roman" w:cs="Times New Roman"/>
          <w:sz w:val="24"/>
          <w:szCs w:val="24"/>
        </w:rPr>
        <w:t xml:space="preserve"> schedule</w:t>
      </w:r>
      <w:r w:rsidRPr="00B5163D">
        <w:rPr>
          <w:rFonts w:ascii="Times New Roman" w:hAnsi="Times New Roman" w:cs="Times New Roman"/>
          <w:sz w:val="24"/>
          <w:szCs w:val="24"/>
        </w:rPr>
        <w:t xml:space="preserve">.  </w:t>
      </w:r>
      <w:r w:rsidR="00A12144">
        <w:rPr>
          <w:rFonts w:ascii="Times New Roman" w:hAnsi="Times New Roman" w:cs="Times New Roman"/>
          <w:sz w:val="24"/>
          <w:szCs w:val="24"/>
        </w:rPr>
        <w:t xml:space="preserve">The SCRs can transmit data to BJS </w:t>
      </w:r>
      <w:r w:rsidRPr="00B5163D">
        <w:rPr>
          <w:rFonts w:ascii="Times New Roman" w:hAnsi="Times New Roman" w:cs="Times New Roman"/>
          <w:sz w:val="24"/>
          <w:szCs w:val="24"/>
        </w:rPr>
        <w:t>via mail, encrypted email, or secure fax.</w:t>
      </w:r>
    </w:p>
    <w:p w:rsidR="007E49F2" w:rsidRDefault="007E49F2" w:rsidP="007E49F2">
      <w:pPr>
        <w:pStyle w:val="NoSpacing"/>
        <w:rPr>
          <w:rFonts w:ascii="Times New Roman" w:hAnsi="Times New Roman" w:cs="Times New Roman"/>
          <w:sz w:val="24"/>
          <w:szCs w:val="24"/>
        </w:rPr>
      </w:pPr>
    </w:p>
    <w:p w:rsidR="007E49F2" w:rsidRPr="00B5163D" w:rsidRDefault="00B664AF" w:rsidP="007E49F2">
      <w:pPr>
        <w:pStyle w:val="NoSpacing"/>
        <w:rPr>
          <w:rFonts w:ascii="Times New Roman" w:hAnsi="Times New Roman" w:cs="Times New Roman"/>
          <w:sz w:val="24"/>
          <w:szCs w:val="24"/>
        </w:rPr>
      </w:pPr>
      <w:r>
        <w:rPr>
          <w:rFonts w:ascii="Times New Roman" w:hAnsi="Times New Roman" w:cs="Times New Roman"/>
          <w:sz w:val="24"/>
          <w:szCs w:val="24"/>
        </w:rPr>
        <w:t xml:space="preserve">The SRCs two major responsibilities are (1) to identify </w:t>
      </w:r>
      <w:r w:rsidR="007E49F2" w:rsidRPr="00B5163D">
        <w:rPr>
          <w:rFonts w:ascii="Times New Roman" w:hAnsi="Times New Roman" w:cs="Times New Roman"/>
          <w:sz w:val="24"/>
          <w:szCs w:val="24"/>
        </w:rPr>
        <w:t xml:space="preserve">all </w:t>
      </w:r>
      <w:r>
        <w:rPr>
          <w:rFonts w:ascii="Times New Roman" w:hAnsi="Times New Roman" w:cs="Times New Roman"/>
          <w:sz w:val="24"/>
          <w:szCs w:val="24"/>
        </w:rPr>
        <w:t xml:space="preserve">ARD </w:t>
      </w:r>
      <w:r w:rsidR="007E49F2" w:rsidRPr="00B5163D">
        <w:rPr>
          <w:rFonts w:ascii="Times New Roman" w:hAnsi="Times New Roman" w:cs="Times New Roman"/>
          <w:sz w:val="24"/>
          <w:szCs w:val="24"/>
        </w:rPr>
        <w:t>reportable deaths in their state</w:t>
      </w:r>
      <w:r>
        <w:rPr>
          <w:rFonts w:ascii="Times New Roman" w:hAnsi="Times New Roman" w:cs="Times New Roman"/>
          <w:sz w:val="24"/>
          <w:szCs w:val="24"/>
        </w:rPr>
        <w:t xml:space="preserve"> and (2) to complete a CJ-11A (incident report) for each death.  </w:t>
      </w:r>
      <w:r w:rsidR="00C0727C">
        <w:rPr>
          <w:rFonts w:ascii="Times New Roman" w:hAnsi="Times New Roman"/>
        </w:rPr>
        <w:t xml:space="preserve">Because the type of office acting as the SRC varies by state, </w:t>
      </w:r>
      <w:r>
        <w:rPr>
          <w:rFonts w:ascii="Times New Roman" w:hAnsi="Times New Roman" w:cs="Times New Roman"/>
          <w:sz w:val="24"/>
          <w:szCs w:val="24"/>
        </w:rPr>
        <w:t>SRCs use a variety of methods to identify ARD-reportable deaths</w:t>
      </w:r>
      <w:r w:rsidR="000A6F43">
        <w:rPr>
          <w:rFonts w:ascii="Times New Roman" w:hAnsi="Times New Roman" w:cs="Times New Roman"/>
          <w:sz w:val="24"/>
          <w:szCs w:val="24"/>
        </w:rPr>
        <w:t xml:space="preserve">, including relying upon centralized reporting systems on violent deaths that occurred in their states, </w:t>
      </w:r>
      <w:r w:rsidR="00310C4F">
        <w:rPr>
          <w:rFonts w:ascii="Times New Roman" w:hAnsi="Times New Roman" w:cs="Times New Roman"/>
          <w:sz w:val="24"/>
          <w:szCs w:val="24"/>
        </w:rPr>
        <w:t xml:space="preserve">using their contacts with </w:t>
      </w:r>
      <w:r w:rsidR="007E49F2" w:rsidRPr="00B5163D">
        <w:rPr>
          <w:rFonts w:ascii="Times New Roman" w:hAnsi="Times New Roman" w:cs="Times New Roman"/>
          <w:sz w:val="24"/>
          <w:szCs w:val="24"/>
        </w:rPr>
        <w:t>law enforcement agencies</w:t>
      </w:r>
      <w:r w:rsidR="00310C4F">
        <w:rPr>
          <w:rFonts w:ascii="Times New Roman" w:hAnsi="Times New Roman" w:cs="Times New Roman"/>
          <w:sz w:val="24"/>
          <w:szCs w:val="24"/>
        </w:rPr>
        <w:t xml:space="preserve">, </w:t>
      </w:r>
      <w:r w:rsidR="000A6F43">
        <w:rPr>
          <w:rFonts w:ascii="Times New Roman" w:hAnsi="Times New Roman" w:cs="Times New Roman"/>
          <w:sz w:val="24"/>
          <w:szCs w:val="24"/>
        </w:rPr>
        <w:t>medical examiner</w:t>
      </w:r>
      <w:r w:rsidR="00310C4F">
        <w:rPr>
          <w:rFonts w:ascii="Times New Roman" w:hAnsi="Times New Roman" w:cs="Times New Roman"/>
          <w:sz w:val="24"/>
          <w:szCs w:val="24"/>
        </w:rPr>
        <w:t>s,</w:t>
      </w:r>
      <w:r w:rsidR="000A6F43">
        <w:rPr>
          <w:rFonts w:ascii="Times New Roman" w:hAnsi="Times New Roman" w:cs="Times New Roman"/>
          <w:sz w:val="24"/>
          <w:szCs w:val="24"/>
        </w:rPr>
        <w:t xml:space="preserve"> or coroners’ offices </w:t>
      </w:r>
      <w:r w:rsidR="007E49F2" w:rsidRPr="00B5163D">
        <w:rPr>
          <w:rFonts w:ascii="Times New Roman" w:hAnsi="Times New Roman" w:cs="Times New Roman"/>
          <w:sz w:val="24"/>
          <w:szCs w:val="24"/>
        </w:rPr>
        <w:t>in the</w:t>
      </w:r>
      <w:r w:rsidR="000A6F43">
        <w:rPr>
          <w:rFonts w:ascii="Times New Roman" w:hAnsi="Times New Roman" w:cs="Times New Roman"/>
          <w:sz w:val="24"/>
          <w:szCs w:val="24"/>
        </w:rPr>
        <w:t>ir respective</w:t>
      </w:r>
      <w:r w:rsidR="007E49F2" w:rsidRPr="00B5163D">
        <w:rPr>
          <w:rFonts w:ascii="Times New Roman" w:hAnsi="Times New Roman" w:cs="Times New Roman"/>
          <w:sz w:val="24"/>
          <w:szCs w:val="24"/>
        </w:rPr>
        <w:t xml:space="preserve"> state</w:t>
      </w:r>
      <w:r w:rsidR="000A6F43">
        <w:rPr>
          <w:rFonts w:ascii="Times New Roman" w:hAnsi="Times New Roman" w:cs="Times New Roman"/>
          <w:sz w:val="24"/>
          <w:szCs w:val="24"/>
        </w:rPr>
        <w:t>s</w:t>
      </w:r>
      <w:r w:rsidR="007E49F2" w:rsidRPr="00B5163D">
        <w:rPr>
          <w:rFonts w:ascii="Times New Roman" w:hAnsi="Times New Roman" w:cs="Times New Roman"/>
          <w:sz w:val="24"/>
          <w:szCs w:val="24"/>
        </w:rPr>
        <w:t>,</w:t>
      </w:r>
      <w:r w:rsidR="000A6F43">
        <w:rPr>
          <w:rFonts w:ascii="Times New Roman" w:hAnsi="Times New Roman" w:cs="Times New Roman"/>
          <w:sz w:val="24"/>
          <w:szCs w:val="24"/>
        </w:rPr>
        <w:t xml:space="preserve"> </w:t>
      </w:r>
      <w:r w:rsidR="007E49F2" w:rsidRPr="00B5163D">
        <w:rPr>
          <w:rFonts w:ascii="Times New Roman" w:hAnsi="Times New Roman" w:cs="Times New Roman"/>
          <w:sz w:val="24"/>
          <w:szCs w:val="24"/>
        </w:rPr>
        <w:t xml:space="preserve">and/or conducting systematic open-source searches. </w:t>
      </w:r>
      <w:r w:rsidR="00310C4F">
        <w:rPr>
          <w:rFonts w:ascii="Times New Roman" w:hAnsi="Times New Roman" w:cs="Times New Roman"/>
          <w:sz w:val="24"/>
          <w:szCs w:val="24"/>
        </w:rPr>
        <w:t xml:space="preserve">Once SRCs identify ARD-reportable deaths, they </w:t>
      </w:r>
      <w:r w:rsidR="002F5C32">
        <w:rPr>
          <w:rFonts w:ascii="Times New Roman" w:hAnsi="Times New Roman" w:cs="Times New Roman"/>
          <w:sz w:val="24"/>
          <w:szCs w:val="24"/>
        </w:rPr>
        <w:t>follow-up</w:t>
      </w:r>
      <w:r w:rsidR="00310C4F">
        <w:rPr>
          <w:rFonts w:ascii="Times New Roman" w:hAnsi="Times New Roman" w:cs="Times New Roman"/>
          <w:sz w:val="24"/>
          <w:szCs w:val="24"/>
        </w:rPr>
        <w:t xml:space="preserve"> with local law enforcement agencies to obtain the data</w:t>
      </w:r>
      <w:r w:rsidR="002F5C32">
        <w:rPr>
          <w:rFonts w:ascii="Times New Roman" w:hAnsi="Times New Roman" w:cs="Times New Roman"/>
          <w:sz w:val="24"/>
          <w:szCs w:val="24"/>
        </w:rPr>
        <w:t xml:space="preserve"> necessary</w:t>
      </w:r>
      <w:r w:rsidR="00310C4F">
        <w:rPr>
          <w:rFonts w:ascii="Times New Roman" w:hAnsi="Times New Roman" w:cs="Times New Roman"/>
          <w:sz w:val="24"/>
          <w:szCs w:val="24"/>
        </w:rPr>
        <w:t xml:space="preserve"> to complete a CJ-11A form for each death.</w:t>
      </w:r>
      <w:r w:rsidR="002F5C32">
        <w:rPr>
          <w:rFonts w:ascii="Times New Roman" w:hAnsi="Times New Roman" w:cs="Times New Roman"/>
          <w:sz w:val="24"/>
          <w:szCs w:val="24"/>
        </w:rPr>
        <w:t xml:space="preserve">  I</w:t>
      </w:r>
      <w:r w:rsidR="007E49F2" w:rsidRPr="00B5163D">
        <w:rPr>
          <w:rFonts w:ascii="Times New Roman" w:hAnsi="Times New Roman" w:cs="Times New Roman"/>
          <w:sz w:val="24"/>
          <w:szCs w:val="24"/>
        </w:rPr>
        <w:t xml:space="preserve">n instances where the involved law enforcement agency </w:t>
      </w:r>
      <w:r w:rsidR="00C0727C">
        <w:rPr>
          <w:rFonts w:ascii="Times New Roman" w:hAnsi="Times New Roman"/>
        </w:rPr>
        <w:t xml:space="preserve">involved with death refuses to </w:t>
      </w:r>
      <w:r w:rsidR="007E49F2" w:rsidRPr="00B5163D">
        <w:rPr>
          <w:rFonts w:ascii="Times New Roman" w:hAnsi="Times New Roman" w:cs="Times New Roman"/>
          <w:sz w:val="24"/>
          <w:szCs w:val="24"/>
        </w:rPr>
        <w:t xml:space="preserve">complete the CJ-11A form, the SRC </w:t>
      </w:r>
      <w:r w:rsidR="00310C4F">
        <w:rPr>
          <w:rFonts w:ascii="Times New Roman" w:hAnsi="Times New Roman" w:cs="Times New Roman"/>
          <w:sz w:val="24"/>
          <w:szCs w:val="24"/>
        </w:rPr>
        <w:t xml:space="preserve">completes the form using </w:t>
      </w:r>
      <w:r w:rsidR="007E49F2" w:rsidRPr="00B5163D">
        <w:rPr>
          <w:rFonts w:ascii="Times New Roman" w:hAnsi="Times New Roman" w:cs="Times New Roman"/>
          <w:sz w:val="24"/>
          <w:szCs w:val="24"/>
        </w:rPr>
        <w:t xml:space="preserve">information from official source documents (such as a police </w:t>
      </w:r>
      <w:r w:rsidR="00AF62FC" w:rsidRPr="00B5163D">
        <w:rPr>
          <w:rFonts w:ascii="Times New Roman" w:hAnsi="Times New Roman" w:cs="Times New Roman"/>
          <w:sz w:val="24"/>
          <w:szCs w:val="24"/>
        </w:rPr>
        <w:t xml:space="preserve">report </w:t>
      </w:r>
      <w:r w:rsidR="007E49F2" w:rsidRPr="00B5163D">
        <w:rPr>
          <w:rFonts w:ascii="Times New Roman" w:hAnsi="Times New Roman" w:cs="Times New Roman"/>
          <w:sz w:val="24"/>
          <w:szCs w:val="24"/>
        </w:rPr>
        <w:t>or death certificate).</w:t>
      </w:r>
    </w:p>
    <w:p w:rsidR="007E49F2" w:rsidRDefault="007E49F2" w:rsidP="007E49F2">
      <w:pPr>
        <w:pStyle w:val="NoSpacing"/>
        <w:rPr>
          <w:rFonts w:ascii="Times New Roman" w:hAnsi="Times New Roman" w:cs="Times New Roman"/>
          <w:sz w:val="24"/>
          <w:szCs w:val="24"/>
        </w:rPr>
      </w:pPr>
    </w:p>
    <w:p w:rsidR="00C21691" w:rsidRDefault="00C21691" w:rsidP="007E49F2">
      <w:pPr>
        <w:pStyle w:val="NoSpacing"/>
        <w:rPr>
          <w:rFonts w:ascii="Times New Roman" w:hAnsi="Times New Roman" w:cs="Times New Roman"/>
          <w:sz w:val="24"/>
          <w:szCs w:val="24"/>
        </w:rPr>
      </w:pPr>
      <w:r>
        <w:rPr>
          <w:rFonts w:ascii="Times New Roman" w:hAnsi="Times New Roman" w:cs="Times New Roman"/>
          <w:sz w:val="24"/>
          <w:szCs w:val="24"/>
        </w:rPr>
        <w:t xml:space="preserve">Independently of the SRC efforts to identify ARD-reportable deaths, BJS’ </w:t>
      </w:r>
      <w:r w:rsidRPr="00B5163D">
        <w:rPr>
          <w:rFonts w:ascii="Times New Roman" w:hAnsi="Times New Roman" w:cs="Times New Roman"/>
          <w:sz w:val="24"/>
          <w:szCs w:val="24"/>
        </w:rPr>
        <w:t>ARD program staff continuously monitor open sources for reportable deaths,</w:t>
      </w:r>
      <w:r>
        <w:rPr>
          <w:rFonts w:ascii="Times New Roman" w:hAnsi="Times New Roman" w:cs="Times New Roman"/>
          <w:sz w:val="24"/>
          <w:szCs w:val="24"/>
        </w:rPr>
        <w:t xml:space="preserve"> using a set </w:t>
      </w:r>
      <w:r w:rsidRPr="00B5163D">
        <w:rPr>
          <w:rFonts w:ascii="Times New Roman" w:hAnsi="Times New Roman" w:cs="Times New Roman"/>
          <w:sz w:val="24"/>
          <w:szCs w:val="24"/>
        </w:rPr>
        <w:t xml:space="preserve">of Google Alerts to identify deaths that occur during an interaction with law enforcement personnel.  The names of the decedent and the law enforcement agency involved with the death are </w:t>
      </w:r>
      <w:r>
        <w:rPr>
          <w:rFonts w:ascii="Times New Roman" w:hAnsi="Times New Roman" w:cs="Times New Roman"/>
          <w:sz w:val="24"/>
          <w:szCs w:val="24"/>
        </w:rPr>
        <w:t xml:space="preserve">identified and compiled to be compared to records that the SRCs submit to BJS. The comparisons occur during the production of the status report (see below) that occurs at the end of a collection year. </w:t>
      </w:r>
    </w:p>
    <w:p w:rsidR="00C21691" w:rsidRPr="00B5163D" w:rsidRDefault="00C21691" w:rsidP="007E49F2">
      <w:pPr>
        <w:pStyle w:val="NoSpacing"/>
        <w:rPr>
          <w:rFonts w:ascii="Times New Roman" w:hAnsi="Times New Roman" w:cs="Times New Roman"/>
          <w:sz w:val="24"/>
          <w:szCs w:val="24"/>
        </w:rPr>
      </w:pPr>
    </w:p>
    <w:p w:rsidR="007E49F2" w:rsidRPr="00B5163D" w:rsidRDefault="00C21691" w:rsidP="007E49F2">
      <w:pPr>
        <w:pStyle w:val="NoSpacing"/>
        <w:rPr>
          <w:rFonts w:ascii="Times New Roman" w:hAnsi="Times New Roman" w:cs="Times New Roman"/>
          <w:sz w:val="24"/>
          <w:szCs w:val="24"/>
        </w:rPr>
      </w:pPr>
      <w:r>
        <w:rPr>
          <w:rFonts w:ascii="Times New Roman" w:hAnsi="Times New Roman" w:cs="Times New Roman"/>
          <w:sz w:val="24"/>
          <w:szCs w:val="24"/>
        </w:rPr>
        <w:t xml:space="preserve">SRCs are to submit to BJS their final set of </w:t>
      </w:r>
      <w:r w:rsidR="007E49F2" w:rsidRPr="00B5163D">
        <w:rPr>
          <w:rFonts w:ascii="Times New Roman" w:hAnsi="Times New Roman" w:cs="Times New Roman"/>
          <w:sz w:val="24"/>
          <w:szCs w:val="24"/>
        </w:rPr>
        <w:t>records</w:t>
      </w:r>
      <w:r w:rsidR="00614EF2">
        <w:rPr>
          <w:rFonts w:ascii="Times New Roman" w:hAnsi="Times New Roman" w:cs="Times New Roman"/>
          <w:sz w:val="24"/>
          <w:szCs w:val="24"/>
        </w:rPr>
        <w:t xml:space="preserve"> </w:t>
      </w:r>
      <w:r w:rsidR="007E49F2" w:rsidRPr="00B5163D">
        <w:rPr>
          <w:rFonts w:ascii="Times New Roman" w:hAnsi="Times New Roman" w:cs="Times New Roman"/>
          <w:sz w:val="24"/>
          <w:szCs w:val="24"/>
        </w:rPr>
        <w:t xml:space="preserve">within 60 days following the end of the </w:t>
      </w:r>
      <w:r w:rsidR="00614EF2">
        <w:rPr>
          <w:rFonts w:ascii="Times New Roman" w:hAnsi="Times New Roman" w:cs="Times New Roman"/>
          <w:sz w:val="24"/>
          <w:szCs w:val="24"/>
        </w:rPr>
        <w:t xml:space="preserve">calendar </w:t>
      </w:r>
      <w:r w:rsidR="007E49F2" w:rsidRPr="00B5163D">
        <w:rPr>
          <w:rFonts w:ascii="Times New Roman" w:hAnsi="Times New Roman" w:cs="Times New Roman"/>
          <w:sz w:val="24"/>
          <w:szCs w:val="24"/>
        </w:rPr>
        <w:t>year.</w:t>
      </w:r>
      <w:r w:rsidR="000B76A3">
        <w:rPr>
          <w:rFonts w:ascii="Times New Roman" w:hAnsi="Times New Roman" w:cs="Times New Roman"/>
          <w:sz w:val="24"/>
          <w:szCs w:val="24"/>
        </w:rPr>
        <w:t xml:space="preserve"> BJS’ ARD staff review these data and assess them for completeness, consistency of responses, and make a determination as to whether a reported death falls within the scope of ARD.  BJS prepares a </w:t>
      </w:r>
      <w:r w:rsidR="007E49F2" w:rsidRPr="00B5163D">
        <w:rPr>
          <w:rFonts w:ascii="Times New Roman" w:hAnsi="Times New Roman" w:cs="Times New Roman"/>
          <w:sz w:val="24"/>
          <w:szCs w:val="24"/>
        </w:rPr>
        <w:t>“status report” (</w:t>
      </w:r>
      <w:r w:rsidR="000F4148" w:rsidRPr="00B5163D">
        <w:rPr>
          <w:rFonts w:ascii="Times New Roman" w:hAnsi="Times New Roman" w:cs="Times New Roman"/>
          <w:sz w:val="24"/>
          <w:szCs w:val="24"/>
        </w:rPr>
        <w:t xml:space="preserve">see Appendix C, Attachment </w:t>
      </w:r>
      <w:r w:rsidR="00D77EB1">
        <w:rPr>
          <w:rFonts w:ascii="Times New Roman" w:hAnsi="Times New Roman" w:cs="Times New Roman"/>
          <w:sz w:val="24"/>
          <w:szCs w:val="24"/>
        </w:rPr>
        <w:t>H</w:t>
      </w:r>
      <w:r w:rsidR="007E49F2" w:rsidRPr="00B5163D">
        <w:rPr>
          <w:rFonts w:ascii="Times New Roman" w:hAnsi="Times New Roman" w:cs="Times New Roman"/>
          <w:sz w:val="24"/>
          <w:szCs w:val="24"/>
        </w:rPr>
        <w:t>)</w:t>
      </w:r>
      <w:r>
        <w:rPr>
          <w:rFonts w:ascii="Times New Roman" w:hAnsi="Times New Roman" w:cs="Times New Roman"/>
          <w:sz w:val="24"/>
          <w:szCs w:val="24"/>
        </w:rPr>
        <w:t xml:space="preserve"> that identifies incomplete </w:t>
      </w:r>
      <w:r w:rsidR="007E49F2" w:rsidRPr="00B5163D">
        <w:rPr>
          <w:rFonts w:ascii="Times New Roman" w:hAnsi="Times New Roman" w:cs="Times New Roman"/>
          <w:sz w:val="24"/>
          <w:szCs w:val="24"/>
        </w:rPr>
        <w:t>records</w:t>
      </w:r>
      <w:r>
        <w:rPr>
          <w:rFonts w:ascii="Times New Roman" w:hAnsi="Times New Roman" w:cs="Times New Roman"/>
          <w:sz w:val="24"/>
          <w:szCs w:val="24"/>
        </w:rPr>
        <w:t xml:space="preserve"> </w:t>
      </w:r>
      <w:r w:rsidR="000B76A3">
        <w:rPr>
          <w:rFonts w:ascii="Times New Roman" w:hAnsi="Times New Roman" w:cs="Times New Roman"/>
          <w:sz w:val="24"/>
          <w:szCs w:val="24"/>
        </w:rPr>
        <w:t xml:space="preserve">that BJS sends back to the SRCs for </w:t>
      </w:r>
      <w:r w:rsidR="00156A73">
        <w:rPr>
          <w:rFonts w:ascii="Times New Roman" w:hAnsi="Times New Roman" w:cs="Times New Roman"/>
          <w:sz w:val="24"/>
          <w:szCs w:val="24"/>
        </w:rPr>
        <w:t>follow-up</w:t>
      </w:r>
      <w:r w:rsidR="000B76A3">
        <w:rPr>
          <w:rFonts w:ascii="Times New Roman" w:hAnsi="Times New Roman" w:cs="Times New Roman"/>
          <w:sz w:val="24"/>
          <w:szCs w:val="24"/>
        </w:rPr>
        <w:t xml:space="preserve"> on </w:t>
      </w:r>
      <w:r w:rsidR="007E49F2" w:rsidRPr="00B5163D">
        <w:rPr>
          <w:rFonts w:ascii="Times New Roman" w:hAnsi="Times New Roman" w:cs="Times New Roman"/>
          <w:sz w:val="24"/>
          <w:szCs w:val="24"/>
        </w:rPr>
        <w:t xml:space="preserve">missing items.  The status report also notifies SRCs of any changes made to submitted records or any records that were determined outside the scope of the program.  Lastly, the status report notifies SRCs of reportable deaths identified by ARD program </w:t>
      </w:r>
      <w:r w:rsidR="00CD4166" w:rsidRPr="00B5163D">
        <w:rPr>
          <w:rFonts w:ascii="Times New Roman" w:hAnsi="Times New Roman" w:cs="Times New Roman"/>
          <w:sz w:val="24"/>
          <w:szCs w:val="24"/>
        </w:rPr>
        <w:t xml:space="preserve">staff that </w:t>
      </w:r>
      <w:r w:rsidR="00A73BCE">
        <w:rPr>
          <w:rFonts w:ascii="Times New Roman" w:hAnsi="Times New Roman" w:cs="Times New Roman"/>
          <w:sz w:val="24"/>
          <w:szCs w:val="24"/>
        </w:rPr>
        <w:t xml:space="preserve">were </w:t>
      </w:r>
      <w:r w:rsidR="007E49F2" w:rsidRPr="00B5163D">
        <w:rPr>
          <w:rFonts w:ascii="Times New Roman" w:hAnsi="Times New Roman" w:cs="Times New Roman"/>
          <w:sz w:val="24"/>
          <w:szCs w:val="24"/>
        </w:rPr>
        <w:t xml:space="preserve">not included in </w:t>
      </w:r>
      <w:r w:rsidR="00AF62FC" w:rsidRPr="00B5163D">
        <w:rPr>
          <w:rFonts w:ascii="Times New Roman" w:hAnsi="Times New Roman" w:cs="Times New Roman"/>
          <w:sz w:val="24"/>
          <w:szCs w:val="24"/>
        </w:rPr>
        <w:t xml:space="preserve">the SRC’s </w:t>
      </w:r>
      <w:r w:rsidR="007E49F2" w:rsidRPr="00B5163D">
        <w:rPr>
          <w:rFonts w:ascii="Times New Roman" w:hAnsi="Times New Roman" w:cs="Times New Roman"/>
          <w:sz w:val="24"/>
          <w:szCs w:val="24"/>
        </w:rPr>
        <w:t>submission</w:t>
      </w:r>
      <w:r w:rsidR="000B76A3">
        <w:rPr>
          <w:rFonts w:ascii="Times New Roman" w:hAnsi="Times New Roman" w:cs="Times New Roman"/>
          <w:sz w:val="24"/>
          <w:szCs w:val="24"/>
        </w:rPr>
        <w:t xml:space="preserve">, and the SRCs </w:t>
      </w:r>
      <w:r w:rsidR="00156A73">
        <w:rPr>
          <w:rFonts w:ascii="Times New Roman" w:hAnsi="Times New Roman" w:cs="Times New Roman"/>
          <w:sz w:val="24"/>
          <w:szCs w:val="24"/>
        </w:rPr>
        <w:t>follow-up</w:t>
      </w:r>
      <w:r w:rsidR="000B76A3">
        <w:rPr>
          <w:rFonts w:ascii="Times New Roman" w:hAnsi="Times New Roman" w:cs="Times New Roman"/>
          <w:sz w:val="24"/>
          <w:szCs w:val="24"/>
        </w:rPr>
        <w:t xml:space="preserve"> with local law enforcement agencies to verify these deaths. </w:t>
      </w:r>
      <w:r w:rsidR="00156A73">
        <w:rPr>
          <w:rFonts w:ascii="Times New Roman" w:hAnsi="Times New Roman" w:cs="Times New Roman"/>
          <w:sz w:val="24"/>
          <w:szCs w:val="24"/>
        </w:rPr>
        <w:t>The SRCs obtain data from the local agencies to complete a CJ-11A form</w:t>
      </w:r>
      <w:r w:rsidR="00156A73" w:rsidDel="00156A73">
        <w:rPr>
          <w:rFonts w:ascii="Times New Roman" w:hAnsi="Times New Roman" w:cs="Times New Roman"/>
          <w:sz w:val="24"/>
          <w:szCs w:val="24"/>
        </w:rPr>
        <w:t xml:space="preserve"> </w:t>
      </w:r>
      <w:r w:rsidR="00156A73">
        <w:rPr>
          <w:rFonts w:ascii="Times New Roman" w:hAnsi="Times New Roman" w:cs="Times New Roman"/>
          <w:sz w:val="24"/>
          <w:szCs w:val="24"/>
        </w:rPr>
        <w:t>f</w:t>
      </w:r>
      <w:r w:rsidR="000B76A3">
        <w:rPr>
          <w:rFonts w:ascii="Times New Roman" w:hAnsi="Times New Roman" w:cs="Times New Roman"/>
          <w:sz w:val="24"/>
          <w:szCs w:val="24"/>
        </w:rPr>
        <w:t xml:space="preserve">or </w:t>
      </w:r>
      <w:r w:rsidR="00156A73">
        <w:rPr>
          <w:rFonts w:ascii="Times New Roman" w:hAnsi="Times New Roman" w:cs="Times New Roman"/>
          <w:sz w:val="24"/>
          <w:szCs w:val="24"/>
        </w:rPr>
        <w:t>ARD reportable deaths</w:t>
      </w:r>
      <w:r w:rsidR="000B76A3">
        <w:rPr>
          <w:rFonts w:ascii="Times New Roman" w:hAnsi="Times New Roman" w:cs="Times New Roman"/>
          <w:sz w:val="24"/>
          <w:szCs w:val="24"/>
        </w:rPr>
        <w:t>.</w:t>
      </w:r>
      <w:r w:rsidR="007E49F2" w:rsidRPr="00B5163D">
        <w:rPr>
          <w:rFonts w:ascii="Times New Roman" w:hAnsi="Times New Roman" w:cs="Times New Roman"/>
          <w:sz w:val="24"/>
          <w:szCs w:val="24"/>
        </w:rPr>
        <w:t xml:space="preserve">  </w:t>
      </w:r>
    </w:p>
    <w:p w:rsidR="00C21691" w:rsidRPr="00B5163D" w:rsidRDefault="00C21691" w:rsidP="007E49F2">
      <w:pPr>
        <w:pStyle w:val="NoSpacing"/>
        <w:rPr>
          <w:rFonts w:ascii="Times New Roman" w:hAnsi="Times New Roman" w:cs="Times New Roman"/>
          <w:sz w:val="24"/>
          <w:szCs w:val="24"/>
        </w:rPr>
      </w:pPr>
    </w:p>
    <w:p w:rsidR="00E3092C" w:rsidRDefault="007E49F2" w:rsidP="007E49F2">
      <w:pPr>
        <w:pStyle w:val="NoSpacing"/>
        <w:rPr>
          <w:rFonts w:ascii="Times New Roman" w:hAnsi="Times New Roman" w:cs="Times New Roman"/>
          <w:sz w:val="24"/>
          <w:szCs w:val="24"/>
        </w:rPr>
      </w:pPr>
      <w:r w:rsidRPr="00B5163D">
        <w:rPr>
          <w:rFonts w:ascii="Times New Roman" w:hAnsi="Times New Roman" w:cs="Times New Roman"/>
          <w:sz w:val="24"/>
          <w:szCs w:val="24"/>
        </w:rPr>
        <w:t xml:space="preserve">Follow-up contact for non-responding SRCs begins </w:t>
      </w:r>
      <w:r w:rsidR="00FE2D12">
        <w:rPr>
          <w:rFonts w:ascii="Times New Roman" w:hAnsi="Times New Roman" w:cs="Times New Roman"/>
          <w:sz w:val="24"/>
          <w:szCs w:val="24"/>
        </w:rPr>
        <w:t>6</w:t>
      </w:r>
      <w:r w:rsidR="00FE2D12" w:rsidRPr="00B5163D">
        <w:rPr>
          <w:rFonts w:ascii="Times New Roman" w:hAnsi="Times New Roman" w:cs="Times New Roman"/>
          <w:sz w:val="24"/>
          <w:szCs w:val="24"/>
        </w:rPr>
        <w:t xml:space="preserve">0 </w:t>
      </w:r>
      <w:r w:rsidRPr="00B5163D">
        <w:rPr>
          <w:rFonts w:ascii="Times New Roman" w:hAnsi="Times New Roman" w:cs="Times New Roman"/>
          <w:sz w:val="24"/>
          <w:szCs w:val="24"/>
        </w:rPr>
        <w:t>days after the end of the year.  These respondents are contacted via email and asked to submit their data from the prior calendar year as soon as possible.  Concentrated data quality follow-up with SRCs occurs during the summer, in which SRCs are reminded to submit responses to issues identified on the status report and to submit any additional cases.  All follow-up contact with SRCs occurs via email.  SRCs are permitted to respond to status reports in whatever format is easiest for t</w:t>
      </w:r>
      <w:r w:rsidR="00AF62FC" w:rsidRPr="00B5163D">
        <w:rPr>
          <w:rFonts w:ascii="Times New Roman" w:hAnsi="Times New Roman" w:cs="Times New Roman"/>
          <w:sz w:val="24"/>
          <w:szCs w:val="24"/>
        </w:rPr>
        <w:t>hem and ARD program staff modifies</w:t>
      </w:r>
      <w:r w:rsidRPr="00B5163D">
        <w:rPr>
          <w:rFonts w:ascii="Times New Roman" w:hAnsi="Times New Roman" w:cs="Times New Roman"/>
          <w:sz w:val="24"/>
          <w:szCs w:val="24"/>
        </w:rPr>
        <w:t xml:space="preserve"> the previously submitted CJ-11A forms.</w:t>
      </w:r>
    </w:p>
    <w:p w:rsidR="003007F9" w:rsidRPr="00B5163D" w:rsidRDefault="003007F9" w:rsidP="007E49F2">
      <w:pPr>
        <w:pStyle w:val="NoSpacing"/>
        <w:rPr>
          <w:rFonts w:ascii="Times New Roman" w:hAnsi="Times New Roman" w:cs="Times New Roman"/>
          <w:sz w:val="24"/>
          <w:szCs w:val="24"/>
        </w:rPr>
      </w:pPr>
    </w:p>
    <w:p w:rsidR="002E0BEE"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b/>
          <w:i/>
        </w:rPr>
        <w:t xml:space="preserve">Procedures for the </w:t>
      </w:r>
      <w:r w:rsidR="009911B1" w:rsidRPr="00B5163D">
        <w:rPr>
          <w:rFonts w:ascii="Times New Roman" w:hAnsi="Times New Roman"/>
          <w:b/>
          <w:i/>
        </w:rPr>
        <w:t>DCRP-</w:t>
      </w:r>
      <w:r w:rsidRPr="00B5163D">
        <w:rPr>
          <w:rFonts w:ascii="Times New Roman" w:hAnsi="Times New Roman"/>
          <w:b/>
          <w:i/>
        </w:rPr>
        <w:t>Prison</w:t>
      </w:r>
      <w:r w:rsidR="009911B1" w:rsidRPr="00B5163D">
        <w:rPr>
          <w:rFonts w:ascii="Times New Roman" w:hAnsi="Times New Roman"/>
          <w:b/>
          <w:i/>
        </w:rPr>
        <w:t>s</w:t>
      </w:r>
      <w:r w:rsidRPr="00B5163D">
        <w:rPr>
          <w:rFonts w:ascii="Times New Roman" w:hAnsi="Times New Roman"/>
          <w:b/>
          <w:i/>
        </w:rPr>
        <w:t xml:space="preserve"> and </w:t>
      </w:r>
      <w:r w:rsidR="009911B1" w:rsidRPr="00B5163D">
        <w:rPr>
          <w:rFonts w:ascii="Times New Roman" w:hAnsi="Times New Roman"/>
          <w:b/>
          <w:i/>
        </w:rPr>
        <w:t>DCRP-</w:t>
      </w:r>
      <w:r w:rsidRPr="00B5163D">
        <w:rPr>
          <w:rFonts w:ascii="Times New Roman" w:hAnsi="Times New Roman"/>
          <w:b/>
          <w:i/>
        </w:rPr>
        <w:t xml:space="preserve">Jails </w:t>
      </w:r>
      <w:r w:rsidR="009911B1" w:rsidRPr="00B5163D">
        <w:rPr>
          <w:rFonts w:ascii="Times New Roman" w:hAnsi="Times New Roman"/>
          <w:b/>
          <w:i/>
        </w:rPr>
        <w:t>c</w:t>
      </w:r>
      <w:r w:rsidRPr="00B5163D">
        <w:rPr>
          <w:rFonts w:ascii="Times New Roman" w:hAnsi="Times New Roman"/>
          <w:b/>
          <w:i/>
        </w:rPr>
        <w:t>ollection</w:t>
      </w:r>
      <w:r w:rsidR="009911B1" w:rsidRPr="00B5163D">
        <w:rPr>
          <w:rFonts w:ascii="Times New Roman" w:hAnsi="Times New Roman"/>
          <w:b/>
          <w:i/>
        </w:rPr>
        <w:t>s</w:t>
      </w:r>
      <w:r w:rsidRPr="00B5163D">
        <w:rPr>
          <w:rFonts w:ascii="Times New Roman" w:hAnsi="Times New Roman"/>
        </w:rPr>
        <w:t xml:space="preserve">. </w:t>
      </w:r>
      <w:r w:rsidR="009911B1" w:rsidRPr="00B5163D">
        <w:rPr>
          <w:rFonts w:ascii="Times New Roman" w:hAnsi="Times New Roman"/>
        </w:rPr>
        <w:t xml:space="preserve"> </w:t>
      </w:r>
      <w:r w:rsidR="00AD63CD">
        <w:rPr>
          <w:rFonts w:ascii="Times New Roman" w:hAnsi="Times New Roman"/>
        </w:rPr>
        <w:t>During November of the year prior to the upcoming calendar year collection, BJS’ data collection agent (RTI International) notifies b</w:t>
      </w:r>
      <w:r w:rsidR="00844E0A" w:rsidRPr="00B5163D">
        <w:rPr>
          <w:rFonts w:ascii="Times New Roman" w:hAnsi="Times New Roman"/>
        </w:rPr>
        <w:t xml:space="preserve">oth jail and prison respondents </w:t>
      </w:r>
      <w:r w:rsidR="00AD63CD">
        <w:rPr>
          <w:rFonts w:ascii="Times New Roman" w:hAnsi="Times New Roman"/>
        </w:rPr>
        <w:t>of the annual collection cycle. The notification occurs during annual verification calls.  In the annual verification calls, RTI verifies that the current collection year respondent will</w:t>
      </w:r>
      <w:r w:rsidR="00382F41">
        <w:rPr>
          <w:rFonts w:ascii="Times New Roman" w:hAnsi="Times New Roman"/>
        </w:rPr>
        <w:t xml:space="preserve"> be</w:t>
      </w:r>
      <w:r w:rsidR="00AD63CD">
        <w:rPr>
          <w:rFonts w:ascii="Times New Roman" w:hAnsi="Times New Roman"/>
        </w:rPr>
        <w:t xml:space="preserve"> the respondent for the upcoming collection year and if not, will obtain the new respondent’s contact information. For the DCRP-Jails collection, RTI also verifies that the jail facilities listed on the current roster within a jail jurisdiction is complete and accurate.  Annually, about 20 of the DCRP-Prison or DCRP-Jail respondents change.  </w:t>
      </w:r>
    </w:p>
    <w:p w:rsidR="002E0BEE" w:rsidRPr="00B5163D" w:rsidRDefault="002E0BEE"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E54DE7" w:rsidRDefault="002E0BEE"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Using the contact information</w:t>
      </w:r>
      <w:r w:rsidR="003007F9">
        <w:rPr>
          <w:rFonts w:ascii="Times New Roman" w:hAnsi="Times New Roman"/>
        </w:rPr>
        <w:t xml:space="preserve"> obtained</w:t>
      </w:r>
      <w:r w:rsidRPr="00B5163D">
        <w:rPr>
          <w:rFonts w:ascii="Times New Roman" w:hAnsi="Times New Roman"/>
        </w:rPr>
        <w:t xml:space="preserve"> from the verification calls, </w:t>
      </w:r>
      <w:r w:rsidR="00AD63CD">
        <w:rPr>
          <w:rFonts w:ascii="Times New Roman" w:hAnsi="Times New Roman"/>
        </w:rPr>
        <w:t xml:space="preserve">RTI mails to each DCRP-Prisons and DCRP-Jails respondent an information </w:t>
      </w:r>
      <w:r w:rsidR="00DC6699" w:rsidRPr="00B5163D">
        <w:rPr>
          <w:rFonts w:ascii="Times New Roman" w:hAnsi="Times New Roman"/>
        </w:rPr>
        <w:t>packet</w:t>
      </w:r>
      <w:r w:rsidRPr="00B5163D">
        <w:rPr>
          <w:rFonts w:ascii="Times New Roman" w:hAnsi="Times New Roman"/>
        </w:rPr>
        <w:t xml:space="preserve"> announcing the start of the current year’s collection </w:t>
      </w:r>
      <w:r w:rsidR="00DC6699" w:rsidRPr="00B5163D">
        <w:rPr>
          <w:rFonts w:ascii="Times New Roman" w:hAnsi="Times New Roman"/>
        </w:rPr>
        <w:t>cycle and</w:t>
      </w:r>
      <w:r w:rsidRPr="00B5163D">
        <w:rPr>
          <w:rFonts w:ascii="Times New Roman" w:hAnsi="Times New Roman"/>
        </w:rPr>
        <w:t xml:space="preserve"> requesting annual summary data for the previous </w:t>
      </w:r>
      <w:r w:rsidR="00382F41">
        <w:rPr>
          <w:rFonts w:ascii="Times New Roman" w:hAnsi="Times New Roman"/>
        </w:rPr>
        <w:t xml:space="preserve">year </w:t>
      </w:r>
      <w:r w:rsidR="00B535BD" w:rsidRPr="00B5163D">
        <w:rPr>
          <w:rFonts w:ascii="Times New Roman" w:hAnsi="Times New Roman"/>
        </w:rPr>
        <w:t>(</w:t>
      </w:r>
      <w:r w:rsidR="00C823FA" w:rsidRPr="00B5163D">
        <w:rPr>
          <w:rFonts w:ascii="Times New Roman" w:hAnsi="Times New Roman"/>
        </w:rPr>
        <w:t xml:space="preserve">see Appendix C, </w:t>
      </w:r>
      <w:r w:rsidR="00361105">
        <w:rPr>
          <w:rFonts w:ascii="Times New Roman" w:hAnsi="Times New Roman"/>
        </w:rPr>
        <w:t>A</w:t>
      </w:r>
      <w:r w:rsidR="00C823FA" w:rsidRPr="00B5163D">
        <w:rPr>
          <w:rFonts w:ascii="Times New Roman" w:hAnsi="Times New Roman"/>
        </w:rPr>
        <w:t xml:space="preserve">ttachment </w:t>
      </w:r>
      <w:r w:rsidR="00156A73">
        <w:rPr>
          <w:rFonts w:ascii="Times New Roman" w:hAnsi="Times New Roman"/>
        </w:rPr>
        <w:t>I</w:t>
      </w:r>
      <w:r w:rsidR="00DC6699" w:rsidRPr="00B5163D">
        <w:rPr>
          <w:rFonts w:ascii="Times New Roman" w:hAnsi="Times New Roman"/>
        </w:rPr>
        <w:t>)</w:t>
      </w:r>
      <w:r w:rsidR="00B535BD" w:rsidRPr="00B5163D">
        <w:rPr>
          <w:rFonts w:ascii="Times New Roman" w:hAnsi="Times New Roman"/>
        </w:rPr>
        <w:t xml:space="preserve">. </w:t>
      </w:r>
      <w:r w:rsidR="00DC6699" w:rsidRPr="00B5163D">
        <w:rPr>
          <w:rFonts w:ascii="Times New Roman" w:hAnsi="Times New Roman"/>
        </w:rPr>
        <w:t xml:space="preserve">In addition to the announcement letter, the packets contain </w:t>
      </w:r>
      <w:r w:rsidR="00EB051D" w:rsidRPr="00B5163D">
        <w:rPr>
          <w:rFonts w:ascii="Times New Roman" w:hAnsi="Times New Roman"/>
        </w:rPr>
        <w:t xml:space="preserve">year-specific </w:t>
      </w:r>
      <w:r w:rsidR="00DC6699" w:rsidRPr="00B5163D">
        <w:rPr>
          <w:rFonts w:ascii="Times New Roman" w:hAnsi="Times New Roman"/>
        </w:rPr>
        <w:t xml:space="preserve">envelopes </w:t>
      </w:r>
      <w:r w:rsidR="00C9111C" w:rsidRPr="00B5163D">
        <w:rPr>
          <w:rFonts w:ascii="Times New Roman" w:hAnsi="Times New Roman"/>
        </w:rPr>
        <w:t>that distinguish</w:t>
      </w:r>
      <w:r w:rsidR="00DC6699" w:rsidRPr="00B5163D">
        <w:rPr>
          <w:rFonts w:ascii="Times New Roman" w:hAnsi="Times New Roman"/>
        </w:rPr>
        <w:t xml:space="preserve"> the current year’s </w:t>
      </w:r>
      <w:r w:rsidR="00C9111C" w:rsidRPr="00B5163D">
        <w:rPr>
          <w:rFonts w:ascii="Times New Roman" w:hAnsi="Times New Roman"/>
        </w:rPr>
        <w:t xml:space="preserve">surveys (CJ-9 </w:t>
      </w:r>
      <w:r w:rsidR="006F3F47">
        <w:rPr>
          <w:rFonts w:ascii="Times New Roman" w:hAnsi="Times New Roman"/>
        </w:rPr>
        <w:t xml:space="preserve">or CJ-10 </w:t>
      </w:r>
      <w:r w:rsidR="00C9111C" w:rsidRPr="00B5163D">
        <w:rPr>
          <w:rFonts w:ascii="Times New Roman" w:hAnsi="Times New Roman"/>
        </w:rPr>
        <w:t xml:space="preserve">for jails; NPS-4A for prisons) from the annual summary forms (CJ-9A </w:t>
      </w:r>
      <w:r w:rsidR="006F3F47">
        <w:rPr>
          <w:rFonts w:ascii="Times New Roman" w:hAnsi="Times New Roman"/>
        </w:rPr>
        <w:t xml:space="preserve">or CJ-10A </w:t>
      </w:r>
      <w:r w:rsidR="00C9111C" w:rsidRPr="00B5163D">
        <w:rPr>
          <w:rFonts w:ascii="Times New Roman" w:hAnsi="Times New Roman"/>
        </w:rPr>
        <w:t>for jails; NPS-4 for prisons).</w:t>
      </w:r>
      <w:r w:rsidR="00E54DE7">
        <w:rPr>
          <w:rFonts w:ascii="Times New Roman" w:hAnsi="Times New Roman"/>
        </w:rPr>
        <w:t xml:space="preserve"> </w:t>
      </w:r>
    </w:p>
    <w:p w:rsidR="00B535BD" w:rsidRPr="00B5163D" w:rsidRDefault="00E54DE7"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The</w:t>
      </w:r>
      <w:r w:rsidR="002B6DD4" w:rsidRPr="00B5163D">
        <w:rPr>
          <w:rFonts w:ascii="Times New Roman" w:hAnsi="Times New Roman"/>
        </w:rPr>
        <w:t xml:space="preserve"> </w:t>
      </w:r>
      <w:r w:rsidR="002532E7" w:rsidRPr="00B5163D">
        <w:rPr>
          <w:rFonts w:ascii="Times New Roman" w:hAnsi="Times New Roman"/>
        </w:rPr>
        <w:t>packets include</w:t>
      </w:r>
      <w:r w:rsidR="00915B12" w:rsidRPr="00B5163D">
        <w:rPr>
          <w:rFonts w:ascii="Times New Roman" w:hAnsi="Times New Roman"/>
        </w:rPr>
        <w:t xml:space="preserve"> a reporting instructions sheet and a DCRP fact sheet. </w:t>
      </w:r>
      <w:r>
        <w:rPr>
          <w:rFonts w:ascii="Times New Roman" w:hAnsi="Times New Roman"/>
        </w:rPr>
        <w:t xml:space="preserve">The instruction sheet directs the respondents to the DCRP Web-site and provides them with login information to use in submitting data via the Web-reporting tool.  In addition, respondents are reminded to submit </w:t>
      </w:r>
      <w:r w:rsidR="00B535BD" w:rsidRPr="00B5163D">
        <w:rPr>
          <w:rFonts w:ascii="Times New Roman" w:hAnsi="Times New Roman"/>
        </w:rPr>
        <w:t>an annual summary form</w:t>
      </w:r>
      <w:r w:rsidR="009147B8" w:rsidRPr="00B5163D">
        <w:rPr>
          <w:rFonts w:ascii="Times New Roman" w:hAnsi="Times New Roman"/>
        </w:rPr>
        <w:t xml:space="preserve"> and any</w:t>
      </w:r>
      <w:r>
        <w:rPr>
          <w:rFonts w:ascii="Times New Roman" w:hAnsi="Times New Roman"/>
        </w:rPr>
        <w:t xml:space="preserve"> outstanding</w:t>
      </w:r>
      <w:r w:rsidR="009147B8" w:rsidRPr="00B5163D">
        <w:rPr>
          <w:rFonts w:ascii="Times New Roman" w:hAnsi="Times New Roman"/>
        </w:rPr>
        <w:t xml:space="preserve"> death </w:t>
      </w:r>
      <w:r w:rsidR="006F3F47">
        <w:rPr>
          <w:rFonts w:ascii="Times New Roman" w:hAnsi="Times New Roman"/>
        </w:rPr>
        <w:t xml:space="preserve">record </w:t>
      </w:r>
      <w:r w:rsidR="009147B8" w:rsidRPr="00B5163D">
        <w:rPr>
          <w:rFonts w:ascii="Times New Roman" w:hAnsi="Times New Roman"/>
        </w:rPr>
        <w:t>forms</w:t>
      </w:r>
      <w:r w:rsidR="00B535BD" w:rsidRPr="00B5163D">
        <w:rPr>
          <w:rFonts w:ascii="Times New Roman" w:hAnsi="Times New Roman"/>
        </w:rPr>
        <w:t xml:space="preserve"> f</w:t>
      </w:r>
      <w:r w:rsidR="009147B8" w:rsidRPr="00B5163D">
        <w:rPr>
          <w:rFonts w:ascii="Times New Roman" w:hAnsi="Times New Roman"/>
        </w:rPr>
        <w:t>rom the</w:t>
      </w:r>
      <w:r w:rsidR="00B535BD" w:rsidRPr="00B5163D">
        <w:rPr>
          <w:rFonts w:ascii="Times New Roman" w:hAnsi="Times New Roman"/>
        </w:rPr>
        <w:t xml:space="preserve"> preceding year</w:t>
      </w:r>
      <w:r w:rsidR="002B6DD4" w:rsidRPr="00B5163D">
        <w:rPr>
          <w:rFonts w:ascii="Times New Roman" w:hAnsi="Times New Roman"/>
        </w:rPr>
        <w:t xml:space="preserve"> by March 1</w:t>
      </w:r>
      <w:r w:rsidR="002B6DD4" w:rsidRPr="00B5163D">
        <w:rPr>
          <w:rFonts w:ascii="Times New Roman" w:hAnsi="Times New Roman"/>
          <w:vertAlign w:val="superscript"/>
        </w:rPr>
        <w:t>st</w:t>
      </w:r>
      <w:r w:rsidR="002B6DD4" w:rsidRPr="00B5163D">
        <w:rPr>
          <w:rFonts w:ascii="Times New Roman" w:hAnsi="Times New Roman"/>
        </w:rPr>
        <w:t xml:space="preserve"> </w:t>
      </w:r>
      <w:r w:rsidR="00156A73">
        <w:rPr>
          <w:rFonts w:ascii="Times New Roman" w:hAnsi="Times New Roman"/>
        </w:rPr>
        <w:t>of the current year</w:t>
      </w:r>
      <w:r w:rsidR="003007F9">
        <w:rPr>
          <w:rFonts w:ascii="Times New Roman" w:hAnsi="Times New Roman"/>
        </w:rPr>
        <w:t xml:space="preserve">. </w:t>
      </w:r>
      <w:r>
        <w:rPr>
          <w:rFonts w:ascii="Times New Roman" w:hAnsi="Times New Roman"/>
        </w:rPr>
        <w:t>The primary mode of collection, the</w:t>
      </w:r>
      <w:r w:rsidR="00AF3962">
        <w:rPr>
          <w:rFonts w:ascii="Times New Roman" w:hAnsi="Times New Roman"/>
        </w:rPr>
        <w:t xml:space="preserve"> </w:t>
      </w:r>
      <w:r>
        <w:rPr>
          <w:rFonts w:ascii="Times New Roman" w:hAnsi="Times New Roman"/>
        </w:rPr>
        <w:t>Web-reporting tool</w:t>
      </w:r>
      <w:r w:rsidR="00276C72">
        <w:rPr>
          <w:rFonts w:ascii="Times New Roman" w:hAnsi="Times New Roman"/>
        </w:rPr>
        <w:t xml:space="preserve">, </w:t>
      </w:r>
      <w:r>
        <w:rPr>
          <w:rFonts w:ascii="Times New Roman" w:hAnsi="Times New Roman"/>
        </w:rPr>
        <w:t xml:space="preserve">allows respondents to submit individual death record forms on an ongoing basis. Secondary modes of submission of records include </w:t>
      </w:r>
      <w:r w:rsidR="00B535BD" w:rsidRPr="00B5163D">
        <w:rPr>
          <w:rFonts w:ascii="Times New Roman" w:hAnsi="Times New Roman"/>
        </w:rPr>
        <w:t>email, fax or U.S.P.S.</w:t>
      </w:r>
      <w:r w:rsidR="002B6DD4" w:rsidRPr="00B5163D">
        <w:rPr>
          <w:rFonts w:ascii="Times New Roman" w:hAnsi="Times New Roman"/>
        </w:rPr>
        <w:t xml:space="preserve"> A postage-paid business reply envelope is provided for respondents who cho</w:t>
      </w:r>
      <w:r w:rsidR="006F3F47">
        <w:rPr>
          <w:rFonts w:ascii="Times New Roman" w:hAnsi="Times New Roman"/>
        </w:rPr>
        <w:t>o</w:t>
      </w:r>
      <w:r w:rsidR="002B6DD4" w:rsidRPr="00B5163D">
        <w:rPr>
          <w:rFonts w:ascii="Times New Roman" w:hAnsi="Times New Roman"/>
        </w:rPr>
        <w:t>se to submit their data via U.S. mail.</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B535BD" w:rsidRPr="00B5163D" w:rsidRDefault="00276C72"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All d</w:t>
      </w:r>
      <w:r w:rsidR="00B535BD" w:rsidRPr="00B5163D">
        <w:rPr>
          <w:rFonts w:ascii="Times New Roman" w:hAnsi="Times New Roman"/>
        </w:rPr>
        <w:t xml:space="preserve">ata </w:t>
      </w:r>
      <w:r>
        <w:rPr>
          <w:rFonts w:ascii="Times New Roman" w:hAnsi="Times New Roman"/>
        </w:rPr>
        <w:t xml:space="preserve">for a calendar year </w:t>
      </w:r>
      <w:r w:rsidR="00B535BD" w:rsidRPr="00B5163D">
        <w:rPr>
          <w:rFonts w:ascii="Times New Roman" w:hAnsi="Times New Roman"/>
        </w:rPr>
        <w:t xml:space="preserve">are due within 60 days following the end of the year.  Follow-up contacts begin in the spring following the collection year to </w:t>
      </w:r>
      <w:r w:rsidR="00A73BCE">
        <w:rPr>
          <w:rFonts w:ascii="Times New Roman" w:hAnsi="Times New Roman"/>
        </w:rPr>
        <w:t xml:space="preserve">solicit </w:t>
      </w:r>
      <w:r w:rsidR="00B535BD" w:rsidRPr="00B5163D">
        <w:rPr>
          <w:rFonts w:ascii="Times New Roman" w:hAnsi="Times New Roman"/>
        </w:rPr>
        <w:t>late responses. RTI contacts nonrespondents via phone</w:t>
      </w:r>
      <w:r>
        <w:rPr>
          <w:rFonts w:ascii="Times New Roman" w:hAnsi="Times New Roman"/>
        </w:rPr>
        <w:t xml:space="preserve">, fax, </w:t>
      </w:r>
      <w:r w:rsidR="00B535BD" w:rsidRPr="00B5163D">
        <w:rPr>
          <w:rFonts w:ascii="Times New Roman" w:hAnsi="Times New Roman"/>
        </w:rPr>
        <w:t>email</w:t>
      </w:r>
      <w:r>
        <w:rPr>
          <w:rFonts w:ascii="Times New Roman" w:hAnsi="Times New Roman"/>
        </w:rPr>
        <w:t>, and mail (for respondents for whom RTI does not have an email address)</w:t>
      </w:r>
      <w:r w:rsidR="00B535BD" w:rsidRPr="00B5163D">
        <w:rPr>
          <w:rFonts w:ascii="Times New Roman" w:hAnsi="Times New Roman"/>
        </w:rPr>
        <w:t>. Concentrated data quality follow-up with respon</w:t>
      </w:r>
      <w:r w:rsidR="009A0F52" w:rsidRPr="00B5163D">
        <w:rPr>
          <w:rFonts w:ascii="Times New Roman" w:hAnsi="Times New Roman"/>
        </w:rPr>
        <w:t xml:space="preserve">dents occurs during the summer </w:t>
      </w:r>
      <w:r w:rsidR="009911B1" w:rsidRPr="00B5163D">
        <w:rPr>
          <w:rFonts w:ascii="Times New Roman" w:hAnsi="Times New Roman"/>
        </w:rPr>
        <w:t xml:space="preserve">(see </w:t>
      </w:r>
      <w:r w:rsidR="00361105">
        <w:rPr>
          <w:rFonts w:ascii="Times New Roman" w:hAnsi="Times New Roman"/>
        </w:rPr>
        <w:t>A</w:t>
      </w:r>
      <w:r w:rsidR="000C0CF9" w:rsidRPr="00B5163D">
        <w:rPr>
          <w:rFonts w:ascii="Times New Roman" w:hAnsi="Times New Roman"/>
        </w:rPr>
        <w:t xml:space="preserve">ppendix C, </w:t>
      </w:r>
      <w:r w:rsidR="00361105">
        <w:rPr>
          <w:rFonts w:ascii="Times New Roman" w:hAnsi="Times New Roman"/>
        </w:rPr>
        <w:t>A</w:t>
      </w:r>
      <w:r w:rsidR="009911B1" w:rsidRPr="00B5163D">
        <w:rPr>
          <w:rFonts w:ascii="Times New Roman" w:hAnsi="Times New Roman"/>
        </w:rPr>
        <w:t xml:space="preserve">ttachment </w:t>
      </w:r>
      <w:r w:rsidR="00156A73">
        <w:rPr>
          <w:rFonts w:ascii="Times New Roman" w:hAnsi="Times New Roman"/>
        </w:rPr>
        <w:t>J</w:t>
      </w:r>
      <w:r w:rsidR="009911B1" w:rsidRPr="00B5163D">
        <w:rPr>
          <w:rFonts w:ascii="Times New Roman" w:hAnsi="Times New Roman"/>
        </w:rPr>
        <w:t>)</w:t>
      </w:r>
      <w:r w:rsidR="00B535BD" w:rsidRPr="00B5163D">
        <w:rPr>
          <w:rFonts w:ascii="Times New Roman" w:hAnsi="Times New Roman"/>
        </w:rPr>
        <w:t xml:space="preserve">. </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hanging="720"/>
        <w:rPr>
          <w:rFonts w:ascii="Times New Roman" w:hAnsi="Times New Roman"/>
        </w:rPr>
      </w:pPr>
    </w:p>
    <w:p w:rsidR="009911B1" w:rsidRPr="00B5163D" w:rsidRDefault="00EB051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RTI monitors the DCRP </w:t>
      </w:r>
      <w:r w:rsidR="009147B8" w:rsidRPr="00B5163D">
        <w:rPr>
          <w:rFonts w:ascii="Times New Roman" w:hAnsi="Times New Roman"/>
        </w:rPr>
        <w:t>data</w:t>
      </w:r>
      <w:r w:rsidRPr="00B5163D">
        <w:rPr>
          <w:rFonts w:ascii="Times New Roman" w:hAnsi="Times New Roman"/>
        </w:rPr>
        <w:t xml:space="preserve"> and its respondents throughout the active data collection period. This includes tracking the time to complete, number of contacts made to each agency, and other information (e.g., which form(s) have and have not been returned to date). This information is then used for tailored follow-up prompts to partial or nonrespondents. A similar approach is employed when there </w:t>
      </w:r>
      <w:r w:rsidR="00156A73">
        <w:rPr>
          <w:rFonts w:ascii="Times New Roman" w:hAnsi="Times New Roman"/>
        </w:rPr>
        <w:t>is</w:t>
      </w:r>
      <w:r w:rsidR="00156A73" w:rsidRPr="00B5163D">
        <w:rPr>
          <w:rFonts w:ascii="Times New Roman" w:hAnsi="Times New Roman"/>
        </w:rPr>
        <w:t xml:space="preserve"> </w:t>
      </w:r>
      <w:r w:rsidRPr="00B5163D">
        <w:rPr>
          <w:rFonts w:ascii="Times New Roman" w:hAnsi="Times New Roman"/>
        </w:rPr>
        <w:t>missing or conflicting data within the returned forms. For such outreach activities, agencies are assigned and managed by project team members, each of whom serves as that agency’s liaison for DCRP.</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3. </w:t>
      </w:r>
      <w:r w:rsidRPr="00B5163D">
        <w:rPr>
          <w:rFonts w:ascii="Times New Roman" w:hAnsi="Times New Roman"/>
        </w:rPr>
        <w:tab/>
      </w:r>
      <w:r w:rsidRPr="00B5163D">
        <w:rPr>
          <w:rFonts w:ascii="Times New Roman" w:hAnsi="Times New Roman"/>
          <w:u w:val="single"/>
        </w:rPr>
        <w:t>Methods to Maximize Response</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28452E" w:rsidRPr="00B5163D" w:rsidRDefault="00B535BD" w:rsidP="0028452E">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r w:rsidRPr="00B5163D">
        <w:rPr>
          <w:rFonts w:ascii="Times New Roman" w:hAnsi="Times New Roman"/>
        </w:rPr>
        <w:t>BJS has consistently achieved high rates of response for the state prison and local jail inmate death collections. In each year since collection began</w:t>
      </w:r>
      <w:r w:rsidR="00217FD8">
        <w:rPr>
          <w:rFonts w:ascii="Times New Roman" w:hAnsi="Times New Roman"/>
        </w:rPr>
        <w:t xml:space="preserve"> in 2001</w:t>
      </w:r>
      <w:r w:rsidRPr="00B5163D">
        <w:rPr>
          <w:rFonts w:ascii="Times New Roman" w:hAnsi="Times New Roman"/>
        </w:rPr>
        <w:t xml:space="preserve">, </w:t>
      </w:r>
      <w:r w:rsidR="0028452E">
        <w:rPr>
          <w:rFonts w:ascii="Times New Roman" w:hAnsi="Times New Roman"/>
        </w:rPr>
        <w:t>a</w:t>
      </w:r>
      <w:r w:rsidR="0028452E" w:rsidRPr="00B5163D">
        <w:rPr>
          <w:rFonts w:ascii="Times New Roman" w:hAnsi="Times New Roman"/>
        </w:rPr>
        <w:t xml:space="preserve">ll 50 state departments of corrections have participated in the DCRP-Prisons collection in each year since it began in 2001. </w:t>
      </w:r>
      <w:r w:rsidR="0028452E">
        <w:rPr>
          <w:rFonts w:ascii="Times New Roman" w:hAnsi="Times New Roman"/>
        </w:rPr>
        <w:t xml:space="preserve"> Since BJS initiated the DCRP-Jails collection in 2000, it has obtained responses from at least 97% of the roughly 3,000 local jail jurisdictions (table 4).</w:t>
      </w:r>
    </w:p>
    <w:p w:rsidR="0028452E" w:rsidRPr="00B5163D" w:rsidRDefault="0028452E" w:rsidP="0028452E">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217FD8" w:rsidRDefault="00217FD8">
      <w:pPr>
        <w:widowControl/>
        <w:autoSpaceDE/>
        <w:autoSpaceDN/>
        <w:adjustRightInd/>
        <w:spacing w:after="200" w:line="276" w:lineRule="auto"/>
        <w:rPr>
          <w:rFonts w:ascii="Times New Roman" w:hAnsi="Times New Roman"/>
        </w:rPr>
      </w:pPr>
      <w:r>
        <w:rPr>
          <w:rFonts w:ascii="Times New Roman" w:hAnsi="Times New Roman"/>
        </w:rPr>
        <w:br w:type="page"/>
      </w:r>
    </w:p>
    <w:p w:rsidR="0028452E" w:rsidRDefault="0028452E" w:rsidP="00555A9F">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B535BD" w:rsidRPr="0028452E" w:rsidRDefault="00B535BD" w:rsidP="0028452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b/>
        </w:rPr>
      </w:pPr>
      <w:r w:rsidRPr="0028452E">
        <w:rPr>
          <w:rFonts w:ascii="Times New Roman" w:hAnsi="Times New Roman"/>
          <w:b/>
        </w:rPr>
        <w:t>T</w:t>
      </w:r>
      <w:r w:rsidR="00D2491A" w:rsidRPr="0028452E">
        <w:rPr>
          <w:rFonts w:ascii="Times New Roman" w:hAnsi="Times New Roman"/>
          <w:b/>
        </w:rPr>
        <w:t>able 4</w:t>
      </w:r>
      <w:r w:rsidRPr="0028452E">
        <w:rPr>
          <w:rFonts w:ascii="Times New Roman" w:hAnsi="Times New Roman"/>
          <w:b/>
        </w:rPr>
        <w:t>. Response rates for eligible jails in the DCRP frame, 2000-2010</w:t>
      </w:r>
    </w:p>
    <w:tbl>
      <w:tblPr>
        <w:tblStyle w:val="TableGrid"/>
        <w:tblW w:w="0" w:type="auto"/>
        <w:tblLayout w:type="fixed"/>
        <w:tblLook w:val="04A0" w:firstRow="1" w:lastRow="0" w:firstColumn="1" w:lastColumn="0" w:noHBand="0" w:noVBand="1"/>
      </w:tblPr>
      <w:tblGrid>
        <w:gridCol w:w="1188"/>
        <w:gridCol w:w="762"/>
        <w:gridCol w:w="763"/>
        <w:gridCol w:w="762"/>
        <w:gridCol w:w="763"/>
        <w:gridCol w:w="762"/>
        <w:gridCol w:w="763"/>
        <w:gridCol w:w="762"/>
        <w:gridCol w:w="763"/>
        <w:gridCol w:w="762"/>
        <w:gridCol w:w="763"/>
        <w:gridCol w:w="763"/>
      </w:tblGrid>
      <w:tr w:rsidR="00B5163D" w:rsidRPr="00B5163D" w:rsidTr="00505160">
        <w:tc>
          <w:tcPr>
            <w:tcW w:w="1188" w:type="dxa"/>
          </w:tcPr>
          <w:p w:rsidR="00B535BD" w:rsidRPr="00B5163D" w:rsidRDefault="00B535BD" w:rsidP="0028452E">
            <w:pPr>
              <w:widowControl/>
              <w:autoSpaceDE/>
              <w:autoSpaceDN/>
              <w:adjustRightInd/>
              <w:rPr>
                <w:rFonts w:ascii="Times New Roman" w:hAnsi="Times New Roman"/>
                <w:b/>
                <w:sz w:val="20"/>
                <w:szCs w:val="20"/>
              </w:rPr>
            </w:pPr>
          </w:p>
        </w:tc>
        <w:tc>
          <w:tcPr>
            <w:tcW w:w="762"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2000</w:t>
            </w:r>
          </w:p>
        </w:tc>
        <w:tc>
          <w:tcPr>
            <w:tcW w:w="763"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2001</w:t>
            </w:r>
          </w:p>
        </w:tc>
        <w:tc>
          <w:tcPr>
            <w:tcW w:w="762"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2002</w:t>
            </w:r>
          </w:p>
        </w:tc>
        <w:tc>
          <w:tcPr>
            <w:tcW w:w="763"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2003</w:t>
            </w:r>
          </w:p>
        </w:tc>
        <w:tc>
          <w:tcPr>
            <w:tcW w:w="762"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2004</w:t>
            </w:r>
          </w:p>
        </w:tc>
        <w:tc>
          <w:tcPr>
            <w:tcW w:w="763"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2005</w:t>
            </w:r>
          </w:p>
        </w:tc>
        <w:tc>
          <w:tcPr>
            <w:tcW w:w="762"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2006</w:t>
            </w:r>
          </w:p>
        </w:tc>
        <w:tc>
          <w:tcPr>
            <w:tcW w:w="763"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2007</w:t>
            </w:r>
          </w:p>
        </w:tc>
        <w:tc>
          <w:tcPr>
            <w:tcW w:w="762"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2008</w:t>
            </w:r>
          </w:p>
        </w:tc>
        <w:tc>
          <w:tcPr>
            <w:tcW w:w="763"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2009</w:t>
            </w:r>
          </w:p>
        </w:tc>
        <w:tc>
          <w:tcPr>
            <w:tcW w:w="763"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2010</w:t>
            </w:r>
          </w:p>
        </w:tc>
      </w:tr>
      <w:tr w:rsidR="00B5163D" w:rsidRPr="00B5163D" w:rsidTr="00505160">
        <w:tc>
          <w:tcPr>
            <w:tcW w:w="1188" w:type="dxa"/>
          </w:tcPr>
          <w:p w:rsidR="00B535BD" w:rsidRPr="00B5163D" w:rsidRDefault="00B535BD" w:rsidP="00505160">
            <w:pPr>
              <w:widowControl/>
              <w:autoSpaceDE/>
              <w:autoSpaceDN/>
              <w:adjustRightInd/>
              <w:rPr>
                <w:rFonts w:ascii="Times New Roman" w:hAnsi="Times New Roman"/>
                <w:sz w:val="20"/>
                <w:szCs w:val="20"/>
              </w:rPr>
            </w:pPr>
            <w:r w:rsidRPr="00B5163D">
              <w:rPr>
                <w:rFonts w:ascii="Times New Roman" w:hAnsi="Times New Roman"/>
                <w:sz w:val="20"/>
                <w:szCs w:val="20"/>
              </w:rPr>
              <w:t># jail</w:t>
            </w:r>
            <w:r w:rsidR="000B670F" w:rsidRPr="00B5163D">
              <w:rPr>
                <w:rFonts w:ascii="Times New Roman" w:hAnsi="Times New Roman"/>
                <w:sz w:val="20"/>
                <w:szCs w:val="20"/>
              </w:rPr>
              <w:t>s</w:t>
            </w:r>
            <w:r w:rsidRPr="00B5163D">
              <w:rPr>
                <w:rFonts w:ascii="Times New Roman" w:hAnsi="Times New Roman"/>
                <w:sz w:val="20"/>
                <w:szCs w:val="20"/>
              </w:rPr>
              <w:t xml:space="preserve"> responding</w:t>
            </w:r>
          </w:p>
        </w:tc>
        <w:tc>
          <w:tcPr>
            <w:tcW w:w="762" w:type="dxa"/>
          </w:tcPr>
          <w:p w:rsidR="00B535BD" w:rsidRPr="00B5163D" w:rsidRDefault="00B535BD" w:rsidP="0028452E">
            <w:pPr>
              <w:widowControl/>
              <w:autoSpaceDE/>
              <w:autoSpaceDN/>
              <w:adjustRightInd/>
              <w:jc w:val="right"/>
              <w:rPr>
                <w:rFonts w:ascii="Times New Roman" w:hAnsi="Times New Roman"/>
                <w:sz w:val="20"/>
                <w:szCs w:val="20"/>
              </w:rPr>
            </w:pPr>
            <w:r w:rsidRPr="00B5163D">
              <w:rPr>
                <w:rFonts w:ascii="Times New Roman" w:hAnsi="Times New Roman"/>
                <w:sz w:val="20"/>
                <w:szCs w:val="20"/>
              </w:rPr>
              <w:t>3,072</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3,052</w:t>
            </w:r>
          </w:p>
        </w:tc>
        <w:tc>
          <w:tcPr>
            <w:tcW w:w="762"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3,036</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3,019</w:t>
            </w:r>
          </w:p>
        </w:tc>
        <w:tc>
          <w:tcPr>
            <w:tcW w:w="762"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3,003</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2,977</w:t>
            </w:r>
          </w:p>
        </w:tc>
        <w:tc>
          <w:tcPr>
            <w:tcW w:w="762"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2,946</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2,924</w:t>
            </w:r>
          </w:p>
        </w:tc>
        <w:tc>
          <w:tcPr>
            <w:tcW w:w="762"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2,908</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2,826</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2,813</w:t>
            </w:r>
          </w:p>
        </w:tc>
      </w:tr>
      <w:tr w:rsidR="00B5163D" w:rsidRPr="00B5163D" w:rsidTr="00505160">
        <w:tc>
          <w:tcPr>
            <w:tcW w:w="1188" w:type="dxa"/>
          </w:tcPr>
          <w:p w:rsidR="00B535BD" w:rsidRPr="00B5163D" w:rsidRDefault="00B535BD" w:rsidP="00505160">
            <w:pPr>
              <w:widowControl/>
              <w:autoSpaceDE/>
              <w:autoSpaceDN/>
              <w:adjustRightInd/>
              <w:rPr>
                <w:rFonts w:ascii="Times New Roman" w:hAnsi="Times New Roman"/>
                <w:sz w:val="20"/>
                <w:szCs w:val="20"/>
              </w:rPr>
            </w:pPr>
            <w:r w:rsidRPr="00B5163D">
              <w:rPr>
                <w:rFonts w:ascii="Times New Roman" w:hAnsi="Times New Roman"/>
                <w:sz w:val="20"/>
                <w:szCs w:val="20"/>
              </w:rPr>
              <w:t># of jails in the frame</w:t>
            </w:r>
          </w:p>
        </w:tc>
        <w:tc>
          <w:tcPr>
            <w:tcW w:w="762" w:type="dxa"/>
          </w:tcPr>
          <w:p w:rsidR="00B535BD" w:rsidRPr="00B5163D" w:rsidRDefault="00B535BD" w:rsidP="0028452E">
            <w:pPr>
              <w:widowControl/>
              <w:autoSpaceDE/>
              <w:autoSpaceDN/>
              <w:adjustRightInd/>
              <w:jc w:val="right"/>
              <w:rPr>
                <w:rFonts w:ascii="Times New Roman" w:hAnsi="Times New Roman"/>
                <w:sz w:val="20"/>
                <w:szCs w:val="20"/>
              </w:rPr>
            </w:pPr>
            <w:r w:rsidRPr="00B5163D">
              <w:rPr>
                <w:rFonts w:ascii="Times New Roman" w:hAnsi="Times New Roman"/>
                <w:sz w:val="20"/>
                <w:szCs w:val="20"/>
              </w:rPr>
              <w:t>3,095</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3,068</w:t>
            </w:r>
          </w:p>
        </w:tc>
        <w:tc>
          <w:tcPr>
            <w:tcW w:w="762"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3,059</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3,046</w:t>
            </w:r>
          </w:p>
        </w:tc>
        <w:tc>
          <w:tcPr>
            <w:tcW w:w="762"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3,025</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3,019</w:t>
            </w:r>
          </w:p>
        </w:tc>
        <w:tc>
          <w:tcPr>
            <w:tcW w:w="762"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2,972</w:t>
            </w:r>
          </w:p>
        </w:tc>
        <w:tc>
          <w:tcPr>
            <w:tcW w:w="763" w:type="dxa"/>
          </w:tcPr>
          <w:p w:rsidR="00B535BD" w:rsidRPr="00B5163D" w:rsidRDefault="00865F76"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2,953</w:t>
            </w:r>
          </w:p>
        </w:tc>
        <w:tc>
          <w:tcPr>
            <w:tcW w:w="762" w:type="dxa"/>
          </w:tcPr>
          <w:p w:rsidR="00B535BD" w:rsidRPr="00B5163D" w:rsidRDefault="00865F76"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2,944</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2,918</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2,892</w:t>
            </w:r>
          </w:p>
        </w:tc>
      </w:tr>
      <w:tr w:rsidR="00B5163D" w:rsidRPr="00B5163D" w:rsidTr="00505160">
        <w:tc>
          <w:tcPr>
            <w:tcW w:w="1188" w:type="dxa"/>
          </w:tcPr>
          <w:p w:rsidR="00B535BD" w:rsidRPr="00B5163D" w:rsidRDefault="00B535BD" w:rsidP="00505160">
            <w:pPr>
              <w:widowControl/>
              <w:autoSpaceDE/>
              <w:autoSpaceDN/>
              <w:adjustRightInd/>
              <w:rPr>
                <w:rFonts w:ascii="Times New Roman" w:hAnsi="Times New Roman"/>
                <w:sz w:val="20"/>
                <w:szCs w:val="20"/>
              </w:rPr>
            </w:pPr>
            <w:r w:rsidRPr="00B5163D">
              <w:rPr>
                <w:rFonts w:ascii="Times New Roman" w:hAnsi="Times New Roman"/>
                <w:sz w:val="20"/>
                <w:szCs w:val="20"/>
              </w:rPr>
              <w:t>% of jails responding</w:t>
            </w:r>
          </w:p>
        </w:tc>
        <w:tc>
          <w:tcPr>
            <w:tcW w:w="762" w:type="dxa"/>
          </w:tcPr>
          <w:p w:rsidR="00B535BD" w:rsidRPr="00B5163D" w:rsidRDefault="00B535BD" w:rsidP="0028452E">
            <w:pPr>
              <w:widowControl/>
              <w:autoSpaceDE/>
              <w:autoSpaceDN/>
              <w:adjustRightInd/>
              <w:jc w:val="right"/>
              <w:rPr>
                <w:rFonts w:ascii="Times New Roman" w:hAnsi="Times New Roman"/>
                <w:sz w:val="20"/>
                <w:szCs w:val="20"/>
              </w:rPr>
            </w:pPr>
            <w:r w:rsidRPr="00B5163D">
              <w:rPr>
                <w:rFonts w:ascii="Times New Roman" w:hAnsi="Times New Roman"/>
                <w:sz w:val="20"/>
                <w:szCs w:val="20"/>
              </w:rPr>
              <w:t>99.2%</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99.4%</w:t>
            </w:r>
          </w:p>
        </w:tc>
        <w:tc>
          <w:tcPr>
            <w:tcW w:w="762"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99.2%</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99.1%</w:t>
            </w:r>
          </w:p>
        </w:tc>
        <w:tc>
          <w:tcPr>
            <w:tcW w:w="762"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99.2%</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98.6%</w:t>
            </w:r>
          </w:p>
        </w:tc>
        <w:tc>
          <w:tcPr>
            <w:tcW w:w="762"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99.1%</w:t>
            </w:r>
          </w:p>
        </w:tc>
        <w:tc>
          <w:tcPr>
            <w:tcW w:w="763" w:type="dxa"/>
          </w:tcPr>
          <w:p w:rsidR="00B535BD" w:rsidRPr="00B5163D" w:rsidRDefault="00865F76"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99</w:t>
            </w:r>
            <w:r w:rsidR="00A73BCE">
              <w:rPr>
                <w:rFonts w:ascii="Times New Roman" w:hAnsi="Times New Roman"/>
                <w:sz w:val="20"/>
                <w:szCs w:val="20"/>
              </w:rPr>
              <w:t>.0</w:t>
            </w:r>
            <w:r w:rsidRPr="00B5163D">
              <w:rPr>
                <w:rFonts w:ascii="Times New Roman" w:hAnsi="Times New Roman"/>
                <w:sz w:val="20"/>
                <w:szCs w:val="20"/>
              </w:rPr>
              <w:t>%</w:t>
            </w:r>
          </w:p>
        </w:tc>
        <w:tc>
          <w:tcPr>
            <w:tcW w:w="762" w:type="dxa"/>
          </w:tcPr>
          <w:p w:rsidR="00B535BD" w:rsidRPr="00B5163D" w:rsidRDefault="00865F76"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98.9%</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96.9%</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97.3%</w:t>
            </w:r>
          </w:p>
        </w:tc>
      </w:tr>
    </w:tbl>
    <w:p w:rsidR="007E49F2" w:rsidRPr="00B5163D" w:rsidRDefault="007E49F2">
      <w:pPr>
        <w:widowControl/>
        <w:autoSpaceDE/>
        <w:autoSpaceDN/>
        <w:adjustRightInd/>
        <w:spacing w:after="200" w:line="276" w:lineRule="auto"/>
        <w:rPr>
          <w:rFonts w:ascii="Times New Roman" w:hAnsi="Times New Roman"/>
        </w:rPr>
      </w:pPr>
    </w:p>
    <w:p w:rsidR="00B535BD" w:rsidRDefault="000B670F" w:rsidP="00105A7E">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r w:rsidRPr="00B5163D">
        <w:rPr>
          <w:rFonts w:ascii="Times New Roman" w:hAnsi="Times New Roman"/>
        </w:rPr>
        <w:t>To maximize response rates</w:t>
      </w:r>
      <w:r w:rsidR="00BE1423">
        <w:rPr>
          <w:rFonts w:ascii="Times New Roman" w:hAnsi="Times New Roman"/>
        </w:rPr>
        <w:t xml:space="preserve"> with state prison and local jail respondents</w:t>
      </w:r>
      <w:r w:rsidRPr="00B5163D">
        <w:rPr>
          <w:rFonts w:ascii="Times New Roman" w:hAnsi="Times New Roman"/>
        </w:rPr>
        <w:t xml:space="preserve">, BJS has provided multiple modes of data submission, with web as </w:t>
      </w:r>
      <w:r w:rsidR="00FA65C7" w:rsidRPr="00B5163D">
        <w:rPr>
          <w:rFonts w:ascii="Times New Roman" w:hAnsi="Times New Roman"/>
        </w:rPr>
        <w:t>the primary mode.  As some local jail respondents either have</w:t>
      </w:r>
      <w:r w:rsidR="008F2AAB">
        <w:rPr>
          <w:rFonts w:ascii="Times New Roman" w:hAnsi="Times New Roman"/>
        </w:rPr>
        <w:t xml:space="preserve"> no</w:t>
      </w:r>
      <w:r w:rsidR="00FA65C7" w:rsidRPr="00B5163D">
        <w:rPr>
          <w:rFonts w:ascii="Times New Roman" w:hAnsi="Times New Roman"/>
        </w:rPr>
        <w:t xml:space="preserve"> </w:t>
      </w:r>
      <w:r w:rsidR="00471075" w:rsidRPr="00B5163D">
        <w:rPr>
          <w:rFonts w:ascii="Times New Roman" w:hAnsi="Times New Roman"/>
        </w:rPr>
        <w:t>or limited</w:t>
      </w:r>
      <w:r w:rsidR="00FA65C7" w:rsidRPr="00B5163D">
        <w:rPr>
          <w:rFonts w:ascii="Times New Roman" w:hAnsi="Times New Roman"/>
        </w:rPr>
        <w:t xml:space="preserve"> access to the web, the</w:t>
      </w:r>
      <w:r w:rsidR="00B535BD" w:rsidRPr="00B5163D">
        <w:rPr>
          <w:rFonts w:ascii="Times New Roman" w:hAnsi="Times New Roman"/>
        </w:rPr>
        <w:t xml:space="preserve"> data collection plan allows for local jail respondents to submit data by mailing their reply in a postage-paid envelope, via secure fax, encrypted e-mail, </w:t>
      </w:r>
      <w:r w:rsidR="00FA65C7" w:rsidRPr="00B5163D">
        <w:rPr>
          <w:rFonts w:ascii="Times New Roman" w:hAnsi="Times New Roman"/>
        </w:rPr>
        <w:t xml:space="preserve">or </w:t>
      </w:r>
      <w:r w:rsidR="00B535BD" w:rsidRPr="00B5163D">
        <w:rPr>
          <w:rFonts w:ascii="Times New Roman" w:hAnsi="Times New Roman"/>
        </w:rPr>
        <w:t xml:space="preserve">telephone, </w:t>
      </w:r>
      <w:r w:rsidR="00FA65C7" w:rsidRPr="00B5163D">
        <w:rPr>
          <w:rFonts w:ascii="Times New Roman" w:hAnsi="Times New Roman"/>
        </w:rPr>
        <w:t xml:space="preserve">in addition to web-based </w:t>
      </w:r>
      <w:r w:rsidR="00B535BD" w:rsidRPr="00B5163D">
        <w:rPr>
          <w:rFonts w:ascii="Times New Roman" w:hAnsi="Times New Roman"/>
        </w:rPr>
        <w:t>reporting</w:t>
      </w:r>
      <w:r w:rsidR="00FA65C7" w:rsidRPr="00B5163D">
        <w:rPr>
          <w:rFonts w:ascii="Times New Roman" w:hAnsi="Times New Roman"/>
        </w:rPr>
        <w:t xml:space="preserve">. </w:t>
      </w:r>
      <w:r w:rsidR="00B535BD" w:rsidRPr="00B5163D">
        <w:rPr>
          <w:rFonts w:ascii="Times New Roman" w:hAnsi="Times New Roman"/>
        </w:rPr>
        <w:t xml:space="preserve"> BJS developed a bulk file template in which state prison administrators can submit their prison inmate death records electronically due to the volume of deaths associated with prison submissions. During 2010, 92% of prison respondents submitted their records electronically (82% via t</w:t>
      </w:r>
      <w:r w:rsidR="00105A7E" w:rsidRPr="00B5163D">
        <w:rPr>
          <w:rFonts w:ascii="Times New Roman" w:hAnsi="Times New Roman"/>
        </w:rPr>
        <w:t>he web, 10% via the bulk file).</w:t>
      </w:r>
    </w:p>
    <w:p w:rsidR="007B11D6" w:rsidRDefault="007B11D6" w:rsidP="00105A7E">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ED0A5D" w:rsidRPr="00B5163D" w:rsidRDefault="00ED0A5D" w:rsidP="00ED0A5D">
      <w:pPr>
        <w:widowControl/>
        <w:autoSpaceDE/>
        <w:autoSpaceDN/>
        <w:adjustRightInd/>
        <w:rPr>
          <w:rFonts w:ascii="Times New Roman" w:hAnsi="Times New Roman"/>
        </w:rPr>
      </w:pPr>
      <w:r w:rsidRPr="00B5163D">
        <w:rPr>
          <w:rFonts w:ascii="Times New Roman" w:hAnsi="Times New Roman"/>
        </w:rPr>
        <w:t xml:space="preserve">Throughout the history of the ARD collection, BJS has </w:t>
      </w:r>
      <w:r>
        <w:rPr>
          <w:rFonts w:ascii="Times New Roman" w:hAnsi="Times New Roman"/>
        </w:rPr>
        <w:t xml:space="preserve">established SRCs in up to 48 states (including the District of Columbia). </w:t>
      </w:r>
      <w:r w:rsidRPr="00B5163D">
        <w:rPr>
          <w:rFonts w:ascii="Times New Roman" w:hAnsi="Times New Roman"/>
        </w:rPr>
        <w:t xml:space="preserve"> During the 2013 through 2015 collection cycle, BJS will work </w:t>
      </w:r>
      <w:r>
        <w:rPr>
          <w:rFonts w:ascii="Times New Roman" w:hAnsi="Times New Roman"/>
        </w:rPr>
        <w:t xml:space="preserve">to establish SRCs in the remaining </w:t>
      </w:r>
      <w:r w:rsidRPr="00B5163D">
        <w:rPr>
          <w:rFonts w:ascii="Times New Roman" w:hAnsi="Times New Roman"/>
        </w:rPr>
        <w:t>state</w:t>
      </w:r>
      <w:r>
        <w:rPr>
          <w:rFonts w:ascii="Times New Roman" w:hAnsi="Times New Roman"/>
        </w:rPr>
        <w:t>s—</w:t>
      </w:r>
      <w:r w:rsidRPr="00B5163D">
        <w:rPr>
          <w:rFonts w:ascii="Times New Roman" w:hAnsi="Times New Roman"/>
        </w:rPr>
        <w:t>Georgia, Arkansas, and Wisconsin</w:t>
      </w:r>
      <w:r>
        <w:rPr>
          <w:rFonts w:ascii="Times New Roman" w:hAnsi="Times New Roman"/>
        </w:rPr>
        <w:t xml:space="preserve">—that currently do not have an SRC for ARD.  In the interim, </w:t>
      </w:r>
      <w:r w:rsidRPr="00B5163D">
        <w:rPr>
          <w:rFonts w:ascii="Times New Roman" w:hAnsi="Times New Roman"/>
        </w:rPr>
        <w:t xml:space="preserve">RTI, </w:t>
      </w:r>
      <w:r>
        <w:rPr>
          <w:rFonts w:ascii="Times New Roman" w:hAnsi="Times New Roman"/>
        </w:rPr>
        <w:t xml:space="preserve">BJS’ contractor for </w:t>
      </w:r>
      <w:r w:rsidRPr="00B5163D">
        <w:rPr>
          <w:rFonts w:ascii="Times New Roman" w:hAnsi="Times New Roman"/>
        </w:rPr>
        <w:t xml:space="preserve">ARD collection </w:t>
      </w:r>
      <w:r>
        <w:rPr>
          <w:rFonts w:ascii="Times New Roman" w:hAnsi="Times New Roman"/>
        </w:rPr>
        <w:t>and analysis</w:t>
      </w:r>
      <w:r w:rsidRPr="00B5163D">
        <w:rPr>
          <w:rFonts w:ascii="Times New Roman" w:hAnsi="Times New Roman"/>
        </w:rPr>
        <w:t xml:space="preserve">, will serve as the SRC in these states.  </w:t>
      </w:r>
    </w:p>
    <w:p w:rsidR="00ED0A5D" w:rsidRPr="00B5163D" w:rsidRDefault="00ED0A5D" w:rsidP="00ED0A5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r>
        <w:rPr>
          <w:rFonts w:ascii="Times New Roman" w:hAnsi="Times New Roman"/>
        </w:rPr>
        <w:t>BJS acknowledges that the concept of maximizing response rates in the context of the ARD collection has limited meaning</w:t>
      </w:r>
      <w:r w:rsidR="00B11D55">
        <w:rPr>
          <w:rFonts w:ascii="Times New Roman" w:hAnsi="Times New Roman"/>
        </w:rPr>
        <w:t>.</w:t>
      </w:r>
      <w:r w:rsidR="003D2564">
        <w:rPr>
          <w:rFonts w:ascii="Times New Roman" w:hAnsi="Times New Roman"/>
        </w:rPr>
        <w:t xml:space="preserve"> </w:t>
      </w:r>
      <w:r>
        <w:rPr>
          <w:rFonts w:ascii="Times New Roman" w:hAnsi="Times New Roman"/>
        </w:rPr>
        <w:t xml:space="preserve">Even if BJS were to meet its goal of establishing an SRC in each state, that would not guarantee that BJS would obtain data on all arrest related deaths.  For example, results from a preliminary analysis of ARD data on law enforcement homicides and SHR data on justifiable homicides by law enforcement agencies—the categories of arrest-related deaths that are most comparable between the two programs—BJS found </w:t>
      </w:r>
      <w:r w:rsidR="00FE2D12">
        <w:rPr>
          <w:rFonts w:ascii="Times New Roman" w:hAnsi="Times New Roman"/>
        </w:rPr>
        <w:t xml:space="preserve">SHR cases that were not reported in ARD and ARD cases that were not reported in SHR.  </w:t>
      </w:r>
      <w:r>
        <w:rPr>
          <w:rFonts w:ascii="Times New Roman" w:hAnsi="Times New Roman"/>
        </w:rPr>
        <w:t xml:space="preserve">Across four years, from 2006 through 2009, there were </w:t>
      </w:r>
      <w:r w:rsidR="00FE2D12">
        <w:rPr>
          <w:rFonts w:ascii="Times New Roman" w:hAnsi="Times New Roman"/>
        </w:rPr>
        <w:t xml:space="preserve">about 500 </w:t>
      </w:r>
      <w:r>
        <w:rPr>
          <w:rFonts w:ascii="Times New Roman" w:hAnsi="Times New Roman"/>
        </w:rPr>
        <w:t xml:space="preserve">SHR homicides that </w:t>
      </w:r>
      <w:r w:rsidR="00FE2D12">
        <w:rPr>
          <w:rFonts w:ascii="Times New Roman" w:hAnsi="Times New Roman"/>
        </w:rPr>
        <w:t xml:space="preserve">appeared not to be </w:t>
      </w:r>
      <w:r>
        <w:rPr>
          <w:rFonts w:ascii="Times New Roman" w:hAnsi="Times New Roman"/>
        </w:rPr>
        <w:t xml:space="preserve">included within the </w:t>
      </w:r>
      <w:r w:rsidR="00FE2D12">
        <w:rPr>
          <w:rFonts w:ascii="Times New Roman" w:hAnsi="Times New Roman"/>
        </w:rPr>
        <w:t xml:space="preserve">roughly </w:t>
      </w:r>
      <w:r>
        <w:rPr>
          <w:rFonts w:ascii="Times New Roman" w:hAnsi="Times New Roman"/>
        </w:rPr>
        <w:t>1,800 ARD law enforcement homicides</w:t>
      </w:r>
      <w:r w:rsidR="00FE2D12">
        <w:rPr>
          <w:rFonts w:ascii="Times New Roman" w:hAnsi="Times New Roman"/>
        </w:rPr>
        <w:t xml:space="preserve"> over this period</w:t>
      </w:r>
      <w:r>
        <w:rPr>
          <w:rFonts w:ascii="Times New Roman" w:hAnsi="Times New Roman"/>
        </w:rPr>
        <w:t xml:space="preserve">.  </w:t>
      </w:r>
      <w:r w:rsidR="00A614AF">
        <w:rPr>
          <w:rFonts w:ascii="Times New Roman" w:hAnsi="Times New Roman"/>
        </w:rPr>
        <w:t xml:space="preserve">In addition, there were </w:t>
      </w:r>
      <w:r w:rsidR="00FE2D12">
        <w:rPr>
          <w:rFonts w:ascii="Times New Roman" w:hAnsi="Times New Roman"/>
        </w:rPr>
        <w:t xml:space="preserve">at least 700 </w:t>
      </w:r>
      <w:r w:rsidR="00A614AF">
        <w:rPr>
          <w:rFonts w:ascii="Times New Roman" w:hAnsi="Times New Roman"/>
        </w:rPr>
        <w:t xml:space="preserve">ARD </w:t>
      </w:r>
      <w:r w:rsidR="00FE2D12">
        <w:rPr>
          <w:rFonts w:ascii="Times New Roman" w:hAnsi="Times New Roman"/>
        </w:rPr>
        <w:t xml:space="preserve">law enforcement homicides </w:t>
      </w:r>
      <w:r w:rsidR="00A614AF">
        <w:rPr>
          <w:rFonts w:ascii="Times New Roman" w:hAnsi="Times New Roman"/>
        </w:rPr>
        <w:t xml:space="preserve">that </w:t>
      </w:r>
      <w:r w:rsidR="00FE2D12">
        <w:rPr>
          <w:rFonts w:ascii="Times New Roman" w:hAnsi="Times New Roman"/>
        </w:rPr>
        <w:t xml:space="preserve">did not appear in the roughly 1,600 </w:t>
      </w:r>
      <w:r w:rsidR="00A614AF">
        <w:rPr>
          <w:rFonts w:ascii="Times New Roman" w:hAnsi="Times New Roman"/>
        </w:rPr>
        <w:t>SHR</w:t>
      </w:r>
      <w:r w:rsidR="00FE2D12">
        <w:rPr>
          <w:rFonts w:ascii="Times New Roman" w:hAnsi="Times New Roman"/>
        </w:rPr>
        <w:t xml:space="preserve"> justifiable homicides over this period</w:t>
      </w:r>
      <w:r w:rsidR="00A614AF">
        <w:rPr>
          <w:rFonts w:ascii="Times New Roman" w:hAnsi="Times New Roman"/>
        </w:rPr>
        <w:t>.</w:t>
      </w:r>
      <w:r w:rsidR="004F0C4D">
        <w:rPr>
          <w:rFonts w:ascii="Times New Roman" w:hAnsi="Times New Roman"/>
        </w:rPr>
        <w:t xml:space="preserve"> </w:t>
      </w:r>
      <w:r w:rsidR="00516B14">
        <w:rPr>
          <w:rFonts w:ascii="Times New Roman" w:hAnsi="Times New Roman"/>
        </w:rPr>
        <w:t xml:space="preserve">Both data systems will improve once a deeper understanding </w:t>
      </w:r>
      <w:r w:rsidR="00A614AF">
        <w:rPr>
          <w:rFonts w:ascii="Times New Roman" w:hAnsi="Times New Roman"/>
        </w:rPr>
        <w:t xml:space="preserve">of the incidents found only in ARD or SHR </w:t>
      </w:r>
      <w:r w:rsidR="00516B14">
        <w:rPr>
          <w:rFonts w:ascii="Times New Roman" w:hAnsi="Times New Roman"/>
        </w:rPr>
        <w:t>is developed</w:t>
      </w:r>
      <w:r w:rsidR="00A614AF">
        <w:rPr>
          <w:rFonts w:ascii="Times New Roman" w:hAnsi="Times New Roman"/>
        </w:rPr>
        <w:t xml:space="preserve">. </w:t>
      </w:r>
      <w:r w:rsidR="00516B14" w:rsidRPr="002A6F8F">
        <w:rPr>
          <w:rFonts w:ascii="Times New Roman" w:hAnsi="Times New Roman"/>
        </w:rPr>
        <w:t>In addition, the SRCs ability to identify arrest-related law-enforcement homicides would be improved if more current SHR data were made available for them to use in their searches.</w:t>
      </w:r>
      <w:r w:rsidR="00516B14">
        <w:rPr>
          <w:rFonts w:ascii="Times New Roman" w:hAnsi="Times New Roman"/>
        </w:rPr>
        <w:t xml:space="preserve">  </w:t>
      </w: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r>
        <w:rPr>
          <w:rFonts w:ascii="Times New Roman" w:hAnsi="Times New Roman"/>
        </w:rPr>
        <w:t>Under the current collection method, SRCs first identify deaths then contact the local agencies in which the deaths occurred to get the information to complete a CJ-11A for each death.  By this method, BJS can only affirm that an identified death occurred and met the criteria for inclusion within ARD</w:t>
      </w:r>
      <w:r w:rsidR="003F1C21">
        <w:rPr>
          <w:rFonts w:ascii="Times New Roman" w:hAnsi="Times New Roman"/>
        </w:rPr>
        <w:t xml:space="preserve"> but</w:t>
      </w:r>
      <w:r>
        <w:rPr>
          <w:rFonts w:ascii="Times New Roman" w:hAnsi="Times New Roman"/>
        </w:rPr>
        <w:t xml:space="preserve"> cannot confirm that there were in fact no </w:t>
      </w:r>
      <w:r w:rsidR="00516B14">
        <w:rPr>
          <w:rFonts w:ascii="Times New Roman" w:hAnsi="Times New Roman"/>
        </w:rPr>
        <w:t xml:space="preserve">other </w:t>
      </w:r>
      <w:r>
        <w:rPr>
          <w:rFonts w:ascii="Times New Roman" w:hAnsi="Times New Roman"/>
        </w:rPr>
        <w:t>arrest-related deaths.  This is because BJS does not survey each of the 18,000 law enforcement agencies to determine whether, and if so, how many arrest-related deaths occur</w:t>
      </w:r>
      <w:r w:rsidR="00A614AF">
        <w:rPr>
          <w:rFonts w:ascii="Times New Roman" w:hAnsi="Times New Roman"/>
        </w:rPr>
        <w:t xml:space="preserve">. The two </w:t>
      </w:r>
      <w:r>
        <w:rPr>
          <w:rFonts w:ascii="Times New Roman" w:hAnsi="Times New Roman"/>
        </w:rPr>
        <w:t xml:space="preserve">SRCs </w:t>
      </w:r>
      <w:r w:rsidR="00A614AF">
        <w:rPr>
          <w:rFonts w:ascii="Times New Roman" w:hAnsi="Times New Roman"/>
        </w:rPr>
        <w:t xml:space="preserve">with state-mandated collection </w:t>
      </w:r>
      <w:r w:rsidR="00A614AF">
        <w:rPr>
          <w:rFonts w:ascii="Times New Roman" w:hAnsi="Times New Roman"/>
        </w:rPr>
        <w:lastRenderedPageBreak/>
        <w:t xml:space="preserve">efforts </w:t>
      </w:r>
      <w:r>
        <w:rPr>
          <w:rFonts w:ascii="Times New Roman" w:hAnsi="Times New Roman"/>
        </w:rPr>
        <w:t>actively survey all law enforcement agencies in their respective states to confirm that, in fact, no deaths or some deaths occurred.</w:t>
      </w: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r>
        <w:rPr>
          <w:rFonts w:ascii="Times New Roman" w:hAnsi="Times New Roman"/>
        </w:rPr>
        <w:t>Despite the limitations of the current method, it is a method that has generated useful information that contributes to the understanding of arrest-related deaths.  For example, despite coverage error and incomplete reporting, at least 40% of the ARD deaths that BJS has collected were not law enforcement homicides</w:t>
      </w:r>
      <w:r w:rsidR="00516B14">
        <w:rPr>
          <w:rFonts w:ascii="Times New Roman" w:hAnsi="Times New Roman"/>
        </w:rPr>
        <w:t xml:space="preserve"> (i.e., outside the scope of SHR)</w:t>
      </w:r>
      <w:r>
        <w:rPr>
          <w:rFonts w:ascii="Times New Roman" w:hAnsi="Times New Roman"/>
        </w:rPr>
        <w:t xml:space="preserve">.  Rather, these arose from other causes such as heart attacks, intoxication, accidents and suicides (other than suicide by cop).  </w:t>
      </w: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r>
        <w:rPr>
          <w:rFonts w:ascii="Times New Roman" w:hAnsi="Times New Roman"/>
        </w:rPr>
        <w:t xml:space="preserve">Given that BJS resource constraints still preclude it from developing a system of surveying 18,000 law enforcement agencies about arrest-related deaths on a recurring basis, BJS aims to undertake a set of studies of past ARD data and of the ARD data to be collected under this clearance to </w:t>
      </w:r>
      <w:r w:rsidR="00516B14">
        <w:rPr>
          <w:rFonts w:ascii="Times New Roman" w:hAnsi="Times New Roman"/>
        </w:rPr>
        <w:t xml:space="preserve">1) </w:t>
      </w:r>
      <w:r>
        <w:rPr>
          <w:rFonts w:ascii="Times New Roman" w:hAnsi="Times New Roman"/>
        </w:rPr>
        <w:t>test the methods and procedures for data collection</w:t>
      </w:r>
      <w:r w:rsidR="008F1490">
        <w:rPr>
          <w:rFonts w:ascii="Times New Roman" w:hAnsi="Times New Roman"/>
        </w:rPr>
        <w:t>;</w:t>
      </w:r>
      <w:r>
        <w:rPr>
          <w:rFonts w:ascii="Times New Roman" w:hAnsi="Times New Roman"/>
        </w:rPr>
        <w:t xml:space="preserve"> </w:t>
      </w:r>
      <w:r w:rsidR="00516B14">
        <w:rPr>
          <w:rFonts w:ascii="Times New Roman" w:hAnsi="Times New Roman"/>
        </w:rPr>
        <w:t xml:space="preserve">2) </w:t>
      </w:r>
      <w:r>
        <w:rPr>
          <w:rFonts w:ascii="Times New Roman" w:hAnsi="Times New Roman"/>
        </w:rPr>
        <w:t>determine the portions of the ARD collection that result in reliable data on arrest related deaths</w:t>
      </w:r>
      <w:r w:rsidR="008F1490">
        <w:rPr>
          <w:rFonts w:ascii="Times New Roman" w:hAnsi="Times New Roman"/>
        </w:rPr>
        <w:t>;</w:t>
      </w:r>
      <w:r>
        <w:rPr>
          <w:rFonts w:ascii="Times New Roman" w:hAnsi="Times New Roman"/>
        </w:rPr>
        <w:t xml:space="preserve"> and </w:t>
      </w:r>
      <w:r w:rsidR="00516B14">
        <w:rPr>
          <w:rFonts w:ascii="Times New Roman" w:hAnsi="Times New Roman"/>
        </w:rPr>
        <w:t xml:space="preserve">3) </w:t>
      </w:r>
      <w:r>
        <w:rPr>
          <w:rFonts w:ascii="Times New Roman" w:hAnsi="Times New Roman"/>
        </w:rPr>
        <w:t xml:space="preserve">for those </w:t>
      </w:r>
      <w:r w:rsidR="008F1490">
        <w:rPr>
          <w:rFonts w:ascii="Times New Roman" w:hAnsi="Times New Roman"/>
        </w:rPr>
        <w:t xml:space="preserve">procedures </w:t>
      </w:r>
      <w:r>
        <w:rPr>
          <w:rFonts w:ascii="Times New Roman" w:hAnsi="Times New Roman"/>
        </w:rPr>
        <w:t>that do not result in reliable data</w:t>
      </w:r>
      <w:r w:rsidR="00516B14">
        <w:rPr>
          <w:rFonts w:ascii="Times New Roman" w:hAnsi="Times New Roman"/>
        </w:rPr>
        <w:t>,</w:t>
      </w:r>
      <w:r>
        <w:rPr>
          <w:rFonts w:ascii="Times New Roman" w:hAnsi="Times New Roman"/>
        </w:rPr>
        <w:t xml:space="preserve"> </w:t>
      </w:r>
      <w:r w:rsidR="003F1C21">
        <w:rPr>
          <w:rFonts w:ascii="Times New Roman" w:hAnsi="Times New Roman"/>
        </w:rPr>
        <w:t xml:space="preserve">and </w:t>
      </w:r>
      <w:r>
        <w:rPr>
          <w:rFonts w:ascii="Times New Roman" w:hAnsi="Times New Roman"/>
        </w:rPr>
        <w:t xml:space="preserve">develop alternative approaches to the collection information about arrest-related deaths. </w:t>
      </w: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r>
        <w:rPr>
          <w:rFonts w:ascii="Times New Roman" w:hAnsi="Times New Roman"/>
        </w:rPr>
        <w:t xml:space="preserve">These </w:t>
      </w:r>
      <w:r w:rsidR="008F1490">
        <w:rPr>
          <w:rFonts w:ascii="Times New Roman" w:hAnsi="Times New Roman"/>
        </w:rPr>
        <w:t xml:space="preserve">planned studies </w:t>
      </w:r>
      <w:r>
        <w:rPr>
          <w:rFonts w:ascii="Times New Roman" w:hAnsi="Times New Roman"/>
        </w:rPr>
        <w:t>include the following:</w:t>
      </w: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7B11D6" w:rsidRDefault="00361105" w:rsidP="007B11D6">
      <w:pPr>
        <w:pStyle w:val="ListParagraph"/>
        <w:widowControl/>
        <w:numPr>
          <w:ilvl w:val="0"/>
          <w:numId w:val="8"/>
        </w:numPr>
        <w:tabs>
          <w:tab w:val="left" w:pos="-1440"/>
          <w:tab w:val="left" w:pos="-720"/>
          <w:tab w:val="left" w:pos="720"/>
          <w:tab w:val="left" w:pos="1152"/>
          <w:tab w:val="left" w:pos="1728"/>
          <w:tab w:val="left" w:pos="2304"/>
          <w:tab w:val="left" w:pos="2880"/>
          <w:tab w:val="left" w:pos="6048"/>
        </w:tabs>
        <w:rPr>
          <w:rFonts w:ascii="Times New Roman" w:hAnsi="Times New Roman"/>
        </w:rPr>
      </w:pPr>
      <w:r>
        <w:rPr>
          <w:rFonts w:ascii="Times New Roman" w:hAnsi="Times New Roman"/>
        </w:rPr>
        <w:t xml:space="preserve"> </w:t>
      </w:r>
      <w:r w:rsidR="007B11D6" w:rsidRPr="00C55457">
        <w:rPr>
          <w:rFonts w:ascii="Times New Roman" w:hAnsi="Times New Roman"/>
        </w:rPr>
        <w:t>SHR-ARD comparison</w:t>
      </w:r>
      <w:r w:rsidR="007B11D6">
        <w:rPr>
          <w:rFonts w:ascii="Times New Roman" w:hAnsi="Times New Roman"/>
        </w:rPr>
        <w:t xml:space="preserve">: A potential core of the ARD program is the set of arrest-related deaths occurring as the result of a homicide by a law enforcement officer.  These types of deaths receive the greatest attention by policy makers and the media, and they were the types of death that gave rise to the original DICRA legislation. They are the set of deaths that ARD shares most commonly with SHR, although most importantly, the ARD collection obtains information about these deaths that is not covered by the SHR.  </w:t>
      </w: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7B11D6" w:rsidRDefault="007B11D6" w:rsidP="00A614AF">
      <w:pPr>
        <w:widowControl/>
        <w:tabs>
          <w:tab w:val="left" w:pos="-1440"/>
          <w:tab w:val="left" w:pos="-720"/>
          <w:tab w:val="left" w:pos="720"/>
          <w:tab w:val="left" w:pos="1152"/>
          <w:tab w:val="left" w:pos="1728"/>
          <w:tab w:val="left" w:pos="2304"/>
          <w:tab w:val="left" w:pos="2880"/>
          <w:tab w:val="left" w:pos="6048"/>
        </w:tabs>
        <w:ind w:left="720"/>
        <w:rPr>
          <w:rFonts w:ascii="Times New Roman" w:hAnsi="Times New Roman"/>
        </w:rPr>
      </w:pPr>
      <w:r>
        <w:rPr>
          <w:rFonts w:ascii="Times New Roman" w:hAnsi="Times New Roman"/>
        </w:rPr>
        <w:t>For this assessment, BJS will examine law enforcement homicides in ARD and compare them with justifiable homicides in SHR using data from the entire ARD program (2003-present).  The assessment will consist primarily of matching records from the two programs</w:t>
      </w:r>
      <w:r w:rsidR="00A614AF">
        <w:rPr>
          <w:rFonts w:ascii="Times New Roman" w:hAnsi="Times New Roman"/>
        </w:rPr>
        <w:t xml:space="preserve">. </w:t>
      </w:r>
      <w:r>
        <w:rPr>
          <w:rFonts w:ascii="Times New Roman" w:hAnsi="Times New Roman"/>
        </w:rPr>
        <w:t xml:space="preserve">This presents the greatest challenge because common identifiers (such as police department ORI numbers), event identification information (such as date of death), and decedent information (such as age) may differ slightly; combined, the measurement error in identification variables will affect matches, but BJS will explore both direct and probabilistic match methods.  The purpose of this test is to confirm, for matched cases, that they refer to the same event.  </w:t>
      </w:r>
    </w:p>
    <w:p w:rsidR="0012266B" w:rsidRDefault="0012266B" w:rsidP="00A614AF">
      <w:pPr>
        <w:widowControl/>
        <w:tabs>
          <w:tab w:val="left" w:pos="-1440"/>
          <w:tab w:val="left" w:pos="-720"/>
          <w:tab w:val="left" w:pos="720"/>
          <w:tab w:val="left" w:pos="1152"/>
          <w:tab w:val="left" w:pos="1728"/>
          <w:tab w:val="left" w:pos="2304"/>
          <w:tab w:val="left" w:pos="2880"/>
          <w:tab w:val="left" w:pos="6048"/>
        </w:tabs>
        <w:ind w:left="720"/>
        <w:rPr>
          <w:rFonts w:ascii="Times New Roman" w:hAnsi="Times New Roman"/>
        </w:rPr>
      </w:pPr>
    </w:p>
    <w:p w:rsidR="0012266B" w:rsidRDefault="0012266B" w:rsidP="00A614AF">
      <w:pPr>
        <w:widowControl/>
        <w:tabs>
          <w:tab w:val="left" w:pos="-1440"/>
          <w:tab w:val="left" w:pos="-720"/>
          <w:tab w:val="left" w:pos="720"/>
          <w:tab w:val="left" w:pos="1152"/>
          <w:tab w:val="left" w:pos="1728"/>
          <w:tab w:val="left" w:pos="2304"/>
          <w:tab w:val="left" w:pos="2880"/>
          <w:tab w:val="left" w:pos="6048"/>
        </w:tabs>
        <w:ind w:left="720"/>
        <w:rPr>
          <w:rFonts w:ascii="Times New Roman" w:hAnsi="Times New Roman"/>
        </w:rPr>
      </w:pPr>
      <w:r>
        <w:rPr>
          <w:rFonts w:ascii="Times New Roman" w:hAnsi="Times New Roman"/>
        </w:rPr>
        <w:t xml:space="preserve">BJS tasked RTI, the current national-level data collection agent, to investigate the extent of missing data and report on the coverage of the ARD program.  RTI is conducting a capture-recapture analysis on a smaller set of eligible ARD cases, homicides by law enforcement.  RTI is using a subset of cases because these cases can be compared to data collected through the FBI’s Supplementary Homicide Reports (SHR).  Furthermore, homicides by law enforcement have a high rate of reporting by SRCs since they are clearly within the program’s scope and are relatively easy to identify since they typically have a high-level of visibility due to the nature of the death.  For this assessment, RTI will examine law enforcement homicides in ARD and compare them with justifiable homicides in SHR using data from the entire ARD program (2003-present).  The assessment will consist primarily of matching records from the two programs to determine the amount of overlap in reporting across the ARD and SHR programs.  The </w:t>
      </w:r>
      <w:r>
        <w:rPr>
          <w:rFonts w:ascii="Times New Roman" w:hAnsi="Times New Roman"/>
        </w:rPr>
        <w:lastRenderedPageBreak/>
        <w:t xml:space="preserve">cases-level assessment is used to estimate the number of cases captured by both programs, the number of cases uniquely reported to one of the programs, and number of cases that were not reported to either program.  </w:t>
      </w:r>
    </w:p>
    <w:p w:rsidR="007B11D6" w:rsidRDefault="007B11D6" w:rsidP="007B11D6">
      <w:pPr>
        <w:widowControl/>
        <w:tabs>
          <w:tab w:val="left" w:pos="-1440"/>
          <w:tab w:val="left" w:pos="-720"/>
          <w:tab w:val="left" w:pos="720"/>
          <w:tab w:val="left" w:pos="1152"/>
          <w:tab w:val="left" w:pos="1728"/>
          <w:tab w:val="left" w:pos="2304"/>
          <w:tab w:val="left" w:pos="2880"/>
          <w:tab w:val="left" w:pos="6048"/>
        </w:tabs>
        <w:ind w:left="720"/>
        <w:rPr>
          <w:rFonts w:ascii="Times New Roman" w:hAnsi="Times New Roman"/>
        </w:rPr>
      </w:pPr>
    </w:p>
    <w:p w:rsidR="007B11D6" w:rsidRPr="009A72FF" w:rsidRDefault="007B11D6" w:rsidP="007B11D6">
      <w:pPr>
        <w:widowControl/>
        <w:tabs>
          <w:tab w:val="left" w:pos="-1440"/>
          <w:tab w:val="left" w:pos="-720"/>
          <w:tab w:val="left" w:pos="720"/>
          <w:tab w:val="left" w:pos="1152"/>
          <w:tab w:val="left" w:pos="1728"/>
          <w:tab w:val="left" w:pos="2304"/>
          <w:tab w:val="left" w:pos="2880"/>
          <w:tab w:val="left" w:pos="6048"/>
        </w:tabs>
        <w:ind w:left="720"/>
        <w:rPr>
          <w:rFonts w:ascii="Times New Roman" w:hAnsi="Times New Roman"/>
        </w:rPr>
      </w:pPr>
      <w:r>
        <w:rPr>
          <w:rFonts w:ascii="Times New Roman" w:hAnsi="Times New Roman"/>
        </w:rPr>
        <w:t>BJS will work collaboratively with the FBI in conducting the comparison and share the result of its report on the analysis with the FBI, given that BJS’ findings may have implications for the SHR.  But more directly for the ARD program, BJS will share the findings of the report with the SRCs for the purpose of assisting them in developing methods to address reported coverage issues.</w:t>
      </w:r>
      <w:r w:rsidR="0012266B">
        <w:rPr>
          <w:rFonts w:ascii="Times New Roman" w:hAnsi="Times New Roman"/>
        </w:rPr>
        <w:t xml:space="preserve">  However, pending the results of the analysis, the ARD program many not continue as designed</w:t>
      </w:r>
      <w:r w:rsidR="00667231">
        <w:rPr>
          <w:rFonts w:ascii="Times New Roman" w:hAnsi="Times New Roman"/>
        </w:rPr>
        <w:t xml:space="preserve"> and the collection of additional information related to the data collection process (e.g., source of information) may be collected to assist in explaining differences between SCR estimates</w:t>
      </w:r>
      <w:r w:rsidR="0012266B">
        <w:rPr>
          <w:rFonts w:ascii="Times New Roman" w:hAnsi="Times New Roman"/>
        </w:rPr>
        <w:t>.</w:t>
      </w: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7B11D6" w:rsidRPr="002A6F8F" w:rsidRDefault="00361105" w:rsidP="002A6F8F">
      <w:pPr>
        <w:pStyle w:val="ListParagraph"/>
        <w:widowControl/>
        <w:numPr>
          <w:ilvl w:val="0"/>
          <w:numId w:val="8"/>
        </w:numPr>
        <w:tabs>
          <w:tab w:val="left" w:pos="-1440"/>
          <w:tab w:val="left" w:pos="-720"/>
          <w:tab w:val="left" w:pos="720"/>
          <w:tab w:val="left" w:pos="1152"/>
          <w:tab w:val="left" w:pos="1728"/>
          <w:tab w:val="left" w:pos="2304"/>
          <w:tab w:val="left" w:pos="2880"/>
          <w:tab w:val="left" w:pos="6048"/>
        </w:tabs>
        <w:rPr>
          <w:rFonts w:ascii="Times New Roman" w:hAnsi="Times New Roman"/>
        </w:rPr>
      </w:pPr>
      <w:r w:rsidRPr="002A6F8F">
        <w:rPr>
          <w:rFonts w:ascii="Times New Roman" w:hAnsi="Times New Roman"/>
        </w:rPr>
        <w:t xml:space="preserve"> </w:t>
      </w:r>
      <w:r w:rsidR="007B11D6" w:rsidRPr="002A6F8F">
        <w:rPr>
          <w:rFonts w:ascii="Times New Roman" w:hAnsi="Times New Roman"/>
        </w:rPr>
        <w:t xml:space="preserve">Coverage of agencies within states: Within the current collection method, SRCs typically do not contact local law enforcement agencies until they have identified an arrest-related death for which they need information.  In addition, SRCs may have routine contact with agencies for other purposes but use these contacts to obtain information about arrest-related deaths.  BJS will undertake a study of the SRCs to determine the scope of routine coverage of local law enforcement agencies within their states and to determine if the SRCs could use their routine operational procedures and contacts with local law enforcement agencies to obtain information for ARD, including confirmation that no arrest related deaths occurred.  </w:t>
      </w:r>
      <w:r w:rsidR="002A6F8F" w:rsidRPr="002A6F8F">
        <w:rPr>
          <w:rFonts w:ascii="Times New Roman" w:hAnsi="Times New Roman"/>
        </w:rPr>
        <w:t xml:space="preserve">BJS is waiting for the results of the program assessment to determine how to proceed with the ARD data collection.  The results of the program assessment should shed light on whether the plan proposed in SS B, P 7 (B) is likely to be a viable option worth pursuing.  If the program assessment indicates a survey of SRCs would likely improve the program, BJS will submit a request in or around April 2014 through BJS’s generic clearance.  </w:t>
      </w:r>
    </w:p>
    <w:p w:rsidR="007B11D6" w:rsidRPr="002A6F8F" w:rsidRDefault="007B11D6" w:rsidP="002C1114">
      <w:pPr>
        <w:pStyle w:val="ListParagraph"/>
        <w:widowControl/>
        <w:tabs>
          <w:tab w:val="left" w:pos="-1440"/>
          <w:tab w:val="left" w:pos="-720"/>
          <w:tab w:val="left" w:pos="720"/>
          <w:tab w:val="left" w:pos="1152"/>
          <w:tab w:val="left" w:pos="1728"/>
          <w:tab w:val="left" w:pos="2304"/>
          <w:tab w:val="left" w:pos="2880"/>
          <w:tab w:val="left" w:pos="6048"/>
        </w:tabs>
        <w:ind w:left="760"/>
        <w:rPr>
          <w:rFonts w:ascii="Times New Roman" w:hAnsi="Times New Roman"/>
        </w:rPr>
      </w:pPr>
    </w:p>
    <w:p w:rsidR="007B11D6" w:rsidRDefault="00361105" w:rsidP="007B11D6">
      <w:pPr>
        <w:pStyle w:val="ListParagraph"/>
        <w:widowControl/>
        <w:numPr>
          <w:ilvl w:val="0"/>
          <w:numId w:val="8"/>
        </w:numPr>
        <w:tabs>
          <w:tab w:val="left" w:pos="-1440"/>
          <w:tab w:val="left" w:pos="-720"/>
          <w:tab w:val="left" w:pos="720"/>
          <w:tab w:val="left" w:pos="1152"/>
          <w:tab w:val="left" w:pos="1728"/>
          <w:tab w:val="left" w:pos="2304"/>
          <w:tab w:val="left" w:pos="2880"/>
          <w:tab w:val="left" w:pos="6048"/>
        </w:tabs>
        <w:rPr>
          <w:rFonts w:ascii="Times New Roman" w:hAnsi="Times New Roman"/>
        </w:rPr>
      </w:pPr>
      <w:r>
        <w:rPr>
          <w:rFonts w:ascii="Times New Roman" w:hAnsi="Times New Roman"/>
        </w:rPr>
        <w:t xml:space="preserve"> </w:t>
      </w:r>
      <w:r w:rsidR="007B11D6">
        <w:rPr>
          <w:rFonts w:ascii="Times New Roman" w:hAnsi="Times New Roman"/>
        </w:rPr>
        <w:t xml:space="preserve">Census of Law Enforcement Agencies:  Periodically, BJS conducts a census of law enforcement agencies for the purpose of developing a sampling frame of agencies that it uses for other surveys.  BJS </w:t>
      </w:r>
      <w:r w:rsidR="00A614AF">
        <w:rPr>
          <w:rFonts w:ascii="Times New Roman" w:hAnsi="Times New Roman"/>
        </w:rPr>
        <w:t>will</w:t>
      </w:r>
      <w:r w:rsidR="007B11D6">
        <w:rPr>
          <w:rFonts w:ascii="Times New Roman" w:hAnsi="Times New Roman"/>
        </w:rPr>
        <w:t>, in its next census, add a minimum number of questions about arrest related deaths to help to determine its coverage under ARD.  For example, if BJS next Census of Law Enforcement Agencies has a reference date in 201</w:t>
      </w:r>
      <w:r w:rsidR="00A614AF">
        <w:rPr>
          <w:rFonts w:ascii="Times New Roman" w:hAnsi="Times New Roman"/>
        </w:rPr>
        <w:t>3</w:t>
      </w:r>
      <w:r w:rsidR="007B11D6">
        <w:rPr>
          <w:rFonts w:ascii="Times New Roman" w:hAnsi="Times New Roman"/>
        </w:rPr>
        <w:t xml:space="preserve">, BJS would ask for agencies to report a count of ARD-related deaths for the past two or three years.  BJS could use these data to determine if the ARD program had captured these deaths.  </w:t>
      </w:r>
    </w:p>
    <w:p w:rsidR="007B11D6" w:rsidRPr="009E4EB9"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7B11D6" w:rsidRDefault="00361105" w:rsidP="007B11D6">
      <w:pPr>
        <w:pStyle w:val="ListParagraph"/>
        <w:widowControl/>
        <w:numPr>
          <w:ilvl w:val="0"/>
          <w:numId w:val="8"/>
        </w:numPr>
        <w:tabs>
          <w:tab w:val="left" w:pos="-1440"/>
          <w:tab w:val="left" w:pos="-720"/>
          <w:tab w:val="left" w:pos="720"/>
          <w:tab w:val="left" w:pos="1152"/>
          <w:tab w:val="left" w:pos="1728"/>
          <w:tab w:val="left" w:pos="2304"/>
          <w:tab w:val="left" w:pos="2880"/>
          <w:tab w:val="left" w:pos="6048"/>
        </w:tabs>
        <w:rPr>
          <w:rFonts w:ascii="Times New Roman" w:hAnsi="Times New Roman"/>
        </w:rPr>
      </w:pPr>
      <w:r>
        <w:rPr>
          <w:rFonts w:ascii="Times New Roman" w:hAnsi="Times New Roman"/>
        </w:rPr>
        <w:t xml:space="preserve"> </w:t>
      </w:r>
      <w:r w:rsidR="007B11D6">
        <w:rPr>
          <w:rFonts w:ascii="Times New Roman" w:hAnsi="Times New Roman"/>
        </w:rPr>
        <w:t>Open-source methods and capture-recapture methods:  BJS has explored the use of open-source methods to obtain ARD data but has not systematically assessed the results of this effort or the quality of these data.  At the same time, BJS has been capturing meta-data on ARD death records that identify the source or sources that have identified and reported on a death.  For example, if both an SRC and a BJS’ Google search</w:t>
      </w:r>
      <w:r w:rsidR="00A614AF">
        <w:rPr>
          <w:rFonts w:ascii="Times New Roman" w:hAnsi="Times New Roman"/>
        </w:rPr>
        <w:t>es</w:t>
      </w:r>
      <w:r w:rsidR="007B11D6">
        <w:rPr>
          <w:rFonts w:ascii="Times New Roman" w:hAnsi="Times New Roman"/>
        </w:rPr>
        <w:t xml:space="preserve"> identify the same record and report the same information about the </w:t>
      </w:r>
      <w:r w:rsidR="0001521E">
        <w:rPr>
          <w:rFonts w:ascii="Times New Roman" w:hAnsi="Times New Roman"/>
        </w:rPr>
        <w:t>death that</w:t>
      </w:r>
      <w:r w:rsidR="007B11D6">
        <w:rPr>
          <w:rFonts w:ascii="Times New Roman" w:hAnsi="Times New Roman"/>
        </w:rPr>
        <w:t xml:space="preserve"> would give some indication that open source methods could be useful.  While we doubt that sole reliance on open source methods would produce wholly reliable ARD data, an examination of the information that can be obtained from open source records could help in assessing the scope of ARD’s current coverage of arrest-related deaths.  For example, given that BJS has started </w:t>
      </w:r>
      <w:r w:rsidR="003F1C21">
        <w:rPr>
          <w:rFonts w:ascii="Times New Roman" w:hAnsi="Times New Roman"/>
        </w:rPr>
        <w:t>and</w:t>
      </w:r>
      <w:r w:rsidR="007B11D6">
        <w:rPr>
          <w:rFonts w:ascii="Times New Roman" w:hAnsi="Times New Roman"/>
        </w:rPr>
        <w:t xml:space="preserve"> will continue to collect paradata about the source of information on an ARD record, BJS can use this information to identify both open source and law </w:t>
      </w:r>
      <w:r w:rsidR="007B11D6">
        <w:rPr>
          <w:rFonts w:ascii="Times New Roman" w:hAnsi="Times New Roman"/>
        </w:rPr>
        <w:lastRenderedPageBreak/>
        <w:t>enforcement agencies</w:t>
      </w:r>
      <w:r w:rsidR="003F1C21">
        <w:rPr>
          <w:rFonts w:ascii="Times New Roman" w:hAnsi="Times New Roman"/>
        </w:rPr>
        <w:t xml:space="preserve"> records</w:t>
      </w:r>
      <w:r w:rsidR="007B11D6">
        <w:rPr>
          <w:rFonts w:ascii="Times New Roman" w:hAnsi="Times New Roman"/>
        </w:rPr>
        <w:t xml:space="preserve"> to assess the quality of the information </w:t>
      </w:r>
      <w:r w:rsidR="003F1C21">
        <w:rPr>
          <w:rFonts w:ascii="Times New Roman" w:hAnsi="Times New Roman"/>
        </w:rPr>
        <w:t>between the two sources</w:t>
      </w:r>
      <w:r w:rsidR="007B11D6">
        <w:rPr>
          <w:rFonts w:ascii="Times New Roman" w:hAnsi="Times New Roman"/>
        </w:rPr>
        <w:t>.  Or, tests can be constructed based on varying search terms to assess the quantity and quality of information obtained from open source records.  More generally, the extent to which the same records are returned from different searches or different sources can be used with capture-recapture models to estimate the size of the potential universe of ARD records.  These estimates can provide a bas</w:t>
      </w:r>
      <w:r w:rsidR="000E1D9A">
        <w:rPr>
          <w:rFonts w:ascii="Times New Roman" w:hAnsi="Times New Roman"/>
        </w:rPr>
        <w:t>is</w:t>
      </w:r>
      <w:r w:rsidR="007B11D6">
        <w:rPr>
          <w:rFonts w:ascii="Times New Roman" w:hAnsi="Times New Roman"/>
        </w:rPr>
        <w:t xml:space="preserve"> for determining the completeness of the collected records.</w:t>
      </w: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r>
        <w:rPr>
          <w:rFonts w:ascii="Times New Roman" w:hAnsi="Times New Roman"/>
        </w:rPr>
        <w:t>Our plan is to move forward with studies (A) and (D) first, as these do not require collecting additional information other than what is currently being collected.  We will use the information from (A) to help to develop the scope of effort in (B), and during the planning phase for the next census of law enforcement agencies, we will develop and test the ARD-related questions prior to fielding the census.</w:t>
      </w:r>
    </w:p>
    <w:p w:rsidR="007B11D6" w:rsidRDefault="007B11D6" w:rsidP="00105A7E">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FE41F8" w:rsidRPr="00B5163D" w:rsidRDefault="00224F27" w:rsidP="003D65DA">
      <w:pPr>
        <w:pStyle w:val="BodyText2"/>
        <w:spacing w:after="0" w:line="240" w:lineRule="auto"/>
        <w:rPr>
          <w:rFonts w:ascii="Times New Roman" w:hAnsi="Times New Roman" w:cs="Times New Roman"/>
          <w:sz w:val="24"/>
          <w:szCs w:val="24"/>
        </w:rPr>
      </w:pPr>
      <w:r>
        <w:rPr>
          <w:rFonts w:ascii="Times New Roman" w:hAnsi="Times New Roman"/>
        </w:rPr>
        <w:t xml:space="preserve">In addition, to improve the SRCs understanding of ARD, BJS will develop </w:t>
      </w:r>
      <w:r w:rsidR="00B535BD" w:rsidRPr="00B5163D">
        <w:rPr>
          <w:rFonts w:ascii="Times New Roman" w:hAnsi="Times New Roman" w:cs="Times New Roman"/>
          <w:sz w:val="24"/>
          <w:szCs w:val="24"/>
        </w:rPr>
        <w:t xml:space="preserve">online training that will provide concise guidelines on how to complete the CJ-11A death report form, the qualifying criteria for arrest-related deaths, and </w:t>
      </w:r>
      <w:r w:rsidR="00612D85" w:rsidRPr="00B5163D">
        <w:rPr>
          <w:rFonts w:ascii="Times New Roman" w:hAnsi="Times New Roman" w:cs="Times New Roman"/>
          <w:sz w:val="24"/>
          <w:szCs w:val="24"/>
        </w:rPr>
        <w:t xml:space="preserve">the </w:t>
      </w:r>
      <w:r w:rsidR="00B535BD" w:rsidRPr="00B5163D">
        <w:rPr>
          <w:rFonts w:ascii="Times New Roman" w:hAnsi="Times New Roman" w:cs="Times New Roman"/>
          <w:sz w:val="24"/>
          <w:szCs w:val="24"/>
        </w:rPr>
        <w:t xml:space="preserve">definition, purpose, and scope of the ARD program. All training programs will be short (10-15 minutes) and can be administered online with no additional software or cost. </w:t>
      </w:r>
      <w:r>
        <w:rPr>
          <w:rFonts w:ascii="Times New Roman" w:hAnsi="Times New Roman" w:cs="Times New Roman"/>
          <w:sz w:val="24"/>
          <w:szCs w:val="24"/>
        </w:rPr>
        <w:t xml:space="preserve">Also during </w:t>
      </w:r>
      <w:r w:rsidR="00B535BD" w:rsidRPr="00B5163D">
        <w:rPr>
          <w:rFonts w:ascii="Times New Roman" w:hAnsi="Times New Roman" w:cs="Times New Roman"/>
          <w:sz w:val="24"/>
          <w:szCs w:val="24"/>
        </w:rPr>
        <w:t>the upcoming collection cycle, BJS will</w:t>
      </w:r>
      <w:r w:rsidR="00FE2D12">
        <w:rPr>
          <w:rFonts w:ascii="Times New Roman" w:hAnsi="Times New Roman" w:cs="Times New Roman"/>
          <w:sz w:val="24"/>
          <w:szCs w:val="24"/>
        </w:rPr>
        <w:t xml:space="preserve"> work with SRCs to identify SHR justifiable homicide cases that do not appear among the ARD cases that they submit to BJS.  In some situations, such as where the SRC also reports to the UCR, this can be done more quickly and in real time; in other settings, BJS will provide the SRCs with information about SHR justifiable homicides not included in ARD reports after SHR data are released.  </w:t>
      </w:r>
      <w:r w:rsidR="00B535BD" w:rsidRPr="00B5163D">
        <w:rPr>
          <w:rFonts w:ascii="Times New Roman" w:hAnsi="Times New Roman" w:cs="Times New Roman"/>
          <w:sz w:val="24"/>
          <w:szCs w:val="24"/>
        </w:rPr>
        <w:t xml:space="preserve">As reported above in Section A. 4. “Efforts to Identify Duplication,” there is some overlap in the universe of </w:t>
      </w:r>
      <w:r w:rsidR="00FE41F8" w:rsidRPr="00B5163D">
        <w:rPr>
          <w:rFonts w:ascii="Times New Roman" w:hAnsi="Times New Roman" w:cs="Times New Roman"/>
          <w:sz w:val="24"/>
          <w:szCs w:val="24"/>
        </w:rPr>
        <w:t xml:space="preserve">the </w:t>
      </w:r>
      <w:r w:rsidR="00B535BD" w:rsidRPr="00B5163D">
        <w:rPr>
          <w:rFonts w:ascii="Times New Roman" w:hAnsi="Times New Roman" w:cs="Times New Roman"/>
          <w:sz w:val="24"/>
          <w:szCs w:val="24"/>
        </w:rPr>
        <w:t xml:space="preserve">cases </w:t>
      </w:r>
      <w:r w:rsidR="00FE41F8" w:rsidRPr="00B5163D">
        <w:rPr>
          <w:rFonts w:ascii="Times New Roman" w:hAnsi="Times New Roman" w:cs="Times New Roman"/>
          <w:sz w:val="24"/>
          <w:szCs w:val="24"/>
        </w:rPr>
        <w:t xml:space="preserve">eligible to be included in both the </w:t>
      </w:r>
      <w:r w:rsidR="00B535BD" w:rsidRPr="00B5163D">
        <w:rPr>
          <w:rFonts w:ascii="Times New Roman" w:hAnsi="Times New Roman" w:cs="Times New Roman"/>
          <w:sz w:val="24"/>
          <w:szCs w:val="24"/>
        </w:rPr>
        <w:t xml:space="preserve">SHR </w:t>
      </w:r>
      <w:r w:rsidR="00FE41F8" w:rsidRPr="00B5163D">
        <w:rPr>
          <w:rFonts w:ascii="Times New Roman" w:hAnsi="Times New Roman" w:cs="Times New Roman"/>
          <w:sz w:val="24"/>
          <w:szCs w:val="24"/>
        </w:rPr>
        <w:t>and ARD. However, this effort would not assist in maximizing cases that are reportable to ARD, but outside of the scope of the SHR.</w:t>
      </w:r>
    </w:p>
    <w:p w:rsidR="00334F7A" w:rsidRPr="00B5163D" w:rsidRDefault="00334F7A" w:rsidP="00CB65B8">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r w:rsidRPr="00B5163D">
        <w:rPr>
          <w:rFonts w:ascii="Times New Roman" w:hAnsi="Times New Roman"/>
        </w:rPr>
        <w:t xml:space="preserve">4. </w:t>
      </w:r>
      <w:r w:rsidRPr="00B5163D">
        <w:rPr>
          <w:rFonts w:ascii="Times New Roman" w:hAnsi="Times New Roman"/>
        </w:rPr>
        <w:tab/>
      </w:r>
      <w:r w:rsidRPr="00B5163D">
        <w:rPr>
          <w:rFonts w:ascii="Times New Roman" w:hAnsi="Times New Roman"/>
          <w:u w:val="single"/>
        </w:rPr>
        <w:t>Test of Procedures or Methods</w:t>
      </w:r>
    </w:p>
    <w:p w:rsidR="009147B8" w:rsidRPr="00B5163D" w:rsidRDefault="009147B8" w:rsidP="00791875">
      <w:pPr>
        <w:rPr>
          <w:rFonts w:ascii="Times New Roman" w:hAnsi="Times New Roman"/>
        </w:rPr>
      </w:pPr>
    </w:p>
    <w:p w:rsidR="00B535BD" w:rsidRPr="00B5163D" w:rsidRDefault="00B535BD" w:rsidP="00954A8C">
      <w:pPr>
        <w:pStyle w:val="NoSpacing"/>
        <w:rPr>
          <w:rFonts w:ascii="Times New Roman" w:hAnsi="Times New Roman" w:cs="Times New Roman"/>
          <w:sz w:val="24"/>
          <w:szCs w:val="24"/>
        </w:rPr>
      </w:pPr>
      <w:r w:rsidRPr="00B5163D">
        <w:rPr>
          <w:rFonts w:ascii="Times New Roman" w:hAnsi="Times New Roman" w:cs="Times New Roman"/>
          <w:sz w:val="24"/>
          <w:szCs w:val="24"/>
        </w:rPr>
        <w:t xml:space="preserve">In 2010, BJS held a </w:t>
      </w:r>
      <w:r w:rsidR="00330F75">
        <w:rPr>
          <w:rFonts w:ascii="Times New Roman" w:hAnsi="Times New Roman" w:cs="Times New Roman"/>
          <w:sz w:val="24"/>
          <w:szCs w:val="24"/>
        </w:rPr>
        <w:t xml:space="preserve">meeting of experts to </w:t>
      </w:r>
      <w:r w:rsidRPr="00B5163D">
        <w:rPr>
          <w:rFonts w:ascii="Times New Roman" w:hAnsi="Times New Roman" w:cs="Times New Roman"/>
          <w:sz w:val="24"/>
          <w:szCs w:val="24"/>
        </w:rPr>
        <w:t xml:space="preserve">review of the </w:t>
      </w:r>
      <w:r w:rsidR="00330F75">
        <w:rPr>
          <w:rFonts w:ascii="Times New Roman" w:hAnsi="Times New Roman" w:cs="Times New Roman"/>
          <w:sz w:val="24"/>
          <w:szCs w:val="24"/>
        </w:rPr>
        <w:t xml:space="preserve">ARD collection and </w:t>
      </w:r>
      <w:r w:rsidRPr="00B5163D">
        <w:rPr>
          <w:rFonts w:ascii="Times New Roman" w:hAnsi="Times New Roman" w:cs="Times New Roman"/>
          <w:sz w:val="24"/>
          <w:szCs w:val="24"/>
        </w:rPr>
        <w:t xml:space="preserve">solicit feedback </w:t>
      </w:r>
      <w:r w:rsidR="00330F75">
        <w:rPr>
          <w:rFonts w:ascii="Times New Roman" w:hAnsi="Times New Roman" w:cs="Times New Roman"/>
          <w:sz w:val="24"/>
          <w:szCs w:val="24"/>
        </w:rPr>
        <w:t>on the</w:t>
      </w:r>
      <w:r w:rsidRPr="00B5163D">
        <w:rPr>
          <w:rFonts w:ascii="Times New Roman" w:hAnsi="Times New Roman" w:cs="Times New Roman"/>
          <w:sz w:val="24"/>
          <w:szCs w:val="24"/>
        </w:rPr>
        <w:t xml:space="preserve"> data collection instrument (CJ-11A) from</w:t>
      </w:r>
      <w:r w:rsidR="00330F75">
        <w:rPr>
          <w:rFonts w:ascii="Times New Roman" w:hAnsi="Times New Roman" w:cs="Times New Roman"/>
          <w:sz w:val="24"/>
          <w:szCs w:val="24"/>
        </w:rPr>
        <w:t>.  Participants included</w:t>
      </w:r>
      <w:r w:rsidRPr="00B5163D">
        <w:rPr>
          <w:rFonts w:ascii="Times New Roman" w:hAnsi="Times New Roman" w:cs="Times New Roman"/>
          <w:sz w:val="24"/>
          <w:szCs w:val="24"/>
        </w:rPr>
        <w:t xml:space="preserve"> law enforcement personnel, medical examiners and coroners, SRCs, and researchers in the law enforcement and public health fields. The </w:t>
      </w:r>
      <w:r w:rsidR="00330F75">
        <w:rPr>
          <w:rFonts w:ascii="Times New Roman" w:hAnsi="Times New Roman" w:cs="Times New Roman"/>
          <w:sz w:val="24"/>
          <w:szCs w:val="24"/>
        </w:rPr>
        <w:t>ARD incident reporting form</w:t>
      </w:r>
      <w:r w:rsidRPr="00B5163D">
        <w:rPr>
          <w:rFonts w:ascii="Times New Roman" w:hAnsi="Times New Roman" w:cs="Times New Roman"/>
          <w:sz w:val="24"/>
          <w:szCs w:val="24"/>
        </w:rPr>
        <w:t xml:space="preserve"> (CJ-11A) was </w:t>
      </w:r>
      <w:r w:rsidR="00330F75">
        <w:rPr>
          <w:rFonts w:ascii="Times New Roman" w:hAnsi="Times New Roman" w:cs="Times New Roman"/>
          <w:sz w:val="24"/>
          <w:szCs w:val="24"/>
        </w:rPr>
        <w:t>revised</w:t>
      </w:r>
      <w:r w:rsidR="00330F75" w:rsidRPr="00B5163D">
        <w:rPr>
          <w:rFonts w:ascii="Times New Roman" w:hAnsi="Times New Roman" w:cs="Times New Roman"/>
          <w:sz w:val="24"/>
          <w:szCs w:val="24"/>
        </w:rPr>
        <w:t xml:space="preserve"> </w:t>
      </w:r>
      <w:r w:rsidRPr="00B5163D">
        <w:rPr>
          <w:rFonts w:ascii="Times New Roman" w:hAnsi="Times New Roman" w:cs="Times New Roman"/>
          <w:sz w:val="24"/>
          <w:szCs w:val="24"/>
        </w:rPr>
        <w:t xml:space="preserve">in 2012 in light of comments received </w:t>
      </w:r>
      <w:r w:rsidR="00330F75">
        <w:rPr>
          <w:rFonts w:ascii="Times New Roman" w:hAnsi="Times New Roman" w:cs="Times New Roman"/>
          <w:sz w:val="24"/>
          <w:szCs w:val="24"/>
        </w:rPr>
        <w:t xml:space="preserve">from the meeting. </w:t>
      </w:r>
      <w:r w:rsidRPr="00B5163D">
        <w:rPr>
          <w:rFonts w:ascii="Times New Roman" w:hAnsi="Times New Roman" w:cs="Times New Roman"/>
          <w:sz w:val="24"/>
          <w:szCs w:val="24"/>
        </w:rPr>
        <w:t>The revised 2013 CJ-11A instrument was pilot tested in June 2012 with nine of the program’s current SRCs</w:t>
      </w:r>
      <w:r w:rsidR="002F6C3F" w:rsidRPr="00B5163D">
        <w:rPr>
          <w:rFonts w:ascii="Times New Roman" w:hAnsi="Times New Roman" w:cs="Times New Roman"/>
          <w:sz w:val="24"/>
          <w:szCs w:val="24"/>
        </w:rPr>
        <w:t xml:space="preserve"> (see Appendix C, Attachment </w:t>
      </w:r>
      <w:r w:rsidR="001B678B">
        <w:rPr>
          <w:rFonts w:ascii="Times New Roman" w:hAnsi="Times New Roman" w:cs="Times New Roman"/>
          <w:sz w:val="24"/>
          <w:szCs w:val="24"/>
        </w:rPr>
        <w:t>F</w:t>
      </w:r>
      <w:r w:rsidR="002F6C3F" w:rsidRPr="00B5163D">
        <w:rPr>
          <w:rFonts w:ascii="Times New Roman" w:hAnsi="Times New Roman" w:cs="Times New Roman"/>
          <w:sz w:val="24"/>
          <w:szCs w:val="24"/>
        </w:rPr>
        <w:t>)</w:t>
      </w:r>
      <w:r w:rsidRPr="00B5163D">
        <w:rPr>
          <w:rFonts w:ascii="Times New Roman" w:hAnsi="Times New Roman" w:cs="Times New Roman"/>
          <w:sz w:val="24"/>
          <w:szCs w:val="24"/>
        </w:rPr>
        <w:t xml:space="preserve">.  </w:t>
      </w:r>
    </w:p>
    <w:p w:rsidR="00B535BD" w:rsidRDefault="00B535BD" w:rsidP="00B535BD">
      <w:pPr>
        <w:pStyle w:val="NoSpacing"/>
        <w:rPr>
          <w:rFonts w:ascii="Times New Roman" w:hAnsi="Times New Roman" w:cs="Times New Roman"/>
          <w:sz w:val="24"/>
          <w:szCs w:val="24"/>
        </w:rPr>
      </w:pPr>
    </w:p>
    <w:p w:rsidR="001B678B" w:rsidRDefault="001B678B" w:rsidP="001B678B">
      <w:pPr>
        <w:pStyle w:val="NoSpacing"/>
        <w:rPr>
          <w:rFonts w:ascii="Times New Roman" w:hAnsi="Times New Roman" w:cs="Times New Roman"/>
          <w:sz w:val="24"/>
          <w:szCs w:val="24"/>
        </w:rPr>
      </w:pPr>
      <w:r w:rsidRPr="00B5163D">
        <w:rPr>
          <w:rFonts w:ascii="Times New Roman" w:hAnsi="Times New Roman" w:cs="Times New Roman"/>
          <w:sz w:val="24"/>
          <w:szCs w:val="24"/>
        </w:rPr>
        <w:t xml:space="preserve">In June 2012, </w:t>
      </w:r>
      <w:r>
        <w:rPr>
          <w:rFonts w:ascii="Times New Roman" w:hAnsi="Times New Roman" w:cs="Times New Roman"/>
          <w:sz w:val="24"/>
          <w:szCs w:val="24"/>
        </w:rPr>
        <w:t xml:space="preserve">BJS asked </w:t>
      </w:r>
      <w:r w:rsidRPr="00B5163D">
        <w:rPr>
          <w:rFonts w:ascii="Times New Roman" w:hAnsi="Times New Roman" w:cs="Times New Roman"/>
          <w:sz w:val="24"/>
          <w:szCs w:val="24"/>
        </w:rPr>
        <w:t xml:space="preserve">nine of the program’s current SRCs </w:t>
      </w:r>
      <w:r w:rsidR="000E1D9A">
        <w:rPr>
          <w:rFonts w:ascii="Times New Roman" w:hAnsi="Times New Roman" w:cs="Times New Roman"/>
          <w:sz w:val="24"/>
          <w:szCs w:val="24"/>
        </w:rPr>
        <w:t xml:space="preserve">to </w:t>
      </w:r>
      <w:r w:rsidRPr="00B5163D">
        <w:rPr>
          <w:rFonts w:ascii="Times New Roman" w:hAnsi="Times New Roman" w:cs="Times New Roman"/>
          <w:sz w:val="24"/>
          <w:szCs w:val="24"/>
        </w:rPr>
        <w:t>assess the revised instrument and related instructions in terms of substance, breadth, and clarity.  Specifically,</w:t>
      </w:r>
      <w:r>
        <w:rPr>
          <w:rFonts w:ascii="Times New Roman" w:hAnsi="Times New Roman" w:cs="Times New Roman"/>
          <w:sz w:val="24"/>
          <w:szCs w:val="24"/>
        </w:rPr>
        <w:t xml:space="preserve"> BJS asked the</w:t>
      </w:r>
      <w:r w:rsidRPr="00B5163D">
        <w:rPr>
          <w:rFonts w:ascii="Times New Roman" w:hAnsi="Times New Roman" w:cs="Times New Roman"/>
          <w:sz w:val="24"/>
          <w:szCs w:val="24"/>
        </w:rPr>
        <w:t xml:space="preserve"> SRCs to evaluate whether the questionnaire items enhanced the quality, utility, and precision of the information to be collected</w:t>
      </w:r>
      <w:r>
        <w:rPr>
          <w:rFonts w:ascii="Times New Roman" w:hAnsi="Times New Roman" w:cs="Times New Roman"/>
          <w:sz w:val="24"/>
          <w:szCs w:val="24"/>
        </w:rPr>
        <w:t xml:space="preserve"> and to </w:t>
      </w:r>
      <w:r w:rsidRPr="00B5163D">
        <w:rPr>
          <w:rFonts w:ascii="Times New Roman" w:hAnsi="Times New Roman" w:cs="Times New Roman"/>
          <w:sz w:val="24"/>
          <w:szCs w:val="24"/>
        </w:rPr>
        <w:t>note any items that were unclear, concerns with respect to the availability of the information requested, and response burden.  Lastly, SRCs were asked to complete the revised version of the CJ-11A form for</w:t>
      </w:r>
      <w:r>
        <w:rPr>
          <w:rFonts w:ascii="Times New Roman" w:hAnsi="Times New Roman" w:cs="Times New Roman"/>
          <w:sz w:val="24"/>
          <w:szCs w:val="24"/>
        </w:rPr>
        <w:t xml:space="preserve"> a</w:t>
      </w:r>
      <w:r w:rsidRPr="00B5163D">
        <w:rPr>
          <w:rFonts w:ascii="Times New Roman" w:hAnsi="Times New Roman" w:cs="Times New Roman"/>
          <w:sz w:val="24"/>
          <w:szCs w:val="24"/>
        </w:rPr>
        <w:t xml:space="preserve"> death</w:t>
      </w:r>
      <w:r>
        <w:rPr>
          <w:rFonts w:ascii="Times New Roman" w:hAnsi="Times New Roman" w:cs="Times New Roman"/>
          <w:sz w:val="24"/>
          <w:szCs w:val="24"/>
        </w:rPr>
        <w:t xml:space="preserve"> record that was</w:t>
      </w:r>
      <w:r w:rsidRPr="00B5163D">
        <w:rPr>
          <w:rFonts w:ascii="Times New Roman" w:hAnsi="Times New Roman" w:cs="Times New Roman"/>
          <w:sz w:val="24"/>
          <w:szCs w:val="24"/>
        </w:rPr>
        <w:t xml:space="preserve"> previously submitted to the ARD program.  </w:t>
      </w:r>
    </w:p>
    <w:p w:rsidR="001B678B" w:rsidRPr="00B5163D" w:rsidRDefault="001B678B" w:rsidP="00B535BD">
      <w:pPr>
        <w:pStyle w:val="NoSpacing"/>
        <w:rPr>
          <w:rFonts w:ascii="Times New Roman" w:hAnsi="Times New Roman" w:cs="Times New Roman"/>
          <w:sz w:val="24"/>
          <w:szCs w:val="24"/>
        </w:rPr>
      </w:pPr>
    </w:p>
    <w:p w:rsidR="00F0075E" w:rsidRPr="00B5163D" w:rsidRDefault="00F0075E" w:rsidP="00F0075E">
      <w:pPr>
        <w:pStyle w:val="NoSpacing"/>
        <w:rPr>
          <w:rFonts w:ascii="Times New Roman" w:hAnsi="Times New Roman" w:cs="Times New Roman"/>
          <w:sz w:val="24"/>
          <w:szCs w:val="24"/>
        </w:rPr>
      </w:pPr>
      <w:r w:rsidRPr="00B5163D">
        <w:rPr>
          <w:rFonts w:ascii="Times New Roman" w:hAnsi="Times New Roman" w:cs="Times New Roman"/>
          <w:sz w:val="24"/>
          <w:szCs w:val="24"/>
        </w:rPr>
        <w:t xml:space="preserve">BJS removed items that required respondents to speculate </w:t>
      </w:r>
      <w:r w:rsidR="00330F75">
        <w:rPr>
          <w:rFonts w:ascii="Times New Roman" w:hAnsi="Times New Roman" w:cs="Times New Roman"/>
          <w:sz w:val="24"/>
          <w:szCs w:val="24"/>
        </w:rPr>
        <w:t xml:space="preserve">about outcomes or that relied on respondents’ opinions or perceptions.  For example, BJS removed items </w:t>
      </w:r>
      <w:r w:rsidRPr="00B5163D">
        <w:rPr>
          <w:rFonts w:ascii="Times New Roman" w:hAnsi="Times New Roman" w:cs="Times New Roman"/>
          <w:sz w:val="24"/>
          <w:szCs w:val="24"/>
        </w:rPr>
        <w:t>related to alleged criminal involvement in the events leading up to the death</w:t>
      </w:r>
      <w:r w:rsidR="00330F75">
        <w:rPr>
          <w:rFonts w:ascii="Times New Roman" w:hAnsi="Times New Roman" w:cs="Times New Roman"/>
          <w:sz w:val="24"/>
          <w:szCs w:val="24"/>
        </w:rPr>
        <w:t>, removed an</w:t>
      </w:r>
      <w:r w:rsidRPr="00B5163D">
        <w:rPr>
          <w:rFonts w:ascii="Times New Roman" w:hAnsi="Times New Roman" w:cs="Times New Roman"/>
          <w:sz w:val="24"/>
          <w:szCs w:val="24"/>
        </w:rPr>
        <w:t xml:space="preserve"> item </w:t>
      </w:r>
      <w:r w:rsidR="00330F75">
        <w:rPr>
          <w:rFonts w:ascii="Times New Roman" w:hAnsi="Times New Roman" w:cs="Times New Roman"/>
          <w:sz w:val="24"/>
          <w:szCs w:val="24"/>
        </w:rPr>
        <w:t xml:space="preserve">that had </w:t>
      </w:r>
      <w:r w:rsidRPr="00B5163D">
        <w:rPr>
          <w:rFonts w:ascii="Times New Roman" w:hAnsi="Times New Roman" w:cs="Times New Roman"/>
          <w:sz w:val="24"/>
          <w:szCs w:val="24"/>
        </w:rPr>
        <w:t xml:space="preserve">asked </w:t>
      </w:r>
      <w:r w:rsidRPr="00B5163D">
        <w:rPr>
          <w:rFonts w:ascii="Times New Roman" w:hAnsi="Times New Roman" w:cs="Times New Roman"/>
          <w:sz w:val="24"/>
          <w:szCs w:val="24"/>
        </w:rPr>
        <w:lastRenderedPageBreak/>
        <w:t xml:space="preserve">respondents to indicate whether the decedent “appeared intoxicated” or “exhibited mental health problems.”  </w:t>
      </w:r>
      <w:r w:rsidR="00534725">
        <w:rPr>
          <w:rFonts w:ascii="Times New Roman" w:hAnsi="Times New Roman" w:cs="Times New Roman"/>
          <w:sz w:val="24"/>
          <w:szCs w:val="24"/>
        </w:rPr>
        <w:t>BJS removed o</w:t>
      </w:r>
      <w:r w:rsidRPr="00B5163D">
        <w:rPr>
          <w:rFonts w:ascii="Times New Roman" w:hAnsi="Times New Roman" w:cs="Times New Roman"/>
          <w:sz w:val="24"/>
          <w:szCs w:val="24"/>
        </w:rPr>
        <w:t xml:space="preserve">ther items </w:t>
      </w:r>
      <w:r w:rsidR="00534725">
        <w:rPr>
          <w:rFonts w:ascii="Times New Roman" w:hAnsi="Times New Roman" w:cs="Times New Roman"/>
          <w:sz w:val="24"/>
          <w:szCs w:val="24"/>
        </w:rPr>
        <w:t xml:space="preserve">that were </w:t>
      </w:r>
      <w:r w:rsidRPr="00B5163D">
        <w:rPr>
          <w:rFonts w:ascii="Times New Roman" w:hAnsi="Times New Roman" w:cs="Times New Roman"/>
          <w:sz w:val="24"/>
          <w:szCs w:val="24"/>
        </w:rPr>
        <w:t xml:space="preserve">repetitive or could be determined from responses to other items.  For example, Item 13 </w:t>
      </w:r>
      <w:r w:rsidR="00534725">
        <w:rPr>
          <w:rFonts w:ascii="Times New Roman" w:hAnsi="Times New Roman" w:cs="Times New Roman"/>
          <w:sz w:val="24"/>
          <w:szCs w:val="24"/>
        </w:rPr>
        <w:t xml:space="preserve">in the old instrument </w:t>
      </w:r>
      <w:r w:rsidRPr="00B5163D">
        <w:rPr>
          <w:rFonts w:ascii="Times New Roman" w:hAnsi="Times New Roman" w:cs="Times New Roman"/>
          <w:sz w:val="24"/>
          <w:szCs w:val="24"/>
        </w:rPr>
        <w:t xml:space="preserve">(“Did the deceased die from a medical condition, injuries sustained during the arrest process, or alcohol/drug intoxication?”) </w:t>
      </w:r>
      <w:r w:rsidR="00534725">
        <w:rPr>
          <w:rFonts w:ascii="Times New Roman" w:hAnsi="Times New Roman" w:cs="Times New Roman"/>
          <w:sz w:val="24"/>
          <w:szCs w:val="24"/>
        </w:rPr>
        <w:t xml:space="preserve">was omitted </w:t>
      </w:r>
      <w:r w:rsidRPr="00B5163D">
        <w:rPr>
          <w:rFonts w:ascii="Times New Roman" w:hAnsi="Times New Roman" w:cs="Times New Roman"/>
          <w:sz w:val="24"/>
          <w:szCs w:val="24"/>
        </w:rPr>
        <w:t>because th</w:t>
      </w:r>
      <w:r w:rsidR="00534725">
        <w:rPr>
          <w:rFonts w:ascii="Times New Roman" w:hAnsi="Times New Roman" w:cs="Times New Roman"/>
          <w:sz w:val="24"/>
          <w:szCs w:val="24"/>
        </w:rPr>
        <w:t>is</w:t>
      </w:r>
      <w:r w:rsidRPr="00B5163D">
        <w:rPr>
          <w:rFonts w:ascii="Times New Roman" w:hAnsi="Times New Roman" w:cs="Times New Roman"/>
          <w:sz w:val="24"/>
          <w:szCs w:val="24"/>
        </w:rPr>
        <w:t xml:space="preserve"> information could be determined from information provided in response to Item 9 (“What was the cause of death?”).  </w:t>
      </w:r>
      <w:r w:rsidR="00534725">
        <w:rPr>
          <w:rFonts w:ascii="Times New Roman" w:hAnsi="Times New Roman" w:cs="Times New Roman"/>
          <w:sz w:val="24"/>
          <w:szCs w:val="24"/>
        </w:rPr>
        <w:t xml:space="preserve">In addition, four questions about </w:t>
      </w:r>
      <w:r w:rsidRPr="00B5163D">
        <w:rPr>
          <w:rFonts w:ascii="Times New Roman" w:hAnsi="Times New Roman" w:cs="Times New Roman"/>
          <w:sz w:val="24"/>
          <w:szCs w:val="24"/>
        </w:rPr>
        <w:t>deaths occurring at a booking center/police lockup</w:t>
      </w:r>
      <w:r w:rsidR="00534725">
        <w:rPr>
          <w:rFonts w:ascii="Times New Roman" w:hAnsi="Times New Roman" w:cs="Times New Roman"/>
          <w:sz w:val="24"/>
          <w:szCs w:val="24"/>
        </w:rPr>
        <w:t xml:space="preserve"> were omitted because the items either asked for speculative information or were redundant</w:t>
      </w:r>
      <w:r w:rsidRPr="00B5163D">
        <w:rPr>
          <w:rFonts w:ascii="Times New Roman" w:hAnsi="Times New Roman" w:cs="Times New Roman"/>
          <w:sz w:val="24"/>
          <w:szCs w:val="24"/>
        </w:rPr>
        <w:t>.</w:t>
      </w:r>
    </w:p>
    <w:p w:rsidR="00F0075E" w:rsidRPr="00B5163D" w:rsidRDefault="00F0075E" w:rsidP="00F0075E">
      <w:pPr>
        <w:pStyle w:val="NoSpacing"/>
        <w:rPr>
          <w:rFonts w:ascii="Times New Roman" w:hAnsi="Times New Roman" w:cs="Times New Roman"/>
          <w:sz w:val="24"/>
          <w:szCs w:val="24"/>
        </w:rPr>
      </w:pPr>
    </w:p>
    <w:p w:rsidR="00F0075E" w:rsidRPr="00B5163D" w:rsidRDefault="00F0075E" w:rsidP="00F0075E">
      <w:pPr>
        <w:pStyle w:val="NoSpacing"/>
        <w:rPr>
          <w:rFonts w:ascii="Times New Roman" w:hAnsi="Times New Roman" w:cs="Times New Roman"/>
          <w:sz w:val="24"/>
          <w:szCs w:val="24"/>
        </w:rPr>
      </w:pPr>
      <w:r w:rsidRPr="00B5163D">
        <w:rPr>
          <w:rFonts w:ascii="Times New Roman" w:hAnsi="Times New Roman" w:cs="Times New Roman"/>
          <w:sz w:val="24"/>
          <w:szCs w:val="24"/>
        </w:rPr>
        <w:t xml:space="preserve">Prior to revision, the CJ-11A did not have reporting instructions or a national list of SRCs; both of which were only included on the CJ-11 Summary Report.  The revised CJ-11A instrument includes a description of what deaths should be reported, contact information for assistance in completing the form, information about how completed forms should be submitted, and contact information for each SRC.  The revised CJ-11A also includes </w:t>
      </w:r>
      <w:r w:rsidR="00B3682C" w:rsidRPr="00B5163D">
        <w:rPr>
          <w:rFonts w:ascii="Times New Roman" w:hAnsi="Times New Roman" w:cs="Times New Roman"/>
          <w:sz w:val="24"/>
          <w:szCs w:val="24"/>
        </w:rPr>
        <w:t>a “</w:t>
      </w:r>
      <w:r w:rsidRPr="00B5163D">
        <w:rPr>
          <w:rFonts w:ascii="Times New Roman" w:hAnsi="Times New Roman" w:cs="Times New Roman"/>
          <w:sz w:val="24"/>
          <w:szCs w:val="24"/>
        </w:rPr>
        <w:t>data supplied by” section in order to assist SRCs track where information for each death is coming from.  The order of items on the revised CJ-11A was changed to improve the flow of the instrument.  Items were reorganized into groups that reflect characteristics of the incident, characteristics of the decedent and actions the decedent took during the interaction, actions of law enforcement personnel during the interaction, and characteristics of the death.  Lastly, the question-structure of items changed from a “mark all that apply” format to a “Yes/No” format.  This change was done to improve data quality by forcing data providers to reply to each response category, thereby decreasing the risk of skipping over responses that should have been marked.</w:t>
      </w:r>
    </w:p>
    <w:p w:rsidR="00F0075E" w:rsidRPr="00B5163D" w:rsidRDefault="00F0075E" w:rsidP="00F0075E">
      <w:pPr>
        <w:pStyle w:val="NoSpacing"/>
        <w:rPr>
          <w:rFonts w:ascii="Times New Roman" w:hAnsi="Times New Roman" w:cs="Times New Roman"/>
          <w:sz w:val="24"/>
          <w:szCs w:val="24"/>
        </w:rPr>
      </w:pPr>
    </w:p>
    <w:p w:rsidR="00F0075E" w:rsidRPr="00B5163D" w:rsidRDefault="00F0075E" w:rsidP="00F0075E">
      <w:pPr>
        <w:pStyle w:val="NoSpacing"/>
        <w:rPr>
          <w:rFonts w:ascii="Times New Roman" w:hAnsi="Times New Roman" w:cs="Times New Roman"/>
          <w:sz w:val="24"/>
          <w:szCs w:val="24"/>
        </w:rPr>
      </w:pPr>
      <w:r w:rsidRPr="00B5163D">
        <w:rPr>
          <w:rFonts w:ascii="Times New Roman" w:hAnsi="Times New Roman" w:cs="Times New Roman"/>
          <w:sz w:val="24"/>
          <w:szCs w:val="24"/>
        </w:rPr>
        <w:t>SRCs were asked to complete the form with information that was previously submitted in order to compare the reliability of the items across both versions of the form.</w:t>
      </w:r>
      <w:r w:rsidR="001B678B">
        <w:rPr>
          <w:rFonts w:ascii="Times New Roman" w:hAnsi="Times New Roman" w:cs="Times New Roman"/>
          <w:sz w:val="24"/>
          <w:szCs w:val="24"/>
        </w:rPr>
        <w:t xml:space="preserve">  </w:t>
      </w:r>
      <w:r w:rsidR="00534725">
        <w:rPr>
          <w:rFonts w:ascii="Times New Roman" w:hAnsi="Times New Roman" w:cs="Times New Roman"/>
          <w:sz w:val="24"/>
          <w:szCs w:val="24"/>
        </w:rPr>
        <w:t xml:space="preserve">As a result of this test, a proposed item that asked about whether specialized units responded to the incident was omitted from the final form because of concerns about burden and reliability of responses. </w:t>
      </w:r>
      <w:r w:rsidRPr="00B5163D">
        <w:rPr>
          <w:rFonts w:ascii="Times New Roman" w:hAnsi="Times New Roman" w:cs="Times New Roman"/>
          <w:sz w:val="24"/>
          <w:szCs w:val="24"/>
        </w:rPr>
        <w:t xml:space="preserve">In addition, an item regarding whether the decedent had a history of mental illness was removed following the pilot test out of concern that the information obtained would not be reliable.  </w:t>
      </w:r>
    </w:p>
    <w:p w:rsidR="00B535BD" w:rsidRPr="00B5163D" w:rsidRDefault="00B535BD" w:rsidP="00F0075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B535BD" w:rsidRPr="00B5163D" w:rsidRDefault="00B535BD" w:rsidP="00276C72">
      <w:pPr>
        <w:widowControl/>
        <w:autoSpaceDE/>
        <w:autoSpaceDN/>
        <w:adjustRightInd/>
        <w:spacing w:after="200" w:line="276" w:lineRule="auto"/>
        <w:rPr>
          <w:rFonts w:ascii="Times New Roman" w:hAnsi="Times New Roman"/>
          <w:u w:val="single"/>
        </w:rPr>
      </w:pPr>
      <w:r w:rsidRPr="00B5163D">
        <w:rPr>
          <w:rFonts w:ascii="Times New Roman" w:hAnsi="Times New Roman"/>
        </w:rPr>
        <w:t xml:space="preserve">5. </w:t>
      </w:r>
      <w:r w:rsidRPr="00B5163D">
        <w:rPr>
          <w:rFonts w:ascii="Times New Roman" w:hAnsi="Times New Roman"/>
        </w:rPr>
        <w:tab/>
      </w:r>
      <w:r w:rsidRPr="00B5163D">
        <w:rPr>
          <w:rFonts w:ascii="Times New Roman" w:hAnsi="Times New Roman"/>
          <w:u w:val="single"/>
        </w:rPr>
        <w:t>Consultation Information</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The Corrections Statistics Unit of BJS takes responsibility for the overall design and management of the activities described in this submission, including data collection procedures, development of the questionnaires, and analysis of the data. BJS contacts include the following:</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Margaret Noonan, Program Manager</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Deaths in Custody Reporting Program</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Bureau of Justice Statistics</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810 Seventh Street, NW</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Washington, DC 20531</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(202) 353-2060</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B535BD" w:rsidRPr="00B5163D" w:rsidRDefault="00B535BD" w:rsidP="00B535BD">
      <w:pPr>
        <w:widowControl/>
        <w:autoSpaceDE/>
        <w:autoSpaceDN/>
        <w:adjustRightInd/>
        <w:rPr>
          <w:rFonts w:ascii="Times New Roman" w:hAnsi="Times New Roman"/>
        </w:rPr>
      </w:pPr>
      <w:r w:rsidRPr="00B5163D">
        <w:rPr>
          <w:rFonts w:ascii="Times New Roman" w:hAnsi="Times New Roman"/>
        </w:rPr>
        <w:t>E. Ann Carson, Ph</w:t>
      </w:r>
      <w:r w:rsidR="00FD6244">
        <w:rPr>
          <w:rFonts w:ascii="Times New Roman" w:hAnsi="Times New Roman"/>
        </w:rPr>
        <w:t>.</w:t>
      </w:r>
      <w:r w:rsidRPr="00B5163D">
        <w:rPr>
          <w:rFonts w:ascii="Times New Roman" w:hAnsi="Times New Roman"/>
        </w:rPr>
        <w:t>D</w:t>
      </w:r>
      <w:r w:rsidR="00FD6244">
        <w:rPr>
          <w:rFonts w:ascii="Times New Roman" w:hAnsi="Times New Roman"/>
        </w:rPr>
        <w:t>.</w:t>
      </w:r>
      <w:r w:rsidRPr="00B5163D">
        <w:rPr>
          <w:rFonts w:ascii="Times New Roman" w:hAnsi="Times New Roman"/>
        </w:rPr>
        <w:t>, Statistician</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Deaths in Custody Reporting Program</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Bureau of Justice Statistics</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810 Seventh Street, NW</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Washington, DC 20531</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lastRenderedPageBreak/>
        <w:t>(202) 616-3496</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William J. Sabol, Ph</w:t>
      </w:r>
      <w:r w:rsidR="00FD6244">
        <w:rPr>
          <w:rFonts w:ascii="Times New Roman" w:hAnsi="Times New Roman"/>
        </w:rPr>
        <w:t>.</w:t>
      </w:r>
      <w:r w:rsidRPr="00B5163D">
        <w:rPr>
          <w:rFonts w:ascii="Times New Roman" w:hAnsi="Times New Roman"/>
        </w:rPr>
        <w:t>D</w:t>
      </w:r>
      <w:r w:rsidR="00FD6244">
        <w:rPr>
          <w:rFonts w:ascii="Times New Roman" w:hAnsi="Times New Roman"/>
        </w:rPr>
        <w:t>.</w:t>
      </w:r>
      <w:r w:rsidRPr="00B5163D">
        <w:rPr>
          <w:rFonts w:ascii="Times New Roman" w:hAnsi="Times New Roman"/>
        </w:rPr>
        <w:tab/>
      </w:r>
    </w:p>
    <w:p w:rsidR="00B535BD" w:rsidRPr="00B5163D" w:rsidRDefault="00276C72"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 xml:space="preserve">Principal </w:t>
      </w:r>
      <w:r w:rsidR="00B535BD" w:rsidRPr="00B5163D">
        <w:rPr>
          <w:rFonts w:ascii="Times New Roman" w:hAnsi="Times New Roman"/>
        </w:rPr>
        <w:t>Deputy Director</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Statistical Collections &amp; Analysis </w:t>
      </w:r>
      <w:r w:rsidRPr="00B5163D">
        <w:rPr>
          <w:rFonts w:ascii="Times New Roman" w:hAnsi="Times New Roman"/>
        </w:rPr>
        <w:br/>
        <w:t xml:space="preserve">Bureau of Justice Statistics </w:t>
      </w:r>
      <w:r w:rsidRPr="00B5163D">
        <w:rPr>
          <w:rFonts w:ascii="Times New Roman" w:hAnsi="Times New Roman"/>
        </w:rPr>
        <w:br/>
        <w:t xml:space="preserve">810 Seventh Street, NW </w:t>
      </w:r>
      <w:r w:rsidRPr="00B5163D">
        <w:rPr>
          <w:rFonts w:ascii="Times New Roman" w:hAnsi="Times New Roman"/>
        </w:rPr>
        <w:br/>
        <w:t xml:space="preserve">Washington, DC 20531 </w:t>
      </w:r>
      <w:r w:rsidRPr="00B5163D">
        <w:rPr>
          <w:rFonts w:ascii="Times New Roman" w:hAnsi="Times New Roman"/>
        </w:rPr>
        <w:br/>
        <w:t>202-514-1062</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The Project Director at RTI International for the DCRP data collection is:</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Christopher Ellis, Project Director</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Deaths in Custody Reporting Program</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RTI International</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3040 Cornwallis Road</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Research Triangle Park, NC 27709</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(919) 541-6480</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The Law Enforcement Statistics Unit of BJS takes responsibility for the overall design and management of the activities described for the deaths occurring during the process of arrest within this submission, including data collection procedures, development of the questionnaires, and analysis of the data. BJS contacts for the </w:t>
      </w:r>
      <w:r w:rsidR="006E02B4" w:rsidRPr="00B5163D">
        <w:rPr>
          <w:rFonts w:ascii="Times New Roman" w:hAnsi="Times New Roman"/>
        </w:rPr>
        <w:t>Arrest-Related Deaths P</w:t>
      </w:r>
      <w:r w:rsidR="00F30532" w:rsidRPr="00B5163D">
        <w:rPr>
          <w:rFonts w:ascii="Times New Roman" w:hAnsi="Times New Roman"/>
        </w:rPr>
        <w:t xml:space="preserve">rogram </w:t>
      </w:r>
      <w:r w:rsidRPr="00B5163D">
        <w:rPr>
          <w:rFonts w:ascii="Times New Roman" w:hAnsi="Times New Roman"/>
        </w:rPr>
        <w:t>include the following:</w:t>
      </w:r>
    </w:p>
    <w:p w:rsidR="00B535BD" w:rsidRPr="00B5163D" w:rsidRDefault="00B535BD" w:rsidP="00B535BD">
      <w:pPr>
        <w:rPr>
          <w:rFonts w:ascii="Times New Roman" w:hAnsi="Times New Roman"/>
        </w:rPr>
      </w:pP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Andrea M. Burch, Program Manager</w:t>
      </w:r>
      <w:r w:rsidRPr="00B5163D">
        <w:rPr>
          <w:rFonts w:ascii="Times New Roman" w:hAnsi="Times New Roman"/>
        </w:rPr>
        <w:br/>
        <w:t>Arrest-Related Deaths</w:t>
      </w:r>
      <w:r w:rsidR="006E02B4" w:rsidRPr="00B5163D">
        <w:rPr>
          <w:rFonts w:ascii="Times New Roman" w:hAnsi="Times New Roman"/>
        </w:rPr>
        <w:t xml:space="preserve"> Program</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Bureau of Justice Statistics</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U. S. Department of Justice</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810 7th St. NW</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Washington, DC 20531</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202-307-1138</w:t>
      </w:r>
    </w:p>
    <w:p w:rsidR="00F0075E" w:rsidRPr="00B5163D" w:rsidRDefault="00F0075E" w:rsidP="00F0075E">
      <w:pPr>
        <w:pStyle w:val="NoSpacing"/>
        <w:rPr>
          <w:rFonts w:ascii="Times New Roman" w:hAnsi="Times New Roman" w:cs="Times New Roman"/>
          <w:sz w:val="24"/>
          <w:szCs w:val="24"/>
        </w:rPr>
      </w:pPr>
    </w:p>
    <w:p w:rsidR="00F0075E" w:rsidRPr="00B5163D" w:rsidRDefault="00F0075E" w:rsidP="00F0075E">
      <w:pPr>
        <w:pStyle w:val="NoSpacing"/>
        <w:rPr>
          <w:rFonts w:ascii="Times New Roman" w:hAnsi="Times New Roman" w:cs="Times New Roman"/>
          <w:sz w:val="24"/>
          <w:szCs w:val="24"/>
        </w:rPr>
      </w:pPr>
      <w:r w:rsidRPr="00B5163D">
        <w:rPr>
          <w:rFonts w:ascii="Times New Roman" w:hAnsi="Times New Roman" w:cs="Times New Roman"/>
          <w:sz w:val="24"/>
          <w:szCs w:val="24"/>
        </w:rPr>
        <w:t>Howard N. Snyder, Ph.D.</w:t>
      </w:r>
      <w:r w:rsidRPr="00B5163D">
        <w:rPr>
          <w:rFonts w:ascii="Times New Roman" w:hAnsi="Times New Roman" w:cs="Times New Roman"/>
          <w:sz w:val="24"/>
          <w:szCs w:val="24"/>
        </w:rPr>
        <w:br/>
        <w:t>Deputy Director</w:t>
      </w:r>
    </w:p>
    <w:p w:rsidR="00F0075E" w:rsidRPr="00B5163D" w:rsidRDefault="00F0075E" w:rsidP="00F0075E">
      <w:pPr>
        <w:pStyle w:val="NoSpacing"/>
        <w:rPr>
          <w:rFonts w:ascii="Times New Roman" w:hAnsi="Times New Roman" w:cs="Times New Roman"/>
          <w:sz w:val="24"/>
          <w:szCs w:val="24"/>
        </w:rPr>
      </w:pPr>
      <w:r w:rsidRPr="00B5163D">
        <w:rPr>
          <w:rFonts w:ascii="Times New Roman" w:hAnsi="Times New Roman" w:cs="Times New Roman"/>
          <w:sz w:val="24"/>
          <w:szCs w:val="24"/>
        </w:rPr>
        <w:t>Law Enforcement, Prosecution, Courts, Recidivism and Special Projects</w:t>
      </w:r>
    </w:p>
    <w:p w:rsidR="00F0075E" w:rsidRPr="00B5163D" w:rsidRDefault="00F0075E" w:rsidP="00F0075E">
      <w:pPr>
        <w:pStyle w:val="NoSpacing"/>
        <w:rPr>
          <w:rFonts w:ascii="Times New Roman" w:hAnsi="Times New Roman" w:cs="Times New Roman"/>
          <w:sz w:val="24"/>
          <w:szCs w:val="24"/>
        </w:rPr>
      </w:pPr>
      <w:r w:rsidRPr="00B5163D">
        <w:rPr>
          <w:rFonts w:ascii="Times New Roman" w:hAnsi="Times New Roman" w:cs="Times New Roman"/>
          <w:sz w:val="24"/>
          <w:szCs w:val="24"/>
        </w:rPr>
        <w:t>Bureau of Justice Statistics</w:t>
      </w:r>
      <w:r w:rsidRPr="00B5163D">
        <w:rPr>
          <w:rFonts w:ascii="Times New Roman" w:hAnsi="Times New Roman" w:cs="Times New Roman"/>
          <w:sz w:val="24"/>
          <w:szCs w:val="24"/>
        </w:rPr>
        <w:br/>
        <w:t>U.S. Department of Justice</w:t>
      </w:r>
      <w:r w:rsidRPr="00B5163D">
        <w:rPr>
          <w:rFonts w:ascii="Times New Roman" w:hAnsi="Times New Roman" w:cs="Times New Roman"/>
          <w:sz w:val="24"/>
          <w:szCs w:val="24"/>
        </w:rPr>
        <w:br/>
        <w:t>810 7th Street NW, Room 2326</w:t>
      </w:r>
      <w:r w:rsidRPr="00B5163D">
        <w:rPr>
          <w:rFonts w:ascii="Times New Roman" w:hAnsi="Times New Roman" w:cs="Times New Roman"/>
          <w:sz w:val="24"/>
          <w:szCs w:val="24"/>
        </w:rPr>
        <w:br/>
        <w:t>Washington, DC 20531</w:t>
      </w:r>
      <w:r w:rsidRPr="00B5163D">
        <w:rPr>
          <w:rFonts w:ascii="Times New Roman" w:hAnsi="Times New Roman" w:cs="Times New Roman"/>
          <w:sz w:val="24"/>
          <w:szCs w:val="24"/>
        </w:rPr>
        <w:br/>
        <w:t>Office Phone: 202-616-8305</w:t>
      </w:r>
      <w:r w:rsidRPr="00B5163D">
        <w:rPr>
          <w:rFonts w:ascii="Times New Roman" w:hAnsi="Times New Roman" w:cs="Times New Roman"/>
          <w:sz w:val="24"/>
          <w:szCs w:val="24"/>
        </w:rPr>
        <w:br/>
        <w:t>Cell Phone: 202-305-5592</w:t>
      </w:r>
      <w:r w:rsidRPr="00B5163D">
        <w:rPr>
          <w:rFonts w:ascii="Times New Roman" w:hAnsi="Times New Roman" w:cs="Times New Roman"/>
          <w:sz w:val="24"/>
          <w:szCs w:val="24"/>
        </w:rPr>
        <w:br/>
        <w:t>Fax: 202-616-1351</w:t>
      </w:r>
    </w:p>
    <w:p w:rsidR="00954A8C" w:rsidRPr="00B5163D" w:rsidRDefault="00954A8C"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The Project Director at RTI International for the </w:t>
      </w:r>
      <w:r w:rsidR="00F30532" w:rsidRPr="00B5163D">
        <w:rPr>
          <w:rFonts w:ascii="Times New Roman" w:hAnsi="Times New Roman"/>
        </w:rPr>
        <w:t>Arrest-Related Deaths program</w:t>
      </w:r>
      <w:r w:rsidRPr="00B5163D">
        <w:rPr>
          <w:rFonts w:ascii="Times New Roman" w:hAnsi="Times New Roman"/>
        </w:rPr>
        <w:t xml:space="preserve"> is:</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Kevin J. Strom, Project Director</w:t>
      </w:r>
    </w:p>
    <w:p w:rsidR="00F30532" w:rsidRPr="00B5163D" w:rsidRDefault="00F30532"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Arrest-Related Deaths</w:t>
      </w:r>
      <w:r w:rsidR="006E02B4" w:rsidRPr="00B5163D">
        <w:rPr>
          <w:rFonts w:ascii="Times New Roman" w:hAnsi="Times New Roman"/>
        </w:rPr>
        <w:t xml:space="preserve"> Program</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lastRenderedPageBreak/>
        <w:t>RTI International</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3040 Cornwallis Road</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Research Triangle Park, NC 27709</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(919) 485-5729</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B535BD" w:rsidRPr="00B5163D" w:rsidRDefault="00B535BD" w:rsidP="00B535BD">
      <w:pPr>
        <w:widowControl/>
        <w:autoSpaceDE/>
        <w:autoSpaceDN/>
        <w:adjustRightInd/>
        <w:rPr>
          <w:rFonts w:ascii="Times New Roman" w:hAnsi="Times New Roman"/>
          <w:b/>
        </w:rPr>
      </w:pPr>
      <w:r w:rsidRPr="00B5163D">
        <w:rPr>
          <w:rFonts w:ascii="Times New Roman" w:hAnsi="Times New Roman"/>
          <w:b/>
        </w:rPr>
        <w:t>C. Attachments</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b/>
        </w:rPr>
      </w:pPr>
    </w:p>
    <w:p w:rsidR="006B289A" w:rsidRPr="00A91B0C" w:rsidRDefault="006B289A" w:rsidP="00A91B0C">
      <w:pPr>
        <w:pStyle w:val="ListParagraph"/>
        <w:widowControl/>
        <w:numPr>
          <w:ilvl w:val="0"/>
          <w:numId w:val="9"/>
        </w:numPr>
        <w:autoSpaceDE/>
        <w:autoSpaceDN/>
        <w:adjustRightInd/>
        <w:spacing w:after="200" w:line="276" w:lineRule="auto"/>
        <w:rPr>
          <w:rFonts w:ascii="Times New Roman" w:eastAsiaTheme="minorHAnsi" w:hAnsi="Times New Roman" w:cstheme="minorBidi"/>
        </w:rPr>
      </w:pPr>
      <w:r w:rsidRPr="00A91B0C">
        <w:rPr>
          <w:rFonts w:ascii="Times New Roman" w:eastAsiaTheme="minorHAnsi" w:hAnsi="Times New Roman" w:cstheme="minorBidi"/>
        </w:rPr>
        <w:t>BJS authorizing legislation (42 USC 3732)</w:t>
      </w:r>
    </w:p>
    <w:p w:rsidR="006B289A" w:rsidRPr="00A91B0C" w:rsidRDefault="006B289A" w:rsidP="00A91B0C">
      <w:pPr>
        <w:pStyle w:val="ListParagraph"/>
        <w:widowControl/>
        <w:numPr>
          <w:ilvl w:val="0"/>
          <w:numId w:val="9"/>
        </w:numPr>
        <w:autoSpaceDE/>
        <w:autoSpaceDN/>
        <w:adjustRightInd/>
        <w:spacing w:after="200" w:line="276" w:lineRule="auto"/>
        <w:rPr>
          <w:rFonts w:ascii="Times New Roman" w:eastAsiaTheme="minorHAnsi" w:hAnsi="Times New Roman"/>
        </w:rPr>
      </w:pPr>
      <w:r w:rsidRPr="00A91B0C">
        <w:rPr>
          <w:rFonts w:ascii="Times New Roman" w:eastAsiaTheme="minorHAnsi" w:hAnsi="Times New Roman" w:cstheme="minorBidi"/>
        </w:rPr>
        <w:t>2000 Death in Custody Reporting Act (P.L. 106-297)</w:t>
      </w:r>
    </w:p>
    <w:p w:rsidR="006B289A" w:rsidRDefault="006B289A" w:rsidP="00A91B0C">
      <w:pPr>
        <w:pStyle w:val="ListParagraph"/>
        <w:widowControl/>
        <w:numPr>
          <w:ilvl w:val="0"/>
          <w:numId w:val="9"/>
        </w:numPr>
        <w:autoSpaceDE/>
        <w:autoSpaceDN/>
        <w:adjustRightInd/>
        <w:spacing w:after="200" w:line="276" w:lineRule="auto"/>
        <w:rPr>
          <w:rFonts w:ascii="Times New Roman" w:eastAsiaTheme="minorHAnsi" w:hAnsi="Times New Roman"/>
        </w:rPr>
      </w:pPr>
      <w:r w:rsidRPr="00A91B0C">
        <w:rPr>
          <w:rFonts w:ascii="Times New Roman" w:eastAsiaTheme="minorHAnsi" w:hAnsi="Times New Roman"/>
        </w:rPr>
        <w:t>2011 Death in Custody Reporting Act (H.R. 2189)</w:t>
      </w:r>
      <w:r w:rsidRPr="00A91B0C">
        <w:rPr>
          <w:rFonts w:ascii="Times New Roman" w:eastAsiaTheme="minorHAnsi" w:hAnsi="Times New Roman"/>
        </w:rPr>
        <w:tab/>
      </w:r>
    </w:p>
    <w:p w:rsidR="006B289A" w:rsidRDefault="006B289A" w:rsidP="00A91B0C">
      <w:pPr>
        <w:pStyle w:val="ListParagraph"/>
        <w:widowControl/>
        <w:numPr>
          <w:ilvl w:val="0"/>
          <w:numId w:val="9"/>
        </w:numPr>
        <w:autoSpaceDE/>
        <w:autoSpaceDN/>
        <w:adjustRightInd/>
        <w:spacing w:after="200" w:line="276" w:lineRule="auto"/>
        <w:rPr>
          <w:rFonts w:ascii="Times New Roman" w:eastAsiaTheme="minorHAnsi" w:hAnsi="Times New Roman"/>
        </w:rPr>
      </w:pPr>
      <w:r w:rsidRPr="006B289A">
        <w:rPr>
          <w:rFonts w:ascii="Times New Roman" w:eastAsiaTheme="minorHAnsi" w:hAnsi="Times New Roman"/>
        </w:rPr>
        <w:t>BJS confidentiality regulations</w:t>
      </w:r>
      <w:r>
        <w:rPr>
          <w:rFonts w:ascii="Times New Roman" w:eastAsiaTheme="minorHAnsi" w:hAnsi="Times New Roman"/>
        </w:rPr>
        <w:t xml:space="preserve"> </w:t>
      </w:r>
      <w:r w:rsidRPr="006B289A">
        <w:rPr>
          <w:rFonts w:ascii="Times New Roman" w:eastAsiaTheme="minorHAnsi" w:hAnsi="Times New Roman"/>
        </w:rPr>
        <w:t>(Title 42, USC, Sections 3789g and 3735)</w:t>
      </w:r>
    </w:p>
    <w:p w:rsidR="006B289A" w:rsidRDefault="006B289A" w:rsidP="00A91B0C">
      <w:pPr>
        <w:pStyle w:val="ListParagraph"/>
        <w:widowControl/>
        <w:numPr>
          <w:ilvl w:val="0"/>
          <w:numId w:val="9"/>
        </w:numPr>
        <w:autoSpaceDE/>
        <w:autoSpaceDN/>
        <w:adjustRightInd/>
        <w:spacing w:after="200" w:line="276" w:lineRule="auto"/>
        <w:rPr>
          <w:rFonts w:ascii="Times New Roman" w:eastAsiaTheme="minorHAnsi" w:hAnsi="Times New Roman"/>
        </w:rPr>
      </w:pPr>
      <w:r w:rsidRPr="00A91B0C">
        <w:rPr>
          <w:rFonts w:ascii="Times New Roman" w:eastAsiaTheme="minorHAnsi" w:hAnsi="Times New Roman"/>
        </w:rPr>
        <w:t>2012 CJ-9A (Annual Summary on Inmates Under Jail Jurisdiction)</w:t>
      </w:r>
    </w:p>
    <w:p w:rsidR="0066006C" w:rsidRDefault="006B289A" w:rsidP="00A91B0C">
      <w:pPr>
        <w:pStyle w:val="ListParagraph"/>
        <w:widowControl/>
        <w:autoSpaceDE/>
        <w:autoSpaceDN/>
        <w:adjustRightInd/>
        <w:spacing w:after="200" w:line="276" w:lineRule="auto"/>
        <w:rPr>
          <w:rFonts w:ascii="Times New Roman" w:eastAsiaTheme="minorHAnsi" w:hAnsi="Times New Roman"/>
        </w:rPr>
      </w:pPr>
      <w:r w:rsidRPr="00A91B0C">
        <w:rPr>
          <w:rFonts w:ascii="Times New Roman" w:eastAsiaTheme="minorHAnsi" w:hAnsi="Times New Roman"/>
        </w:rPr>
        <w:t>2012 CJ-10A (Annual Summary on Inmates in Private and Multi-Jurisdictional Jails);</w:t>
      </w:r>
    </w:p>
    <w:p w:rsidR="0066006C" w:rsidRDefault="0066006C" w:rsidP="00A91B0C">
      <w:pPr>
        <w:pStyle w:val="ListParagraph"/>
        <w:widowControl/>
        <w:autoSpaceDE/>
        <w:autoSpaceDN/>
        <w:adjustRightInd/>
        <w:spacing w:after="200" w:line="276" w:lineRule="auto"/>
        <w:rPr>
          <w:rFonts w:ascii="Times New Roman" w:eastAsiaTheme="minorHAnsi" w:hAnsi="Times New Roman"/>
        </w:rPr>
      </w:pPr>
      <w:bookmarkStart w:id="0" w:name="_GoBack"/>
      <w:r w:rsidRPr="002C1114">
        <w:rPr>
          <w:rFonts w:ascii="Times New Roman" w:eastAsiaTheme="minorHAnsi" w:hAnsi="Times New Roman"/>
        </w:rPr>
        <w:t>2013</w:t>
      </w:r>
      <w:r w:rsidR="006B289A" w:rsidRPr="002C1114">
        <w:rPr>
          <w:rFonts w:ascii="Times New Roman" w:eastAsiaTheme="minorHAnsi" w:hAnsi="Times New Roman"/>
        </w:rPr>
        <w:t xml:space="preserve"> </w:t>
      </w:r>
      <w:r w:rsidRPr="002C1114">
        <w:rPr>
          <w:rFonts w:ascii="Times New Roman" w:eastAsiaTheme="minorHAnsi" w:hAnsi="Times New Roman"/>
        </w:rPr>
        <w:t>CJ-9A/CJ-</w:t>
      </w:r>
      <w:r w:rsidR="007D6635" w:rsidRPr="002C1114">
        <w:rPr>
          <w:rFonts w:ascii="Times New Roman" w:eastAsiaTheme="minorHAnsi" w:hAnsi="Times New Roman"/>
        </w:rPr>
        <w:t>10</w:t>
      </w:r>
      <w:r w:rsidRPr="002C1114">
        <w:rPr>
          <w:rFonts w:ascii="Times New Roman" w:eastAsiaTheme="minorHAnsi" w:hAnsi="Times New Roman"/>
        </w:rPr>
        <w:t>A expanded data collection</w:t>
      </w:r>
      <w:r w:rsidR="00D43B26" w:rsidRPr="002C1114">
        <w:rPr>
          <w:rFonts w:ascii="Times New Roman" w:eastAsiaTheme="minorHAnsi" w:hAnsi="Times New Roman"/>
        </w:rPr>
        <w:t xml:space="preserve"> form</w:t>
      </w:r>
      <w:r w:rsidR="0001521E" w:rsidRPr="002C1114">
        <w:rPr>
          <w:rFonts w:ascii="Times New Roman" w:eastAsiaTheme="minorHAnsi" w:hAnsi="Times New Roman"/>
        </w:rPr>
        <w:t xml:space="preserve"> (</w:t>
      </w:r>
      <w:r w:rsidR="00E22B3A" w:rsidRPr="002C1114">
        <w:rPr>
          <w:rFonts w:ascii="Times New Roman" w:eastAsiaTheme="minorHAnsi" w:hAnsi="Times New Roman"/>
        </w:rPr>
        <w:t>Appendix_C_2013 CJ-9A_10A</w:t>
      </w:r>
      <w:r w:rsidR="0001521E" w:rsidRPr="002C1114">
        <w:rPr>
          <w:rFonts w:ascii="Times New Roman" w:eastAsiaTheme="minorHAnsi" w:hAnsi="Times New Roman"/>
        </w:rPr>
        <w:t>)</w:t>
      </w:r>
      <w:r w:rsidRPr="002C1114">
        <w:rPr>
          <w:rFonts w:ascii="Times New Roman" w:eastAsiaTheme="minorHAnsi" w:hAnsi="Times New Roman"/>
        </w:rPr>
        <w:t>;</w:t>
      </w:r>
      <w:bookmarkEnd w:id="0"/>
    </w:p>
    <w:p w:rsidR="006B289A" w:rsidRDefault="006B289A" w:rsidP="00A91B0C">
      <w:pPr>
        <w:pStyle w:val="ListParagraph"/>
        <w:widowControl/>
        <w:autoSpaceDE/>
        <w:autoSpaceDN/>
        <w:adjustRightInd/>
        <w:spacing w:after="200" w:line="276" w:lineRule="auto"/>
        <w:rPr>
          <w:rFonts w:ascii="Times New Roman" w:eastAsiaTheme="minorHAnsi" w:hAnsi="Times New Roman"/>
        </w:rPr>
      </w:pPr>
      <w:r w:rsidRPr="006B289A">
        <w:rPr>
          <w:rFonts w:ascii="Times New Roman" w:eastAsiaTheme="minorHAnsi" w:hAnsi="Times New Roman"/>
        </w:rPr>
        <w:t xml:space="preserve">2012 NPS-4 (Annual Summary of Inmate Deaths in State Prisons); </w:t>
      </w:r>
    </w:p>
    <w:p w:rsidR="006B289A" w:rsidRDefault="006B289A" w:rsidP="00A91B0C">
      <w:pPr>
        <w:pStyle w:val="ListParagraph"/>
        <w:widowControl/>
        <w:autoSpaceDE/>
        <w:autoSpaceDN/>
        <w:adjustRightInd/>
        <w:spacing w:after="200" w:line="276" w:lineRule="auto"/>
        <w:rPr>
          <w:rFonts w:ascii="Times New Roman" w:eastAsiaTheme="minorHAnsi" w:hAnsi="Times New Roman"/>
        </w:rPr>
      </w:pPr>
      <w:r w:rsidRPr="006B289A">
        <w:rPr>
          <w:rFonts w:ascii="Times New Roman" w:eastAsiaTheme="minorHAnsi" w:hAnsi="Times New Roman"/>
        </w:rPr>
        <w:t xml:space="preserve">2013 CJ-9 (Death Report on Inmates Under Jail Jurisdiction); </w:t>
      </w:r>
    </w:p>
    <w:p w:rsidR="007D6635" w:rsidRDefault="006B289A" w:rsidP="0001521E">
      <w:pPr>
        <w:pStyle w:val="ListParagraph"/>
        <w:widowControl/>
        <w:autoSpaceDE/>
        <w:autoSpaceDN/>
        <w:adjustRightInd/>
        <w:spacing w:after="200" w:line="276" w:lineRule="auto"/>
        <w:rPr>
          <w:rFonts w:ascii="Times New Roman" w:eastAsiaTheme="minorHAnsi" w:hAnsi="Times New Roman"/>
        </w:rPr>
      </w:pPr>
      <w:r w:rsidRPr="006B289A">
        <w:rPr>
          <w:rFonts w:ascii="Times New Roman" w:eastAsiaTheme="minorHAnsi" w:hAnsi="Times New Roman"/>
        </w:rPr>
        <w:t xml:space="preserve">2013 CJ-10 (Death Report on Inmates in Private and Multi-Jurisdictional Jails); </w:t>
      </w:r>
    </w:p>
    <w:p w:rsidR="00FD7FE8" w:rsidRDefault="006B289A" w:rsidP="0001521E">
      <w:pPr>
        <w:pStyle w:val="ListParagraph"/>
        <w:widowControl/>
        <w:autoSpaceDE/>
        <w:autoSpaceDN/>
        <w:adjustRightInd/>
        <w:spacing w:after="200" w:line="276" w:lineRule="auto"/>
        <w:rPr>
          <w:rFonts w:ascii="Times New Roman" w:eastAsiaTheme="minorHAnsi" w:hAnsi="Times New Roman"/>
        </w:rPr>
      </w:pPr>
      <w:r w:rsidRPr="006B289A">
        <w:rPr>
          <w:rFonts w:ascii="Times New Roman" w:eastAsiaTheme="minorHAnsi" w:hAnsi="Times New Roman"/>
        </w:rPr>
        <w:t>2013 NPS-4A (State Prison Inmate Death Report)</w:t>
      </w:r>
    </w:p>
    <w:p w:rsidR="006B289A" w:rsidRPr="00A91B0C" w:rsidRDefault="006B289A" w:rsidP="00A91B0C">
      <w:pPr>
        <w:pStyle w:val="ListParagraph"/>
        <w:widowControl/>
        <w:numPr>
          <w:ilvl w:val="0"/>
          <w:numId w:val="9"/>
        </w:numPr>
        <w:autoSpaceDE/>
        <w:autoSpaceDN/>
        <w:adjustRightInd/>
        <w:rPr>
          <w:rFonts w:ascii="Times New Roman" w:eastAsiaTheme="minorHAnsi" w:hAnsi="Times New Roman"/>
        </w:rPr>
      </w:pPr>
      <w:r w:rsidRPr="00A91B0C">
        <w:rPr>
          <w:rFonts w:ascii="Times New Roman" w:eastAsiaTheme="minorHAnsi" w:hAnsi="Times New Roman"/>
        </w:rPr>
        <w:t>2013 CJ-11 (</w:t>
      </w:r>
      <w:r w:rsidR="00FD7FE8" w:rsidRPr="00BA369B">
        <w:rPr>
          <w:rFonts w:ascii="Times New Roman" w:eastAsiaTheme="minorHAnsi" w:hAnsi="Times New Roman"/>
        </w:rPr>
        <w:t>Arrest-Related Deaths</w:t>
      </w:r>
      <w:r w:rsidR="00FD7FE8" w:rsidRPr="00A91B0C">
        <w:rPr>
          <w:rFonts w:ascii="Times New Roman" w:eastAsiaTheme="minorHAnsi" w:hAnsi="Times New Roman"/>
        </w:rPr>
        <w:t xml:space="preserve"> </w:t>
      </w:r>
      <w:r w:rsidRPr="00A91B0C">
        <w:rPr>
          <w:rFonts w:ascii="Times New Roman" w:eastAsiaTheme="minorHAnsi" w:hAnsi="Times New Roman"/>
        </w:rPr>
        <w:t>Summary of</w:t>
      </w:r>
      <w:r w:rsidR="00FD7FE8">
        <w:rPr>
          <w:rFonts w:ascii="Times New Roman" w:eastAsiaTheme="minorHAnsi" w:hAnsi="Times New Roman"/>
        </w:rPr>
        <w:t xml:space="preserve"> Incidents</w:t>
      </w:r>
      <w:r w:rsidRPr="00A91B0C">
        <w:rPr>
          <w:rFonts w:ascii="Times New Roman" w:eastAsiaTheme="minorHAnsi" w:hAnsi="Times New Roman"/>
        </w:rPr>
        <w:t>);</w:t>
      </w:r>
      <w:r w:rsidRPr="00A91B0C">
        <w:rPr>
          <w:rFonts w:ascii="Times New Roman" w:eastAsiaTheme="minorHAnsi" w:hAnsi="Times New Roman"/>
        </w:rPr>
        <w:tab/>
        <w:t xml:space="preserve">         </w:t>
      </w:r>
    </w:p>
    <w:p w:rsidR="006B289A" w:rsidRPr="006B289A" w:rsidRDefault="006B289A" w:rsidP="00A91B0C">
      <w:pPr>
        <w:widowControl/>
        <w:autoSpaceDE/>
        <w:autoSpaceDN/>
        <w:adjustRightInd/>
        <w:ind w:firstLine="720"/>
        <w:rPr>
          <w:rFonts w:ascii="Times New Roman" w:eastAsiaTheme="minorHAnsi" w:hAnsi="Times New Roman"/>
        </w:rPr>
      </w:pPr>
      <w:r w:rsidRPr="006B289A">
        <w:rPr>
          <w:rFonts w:ascii="Times New Roman" w:eastAsiaTheme="minorHAnsi" w:hAnsi="Times New Roman"/>
        </w:rPr>
        <w:t>201</w:t>
      </w:r>
      <w:r>
        <w:rPr>
          <w:rFonts w:ascii="Times New Roman" w:eastAsiaTheme="minorHAnsi" w:hAnsi="Times New Roman"/>
        </w:rPr>
        <w:t>3</w:t>
      </w:r>
      <w:r w:rsidRPr="006B289A">
        <w:rPr>
          <w:rFonts w:ascii="Times New Roman" w:eastAsiaTheme="minorHAnsi" w:hAnsi="Times New Roman"/>
        </w:rPr>
        <w:t xml:space="preserve"> CJ-11A (Arrest-Related Death</w:t>
      </w:r>
      <w:r w:rsidR="00FD7FE8">
        <w:rPr>
          <w:rFonts w:ascii="Times New Roman" w:eastAsiaTheme="minorHAnsi" w:hAnsi="Times New Roman"/>
        </w:rPr>
        <w:t>s Incident Report</w:t>
      </w:r>
      <w:r w:rsidRPr="006B289A">
        <w:rPr>
          <w:rFonts w:ascii="Times New Roman" w:eastAsiaTheme="minorHAnsi" w:hAnsi="Times New Roman"/>
        </w:rPr>
        <w:t xml:space="preserve">); </w:t>
      </w:r>
    </w:p>
    <w:p w:rsidR="006B289A" w:rsidRDefault="006B289A" w:rsidP="00A91B0C">
      <w:pPr>
        <w:widowControl/>
        <w:autoSpaceDE/>
        <w:autoSpaceDN/>
        <w:adjustRightInd/>
        <w:ind w:left="720"/>
        <w:rPr>
          <w:rFonts w:ascii="Times New Roman" w:eastAsiaTheme="minorHAnsi" w:hAnsi="Times New Roman"/>
        </w:rPr>
      </w:pPr>
      <w:r w:rsidRPr="006B289A">
        <w:rPr>
          <w:rFonts w:ascii="Times New Roman" w:eastAsiaTheme="minorHAnsi" w:hAnsi="Times New Roman"/>
        </w:rPr>
        <w:t>201</w:t>
      </w:r>
      <w:r>
        <w:rPr>
          <w:rFonts w:ascii="Times New Roman" w:eastAsiaTheme="minorHAnsi" w:hAnsi="Times New Roman"/>
        </w:rPr>
        <w:t>3</w:t>
      </w:r>
      <w:r w:rsidRPr="006B289A">
        <w:rPr>
          <w:rFonts w:ascii="Times New Roman" w:eastAsiaTheme="minorHAnsi" w:hAnsi="Times New Roman"/>
        </w:rPr>
        <w:t xml:space="preserve"> CJ-11A </w:t>
      </w:r>
      <w:r w:rsidR="00FD7FE8">
        <w:rPr>
          <w:rFonts w:ascii="Times New Roman" w:eastAsiaTheme="minorHAnsi" w:hAnsi="Times New Roman"/>
        </w:rPr>
        <w:t xml:space="preserve">(Arrest-Related Deaths Incident Report (CJ-11A) </w:t>
      </w:r>
      <w:r w:rsidRPr="006B289A">
        <w:rPr>
          <w:rFonts w:ascii="Times New Roman" w:eastAsiaTheme="minorHAnsi" w:hAnsi="Times New Roman"/>
        </w:rPr>
        <w:t>Question-by-Question Guide</w:t>
      </w:r>
      <w:r w:rsidR="00FD7FE8">
        <w:rPr>
          <w:rFonts w:ascii="Times New Roman" w:eastAsiaTheme="minorHAnsi" w:hAnsi="Times New Roman"/>
        </w:rPr>
        <w:t>;</w:t>
      </w:r>
    </w:p>
    <w:p w:rsidR="00FD7FE8" w:rsidRDefault="00FD7FE8" w:rsidP="00A91B0C">
      <w:pPr>
        <w:pStyle w:val="ListParagraph"/>
        <w:widowControl/>
        <w:numPr>
          <w:ilvl w:val="0"/>
          <w:numId w:val="9"/>
        </w:numPr>
        <w:autoSpaceDE/>
        <w:autoSpaceDN/>
        <w:adjustRightInd/>
        <w:rPr>
          <w:rFonts w:ascii="Times New Roman" w:eastAsiaTheme="minorHAnsi" w:hAnsi="Times New Roman"/>
        </w:rPr>
      </w:pPr>
      <w:r w:rsidRPr="006B289A">
        <w:rPr>
          <w:rFonts w:ascii="Times New Roman" w:eastAsiaTheme="minorHAnsi" w:hAnsi="Times New Roman"/>
        </w:rPr>
        <w:t>Example of arrest-related death program launch email to</w:t>
      </w:r>
      <w:r>
        <w:rPr>
          <w:rFonts w:ascii="Times New Roman" w:eastAsiaTheme="minorHAnsi" w:hAnsi="Times New Roman"/>
        </w:rPr>
        <w:t xml:space="preserve"> </w:t>
      </w:r>
      <w:r w:rsidRPr="006B289A">
        <w:rPr>
          <w:rFonts w:ascii="Times New Roman" w:eastAsiaTheme="minorHAnsi" w:hAnsi="Times New Roman"/>
        </w:rPr>
        <w:t>state reporting coordinator</w:t>
      </w:r>
      <w:r>
        <w:rPr>
          <w:rFonts w:ascii="Times New Roman" w:eastAsiaTheme="minorHAnsi" w:hAnsi="Times New Roman"/>
        </w:rPr>
        <w:t>;</w:t>
      </w:r>
    </w:p>
    <w:p w:rsidR="00FD7FE8" w:rsidRDefault="00FD7FE8" w:rsidP="00A91B0C">
      <w:pPr>
        <w:pStyle w:val="ListParagraph"/>
        <w:widowControl/>
        <w:numPr>
          <w:ilvl w:val="0"/>
          <w:numId w:val="9"/>
        </w:numPr>
        <w:autoSpaceDE/>
        <w:autoSpaceDN/>
        <w:adjustRightInd/>
        <w:rPr>
          <w:rFonts w:ascii="Times New Roman" w:eastAsiaTheme="minorHAnsi" w:hAnsi="Times New Roman"/>
        </w:rPr>
      </w:pPr>
      <w:r w:rsidRPr="006B289A">
        <w:rPr>
          <w:rFonts w:ascii="Times New Roman" w:eastAsiaTheme="minorHAnsi" w:hAnsi="Times New Roman"/>
        </w:rPr>
        <w:t>Example of arrest-related death ‘status report’ to a state</w:t>
      </w:r>
      <w:r>
        <w:rPr>
          <w:rFonts w:ascii="Times New Roman" w:eastAsiaTheme="minorHAnsi" w:hAnsi="Times New Roman"/>
        </w:rPr>
        <w:t xml:space="preserve"> </w:t>
      </w:r>
      <w:r w:rsidRPr="006B289A">
        <w:rPr>
          <w:rFonts w:ascii="Times New Roman" w:eastAsiaTheme="minorHAnsi" w:hAnsi="Times New Roman"/>
        </w:rPr>
        <w:t>reporting coordinator</w:t>
      </w:r>
      <w:r>
        <w:rPr>
          <w:rFonts w:ascii="Times New Roman" w:eastAsiaTheme="minorHAnsi" w:hAnsi="Times New Roman"/>
        </w:rPr>
        <w:t>;</w:t>
      </w:r>
    </w:p>
    <w:p w:rsidR="00A91B0C" w:rsidRDefault="00A91B0C" w:rsidP="00A91B0C">
      <w:pPr>
        <w:pStyle w:val="ListParagraph"/>
        <w:widowControl/>
        <w:numPr>
          <w:ilvl w:val="0"/>
          <w:numId w:val="9"/>
        </w:numPr>
        <w:autoSpaceDE/>
        <w:autoSpaceDN/>
        <w:adjustRightInd/>
        <w:rPr>
          <w:rFonts w:ascii="Times New Roman" w:eastAsiaTheme="minorHAnsi" w:hAnsi="Times New Roman"/>
        </w:rPr>
      </w:pPr>
      <w:r w:rsidRPr="006B289A">
        <w:rPr>
          <w:rFonts w:ascii="Times New Roman" w:eastAsiaTheme="minorHAnsi" w:hAnsi="Times New Roman"/>
        </w:rPr>
        <w:t>Example of jail and prison DCRP program launch mailing to jail</w:t>
      </w:r>
      <w:r>
        <w:rPr>
          <w:rFonts w:ascii="Times New Roman" w:eastAsiaTheme="minorHAnsi" w:hAnsi="Times New Roman"/>
        </w:rPr>
        <w:t xml:space="preserve"> </w:t>
      </w:r>
      <w:r w:rsidRPr="006B289A">
        <w:rPr>
          <w:rFonts w:ascii="Times New Roman" w:eastAsiaTheme="minorHAnsi" w:hAnsi="Times New Roman"/>
        </w:rPr>
        <w:t>and prison respondents</w:t>
      </w:r>
      <w:r>
        <w:rPr>
          <w:rFonts w:ascii="Times New Roman" w:eastAsiaTheme="minorHAnsi" w:hAnsi="Times New Roman"/>
        </w:rPr>
        <w:t>;</w:t>
      </w:r>
    </w:p>
    <w:p w:rsidR="00A91B0C" w:rsidRPr="00A91B0C" w:rsidRDefault="00A91B0C" w:rsidP="00A91B0C">
      <w:pPr>
        <w:pStyle w:val="ListParagraph"/>
        <w:widowControl/>
        <w:numPr>
          <w:ilvl w:val="0"/>
          <w:numId w:val="9"/>
        </w:numPr>
        <w:autoSpaceDE/>
        <w:autoSpaceDN/>
        <w:adjustRightInd/>
        <w:rPr>
          <w:rFonts w:ascii="Times New Roman" w:eastAsiaTheme="minorHAnsi" w:hAnsi="Times New Roman"/>
        </w:rPr>
      </w:pPr>
      <w:r w:rsidRPr="006B289A">
        <w:rPr>
          <w:rFonts w:ascii="Times New Roman" w:eastAsiaTheme="minorHAnsi" w:hAnsi="Times New Roman"/>
        </w:rPr>
        <w:t>Example of letters, emails and telephone scripts for data</w:t>
      </w:r>
      <w:r>
        <w:rPr>
          <w:rFonts w:ascii="Times New Roman" w:eastAsiaTheme="minorHAnsi" w:hAnsi="Times New Roman"/>
        </w:rPr>
        <w:t xml:space="preserve"> </w:t>
      </w:r>
      <w:r w:rsidRPr="006B289A">
        <w:rPr>
          <w:rFonts w:ascii="Times New Roman" w:eastAsiaTheme="minorHAnsi" w:hAnsi="Times New Roman"/>
        </w:rPr>
        <w:t>quality and non-response follow-up for DCRP jail respondents</w:t>
      </w:r>
    </w:p>
    <w:p w:rsidR="006B289A" w:rsidRDefault="006B289A" w:rsidP="006B289A">
      <w:pPr>
        <w:widowControl/>
        <w:autoSpaceDE/>
        <w:autoSpaceDN/>
        <w:adjustRightInd/>
        <w:ind w:firstLine="720"/>
        <w:rPr>
          <w:rFonts w:ascii="Times New Roman" w:eastAsiaTheme="minorHAnsi" w:hAnsi="Times New Roman"/>
        </w:rPr>
      </w:pPr>
    </w:p>
    <w:p w:rsidR="00C272CE" w:rsidRDefault="00C272CE" w:rsidP="00C272CE">
      <w:pPr>
        <w:widowControl/>
        <w:autoSpaceDE/>
        <w:autoSpaceDN/>
        <w:adjustRightInd/>
        <w:rPr>
          <w:rFonts w:ascii="Times New Roman" w:eastAsiaTheme="minorHAnsi" w:hAnsi="Times New Roman"/>
        </w:rPr>
      </w:pPr>
      <w:r>
        <w:rPr>
          <w:rFonts w:ascii="Times New Roman" w:eastAsiaTheme="minorHAnsi" w:hAnsi="Times New Roman"/>
        </w:rPr>
        <w:t>Arrest-Related Deaths Additional Attachments</w:t>
      </w:r>
    </w:p>
    <w:p w:rsidR="00C272CE" w:rsidRDefault="00C272CE" w:rsidP="00C272CE">
      <w:pPr>
        <w:widowControl/>
        <w:autoSpaceDE/>
        <w:autoSpaceDN/>
        <w:adjustRightInd/>
        <w:rPr>
          <w:rFonts w:ascii="Times New Roman" w:eastAsiaTheme="minorHAnsi" w:hAnsi="Times New Roman"/>
        </w:rPr>
      </w:pPr>
    </w:p>
    <w:p w:rsidR="00C272CE" w:rsidRPr="00C272CE" w:rsidRDefault="00C272CE" w:rsidP="00C272CE">
      <w:pPr>
        <w:ind w:left="360"/>
        <w:contextualSpacing/>
        <w:rPr>
          <w:rFonts w:ascii="Times New Roman" w:eastAsiaTheme="minorHAnsi" w:hAnsi="Times New Roman" w:cstheme="minorBidi"/>
        </w:rPr>
      </w:pPr>
      <w:r w:rsidRPr="00C272CE">
        <w:rPr>
          <w:rFonts w:ascii="Times New Roman" w:eastAsiaTheme="minorHAnsi" w:hAnsi="Times New Roman" w:cstheme="minorBidi"/>
        </w:rPr>
        <w:t>Attachment 1.</w:t>
      </w:r>
      <w:r w:rsidRPr="00C272CE">
        <w:rPr>
          <w:rFonts w:ascii="Times New Roman" w:eastAsiaTheme="minorHAnsi" w:hAnsi="Times New Roman" w:cstheme="minorBidi"/>
          <w:b/>
        </w:rPr>
        <w:t xml:space="preserve"> </w:t>
      </w:r>
      <w:r w:rsidRPr="00C272CE">
        <w:rPr>
          <w:rFonts w:ascii="Times New Roman" w:eastAsiaTheme="minorHAnsi" w:hAnsi="Times New Roman" w:cstheme="minorBidi"/>
          <w:b/>
        </w:rPr>
        <w:tab/>
      </w:r>
      <w:r w:rsidRPr="00C272CE">
        <w:rPr>
          <w:rFonts w:ascii="Times New Roman" w:eastAsiaTheme="minorHAnsi" w:hAnsi="Times New Roman"/>
        </w:rPr>
        <w:t xml:space="preserve">2013 CJ-11 </w:t>
      </w:r>
      <w:r w:rsidRPr="00C272CE">
        <w:rPr>
          <w:rFonts w:ascii="Times New Roman" w:eastAsiaTheme="minorHAnsi" w:hAnsi="Times New Roman"/>
          <w:i/>
        </w:rPr>
        <w:t xml:space="preserve">Arrest-Related Deaths Summary of Incidents </w:t>
      </w:r>
      <w:r w:rsidRPr="00C272CE">
        <w:rPr>
          <w:rFonts w:ascii="Times New Roman" w:eastAsiaTheme="minorHAnsi" w:hAnsi="Times New Roman" w:cstheme="minorBidi"/>
        </w:rPr>
        <w:t xml:space="preserve"> </w:t>
      </w:r>
    </w:p>
    <w:p w:rsidR="00C272CE" w:rsidRPr="00C272CE" w:rsidRDefault="00C272CE" w:rsidP="00C272CE">
      <w:pPr>
        <w:ind w:left="360"/>
        <w:contextualSpacing/>
        <w:rPr>
          <w:rFonts w:ascii="Times New Roman" w:eastAsiaTheme="minorHAnsi" w:hAnsi="Times New Roman" w:cstheme="minorBidi"/>
        </w:rPr>
      </w:pPr>
    </w:p>
    <w:p w:rsidR="00C272CE" w:rsidRPr="00C272CE" w:rsidRDefault="00C272CE" w:rsidP="00C272CE">
      <w:pPr>
        <w:ind w:left="360"/>
        <w:contextualSpacing/>
        <w:rPr>
          <w:rFonts w:ascii="Times New Roman" w:eastAsiaTheme="minorHAnsi" w:hAnsi="Times New Roman"/>
          <w:i/>
        </w:rPr>
      </w:pPr>
      <w:r w:rsidRPr="00C272CE">
        <w:rPr>
          <w:rFonts w:ascii="Times New Roman" w:eastAsiaTheme="minorHAnsi" w:hAnsi="Times New Roman" w:cstheme="minorBidi"/>
        </w:rPr>
        <w:t xml:space="preserve">Attachment 2. </w:t>
      </w:r>
      <w:r w:rsidRPr="00C272CE">
        <w:rPr>
          <w:rFonts w:ascii="Times New Roman" w:eastAsiaTheme="minorHAnsi" w:hAnsi="Times New Roman" w:cstheme="minorBidi"/>
        </w:rPr>
        <w:tab/>
      </w:r>
      <w:r w:rsidRPr="00C272CE">
        <w:rPr>
          <w:rFonts w:ascii="Times New Roman" w:eastAsiaTheme="minorHAnsi" w:hAnsi="Times New Roman"/>
        </w:rPr>
        <w:t xml:space="preserve">2013 CJ-11A </w:t>
      </w:r>
      <w:r w:rsidRPr="00C272CE">
        <w:rPr>
          <w:rFonts w:ascii="Times New Roman" w:eastAsiaTheme="minorHAnsi" w:hAnsi="Times New Roman"/>
        </w:rPr>
        <w:tab/>
      </w:r>
      <w:r w:rsidRPr="00C272CE">
        <w:rPr>
          <w:rFonts w:ascii="Times New Roman" w:eastAsiaTheme="minorHAnsi" w:hAnsi="Times New Roman"/>
          <w:i/>
        </w:rPr>
        <w:t>Arrest-Related Deaths Incident Report</w:t>
      </w:r>
    </w:p>
    <w:p w:rsidR="00C272CE" w:rsidRPr="00C272CE" w:rsidRDefault="00C272CE" w:rsidP="00C272CE">
      <w:pPr>
        <w:ind w:left="360"/>
        <w:contextualSpacing/>
        <w:rPr>
          <w:rFonts w:ascii="Times New Roman" w:eastAsiaTheme="minorHAnsi" w:hAnsi="Times New Roman"/>
        </w:rPr>
      </w:pPr>
    </w:p>
    <w:p w:rsidR="00C272CE" w:rsidRPr="00C272CE" w:rsidRDefault="00C272CE" w:rsidP="00C272CE">
      <w:pPr>
        <w:ind w:left="2160" w:hanging="1800"/>
        <w:contextualSpacing/>
        <w:rPr>
          <w:rFonts w:ascii="Times New Roman" w:eastAsiaTheme="minorHAnsi" w:hAnsi="Times New Roman"/>
        </w:rPr>
      </w:pPr>
      <w:r w:rsidRPr="00C272CE">
        <w:rPr>
          <w:rFonts w:ascii="Times New Roman" w:eastAsiaTheme="minorHAnsi" w:hAnsi="Times New Roman"/>
        </w:rPr>
        <w:t>Attachment 3.</w:t>
      </w:r>
      <w:r w:rsidRPr="00C272CE">
        <w:rPr>
          <w:rFonts w:ascii="Times New Roman" w:eastAsiaTheme="minorHAnsi" w:hAnsi="Times New Roman"/>
        </w:rPr>
        <w:tab/>
        <w:t xml:space="preserve">2013 CJ-11A </w:t>
      </w:r>
      <w:r w:rsidRPr="00C272CE">
        <w:rPr>
          <w:rFonts w:ascii="Times New Roman" w:eastAsiaTheme="minorHAnsi" w:hAnsi="Times New Roman"/>
        </w:rPr>
        <w:tab/>
        <w:t>Arrest-Related Deaths Incident Report (CJ-11A) Question-by-Question Guide</w:t>
      </w:r>
    </w:p>
    <w:p w:rsidR="00C272CE" w:rsidRPr="00C272CE" w:rsidRDefault="00C272CE" w:rsidP="00C272CE">
      <w:pPr>
        <w:ind w:left="360"/>
        <w:contextualSpacing/>
        <w:rPr>
          <w:rFonts w:ascii="Times New Roman" w:eastAsiaTheme="minorHAnsi" w:hAnsi="Times New Roman"/>
        </w:rPr>
      </w:pPr>
    </w:p>
    <w:p w:rsidR="00C272CE" w:rsidRPr="00C272CE" w:rsidRDefault="00C272CE" w:rsidP="00C272CE">
      <w:pPr>
        <w:ind w:left="2160" w:hanging="1800"/>
        <w:contextualSpacing/>
        <w:rPr>
          <w:rFonts w:ascii="Times New Roman" w:eastAsiaTheme="minorHAnsi" w:hAnsi="Times New Roman"/>
          <w:i/>
        </w:rPr>
      </w:pPr>
      <w:r w:rsidRPr="00C272CE">
        <w:rPr>
          <w:rFonts w:ascii="Times New Roman" w:eastAsiaTheme="minorHAnsi" w:hAnsi="Times New Roman"/>
        </w:rPr>
        <w:t>Attachment 4.</w:t>
      </w:r>
      <w:r w:rsidRPr="00C272CE">
        <w:rPr>
          <w:rFonts w:ascii="Times New Roman" w:eastAsiaTheme="minorHAnsi" w:hAnsi="Times New Roman"/>
        </w:rPr>
        <w:tab/>
        <w:t xml:space="preserve">Screen shot of the web-based 2013 CJ-11A </w:t>
      </w:r>
      <w:r w:rsidRPr="00C272CE">
        <w:rPr>
          <w:rFonts w:ascii="Times New Roman" w:eastAsiaTheme="minorHAnsi" w:hAnsi="Times New Roman"/>
          <w:i/>
        </w:rPr>
        <w:t>Arrest-Related Deaths Incident Report</w:t>
      </w:r>
    </w:p>
    <w:p w:rsidR="00C272CE" w:rsidRPr="00C272CE" w:rsidRDefault="00C272CE" w:rsidP="00C272CE">
      <w:pPr>
        <w:ind w:left="360" w:firstLine="360"/>
        <w:contextualSpacing/>
        <w:rPr>
          <w:rFonts w:ascii="Times New Roman" w:eastAsiaTheme="minorHAnsi" w:hAnsi="Times New Roman"/>
        </w:rPr>
      </w:pPr>
    </w:p>
    <w:p w:rsidR="00C272CE" w:rsidRPr="00C272CE" w:rsidRDefault="00C272CE" w:rsidP="00C272CE">
      <w:pPr>
        <w:ind w:left="2160" w:hanging="1800"/>
        <w:contextualSpacing/>
        <w:rPr>
          <w:rFonts w:ascii="Times New Roman" w:eastAsiaTheme="minorHAnsi" w:hAnsi="Times New Roman"/>
        </w:rPr>
      </w:pPr>
      <w:r w:rsidRPr="00C272CE">
        <w:rPr>
          <w:rFonts w:ascii="Times New Roman" w:eastAsiaTheme="minorHAnsi" w:hAnsi="Times New Roman"/>
        </w:rPr>
        <w:t>Attachment 5.</w:t>
      </w:r>
      <w:r w:rsidRPr="00C272CE">
        <w:rPr>
          <w:rFonts w:ascii="Times New Roman" w:eastAsiaTheme="minorHAnsi" w:hAnsi="Times New Roman"/>
        </w:rPr>
        <w:tab/>
        <w:t>State Reporting Coordinator (SRC) Instructions for Navigating the ARD Program Website and Web-based Data Entry Tool</w:t>
      </w:r>
    </w:p>
    <w:p w:rsidR="00C272CE" w:rsidRPr="00C272CE" w:rsidRDefault="00C272CE" w:rsidP="00C272CE">
      <w:pPr>
        <w:widowControl/>
        <w:autoSpaceDE/>
        <w:autoSpaceDN/>
        <w:adjustRightInd/>
        <w:ind w:left="720"/>
        <w:rPr>
          <w:rFonts w:ascii="Times New Roman" w:eastAsiaTheme="minorHAnsi" w:hAnsi="Times New Roman"/>
        </w:rPr>
      </w:pPr>
    </w:p>
    <w:p w:rsidR="00C272CE" w:rsidRPr="00C272CE" w:rsidRDefault="00C272CE" w:rsidP="00C272CE">
      <w:pPr>
        <w:ind w:left="360"/>
        <w:contextualSpacing/>
        <w:rPr>
          <w:rFonts w:ascii="Times New Roman" w:eastAsiaTheme="minorHAnsi" w:hAnsi="Times New Roman"/>
        </w:rPr>
      </w:pPr>
      <w:r w:rsidRPr="00C272CE">
        <w:rPr>
          <w:rFonts w:ascii="Times New Roman" w:eastAsiaTheme="minorHAnsi" w:hAnsi="Times New Roman"/>
        </w:rPr>
        <w:t>Attachment 6.</w:t>
      </w:r>
      <w:r w:rsidRPr="00C272CE">
        <w:rPr>
          <w:rFonts w:ascii="Times New Roman" w:eastAsiaTheme="minorHAnsi" w:hAnsi="Times New Roman"/>
        </w:rPr>
        <w:tab/>
        <w:t xml:space="preserve">Screen shot of the ARD Program Website: </w:t>
      </w:r>
      <w:hyperlink r:id="rId9" w:history="1">
        <w:r w:rsidRPr="00C272CE">
          <w:rPr>
            <w:rFonts w:ascii="Times New Roman" w:eastAsiaTheme="minorHAnsi" w:hAnsi="Times New Roman"/>
            <w:color w:val="0000FF" w:themeColor="hyperlink"/>
            <w:u w:val="single"/>
          </w:rPr>
          <w:t>www.bjsard.org</w:t>
        </w:r>
      </w:hyperlink>
    </w:p>
    <w:p w:rsidR="00C272CE" w:rsidRPr="00C272CE" w:rsidRDefault="00C272CE" w:rsidP="00C272CE">
      <w:pPr>
        <w:widowControl/>
        <w:autoSpaceDE/>
        <w:autoSpaceDN/>
        <w:adjustRightInd/>
        <w:rPr>
          <w:rFonts w:ascii="Times New Roman" w:eastAsiaTheme="minorHAnsi" w:hAnsi="Times New Roman"/>
        </w:rPr>
      </w:pPr>
    </w:p>
    <w:p w:rsidR="00C272CE" w:rsidRPr="00C272CE" w:rsidRDefault="00C272CE" w:rsidP="00C272CE">
      <w:pPr>
        <w:ind w:left="2160" w:hanging="1800"/>
        <w:contextualSpacing/>
        <w:rPr>
          <w:rFonts w:ascii="Times New Roman" w:eastAsiaTheme="minorHAnsi" w:hAnsi="Times New Roman"/>
        </w:rPr>
      </w:pPr>
      <w:r w:rsidRPr="00C272CE">
        <w:rPr>
          <w:rFonts w:ascii="Times New Roman" w:eastAsiaTheme="minorHAnsi" w:hAnsi="Times New Roman"/>
        </w:rPr>
        <w:lastRenderedPageBreak/>
        <w:t>Attachment 7.</w:t>
      </w:r>
      <w:r w:rsidRPr="00C272CE">
        <w:rPr>
          <w:rFonts w:ascii="Times New Roman" w:eastAsiaTheme="minorHAnsi" w:hAnsi="Times New Roman"/>
        </w:rPr>
        <w:tab/>
        <w:t>Arrest-Related Deaths Terms and Definitions (available on ARD Program Website)</w:t>
      </w:r>
    </w:p>
    <w:p w:rsidR="00C272CE" w:rsidRPr="00C272CE" w:rsidRDefault="00C272CE" w:rsidP="00C272CE">
      <w:pPr>
        <w:ind w:left="1080" w:firstLine="360"/>
        <w:contextualSpacing/>
        <w:rPr>
          <w:rFonts w:ascii="Times New Roman" w:eastAsiaTheme="minorHAnsi" w:hAnsi="Times New Roman"/>
        </w:rPr>
      </w:pPr>
    </w:p>
    <w:p w:rsidR="00C272CE" w:rsidRPr="00C272CE" w:rsidRDefault="00C272CE" w:rsidP="00C272CE">
      <w:pPr>
        <w:ind w:left="2160" w:hanging="1800"/>
        <w:contextualSpacing/>
        <w:rPr>
          <w:rFonts w:ascii="Times New Roman" w:eastAsiaTheme="minorHAnsi" w:hAnsi="Times New Roman"/>
        </w:rPr>
      </w:pPr>
      <w:r w:rsidRPr="00C272CE">
        <w:rPr>
          <w:rFonts w:ascii="Times New Roman" w:eastAsiaTheme="minorHAnsi" w:hAnsi="Times New Roman"/>
        </w:rPr>
        <w:t>Attachment 8.</w:t>
      </w:r>
      <w:r w:rsidRPr="00C272CE">
        <w:rPr>
          <w:rFonts w:ascii="Times New Roman" w:eastAsiaTheme="minorHAnsi" w:hAnsi="Times New Roman"/>
        </w:rPr>
        <w:tab/>
        <w:t>Screen shots of web-based Training Tutorial: Understanding the Purpose, Definitions, and Scope of the Arrest-Related Deaths Program</w:t>
      </w:r>
    </w:p>
    <w:p w:rsidR="00C272CE" w:rsidRPr="00C272CE" w:rsidRDefault="00C272CE" w:rsidP="00C272CE">
      <w:pPr>
        <w:ind w:left="1080" w:firstLine="360"/>
        <w:contextualSpacing/>
        <w:rPr>
          <w:rFonts w:ascii="Times New Roman" w:eastAsiaTheme="minorHAnsi" w:hAnsi="Times New Roman"/>
        </w:rPr>
      </w:pPr>
    </w:p>
    <w:p w:rsidR="00C272CE" w:rsidRPr="00C272CE" w:rsidRDefault="00C272CE" w:rsidP="00C272CE">
      <w:pPr>
        <w:ind w:left="360"/>
        <w:contextualSpacing/>
        <w:rPr>
          <w:rFonts w:ascii="Times New Roman" w:eastAsiaTheme="minorHAnsi" w:hAnsi="Times New Roman"/>
        </w:rPr>
      </w:pPr>
      <w:r w:rsidRPr="00C272CE">
        <w:rPr>
          <w:rFonts w:ascii="Times New Roman" w:eastAsiaTheme="minorHAnsi" w:hAnsi="Times New Roman"/>
        </w:rPr>
        <w:t>Attachment 9.</w:t>
      </w:r>
      <w:r w:rsidRPr="00C272CE">
        <w:rPr>
          <w:rFonts w:ascii="Times New Roman" w:eastAsiaTheme="minorHAnsi" w:hAnsi="Times New Roman"/>
        </w:rPr>
        <w:tab/>
        <w:t>Arrest-Related Deaths Frequently Asked Questions</w:t>
      </w:r>
    </w:p>
    <w:p w:rsidR="00C272CE" w:rsidRPr="00C272CE" w:rsidRDefault="00C272CE" w:rsidP="00C272CE">
      <w:pPr>
        <w:ind w:left="1080" w:firstLine="360"/>
        <w:contextualSpacing/>
        <w:rPr>
          <w:rFonts w:ascii="Times New Roman" w:eastAsiaTheme="minorHAnsi" w:hAnsi="Times New Roman"/>
        </w:rPr>
      </w:pPr>
    </w:p>
    <w:p w:rsidR="00C272CE" w:rsidRPr="00C272CE" w:rsidRDefault="00C272CE" w:rsidP="00C272CE">
      <w:pPr>
        <w:ind w:left="360"/>
        <w:contextualSpacing/>
        <w:rPr>
          <w:rFonts w:ascii="Times New Roman" w:eastAsiaTheme="minorHAnsi" w:hAnsi="Times New Roman"/>
        </w:rPr>
      </w:pPr>
      <w:r w:rsidRPr="00C272CE">
        <w:rPr>
          <w:rFonts w:ascii="Times New Roman" w:eastAsiaTheme="minorHAnsi" w:hAnsi="Times New Roman"/>
        </w:rPr>
        <w:t>Attachment 10.</w:t>
      </w:r>
      <w:r w:rsidRPr="00C272CE">
        <w:rPr>
          <w:rFonts w:ascii="Times New Roman" w:eastAsiaTheme="minorHAnsi" w:hAnsi="Times New Roman"/>
        </w:rPr>
        <w:tab/>
        <w:t xml:space="preserve">Arrest-Related Deaths Program Flyer </w:t>
      </w:r>
    </w:p>
    <w:p w:rsidR="00C272CE" w:rsidRPr="00C272CE" w:rsidRDefault="00C272CE" w:rsidP="00C272CE">
      <w:pPr>
        <w:widowControl/>
        <w:autoSpaceDE/>
        <w:autoSpaceDN/>
        <w:adjustRightInd/>
        <w:spacing w:after="200" w:line="276" w:lineRule="auto"/>
        <w:rPr>
          <w:rFonts w:ascii="Times New Roman" w:eastAsiaTheme="minorHAnsi" w:hAnsi="Times New Roman"/>
        </w:rPr>
      </w:pPr>
    </w:p>
    <w:p w:rsidR="00C272CE" w:rsidRPr="006B289A" w:rsidRDefault="00C272CE" w:rsidP="006B289A">
      <w:pPr>
        <w:widowControl/>
        <w:autoSpaceDE/>
        <w:autoSpaceDN/>
        <w:adjustRightInd/>
        <w:ind w:firstLine="720"/>
        <w:rPr>
          <w:rFonts w:ascii="Times New Roman" w:eastAsiaTheme="minorHAnsi" w:hAnsi="Times New Roman"/>
        </w:rPr>
      </w:pPr>
    </w:p>
    <w:p w:rsidR="006B289A" w:rsidRPr="006B289A" w:rsidRDefault="006B289A" w:rsidP="006B289A">
      <w:pPr>
        <w:widowControl/>
        <w:autoSpaceDE/>
        <w:autoSpaceDN/>
        <w:adjustRightInd/>
        <w:ind w:firstLine="720"/>
        <w:rPr>
          <w:rFonts w:ascii="Times New Roman" w:eastAsiaTheme="minorHAnsi" w:hAnsi="Times New Roman"/>
        </w:rPr>
      </w:pPr>
    </w:p>
    <w:p w:rsidR="006B289A" w:rsidRPr="006B289A" w:rsidRDefault="006B289A" w:rsidP="006B289A">
      <w:pPr>
        <w:widowControl/>
        <w:autoSpaceDE/>
        <w:autoSpaceDN/>
        <w:adjustRightInd/>
        <w:ind w:firstLine="720"/>
        <w:rPr>
          <w:rFonts w:ascii="Times New Roman" w:eastAsiaTheme="minorHAnsi" w:hAnsi="Times New Roman"/>
        </w:rPr>
      </w:pPr>
    </w:p>
    <w:p w:rsidR="000F4148" w:rsidRPr="00B5163D" w:rsidRDefault="000F4148" w:rsidP="00A91B0C">
      <w:pPr>
        <w:widowControl/>
        <w:autoSpaceDE/>
        <w:autoSpaceDN/>
        <w:adjustRightInd/>
        <w:rPr>
          <w:rFonts w:ascii="Times New Roman" w:hAnsi="Times New Roman"/>
        </w:rPr>
      </w:pPr>
    </w:p>
    <w:sectPr w:rsidR="000F4148" w:rsidRPr="00B5163D" w:rsidSect="00505160">
      <w:headerReference w:type="default" r:id="rId10"/>
      <w:footerReference w:type="default" r:id="rId11"/>
      <w:pgSz w:w="12240" w:h="15840"/>
      <w:pgMar w:top="720" w:right="1440" w:bottom="72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611" w:rsidRDefault="00FC1611">
      <w:r>
        <w:separator/>
      </w:r>
    </w:p>
  </w:endnote>
  <w:endnote w:type="continuationSeparator" w:id="0">
    <w:p w:rsidR="00FC1611" w:rsidRDefault="00FC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06158"/>
      <w:docPartObj>
        <w:docPartGallery w:val="Page Numbers (Bottom of Page)"/>
        <w:docPartUnique/>
      </w:docPartObj>
    </w:sdtPr>
    <w:sdtEndPr/>
    <w:sdtContent>
      <w:p w:rsidR="00361105" w:rsidRDefault="00361105">
        <w:pPr>
          <w:pStyle w:val="Footer"/>
          <w:jc w:val="right"/>
        </w:pPr>
        <w:r>
          <w:fldChar w:fldCharType="begin"/>
        </w:r>
        <w:r>
          <w:instrText xml:space="preserve"> PAGE   \* MERGEFORMAT </w:instrText>
        </w:r>
        <w:r>
          <w:fldChar w:fldCharType="separate"/>
        </w:r>
        <w:r w:rsidR="002C1114">
          <w:rPr>
            <w:noProof/>
          </w:rPr>
          <w:t>1</w:t>
        </w:r>
        <w:r>
          <w:rPr>
            <w:noProof/>
          </w:rPr>
          <w:fldChar w:fldCharType="end"/>
        </w:r>
      </w:p>
    </w:sdtContent>
  </w:sdt>
  <w:p w:rsidR="00361105" w:rsidRDefault="00361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611" w:rsidRDefault="00FC1611">
      <w:r>
        <w:separator/>
      </w:r>
    </w:p>
  </w:footnote>
  <w:footnote w:type="continuationSeparator" w:id="0">
    <w:p w:rsidR="00FC1611" w:rsidRDefault="00FC1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0251"/>
      <w:docPartObj>
        <w:docPartGallery w:val="Page Numbers (Top of Page)"/>
        <w:docPartUnique/>
      </w:docPartObj>
    </w:sdtPr>
    <w:sdtEndPr/>
    <w:sdtContent>
      <w:p w:rsidR="00361105" w:rsidRDefault="00361105">
        <w:pPr>
          <w:pStyle w:val="Header"/>
          <w:jc w:val="right"/>
        </w:pPr>
        <w:r>
          <w:fldChar w:fldCharType="begin"/>
        </w:r>
        <w:r>
          <w:instrText xml:space="preserve"> PAGE   \* MERGEFORMAT </w:instrText>
        </w:r>
        <w:r>
          <w:fldChar w:fldCharType="separate"/>
        </w:r>
        <w:r w:rsidR="002C1114">
          <w:rPr>
            <w:noProof/>
          </w:rPr>
          <w:t>1</w:t>
        </w:r>
        <w:r>
          <w:rPr>
            <w:noProof/>
          </w:rPr>
          <w:fldChar w:fldCharType="end"/>
        </w:r>
      </w:p>
    </w:sdtContent>
  </w:sdt>
  <w:p w:rsidR="00361105" w:rsidRDefault="00361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5C8"/>
    <w:multiLevelType w:val="hybridMultilevel"/>
    <w:tmpl w:val="30F448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717A8"/>
    <w:multiLevelType w:val="hybridMultilevel"/>
    <w:tmpl w:val="6DFAA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07242"/>
    <w:multiLevelType w:val="hybridMultilevel"/>
    <w:tmpl w:val="B8F088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41F92"/>
    <w:multiLevelType w:val="hybridMultilevel"/>
    <w:tmpl w:val="57DAA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66BCE"/>
    <w:multiLevelType w:val="hybridMultilevel"/>
    <w:tmpl w:val="1928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CE1C71"/>
    <w:multiLevelType w:val="hybridMultilevel"/>
    <w:tmpl w:val="53960F2A"/>
    <w:lvl w:ilvl="0" w:tplc="E75064EE">
      <w:start w:val="1"/>
      <w:numFmt w:val="upperLetter"/>
      <w:lvlText w:val="%1."/>
      <w:lvlJc w:val="left"/>
      <w:pPr>
        <w:ind w:left="465" w:hanging="360"/>
      </w:pPr>
      <w:rPr>
        <w:rFonts w:hint="default"/>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
    <w:nsid w:val="4E6373D7"/>
    <w:multiLevelType w:val="hybridMultilevel"/>
    <w:tmpl w:val="9D08DFFC"/>
    <w:lvl w:ilvl="0" w:tplc="0B389DB4">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4D31C4"/>
    <w:multiLevelType w:val="hybridMultilevel"/>
    <w:tmpl w:val="1944C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092BB4"/>
    <w:multiLevelType w:val="hybridMultilevel"/>
    <w:tmpl w:val="7D966C08"/>
    <w:lvl w:ilvl="0" w:tplc="533E07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FE641E"/>
    <w:multiLevelType w:val="hybridMultilevel"/>
    <w:tmpl w:val="BDF28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831194"/>
    <w:multiLevelType w:val="hybridMultilevel"/>
    <w:tmpl w:val="CFB6F642"/>
    <w:lvl w:ilvl="0" w:tplc="2D5EB6BC">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0"/>
  </w:num>
  <w:num w:numId="3">
    <w:abstractNumId w:val="4"/>
  </w:num>
  <w:num w:numId="4">
    <w:abstractNumId w:val="3"/>
  </w:num>
  <w:num w:numId="5">
    <w:abstractNumId w:val="9"/>
  </w:num>
  <w:num w:numId="6">
    <w:abstractNumId w:val="7"/>
  </w:num>
  <w:num w:numId="7">
    <w:abstractNumId w:val="2"/>
  </w:num>
  <w:num w:numId="8">
    <w:abstractNumId w:val="6"/>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5BD"/>
    <w:rsid w:val="0001521E"/>
    <w:rsid w:val="00043746"/>
    <w:rsid w:val="000525B1"/>
    <w:rsid w:val="000758BB"/>
    <w:rsid w:val="000A6F43"/>
    <w:rsid w:val="000B670F"/>
    <w:rsid w:val="000B76A3"/>
    <w:rsid w:val="000C0CF9"/>
    <w:rsid w:val="000C1B72"/>
    <w:rsid w:val="000D2D9B"/>
    <w:rsid w:val="000E1D9A"/>
    <w:rsid w:val="000F4148"/>
    <w:rsid w:val="00105A7E"/>
    <w:rsid w:val="0012266B"/>
    <w:rsid w:val="00140849"/>
    <w:rsid w:val="00156A73"/>
    <w:rsid w:val="00171E5E"/>
    <w:rsid w:val="0019439B"/>
    <w:rsid w:val="00197B32"/>
    <w:rsid w:val="001B2BD7"/>
    <w:rsid w:val="001B678B"/>
    <w:rsid w:val="001C0B20"/>
    <w:rsid w:val="001C2F33"/>
    <w:rsid w:val="001D3252"/>
    <w:rsid w:val="001D6B27"/>
    <w:rsid w:val="001E67D1"/>
    <w:rsid w:val="001E6CFF"/>
    <w:rsid w:val="002124D1"/>
    <w:rsid w:val="00217FD8"/>
    <w:rsid w:val="002219CD"/>
    <w:rsid w:val="00224F27"/>
    <w:rsid w:val="002250C2"/>
    <w:rsid w:val="002532E7"/>
    <w:rsid w:val="00276C72"/>
    <w:rsid w:val="0028452E"/>
    <w:rsid w:val="002A6F8F"/>
    <w:rsid w:val="002B6DD4"/>
    <w:rsid w:val="002C1114"/>
    <w:rsid w:val="002C6B57"/>
    <w:rsid w:val="002E0BEE"/>
    <w:rsid w:val="002E43B2"/>
    <w:rsid w:val="002F5C32"/>
    <w:rsid w:val="002F6C3F"/>
    <w:rsid w:val="003007F9"/>
    <w:rsid w:val="00310C4F"/>
    <w:rsid w:val="00314190"/>
    <w:rsid w:val="00330717"/>
    <w:rsid w:val="00330F75"/>
    <w:rsid w:val="00334F7A"/>
    <w:rsid w:val="00342D88"/>
    <w:rsid w:val="00361105"/>
    <w:rsid w:val="003765E8"/>
    <w:rsid w:val="00382F41"/>
    <w:rsid w:val="003A16AB"/>
    <w:rsid w:val="003A4458"/>
    <w:rsid w:val="003A50D8"/>
    <w:rsid w:val="003D1F4F"/>
    <w:rsid w:val="003D2564"/>
    <w:rsid w:val="003D65DA"/>
    <w:rsid w:val="003F1C21"/>
    <w:rsid w:val="003F1EEE"/>
    <w:rsid w:val="00403DCB"/>
    <w:rsid w:val="00404C84"/>
    <w:rsid w:val="004507F3"/>
    <w:rsid w:val="00471075"/>
    <w:rsid w:val="00483171"/>
    <w:rsid w:val="004B08FC"/>
    <w:rsid w:val="004B5167"/>
    <w:rsid w:val="004C72C9"/>
    <w:rsid w:val="004D1185"/>
    <w:rsid w:val="004F0C4D"/>
    <w:rsid w:val="00503D0D"/>
    <w:rsid w:val="0050509C"/>
    <w:rsid w:val="00505160"/>
    <w:rsid w:val="00516B14"/>
    <w:rsid w:val="005200C6"/>
    <w:rsid w:val="0052734F"/>
    <w:rsid w:val="00534725"/>
    <w:rsid w:val="00554BF2"/>
    <w:rsid w:val="00555A9F"/>
    <w:rsid w:val="005955F4"/>
    <w:rsid w:val="00597ED8"/>
    <w:rsid w:val="005B313E"/>
    <w:rsid w:val="005E1CA9"/>
    <w:rsid w:val="006026DC"/>
    <w:rsid w:val="006033D1"/>
    <w:rsid w:val="00612D85"/>
    <w:rsid w:val="00614EF2"/>
    <w:rsid w:val="0066006C"/>
    <w:rsid w:val="00667231"/>
    <w:rsid w:val="006824B5"/>
    <w:rsid w:val="00686796"/>
    <w:rsid w:val="006B0C8D"/>
    <w:rsid w:val="006B289A"/>
    <w:rsid w:val="006C244B"/>
    <w:rsid w:val="006C6DB7"/>
    <w:rsid w:val="006D4CAC"/>
    <w:rsid w:val="006E02B4"/>
    <w:rsid w:val="006F3F47"/>
    <w:rsid w:val="00703D49"/>
    <w:rsid w:val="00705A86"/>
    <w:rsid w:val="00705C70"/>
    <w:rsid w:val="00714A2A"/>
    <w:rsid w:val="00732D1C"/>
    <w:rsid w:val="0073448A"/>
    <w:rsid w:val="00735755"/>
    <w:rsid w:val="00735C83"/>
    <w:rsid w:val="007417BD"/>
    <w:rsid w:val="00747202"/>
    <w:rsid w:val="007540FC"/>
    <w:rsid w:val="00762444"/>
    <w:rsid w:val="007775A5"/>
    <w:rsid w:val="00791875"/>
    <w:rsid w:val="007B11D6"/>
    <w:rsid w:val="007D6635"/>
    <w:rsid w:val="007E49F2"/>
    <w:rsid w:val="007F3898"/>
    <w:rsid w:val="008077BF"/>
    <w:rsid w:val="0081600D"/>
    <w:rsid w:val="008216A9"/>
    <w:rsid w:val="00844E0A"/>
    <w:rsid w:val="00853F13"/>
    <w:rsid w:val="008569FE"/>
    <w:rsid w:val="00865F76"/>
    <w:rsid w:val="008A1448"/>
    <w:rsid w:val="008F1490"/>
    <w:rsid w:val="008F2AAB"/>
    <w:rsid w:val="009100E2"/>
    <w:rsid w:val="00914272"/>
    <w:rsid w:val="009147B8"/>
    <w:rsid w:val="00915B12"/>
    <w:rsid w:val="0093768B"/>
    <w:rsid w:val="009408E9"/>
    <w:rsid w:val="00940B9D"/>
    <w:rsid w:val="00945E94"/>
    <w:rsid w:val="00954A8C"/>
    <w:rsid w:val="00957CBE"/>
    <w:rsid w:val="0098179B"/>
    <w:rsid w:val="0098546A"/>
    <w:rsid w:val="009911B1"/>
    <w:rsid w:val="009A0F52"/>
    <w:rsid w:val="009A1E8B"/>
    <w:rsid w:val="009A72FF"/>
    <w:rsid w:val="009B2CFC"/>
    <w:rsid w:val="009D2914"/>
    <w:rsid w:val="009E4557"/>
    <w:rsid w:val="009E4EB9"/>
    <w:rsid w:val="009E7096"/>
    <w:rsid w:val="009F45B5"/>
    <w:rsid w:val="00A12144"/>
    <w:rsid w:val="00A159E8"/>
    <w:rsid w:val="00A27BE2"/>
    <w:rsid w:val="00A54A2E"/>
    <w:rsid w:val="00A614AF"/>
    <w:rsid w:val="00A61EDA"/>
    <w:rsid w:val="00A63147"/>
    <w:rsid w:val="00A64A10"/>
    <w:rsid w:val="00A725A4"/>
    <w:rsid w:val="00A73BCE"/>
    <w:rsid w:val="00A91B0C"/>
    <w:rsid w:val="00A95985"/>
    <w:rsid w:val="00AA412A"/>
    <w:rsid w:val="00AB7761"/>
    <w:rsid w:val="00AD63CD"/>
    <w:rsid w:val="00AF3962"/>
    <w:rsid w:val="00AF62FC"/>
    <w:rsid w:val="00B11D55"/>
    <w:rsid w:val="00B11F74"/>
    <w:rsid w:val="00B3682C"/>
    <w:rsid w:val="00B5163D"/>
    <w:rsid w:val="00B535BD"/>
    <w:rsid w:val="00B664AF"/>
    <w:rsid w:val="00B67C6B"/>
    <w:rsid w:val="00B80B5D"/>
    <w:rsid w:val="00B80EE1"/>
    <w:rsid w:val="00B907FB"/>
    <w:rsid w:val="00B9094E"/>
    <w:rsid w:val="00B94E3F"/>
    <w:rsid w:val="00BA4F38"/>
    <w:rsid w:val="00BD1A23"/>
    <w:rsid w:val="00BE1423"/>
    <w:rsid w:val="00BE1DA3"/>
    <w:rsid w:val="00C0727C"/>
    <w:rsid w:val="00C135B4"/>
    <w:rsid w:val="00C21691"/>
    <w:rsid w:val="00C272CE"/>
    <w:rsid w:val="00C51C8C"/>
    <w:rsid w:val="00C55457"/>
    <w:rsid w:val="00C7070B"/>
    <w:rsid w:val="00C72025"/>
    <w:rsid w:val="00C823FA"/>
    <w:rsid w:val="00C824C9"/>
    <w:rsid w:val="00C9111C"/>
    <w:rsid w:val="00CA5225"/>
    <w:rsid w:val="00CB107A"/>
    <w:rsid w:val="00CB3EB2"/>
    <w:rsid w:val="00CB65B8"/>
    <w:rsid w:val="00CC373D"/>
    <w:rsid w:val="00CD4166"/>
    <w:rsid w:val="00CD71AB"/>
    <w:rsid w:val="00D1260F"/>
    <w:rsid w:val="00D2491A"/>
    <w:rsid w:val="00D43274"/>
    <w:rsid w:val="00D43B26"/>
    <w:rsid w:val="00D65410"/>
    <w:rsid w:val="00D71C71"/>
    <w:rsid w:val="00D74A9E"/>
    <w:rsid w:val="00D77EB1"/>
    <w:rsid w:val="00D87235"/>
    <w:rsid w:val="00D97B3B"/>
    <w:rsid w:val="00DA5B81"/>
    <w:rsid w:val="00DC6699"/>
    <w:rsid w:val="00DE0A28"/>
    <w:rsid w:val="00DE0CFE"/>
    <w:rsid w:val="00DE1FEA"/>
    <w:rsid w:val="00DE3DDB"/>
    <w:rsid w:val="00E1590C"/>
    <w:rsid w:val="00E22B3A"/>
    <w:rsid w:val="00E3092C"/>
    <w:rsid w:val="00E33FF7"/>
    <w:rsid w:val="00E3748B"/>
    <w:rsid w:val="00E54DE7"/>
    <w:rsid w:val="00E86762"/>
    <w:rsid w:val="00E90428"/>
    <w:rsid w:val="00EA18D3"/>
    <w:rsid w:val="00EA2658"/>
    <w:rsid w:val="00EB051D"/>
    <w:rsid w:val="00ED0A5D"/>
    <w:rsid w:val="00EE5061"/>
    <w:rsid w:val="00F0075E"/>
    <w:rsid w:val="00F07066"/>
    <w:rsid w:val="00F23CF3"/>
    <w:rsid w:val="00F30532"/>
    <w:rsid w:val="00F40C7F"/>
    <w:rsid w:val="00FA2823"/>
    <w:rsid w:val="00FA65C7"/>
    <w:rsid w:val="00FC1611"/>
    <w:rsid w:val="00FD6244"/>
    <w:rsid w:val="00FD7FE8"/>
    <w:rsid w:val="00FE2D12"/>
    <w:rsid w:val="00FE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5BD"/>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5BD"/>
    <w:pPr>
      <w:ind w:left="720"/>
      <w:contextualSpacing/>
    </w:pPr>
  </w:style>
  <w:style w:type="paragraph" w:styleId="Header">
    <w:name w:val="header"/>
    <w:basedOn w:val="Normal"/>
    <w:link w:val="HeaderChar"/>
    <w:uiPriority w:val="99"/>
    <w:rsid w:val="00B535BD"/>
    <w:pPr>
      <w:tabs>
        <w:tab w:val="center" w:pos="4680"/>
        <w:tab w:val="right" w:pos="9360"/>
      </w:tabs>
    </w:pPr>
  </w:style>
  <w:style w:type="character" w:customStyle="1" w:styleId="HeaderChar">
    <w:name w:val="Header Char"/>
    <w:basedOn w:val="DefaultParagraphFont"/>
    <w:link w:val="Header"/>
    <w:uiPriority w:val="99"/>
    <w:rsid w:val="00B535BD"/>
    <w:rPr>
      <w:rFonts w:ascii="Courier" w:eastAsia="Times New Roman" w:hAnsi="Courier" w:cs="Times New Roman"/>
      <w:sz w:val="24"/>
      <w:szCs w:val="24"/>
    </w:rPr>
  </w:style>
  <w:style w:type="paragraph" w:styleId="Footer">
    <w:name w:val="footer"/>
    <w:basedOn w:val="Normal"/>
    <w:link w:val="FooterChar"/>
    <w:uiPriority w:val="99"/>
    <w:rsid w:val="00B535BD"/>
    <w:pPr>
      <w:tabs>
        <w:tab w:val="center" w:pos="4680"/>
        <w:tab w:val="right" w:pos="9360"/>
      </w:tabs>
    </w:pPr>
  </w:style>
  <w:style w:type="character" w:customStyle="1" w:styleId="FooterChar">
    <w:name w:val="Footer Char"/>
    <w:basedOn w:val="DefaultParagraphFont"/>
    <w:link w:val="Footer"/>
    <w:uiPriority w:val="99"/>
    <w:rsid w:val="00B535BD"/>
    <w:rPr>
      <w:rFonts w:ascii="Courier" w:eastAsia="Times New Roman" w:hAnsi="Courier" w:cs="Times New Roman"/>
      <w:sz w:val="24"/>
      <w:szCs w:val="24"/>
    </w:rPr>
  </w:style>
  <w:style w:type="paragraph" w:styleId="NoSpacing">
    <w:name w:val="No Spacing"/>
    <w:uiPriority w:val="1"/>
    <w:qFormat/>
    <w:rsid w:val="00B535BD"/>
    <w:pPr>
      <w:spacing w:after="0" w:line="240" w:lineRule="auto"/>
    </w:pPr>
  </w:style>
  <w:style w:type="table" w:styleId="TableGrid">
    <w:name w:val="Table Grid"/>
    <w:basedOn w:val="TableNormal"/>
    <w:uiPriority w:val="59"/>
    <w:rsid w:val="00B53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2"/>
    <w:rsid w:val="00B535BD"/>
    <w:rPr>
      <w:rFonts w:ascii="Verdana" w:eastAsia="MS Mincho" w:hAnsi="Verdana"/>
    </w:rPr>
  </w:style>
  <w:style w:type="paragraph" w:customStyle="1" w:styleId="BodyText2">
    <w:name w:val="Body Text2"/>
    <w:basedOn w:val="Normal"/>
    <w:link w:val="bodytextChar"/>
    <w:rsid w:val="00B535BD"/>
    <w:pPr>
      <w:widowControl/>
      <w:autoSpaceDE/>
      <w:autoSpaceDN/>
      <w:adjustRightInd/>
      <w:spacing w:after="240" w:line="320" w:lineRule="exact"/>
    </w:pPr>
    <w:rPr>
      <w:rFonts w:ascii="Verdana" w:eastAsia="MS Mincho" w:hAnsi="Verdana" w:cstheme="minorBidi"/>
      <w:sz w:val="22"/>
      <w:szCs w:val="22"/>
    </w:rPr>
  </w:style>
  <w:style w:type="character" w:styleId="CommentReference">
    <w:name w:val="annotation reference"/>
    <w:basedOn w:val="DefaultParagraphFont"/>
    <w:uiPriority w:val="99"/>
    <w:semiHidden/>
    <w:unhideWhenUsed/>
    <w:rsid w:val="00954A8C"/>
    <w:rPr>
      <w:sz w:val="18"/>
      <w:szCs w:val="18"/>
    </w:rPr>
  </w:style>
  <w:style w:type="paragraph" w:styleId="CommentText">
    <w:name w:val="annotation text"/>
    <w:basedOn w:val="Normal"/>
    <w:link w:val="CommentTextChar"/>
    <w:uiPriority w:val="99"/>
    <w:semiHidden/>
    <w:unhideWhenUsed/>
    <w:rsid w:val="00954A8C"/>
  </w:style>
  <w:style w:type="character" w:customStyle="1" w:styleId="CommentTextChar">
    <w:name w:val="Comment Text Char"/>
    <w:basedOn w:val="DefaultParagraphFont"/>
    <w:link w:val="CommentText"/>
    <w:uiPriority w:val="99"/>
    <w:semiHidden/>
    <w:rsid w:val="00954A8C"/>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954A8C"/>
    <w:rPr>
      <w:b/>
      <w:bCs/>
      <w:sz w:val="20"/>
      <w:szCs w:val="20"/>
    </w:rPr>
  </w:style>
  <w:style w:type="character" w:customStyle="1" w:styleId="CommentSubjectChar">
    <w:name w:val="Comment Subject Char"/>
    <w:basedOn w:val="CommentTextChar"/>
    <w:link w:val="CommentSubject"/>
    <w:uiPriority w:val="99"/>
    <w:semiHidden/>
    <w:rsid w:val="00954A8C"/>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954A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4A8C"/>
    <w:rPr>
      <w:rFonts w:ascii="Lucida Grande" w:eastAsia="Times New Roman" w:hAnsi="Lucida Grande" w:cs="Lucida Grande"/>
      <w:sz w:val="18"/>
      <w:szCs w:val="18"/>
    </w:rPr>
  </w:style>
  <w:style w:type="character" w:styleId="Hyperlink">
    <w:name w:val="Hyperlink"/>
    <w:basedOn w:val="DefaultParagraphFont"/>
    <w:uiPriority w:val="99"/>
    <w:unhideWhenUsed/>
    <w:rsid w:val="00F0075E"/>
    <w:rPr>
      <w:color w:val="0000FF"/>
      <w:u w:val="single"/>
    </w:rPr>
  </w:style>
  <w:style w:type="paragraph" w:customStyle="1" w:styleId="Default">
    <w:name w:val="Default"/>
    <w:rsid w:val="004507F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5BD"/>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5BD"/>
    <w:pPr>
      <w:ind w:left="720"/>
      <w:contextualSpacing/>
    </w:pPr>
  </w:style>
  <w:style w:type="paragraph" w:styleId="Header">
    <w:name w:val="header"/>
    <w:basedOn w:val="Normal"/>
    <w:link w:val="HeaderChar"/>
    <w:uiPriority w:val="99"/>
    <w:rsid w:val="00B535BD"/>
    <w:pPr>
      <w:tabs>
        <w:tab w:val="center" w:pos="4680"/>
        <w:tab w:val="right" w:pos="9360"/>
      </w:tabs>
    </w:pPr>
  </w:style>
  <w:style w:type="character" w:customStyle="1" w:styleId="HeaderChar">
    <w:name w:val="Header Char"/>
    <w:basedOn w:val="DefaultParagraphFont"/>
    <w:link w:val="Header"/>
    <w:uiPriority w:val="99"/>
    <w:rsid w:val="00B535BD"/>
    <w:rPr>
      <w:rFonts w:ascii="Courier" w:eastAsia="Times New Roman" w:hAnsi="Courier" w:cs="Times New Roman"/>
      <w:sz w:val="24"/>
      <w:szCs w:val="24"/>
    </w:rPr>
  </w:style>
  <w:style w:type="paragraph" w:styleId="Footer">
    <w:name w:val="footer"/>
    <w:basedOn w:val="Normal"/>
    <w:link w:val="FooterChar"/>
    <w:uiPriority w:val="99"/>
    <w:rsid w:val="00B535BD"/>
    <w:pPr>
      <w:tabs>
        <w:tab w:val="center" w:pos="4680"/>
        <w:tab w:val="right" w:pos="9360"/>
      </w:tabs>
    </w:pPr>
  </w:style>
  <w:style w:type="character" w:customStyle="1" w:styleId="FooterChar">
    <w:name w:val="Footer Char"/>
    <w:basedOn w:val="DefaultParagraphFont"/>
    <w:link w:val="Footer"/>
    <w:uiPriority w:val="99"/>
    <w:rsid w:val="00B535BD"/>
    <w:rPr>
      <w:rFonts w:ascii="Courier" w:eastAsia="Times New Roman" w:hAnsi="Courier" w:cs="Times New Roman"/>
      <w:sz w:val="24"/>
      <w:szCs w:val="24"/>
    </w:rPr>
  </w:style>
  <w:style w:type="paragraph" w:styleId="NoSpacing">
    <w:name w:val="No Spacing"/>
    <w:uiPriority w:val="1"/>
    <w:qFormat/>
    <w:rsid w:val="00B535BD"/>
    <w:pPr>
      <w:spacing w:after="0" w:line="240" w:lineRule="auto"/>
    </w:pPr>
  </w:style>
  <w:style w:type="table" w:styleId="TableGrid">
    <w:name w:val="Table Grid"/>
    <w:basedOn w:val="TableNormal"/>
    <w:uiPriority w:val="59"/>
    <w:rsid w:val="00B53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2"/>
    <w:rsid w:val="00B535BD"/>
    <w:rPr>
      <w:rFonts w:ascii="Verdana" w:eastAsia="MS Mincho" w:hAnsi="Verdana"/>
    </w:rPr>
  </w:style>
  <w:style w:type="paragraph" w:customStyle="1" w:styleId="BodyText2">
    <w:name w:val="Body Text2"/>
    <w:basedOn w:val="Normal"/>
    <w:link w:val="bodytextChar"/>
    <w:rsid w:val="00B535BD"/>
    <w:pPr>
      <w:widowControl/>
      <w:autoSpaceDE/>
      <w:autoSpaceDN/>
      <w:adjustRightInd/>
      <w:spacing w:after="240" w:line="320" w:lineRule="exact"/>
    </w:pPr>
    <w:rPr>
      <w:rFonts w:ascii="Verdana" w:eastAsia="MS Mincho" w:hAnsi="Verdana" w:cstheme="minorBidi"/>
      <w:sz w:val="22"/>
      <w:szCs w:val="22"/>
    </w:rPr>
  </w:style>
  <w:style w:type="character" w:styleId="CommentReference">
    <w:name w:val="annotation reference"/>
    <w:basedOn w:val="DefaultParagraphFont"/>
    <w:uiPriority w:val="99"/>
    <w:semiHidden/>
    <w:unhideWhenUsed/>
    <w:rsid w:val="00954A8C"/>
    <w:rPr>
      <w:sz w:val="18"/>
      <w:szCs w:val="18"/>
    </w:rPr>
  </w:style>
  <w:style w:type="paragraph" w:styleId="CommentText">
    <w:name w:val="annotation text"/>
    <w:basedOn w:val="Normal"/>
    <w:link w:val="CommentTextChar"/>
    <w:uiPriority w:val="99"/>
    <w:semiHidden/>
    <w:unhideWhenUsed/>
    <w:rsid w:val="00954A8C"/>
  </w:style>
  <w:style w:type="character" w:customStyle="1" w:styleId="CommentTextChar">
    <w:name w:val="Comment Text Char"/>
    <w:basedOn w:val="DefaultParagraphFont"/>
    <w:link w:val="CommentText"/>
    <w:uiPriority w:val="99"/>
    <w:semiHidden/>
    <w:rsid w:val="00954A8C"/>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954A8C"/>
    <w:rPr>
      <w:b/>
      <w:bCs/>
      <w:sz w:val="20"/>
      <w:szCs w:val="20"/>
    </w:rPr>
  </w:style>
  <w:style w:type="character" w:customStyle="1" w:styleId="CommentSubjectChar">
    <w:name w:val="Comment Subject Char"/>
    <w:basedOn w:val="CommentTextChar"/>
    <w:link w:val="CommentSubject"/>
    <w:uiPriority w:val="99"/>
    <w:semiHidden/>
    <w:rsid w:val="00954A8C"/>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954A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4A8C"/>
    <w:rPr>
      <w:rFonts w:ascii="Lucida Grande" w:eastAsia="Times New Roman" w:hAnsi="Lucida Grande" w:cs="Lucida Grande"/>
      <w:sz w:val="18"/>
      <w:szCs w:val="18"/>
    </w:rPr>
  </w:style>
  <w:style w:type="character" w:styleId="Hyperlink">
    <w:name w:val="Hyperlink"/>
    <w:basedOn w:val="DefaultParagraphFont"/>
    <w:uiPriority w:val="99"/>
    <w:unhideWhenUsed/>
    <w:rsid w:val="00F0075E"/>
    <w:rPr>
      <w:color w:val="0000FF"/>
      <w:u w:val="single"/>
    </w:rPr>
  </w:style>
  <w:style w:type="paragraph" w:customStyle="1" w:styleId="Default">
    <w:name w:val="Default"/>
    <w:rsid w:val="004507F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24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js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D926F-3AAA-47E4-B233-6CDB15A0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5427</Words>
  <Characters>30939</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NoonanM</dc:creator>
  <cp:lastModifiedBy>adamsd</cp:lastModifiedBy>
  <cp:revision>2</cp:revision>
  <cp:lastPrinted>2012-09-20T12:37:00Z</cp:lastPrinted>
  <dcterms:created xsi:type="dcterms:W3CDTF">2013-11-06T18:07:00Z</dcterms:created>
  <dcterms:modified xsi:type="dcterms:W3CDTF">2013-11-06T18:07:00Z</dcterms:modified>
</cp:coreProperties>
</file>