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DD7" w:rsidRDefault="00B5273E" w:rsidP="00B5273E">
      <w:pPr>
        <w:jc w:val="center"/>
        <w:rPr>
          <w:b/>
          <w:bCs/>
        </w:rPr>
      </w:pPr>
      <w:r w:rsidRPr="00DF2CE2">
        <w:rPr>
          <w:b/>
          <w:bCs/>
        </w:rPr>
        <w:t>Supporting Statement</w:t>
      </w:r>
      <w:r w:rsidR="00AE5B26">
        <w:rPr>
          <w:b/>
          <w:bCs/>
        </w:rPr>
        <w:t xml:space="preserve"> A</w:t>
      </w:r>
    </w:p>
    <w:p w:rsidR="00573DD7" w:rsidRDefault="00573DD7" w:rsidP="00B5273E">
      <w:pPr>
        <w:jc w:val="center"/>
        <w:rPr>
          <w:b/>
          <w:bCs/>
        </w:rPr>
      </w:pPr>
    </w:p>
    <w:p w:rsidR="00324A98" w:rsidRDefault="00573DD7" w:rsidP="00B5273E">
      <w:pPr>
        <w:jc w:val="center"/>
        <w:rPr>
          <w:b/>
          <w:bCs/>
        </w:rPr>
      </w:pPr>
      <w:r>
        <w:rPr>
          <w:b/>
          <w:bCs/>
        </w:rPr>
        <w:t xml:space="preserve">30 CFR </w:t>
      </w:r>
      <w:r w:rsidR="00AE5B26">
        <w:rPr>
          <w:b/>
          <w:bCs/>
        </w:rPr>
        <w:t xml:space="preserve">Part </w:t>
      </w:r>
      <w:r>
        <w:rPr>
          <w:b/>
          <w:bCs/>
        </w:rPr>
        <w:t xml:space="preserve">774 – Revisions; Renewals; and </w:t>
      </w:r>
    </w:p>
    <w:p w:rsidR="00B5273E" w:rsidRPr="00DF2CE2" w:rsidRDefault="00573DD7" w:rsidP="00B5273E">
      <w:pPr>
        <w:jc w:val="center"/>
      </w:pPr>
      <w:r>
        <w:rPr>
          <w:b/>
          <w:bCs/>
        </w:rPr>
        <w:t>Transfer, Assignment,</w:t>
      </w:r>
      <w:r w:rsidR="00324A98">
        <w:rPr>
          <w:b/>
          <w:bCs/>
        </w:rPr>
        <w:t xml:space="preserve"> or </w:t>
      </w:r>
      <w:r>
        <w:rPr>
          <w:b/>
          <w:bCs/>
        </w:rPr>
        <w:t>Sale of Permit Rights</w:t>
      </w:r>
    </w:p>
    <w:p w:rsidR="00B5273E" w:rsidRDefault="00B5273E" w:rsidP="00B5273E"/>
    <w:p w:rsidR="00573DD7" w:rsidRPr="00B534A9" w:rsidRDefault="00324A98" w:rsidP="00B534A9">
      <w:pPr>
        <w:jc w:val="center"/>
        <w:rPr>
          <w:b/>
        </w:rPr>
      </w:pPr>
      <w:r>
        <w:rPr>
          <w:b/>
        </w:rPr>
        <w:t xml:space="preserve">OMB Control Number:  </w:t>
      </w:r>
      <w:r w:rsidR="00B534A9" w:rsidRPr="00B534A9">
        <w:rPr>
          <w:b/>
        </w:rPr>
        <w:t>1029-0116</w:t>
      </w:r>
    </w:p>
    <w:p w:rsidR="00B534A9" w:rsidRDefault="00B534A9" w:rsidP="00B534A9">
      <w:pPr>
        <w:jc w:val="center"/>
      </w:pPr>
    </w:p>
    <w:p w:rsidR="00573DD7" w:rsidRPr="00DF2CE2" w:rsidRDefault="00573DD7" w:rsidP="00B5273E">
      <w:r>
        <w:t>Terms of Clearance:  None</w:t>
      </w:r>
    </w:p>
    <w:p w:rsidR="00B5273E" w:rsidRPr="00DF2CE2" w:rsidRDefault="00B5273E" w:rsidP="00B5273E"/>
    <w:p w:rsidR="00AE5B26" w:rsidRPr="00AE5B26" w:rsidRDefault="00AE5B26" w:rsidP="00AE5B26">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sidRPr="00AE5B26">
        <w:rPr>
          <w:b/>
          <w:bCs/>
          <w:i/>
        </w:rPr>
        <w:t>General Instructions</w:t>
      </w:r>
      <w:r w:rsidRPr="00AE5B26">
        <w:rPr>
          <w:i/>
        </w:rPr>
        <w:t xml:space="preserve"> </w:t>
      </w:r>
    </w:p>
    <w:p w:rsidR="00AE5B26" w:rsidRPr="00AE5B26" w:rsidRDefault="00AE5B26" w:rsidP="00AE5B26">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p>
    <w:p w:rsidR="00AE5B26" w:rsidRPr="00AE5B26" w:rsidRDefault="00AE5B26" w:rsidP="00AE5B26">
      <w:pPr>
        <w:widowControl w:val="0"/>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i/>
        </w:rPr>
      </w:pPr>
      <w:r w:rsidRPr="00AE5B26">
        <w:rPr>
          <w:i/>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A862F4" w:rsidRDefault="00A862F4" w:rsidP="00A862F4">
      <w:pPr>
        <w:rPr>
          <w:b/>
          <w:u w:val="single"/>
        </w:rPr>
      </w:pPr>
    </w:p>
    <w:p w:rsidR="00A862F4" w:rsidRPr="00AE5B26" w:rsidRDefault="00A862F4" w:rsidP="00A862F4">
      <w:pPr>
        <w:rPr>
          <w:b/>
          <w:i/>
        </w:rPr>
      </w:pPr>
      <w:r w:rsidRPr="00AE5B26">
        <w:rPr>
          <w:b/>
          <w:i/>
        </w:rPr>
        <w:t>Introduction</w:t>
      </w:r>
    </w:p>
    <w:p w:rsidR="00A862F4" w:rsidRPr="009E4D1F" w:rsidRDefault="00A862F4" w:rsidP="00A862F4"/>
    <w:p w:rsidR="00A862F4" w:rsidRPr="009E4D1F" w:rsidRDefault="00A862F4" w:rsidP="00A862F4">
      <w:pPr>
        <w:pStyle w:val="HTMLPreformatted"/>
        <w:rPr>
          <w:rFonts w:ascii="Times New Roman" w:hAnsi="Times New Roman" w:cs="Times New Roman"/>
          <w:sz w:val="24"/>
          <w:szCs w:val="24"/>
        </w:rPr>
      </w:pPr>
      <w:r w:rsidRPr="009E4D1F">
        <w:rPr>
          <w:rFonts w:ascii="Times New Roman" w:hAnsi="Times New Roman" w:cs="Times New Roman"/>
          <w:sz w:val="24"/>
          <w:szCs w:val="24"/>
        </w:rPr>
        <w:t xml:space="preserve">The Office of Surface Mining Reclamation and Enforcement (OSM) </w:t>
      </w:r>
      <w:r w:rsidR="0026567C">
        <w:rPr>
          <w:rFonts w:ascii="Times New Roman" w:hAnsi="Times New Roman" w:cs="Times New Roman"/>
          <w:sz w:val="24"/>
          <w:szCs w:val="24"/>
        </w:rPr>
        <w:t xml:space="preserve">is </w:t>
      </w:r>
      <w:r w:rsidR="005E2DE8" w:rsidRPr="009E4D1F">
        <w:rPr>
          <w:rFonts w:ascii="Times New Roman" w:hAnsi="Times New Roman" w:cs="Times New Roman"/>
          <w:sz w:val="24"/>
          <w:szCs w:val="24"/>
        </w:rPr>
        <w:t>submit</w:t>
      </w:r>
      <w:r w:rsidR="005E2DE8">
        <w:rPr>
          <w:rFonts w:ascii="Times New Roman" w:hAnsi="Times New Roman" w:cs="Times New Roman"/>
          <w:sz w:val="24"/>
          <w:szCs w:val="24"/>
        </w:rPr>
        <w:t>ting</w:t>
      </w:r>
      <w:r w:rsidRPr="009E4D1F">
        <w:rPr>
          <w:rFonts w:ascii="Times New Roman" w:hAnsi="Times New Roman" w:cs="Times New Roman"/>
          <w:sz w:val="24"/>
          <w:szCs w:val="24"/>
        </w:rPr>
        <w:t xml:space="preserve"> this request for information collection approval to collect information under 30 CFR </w:t>
      </w:r>
      <w:r w:rsidR="00AE5B26">
        <w:rPr>
          <w:rFonts w:ascii="Times New Roman" w:hAnsi="Times New Roman" w:cs="Times New Roman"/>
          <w:sz w:val="24"/>
          <w:szCs w:val="24"/>
        </w:rPr>
        <w:t>P</w:t>
      </w:r>
      <w:r w:rsidRPr="009E4D1F">
        <w:rPr>
          <w:rFonts w:ascii="Times New Roman" w:hAnsi="Times New Roman" w:cs="Times New Roman"/>
          <w:sz w:val="24"/>
          <w:szCs w:val="24"/>
        </w:rPr>
        <w:t>art 774, Revision; Renewal; Transfer, Assig</w:t>
      </w:r>
      <w:r w:rsidR="0026567C">
        <w:rPr>
          <w:rFonts w:ascii="Times New Roman" w:hAnsi="Times New Roman" w:cs="Times New Roman"/>
          <w:sz w:val="24"/>
          <w:szCs w:val="24"/>
        </w:rPr>
        <w:t>nment, or Sale of Permit Rights</w:t>
      </w:r>
      <w:r w:rsidRPr="009E4D1F">
        <w:rPr>
          <w:rFonts w:ascii="Times New Roman" w:hAnsi="Times New Roman" w:cs="Times New Roman"/>
          <w:sz w:val="24"/>
          <w:szCs w:val="24"/>
        </w:rPr>
        <w:t xml:space="preserve">.  The regulations under 30 CFR </w:t>
      </w:r>
      <w:r w:rsidR="00AE5B26">
        <w:rPr>
          <w:rFonts w:ascii="Times New Roman" w:hAnsi="Times New Roman" w:cs="Times New Roman"/>
          <w:sz w:val="24"/>
          <w:szCs w:val="24"/>
        </w:rPr>
        <w:t>P</w:t>
      </w:r>
      <w:r w:rsidRPr="009E4D1F">
        <w:rPr>
          <w:rFonts w:ascii="Times New Roman" w:hAnsi="Times New Roman" w:cs="Times New Roman"/>
          <w:sz w:val="24"/>
          <w:szCs w:val="24"/>
        </w:rPr>
        <w:t xml:space="preserve">art 774 address general and specific requirements for permit revisions and renewals; transfer, assignment, or sale of permit rights; permittee post-permit information disclosure; update, maintenance requirements; and procedures for regulatory authorities to pursue permanent permit ineligibility, develop findings of ownership and control, and determine if alternative enforcement actions </w:t>
      </w:r>
      <w:r>
        <w:rPr>
          <w:rFonts w:ascii="Times New Roman" w:hAnsi="Times New Roman" w:cs="Times New Roman"/>
          <w:sz w:val="24"/>
          <w:szCs w:val="24"/>
        </w:rPr>
        <w:t xml:space="preserve">for </w:t>
      </w:r>
      <w:r w:rsidR="00AE5B26">
        <w:rPr>
          <w:rFonts w:ascii="Times New Roman" w:hAnsi="Times New Roman" w:cs="Times New Roman"/>
          <w:sz w:val="24"/>
          <w:szCs w:val="24"/>
        </w:rPr>
        <w:t>P</w:t>
      </w:r>
      <w:r w:rsidRPr="009E4D1F">
        <w:rPr>
          <w:rFonts w:ascii="Times New Roman" w:hAnsi="Times New Roman" w:cs="Times New Roman"/>
          <w:sz w:val="24"/>
          <w:szCs w:val="24"/>
        </w:rPr>
        <w:t>arts 843, 846, or 847 are warranted when a person is found to own or control a surface coal mining operation having an unabated or uncorrected violation.</w:t>
      </w:r>
    </w:p>
    <w:p w:rsidR="00A862F4" w:rsidRPr="009E4D1F" w:rsidRDefault="00A862F4" w:rsidP="00A862F4"/>
    <w:p w:rsidR="00A862F4" w:rsidRPr="00C17D0E" w:rsidRDefault="00A862F4" w:rsidP="00A862F4">
      <w:r w:rsidRPr="00C17D0E">
        <w:t xml:space="preserve">The Office of Management and Budget (OMB) has previously approved </w:t>
      </w:r>
      <w:r w:rsidR="00AE5B26">
        <w:t xml:space="preserve">the </w:t>
      </w:r>
      <w:r w:rsidRPr="00C17D0E">
        <w:t xml:space="preserve">information collection for 30 CFR </w:t>
      </w:r>
      <w:r w:rsidR="00AE5B26">
        <w:t>P</w:t>
      </w:r>
      <w:r w:rsidRPr="00C17D0E">
        <w:t>art 774.  OMB assigned information collection c</w:t>
      </w:r>
      <w:r w:rsidR="0026567C">
        <w:t>ontrol</w:t>
      </w:r>
      <w:r w:rsidRPr="00C17D0E">
        <w:t xml:space="preserve"> number 1029-0116 to the approval.  </w:t>
      </w:r>
    </w:p>
    <w:p w:rsidR="00B5273E" w:rsidRPr="00DF2CE2" w:rsidRDefault="00B5273E" w:rsidP="00B5273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AE5B26" w:rsidRPr="00AE5B26" w:rsidRDefault="00AE5B26" w:rsidP="00AE5B26">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sidRPr="00AE5B26">
        <w:rPr>
          <w:b/>
          <w:bCs/>
          <w:i/>
        </w:rPr>
        <w:t>Specific Instructions</w:t>
      </w:r>
    </w:p>
    <w:p w:rsidR="00AE5B26" w:rsidRPr="00AE5B26" w:rsidRDefault="00AE5B26" w:rsidP="00AE5B26">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p>
    <w:p w:rsidR="00AE5B26" w:rsidRPr="00AE5B26" w:rsidRDefault="00AE5B26" w:rsidP="00AE5B26">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sidRPr="00AE5B26">
        <w:rPr>
          <w:b/>
          <w:bCs/>
          <w:i/>
        </w:rPr>
        <w:t>Justification</w:t>
      </w:r>
    </w:p>
    <w:p w:rsidR="00AE5B26" w:rsidRPr="00AE5B26" w:rsidRDefault="00AE5B26" w:rsidP="00AE5B26">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p>
    <w:p w:rsidR="00AE5B26" w:rsidRPr="00AE5B26" w:rsidRDefault="00AE5B26" w:rsidP="00AE5B26">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sidRPr="00AE5B26">
        <w:rPr>
          <w:i/>
        </w:rPr>
        <w:t>1.</w:t>
      </w:r>
      <w:r w:rsidRPr="00AE5B26">
        <w:rPr>
          <w:i/>
        </w:rPr>
        <w:tab/>
        <w:t>Explain the circumstances that make the collection of information necessary.  Identify any legal or administrative requirements that necessitate the collection.</w:t>
      </w:r>
    </w:p>
    <w:p w:rsidR="00DD7E8C" w:rsidRDefault="00DD7E8C" w:rsidP="00B5273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DD7E8C" w:rsidRPr="00C17D0E" w:rsidRDefault="00DD7E8C" w:rsidP="00DD7E8C">
      <w:pPr>
        <w:ind w:left="720"/>
      </w:pPr>
      <w:r w:rsidRPr="00C17D0E">
        <w:t xml:space="preserve">Following permit issuance, a permittee continues to have information disclosure obligations under the Act and its implementing regulations.  Section 774.12 requires industry respondents (permittees) to provide information following the issuance of a </w:t>
      </w:r>
      <w:r w:rsidRPr="00C17D0E">
        <w:lastRenderedPageBreak/>
        <w:t>permit when certain specified events occur</w:t>
      </w:r>
      <w:r>
        <w:t xml:space="preserve"> in accordance with §§</w:t>
      </w:r>
      <w:r w:rsidRPr="00C17D0E">
        <w:t xml:space="preserve">507 and 510 of </w:t>
      </w:r>
      <w:r>
        <w:t>Surface Mining Control and Reclamation Act of 1977 (</w:t>
      </w:r>
      <w:r w:rsidRPr="00C17D0E">
        <w:t>SMCRA</w:t>
      </w:r>
      <w:r>
        <w:t xml:space="preserve"> or the Act)</w:t>
      </w:r>
      <w:r w:rsidRPr="00C17D0E">
        <w:t xml:space="preserve">.  The information collected from permittees under </w:t>
      </w:r>
      <w:r w:rsidR="00AE5B26">
        <w:t>§</w:t>
      </w:r>
      <w:r w:rsidRPr="00C17D0E">
        <w:t>774.12 ensures the continued accuracy and completeness of entity, affiliation, and violation information required under</w:t>
      </w:r>
      <w:r w:rsidR="004A0917">
        <w:t xml:space="preserve"> §§</w:t>
      </w:r>
      <w:r w:rsidRPr="00C17D0E">
        <w:t>507 and 510 of the Act after a permit is issued.</w:t>
      </w:r>
    </w:p>
    <w:p w:rsidR="00DD7E8C" w:rsidRDefault="00DD7E8C" w:rsidP="00DD7E8C"/>
    <w:p w:rsidR="00DD7E8C" w:rsidRPr="00C17D0E" w:rsidRDefault="00DD7E8C" w:rsidP="00DD7E8C">
      <w:pPr>
        <w:ind w:left="720"/>
      </w:pPr>
      <w:r w:rsidRPr="00C17D0E">
        <w:t xml:space="preserve">The information collection burden associated with </w:t>
      </w:r>
      <w:r w:rsidR="00AE5B26">
        <w:t>§</w:t>
      </w:r>
      <w:r w:rsidRPr="00C17D0E">
        <w:t xml:space="preserve">774.13 is the submission of the information required in an application for a permit revision.  The legal authority for </w:t>
      </w:r>
      <w:r w:rsidR="00AE5B26">
        <w:t>§</w:t>
      </w:r>
      <w:r w:rsidRPr="00C17D0E">
        <w:t xml:space="preserve">774.13 is found in </w:t>
      </w:r>
      <w:r>
        <w:t>§</w:t>
      </w:r>
      <w:r w:rsidRPr="00C17D0E">
        <w:t xml:space="preserve">511 of SMCRA.  </w:t>
      </w:r>
    </w:p>
    <w:p w:rsidR="00DD7E8C" w:rsidRPr="00C17D0E" w:rsidRDefault="00DD7E8C" w:rsidP="00DD7E8C"/>
    <w:p w:rsidR="00DD7E8C" w:rsidRPr="00C17D0E" w:rsidRDefault="00D8523E" w:rsidP="00D8523E">
      <w:pPr>
        <w:ind w:left="720"/>
      </w:pPr>
      <w:r w:rsidRPr="00C17D0E">
        <w:t xml:space="preserve">The information collection burden associated with </w:t>
      </w:r>
      <w:r w:rsidR="00AE5B26">
        <w:t>§</w:t>
      </w:r>
      <w:r w:rsidRPr="00C17D0E">
        <w:t xml:space="preserve">774.15 is the information provided by a permittee in an application for a permit renewal.  The legal authority for </w:t>
      </w:r>
      <w:r w:rsidR="00AE5B26">
        <w:t>§</w:t>
      </w:r>
      <w:r w:rsidRPr="00C17D0E">
        <w:t xml:space="preserve">774.15 is found in </w:t>
      </w:r>
      <w:r w:rsidR="00AE5B26">
        <w:t>§</w:t>
      </w:r>
      <w:r w:rsidRPr="00C17D0E">
        <w:t xml:space="preserve">506(d) of SMCRA. </w:t>
      </w:r>
    </w:p>
    <w:p w:rsidR="00DD7E8C" w:rsidRDefault="00DD7E8C" w:rsidP="00B5273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DD7E8C" w:rsidRPr="00DD7E8C" w:rsidRDefault="00D8523E" w:rsidP="00D8523E">
      <w:pPr>
        <w:pStyle w:val="BodyText"/>
        <w:ind w:left="720"/>
        <w:jc w:val="left"/>
      </w:pPr>
      <w:r w:rsidRPr="00C17D0E">
        <w:t xml:space="preserve">The information collected from persons who apply for a transfer, assignment, or sale of permit rights </w:t>
      </w:r>
      <w:r>
        <w:t>for</w:t>
      </w:r>
      <w:r w:rsidRPr="00C17D0E">
        <w:t xml:space="preserve"> </w:t>
      </w:r>
      <w:r w:rsidR="00AE5B26">
        <w:t>§</w:t>
      </w:r>
      <w:r w:rsidRPr="00C17D0E">
        <w:t xml:space="preserve">774.17 is in the form of an application for a transfer, assignment, or sale of permit rights.  The legal authority for </w:t>
      </w:r>
      <w:r w:rsidR="00AE5B26">
        <w:t>§</w:t>
      </w:r>
      <w:r w:rsidRPr="00C17D0E">
        <w:t xml:space="preserve">774.17 is found in </w:t>
      </w:r>
      <w:r w:rsidR="00AE5B26">
        <w:t>§§</w:t>
      </w:r>
      <w:r>
        <w:t xml:space="preserve">506(b) and 511(b) of SMCRA. </w:t>
      </w:r>
    </w:p>
    <w:p w:rsidR="00B5273E" w:rsidRPr="00DF2CE2" w:rsidRDefault="00B5273E" w:rsidP="00B5273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AE5B26" w:rsidRPr="00AE5B26" w:rsidRDefault="00AE5B26" w:rsidP="00AE5B26">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sidRPr="00AE5B26">
        <w:rPr>
          <w:i/>
        </w:rPr>
        <w:t>2.</w:t>
      </w:r>
      <w:r w:rsidRPr="00AE5B26">
        <w:rPr>
          <w:i/>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B5273E" w:rsidRDefault="00B5273E" w:rsidP="00B5273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A862F4" w:rsidRPr="00C17D0E" w:rsidRDefault="00A862F4" w:rsidP="002B79F3">
      <w:pPr>
        <w:numPr>
          <w:ilvl w:val="0"/>
          <w:numId w:val="1"/>
        </w:numPr>
        <w:tabs>
          <w:tab w:val="clear" w:pos="360"/>
        </w:tabs>
        <w:ind w:left="720" w:hanging="720"/>
      </w:pPr>
      <w:r w:rsidRPr="00C17D0E">
        <w:t>Section 774.12(a) requires permittees to provide updates to information initially disclosed in an application under 30 CFR 778.11 within 30 days of being cited with a cessation order.</w:t>
      </w:r>
      <w:r w:rsidR="00452743">
        <w:t xml:space="preserve">  This information is reviewed and approved by the State regulatory authority.</w:t>
      </w:r>
    </w:p>
    <w:p w:rsidR="00FA15EB" w:rsidRDefault="00A862F4" w:rsidP="00B62A33">
      <w:pPr>
        <w:numPr>
          <w:ilvl w:val="0"/>
          <w:numId w:val="1"/>
        </w:numPr>
        <w:tabs>
          <w:tab w:val="clear" w:pos="360"/>
        </w:tabs>
        <w:ind w:left="720" w:hanging="720"/>
      </w:pPr>
      <w:r w:rsidRPr="00C17D0E">
        <w:t>Section 774.12(c) requires permittees to update the information initially required to be provided in an application for a permit under 30 CFR 778.11 within 60 days of a change in that information, including the date of any departure</w:t>
      </w:r>
      <w:r>
        <w:t>.</w:t>
      </w:r>
      <w:r w:rsidR="00452743">
        <w:t xml:space="preserve">  This information is reviewed and approved by the State regulatory authority.</w:t>
      </w:r>
    </w:p>
    <w:p w:rsidR="00A862F4" w:rsidRPr="00D8176B" w:rsidRDefault="00A862F4" w:rsidP="002B79F3">
      <w:pPr>
        <w:numPr>
          <w:ilvl w:val="0"/>
          <w:numId w:val="1"/>
        </w:numPr>
        <w:tabs>
          <w:tab w:val="clear" w:pos="360"/>
          <w:tab w:val="num" w:pos="720"/>
        </w:tabs>
        <w:ind w:left="720" w:hanging="720"/>
      </w:pPr>
      <w:r w:rsidRPr="00C17D0E">
        <w:t xml:space="preserve">Section 774.13(b)(2) requires a permittee applying for, at minimum, a significant permit revision to comply with the information and procedural requirements under </w:t>
      </w:r>
      <w:r w:rsidR="00AE5B26">
        <w:t>§§</w:t>
      </w:r>
      <w:r w:rsidRPr="00C17D0E">
        <w:t xml:space="preserve">773.6, 773.19(b)(1) and (3), </w:t>
      </w:r>
      <w:r w:rsidRPr="00D8176B">
        <w:t>and 77</w:t>
      </w:r>
      <w:r w:rsidR="00597A5F" w:rsidRPr="00D8176B">
        <w:t>8</w:t>
      </w:r>
      <w:r w:rsidRPr="00D8176B">
        <w:t>.21.</w:t>
      </w:r>
    </w:p>
    <w:p w:rsidR="00A862F4" w:rsidRPr="00C17D0E" w:rsidRDefault="00A862F4" w:rsidP="002B79F3">
      <w:pPr>
        <w:numPr>
          <w:ilvl w:val="0"/>
          <w:numId w:val="1"/>
        </w:numPr>
        <w:tabs>
          <w:tab w:val="clear" w:pos="360"/>
        </w:tabs>
        <w:ind w:left="720" w:hanging="720"/>
      </w:pPr>
      <w:r w:rsidRPr="00C17D0E">
        <w:t xml:space="preserve">Section 774.13(c) requires a regulatory authority to disapprove an application for a permit revision if an applicant does not meet the criteria for approval. </w:t>
      </w:r>
    </w:p>
    <w:p w:rsidR="00A862F4" w:rsidRPr="00C17D0E" w:rsidRDefault="00A862F4" w:rsidP="002B79F3">
      <w:pPr>
        <w:numPr>
          <w:ilvl w:val="0"/>
          <w:numId w:val="1"/>
        </w:numPr>
        <w:tabs>
          <w:tab w:val="clear" w:pos="360"/>
        </w:tabs>
        <w:ind w:left="720" w:hanging="720"/>
      </w:pPr>
      <w:r w:rsidRPr="00C17D0E">
        <w:t xml:space="preserve">Section 774.15(b)(1) through (b)(4) requires a permittee applying for a permit renewal to comply with the specific information and procedural requirements for an application for a permit renewal. </w:t>
      </w:r>
    </w:p>
    <w:p w:rsidR="00A862F4" w:rsidRPr="00C17D0E" w:rsidRDefault="00A862F4" w:rsidP="002B79F3">
      <w:pPr>
        <w:numPr>
          <w:ilvl w:val="0"/>
          <w:numId w:val="1"/>
        </w:numPr>
        <w:tabs>
          <w:tab w:val="clear" w:pos="360"/>
        </w:tabs>
        <w:ind w:left="720" w:hanging="720"/>
      </w:pPr>
      <w:r w:rsidRPr="00C17D0E">
        <w:t xml:space="preserve">Section 774.15(c) requires regulatory authorities to review applications for permit renewals and determine the eligibility of an applicant. </w:t>
      </w:r>
    </w:p>
    <w:p w:rsidR="00A862F4" w:rsidRPr="00C17D0E" w:rsidRDefault="00A862F4" w:rsidP="002B79F3">
      <w:pPr>
        <w:numPr>
          <w:ilvl w:val="0"/>
          <w:numId w:val="1"/>
        </w:numPr>
        <w:tabs>
          <w:tab w:val="clear" w:pos="360"/>
        </w:tabs>
        <w:ind w:left="720" w:hanging="720"/>
      </w:pPr>
      <w:r w:rsidRPr="00C17D0E">
        <w:t>Section 774.15(e) requires regulatory authorities to notify OSM, if OSM is not the regulatory authority, and the applicant, each person who filed comments or objections on the renewal, and to each party to any informal confer</w:t>
      </w:r>
      <w:r w:rsidR="00FA15EB">
        <w:t>ence held on the permit renewal, of its decision regarding the permit.</w:t>
      </w:r>
    </w:p>
    <w:p w:rsidR="00FA15EB" w:rsidRDefault="00A862F4" w:rsidP="002B79F3">
      <w:pPr>
        <w:numPr>
          <w:ilvl w:val="0"/>
          <w:numId w:val="1"/>
        </w:numPr>
        <w:tabs>
          <w:tab w:val="clear" w:pos="360"/>
        </w:tabs>
        <w:ind w:left="720" w:hanging="720"/>
      </w:pPr>
      <w:r w:rsidRPr="00C17D0E">
        <w:lastRenderedPageBreak/>
        <w:t>Section 774.17(b)(1) requires an applicant for a transfer, assignment, or sale of permit rights to submit an application for a transfer, assignment, or sale of permit rights</w:t>
      </w:r>
      <w:r w:rsidR="00FA15EB">
        <w:t>.</w:t>
      </w:r>
    </w:p>
    <w:p w:rsidR="00A862F4" w:rsidRPr="00C17D0E" w:rsidRDefault="00A862F4" w:rsidP="002B79F3">
      <w:pPr>
        <w:numPr>
          <w:ilvl w:val="0"/>
          <w:numId w:val="1"/>
        </w:numPr>
        <w:tabs>
          <w:tab w:val="clear" w:pos="360"/>
        </w:tabs>
        <w:ind w:left="720" w:hanging="720"/>
      </w:pPr>
      <w:r w:rsidRPr="00C17D0E">
        <w:t>Section 774.17(b)(2) requires an applicant for a transfer, assignment, or sale of permit rights to advertise a filed application in a newspaper of general circulation in the locality of the permitted operation.</w:t>
      </w:r>
    </w:p>
    <w:p w:rsidR="00FA15EB" w:rsidRDefault="00A862F4" w:rsidP="002B79F3">
      <w:pPr>
        <w:numPr>
          <w:ilvl w:val="0"/>
          <w:numId w:val="1"/>
        </w:numPr>
        <w:tabs>
          <w:tab w:val="clear" w:pos="360"/>
        </w:tabs>
        <w:ind w:left="720" w:hanging="720"/>
      </w:pPr>
      <w:r w:rsidRPr="00C17D0E">
        <w:t xml:space="preserve">Section 774.17(d)(1) provides that a regulatory authority may allow a permittee to transfer, assign, or sell permit rights to a successor, if the regulatory authority makes a written finding with respect to an applicant’s eligibility for a permit under </w:t>
      </w:r>
      <w:r w:rsidR="00AE5B26">
        <w:t>§§</w:t>
      </w:r>
      <w:r w:rsidRPr="00C17D0E">
        <w:t>773.12 and 773.1</w:t>
      </w:r>
      <w:r w:rsidR="00597A5F" w:rsidRPr="00926A37">
        <w:t>4</w:t>
      </w:r>
      <w:r w:rsidRPr="00926A37">
        <w:t>.</w:t>
      </w:r>
      <w:r>
        <w:t xml:space="preserve">  </w:t>
      </w:r>
    </w:p>
    <w:p w:rsidR="00A862F4" w:rsidRPr="00C17D0E" w:rsidRDefault="00A862F4" w:rsidP="002B79F3">
      <w:pPr>
        <w:numPr>
          <w:ilvl w:val="0"/>
          <w:numId w:val="1"/>
        </w:numPr>
        <w:tabs>
          <w:tab w:val="clear" w:pos="360"/>
        </w:tabs>
        <w:ind w:left="720" w:hanging="720"/>
      </w:pPr>
      <w:r w:rsidRPr="00C17D0E">
        <w:t>Section 774.17(e)(1) requires a regulatory authority to notify OSM, if OSM is not the regulatory authority, the permittee, the successor, and commenters of its permitting decision and findings on the proposed transfer, assignment, or sale of permit rights.</w:t>
      </w:r>
    </w:p>
    <w:p w:rsidR="00A862F4" w:rsidRPr="00C17D0E" w:rsidRDefault="00A862F4" w:rsidP="002B79F3">
      <w:pPr>
        <w:numPr>
          <w:ilvl w:val="0"/>
          <w:numId w:val="1"/>
        </w:numPr>
        <w:tabs>
          <w:tab w:val="clear" w:pos="360"/>
        </w:tabs>
        <w:ind w:left="720" w:hanging="720"/>
      </w:pPr>
      <w:r w:rsidRPr="00C17D0E">
        <w:t xml:space="preserve">Section 774.17(e)(2) requires a successor to provide immediate notice to the regulatory authority with jurisdiction of the consummation of a transfer, assignment, or sale of permit rights.  </w:t>
      </w:r>
    </w:p>
    <w:p w:rsidR="00A862F4" w:rsidRPr="00DF2CE2" w:rsidRDefault="00A862F4" w:rsidP="00B5273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6225B8" w:rsidRPr="006225B8" w:rsidRDefault="006225B8" w:rsidP="006225B8">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sidRPr="006225B8">
        <w:rPr>
          <w:i/>
        </w:rPr>
        <w:t>3.</w:t>
      </w:r>
      <w:r w:rsidRPr="006225B8">
        <w:rPr>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A862F4" w:rsidRDefault="00A862F4" w:rsidP="00A862F4">
      <w:pPr>
        <w:ind w:left="720"/>
      </w:pPr>
    </w:p>
    <w:p w:rsidR="00A862F4" w:rsidRPr="00C17D0E" w:rsidRDefault="00A862F4" w:rsidP="00A862F4">
      <w:pPr>
        <w:ind w:left="720"/>
      </w:pPr>
      <w:r w:rsidRPr="00C17D0E">
        <w:t>Applicants are required to provide specific information in applications for permit revisions; permit renewals; and transfer, assignment, or sale of permit rights</w:t>
      </w:r>
      <w:r w:rsidR="004A0917">
        <w:t xml:space="preserve">, </w:t>
      </w:r>
      <w:r w:rsidRPr="00C17D0E">
        <w:t xml:space="preserve">and update specific information after a permit is issued.   </w:t>
      </w:r>
      <w:r w:rsidR="004A0917">
        <w:t>This information is maintain</w:t>
      </w:r>
      <w:r w:rsidR="00895370">
        <w:t>ed</w:t>
      </w:r>
      <w:r w:rsidR="004A0917">
        <w:t xml:space="preserve"> in the </w:t>
      </w:r>
      <w:r w:rsidRPr="00C17D0E">
        <w:t>Applicant/Violator System (AVS)</w:t>
      </w:r>
      <w:r w:rsidR="00895370">
        <w:t>.</w:t>
      </w:r>
      <w:r w:rsidRPr="00C17D0E">
        <w:t xml:space="preserve">  The legal authority under the Act for information collection in 30 CFR </w:t>
      </w:r>
      <w:r w:rsidR="006225B8">
        <w:t>P</w:t>
      </w:r>
      <w:r w:rsidRPr="00C17D0E">
        <w:t xml:space="preserve">art 774 is found at </w:t>
      </w:r>
      <w:r w:rsidR="006225B8">
        <w:t>§§</w:t>
      </w:r>
      <w:r w:rsidRPr="00C17D0E">
        <w:t xml:space="preserve">506, 507, 509, 510, and 511.  </w:t>
      </w:r>
    </w:p>
    <w:p w:rsidR="00A862F4" w:rsidRPr="00C17D0E" w:rsidRDefault="00A862F4" w:rsidP="00A862F4"/>
    <w:p w:rsidR="00A862F4" w:rsidRPr="00C17D0E" w:rsidRDefault="00A862F4" w:rsidP="00A862F4">
      <w:pPr>
        <w:ind w:left="720"/>
      </w:pPr>
      <w:r w:rsidRPr="00C17D0E">
        <w:t xml:space="preserve">The majority of the information used in 30 CFR </w:t>
      </w:r>
      <w:r w:rsidR="006225B8">
        <w:t>P</w:t>
      </w:r>
      <w:r w:rsidRPr="00C17D0E">
        <w:t>art 774 is required for initial disclosure under 30 CFR</w:t>
      </w:r>
      <w:r w:rsidR="006225B8">
        <w:t xml:space="preserve"> P</w:t>
      </w:r>
      <w:r w:rsidRPr="00C17D0E">
        <w:t xml:space="preserve">art 778.  Most of the information collected </w:t>
      </w:r>
      <w:r>
        <w:t>for</w:t>
      </w:r>
      <w:r w:rsidRPr="00C17D0E">
        <w:t xml:space="preserve"> 30 CFR </w:t>
      </w:r>
      <w:r w:rsidR="00926A37">
        <w:t>P</w:t>
      </w:r>
      <w:r w:rsidRPr="00C17D0E">
        <w:t xml:space="preserve">art 774 is conducive to electronic media and transmission.  Since 1987, OSM and 24 approved State regulatory programs have used AVS, among other things, to assist in determining the eligibility of permittee-applicants for permit revisions, permit renewals, and transfer, assignment or sale of permit rights.  AVS contains permitting history as well as entity and compliance information.  OSM continues to maintain operation of the AVS and coordinates with and assists States in maintaining accurate and complete data.  The industry and general public may also obtain access to AVS to view applicant, permittee, permit history, and violation information.  </w:t>
      </w:r>
    </w:p>
    <w:p w:rsidR="00A862F4" w:rsidRPr="00C17D0E" w:rsidRDefault="00A862F4" w:rsidP="00A862F4">
      <w:pPr>
        <w:pStyle w:val="BodyTextIndent"/>
      </w:pPr>
    </w:p>
    <w:p w:rsidR="00A862F4" w:rsidRPr="00C17D0E" w:rsidRDefault="00A862F4" w:rsidP="00A862F4">
      <w:pPr>
        <w:pStyle w:val="BodyTextIndent"/>
        <w:ind w:left="720"/>
      </w:pPr>
      <w:r>
        <w:t>Many</w:t>
      </w:r>
      <w:r w:rsidRPr="00C17D0E">
        <w:t xml:space="preserve"> State regulatory authorities have the capability of receiving permit applications electronically, either through an ftp site or via CD-ROM.  Some permit applicants use computer technology to create, store, and submit information electronically, but the percentage varies based on the size of the company and their technical abilities.  Larger coal companies have in-house staff or hire engineering firms to prepare their applications.  These companies use automated technology to prepare and submit the </w:t>
      </w:r>
      <w:r w:rsidRPr="00C17D0E">
        <w:lastRenderedPageBreak/>
        <w:t xml:space="preserve">applications to State regulatory authorities.  Small coal companies, which may not have the technical capability or personnel capable of preparing and submitting applications, may still submit paper forms.  Once the State regulatory authorities receive paper applications, some will convert the applications to an electronic format for review and processing.  The states with the greatest number of permit applications, such as Kentucky and Virginia, receive approximately 90% electronically, while some receive 0%.  Nationally, OSM estimates that the State regulatory authorities receive approximately </w:t>
      </w:r>
      <w:r w:rsidR="006225B8">
        <w:t>6</w:t>
      </w:r>
      <w:r>
        <w:t>0</w:t>
      </w:r>
      <w:r w:rsidRPr="00C17D0E">
        <w:t>% of permit applications electronically.</w:t>
      </w:r>
    </w:p>
    <w:p w:rsidR="00A862F4" w:rsidRPr="00C17D0E" w:rsidRDefault="00A862F4" w:rsidP="00A862F4">
      <w:pPr>
        <w:pStyle w:val="BodyTextIndent"/>
        <w:ind w:hanging="720"/>
      </w:pPr>
    </w:p>
    <w:p w:rsidR="00A862F4" w:rsidRPr="00C17D0E" w:rsidRDefault="00A862F4" w:rsidP="00A862F4">
      <w:pPr>
        <w:pStyle w:val="BodyTextIndent"/>
        <w:ind w:left="720" w:hanging="720"/>
      </w:pPr>
      <w:r w:rsidRPr="00C17D0E">
        <w:tab/>
        <w:t>It must be noted that the vast majority of permit applications are received by States where OSM does not have the authority to require electronic submissions of permit applications</w:t>
      </w:r>
      <w:r w:rsidR="009A4330">
        <w:t>.</w:t>
      </w:r>
      <w:r w:rsidRPr="00C17D0E">
        <w:t xml:space="preserve">  OSM can only recommend using electronic methods to improve efficiency</w:t>
      </w:r>
      <w:r>
        <w:t xml:space="preserve"> and reduce costs</w:t>
      </w:r>
      <w:r w:rsidRPr="00C17D0E">
        <w:t>.</w:t>
      </w:r>
    </w:p>
    <w:p w:rsidR="00A862F4" w:rsidRPr="00C17D0E" w:rsidRDefault="00A862F4" w:rsidP="00A862F4">
      <w:pPr>
        <w:ind w:left="360"/>
      </w:pPr>
    </w:p>
    <w:p w:rsidR="006225B8" w:rsidRPr="006225B8" w:rsidRDefault="006225B8" w:rsidP="006225B8">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sidRPr="006225B8">
        <w:rPr>
          <w:i/>
        </w:rPr>
        <w:t>4.</w:t>
      </w:r>
      <w:r w:rsidRPr="006225B8">
        <w:rPr>
          <w:i/>
        </w:rPr>
        <w:tab/>
        <w:t>Describe efforts to identify duplication.  Show specifically why any similar information already available cannot be used or modified for use for the purposes described in Item 2 above.</w:t>
      </w:r>
    </w:p>
    <w:p w:rsidR="00B5273E" w:rsidRDefault="00B5273E" w:rsidP="00B5273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A862F4" w:rsidRPr="00C17D0E" w:rsidRDefault="00A862F4" w:rsidP="00A862F4">
      <w:pPr>
        <w:ind w:left="720"/>
      </w:pPr>
      <w:r w:rsidRPr="00C17D0E">
        <w:t xml:space="preserve">The required information under 30 CFR </w:t>
      </w:r>
      <w:r w:rsidR="006225B8">
        <w:t>P</w:t>
      </w:r>
      <w:r w:rsidRPr="00C17D0E">
        <w:t>art 774 is unique to each surface coal mining applicant for permit revision; permit renewal, and transfer, assignment, or sale of permit rights.  No other source of the information is available.  Industry respondents are companies in the coal mining business who have been issued permits and must then comply with the information disclosure requirements following permit issuance, or with application requirements concerning permit revisions; permit renewals; and transfers, assignments, or sales of permit rights.  State respondents are the OSM-approved State programs that implement permitting and enforcement for surface coal mining operations.</w:t>
      </w:r>
    </w:p>
    <w:p w:rsidR="00A862F4" w:rsidRPr="00C17D0E" w:rsidRDefault="00A862F4" w:rsidP="00A862F4">
      <w:pPr>
        <w:ind w:left="720"/>
      </w:pPr>
    </w:p>
    <w:p w:rsidR="006225B8" w:rsidRPr="006225B8" w:rsidRDefault="006225B8" w:rsidP="006225B8">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sidRPr="006225B8">
        <w:rPr>
          <w:i/>
        </w:rPr>
        <w:t>5.</w:t>
      </w:r>
      <w:r w:rsidRPr="006225B8">
        <w:rPr>
          <w:i/>
        </w:rPr>
        <w:tab/>
        <w:t>If the collection of information impacts small businesses or other small entities, describe any methods used to minimize burden.</w:t>
      </w:r>
    </w:p>
    <w:p w:rsidR="00A862F4" w:rsidRDefault="00A862F4" w:rsidP="00B5273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r>
    </w:p>
    <w:p w:rsidR="00B5273E" w:rsidRDefault="00A862F4" w:rsidP="00A862F4">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r>
      <w:r w:rsidRPr="00C17D0E">
        <w:t xml:space="preserve">There are no special provisions for small businesses or other small entities under these regulations.  OSM </w:t>
      </w:r>
      <w:r>
        <w:t>believes that app</w:t>
      </w:r>
      <w:r w:rsidRPr="00C17D0E">
        <w:t xml:space="preserve">roximately </w:t>
      </w:r>
      <w:r w:rsidR="00F24E5A">
        <w:t>98</w:t>
      </w:r>
      <w:r>
        <w:t>% of</w:t>
      </w:r>
      <w:r w:rsidRPr="00C17D0E">
        <w:t xml:space="preserve"> coal mining operations</w:t>
      </w:r>
      <w:r>
        <w:t xml:space="preserve"> qualify as </w:t>
      </w:r>
      <w:r w:rsidRPr="00C17D0E">
        <w:t>small business</w:t>
      </w:r>
      <w:r>
        <w:t>es</w:t>
      </w:r>
      <w:r w:rsidRPr="00C17D0E">
        <w:t xml:space="preserve"> under Small Business Administration regulations.  OSM does have a small operator assistance program, regulated under 30 CFR </w:t>
      </w:r>
      <w:r w:rsidR="006225B8">
        <w:t xml:space="preserve">Part </w:t>
      </w:r>
      <w:r w:rsidRPr="00C17D0E">
        <w:t>795, which has a separately approved information collection clearance number</w:t>
      </w:r>
      <w:r>
        <w:t xml:space="preserve"> where OSM and the States provide data and funding to assist small businesses.</w:t>
      </w:r>
    </w:p>
    <w:p w:rsidR="00A862F4" w:rsidRPr="00DF2CE2" w:rsidRDefault="00A862F4" w:rsidP="00B5273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6225B8" w:rsidRPr="006225B8" w:rsidRDefault="006225B8" w:rsidP="006225B8">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sidRPr="006225B8">
        <w:rPr>
          <w:i/>
        </w:rPr>
        <w:t>6.</w:t>
      </w:r>
      <w:r w:rsidRPr="006225B8">
        <w:rPr>
          <w:i/>
        </w:rPr>
        <w:tab/>
        <w:t>Describe the consequence to Federal program or policy activities if the collection is not conducted or is conducted less frequently, as well as any technical or legal obstacles to reducing burden.</w:t>
      </w:r>
    </w:p>
    <w:p w:rsidR="00B5273E" w:rsidRDefault="00B5273E" w:rsidP="00B5273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A862F4" w:rsidRPr="00C17D0E" w:rsidRDefault="00A862F4" w:rsidP="00A862F4">
      <w:pPr>
        <w:ind w:left="720"/>
      </w:pPr>
      <w:r w:rsidRPr="00C17D0E">
        <w:t xml:space="preserve">Respondents provide information required </w:t>
      </w:r>
      <w:r>
        <w:t>for</w:t>
      </w:r>
      <w:r w:rsidRPr="00C17D0E">
        <w:t xml:space="preserve"> 30 CFR </w:t>
      </w:r>
      <w:r w:rsidR="006225B8">
        <w:t>P</w:t>
      </w:r>
      <w:r w:rsidRPr="00C17D0E">
        <w:t xml:space="preserve">art 774 only at the time of application for a permit renewal; revision; or transfer, assignment or sale of permit rights.   Less frequent collection of the information would compromise the accuracy </w:t>
      </w:r>
      <w:r w:rsidRPr="00C17D0E">
        <w:lastRenderedPageBreak/>
        <w:t>and completeness of information required for nationwide permitting and enforcement purposes and would not be in compliance with the Act.</w:t>
      </w:r>
    </w:p>
    <w:p w:rsidR="00A862F4" w:rsidRPr="00DF2CE2" w:rsidRDefault="00A862F4" w:rsidP="00B5273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6225B8" w:rsidRPr="006225B8" w:rsidRDefault="006225B8" w:rsidP="006225B8">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sidRPr="006225B8">
        <w:rPr>
          <w:i/>
        </w:rPr>
        <w:t>7.</w:t>
      </w:r>
      <w:r w:rsidRPr="006225B8">
        <w:rPr>
          <w:i/>
        </w:rPr>
        <w:tab/>
        <w:t>Explain any special circumstances that would cause an information collection to be conducted in a manner:</w:t>
      </w:r>
    </w:p>
    <w:p w:rsidR="006225B8" w:rsidRPr="006225B8" w:rsidRDefault="006225B8" w:rsidP="006225B8">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sidRPr="006225B8">
        <w:rPr>
          <w:i/>
        </w:rPr>
        <w:tab/>
        <w:t>*</w:t>
      </w:r>
      <w:r w:rsidRPr="006225B8">
        <w:rPr>
          <w:i/>
        </w:rPr>
        <w:tab/>
        <w:t>requiring respondents to report information to the agency more often than quarterly;</w:t>
      </w:r>
    </w:p>
    <w:p w:rsidR="006225B8" w:rsidRPr="006225B8" w:rsidRDefault="006225B8" w:rsidP="006225B8">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sidRPr="006225B8">
        <w:rPr>
          <w:i/>
        </w:rPr>
        <w:tab/>
        <w:t>*</w:t>
      </w:r>
      <w:r w:rsidRPr="006225B8">
        <w:rPr>
          <w:i/>
        </w:rPr>
        <w:tab/>
        <w:t>requiring respondents to prepare a written response to a collection of information in fewer than 30 days after receipt of it;</w:t>
      </w:r>
    </w:p>
    <w:p w:rsidR="006225B8" w:rsidRPr="006225B8" w:rsidRDefault="006225B8" w:rsidP="006225B8">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sidRPr="006225B8">
        <w:rPr>
          <w:i/>
        </w:rPr>
        <w:tab/>
        <w:t>*</w:t>
      </w:r>
      <w:r w:rsidRPr="006225B8">
        <w:rPr>
          <w:i/>
        </w:rPr>
        <w:tab/>
        <w:t>requiring respondents to submit more than an original and two copies of any document;</w:t>
      </w:r>
    </w:p>
    <w:p w:rsidR="006225B8" w:rsidRPr="006225B8" w:rsidRDefault="006225B8" w:rsidP="006225B8">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sidRPr="006225B8">
        <w:rPr>
          <w:i/>
        </w:rPr>
        <w:tab/>
        <w:t>*</w:t>
      </w:r>
      <w:r w:rsidRPr="006225B8">
        <w:rPr>
          <w:i/>
        </w:rPr>
        <w:tab/>
        <w:t>requiring respondents to retain records, other than health, medical, government contract, grant-in-aid, or tax records, for more than three years;</w:t>
      </w:r>
    </w:p>
    <w:p w:rsidR="006225B8" w:rsidRPr="006225B8" w:rsidRDefault="006225B8" w:rsidP="006225B8">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sidRPr="006225B8">
        <w:rPr>
          <w:i/>
        </w:rPr>
        <w:tab/>
        <w:t>*</w:t>
      </w:r>
      <w:r w:rsidRPr="006225B8">
        <w:rPr>
          <w:i/>
        </w:rPr>
        <w:tab/>
        <w:t>in connection with a statistical survey that is not designed to produce valid and reliable results that can be generalized to the universe of study;</w:t>
      </w:r>
    </w:p>
    <w:p w:rsidR="006225B8" w:rsidRPr="006225B8" w:rsidRDefault="006225B8" w:rsidP="006225B8">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sidRPr="006225B8">
        <w:rPr>
          <w:i/>
        </w:rPr>
        <w:tab/>
        <w:t>*</w:t>
      </w:r>
      <w:r w:rsidRPr="006225B8">
        <w:rPr>
          <w:i/>
        </w:rPr>
        <w:tab/>
        <w:t>requiring the use of a statistical data classification that has not been reviewed and approved by OMB;</w:t>
      </w:r>
    </w:p>
    <w:p w:rsidR="006225B8" w:rsidRPr="006225B8" w:rsidRDefault="006225B8" w:rsidP="006225B8">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sidRPr="006225B8">
        <w:rPr>
          <w:i/>
        </w:rPr>
        <w:tab/>
        <w:t>*</w:t>
      </w:r>
      <w:r w:rsidRPr="006225B8">
        <w:rPr>
          <w:i/>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6225B8" w:rsidRPr="006225B8" w:rsidRDefault="006225B8" w:rsidP="006225B8">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sidRPr="006225B8">
        <w:rPr>
          <w:i/>
        </w:rPr>
        <w:tab/>
        <w:t>*</w:t>
      </w:r>
      <w:r w:rsidRPr="006225B8">
        <w:rPr>
          <w:i/>
        </w:rPr>
        <w:tab/>
        <w:t>requiring respondents to submit proprietary trade secrets, or other confidential information, unless the agency can demonstrate that it has instituted procedures to protect the information's confidentiality to the extent permitted by law.</w:t>
      </w:r>
    </w:p>
    <w:p w:rsidR="00B5273E" w:rsidRDefault="00B5273E" w:rsidP="00B5273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A862F4" w:rsidRDefault="00A862F4" w:rsidP="00A862F4">
      <w:pPr>
        <w:ind w:left="720"/>
      </w:pPr>
      <w:r w:rsidRPr="00C17D0E">
        <w:t xml:space="preserve">The information collection </w:t>
      </w:r>
      <w:r>
        <w:t>for</w:t>
      </w:r>
      <w:r w:rsidRPr="00C17D0E">
        <w:t xml:space="preserve"> 30 CFR </w:t>
      </w:r>
      <w:r w:rsidR="006225B8">
        <w:t>P</w:t>
      </w:r>
      <w:r w:rsidRPr="00C17D0E">
        <w:t xml:space="preserve">art 774 is consistent with 5 CFR 1320(d)(2).  Information is collected at the time a permittee applicant applies for a permit revision; permit renewal; or a transfer, assignment, or sale of permit rights and at the time a permittee is cited with a cessation order, or incurs a change in the information required for disclosure when initially applying for a permit.  OSM is currently </w:t>
      </w:r>
      <w:r>
        <w:t xml:space="preserve">working with State regulatory authorities to accept electronic permit applications, thereby reducing or eliminating paper copies submitted by applicants.  Where OSM is the regulatory authority we require no more than one original and two copies of each </w:t>
      </w:r>
      <w:r w:rsidR="00FA15EB">
        <w:t>application</w:t>
      </w:r>
      <w:r w:rsidRPr="00C17D0E">
        <w:t>.</w:t>
      </w:r>
    </w:p>
    <w:p w:rsidR="00A862F4" w:rsidRPr="00A862F4" w:rsidRDefault="00A862F4" w:rsidP="00B5273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6225B8" w:rsidRPr="006225B8" w:rsidRDefault="006225B8" w:rsidP="006225B8">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sidRPr="006225B8">
        <w:rPr>
          <w:i/>
        </w:rPr>
        <w:t>8.</w:t>
      </w:r>
      <w:r w:rsidRPr="006225B8">
        <w:rPr>
          <w:i/>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6225B8" w:rsidRPr="006225B8" w:rsidRDefault="006225B8" w:rsidP="006225B8">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p>
    <w:p w:rsidR="006225B8" w:rsidRPr="006225B8" w:rsidRDefault="006225B8" w:rsidP="006225B8">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sidRPr="006225B8">
        <w:rPr>
          <w:i/>
        </w:rPr>
        <w:tab/>
        <w:t xml:space="preserve">Describe efforts to consult with persons outside the agency to obtain their views on the availability of data, frequency of collection, the clarity of instructions and recordkeeping, disclosure, or reporting format (if any), and on the data elements to </w:t>
      </w:r>
      <w:r w:rsidRPr="006225B8">
        <w:rPr>
          <w:i/>
        </w:rPr>
        <w:lastRenderedPageBreak/>
        <w:t>be recorded, disclosed, or reported.</w:t>
      </w:r>
    </w:p>
    <w:p w:rsidR="006225B8" w:rsidRPr="006225B8" w:rsidRDefault="006225B8" w:rsidP="006225B8">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p>
    <w:p w:rsidR="006225B8" w:rsidRPr="006225B8" w:rsidRDefault="006225B8" w:rsidP="006225B8">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sidRPr="006225B8">
        <w:rPr>
          <w:i/>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A862F4" w:rsidRDefault="00A862F4" w:rsidP="00A862F4"/>
    <w:p w:rsidR="00A862F4" w:rsidRPr="00C17D0E" w:rsidRDefault="00A862F4" w:rsidP="00A862F4">
      <w:pPr>
        <w:ind w:left="720"/>
      </w:pPr>
      <w:r>
        <w:t xml:space="preserve">In </w:t>
      </w:r>
      <w:r w:rsidR="00D0756F">
        <w:t>June</w:t>
      </w:r>
      <w:r>
        <w:t xml:space="preserve"> 201</w:t>
      </w:r>
      <w:r w:rsidR="00D0756F">
        <w:t>3</w:t>
      </w:r>
      <w:r>
        <w:t xml:space="preserve">, OSM contacted the following </w:t>
      </w:r>
      <w:r w:rsidRPr="00C17D0E">
        <w:t>Federal</w:t>
      </w:r>
      <w:r w:rsidR="005D48EC">
        <w:t>, State</w:t>
      </w:r>
      <w:r w:rsidRPr="00C17D0E">
        <w:t xml:space="preserve"> and industry officials </w:t>
      </w:r>
      <w:r>
        <w:t>concerning the burden imposed by this collection of information.</w:t>
      </w:r>
      <w:r w:rsidRPr="00C17D0E">
        <w:t xml:space="preserve">  </w:t>
      </w:r>
    </w:p>
    <w:p w:rsidR="00A862F4" w:rsidRPr="00C17D0E" w:rsidRDefault="00A862F4" w:rsidP="00A862F4">
      <w:pPr>
        <w:pStyle w:val="BodyTextIndent"/>
      </w:pPr>
    </w:p>
    <w:p w:rsidR="00A862F4" w:rsidRPr="00C17D0E" w:rsidRDefault="00A862F4" w:rsidP="00A862F4">
      <w:pPr>
        <w:ind w:left="720" w:hanging="720"/>
      </w:pPr>
      <w:r>
        <w:tab/>
      </w:r>
      <w:r w:rsidRPr="00C17D0E">
        <w:t>Federal Regulatory Authority Officials Contacted:</w:t>
      </w:r>
    </w:p>
    <w:p w:rsidR="00A862F4" w:rsidRDefault="00A862F4" w:rsidP="00A862F4">
      <w:pPr>
        <w:ind w:left="720"/>
      </w:pPr>
    </w:p>
    <w:p w:rsidR="00A862F4" w:rsidRDefault="00971FCE" w:rsidP="00A862F4">
      <w:pPr>
        <w:ind w:left="720"/>
      </w:pPr>
      <w:r>
        <w:t>Stephanie Varvell</w:t>
      </w:r>
      <w:r w:rsidR="00676CB0">
        <w:t xml:space="preserve">  </w:t>
      </w:r>
    </w:p>
    <w:p w:rsidR="00971FCE" w:rsidRPr="00971FCE" w:rsidRDefault="00971FCE" w:rsidP="00971FCE">
      <w:pPr>
        <w:ind w:left="720"/>
      </w:pPr>
      <w:r w:rsidRPr="00971FCE">
        <w:t>Sr. Program Analyst</w:t>
      </w:r>
    </w:p>
    <w:p w:rsidR="00971FCE" w:rsidRPr="00971FCE" w:rsidRDefault="00971FCE" w:rsidP="00971FCE">
      <w:pPr>
        <w:ind w:left="720"/>
      </w:pPr>
      <w:r w:rsidRPr="00971FCE">
        <w:t>Applicant/Violator System Office</w:t>
      </w:r>
    </w:p>
    <w:p w:rsidR="00971FCE" w:rsidRPr="00971FCE" w:rsidRDefault="00971FCE" w:rsidP="00971FCE">
      <w:pPr>
        <w:ind w:left="720"/>
      </w:pPr>
      <w:r w:rsidRPr="00971FCE">
        <w:t xml:space="preserve">Office of Surface Mining </w:t>
      </w:r>
    </w:p>
    <w:p w:rsidR="00971FCE" w:rsidRPr="00971FCE" w:rsidRDefault="00971FCE" w:rsidP="00971FCE">
      <w:pPr>
        <w:ind w:left="720"/>
      </w:pPr>
      <w:r w:rsidRPr="00971FCE">
        <w:t>859-260-3925</w:t>
      </w:r>
    </w:p>
    <w:p w:rsidR="00A862F4" w:rsidRDefault="00A862F4" w:rsidP="00A862F4">
      <w:pPr>
        <w:ind w:left="720"/>
      </w:pPr>
      <w:r>
        <w:t>Lexington KY  40503</w:t>
      </w:r>
    </w:p>
    <w:p w:rsidR="00A862F4" w:rsidRDefault="00A862F4" w:rsidP="00A862F4">
      <w:pPr>
        <w:ind w:left="720"/>
      </w:pPr>
    </w:p>
    <w:p w:rsidR="00971FCE" w:rsidRDefault="00971FCE" w:rsidP="00A862F4">
      <w:pPr>
        <w:ind w:left="720"/>
      </w:pPr>
      <w:r>
        <w:t>Bill</w:t>
      </w:r>
      <w:r w:rsidR="005D48EC">
        <w:t xml:space="preserve"> </w:t>
      </w:r>
      <w:r>
        <w:t>Winters</w:t>
      </w:r>
    </w:p>
    <w:p w:rsidR="00A862F4" w:rsidRDefault="005D48EC" w:rsidP="00A862F4">
      <w:pPr>
        <w:ind w:left="720"/>
      </w:pPr>
      <w:r>
        <w:t xml:space="preserve">Chief, </w:t>
      </w:r>
      <w:r w:rsidR="00971FCE" w:rsidRPr="00971FCE">
        <w:t>Technical Group (Supervisory Program Specialist)</w:t>
      </w:r>
    </w:p>
    <w:p w:rsidR="00971FCE" w:rsidRDefault="00971FCE" w:rsidP="00A862F4">
      <w:pPr>
        <w:ind w:left="720"/>
      </w:pPr>
      <w:r>
        <w:t>Office of Surface Mining</w:t>
      </w:r>
    </w:p>
    <w:p w:rsidR="00971FCE" w:rsidRDefault="00971FCE" w:rsidP="00A862F4">
      <w:pPr>
        <w:ind w:left="720"/>
      </w:pPr>
      <w:r w:rsidRPr="00971FCE">
        <w:t>(865) 545-4103 x-170</w:t>
      </w:r>
    </w:p>
    <w:p w:rsidR="00971FCE" w:rsidRDefault="00971FCE" w:rsidP="00A862F4">
      <w:pPr>
        <w:ind w:left="720"/>
      </w:pPr>
      <w:r>
        <w:t xml:space="preserve">Knoxville, TN </w:t>
      </w:r>
      <w:r w:rsidR="005D48EC">
        <w:t>37902</w:t>
      </w:r>
    </w:p>
    <w:p w:rsidR="00A862F4" w:rsidRPr="003F22EC" w:rsidRDefault="00A862F4" w:rsidP="00A862F4">
      <w:pPr>
        <w:ind w:left="720"/>
      </w:pPr>
    </w:p>
    <w:p w:rsidR="005D48EC" w:rsidRPr="005D48EC" w:rsidRDefault="005D48EC" w:rsidP="005D48EC">
      <w:pPr>
        <w:ind w:left="720"/>
      </w:pPr>
      <w:r w:rsidRPr="005D48EC">
        <w:t>State Regulatory Program Officials Contacted:</w:t>
      </w:r>
    </w:p>
    <w:p w:rsidR="005D48EC" w:rsidRDefault="005D48EC" w:rsidP="00A862F4">
      <w:pPr>
        <w:ind w:left="720"/>
      </w:pPr>
    </w:p>
    <w:p w:rsidR="005D48EC" w:rsidRDefault="005D48EC" w:rsidP="00A862F4">
      <w:pPr>
        <w:ind w:left="720"/>
      </w:pPr>
      <w:r>
        <w:t>Dave Phillips</w:t>
      </w:r>
    </w:p>
    <w:p w:rsidR="005D48EC" w:rsidRDefault="005D48EC" w:rsidP="00A862F4">
      <w:pPr>
        <w:ind w:left="720"/>
      </w:pPr>
      <w:r>
        <w:t>Assistant Director, Technical Services Section</w:t>
      </w:r>
    </w:p>
    <w:p w:rsidR="005D48EC" w:rsidRDefault="005D48EC" w:rsidP="00A862F4">
      <w:pPr>
        <w:ind w:left="720"/>
      </w:pPr>
      <w:r>
        <w:t>Indiana DNR, Division of Reclamation</w:t>
      </w:r>
    </w:p>
    <w:p w:rsidR="005D48EC" w:rsidRDefault="005D48EC" w:rsidP="00A862F4">
      <w:pPr>
        <w:ind w:left="720"/>
      </w:pPr>
      <w:r w:rsidRPr="005D48EC">
        <w:t>Jasonville Office</w:t>
      </w:r>
      <w:r w:rsidRPr="005D48EC">
        <w:br/>
        <w:t>14619 West State Road 48</w:t>
      </w:r>
    </w:p>
    <w:p w:rsidR="005D48EC" w:rsidRDefault="005D48EC" w:rsidP="00A862F4">
      <w:pPr>
        <w:ind w:left="720"/>
      </w:pPr>
      <w:r>
        <w:t>812-665-5033</w:t>
      </w:r>
      <w:r w:rsidRPr="005D48EC">
        <w:t xml:space="preserve"> </w:t>
      </w:r>
      <w:r w:rsidRPr="005D48EC">
        <w:br/>
        <w:t>Jasonville, IN 47438</w:t>
      </w:r>
    </w:p>
    <w:p w:rsidR="005D48EC" w:rsidRDefault="005D48EC" w:rsidP="00A862F4">
      <w:pPr>
        <w:ind w:left="720"/>
      </w:pPr>
    </w:p>
    <w:p w:rsidR="005D48EC" w:rsidRDefault="005D48EC" w:rsidP="00A862F4">
      <w:pPr>
        <w:ind w:left="720"/>
      </w:pPr>
      <w:r>
        <w:t>Sue Grant</w:t>
      </w:r>
    </w:p>
    <w:p w:rsidR="005D48EC" w:rsidRPr="005D48EC" w:rsidRDefault="005D48EC" w:rsidP="005D48EC">
      <w:pPr>
        <w:ind w:left="720"/>
      </w:pPr>
      <w:r w:rsidRPr="005D48EC">
        <w:t>Asst. Coal Permitting/Bonding Manager</w:t>
      </w:r>
    </w:p>
    <w:p w:rsidR="005D48EC" w:rsidRDefault="00D0756F" w:rsidP="00A862F4">
      <w:pPr>
        <w:ind w:left="720"/>
      </w:pPr>
      <w:r>
        <w:t>Ohio DNR, Division of Mineral Resources Management</w:t>
      </w:r>
    </w:p>
    <w:p w:rsidR="00D0756F" w:rsidRDefault="00D0756F" w:rsidP="00A862F4">
      <w:pPr>
        <w:ind w:left="720"/>
      </w:pPr>
      <w:r w:rsidRPr="00D0756F">
        <w:t>2045 Morse Road, Bldg H-3</w:t>
      </w:r>
    </w:p>
    <w:p w:rsidR="00D0756F" w:rsidRDefault="00D0756F" w:rsidP="00A862F4">
      <w:pPr>
        <w:ind w:left="720"/>
      </w:pPr>
      <w:r>
        <w:t>614-265-6773</w:t>
      </w:r>
      <w:r w:rsidRPr="00D0756F">
        <w:br/>
        <w:t>Columbus, OH 43229-6693</w:t>
      </w:r>
    </w:p>
    <w:p w:rsidR="006225B8" w:rsidRDefault="006225B8" w:rsidP="00A862F4">
      <w:pPr>
        <w:ind w:left="720"/>
      </w:pPr>
    </w:p>
    <w:p w:rsidR="00A862F4" w:rsidRPr="003F22EC" w:rsidRDefault="00A862F4" w:rsidP="00A862F4">
      <w:pPr>
        <w:ind w:left="720"/>
      </w:pPr>
      <w:r w:rsidRPr="003F22EC">
        <w:t>Coal Mining Industry Official Contacted:</w:t>
      </w:r>
    </w:p>
    <w:p w:rsidR="00A862F4" w:rsidRPr="003F22EC" w:rsidRDefault="00A862F4" w:rsidP="00A862F4">
      <w:pPr>
        <w:ind w:left="720"/>
      </w:pPr>
    </w:p>
    <w:p w:rsidR="00A862F4" w:rsidRPr="003F22EC" w:rsidRDefault="00A862F4" w:rsidP="00A862F4">
      <w:pPr>
        <w:ind w:left="720"/>
      </w:pPr>
      <w:r w:rsidRPr="003F22EC">
        <w:t>Phil Boggs, Consultant</w:t>
      </w:r>
    </w:p>
    <w:p w:rsidR="00A862F4" w:rsidRPr="003F22EC" w:rsidRDefault="00A862F4" w:rsidP="00A862F4">
      <w:pPr>
        <w:ind w:left="720"/>
      </w:pPr>
      <w:r w:rsidRPr="003F22EC">
        <w:lastRenderedPageBreak/>
        <w:t>Mark V Mining and Engineering, Inc.</w:t>
      </w:r>
    </w:p>
    <w:p w:rsidR="00A862F4" w:rsidRPr="003F22EC" w:rsidRDefault="00A862F4" w:rsidP="00A862F4">
      <w:pPr>
        <w:ind w:left="720"/>
      </w:pPr>
      <w:r w:rsidRPr="003F22EC">
        <w:t>353 North Cullum Street</w:t>
      </w:r>
    </w:p>
    <w:p w:rsidR="00A862F4" w:rsidRPr="003F22EC" w:rsidRDefault="00A862F4" w:rsidP="00A862F4">
      <w:pPr>
        <w:ind w:left="720"/>
      </w:pPr>
      <w:r w:rsidRPr="003F22EC">
        <w:t>Clinton, Tennessee  37716</w:t>
      </w:r>
    </w:p>
    <w:p w:rsidR="00A862F4" w:rsidRPr="003F22EC" w:rsidRDefault="00A862F4" w:rsidP="00A862F4">
      <w:pPr>
        <w:ind w:left="720"/>
      </w:pPr>
      <w:r w:rsidRPr="003F22EC">
        <w:t>865</w:t>
      </w:r>
      <w:r w:rsidR="006225B8">
        <w:t>-</w:t>
      </w:r>
      <w:r w:rsidRPr="003F22EC">
        <w:t>457</w:t>
      </w:r>
      <w:r w:rsidR="006225B8">
        <w:t>-</w:t>
      </w:r>
      <w:r w:rsidRPr="003F22EC">
        <w:t>1664</w:t>
      </w:r>
    </w:p>
    <w:p w:rsidR="00A862F4" w:rsidRPr="003F22EC" w:rsidRDefault="00A862F4" w:rsidP="006225B8">
      <w:pPr>
        <w:tabs>
          <w:tab w:val="left" w:pos="1410"/>
        </w:tabs>
        <w:ind w:left="720" w:hanging="720"/>
      </w:pPr>
      <w:r w:rsidRPr="003F22EC">
        <w:tab/>
      </w:r>
    </w:p>
    <w:p w:rsidR="00A862F4" w:rsidRPr="00F24E5A" w:rsidRDefault="00A862F4" w:rsidP="00A862F4">
      <w:pPr>
        <w:ind w:left="720"/>
      </w:pPr>
      <w:r w:rsidRPr="003F22EC">
        <w:t xml:space="preserve">The above respondents did not identify any concerns regarding the availability of data, frequency of collection, clarity of instructions and record keeping of the information collection </w:t>
      </w:r>
      <w:r w:rsidRPr="00F24E5A">
        <w:t xml:space="preserve">requirements. These individuals did provide the burden estimates identified in item 12 </w:t>
      </w:r>
      <w:r w:rsidR="00597A5F" w:rsidRPr="00F24E5A">
        <w:t xml:space="preserve">and 14 </w:t>
      </w:r>
      <w:r w:rsidRPr="00F24E5A">
        <w:t>for each section.</w:t>
      </w:r>
    </w:p>
    <w:p w:rsidR="00A862F4" w:rsidRPr="003F22EC" w:rsidRDefault="00A862F4" w:rsidP="00A862F4">
      <w:pPr>
        <w:ind w:left="720" w:hanging="720"/>
      </w:pPr>
    </w:p>
    <w:p w:rsidR="00A862F4" w:rsidRDefault="00A862F4" w:rsidP="00A862F4">
      <w:pPr>
        <w:ind w:left="720" w:hanging="720"/>
      </w:pPr>
      <w:r w:rsidRPr="003F22EC">
        <w:tab/>
        <w:t>On</w:t>
      </w:r>
      <w:r w:rsidR="00D0756F">
        <w:t xml:space="preserve"> </w:t>
      </w:r>
      <w:r w:rsidR="00F81998">
        <w:t>July 24, 2013</w:t>
      </w:r>
      <w:r w:rsidRPr="003F22EC">
        <w:t xml:space="preserve">, OSM published in the </w:t>
      </w:r>
      <w:r w:rsidRPr="003F22EC">
        <w:rPr>
          <w:u w:val="single"/>
        </w:rPr>
        <w:t>Federal</w:t>
      </w:r>
      <w:r w:rsidRPr="003F22EC">
        <w:t xml:space="preserve"> </w:t>
      </w:r>
      <w:r w:rsidRPr="003F22EC">
        <w:rPr>
          <w:u w:val="single"/>
        </w:rPr>
        <w:t>Register</w:t>
      </w:r>
      <w:r w:rsidRPr="003F22EC">
        <w:t xml:space="preserve"> (</w:t>
      </w:r>
      <w:r w:rsidR="00F81998">
        <w:t>78 FR 44597</w:t>
      </w:r>
      <w:r w:rsidRPr="003F22EC">
        <w:t>)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However,</w:t>
      </w:r>
      <w:r>
        <w:t xml:space="preserve"> no comments were received.</w:t>
      </w:r>
    </w:p>
    <w:p w:rsidR="00B5273E" w:rsidRPr="00DF2CE2" w:rsidRDefault="00B5273E" w:rsidP="00B5273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6225B8" w:rsidRPr="006225B8" w:rsidRDefault="006225B8" w:rsidP="006225B8">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sidRPr="006225B8">
        <w:rPr>
          <w:i/>
        </w:rPr>
        <w:t>9.</w:t>
      </w:r>
      <w:r w:rsidRPr="006225B8">
        <w:rPr>
          <w:i/>
        </w:rPr>
        <w:tab/>
        <w:t>Explain any decision to provide any payment or gift to respondents, other than remuneration of contractors or grantees.</w:t>
      </w:r>
    </w:p>
    <w:p w:rsidR="00A862F4" w:rsidRDefault="00A862F4" w:rsidP="00A862F4">
      <w:pPr>
        <w:ind w:left="720" w:hanging="720"/>
      </w:pPr>
    </w:p>
    <w:p w:rsidR="00A862F4" w:rsidRPr="00C17D0E" w:rsidRDefault="00A862F4" w:rsidP="00A862F4">
      <w:pPr>
        <w:ind w:left="720"/>
      </w:pPr>
      <w:r w:rsidRPr="00C17D0E">
        <w:t>Not applicable.  OSM does not provide payments or gifts to respondents.</w:t>
      </w:r>
    </w:p>
    <w:p w:rsidR="00B5273E" w:rsidRPr="00DF2CE2" w:rsidRDefault="00B5273E" w:rsidP="00B5273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6225B8" w:rsidRPr="006225B8" w:rsidRDefault="006225B8" w:rsidP="006225B8">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sidRPr="006225B8">
        <w:rPr>
          <w:i/>
        </w:rPr>
        <w:t>10.</w:t>
      </w:r>
      <w:r w:rsidRPr="006225B8">
        <w:rPr>
          <w:i/>
        </w:rPr>
        <w:tab/>
        <w:t>Describe any assurance of confidentiality provided to respondents and the basis for the assurance in statute, regulation, or agency policy.</w:t>
      </w:r>
    </w:p>
    <w:p w:rsidR="00B5273E" w:rsidRDefault="00B5273E" w:rsidP="00B5273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A862F4" w:rsidRPr="00C17D0E" w:rsidRDefault="00A862F4" w:rsidP="00A862F4">
      <w:pPr>
        <w:ind w:left="720"/>
      </w:pPr>
      <w:r w:rsidRPr="00C17D0E">
        <w:t>No confidential information is solicited or required under the information collection requirements for 30 CFR</w:t>
      </w:r>
      <w:r w:rsidR="006225B8">
        <w:t xml:space="preserve"> P</w:t>
      </w:r>
      <w:r w:rsidRPr="00C17D0E">
        <w:t xml:space="preserve">art 774.  If an applicant identifies information </w:t>
      </w:r>
      <w:r>
        <w:t>for</w:t>
      </w:r>
      <w:r w:rsidRPr="00C17D0E">
        <w:t xml:space="preserve"> 30 CFR </w:t>
      </w:r>
      <w:r w:rsidR="006225B8">
        <w:t>P</w:t>
      </w:r>
      <w:r w:rsidRPr="00C17D0E">
        <w:t xml:space="preserve">art 774 it wants to remain confidential, regulatory authorities rely upon the regulatory provisions at 30 CFR 773.6(d) to ensure confidentiality of qualified information.  </w:t>
      </w:r>
    </w:p>
    <w:p w:rsidR="00A862F4" w:rsidRPr="00DF2CE2" w:rsidRDefault="00A862F4" w:rsidP="00B5273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6225B8" w:rsidRPr="006225B8" w:rsidRDefault="006225B8" w:rsidP="006225B8">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sidRPr="006225B8">
        <w:rPr>
          <w:i/>
        </w:rPr>
        <w:t>11.</w:t>
      </w:r>
      <w:r w:rsidRPr="006225B8">
        <w:rPr>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5273E" w:rsidRDefault="00B5273E" w:rsidP="00B5273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3A3CAE" w:rsidRPr="00C17D0E" w:rsidRDefault="003A3CAE" w:rsidP="003A3CAE">
      <w:pPr>
        <w:ind w:left="720"/>
      </w:pPr>
      <w:r w:rsidRPr="00C17D0E">
        <w:t xml:space="preserve">Not applicable.  No sensitive information is solicited or required under the information collection requirements for 30 CFR </w:t>
      </w:r>
      <w:r w:rsidR="006225B8">
        <w:t>P</w:t>
      </w:r>
      <w:r w:rsidRPr="00C17D0E">
        <w:t>art 774.</w:t>
      </w:r>
    </w:p>
    <w:p w:rsidR="00A862F4" w:rsidRPr="00DF2CE2" w:rsidRDefault="00A862F4" w:rsidP="00B5273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6225B8" w:rsidRPr="006225B8" w:rsidRDefault="006225B8" w:rsidP="006225B8">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sidRPr="006225B8">
        <w:rPr>
          <w:i/>
        </w:rPr>
        <w:t>12.</w:t>
      </w:r>
      <w:r w:rsidRPr="006225B8">
        <w:rPr>
          <w:i/>
        </w:rPr>
        <w:tab/>
        <w:t>Provide estimates of the hour burden of the collection of information.  The statement should:</w:t>
      </w:r>
    </w:p>
    <w:p w:rsidR="006225B8" w:rsidRPr="006225B8" w:rsidRDefault="006225B8" w:rsidP="006225B8">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sidRPr="006225B8">
        <w:rPr>
          <w:i/>
        </w:rPr>
        <w:tab/>
        <w:t>*</w:t>
      </w:r>
      <w:r w:rsidRPr="006225B8">
        <w:rPr>
          <w:i/>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w:t>
      </w:r>
      <w:r w:rsidRPr="006225B8">
        <w:rPr>
          <w:i/>
        </w:rPr>
        <w:lastRenderedPageBreak/>
        <w:t>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6225B8" w:rsidRPr="006225B8" w:rsidRDefault="006225B8" w:rsidP="006225B8">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sidRPr="006225B8">
        <w:rPr>
          <w:i/>
        </w:rPr>
        <w:tab/>
        <w:t>*</w:t>
      </w:r>
      <w:r w:rsidRPr="006225B8">
        <w:rPr>
          <w:i/>
        </w:rPr>
        <w:tab/>
        <w:t>If this request for approval covers more than one form, provide separate hour burden estimates for each form and aggregate the hour burdens.</w:t>
      </w:r>
    </w:p>
    <w:p w:rsidR="006225B8" w:rsidRPr="006225B8" w:rsidRDefault="006225B8" w:rsidP="006225B8">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sidRPr="006225B8">
        <w:rPr>
          <w:i/>
        </w:rPr>
        <w:tab/>
        <w:t>*</w:t>
      </w:r>
      <w:r w:rsidRPr="006225B8">
        <w:rPr>
          <w:i/>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B5273E" w:rsidRDefault="00B5273E" w:rsidP="00B5273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3A3CAE" w:rsidRPr="00C17D0E" w:rsidRDefault="003A3CAE" w:rsidP="003A3CAE">
      <w:pPr>
        <w:ind w:left="720" w:hanging="720"/>
      </w:pPr>
      <w:r>
        <w:tab/>
      </w:r>
      <w:r w:rsidRPr="00C17D0E">
        <w:t xml:space="preserve">a.  </w:t>
      </w:r>
      <w:r w:rsidRPr="00C17D0E">
        <w:rPr>
          <w:u w:val="single"/>
        </w:rPr>
        <w:t>Burden Hour Estimates for Respondents</w:t>
      </w:r>
    </w:p>
    <w:p w:rsidR="00A862F4" w:rsidRPr="00C17D0E" w:rsidRDefault="00A862F4" w:rsidP="00A862F4">
      <w:pPr>
        <w:ind w:right="-720"/>
      </w:pPr>
    </w:p>
    <w:tbl>
      <w:tblPr>
        <w:tblW w:w="11160" w:type="dxa"/>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0"/>
        <w:gridCol w:w="1560"/>
        <w:gridCol w:w="1320"/>
        <w:gridCol w:w="1350"/>
        <w:gridCol w:w="1080"/>
        <w:gridCol w:w="990"/>
        <w:gridCol w:w="1440"/>
        <w:gridCol w:w="1380"/>
      </w:tblGrid>
      <w:tr w:rsidR="00A862F4" w:rsidRPr="006C38DF" w:rsidTr="00A862F4">
        <w:tc>
          <w:tcPr>
            <w:tcW w:w="2040" w:type="dxa"/>
            <w:tcBorders>
              <w:top w:val="double" w:sz="4" w:space="0" w:color="auto"/>
              <w:left w:val="double" w:sz="4" w:space="0" w:color="auto"/>
              <w:bottom w:val="double" w:sz="4" w:space="0" w:color="auto"/>
            </w:tcBorders>
            <w:vAlign w:val="center"/>
          </w:tcPr>
          <w:p w:rsidR="00A862F4" w:rsidRPr="006C38DF" w:rsidRDefault="00A862F4" w:rsidP="00A862F4">
            <w:pPr>
              <w:ind w:right="-720"/>
              <w:jc w:val="center"/>
              <w:rPr>
                <w:sz w:val="20"/>
                <w:szCs w:val="20"/>
              </w:rPr>
            </w:pPr>
          </w:p>
          <w:p w:rsidR="00A862F4" w:rsidRPr="006C38DF" w:rsidRDefault="00A862F4" w:rsidP="00A862F4">
            <w:pPr>
              <w:ind w:right="-108"/>
              <w:jc w:val="center"/>
              <w:rPr>
                <w:sz w:val="20"/>
                <w:szCs w:val="20"/>
              </w:rPr>
            </w:pPr>
            <w:r w:rsidRPr="006C38DF">
              <w:rPr>
                <w:sz w:val="20"/>
                <w:szCs w:val="20"/>
              </w:rPr>
              <w:t>SECTION</w:t>
            </w:r>
          </w:p>
        </w:tc>
        <w:tc>
          <w:tcPr>
            <w:tcW w:w="1560" w:type="dxa"/>
            <w:tcBorders>
              <w:top w:val="double" w:sz="4" w:space="0" w:color="auto"/>
              <w:bottom w:val="double" w:sz="4" w:space="0" w:color="auto"/>
            </w:tcBorders>
            <w:vAlign w:val="center"/>
          </w:tcPr>
          <w:p w:rsidR="00A862F4" w:rsidRPr="006C38DF" w:rsidRDefault="00A862F4" w:rsidP="00A862F4">
            <w:pPr>
              <w:ind w:right="-720"/>
              <w:jc w:val="center"/>
              <w:rPr>
                <w:sz w:val="20"/>
                <w:szCs w:val="20"/>
              </w:rPr>
            </w:pPr>
          </w:p>
          <w:p w:rsidR="00A862F4" w:rsidRPr="006C38DF" w:rsidRDefault="00A862F4" w:rsidP="00A862F4">
            <w:pPr>
              <w:ind w:right="-108"/>
              <w:jc w:val="center"/>
              <w:rPr>
                <w:sz w:val="20"/>
                <w:szCs w:val="20"/>
              </w:rPr>
            </w:pPr>
            <w:r w:rsidRPr="006C38DF">
              <w:rPr>
                <w:sz w:val="20"/>
                <w:szCs w:val="20"/>
              </w:rPr>
              <w:t>APPLICANT/</w:t>
            </w:r>
          </w:p>
          <w:p w:rsidR="00A862F4" w:rsidRPr="006C38DF" w:rsidRDefault="00A862F4" w:rsidP="00A862F4">
            <w:pPr>
              <w:ind w:right="-108"/>
              <w:jc w:val="center"/>
              <w:rPr>
                <w:sz w:val="20"/>
                <w:szCs w:val="20"/>
              </w:rPr>
            </w:pPr>
            <w:r w:rsidRPr="006C38DF">
              <w:rPr>
                <w:sz w:val="20"/>
                <w:szCs w:val="20"/>
              </w:rPr>
              <w:t>PERMITTEE RESPONSES</w:t>
            </w:r>
          </w:p>
        </w:tc>
        <w:tc>
          <w:tcPr>
            <w:tcW w:w="1320" w:type="dxa"/>
            <w:tcBorders>
              <w:top w:val="double" w:sz="4" w:space="0" w:color="auto"/>
              <w:bottom w:val="double" w:sz="4" w:space="0" w:color="auto"/>
            </w:tcBorders>
            <w:vAlign w:val="center"/>
          </w:tcPr>
          <w:p w:rsidR="00A862F4" w:rsidRPr="006C38DF" w:rsidRDefault="00A862F4" w:rsidP="00A862F4">
            <w:pPr>
              <w:ind w:right="-720"/>
              <w:jc w:val="center"/>
              <w:rPr>
                <w:sz w:val="20"/>
                <w:szCs w:val="20"/>
              </w:rPr>
            </w:pPr>
          </w:p>
          <w:p w:rsidR="00A862F4" w:rsidRPr="006C38DF" w:rsidRDefault="00A862F4" w:rsidP="00A862F4">
            <w:pPr>
              <w:ind w:right="-108"/>
              <w:jc w:val="center"/>
              <w:rPr>
                <w:sz w:val="20"/>
                <w:szCs w:val="20"/>
              </w:rPr>
            </w:pPr>
            <w:r w:rsidRPr="006C38DF">
              <w:rPr>
                <w:sz w:val="20"/>
                <w:szCs w:val="20"/>
              </w:rPr>
              <w:t>STATE RESPONSES</w:t>
            </w:r>
          </w:p>
        </w:tc>
        <w:tc>
          <w:tcPr>
            <w:tcW w:w="1350" w:type="dxa"/>
            <w:tcBorders>
              <w:top w:val="double" w:sz="4" w:space="0" w:color="auto"/>
              <w:bottom w:val="double" w:sz="4" w:space="0" w:color="auto"/>
            </w:tcBorders>
            <w:vAlign w:val="center"/>
          </w:tcPr>
          <w:p w:rsidR="00A862F4" w:rsidRPr="006C38DF" w:rsidRDefault="00A862F4" w:rsidP="00A862F4">
            <w:pPr>
              <w:ind w:right="-720"/>
              <w:jc w:val="center"/>
              <w:rPr>
                <w:sz w:val="20"/>
                <w:szCs w:val="20"/>
              </w:rPr>
            </w:pPr>
          </w:p>
          <w:p w:rsidR="00A862F4" w:rsidRPr="006C38DF" w:rsidRDefault="00A862F4" w:rsidP="00A862F4">
            <w:pPr>
              <w:ind w:right="-108"/>
              <w:jc w:val="center"/>
              <w:rPr>
                <w:sz w:val="20"/>
                <w:szCs w:val="20"/>
              </w:rPr>
            </w:pPr>
            <w:r w:rsidRPr="006C38DF">
              <w:rPr>
                <w:sz w:val="20"/>
                <w:szCs w:val="20"/>
              </w:rPr>
              <w:t>APPLICANT</w:t>
            </w:r>
          </w:p>
          <w:p w:rsidR="00A862F4" w:rsidRPr="006C38DF" w:rsidRDefault="00A862F4" w:rsidP="00A862F4">
            <w:pPr>
              <w:ind w:right="-108"/>
              <w:jc w:val="center"/>
              <w:rPr>
                <w:sz w:val="20"/>
                <w:szCs w:val="20"/>
              </w:rPr>
            </w:pPr>
            <w:r w:rsidRPr="006C38DF">
              <w:rPr>
                <w:sz w:val="20"/>
                <w:szCs w:val="20"/>
              </w:rPr>
              <w:t>BURDEN</w:t>
            </w:r>
          </w:p>
        </w:tc>
        <w:tc>
          <w:tcPr>
            <w:tcW w:w="1080" w:type="dxa"/>
            <w:tcBorders>
              <w:top w:val="double" w:sz="4" w:space="0" w:color="auto"/>
              <w:bottom w:val="double" w:sz="4" w:space="0" w:color="auto"/>
            </w:tcBorders>
            <w:vAlign w:val="center"/>
          </w:tcPr>
          <w:p w:rsidR="00A862F4" w:rsidRPr="006C38DF" w:rsidRDefault="00A862F4" w:rsidP="00A862F4">
            <w:pPr>
              <w:ind w:right="-720"/>
              <w:jc w:val="center"/>
              <w:rPr>
                <w:sz w:val="20"/>
                <w:szCs w:val="20"/>
              </w:rPr>
            </w:pPr>
          </w:p>
          <w:p w:rsidR="00A862F4" w:rsidRPr="006C38DF" w:rsidRDefault="00A862F4" w:rsidP="00A862F4">
            <w:pPr>
              <w:ind w:right="-108"/>
              <w:jc w:val="center"/>
              <w:rPr>
                <w:sz w:val="20"/>
                <w:szCs w:val="20"/>
              </w:rPr>
            </w:pPr>
            <w:r w:rsidRPr="006C38DF">
              <w:rPr>
                <w:sz w:val="20"/>
                <w:szCs w:val="20"/>
              </w:rPr>
              <w:t>STATE</w:t>
            </w:r>
          </w:p>
          <w:p w:rsidR="00A862F4" w:rsidRPr="006C38DF" w:rsidRDefault="00A862F4" w:rsidP="00A862F4">
            <w:pPr>
              <w:ind w:right="-108"/>
              <w:jc w:val="center"/>
              <w:rPr>
                <w:sz w:val="20"/>
                <w:szCs w:val="20"/>
              </w:rPr>
            </w:pPr>
            <w:r w:rsidRPr="006C38DF">
              <w:rPr>
                <w:sz w:val="20"/>
                <w:szCs w:val="20"/>
              </w:rPr>
              <w:t>BURDEN</w:t>
            </w:r>
          </w:p>
        </w:tc>
        <w:tc>
          <w:tcPr>
            <w:tcW w:w="990" w:type="dxa"/>
            <w:tcBorders>
              <w:top w:val="double" w:sz="4" w:space="0" w:color="auto"/>
              <w:bottom w:val="double" w:sz="4" w:space="0" w:color="auto"/>
            </w:tcBorders>
            <w:vAlign w:val="center"/>
          </w:tcPr>
          <w:p w:rsidR="00A862F4" w:rsidRPr="006C38DF" w:rsidRDefault="00A862F4" w:rsidP="00A862F4">
            <w:pPr>
              <w:ind w:right="-720"/>
              <w:jc w:val="center"/>
              <w:rPr>
                <w:sz w:val="20"/>
                <w:szCs w:val="20"/>
              </w:rPr>
            </w:pPr>
          </w:p>
          <w:p w:rsidR="00A862F4" w:rsidRPr="006C38DF" w:rsidRDefault="00A862F4" w:rsidP="00A862F4">
            <w:pPr>
              <w:ind w:right="-108"/>
              <w:jc w:val="center"/>
              <w:rPr>
                <w:sz w:val="20"/>
                <w:szCs w:val="20"/>
              </w:rPr>
            </w:pPr>
            <w:r w:rsidRPr="006C38DF">
              <w:rPr>
                <w:sz w:val="20"/>
                <w:szCs w:val="20"/>
              </w:rPr>
              <w:t>TOTAL</w:t>
            </w:r>
          </w:p>
          <w:p w:rsidR="00A862F4" w:rsidRPr="006C38DF" w:rsidRDefault="00A862F4" w:rsidP="00A862F4">
            <w:pPr>
              <w:ind w:right="-108"/>
              <w:jc w:val="center"/>
              <w:rPr>
                <w:sz w:val="20"/>
                <w:szCs w:val="20"/>
              </w:rPr>
            </w:pPr>
            <w:r w:rsidRPr="006C38DF">
              <w:rPr>
                <w:sz w:val="20"/>
                <w:szCs w:val="20"/>
              </w:rPr>
              <w:t>HOURS</w:t>
            </w:r>
          </w:p>
        </w:tc>
        <w:tc>
          <w:tcPr>
            <w:tcW w:w="1440" w:type="dxa"/>
            <w:tcBorders>
              <w:top w:val="double" w:sz="4" w:space="0" w:color="auto"/>
              <w:bottom w:val="double" w:sz="4" w:space="0" w:color="auto"/>
            </w:tcBorders>
            <w:vAlign w:val="center"/>
          </w:tcPr>
          <w:p w:rsidR="00A862F4" w:rsidRPr="006C38DF" w:rsidRDefault="00A862F4" w:rsidP="00A862F4">
            <w:pPr>
              <w:ind w:right="-720"/>
              <w:jc w:val="center"/>
              <w:rPr>
                <w:sz w:val="20"/>
                <w:szCs w:val="20"/>
              </w:rPr>
            </w:pPr>
          </w:p>
          <w:p w:rsidR="00A862F4" w:rsidRPr="006C38DF" w:rsidRDefault="00A862F4" w:rsidP="00A862F4">
            <w:pPr>
              <w:ind w:right="-108"/>
              <w:jc w:val="center"/>
              <w:rPr>
                <w:sz w:val="20"/>
                <w:szCs w:val="20"/>
              </w:rPr>
            </w:pPr>
            <w:r w:rsidRPr="006C38DF">
              <w:rPr>
                <w:sz w:val="20"/>
                <w:szCs w:val="20"/>
              </w:rPr>
              <w:t>CURRENTLY APPROVED</w:t>
            </w:r>
          </w:p>
          <w:p w:rsidR="00A862F4" w:rsidRPr="006C38DF" w:rsidRDefault="00A862F4" w:rsidP="00A862F4">
            <w:pPr>
              <w:ind w:right="-108"/>
              <w:jc w:val="center"/>
              <w:rPr>
                <w:sz w:val="20"/>
                <w:szCs w:val="20"/>
              </w:rPr>
            </w:pPr>
            <w:r w:rsidRPr="006C38DF">
              <w:rPr>
                <w:sz w:val="20"/>
                <w:szCs w:val="20"/>
              </w:rPr>
              <w:t>HOURS</w:t>
            </w:r>
          </w:p>
        </w:tc>
        <w:tc>
          <w:tcPr>
            <w:tcW w:w="1380" w:type="dxa"/>
            <w:tcBorders>
              <w:top w:val="double" w:sz="4" w:space="0" w:color="auto"/>
              <w:bottom w:val="double" w:sz="4" w:space="0" w:color="auto"/>
              <w:right w:val="double" w:sz="4" w:space="0" w:color="auto"/>
            </w:tcBorders>
            <w:vAlign w:val="center"/>
          </w:tcPr>
          <w:p w:rsidR="00A862F4" w:rsidRPr="006C38DF" w:rsidRDefault="00A862F4" w:rsidP="00A862F4">
            <w:pPr>
              <w:ind w:right="-720"/>
              <w:jc w:val="center"/>
              <w:rPr>
                <w:sz w:val="20"/>
                <w:szCs w:val="20"/>
              </w:rPr>
            </w:pPr>
          </w:p>
          <w:p w:rsidR="00A862F4" w:rsidRPr="006C38DF" w:rsidRDefault="00A862F4" w:rsidP="00A862F4">
            <w:pPr>
              <w:jc w:val="center"/>
              <w:rPr>
                <w:sz w:val="20"/>
                <w:szCs w:val="20"/>
              </w:rPr>
            </w:pPr>
            <w:r w:rsidRPr="006C38DF">
              <w:rPr>
                <w:sz w:val="20"/>
                <w:szCs w:val="20"/>
              </w:rPr>
              <w:t>CHANGE TO BURDEN</w:t>
            </w:r>
          </w:p>
        </w:tc>
      </w:tr>
      <w:tr w:rsidR="00D0756F" w:rsidRPr="006C38DF" w:rsidTr="00A862F4">
        <w:trPr>
          <w:trHeight w:val="432"/>
        </w:trPr>
        <w:tc>
          <w:tcPr>
            <w:tcW w:w="2040" w:type="dxa"/>
            <w:tcBorders>
              <w:left w:val="double" w:sz="4" w:space="0" w:color="auto"/>
            </w:tcBorders>
            <w:vAlign w:val="center"/>
          </w:tcPr>
          <w:p w:rsidR="00D0756F" w:rsidRPr="006C38DF" w:rsidRDefault="00D0756F" w:rsidP="00A862F4">
            <w:pPr>
              <w:ind w:right="-720"/>
            </w:pPr>
            <w:r w:rsidRPr="006C38DF">
              <w:t>774.12(a)</w:t>
            </w:r>
          </w:p>
        </w:tc>
        <w:tc>
          <w:tcPr>
            <w:tcW w:w="1560" w:type="dxa"/>
            <w:vAlign w:val="center"/>
          </w:tcPr>
          <w:p w:rsidR="00D0756F" w:rsidRPr="006C38DF" w:rsidRDefault="00D0756F" w:rsidP="00A862F4">
            <w:pPr>
              <w:ind w:right="-108"/>
              <w:jc w:val="center"/>
            </w:pPr>
            <w:r w:rsidRPr="006C38DF">
              <w:t>97</w:t>
            </w:r>
          </w:p>
        </w:tc>
        <w:tc>
          <w:tcPr>
            <w:tcW w:w="1320" w:type="dxa"/>
            <w:vAlign w:val="center"/>
          </w:tcPr>
          <w:p w:rsidR="00D0756F" w:rsidRPr="006C38DF" w:rsidRDefault="00D0756F" w:rsidP="00A862F4">
            <w:pPr>
              <w:ind w:right="-108"/>
              <w:jc w:val="center"/>
            </w:pPr>
            <w:r w:rsidRPr="006C38DF">
              <w:t>97</w:t>
            </w:r>
          </w:p>
        </w:tc>
        <w:tc>
          <w:tcPr>
            <w:tcW w:w="1350" w:type="dxa"/>
            <w:vAlign w:val="center"/>
          </w:tcPr>
          <w:p w:rsidR="00D0756F" w:rsidRPr="006C38DF" w:rsidRDefault="00D0756F" w:rsidP="00A862F4">
            <w:pPr>
              <w:ind w:right="-108"/>
              <w:jc w:val="center"/>
            </w:pPr>
            <w:r w:rsidRPr="006C38DF">
              <w:t>2</w:t>
            </w:r>
          </w:p>
        </w:tc>
        <w:tc>
          <w:tcPr>
            <w:tcW w:w="1080" w:type="dxa"/>
            <w:vAlign w:val="center"/>
          </w:tcPr>
          <w:p w:rsidR="00D0756F" w:rsidRPr="006C38DF" w:rsidRDefault="00D0756F" w:rsidP="00A862F4">
            <w:pPr>
              <w:ind w:right="-108"/>
              <w:jc w:val="center"/>
            </w:pPr>
            <w:r w:rsidRPr="006C38DF">
              <w:t>2</w:t>
            </w:r>
          </w:p>
        </w:tc>
        <w:tc>
          <w:tcPr>
            <w:tcW w:w="990" w:type="dxa"/>
            <w:vAlign w:val="center"/>
          </w:tcPr>
          <w:p w:rsidR="00D0756F" w:rsidRPr="006C38DF" w:rsidRDefault="00DC5B8C" w:rsidP="00A862F4">
            <w:pPr>
              <w:ind w:right="-108"/>
              <w:jc w:val="center"/>
            </w:pPr>
            <w:r w:rsidRPr="006C38DF">
              <w:t>388</w:t>
            </w:r>
          </w:p>
        </w:tc>
        <w:tc>
          <w:tcPr>
            <w:tcW w:w="1440" w:type="dxa"/>
            <w:vAlign w:val="center"/>
          </w:tcPr>
          <w:p w:rsidR="00D0756F" w:rsidRPr="006C38DF" w:rsidRDefault="00D0756F" w:rsidP="00224B8D">
            <w:pPr>
              <w:ind w:right="-108"/>
              <w:jc w:val="center"/>
            </w:pPr>
            <w:r w:rsidRPr="006C38DF">
              <w:t>1,100</w:t>
            </w:r>
          </w:p>
        </w:tc>
        <w:tc>
          <w:tcPr>
            <w:tcW w:w="1380" w:type="dxa"/>
            <w:tcBorders>
              <w:right w:val="double" w:sz="4" w:space="0" w:color="auto"/>
            </w:tcBorders>
            <w:vAlign w:val="center"/>
          </w:tcPr>
          <w:p w:rsidR="00D0756F" w:rsidRPr="006C38DF" w:rsidRDefault="00FB42D6" w:rsidP="00FB42D6">
            <w:pPr>
              <w:ind w:right="-108"/>
              <w:jc w:val="center"/>
            </w:pPr>
            <w:r w:rsidRPr="006C38DF">
              <w:t>(</w:t>
            </w:r>
            <w:r w:rsidR="00D0756F" w:rsidRPr="006C38DF">
              <w:t>7</w:t>
            </w:r>
            <w:r w:rsidRPr="006C38DF">
              <w:t>12)</w:t>
            </w:r>
          </w:p>
        </w:tc>
      </w:tr>
      <w:tr w:rsidR="00D0756F" w:rsidRPr="006C38DF" w:rsidTr="00A862F4">
        <w:trPr>
          <w:trHeight w:val="432"/>
        </w:trPr>
        <w:tc>
          <w:tcPr>
            <w:tcW w:w="2040" w:type="dxa"/>
            <w:tcBorders>
              <w:left w:val="double" w:sz="4" w:space="0" w:color="auto"/>
            </w:tcBorders>
            <w:vAlign w:val="center"/>
          </w:tcPr>
          <w:p w:rsidR="00D0756F" w:rsidRPr="006C38DF" w:rsidRDefault="00D0756F" w:rsidP="00A862F4">
            <w:pPr>
              <w:ind w:right="-720"/>
            </w:pPr>
            <w:r w:rsidRPr="006C38DF">
              <w:t>774.12(c)</w:t>
            </w:r>
          </w:p>
        </w:tc>
        <w:tc>
          <w:tcPr>
            <w:tcW w:w="1560" w:type="dxa"/>
            <w:vAlign w:val="center"/>
          </w:tcPr>
          <w:p w:rsidR="00D0756F" w:rsidRPr="006C38DF" w:rsidDel="00C34E57" w:rsidRDefault="00D0756F" w:rsidP="00A862F4">
            <w:pPr>
              <w:ind w:right="-108"/>
              <w:jc w:val="center"/>
            </w:pPr>
            <w:r w:rsidRPr="006C38DF">
              <w:t>400</w:t>
            </w:r>
          </w:p>
        </w:tc>
        <w:tc>
          <w:tcPr>
            <w:tcW w:w="1320" w:type="dxa"/>
            <w:vAlign w:val="center"/>
          </w:tcPr>
          <w:p w:rsidR="00D0756F" w:rsidRPr="006C38DF" w:rsidRDefault="00D0756F" w:rsidP="00A862F4">
            <w:pPr>
              <w:ind w:right="-108"/>
              <w:jc w:val="center"/>
            </w:pPr>
            <w:r w:rsidRPr="006C38DF">
              <w:t>400</w:t>
            </w:r>
          </w:p>
        </w:tc>
        <w:tc>
          <w:tcPr>
            <w:tcW w:w="1350" w:type="dxa"/>
            <w:vAlign w:val="center"/>
          </w:tcPr>
          <w:p w:rsidR="00D0756F" w:rsidRPr="006C38DF" w:rsidDel="00C34E57" w:rsidRDefault="00D0756F" w:rsidP="00A862F4">
            <w:pPr>
              <w:ind w:right="-108"/>
              <w:jc w:val="center"/>
            </w:pPr>
            <w:r w:rsidRPr="006C38DF">
              <w:t>2</w:t>
            </w:r>
          </w:p>
        </w:tc>
        <w:tc>
          <w:tcPr>
            <w:tcW w:w="1080" w:type="dxa"/>
            <w:vAlign w:val="center"/>
          </w:tcPr>
          <w:p w:rsidR="00D0756F" w:rsidRPr="006C38DF" w:rsidRDefault="00D0756F" w:rsidP="00A862F4">
            <w:pPr>
              <w:ind w:right="-108"/>
              <w:jc w:val="center"/>
            </w:pPr>
            <w:r w:rsidRPr="006C38DF">
              <w:t>2</w:t>
            </w:r>
          </w:p>
        </w:tc>
        <w:tc>
          <w:tcPr>
            <w:tcW w:w="990" w:type="dxa"/>
            <w:vAlign w:val="center"/>
          </w:tcPr>
          <w:p w:rsidR="00D0756F" w:rsidRPr="006C38DF" w:rsidDel="00C34E57" w:rsidRDefault="00DC5B8C" w:rsidP="00A862F4">
            <w:pPr>
              <w:ind w:right="-108"/>
              <w:jc w:val="center"/>
            </w:pPr>
            <w:r w:rsidRPr="006C38DF">
              <w:t>1</w:t>
            </w:r>
            <w:r w:rsidR="006C38DF">
              <w:t>,</w:t>
            </w:r>
            <w:r w:rsidRPr="006C38DF">
              <w:t>600</w:t>
            </w:r>
          </w:p>
        </w:tc>
        <w:tc>
          <w:tcPr>
            <w:tcW w:w="1440" w:type="dxa"/>
            <w:vAlign w:val="center"/>
          </w:tcPr>
          <w:p w:rsidR="00D0756F" w:rsidRPr="006C38DF" w:rsidDel="00C34E57" w:rsidRDefault="00D0756F" w:rsidP="00224B8D">
            <w:pPr>
              <w:ind w:right="-108"/>
              <w:jc w:val="center"/>
            </w:pPr>
            <w:r w:rsidRPr="006C38DF">
              <w:t>400</w:t>
            </w:r>
          </w:p>
        </w:tc>
        <w:tc>
          <w:tcPr>
            <w:tcW w:w="1380" w:type="dxa"/>
            <w:tcBorders>
              <w:right w:val="double" w:sz="4" w:space="0" w:color="auto"/>
            </w:tcBorders>
            <w:vAlign w:val="center"/>
          </w:tcPr>
          <w:p w:rsidR="00D0756F" w:rsidRPr="006C38DF" w:rsidDel="00C34E57" w:rsidRDefault="00FB42D6" w:rsidP="00A862F4">
            <w:pPr>
              <w:ind w:right="-108"/>
              <w:jc w:val="center"/>
            </w:pPr>
            <w:r w:rsidRPr="006C38DF">
              <w:t>1</w:t>
            </w:r>
            <w:r w:rsidR="006F22D8" w:rsidRPr="006C38DF">
              <w:t>,</w:t>
            </w:r>
            <w:r w:rsidRPr="006C38DF">
              <w:t>200</w:t>
            </w:r>
          </w:p>
        </w:tc>
      </w:tr>
      <w:tr w:rsidR="00D0756F" w:rsidRPr="006C38DF" w:rsidTr="00A862F4">
        <w:trPr>
          <w:trHeight w:val="432"/>
        </w:trPr>
        <w:tc>
          <w:tcPr>
            <w:tcW w:w="2040" w:type="dxa"/>
            <w:tcBorders>
              <w:left w:val="double" w:sz="4" w:space="0" w:color="auto"/>
            </w:tcBorders>
            <w:vAlign w:val="center"/>
          </w:tcPr>
          <w:p w:rsidR="00D0756F" w:rsidRPr="006C38DF" w:rsidRDefault="00D0756F" w:rsidP="00A862F4">
            <w:pPr>
              <w:ind w:right="-720"/>
            </w:pPr>
            <w:r w:rsidRPr="006C38DF">
              <w:t>774.13</w:t>
            </w:r>
          </w:p>
        </w:tc>
        <w:tc>
          <w:tcPr>
            <w:tcW w:w="1560" w:type="dxa"/>
            <w:vAlign w:val="center"/>
          </w:tcPr>
          <w:p w:rsidR="00D0756F" w:rsidRPr="006C38DF" w:rsidRDefault="00D0756F" w:rsidP="00A862F4">
            <w:pPr>
              <w:ind w:right="-108"/>
              <w:jc w:val="center"/>
            </w:pPr>
            <w:r w:rsidRPr="006C38DF">
              <w:t>2,110</w:t>
            </w:r>
          </w:p>
        </w:tc>
        <w:tc>
          <w:tcPr>
            <w:tcW w:w="1320" w:type="dxa"/>
            <w:vAlign w:val="center"/>
          </w:tcPr>
          <w:p w:rsidR="00D0756F" w:rsidRPr="006C38DF" w:rsidRDefault="006C38DF" w:rsidP="006C38DF">
            <w:pPr>
              <w:ind w:right="-108"/>
              <w:jc w:val="center"/>
            </w:pPr>
            <w:r>
              <w:t>1</w:t>
            </w:r>
            <w:r w:rsidR="00C06DA2" w:rsidRPr="006C38DF">
              <w:t>,</w:t>
            </w:r>
            <w:r>
              <w:t>963</w:t>
            </w:r>
          </w:p>
        </w:tc>
        <w:tc>
          <w:tcPr>
            <w:tcW w:w="1350" w:type="dxa"/>
            <w:vAlign w:val="center"/>
          </w:tcPr>
          <w:p w:rsidR="00D0756F" w:rsidRPr="006C38DF" w:rsidRDefault="00C06DA2" w:rsidP="00C06DA2">
            <w:pPr>
              <w:ind w:right="-108"/>
              <w:jc w:val="center"/>
            </w:pPr>
            <w:r w:rsidRPr="006C38DF">
              <w:t>72</w:t>
            </w:r>
          </w:p>
        </w:tc>
        <w:tc>
          <w:tcPr>
            <w:tcW w:w="1080" w:type="dxa"/>
            <w:vAlign w:val="center"/>
          </w:tcPr>
          <w:p w:rsidR="00D0756F" w:rsidRPr="006C38DF" w:rsidRDefault="00C06DA2" w:rsidP="00A862F4">
            <w:pPr>
              <w:ind w:right="-108"/>
              <w:jc w:val="center"/>
            </w:pPr>
            <w:r w:rsidRPr="006C38DF">
              <w:t>34</w:t>
            </w:r>
          </w:p>
        </w:tc>
        <w:tc>
          <w:tcPr>
            <w:tcW w:w="990" w:type="dxa"/>
            <w:vAlign w:val="center"/>
          </w:tcPr>
          <w:p w:rsidR="00D0756F" w:rsidRPr="006C38DF" w:rsidRDefault="00DC5B8C" w:rsidP="006C38DF">
            <w:pPr>
              <w:ind w:right="-108"/>
              <w:jc w:val="center"/>
            </w:pPr>
            <w:r w:rsidRPr="006C38DF">
              <w:t>2</w:t>
            </w:r>
            <w:r w:rsidR="006C38DF">
              <w:t>18</w:t>
            </w:r>
            <w:r w:rsidRPr="006C38DF">
              <w:t>,</w:t>
            </w:r>
            <w:r w:rsidR="006C38DF">
              <w:t>66</w:t>
            </w:r>
            <w:r w:rsidRPr="006C38DF">
              <w:t>2</w:t>
            </w:r>
          </w:p>
        </w:tc>
        <w:tc>
          <w:tcPr>
            <w:tcW w:w="1440" w:type="dxa"/>
            <w:vAlign w:val="center"/>
          </w:tcPr>
          <w:p w:rsidR="00D0756F" w:rsidRPr="006C38DF" w:rsidRDefault="00D0756F" w:rsidP="00224B8D">
            <w:pPr>
              <w:ind w:right="-108"/>
              <w:jc w:val="center"/>
            </w:pPr>
            <w:r w:rsidRPr="006C38DF">
              <w:t>41,760</w:t>
            </w:r>
          </w:p>
        </w:tc>
        <w:tc>
          <w:tcPr>
            <w:tcW w:w="1380" w:type="dxa"/>
            <w:tcBorders>
              <w:right w:val="double" w:sz="4" w:space="0" w:color="auto"/>
            </w:tcBorders>
            <w:vAlign w:val="center"/>
          </w:tcPr>
          <w:p w:rsidR="00D0756F" w:rsidRPr="006C38DF" w:rsidRDefault="00FB42D6" w:rsidP="006C38DF">
            <w:pPr>
              <w:ind w:right="-108"/>
              <w:jc w:val="center"/>
            </w:pPr>
            <w:r w:rsidRPr="006C38DF">
              <w:t>17</w:t>
            </w:r>
            <w:r w:rsidR="006C38DF">
              <w:t>6</w:t>
            </w:r>
            <w:r w:rsidRPr="006C38DF">
              <w:t>,</w:t>
            </w:r>
            <w:r w:rsidR="006C38DF">
              <w:t>902</w:t>
            </w:r>
          </w:p>
        </w:tc>
      </w:tr>
      <w:tr w:rsidR="00D0756F" w:rsidRPr="006C38DF" w:rsidTr="00A862F4">
        <w:trPr>
          <w:trHeight w:val="432"/>
        </w:trPr>
        <w:tc>
          <w:tcPr>
            <w:tcW w:w="2040" w:type="dxa"/>
            <w:tcBorders>
              <w:left w:val="double" w:sz="4" w:space="0" w:color="auto"/>
            </w:tcBorders>
            <w:vAlign w:val="center"/>
          </w:tcPr>
          <w:p w:rsidR="00D0756F" w:rsidRPr="006C38DF" w:rsidRDefault="00D0756F" w:rsidP="00A862F4">
            <w:pPr>
              <w:ind w:right="-720"/>
            </w:pPr>
            <w:r w:rsidRPr="006C38DF">
              <w:t>774.15</w:t>
            </w:r>
          </w:p>
        </w:tc>
        <w:tc>
          <w:tcPr>
            <w:tcW w:w="1560" w:type="dxa"/>
            <w:vAlign w:val="center"/>
          </w:tcPr>
          <w:p w:rsidR="00D0756F" w:rsidRPr="006C38DF" w:rsidRDefault="00C06DA2" w:rsidP="00A862F4">
            <w:pPr>
              <w:ind w:right="-108"/>
              <w:jc w:val="center"/>
            </w:pPr>
            <w:r w:rsidRPr="006C38DF">
              <w:t>600</w:t>
            </w:r>
          </w:p>
        </w:tc>
        <w:tc>
          <w:tcPr>
            <w:tcW w:w="1320" w:type="dxa"/>
            <w:vAlign w:val="center"/>
          </w:tcPr>
          <w:p w:rsidR="00D0756F" w:rsidRPr="006C38DF" w:rsidRDefault="00C06DA2" w:rsidP="00A862F4">
            <w:pPr>
              <w:ind w:right="-108"/>
              <w:jc w:val="center"/>
            </w:pPr>
            <w:r w:rsidRPr="006C38DF">
              <w:t>59</w:t>
            </w:r>
            <w:r w:rsidR="006C38DF">
              <w:t>3</w:t>
            </w:r>
          </w:p>
        </w:tc>
        <w:tc>
          <w:tcPr>
            <w:tcW w:w="1350" w:type="dxa"/>
            <w:vAlign w:val="center"/>
          </w:tcPr>
          <w:p w:rsidR="00D0756F" w:rsidRPr="006C38DF" w:rsidRDefault="00C06DA2" w:rsidP="00C06DA2">
            <w:pPr>
              <w:ind w:right="-108"/>
              <w:jc w:val="center"/>
            </w:pPr>
            <w:r w:rsidRPr="006C38DF">
              <w:t>6</w:t>
            </w:r>
          </w:p>
        </w:tc>
        <w:tc>
          <w:tcPr>
            <w:tcW w:w="1080" w:type="dxa"/>
            <w:vAlign w:val="center"/>
          </w:tcPr>
          <w:p w:rsidR="00D0756F" w:rsidRPr="006C38DF" w:rsidRDefault="00C06DA2" w:rsidP="00A862F4">
            <w:pPr>
              <w:ind w:right="-108"/>
              <w:jc w:val="center"/>
            </w:pPr>
            <w:r w:rsidRPr="006C38DF">
              <w:t>13.5</w:t>
            </w:r>
          </w:p>
        </w:tc>
        <w:tc>
          <w:tcPr>
            <w:tcW w:w="990" w:type="dxa"/>
            <w:tcBorders>
              <w:bottom w:val="single" w:sz="4" w:space="0" w:color="auto"/>
            </w:tcBorders>
            <w:vAlign w:val="center"/>
          </w:tcPr>
          <w:p w:rsidR="00D0756F" w:rsidRPr="006C38DF" w:rsidRDefault="00DC5B8C" w:rsidP="00605778">
            <w:pPr>
              <w:ind w:right="-108"/>
              <w:jc w:val="center"/>
            </w:pPr>
            <w:r w:rsidRPr="006C38DF">
              <w:t>11,6</w:t>
            </w:r>
            <w:r w:rsidR="00605778">
              <w:t>06</w:t>
            </w:r>
          </w:p>
        </w:tc>
        <w:tc>
          <w:tcPr>
            <w:tcW w:w="1440" w:type="dxa"/>
            <w:vAlign w:val="center"/>
          </w:tcPr>
          <w:p w:rsidR="00D0756F" w:rsidRPr="006C38DF" w:rsidRDefault="00D0756F" w:rsidP="00224B8D">
            <w:pPr>
              <w:ind w:right="-108"/>
              <w:jc w:val="center"/>
            </w:pPr>
            <w:r w:rsidRPr="006C38DF">
              <w:t>22,953</w:t>
            </w:r>
          </w:p>
        </w:tc>
        <w:tc>
          <w:tcPr>
            <w:tcW w:w="1380" w:type="dxa"/>
            <w:tcBorders>
              <w:right w:val="double" w:sz="4" w:space="0" w:color="auto"/>
            </w:tcBorders>
            <w:vAlign w:val="center"/>
          </w:tcPr>
          <w:p w:rsidR="00D0756F" w:rsidRPr="006C38DF" w:rsidRDefault="00D0756F" w:rsidP="00605778">
            <w:pPr>
              <w:ind w:right="-108"/>
              <w:jc w:val="center"/>
            </w:pPr>
            <w:r w:rsidRPr="006C38DF">
              <w:t>(</w:t>
            </w:r>
            <w:r w:rsidR="00FB42D6" w:rsidRPr="006C38DF">
              <w:t>11,34</w:t>
            </w:r>
            <w:r w:rsidR="00605778">
              <w:t>8</w:t>
            </w:r>
            <w:r w:rsidRPr="006C38DF">
              <w:t>)</w:t>
            </w:r>
          </w:p>
        </w:tc>
      </w:tr>
      <w:tr w:rsidR="00D0756F" w:rsidRPr="006C38DF" w:rsidTr="00A862F4">
        <w:trPr>
          <w:trHeight w:val="720"/>
        </w:trPr>
        <w:tc>
          <w:tcPr>
            <w:tcW w:w="2040" w:type="dxa"/>
            <w:tcBorders>
              <w:left w:val="double" w:sz="4" w:space="0" w:color="auto"/>
            </w:tcBorders>
            <w:vAlign w:val="center"/>
          </w:tcPr>
          <w:p w:rsidR="00D0756F" w:rsidRPr="006C38DF" w:rsidRDefault="00D0756F" w:rsidP="00A862F4">
            <w:pPr>
              <w:ind w:right="-720"/>
            </w:pPr>
            <w:r w:rsidRPr="006C38DF">
              <w:t>774.17(b)(1),</w:t>
            </w:r>
          </w:p>
          <w:p w:rsidR="00D0756F" w:rsidRPr="006C38DF" w:rsidRDefault="00D0756F" w:rsidP="00A862F4">
            <w:pPr>
              <w:ind w:right="-720"/>
            </w:pPr>
            <w:r w:rsidRPr="006C38DF">
              <w:t xml:space="preserve">   (b)(2), (e)(2)</w:t>
            </w:r>
          </w:p>
        </w:tc>
        <w:tc>
          <w:tcPr>
            <w:tcW w:w="1560" w:type="dxa"/>
            <w:vAlign w:val="center"/>
          </w:tcPr>
          <w:p w:rsidR="00D0756F" w:rsidRPr="006C38DF" w:rsidRDefault="00C06DA2" w:rsidP="00A862F4">
            <w:pPr>
              <w:ind w:right="-108"/>
              <w:jc w:val="center"/>
            </w:pPr>
            <w:r w:rsidRPr="006C38DF">
              <w:t>303</w:t>
            </w:r>
          </w:p>
        </w:tc>
        <w:tc>
          <w:tcPr>
            <w:tcW w:w="1320" w:type="dxa"/>
            <w:vAlign w:val="center"/>
          </w:tcPr>
          <w:p w:rsidR="00D0756F" w:rsidRPr="006C38DF" w:rsidRDefault="00D0756F" w:rsidP="00A862F4">
            <w:pPr>
              <w:ind w:right="-108"/>
              <w:jc w:val="center"/>
            </w:pPr>
            <w:r w:rsidRPr="006C38DF">
              <w:t>0</w:t>
            </w:r>
          </w:p>
        </w:tc>
        <w:tc>
          <w:tcPr>
            <w:tcW w:w="1350" w:type="dxa"/>
            <w:vAlign w:val="center"/>
          </w:tcPr>
          <w:p w:rsidR="00D0756F" w:rsidRPr="006C38DF" w:rsidRDefault="00C06DA2" w:rsidP="00A862F4">
            <w:pPr>
              <w:ind w:right="-108"/>
              <w:jc w:val="center"/>
            </w:pPr>
            <w:r w:rsidRPr="006C38DF">
              <w:t>16</w:t>
            </w:r>
          </w:p>
        </w:tc>
        <w:tc>
          <w:tcPr>
            <w:tcW w:w="1080" w:type="dxa"/>
            <w:vAlign w:val="center"/>
          </w:tcPr>
          <w:p w:rsidR="00D0756F" w:rsidRPr="006C38DF" w:rsidRDefault="00D0756F" w:rsidP="00A862F4">
            <w:pPr>
              <w:ind w:right="-108"/>
              <w:jc w:val="center"/>
            </w:pPr>
            <w:r w:rsidRPr="006C38DF">
              <w:t>0</w:t>
            </w:r>
          </w:p>
        </w:tc>
        <w:tc>
          <w:tcPr>
            <w:tcW w:w="990" w:type="dxa"/>
            <w:vMerge w:val="restart"/>
            <w:tcBorders>
              <w:top w:val="single" w:sz="4" w:space="0" w:color="auto"/>
            </w:tcBorders>
            <w:vAlign w:val="center"/>
          </w:tcPr>
          <w:p w:rsidR="00D0756F" w:rsidRPr="006C38DF" w:rsidRDefault="00FB42D6" w:rsidP="00A862F4">
            <w:pPr>
              <w:ind w:right="-108"/>
              <w:jc w:val="center"/>
            </w:pPr>
            <w:r w:rsidRPr="006C38DF">
              <w:t>9,923</w:t>
            </w:r>
          </w:p>
        </w:tc>
        <w:tc>
          <w:tcPr>
            <w:tcW w:w="1440" w:type="dxa"/>
            <w:vMerge w:val="restart"/>
            <w:vAlign w:val="center"/>
          </w:tcPr>
          <w:p w:rsidR="00D0756F" w:rsidRPr="006C38DF" w:rsidRDefault="00D0756F" w:rsidP="00224B8D">
            <w:pPr>
              <w:ind w:right="-108"/>
              <w:jc w:val="center"/>
            </w:pPr>
            <w:r w:rsidRPr="006C38DF">
              <w:t>15,805</w:t>
            </w:r>
          </w:p>
        </w:tc>
        <w:tc>
          <w:tcPr>
            <w:tcW w:w="1380" w:type="dxa"/>
            <w:vMerge w:val="restart"/>
            <w:tcBorders>
              <w:right w:val="double" w:sz="4" w:space="0" w:color="auto"/>
            </w:tcBorders>
            <w:vAlign w:val="center"/>
          </w:tcPr>
          <w:p w:rsidR="00D0756F" w:rsidRPr="006C38DF" w:rsidRDefault="00FB42D6" w:rsidP="00A862F4">
            <w:pPr>
              <w:ind w:right="-108"/>
              <w:jc w:val="center"/>
            </w:pPr>
            <w:r w:rsidRPr="006C38DF">
              <w:t>(5,882)</w:t>
            </w:r>
          </w:p>
        </w:tc>
      </w:tr>
      <w:tr w:rsidR="00D0756F" w:rsidRPr="006C38DF" w:rsidTr="00A862F4">
        <w:trPr>
          <w:trHeight w:val="432"/>
        </w:trPr>
        <w:tc>
          <w:tcPr>
            <w:tcW w:w="2040" w:type="dxa"/>
            <w:tcBorders>
              <w:left w:val="double" w:sz="4" w:space="0" w:color="auto"/>
            </w:tcBorders>
            <w:vAlign w:val="center"/>
          </w:tcPr>
          <w:p w:rsidR="00D0756F" w:rsidRPr="006C38DF" w:rsidRDefault="00D0756F" w:rsidP="00A862F4">
            <w:pPr>
              <w:ind w:right="-720"/>
            </w:pPr>
            <w:r w:rsidRPr="006C38DF">
              <w:t>774.17(d)(1), (e)(1)</w:t>
            </w:r>
          </w:p>
        </w:tc>
        <w:tc>
          <w:tcPr>
            <w:tcW w:w="1560" w:type="dxa"/>
            <w:vAlign w:val="center"/>
          </w:tcPr>
          <w:p w:rsidR="00D0756F" w:rsidRPr="006C38DF" w:rsidRDefault="00D0756F" w:rsidP="00A862F4">
            <w:pPr>
              <w:ind w:right="-108"/>
              <w:jc w:val="center"/>
            </w:pPr>
            <w:r w:rsidRPr="006C38DF">
              <w:t>0</w:t>
            </w:r>
          </w:p>
        </w:tc>
        <w:tc>
          <w:tcPr>
            <w:tcW w:w="1320" w:type="dxa"/>
            <w:vAlign w:val="center"/>
          </w:tcPr>
          <w:p w:rsidR="00D0756F" w:rsidRPr="006C38DF" w:rsidRDefault="00C06DA2" w:rsidP="00A862F4">
            <w:pPr>
              <w:ind w:right="-108"/>
              <w:jc w:val="center"/>
            </w:pPr>
            <w:r w:rsidRPr="006C38DF">
              <w:t>290</w:t>
            </w:r>
          </w:p>
        </w:tc>
        <w:tc>
          <w:tcPr>
            <w:tcW w:w="1350" w:type="dxa"/>
            <w:vAlign w:val="center"/>
          </w:tcPr>
          <w:p w:rsidR="00D0756F" w:rsidRPr="006C38DF" w:rsidRDefault="00D0756F" w:rsidP="00A862F4">
            <w:pPr>
              <w:ind w:right="-108"/>
              <w:jc w:val="center"/>
            </w:pPr>
            <w:r w:rsidRPr="006C38DF">
              <w:t>0</w:t>
            </w:r>
          </w:p>
        </w:tc>
        <w:tc>
          <w:tcPr>
            <w:tcW w:w="1080" w:type="dxa"/>
            <w:vAlign w:val="center"/>
          </w:tcPr>
          <w:p w:rsidR="00D0756F" w:rsidRPr="006C38DF" w:rsidRDefault="00DC5B8C" w:rsidP="00A862F4">
            <w:pPr>
              <w:ind w:right="-108"/>
              <w:jc w:val="center"/>
            </w:pPr>
            <w:r w:rsidRPr="006C38DF">
              <w:t>17</w:t>
            </w:r>
            <w:r w:rsidR="00D0756F" w:rsidRPr="006C38DF">
              <w:t>.5</w:t>
            </w:r>
          </w:p>
        </w:tc>
        <w:tc>
          <w:tcPr>
            <w:tcW w:w="990" w:type="dxa"/>
            <w:vMerge/>
            <w:vAlign w:val="center"/>
          </w:tcPr>
          <w:p w:rsidR="00D0756F" w:rsidRPr="006C38DF" w:rsidRDefault="00D0756F" w:rsidP="00A862F4">
            <w:pPr>
              <w:ind w:right="-108"/>
              <w:jc w:val="center"/>
            </w:pPr>
          </w:p>
        </w:tc>
        <w:tc>
          <w:tcPr>
            <w:tcW w:w="1440" w:type="dxa"/>
            <w:vMerge/>
            <w:vAlign w:val="center"/>
          </w:tcPr>
          <w:p w:rsidR="00D0756F" w:rsidRPr="006C38DF" w:rsidRDefault="00D0756F" w:rsidP="00A862F4">
            <w:pPr>
              <w:ind w:right="-108"/>
              <w:jc w:val="center"/>
            </w:pPr>
          </w:p>
        </w:tc>
        <w:tc>
          <w:tcPr>
            <w:tcW w:w="1380" w:type="dxa"/>
            <w:vMerge/>
            <w:tcBorders>
              <w:right w:val="double" w:sz="4" w:space="0" w:color="auto"/>
            </w:tcBorders>
            <w:vAlign w:val="center"/>
          </w:tcPr>
          <w:p w:rsidR="00D0756F" w:rsidRPr="006C38DF" w:rsidRDefault="00D0756F" w:rsidP="00A862F4">
            <w:pPr>
              <w:ind w:right="-108"/>
              <w:jc w:val="center"/>
            </w:pPr>
          </w:p>
        </w:tc>
      </w:tr>
      <w:tr w:rsidR="00D0756F" w:rsidRPr="006C38DF" w:rsidTr="00A862F4">
        <w:trPr>
          <w:trHeight w:val="432"/>
        </w:trPr>
        <w:tc>
          <w:tcPr>
            <w:tcW w:w="2040" w:type="dxa"/>
            <w:tcBorders>
              <w:left w:val="double" w:sz="4" w:space="0" w:color="auto"/>
              <w:bottom w:val="double" w:sz="4" w:space="0" w:color="auto"/>
            </w:tcBorders>
            <w:vAlign w:val="center"/>
          </w:tcPr>
          <w:p w:rsidR="00D0756F" w:rsidRPr="006C38DF" w:rsidRDefault="00D0756F" w:rsidP="00A862F4">
            <w:pPr>
              <w:ind w:right="-720"/>
            </w:pPr>
            <w:r w:rsidRPr="006C38DF">
              <w:t>TOTALS</w:t>
            </w:r>
          </w:p>
        </w:tc>
        <w:tc>
          <w:tcPr>
            <w:tcW w:w="1560" w:type="dxa"/>
            <w:tcBorders>
              <w:bottom w:val="double" w:sz="4" w:space="0" w:color="auto"/>
            </w:tcBorders>
            <w:vAlign w:val="center"/>
          </w:tcPr>
          <w:p w:rsidR="00D0756F" w:rsidRPr="006C38DF" w:rsidRDefault="006C38DF" w:rsidP="00A862F4">
            <w:pPr>
              <w:ind w:right="-78"/>
              <w:jc w:val="center"/>
            </w:pPr>
            <w:r>
              <w:fldChar w:fldCharType="begin"/>
            </w:r>
            <w:r>
              <w:instrText xml:space="preserve"> =SUM(ABOVE) </w:instrText>
            </w:r>
            <w:r>
              <w:fldChar w:fldCharType="separate"/>
            </w:r>
            <w:r>
              <w:rPr>
                <w:noProof/>
              </w:rPr>
              <w:t>3,510</w:t>
            </w:r>
            <w:r>
              <w:fldChar w:fldCharType="end"/>
            </w:r>
          </w:p>
        </w:tc>
        <w:tc>
          <w:tcPr>
            <w:tcW w:w="1320" w:type="dxa"/>
            <w:tcBorders>
              <w:bottom w:val="double" w:sz="4" w:space="0" w:color="auto"/>
            </w:tcBorders>
            <w:vAlign w:val="center"/>
          </w:tcPr>
          <w:p w:rsidR="00D0756F" w:rsidRPr="006C38DF" w:rsidRDefault="00D0756F" w:rsidP="006C38DF">
            <w:pPr>
              <w:ind w:right="-108"/>
              <w:jc w:val="center"/>
            </w:pPr>
            <w:r w:rsidRPr="006C38DF">
              <w:fldChar w:fldCharType="begin"/>
            </w:r>
            <w:r w:rsidRPr="006C38DF">
              <w:instrText xml:space="preserve"> =SUM(ABOVE) </w:instrText>
            </w:r>
            <w:r w:rsidRPr="006C38DF">
              <w:fldChar w:fldCharType="end"/>
            </w:r>
            <w:r w:rsidR="006C38DF">
              <w:fldChar w:fldCharType="begin"/>
            </w:r>
            <w:r w:rsidR="006C38DF">
              <w:instrText xml:space="preserve"> =SUM(ABOVE) </w:instrText>
            </w:r>
            <w:r w:rsidR="006C38DF">
              <w:fldChar w:fldCharType="separate"/>
            </w:r>
            <w:r w:rsidR="006C38DF">
              <w:rPr>
                <w:noProof/>
              </w:rPr>
              <w:t>3,343</w:t>
            </w:r>
            <w:r w:rsidR="006C38DF">
              <w:fldChar w:fldCharType="end"/>
            </w:r>
          </w:p>
        </w:tc>
        <w:tc>
          <w:tcPr>
            <w:tcW w:w="1350" w:type="dxa"/>
            <w:tcBorders>
              <w:bottom w:val="double" w:sz="4" w:space="0" w:color="auto"/>
            </w:tcBorders>
            <w:vAlign w:val="center"/>
          </w:tcPr>
          <w:p w:rsidR="00D0756F" w:rsidRPr="006C38DF" w:rsidRDefault="00DC5B8C" w:rsidP="00A862F4">
            <w:pPr>
              <w:ind w:right="-108"/>
              <w:jc w:val="center"/>
            </w:pPr>
            <w:r w:rsidRPr="006C38DF">
              <w:t>98</w:t>
            </w:r>
          </w:p>
        </w:tc>
        <w:tc>
          <w:tcPr>
            <w:tcW w:w="1080" w:type="dxa"/>
            <w:tcBorders>
              <w:bottom w:val="double" w:sz="4" w:space="0" w:color="auto"/>
            </w:tcBorders>
            <w:vAlign w:val="center"/>
          </w:tcPr>
          <w:p w:rsidR="00D0756F" w:rsidRPr="006C38DF" w:rsidRDefault="00DC5B8C" w:rsidP="00DC5B8C">
            <w:pPr>
              <w:ind w:right="-108"/>
              <w:jc w:val="center"/>
            </w:pPr>
            <w:r w:rsidRPr="006C38DF">
              <w:t>69</w:t>
            </w:r>
          </w:p>
        </w:tc>
        <w:tc>
          <w:tcPr>
            <w:tcW w:w="990" w:type="dxa"/>
            <w:tcBorders>
              <w:bottom w:val="double" w:sz="4" w:space="0" w:color="auto"/>
            </w:tcBorders>
            <w:vAlign w:val="center"/>
          </w:tcPr>
          <w:p w:rsidR="00D0756F" w:rsidRPr="006C38DF" w:rsidRDefault="00605778" w:rsidP="00A862F4">
            <w:pPr>
              <w:ind w:right="-108"/>
              <w:jc w:val="center"/>
            </w:pPr>
            <w:r>
              <w:fldChar w:fldCharType="begin"/>
            </w:r>
            <w:r>
              <w:instrText xml:space="preserve"> =SUM(ABOVE) </w:instrText>
            </w:r>
            <w:r>
              <w:fldChar w:fldCharType="separate"/>
            </w:r>
            <w:r>
              <w:rPr>
                <w:noProof/>
              </w:rPr>
              <w:t>242,179</w:t>
            </w:r>
            <w:r>
              <w:fldChar w:fldCharType="end"/>
            </w:r>
          </w:p>
        </w:tc>
        <w:tc>
          <w:tcPr>
            <w:tcW w:w="1440" w:type="dxa"/>
            <w:tcBorders>
              <w:bottom w:val="double" w:sz="4" w:space="0" w:color="auto"/>
            </w:tcBorders>
            <w:vAlign w:val="center"/>
          </w:tcPr>
          <w:p w:rsidR="00D0756F" w:rsidRPr="006C38DF" w:rsidRDefault="00D0756F" w:rsidP="00224B8D">
            <w:pPr>
              <w:ind w:right="-108"/>
              <w:jc w:val="center"/>
            </w:pPr>
            <w:r w:rsidRPr="006C38DF">
              <w:fldChar w:fldCharType="begin"/>
            </w:r>
            <w:r w:rsidRPr="006C38DF">
              <w:instrText xml:space="preserve"> =SUM(ABOVE) </w:instrText>
            </w:r>
            <w:r w:rsidRPr="006C38DF">
              <w:fldChar w:fldCharType="separate"/>
            </w:r>
            <w:r w:rsidRPr="006C38DF">
              <w:rPr>
                <w:noProof/>
              </w:rPr>
              <w:t>82,018</w:t>
            </w:r>
            <w:r w:rsidRPr="006C38DF">
              <w:fldChar w:fldCharType="end"/>
            </w:r>
          </w:p>
        </w:tc>
        <w:tc>
          <w:tcPr>
            <w:tcW w:w="1380" w:type="dxa"/>
            <w:tcBorders>
              <w:bottom w:val="double" w:sz="4" w:space="0" w:color="auto"/>
              <w:right w:val="double" w:sz="4" w:space="0" w:color="auto"/>
            </w:tcBorders>
            <w:vAlign w:val="center"/>
          </w:tcPr>
          <w:p w:rsidR="00D0756F" w:rsidRPr="006C38DF" w:rsidRDefault="00497E67" w:rsidP="00A862F4">
            <w:pPr>
              <w:ind w:right="-108"/>
              <w:jc w:val="center"/>
            </w:pPr>
            <w:r>
              <w:t>160,161</w:t>
            </w:r>
          </w:p>
        </w:tc>
      </w:tr>
    </w:tbl>
    <w:p w:rsidR="00A862F4" w:rsidRPr="006C38DF" w:rsidRDefault="00A862F4" w:rsidP="00A862F4">
      <w:pPr>
        <w:jc w:val="center"/>
      </w:pPr>
    </w:p>
    <w:p w:rsidR="003A3CAE" w:rsidRPr="006C38DF" w:rsidRDefault="003A3CAE" w:rsidP="003A3CAE">
      <w:pPr>
        <w:ind w:left="720" w:hanging="720"/>
        <w:rPr>
          <w:u w:val="single"/>
        </w:rPr>
      </w:pPr>
      <w:r w:rsidRPr="006C38DF">
        <w:tab/>
        <w:t xml:space="preserve">b.  </w:t>
      </w:r>
      <w:r w:rsidRPr="006C38DF">
        <w:rPr>
          <w:u w:val="single"/>
        </w:rPr>
        <w:t>Estimated Wage Cost to Respondents</w:t>
      </w:r>
    </w:p>
    <w:p w:rsidR="003A3CAE" w:rsidRPr="006C38DF" w:rsidRDefault="003A3CAE" w:rsidP="003A3CAE">
      <w:pPr>
        <w:pStyle w:val="BodyTextIndent"/>
        <w:ind w:left="720" w:hanging="720"/>
      </w:pPr>
      <w:r w:rsidRPr="006C38DF">
        <w:tab/>
      </w:r>
    </w:p>
    <w:p w:rsidR="003A3CAE" w:rsidRPr="006C38DF" w:rsidRDefault="003A3CAE" w:rsidP="003A3CAE">
      <w:pPr>
        <w:ind w:left="720"/>
      </w:pPr>
      <w:r w:rsidRPr="006C38DF">
        <w:t xml:space="preserve">OSM has estimated wage costs for respondents:  industry and State regulatory employees.  OSM has derived these wages from the Bureau of Labor Statistics (BLS) websites at </w:t>
      </w:r>
      <w:r w:rsidR="00AD4287" w:rsidRPr="006C38DF">
        <w:t>(</w:t>
      </w:r>
      <w:hyperlink r:id="rId9" w:history="1">
        <w:r w:rsidR="00AD4287" w:rsidRPr="006C38DF">
          <w:rPr>
            <w:rStyle w:val="Hyperlink"/>
            <w:color w:val="auto"/>
          </w:rPr>
          <w:t>http://www.bls.gov/oes/current/naics4_212100.htm</w:t>
        </w:r>
      </w:hyperlink>
      <w:r w:rsidR="00AD4287" w:rsidRPr="006C38DF">
        <w:t xml:space="preserve"> </w:t>
      </w:r>
      <w:r w:rsidRPr="006C38DF">
        <w:t xml:space="preserve">for industry wages, and </w:t>
      </w:r>
      <w:hyperlink r:id="rId10" w:anchor="b00-0000" w:history="1">
        <w:r w:rsidRPr="006C38DF">
          <w:rPr>
            <w:rStyle w:val="Hyperlink"/>
            <w:color w:val="auto"/>
          </w:rPr>
          <w:t>http://www.bls.gov/oes/current/naics4_999200.htm#b00-0000</w:t>
        </w:r>
      </w:hyperlink>
      <w:r w:rsidRPr="006C38DF">
        <w:t xml:space="preserve"> for State employees.  Benefits have been calculated using a rate of 1.4 of the salary for industry personnel and 1.5 for State employees per the BLS news release USDL-1</w:t>
      </w:r>
      <w:r w:rsidR="001A171C" w:rsidRPr="006C38DF">
        <w:t>3</w:t>
      </w:r>
      <w:r w:rsidRPr="006C38DF">
        <w:t>-</w:t>
      </w:r>
      <w:r w:rsidR="001A171C" w:rsidRPr="006C38DF">
        <w:t>1140</w:t>
      </w:r>
      <w:r w:rsidR="00AD4287" w:rsidRPr="006C38DF">
        <w:t xml:space="preserve">, </w:t>
      </w:r>
      <w:r w:rsidRPr="006C38DF">
        <w:t>EMPLOYER COSTS FOR EMPLOYEE COMPENSATION—</w:t>
      </w:r>
      <w:r w:rsidR="00AD4287" w:rsidRPr="006C38DF">
        <w:t>MARCH 20</w:t>
      </w:r>
      <w:r w:rsidR="001A171C" w:rsidRPr="006C38DF">
        <w:t>13</w:t>
      </w:r>
      <w:r w:rsidR="00AD4287" w:rsidRPr="006C38DF">
        <w:t xml:space="preserve">, dated June </w:t>
      </w:r>
      <w:r w:rsidR="001A171C" w:rsidRPr="006C38DF">
        <w:t>12</w:t>
      </w:r>
      <w:r w:rsidR="00AD4287" w:rsidRPr="006C38DF">
        <w:t>, 201</w:t>
      </w:r>
      <w:r w:rsidR="001A171C" w:rsidRPr="006C38DF">
        <w:t>3</w:t>
      </w:r>
      <w:r w:rsidR="00AD4287" w:rsidRPr="006C38DF">
        <w:t xml:space="preserve"> (</w:t>
      </w:r>
      <w:hyperlink r:id="rId11" w:history="1">
        <w:r w:rsidRPr="006C38DF">
          <w:rPr>
            <w:rStyle w:val="Hyperlink"/>
            <w:color w:val="auto"/>
          </w:rPr>
          <w:t>http://www.bls.gov/news.release/pdf/ecec.pdf</w:t>
        </w:r>
      </w:hyperlink>
      <w:r w:rsidR="00AD4287" w:rsidRPr="006C38DF">
        <w:t>)</w:t>
      </w:r>
      <w:r w:rsidRPr="006C38DF">
        <w:t>.</w:t>
      </w:r>
    </w:p>
    <w:p w:rsidR="003A3CAE" w:rsidRDefault="003A3CAE" w:rsidP="003A3CAE">
      <w:pPr>
        <w:pStyle w:val="BodyTextIndent"/>
        <w:ind w:left="720" w:hanging="720"/>
      </w:pPr>
    </w:p>
    <w:p w:rsidR="000008BE" w:rsidRDefault="000008BE" w:rsidP="003A3CAE">
      <w:pPr>
        <w:pStyle w:val="BodyTextIndent"/>
        <w:ind w:left="720" w:hanging="720"/>
        <w:jc w:val="center"/>
      </w:pPr>
    </w:p>
    <w:p w:rsidR="00966B82" w:rsidRDefault="00966B82" w:rsidP="003A3CAE">
      <w:pPr>
        <w:pStyle w:val="BodyTextIndent"/>
        <w:ind w:left="720" w:hanging="720"/>
        <w:jc w:val="center"/>
      </w:pPr>
    </w:p>
    <w:p w:rsidR="00966B82" w:rsidRDefault="00966B82" w:rsidP="003A3CAE">
      <w:pPr>
        <w:pStyle w:val="BodyTextIndent"/>
        <w:ind w:left="720" w:hanging="720"/>
        <w:jc w:val="center"/>
      </w:pPr>
    </w:p>
    <w:p w:rsidR="00966B82" w:rsidRDefault="00966B82" w:rsidP="003A3CAE">
      <w:pPr>
        <w:pStyle w:val="BodyTextIndent"/>
        <w:ind w:left="720" w:hanging="720"/>
        <w:jc w:val="center"/>
      </w:pPr>
    </w:p>
    <w:p w:rsidR="00966B82" w:rsidRDefault="00966B82" w:rsidP="003A3CAE">
      <w:pPr>
        <w:pStyle w:val="BodyTextIndent"/>
        <w:ind w:left="720" w:hanging="720"/>
        <w:jc w:val="center"/>
      </w:pPr>
    </w:p>
    <w:p w:rsidR="00966B82" w:rsidRDefault="00966B82" w:rsidP="003A3CAE">
      <w:pPr>
        <w:pStyle w:val="BodyTextIndent"/>
        <w:ind w:left="720" w:hanging="720"/>
        <w:jc w:val="center"/>
      </w:pPr>
    </w:p>
    <w:p w:rsidR="00966B82" w:rsidRDefault="00966B82" w:rsidP="003A3CAE">
      <w:pPr>
        <w:pStyle w:val="BodyTextIndent"/>
        <w:ind w:left="720" w:hanging="720"/>
        <w:jc w:val="center"/>
      </w:pPr>
    </w:p>
    <w:p w:rsidR="003A3CAE" w:rsidRDefault="00727C80" w:rsidP="003A3CAE">
      <w:pPr>
        <w:pStyle w:val="BodyTextIndent"/>
        <w:ind w:left="720" w:hanging="720"/>
        <w:jc w:val="center"/>
      </w:pPr>
      <w:r>
        <w:t xml:space="preserve">Industry </w:t>
      </w:r>
      <w:r w:rsidR="003A3CAE">
        <w:t>Wage Cost</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1530"/>
        <w:gridCol w:w="1080"/>
        <w:gridCol w:w="1350"/>
        <w:gridCol w:w="1710"/>
        <w:gridCol w:w="1980"/>
      </w:tblGrid>
      <w:tr w:rsidR="003A3CAE" w:rsidRPr="00DD23B8" w:rsidTr="003A3CAE">
        <w:tc>
          <w:tcPr>
            <w:tcW w:w="1890" w:type="dxa"/>
          </w:tcPr>
          <w:p w:rsidR="003A3CAE" w:rsidRPr="00DD23B8" w:rsidRDefault="003A3CAE" w:rsidP="003A3CAE">
            <w:pPr>
              <w:pStyle w:val="BodyTextIndent"/>
              <w:ind w:left="0"/>
            </w:pPr>
            <w:r w:rsidRPr="00DD23B8">
              <w:t>Position</w:t>
            </w:r>
          </w:p>
        </w:tc>
        <w:tc>
          <w:tcPr>
            <w:tcW w:w="1530" w:type="dxa"/>
          </w:tcPr>
          <w:p w:rsidR="003A3CAE" w:rsidRPr="00DD23B8" w:rsidRDefault="003A3CAE" w:rsidP="00C92EFA">
            <w:pPr>
              <w:pStyle w:val="BodyTextIndent"/>
              <w:ind w:left="0"/>
              <w:jc w:val="center"/>
            </w:pPr>
            <w:r w:rsidRPr="00DD23B8">
              <w:t xml:space="preserve">Hour Burden </w:t>
            </w:r>
          </w:p>
        </w:tc>
        <w:tc>
          <w:tcPr>
            <w:tcW w:w="1080" w:type="dxa"/>
          </w:tcPr>
          <w:p w:rsidR="003A3CAE" w:rsidRPr="00DD23B8" w:rsidRDefault="003A3CAE" w:rsidP="003A3CAE">
            <w:pPr>
              <w:pStyle w:val="BodyTextIndent"/>
              <w:ind w:left="0"/>
              <w:jc w:val="center"/>
            </w:pPr>
            <w:r w:rsidRPr="00DD23B8">
              <w:t>Total Hours</w:t>
            </w:r>
          </w:p>
        </w:tc>
        <w:tc>
          <w:tcPr>
            <w:tcW w:w="1350" w:type="dxa"/>
          </w:tcPr>
          <w:p w:rsidR="003A3CAE" w:rsidRPr="00DD23B8" w:rsidRDefault="003A3CAE" w:rsidP="003A3CAE">
            <w:pPr>
              <w:pStyle w:val="BodyTextIndent"/>
              <w:ind w:left="0"/>
              <w:jc w:val="center"/>
            </w:pPr>
            <w:r w:rsidRPr="00DD23B8">
              <w:t>Cost Per Hour ($)</w:t>
            </w:r>
          </w:p>
        </w:tc>
        <w:tc>
          <w:tcPr>
            <w:tcW w:w="1710" w:type="dxa"/>
          </w:tcPr>
          <w:p w:rsidR="003A3CAE" w:rsidRPr="00DD23B8" w:rsidRDefault="003A3CAE" w:rsidP="003A3CAE">
            <w:pPr>
              <w:pStyle w:val="BodyTextIndent"/>
              <w:ind w:left="0"/>
              <w:jc w:val="center"/>
            </w:pPr>
            <w:r w:rsidRPr="00DD23B8">
              <w:t>Hourly Rate with Benefits (x 1.4)  ($)</w:t>
            </w:r>
          </w:p>
        </w:tc>
        <w:tc>
          <w:tcPr>
            <w:tcW w:w="1980" w:type="dxa"/>
          </w:tcPr>
          <w:p w:rsidR="003A3CAE" w:rsidRPr="00DD23B8" w:rsidRDefault="003A3CAE" w:rsidP="003A3CAE">
            <w:pPr>
              <w:pStyle w:val="BodyTextIndent"/>
              <w:ind w:left="0"/>
              <w:jc w:val="center"/>
            </w:pPr>
            <w:r w:rsidRPr="00DD23B8">
              <w:t>Total Wage Burden ($)</w:t>
            </w:r>
            <w:r w:rsidR="00C92EFA" w:rsidRPr="00DD23B8">
              <w:t xml:space="preserve"> (rounded)</w:t>
            </w:r>
          </w:p>
        </w:tc>
      </w:tr>
      <w:tr w:rsidR="003A3CAE" w:rsidRPr="00DD23B8" w:rsidTr="003A3CAE">
        <w:tc>
          <w:tcPr>
            <w:tcW w:w="1890" w:type="dxa"/>
          </w:tcPr>
          <w:p w:rsidR="003A3CAE" w:rsidRPr="00DD23B8" w:rsidRDefault="003A3CAE" w:rsidP="003A3CAE">
            <w:pPr>
              <w:pStyle w:val="BodyTextIndent"/>
              <w:ind w:left="0"/>
            </w:pPr>
            <w:r w:rsidRPr="00DD23B8">
              <w:t>Clerical</w:t>
            </w:r>
          </w:p>
        </w:tc>
        <w:tc>
          <w:tcPr>
            <w:tcW w:w="1530" w:type="dxa"/>
          </w:tcPr>
          <w:p w:rsidR="003A3CAE" w:rsidRPr="00DD23B8" w:rsidRDefault="00B46759" w:rsidP="003A3CAE">
            <w:pPr>
              <w:pStyle w:val="BodyTextIndent"/>
              <w:ind w:left="0"/>
              <w:jc w:val="center"/>
            </w:pPr>
            <w:r w:rsidRPr="00DD23B8">
              <w:t>12.75</w:t>
            </w:r>
          </w:p>
        </w:tc>
        <w:tc>
          <w:tcPr>
            <w:tcW w:w="1080" w:type="dxa"/>
          </w:tcPr>
          <w:p w:rsidR="003A3CAE" w:rsidRPr="00DD23B8" w:rsidRDefault="00B46759" w:rsidP="00AD4287">
            <w:pPr>
              <w:pStyle w:val="BodyTextIndent"/>
              <w:ind w:left="0"/>
              <w:jc w:val="center"/>
            </w:pPr>
            <w:r w:rsidRPr="00DD23B8">
              <w:t>20,977</w:t>
            </w:r>
          </w:p>
        </w:tc>
        <w:tc>
          <w:tcPr>
            <w:tcW w:w="1350" w:type="dxa"/>
          </w:tcPr>
          <w:p w:rsidR="003A3CAE" w:rsidRPr="00DD23B8" w:rsidRDefault="001A171C" w:rsidP="001A171C">
            <w:pPr>
              <w:pStyle w:val="BodyTextIndent"/>
              <w:ind w:left="0"/>
              <w:jc w:val="center"/>
            </w:pPr>
            <w:r w:rsidRPr="00DD23B8">
              <w:t>16</w:t>
            </w:r>
            <w:r w:rsidR="003A3CAE" w:rsidRPr="00DD23B8">
              <w:t>.</w:t>
            </w:r>
            <w:r w:rsidRPr="00DD23B8">
              <w:t>87</w:t>
            </w:r>
          </w:p>
        </w:tc>
        <w:tc>
          <w:tcPr>
            <w:tcW w:w="1710" w:type="dxa"/>
          </w:tcPr>
          <w:p w:rsidR="003A3CAE" w:rsidRPr="00DD23B8" w:rsidRDefault="00B46759" w:rsidP="000F3F49">
            <w:pPr>
              <w:pStyle w:val="BodyTextIndent"/>
              <w:ind w:left="0"/>
              <w:jc w:val="center"/>
            </w:pPr>
            <w:r w:rsidRPr="00DD23B8">
              <w:t>23.6</w:t>
            </w:r>
            <w:r w:rsidR="000F3F49" w:rsidRPr="00DD23B8">
              <w:t>2</w:t>
            </w:r>
          </w:p>
        </w:tc>
        <w:tc>
          <w:tcPr>
            <w:tcW w:w="1980" w:type="dxa"/>
          </w:tcPr>
          <w:p w:rsidR="003A3CAE" w:rsidRPr="00DD23B8" w:rsidRDefault="000F3F49" w:rsidP="00AD4287">
            <w:pPr>
              <w:pStyle w:val="BodyTextIndent"/>
              <w:ind w:left="0"/>
              <w:jc w:val="center"/>
            </w:pPr>
            <w:r w:rsidRPr="00DD23B8">
              <w:t>495,477</w:t>
            </w:r>
          </w:p>
        </w:tc>
      </w:tr>
      <w:tr w:rsidR="003A3CAE" w:rsidRPr="00DD23B8" w:rsidTr="003A3CAE">
        <w:tc>
          <w:tcPr>
            <w:tcW w:w="1890" w:type="dxa"/>
          </w:tcPr>
          <w:p w:rsidR="003A3CAE" w:rsidRPr="00DD23B8" w:rsidRDefault="003A3CAE" w:rsidP="003A3CAE">
            <w:pPr>
              <w:pStyle w:val="BodyTextIndent"/>
              <w:ind w:left="0"/>
            </w:pPr>
            <w:r w:rsidRPr="00DD23B8">
              <w:t>Mining Engineer</w:t>
            </w:r>
          </w:p>
        </w:tc>
        <w:tc>
          <w:tcPr>
            <w:tcW w:w="1530" w:type="dxa"/>
          </w:tcPr>
          <w:p w:rsidR="003A3CAE" w:rsidRPr="00DD23B8" w:rsidRDefault="00B46759" w:rsidP="003A3CAE">
            <w:pPr>
              <w:pStyle w:val="BodyTextIndent"/>
              <w:ind w:left="0"/>
              <w:jc w:val="center"/>
            </w:pPr>
            <w:r w:rsidRPr="00DD23B8">
              <w:t>72.5</w:t>
            </w:r>
          </w:p>
        </w:tc>
        <w:tc>
          <w:tcPr>
            <w:tcW w:w="1080" w:type="dxa"/>
          </w:tcPr>
          <w:p w:rsidR="003A3CAE" w:rsidRPr="00DD23B8" w:rsidRDefault="000F3F49" w:rsidP="003A3CAE">
            <w:pPr>
              <w:pStyle w:val="BodyTextIndent"/>
              <w:ind w:left="0"/>
              <w:jc w:val="center"/>
            </w:pPr>
            <w:r w:rsidRPr="00DD23B8">
              <w:t>119,408</w:t>
            </w:r>
          </w:p>
        </w:tc>
        <w:tc>
          <w:tcPr>
            <w:tcW w:w="1350" w:type="dxa"/>
          </w:tcPr>
          <w:p w:rsidR="003A3CAE" w:rsidRPr="00DD23B8" w:rsidRDefault="001A171C" w:rsidP="001A171C">
            <w:pPr>
              <w:pStyle w:val="BodyTextIndent"/>
              <w:ind w:left="0"/>
              <w:jc w:val="center"/>
            </w:pPr>
            <w:r w:rsidRPr="00DD23B8">
              <w:t>40</w:t>
            </w:r>
            <w:r w:rsidR="003A3CAE" w:rsidRPr="00DD23B8">
              <w:t>.</w:t>
            </w:r>
            <w:r w:rsidRPr="00DD23B8">
              <w:t>80</w:t>
            </w:r>
          </w:p>
        </w:tc>
        <w:tc>
          <w:tcPr>
            <w:tcW w:w="1710" w:type="dxa"/>
          </w:tcPr>
          <w:p w:rsidR="003A3CAE" w:rsidRPr="00DD23B8" w:rsidRDefault="00B46759" w:rsidP="003A3CAE">
            <w:pPr>
              <w:pStyle w:val="BodyTextIndent"/>
              <w:ind w:left="0"/>
              <w:jc w:val="center"/>
            </w:pPr>
            <w:r w:rsidRPr="00DD23B8">
              <w:t>57.12</w:t>
            </w:r>
          </w:p>
        </w:tc>
        <w:tc>
          <w:tcPr>
            <w:tcW w:w="1980" w:type="dxa"/>
          </w:tcPr>
          <w:p w:rsidR="003A3CAE" w:rsidRPr="00DD23B8" w:rsidRDefault="000F3F49" w:rsidP="00C92EFA">
            <w:pPr>
              <w:pStyle w:val="BodyTextIndent"/>
              <w:ind w:left="0"/>
              <w:jc w:val="center"/>
            </w:pPr>
            <w:r w:rsidRPr="00DD23B8">
              <w:t>6,820,585</w:t>
            </w:r>
          </w:p>
        </w:tc>
      </w:tr>
      <w:tr w:rsidR="003A3CAE" w:rsidRPr="00DD23B8" w:rsidTr="003A3CAE">
        <w:tc>
          <w:tcPr>
            <w:tcW w:w="1890" w:type="dxa"/>
          </w:tcPr>
          <w:p w:rsidR="003A3CAE" w:rsidRPr="00DD23B8" w:rsidRDefault="003A3CAE" w:rsidP="003A3CAE">
            <w:pPr>
              <w:pStyle w:val="BodyTextIndent"/>
              <w:ind w:left="0"/>
            </w:pPr>
            <w:r w:rsidRPr="00DD23B8">
              <w:t>Operations Manager</w:t>
            </w:r>
          </w:p>
        </w:tc>
        <w:tc>
          <w:tcPr>
            <w:tcW w:w="1530" w:type="dxa"/>
          </w:tcPr>
          <w:p w:rsidR="003A3CAE" w:rsidRPr="00DD23B8" w:rsidRDefault="00B46759" w:rsidP="003A3CAE">
            <w:pPr>
              <w:pStyle w:val="BodyTextIndent"/>
              <w:ind w:left="0"/>
              <w:jc w:val="center"/>
            </w:pPr>
            <w:r w:rsidRPr="00DD23B8">
              <w:t>12.75</w:t>
            </w:r>
          </w:p>
        </w:tc>
        <w:tc>
          <w:tcPr>
            <w:tcW w:w="1080" w:type="dxa"/>
          </w:tcPr>
          <w:p w:rsidR="003A3CAE" w:rsidRPr="00DD23B8" w:rsidRDefault="00B46759" w:rsidP="003A3CAE">
            <w:pPr>
              <w:pStyle w:val="BodyTextIndent"/>
              <w:ind w:left="0"/>
              <w:jc w:val="center"/>
            </w:pPr>
            <w:r w:rsidRPr="00DD23B8">
              <w:t>20,977</w:t>
            </w:r>
          </w:p>
        </w:tc>
        <w:tc>
          <w:tcPr>
            <w:tcW w:w="1350" w:type="dxa"/>
          </w:tcPr>
          <w:p w:rsidR="003A3CAE" w:rsidRPr="00DD23B8" w:rsidRDefault="001A171C" w:rsidP="001A171C">
            <w:pPr>
              <w:pStyle w:val="BodyTextIndent"/>
              <w:ind w:left="0"/>
              <w:jc w:val="center"/>
            </w:pPr>
            <w:r w:rsidRPr="00DD23B8">
              <w:t>56</w:t>
            </w:r>
            <w:r w:rsidR="003A3CAE" w:rsidRPr="00DD23B8">
              <w:t>.</w:t>
            </w:r>
            <w:r w:rsidRPr="00DD23B8">
              <w:t>25</w:t>
            </w:r>
          </w:p>
        </w:tc>
        <w:tc>
          <w:tcPr>
            <w:tcW w:w="1710" w:type="dxa"/>
          </w:tcPr>
          <w:p w:rsidR="003A3CAE" w:rsidRPr="00DD23B8" w:rsidRDefault="00B46759" w:rsidP="003A3CAE">
            <w:pPr>
              <w:pStyle w:val="BodyTextIndent"/>
              <w:ind w:left="0"/>
              <w:jc w:val="center"/>
            </w:pPr>
            <w:r w:rsidRPr="00DD23B8">
              <w:t>78.75</w:t>
            </w:r>
          </w:p>
        </w:tc>
        <w:tc>
          <w:tcPr>
            <w:tcW w:w="1980" w:type="dxa"/>
          </w:tcPr>
          <w:p w:rsidR="003A3CAE" w:rsidRPr="00DD23B8" w:rsidRDefault="000F3F49" w:rsidP="00C92EFA">
            <w:pPr>
              <w:pStyle w:val="BodyTextIndent"/>
              <w:ind w:left="0"/>
              <w:jc w:val="center"/>
            </w:pPr>
            <w:r w:rsidRPr="00DD23B8">
              <w:t>1,651,939</w:t>
            </w:r>
          </w:p>
        </w:tc>
      </w:tr>
      <w:tr w:rsidR="003A3CAE" w:rsidRPr="00DD23B8" w:rsidTr="003A3CAE">
        <w:tc>
          <w:tcPr>
            <w:tcW w:w="1890" w:type="dxa"/>
          </w:tcPr>
          <w:p w:rsidR="003A3CAE" w:rsidRPr="00DD23B8" w:rsidRDefault="003A3CAE" w:rsidP="003A3CAE">
            <w:pPr>
              <w:pStyle w:val="BodyTextIndent"/>
              <w:ind w:left="0"/>
            </w:pPr>
            <w:r w:rsidRPr="00DD23B8">
              <w:t>Total</w:t>
            </w:r>
          </w:p>
        </w:tc>
        <w:tc>
          <w:tcPr>
            <w:tcW w:w="1530" w:type="dxa"/>
          </w:tcPr>
          <w:p w:rsidR="003A3CAE" w:rsidRPr="00DD23B8" w:rsidRDefault="00BC189F" w:rsidP="003A3CAE">
            <w:pPr>
              <w:pStyle w:val="BodyTextIndent"/>
              <w:ind w:left="0"/>
              <w:jc w:val="center"/>
            </w:pPr>
            <w:r w:rsidRPr="00DD23B8">
              <w:t>98</w:t>
            </w:r>
          </w:p>
        </w:tc>
        <w:tc>
          <w:tcPr>
            <w:tcW w:w="1080" w:type="dxa"/>
          </w:tcPr>
          <w:p w:rsidR="003A3CAE" w:rsidRPr="00DD23B8" w:rsidRDefault="00B46759" w:rsidP="003A3CAE">
            <w:pPr>
              <w:pStyle w:val="BodyTextIndent"/>
              <w:ind w:left="0"/>
              <w:jc w:val="center"/>
            </w:pPr>
            <w:r w:rsidRPr="00DD23B8">
              <w:t>161,362</w:t>
            </w:r>
          </w:p>
        </w:tc>
        <w:tc>
          <w:tcPr>
            <w:tcW w:w="1350" w:type="dxa"/>
          </w:tcPr>
          <w:p w:rsidR="003A3CAE" w:rsidRPr="00DD23B8" w:rsidRDefault="003A3CAE" w:rsidP="003A3CAE">
            <w:pPr>
              <w:pStyle w:val="BodyTextIndent"/>
              <w:ind w:left="0"/>
              <w:jc w:val="center"/>
            </w:pPr>
          </w:p>
        </w:tc>
        <w:tc>
          <w:tcPr>
            <w:tcW w:w="1710" w:type="dxa"/>
          </w:tcPr>
          <w:p w:rsidR="003A3CAE" w:rsidRPr="00DD23B8" w:rsidRDefault="003A3CAE" w:rsidP="003A3CAE">
            <w:pPr>
              <w:pStyle w:val="BodyTextIndent"/>
              <w:ind w:left="0"/>
              <w:jc w:val="center"/>
            </w:pPr>
          </w:p>
        </w:tc>
        <w:tc>
          <w:tcPr>
            <w:tcW w:w="1980" w:type="dxa"/>
          </w:tcPr>
          <w:p w:rsidR="003A3CAE" w:rsidRPr="00DD23B8" w:rsidRDefault="000F3F49" w:rsidP="003A3CAE">
            <w:pPr>
              <w:pStyle w:val="BodyTextIndent"/>
              <w:ind w:left="0"/>
              <w:jc w:val="center"/>
            </w:pPr>
            <w:r w:rsidRPr="00DD23B8">
              <w:t>8,968,001</w:t>
            </w:r>
          </w:p>
        </w:tc>
      </w:tr>
    </w:tbl>
    <w:p w:rsidR="003A3CAE" w:rsidRPr="00DD23B8" w:rsidRDefault="003A3CAE" w:rsidP="003A3CAE">
      <w:pPr>
        <w:pStyle w:val="BodyTextIndent"/>
        <w:ind w:left="720" w:hanging="720"/>
      </w:pPr>
    </w:p>
    <w:p w:rsidR="003A3CAE" w:rsidRPr="00DD23B8" w:rsidRDefault="003A3CAE" w:rsidP="003A3CAE">
      <w:pPr>
        <w:pStyle w:val="BodyTextIndent"/>
        <w:ind w:left="720" w:hanging="720"/>
      </w:pPr>
      <w:r w:rsidRPr="00DD23B8">
        <w:tab/>
        <w:t xml:space="preserve">Therefore, the estimated total annual </w:t>
      </w:r>
      <w:r w:rsidR="00DD23B8">
        <w:t xml:space="preserve">wage </w:t>
      </w:r>
      <w:r w:rsidRPr="00DD23B8">
        <w:t xml:space="preserve">cost for industry respondents for </w:t>
      </w:r>
      <w:r w:rsidR="00727C80" w:rsidRPr="00DD23B8">
        <w:t>Part 774 is $</w:t>
      </w:r>
      <w:r w:rsidR="003C1962" w:rsidRPr="00DD23B8">
        <w:t>8,968,001</w:t>
      </w:r>
    </w:p>
    <w:p w:rsidR="00A862F4" w:rsidRDefault="00A862F4" w:rsidP="00B5273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727C80" w:rsidRDefault="00727C80" w:rsidP="00727C80">
      <w:pPr>
        <w:pStyle w:val="BodyTextIndent"/>
        <w:ind w:left="720" w:hanging="720"/>
        <w:jc w:val="center"/>
      </w:pPr>
      <w:r>
        <w:t>State Wage Cost</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1530"/>
        <w:gridCol w:w="1080"/>
        <w:gridCol w:w="1350"/>
        <w:gridCol w:w="1710"/>
        <w:gridCol w:w="1980"/>
      </w:tblGrid>
      <w:tr w:rsidR="00727C80" w:rsidTr="00AE1FD1">
        <w:tc>
          <w:tcPr>
            <w:tcW w:w="1890" w:type="dxa"/>
          </w:tcPr>
          <w:p w:rsidR="00727C80" w:rsidRDefault="00727C80" w:rsidP="00AE1FD1">
            <w:pPr>
              <w:pStyle w:val="BodyTextIndent"/>
              <w:ind w:left="0"/>
            </w:pPr>
            <w:r>
              <w:t>Position</w:t>
            </w:r>
          </w:p>
        </w:tc>
        <w:tc>
          <w:tcPr>
            <w:tcW w:w="1530" w:type="dxa"/>
          </w:tcPr>
          <w:p w:rsidR="00727C80" w:rsidRDefault="00727C80" w:rsidP="00AE1FD1">
            <w:pPr>
              <w:pStyle w:val="BodyTextIndent"/>
              <w:ind w:left="0"/>
              <w:jc w:val="center"/>
            </w:pPr>
            <w:r>
              <w:t xml:space="preserve">Hour Burden </w:t>
            </w:r>
          </w:p>
        </w:tc>
        <w:tc>
          <w:tcPr>
            <w:tcW w:w="1080" w:type="dxa"/>
          </w:tcPr>
          <w:p w:rsidR="00727C80" w:rsidRDefault="00727C80" w:rsidP="00AE1FD1">
            <w:pPr>
              <w:pStyle w:val="BodyTextIndent"/>
              <w:ind w:left="0"/>
              <w:jc w:val="center"/>
            </w:pPr>
            <w:r>
              <w:t>Total Hours</w:t>
            </w:r>
          </w:p>
        </w:tc>
        <w:tc>
          <w:tcPr>
            <w:tcW w:w="1350" w:type="dxa"/>
          </w:tcPr>
          <w:p w:rsidR="00727C80" w:rsidRPr="00A2726C" w:rsidRDefault="00727C80" w:rsidP="00AE1FD1">
            <w:pPr>
              <w:pStyle w:val="BodyTextIndent"/>
              <w:ind w:left="0"/>
              <w:jc w:val="center"/>
            </w:pPr>
            <w:r w:rsidRPr="00A2726C">
              <w:t>Cost Per Hour ($)</w:t>
            </w:r>
          </w:p>
        </w:tc>
        <w:tc>
          <w:tcPr>
            <w:tcW w:w="1710" w:type="dxa"/>
          </w:tcPr>
          <w:p w:rsidR="00727C80" w:rsidRPr="00A2726C" w:rsidRDefault="00727C80" w:rsidP="00727C80">
            <w:pPr>
              <w:pStyle w:val="BodyTextIndent"/>
              <w:ind w:left="0"/>
              <w:jc w:val="center"/>
            </w:pPr>
            <w:r w:rsidRPr="00A2726C">
              <w:t>Hourly Rate with Benefits (x 1.</w:t>
            </w:r>
            <w:r>
              <w:t>5</w:t>
            </w:r>
            <w:r w:rsidRPr="00A2726C">
              <w:t>)</w:t>
            </w:r>
            <w:r>
              <w:t xml:space="preserve">  ($)</w:t>
            </w:r>
          </w:p>
        </w:tc>
        <w:tc>
          <w:tcPr>
            <w:tcW w:w="1980" w:type="dxa"/>
          </w:tcPr>
          <w:p w:rsidR="00727C80" w:rsidRDefault="00727C80" w:rsidP="00AE1FD1">
            <w:pPr>
              <w:pStyle w:val="BodyTextIndent"/>
              <w:ind w:left="0"/>
              <w:jc w:val="center"/>
            </w:pPr>
            <w:r>
              <w:t>Total Wage Burden ($) (rounded)</w:t>
            </w:r>
          </w:p>
        </w:tc>
      </w:tr>
      <w:tr w:rsidR="00DD23B8" w:rsidRPr="00DD23B8" w:rsidTr="00AE1FD1">
        <w:tc>
          <w:tcPr>
            <w:tcW w:w="1890" w:type="dxa"/>
          </w:tcPr>
          <w:p w:rsidR="00727C80" w:rsidRPr="00DD23B8" w:rsidRDefault="00727C80" w:rsidP="00AE1FD1">
            <w:pPr>
              <w:pStyle w:val="BodyTextIndent"/>
              <w:ind w:left="0"/>
            </w:pPr>
            <w:r w:rsidRPr="00DD23B8">
              <w:t>Physical Scientist</w:t>
            </w:r>
          </w:p>
        </w:tc>
        <w:tc>
          <w:tcPr>
            <w:tcW w:w="1530" w:type="dxa"/>
          </w:tcPr>
          <w:p w:rsidR="00727C80" w:rsidRPr="00DD23B8" w:rsidRDefault="00BC189F" w:rsidP="00AE1FD1">
            <w:pPr>
              <w:pStyle w:val="BodyTextIndent"/>
              <w:ind w:left="0"/>
              <w:jc w:val="center"/>
            </w:pPr>
            <w:r w:rsidRPr="00DD23B8">
              <w:t>69</w:t>
            </w:r>
          </w:p>
        </w:tc>
        <w:tc>
          <w:tcPr>
            <w:tcW w:w="1080" w:type="dxa"/>
          </w:tcPr>
          <w:p w:rsidR="00727C80" w:rsidRPr="00DD23B8" w:rsidRDefault="00DD23B8" w:rsidP="00DD23B8">
            <w:pPr>
              <w:pStyle w:val="BodyTextIndent"/>
              <w:ind w:left="0"/>
              <w:jc w:val="center"/>
            </w:pPr>
            <w:r w:rsidRPr="00DD23B8">
              <w:t>80</w:t>
            </w:r>
            <w:r w:rsidR="00BC189F" w:rsidRPr="00DD23B8">
              <w:t>,</w:t>
            </w:r>
            <w:r w:rsidRPr="00DD23B8">
              <w:t>817</w:t>
            </w:r>
          </w:p>
        </w:tc>
        <w:tc>
          <w:tcPr>
            <w:tcW w:w="1350" w:type="dxa"/>
          </w:tcPr>
          <w:p w:rsidR="00727C80" w:rsidRPr="00DD23B8" w:rsidRDefault="00BC189F" w:rsidP="00727C80">
            <w:pPr>
              <w:pStyle w:val="BodyTextIndent"/>
              <w:ind w:left="0"/>
              <w:jc w:val="center"/>
            </w:pPr>
            <w:r w:rsidRPr="00DD23B8">
              <w:t>35.76</w:t>
            </w:r>
          </w:p>
        </w:tc>
        <w:tc>
          <w:tcPr>
            <w:tcW w:w="1710" w:type="dxa"/>
          </w:tcPr>
          <w:p w:rsidR="00727C80" w:rsidRPr="00DD23B8" w:rsidRDefault="00BC189F" w:rsidP="00727C80">
            <w:pPr>
              <w:pStyle w:val="BodyTextIndent"/>
              <w:ind w:left="0"/>
              <w:jc w:val="center"/>
            </w:pPr>
            <w:r w:rsidRPr="00DD23B8">
              <w:t>53.64</w:t>
            </w:r>
          </w:p>
        </w:tc>
        <w:tc>
          <w:tcPr>
            <w:tcW w:w="1980" w:type="dxa"/>
          </w:tcPr>
          <w:p w:rsidR="00727C80" w:rsidRPr="00DD23B8" w:rsidRDefault="00BC189F" w:rsidP="00DD23B8">
            <w:pPr>
              <w:pStyle w:val="BodyTextIndent"/>
              <w:ind w:left="0"/>
              <w:jc w:val="center"/>
            </w:pPr>
            <w:r w:rsidRPr="00DD23B8">
              <w:t>4,</w:t>
            </w:r>
            <w:r w:rsidR="00DD23B8" w:rsidRPr="00DD23B8">
              <w:t>335</w:t>
            </w:r>
            <w:r w:rsidRPr="00DD23B8">
              <w:t>,</w:t>
            </w:r>
            <w:r w:rsidR="00DD23B8" w:rsidRPr="00DD23B8">
              <w:t>024</w:t>
            </w:r>
          </w:p>
        </w:tc>
      </w:tr>
    </w:tbl>
    <w:p w:rsidR="00727C80" w:rsidRPr="00DD23B8" w:rsidRDefault="00727C80" w:rsidP="00727C80">
      <w:pPr>
        <w:pStyle w:val="BodyTextIndent"/>
        <w:ind w:left="720" w:hanging="720"/>
      </w:pPr>
    </w:p>
    <w:p w:rsidR="0078573E" w:rsidRPr="00DD23B8" w:rsidRDefault="00727C80" w:rsidP="00727C80">
      <w:pPr>
        <w:pStyle w:val="BodyTextIndent"/>
        <w:ind w:left="720" w:hanging="720"/>
      </w:pPr>
      <w:r w:rsidRPr="00DD23B8">
        <w:tab/>
        <w:t xml:space="preserve">Therefore, the estimated total annual </w:t>
      </w:r>
      <w:r w:rsidR="00DD23B8">
        <w:t xml:space="preserve">wage </w:t>
      </w:r>
      <w:r w:rsidRPr="00DD23B8">
        <w:t xml:space="preserve">cost for </w:t>
      </w:r>
      <w:r w:rsidR="00AE1FD1" w:rsidRPr="00DD23B8">
        <w:t>State r</w:t>
      </w:r>
      <w:r w:rsidRPr="00DD23B8">
        <w:t>espondents for Part 774 is $</w:t>
      </w:r>
      <w:r w:rsidR="00BC189F" w:rsidRPr="00DD23B8">
        <w:t>4</w:t>
      </w:r>
      <w:r w:rsidR="00AE1FD1" w:rsidRPr="00DD23B8">
        <w:t>,</w:t>
      </w:r>
      <w:r w:rsidR="00DD23B8" w:rsidRPr="00DD23B8">
        <w:t>335</w:t>
      </w:r>
      <w:r w:rsidR="00AE1FD1" w:rsidRPr="00DD23B8">
        <w:t>,</w:t>
      </w:r>
      <w:r w:rsidR="00DD23B8" w:rsidRPr="00DD23B8">
        <w:t>024</w:t>
      </w:r>
      <w:r w:rsidR="0078573E" w:rsidRPr="00DD23B8">
        <w:t>.</w:t>
      </w:r>
    </w:p>
    <w:p w:rsidR="0078573E" w:rsidRPr="00DD23B8" w:rsidRDefault="0078573E" w:rsidP="00727C80">
      <w:pPr>
        <w:pStyle w:val="BodyTextIndent"/>
        <w:ind w:left="720" w:hanging="720"/>
      </w:pPr>
    </w:p>
    <w:p w:rsidR="00727C80" w:rsidRPr="00DD23B8" w:rsidRDefault="0078573E" w:rsidP="00727C80">
      <w:pPr>
        <w:pStyle w:val="BodyTextIndent"/>
        <w:ind w:left="720" w:hanging="720"/>
      </w:pPr>
      <w:r w:rsidRPr="00DD23B8">
        <w:tab/>
        <w:t>T</w:t>
      </w:r>
      <w:r w:rsidR="00AE1FD1" w:rsidRPr="00DD23B8">
        <w:t>he total wage cost for all respondents is $</w:t>
      </w:r>
      <w:r w:rsidR="003C1962" w:rsidRPr="00DD23B8">
        <w:t>1</w:t>
      </w:r>
      <w:r w:rsidR="00AE1FD1" w:rsidRPr="00DD23B8">
        <w:t>3,</w:t>
      </w:r>
      <w:r w:rsidR="00DD23B8" w:rsidRPr="00DD23B8">
        <w:t>303</w:t>
      </w:r>
      <w:r w:rsidR="00AE1FD1" w:rsidRPr="00DD23B8">
        <w:t>,</w:t>
      </w:r>
      <w:r w:rsidR="00DD23B8" w:rsidRPr="00DD23B8">
        <w:t>024</w:t>
      </w:r>
      <w:r w:rsidR="00727C80" w:rsidRPr="00DD23B8">
        <w:t>.</w:t>
      </w:r>
    </w:p>
    <w:p w:rsidR="00727C80" w:rsidRPr="00DF2CE2" w:rsidRDefault="00727C80" w:rsidP="00B5273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6225B8" w:rsidRPr="006225B8" w:rsidRDefault="006225B8" w:rsidP="006225B8">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sidRPr="006225B8">
        <w:rPr>
          <w:i/>
        </w:rPr>
        <w:t>13.</w:t>
      </w:r>
      <w:r w:rsidRPr="006225B8">
        <w:rPr>
          <w:i/>
        </w:rPr>
        <w:tab/>
        <w:t>Provide an estimate of the total annual non-hour cost burden to respondents or recordkeepers</w:t>
      </w:r>
      <w:bookmarkStart w:id="0" w:name="_GoBack"/>
      <w:bookmarkEnd w:id="0"/>
      <w:r w:rsidRPr="006225B8">
        <w:rPr>
          <w:i/>
        </w:rPr>
        <w:t xml:space="preserve"> resulting from the collection of information.  (Do not include the cost of any hour burden already reflected in item 12.)</w:t>
      </w:r>
    </w:p>
    <w:p w:rsidR="006225B8" w:rsidRPr="006225B8" w:rsidRDefault="006225B8" w:rsidP="006225B8">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sidRPr="006225B8">
        <w:rPr>
          <w:i/>
        </w:rPr>
        <w:tab/>
        <w:t>*</w:t>
      </w:r>
      <w:r w:rsidRPr="006225B8">
        <w:rPr>
          <w:i/>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6225B8" w:rsidRPr="006225B8" w:rsidRDefault="006225B8" w:rsidP="006225B8">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sidRPr="006225B8">
        <w:rPr>
          <w:i/>
        </w:rPr>
        <w:tab/>
        <w:t>*</w:t>
      </w:r>
      <w:r w:rsidRPr="006225B8">
        <w:rPr>
          <w:i/>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6225B8">
        <w:rPr>
          <w:i/>
        </w:rPr>
        <w:lastRenderedPageBreak/>
        <w:t>process and use existing economic or regulatory impact analysis associated with the rulemaking containing the information collection, as appropriate.</w:t>
      </w:r>
    </w:p>
    <w:p w:rsidR="006225B8" w:rsidRPr="006225B8" w:rsidRDefault="006225B8" w:rsidP="006225B8">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sidRPr="006225B8">
        <w:rPr>
          <w:i/>
        </w:rPr>
        <w:tab/>
        <w:t>*</w:t>
      </w:r>
      <w:r w:rsidRPr="006225B8">
        <w:rPr>
          <w:i/>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5273E" w:rsidRDefault="00B5273E" w:rsidP="00B5273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DE4491" w:rsidRPr="00C17D0E" w:rsidRDefault="00DE4491" w:rsidP="00DE4491">
      <w:pPr>
        <w:ind w:left="720" w:hanging="720"/>
      </w:pPr>
      <w:r>
        <w:tab/>
      </w:r>
      <w:r w:rsidRPr="00C17D0E">
        <w:t xml:space="preserve">a.  </w:t>
      </w:r>
      <w:r w:rsidRPr="00C17D0E">
        <w:rPr>
          <w:u w:val="single"/>
        </w:rPr>
        <w:t>Annual Capital and Start-up Costs</w:t>
      </w:r>
    </w:p>
    <w:p w:rsidR="00DE4491" w:rsidRPr="00C17D0E" w:rsidRDefault="00DE4491" w:rsidP="00DE4491">
      <w:pPr>
        <w:ind w:left="720" w:hanging="720"/>
      </w:pPr>
    </w:p>
    <w:p w:rsidR="00DE4491" w:rsidRPr="00C17D0E" w:rsidRDefault="00DE4491" w:rsidP="00DE4491">
      <w:pPr>
        <w:pStyle w:val="BodyTextIndent"/>
        <w:ind w:left="720" w:hanging="720"/>
      </w:pPr>
      <w:r>
        <w:tab/>
      </w:r>
      <w:r w:rsidRPr="00C17D0E">
        <w:t xml:space="preserve">The information collection requirements </w:t>
      </w:r>
      <w:r w:rsidR="006225B8">
        <w:t>for P</w:t>
      </w:r>
      <w:r>
        <w:t xml:space="preserve">art </w:t>
      </w:r>
      <w:r w:rsidRPr="00C17D0E">
        <w:t>774 do not involve any capital or start-up costs apart from expenditures associated with customary business practices.</w:t>
      </w:r>
    </w:p>
    <w:p w:rsidR="00DE4491" w:rsidRPr="00C17D0E" w:rsidRDefault="00DE4491" w:rsidP="00DE4491">
      <w:pPr>
        <w:ind w:left="720" w:hanging="720"/>
      </w:pPr>
    </w:p>
    <w:p w:rsidR="00DE4491" w:rsidRPr="00DD23B8" w:rsidRDefault="00DE4491" w:rsidP="00DE4491">
      <w:pPr>
        <w:ind w:left="720" w:hanging="720"/>
      </w:pPr>
      <w:r>
        <w:tab/>
      </w:r>
      <w:r w:rsidRPr="00C17D0E">
        <w:t xml:space="preserve">b.  </w:t>
      </w:r>
      <w:r w:rsidRPr="00C17D0E">
        <w:rPr>
          <w:u w:val="single"/>
        </w:rPr>
        <w:t xml:space="preserve">Operation and </w:t>
      </w:r>
      <w:r w:rsidRPr="00DD23B8">
        <w:rPr>
          <w:u w:val="single"/>
        </w:rPr>
        <w:t>Maintenance Costs</w:t>
      </w:r>
    </w:p>
    <w:p w:rsidR="00DE4491" w:rsidRPr="00DD23B8" w:rsidRDefault="00DE4491" w:rsidP="00DE4491">
      <w:pPr>
        <w:ind w:left="720" w:hanging="720"/>
      </w:pPr>
    </w:p>
    <w:p w:rsidR="00DE4491" w:rsidRPr="00DD23B8" w:rsidRDefault="00DE4491" w:rsidP="00DE4491">
      <w:pPr>
        <w:ind w:left="720" w:hanging="720"/>
      </w:pPr>
      <w:r w:rsidRPr="00DD23B8">
        <w:tab/>
      </w:r>
      <w:r w:rsidR="00FA15EB" w:rsidRPr="00DD23B8">
        <w:t xml:space="preserve">Each applicant for a revision </w:t>
      </w:r>
      <w:r w:rsidR="003C1962" w:rsidRPr="00DD23B8">
        <w:t xml:space="preserve">or </w:t>
      </w:r>
      <w:r w:rsidR="00FA15EB" w:rsidRPr="00DD23B8">
        <w:t>renewal</w:t>
      </w:r>
      <w:r w:rsidR="003C1962" w:rsidRPr="00DD23B8">
        <w:t xml:space="preserve"> is required to publish a newspaper notice advertising the application and seeking public comment once a week for four consecutive weeks</w:t>
      </w:r>
      <w:r w:rsidR="00920DAA" w:rsidRPr="00DD23B8">
        <w:t xml:space="preserve">; </w:t>
      </w:r>
      <w:r w:rsidR="003C1962" w:rsidRPr="00DD23B8">
        <w:t xml:space="preserve">each applicant for a </w:t>
      </w:r>
      <w:r w:rsidR="00920DAA" w:rsidRPr="00DD23B8">
        <w:t>t</w:t>
      </w:r>
      <w:r w:rsidR="00FA15EB" w:rsidRPr="00DD23B8">
        <w:t xml:space="preserve">ransfer, </w:t>
      </w:r>
      <w:r w:rsidR="00920DAA" w:rsidRPr="00DD23B8">
        <w:t>a</w:t>
      </w:r>
      <w:r w:rsidR="00FA15EB" w:rsidRPr="00DD23B8">
        <w:t>ssignment, or sale of permit rights</w:t>
      </w:r>
      <w:r w:rsidR="00920DAA" w:rsidRPr="00DD23B8">
        <w:t xml:space="preserve"> is required to publish a newspaper notice advertising the application</w:t>
      </w:r>
      <w:r w:rsidR="00FA15EB" w:rsidRPr="00DD23B8">
        <w:t xml:space="preserve"> </w:t>
      </w:r>
      <w:r w:rsidR="00920DAA" w:rsidRPr="00DD23B8">
        <w:t>and seeking public comment</w:t>
      </w:r>
      <w:r w:rsidR="003C1962" w:rsidRPr="00DD23B8">
        <w:t xml:space="preserve"> one time only</w:t>
      </w:r>
      <w:r w:rsidR="00920DAA" w:rsidRPr="00DD23B8">
        <w:t>.  At $</w:t>
      </w:r>
      <w:r w:rsidR="008B0B8E" w:rsidRPr="00DD23B8">
        <w:t xml:space="preserve">322 </w:t>
      </w:r>
      <w:r w:rsidR="00920DAA" w:rsidRPr="00DD23B8">
        <w:t xml:space="preserve">per </w:t>
      </w:r>
      <w:r w:rsidR="008B0B8E" w:rsidRPr="00DD23B8">
        <w:t xml:space="preserve">4 weekly </w:t>
      </w:r>
      <w:r w:rsidR="00920DAA" w:rsidRPr="00DD23B8">
        <w:t>publication</w:t>
      </w:r>
      <w:r w:rsidR="008B0B8E" w:rsidRPr="00DD23B8">
        <w:t>s</w:t>
      </w:r>
      <w:r w:rsidR="00920DAA" w:rsidRPr="00DD23B8">
        <w:t xml:space="preserve">, </w:t>
      </w:r>
      <w:r w:rsidR="008B0B8E" w:rsidRPr="00DD23B8">
        <w:t xml:space="preserve">and $100 for a one time publication, </w:t>
      </w:r>
      <w:r w:rsidR="00920DAA" w:rsidRPr="00DD23B8">
        <w:t>the cost to all applicants is $</w:t>
      </w:r>
      <w:r w:rsidR="008B0B8E" w:rsidRPr="00DD23B8">
        <w:t>902,920</w:t>
      </w:r>
      <w:r w:rsidR="00920DAA" w:rsidRPr="00DD23B8">
        <w:t xml:space="preserve"> (</w:t>
      </w:r>
      <w:r w:rsidR="008B0B8E" w:rsidRPr="00DD23B8">
        <w:t>2</w:t>
      </w:r>
      <w:r w:rsidR="006F22D8" w:rsidRPr="00DD23B8">
        <w:t>,</w:t>
      </w:r>
      <w:r w:rsidR="008B0B8E" w:rsidRPr="00DD23B8">
        <w:t>710 x $322) +</w:t>
      </w:r>
      <w:r w:rsidR="00920DAA" w:rsidRPr="00DD23B8">
        <w:t xml:space="preserve"> </w:t>
      </w:r>
      <w:r w:rsidR="008B0B8E" w:rsidRPr="00DD23B8">
        <w:t xml:space="preserve">(303 x </w:t>
      </w:r>
      <w:r w:rsidR="00920DAA" w:rsidRPr="00DD23B8">
        <w:t>$100).</w:t>
      </w:r>
    </w:p>
    <w:p w:rsidR="00DE4491" w:rsidRPr="00DD23B8" w:rsidRDefault="00DE4491" w:rsidP="00B5273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6225B8" w:rsidRPr="006225B8" w:rsidRDefault="006225B8" w:rsidP="006225B8">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sidRPr="00DD23B8">
        <w:rPr>
          <w:i/>
        </w:rPr>
        <w:t>14.</w:t>
      </w:r>
      <w:r w:rsidRPr="00DD23B8">
        <w:rPr>
          <w:i/>
        </w:rPr>
        <w:tab/>
        <w:t>Provide estimates of annualized cost to the Federal</w:t>
      </w:r>
      <w:r w:rsidRPr="006225B8">
        <w:rPr>
          <w:i/>
        </w:rPr>
        <w:t xml:space="preserve">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DE4491" w:rsidRDefault="00DE4491" w:rsidP="00DE449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u w:val="single"/>
        </w:rPr>
      </w:pPr>
    </w:p>
    <w:p w:rsidR="00DE4491" w:rsidRPr="00DD23B8" w:rsidRDefault="00D7636B" w:rsidP="00DE449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C17D0E">
        <w:rPr>
          <w:u w:val="single"/>
        </w:rPr>
        <w:t>Oversight</w:t>
      </w:r>
      <w:r w:rsidRPr="00C17D0E">
        <w:t xml:space="preserve">.  </w:t>
      </w:r>
      <w:r w:rsidR="00DE4491" w:rsidRPr="00C17D0E">
        <w:t xml:space="preserve">In keeping with the current guidance concerning oversight of State program implementation, OSM does not anticipate significant oversight review of State compliance with </w:t>
      </w:r>
      <w:r w:rsidR="00DD23B8" w:rsidRPr="00DD23B8">
        <w:t>P</w:t>
      </w:r>
      <w:r w:rsidR="00DE4491" w:rsidRPr="00DD23B8">
        <w:t xml:space="preserve">art 774 in the absence of indication of problems.  OSM estimates that it will conduct an oversight review in </w:t>
      </w:r>
      <w:r w:rsidR="008B0B8E" w:rsidRPr="00DD23B8">
        <w:t>two</w:t>
      </w:r>
      <w:r w:rsidR="00DE4491" w:rsidRPr="00DD23B8">
        <w:t xml:space="preserve"> State</w:t>
      </w:r>
      <w:r w:rsidR="008B0B8E" w:rsidRPr="00DD23B8">
        <w:t>s</w:t>
      </w:r>
      <w:r w:rsidR="00DE4491" w:rsidRPr="00DD23B8">
        <w:t xml:space="preserve"> per year.  OSM estimates that the oversight review will require </w:t>
      </w:r>
      <w:r w:rsidR="008B0B8E" w:rsidRPr="00DD23B8">
        <w:t>256</w:t>
      </w:r>
      <w:r w:rsidR="00DE4491" w:rsidRPr="00DD23B8">
        <w:t xml:space="preserve"> hours.</w:t>
      </w:r>
    </w:p>
    <w:p w:rsidR="00DE4491" w:rsidRDefault="00DE4491" w:rsidP="00DE449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DE4491" w:rsidRPr="00210EF7" w:rsidRDefault="00DE4491" w:rsidP="00210EF7">
      <w:pPr>
        <w:pStyle w:val="BodyTextIndent"/>
        <w:ind w:left="720"/>
      </w:pPr>
      <w:r>
        <w:t>B</w:t>
      </w:r>
      <w:r w:rsidRPr="00B72687">
        <w:t>ased on the U.S. Office of Personnel Management Salary Table 201</w:t>
      </w:r>
      <w:r w:rsidR="000753A7">
        <w:t>3</w:t>
      </w:r>
      <w:r w:rsidRPr="00B72687">
        <w:t>-RUS located at</w:t>
      </w:r>
      <w:r w:rsidR="00FF278F">
        <w:t xml:space="preserve">, </w:t>
      </w:r>
      <w:hyperlink r:id="rId12" w:history="1">
        <w:r w:rsidR="00FF278F" w:rsidRPr="00AA4B60">
          <w:rPr>
            <w:rStyle w:val="Hyperlink"/>
          </w:rPr>
          <w:t>http://www.opm.gov/policy-data-oversight/pay-leave/salaries-wages/2013/general-schedule/rest-of-us-hourlyovertime-rates-by-grade-and-step/</w:t>
        </w:r>
      </w:hyperlink>
      <w:r w:rsidR="00FF278F">
        <w:t xml:space="preserve">, </w:t>
      </w:r>
      <w:r>
        <w:t>t</w:t>
      </w:r>
      <w:r w:rsidRPr="00C17D0E">
        <w:t>he annual average salary used to estimate the wage cost to the Federal Government is $</w:t>
      </w:r>
      <w:r>
        <w:t>43.13</w:t>
      </w:r>
      <w:r w:rsidRPr="00C17D0E">
        <w:t xml:space="preserve"> per hour</w:t>
      </w:r>
      <w:r>
        <w:t xml:space="preserve"> for a GS 13 step 4 technician.  Incorporating </w:t>
      </w:r>
      <w:r w:rsidRPr="00B72687">
        <w:t xml:space="preserve">benefits </w:t>
      </w:r>
      <w:r w:rsidR="00210EF7" w:rsidRPr="004349D8">
        <w:t xml:space="preserve">using a 1.3 multiplier from the ratio between wages and benefits derived using OSM’s </w:t>
      </w:r>
      <w:r w:rsidR="00210EF7" w:rsidRPr="004349D8">
        <w:rPr>
          <w:color w:val="000000"/>
        </w:rPr>
        <w:t>Financial and Business Management System</w:t>
      </w:r>
      <w:r>
        <w:t>, t</w:t>
      </w:r>
      <w:r w:rsidRPr="00B72687">
        <w:t xml:space="preserve">he hourly </w:t>
      </w:r>
      <w:r>
        <w:t xml:space="preserve">wage </w:t>
      </w:r>
      <w:r w:rsidRPr="00B72687">
        <w:t xml:space="preserve">cost to the Federal Government is </w:t>
      </w:r>
      <w:r>
        <w:t>$</w:t>
      </w:r>
      <w:r w:rsidR="00210EF7">
        <w:t>5</w:t>
      </w:r>
      <w:r>
        <w:t>6.</w:t>
      </w:r>
      <w:r w:rsidR="00210EF7">
        <w:t>07</w:t>
      </w:r>
      <w:r>
        <w:t xml:space="preserve"> per hour.  </w:t>
      </w:r>
      <w:r w:rsidR="00845939">
        <w:t xml:space="preserve">Therefore, the Federal cost for oversight </w:t>
      </w:r>
      <w:r w:rsidR="00845939" w:rsidRPr="00210EF7">
        <w:t>is $</w:t>
      </w:r>
      <w:r w:rsidR="008C41F3" w:rsidRPr="00210EF7">
        <w:t>1</w:t>
      </w:r>
      <w:r w:rsidR="00210EF7" w:rsidRPr="00210EF7">
        <w:t>4</w:t>
      </w:r>
      <w:r w:rsidR="00845939" w:rsidRPr="00210EF7">
        <w:t>,</w:t>
      </w:r>
      <w:r w:rsidR="00210EF7" w:rsidRPr="00210EF7">
        <w:t>354 (rounded)</w:t>
      </w:r>
      <w:r w:rsidR="00845939" w:rsidRPr="00210EF7">
        <w:t>.</w:t>
      </w:r>
    </w:p>
    <w:p w:rsidR="000008BE" w:rsidRPr="00210EF7" w:rsidRDefault="000008BE" w:rsidP="000008BE">
      <w:pPr>
        <w:ind w:left="720" w:hanging="720"/>
      </w:pPr>
    </w:p>
    <w:p w:rsidR="009F3BE6" w:rsidRDefault="000008BE" w:rsidP="00845939">
      <w:pPr>
        <w:ind w:left="720" w:hanging="720"/>
      </w:pPr>
      <w:r w:rsidRPr="00210EF7">
        <w:tab/>
      </w:r>
      <w:r w:rsidR="00D7636B" w:rsidRPr="00210EF7">
        <w:rPr>
          <w:u w:val="single"/>
        </w:rPr>
        <w:t>Federal Programs</w:t>
      </w:r>
      <w:r w:rsidR="00D7636B" w:rsidRPr="00210EF7">
        <w:t xml:space="preserve">. </w:t>
      </w:r>
      <w:r w:rsidR="00845939" w:rsidRPr="00210EF7">
        <w:t xml:space="preserve"> Where OSM is the regulatory authority</w:t>
      </w:r>
      <w:r w:rsidR="00966B82" w:rsidRPr="00210EF7">
        <w:t xml:space="preserve"> (Tennessee, Washington and Indian </w:t>
      </w:r>
      <w:r w:rsidR="00210EF7">
        <w:t>l</w:t>
      </w:r>
      <w:r w:rsidR="00966B82" w:rsidRPr="00210EF7">
        <w:t>ands)</w:t>
      </w:r>
      <w:r w:rsidR="00845939" w:rsidRPr="00210EF7">
        <w:t xml:space="preserve">, we estimate receiving </w:t>
      </w:r>
      <w:r w:rsidR="00966B82" w:rsidRPr="00210EF7">
        <w:t>14</w:t>
      </w:r>
      <w:r w:rsidR="00302D48" w:rsidRPr="00210EF7">
        <w:t>7</w:t>
      </w:r>
      <w:r w:rsidR="00845939" w:rsidRPr="00210EF7">
        <w:t xml:space="preserve"> applications for revisions, </w:t>
      </w:r>
      <w:r w:rsidR="00966B82" w:rsidRPr="00210EF7">
        <w:t>7</w:t>
      </w:r>
      <w:r w:rsidR="00845939" w:rsidRPr="00210EF7">
        <w:t xml:space="preserve"> applications </w:t>
      </w:r>
      <w:r w:rsidR="00845939" w:rsidRPr="00210EF7">
        <w:lastRenderedPageBreak/>
        <w:t xml:space="preserve">for </w:t>
      </w:r>
      <w:r w:rsidR="00A67723" w:rsidRPr="00210EF7">
        <w:t>renewals</w:t>
      </w:r>
      <w:r w:rsidR="00845939" w:rsidRPr="00210EF7">
        <w:t xml:space="preserve">, and </w:t>
      </w:r>
      <w:r w:rsidR="00302D48" w:rsidRPr="00210EF7">
        <w:t>13</w:t>
      </w:r>
      <w:r w:rsidR="00845939" w:rsidRPr="00210EF7">
        <w:t xml:space="preserve"> applications for transfer, assignment or sale</w:t>
      </w:r>
      <w:r w:rsidR="00845939">
        <w:t xml:space="preserve"> of permits rights</w:t>
      </w:r>
      <w:r w:rsidR="00B77A1E">
        <w:t xml:space="preserve"> annually</w:t>
      </w:r>
      <w:r w:rsidR="00845939">
        <w:t>.</w:t>
      </w:r>
      <w:r w:rsidR="009F3BE6">
        <w:t xml:space="preserve">  The total burden for Federal program states will </w:t>
      </w:r>
      <w:r w:rsidR="009F3BE6" w:rsidRPr="00F81998">
        <w:t xml:space="preserve">be </w:t>
      </w:r>
      <w:r w:rsidR="00966B82" w:rsidRPr="00F81998">
        <w:t>3</w:t>
      </w:r>
      <w:r w:rsidR="008C41F3" w:rsidRPr="00F81998">
        <w:t>,</w:t>
      </w:r>
      <w:r w:rsidR="00A2157C" w:rsidRPr="00F81998">
        <w:t>075</w:t>
      </w:r>
      <w:r w:rsidR="009F3BE6" w:rsidRPr="00F81998">
        <w:t xml:space="preserve"> hours</w:t>
      </w:r>
      <w:r w:rsidR="009F3BE6">
        <w:t xml:space="preserve">, and </w:t>
      </w:r>
      <w:r w:rsidR="009F3BE6" w:rsidRPr="00F81998">
        <w:t>$</w:t>
      </w:r>
      <w:r w:rsidR="00A2157C" w:rsidRPr="00F81998">
        <w:t>172</w:t>
      </w:r>
      <w:r w:rsidR="008C41F3" w:rsidRPr="00F81998">
        <w:t>,</w:t>
      </w:r>
      <w:r w:rsidR="00A2157C" w:rsidRPr="00F81998">
        <w:t>415 i</w:t>
      </w:r>
      <w:r w:rsidR="009F3BE6" w:rsidRPr="00F81998">
        <w:t>n</w:t>
      </w:r>
      <w:r w:rsidR="009F3BE6">
        <w:t xml:space="preserve"> wage costs.  </w:t>
      </w:r>
      <w:r w:rsidR="00A2157C">
        <w:t>The total Federal cost is $186,768</w:t>
      </w:r>
    </w:p>
    <w:p w:rsidR="009F3BE6" w:rsidRDefault="009F3BE6" w:rsidP="00845939">
      <w:pPr>
        <w:ind w:left="720" w:hanging="720"/>
      </w:pPr>
    </w:p>
    <w:p w:rsidR="00845939" w:rsidRDefault="009F3BE6" w:rsidP="00845939">
      <w:pPr>
        <w:ind w:left="720" w:hanging="720"/>
      </w:pPr>
      <w:r>
        <w:tab/>
        <w:t>The total hourly burden and wage costs to the Federal government are as follows:</w:t>
      </w:r>
    </w:p>
    <w:p w:rsidR="00443DBF" w:rsidRPr="00C17D0E" w:rsidRDefault="00FE09BC" w:rsidP="00A2157C">
      <w:pPr>
        <w:ind w:left="720" w:hanging="720"/>
      </w:pPr>
      <w:r>
        <w:tab/>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440"/>
        <w:gridCol w:w="1170"/>
        <w:gridCol w:w="1080"/>
        <w:gridCol w:w="1620"/>
        <w:gridCol w:w="1080"/>
        <w:gridCol w:w="1440"/>
        <w:gridCol w:w="1530"/>
      </w:tblGrid>
      <w:tr w:rsidR="00FE09BC" w:rsidRPr="00FE09BC" w:rsidTr="00B77A1E">
        <w:tc>
          <w:tcPr>
            <w:tcW w:w="1260" w:type="dxa"/>
            <w:tcBorders>
              <w:top w:val="double" w:sz="4" w:space="0" w:color="auto"/>
              <w:left w:val="double" w:sz="4" w:space="0" w:color="auto"/>
              <w:bottom w:val="double" w:sz="4" w:space="0" w:color="auto"/>
            </w:tcBorders>
            <w:vAlign w:val="center"/>
          </w:tcPr>
          <w:p w:rsidR="00FE09BC" w:rsidRPr="00F44EB0" w:rsidRDefault="00FE09BC" w:rsidP="00FE09BC">
            <w:pPr>
              <w:ind w:right="-720"/>
              <w:jc w:val="center"/>
              <w:rPr>
                <w:sz w:val="22"/>
                <w:szCs w:val="22"/>
              </w:rPr>
            </w:pPr>
          </w:p>
          <w:p w:rsidR="00FE09BC" w:rsidRPr="00F44EB0" w:rsidRDefault="00FE09BC" w:rsidP="00FE09BC">
            <w:pPr>
              <w:ind w:right="-108"/>
              <w:jc w:val="center"/>
              <w:rPr>
                <w:sz w:val="22"/>
                <w:szCs w:val="22"/>
              </w:rPr>
            </w:pPr>
            <w:r w:rsidRPr="00F44EB0">
              <w:rPr>
                <w:sz w:val="22"/>
                <w:szCs w:val="22"/>
              </w:rPr>
              <w:t>SECTION</w:t>
            </w:r>
          </w:p>
        </w:tc>
        <w:tc>
          <w:tcPr>
            <w:tcW w:w="1440" w:type="dxa"/>
            <w:tcBorders>
              <w:top w:val="double" w:sz="4" w:space="0" w:color="auto"/>
              <w:bottom w:val="double" w:sz="4" w:space="0" w:color="auto"/>
            </w:tcBorders>
            <w:vAlign w:val="center"/>
          </w:tcPr>
          <w:p w:rsidR="00FE09BC" w:rsidRPr="00F44EB0" w:rsidRDefault="00FE09BC" w:rsidP="00FE09BC">
            <w:pPr>
              <w:ind w:right="-720"/>
              <w:jc w:val="center"/>
              <w:rPr>
                <w:sz w:val="22"/>
                <w:szCs w:val="22"/>
              </w:rPr>
            </w:pPr>
          </w:p>
          <w:p w:rsidR="00FE09BC" w:rsidRPr="00F44EB0" w:rsidRDefault="00FE09BC" w:rsidP="00FE09BC">
            <w:pPr>
              <w:ind w:right="-108"/>
              <w:jc w:val="center"/>
              <w:rPr>
                <w:sz w:val="22"/>
                <w:szCs w:val="22"/>
              </w:rPr>
            </w:pPr>
            <w:r w:rsidRPr="00F44EB0">
              <w:rPr>
                <w:sz w:val="22"/>
                <w:szCs w:val="22"/>
              </w:rPr>
              <w:t>OVERSIGHT BURDEN HOURS</w:t>
            </w:r>
          </w:p>
        </w:tc>
        <w:tc>
          <w:tcPr>
            <w:tcW w:w="3870" w:type="dxa"/>
            <w:gridSpan w:val="3"/>
            <w:tcBorders>
              <w:top w:val="double" w:sz="4" w:space="0" w:color="auto"/>
              <w:bottom w:val="double" w:sz="4" w:space="0" w:color="auto"/>
            </w:tcBorders>
            <w:vAlign w:val="center"/>
          </w:tcPr>
          <w:p w:rsidR="00FE09BC" w:rsidRPr="00F44EB0" w:rsidRDefault="00FE09BC" w:rsidP="00FE09BC">
            <w:pPr>
              <w:ind w:right="-720"/>
              <w:jc w:val="center"/>
              <w:rPr>
                <w:sz w:val="22"/>
                <w:szCs w:val="22"/>
              </w:rPr>
            </w:pPr>
          </w:p>
          <w:p w:rsidR="00FE09BC" w:rsidRPr="00F44EB0" w:rsidRDefault="00FE09BC" w:rsidP="00FE09BC">
            <w:pPr>
              <w:ind w:right="-108"/>
              <w:jc w:val="center"/>
              <w:rPr>
                <w:sz w:val="22"/>
                <w:szCs w:val="22"/>
              </w:rPr>
            </w:pPr>
            <w:r w:rsidRPr="00F44EB0">
              <w:rPr>
                <w:sz w:val="22"/>
                <w:szCs w:val="22"/>
              </w:rPr>
              <w:t>FEDERAL PROGRAM</w:t>
            </w:r>
          </w:p>
        </w:tc>
        <w:tc>
          <w:tcPr>
            <w:tcW w:w="1080" w:type="dxa"/>
            <w:tcBorders>
              <w:top w:val="double" w:sz="4" w:space="0" w:color="auto"/>
              <w:bottom w:val="double" w:sz="4" w:space="0" w:color="auto"/>
            </w:tcBorders>
            <w:vAlign w:val="center"/>
          </w:tcPr>
          <w:p w:rsidR="00FE09BC" w:rsidRPr="00F44EB0" w:rsidRDefault="00FE09BC" w:rsidP="00FE09BC">
            <w:pPr>
              <w:ind w:right="-720"/>
              <w:jc w:val="center"/>
              <w:rPr>
                <w:sz w:val="22"/>
                <w:szCs w:val="22"/>
              </w:rPr>
            </w:pPr>
          </w:p>
          <w:p w:rsidR="00FE09BC" w:rsidRPr="00F44EB0" w:rsidRDefault="00FE09BC" w:rsidP="00FE09BC">
            <w:pPr>
              <w:ind w:right="-108"/>
              <w:jc w:val="center"/>
              <w:rPr>
                <w:sz w:val="22"/>
                <w:szCs w:val="22"/>
              </w:rPr>
            </w:pPr>
            <w:r w:rsidRPr="00F44EB0">
              <w:rPr>
                <w:sz w:val="22"/>
                <w:szCs w:val="22"/>
              </w:rPr>
              <w:t>TOTAL</w:t>
            </w:r>
          </w:p>
          <w:p w:rsidR="00FE09BC" w:rsidRPr="00F44EB0" w:rsidRDefault="00FE09BC" w:rsidP="00FE09BC">
            <w:pPr>
              <w:ind w:right="-108"/>
              <w:jc w:val="center"/>
              <w:rPr>
                <w:sz w:val="22"/>
                <w:szCs w:val="22"/>
              </w:rPr>
            </w:pPr>
            <w:r w:rsidRPr="00F44EB0">
              <w:rPr>
                <w:sz w:val="22"/>
                <w:szCs w:val="22"/>
              </w:rPr>
              <w:t>HOURS</w:t>
            </w:r>
          </w:p>
        </w:tc>
        <w:tc>
          <w:tcPr>
            <w:tcW w:w="1440" w:type="dxa"/>
            <w:tcBorders>
              <w:top w:val="double" w:sz="4" w:space="0" w:color="auto"/>
              <w:bottom w:val="double" w:sz="4" w:space="0" w:color="auto"/>
            </w:tcBorders>
            <w:vAlign w:val="center"/>
          </w:tcPr>
          <w:p w:rsidR="00FE09BC" w:rsidRPr="00F44EB0" w:rsidRDefault="00FE09BC" w:rsidP="00FE09BC">
            <w:pPr>
              <w:ind w:right="-720"/>
              <w:jc w:val="center"/>
              <w:rPr>
                <w:sz w:val="22"/>
                <w:szCs w:val="22"/>
              </w:rPr>
            </w:pPr>
          </w:p>
          <w:p w:rsidR="00FE09BC" w:rsidRPr="00F44EB0" w:rsidRDefault="00FE09BC" w:rsidP="00B77A1E">
            <w:pPr>
              <w:ind w:right="-108"/>
              <w:jc w:val="center"/>
              <w:rPr>
                <w:sz w:val="22"/>
                <w:szCs w:val="22"/>
              </w:rPr>
            </w:pPr>
            <w:r w:rsidRPr="00F44EB0">
              <w:rPr>
                <w:sz w:val="22"/>
                <w:szCs w:val="22"/>
              </w:rPr>
              <w:t>HOURLY COST $ (W/ BENEFITS)</w:t>
            </w:r>
          </w:p>
        </w:tc>
        <w:tc>
          <w:tcPr>
            <w:tcW w:w="1530" w:type="dxa"/>
            <w:tcBorders>
              <w:top w:val="double" w:sz="4" w:space="0" w:color="auto"/>
              <w:bottom w:val="double" w:sz="4" w:space="0" w:color="auto"/>
              <w:right w:val="double" w:sz="4" w:space="0" w:color="auto"/>
            </w:tcBorders>
            <w:vAlign w:val="center"/>
          </w:tcPr>
          <w:p w:rsidR="00FE09BC" w:rsidRPr="00F44EB0" w:rsidRDefault="00FE09BC" w:rsidP="00FE09BC">
            <w:pPr>
              <w:jc w:val="center"/>
              <w:rPr>
                <w:sz w:val="22"/>
                <w:szCs w:val="22"/>
              </w:rPr>
            </w:pPr>
            <w:r w:rsidRPr="00F44EB0">
              <w:rPr>
                <w:sz w:val="22"/>
                <w:szCs w:val="22"/>
              </w:rPr>
              <w:t>TOTAL FEDERAL COST $</w:t>
            </w:r>
          </w:p>
        </w:tc>
      </w:tr>
      <w:tr w:rsidR="00FE09BC" w:rsidRPr="00FE09BC" w:rsidTr="00B77A1E">
        <w:trPr>
          <w:trHeight w:val="432"/>
        </w:trPr>
        <w:tc>
          <w:tcPr>
            <w:tcW w:w="1260" w:type="dxa"/>
            <w:tcBorders>
              <w:left w:val="double" w:sz="4" w:space="0" w:color="auto"/>
            </w:tcBorders>
            <w:vAlign w:val="center"/>
          </w:tcPr>
          <w:p w:rsidR="00FE09BC" w:rsidRPr="00F44EB0" w:rsidRDefault="00FE09BC" w:rsidP="00FE09BC">
            <w:pPr>
              <w:ind w:right="-720"/>
              <w:jc w:val="center"/>
              <w:rPr>
                <w:sz w:val="22"/>
                <w:szCs w:val="22"/>
              </w:rPr>
            </w:pPr>
          </w:p>
        </w:tc>
        <w:tc>
          <w:tcPr>
            <w:tcW w:w="1440" w:type="dxa"/>
            <w:vAlign w:val="center"/>
          </w:tcPr>
          <w:p w:rsidR="00FE09BC" w:rsidRPr="00F44EB0" w:rsidRDefault="00FE09BC" w:rsidP="00FE09BC">
            <w:pPr>
              <w:ind w:right="-108"/>
              <w:jc w:val="center"/>
              <w:rPr>
                <w:sz w:val="22"/>
                <w:szCs w:val="22"/>
              </w:rPr>
            </w:pPr>
          </w:p>
        </w:tc>
        <w:tc>
          <w:tcPr>
            <w:tcW w:w="1170" w:type="dxa"/>
            <w:vAlign w:val="center"/>
          </w:tcPr>
          <w:p w:rsidR="00FE09BC" w:rsidRPr="00F44EB0" w:rsidRDefault="00FE09BC" w:rsidP="00F44EB0">
            <w:pPr>
              <w:ind w:right="-108"/>
              <w:jc w:val="center"/>
              <w:rPr>
                <w:sz w:val="22"/>
                <w:szCs w:val="22"/>
              </w:rPr>
            </w:pPr>
            <w:r w:rsidRPr="00F44EB0">
              <w:rPr>
                <w:sz w:val="22"/>
                <w:szCs w:val="22"/>
              </w:rPr>
              <w:t>Responses</w:t>
            </w:r>
          </w:p>
        </w:tc>
        <w:tc>
          <w:tcPr>
            <w:tcW w:w="1080" w:type="dxa"/>
            <w:vAlign w:val="center"/>
          </w:tcPr>
          <w:p w:rsidR="00FE09BC" w:rsidRPr="00F44EB0" w:rsidRDefault="00FE09BC" w:rsidP="00FE09BC">
            <w:pPr>
              <w:ind w:right="-108"/>
              <w:jc w:val="center"/>
              <w:rPr>
                <w:sz w:val="22"/>
                <w:szCs w:val="22"/>
              </w:rPr>
            </w:pPr>
            <w:r w:rsidRPr="00F44EB0">
              <w:rPr>
                <w:sz w:val="22"/>
                <w:szCs w:val="22"/>
              </w:rPr>
              <w:t>Hour Burden</w:t>
            </w:r>
          </w:p>
        </w:tc>
        <w:tc>
          <w:tcPr>
            <w:tcW w:w="1620" w:type="dxa"/>
            <w:vAlign w:val="center"/>
          </w:tcPr>
          <w:p w:rsidR="00FE09BC" w:rsidRPr="00F44EB0" w:rsidRDefault="00FE09BC" w:rsidP="00FE09BC">
            <w:pPr>
              <w:ind w:right="-108"/>
              <w:jc w:val="center"/>
              <w:rPr>
                <w:sz w:val="22"/>
                <w:szCs w:val="22"/>
              </w:rPr>
            </w:pPr>
            <w:r w:rsidRPr="00F44EB0">
              <w:rPr>
                <w:sz w:val="22"/>
                <w:szCs w:val="22"/>
              </w:rPr>
              <w:t>Total Burden Hours</w:t>
            </w:r>
          </w:p>
        </w:tc>
        <w:tc>
          <w:tcPr>
            <w:tcW w:w="1080" w:type="dxa"/>
            <w:vAlign w:val="center"/>
          </w:tcPr>
          <w:p w:rsidR="00FE09BC" w:rsidRPr="00F44EB0" w:rsidRDefault="00FE09BC" w:rsidP="00FE09BC">
            <w:pPr>
              <w:ind w:right="-108"/>
              <w:jc w:val="center"/>
              <w:rPr>
                <w:sz w:val="22"/>
                <w:szCs w:val="22"/>
              </w:rPr>
            </w:pPr>
          </w:p>
        </w:tc>
        <w:tc>
          <w:tcPr>
            <w:tcW w:w="1440" w:type="dxa"/>
            <w:vAlign w:val="center"/>
          </w:tcPr>
          <w:p w:rsidR="00FE09BC" w:rsidRPr="00F44EB0" w:rsidRDefault="00FE09BC" w:rsidP="00FE09BC">
            <w:pPr>
              <w:ind w:right="-108"/>
              <w:jc w:val="center"/>
              <w:rPr>
                <w:sz w:val="22"/>
                <w:szCs w:val="22"/>
              </w:rPr>
            </w:pPr>
          </w:p>
        </w:tc>
        <w:tc>
          <w:tcPr>
            <w:tcW w:w="1530" w:type="dxa"/>
            <w:tcBorders>
              <w:right w:val="double" w:sz="4" w:space="0" w:color="auto"/>
            </w:tcBorders>
            <w:vAlign w:val="center"/>
          </w:tcPr>
          <w:p w:rsidR="00FE09BC" w:rsidRPr="00F44EB0" w:rsidRDefault="00FE09BC" w:rsidP="00FE09BC">
            <w:pPr>
              <w:ind w:right="-108"/>
              <w:jc w:val="center"/>
              <w:rPr>
                <w:sz w:val="22"/>
                <w:szCs w:val="22"/>
              </w:rPr>
            </w:pPr>
          </w:p>
        </w:tc>
      </w:tr>
      <w:tr w:rsidR="00FE09BC" w:rsidRPr="00A2157C" w:rsidTr="00B77A1E">
        <w:trPr>
          <w:trHeight w:val="432"/>
        </w:trPr>
        <w:tc>
          <w:tcPr>
            <w:tcW w:w="1260" w:type="dxa"/>
            <w:tcBorders>
              <w:left w:val="double" w:sz="4" w:space="0" w:color="auto"/>
            </w:tcBorders>
            <w:vAlign w:val="center"/>
          </w:tcPr>
          <w:p w:rsidR="00FE09BC" w:rsidRPr="00A2157C" w:rsidRDefault="00FE09BC" w:rsidP="00FE09BC">
            <w:pPr>
              <w:ind w:right="-720"/>
              <w:rPr>
                <w:sz w:val="22"/>
                <w:szCs w:val="22"/>
              </w:rPr>
            </w:pPr>
            <w:r w:rsidRPr="00A2157C">
              <w:rPr>
                <w:sz w:val="22"/>
                <w:szCs w:val="22"/>
              </w:rPr>
              <w:t>774.12</w:t>
            </w:r>
          </w:p>
        </w:tc>
        <w:tc>
          <w:tcPr>
            <w:tcW w:w="1440" w:type="dxa"/>
            <w:vAlign w:val="center"/>
          </w:tcPr>
          <w:p w:rsidR="00FE09BC" w:rsidRPr="00A2157C" w:rsidRDefault="008C41F3" w:rsidP="00FE09BC">
            <w:pPr>
              <w:ind w:right="-108"/>
              <w:jc w:val="center"/>
              <w:rPr>
                <w:sz w:val="22"/>
                <w:szCs w:val="22"/>
              </w:rPr>
            </w:pPr>
            <w:r w:rsidRPr="00A2157C">
              <w:rPr>
                <w:sz w:val="22"/>
                <w:szCs w:val="22"/>
              </w:rPr>
              <w:t>16</w:t>
            </w:r>
          </w:p>
        </w:tc>
        <w:tc>
          <w:tcPr>
            <w:tcW w:w="1170" w:type="dxa"/>
            <w:vAlign w:val="center"/>
          </w:tcPr>
          <w:p w:rsidR="00FE09BC" w:rsidRPr="00A2157C" w:rsidRDefault="00FE09BC" w:rsidP="00FE09BC">
            <w:pPr>
              <w:ind w:right="-108"/>
              <w:jc w:val="center"/>
              <w:rPr>
                <w:sz w:val="22"/>
                <w:szCs w:val="22"/>
              </w:rPr>
            </w:pPr>
            <w:r w:rsidRPr="00A2157C">
              <w:rPr>
                <w:sz w:val="22"/>
                <w:szCs w:val="22"/>
              </w:rPr>
              <w:t>0</w:t>
            </w:r>
          </w:p>
        </w:tc>
        <w:tc>
          <w:tcPr>
            <w:tcW w:w="1080" w:type="dxa"/>
            <w:vAlign w:val="center"/>
          </w:tcPr>
          <w:p w:rsidR="00FE09BC" w:rsidRPr="00A2157C" w:rsidRDefault="00FE09BC" w:rsidP="00FE09BC">
            <w:pPr>
              <w:ind w:right="-108"/>
              <w:jc w:val="center"/>
              <w:rPr>
                <w:sz w:val="22"/>
                <w:szCs w:val="22"/>
              </w:rPr>
            </w:pPr>
            <w:r w:rsidRPr="00A2157C">
              <w:rPr>
                <w:sz w:val="22"/>
                <w:szCs w:val="22"/>
              </w:rPr>
              <w:t>0</w:t>
            </w:r>
          </w:p>
        </w:tc>
        <w:tc>
          <w:tcPr>
            <w:tcW w:w="1620" w:type="dxa"/>
            <w:vAlign w:val="center"/>
          </w:tcPr>
          <w:p w:rsidR="00FE09BC" w:rsidRPr="00A2157C" w:rsidRDefault="00FE09BC" w:rsidP="00FE09BC">
            <w:pPr>
              <w:ind w:right="-108"/>
              <w:jc w:val="center"/>
              <w:rPr>
                <w:sz w:val="22"/>
                <w:szCs w:val="22"/>
              </w:rPr>
            </w:pPr>
            <w:r w:rsidRPr="00A2157C">
              <w:rPr>
                <w:sz w:val="22"/>
                <w:szCs w:val="22"/>
              </w:rPr>
              <w:fldChar w:fldCharType="begin"/>
            </w:r>
            <w:r w:rsidRPr="00A2157C">
              <w:rPr>
                <w:sz w:val="22"/>
                <w:szCs w:val="22"/>
              </w:rPr>
              <w:instrText xml:space="preserve"> =SUM(ABOVE) </w:instrText>
            </w:r>
            <w:r w:rsidRPr="00A2157C">
              <w:rPr>
                <w:sz w:val="22"/>
                <w:szCs w:val="22"/>
              </w:rPr>
              <w:fldChar w:fldCharType="end"/>
            </w:r>
            <w:r w:rsidRPr="00A2157C">
              <w:rPr>
                <w:sz w:val="22"/>
                <w:szCs w:val="22"/>
              </w:rPr>
              <w:t>0</w:t>
            </w:r>
          </w:p>
        </w:tc>
        <w:tc>
          <w:tcPr>
            <w:tcW w:w="1080" w:type="dxa"/>
            <w:vAlign w:val="center"/>
          </w:tcPr>
          <w:p w:rsidR="00FE09BC" w:rsidRPr="00A2157C" w:rsidRDefault="008C41F3" w:rsidP="00FE09BC">
            <w:pPr>
              <w:ind w:right="-108"/>
              <w:jc w:val="center"/>
              <w:rPr>
                <w:sz w:val="22"/>
                <w:szCs w:val="22"/>
              </w:rPr>
            </w:pPr>
            <w:r w:rsidRPr="00A2157C">
              <w:rPr>
                <w:sz w:val="22"/>
                <w:szCs w:val="22"/>
              </w:rPr>
              <w:t>16</w:t>
            </w:r>
          </w:p>
        </w:tc>
        <w:tc>
          <w:tcPr>
            <w:tcW w:w="1440" w:type="dxa"/>
            <w:vAlign w:val="center"/>
          </w:tcPr>
          <w:p w:rsidR="00FE09BC" w:rsidRPr="00A2157C" w:rsidRDefault="00372F78" w:rsidP="00372F78">
            <w:pPr>
              <w:ind w:right="-108"/>
              <w:jc w:val="center"/>
              <w:rPr>
                <w:sz w:val="22"/>
                <w:szCs w:val="22"/>
              </w:rPr>
            </w:pPr>
            <w:r w:rsidRPr="00A2157C">
              <w:rPr>
                <w:sz w:val="22"/>
                <w:szCs w:val="22"/>
              </w:rPr>
              <w:t>56.07</w:t>
            </w:r>
          </w:p>
        </w:tc>
        <w:tc>
          <w:tcPr>
            <w:tcW w:w="1530" w:type="dxa"/>
            <w:tcBorders>
              <w:right w:val="double" w:sz="4" w:space="0" w:color="auto"/>
            </w:tcBorders>
            <w:vAlign w:val="center"/>
          </w:tcPr>
          <w:p w:rsidR="00FE09BC" w:rsidRPr="00A2157C" w:rsidRDefault="00B77A1E" w:rsidP="00FE09BC">
            <w:pPr>
              <w:ind w:right="-108"/>
              <w:jc w:val="center"/>
              <w:rPr>
                <w:sz w:val="22"/>
                <w:szCs w:val="22"/>
              </w:rPr>
            </w:pPr>
            <w:r w:rsidRPr="00A2157C">
              <w:rPr>
                <w:sz w:val="22"/>
                <w:szCs w:val="22"/>
              </w:rPr>
              <w:t>897</w:t>
            </w:r>
          </w:p>
        </w:tc>
      </w:tr>
      <w:tr w:rsidR="00372F78" w:rsidRPr="00A2157C" w:rsidTr="00B77A1E">
        <w:trPr>
          <w:trHeight w:val="432"/>
        </w:trPr>
        <w:tc>
          <w:tcPr>
            <w:tcW w:w="1260" w:type="dxa"/>
            <w:tcBorders>
              <w:left w:val="double" w:sz="4" w:space="0" w:color="auto"/>
            </w:tcBorders>
            <w:vAlign w:val="center"/>
          </w:tcPr>
          <w:p w:rsidR="00372F78" w:rsidRPr="00A2157C" w:rsidRDefault="00372F78" w:rsidP="00FE09BC">
            <w:pPr>
              <w:ind w:right="-720"/>
              <w:rPr>
                <w:sz w:val="22"/>
                <w:szCs w:val="22"/>
              </w:rPr>
            </w:pPr>
            <w:r w:rsidRPr="00A2157C">
              <w:rPr>
                <w:sz w:val="22"/>
                <w:szCs w:val="22"/>
              </w:rPr>
              <w:t>774.13-</w:t>
            </w:r>
          </w:p>
          <w:p w:rsidR="00372F78" w:rsidRPr="00A2157C" w:rsidRDefault="00372F78" w:rsidP="00FE09BC">
            <w:pPr>
              <w:ind w:right="-720"/>
              <w:rPr>
                <w:sz w:val="22"/>
                <w:szCs w:val="22"/>
              </w:rPr>
            </w:pPr>
            <w:r w:rsidRPr="00A2157C">
              <w:rPr>
                <w:sz w:val="22"/>
                <w:szCs w:val="22"/>
              </w:rPr>
              <w:t>revisions</w:t>
            </w:r>
          </w:p>
        </w:tc>
        <w:tc>
          <w:tcPr>
            <w:tcW w:w="1440" w:type="dxa"/>
            <w:vAlign w:val="center"/>
          </w:tcPr>
          <w:p w:rsidR="00372F78" w:rsidRPr="00A2157C" w:rsidDel="00C34E57" w:rsidRDefault="00372F78" w:rsidP="00FE09BC">
            <w:pPr>
              <w:ind w:right="-108"/>
              <w:jc w:val="center"/>
              <w:rPr>
                <w:sz w:val="22"/>
                <w:szCs w:val="22"/>
              </w:rPr>
            </w:pPr>
            <w:r w:rsidRPr="00A2157C">
              <w:rPr>
                <w:sz w:val="22"/>
                <w:szCs w:val="22"/>
              </w:rPr>
              <w:t>80</w:t>
            </w:r>
          </w:p>
        </w:tc>
        <w:tc>
          <w:tcPr>
            <w:tcW w:w="1170" w:type="dxa"/>
            <w:vAlign w:val="center"/>
          </w:tcPr>
          <w:p w:rsidR="00372F78" w:rsidRPr="00A2157C" w:rsidRDefault="00372F78" w:rsidP="00FE09BC">
            <w:pPr>
              <w:ind w:right="-108"/>
              <w:jc w:val="center"/>
              <w:rPr>
                <w:sz w:val="22"/>
                <w:szCs w:val="22"/>
              </w:rPr>
            </w:pPr>
            <w:r w:rsidRPr="00A2157C">
              <w:rPr>
                <w:sz w:val="22"/>
                <w:szCs w:val="22"/>
              </w:rPr>
              <w:t>147</w:t>
            </w:r>
          </w:p>
        </w:tc>
        <w:tc>
          <w:tcPr>
            <w:tcW w:w="1080" w:type="dxa"/>
            <w:vAlign w:val="center"/>
          </w:tcPr>
          <w:p w:rsidR="00372F78" w:rsidRPr="00A2157C" w:rsidRDefault="00372F78" w:rsidP="00FE09BC">
            <w:pPr>
              <w:ind w:right="-108"/>
              <w:jc w:val="center"/>
              <w:rPr>
                <w:sz w:val="22"/>
                <w:szCs w:val="22"/>
              </w:rPr>
            </w:pPr>
            <w:r w:rsidRPr="00A2157C">
              <w:rPr>
                <w:sz w:val="22"/>
                <w:szCs w:val="22"/>
              </w:rPr>
              <w:t>16</w:t>
            </w:r>
          </w:p>
        </w:tc>
        <w:tc>
          <w:tcPr>
            <w:tcW w:w="1620" w:type="dxa"/>
            <w:vAlign w:val="center"/>
          </w:tcPr>
          <w:p w:rsidR="00372F78" w:rsidRPr="00A2157C" w:rsidRDefault="00372F78" w:rsidP="00AE0910">
            <w:pPr>
              <w:ind w:right="-108"/>
              <w:jc w:val="center"/>
              <w:rPr>
                <w:sz w:val="22"/>
                <w:szCs w:val="22"/>
              </w:rPr>
            </w:pPr>
            <w:r w:rsidRPr="00A2157C">
              <w:rPr>
                <w:sz w:val="22"/>
                <w:szCs w:val="22"/>
              </w:rPr>
              <w:t>2,</w:t>
            </w:r>
            <w:r w:rsidR="00AE0910" w:rsidRPr="00A2157C">
              <w:rPr>
                <w:sz w:val="22"/>
                <w:szCs w:val="22"/>
              </w:rPr>
              <w:t>352</w:t>
            </w:r>
          </w:p>
        </w:tc>
        <w:tc>
          <w:tcPr>
            <w:tcW w:w="1080" w:type="dxa"/>
            <w:vAlign w:val="center"/>
          </w:tcPr>
          <w:p w:rsidR="00372F78" w:rsidRPr="00A2157C" w:rsidDel="00C34E57" w:rsidRDefault="00372F78" w:rsidP="00AE0910">
            <w:pPr>
              <w:ind w:right="-108"/>
              <w:jc w:val="center"/>
              <w:rPr>
                <w:sz w:val="22"/>
                <w:szCs w:val="22"/>
              </w:rPr>
            </w:pPr>
            <w:r w:rsidRPr="00A2157C">
              <w:rPr>
                <w:sz w:val="22"/>
                <w:szCs w:val="22"/>
              </w:rPr>
              <w:t>2,</w:t>
            </w:r>
            <w:r w:rsidR="00AE0910" w:rsidRPr="00A2157C">
              <w:rPr>
                <w:sz w:val="22"/>
                <w:szCs w:val="22"/>
              </w:rPr>
              <w:t>432</w:t>
            </w:r>
          </w:p>
        </w:tc>
        <w:tc>
          <w:tcPr>
            <w:tcW w:w="1440" w:type="dxa"/>
            <w:tcBorders>
              <w:bottom w:val="single" w:sz="4" w:space="0" w:color="auto"/>
            </w:tcBorders>
            <w:vAlign w:val="center"/>
          </w:tcPr>
          <w:p w:rsidR="00372F78" w:rsidRPr="00A2157C" w:rsidRDefault="00372F78" w:rsidP="00372F78">
            <w:pPr>
              <w:jc w:val="center"/>
            </w:pPr>
            <w:r w:rsidRPr="00A2157C">
              <w:rPr>
                <w:sz w:val="22"/>
                <w:szCs w:val="22"/>
              </w:rPr>
              <w:t>56.07</w:t>
            </w:r>
          </w:p>
        </w:tc>
        <w:tc>
          <w:tcPr>
            <w:tcW w:w="1530" w:type="dxa"/>
            <w:tcBorders>
              <w:right w:val="double" w:sz="4" w:space="0" w:color="auto"/>
            </w:tcBorders>
            <w:vAlign w:val="center"/>
          </w:tcPr>
          <w:p w:rsidR="00372F78" w:rsidRPr="00A2157C" w:rsidDel="00C34E57" w:rsidRDefault="00372F78" w:rsidP="00AE0910">
            <w:pPr>
              <w:ind w:right="-108"/>
              <w:jc w:val="center"/>
              <w:rPr>
                <w:sz w:val="22"/>
                <w:szCs w:val="22"/>
              </w:rPr>
            </w:pPr>
            <w:r w:rsidRPr="00A2157C">
              <w:rPr>
                <w:sz w:val="22"/>
                <w:szCs w:val="22"/>
              </w:rPr>
              <w:t>1</w:t>
            </w:r>
            <w:r w:rsidR="00AE0910" w:rsidRPr="00A2157C">
              <w:rPr>
                <w:sz w:val="22"/>
                <w:szCs w:val="22"/>
              </w:rPr>
              <w:t>3</w:t>
            </w:r>
            <w:r w:rsidRPr="00A2157C">
              <w:rPr>
                <w:sz w:val="22"/>
                <w:szCs w:val="22"/>
              </w:rPr>
              <w:t>6,</w:t>
            </w:r>
            <w:r w:rsidR="00AE0910" w:rsidRPr="00A2157C">
              <w:rPr>
                <w:sz w:val="22"/>
                <w:szCs w:val="22"/>
              </w:rPr>
              <w:t>362</w:t>
            </w:r>
          </w:p>
        </w:tc>
      </w:tr>
      <w:tr w:rsidR="00372F78" w:rsidRPr="00A2157C" w:rsidTr="00B77A1E">
        <w:trPr>
          <w:trHeight w:val="432"/>
        </w:trPr>
        <w:tc>
          <w:tcPr>
            <w:tcW w:w="1260" w:type="dxa"/>
            <w:tcBorders>
              <w:left w:val="double" w:sz="4" w:space="0" w:color="auto"/>
            </w:tcBorders>
            <w:vAlign w:val="center"/>
          </w:tcPr>
          <w:p w:rsidR="00372F78" w:rsidRPr="00A2157C" w:rsidRDefault="00372F78" w:rsidP="00FE09BC">
            <w:pPr>
              <w:ind w:right="-720"/>
              <w:rPr>
                <w:sz w:val="22"/>
                <w:szCs w:val="22"/>
              </w:rPr>
            </w:pPr>
            <w:r w:rsidRPr="00A2157C">
              <w:rPr>
                <w:sz w:val="22"/>
                <w:szCs w:val="22"/>
              </w:rPr>
              <w:t>774.15-</w:t>
            </w:r>
          </w:p>
          <w:p w:rsidR="00372F78" w:rsidRPr="00A2157C" w:rsidRDefault="00372F78" w:rsidP="00FE09BC">
            <w:pPr>
              <w:ind w:right="-720"/>
              <w:rPr>
                <w:sz w:val="22"/>
                <w:szCs w:val="22"/>
              </w:rPr>
            </w:pPr>
            <w:r w:rsidRPr="00A2157C">
              <w:rPr>
                <w:sz w:val="22"/>
                <w:szCs w:val="22"/>
              </w:rPr>
              <w:t>renewals</w:t>
            </w:r>
          </w:p>
        </w:tc>
        <w:tc>
          <w:tcPr>
            <w:tcW w:w="1440" w:type="dxa"/>
            <w:vAlign w:val="center"/>
          </w:tcPr>
          <w:p w:rsidR="00372F78" w:rsidRPr="00A2157C" w:rsidRDefault="00372F78" w:rsidP="00FE09BC">
            <w:pPr>
              <w:ind w:right="-108"/>
              <w:jc w:val="center"/>
              <w:rPr>
                <w:sz w:val="22"/>
                <w:szCs w:val="22"/>
              </w:rPr>
            </w:pPr>
            <w:r w:rsidRPr="00A2157C">
              <w:rPr>
                <w:sz w:val="22"/>
                <w:szCs w:val="22"/>
              </w:rPr>
              <w:t>80</w:t>
            </w:r>
          </w:p>
        </w:tc>
        <w:tc>
          <w:tcPr>
            <w:tcW w:w="1170" w:type="dxa"/>
            <w:vAlign w:val="center"/>
          </w:tcPr>
          <w:p w:rsidR="00372F78" w:rsidRPr="00A2157C" w:rsidRDefault="00372F78" w:rsidP="00FE09BC">
            <w:pPr>
              <w:ind w:right="-108"/>
              <w:jc w:val="center"/>
              <w:rPr>
                <w:sz w:val="22"/>
                <w:szCs w:val="22"/>
              </w:rPr>
            </w:pPr>
            <w:r w:rsidRPr="00A2157C">
              <w:rPr>
                <w:sz w:val="22"/>
                <w:szCs w:val="22"/>
              </w:rPr>
              <w:t>7</w:t>
            </w:r>
          </w:p>
        </w:tc>
        <w:tc>
          <w:tcPr>
            <w:tcW w:w="1080" w:type="dxa"/>
            <w:vAlign w:val="center"/>
          </w:tcPr>
          <w:p w:rsidR="00372F78" w:rsidRPr="00A2157C" w:rsidRDefault="00372F78" w:rsidP="00FE09BC">
            <w:pPr>
              <w:ind w:right="-108"/>
              <w:jc w:val="center"/>
              <w:rPr>
                <w:sz w:val="22"/>
                <w:szCs w:val="22"/>
              </w:rPr>
            </w:pPr>
            <w:r w:rsidRPr="00A2157C">
              <w:rPr>
                <w:sz w:val="22"/>
                <w:szCs w:val="22"/>
              </w:rPr>
              <w:t>87</w:t>
            </w:r>
          </w:p>
        </w:tc>
        <w:tc>
          <w:tcPr>
            <w:tcW w:w="1620" w:type="dxa"/>
            <w:vAlign w:val="center"/>
          </w:tcPr>
          <w:p w:rsidR="00372F78" w:rsidRPr="00A2157C" w:rsidRDefault="00372F78" w:rsidP="00FE09BC">
            <w:pPr>
              <w:ind w:right="-108"/>
              <w:jc w:val="center"/>
              <w:rPr>
                <w:sz w:val="22"/>
                <w:szCs w:val="22"/>
              </w:rPr>
            </w:pPr>
            <w:r w:rsidRPr="00A2157C">
              <w:rPr>
                <w:sz w:val="22"/>
                <w:szCs w:val="22"/>
              </w:rPr>
              <w:t>612*</w:t>
            </w:r>
          </w:p>
        </w:tc>
        <w:tc>
          <w:tcPr>
            <w:tcW w:w="1080" w:type="dxa"/>
            <w:tcBorders>
              <w:bottom w:val="single" w:sz="4" w:space="0" w:color="auto"/>
            </w:tcBorders>
            <w:vAlign w:val="center"/>
          </w:tcPr>
          <w:p w:rsidR="00372F78" w:rsidRPr="00A2157C" w:rsidRDefault="00372F78" w:rsidP="00FE09BC">
            <w:pPr>
              <w:ind w:right="-108"/>
              <w:jc w:val="center"/>
              <w:rPr>
                <w:sz w:val="22"/>
                <w:szCs w:val="22"/>
              </w:rPr>
            </w:pPr>
            <w:r w:rsidRPr="00A2157C">
              <w:rPr>
                <w:sz w:val="22"/>
                <w:szCs w:val="22"/>
              </w:rPr>
              <w:t>692</w:t>
            </w:r>
          </w:p>
        </w:tc>
        <w:tc>
          <w:tcPr>
            <w:tcW w:w="1440" w:type="dxa"/>
            <w:tcBorders>
              <w:bottom w:val="single" w:sz="4" w:space="0" w:color="auto"/>
            </w:tcBorders>
            <w:vAlign w:val="center"/>
          </w:tcPr>
          <w:p w:rsidR="00372F78" w:rsidRPr="00A2157C" w:rsidRDefault="00372F78" w:rsidP="00372F78">
            <w:pPr>
              <w:jc w:val="center"/>
            </w:pPr>
            <w:r w:rsidRPr="00A2157C">
              <w:rPr>
                <w:sz w:val="22"/>
                <w:szCs w:val="22"/>
              </w:rPr>
              <w:t>56.07</w:t>
            </w:r>
          </w:p>
        </w:tc>
        <w:tc>
          <w:tcPr>
            <w:tcW w:w="1530" w:type="dxa"/>
            <w:tcBorders>
              <w:right w:val="double" w:sz="4" w:space="0" w:color="auto"/>
            </w:tcBorders>
            <w:vAlign w:val="center"/>
          </w:tcPr>
          <w:p w:rsidR="00372F78" w:rsidRPr="00A2157C" w:rsidRDefault="00A2157C" w:rsidP="00A2157C">
            <w:pPr>
              <w:ind w:right="-108"/>
              <w:jc w:val="center"/>
              <w:rPr>
                <w:sz w:val="22"/>
                <w:szCs w:val="22"/>
              </w:rPr>
            </w:pPr>
            <w:r w:rsidRPr="00A2157C">
              <w:rPr>
                <w:sz w:val="22"/>
                <w:szCs w:val="22"/>
              </w:rPr>
              <w:t>38</w:t>
            </w:r>
            <w:r w:rsidR="00372F78" w:rsidRPr="00A2157C">
              <w:rPr>
                <w:sz w:val="22"/>
                <w:szCs w:val="22"/>
              </w:rPr>
              <w:t>,</w:t>
            </w:r>
            <w:r w:rsidRPr="00A2157C">
              <w:rPr>
                <w:sz w:val="22"/>
                <w:szCs w:val="22"/>
              </w:rPr>
              <w:t>800</w:t>
            </w:r>
          </w:p>
        </w:tc>
      </w:tr>
      <w:tr w:rsidR="00372F78" w:rsidRPr="00A2157C" w:rsidTr="00B77A1E">
        <w:trPr>
          <w:trHeight w:val="432"/>
        </w:trPr>
        <w:tc>
          <w:tcPr>
            <w:tcW w:w="1260" w:type="dxa"/>
            <w:tcBorders>
              <w:left w:val="double" w:sz="4" w:space="0" w:color="auto"/>
            </w:tcBorders>
            <w:vAlign w:val="center"/>
          </w:tcPr>
          <w:p w:rsidR="00372F78" w:rsidRPr="00A2157C" w:rsidRDefault="00372F78" w:rsidP="00FE09BC">
            <w:pPr>
              <w:ind w:right="-720"/>
              <w:rPr>
                <w:sz w:val="22"/>
                <w:szCs w:val="22"/>
              </w:rPr>
            </w:pPr>
            <w:r w:rsidRPr="00A2157C">
              <w:rPr>
                <w:sz w:val="22"/>
                <w:szCs w:val="22"/>
              </w:rPr>
              <w:t>774.17-</w:t>
            </w:r>
          </w:p>
          <w:p w:rsidR="00372F78" w:rsidRPr="00A2157C" w:rsidRDefault="00372F78" w:rsidP="00FE09BC">
            <w:pPr>
              <w:ind w:right="-720"/>
              <w:rPr>
                <w:sz w:val="22"/>
                <w:szCs w:val="22"/>
              </w:rPr>
            </w:pPr>
            <w:r w:rsidRPr="00A2157C">
              <w:rPr>
                <w:sz w:val="22"/>
                <w:szCs w:val="22"/>
              </w:rPr>
              <w:t>TAS</w:t>
            </w:r>
          </w:p>
        </w:tc>
        <w:tc>
          <w:tcPr>
            <w:tcW w:w="1440" w:type="dxa"/>
            <w:vAlign w:val="center"/>
          </w:tcPr>
          <w:p w:rsidR="00372F78" w:rsidRPr="00A2157C" w:rsidRDefault="00372F78" w:rsidP="00FE09BC">
            <w:pPr>
              <w:ind w:right="-108"/>
              <w:jc w:val="center"/>
              <w:rPr>
                <w:sz w:val="22"/>
                <w:szCs w:val="22"/>
              </w:rPr>
            </w:pPr>
            <w:r w:rsidRPr="00A2157C">
              <w:rPr>
                <w:sz w:val="22"/>
                <w:szCs w:val="22"/>
              </w:rPr>
              <w:t>80</w:t>
            </w:r>
          </w:p>
        </w:tc>
        <w:tc>
          <w:tcPr>
            <w:tcW w:w="1170" w:type="dxa"/>
            <w:vAlign w:val="center"/>
          </w:tcPr>
          <w:p w:rsidR="00372F78" w:rsidRPr="00A2157C" w:rsidRDefault="00372F78" w:rsidP="00FE09BC">
            <w:pPr>
              <w:ind w:right="-108"/>
              <w:jc w:val="center"/>
              <w:rPr>
                <w:sz w:val="22"/>
                <w:szCs w:val="22"/>
              </w:rPr>
            </w:pPr>
            <w:r w:rsidRPr="00A2157C">
              <w:rPr>
                <w:sz w:val="22"/>
                <w:szCs w:val="22"/>
              </w:rPr>
              <w:t>13</w:t>
            </w:r>
          </w:p>
        </w:tc>
        <w:tc>
          <w:tcPr>
            <w:tcW w:w="1080" w:type="dxa"/>
            <w:vAlign w:val="center"/>
          </w:tcPr>
          <w:p w:rsidR="00372F78" w:rsidRPr="00A2157C" w:rsidRDefault="00372F78" w:rsidP="00FE09BC">
            <w:pPr>
              <w:ind w:right="-108"/>
              <w:jc w:val="center"/>
              <w:rPr>
                <w:sz w:val="22"/>
                <w:szCs w:val="22"/>
              </w:rPr>
            </w:pPr>
            <w:r w:rsidRPr="00A2157C">
              <w:rPr>
                <w:sz w:val="22"/>
                <w:szCs w:val="22"/>
              </w:rPr>
              <w:t>8.5</w:t>
            </w:r>
          </w:p>
        </w:tc>
        <w:tc>
          <w:tcPr>
            <w:tcW w:w="1620" w:type="dxa"/>
            <w:vAlign w:val="center"/>
          </w:tcPr>
          <w:p w:rsidR="00372F78" w:rsidRPr="00A2157C" w:rsidRDefault="00372F78" w:rsidP="00AE0910">
            <w:pPr>
              <w:ind w:right="-108"/>
              <w:jc w:val="center"/>
              <w:rPr>
                <w:sz w:val="22"/>
                <w:szCs w:val="22"/>
              </w:rPr>
            </w:pPr>
            <w:r w:rsidRPr="00A2157C">
              <w:rPr>
                <w:sz w:val="22"/>
                <w:szCs w:val="22"/>
              </w:rPr>
              <w:t>11</w:t>
            </w:r>
            <w:r w:rsidR="00AE0910" w:rsidRPr="00A2157C">
              <w:rPr>
                <w:sz w:val="22"/>
                <w:szCs w:val="22"/>
              </w:rPr>
              <w:t>1</w:t>
            </w:r>
          </w:p>
        </w:tc>
        <w:tc>
          <w:tcPr>
            <w:tcW w:w="1080" w:type="dxa"/>
            <w:vAlign w:val="center"/>
          </w:tcPr>
          <w:p w:rsidR="00372F78" w:rsidRPr="00A2157C" w:rsidRDefault="00372F78" w:rsidP="00AE0910">
            <w:pPr>
              <w:ind w:right="-108"/>
              <w:jc w:val="center"/>
              <w:rPr>
                <w:sz w:val="22"/>
                <w:szCs w:val="22"/>
              </w:rPr>
            </w:pPr>
            <w:r w:rsidRPr="00A2157C">
              <w:rPr>
                <w:sz w:val="22"/>
                <w:szCs w:val="22"/>
              </w:rPr>
              <w:t>19</w:t>
            </w:r>
            <w:r w:rsidR="00AE0910" w:rsidRPr="00A2157C">
              <w:rPr>
                <w:sz w:val="22"/>
                <w:szCs w:val="22"/>
              </w:rPr>
              <w:t>1</w:t>
            </w:r>
          </w:p>
        </w:tc>
        <w:tc>
          <w:tcPr>
            <w:tcW w:w="1440" w:type="dxa"/>
            <w:tcBorders>
              <w:top w:val="single" w:sz="4" w:space="0" w:color="auto"/>
            </w:tcBorders>
            <w:vAlign w:val="center"/>
          </w:tcPr>
          <w:p w:rsidR="00372F78" w:rsidRPr="00A2157C" w:rsidRDefault="00372F78" w:rsidP="00372F78">
            <w:pPr>
              <w:jc w:val="center"/>
            </w:pPr>
            <w:r w:rsidRPr="00A2157C">
              <w:rPr>
                <w:sz w:val="22"/>
                <w:szCs w:val="22"/>
              </w:rPr>
              <w:t>56.07</w:t>
            </w:r>
          </w:p>
        </w:tc>
        <w:tc>
          <w:tcPr>
            <w:tcW w:w="1530" w:type="dxa"/>
            <w:tcBorders>
              <w:right w:val="double" w:sz="4" w:space="0" w:color="auto"/>
            </w:tcBorders>
            <w:vAlign w:val="center"/>
          </w:tcPr>
          <w:p w:rsidR="00372F78" w:rsidRPr="00A2157C" w:rsidRDefault="00372F78" w:rsidP="00AE0910">
            <w:pPr>
              <w:ind w:right="-108"/>
              <w:jc w:val="center"/>
              <w:rPr>
                <w:sz w:val="22"/>
                <w:szCs w:val="22"/>
              </w:rPr>
            </w:pPr>
            <w:r w:rsidRPr="00A2157C">
              <w:rPr>
                <w:sz w:val="22"/>
                <w:szCs w:val="22"/>
              </w:rPr>
              <w:t>1</w:t>
            </w:r>
            <w:r w:rsidR="00AE0910" w:rsidRPr="00A2157C">
              <w:rPr>
                <w:sz w:val="22"/>
                <w:szCs w:val="22"/>
              </w:rPr>
              <w:t>0</w:t>
            </w:r>
            <w:r w:rsidRPr="00A2157C">
              <w:rPr>
                <w:sz w:val="22"/>
                <w:szCs w:val="22"/>
              </w:rPr>
              <w:t>,</w:t>
            </w:r>
            <w:r w:rsidR="00AE0910" w:rsidRPr="00A2157C">
              <w:rPr>
                <w:sz w:val="22"/>
                <w:szCs w:val="22"/>
              </w:rPr>
              <w:t>709</w:t>
            </w:r>
          </w:p>
        </w:tc>
      </w:tr>
      <w:tr w:rsidR="00372F78" w:rsidRPr="00A2157C" w:rsidTr="00B77A1E">
        <w:trPr>
          <w:trHeight w:val="432"/>
        </w:trPr>
        <w:tc>
          <w:tcPr>
            <w:tcW w:w="1260" w:type="dxa"/>
            <w:tcBorders>
              <w:left w:val="double" w:sz="4" w:space="0" w:color="auto"/>
              <w:bottom w:val="double" w:sz="4" w:space="0" w:color="auto"/>
            </w:tcBorders>
            <w:vAlign w:val="center"/>
          </w:tcPr>
          <w:p w:rsidR="00372F78" w:rsidRPr="00A2157C" w:rsidRDefault="00372F78" w:rsidP="00FE09BC">
            <w:pPr>
              <w:ind w:right="-720"/>
              <w:rPr>
                <w:sz w:val="22"/>
                <w:szCs w:val="22"/>
              </w:rPr>
            </w:pPr>
            <w:r w:rsidRPr="00A2157C">
              <w:rPr>
                <w:sz w:val="22"/>
                <w:szCs w:val="22"/>
              </w:rPr>
              <w:t>TOTALS</w:t>
            </w:r>
          </w:p>
        </w:tc>
        <w:tc>
          <w:tcPr>
            <w:tcW w:w="1440" w:type="dxa"/>
            <w:tcBorders>
              <w:bottom w:val="double" w:sz="4" w:space="0" w:color="auto"/>
            </w:tcBorders>
            <w:vAlign w:val="center"/>
          </w:tcPr>
          <w:p w:rsidR="00372F78" w:rsidRPr="00A2157C" w:rsidRDefault="00372F78" w:rsidP="008C41F3">
            <w:pPr>
              <w:ind w:right="-78"/>
              <w:jc w:val="center"/>
              <w:rPr>
                <w:sz w:val="22"/>
                <w:szCs w:val="22"/>
              </w:rPr>
            </w:pPr>
            <w:r w:rsidRPr="00A2157C">
              <w:rPr>
                <w:sz w:val="22"/>
                <w:szCs w:val="22"/>
              </w:rPr>
              <w:fldChar w:fldCharType="begin"/>
            </w:r>
            <w:r w:rsidRPr="00A2157C">
              <w:rPr>
                <w:sz w:val="22"/>
                <w:szCs w:val="22"/>
              </w:rPr>
              <w:instrText xml:space="preserve"> =SUM(ABOVE) </w:instrText>
            </w:r>
            <w:r w:rsidRPr="00A2157C">
              <w:rPr>
                <w:sz w:val="22"/>
                <w:szCs w:val="22"/>
              </w:rPr>
              <w:fldChar w:fldCharType="separate"/>
            </w:r>
            <w:r w:rsidRPr="00A2157C">
              <w:rPr>
                <w:noProof/>
                <w:sz w:val="22"/>
                <w:szCs w:val="22"/>
              </w:rPr>
              <w:t>256</w:t>
            </w:r>
            <w:r w:rsidRPr="00A2157C">
              <w:rPr>
                <w:sz w:val="22"/>
                <w:szCs w:val="22"/>
              </w:rPr>
              <w:fldChar w:fldCharType="end"/>
            </w:r>
          </w:p>
        </w:tc>
        <w:tc>
          <w:tcPr>
            <w:tcW w:w="1170" w:type="dxa"/>
            <w:tcBorders>
              <w:bottom w:val="double" w:sz="4" w:space="0" w:color="auto"/>
            </w:tcBorders>
            <w:vAlign w:val="center"/>
          </w:tcPr>
          <w:p w:rsidR="00372F78" w:rsidRPr="00A2157C" w:rsidRDefault="00A2157C" w:rsidP="00966B82">
            <w:pPr>
              <w:ind w:right="-108"/>
              <w:jc w:val="center"/>
              <w:rPr>
                <w:sz w:val="22"/>
                <w:szCs w:val="22"/>
              </w:rPr>
            </w:pPr>
            <w:r w:rsidRPr="00A2157C">
              <w:rPr>
                <w:sz w:val="22"/>
                <w:szCs w:val="22"/>
              </w:rPr>
              <w:fldChar w:fldCharType="begin"/>
            </w:r>
            <w:r w:rsidRPr="00A2157C">
              <w:rPr>
                <w:sz w:val="22"/>
                <w:szCs w:val="22"/>
              </w:rPr>
              <w:instrText xml:space="preserve"> =SUM(ABOVE) </w:instrText>
            </w:r>
            <w:r w:rsidRPr="00A2157C">
              <w:rPr>
                <w:sz w:val="22"/>
                <w:szCs w:val="22"/>
              </w:rPr>
              <w:fldChar w:fldCharType="separate"/>
            </w:r>
            <w:r w:rsidRPr="00A2157C">
              <w:rPr>
                <w:noProof/>
                <w:sz w:val="22"/>
                <w:szCs w:val="22"/>
              </w:rPr>
              <w:t>167</w:t>
            </w:r>
            <w:r w:rsidRPr="00A2157C">
              <w:rPr>
                <w:sz w:val="22"/>
                <w:szCs w:val="22"/>
              </w:rPr>
              <w:fldChar w:fldCharType="end"/>
            </w:r>
          </w:p>
        </w:tc>
        <w:tc>
          <w:tcPr>
            <w:tcW w:w="1080" w:type="dxa"/>
            <w:tcBorders>
              <w:bottom w:val="double" w:sz="4" w:space="0" w:color="auto"/>
            </w:tcBorders>
            <w:vAlign w:val="center"/>
          </w:tcPr>
          <w:p w:rsidR="00372F78" w:rsidRPr="00A2157C" w:rsidRDefault="00372F78" w:rsidP="00FE09BC">
            <w:pPr>
              <w:ind w:right="-108"/>
              <w:jc w:val="center"/>
              <w:rPr>
                <w:sz w:val="22"/>
                <w:szCs w:val="22"/>
              </w:rPr>
            </w:pPr>
          </w:p>
        </w:tc>
        <w:tc>
          <w:tcPr>
            <w:tcW w:w="1620" w:type="dxa"/>
            <w:tcBorders>
              <w:bottom w:val="double" w:sz="4" w:space="0" w:color="auto"/>
            </w:tcBorders>
            <w:vAlign w:val="center"/>
          </w:tcPr>
          <w:p w:rsidR="00372F78" w:rsidRPr="00A2157C" w:rsidRDefault="00372F78" w:rsidP="00A2157C">
            <w:pPr>
              <w:ind w:right="-108"/>
              <w:jc w:val="center"/>
              <w:rPr>
                <w:sz w:val="22"/>
                <w:szCs w:val="22"/>
              </w:rPr>
            </w:pPr>
            <w:r w:rsidRPr="00A2157C">
              <w:rPr>
                <w:sz w:val="22"/>
                <w:szCs w:val="22"/>
              </w:rPr>
              <w:t>3,</w:t>
            </w:r>
            <w:r w:rsidR="00A2157C" w:rsidRPr="00A2157C">
              <w:rPr>
                <w:sz w:val="22"/>
                <w:szCs w:val="22"/>
              </w:rPr>
              <w:t>075</w:t>
            </w:r>
          </w:p>
        </w:tc>
        <w:tc>
          <w:tcPr>
            <w:tcW w:w="1080" w:type="dxa"/>
            <w:tcBorders>
              <w:bottom w:val="double" w:sz="4" w:space="0" w:color="auto"/>
            </w:tcBorders>
            <w:vAlign w:val="center"/>
          </w:tcPr>
          <w:p w:rsidR="00372F78" w:rsidRPr="00A2157C" w:rsidRDefault="00372F78" w:rsidP="00A2157C">
            <w:pPr>
              <w:ind w:right="-108"/>
              <w:jc w:val="center"/>
              <w:rPr>
                <w:sz w:val="22"/>
                <w:szCs w:val="22"/>
              </w:rPr>
            </w:pPr>
            <w:r w:rsidRPr="00A2157C">
              <w:rPr>
                <w:sz w:val="22"/>
                <w:szCs w:val="22"/>
              </w:rPr>
              <w:t>3,</w:t>
            </w:r>
            <w:r w:rsidR="00A2157C" w:rsidRPr="00A2157C">
              <w:rPr>
                <w:sz w:val="22"/>
                <w:szCs w:val="22"/>
              </w:rPr>
              <w:t>331</w:t>
            </w:r>
          </w:p>
        </w:tc>
        <w:tc>
          <w:tcPr>
            <w:tcW w:w="1440" w:type="dxa"/>
            <w:tcBorders>
              <w:bottom w:val="double" w:sz="4" w:space="0" w:color="auto"/>
            </w:tcBorders>
            <w:vAlign w:val="center"/>
          </w:tcPr>
          <w:p w:rsidR="00372F78" w:rsidRPr="00A2157C" w:rsidRDefault="00372F78" w:rsidP="00372F78">
            <w:pPr>
              <w:jc w:val="center"/>
            </w:pPr>
            <w:r w:rsidRPr="00A2157C">
              <w:rPr>
                <w:sz w:val="22"/>
                <w:szCs w:val="22"/>
              </w:rPr>
              <w:t>56.07</w:t>
            </w:r>
          </w:p>
        </w:tc>
        <w:tc>
          <w:tcPr>
            <w:tcW w:w="1530" w:type="dxa"/>
            <w:tcBorders>
              <w:bottom w:val="double" w:sz="4" w:space="0" w:color="auto"/>
              <w:right w:val="double" w:sz="4" w:space="0" w:color="auto"/>
            </w:tcBorders>
            <w:vAlign w:val="center"/>
          </w:tcPr>
          <w:p w:rsidR="00372F78" w:rsidRPr="00A2157C" w:rsidRDefault="00A2157C" w:rsidP="00966B82">
            <w:pPr>
              <w:ind w:right="-108"/>
              <w:jc w:val="center"/>
              <w:rPr>
                <w:sz w:val="22"/>
                <w:szCs w:val="22"/>
              </w:rPr>
            </w:pPr>
            <w:r w:rsidRPr="00A2157C">
              <w:rPr>
                <w:sz w:val="22"/>
                <w:szCs w:val="22"/>
              </w:rPr>
              <w:fldChar w:fldCharType="begin"/>
            </w:r>
            <w:r w:rsidRPr="00A2157C">
              <w:rPr>
                <w:sz w:val="22"/>
                <w:szCs w:val="22"/>
              </w:rPr>
              <w:instrText xml:space="preserve"> =SUM(ABOVE) </w:instrText>
            </w:r>
            <w:r w:rsidRPr="00A2157C">
              <w:rPr>
                <w:sz w:val="22"/>
                <w:szCs w:val="22"/>
              </w:rPr>
              <w:fldChar w:fldCharType="separate"/>
            </w:r>
            <w:r w:rsidRPr="00A2157C">
              <w:rPr>
                <w:noProof/>
                <w:sz w:val="22"/>
                <w:szCs w:val="22"/>
              </w:rPr>
              <w:t>186,768</w:t>
            </w:r>
            <w:r w:rsidRPr="00A2157C">
              <w:rPr>
                <w:sz w:val="22"/>
                <w:szCs w:val="22"/>
              </w:rPr>
              <w:fldChar w:fldCharType="end"/>
            </w:r>
          </w:p>
        </w:tc>
      </w:tr>
    </w:tbl>
    <w:p w:rsidR="00443DBF" w:rsidRPr="00A2157C" w:rsidRDefault="00443DBF" w:rsidP="00443DBF">
      <w:pPr>
        <w:jc w:val="center"/>
        <w:rPr>
          <w:sz w:val="20"/>
          <w:szCs w:val="20"/>
        </w:rPr>
      </w:pPr>
    </w:p>
    <w:p w:rsidR="00B5273E" w:rsidRPr="00A2157C" w:rsidRDefault="003E7B13" w:rsidP="003E7B1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pPr>
      <w:r w:rsidRPr="00A2157C">
        <w:t>*</w:t>
      </w:r>
      <w:r w:rsidR="00966B82" w:rsidRPr="00A2157C">
        <w:t>Includes</w:t>
      </w:r>
      <w:r w:rsidRPr="00A2157C">
        <w:t xml:space="preserve"> 1 renewal @500 hours</w:t>
      </w:r>
    </w:p>
    <w:p w:rsidR="00966B82" w:rsidRPr="00A2157C" w:rsidRDefault="00966B82" w:rsidP="00B5273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07253A" w:rsidRPr="00A2157C" w:rsidRDefault="0007253A" w:rsidP="0007253A">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sidRPr="00A2157C">
        <w:rPr>
          <w:i/>
        </w:rPr>
        <w:t>15.</w:t>
      </w:r>
      <w:r w:rsidRPr="00A2157C">
        <w:rPr>
          <w:i/>
        </w:rPr>
        <w:tab/>
        <w:t>Explain the reasons for any program changes or adjustments in hour or cost burden.</w:t>
      </w:r>
    </w:p>
    <w:p w:rsidR="00C64E7D" w:rsidRPr="00A2157C" w:rsidRDefault="00C64E7D" w:rsidP="00C64E7D">
      <w:pPr>
        <w:pStyle w:val="BodyTextIndent"/>
        <w:ind w:left="720" w:hanging="720"/>
      </w:pPr>
    </w:p>
    <w:p w:rsidR="00F60B74" w:rsidRDefault="00E82762" w:rsidP="00B62A33">
      <w:pPr>
        <w:pStyle w:val="BodyTextIndent"/>
        <w:ind w:left="720"/>
        <w:pPrChange w:id="1" w:author="Trelease, John A" w:date="2014-01-29T10:42:00Z">
          <w:pPr>
            <w:pStyle w:val="BodyTextIndent"/>
            <w:ind w:left="720" w:hanging="720"/>
          </w:pPr>
        </w:pPrChange>
      </w:pPr>
      <w:r w:rsidRPr="00E210E1">
        <w:t xml:space="preserve">This information collection request will increase the burden estimate for Part 774 due to </w:t>
      </w:r>
      <w:r w:rsidR="00F60B74">
        <w:t>several factors.</w:t>
      </w:r>
    </w:p>
    <w:p w:rsidR="00F60B74" w:rsidRDefault="00F60B74" w:rsidP="00B62A33">
      <w:pPr>
        <w:pStyle w:val="BodyTextIndent"/>
        <w:ind w:left="720"/>
      </w:pPr>
    </w:p>
    <w:p w:rsidR="00224E80" w:rsidRDefault="00F60B74" w:rsidP="00B62A33">
      <w:pPr>
        <w:pStyle w:val="BodyTextIndent"/>
        <w:numPr>
          <w:ilvl w:val="0"/>
          <w:numId w:val="16"/>
        </w:numPr>
      </w:pPr>
      <w:r>
        <w:t xml:space="preserve">774.12(a) and (c) includes a burden for State regulatory authorities to review updated information submitted by permittees after the permittee receives  </w:t>
      </w:r>
      <w:r w:rsidR="00E82762" w:rsidRPr="00E210E1">
        <w:t>a</w:t>
      </w:r>
      <w:r w:rsidR="00E82762">
        <w:t xml:space="preserve"> </w:t>
      </w:r>
      <w:r>
        <w:t xml:space="preserve">cessation order and after a change in the ownership or control of the mining operation.  This burden had </w:t>
      </w:r>
      <w:r w:rsidR="005E6B16">
        <w:t xml:space="preserve">been </w:t>
      </w:r>
      <w:r>
        <w:t xml:space="preserve">inadvertently </w:t>
      </w:r>
      <w:r w:rsidR="005E6B16">
        <w:t xml:space="preserve">omitted </w:t>
      </w:r>
      <w:r>
        <w:t>in prior inf</w:t>
      </w:r>
      <w:r w:rsidR="00224E80">
        <w:t>ormation collection submissions</w:t>
      </w:r>
      <w:r w:rsidR="005E6B16">
        <w:t xml:space="preserve"> since it is not specified in 774.12</w:t>
      </w:r>
      <w:r w:rsidR="00224E80">
        <w:t>.</w:t>
      </w:r>
    </w:p>
    <w:p w:rsidR="00224E80" w:rsidRDefault="00224E80" w:rsidP="00B62A33">
      <w:pPr>
        <w:pStyle w:val="BodyTextIndent"/>
        <w:numPr>
          <w:ilvl w:val="0"/>
          <w:numId w:val="16"/>
        </w:numPr>
      </w:pPr>
      <w:r>
        <w:t>There has been an increase in the amount of changes in ownership and control of mine operations in recent years which must be reported to the regulatory authorities under 774.12(c).</w:t>
      </w:r>
    </w:p>
    <w:p w:rsidR="005E6B16" w:rsidRDefault="005E6B16" w:rsidP="00B62A33">
      <w:pPr>
        <w:pStyle w:val="BodyTextIndent"/>
        <w:numPr>
          <w:ilvl w:val="0"/>
          <w:numId w:val="16"/>
        </w:numPr>
      </w:pPr>
      <w:r>
        <w:t>In 774.13, t</w:t>
      </w:r>
      <w:r w:rsidR="00224E80">
        <w:t xml:space="preserve">here has been a </w:t>
      </w:r>
      <w:r w:rsidR="00E82762">
        <w:t xml:space="preserve">reestimate </w:t>
      </w:r>
      <w:r w:rsidR="00E82762" w:rsidRPr="00E210E1">
        <w:t xml:space="preserve">in </w:t>
      </w:r>
      <w:r w:rsidR="00E82762">
        <w:t xml:space="preserve">the burden per </w:t>
      </w:r>
      <w:r w:rsidR="00E82762" w:rsidRPr="00E210E1">
        <w:t>applicant</w:t>
      </w:r>
      <w:r w:rsidR="00E82762">
        <w:t xml:space="preserve"> from 8 hours per response to 72 hours</w:t>
      </w:r>
      <w:r w:rsidR="00224E80">
        <w:t>, and an increase in State burden from 8 hours to 34 hours</w:t>
      </w:r>
      <w:r>
        <w:t xml:space="preserve"> per response.</w:t>
      </w:r>
      <w:r w:rsidR="00E82762">
        <w:t xml:space="preserve">  This may, in part, be due to new requirements under the Clean Water Act and </w:t>
      </w:r>
      <w:r>
        <w:t xml:space="preserve">a more careful review of </w:t>
      </w:r>
      <w:r w:rsidR="00E82762">
        <w:t>permitting activities</w:t>
      </w:r>
      <w:r>
        <w:t xml:space="preserve"> by States</w:t>
      </w:r>
      <w:r w:rsidR="00E82762">
        <w:t xml:space="preserve">. </w:t>
      </w:r>
    </w:p>
    <w:p w:rsidR="005E6B16" w:rsidRDefault="005E6B16" w:rsidP="00B62A33">
      <w:pPr>
        <w:pStyle w:val="BodyTextIndent"/>
        <w:numPr>
          <w:ilvl w:val="0"/>
          <w:numId w:val="16"/>
        </w:numPr>
      </w:pPr>
      <w:r>
        <w:t>These burden increases are offset, somewhat, by a steady reduction in the number of applications received by States for permit revisions, renewals, and transfers, sales, and assignments.</w:t>
      </w:r>
    </w:p>
    <w:p w:rsidR="005E6B16" w:rsidRDefault="00E82762" w:rsidP="00B62A33">
      <w:pPr>
        <w:pStyle w:val="BodyTextIndent"/>
        <w:ind w:left="720"/>
      </w:pPr>
      <w:r>
        <w:t xml:space="preserve"> </w:t>
      </w:r>
    </w:p>
    <w:p w:rsidR="00E82762" w:rsidRPr="00E210E1" w:rsidRDefault="00E82762" w:rsidP="00B62A33">
      <w:pPr>
        <w:pStyle w:val="BodyTextIndent"/>
        <w:ind w:left="720"/>
      </w:pPr>
      <w:r>
        <w:t>Th</w:t>
      </w:r>
      <w:r w:rsidR="005E6B16">
        <w:t>ese</w:t>
      </w:r>
      <w:r>
        <w:t xml:space="preserve"> </w:t>
      </w:r>
      <w:r w:rsidR="005E6B16">
        <w:t xml:space="preserve">burden </w:t>
      </w:r>
      <w:r>
        <w:t>reestimate</w:t>
      </w:r>
      <w:r w:rsidR="005E6B16">
        <w:t xml:space="preserve">s are </w:t>
      </w:r>
      <w:r>
        <w:t xml:space="preserve">derived from discussions with </w:t>
      </w:r>
      <w:r w:rsidR="005E6B16">
        <w:t xml:space="preserve">individuals </w:t>
      </w:r>
      <w:r>
        <w:t>identified in item 8.</w:t>
      </w:r>
      <w:r w:rsidRPr="00E210E1">
        <w:t xml:space="preserve"> </w:t>
      </w:r>
    </w:p>
    <w:p w:rsidR="00E82762" w:rsidRPr="00E210E1" w:rsidRDefault="00E82762" w:rsidP="00E82762">
      <w:pPr>
        <w:pStyle w:val="BodyTextIndent"/>
        <w:ind w:left="0"/>
      </w:pPr>
    </w:p>
    <w:p w:rsidR="00E82762" w:rsidRDefault="00E82762" w:rsidP="00E82762">
      <w:pPr>
        <w:pStyle w:val="BodyTextIndent"/>
        <w:tabs>
          <w:tab w:val="left" w:pos="1080"/>
        </w:tabs>
        <w:ind w:left="720" w:hanging="720"/>
      </w:pPr>
      <w:r w:rsidRPr="00E210E1">
        <w:tab/>
      </w:r>
      <w:r w:rsidRPr="00E210E1">
        <w:tab/>
        <w:t>82,018  hours currently approved</w:t>
      </w:r>
    </w:p>
    <w:p w:rsidR="00BA62D8" w:rsidRPr="00E210E1" w:rsidRDefault="00BA62D8" w:rsidP="00E82762">
      <w:pPr>
        <w:pStyle w:val="BodyTextIndent"/>
        <w:tabs>
          <w:tab w:val="left" w:pos="1080"/>
        </w:tabs>
        <w:ind w:left="720" w:hanging="720"/>
      </w:pPr>
      <w:r>
        <w:tab/>
        <w:t>+</w:t>
      </w:r>
      <w:r>
        <w:tab/>
        <w:t xml:space="preserve">     994  hours due to correction of prior omissions</w:t>
      </w:r>
    </w:p>
    <w:p w:rsidR="00E82762" w:rsidRPr="00E210E1" w:rsidRDefault="00E82762" w:rsidP="00E82762">
      <w:pPr>
        <w:pStyle w:val="BodyTextIndent"/>
        <w:tabs>
          <w:tab w:val="left" w:pos="1080"/>
        </w:tabs>
        <w:ind w:left="720" w:hanging="720"/>
      </w:pPr>
      <w:r w:rsidRPr="00E210E1">
        <w:tab/>
      </w:r>
      <w:r w:rsidRPr="00BA62D8">
        <w:rPr>
          <w:u w:val="single"/>
        </w:rPr>
        <w:t>+  16</w:t>
      </w:r>
      <w:r w:rsidR="00BA62D8" w:rsidRPr="00BA62D8">
        <w:rPr>
          <w:u w:val="single"/>
        </w:rPr>
        <w:t>1</w:t>
      </w:r>
      <w:r w:rsidRPr="00BA62D8">
        <w:rPr>
          <w:u w:val="single"/>
        </w:rPr>
        <w:t>,</w:t>
      </w:r>
      <w:r w:rsidR="00BA62D8" w:rsidRPr="00BA62D8">
        <w:rPr>
          <w:u w:val="single"/>
        </w:rPr>
        <w:t>220</w:t>
      </w:r>
      <w:r w:rsidRPr="00E210E1">
        <w:t xml:space="preserve">  hours due to adjustments</w:t>
      </w:r>
    </w:p>
    <w:p w:rsidR="00E82762" w:rsidRPr="00E210E1" w:rsidRDefault="00E82762" w:rsidP="00E82762">
      <w:pPr>
        <w:tabs>
          <w:tab w:val="left" w:pos="1080"/>
        </w:tabs>
        <w:ind w:left="720" w:hanging="720"/>
      </w:pPr>
      <w:r w:rsidRPr="00E210E1">
        <w:tab/>
        <w:t xml:space="preserve">    244,232  hours requested</w:t>
      </w:r>
    </w:p>
    <w:p w:rsidR="00E82762" w:rsidRPr="00E210E1" w:rsidRDefault="00E82762" w:rsidP="00E8276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E82762" w:rsidRPr="00E210E1" w:rsidRDefault="00E82762" w:rsidP="00E8276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E210E1">
        <w:tab/>
        <w:t xml:space="preserve">This collection also includes a non-hour cost burden for newspaper advertisements of $902,920. The increased cost is due to the previous </w:t>
      </w:r>
      <w:r>
        <w:t xml:space="preserve">request </w:t>
      </w:r>
      <w:r w:rsidRPr="00E210E1">
        <w:t xml:space="preserve">assuming one publication for each permit renewal or revision, when in fact four publications are required (see </w:t>
      </w:r>
      <w:r>
        <w:t>item</w:t>
      </w:r>
      <w:r w:rsidRPr="00E210E1">
        <w:t xml:space="preserve"> 13. b.). </w:t>
      </w:r>
    </w:p>
    <w:p w:rsidR="006B3FC6" w:rsidRPr="00DF2CE2" w:rsidRDefault="006B3FC6" w:rsidP="00B5273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07253A" w:rsidRPr="0007253A" w:rsidRDefault="0007253A" w:rsidP="0007253A">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sidRPr="0007253A">
        <w:rPr>
          <w:i/>
        </w:rPr>
        <w:t>16.</w:t>
      </w:r>
      <w:r w:rsidRPr="0007253A">
        <w:rPr>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8573E" w:rsidRDefault="0078573E" w:rsidP="0078573E"/>
    <w:p w:rsidR="0078573E" w:rsidRPr="00C17D0E" w:rsidRDefault="0078573E" w:rsidP="0078573E">
      <w:pPr>
        <w:ind w:left="720"/>
      </w:pPr>
      <w:r w:rsidRPr="00C17D0E">
        <w:t xml:space="preserve">Not applicable.  OSM has no plans to publish the information collected under 30 CFR </w:t>
      </w:r>
      <w:r w:rsidR="0007253A">
        <w:t>P</w:t>
      </w:r>
      <w:r w:rsidRPr="00C17D0E">
        <w:t>art 774.</w:t>
      </w:r>
    </w:p>
    <w:p w:rsidR="00B5273E" w:rsidRPr="00DF2CE2" w:rsidRDefault="00B5273E" w:rsidP="00B5273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07253A" w:rsidRPr="0007253A" w:rsidRDefault="0007253A" w:rsidP="0007253A">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sidRPr="0007253A">
        <w:rPr>
          <w:i/>
        </w:rPr>
        <w:t>17.</w:t>
      </w:r>
      <w:r w:rsidRPr="0007253A">
        <w:rPr>
          <w:i/>
        </w:rPr>
        <w:tab/>
        <w:t>If seeking approval to not display the expiration date for OMB approval of the information collection, explain the reasons that display would be inappropriate.</w:t>
      </w:r>
    </w:p>
    <w:p w:rsidR="00B5273E" w:rsidRDefault="00B5273E" w:rsidP="00B5273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78573E" w:rsidRPr="00C17D0E" w:rsidRDefault="00C64E7D" w:rsidP="00C64E7D">
      <w:pPr>
        <w:ind w:left="720" w:hanging="720"/>
      </w:pPr>
      <w:r>
        <w:tab/>
      </w:r>
      <w:r w:rsidR="0078573E" w:rsidRPr="00C17D0E">
        <w:t xml:space="preserve">Not applicable.  OSM does not seek a waiver from the requirement to display the expiration date of the OMB approval of the information collection </w:t>
      </w:r>
      <w:r w:rsidR="0078573E">
        <w:t>for</w:t>
      </w:r>
      <w:r w:rsidR="0078573E" w:rsidRPr="00C17D0E">
        <w:t xml:space="preserve"> 30 CFR </w:t>
      </w:r>
      <w:r w:rsidR="00C87DFF">
        <w:t>P</w:t>
      </w:r>
      <w:r w:rsidR="0078573E" w:rsidRPr="00C17D0E">
        <w:t xml:space="preserve">art 774.  The OMB control number is 1029-0116 for 30 CFR </w:t>
      </w:r>
      <w:r w:rsidR="0007253A">
        <w:t>P</w:t>
      </w:r>
      <w:r w:rsidR="0078573E" w:rsidRPr="00C17D0E">
        <w:t xml:space="preserve">art 774 and is found in </w:t>
      </w:r>
      <w:r w:rsidR="0007253A">
        <w:t>§</w:t>
      </w:r>
      <w:r w:rsidR="0078573E" w:rsidRPr="00C17D0E">
        <w:t>774.9.</w:t>
      </w:r>
    </w:p>
    <w:p w:rsidR="0078573E" w:rsidRPr="00DF2CE2" w:rsidRDefault="0078573E" w:rsidP="00B5273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07253A" w:rsidRPr="0007253A" w:rsidRDefault="0007253A" w:rsidP="0007253A">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sidRPr="0007253A">
        <w:rPr>
          <w:i/>
        </w:rPr>
        <w:t>18.</w:t>
      </w:r>
      <w:r w:rsidRPr="0007253A">
        <w:rPr>
          <w:i/>
        </w:rPr>
        <w:tab/>
        <w:t>Explain each exception to the topics of the certification statement identified in "Certification for Paperwork Reduction Act Submissions."</w:t>
      </w:r>
    </w:p>
    <w:p w:rsidR="00B5273E" w:rsidRPr="00DF2CE2" w:rsidRDefault="00B5273E" w:rsidP="00B5273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p>
    <w:p w:rsidR="00C64E7D" w:rsidRPr="00F81998" w:rsidRDefault="00C64E7D" w:rsidP="00C64E7D">
      <w:pPr>
        <w:ind w:left="720"/>
      </w:pPr>
      <w:r w:rsidRPr="00F81998">
        <w:t>Not applicable.  There are no exceptions to OMB’s Certification for Paperwork Reduction Act Submissions.</w:t>
      </w:r>
    </w:p>
    <w:p w:rsidR="00EE78F2" w:rsidRDefault="00EE78F2" w:rsidP="00C64E7D"/>
    <w:p w:rsidR="00B55A1B" w:rsidRPr="00C17D0E" w:rsidRDefault="00B55A1B" w:rsidP="007345B2">
      <w:pPr>
        <w:ind w:left="720" w:hanging="720"/>
      </w:pPr>
    </w:p>
    <w:sectPr w:rsidR="00B55A1B" w:rsidRPr="00C17D0E" w:rsidSect="00DF332F">
      <w:footerReference w:type="even" r:id="rId13"/>
      <w:footerReference w:type="default" r:id="rId14"/>
      <w:pgSz w:w="12240" w:h="15840"/>
      <w:pgMar w:top="1440" w:right="180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3CD" w:rsidRDefault="003803CD">
      <w:r>
        <w:separator/>
      </w:r>
    </w:p>
  </w:endnote>
  <w:endnote w:type="continuationSeparator" w:id="0">
    <w:p w:rsidR="003803CD" w:rsidRDefault="00380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723" w:rsidRDefault="00A67723" w:rsidP="00DF33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67723" w:rsidRDefault="00A677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723" w:rsidRDefault="00A67723" w:rsidP="00DF33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E0D34">
      <w:rPr>
        <w:rStyle w:val="PageNumber"/>
        <w:noProof/>
      </w:rPr>
      <w:t>10</w:t>
    </w:r>
    <w:r>
      <w:rPr>
        <w:rStyle w:val="PageNumber"/>
      </w:rPr>
      <w:fldChar w:fldCharType="end"/>
    </w:r>
  </w:p>
  <w:p w:rsidR="00A67723" w:rsidRDefault="00A677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3CD" w:rsidRDefault="003803CD">
      <w:r>
        <w:separator/>
      </w:r>
    </w:p>
  </w:footnote>
  <w:footnote w:type="continuationSeparator" w:id="0">
    <w:p w:rsidR="003803CD" w:rsidRDefault="003803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A27BF"/>
    <w:multiLevelType w:val="hybridMultilevel"/>
    <w:tmpl w:val="3460A482"/>
    <w:lvl w:ilvl="0" w:tplc="9AE02EA0">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FBC5868"/>
    <w:multiLevelType w:val="hybridMultilevel"/>
    <w:tmpl w:val="24423EB0"/>
    <w:lvl w:ilvl="0" w:tplc="BD64263C">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433A8276">
      <w:start w:val="2"/>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3D8782A"/>
    <w:multiLevelType w:val="hybridMultilevel"/>
    <w:tmpl w:val="809C426C"/>
    <w:lvl w:ilvl="0" w:tplc="F0C4273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587070B"/>
    <w:multiLevelType w:val="hybridMultilevel"/>
    <w:tmpl w:val="8C481AF0"/>
    <w:lvl w:ilvl="0" w:tplc="C9D6B5F6">
      <w:start w:val="7"/>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EA58F3"/>
    <w:multiLevelType w:val="hybridMultilevel"/>
    <w:tmpl w:val="E342E46A"/>
    <w:lvl w:ilvl="0" w:tplc="72B621F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FF76F73"/>
    <w:multiLevelType w:val="hybridMultilevel"/>
    <w:tmpl w:val="B19C36BE"/>
    <w:lvl w:ilvl="0" w:tplc="78CE05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3F2394B"/>
    <w:multiLevelType w:val="hybridMultilevel"/>
    <w:tmpl w:val="50288C90"/>
    <w:lvl w:ilvl="0" w:tplc="02A6E758">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AA1270F"/>
    <w:multiLevelType w:val="hybridMultilevel"/>
    <w:tmpl w:val="A400363C"/>
    <w:lvl w:ilvl="0" w:tplc="F4E8F0C8">
      <w:start w:val="1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31B4EF7"/>
    <w:multiLevelType w:val="hybridMultilevel"/>
    <w:tmpl w:val="62C6B1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0BE0C7A"/>
    <w:multiLevelType w:val="hybridMultilevel"/>
    <w:tmpl w:val="415840BE"/>
    <w:lvl w:ilvl="0" w:tplc="0C265D1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68C1FA1"/>
    <w:multiLevelType w:val="multilevel"/>
    <w:tmpl w:val="262824BE"/>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1">
    <w:nsid w:val="483261ED"/>
    <w:multiLevelType w:val="hybridMultilevel"/>
    <w:tmpl w:val="7894318A"/>
    <w:lvl w:ilvl="0" w:tplc="ED3CD56C">
      <w:start w:val="1"/>
      <w:numFmt w:val="decimal"/>
      <w:lvlText w:val="%1."/>
      <w:lvlJc w:val="left"/>
      <w:pPr>
        <w:tabs>
          <w:tab w:val="num" w:pos="360"/>
        </w:tabs>
        <w:ind w:left="360" w:hanging="360"/>
      </w:pPr>
      <w:rPr>
        <w:rFonts w:hint="default"/>
      </w:rPr>
    </w:lvl>
    <w:lvl w:ilvl="1" w:tplc="D06E8FA4">
      <w:start w:val="1"/>
      <w:numFmt w:val="lowerLetter"/>
      <w:lvlText w:val="%2."/>
      <w:lvlJc w:val="left"/>
      <w:pPr>
        <w:tabs>
          <w:tab w:val="num" w:pos="792"/>
        </w:tabs>
        <w:ind w:left="79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3C916DE"/>
    <w:multiLevelType w:val="hybridMultilevel"/>
    <w:tmpl w:val="7446FD14"/>
    <w:lvl w:ilvl="0" w:tplc="7DCC5B4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3431DE3"/>
    <w:multiLevelType w:val="hybridMultilevel"/>
    <w:tmpl w:val="A6BE74F2"/>
    <w:lvl w:ilvl="0" w:tplc="8BC2363E">
      <w:start w:val="3"/>
      <w:numFmt w:val="decimal"/>
      <w:lvlText w:val="%1."/>
      <w:lvlJc w:val="left"/>
      <w:pPr>
        <w:tabs>
          <w:tab w:val="num" w:pos="360"/>
        </w:tabs>
        <w:ind w:left="360" w:hanging="360"/>
      </w:pPr>
      <w:rPr>
        <w:rFonts w:hint="default"/>
      </w:rPr>
    </w:lvl>
    <w:lvl w:ilvl="1" w:tplc="065EA820">
      <w:start w:val="2"/>
      <w:numFmt w:val="upperLetter"/>
      <w:lvlText w:val="%2."/>
      <w:lvlJc w:val="left"/>
      <w:pPr>
        <w:tabs>
          <w:tab w:val="num" w:pos="360"/>
        </w:tabs>
        <w:ind w:left="360" w:hanging="360"/>
      </w:pPr>
      <w:rPr>
        <w:rFonts w:hint="default"/>
      </w:rPr>
    </w:lvl>
    <w:lvl w:ilvl="2" w:tplc="0F8E07B6">
      <w:start w:val="2"/>
      <w:numFmt w:val="lowerLetter"/>
      <w:lvlText w:val="%3."/>
      <w:lvlJc w:val="left"/>
      <w:pPr>
        <w:tabs>
          <w:tab w:val="num" w:pos="2340"/>
        </w:tabs>
        <w:ind w:left="2340" w:hanging="360"/>
      </w:pPr>
      <w:rPr>
        <w:rFonts w:hint="default"/>
      </w:rPr>
    </w:lvl>
    <w:lvl w:ilvl="3" w:tplc="6316B242">
      <w:start w:val="3"/>
      <w:numFmt w:val="bullet"/>
      <w:lvlText w:val="-"/>
      <w:lvlJc w:val="left"/>
      <w:pPr>
        <w:tabs>
          <w:tab w:val="num" w:pos="720"/>
        </w:tabs>
        <w:ind w:left="720" w:hanging="360"/>
      </w:pPr>
      <w:rPr>
        <w:rFonts w:ascii="Times New Roman" w:eastAsia="Times New Roman" w:hAnsi="Times New Roman" w:cs="Times New Roman" w:hint="default"/>
      </w:rPr>
    </w:lvl>
    <w:lvl w:ilvl="4" w:tplc="AFFA9714">
      <w:start w:val="6"/>
      <w:numFmt w:val="decimal"/>
      <w:lvlText w:val="%5."/>
      <w:lvlJc w:val="left"/>
      <w:pPr>
        <w:tabs>
          <w:tab w:val="num" w:pos="360"/>
        </w:tabs>
        <w:ind w:left="36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9F56C90"/>
    <w:multiLevelType w:val="hybridMultilevel"/>
    <w:tmpl w:val="262824BE"/>
    <w:lvl w:ilvl="0" w:tplc="EC565FB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7D852E34"/>
    <w:multiLevelType w:val="hybridMultilevel"/>
    <w:tmpl w:val="6638DA3E"/>
    <w:lvl w:ilvl="0" w:tplc="A74CADE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3"/>
  </w:num>
  <w:num w:numId="3">
    <w:abstractNumId w:val="11"/>
  </w:num>
  <w:num w:numId="4">
    <w:abstractNumId w:val="5"/>
  </w:num>
  <w:num w:numId="5">
    <w:abstractNumId w:val="4"/>
  </w:num>
  <w:num w:numId="6">
    <w:abstractNumId w:val="6"/>
  </w:num>
  <w:num w:numId="7">
    <w:abstractNumId w:val="3"/>
  </w:num>
  <w:num w:numId="8">
    <w:abstractNumId w:val="1"/>
  </w:num>
  <w:num w:numId="9">
    <w:abstractNumId w:val="7"/>
  </w:num>
  <w:num w:numId="10">
    <w:abstractNumId w:val="12"/>
  </w:num>
  <w:num w:numId="11">
    <w:abstractNumId w:val="9"/>
  </w:num>
  <w:num w:numId="12">
    <w:abstractNumId w:val="0"/>
  </w:num>
  <w:num w:numId="13">
    <w:abstractNumId w:val="14"/>
  </w:num>
  <w:num w:numId="14">
    <w:abstractNumId w:val="10"/>
  </w:num>
  <w:num w:numId="15">
    <w:abstractNumId w:val="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73E"/>
    <w:rsid w:val="000008BE"/>
    <w:rsid w:val="000074C5"/>
    <w:rsid w:val="00010C39"/>
    <w:rsid w:val="00011516"/>
    <w:rsid w:val="00026822"/>
    <w:rsid w:val="000363B5"/>
    <w:rsid w:val="0003682C"/>
    <w:rsid w:val="00037AEC"/>
    <w:rsid w:val="00050EE5"/>
    <w:rsid w:val="00051907"/>
    <w:rsid w:val="00060A7C"/>
    <w:rsid w:val="00062115"/>
    <w:rsid w:val="00062331"/>
    <w:rsid w:val="0006297E"/>
    <w:rsid w:val="0006581F"/>
    <w:rsid w:val="00066CE2"/>
    <w:rsid w:val="0007253A"/>
    <w:rsid w:val="00073576"/>
    <w:rsid w:val="00074AC6"/>
    <w:rsid w:val="000753A7"/>
    <w:rsid w:val="00076E74"/>
    <w:rsid w:val="00085B78"/>
    <w:rsid w:val="00087A44"/>
    <w:rsid w:val="00092009"/>
    <w:rsid w:val="00096379"/>
    <w:rsid w:val="000A3D21"/>
    <w:rsid w:val="000C1A59"/>
    <w:rsid w:val="000C365C"/>
    <w:rsid w:val="000D0195"/>
    <w:rsid w:val="000D1336"/>
    <w:rsid w:val="000D2440"/>
    <w:rsid w:val="000D4713"/>
    <w:rsid w:val="000D52CA"/>
    <w:rsid w:val="000D69DC"/>
    <w:rsid w:val="000D7A05"/>
    <w:rsid w:val="000E2118"/>
    <w:rsid w:val="000E4551"/>
    <w:rsid w:val="000E55B8"/>
    <w:rsid w:val="000E5A73"/>
    <w:rsid w:val="000F0C61"/>
    <w:rsid w:val="000F1763"/>
    <w:rsid w:val="000F3F49"/>
    <w:rsid w:val="000F7568"/>
    <w:rsid w:val="001039D8"/>
    <w:rsid w:val="00103F02"/>
    <w:rsid w:val="00104C2C"/>
    <w:rsid w:val="00105FB0"/>
    <w:rsid w:val="00111BEB"/>
    <w:rsid w:val="00116F00"/>
    <w:rsid w:val="00120121"/>
    <w:rsid w:val="001323E2"/>
    <w:rsid w:val="001325ED"/>
    <w:rsid w:val="001333E6"/>
    <w:rsid w:val="001404B3"/>
    <w:rsid w:val="00140DAD"/>
    <w:rsid w:val="00141DFF"/>
    <w:rsid w:val="00145A85"/>
    <w:rsid w:val="00155F80"/>
    <w:rsid w:val="00161119"/>
    <w:rsid w:val="001627E4"/>
    <w:rsid w:val="0017239C"/>
    <w:rsid w:val="0018073F"/>
    <w:rsid w:val="001818A8"/>
    <w:rsid w:val="001851AB"/>
    <w:rsid w:val="00190BE3"/>
    <w:rsid w:val="00191601"/>
    <w:rsid w:val="00195655"/>
    <w:rsid w:val="001A0FA0"/>
    <w:rsid w:val="001A171C"/>
    <w:rsid w:val="001A3C64"/>
    <w:rsid w:val="001A58EF"/>
    <w:rsid w:val="001C1D30"/>
    <w:rsid w:val="001C23FE"/>
    <w:rsid w:val="001C58AC"/>
    <w:rsid w:val="001D1967"/>
    <w:rsid w:val="001F0810"/>
    <w:rsid w:val="001F280C"/>
    <w:rsid w:val="001F4634"/>
    <w:rsid w:val="001F4B65"/>
    <w:rsid w:val="00202DCC"/>
    <w:rsid w:val="00210EF7"/>
    <w:rsid w:val="00216C0E"/>
    <w:rsid w:val="00224B8D"/>
    <w:rsid w:val="00224E80"/>
    <w:rsid w:val="00232C27"/>
    <w:rsid w:val="002338C7"/>
    <w:rsid w:val="0023540A"/>
    <w:rsid w:val="00241166"/>
    <w:rsid w:val="0024388A"/>
    <w:rsid w:val="002467DE"/>
    <w:rsid w:val="0026567C"/>
    <w:rsid w:val="00270022"/>
    <w:rsid w:val="00274FC5"/>
    <w:rsid w:val="002855E3"/>
    <w:rsid w:val="00285C5A"/>
    <w:rsid w:val="002920DF"/>
    <w:rsid w:val="0029356F"/>
    <w:rsid w:val="00297D0A"/>
    <w:rsid w:val="002A6F18"/>
    <w:rsid w:val="002A78C9"/>
    <w:rsid w:val="002B3237"/>
    <w:rsid w:val="002B79F3"/>
    <w:rsid w:val="002C2615"/>
    <w:rsid w:val="002C3E0B"/>
    <w:rsid w:val="002D517B"/>
    <w:rsid w:val="002D7F9E"/>
    <w:rsid w:val="002E1C49"/>
    <w:rsid w:val="002F08E7"/>
    <w:rsid w:val="002F5E61"/>
    <w:rsid w:val="00302D48"/>
    <w:rsid w:val="00304BFE"/>
    <w:rsid w:val="00304F9F"/>
    <w:rsid w:val="0030563E"/>
    <w:rsid w:val="003233C5"/>
    <w:rsid w:val="00324A98"/>
    <w:rsid w:val="00326591"/>
    <w:rsid w:val="00333B2C"/>
    <w:rsid w:val="00340616"/>
    <w:rsid w:val="00350BE5"/>
    <w:rsid w:val="00363ECF"/>
    <w:rsid w:val="003707FD"/>
    <w:rsid w:val="00371368"/>
    <w:rsid w:val="00372F78"/>
    <w:rsid w:val="00373261"/>
    <w:rsid w:val="003739D2"/>
    <w:rsid w:val="003772F7"/>
    <w:rsid w:val="003803CD"/>
    <w:rsid w:val="00381791"/>
    <w:rsid w:val="00383631"/>
    <w:rsid w:val="00383C2B"/>
    <w:rsid w:val="003A3AD5"/>
    <w:rsid w:val="003A3CAE"/>
    <w:rsid w:val="003A4A2C"/>
    <w:rsid w:val="003B0CBA"/>
    <w:rsid w:val="003C1962"/>
    <w:rsid w:val="003C55EC"/>
    <w:rsid w:val="003D3886"/>
    <w:rsid w:val="003D6370"/>
    <w:rsid w:val="003E2E61"/>
    <w:rsid w:val="003E51D5"/>
    <w:rsid w:val="003E7B13"/>
    <w:rsid w:val="003F1D25"/>
    <w:rsid w:val="003F22EC"/>
    <w:rsid w:val="004135C7"/>
    <w:rsid w:val="00415256"/>
    <w:rsid w:val="0041688D"/>
    <w:rsid w:val="00430453"/>
    <w:rsid w:val="0043119C"/>
    <w:rsid w:val="00434C7D"/>
    <w:rsid w:val="00443DBF"/>
    <w:rsid w:val="004445E4"/>
    <w:rsid w:val="00450008"/>
    <w:rsid w:val="00452743"/>
    <w:rsid w:val="00452F8E"/>
    <w:rsid w:val="00464916"/>
    <w:rsid w:val="00481C56"/>
    <w:rsid w:val="0048249F"/>
    <w:rsid w:val="00483AE7"/>
    <w:rsid w:val="004942E5"/>
    <w:rsid w:val="00497E67"/>
    <w:rsid w:val="004A0917"/>
    <w:rsid w:val="004A0B95"/>
    <w:rsid w:val="004B353B"/>
    <w:rsid w:val="004B6B1A"/>
    <w:rsid w:val="004C2D18"/>
    <w:rsid w:val="004C4160"/>
    <w:rsid w:val="004E17EB"/>
    <w:rsid w:val="004E4C3A"/>
    <w:rsid w:val="004F21E2"/>
    <w:rsid w:val="00504D89"/>
    <w:rsid w:val="005071FD"/>
    <w:rsid w:val="005164D3"/>
    <w:rsid w:val="005209FB"/>
    <w:rsid w:val="00530AFA"/>
    <w:rsid w:val="00531E31"/>
    <w:rsid w:val="00540869"/>
    <w:rsid w:val="005446F7"/>
    <w:rsid w:val="0054477D"/>
    <w:rsid w:val="0054767D"/>
    <w:rsid w:val="0055253D"/>
    <w:rsid w:val="00570549"/>
    <w:rsid w:val="00570BCC"/>
    <w:rsid w:val="00572085"/>
    <w:rsid w:val="00573DD7"/>
    <w:rsid w:val="00577DAD"/>
    <w:rsid w:val="00590939"/>
    <w:rsid w:val="005943C5"/>
    <w:rsid w:val="00597A5F"/>
    <w:rsid w:val="005A56F2"/>
    <w:rsid w:val="005A7C1A"/>
    <w:rsid w:val="005B62BC"/>
    <w:rsid w:val="005C216E"/>
    <w:rsid w:val="005D36F9"/>
    <w:rsid w:val="005D48EC"/>
    <w:rsid w:val="005E2DE8"/>
    <w:rsid w:val="005E3BB9"/>
    <w:rsid w:val="005E4902"/>
    <w:rsid w:val="005E55D6"/>
    <w:rsid w:val="005E6B16"/>
    <w:rsid w:val="005E6E33"/>
    <w:rsid w:val="005F5625"/>
    <w:rsid w:val="005F6F80"/>
    <w:rsid w:val="006007D3"/>
    <w:rsid w:val="00605778"/>
    <w:rsid w:val="00605E56"/>
    <w:rsid w:val="00611CB4"/>
    <w:rsid w:val="006154B9"/>
    <w:rsid w:val="006203C2"/>
    <w:rsid w:val="0062134D"/>
    <w:rsid w:val="006225B8"/>
    <w:rsid w:val="00631892"/>
    <w:rsid w:val="0063491D"/>
    <w:rsid w:val="006402A9"/>
    <w:rsid w:val="0064032B"/>
    <w:rsid w:val="006416C8"/>
    <w:rsid w:val="00642357"/>
    <w:rsid w:val="00647ECC"/>
    <w:rsid w:val="0065066A"/>
    <w:rsid w:val="0065232A"/>
    <w:rsid w:val="006635BD"/>
    <w:rsid w:val="00667D9D"/>
    <w:rsid w:val="006712CD"/>
    <w:rsid w:val="00672C67"/>
    <w:rsid w:val="00676CB0"/>
    <w:rsid w:val="006837D9"/>
    <w:rsid w:val="00683889"/>
    <w:rsid w:val="00686981"/>
    <w:rsid w:val="006919AA"/>
    <w:rsid w:val="0069763B"/>
    <w:rsid w:val="00697780"/>
    <w:rsid w:val="006A710C"/>
    <w:rsid w:val="006B3FC6"/>
    <w:rsid w:val="006C2BCE"/>
    <w:rsid w:val="006C38DF"/>
    <w:rsid w:val="006C6D7B"/>
    <w:rsid w:val="006D2EA2"/>
    <w:rsid w:val="006D4B88"/>
    <w:rsid w:val="006D72A2"/>
    <w:rsid w:val="006E2562"/>
    <w:rsid w:val="006E3619"/>
    <w:rsid w:val="006E58E6"/>
    <w:rsid w:val="006F005B"/>
    <w:rsid w:val="006F1947"/>
    <w:rsid w:val="006F22D8"/>
    <w:rsid w:val="006F22EA"/>
    <w:rsid w:val="006F23A6"/>
    <w:rsid w:val="006F36C8"/>
    <w:rsid w:val="00704BFE"/>
    <w:rsid w:val="007123A3"/>
    <w:rsid w:val="00716BE6"/>
    <w:rsid w:val="007178E7"/>
    <w:rsid w:val="00721DE8"/>
    <w:rsid w:val="00726326"/>
    <w:rsid w:val="00727C80"/>
    <w:rsid w:val="007345B2"/>
    <w:rsid w:val="00740B20"/>
    <w:rsid w:val="00742236"/>
    <w:rsid w:val="00742522"/>
    <w:rsid w:val="00743E33"/>
    <w:rsid w:val="00745ADA"/>
    <w:rsid w:val="00760E97"/>
    <w:rsid w:val="007611B9"/>
    <w:rsid w:val="00765D5D"/>
    <w:rsid w:val="00772EFA"/>
    <w:rsid w:val="0077375C"/>
    <w:rsid w:val="007739ED"/>
    <w:rsid w:val="007757F6"/>
    <w:rsid w:val="00780345"/>
    <w:rsid w:val="00783FAC"/>
    <w:rsid w:val="00784E4E"/>
    <w:rsid w:val="0078573E"/>
    <w:rsid w:val="00785827"/>
    <w:rsid w:val="007925B2"/>
    <w:rsid w:val="00793C81"/>
    <w:rsid w:val="00795357"/>
    <w:rsid w:val="007956C3"/>
    <w:rsid w:val="00796404"/>
    <w:rsid w:val="007971F3"/>
    <w:rsid w:val="007A5571"/>
    <w:rsid w:val="007A6F3A"/>
    <w:rsid w:val="007B1285"/>
    <w:rsid w:val="007B40F8"/>
    <w:rsid w:val="007B5CAF"/>
    <w:rsid w:val="007C18BD"/>
    <w:rsid w:val="007C50EA"/>
    <w:rsid w:val="007C7F3C"/>
    <w:rsid w:val="007D3EEB"/>
    <w:rsid w:val="007D4A33"/>
    <w:rsid w:val="007D7192"/>
    <w:rsid w:val="007D7A5B"/>
    <w:rsid w:val="007E4F50"/>
    <w:rsid w:val="007E5447"/>
    <w:rsid w:val="007F0684"/>
    <w:rsid w:val="0080120C"/>
    <w:rsid w:val="00810607"/>
    <w:rsid w:val="00820A09"/>
    <w:rsid w:val="0082364F"/>
    <w:rsid w:val="0082794C"/>
    <w:rsid w:val="008332EB"/>
    <w:rsid w:val="00841D5B"/>
    <w:rsid w:val="00843185"/>
    <w:rsid w:val="00845939"/>
    <w:rsid w:val="00846580"/>
    <w:rsid w:val="00851EA9"/>
    <w:rsid w:val="0085432F"/>
    <w:rsid w:val="00862352"/>
    <w:rsid w:val="00873CD5"/>
    <w:rsid w:val="00880FDD"/>
    <w:rsid w:val="0088274B"/>
    <w:rsid w:val="00895370"/>
    <w:rsid w:val="00897326"/>
    <w:rsid w:val="008A5BEC"/>
    <w:rsid w:val="008B009E"/>
    <w:rsid w:val="008B0B8E"/>
    <w:rsid w:val="008B40E5"/>
    <w:rsid w:val="008B5289"/>
    <w:rsid w:val="008B6214"/>
    <w:rsid w:val="008C41F3"/>
    <w:rsid w:val="008D494C"/>
    <w:rsid w:val="008D5EAC"/>
    <w:rsid w:val="008E49B5"/>
    <w:rsid w:val="008E50D9"/>
    <w:rsid w:val="008F25D4"/>
    <w:rsid w:val="0091580D"/>
    <w:rsid w:val="00915A56"/>
    <w:rsid w:val="00920255"/>
    <w:rsid w:val="00920DAA"/>
    <w:rsid w:val="00921C78"/>
    <w:rsid w:val="00922CB4"/>
    <w:rsid w:val="0092406A"/>
    <w:rsid w:val="00926A37"/>
    <w:rsid w:val="00940DE1"/>
    <w:rsid w:val="00945829"/>
    <w:rsid w:val="00950EE2"/>
    <w:rsid w:val="00952CA9"/>
    <w:rsid w:val="00956D19"/>
    <w:rsid w:val="00966B82"/>
    <w:rsid w:val="00970E9A"/>
    <w:rsid w:val="00971FCE"/>
    <w:rsid w:val="00974832"/>
    <w:rsid w:val="009762AC"/>
    <w:rsid w:val="009843E6"/>
    <w:rsid w:val="00990C5D"/>
    <w:rsid w:val="00993876"/>
    <w:rsid w:val="009A4330"/>
    <w:rsid w:val="009B26A1"/>
    <w:rsid w:val="009C4196"/>
    <w:rsid w:val="009C7ADA"/>
    <w:rsid w:val="009D1213"/>
    <w:rsid w:val="009D1D81"/>
    <w:rsid w:val="009D5EFF"/>
    <w:rsid w:val="009D70F4"/>
    <w:rsid w:val="009E0101"/>
    <w:rsid w:val="009E0829"/>
    <w:rsid w:val="009E0D34"/>
    <w:rsid w:val="009E13A2"/>
    <w:rsid w:val="009E17CA"/>
    <w:rsid w:val="009E4D1F"/>
    <w:rsid w:val="009E56E6"/>
    <w:rsid w:val="009F14AF"/>
    <w:rsid w:val="009F3BE6"/>
    <w:rsid w:val="009F4A03"/>
    <w:rsid w:val="009F6F9C"/>
    <w:rsid w:val="00A12631"/>
    <w:rsid w:val="00A136DC"/>
    <w:rsid w:val="00A15F1A"/>
    <w:rsid w:val="00A2157C"/>
    <w:rsid w:val="00A22A97"/>
    <w:rsid w:val="00A26C7B"/>
    <w:rsid w:val="00A2726C"/>
    <w:rsid w:val="00A35625"/>
    <w:rsid w:val="00A362FC"/>
    <w:rsid w:val="00A427ED"/>
    <w:rsid w:val="00A46006"/>
    <w:rsid w:val="00A549B9"/>
    <w:rsid w:val="00A60E03"/>
    <w:rsid w:val="00A631F8"/>
    <w:rsid w:val="00A639F4"/>
    <w:rsid w:val="00A66409"/>
    <w:rsid w:val="00A67723"/>
    <w:rsid w:val="00A73160"/>
    <w:rsid w:val="00A73AD5"/>
    <w:rsid w:val="00A75957"/>
    <w:rsid w:val="00A862F4"/>
    <w:rsid w:val="00A92ECA"/>
    <w:rsid w:val="00A96AC5"/>
    <w:rsid w:val="00AA064F"/>
    <w:rsid w:val="00AA186B"/>
    <w:rsid w:val="00AA7B3B"/>
    <w:rsid w:val="00AD02F8"/>
    <w:rsid w:val="00AD4287"/>
    <w:rsid w:val="00AE046C"/>
    <w:rsid w:val="00AE0910"/>
    <w:rsid w:val="00AE1FD1"/>
    <w:rsid w:val="00AE2092"/>
    <w:rsid w:val="00AE2200"/>
    <w:rsid w:val="00AE275C"/>
    <w:rsid w:val="00AE5B26"/>
    <w:rsid w:val="00AF4093"/>
    <w:rsid w:val="00B00777"/>
    <w:rsid w:val="00B0294B"/>
    <w:rsid w:val="00B06852"/>
    <w:rsid w:val="00B12E68"/>
    <w:rsid w:val="00B22E4A"/>
    <w:rsid w:val="00B24DBD"/>
    <w:rsid w:val="00B267DF"/>
    <w:rsid w:val="00B26822"/>
    <w:rsid w:val="00B44FEF"/>
    <w:rsid w:val="00B45E4D"/>
    <w:rsid w:val="00B466BE"/>
    <w:rsid w:val="00B46759"/>
    <w:rsid w:val="00B50F76"/>
    <w:rsid w:val="00B5148E"/>
    <w:rsid w:val="00B51A7A"/>
    <w:rsid w:val="00B5273E"/>
    <w:rsid w:val="00B534A9"/>
    <w:rsid w:val="00B53D3B"/>
    <w:rsid w:val="00B55A1B"/>
    <w:rsid w:val="00B55A1E"/>
    <w:rsid w:val="00B62A33"/>
    <w:rsid w:val="00B64FCC"/>
    <w:rsid w:val="00B70AB0"/>
    <w:rsid w:val="00B732D9"/>
    <w:rsid w:val="00B769E1"/>
    <w:rsid w:val="00B77A1E"/>
    <w:rsid w:val="00B77C73"/>
    <w:rsid w:val="00B8238D"/>
    <w:rsid w:val="00B84BC6"/>
    <w:rsid w:val="00B97BD8"/>
    <w:rsid w:val="00B97D9C"/>
    <w:rsid w:val="00BA44F8"/>
    <w:rsid w:val="00BA62D8"/>
    <w:rsid w:val="00BB1A60"/>
    <w:rsid w:val="00BB1AFA"/>
    <w:rsid w:val="00BB495B"/>
    <w:rsid w:val="00BB6773"/>
    <w:rsid w:val="00BC189F"/>
    <w:rsid w:val="00BC53A1"/>
    <w:rsid w:val="00BD04A8"/>
    <w:rsid w:val="00BD0820"/>
    <w:rsid w:val="00BD4203"/>
    <w:rsid w:val="00BD5C1D"/>
    <w:rsid w:val="00BE6720"/>
    <w:rsid w:val="00BF4214"/>
    <w:rsid w:val="00C02ED8"/>
    <w:rsid w:val="00C049F2"/>
    <w:rsid w:val="00C06892"/>
    <w:rsid w:val="00C06DA2"/>
    <w:rsid w:val="00C1458B"/>
    <w:rsid w:val="00C16412"/>
    <w:rsid w:val="00C17623"/>
    <w:rsid w:val="00C17D0E"/>
    <w:rsid w:val="00C34004"/>
    <w:rsid w:val="00C34E57"/>
    <w:rsid w:val="00C4238C"/>
    <w:rsid w:val="00C57D10"/>
    <w:rsid w:val="00C61392"/>
    <w:rsid w:val="00C61D18"/>
    <w:rsid w:val="00C63194"/>
    <w:rsid w:val="00C64E7D"/>
    <w:rsid w:val="00C67B2F"/>
    <w:rsid w:val="00C8065F"/>
    <w:rsid w:val="00C83569"/>
    <w:rsid w:val="00C87DFF"/>
    <w:rsid w:val="00C92EFA"/>
    <w:rsid w:val="00CA5E6E"/>
    <w:rsid w:val="00CB03FF"/>
    <w:rsid w:val="00CB1AC9"/>
    <w:rsid w:val="00CB6763"/>
    <w:rsid w:val="00CB7BF7"/>
    <w:rsid w:val="00CC5CC5"/>
    <w:rsid w:val="00CD518A"/>
    <w:rsid w:val="00CE1ABF"/>
    <w:rsid w:val="00CE24D7"/>
    <w:rsid w:val="00CE668F"/>
    <w:rsid w:val="00CF0821"/>
    <w:rsid w:val="00CF3163"/>
    <w:rsid w:val="00D06E6F"/>
    <w:rsid w:val="00D0756F"/>
    <w:rsid w:val="00D20632"/>
    <w:rsid w:val="00D249DF"/>
    <w:rsid w:val="00D311E3"/>
    <w:rsid w:val="00D33189"/>
    <w:rsid w:val="00D34A49"/>
    <w:rsid w:val="00D35102"/>
    <w:rsid w:val="00D50B39"/>
    <w:rsid w:val="00D62501"/>
    <w:rsid w:val="00D64468"/>
    <w:rsid w:val="00D65F90"/>
    <w:rsid w:val="00D676CD"/>
    <w:rsid w:val="00D67DA8"/>
    <w:rsid w:val="00D709F3"/>
    <w:rsid w:val="00D73642"/>
    <w:rsid w:val="00D7589E"/>
    <w:rsid w:val="00D7636B"/>
    <w:rsid w:val="00D76BA3"/>
    <w:rsid w:val="00D77F1E"/>
    <w:rsid w:val="00D814B3"/>
    <w:rsid w:val="00D8176B"/>
    <w:rsid w:val="00D8523E"/>
    <w:rsid w:val="00D94262"/>
    <w:rsid w:val="00D949E5"/>
    <w:rsid w:val="00DA2AED"/>
    <w:rsid w:val="00DC3FFC"/>
    <w:rsid w:val="00DC5B8C"/>
    <w:rsid w:val="00DD23B8"/>
    <w:rsid w:val="00DD7E8C"/>
    <w:rsid w:val="00DE0CE6"/>
    <w:rsid w:val="00DE2775"/>
    <w:rsid w:val="00DE2C82"/>
    <w:rsid w:val="00DE4491"/>
    <w:rsid w:val="00DF2CE2"/>
    <w:rsid w:val="00DF332F"/>
    <w:rsid w:val="00E00F75"/>
    <w:rsid w:val="00E0609B"/>
    <w:rsid w:val="00E063E3"/>
    <w:rsid w:val="00E10147"/>
    <w:rsid w:val="00E11C0D"/>
    <w:rsid w:val="00E1317A"/>
    <w:rsid w:val="00E1726A"/>
    <w:rsid w:val="00E2178C"/>
    <w:rsid w:val="00E30DBD"/>
    <w:rsid w:val="00E337AA"/>
    <w:rsid w:val="00E34DCB"/>
    <w:rsid w:val="00E52183"/>
    <w:rsid w:val="00E5502D"/>
    <w:rsid w:val="00E7086C"/>
    <w:rsid w:val="00E7187F"/>
    <w:rsid w:val="00E82762"/>
    <w:rsid w:val="00E831F0"/>
    <w:rsid w:val="00E84869"/>
    <w:rsid w:val="00E91E09"/>
    <w:rsid w:val="00EB2292"/>
    <w:rsid w:val="00EC3F75"/>
    <w:rsid w:val="00ED717F"/>
    <w:rsid w:val="00EE192B"/>
    <w:rsid w:val="00EE1A59"/>
    <w:rsid w:val="00EE403A"/>
    <w:rsid w:val="00EE78F2"/>
    <w:rsid w:val="00EF1C5F"/>
    <w:rsid w:val="00EF4299"/>
    <w:rsid w:val="00EF7650"/>
    <w:rsid w:val="00F02A21"/>
    <w:rsid w:val="00F031FD"/>
    <w:rsid w:val="00F11FEF"/>
    <w:rsid w:val="00F147F4"/>
    <w:rsid w:val="00F153B9"/>
    <w:rsid w:val="00F17B10"/>
    <w:rsid w:val="00F23A1E"/>
    <w:rsid w:val="00F24303"/>
    <w:rsid w:val="00F24E5A"/>
    <w:rsid w:val="00F25EBE"/>
    <w:rsid w:val="00F336B8"/>
    <w:rsid w:val="00F3407F"/>
    <w:rsid w:val="00F44EB0"/>
    <w:rsid w:val="00F54E31"/>
    <w:rsid w:val="00F56F46"/>
    <w:rsid w:val="00F57695"/>
    <w:rsid w:val="00F60B74"/>
    <w:rsid w:val="00F747ED"/>
    <w:rsid w:val="00F8092F"/>
    <w:rsid w:val="00F81998"/>
    <w:rsid w:val="00F81A2B"/>
    <w:rsid w:val="00F877AF"/>
    <w:rsid w:val="00F978C5"/>
    <w:rsid w:val="00FA15EB"/>
    <w:rsid w:val="00FA42DA"/>
    <w:rsid w:val="00FA5600"/>
    <w:rsid w:val="00FA6646"/>
    <w:rsid w:val="00FB043C"/>
    <w:rsid w:val="00FB311B"/>
    <w:rsid w:val="00FB42D6"/>
    <w:rsid w:val="00FD2F41"/>
    <w:rsid w:val="00FE012F"/>
    <w:rsid w:val="00FE09BC"/>
    <w:rsid w:val="00FE0B3B"/>
    <w:rsid w:val="00FF0C99"/>
    <w:rsid w:val="00FF278F"/>
    <w:rsid w:val="00FF5E54"/>
    <w:rsid w:val="00FF7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273E"/>
    <w:rPr>
      <w:sz w:val="24"/>
      <w:szCs w:val="24"/>
    </w:rPr>
  </w:style>
  <w:style w:type="paragraph" w:styleId="Heading1">
    <w:name w:val="heading 1"/>
    <w:basedOn w:val="Normal"/>
    <w:next w:val="Normal"/>
    <w:qFormat/>
    <w:rsid w:val="00B5273E"/>
    <w:pPr>
      <w:keepNext/>
      <w:outlineLvl w:val="0"/>
    </w:pPr>
    <w:rPr>
      <w:u w:val="single"/>
    </w:rPr>
  </w:style>
  <w:style w:type="paragraph" w:styleId="Heading2">
    <w:name w:val="heading 2"/>
    <w:basedOn w:val="Normal"/>
    <w:next w:val="Normal"/>
    <w:qFormat/>
    <w:rsid w:val="00B5273E"/>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5273E"/>
    <w:pPr>
      <w:ind w:left="360"/>
    </w:pPr>
  </w:style>
  <w:style w:type="paragraph" w:styleId="BodyText">
    <w:name w:val="Body Text"/>
    <w:basedOn w:val="Normal"/>
    <w:rsid w:val="00B5273E"/>
    <w:pPr>
      <w:jc w:val="center"/>
    </w:pPr>
  </w:style>
  <w:style w:type="paragraph" w:styleId="Footer">
    <w:name w:val="footer"/>
    <w:basedOn w:val="Normal"/>
    <w:rsid w:val="00B5273E"/>
    <w:pPr>
      <w:tabs>
        <w:tab w:val="center" w:pos="4320"/>
        <w:tab w:val="right" w:pos="8640"/>
      </w:tabs>
    </w:pPr>
  </w:style>
  <w:style w:type="character" w:styleId="PageNumber">
    <w:name w:val="page number"/>
    <w:basedOn w:val="DefaultParagraphFont"/>
    <w:rsid w:val="00B5273E"/>
  </w:style>
  <w:style w:type="paragraph" w:styleId="BodyTextIndent3">
    <w:name w:val="Body Text Indent 3"/>
    <w:basedOn w:val="Normal"/>
    <w:rsid w:val="00B5273E"/>
    <w:pPr>
      <w:ind w:left="360" w:hanging="360"/>
    </w:pPr>
  </w:style>
  <w:style w:type="table" w:styleId="TableGrid">
    <w:name w:val="Table Grid"/>
    <w:basedOn w:val="TableNormal"/>
    <w:rsid w:val="00B527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BB1AFA"/>
    <w:rPr>
      <w:rFonts w:ascii="Tahoma" w:hAnsi="Tahoma" w:cs="Tahoma"/>
      <w:sz w:val="16"/>
      <w:szCs w:val="16"/>
    </w:rPr>
  </w:style>
  <w:style w:type="character" w:styleId="CommentReference">
    <w:name w:val="annotation reference"/>
    <w:semiHidden/>
    <w:rsid w:val="00B769E1"/>
    <w:rPr>
      <w:sz w:val="16"/>
      <w:szCs w:val="16"/>
    </w:rPr>
  </w:style>
  <w:style w:type="paragraph" w:styleId="CommentText">
    <w:name w:val="annotation text"/>
    <w:basedOn w:val="Normal"/>
    <w:semiHidden/>
    <w:rsid w:val="00B769E1"/>
    <w:rPr>
      <w:sz w:val="20"/>
      <w:szCs w:val="20"/>
    </w:rPr>
  </w:style>
  <w:style w:type="paragraph" w:styleId="CommentSubject">
    <w:name w:val="annotation subject"/>
    <w:basedOn w:val="CommentText"/>
    <w:next w:val="CommentText"/>
    <w:semiHidden/>
    <w:rsid w:val="00B769E1"/>
    <w:rPr>
      <w:b/>
      <w:bCs/>
    </w:rPr>
  </w:style>
  <w:style w:type="paragraph" w:styleId="Header">
    <w:name w:val="header"/>
    <w:basedOn w:val="Normal"/>
    <w:rsid w:val="006E3619"/>
    <w:pPr>
      <w:tabs>
        <w:tab w:val="center" w:pos="4320"/>
        <w:tab w:val="right" w:pos="8640"/>
      </w:tabs>
    </w:pPr>
  </w:style>
  <w:style w:type="paragraph" w:styleId="HTMLPreformatted">
    <w:name w:val="HTML Preformatted"/>
    <w:basedOn w:val="Normal"/>
    <w:rsid w:val="009E4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rsid w:val="003B0CBA"/>
    <w:rPr>
      <w:color w:val="0000FF"/>
      <w:u w:val="single"/>
    </w:rPr>
  </w:style>
  <w:style w:type="character" w:styleId="FollowedHyperlink">
    <w:name w:val="FollowedHyperlink"/>
    <w:rsid w:val="008F25D4"/>
    <w:rPr>
      <w:color w:val="800080"/>
      <w:u w:val="single"/>
    </w:rPr>
  </w:style>
  <w:style w:type="character" w:customStyle="1" w:styleId="BodyTextIndentChar">
    <w:name w:val="Body Text Indent Char"/>
    <w:link w:val="BodyTextIndent"/>
    <w:rsid w:val="00210EF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273E"/>
    <w:rPr>
      <w:sz w:val="24"/>
      <w:szCs w:val="24"/>
    </w:rPr>
  </w:style>
  <w:style w:type="paragraph" w:styleId="Heading1">
    <w:name w:val="heading 1"/>
    <w:basedOn w:val="Normal"/>
    <w:next w:val="Normal"/>
    <w:qFormat/>
    <w:rsid w:val="00B5273E"/>
    <w:pPr>
      <w:keepNext/>
      <w:outlineLvl w:val="0"/>
    </w:pPr>
    <w:rPr>
      <w:u w:val="single"/>
    </w:rPr>
  </w:style>
  <w:style w:type="paragraph" w:styleId="Heading2">
    <w:name w:val="heading 2"/>
    <w:basedOn w:val="Normal"/>
    <w:next w:val="Normal"/>
    <w:qFormat/>
    <w:rsid w:val="00B5273E"/>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5273E"/>
    <w:pPr>
      <w:ind w:left="360"/>
    </w:pPr>
  </w:style>
  <w:style w:type="paragraph" w:styleId="BodyText">
    <w:name w:val="Body Text"/>
    <w:basedOn w:val="Normal"/>
    <w:rsid w:val="00B5273E"/>
    <w:pPr>
      <w:jc w:val="center"/>
    </w:pPr>
  </w:style>
  <w:style w:type="paragraph" w:styleId="Footer">
    <w:name w:val="footer"/>
    <w:basedOn w:val="Normal"/>
    <w:rsid w:val="00B5273E"/>
    <w:pPr>
      <w:tabs>
        <w:tab w:val="center" w:pos="4320"/>
        <w:tab w:val="right" w:pos="8640"/>
      </w:tabs>
    </w:pPr>
  </w:style>
  <w:style w:type="character" w:styleId="PageNumber">
    <w:name w:val="page number"/>
    <w:basedOn w:val="DefaultParagraphFont"/>
    <w:rsid w:val="00B5273E"/>
  </w:style>
  <w:style w:type="paragraph" w:styleId="BodyTextIndent3">
    <w:name w:val="Body Text Indent 3"/>
    <w:basedOn w:val="Normal"/>
    <w:rsid w:val="00B5273E"/>
    <w:pPr>
      <w:ind w:left="360" w:hanging="360"/>
    </w:pPr>
  </w:style>
  <w:style w:type="table" w:styleId="TableGrid">
    <w:name w:val="Table Grid"/>
    <w:basedOn w:val="TableNormal"/>
    <w:rsid w:val="00B527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BB1AFA"/>
    <w:rPr>
      <w:rFonts w:ascii="Tahoma" w:hAnsi="Tahoma" w:cs="Tahoma"/>
      <w:sz w:val="16"/>
      <w:szCs w:val="16"/>
    </w:rPr>
  </w:style>
  <w:style w:type="character" w:styleId="CommentReference">
    <w:name w:val="annotation reference"/>
    <w:semiHidden/>
    <w:rsid w:val="00B769E1"/>
    <w:rPr>
      <w:sz w:val="16"/>
      <w:szCs w:val="16"/>
    </w:rPr>
  </w:style>
  <w:style w:type="paragraph" w:styleId="CommentText">
    <w:name w:val="annotation text"/>
    <w:basedOn w:val="Normal"/>
    <w:semiHidden/>
    <w:rsid w:val="00B769E1"/>
    <w:rPr>
      <w:sz w:val="20"/>
      <w:szCs w:val="20"/>
    </w:rPr>
  </w:style>
  <w:style w:type="paragraph" w:styleId="CommentSubject">
    <w:name w:val="annotation subject"/>
    <w:basedOn w:val="CommentText"/>
    <w:next w:val="CommentText"/>
    <w:semiHidden/>
    <w:rsid w:val="00B769E1"/>
    <w:rPr>
      <w:b/>
      <w:bCs/>
    </w:rPr>
  </w:style>
  <w:style w:type="paragraph" w:styleId="Header">
    <w:name w:val="header"/>
    <w:basedOn w:val="Normal"/>
    <w:rsid w:val="006E3619"/>
    <w:pPr>
      <w:tabs>
        <w:tab w:val="center" w:pos="4320"/>
        <w:tab w:val="right" w:pos="8640"/>
      </w:tabs>
    </w:pPr>
  </w:style>
  <w:style w:type="paragraph" w:styleId="HTMLPreformatted">
    <w:name w:val="HTML Preformatted"/>
    <w:basedOn w:val="Normal"/>
    <w:rsid w:val="009E4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rsid w:val="003B0CBA"/>
    <w:rPr>
      <w:color w:val="0000FF"/>
      <w:u w:val="single"/>
    </w:rPr>
  </w:style>
  <w:style w:type="character" w:styleId="FollowedHyperlink">
    <w:name w:val="FollowedHyperlink"/>
    <w:rsid w:val="008F25D4"/>
    <w:rPr>
      <w:color w:val="800080"/>
      <w:u w:val="single"/>
    </w:rPr>
  </w:style>
  <w:style w:type="character" w:customStyle="1" w:styleId="BodyTextIndentChar">
    <w:name w:val="Body Text Indent Char"/>
    <w:link w:val="BodyTextIndent"/>
    <w:rsid w:val="00210EF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989811">
      <w:bodyDiv w:val="1"/>
      <w:marLeft w:val="0"/>
      <w:marRight w:val="0"/>
      <w:marTop w:val="0"/>
      <w:marBottom w:val="0"/>
      <w:divBdr>
        <w:top w:val="none" w:sz="0" w:space="0" w:color="auto"/>
        <w:left w:val="none" w:sz="0" w:space="0" w:color="auto"/>
        <w:bottom w:val="none" w:sz="0" w:space="0" w:color="auto"/>
        <w:right w:val="none" w:sz="0" w:space="0" w:color="auto"/>
      </w:divBdr>
      <w:divsChild>
        <w:div w:id="654649147">
          <w:marLeft w:val="0"/>
          <w:marRight w:val="0"/>
          <w:marTop w:val="0"/>
          <w:marBottom w:val="0"/>
          <w:divBdr>
            <w:top w:val="none" w:sz="0" w:space="0" w:color="auto"/>
            <w:left w:val="none" w:sz="0" w:space="0" w:color="auto"/>
            <w:bottom w:val="none" w:sz="0" w:space="0" w:color="auto"/>
            <w:right w:val="none" w:sz="0" w:space="0" w:color="auto"/>
          </w:divBdr>
        </w:div>
        <w:div w:id="1271279578">
          <w:marLeft w:val="0"/>
          <w:marRight w:val="0"/>
          <w:marTop w:val="0"/>
          <w:marBottom w:val="0"/>
          <w:divBdr>
            <w:top w:val="none" w:sz="0" w:space="0" w:color="auto"/>
            <w:left w:val="none" w:sz="0" w:space="0" w:color="auto"/>
            <w:bottom w:val="none" w:sz="0" w:space="0" w:color="auto"/>
            <w:right w:val="none" w:sz="0" w:space="0" w:color="auto"/>
          </w:divBdr>
        </w:div>
        <w:div w:id="1725256954">
          <w:marLeft w:val="0"/>
          <w:marRight w:val="0"/>
          <w:marTop w:val="0"/>
          <w:marBottom w:val="0"/>
          <w:divBdr>
            <w:top w:val="none" w:sz="0" w:space="0" w:color="auto"/>
            <w:left w:val="none" w:sz="0" w:space="0" w:color="auto"/>
            <w:bottom w:val="none" w:sz="0" w:space="0" w:color="auto"/>
            <w:right w:val="none" w:sz="0" w:space="0" w:color="auto"/>
          </w:divBdr>
        </w:div>
        <w:div w:id="19810318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opm.gov/policy-data-oversight/pay-leave/salaries-wages/2013/general-schedule/rest-of-us-hourlyovertime-rates-by-grade-and-ste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news.release/pdf/ecec.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ls.gov/oes/current/naics4_999200.htm" TargetMode="External"/><Relationship Id="rId4" Type="http://schemas.microsoft.com/office/2007/relationships/stylesWithEffects" Target="stylesWithEffects.xml"/><Relationship Id="rId9" Type="http://schemas.openxmlformats.org/officeDocument/2006/relationships/hyperlink" Target="http://www.bls.gov/oes/current/naics4_212100.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CB7DB-0EB2-49B1-ACF8-A54D2A284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4285</Words>
  <Characters>25130</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Supporting Statements for Reporting and Recordkeeping</vt:lpstr>
    </vt:vector>
  </TitlesOfParts>
  <Company>OSM</Company>
  <LinksUpToDate>false</LinksUpToDate>
  <CharactersWithSpaces>29357</CharactersWithSpaces>
  <SharedDoc>false</SharedDoc>
  <HLinks>
    <vt:vector size="24" baseType="variant">
      <vt:variant>
        <vt:i4>2556001</vt:i4>
      </vt:variant>
      <vt:variant>
        <vt:i4>24</vt:i4>
      </vt:variant>
      <vt:variant>
        <vt:i4>0</vt:i4>
      </vt:variant>
      <vt:variant>
        <vt:i4>5</vt:i4>
      </vt:variant>
      <vt:variant>
        <vt:lpwstr>http://www.opm.gov/policy-data-oversight/pay-leave/salaries-wages/2013/general-schedule/rest-of-us-hourlyovertime-rates-by-grade-and-step/</vt:lpwstr>
      </vt:variant>
      <vt:variant>
        <vt:lpwstr/>
      </vt:variant>
      <vt:variant>
        <vt:i4>1900546</vt:i4>
      </vt:variant>
      <vt:variant>
        <vt:i4>21</vt:i4>
      </vt:variant>
      <vt:variant>
        <vt:i4>0</vt:i4>
      </vt:variant>
      <vt:variant>
        <vt:i4>5</vt:i4>
      </vt:variant>
      <vt:variant>
        <vt:lpwstr>http://www.bls.gov/news.release/pdf/ecec.pdf</vt:lpwstr>
      </vt:variant>
      <vt:variant>
        <vt:lpwstr/>
      </vt:variant>
      <vt:variant>
        <vt:i4>4128848</vt:i4>
      </vt:variant>
      <vt:variant>
        <vt:i4>18</vt:i4>
      </vt:variant>
      <vt:variant>
        <vt:i4>0</vt:i4>
      </vt:variant>
      <vt:variant>
        <vt:i4>5</vt:i4>
      </vt:variant>
      <vt:variant>
        <vt:lpwstr>http://www.bls.gov/oes/current/naics4_999200.htm</vt:lpwstr>
      </vt:variant>
      <vt:variant>
        <vt:lpwstr>b00-0000</vt:lpwstr>
      </vt:variant>
      <vt:variant>
        <vt:i4>2686978</vt:i4>
      </vt:variant>
      <vt:variant>
        <vt:i4>15</vt:i4>
      </vt:variant>
      <vt:variant>
        <vt:i4>0</vt:i4>
      </vt:variant>
      <vt:variant>
        <vt:i4>5</vt:i4>
      </vt:variant>
      <vt:variant>
        <vt:lpwstr>http://www.bls.gov/oes/current/naics4_212100.htm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Statements for Reporting and Recordkeeping</dc:title>
  <dc:creator>Trelease, John A</dc:creator>
  <cp:lastModifiedBy>Trelease, John A</cp:lastModifiedBy>
  <cp:revision>3</cp:revision>
  <cp:lastPrinted>2014-01-29T12:30:00Z</cp:lastPrinted>
  <dcterms:created xsi:type="dcterms:W3CDTF">2014-01-29T15:44:00Z</dcterms:created>
  <dcterms:modified xsi:type="dcterms:W3CDTF">2014-01-29T15:46:00Z</dcterms:modified>
</cp:coreProperties>
</file>