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CC9DD" w14:textId="29590559" w:rsidR="00165479" w:rsidRDefault="00282712" w:rsidP="00B61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Supporting Statement A</w:t>
      </w:r>
    </w:p>
    <w:p w14:paraId="1B7D19F1" w14:textId="77777777" w:rsidR="00282712" w:rsidRDefault="00282712" w:rsidP="00B61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342D64B9" w14:textId="77777777" w:rsidR="00B61EC7" w:rsidRDefault="00B61EC7" w:rsidP="00B61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Registry of Climate Change Vulnerability Assessments</w:t>
      </w:r>
    </w:p>
    <w:p w14:paraId="4C7DE120" w14:textId="77777777" w:rsidR="00B61EC7" w:rsidRDefault="00B61EC7" w:rsidP="00B61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4327340" w14:textId="77777777" w:rsidR="00B61EC7" w:rsidRDefault="00B61EC7" w:rsidP="00B61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1028-NEW</w:t>
      </w:r>
    </w:p>
    <w:p w14:paraId="6E7C23EE" w14:textId="77777777" w:rsidR="00B61EC7" w:rsidRDefault="00B61EC7" w:rsidP="00B61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B7B5ED1" w14:textId="77777777" w:rsidR="00B61EC7" w:rsidRDefault="00B61EC7" w:rsidP="00B61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Pr="00AD7A25">
        <w:rPr>
          <w:sz w:val="32"/>
          <w:szCs w:val="32"/>
        </w:rPr>
        <w:t>None</w:t>
      </w:r>
    </w:p>
    <w:p w14:paraId="36F14D6B" w14:textId="77777777" w:rsidR="00B61EC7" w:rsidRDefault="00B61EC7" w:rsidP="00B61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233E560" w14:textId="77777777" w:rsidR="00B61EC7" w:rsidRDefault="00B61EC7" w:rsidP="00B61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BF3761A" w14:textId="77777777" w:rsidR="00B61EC7" w:rsidRDefault="00B61EC7" w:rsidP="00B61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06C8AB" w14:textId="77777777" w:rsidR="00B61EC7" w:rsidRDefault="00B61EC7" w:rsidP="00B61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0D4D2077" w14:textId="77777777" w:rsidR="00B61EC7" w:rsidRDefault="00B61EC7" w:rsidP="00B61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2E32EA0" w14:textId="77777777" w:rsidR="00B61EC7" w:rsidRDefault="00B61EC7" w:rsidP="00B61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40808F36" w14:textId="77777777" w:rsidR="00B61EC7" w:rsidRDefault="00B61EC7" w:rsidP="00B61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02D1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4A262F27"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5EBD39E"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7201">
        <w:rPr>
          <w:b/>
          <w:sz w:val="24"/>
          <w:szCs w:val="24"/>
        </w:rPr>
        <w:t>1.</w:t>
      </w:r>
      <w:r w:rsidRPr="003E7201">
        <w:rPr>
          <w:b/>
          <w:sz w:val="24"/>
          <w:szCs w:val="24"/>
        </w:rPr>
        <w:tab/>
        <w:t>Explain the circumstances that make the collection of information necessary.  Identify any legal or administrative requirements that necessitate the collection</w:t>
      </w:r>
      <w:r w:rsidR="000F3AF1" w:rsidRPr="003E7201">
        <w:rPr>
          <w:b/>
          <w:sz w:val="24"/>
          <w:szCs w:val="24"/>
        </w:rPr>
        <w:t>.</w:t>
      </w:r>
    </w:p>
    <w:p w14:paraId="3322362E"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2855E20" w14:textId="648556F2" w:rsidR="00FD3154" w:rsidRDefault="00A1090A" w:rsidP="00B877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B87792">
        <w:rPr>
          <w:sz w:val="24"/>
          <w:szCs w:val="24"/>
        </w:rPr>
        <w:t xml:space="preserve">Climate change vulnerability assessments are scientific studies to identify resources (natural, cultural, built environment) that are vulnerable to climate change and often, to quantify relative vulnerability among multiple resources of interest. </w:t>
      </w:r>
      <w:r w:rsidR="00FD3154">
        <w:rPr>
          <w:sz w:val="24"/>
          <w:szCs w:val="24"/>
        </w:rPr>
        <w:t xml:space="preserve"> They generally address </w:t>
      </w:r>
      <w:r w:rsidR="00AD7A25">
        <w:rPr>
          <w:sz w:val="24"/>
          <w:szCs w:val="24"/>
        </w:rPr>
        <w:t xml:space="preserve">1) </w:t>
      </w:r>
      <w:r w:rsidR="00FD3154">
        <w:rPr>
          <w:sz w:val="24"/>
          <w:szCs w:val="24"/>
        </w:rPr>
        <w:t xml:space="preserve">the degree of </w:t>
      </w:r>
      <w:r w:rsidR="00FD3154">
        <w:rPr>
          <w:i/>
          <w:sz w:val="24"/>
          <w:szCs w:val="24"/>
        </w:rPr>
        <w:t>exposure</w:t>
      </w:r>
      <w:r w:rsidR="00FD3154">
        <w:rPr>
          <w:sz w:val="24"/>
          <w:szCs w:val="24"/>
        </w:rPr>
        <w:t xml:space="preserve"> of the assessment endpoint</w:t>
      </w:r>
      <w:r w:rsidR="003F3AEC">
        <w:rPr>
          <w:rStyle w:val="FootnoteReference"/>
          <w:sz w:val="24"/>
          <w:szCs w:val="24"/>
        </w:rPr>
        <w:footnoteReference w:id="1"/>
      </w:r>
      <w:r w:rsidR="00FD3154">
        <w:rPr>
          <w:sz w:val="24"/>
          <w:szCs w:val="24"/>
        </w:rPr>
        <w:t xml:space="preserve"> to climate change (</w:t>
      </w:r>
      <w:r w:rsidR="00AD7A25">
        <w:rPr>
          <w:sz w:val="24"/>
          <w:szCs w:val="24"/>
        </w:rPr>
        <w:t xml:space="preserve">i.e., </w:t>
      </w:r>
      <w:r w:rsidR="00FD3154">
        <w:rPr>
          <w:sz w:val="24"/>
          <w:szCs w:val="24"/>
        </w:rPr>
        <w:t xml:space="preserve">how much climate change will this resource experience); </w:t>
      </w:r>
      <w:r w:rsidR="00AD7A25">
        <w:rPr>
          <w:sz w:val="24"/>
          <w:szCs w:val="24"/>
        </w:rPr>
        <w:t xml:space="preserve">2) </w:t>
      </w:r>
      <w:r w:rsidR="00FD3154">
        <w:rPr>
          <w:sz w:val="24"/>
          <w:szCs w:val="24"/>
        </w:rPr>
        <w:t xml:space="preserve">the degree of </w:t>
      </w:r>
      <w:r w:rsidR="00FD3154">
        <w:rPr>
          <w:i/>
          <w:sz w:val="24"/>
          <w:szCs w:val="24"/>
        </w:rPr>
        <w:t xml:space="preserve">sensitivity </w:t>
      </w:r>
      <w:r w:rsidR="00FD3154">
        <w:rPr>
          <w:sz w:val="24"/>
          <w:szCs w:val="24"/>
        </w:rPr>
        <w:t>of that resource to climate change (</w:t>
      </w:r>
      <w:r w:rsidR="00AD7A25">
        <w:rPr>
          <w:sz w:val="24"/>
          <w:szCs w:val="24"/>
        </w:rPr>
        <w:t xml:space="preserve">i.e., </w:t>
      </w:r>
      <w:r w:rsidR="00FD3154">
        <w:rPr>
          <w:sz w:val="24"/>
          <w:szCs w:val="24"/>
        </w:rPr>
        <w:t>will climate change harm this resource), and</w:t>
      </w:r>
      <w:r w:rsidR="00AD7A25">
        <w:rPr>
          <w:sz w:val="24"/>
          <w:szCs w:val="24"/>
        </w:rPr>
        <w:t xml:space="preserve"> 3)</w:t>
      </w:r>
      <w:r w:rsidR="00FD3154">
        <w:rPr>
          <w:sz w:val="24"/>
          <w:szCs w:val="24"/>
        </w:rPr>
        <w:t xml:space="preserve"> </w:t>
      </w:r>
      <w:r w:rsidR="00FD3154">
        <w:rPr>
          <w:i/>
          <w:sz w:val="24"/>
          <w:szCs w:val="24"/>
        </w:rPr>
        <w:t>adaptive capacity</w:t>
      </w:r>
      <w:r w:rsidR="00FD3154">
        <w:rPr>
          <w:sz w:val="24"/>
          <w:szCs w:val="24"/>
        </w:rPr>
        <w:t xml:space="preserve"> </w:t>
      </w:r>
      <w:r w:rsidR="00FA5A32">
        <w:rPr>
          <w:sz w:val="24"/>
          <w:szCs w:val="24"/>
        </w:rPr>
        <w:t>(</w:t>
      </w:r>
      <w:r w:rsidR="00AD7A25">
        <w:rPr>
          <w:sz w:val="24"/>
          <w:szCs w:val="24"/>
        </w:rPr>
        <w:t xml:space="preserve">i.e., </w:t>
      </w:r>
      <w:r w:rsidR="00FA5A32">
        <w:rPr>
          <w:sz w:val="24"/>
          <w:szCs w:val="24"/>
        </w:rPr>
        <w:t xml:space="preserve">the ability of the target to cope with impacts of climate change) </w:t>
      </w:r>
      <w:r w:rsidR="00FD3154">
        <w:rPr>
          <w:sz w:val="24"/>
          <w:szCs w:val="24"/>
        </w:rPr>
        <w:t xml:space="preserve">the asset may possess. </w:t>
      </w:r>
    </w:p>
    <w:p w14:paraId="1178BC2F" w14:textId="77777777" w:rsidR="00997300" w:rsidRDefault="00997300" w:rsidP="00B877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FD80048" w14:textId="6A656F88" w:rsidR="00B87792" w:rsidRDefault="00A1090A" w:rsidP="00B877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B87792">
        <w:rPr>
          <w:sz w:val="24"/>
          <w:szCs w:val="24"/>
        </w:rPr>
        <w:t xml:space="preserve">A very large number of </w:t>
      </w:r>
      <w:r w:rsidR="00EE726D">
        <w:rPr>
          <w:sz w:val="24"/>
          <w:szCs w:val="24"/>
        </w:rPr>
        <w:t xml:space="preserve">vulnerability </w:t>
      </w:r>
      <w:r w:rsidR="00B87792">
        <w:rPr>
          <w:sz w:val="24"/>
          <w:szCs w:val="24"/>
        </w:rPr>
        <w:t>studies have been conducted and are ongoing</w:t>
      </w:r>
      <w:r w:rsidR="00EE726D">
        <w:rPr>
          <w:sz w:val="24"/>
          <w:szCs w:val="24"/>
        </w:rPr>
        <w:t xml:space="preserve">, but identifying these studies and learning their characteristics, </w:t>
      </w:r>
      <w:r w:rsidR="005430B4">
        <w:rPr>
          <w:sz w:val="24"/>
          <w:szCs w:val="24"/>
        </w:rPr>
        <w:t>such as geographic coverage, topical focus</w:t>
      </w:r>
      <w:r w:rsidR="00EE726D">
        <w:rPr>
          <w:sz w:val="24"/>
          <w:szCs w:val="24"/>
        </w:rPr>
        <w:t xml:space="preserve">, </w:t>
      </w:r>
      <w:r w:rsidR="005430B4">
        <w:rPr>
          <w:sz w:val="24"/>
          <w:szCs w:val="24"/>
        </w:rPr>
        <w:t xml:space="preserve">methodology, data sources, and conclusions, </w:t>
      </w:r>
      <w:r w:rsidR="00EE726D">
        <w:rPr>
          <w:sz w:val="24"/>
          <w:szCs w:val="24"/>
        </w:rPr>
        <w:t>is difficult</w:t>
      </w:r>
      <w:r w:rsidR="00B87792">
        <w:rPr>
          <w:sz w:val="24"/>
          <w:szCs w:val="24"/>
        </w:rPr>
        <w:t xml:space="preserve">. This information collection is proposed to provide </w:t>
      </w:r>
      <w:r w:rsidR="00EE726D">
        <w:rPr>
          <w:sz w:val="24"/>
          <w:szCs w:val="24"/>
        </w:rPr>
        <w:t xml:space="preserve">interested parties </w:t>
      </w:r>
      <w:r w:rsidR="00B87792">
        <w:rPr>
          <w:sz w:val="24"/>
          <w:szCs w:val="24"/>
        </w:rPr>
        <w:t>(</w:t>
      </w:r>
      <w:r w:rsidR="00CA4D06">
        <w:rPr>
          <w:sz w:val="24"/>
          <w:szCs w:val="24"/>
        </w:rPr>
        <w:t xml:space="preserve">including </w:t>
      </w:r>
      <w:r w:rsidR="00B87792">
        <w:rPr>
          <w:sz w:val="24"/>
          <w:szCs w:val="24"/>
        </w:rPr>
        <w:t xml:space="preserve">government and nongovernment parties with resource management responsibilities, and their science support partners) </w:t>
      </w:r>
      <w:r w:rsidR="00EE726D">
        <w:rPr>
          <w:sz w:val="24"/>
          <w:szCs w:val="24"/>
        </w:rPr>
        <w:t xml:space="preserve">a vehicle </w:t>
      </w:r>
      <w:r w:rsidR="00B87792">
        <w:rPr>
          <w:sz w:val="24"/>
          <w:szCs w:val="24"/>
        </w:rPr>
        <w:t xml:space="preserve">to locate vulnerability assessments (VA) that may provide models for </w:t>
      </w:r>
      <w:r w:rsidR="00B87792">
        <w:rPr>
          <w:sz w:val="24"/>
          <w:szCs w:val="24"/>
        </w:rPr>
        <w:lastRenderedPageBreak/>
        <w:t xml:space="preserve">their own studies, conclusions that may be incorporated into their work, or have data or other information useful in the conduct of new studies. This will reduce the cost and increase the efficiency by which the large number of required VAs </w:t>
      </w:r>
      <w:r w:rsidR="001754D7">
        <w:rPr>
          <w:sz w:val="24"/>
          <w:szCs w:val="24"/>
        </w:rPr>
        <w:t xml:space="preserve">are </w:t>
      </w:r>
      <w:r w:rsidR="00B87792">
        <w:rPr>
          <w:sz w:val="24"/>
          <w:szCs w:val="24"/>
        </w:rPr>
        <w:t xml:space="preserve">conducted. A second use of the information to be collected is at a meta-level. That is, it will enable analysis of where VAs </w:t>
      </w:r>
      <w:proofErr w:type="gramStart"/>
      <w:r w:rsidR="00B87792">
        <w:rPr>
          <w:sz w:val="24"/>
          <w:szCs w:val="24"/>
        </w:rPr>
        <w:t>have</w:t>
      </w:r>
      <w:proofErr w:type="gramEnd"/>
      <w:r w:rsidR="00B87792">
        <w:rPr>
          <w:sz w:val="24"/>
          <w:szCs w:val="24"/>
        </w:rPr>
        <w:t xml:space="preserve"> been conducted </w:t>
      </w:r>
      <w:r w:rsidR="003F3AEC">
        <w:rPr>
          <w:sz w:val="24"/>
          <w:szCs w:val="24"/>
        </w:rPr>
        <w:t>and on what resources. This will support two important outcomes. The first is identification, using multiple assessments, of the impact of climate change on a broad range of key natural and societal resources.  The second is identification of gaps – geographic areas or specific resources</w:t>
      </w:r>
      <w:r w:rsidR="009D507E">
        <w:rPr>
          <w:sz w:val="24"/>
          <w:szCs w:val="24"/>
        </w:rPr>
        <w:t xml:space="preserve"> </w:t>
      </w:r>
      <w:r w:rsidR="009D507E" w:rsidRPr="009D507E">
        <w:rPr>
          <w:sz w:val="24"/>
          <w:szCs w:val="24"/>
        </w:rPr>
        <w:t xml:space="preserve">– </w:t>
      </w:r>
      <w:r w:rsidR="003F3AEC">
        <w:rPr>
          <w:sz w:val="24"/>
          <w:szCs w:val="24"/>
        </w:rPr>
        <w:t>for which assessments have not been conducted.</w:t>
      </w:r>
    </w:p>
    <w:p w14:paraId="7C8FC69C" w14:textId="77777777" w:rsidR="00B87792" w:rsidRDefault="00B87792" w:rsidP="00B877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2C34390" w14:textId="2C9C83E7" w:rsidR="00B87792" w:rsidRDefault="007426C2" w:rsidP="00B877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t xml:space="preserve">The </w:t>
      </w:r>
      <w:r w:rsidR="00EE726D">
        <w:rPr>
          <w:sz w:val="24"/>
          <w:szCs w:val="24"/>
        </w:rPr>
        <w:t>USGS is authorized to collect information of this</w:t>
      </w:r>
      <w:r w:rsidR="00012F0F">
        <w:rPr>
          <w:sz w:val="24"/>
          <w:szCs w:val="24"/>
        </w:rPr>
        <w:t xml:space="preserve"> sort, based on its Organic Act</w:t>
      </w:r>
      <w:r w:rsidR="00EE726D">
        <w:rPr>
          <w:rStyle w:val="FootnoteReference"/>
          <w:sz w:val="24"/>
          <w:szCs w:val="24"/>
        </w:rPr>
        <w:footnoteReference w:id="2"/>
      </w:r>
      <w:r w:rsidR="00012F0F">
        <w:rPr>
          <w:sz w:val="24"/>
          <w:szCs w:val="24"/>
        </w:rPr>
        <w:t>.</w:t>
      </w:r>
      <w:r w:rsidR="00EE726D">
        <w:rPr>
          <w:sz w:val="24"/>
          <w:szCs w:val="24"/>
        </w:rPr>
        <w:t xml:space="preserve"> In addition, the National Climate Change and Wildlife Science Center </w:t>
      </w:r>
      <w:r w:rsidR="009D507E">
        <w:rPr>
          <w:sz w:val="24"/>
          <w:szCs w:val="24"/>
        </w:rPr>
        <w:t xml:space="preserve">(NCCWSC) </w:t>
      </w:r>
      <w:proofErr w:type="gramStart"/>
      <w:r w:rsidR="00EE726D">
        <w:rPr>
          <w:sz w:val="24"/>
          <w:szCs w:val="24"/>
        </w:rPr>
        <w:t>was</w:t>
      </w:r>
      <w:proofErr w:type="gramEnd"/>
      <w:r w:rsidR="00EE726D">
        <w:rPr>
          <w:sz w:val="24"/>
          <w:szCs w:val="24"/>
        </w:rPr>
        <w:t xml:space="preserve"> established pursuant to Congressional action</w:t>
      </w:r>
      <w:r w:rsidR="00012F0F">
        <w:rPr>
          <w:rStyle w:val="FootnoteReference"/>
          <w:sz w:val="24"/>
          <w:szCs w:val="24"/>
        </w:rPr>
        <w:footnoteReference w:id="3"/>
      </w:r>
      <w:r w:rsidR="00012F0F">
        <w:rPr>
          <w:sz w:val="24"/>
          <w:szCs w:val="24"/>
        </w:rPr>
        <w:t xml:space="preserve"> and Secretarial Order</w:t>
      </w:r>
      <w:r w:rsidR="00012F0F">
        <w:rPr>
          <w:rStyle w:val="FootnoteReference"/>
          <w:sz w:val="24"/>
          <w:szCs w:val="24"/>
        </w:rPr>
        <w:footnoteReference w:id="4"/>
      </w:r>
      <w:r w:rsidR="00012F0F">
        <w:rPr>
          <w:sz w:val="24"/>
          <w:szCs w:val="24"/>
        </w:rPr>
        <w:t>.</w:t>
      </w:r>
      <w:r w:rsidR="00465DE3">
        <w:rPr>
          <w:sz w:val="24"/>
          <w:szCs w:val="24"/>
        </w:rPr>
        <w:t xml:space="preserve"> Appropriations language directs NCCWSC to provide information to resource managers “</w:t>
      </w:r>
      <w:r w:rsidR="00465DE3" w:rsidRPr="00EC69D6">
        <w:rPr>
          <w:sz w:val="24"/>
          <w:szCs w:val="24"/>
        </w:rPr>
        <w:t>regarding the impacts of global warming on fish, wildlife, plants and ecological processes</w:t>
      </w:r>
      <w:r w:rsidR="00465DE3">
        <w:rPr>
          <w:sz w:val="24"/>
          <w:szCs w:val="24"/>
        </w:rPr>
        <w:t xml:space="preserve">” and </w:t>
      </w:r>
      <w:r w:rsidR="003F3AEC">
        <w:rPr>
          <w:sz w:val="24"/>
          <w:szCs w:val="24"/>
        </w:rPr>
        <w:t>Secretarial Order 3289 tasks CSCs with “</w:t>
      </w:r>
      <w:proofErr w:type="spellStart"/>
      <w:r w:rsidR="003F3AEC">
        <w:rPr>
          <w:sz w:val="24"/>
          <w:szCs w:val="24"/>
        </w:rPr>
        <w:t>provid</w:t>
      </w:r>
      <w:proofErr w:type="spellEnd"/>
      <w:r w:rsidR="003F3AEC">
        <w:rPr>
          <w:sz w:val="24"/>
          <w:szCs w:val="24"/>
        </w:rPr>
        <w:t>[</w:t>
      </w:r>
      <w:proofErr w:type="spellStart"/>
      <w:r w:rsidR="003F3AEC">
        <w:rPr>
          <w:sz w:val="24"/>
          <w:szCs w:val="24"/>
        </w:rPr>
        <w:t>ing</w:t>
      </w:r>
      <w:proofErr w:type="spellEnd"/>
      <w:r w:rsidR="003F3AEC">
        <w:rPr>
          <w:sz w:val="24"/>
          <w:szCs w:val="24"/>
        </w:rPr>
        <w:t>] climate change impacts data and analysis</w:t>
      </w:r>
      <w:r w:rsidR="00465DE3">
        <w:rPr>
          <w:sz w:val="24"/>
          <w:szCs w:val="24"/>
        </w:rPr>
        <w:t xml:space="preserve"> …” to Departmental and other managers. Vulnerability assessments are a basic building block of developing plans to address climate change. </w:t>
      </w:r>
      <w:r w:rsidR="00012F0F">
        <w:rPr>
          <w:sz w:val="24"/>
          <w:szCs w:val="24"/>
        </w:rPr>
        <w:t xml:space="preserve">In addition, </w:t>
      </w:r>
      <w:r w:rsidR="00695077">
        <w:rPr>
          <w:sz w:val="24"/>
          <w:szCs w:val="24"/>
        </w:rPr>
        <w:t xml:space="preserve">one of </w:t>
      </w:r>
      <w:r w:rsidR="003D3DCD">
        <w:rPr>
          <w:sz w:val="24"/>
          <w:szCs w:val="24"/>
        </w:rPr>
        <w:t xml:space="preserve">former </w:t>
      </w:r>
      <w:r w:rsidR="00695077">
        <w:rPr>
          <w:sz w:val="24"/>
          <w:szCs w:val="24"/>
        </w:rPr>
        <w:t>Secretary</w:t>
      </w:r>
      <w:r w:rsidR="001C46CF">
        <w:rPr>
          <w:sz w:val="24"/>
          <w:szCs w:val="24"/>
        </w:rPr>
        <w:t xml:space="preserve"> of the Interior</w:t>
      </w:r>
      <w:r w:rsidR="00695077">
        <w:rPr>
          <w:sz w:val="24"/>
          <w:szCs w:val="24"/>
        </w:rPr>
        <w:t xml:space="preserve"> Salazar’s High Priority Performance Goals deals with the conduct of vulnerability assessments</w:t>
      </w:r>
      <w:r w:rsidR="00736EF3">
        <w:rPr>
          <w:sz w:val="24"/>
          <w:szCs w:val="24"/>
        </w:rPr>
        <w:t>, and Secretary Jewell has affirmed this support.</w:t>
      </w:r>
      <w:r w:rsidR="00012F0F">
        <w:rPr>
          <w:sz w:val="24"/>
          <w:szCs w:val="24"/>
        </w:rPr>
        <w:t xml:space="preserve"> </w:t>
      </w:r>
    </w:p>
    <w:p w14:paraId="0803AC94" w14:textId="77777777" w:rsidR="00B87792" w:rsidRDefault="00B877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006543"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2.</w:t>
      </w:r>
      <w:r>
        <w:rPr>
          <w:sz w:val="24"/>
          <w:szCs w:val="24"/>
        </w:rPr>
        <w:tab/>
      </w:r>
      <w:r w:rsidRPr="003E7201">
        <w:rPr>
          <w:b/>
          <w:sz w:val="24"/>
          <w:szCs w:val="24"/>
        </w:rPr>
        <w:t xml:space="preserve">Indicate how, by whom, and for what purpose the information is to be used.  Except for a new collection, indicate the actual use the agency has made of the information received from the current collection. </w:t>
      </w:r>
      <w:r w:rsidR="00DE1FFE" w:rsidRPr="003E7201">
        <w:rPr>
          <w:b/>
          <w:sz w:val="24"/>
          <w:szCs w:val="24"/>
        </w:rPr>
        <w:t xml:space="preserve"> </w:t>
      </w:r>
      <w:r w:rsidRPr="003E7201">
        <w:rPr>
          <w:b/>
          <w:sz w:val="24"/>
          <w:szCs w:val="24"/>
        </w:rPr>
        <w:t xml:space="preserve">Be specific.  If this collection is a form or a questionnaire, every </w:t>
      </w:r>
      <w:r w:rsidR="00DE1FFE" w:rsidRPr="003E7201">
        <w:rPr>
          <w:b/>
          <w:sz w:val="24"/>
          <w:szCs w:val="24"/>
        </w:rPr>
        <w:t>question needs to be justified.</w:t>
      </w:r>
    </w:p>
    <w:p w14:paraId="7A39775B" w14:textId="77777777" w:rsidR="00695077" w:rsidRPr="003E7201" w:rsidRDefault="006950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9A4CADC" w14:textId="7816F6A2" w:rsidR="00695077" w:rsidRDefault="007426C2" w:rsidP="006950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736EF3">
        <w:rPr>
          <w:sz w:val="24"/>
          <w:szCs w:val="24"/>
        </w:rPr>
        <w:t xml:space="preserve">The registry is intended to identify and provide information on a wide range of studies, using different methods, at different scales, and relying upon different information describing expected future climates. </w:t>
      </w:r>
      <w:r w:rsidR="007825B1">
        <w:rPr>
          <w:sz w:val="24"/>
          <w:szCs w:val="24"/>
        </w:rPr>
        <w:t xml:space="preserve">The information sought will be non-proprietary and contain no personally identifiable information as defined </w:t>
      </w:r>
      <w:r w:rsidR="00E87A63">
        <w:rPr>
          <w:sz w:val="24"/>
          <w:szCs w:val="24"/>
        </w:rPr>
        <w:t xml:space="preserve">under the Privacy Act of 1974. The registry will be </w:t>
      </w:r>
      <w:r w:rsidR="007825B1">
        <w:rPr>
          <w:sz w:val="24"/>
          <w:szCs w:val="24"/>
        </w:rPr>
        <w:t xml:space="preserve">made available to </w:t>
      </w:r>
      <w:r w:rsidR="00E87A63">
        <w:rPr>
          <w:sz w:val="24"/>
          <w:szCs w:val="24"/>
        </w:rPr>
        <w:t>interested professionals as well as to the general public</w:t>
      </w:r>
      <w:r w:rsidR="007825B1">
        <w:rPr>
          <w:sz w:val="24"/>
          <w:szCs w:val="24"/>
        </w:rPr>
        <w:t xml:space="preserve"> by way of a searchable </w:t>
      </w:r>
      <w:r w:rsidR="001F39AB">
        <w:rPr>
          <w:sz w:val="24"/>
          <w:szCs w:val="24"/>
        </w:rPr>
        <w:t>Web</w:t>
      </w:r>
      <w:r w:rsidR="007825B1">
        <w:rPr>
          <w:sz w:val="24"/>
          <w:szCs w:val="24"/>
        </w:rPr>
        <w:t>-hosted database</w:t>
      </w:r>
      <w:r w:rsidR="00E944B7">
        <w:rPr>
          <w:sz w:val="24"/>
          <w:szCs w:val="24"/>
        </w:rPr>
        <w:t xml:space="preserve"> for a minimum of 5 years</w:t>
      </w:r>
      <w:r w:rsidR="007825B1">
        <w:rPr>
          <w:sz w:val="24"/>
          <w:szCs w:val="24"/>
        </w:rPr>
        <w:t>.</w:t>
      </w:r>
    </w:p>
    <w:p w14:paraId="12070383" w14:textId="77777777" w:rsidR="00695077" w:rsidRDefault="00695077" w:rsidP="006950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21E64CC" w14:textId="5436A1FB" w:rsidR="00695077" w:rsidRDefault="007426C2" w:rsidP="00327C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rPr>
          <w:sz w:val="24"/>
          <w:szCs w:val="24"/>
        </w:rPr>
      </w:pPr>
      <w:r>
        <w:rPr>
          <w:sz w:val="24"/>
          <w:szCs w:val="24"/>
        </w:rPr>
        <w:tab/>
      </w:r>
      <w:r w:rsidR="00695077">
        <w:rPr>
          <w:sz w:val="24"/>
          <w:szCs w:val="24"/>
        </w:rPr>
        <w:t>The primary categories of users</w:t>
      </w:r>
      <w:r w:rsidR="00AA25DB">
        <w:rPr>
          <w:sz w:val="24"/>
          <w:szCs w:val="24"/>
        </w:rPr>
        <w:t xml:space="preserve"> and uses</w:t>
      </w:r>
      <w:r w:rsidR="00695077">
        <w:rPr>
          <w:sz w:val="24"/>
          <w:szCs w:val="24"/>
        </w:rPr>
        <w:t xml:space="preserve"> are: </w:t>
      </w:r>
    </w:p>
    <w:p w14:paraId="530DC664" w14:textId="7DF370AC" w:rsidR="00695077" w:rsidRDefault="00695077" w:rsidP="00E95860">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4"/>
          <w:szCs w:val="24"/>
        </w:rPr>
      </w:pPr>
      <w:r w:rsidRPr="001C46CF">
        <w:rPr>
          <w:i/>
          <w:sz w:val="24"/>
          <w:szCs w:val="24"/>
        </w:rPr>
        <w:t>Individuals and institutions considering conducting vulnerability assessments</w:t>
      </w:r>
      <w:r>
        <w:rPr>
          <w:sz w:val="24"/>
          <w:szCs w:val="24"/>
        </w:rPr>
        <w:t xml:space="preserve">. This includes a wide range of federal, state, local and other governmental </w:t>
      </w:r>
      <w:r w:rsidR="00AC2F66">
        <w:rPr>
          <w:sz w:val="24"/>
          <w:szCs w:val="24"/>
        </w:rPr>
        <w:t>institutions</w:t>
      </w:r>
      <w:r>
        <w:rPr>
          <w:sz w:val="24"/>
          <w:szCs w:val="24"/>
        </w:rPr>
        <w:t>, as well as nongovernmental organizations</w:t>
      </w:r>
      <w:r w:rsidR="001458D4">
        <w:rPr>
          <w:sz w:val="24"/>
          <w:szCs w:val="24"/>
        </w:rPr>
        <w:t xml:space="preserve"> (NGOs)</w:t>
      </w:r>
      <w:r>
        <w:rPr>
          <w:sz w:val="24"/>
          <w:szCs w:val="24"/>
        </w:rPr>
        <w:t>, universities, and other entities.  The intent is to enable users to locate completed or ongoing VAs that share relevant characteristics with the user</w:t>
      </w:r>
      <w:r w:rsidR="00997300">
        <w:rPr>
          <w:sz w:val="24"/>
          <w:szCs w:val="24"/>
        </w:rPr>
        <w:t>’</w:t>
      </w:r>
      <w:r>
        <w:rPr>
          <w:sz w:val="24"/>
          <w:szCs w:val="24"/>
        </w:rPr>
        <w:t>s intended VA</w:t>
      </w:r>
      <w:r w:rsidR="00997300">
        <w:rPr>
          <w:sz w:val="24"/>
          <w:szCs w:val="24"/>
        </w:rPr>
        <w:t>. F</w:t>
      </w:r>
      <w:r>
        <w:rPr>
          <w:sz w:val="24"/>
          <w:szCs w:val="24"/>
        </w:rPr>
        <w:t xml:space="preserve">or example, a fisheries manager in North Carolina could locate other studies of coldwater fish and climate change; or a Bureau of Land Management analyst may locate VAs conducted on a variety of </w:t>
      </w:r>
      <w:r>
        <w:rPr>
          <w:sz w:val="24"/>
          <w:szCs w:val="24"/>
        </w:rPr>
        <w:lastRenderedPageBreak/>
        <w:t xml:space="preserve">resource types in her state. Either of these users might identify relevant methods for conducting their assessment, relevant </w:t>
      </w:r>
      <w:r w:rsidR="00FD3154">
        <w:rPr>
          <w:sz w:val="24"/>
          <w:szCs w:val="24"/>
        </w:rPr>
        <w:t xml:space="preserve">conclusions </w:t>
      </w:r>
      <w:r>
        <w:rPr>
          <w:sz w:val="24"/>
          <w:szCs w:val="24"/>
        </w:rPr>
        <w:t xml:space="preserve">or concerns raised in other assessments, and potential data sources that may have been assembled for other assessment. </w:t>
      </w:r>
    </w:p>
    <w:p w14:paraId="5280D3D4" w14:textId="77777777" w:rsidR="00695077" w:rsidRDefault="00695077" w:rsidP="00E95860">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4"/>
          <w:szCs w:val="24"/>
        </w:rPr>
      </w:pPr>
      <w:r w:rsidRPr="001C46CF">
        <w:rPr>
          <w:i/>
          <w:sz w:val="24"/>
          <w:szCs w:val="24"/>
        </w:rPr>
        <w:t>Managers of specific resources</w:t>
      </w:r>
      <w:r>
        <w:rPr>
          <w:sz w:val="24"/>
          <w:szCs w:val="24"/>
        </w:rPr>
        <w:t xml:space="preserve"> </w:t>
      </w:r>
      <w:r w:rsidR="00AA25DB">
        <w:rPr>
          <w:sz w:val="24"/>
          <w:szCs w:val="24"/>
        </w:rPr>
        <w:t xml:space="preserve">who </w:t>
      </w:r>
      <w:r>
        <w:rPr>
          <w:sz w:val="24"/>
          <w:szCs w:val="24"/>
        </w:rPr>
        <w:t xml:space="preserve">may </w:t>
      </w:r>
      <w:r w:rsidR="00FD3154">
        <w:rPr>
          <w:sz w:val="24"/>
          <w:szCs w:val="24"/>
        </w:rPr>
        <w:t>identify VAs that provide conclusions about the vulnerability of resources they manage. For example, a region-wide VA (e.g.</w:t>
      </w:r>
      <w:r w:rsidR="00AC2F66">
        <w:rPr>
          <w:sz w:val="24"/>
          <w:szCs w:val="24"/>
        </w:rPr>
        <w:t>,</w:t>
      </w:r>
      <w:r w:rsidR="00FD3154">
        <w:rPr>
          <w:sz w:val="24"/>
          <w:szCs w:val="24"/>
        </w:rPr>
        <w:t xml:space="preserve"> all Northeastern states) may provide the managers in the Adirondack Forest Preserve with information about the regional vulnerability of key species in their sub-region. </w:t>
      </w:r>
    </w:p>
    <w:p w14:paraId="334B3C44" w14:textId="77777777" w:rsidR="00FD3154" w:rsidRDefault="00FD3154" w:rsidP="00E95860">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46CF">
        <w:rPr>
          <w:i/>
          <w:sz w:val="24"/>
          <w:szCs w:val="24"/>
        </w:rPr>
        <w:t>Analysts</w:t>
      </w:r>
      <w:r>
        <w:rPr>
          <w:sz w:val="24"/>
          <w:szCs w:val="24"/>
        </w:rPr>
        <w:t xml:space="preserve"> interested in overall conclusions about either the degree to which vulnerability has been assessed (e.g. by region, by assessment endpoint category such as species or ecosystem type) or larger conclusions that a wide number of studies may be able to support. </w:t>
      </w:r>
    </w:p>
    <w:p w14:paraId="6853C4C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B122D1" w14:textId="14D9E99F" w:rsidR="00736EF3" w:rsidRDefault="007426C2" w:rsidP="007825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736EF3">
        <w:rPr>
          <w:sz w:val="24"/>
          <w:szCs w:val="24"/>
        </w:rPr>
        <w:t>The information collected (“questions asked”) are described and justified below</w:t>
      </w:r>
      <w:r w:rsidR="008C0B6B">
        <w:rPr>
          <w:sz w:val="24"/>
          <w:szCs w:val="24"/>
        </w:rPr>
        <w:t>:</w:t>
      </w:r>
    </w:p>
    <w:p w14:paraId="569196EC" w14:textId="77777777" w:rsidR="00736EF3" w:rsidRDefault="00736EF3" w:rsidP="007825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5868"/>
      </w:tblGrid>
      <w:tr w:rsidR="00552962" w:rsidRPr="00DA0E6C" w14:paraId="1B55B6DD" w14:textId="77777777" w:rsidTr="00B21F8F">
        <w:trPr>
          <w:trHeight w:val="315"/>
        </w:trPr>
        <w:tc>
          <w:tcPr>
            <w:tcW w:w="1936" w:type="pct"/>
            <w:shd w:val="clear" w:color="auto" w:fill="BFBFBF"/>
            <w:noWrap/>
            <w:vAlign w:val="bottom"/>
          </w:tcPr>
          <w:p w14:paraId="2A57C443" w14:textId="77777777" w:rsidR="00552962" w:rsidRPr="009C2608" w:rsidRDefault="00552962" w:rsidP="00B21F8F">
            <w:pPr>
              <w:widowControl/>
              <w:autoSpaceDE/>
              <w:autoSpaceDN/>
              <w:adjustRightInd/>
              <w:rPr>
                <w:b/>
                <w:color w:val="000000"/>
                <w:sz w:val="22"/>
                <w:szCs w:val="22"/>
              </w:rPr>
            </w:pPr>
            <w:r w:rsidRPr="009C2608">
              <w:rPr>
                <w:b/>
                <w:color w:val="000000"/>
                <w:sz w:val="22"/>
                <w:szCs w:val="22"/>
              </w:rPr>
              <w:t>Survey Item</w:t>
            </w:r>
          </w:p>
        </w:tc>
        <w:tc>
          <w:tcPr>
            <w:tcW w:w="3064" w:type="pct"/>
            <w:shd w:val="clear" w:color="auto" w:fill="BFBFBF"/>
            <w:noWrap/>
            <w:vAlign w:val="bottom"/>
          </w:tcPr>
          <w:p w14:paraId="041100BB" w14:textId="77777777" w:rsidR="00552962" w:rsidRPr="009C2608" w:rsidRDefault="00552962" w:rsidP="00B21F8F">
            <w:pPr>
              <w:widowControl/>
              <w:autoSpaceDE/>
              <w:autoSpaceDN/>
              <w:adjustRightInd/>
              <w:rPr>
                <w:b/>
                <w:sz w:val="24"/>
                <w:szCs w:val="24"/>
              </w:rPr>
            </w:pPr>
            <w:r>
              <w:rPr>
                <w:b/>
                <w:sz w:val="24"/>
                <w:szCs w:val="24"/>
              </w:rPr>
              <w:t>Description/Purpose</w:t>
            </w:r>
          </w:p>
        </w:tc>
      </w:tr>
      <w:tr w:rsidR="00552962" w:rsidRPr="00DA0E6C" w14:paraId="251C3BC2" w14:textId="77777777" w:rsidTr="00794072">
        <w:trPr>
          <w:trHeight w:val="315"/>
        </w:trPr>
        <w:tc>
          <w:tcPr>
            <w:tcW w:w="1936" w:type="pct"/>
            <w:shd w:val="clear" w:color="auto" w:fill="auto"/>
            <w:noWrap/>
            <w:vAlign w:val="center"/>
            <w:hideMark/>
          </w:tcPr>
          <w:p w14:paraId="42550737" w14:textId="77777777" w:rsidR="00552962" w:rsidRPr="0004623A" w:rsidRDefault="00552962" w:rsidP="00794072">
            <w:pPr>
              <w:widowControl/>
              <w:autoSpaceDE/>
              <w:autoSpaceDN/>
              <w:adjustRightInd/>
              <w:jc w:val="center"/>
              <w:rPr>
                <w:color w:val="000000"/>
                <w:sz w:val="22"/>
                <w:szCs w:val="22"/>
              </w:rPr>
            </w:pPr>
            <w:r w:rsidRPr="0004623A">
              <w:rPr>
                <w:color w:val="000000"/>
                <w:sz w:val="22"/>
                <w:szCs w:val="22"/>
              </w:rPr>
              <w:t>Title of assessment</w:t>
            </w:r>
          </w:p>
        </w:tc>
        <w:tc>
          <w:tcPr>
            <w:tcW w:w="3064" w:type="pct"/>
            <w:shd w:val="clear" w:color="auto" w:fill="auto"/>
            <w:noWrap/>
            <w:vAlign w:val="bottom"/>
            <w:hideMark/>
          </w:tcPr>
          <w:p w14:paraId="53029508" w14:textId="77777777" w:rsidR="00552962" w:rsidRPr="0004623A" w:rsidRDefault="00552962" w:rsidP="00B21F8F">
            <w:pPr>
              <w:widowControl/>
              <w:autoSpaceDE/>
              <w:autoSpaceDN/>
              <w:adjustRightInd/>
              <w:rPr>
                <w:sz w:val="22"/>
                <w:szCs w:val="22"/>
              </w:rPr>
            </w:pPr>
            <w:r w:rsidRPr="0004623A">
              <w:rPr>
                <w:sz w:val="22"/>
                <w:szCs w:val="22"/>
              </w:rPr>
              <w:t>A title is important for identifying the project and understanding the general scope of the assessment.</w:t>
            </w:r>
          </w:p>
        </w:tc>
      </w:tr>
      <w:tr w:rsidR="00552962" w:rsidRPr="00DA0E6C" w14:paraId="24A2EE40" w14:textId="77777777" w:rsidTr="00794072">
        <w:trPr>
          <w:trHeight w:val="315"/>
        </w:trPr>
        <w:tc>
          <w:tcPr>
            <w:tcW w:w="1936" w:type="pct"/>
            <w:shd w:val="clear" w:color="auto" w:fill="auto"/>
            <w:noWrap/>
            <w:vAlign w:val="center"/>
            <w:hideMark/>
          </w:tcPr>
          <w:p w14:paraId="472D51E0" w14:textId="77777777" w:rsidR="00552962" w:rsidRPr="0004623A" w:rsidRDefault="00552962" w:rsidP="00794072">
            <w:pPr>
              <w:widowControl/>
              <w:autoSpaceDE/>
              <w:autoSpaceDN/>
              <w:adjustRightInd/>
              <w:jc w:val="center"/>
              <w:rPr>
                <w:color w:val="000000"/>
                <w:sz w:val="22"/>
                <w:szCs w:val="22"/>
              </w:rPr>
            </w:pPr>
            <w:r w:rsidRPr="0004623A">
              <w:rPr>
                <w:color w:val="000000"/>
                <w:sz w:val="22"/>
                <w:szCs w:val="22"/>
              </w:rPr>
              <w:t>Assessment location</w:t>
            </w:r>
          </w:p>
        </w:tc>
        <w:tc>
          <w:tcPr>
            <w:tcW w:w="3064" w:type="pct"/>
            <w:shd w:val="clear" w:color="auto" w:fill="auto"/>
            <w:vAlign w:val="bottom"/>
            <w:hideMark/>
          </w:tcPr>
          <w:p w14:paraId="30AAD465" w14:textId="77777777" w:rsidR="00552962" w:rsidRPr="0004623A" w:rsidRDefault="00552962" w:rsidP="00B21F8F">
            <w:pPr>
              <w:widowControl/>
              <w:autoSpaceDE/>
              <w:autoSpaceDN/>
              <w:adjustRightInd/>
              <w:rPr>
                <w:color w:val="000000"/>
                <w:sz w:val="22"/>
                <w:szCs w:val="22"/>
              </w:rPr>
            </w:pPr>
            <w:r w:rsidRPr="0004623A">
              <w:rPr>
                <w:color w:val="000000"/>
                <w:sz w:val="22"/>
                <w:szCs w:val="22"/>
              </w:rPr>
              <w:t xml:space="preserve">Provides a geographic location for the assessment, enabling users to identify “local” studies. </w:t>
            </w:r>
          </w:p>
        </w:tc>
      </w:tr>
      <w:tr w:rsidR="00552962" w:rsidRPr="00DA0E6C" w14:paraId="11220CC9" w14:textId="77777777" w:rsidTr="00794072">
        <w:trPr>
          <w:trHeight w:val="630"/>
        </w:trPr>
        <w:tc>
          <w:tcPr>
            <w:tcW w:w="1936" w:type="pct"/>
            <w:shd w:val="clear" w:color="auto" w:fill="auto"/>
            <w:noWrap/>
            <w:vAlign w:val="center"/>
            <w:hideMark/>
          </w:tcPr>
          <w:p w14:paraId="199AD2A3" w14:textId="77777777" w:rsidR="00552962" w:rsidRPr="0004623A" w:rsidRDefault="00552962" w:rsidP="00794072">
            <w:pPr>
              <w:widowControl/>
              <w:autoSpaceDE/>
              <w:autoSpaceDN/>
              <w:adjustRightInd/>
              <w:jc w:val="center"/>
              <w:rPr>
                <w:color w:val="000000"/>
                <w:sz w:val="22"/>
                <w:szCs w:val="22"/>
              </w:rPr>
            </w:pPr>
            <w:r w:rsidRPr="0004623A">
              <w:rPr>
                <w:color w:val="000000"/>
                <w:sz w:val="22"/>
                <w:szCs w:val="22"/>
              </w:rPr>
              <w:t>Managing agency and partners</w:t>
            </w:r>
          </w:p>
        </w:tc>
        <w:tc>
          <w:tcPr>
            <w:tcW w:w="3064" w:type="pct"/>
            <w:shd w:val="clear" w:color="auto" w:fill="auto"/>
            <w:vAlign w:val="bottom"/>
            <w:hideMark/>
          </w:tcPr>
          <w:p w14:paraId="638F7255" w14:textId="77777777" w:rsidR="00552962" w:rsidRPr="0004623A" w:rsidRDefault="00552962" w:rsidP="00B21F8F">
            <w:pPr>
              <w:widowControl/>
              <w:autoSpaceDE/>
              <w:autoSpaceDN/>
              <w:adjustRightInd/>
              <w:rPr>
                <w:color w:val="000000"/>
                <w:sz w:val="22"/>
                <w:szCs w:val="22"/>
              </w:rPr>
            </w:pPr>
            <w:r w:rsidRPr="0004623A">
              <w:rPr>
                <w:color w:val="000000"/>
                <w:sz w:val="22"/>
                <w:szCs w:val="22"/>
              </w:rPr>
              <w:t>Identifies the lead agency and collaborators. Will enable users to select projects of specific agencies, or to identify the scope of collaboration.</w:t>
            </w:r>
          </w:p>
        </w:tc>
      </w:tr>
      <w:tr w:rsidR="00552962" w:rsidRPr="00DA0E6C" w14:paraId="070D6FD8" w14:textId="77777777" w:rsidTr="00794072">
        <w:trPr>
          <w:trHeight w:val="630"/>
        </w:trPr>
        <w:tc>
          <w:tcPr>
            <w:tcW w:w="1936" w:type="pct"/>
            <w:shd w:val="clear" w:color="auto" w:fill="auto"/>
            <w:noWrap/>
            <w:vAlign w:val="center"/>
            <w:hideMark/>
          </w:tcPr>
          <w:p w14:paraId="62512FB1" w14:textId="77777777" w:rsidR="00552962" w:rsidRPr="0004623A" w:rsidRDefault="00552962" w:rsidP="00794072">
            <w:pPr>
              <w:widowControl/>
              <w:autoSpaceDE/>
              <w:autoSpaceDN/>
              <w:adjustRightInd/>
              <w:jc w:val="center"/>
              <w:rPr>
                <w:color w:val="000000"/>
                <w:sz w:val="22"/>
                <w:szCs w:val="22"/>
              </w:rPr>
            </w:pPr>
            <w:r w:rsidRPr="0004623A">
              <w:rPr>
                <w:color w:val="000000"/>
                <w:sz w:val="22"/>
                <w:szCs w:val="22"/>
              </w:rPr>
              <w:t>Assessment endpoint</w:t>
            </w:r>
          </w:p>
        </w:tc>
        <w:tc>
          <w:tcPr>
            <w:tcW w:w="3064" w:type="pct"/>
            <w:shd w:val="clear" w:color="auto" w:fill="auto"/>
            <w:vAlign w:val="bottom"/>
            <w:hideMark/>
          </w:tcPr>
          <w:p w14:paraId="5F9F8DBD" w14:textId="77777777" w:rsidR="00552962" w:rsidRPr="0004623A" w:rsidRDefault="00552962" w:rsidP="00B21F8F">
            <w:pPr>
              <w:widowControl/>
              <w:autoSpaceDE/>
              <w:autoSpaceDN/>
              <w:adjustRightInd/>
              <w:rPr>
                <w:color w:val="000000"/>
                <w:sz w:val="22"/>
                <w:szCs w:val="22"/>
              </w:rPr>
            </w:pPr>
            <w:r w:rsidRPr="0004623A">
              <w:rPr>
                <w:color w:val="000000"/>
                <w:sz w:val="22"/>
                <w:szCs w:val="22"/>
              </w:rPr>
              <w:t>Assessment endpoints are the resources (e.g., species, built environment) that the assessment seeks to evaluate with respect to their vulnerability to climate change.</w:t>
            </w:r>
          </w:p>
        </w:tc>
      </w:tr>
      <w:tr w:rsidR="00552962" w:rsidRPr="00DA0E6C" w14:paraId="605F7315" w14:textId="77777777" w:rsidTr="00794072">
        <w:trPr>
          <w:trHeight w:val="600"/>
        </w:trPr>
        <w:tc>
          <w:tcPr>
            <w:tcW w:w="1936" w:type="pct"/>
            <w:shd w:val="clear" w:color="auto" w:fill="auto"/>
            <w:noWrap/>
            <w:vAlign w:val="center"/>
            <w:hideMark/>
          </w:tcPr>
          <w:p w14:paraId="29885F54" w14:textId="77777777" w:rsidR="00552962" w:rsidRPr="0004623A" w:rsidRDefault="00552962" w:rsidP="00794072">
            <w:pPr>
              <w:widowControl/>
              <w:autoSpaceDE/>
              <w:autoSpaceDN/>
              <w:adjustRightInd/>
              <w:jc w:val="center"/>
              <w:rPr>
                <w:color w:val="000000"/>
                <w:sz w:val="22"/>
                <w:szCs w:val="22"/>
              </w:rPr>
            </w:pPr>
            <w:r w:rsidRPr="0004623A">
              <w:rPr>
                <w:color w:val="000000"/>
                <w:sz w:val="22"/>
                <w:szCs w:val="22"/>
              </w:rPr>
              <w:t>Project status</w:t>
            </w:r>
          </w:p>
        </w:tc>
        <w:tc>
          <w:tcPr>
            <w:tcW w:w="3064" w:type="pct"/>
            <w:shd w:val="clear" w:color="auto" w:fill="auto"/>
            <w:vAlign w:val="bottom"/>
            <w:hideMark/>
          </w:tcPr>
          <w:p w14:paraId="6FBDD348" w14:textId="77777777" w:rsidR="00552962" w:rsidRPr="0004623A" w:rsidRDefault="00552962" w:rsidP="00B21F8F">
            <w:pPr>
              <w:widowControl/>
              <w:autoSpaceDE/>
              <w:autoSpaceDN/>
              <w:adjustRightInd/>
              <w:rPr>
                <w:color w:val="000000"/>
                <w:sz w:val="22"/>
                <w:szCs w:val="22"/>
              </w:rPr>
            </w:pPr>
            <w:r w:rsidRPr="0004623A">
              <w:rPr>
                <w:color w:val="000000"/>
                <w:sz w:val="22"/>
                <w:szCs w:val="22"/>
              </w:rPr>
              <w:t>Provides information on whether an assessment has been completed versus an assessment that is in progress or in planning.</w:t>
            </w:r>
          </w:p>
        </w:tc>
      </w:tr>
      <w:tr w:rsidR="00552962" w:rsidRPr="00DA0E6C" w14:paraId="2FD65AD8" w14:textId="77777777" w:rsidTr="00794072">
        <w:trPr>
          <w:trHeight w:val="900"/>
        </w:trPr>
        <w:tc>
          <w:tcPr>
            <w:tcW w:w="1936" w:type="pct"/>
            <w:shd w:val="clear" w:color="auto" w:fill="auto"/>
            <w:noWrap/>
            <w:vAlign w:val="center"/>
            <w:hideMark/>
          </w:tcPr>
          <w:p w14:paraId="48CEC545" w14:textId="77777777" w:rsidR="00552962" w:rsidRPr="0004623A" w:rsidRDefault="00552962" w:rsidP="00794072">
            <w:pPr>
              <w:widowControl/>
              <w:autoSpaceDE/>
              <w:autoSpaceDN/>
              <w:adjustRightInd/>
              <w:jc w:val="center"/>
              <w:rPr>
                <w:color w:val="000000"/>
                <w:sz w:val="22"/>
                <w:szCs w:val="22"/>
              </w:rPr>
            </w:pPr>
            <w:r w:rsidRPr="0004623A">
              <w:rPr>
                <w:color w:val="000000"/>
                <w:sz w:val="22"/>
                <w:szCs w:val="22"/>
              </w:rPr>
              <w:t>Time required for assessment completion</w:t>
            </w:r>
          </w:p>
        </w:tc>
        <w:tc>
          <w:tcPr>
            <w:tcW w:w="3064" w:type="pct"/>
            <w:shd w:val="clear" w:color="auto" w:fill="auto"/>
            <w:vAlign w:val="bottom"/>
            <w:hideMark/>
          </w:tcPr>
          <w:p w14:paraId="3F72BD56" w14:textId="77777777" w:rsidR="00552962" w:rsidRPr="0004623A" w:rsidRDefault="00552962" w:rsidP="00B21F8F">
            <w:pPr>
              <w:widowControl/>
              <w:autoSpaceDE/>
              <w:autoSpaceDN/>
              <w:adjustRightInd/>
              <w:rPr>
                <w:color w:val="000000"/>
                <w:sz w:val="22"/>
                <w:szCs w:val="22"/>
              </w:rPr>
            </w:pPr>
            <w:r w:rsidRPr="0004623A">
              <w:rPr>
                <w:color w:val="000000"/>
                <w:sz w:val="22"/>
                <w:szCs w:val="22"/>
              </w:rPr>
              <w:t>Provides information on the amount of time to complete an assessment.  Many parties have restricted timeframes and are interested in other assessments that were carried out during a similar period of time.</w:t>
            </w:r>
          </w:p>
        </w:tc>
      </w:tr>
      <w:tr w:rsidR="00552962" w:rsidRPr="00DA0E6C" w14:paraId="75B5A398" w14:textId="77777777" w:rsidTr="00794072">
        <w:trPr>
          <w:trHeight w:val="900"/>
        </w:trPr>
        <w:tc>
          <w:tcPr>
            <w:tcW w:w="1936" w:type="pct"/>
            <w:shd w:val="clear" w:color="auto" w:fill="auto"/>
            <w:noWrap/>
            <w:vAlign w:val="center"/>
            <w:hideMark/>
          </w:tcPr>
          <w:p w14:paraId="4D67D8B3" w14:textId="77777777" w:rsidR="00552962" w:rsidRPr="0004623A" w:rsidRDefault="00552962" w:rsidP="00794072">
            <w:pPr>
              <w:widowControl/>
              <w:autoSpaceDE/>
              <w:autoSpaceDN/>
              <w:adjustRightInd/>
              <w:jc w:val="center"/>
              <w:rPr>
                <w:color w:val="000000"/>
                <w:sz w:val="22"/>
                <w:szCs w:val="22"/>
              </w:rPr>
            </w:pPr>
            <w:r w:rsidRPr="0004623A">
              <w:rPr>
                <w:color w:val="000000"/>
                <w:sz w:val="22"/>
                <w:szCs w:val="22"/>
              </w:rPr>
              <w:t>Project cost</w:t>
            </w:r>
          </w:p>
        </w:tc>
        <w:tc>
          <w:tcPr>
            <w:tcW w:w="3064" w:type="pct"/>
            <w:shd w:val="clear" w:color="auto" w:fill="auto"/>
            <w:vAlign w:val="bottom"/>
            <w:hideMark/>
          </w:tcPr>
          <w:p w14:paraId="23F128C4" w14:textId="77777777" w:rsidR="00552962" w:rsidRPr="0004623A" w:rsidRDefault="00552962" w:rsidP="00B21F8F">
            <w:pPr>
              <w:widowControl/>
              <w:autoSpaceDE/>
              <w:autoSpaceDN/>
              <w:adjustRightInd/>
              <w:rPr>
                <w:color w:val="000000"/>
                <w:sz w:val="22"/>
                <w:szCs w:val="22"/>
              </w:rPr>
            </w:pPr>
            <w:r w:rsidRPr="0004623A">
              <w:rPr>
                <w:color w:val="000000"/>
                <w:sz w:val="22"/>
                <w:szCs w:val="22"/>
              </w:rPr>
              <w:t xml:space="preserve">Provides information on the approximate cost of the assessment.  Similar to timeframe, many parties have a restricted budget and are interested in assessments that were conducted based on a </w:t>
            </w:r>
            <w:r w:rsidR="00B325B9" w:rsidRPr="0004623A">
              <w:rPr>
                <w:color w:val="000000"/>
                <w:sz w:val="22"/>
                <w:szCs w:val="22"/>
              </w:rPr>
              <w:t>similarly sized</w:t>
            </w:r>
            <w:r w:rsidRPr="0004623A">
              <w:rPr>
                <w:color w:val="000000"/>
                <w:sz w:val="22"/>
                <w:szCs w:val="22"/>
              </w:rPr>
              <w:t xml:space="preserve"> budget.</w:t>
            </w:r>
          </w:p>
        </w:tc>
      </w:tr>
      <w:tr w:rsidR="00552962" w:rsidRPr="00DA0E6C" w14:paraId="31775900" w14:textId="77777777" w:rsidTr="00794072">
        <w:trPr>
          <w:trHeight w:val="630"/>
        </w:trPr>
        <w:tc>
          <w:tcPr>
            <w:tcW w:w="1936" w:type="pct"/>
            <w:shd w:val="clear" w:color="auto" w:fill="auto"/>
            <w:noWrap/>
            <w:vAlign w:val="center"/>
            <w:hideMark/>
          </w:tcPr>
          <w:p w14:paraId="5451E77E" w14:textId="77777777" w:rsidR="00552962" w:rsidRPr="0004623A" w:rsidRDefault="00552962" w:rsidP="00794072">
            <w:pPr>
              <w:widowControl/>
              <w:autoSpaceDE/>
              <w:autoSpaceDN/>
              <w:adjustRightInd/>
              <w:jc w:val="center"/>
              <w:rPr>
                <w:color w:val="000000"/>
                <w:sz w:val="22"/>
                <w:szCs w:val="22"/>
              </w:rPr>
            </w:pPr>
            <w:r w:rsidRPr="0004623A">
              <w:rPr>
                <w:color w:val="000000"/>
                <w:sz w:val="22"/>
                <w:szCs w:val="22"/>
              </w:rPr>
              <w:t>Contact information</w:t>
            </w:r>
          </w:p>
        </w:tc>
        <w:tc>
          <w:tcPr>
            <w:tcW w:w="3064" w:type="pct"/>
            <w:shd w:val="clear" w:color="auto" w:fill="auto"/>
            <w:vAlign w:val="bottom"/>
            <w:hideMark/>
          </w:tcPr>
          <w:p w14:paraId="652AAE8E" w14:textId="77777777" w:rsidR="00552962" w:rsidRPr="0004623A" w:rsidRDefault="00552962" w:rsidP="00B21F8F">
            <w:pPr>
              <w:widowControl/>
              <w:autoSpaceDE/>
              <w:autoSpaceDN/>
              <w:adjustRightInd/>
              <w:rPr>
                <w:color w:val="000000"/>
                <w:sz w:val="22"/>
                <w:szCs w:val="22"/>
              </w:rPr>
            </w:pPr>
            <w:r w:rsidRPr="0004623A">
              <w:rPr>
                <w:color w:val="000000"/>
                <w:sz w:val="22"/>
                <w:szCs w:val="22"/>
              </w:rPr>
              <w:t>Provides professional contact information (name, email). No non-professional personally identifiable information (PII) will be solicited or collected.</w:t>
            </w:r>
          </w:p>
        </w:tc>
      </w:tr>
      <w:tr w:rsidR="00552962" w:rsidRPr="00DA0E6C" w14:paraId="79E8ACFC" w14:textId="77777777" w:rsidTr="00794072">
        <w:trPr>
          <w:trHeight w:val="900"/>
        </w:trPr>
        <w:tc>
          <w:tcPr>
            <w:tcW w:w="1936" w:type="pct"/>
            <w:shd w:val="clear" w:color="auto" w:fill="auto"/>
            <w:noWrap/>
            <w:vAlign w:val="center"/>
            <w:hideMark/>
          </w:tcPr>
          <w:p w14:paraId="4A9E1F8E" w14:textId="77777777" w:rsidR="00552962" w:rsidRPr="0004623A" w:rsidRDefault="00552962" w:rsidP="00794072">
            <w:pPr>
              <w:widowControl/>
              <w:autoSpaceDE/>
              <w:autoSpaceDN/>
              <w:adjustRightInd/>
              <w:jc w:val="center"/>
              <w:rPr>
                <w:color w:val="000000"/>
                <w:sz w:val="22"/>
                <w:szCs w:val="22"/>
              </w:rPr>
            </w:pPr>
            <w:r w:rsidRPr="0004623A">
              <w:rPr>
                <w:color w:val="000000"/>
                <w:sz w:val="22"/>
                <w:szCs w:val="22"/>
              </w:rPr>
              <w:t>Additional assessment information</w:t>
            </w:r>
          </w:p>
        </w:tc>
        <w:tc>
          <w:tcPr>
            <w:tcW w:w="3064" w:type="pct"/>
            <w:shd w:val="clear" w:color="auto" w:fill="auto"/>
            <w:vAlign w:val="bottom"/>
            <w:hideMark/>
          </w:tcPr>
          <w:p w14:paraId="2F2D5A29" w14:textId="77777777" w:rsidR="00552962" w:rsidRPr="0004623A" w:rsidRDefault="00552962" w:rsidP="00B21F8F">
            <w:pPr>
              <w:widowControl/>
              <w:autoSpaceDE/>
              <w:autoSpaceDN/>
              <w:adjustRightInd/>
              <w:rPr>
                <w:color w:val="000000"/>
                <w:sz w:val="22"/>
                <w:szCs w:val="22"/>
              </w:rPr>
            </w:pPr>
            <w:r w:rsidRPr="0004623A">
              <w:rPr>
                <w:color w:val="000000"/>
                <w:sz w:val="22"/>
                <w:szCs w:val="22"/>
              </w:rPr>
              <w:t>Allows for submission of additional project information that may be available.  This optional category allows for submission of an abstract, project URLs, or uploading of maps and other files.</w:t>
            </w:r>
          </w:p>
        </w:tc>
      </w:tr>
      <w:tr w:rsidR="00552962" w:rsidRPr="00DA0E6C" w14:paraId="57D7E535" w14:textId="77777777" w:rsidTr="00794072">
        <w:trPr>
          <w:trHeight w:val="600"/>
        </w:trPr>
        <w:tc>
          <w:tcPr>
            <w:tcW w:w="1936" w:type="pct"/>
            <w:shd w:val="clear" w:color="auto" w:fill="auto"/>
            <w:noWrap/>
            <w:vAlign w:val="center"/>
            <w:hideMark/>
          </w:tcPr>
          <w:p w14:paraId="6E41346F" w14:textId="77777777" w:rsidR="00552962" w:rsidRPr="0004623A" w:rsidRDefault="00552962" w:rsidP="00794072">
            <w:pPr>
              <w:widowControl/>
              <w:autoSpaceDE/>
              <w:autoSpaceDN/>
              <w:adjustRightInd/>
              <w:jc w:val="center"/>
              <w:rPr>
                <w:color w:val="000000"/>
                <w:sz w:val="22"/>
                <w:szCs w:val="22"/>
              </w:rPr>
            </w:pPr>
            <w:r w:rsidRPr="0004623A">
              <w:rPr>
                <w:color w:val="000000"/>
                <w:sz w:val="22"/>
                <w:szCs w:val="22"/>
              </w:rPr>
              <w:t>Geographic scope</w:t>
            </w:r>
          </w:p>
        </w:tc>
        <w:tc>
          <w:tcPr>
            <w:tcW w:w="3064" w:type="pct"/>
            <w:shd w:val="clear" w:color="auto" w:fill="auto"/>
            <w:vAlign w:val="bottom"/>
            <w:hideMark/>
          </w:tcPr>
          <w:p w14:paraId="56856DF3" w14:textId="77777777" w:rsidR="00552962" w:rsidRPr="0004623A" w:rsidRDefault="00552962" w:rsidP="00B21F8F">
            <w:pPr>
              <w:widowControl/>
              <w:autoSpaceDE/>
              <w:autoSpaceDN/>
              <w:adjustRightInd/>
              <w:rPr>
                <w:color w:val="000000"/>
                <w:sz w:val="22"/>
                <w:szCs w:val="22"/>
              </w:rPr>
            </w:pPr>
            <w:r w:rsidRPr="0004623A">
              <w:rPr>
                <w:color w:val="000000"/>
                <w:sz w:val="22"/>
                <w:szCs w:val="22"/>
              </w:rPr>
              <w:t>Identifies the approximate size of the study area, which is important for differentiating between large-scale and local-scale assessments.</w:t>
            </w:r>
          </w:p>
        </w:tc>
      </w:tr>
      <w:tr w:rsidR="00552962" w:rsidRPr="00DA0E6C" w14:paraId="3E0FD316" w14:textId="77777777" w:rsidTr="00794072">
        <w:trPr>
          <w:trHeight w:val="945"/>
        </w:trPr>
        <w:tc>
          <w:tcPr>
            <w:tcW w:w="1936" w:type="pct"/>
            <w:shd w:val="clear" w:color="auto" w:fill="auto"/>
            <w:noWrap/>
            <w:vAlign w:val="center"/>
            <w:hideMark/>
          </w:tcPr>
          <w:p w14:paraId="10810B9B" w14:textId="77777777" w:rsidR="00552962" w:rsidRPr="0004623A" w:rsidRDefault="00552962" w:rsidP="00794072">
            <w:pPr>
              <w:widowControl/>
              <w:autoSpaceDE/>
              <w:autoSpaceDN/>
              <w:adjustRightInd/>
              <w:jc w:val="center"/>
              <w:rPr>
                <w:color w:val="000000"/>
                <w:sz w:val="22"/>
                <w:szCs w:val="22"/>
              </w:rPr>
            </w:pPr>
            <w:r w:rsidRPr="0004623A">
              <w:rPr>
                <w:color w:val="000000"/>
                <w:sz w:val="22"/>
                <w:szCs w:val="22"/>
              </w:rPr>
              <w:lastRenderedPageBreak/>
              <w:t>Purpose of assessment</w:t>
            </w:r>
          </w:p>
        </w:tc>
        <w:tc>
          <w:tcPr>
            <w:tcW w:w="3064" w:type="pct"/>
            <w:shd w:val="clear" w:color="auto" w:fill="auto"/>
            <w:vAlign w:val="bottom"/>
            <w:hideMark/>
          </w:tcPr>
          <w:p w14:paraId="41A6FB9F" w14:textId="77777777" w:rsidR="00552962" w:rsidRPr="0004623A" w:rsidRDefault="00552962" w:rsidP="00B21F8F">
            <w:pPr>
              <w:widowControl/>
              <w:autoSpaceDE/>
              <w:autoSpaceDN/>
              <w:adjustRightInd/>
              <w:rPr>
                <w:color w:val="000000"/>
                <w:sz w:val="22"/>
                <w:szCs w:val="22"/>
              </w:rPr>
            </w:pPr>
            <w:r w:rsidRPr="0004623A">
              <w:rPr>
                <w:color w:val="000000"/>
                <w:sz w:val="22"/>
                <w:szCs w:val="22"/>
              </w:rPr>
              <w:t>Identifies whether the assessment is directly linked to management / planning or is a research activity. Many parties are seeking information on “actionable” assessments, and this will enable selection along this dimension.</w:t>
            </w:r>
          </w:p>
        </w:tc>
      </w:tr>
      <w:tr w:rsidR="00552962" w:rsidRPr="00DA0E6C" w14:paraId="58E710DB" w14:textId="77777777" w:rsidTr="00794072">
        <w:trPr>
          <w:trHeight w:val="1260"/>
        </w:trPr>
        <w:tc>
          <w:tcPr>
            <w:tcW w:w="1936" w:type="pct"/>
            <w:shd w:val="clear" w:color="auto" w:fill="auto"/>
            <w:noWrap/>
            <w:vAlign w:val="center"/>
            <w:hideMark/>
          </w:tcPr>
          <w:p w14:paraId="0021C20C" w14:textId="77777777" w:rsidR="00552962" w:rsidRPr="0004623A" w:rsidRDefault="00552962" w:rsidP="00794072">
            <w:pPr>
              <w:widowControl/>
              <w:autoSpaceDE/>
              <w:autoSpaceDN/>
              <w:adjustRightInd/>
              <w:jc w:val="center"/>
              <w:rPr>
                <w:color w:val="000000"/>
                <w:sz w:val="22"/>
                <w:szCs w:val="22"/>
              </w:rPr>
            </w:pPr>
            <w:r w:rsidRPr="0004623A">
              <w:rPr>
                <w:color w:val="000000"/>
                <w:sz w:val="22"/>
                <w:szCs w:val="22"/>
              </w:rPr>
              <w:t>Vulnerability components</w:t>
            </w:r>
          </w:p>
        </w:tc>
        <w:tc>
          <w:tcPr>
            <w:tcW w:w="3064" w:type="pct"/>
            <w:shd w:val="clear" w:color="auto" w:fill="auto"/>
            <w:vAlign w:val="bottom"/>
            <w:hideMark/>
          </w:tcPr>
          <w:p w14:paraId="2A1DEBAD" w14:textId="77777777" w:rsidR="00552962" w:rsidRPr="0004623A" w:rsidRDefault="00552962" w:rsidP="00B21F8F">
            <w:pPr>
              <w:widowControl/>
              <w:autoSpaceDE/>
              <w:autoSpaceDN/>
              <w:adjustRightInd/>
              <w:rPr>
                <w:color w:val="000000"/>
                <w:sz w:val="22"/>
                <w:szCs w:val="22"/>
              </w:rPr>
            </w:pPr>
            <w:r w:rsidRPr="0004623A">
              <w:rPr>
                <w:color w:val="000000"/>
                <w:sz w:val="22"/>
                <w:szCs w:val="22"/>
              </w:rPr>
              <w:t>Vulnerability components refers to the three basic elements of a vulnerability assessment – how much climate change is this resource “exposed to” (exposure); how much effect a projected level of climate change will have on the resource (sensitivity) and whether the resource can adapt without external assistance (adaptive capacity).</w:t>
            </w:r>
          </w:p>
        </w:tc>
      </w:tr>
      <w:tr w:rsidR="00552962" w:rsidRPr="00DA0E6C" w14:paraId="1822CAAE" w14:textId="77777777" w:rsidTr="00794072">
        <w:trPr>
          <w:trHeight w:val="1260"/>
        </w:trPr>
        <w:tc>
          <w:tcPr>
            <w:tcW w:w="1936" w:type="pct"/>
            <w:shd w:val="clear" w:color="auto" w:fill="auto"/>
            <w:noWrap/>
            <w:vAlign w:val="center"/>
            <w:hideMark/>
          </w:tcPr>
          <w:p w14:paraId="337E94F3" w14:textId="77777777" w:rsidR="00552962" w:rsidRPr="0004623A" w:rsidRDefault="00552962" w:rsidP="00794072">
            <w:pPr>
              <w:widowControl/>
              <w:autoSpaceDE/>
              <w:autoSpaceDN/>
              <w:adjustRightInd/>
              <w:jc w:val="center"/>
              <w:rPr>
                <w:color w:val="000000"/>
                <w:sz w:val="22"/>
                <w:szCs w:val="22"/>
              </w:rPr>
            </w:pPr>
            <w:r w:rsidRPr="0004623A">
              <w:rPr>
                <w:color w:val="000000"/>
                <w:sz w:val="22"/>
                <w:szCs w:val="22"/>
              </w:rPr>
              <w:t>Assessment methods</w:t>
            </w:r>
          </w:p>
        </w:tc>
        <w:tc>
          <w:tcPr>
            <w:tcW w:w="3064" w:type="pct"/>
            <w:shd w:val="clear" w:color="auto" w:fill="auto"/>
            <w:vAlign w:val="bottom"/>
            <w:hideMark/>
          </w:tcPr>
          <w:p w14:paraId="1A24FDA1" w14:textId="77777777" w:rsidR="00552962" w:rsidRPr="0004623A" w:rsidRDefault="00552962" w:rsidP="00B21F8F">
            <w:pPr>
              <w:widowControl/>
              <w:autoSpaceDE/>
              <w:autoSpaceDN/>
              <w:adjustRightInd/>
              <w:rPr>
                <w:color w:val="000000"/>
                <w:sz w:val="22"/>
                <w:szCs w:val="22"/>
              </w:rPr>
            </w:pPr>
            <w:r w:rsidRPr="0004623A">
              <w:rPr>
                <w:color w:val="000000"/>
                <w:sz w:val="22"/>
                <w:szCs w:val="22"/>
              </w:rPr>
              <w:t>This question asks for the methodology used to determine the effects of the projected changes in climate and related conditions (drivers) on assessment targets.  As with the drivers themselves, this information is of strong interest to users seeking to identify methods of evaluating their target resources.</w:t>
            </w:r>
          </w:p>
        </w:tc>
      </w:tr>
      <w:tr w:rsidR="00552962" w:rsidRPr="00DA0E6C" w14:paraId="219E3988" w14:textId="77777777" w:rsidTr="00794072">
        <w:trPr>
          <w:trHeight w:val="2205"/>
        </w:trPr>
        <w:tc>
          <w:tcPr>
            <w:tcW w:w="1936" w:type="pct"/>
            <w:shd w:val="clear" w:color="auto" w:fill="auto"/>
            <w:noWrap/>
            <w:vAlign w:val="center"/>
            <w:hideMark/>
          </w:tcPr>
          <w:p w14:paraId="09C629BD" w14:textId="77777777" w:rsidR="00552962" w:rsidRPr="0004623A" w:rsidRDefault="00552962" w:rsidP="00794072">
            <w:pPr>
              <w:widowControl/>
              <w:autoSpaceDE/>
              <w:autoSpaceDN/>
              <w:adjustRightInd/>
              <w:jc w:val="center"/>
              <w:rPr>
                <w:color w:val="000000"/>
                <w:sz w:val="22"/>
                <w:szCs w:val="22"/>
              </w:rPr>
            </w:pPr>
            <w:r w:rsidRPr="0004623A">
              <w:rPr>
                <w:color w:val="000000"/>
                <w:sz w:val="22"/>
                <w:szCs w:val="22"/>
              </w:rPr>
              <w:t>Large-scale driver of change</w:t>
            </w:r>
          </w:p>
        </w:tc>
        <w:tc>
          <w:tcPr>
            <w:tcW w:w="3064" w:type="pct"/>
            <w:shd w:val="clear" w:color="auto" w:fill="auto"/>
            <w:vAlign w:val="bottom"/>
            <w:hideMark/>
          </w:tcPr>
          <w:p w14:paraId="123BF7CD" w14:textId="77777777" w:rsidR="00552962" w:rsidRPr="0004623A" w:rsidRDefault="00552962" w:rsidP="00B21F8F">
            <w:pPr>
              <w:widowControl/>
              <w:autoSpaceDE/>
              <w:autoSpaceDN/>
              <w:adjustRightInd/>
              <w:rPr>
                <w:color w:val="000000"/>
                <w:sz w:val="22"/>
                <w:szCs w:val="22"/>
              </w:rPr>
            </w:pPr>
            <w:r w:rsidRPr="0004623A">
              <w:rPr>
                <w:color w:val="000000"/>
                <w:sz w:val="22"/>
                <w:szCs w:val="22"/>
              </w:rPr>
              <w:t>This question asks about which expected future conditions are used for the assessment. Domains include atmospheric, sea level</w:t>
            </w:r>
            <w:r w:rsidR="00794072" w:rsidRPr="0004623A">
              <w:rPr>
                <w:color w:val="000000"/>
                <w:sz w:val="22"/>
                <w:szCs w:val="22"/>
              </w:rPr>
              <w:t xml:space="preserve"> and</w:t>
            </w:r>
            <w:r w:rsidRPr="0004623A">
              <w:rPr>
                <w:color w:val="000000"/>
                <w:sz w:val="22"/>
                <w:szCs w:val="22"/>
              </w:rPr>
              <w:t xml:space="preserve"> hydrological changes, and other projections (e.g. habitat conversion). It also asks about whether past, present, or future projected conditions are used for this purpose, and the source. These items are of special interest to users, as the choice of projections is complex and poorly understood. This information will enable users seeking guidance on “best practices” to evaluate options based on their use in related conditions.</w:t>
            </w:r>
          </w:p>
        </w:tc>
      </w:tr>
      <w:tr w:rsidR="00552962" w:rsidRPr="00DA0E6C" w14:paraId="3CE888A2" w14:textId="77777777" w:rsidTr="00794072">
        <w:trPr>
          <w:trHeight w:val="600"/>
        </w:trPr>
        <w:tc>
          <w:tcPr>
            <w:tcW w:w="1936" w:type="pct"/>
            <w:shd w:val="clear" w:color="auto" w:fill="auto"/>
            <w:noWrap/>
            <w:vAlign w:val="center"/>
            <w:hideMark/>
          </w:tcPr>
          <w:p w14:paraId="4E11E9E0" w14:textId="77777777" w:rsidR="00552962" w:rsidRPr="0004623A" w:rsidRDefault="00552962" w:rsidP="00794072">
            <w:pPr>
              <w:widowControl/>
              <w:autoSpaceDE/>
              <w:autoSpaceDN/>
              <w:adjustRightInd/>
              <w:jc w:val="center"/>
              <w:rPr>
                <w:color w:val="000000"/>
                <w:sz w:val="22"/>
                <w:szCs w:val="22"/>
              </w:rPr>
            </w:pPr>
            <w:r w:rsidRPr="0004623A">
              <w:rPr>
                <w:color w:val="000000"/>
                <w:sz w:val="22"/>
                <w:szCs w:val="22"/>
              </w:rPr>
              <w:t>Timeframe of assessment</w:t>
            </w:r>
          </w:p>
        </w:tc>
        <w:tc>
          <w:tcPr>
            <w:tcW w:w="3064" w:type="pct"/>
            <w:shd w:val="clear" w:color="auto" w:fill="auto"/>
            <w:vAlign w:val="bottom"/>
            <w:hideMark/>
          </w:tcPr>
          <w:p w14:paraId="20461D8E" w14:textId="77777777" w:rsidR="00552962" w:rsidRPr="0004623A" w:rsidRDefault="00552962" w:rsidP="00B21F8F">
            <w:pPr>
              <w:widowControl/>
              <w:autoSpaceDE/>
              <w:autoSpaceDN/>
              <w:adjustRightInd/>
              <w:rPr>
                <w:color w:val="000000"/>
                <w:sz w:val="22"/>
                <w:szCs w:val="22"/>
              </w:rPr>
            </w:pPr>
            <w:r w:rsidRPr="0004623A">
              <w:rPr>
                <w:color w:val="000000"/>
                <w:sz w:val="22"/>
                <w:szCs w:val="22"/>
              </w:rPr>
              <w:t>Provides information on the timeframe that the assessment considered (e.g., retrospective, current, future).</w:t>
            </w:r>
          </w:p>
        </w:tc>
      </w:tr>
    </w:tbl>
    <w:p w14:paraId="3FCE8399" w14:textId="77777777" w:rsidR="00736EF3" w:rsidRPr="002978D5" w:rsidRDefault="00736EF3" w:rsidP="005A2A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9B48C4" w14:textId="77777777" w:rsidR="00736EF3" w:rsidRDefault="00736E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436C4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E7201">
        <w:rPr>
          <w:b/>
          <w:sz w:val="24"/>
          <w:szCs w:val="24"/>
        </w:rPr>
        <w:t>3.</w:t>
      </w:r>
      <w:r w:rsidRPr="003E7201">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59DE159" w14:textId="77777777" w:rsidR="00327CFA" w:rsidRDefault="00327C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4DAC8FC" w14:textId="01E83910" w:rsidR="00327CFA" w:rsidRDefault="007426C2" w:rsidP="00327C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327CFA">
        <w:rPr>
          <w:sz w:val="24"/>
          <w:szCs w:val="24"/>
        </w:rPr>
        <w:t>This information collection is proposed to be undertaken using three methods</w:t>
      </w:r>
      <w:r>
        <w:rPr>
          <w:sz w:val="24"/>
          <w:szCs w:val="24"/>
        </w:rPr>
        <w:t>:</w:t>
      </w:r>
      <w:r w:rsidR="00327CFA">
        <w:rPr>
          <w:sz w:val="24"/>
          <w:szCs w:val="24"/>
        </w:rPr>
        <w:t xml:space="preserve">  </w:t>
      </w:r>
    </w:p>
    <w:p w14:paraId="285D211F" w14:textId="77777777" w:rsidR="00327CFA" w:rsidRDefault="00327CFA" w:rsidP="00327C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17CC773C" w14:textId="0993908F" w:rsidR="00327CFA" w:rsidRDefault="00327CFA" w:rsidP="00327CFA">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An electronic survey </w:t>
      </w:r>
      <w:r w:rsidR="00736EF3">
        <w:rPr>
          <w:sz w:val="24"/>
          <w:szCs w:val="24"/>
        </w:rPr>
        <w:t>has been</w:t>
      </w:r>
      <w:r>
        <w:rPr>
          <w:sz w:val="24"/>
          <w:szCs w:val="24"/>
        </w:rPr>
        <w:t xml:space="preserve"> developed </w:t>
      </w:r>
      <w:r w:rsidR="00251A4B">
        <w:rPr>
          <w:sz w:val="24"/>
          <w:szCs w:val="24"/>
        </w:rPr>
        <w:t xml:space="preserve">by USGS </w:t>
      </w:r>
      <w:r>
        <w:rPr>
          <w:sz w:val="24"/>
          <w:szCs w:val="24"/>
        </w:rPr>
        <w:t xml:space="preserve">and produced under the direction of an ad hoc Federal interagency working group. This </w:t>
      </w:r>
      <w:r w:rsidR="00251A4B">
        <w:rPr>
          <w:sz w:val="24"/>
          <w:szCs w:val="24"/>
        </w:rPr>
        <w:t xml:space="preserve">survey </w:t>
      </w:r>
      <w:r>
        <w:rPr>
          <w:sz w:val="24"/>
          <w:szCs w:val="24"/>
        </w:rPr>
        <w:t>will be provided</w:t>
      </w:r>
      <w:r w:rsidR="00251A4B">
        <w:rPr>
          <w:sz w:val="24"/>
          <w:szCs w:val="24"/>
        </w:rPr>
        <w:t xml:space="preserve"> via a </w:t>
      </w:r>
      <w:r w:rsidR="001F39AB">
        <w:rPr>
          <w:sz w:val="24"/>
          <w:szCs w:val="24"/>
        </w:rPr>
        <w:t xml:space="preserve">Web </w:t>
      </w:r>
      <w:r w:rsidR="00251A4B">
        <w:rPr>
          <w:sz w:val="24"/>
          <w:szCs w:val="24"/>
        </w:rPr>
        <w:t>link</w:t>
      </w:r>
      <w:r>
        <w:rPr>
          <w:sz w:val="24"/>
          <w:szCs w:val="24"/>
        </w:rPr>
        <w:t xml:space="preserve"> to a lead point of contact for participating agencies</w:t>
      </w:r>
      <w:r>
        <w:rPr>
          <w:rStyle w:val="FootnoteReference"/>
          <w:sz w:val="24"/>
          <w:szCs w:val="24"/>
        </w:rPr>
        <w:footnoteReference w:id="5"/>
      </w:r>
      <w:r>
        <w:rPr>
          <w:sz w:val="24"/>
          <w:szCs w:val="24"/>
        </w:rPr>
        <w:t xml:space="preserve">, each of which will rely upon internal agency processes to distribute the </w:t>
      </w:r>
      <w:r w:rsidR="00251A4B">
        <w:rPr>
          <w:sz w:val="24"/>
          <w:szCs w:val="24"/>
        </w:rPr>
        <w:t xml:space="preserve">link </w:t>
      </w:r>
      <w:r w:rsidR="009B5CC6">
        <w:rPr>
          <w:sz w:val="24"/>
          <w:szCs w:val="24"/>
        </w:rPr>
        <w:t xml:space="preserve">to personnel conducting assessments within their respective agency </w:t>
      </w:r>
      <w:r>
        <w:rPr>
          <w:sz w:val="24"/>
          <w:szCs w:val="24"/>
        </w:rPr>
        <w:t xml:space="preserve">and collate responses. Each agency will </w:t>
      </w:r>
      <w:r>
        <w:rPr>
          <w:sz w:val="24"/>
          <w:szCs w:val="24"/>
        </w:rPr>
        <w:lastRenderedPageBreak/>
        <w:t xml:space="preserve">assure that data so collected and provided to the registry host (see below) is releasable to the public, based on that agency’s own internal release procedures. </w:t>
      </w:r>
    </w:p>
    <w:p w14:paraId="1A06EB87" w14:textId="3E4F87F8" w:rsidR="00327CFA" w:rsidRDefault="000E052E" w:rsidP="00327CFA">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Non-Federal </w:t>
      </w:r>
      <w:r w:rsidR="00107E58">
        <w:rPr>
          <w:sz w:val="24"/>
          <w:szCs w:val="24"/>
        </w:rPr>
        <w:t>governmental</w:t>
      </w:r>
      <w:r w:rsidR="00327CFA">
        <w:rPr>
          <w:sz w:val="24"/>
          <w:szCs w:val="24"/>
        </w:rPr>
        <w:t xml:space="preserve"> </w:t>
      </w:r>
      <w:r>
        <w:rPr>
          <w:sz w:val="24"/>
          <w:szCs w:val="24"/>
        </w:rPr>
        <w:t>(state, local</w:t>
      </w:r>
      <w:r w:rsidR="005E2EA5">
        <w:rPr>
          <w:sz w:val="24"/>
          <w:szCs w:val="24"/>
        </w:rPr>
        <w:t>,</w:t>
      </w:r>
      <w:r w:rsidR="00107E58">
        <w:rPr>
          <w:sz w:val="24"/>
          <w:szCs w:val="24"/>
        </w:rPr>
        <w:t xml:space="preserve"> and </w:t>
      </w:r>
      <w:r>
        <w:rPr>
          <w:sz w:val="24"/>
          <w:szCs w:val="24"/>
        </w:rPr>
        <w:t>tribal</w:t>
      </w:r>
      <w:r w:rsidR="00107E58">
        <w:rPr>
          <w:sz w:val="24"/>
          <w:szCs w:val="24"/>
        </w:rPr>
        <w:t>)</w:t>
      </w:r>
      <w:r w:rsidR="00FB2BFD">
        <w:rPr>
          <w:sz w:val="24"/>
          <w:szCs w:val="24"/>
        </w:rPr>
        <w:t xml:space="preserve"> institutions</w:t>
      </w:r>
      <w:r w:rsidR="00107E58">
        <w:rPr>
          <w:sz w:val="24"/>
          <w:szCs w:val="24"/>
        </w:rPr>
        <w:t xml:space="preserve"> and </w:t>
      </w:r>
      <w:r w:rsidR="00FB2BFD">
        <w:rPr>
          <w:sz w:val="24"/>
          <w:szCs w:val="24"/>
        </w:rPr>
        <w:t xml:space="preserve">interested </w:t>
      </w:r>
      <w:r w:rsidR="00107E58">
        <w:rPr>
          <w:sz w:val="24"/>
          <w:szCs w:val="24"/>
        </w:rPr>
        <w:t>private sector</w:t>
      </w:r>
      <w:r w:rsidR="00FB2BFD">
        <w:rPr>
          <w:sz w:val="24"/>
          <w:szCs w:val="24"/>
        </w:rPr>
        <w:t xml:space="preserve"> entities</w:t>
      </w:r>
      <w:r w:rsidR="00107E58">
        <w:rPr>
          <w:sz w:val="24"/>
          <w:szCs w:val="24"/>
        </w:rPr>
        <w:t xml:space="preserve"> (</w:t>
      </w:r>
      <w:r w:rsidR="00FB2BFD">
        <w:rPr>
          <w:sz w:val="24"/>
          <w:szCs w:val="24"/>
        </w:rPr>
        <w:t xml:space="preserve">e.g. </w:t>
      </w:r>
      <w:r w:rsidR="005E2EA5">
        <w:rPr>
          <w:sz w:val="24"/>
          <w:szCs w:val="24"/>
        </w:rPr>
        <w:t xml:space="preserve">commercial </w:t>
      </w:r>
      <w:r w:rsidR="00FB2BFD">
        <w:rPr>
          <w:sz w:val="24"/>
          <w:szCs w:val="24"/>
        </w:rPr>
        <w:t xml:space="preserve">firms, </w:t>
      </w:r>
      <w:r w:rsidR="00400AD0">
        <w:rPr>
          <w:sz w:val="24"/>
          <w:szCs w:val="24"/>
        </w:rPr>
        <w:t xml:space="preserve">NGOs, </w:t>
      </w:r>
      <w:bookmarkStart w:id="0" w:name="_GoBack"/>
      <w:bookmarkEnd w:id="0"/>
      <w:r w:rsidR="00FB2BFD">
        <w:rPr>
          <w:sz w:val="24"/>
          <w:szCs w:val="24"/>
        </w:rPr>
        <w:t>academic researchers</w:t>
      </w:r>
      <w:r w:rsidR="00107E58">
        <w:rPr>
          <w:sz w:val="24"/>
          <w:szCs w:val="24"/>
        </w:rPr>
        <w:t xml:space="preserve">) </w:t>
      </w:r>
      <w:r w:rsidR="00327CFA">
        <w:rPr>
          <w:sz w:val="24"/>
          <w:szCs w:val="24"/>
        </w:rPr>
        <w:t xml:space="preserve">may </w:t>
      </w:r>
      <w:r w:rsidR="00523DBA">
        <w:rPr>
          <w:sz w:val="24"/>
          <w:szCs w:val="24"/>
        </w:rPr>
        <w:t>access the</w:t>
      </w:r>
      <w:r w:rsidR="00552962">
        <w:rPr>
          <w:sz w:val="24"/>
          <w:szCs w:val="24"/>
        </w:rPr>
        <w:t xml:space="preserve"> same</w:t>
      </w:r>
      <w:r w:rsidR="00523DBA">
        <w:rPr>
          <w:sz w:val="24"/>
          <w:szCs w:val="24"/>
        </w:rPr>
        <w:t xml:space="preserve"> link </w:t>
      </w:r>
      <w:r w:rsidR="006775FF">
        <w:rPr>
          <w:sz w:val="24"/>
          <w:szCs w:val="24"/>
        </w:rPr>
        <w:t>to</w:t>
      </w:r>
      <w:r w:rsidR="00327CFA">
        <w:rPr>
          <w:sz w:val="24"/>
          <w:szCs w:val="24"/>
        </w:rPr>
        <w:t xml:space="preserve"> distribute through their own networks</w:t>
      </w:r>
      <w:r w:rsidR="00552962">
        <w:rPr>
          <w:sz w:val="24"/>
          <w:szCs w:val="24"/>
        </w:rPr>
        <w:t>,</w:t>
      </w:r>
      <w:r w:rsidR="00327CFA">
        <w:rPr>
          <w:sz w:val="24"/>
          <w:szCs w:val="24"/>
        </w:rPr>
        <w:t xml:space="preserve"> </w:t>
      </w:r>
      <w:r w:rsidR="00552962">
        <w:rPr>
          <w:sz w:val="24"/>
          <w:szCs w:val="24"/>
        </w:rPr>
        <w:t>allowing for collection of</w:t>
      </w:r>
      <w:r w:rsidR="00327CFA">
        <w:rPr>
          <w:sz w:val="24"/>
          <w:szCs w:val="24"/>
        </w:rPr>
        <w:t xml:space="preserve"> data from other communities. For example, there is an organization representing state fish and game agencies, and this entity has proposed to distribute the survey to their members.</w:t>
      </w:r>
      <w:r w:rsidR="00EE62C7">
        <w:rPr>
          <w:sz w:val="24"/>
          <w:szCs w:val="24"/>
        </w:rPr>
        <w:t xml:space="preserve"> </w:t>
      </w:r>
      <w:r w:rsidR="00107E58">
        <w:rPr>
          <w:sz w:val="24"/>
          <w:szCs w:val="24"/>
        </w:rPr>
        <w:t>Other private</w:t>
      </w:r>
      <w:r w:rsidR="001458D4">
        <w:rPr>
          <w:sz w:val="24"/>
          <w:szCs w:val="24"/>
        </w:rPr>
        <w:t xml:space="preserve"> </w:t>
      </w:r>
      <w:proofErr w:type="gramStart"/>
      <w:r w:rsidR="001458D4">
        <w:rPr>
          <w:sz w:val="24"/>
          <w:szCs w:val="24"/>
        </w:rPr>
        <w:t>sector</w:t>
      </w:r>
      <w:r w:rsidR="00107E58">
        <w:rPr>
          <w:sz w:val="24"/>
          <w:szCs w:val="24"/>
        </w:rPr>
        <w:t xml:space="preserve"> </w:t>
      </w:r>
      <w:r w:rsidR="001458D4">
        <w:rPr>
          <w:sz w:val="24"/>
          <w:szCs w:val="24"/>
        </w:rPr>
        <w:t>NGOs</w:t>
      </w:r>
      <w:r w:rsidR="00FB2BFD">
        <w:rPr>
          <w:sz w:val="24"/>
          <w:szCs w:val="24"/>
        </w:rPr>
        <w:t xml:space="preserve"> </w:t>
      </w:r>
      <w:r w:rsidR="00327CFA">
        <w:rPr>
          <w:sz w:val="24"/>
          <w:szCs w:val="24"/>
        </w:rPr>
        <w:t>have</w:t>
      </w:r>
      <w:proofErr w:type="gramEnd"/>
      <w:r w:rsidR="00327CFA">
        <w:rPr>
          <w:sz w:val="24"/>
          <w:szCs w:val="24"/>
        </w:rPr>
        <w:t xml:space="preserve"> </w:t>
      </w:r>
      <w:r w:rsidR="008666D7">
        <w:rPr>
          <w:sz w:val="24"/>
          <w:szCs w:val="24"/>
        </w:rPr>
        <w:t xml:space="preserve">also </w:t>
      </w:r>
      <w:r w:rsidR="00327CFA">
        <w:rPr>
          <w:sz w:val="24"/>
          <w:szCs w:val="24"/>
        </w:rPr>
        <w:t>expressed interest in this approach.</w:t>
      </w:r>
    </w:p>
    <w:p w14:paraId="16864C66" w14:textId="313218D7" w:rsidR="00327CFA" w:rsidRDefault="00327CFA" w:rsidP="00327CFA">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EE62C7">
        <w:rPr>
          <w:sz w:val="24"/>
          <w:szCs w:val="24"/>
        </w:rPr>
        <w:t xml:space="preserve">USGS </w:t>
      </w:r>
      <w:r>
        <w:rPr>
          <w:sz w:val="24"/>
          <w:szCs w:val="24"/>
        </w:rPr>
        <w:t xml:space="preserve">will </w:t>
      </w:r>
      <w:r w:rsidR="00D730FB">
        <w:rPr>
          <w:sz w:val="24"/>
          <w:szCs w:val="24"/>
        </w:rPr>
        <w:t xml:space="preserve">host </w:t>
      </w:r>
      <w:r>
        <w:rPr>
          <w:sz w:val="24"/>
          <w:szCs w:val="24"/>
        </w:rPr>
        <w:t xml:space="preserve">the </w:t>
      </w:r>
      <w:r w:rsidR="00D730FB">
        <w:rPr>
          <w:sz w:val="24"/>
          <w:szCs w:val="24"/>
        </w:rPr>
        <w:t xml:space="preserve">online </w:t>
      </w:r>
      <w:r>
        <w:rPr>
          <w:sz w:val="24"/>
          <w:szCs w:val="24"/>
        </w:rPr>
        <w:t xml:space="preserve">survey, enabling </w:t>
      </w:r>
      <w:r w:rsidR="009A1128">
        <w:rPr>
          <w:sz w:val="24"/>
          <w:szCs w:val="24"/>
        </w:rPr>
        <w:t xml:space="preserve">other partners to submit information. </w:t>
      </w:r>
      <w:r w:rsidR="00736EF3">
        <w:rPr>
          <w:sz w:val="24"/>
          <w:szCs w:val="24"/>
        </w:rPr>
        <w:t xml:space="preserve"> While the </w:t>
      </w:r>
      <w:r w:rsidR="00C97D6C">
        <w:rPr>
          <w:sz w:val="24"/>
          <w:szCs w:val="24"/>
        </w:rPr>
        <w:t>operational</w:t>
      </w:r>
      <w:r w:rsidR="00736EF3">
        <w:rPr>
          <w:sz w:val="24"/>
          <w:szCs w:val="24"/>
        </w:rPr>
        <w:t xml:space="preserve"> URL is not available at this time, the site will </w:t>
      </w:r>
      <w:r w:rsidR="00412A81">
        <w:rPr>
          <w:sz w:val="24"/>
          <w:szCs w:val="24"/>
        </w:rPr>
        <w:t>be found</w:t>
      </w:r>
      <w:r w:rsidR="00736EF3">
        <w:rPr>
          <w:sz w:val="24"/>
          <w:szCs w:val="24"/>
        </w:rPr>
        <w:t xml:space="preserve"> within the National Climate Change and Wildlife Science Center </w:t>
      </w:r>
      <w:r w:rsidR="00412A81">
        <w:rPr>
          <w:sz w:val="24"/>
          <w:szCs w:val="24"/>
        </w:rPr>
        <w:t xml:space="preserve">domain </w:t>
      </w:r>
      <w:r w:rsidR="00736EF3">
        <w:rPr>
          <w:sz w:val="24"/>
          <w:szCs w:val="24"/>
        </w:rPr>
        <w:t>(</w:t>
      </w:r>
      <w:r w:rsidR="00736EF3" w:rsidRPr="00F716D2">
        <w:rPr>
          <w:i/>
          <w:sz w:val="24"/>
          <w:szCs w:val="24"/>
        </w:rPr>
        <w:t>https://nccwsc.usgs.gov</w:t>
      </w:r>
      <w:r w:rsidR="00FB2BFD">
        <w:rPr>
          <w:i/>
          <w:sz w:val="24"/>
          <w:szCs w:val="24"/>
        </w:rPr>
        <w:t>/</w:t>
      </w:r>
      <w:r w:rsidR="00736EF3">
        <w:rPr>
          <w:sz w:val="24"/>
          <w:szCs w:val="24"/>
        </w:rPr>
        <w:t>)</w:t>
      </w:r>
      <w:r w:rsidR="00F716D2">
        <w:rPr>
          <w:sz w:val="24"/>
          <w:szCs w:val="24"/>
        </w:rPr>
        <w:t>.</w:t>
      </w:r>
    </w:p>
    <w:p w14:paraId="392D9AE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59D66F1"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7201">
        <w:rPr>
          <w:b/>
          <w:sz w:val="24"/>
          <w:szCs w:val="24"/>
        </w:rPr>
        <w:t>4.</w:t>
      </w:r>
      <w:r w:rsidRPr="003E7201">
        <w:rPr>
          <w:b/>
          <w:sz w:val="24"/>
          <w:szCs w:val="24"/>
        </w:rPr>
        <w:tab/>
        <w:t>Describe efforts to identify duplication.  Show specifically why any similar information already available cannot be used or modified for use for the purposes described in Item 2 above.</w:t>
      </w:r>
    </w:p>
    <w:p w14:paraId="2282F429" w14:textId="77777777" w:rsidR="009A1128" w:rsidRDefault="009A1128" w:rsidP="009A11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14DD7CBF" w14:textId="7A525DB0" w:rsidR="009A1128" w:rsidRDefault="007426C2" w:rsidP="009A11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9A1128">
        <w:rPr>
          <w:sz w:val="24"/>
          <w:szCs w:val="24"/>
        </w:rPr>
        <w:t xml:space="preserve">The Federal interagency team has been meeting regularly, and has included state, academic, and nongovernmental collaborators.  While expanding rapidly, the vulnerability assessment community is still relatively small, and no participants are aware of any duplicative activity.  Individual agencies may have listings of their own VAs, but without assembling them into a registry, none of the search or analysis functions described above can be conducted effectively. </w:t>
      </w:r>
    </w:p>
    <w:p w14:paraId="1007798A" w14:textId="77777777" w:rsidR="009A1128" w:rsidRPr="003E7201" w:rsidRDefault="009A11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9CE67EC"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7201">
        <w:rPr>
          <w:b/>
          <w:sz w:val="24"/>
          <w:szCs w:val="24"/>
        </w:rPr>
        <w:t>5.</w:t>
      </w:r>
      <w:r w:rsidRPr="003E7201">
        <w:rPr>
          <w:b/>
          <w:sz w:val="24"/>
          <w:szCs w:val="24"/>
        </w:rPr>
        <w:tab/>
        <w:t>If the collection of information impacts small bus</w:t>
      </w:r>
      <w:r w:rsidR="006E339F" w:rsidRPr="003E7201">
        <w:rPr>
          <w:b/>
          <w:sz w:val="24"/>
          <w:szCs w:val="24"/>
        </w:rPr>
        <w:t>inesses or other small entities</w:t>
      </w:r>
      <w:r w:rsidRPr="003E7201">
        <w:rPr>
          <w:b/>
          <w:sz w:val="24"/>
          <w:szCs w:val="24"/>
        </w:rPr>
        <w:t>, describe any methods used to minimize burden.</w:t>
      </w:r>
    </w:p>
    <w:p w14:paraId="4E757278" w14:textId="77777777" w:rsidR="009A1128" w:rsidRDefault="009A11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AB5461B" w14:textId="1AD25CC2" w:rsidR="009A1128" w:rsidRDefault="007426C2" w:rsidP="009A11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ab/>
      </w:r>
      <w:r w:rsidR="009A1128">
        <w:rPr>
          <w:sz w:val="24"/>
          <w:szCs w:val="24"/>
        </w:rPr>
        <w:t xml:space="preserve">No small businesses will be affected. </w:t>
      </w:r>
    </w:p>
    <w:p w14:paraId="674F2B7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441E4B"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7201">
        <w:rPr>
          <w:b/>
          <w:sz w:val="24"/>
          <w:szCs w:val="24"/>
        </w:rPr>
        <w:t>6.</w:t>
      </w:r>
      <w:r w:rsidRPr="003E7201">
        <w:rPr>
          <w:b/>
          <w:sz w:val="24"/>
          <w:szCs w:val="24"/>
        </w:rPr>
        <w:tab/>
        <w:t>Describe the consequence to Federal program or policy activities if the collection is not conducted or is conducted less frequently, as well as any technical or legal obstacles to reducing burden.</w:t>
      </w:r>
    </w:p>
    <w:p w14:paraId="474B12D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1DA129" w14:textId="133D3806" w:rsidR="009A1128" w:rsidRDefault="007426C2" w:rsidP="007C67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9A1128" w:rsidRPr="009A1128">
        <w:rPr>
          <w:sz w:val="24"/>
          <w:szCs w:val="24"/>
        </w:rPr>
        <w:t>Failure</w:t>
      </w:r>
      <w:r w:rsidR="009A1128">
        <w:rPr>
          <w:sz w:val="24"/>
          <w:szCs w:val="24"/>
        </w:rPr>
        <w:t xml:space="preserve"> to collect this information will result in</w:t>
      </w:r>
      <w:r w:rsidR="00E95860">
        <w:rPr>
          <w:sz w:val="24"/>
          <w:szCs w:val="24"/>
        </w:rPr>
        <w:t>:</w:t>
      </w:r>
    </w:p>
    <w:p w14:paraId="44E1C299" w14:textId="77777777" w:rsidR="007426C2" w:rsidRDefault="007426C2" w:rsidP="007C67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9BC7570" w14:textId="0C156A99" w:rsidR="009A1128" w:rsidRDefault="007426C2" w:rsidP="007426C2">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426C2">
        <w:rPr>
          <w:sz w:val="24"/>
          <w:szCs w:val="24"/>
        </w:rPr>
        <w:t>R</w:t>
      </w:r>
      <w:r w:rsidR="009A1128" w:rsidRPr="007426C2">
        <w:rPr>
          <w:sz w:val="24"/>
          <w:szCs w:val="24"/>
        </w:rPr>
        <w:t>educed efficiencies and increased costs for conducting VAs than would be the case if it were available</w:t>
      </w:r>
      <w:r w:rsidR="009C26E2" w:rsidRPr="007426C2">
        <w:rPr>
          <w:sz w:val="24"/>
          <w:szCs w:val="24"/>
        </w:rPr>
        <w:t>;</w:t>
      </w:r>
    </w:p>
    <w:p w14:paraId="2DF237D5" w14:textId="12E55859" w:rsidR="009A1128" w:rsidRDefault="007426C2" w:rsidP="007426C2">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w:t>
      </w:r>
      <w:r w:rsidR="009A1128" w:rsidRPr="007426C2">
        <w:rPr>
          <w:sz w:val="24"/>
          <w:szCs w:val="24"/>
        </w:rPr>
        <w:t>educed ability to understand the impacts of changing climate on resources of concern</w:t>
      </w:r>
      <w:r>
        <w:rPr>
          <w:sz w:val="24"/>
          <w:szCs w:val="24"/>
        </w:rPr>
        <w:t>;</w:t>
      </w:r>
    </w:p>
    <w:p w14:paraId="4054C0AB" w14:textId="06E37607" w:rsidR="00EE443E" w:rsidRDefault="007426C2" w:rsidP="007426C2">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w:t>
      </w:r>
      <w:r w:rsidR="009A1128" w:rsidRPr="007426C2">
        <w:rPr>
          <w:sz w:val="24"/>
          <w:szCs w:val="24"/>
        </w:rPr>
        <w:t>educed ability for agency managers to strategically allocate resources to areas of highest need</w:t>
      </w:r>
      <w:r w:rsidR="00EE443E" w:rsidRPr="007426C2">
        <w:rPr>
          <w:sz w:val="24"/>
          <w:szCs w:val="24"/>
        </w:rPr>
        <w:t>; and</w:t>
      </w:r>
    </w:p>
    <w:p w14:paraId="0E70353E" w14:textId="656A28C0" w:rsidR="009A1128" w:rsidRPr="007426C2" w:rsidRDefault="007426C2" w:rsidP="007426C2">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w:t>
      </w:r>
      <w:r w:rsidR="00EE443E" w:rsidRPr="007426C2">
        <w:rPr>
          <w:sz w:val="24"/>
          <w:szCs w:val="24"/>
        </w:rPr>
        <w:t>educed ability for NCCWSC to provide information to resource managers regarding the impacts of global warming on fish, wildlife, plants, and ecological processes (as directed under the Appropriations language by the Department of the Interior and Secretarial Order 3289).</w:t>
      </w:r>
    </w:p>
    <w:p w14:paraId="01B74C31" w14:textId="77777777" w:rsidR="009A1128" w:rsidRDefault="009A11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29DE8"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7201">
        <w:rPr>
          <w:b/>
          <w:sz w:val="24"/>
          <w:szCs w:val="24"/>
        </w:rPr>
        <w:t>7.</w:t>
      </w:r>
      <w:r w:rsidRPr="003E7201">
        <w:rPr>
          <w:b/>
          <w:sz w:val="24"/>
          <w:szCs w:val="24"/>
        </w:rPr>
        <w:tab/>
        <w:t>Explain any special circumstances that would cause an information collection to be conducted in a manner:</w:t>
      </w:r>
    </w:p>
    <w:p w14:paraId="49A0D0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proofErr w:type="gramStart"/>
      <w:r>
        <w:rPr>
          <w:sz w:val="24"/>
          <w:szCs w:val="24"/>
        </w:rPr>
        <w:t>requiring</w:t>
      </w:r>
      <w:proofErr w:type="gramEnd"/>
      <w:r>
        <w:rPr>
          <w:sz w:val="24"/>
          <w:szCs w:val="24"/>
        </w:rPr>
        <w:t xml:space="preserve"> respondents to report information to the agency more often than quarterly;</w:t>
      </w:r>
    </w:p>
    <w:p w14:paraId="3970B14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prepare a written response to a collection of information in fewer than 30 days after receipt of it;</w:t>
      </w:r>
    </w:p>
    <w:p w14:paraId="334E46F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submit more than an original and two copies of any document;</w:t>
      </w:r>
    </w:p>
    <w:p w14:paraId="5D0443F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retain records, other than health, medical, government contract, grant-in-aid, or tax records, for more than three years;</w:t>
      </w:r>
    </w:p>
    <w:p w14:paraId="07B078A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proofErr w:type="gramStart"/>
      <w:r>
        <w:rPr>
          <w:sz w:val="24"/>
          <w:szCs w:val="24"/>
        </w:rPr>
        <w:t>in</w:t>
      </w:r>
      <w:proofErr w:type="gramEnd"/>
      <w:r>
        <w:rPr>
          <w:sz w:val="24"/>
          <w:szCs w:val="24"/>
        </w:rPr>
        <w:t xml:space="preserve"> conne</w:t>
      </w:r>
      <w:r w:rsidR="00352210">
        <w:rPr>
          <w:sz w:val="24"/>
          <w:szCs w:val="24"/>
        </w:rPr>
        <w:t>ction with a statistical survey</w:t>
      </w:r>
      <w:r>
        <w:rPr>
          <w:sz w:val="24"/>
          <w:szCs w:val="24"/>
        </w:rPr>
        <w:t xml:space="preserve"> that is not designed to produce valid and reliable results that can be generalized to the universe of study;</w:t>
      </w:r>
    </w:p>
    <w:p w14:paraId="1812812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the use of a statistical data classification that has not been reviewed and approved by OMB;</w:t>
      </w:r>
    </w:p>
    <w:p w14:paraId="18F19C1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7FF1AC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submit proprietary trade secrets, or other confidential information</w:t>
      </w:r>
      <w:r w:rsidR="00352210">
        <w:rPr>
          <w:sz w:val="24"/>
          <w:szCs w:val="24"/>
        </w:rPr>
        <w:t>,</w:t>
      </w:r>
      <w:r>
        <w:rPr>
          <w:sz w:val="24"/>
          <w:szCs w:val="24"/>
        </w:rPr>
        <w:t xml:space="preserve"> unless the agency can demonstrate that it has instituted procedures to protect the information's confidentiality to the extent permitted by law.</w:t>
      </w:r>
    </w:p>
    <w:p w14:paraId="60B2B24F" w14:textId="77777777" w:rsidR="009A1128" w:rsidRDefault="009A11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426F6A20" w14:textId="48B9B709" w:rsidR="009A1128" w:rsidRDefault="009A1128" w:rsidP="007426C2">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360"/>
        <w:rPr>
          <w:sz w:val="24"/>
          <w:szCs w:val="24"/>
        </w:rPr>
      </w:pPr>
      <w:r>
        <w:rPr>
          <w:sz w:val="24"/>
          <w:szCs w:val="24"/>
        </w:rPr>
        <w:t>The</w:t>
      </w:r>
      <w:r w:rsidR="00565109">
        <w:rPr>
          <w:sz w:val="24"/>
          <w:szCs w:val="24"/>
        </w:rPr>
        <w:t xml:space="preserve">re are no special circumstances associated with the </w:t>
      </w:r>
      <w:r>
        <w:rPr>
          <w:sz w:val="24"/>
          <w:szCs w:val="24"/>
        </w:rPr>
        <w:t xml:space="preserve">proposed </w:t>
      </w:r>
      <w:r w:rsidR="00565109">
        <w:rPr>
          <w:sz w:val="24"/>
          <w:szCs w:val="24"/>
        </w:rPr>
        <w:t xml:space="preserve">collection </w:t>
      </w:r>
      <w:r>
        <w:rPr>
          <w:sz w:val="24"/>
          <w:szCs w:val="24"/>
        </w:rPr>
        <w:t>activity</w:t>
      </w:r>
      <w:r w:rsidR="00565109">
        <w:rPr>
          <w:sz w:val="24"/>
          <w:szCs w:val="24"/>
        </w:rPr>
        <w:t xml:space="preserve"> that would require it to be conducted in any of the manners described.</w:t>
      </w:r>
    </w:p>
    <w:p w14:paraId="474716E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468E7D"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7201">
        <w:rPr>
          <w:b/>
          <w:sz w:val="24"/>
          <w:szCs w:val="24"/>
        </w:rPr>
        <w:t>8.</w:t>
      </w:r>
      <w:r w:rsidRPr="003E7201">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3E7201">
        <w:rPr>
          <w:b/>
          <w:sz w:val="24"/>
          <w:szCs w:val="24"/>
        </w:rPr>
        <w:t xml:space="preserve">ved in response to that notice </w:t>
      </w:r>
      <w:r w:rsidRPr="003E7201">
        <w:rPr>
          <w:b/>
          <w:sz w:val="24"/>
          <w:szCs w:val="24"/>
        </w:rPr>
        <w:t>and in response to the PRA statement associated with the collec</w:t>
      </w:r>
      <w:r w:rsidR="00DE1FFE" w:rsidRPr="003E7201">
        <w:rPr>
          <w:b/>
          <w:sz w:val="24"/>
          <w:szCs w:val="24"/>
        </w:rPr>
        <w:t xml:space="preserve">tion over the past three years, </w:t>
      </w:r>
      <w:r w:rsidRPr="003E7201">
        <w:rPr>
          <w:b/>
          <w:sz w:val="24"/>
          <w:szCs w:val="24"/>
        </w:rPr>
        <w:t>and describe actions taken by the agency in response to these comments.  Specifically address comments received on cost and hour burden.</w:t>
      </w:r>
    </w:p>
    <w:p w14:paraId="66D4FA78" w14:textId="77777777" w:rsidR="009A1128" w:rsidRDefault="009A11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E268880" w14:textId="1864E60F" w:rsidR="00A1090A" w:rsidRDefault="007426C2" w:rsidP="00FB6C1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FB6C13" w:rsidRPr="003801F3">
        <w:rPr>
          <w:sz w:val="24"/>
          <w:szCs w:val="24"/>
        </w:rPr>
        <w:t xml:space="preserve">On </w:t>
      </w:r>
      <w:r w:rsidR="00FB6C13">
        <w:rPr>
          <w:sz w:val="24"/>
          <w:szCs w:val="24"/>
        </w:rPr>
        <w:t>August 21</w:t>
      </w:r>
      <w:r w:rsidR="00FB6C13" w:rsidRPr="003801F3">
        <w:rPr>
          <w:sz w:val="24"/>
          <w:szCs w:val="24"/>
        </w:rPr>
        <w:t xml:space="preserve">, 2013, a 60-day Federal Register notice (78 FR </w:t>
      </w:r>
      <w:r w:rsidR="00FB6C13">
        <w:rPr>
          <w:sz w:val="24"/>
          <w:szCs w:val="24"/>
        </w:rPr>
        <w:t>51740</w:t>
      </w:r>
      <w:r w:rsidR="00FB6C13" w:rsidRPr="003801F3">
        <w:rPr>
          <w:sz w:val="24"/>
          <w:szCs w:val="24"/>
        </w:rPr>
        <w:t xml:space="preserve">) was published announcing this information collection.  Public comments were solicited for 60 days ending </w:t>
      </w:r>
      <w:r w:rsidR="00FB6C13">
        <w:rPr>
          <w:sz w:val="24"/>
          <w:szCs w:val="24"/>
        </w:rPr>
        <w:t>October</w:t>
      </w:r>
      <w:r w:rsidR="00FB6C13" w:rsidRPr="003801F3">
        <w:rPr>
          <w:sz w:val="24"/>
          <w:szCs w:val="24"/>
        </w:rPr>
        <w:t xml:space="preserve"> </w:t>
      </w:r>
      <w:r w:rsidR="00FB6C13">
        <w:rPr>
          <w:sz w:val="24"/>
          <w:szCs w:val="24"/>
        </w:rPr>
        <w:t>21</w:t>
      </w:r>
      <w:r w:rsidR="00FB6C13" w:rsidRPr="003801F3">
        <w:rPr>
          <w:sz w:val="24"/>
          <w:szCs w:val="24"/>
        </w:rPr>
        <w:t>, 201</w:t>
      </w:r>
      <w:r w:rsidR="00FB6C13">
        <w:rPr>
          <w:sz w:val="24"/>
          <w:szCs w:val="24"/>
        </w:rPr>
        <w:t>3</w:t>
      </w:r>
      <w:r w:rsidR="00FB6C13" w:rsidRPr="003801F3">
        <w:rPr>
          <w:sz w:val="24"/>
          <w:szCs w:val="24"/>
        </w:rPr>
        <w:t>.</w:t>
      </w:r>
    </w:p>
    <w:p w14:paraId="5BB580E0" w14:textId="77777777" w:rsidR="00A1090A" w:rsidRDefault="00A1090A" w:rsidP="00FB6C1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F6B1370" w14:textId="71DA7AB4" w:rsidR="00A1090A" w:rsidRDefault="007426C2" w:rsidP="00FB6C1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4548F0" w:rsidRPr="004548F0">
        <w:rPr>
          <w:sz w:val="24"/>
          <w:szCs w:val="24"/>
        </w:rPr>
        <w:t xml:space="preserve">We received two comments in response to that notice, each emphasizing support for the project. Specifically, the comments suggested that development of a registry would be necessary for cataloguing existing assessments and that such a registry will increase understanding of the nation’s progress towards determining climate change impacts and provide insights for adaptation planning. Additionally, one commenter felt the registry will be useful for comparing assessment methods from different disciplines (e.g., ecosystems, infrastructure) and potentially reveal unrecognized connections or causal relationships between climate change and societal or natural resource vulnerabilities (e.g., ecosystem shifts and changes in vector-borne and zoonotic disease incidence). Suggested improvements included ensuring that the registry is relevant for all disciplines assessing vulnerability and </w:t>
      </w:r>
      <w:r w:rsidR="004548F0" w:rsidRPr="004548F0">
        <w:rPr>
          <w:sz w:val="24"/>
          <w:szCs w:val="24"/>
        </w:rPr>
        <w:lastRenderedPageBreak/>
        <w:t>implementing adaptation actions, including the public health and health care delivery services sectors.</w:t>
      </w:r>
    </w:p>
    <w:p w14:paraId="7FD3342B" w14:textId="77777777" w:rsidR="00A1090A" w:rsidRDefault="00A1090A" w:rsidP="00FB6C1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4DB33F65" w14:textId="65A24080" w:rsidR="00FB6C13" w:rsidRDefault="007426C2" w:rsidP="00FB6C1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4548F0" w:rsidRPr="004548F0">
        <w:rPr>
          <w:sz w:val="24"/>
          <w:szCs w:val="24"/>
        </w:rPr>
        <w:t>Our initial intent was to ensure that the registry would be available to all parties interested in questions of vulnerability and adaptation. We have, therefore, expanded the focus of the registry to explicitly include the health sectors cited in the received comments.</w:t>
      </w:r>
    </w:p>
    <w:p w14:paraId="5E71C37E" w14:textId="77777777" w:rsidR="009D532D" w:rsidRDefault="009D532D" w:rsidP="00FB6C1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4D65B022" w14:textId="50A7D104" w:rsidR="009D532D" w:rsidRPr="003801F3" w:rsidRDefault="009D532D" w:rsidP="00FB6C1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rPr>
        <w:tab/>
        <w:t>Because t</w:t>
      </w:r>
      <w:r w:rsidRPr="00985CC8">
        <w:rPr>
          <w:sz w:val="24"/>
        </w:rPr>
        <w:t>his is a new collection</w:t>
      </w:r>
      <w:r w:rsidR="001A7EEA">
        <w:rPr>
          <w:sz w:val="24"/>
        </w:rPr>
        <w:t>, n</w:t>
      </w:r>
      <w:r w:rsidRPr="00985CC8">
        <w:rPr>
          <w:sz w:val="24"/>
        </w:rPr>
        <w:t>either commenter addressed our current cost and hour burden estimates.</w:t>
      </w:r>
    </w:p>
    <w:p w14:paraId="07C7EC09" w14:textId="77777777" w:rsidR="00FB6C13" w:rsidRPr="003E7201" w:rsidRDefault="00FB6C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399BC1E"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3E7201">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3E7201">
        <w:rPr>
          <w:b/>
          <w:sz w:val="24"/>
          <w:szCs w:val="24"/>
        </w:rPr>
        <w:t>.</w:t>
      </w:r>
    </w:p>
    <w:p w14:paraId="0BD27B4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4D11FDA" w14:textId="138DFB63" w:rsidR="009A1128" w:rsidRDefault="007426C2" w:rsidP="009A11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9A1128">
        <w:rPr>
          <w:sz w:val="24"/>
          <w:szCs w:val="24"/>
        </w:rPr>
        <w:t xml:space="preserve">This activity is being coordinated with </w:t>
      </w:r>
      <w:r>
        <w:rPr>
          <w:sz w:val="24"/>
          <w:szCs w:val="24"/>
        </w:rPr>
        <w:t>several categories of partners:</w:t>
      </w:r>
    </w:p>
    <w:p w14:paraId="11D78174" w14:textId="77777777" w:rsidR="007426C2" w:rsidRDefault="007426C2" w:rsidP="009A11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05BFB0BC" w14:textId="77777777" w:rsidR="009A1128" w:rsidRDefault="009A1128" w:rsidP="007426C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426C2">
        <w:rPr>
          <w:sz w:val="24"/>
          <w:szCs w:val="24"/>
        </w:rPr>
        <w:t>The Interagency Land Management Adaptation Group (ILMAG) – an ad hoc group of Federal Agency and Executive Office parties involved in large-landscape climate adaptation activities</w:t>
      </w:r>
      <w:r w:rsidR="009C26E2" w:rsidRPr="007426C2">
        <w:rPr>
          <w:sz w:val="24"/>
          <w:szCs w:val="24"/>
        </w:rPr>
        <w:t>;</w:t>
      </w:r>
    </w:p>
    <w:p w14:paraId="25EBDB2A" w14:textId="77777777" w:rsidR="009A1128" w:rsidRDefault="009A1128" w:rsidP="007426C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426C2">
        <w:rPr>
          <w:sz w:val="24"/>
          <w:szCs w:val="24"/>
        </w:rPr>
        <w:t xml:space="preserve">The US Global Change Research Program </w:t>
      </w:r>
      <w:r w:rsidR="00DB6B59" w:rsidRPr="007426C2">
        <w:rPr>
          <w:sz w:val="24"/>
          <w:szCs w:val="24"/>
        </w:rPr>
        <w:t>Adaptation Science Working Group</w:t>
      </w:r>
      <w:r w:rsidR="00966943" w:rsidRPr="007426C2">
        <w:rPr>
          <w:sz w:val="24"/>
          <w:szCs w:val="24"/>
        </w:rPr>
        <w:t xml:space="preserve"> (</w:t>
      </w:r>
      <w:r w:rsidR="00966943" w:rsidRPr="007426C2">
        <w:rPr>
          <w:i/>
          <w:sz w:val="24"/>
          <w:szCs w:val="24"/>
        </w:rPr>
        <w:t>http://www.globalchange.gov/</w:t>
      </w:r>
      <w:r w:rsidR="00966943" w:rsidRPr="007426C2">
        <w:rPr>
          <w:sz w:val="24"/>
          <w:szCs w:val="24"/>
        </w:rPr>
        <w:t>)</w:t>
      </w:r>
      <w:r w:rsidR="009C26E2" w:rsidRPr="007426C2">
        <w:rPr>
          <w:sz w:val="24"/>
          <w:szCs w:val="24"/>
        </w:rPr>
        <w:t>; and</w:t>
      </w:r>
    </w:p>
    <w:p w14:paraId="64439CF1" w14:textId="3BC7506D" w:rsidR="00482892" w:rsidRPr="007426C2" w:rsidRDefault="00DB6B59" w:rsidP="007426C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426C2">
        <w:rPr>
          <w:sz w:val="24"/>
          <w:szCs w:val="24"/>
        </w:rPr>
        <w:t xml:space="preserve">An ad hoc working group comprised of members of the above two committees and a number of state agency representatives, </w:t>
      </w:r>
      <w:r w:rsidR="001458D4">
        <w:rPr>
          <w:sz w:val="24"/>
          <w:szCs w:val="24"/>
        </w:rPr>
        <w:t>NGO</w:t>
      </w:r>
      <w:r w:rsidRPr="007426C2">
        <w:rPr>
          <w:sz w:val="24"/>
          <w:szCs w:val="24"/>
        </w:rPr>
        <w:t xml:space="preserve"> representatives, and interested academics. This committee is managing the activity, in consultation with the other groups.</w:t>
      </w:r>
    </w:p>
    <w:p w14:paraId="10E8BCB8" w14:textId="77777777" w:rsidR="00DB6B59" w:rsidRDefault="00DB6B59" w:rsidP="004828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9C994A" w14:textId="3D6CECBE" w:rsidR="00966943" w:rsidRDefault="007426C2" w:rsidP="00A109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966943">
        <w:rPr>
          <w:sz w:val="24"/>
          <w:szCs w:val="24"/>
        </w:rPr>
        <w:t xml:space="preserve">The ad hoc working group met several times to develop a list of basic reporting elements </w:t>
      </w:r>
      <w:r w:rsidR="00DE513C">
        <w:rPr>
          <w:sz w:val="24"/>
          <w:szCs w:val="24"/>
        </w:rPr>
        <w:t xml:space="preserve">(e.g., assessment purpose, location, target) </w:t>
      </w:r>
      <w:r w:rsidR="00966943">
        <w:rPr>
          <w:sz w:val="24"/>
          <w:szCs w:val="24"/>
        </w:rPr>
        <w:t xml:space="preserve">to be included in the </w:t>
      </w:r>
      <w:r w:rsidR="00DE513C">
        <w:rPr>
          <w:sz w:val="24"/>
          <w:szCs w:val="24"/>
        </w:rPr>
        <w:t>registry.</w:t>
      </w:r>
    </w:p>
    <w:p w14:paraId="51B1796F" w14:textId="77777777" w:rsidR="00DB6B59" w:rsidRDefault="00DB6B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208C711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3E7201">
        <w:rPr>
          <w:b/>
          <w:sz w:val="24"/>
          <w:szCs w:val="24"/>
        </w:rPr>
        <w:t xml:space="preserve">Consultation with representatives of those from whom information is to be obtained or those who must compile records should occur at least once every </w:t>
      </w:r>
      <w:r w:rsidR="00352210" w:rsidRPr="003E7201">
        <w:rPr>
          <w:b/>
          <w:sz w:val="24"/>
          <w:szCs w:val="24"/>
        </w:rPr>
        <w:t>three</w:t>
      </w:r>
      <w:r w:rsidRPr="003E7201">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46DB4A0F" w14:textId="77777777" w:rsidR="003E7201" w:rsidRPr="003E7201" w:rsidRDefault="003E72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65B4FEF5" w14:textId="77777777" w:rsidR="00DB6B59" w:rsidRDefault="00DB6B59" w:rsidP="00E95860">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Federal agency partners have committed to conducting this collection at least annually for at least five years. </w:t>
      </w:r>
    </w:p>
    <w:p w14:paraId="6BA5F137" w14:textId="77777777" w:rsidR="00DB6B59" w:rsidRDefault="00DB6B59" w:rsidP="00E95860">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At least annually, VAs listed on the registry will be polled to ascertain any changes in status (or reasons for removal)</w:t>
      </w:r>
      <w:r w:rsidR="00E47A0F">
        <w:rPr>
          <w:sz w:val="24"/>
          <w:szCs w:val="24"/>
        </w:rPr>
        <w:t>.</w:t>
      </w:r>
    </w:p>
    <w:p w14:paraId="5823C09E"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EA14E21"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7201">
        <w:rPr>
          <w:b/>
          <w:sz w:val="24"/>
          <w:szCs w:val="24"/>
        </w:rPr>
        <w:t>9.</w:t>
      </w:r>
      <w:r w:rsidRPr="003E7201">
        <w:rPr>
          <w:b/>
          <w:sz w:val="24"/>
          <w:szCs w:val="24"/>
        </w:rPr>
        <w:tab/>
        <w:t>Explain any decision to provide any payment or gift to respondents, other than remuneration of contractors or grantees.</w:t>
      </w:r>
    </w:p>
    <w:p w14:paraId="3D3F34E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DE92DC" w14:textId="16C2FE02" w:rsidR="00DB6B59" w:rsidRDefault="007426C2" w:rsidP="00DB6B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DB6B59">
        <w:rPr>
          <w:sz w:val="24"/>
          <w:szCs w:val="24"/>
        </w:rPr>
        <w:t>No payments</w:t>
      </w:r>
      <w:r w:rsidR="00287890">
        <w:rPr>
          <w:sz w:val="24"/>
          <w:szCs w:val="24"/>
        </w:rPr>
        <w:t xml:space="preserve"> or </w:t>
      </w:r>
      <w:r w:rsidR="00DB6B59">
        <w:rPr>
          <w:sz w:val="24"/>
          <w:szCs w:val="24"/>
        </w:rPr>
        <w:t>gifts</w:t>
      </w:r>
      <w:r w:rsidR="00287890">
        <w:rPr>
          <w:sz w:val="24"/>
          <w:szCs w:val="24"/>
        </w:rPr>
        <w:t xml:space="preserve"> to </w:t>
      </w:r>
      <w:r w:rsidR="00736EF3">
        <w:rPr>
          <w:sz w:val="24"/>
          <w:szCs w:val="24"/>
        </w:rPr>
        <w:t>respondents</w:t>
      </w:r>
      <w:r w:rsidR="00DB6B59">
        <w:rPr>
          <w:sz w:val="24"/>
          <w:szCs w:val="24"/>
        </w:rPr>
        <w:t xml:space="preserve"> are contemplated. </w:t>
      </w:r>
    </w:p>
    <w:p w14:paraId="41B4DA30" w14:textId="77777777" w:rsidR="00DB6B59" w:rsidRDefault="00DB6B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233C3A" w14:textId="77777777" w:rsidR="004A6DFA"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7201">
        <w:rPr>
          <w:b/>
          <w:sz w:val="24"/>
          <w:szCs w:val="24"/>
        </w:rPr>
        <w:t>10.</w:t>
      </w:r>
      <w:r w:rsidRPr="003E7201">
        <w:rPr>
          <w:b/>
          <w:sz w:val="24"/>
          <w:szCs w:val="24"/>
        </w:rPr>
        <w:tab/>
        <w:t>Describe any assurance of confidentiality provided to respondents and the basis for the assurance in statute, regulation, or agency policy.</w:t>
      </w:r>
    </w:p>
    <w:p w14:paraId="2CCA6047" w14:textId="77777777" w:rsidR="00DB6B59" w:rsidRDefault="00DB6B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ADC4A26" w14:textId="5197430E" w:rsidR="00DB6B59" w:rsidRDefault="007426C2" w:rsidP="007426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DB6B59">
        <w:rPr>
          <w:sz w:val="24"/>
          <w:szCs w:val="24"/>
        </w:rPr>
        <w:t>No assurances of confidentiality will be provided</w:t>
      </w:r>
      <w:r w:rsidR="00DE513C">
        <w:rPr>
          <w:sz w:val="24"/>
          <w:szCs w:val="24"/>
        </w:rPr>
        <w:t xml:space="preserve"> because the</w:t>
      </w:r>
      <w:r w:rsidR="00434722">
        <w:rPr>
          <w:sz w:val="24"/>
          <w:szCs w:val="24"/>
        </w:rPr>
        <w:t xml:space="preserve"> information being collected is </w:t>
      </w:r>
      <w:r w:rsidR="00DE513C">
        <w:rPr>
          <w:sz w:val="24"/>
          <w:szCs w:val="24"/>
        </w:rPr>
        <w:t xml:space="preserve">not of a </w:t>
      </w:r>
      <w:r w:rsidR="00434722">
        <w:rPr>
          <w:sz w:val="24"/>
          <w:szCs w:val="24"/>
        </w:rPr>
        <w:t>confidential nature</w:t>
      </w:r>
      <w:r w:rsidR="00DB6B59">
        <w:rPr>
          <w:sz w:val="24"/>
          <w:szCs w:val="24"/>
        </w:rPr>
        <w:t xml:space="preserve">. </w:t>
      </w:r>
    </w:p>
    <w:p w14:paraId="20158327"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4551FA5"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7201">
        <w:rPr>
          <w:b/>
          <w:sz w:val="24"/>
          <w:szCs w:val="24"/>
        </w:rPr>
        <w:t>11.</w:t>
      </w:r>
      <w:r w:rsidRPr="003E7201">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0ABEAC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5B05F2" w14:textId="32F44FFF" w:rsidR="00DB6B59" w:rsidRDefault="007426C2" w:rsidP="00DB6B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DB6B59">
        <w:rPr>
          <w:sz w:val="24"/>
          <w:szCs w:val="24"/>
        </w:rPr>
        <w:t xml:space="preserve">No sensitive questions are to be included. </w:t>
      </w:r>
    </w:p>
    <w:p w14:paraId="65000874" w14:textId="77777777" w:rsidR="00DB6B59" w:rsidRDefault="00DB6B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5132E4"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7201">
        <w:rPr>
          <w:b/>
          <w:sz w:val="24"/>
          <w:szCs w:val="24"/>
        </w:rPr>
        <w:t>12.</w:t>
      </w:r>
      <w:r w:rsidRPr="003E7201">
        <w:rPr>
          <w:b/>
          <w:sz w:val="24"/>
          <w:szCs w:val="24"/>
        </w:rPr>
        <w:tab/>
        <w:t>Provide estimates of the hour burden of the collection of information.  The statement should:</w:t>
      </w:r>
    </w:p>
    <w:p w14:paraId="3F1A2C1F"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E7201">
        <w:rPr>
          <w:b/>
          <w:sz w:val="24"/>
          <w:szCs w:val="24"/>
        </w:rPr>
        <w:tab/>
        <w:t>*</w:t>
      </w:r>
      <w:r w:rsidRPr="003E7201">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A1B6C30"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E7201">
        <w:rPr>
          <w:b/>
          <w:sz w:val="24"/>
          <w:szCs w:val="24"/>
        </w:rPr>
        <w:tab/>
        <w:t>*</w:t>
      </w:r>
      <w:r w:rsidRPr="003E7201">
        <w:rPr>
          <w:b/>
          <w:sz w:val="24"/>
          <w:szCs w:val="24"/>
        </w:rPr>
        <w:tab/>
        <w:t>If this request for approval covers more than one form, provide separate hour burden estimates for each form and aggregate the hour burdens.</w:t>
      </w:r>
    </w:p>
    <w:p w14:paraId="39125FDB"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E7201">
        <w:rPr>
          <w:b/>
          <w:sz w:val="24"/>
          <w:szCs w:val="24"/>
        </w:rPr>
        <w:tab/>
        <w:t>*</w:t>
      </w:r>
      <w:r w:rsidRPr="003E7201">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3E7201">
        <w:rPr>
          <w:b/>
          <w:sz w:val="24"/>
          <w:szCs w:val="24"/>
        </w:rPr>
        <w:t>.</w:t>
      </w:r>
    </w:p>
    <w:p w14:paraId="10F4160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EFE9AC1" w14:textId="510A5E0B" w:rsidR="00714D6E" w:rsidRDefault="007426C2" w:rsidP="003046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714D6E">
        <w:rPr>
          <w:sz w:val="24"/>
          <w:szCs w:val="24"/>
        </w:rPr>
        <w:t xml:space="preserve">Our estimate of the </w:t>
      </w:r>
      <w:r w:rsidR="0053087C">
        <w:rPr>
          <w:sz w:val="24"/>
          <w:szCs w:val="24"/>
        </w:rPr>
        <w:t xml:space="preserve">maximum annual </w:t>
      </w:r>
      <w:r w:rsidR="00714D6E">
        <w:rPr>
          <w:sz w:val="24"/>
          <w:szCs w:val="24"/>
        </w:rPr>
        <w:t xml:space="preserve">hour </w:t>
      </w:r>
      <w:r w:rsidR="0053087C">
        <w:rPr>
          <w:sz w:val="24"/>
          <w:szCs w:val="24"/>
        </w:rPr>
        <w:t xml:space="preserve">and cost </w:t>
      </w:r>
      <w:r w:rsidR="00714D6E">
        <w:rPr>
          <w:sz w:val="24"/>
          <w:szCs w:val="24"/>
        </w:rPr>
        <w:t>burden</w:t>
      </w:r>
      <w:r w:rsidR="0053087C">
        <w:rPr>
          <w:sz w:val="24"/>
          <w:szCs w:val="24"/>
        </w:rPr>
        <w:t>s</w:t>
      </w:r>
      <w:r w:rsidR="00714D6E">
        <w:rPr>
          <w:sz w:val="24"/>
          <w:szCs w:val="24"/>
        </w:rPr>
        <w:t xml:space="preserve"> of </w:t>
      </w:r>
      <w:r w:rsidR="00512719">
        <w:rPr>
          <w:sz w:val="24"/>
          <w:szCs w:val="24"/>
        </w:rPr>
        <w:t xml:space="preserve">this </w:t>
      </w:r>
      <w:r w:rsidR="00714D6E">
        <w:rPr>
          <w:sz w:val="24"/>
          <w:szCs w:val="24"/>
        </w:rPr>
        <w:t>collection of information</w:t>
      </w:r>
      <w:r w:rsidR="00512719">
        <w:rPr>
          <w:sz w:val="24"/>
          <w:szCs w:val="24"/>
        </w:rPr>
        <w:t xml:space="preserve"> (incurred in the first year)</w:t>
      </w:r>
      <w:r w:rsidR="00714D6E">
        <w:rPr>
          <w:sz w:val="24"/>
          <w:szCs w:val="24"/>
        </w:rPr>
        <w:t xml:space="preserve"> assumes:</w:t>
      </w:r>
    </w:p>
    <w:p w14:paraId="5F511219" w14:textId="77777777" w:rsidR="007426C2" w:rsidRDefault="007426C2" w:rsidP="003046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62663D31" w14:textId="77777777" w:rsidR="0053087C" w:rsidRDefault="00E95860" w:rsidP="007426C2">
      <w:pPr>
        <w:pStyle w:val="ListParagraph"/>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426C2">
        <w:rPr>
          <w:sz w:val="24"/>
          <w:szCs w:val="24"/>
        </w:rPr>
        <w:t>N</w:t>
      </w:r>
      <w:r w:rsidR="00DB6B59" w:rsidRPr="007426C2">
        <w:rPr>
          <w:sz w:val="24"/>
          <w:szCs w:val="24"/>
        </w:rPr>
        <w:t>umber of respondents –</w:t>
      </w:r>
      <w:r w:rsidR="00603EA4" w:rsidRPr="007426C2">
        <w:rPr>
          <w:sz w:val="24"/>
          <w:szCs w:val="24"/>
        </w:rPr>
        <w:t xml:space="preserve"> </w:t>
      </w:r>
      <w:r w:rsidR="00DC7654" w:rsidRPr="007426C2">
        <w:rPr>
          <w:sz w:val="24"/>
          <w:szCs w:val="24"/>
        </w:rPr>
        <w:t>1360</w:t>
      </w:r>
      <w:r w:rsidR="00A67D40" w:rsidRPr="007426C2">
        <w:rPr>
          <w:sz w:val="24"/>
          <w:szCs w:val="24"/>
        </w:rPr>
        <w:t>, including</w:t>
      </w:r>
      <w:r w:rsidR="0053087C">
        <w:rPr>
          <w:sz w:val="24"/>
          <w:szCs w:val="24"/>
        </w:rPr>
        <w:t>:</w:t>
      </w:r>
    </w:p>
    <w:p w14:paraId="583C77CE" w14:textId="1C32E89C" w:rsidR="00512719" w:rsidRDefault="00A67D40" w:rsidP="00512719">
      <w:pPr>
        <w:pStyle w:val="ListParagraph"/>
        <w:numPr>
          <w:ilvl w:val="1"/>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426C2">
        <w:rPr>
          <w:sz w:val="24"/>
          <w:szCs w:val="24"/>
        </w:rPr>
        <w:t>1200 federal</w:t>
      </w:r>
      <w:r w:rsidR="00512719">
        <w:rPr>
          <w:sz w:val="24"/>
          <w:szCs w:val="24"/>
        </w:rPr>
        <w:t>,</w:t>
      </w:r>
    </w:p>
    <w:p w14:paraId="3207F1D8" w14:textId="236E8F17" w:rsidR="0053087C" w:rsidRDefault="00A67D40" w:rsidP="00512719">
      <w:pPr>
        <w:pStyle w:val="ListParagraph"/>
        <w:numPr>
          <w:ilvl w:val="1"/>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426C2">
        <w:rPr>
          <w:sz w:val="24"/>
          <w:szCs w:val="24"/>
        </w:rPr>
        <w:t>1</w:t>
      </w:r>
      <w:r w:rsidR="0053087C">
        <w:rPr>
          <w:sz w:val="24"/>
          <w:szCs w:val="24"/>
        </w:rPr>
        <w:t>1</w:t>
      </w:r>
      <w:r w:rsidRPr="007426C2">
        <w:rPr>
          <w:sz w:val="24"/>
          <w:szCs w:val="24"/>
        </w:rPr>
        <w:t>0 state/local/tribal</w:t>
      </w:r>
      <w:r w:rsidR="005F7A53">
        <w:rPr>
          <w:sz w:val="24"/>
          <w:szCs w:val="24"/>
        </w:rPr>
        <w:t xml:space="preserve"> government</w:t>
      </w:r>
      <w:r w:rsidR="0053087C">
        <w:rPr>
          <w:sz w:val="24"/>
          <w:szCs w:val="24"/>
        </w:rPr>
        <w:t>,</w:t>
      </w:r>
      <w:r w:rsidRPr="007426C2">
        <w:rPr>
          <w:sz w:val="24"/>
          <w:szCs w:val="24"/>
        </w:rPr>
        <w:t xml:space="preserve"> and</w:t>
      </w:r>
    </w:p>
    <w:p w14:paraId="0883DA7F" w14:textId="66C2F765" w:rsidR="00DB6B59" w:rsidRDefault="0053087C" w:rsidP="00512719">
      <w:pPr>
        <w:pStyle w:val="ListParagraph"/>
        <w:numPr>
          <w:ilvl w:val="1"/>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50 </w:t>
      </w:r>
      <w:r w:rsidR="00A67D40" w:rsidRPr="007426C2">
        <w:rPr>
          <w:sz w:val="24"/>
          <w:szCs w:val="24"/>
        </w:rPr>
        <w:t>private sector</w:t>
      </w:r>
      <w:r w:rsidR="001458D4">
        <w:rPr>
          <w:sz w:val="24"/>
          <w:szCs w:val="24"/>
        </w:rPr>
        <w:t xml:space="preserve"> (academic,</w:t>
      </w:r>
      <w:r w:rsidR="008666D7">
        <w:rPr>
          <w:sz w:val="24"/>
          <w:szCs w:val="24"/>
        </w:rPr>
        <w:t xml:space="preserve"> nongovernmental</w:t>
      </w:r>
      <w:r w:rsidR="001458D4">
        <w:rPr>
          <w:sz w:val="24"/>
          <w:szCs w:val="24"/>
        </w:rPr>
        <w:t>, commercial</w:t>
      </w:r>
      <w:r w:rsidR="008666D7">
        <w:rPr>
          <w:sz w:val="24"/>
          <w:szCs w:val="24"/>
        </w:rPr>
        <w:t>)</w:t>
      </w:r>
      <w:r w:rsidR="00A67D40" w:rsidRPr="007426C2">
        <w:rPr>
          <w:sz w:val="24"/>
          <w:szCs w:val="24"/>
        </w:rPr>
        <w:t xml:space="preserve"> respondents</w:t>
      </w:r>
    </w:p>
    <w:p w14:paraId="696F99AB" w14:textId="0464CB1C" w:rsidR="00605968" w:rsidRPr="00512719" w:rsidRDefault="00605968" w:rsidP="005127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Pr>
          <w:sz w:val="24"/>
          <w:szCs w:val="24"/>
        </w:rPr>
        <w:tab/>
        <w:t>(</w:t>
      </w:r>
      <w:proofErr w:type="gramStart"/>
      <w:r>
        <w:rPr>
          <w:sz w:val="24"/>
          <w:szCs w:val="24"/>
        </w:rPr>
        <w:t>s</w:t>
      </w:r>
      <w:r w:rsidRPr="007426C2">
        <w:rPr>
          <w:sz w:val="24"/>
          <w:szCs w:val="24"/>
        </w:rPr>
        <w:t>ee</w:t>
      </w:r>
      <w:proofErr w:type="gramEnd"/>
      <w:r w:rsidRPr="007426C2">
        <w:rPr>
          <w:sz w:val="24"/>
          <w:szCs w:val="24"/>
        </w:rPr>
        <w:t xml:space="preserve"> Supporting Statement B for respondent categories and response rates)</w:t>
      </w:r>
      <w:r w:rsidR="00512719">
        <w:rPr>
          <w:sz w:val="24"/>
          <w:szCs w:val="24"/>
        </w:rPr>
        <w:t>.</w:t>
      </w:r>
    </w:p>
    <w:p w14:paraId="456201B1" w14:textId="0E6835E0" w:rsidR="00DB6B59" w:rsidRDefault="00E95860" w:rsidP="007426C2">
      <w:pPr>
        <w:pStyle w:val="ListParagraph"/>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426C2">
        <w:rPr>
          <w:sz w:val="24"/>
          <w:szCs w:val="24"/>
        </w:rPr>
        <w:t>F</w:t>
      </w:r>
      <w:r w:rsidR="00DB6B59" w:rsidRPr="007426C2">
        <w:rPr>
          <w:sz w:val="24"/>
          <w:szCs w:val="24"/>
        </w:rPr>
        <w:t xml:space="preserve">requency of response – </w:t>
      </w:r>
      <w:r w:rsidR="00CF2BB5" w:rsidRPr="007426C2">
        <w:rPr>
          <w:sz w:val="24"/>
          <w:szCs w:val="24"/>
        </w:rPr>
        <w:t>once,</w:t>
      </w:r>
      <w:r w:rsidR="00E44A1B" w:rsidRPr="007426C2">
        <w:rPr>
          <w:sz w:val="24"/>
          <w:szCs w:val="24"/>
        </w:rPr>
        <w:t xml:space="preserve"> </w:t>
      </w:r>
      <w:r w:rsidR="00DB6B59" w:rsidRPr="007426C2">
        <w:rPr>
          <w:sz w:val="24"/>
          <w:szCs w:val="24"/>
        </w:rPr>
        <w:t>annual</w:t>
      </w:r>
      <w:r w:rsidR="00CF2BB5" w:rsidRPr="007426C2">
        <w:rPr>
          <w:sz w:val="24"/>
          <w:szCs w:val="24"/>
        </w:rPr>
        <w:t>ly</w:t>
      </w:r>
      <w:r w:rsidR="00603EA4" w:rsidRPr="007426C2">
        <w:rPr>
          <w:sz w:val="24"/>
          <w:szCs w:val="24"/>
        </w:rPr>
        <w:t>;</w:t>
      </w:r>
      <w:r w:rsidR="007426C2">
        <w:rPr>
          <w:sz w:val="24"/>
          <w:szCs w:val="24"/>
        </w:rPr>
        <w:t xml:space="preserve"> and</w:t>
      </w:r>
    </w:p>
    <w:p w14:paraId="5BE7CF0C" w14:textId="77777777" w:rsidR="00DB6B59" w:rsidRPr="007426C2" w:rsidRDefault="00E95860" w:rsidP="007426C2">
      <w:pPr>
        <w:pStyle w:val="ListParagraph"/>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426C2">
        <w:rPr>
          <w:sz w:val="24"/>
          <w:szCs w:val="24"/>
        </w:rPr>
        <w:t xml:space="preserve">Annual </w:t>
      </w:r>
      <w:r w:rsidR="00DB6B59" w:rsidRPr="007426C2">
        <w:rPr>
          <w:sz w:val="24"/>
          <w:szCs w:val="24"/>
        </w:rPr>
        <w:t xml:space="preserve">hour burden – one hour per </w:t>
      </w:r>
      <w:r w:rsidR="00CF2BB5" w:rsidRPr="007426C2">
        <w:rPr>
          <w:sz w:val="24"/>
          <w:szCs w:val="24"/>
        </w:rPr>
        <w:t>response</w:t>
      </w:r>
      <w:r w:rsidR="00603EA4" w:rsidRPr="007426C2">
        <w:rPr>
          <w:sz w:val="24"/>
          <w:szCs w:val="24"/>
        </w:rPr>
        <w:t>.</w:t>
      </w:r>
    </w:p>
    <w:p w14:paraId="66FEE0D7" w14:textId="77777777" w:rsidR="00DB6B59" w:rsidRDefault="00DB6B59" w:rsidP="00DB6B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EACB0A" w14:textId="67B46148" w:rsidR="008F5F9E" w:rsidRDefault="007426C2" w:rsidP="00775FF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lastRenderedPageBreak/>
        <w:tab/>
      </w:r>
      <w:r w:rsidR="0053087C">
        <w:rPr>
          <w:sz w:val="24"/>
          <w:szCs w:val="24"/>
        </w:rPr>
        <w:t>Note that t</w:t>
      </w:r>
      <w:r w:rsidR="008F5F9E" w:rsidRPr="008F5F9E">
        <w:rPr>
          <w:sz w:val="24"/>
          <w:szCs w:val="24"/>
        </w:rPr>
        <w:t xml:space="preserve">he requirements of the Paperwork Reduction Act regarding estimation of respondent participation and justification of hour and cost burden do not apply to collections from Federal agencies. </w:t>
      </w:r>
      <w:r w:rsidR="007F2CE5">
        <w:rPr>
          <w:sz w:val="24"/>
          <w:szCs w:val="24"/>
        </w:rPr>
        <w:t xml:space="preserve">This information request </w:t>
      </w:r>
      <w:r w:rsidR="0053087C">
        <w:rPr>
          <w:sz w:val="24"/>
          <w:szCs w:val="24"/>
        </w:rPr>
        <w:t>pertains to non-Federal respondents only. Data relating to</w:t>
      </w:r>
      <w:r w:rsidR="008F5F9E" w:rsidRPr="008F5F9E">
        <w:rPr>
          <w:sz w:val="24"/>
          <w:szCs w:val="24"/>
        </w:rPr>
        <w:t xml:space="preserve"> Federal participation in this collection activity are included for </w:t>
      </w:r>
      <w:r w:rsidR="0053087C">
        <w:rPr>
          <w:sz w:val="24"/>
          <w:szCs w:val="24"/>
        </w:rPr>
        <w:t>information</w:t>
      </w:r>
      <w:r w:rsidR="008F5F9E" w:rsidRPr="008F5F9E">
        <w:rPr>
          <w:sz w:val="24"/>
          <w:szCs w:val="24"/>
        </w:rPr>
        <w:t xml:space="preserve"> only.</w:t>
      </w:r>
    </w:p>
    <w:p w14:paraId="6706F4D0" w14:textId="77777777" w:rsidR="008F5F9E" w:rsidRDefault="008F5F9E" w:rsidP="006B32A3">
      <w:pPr>
        <w:ind w:left="360"/>
        <w:rPr>
          <w:sz w:val="24"/>
          <w:szCs w:val="24"/>
        </w:rPr>
      </w:pPr>
    </w:p>
    <w:p w14:paraId="5B047E02" w14:textId="36C4A9CE" w:rsidR="006B32A3" w:rsidRPr="0073753C" w:rsidRDefault="006B32A3" w:rsidP="007426C2">
      <w:pPr>
        <w:ind w:left="360" w:firstLine="360"/>
        <w:rPr>
          <w:sz w:val="24"/>
          <w:szCs w:val="24"/>
        </w:rPr>
      </w:pPr>
      <w:r w:rsidRPr="0073753C">
        <w:rPr>
          <w:sz w:val="24"/>
          <w:szCs w:val="24"/>
        </w:rPr>
        <w:t xml:space="preserve">We estimate the </w:t>
      </w:r>
      <w:r w:rsidR="006610D0">
        <w:rPr>
          <w:sz w:val="24"/>
          <w:szCs w:val="24"/>
        </w:rPr>
        <w:t>total cost of</w:t>
      </w:r>
      <w:r w:rsidRPr="0073753C">
        <w:rPr>
          <w:sz w:val="24"/>
          <w:szCs w:val="24"/>
        </w:rPr>
        <w:t xml:space="preserve"> burden hours </w:t>
      </w:r>
      <w:r w:rsidR="003134AE">
        <w:rPr>
          <w:sz w:val="24"/>
          <w:szCs w:val="24"/>
        </w:rPr>
        <w:t xml:space="preserve">for </w:t>
      </w:r>
      <w:r w:rsidR="00212861">
        <w:rPr>
          <w:b/>
          <w:sz w:val="24"/>
          <w:szCs w:val="24"/>
        </w:rPr>
        <w:t>s</w:t>
      </w:r>
      <w:r w:rsidR="00605968" w:rsidRPr="00E44A1B">
        <w:rPr>
          <w:b/>
          <w:sz w:val="24"/>
          <w:szCs w:val="24"/>
        </w:rPr>
        <w:t>tate</w:t>
      </w:r>
      <w:r w:rsidR="003134AE" w:rsidRPr="00E44A1B">
        <w:rPr>
          <w:b/>
          <w:sz w:val="24"/>
          <w:szCs w:val="24"/>
        </w:rPr>
        <w:t>/local/tribal</w:t>
      </w:r>
      <w:r w:rsidR="00605968">
        <w:rPr>
          <w:b/>
          <w:sz w:val="24"/>
          <w:szCs w:val="24"/>
        </w:rPr>
        <w:t xml:space="preserve"> government</w:t>
      </w:r>
      <w:r w:rsidR="003134AE" w:rsidRPr="00034D56">
        <w:rPr>
          <w:sz w:val="24"/>
          <w:szCs w:val="24"/>
        </w:rPr>
        <w:t xml:space="preserve"> and</w:t>
      </w:r>
      <w:r w:rsidR="003134AE" w:rsidRPr="00E44A1B">
        <w:rPr>
          <w:b/>
          <w:sz w:val="24"/>
          <w:szCs w:val="24"/>
        </w:rPr>
        <w:t xml:space="preserve"> private sector </w:t>
      </w:r>
      <w:r w:rsidR="003134AE" w:rsidRPr="00512719">
        <w:rPr>
          <w:sz w:val="24"/>
          <w:szCs w:val="24"/>
        </w:rPr>
        <w:t>respondents</w:t>
      </w:r>
      <w:r w:rsidR="003134AE">
        <w:rPr>
          <w:sz w:val="24"/>
          <w:szCs w:val="24"/>
        </w:rPr>
        <w:t xml:space="preserve"> </w:t>
      </w:r>
      <w:r w:rsidRPr="0073753C">
        <w:rPr>
          <w:sz w:val="24"/>
          <w:szCs w:val="24"/>
        </w:rPr>
        <w:t xml:space="preserve">to be </w:t>
      </w:r>
      <w:r w:rsidRPr="0073753C">
        <w:rPr>
          <w:sz w:val="24"/>
          <w:szCs w:val="24"/>
          <w:lang w:val="en-CA"/>
        </w:rPr>
        <w:t>$</w:t>
      </w:r>
      <w:r w:rsidR="00F6055F">
        <w:rPr>
          <w:sz w:val="24"/>
          <w:szCs w:val="24"/>
          <w:lang w:val="en-CA"/>
        </w:rPr>
        <w:t>13,479.60</w:t>
      </w:r>
      <w:r w:rsidR="00985CC8">
        <w:rPr>
          <w:sz w:val="24"/>
          <w:szCs w:val="24"/>
          <w:lang w:val="en-CA"/>
        </w:rPr>
        <w:t xml:space="preserve">. The average annual cost will be $4,493.20, </w:t>
      </w:r>
      <w:r w:rsidR="006610D0">
        <w:rPr>
          <w:sz w:val="24"/>
          <w:szCs w:val="24"/>
          <w:lang w:val="en-CA"/>
        </w:rPr>
        <w:t>varying from $8,</w:t>
      </w:r>
      <w:r w:rsidR="00E141F9">
        <w:rPr>
          <w:sz w:val="24"/>
          <w:szCs w:val="24"/>
          <w:lang w:val="en-CA"/>
        </w:rPr>
        <w:t>300</w:t>
      </w:r>
      <w:r w:rsidR="006610D0">
        <w:rPr>
          <w:sz w:val="24"/>
          <w:szCs w:val="24"/>
          <w:lang w:val="en-CA"/>
        </w:rPr>
        <w:t>.</w:t>
      </w:r>
      <w:r w:rsidR="005B3610">
        <w:rPr>
          <w:sz w:val="24"/>
          <w:szCs w:val="24"/>
          <w:lang w:val="en-CA"/>
        </w:rPr>
        <w:t xml:space="preserve">10 </w:t>
      </w:r>
      <w:r w:rsidR="006610D0">
        <w:rPr>
          <w:sz w:val="24"/>
          <w:szCs w:val="24"/>
          <w:lang w:val="en-CA"/>
        </w:rPr>
        <w:t>in year 1 to $2,</w:t>
      </w:r>
      <w:r w:rsidR="005B3610">
        <w:rPr>
          <w:sz w:val="24"/>
          <w:szCs w:val="24"/>
          <w:lang w:val="en-CA"/>
        </w:rPr>
        <w:t>589.75</w:t>
      </w:r>
      <w:r w:rsidR="006610D0">
        <w:rPr>
          <w:sz w:val="24"/>
          <w:szCs w:val="24"/>
          <w:lang w:val="en-CA"/>
        </w:rPr>
        <w:t xml:space="preserve"> in years 2-</w:t>
      </w:r>
      <w:r w:rsidR="0072562C">
        <w:rPr>
          <w:sz w:val="24"/>
          <w:szCs w:val="24"/>
          <w:lang w:val="en-CA"/>
        </w:rPr>
        <w:t xml:space="preserve">3 </w:t>
      </w:r>
      <w:r w:rsidRPr="0073753C">
        <w:rPr>
          <w:sz w:val="24"/>
          <w:szCs w:val="24"/>
          <w:lang w:val="en-CA"/>
        </w:rPr>
        <w:t xml:space="preserve">(see Table 1). </w:t>
      </w:r>
      <w:r w:rsidRPr="0073753C">
        <w:rPr>
          <w:sz w:val="24"/>
          <w:szCs w:val="24"/>
        </w:rPr>
        <w:t xml:space="preserve">The hour cost is based on BLS news release </w:t>
      </w:r>
      <w:r>
        <w:rPr>
          <w:sz w:val="24"/>
          <w:szCs w:val="24"/>
        </w:rPr>
        <w:t>USDL-</w:t>
      </w:r>
      <w:r w:rsidR="00D73C58">
        <w:rPr>
          <w:sz w:val="24"/>
          <w:szCs w:val="24"/>
        </w:rPr>
        <w:t>14</w:t>
      </w:r>
      <w:r>
        <w:rPr>
          <w:sz w:val="24"/>
          <w:szCs w:val="24"/>
        </w:rPr>
        <w:t>-</w:t>
      </w:r>
      <w:r w:rsidR="003B538E">
        <w:rPr>
          <w:sz w:val="24"/>
          <w:szCs w:val="24"/>
        </w:rPr>
        <w:t>0390</w:t>
      </w:r>
      <w:r w:rsidR="005B3610">
        <w:rPr>
          <w:sz w:val="24"/>
          <w:szCs w:val="24"/>
        </w:rPr>
        <w:t xml:space="preserve"> </w:t>
      </w:r>
      <w:r>
        <w:rPr>
          <w:sz w:val="24"/>
          <w:szCs w:val="24"/>
        </w:rPr>
        <w:t>(</w:t>
      </w:r>
      <w:r w:rsidR="00D73C58" w:rsidRPr="00D73C58">
        <w:rPr>
          <w:i/>
          <w:sz w:val="24"/>
          <w:szCs w:val="24"/>
        </w:rPr>
        <w:t>http://www.bls.gov/news.release/archives/ecec_03122014.pdf</w:t>
      </w:r>
      <w:r>
        <w:rPr>
          <w:sz w:val="24"/>
          <w:szCs w:val="24"/>
        </w:rPr>
        <w:t xml:space="preserve">) </w:t>
      </w:r>
      <w:r w:rsidRPr="0073753C">
        <w:rPr>
          <w:sz w:val="24"/>
          <w:szCs w:val="24"/>
        </w:rPr>
        <w:t xml:space="preserve">of </w:t>
      </w:r>
      <w:r w:rsidR="001568E8">
        <w:rPr>
          <w:sz w:val="24"/>
          <w:szCs w:val="24"/>
        </w:rPr>
        <w:t xml:space="preserve">March </w:t>
      </w:r>
      <w:r w:rsidR="00D73C58">
        <w:rPr>
          <w:sz w:val="24"/>
          <w:szCs w:val="24"/>
        </w:rPr>
        <w:t>12</w:t>
      </w:r>
      <w:r>
        <w:rPr>
          <w:sz w:val="24"/>
          <w:szCs w:val="24"/>
        </w:rPr>
        <w:t>, 201</w:t>
      </w:r>
      <w:r w:rsidR="00177EDE">
        <w:rPr>
          <w:sz w:val="24"/>
          <w:szCs w:val="24"/>
        </w:rPr>
        <w:t>4</w:t>
      </w:r>
      <w:r w:rsidRPr="0073753C">
        <w:rPr>
          <w:sz w:val="24"/>
          <w:szCs w:val="24"/>
        </w:rPr>
        <w:t>, for average full compensation per hour including benefits for private industry</w:t>
      </w:r>
      <w:r>
        <w:rPr>
          <w:sz w:val="24"/>
          <w:szCs w:val="24"/>
        </w:rPr>
        <w:t xml:space="preserve"> and state, local, tribal governments</w:t>
      </w:r>
      <w:r w:rsidRPr="0073753C">
        <w:rPr>
          <w:sz w:val="24"/>
          <w:szCs w:val="24"/>
        </w:rPr>
        <w:t>. The particular values utilized are:</w:t>
      </w:r>
    </w:p>
    <w:p w14:paraId="5662EDC3" w14:textId="77777777" w:rsidR="006B32A3" w:rsidRPr="0073753C" w:rsidRDefault="006B32A3" w:rsidP="006B32A3">
      <w:pPr>
        <w:rPr>
          <w:sz w:val="24"/>
          <w:szCs w:val="24"/>
          <w:highlight w:val="yellow"/>
        </w:rPr>
      </w:pPr>
    </w:p>
    <w:p w14:paraId="2C484648" w14:textId="7C48F6E9" w:rsidR="006B32A3" w:rsidRPr="0073753C" w:rsidRDefault="006B32A3" w:rsidP="007426C2">
      <w:pPr>
        <w:ind w:left="360" w:firstLine="360"/>
        <w:rPr>
          <w:sz w:val="24"/>
          <w:szCs w:val="24"/>
        </w:rPr>
      </w:pPr>
      <w:r w:rsidRPr="002B0238">
        <w:rPr>
          <w:sz w:val="24"/>
          <w:szCs w:val="24"/>
          <w:u w:val="single"/>
        </w:rPr>
        <w:t>States/tribal/local governments</w:t>
      </w:r>
      <w:r w:rsidRPr="0073753C">
        <w:rPr>
          <w:sz w:val="24"/>
          <w:szCs w:val="24"/>
        </w:rPr>
        <w:t xml:space="preserve">.  </w:t>
      </w:r>
      <w:r w:rsidR="00CE1486">
        <w:rPr>
          <w:sz w:val="24"/>
          <w:szCs w:val="24"/>
        </w:rPr>
        <w:t xml:space="preserve">The total cost of compensation per hour worked </w:t>
      </w:r>
      <w:r w:rsidRPr="0073753C">
        <w:rPr>
          <w:sz w:val="24"/>
          <w:szCs w:val="24"/>
        </w:rPr>
        <w:t>is $</w:t>
      </w:r>
      <w:r w:rsidR="00082F3F">
        <w:rPr>
          <w:sz w:val="24"/>
          <w:szCs w:val="24"/>
        </w:rPr>
        <w:t>52</w:t>
      </w:r>
      <w:r>
        <w:rPr>
          <w:sz w:val="24"/>
          <w:szCs w:val="24"/>
        </w:rPr>
        <w:t>.</w:t>
      </w:r>
      <w:r w:rsidR="00082F3F">
        <w:rPr>
          <w:sz w:val="24"/>
          <w:szCs w:val="24"/>
        </w:rPr>
        <w:t xml:space="preserve">01 </w:t>
      </w:r>
      <w:r w:rsidR="00CE1486">
        <w:rPr>
          <w:sz w:val="24"/>
          <w:szCs w:val="24"/>
        </w:rPr>
        <w:t>for state and local government management, professional, and related occupational groups (</w:t>
      </w:r>
      <w:r w:rsidR="002B0238">
        <w:rPr>
          <w:sz w:val="24"/>
          <w:szCs w:val="24"/>
        </w:rPr>
        <w:t xml:space="preserve">USDL-14-0390, </w:t>
      </w:r>
      <w:r w:rsidR="003B538E">
        <w:rPr>
          <w:sz w:val="24"/>
          <w:szCs w:val="24"/>
        </w:rPr>
        <w:t xml:space="preserve">Table 3, </w:t>
      </w:r>
      <w:r w:rsidR="00702835" w:rsidRPr="00702835">
        <w:rPr>
          <w:sz w:val="24"/>
          <w:szCs w:val="24"/>
        </w:rPr>
        <w:t>State and local government</w:t>
      </w:r>
      <w:r w:rsidR="002B0238">
        <w:rPr>
          <w:sz w:val="24"/>
          <w:szCs w:val="24"/>
        </w:rPr>
        <w:t xml:space="preserve"> workers</w:t>
      </w:r>
      <w:r w:rsidR="00702835" w:rsidRPr="00702835">
        <w:rPr>
          <w:sz w:val="24"/>
          <w:szCs w:val="24"/>
        </w:rPr>
        <w:t>, by major occupational and industry group</w:t>
      </w:r>
      <w:r w:rsidR="002B0238">
        <w:rPr>
          <w:sz w:val="24"/>
          <w:szCs w:val="24"/>
        </w:rPr>
        <w:t>, December 2013</w:t>
      </w:r>
      <w:r w:rsidR="00CE1486">
        <w:rPr>
          <w:sz w:val="24"/>
          <w:szCs w:val="24"/>
        </w:rPr>
        <w:t>)</w:t>
      </w:r>
      <w:r w:rsidR="003B538E">
        <w:rPr>
          <w:sz w:val="24"/>
          <w:szCs w:val="24"/>
        </w:rPr>
        <w:t>.</w:t>
      </w:r>
    </w:p>
    <w:p w14:paraId="6BBCF5F8" w14:textId="77777777" w:rsidR="006B32A3" w:rsidRPr="0073753C" w:rsidRDefault="006B32A3" w:rsidP="006B32A3">
      <w:pPr>
        <w:rPr>
          <w:sz w:val="24"/>
          <w:szCs w:val="24"/>
        </w:rPr>
      </w:pPr>
    </w:p>
    <w:p w14:paraId="4B3525AD" w14:textId="3059E741" w:rsidR="006B32A3" w:rsidRDefault="006B32A3" w:rsidP="007426C2">
      <w:pPr>
        <w:ind w:left="360" w:firstLine="360"/>
        <w:rPr>
          <w:sz w:val="24"/>
          <w:szCs w:val="24"/>
        </w:rPr>
      </w:pPr>
      <w:r w:rsidRPr="002B0238">
        <w:rPr>
          <w:sz w:val="24"/>
          <w:szCs w:val="24"/>
          <w:u w:val="single"/>
        </w:rPr>
        <w:t>Private sector</w:t>
      </w:r>
      <w:r w:rsidRPr="0073753C">
        <w:rPr>
          <w:sz w:val="24"/>
          <w:szCs w:val="24"/>
        </w:rPr>
        <w:t xml:space="preserve">.  </w:t>
      </w:r>
      <w:r w:rsidR="00C25860">
        <w:rPr>
          <w:sz w:val="24"/>
          <w:szCs w:val="24"/>
        </w:rPr>
        <w:t xml:space="preserve">The total cost of compensation per hour worked </w:t>
      </w:r>
      <w:r w:rsidR="00C25860" w:rsidRPr="0073753C">
        <w:rPr>
          <w:sz w:val="24"/>
          <w:szCs w:val="24"/>
        </w:rPr>
        <w:t>is $</w:t>
      </w:r>
      <w:r w:rsidR="00C25860">
        <w:rPr>
          <w:sz w:val="24"/>
          <w:szCs w:val="24"/>
        </w:rPr>
        <w:t>51.</w:t>
      </w:r>
      <w:r w:rsidR="00082F3F">
        <w:rPr>
          <w:sz w:val="24"/>
          <w:szCs w:val="24"/>
        </w:rPr>
        <w:t xml:space="preserve">58 </w:t>
      </w:r>
      <w:r w:rsidR="00C25860">
        <w:rPr>
          <w:sz w:val="24"/>
          <w:szCs w:val="24"/>
        </w:rPr>
        <w:t xml:space="preserve">for </w:t>
      </w:r>
      <w:r w:rsidR="005B3610">
        <w:rPr>
          <w:sz w:val="24"/>
          <w:szCs w:val="24"/>
        </w:rPr>
        <w:t>private</w:t>
      </w:r>
      <w:r w:rsidR="00C25860">
        <w:rPr>
          <w:sz w:val="24"/>
          <w:szCs w:val="24"/>
        </w:rPr>
        <w:t xml:space="preserve"> management, professional, and related occupational groups </w:t>
      </w:r>
      <w:r w:rsidR="007636FB">
        <w:rPr>
          <w:sz w:val="24"/>
          <w:szCs w:val="24"/>
        </w:rPr>
        <w:t>(</w:t>
      </w:r>
      <w:r w:rsidR="002B0238">
        <w:rPr>
          <w:sz w:val="24"/>
          <w:szCs w:val="24"/>
        </w:rPr>
        <w:t xml:space="preserve">USDL-14-0390, </w:t>
      </w:r>
      <w:r w:rsidR="007636FB">
        <w:rPr>
          <w:sz w:val="24"/>
          <w:szCs w:val="24"/>
        </w:rPr>
        <w:t>Table 1, Civilian workers, by major occupational and industry group</w:t>
      </w:r>
      <w:r w:rsidR="002B0238">
        <w:rPr>
          <w:sz w:val="24"/>
          <w:szCs w:val="24"/>
        </w:rPr>
        <w:t>, December 2013</w:t>
      </w:r>
      <w:r w:rsidR="00C25860">
        <w:rPr>
          <w:sz w:val="24"/>
          <w:szCs w:val="24"/>
        </w:rPr>
        <w:t>)</w:t>
      </w:r>
      <w:r w:rsidRPr="0073753C">
        <w:rPr>
          <w:sz w:val="24"/>
          <w:szCs w:val="24"/>
        </w:rPr>
        <w:t>.</w:t>
      </w:r>
    </w:p>
    <w:p w14:paraId="50F33DFB" w14:textId="77777777" w:rsidR="006B32A3" w:rsidRDefault="006B32A3" w:rsidP="006B32A3">
      <w:pPr>
        <w:rPr>
          <w:sz w:val="24"/>
          <w:szCs w:val="24"/>
        </w:rPr>
      </w:pPr>
    </w:p>
    <w:p w14:paraId="1E9DA1C0" w14:textId="50A0FD2F" w:rsidR="006B32A3" w:rsidRPr="0073753C" w:rsidRDefault="006B32A3" w:rsidP="006B32A3">
      <w:pPr>
        <w:rPr>
          <w:b/>
          <w:sz w:val="24"/>
          <w:szCs w:val="24"/>
        </w:rPr>
      </w:pPr>
      <w:r w:rsidRPr="0073753C">
        <w:rPr>
          <w:sz w:val="24"/>
          <w:szCs w:val="24"/>
          <w:lang w:val="en-CA"/>
        </w:rPr>
        <w:t xml:space="preserve"> </w:t>
      </w:r>
      <w:r w:rsidRPr="0073753C">
        <w:rPr>
          <w:b/>
          <w:sz w:val="24"/>
          <w:szCs w:val="24"/>
        </w:rPr>
        <w:t xml:space="preserve">Table 1. Estimated </w:t>
      </w:r>
      <w:r w:rsidR="00605968">
        <w:rPr>
          <w:b/>
          <w:sz w:val="24"/>
          <w:szCs w:val="24"/>
        </w:rPr>
        <w:t xml:space="preserve">Non-Federal </w:t>
      </w:r>
      <w:r w:rsidRPr="0073753C">
        <w:rPr>
          <w:b/>
          <w:sz w:val="24"/>
          <w:szCs w:val="24"/>
        </w:rPr>
        <w:t>Dollar Value of Annual Burden Hours</w:t>
      </w:r>
    </w:p>
    <w:p w14:paraId="2052F4E1" w14:textId="77777777" w:rsidR="006B32A3" w:rsidRPr="0073753C" w:rsidRDefault="006B32A3" w:rsidP="006B32A3">
      <w:pPr>
        <w:rPr>
          <w:b/>
          <w:sz w:val="24"/>
          <w:szCs w:val="24"/>
        </w:rPr>
      </w:pPr>
    </w:p>
    <w:tbl>
      <w:tblPr>
        <w:tblW w:w="92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90"/>
        <w:gridCol w:w="1350"/>
        <w:gridCol w:w="1440"/>
        <w:gridCol w:w="1170"/>
        <w:gridCol w:w="1710"/>
        <w:gridCol w:w="1710"/>
      </w:tblGrid>
      <w:tr w:rsidR="006B32A3" w:rsidRPr="0073753C" w14:paraId="3AA01D8C" w14:textId="77777777" w:rsidTr="00B82B92">
        <w:trPr>
          <w:trHeight w:val="947"/>
        </w:trPr>
        <w:tc>
          <w:tcPr>
            <w:tcW w:w="1890" w:type="dxa"/>
            <w:tcBorders>
              <w:top w:val="single" w:sz="4" w:space="0" w:color="auto"/>
              <w:left w:val="single" w:sz="4" w:space="0" w:color="auto"/>
              <w:bottom w:val="single" w:sz="6" w:space="0" w:color="auto"/>
              <w:right w:val="nil"/>
            </w:tcBorders>
            <w:shd w:val="clear" w:color="auto" w:fill="E0E0E0"/>
            <w:vAlign w:val="center"/>
            <w:hideMark/>
          </w:tcPr>
          <w:p w14:paraId="29892312" w14:textId="77777777" w:rsidR="006B32A3" w:rsidRPr="005E6520" w:rsidRDefault="006B32A3" w:rsidP="005D134D">
            <w:pPr>
              <w:rPr>
                <w:b/>
                <w:lang w:val="en-CA"/>
              </w:rPr>
            </w:pPr>
            <w:r w:rsidRPr="005E6520">
              <w:rPr>
                <w:b/>
                <w:lang w:val="en-CA"/>
              </w:rPr>
              <w:t>Activity</w:t>
            </w:r>
          </w:p>
        </w:tc>
        <w:tc>
          <w:tcPr>
            <w:tcW w:w="1350" w:type="dxa"/>
            <w:tcBorders>
              <w:top w:val="single" w:sz="4" w:space="0" w:color="auto"/>
              <w:left w:val="nil"/>
              <w:bottom w:val="single" w:sz="6" w:space="0" w:color="auto"/>
              <w:right w:val="nil"/>
            </w:tcBorders>
            <w:shd w:val="clear" w:color="auto" w:fill="E0E0E0"/>
            <w:vAlign w:val="center"/>
            <w:hideMark/>
          </w:tcPr>
          <w:p w14:paraId="0D134062" w14:textId="77777777" w:rsidR="006B32A3" w:rsidRPr="005E6520" w:rsidRDefault="006B32A3" w:rsidP="005D134D">
            <w:pPr>
              <w:rPr>
                <w:b/>
                <w:lang w:val="en-CA"/>
              </w:rPr>
            </w:pPr>
            <w:r w:rsidRPr="005E6520">
              <w:rPr>
                <w:b/>
                <w:lang w:val="en-CA"/>
              </w:rPr>
              <w:t>Annual Number of Responses</w:t>
            </w:r>
          </w:p>
        </w:tc>
        <w:tc>
          <w:tcPr>
            <w:tcW w:w="1440" w:type="dxa"/>
            <w:tcBorders>
              <w:top w:val="single" w:sz="4" w:space="0" w:color="auto"/>
              <w:left w:val="nil"/>
              <w:bottom w:val="single" w:sz="6" w:space="0" w:color="auto"/>
              <w:right w:val="nil"/>
            </w:tcBorders>
            <w:shd w:val="clear" w:color="auto" w:fill="E0E0E0"/>
            <w:vAlign w:val="center"/>
            <w:hideMark/>
          </w:tcPr>
          <w:p w14:paraId="3699B716" w14:textId="77777777" w:rsidR="006B32A3" w:rsidRPr="005E6520" w:rsidRDefault="006B32A3" w:rsidP="005D134D">
            <w:pPr>
              <w:rPr>
                <w:b/>
                <w:lang w:val="en-CA"/>
              </w:rPr>
            </w:pPr>
            <w:r w:rsidRPr="005E6520">
              <w:rPr>
                <w:b/>
                <w:lang w:val="en-CA"/>
              </w:rPr>
              <w:t>Estimated Completion Time per Respondent</w:t>
            </w:r>
          </w:p>
        </w:tc>
        <w:tc>
          <w:tcPr>
            <w:tcW w:w="1170" w:type="dxa"/>
            <w:tcBorders>
              <w:top w:val="single" w:sz="4" w:space="0" w:color="auto"/>
              <w:left w:val="nil"/>
              <w:bottom w:val="single" w:sz="6" w:space="0" w:color="auto"/>
              <w:right w:val="nil"/>
            </w:tcBorders>
            <w:shd w:val="clear" w:color="auto" w:fill="E0E0E0"/>
            <w:vAlign w:val="center"/>
            <w:hideMark/>
          </w:tcPr>
          <w:p w14:paraId="42118568" w14:textId="77777777" w:rsidR="006B32A3" w:rsidRPr="005E6520" w:rsidRDefault="006B32A3" w:rsidP="005D134D">
            <w:pPr>
              <w:rPr>
                <w:b/>
                <w:lang w:val="en-CA"/>
              </w:rPr>
            </w:pPr>
            <w:r w:rsidRPr="005E6520">
              <w:rPr>
                <w:b/>
                <w:lang w:val="en-CA"/>
              </w:rPr>
              <w:t>Total Annual Burden Hours</w:t>
            </w:r>
          </w:p>
        </w:tc>
        <w:tc>
          <w:tcPr>
            <w:tcW w:w="1710" w:type="dxa"/>
            <w:tcBorders>
              <w:top w:val="single" w:sz="4" w:space="0" w:color="auto"/>
              <w:left w:val="nil"/>
              <w:bottom w:val="single" w:sz="6" w:space="0" w:color="auto"/>
              <w:right w:val="nil"/>
            </w:tcBorders>
            <w:shd w:val="clear" w:color="auto" w:fill="E0E0E0"/>
            <w:vAlign w:val="center"/>
            <w:hideMark/>
          </w:tcPr>
          <w:p w14:paraId="3537CC63" w14:textId="77777777" w:rsidR="006B32A3" w:rsidRPr="005E6520" w:rsidRDefault="006B32A3" w:rsidP="005D134D">
            <w:pPr>
              <w:rPr>
                <w:b/>
                <w:lang w:val="en-CA"/>
              </w:rPr>
            </w:pPr>
            <w:r w:rsidRPr="005E6520">
              <w:rPr>
                <w:b/>
                <w:lang w:val="en-CA"/>
              </w:rPr>
              <w:t>Dollar Value of Burden Hour  [Including Benefits]</w:t>
            </w:r>
          </w:p>
        </w:tc>
        <w:tc>
          <w:tcPr>
            <w:tcW w:w="1710" w:type="dxa"/>
            <w:tcBorders>
              <w:top w:val="single" w:sz="4" w:space="0" w:color="auto"/>
              <w:left w:val="nil"/>
              <w:bottom w:val="single" w:sz="6" w:space="0" w:color="auto"/>
              <w:right w:val="single" w:sz="4" w:space="0" w:color="auto"/>
            </w:tcBorders>
            <w:shd w:val="clear" w:color="auto" w:fill="E0E0E0"/>
            <w:vAlign w:val="center"/>
            <w:hideMark/>
          </w:tcPr>
          <w:p w14:paraId="38A8B121" w14:textId="77777777" w:rsidR="006B32A3" w:rsidRPr="005E6520" w:rsidRDefault="006B32A3" w:rsidP="005D134D">
            <w:pPr>
              <w:rPr>
                <w:b/>
                <w:lang w:val="en-CA"/>
              </w:rPr>
            </w:pPr>
            <w:r w:rsidRPr="005E6520">
              <w:rPr>
                <w:b/>
                <w:lang w:val="en-CA"/>
              </w:rPr>
              <w:t xml:space="preserve">Total Dollar Value of Annual Burden Hours </w:t>
            </w:r>
          </w:p>
        </w:tc>
      </w:tr>
      <w:tr w:rsidR="006B32A3" w:rsidRPr="0073753C" w14:paraId="003E5C6D" w14:textId="77777777" w:rsidTr="00B82B92">
        <w:trPr>
          <w:trHeight w:val="975"/>
        </w:trPr>
        <w:tc>
          <w:tcPr>
            <w:tcW w:w="1890" w:type="dxa"/>
            <w:tcBorders>
              <w:top w:val="single" w:sz="6" w:space="0" w:color="auto"/>
              <w:left w:val="single" w:sz="8" w:space="0" w:color="auto"/>
              <w:bottom w:val="nil"/>
              <w:right w:val="nil"/>
            </w:tcBorders>
            <w:vAlign w:val="center"/>
            <w:hideMark/>
          </w:tcPr>
          <w:p w14:paraId="2B9A668B" w14:textId="484CAF1F" w:rsidR="006B32A3" w:rsidRPr="005E6520" w:rsidRDefault="006C380A" w:rsidP="005D134D">
            <w:pPr>
              <w:rPr>
                <w:b/>
                <w:lang w:val="en-CA"/>
              </w:rPr>
            </w:pPr>
            <w:r>
              <w:rPr>
                <w:b/>
                <w:lang w:val="en-CA"/>
              </w:rPr>
              <w:t>Year 1</w:t>
            </w:r>
            <w:r w:rsidR="00EB220F">
              <w:rPr>
                <w:b/>
                <w:lang w:val="en-CA"/>
              </w:rPr>
              <w:t xml:space="preserve"> (out of 5)</w:t>
            </w:r>
          </w:p>
          <w:p w14:paraId="5D5C9E70" w14:textId="77777777" w:rsidR="006B32A3" w:rsidRPr="005E6520" w:rsidRDefault="006B32A3" w:rsidP="005D134D">
            <w:pPr>
              <w:rPr>
                <w:lang w:val="en-CA"/>
              </w:rPr>
            </w:pPr>
            <w:r w:rsidRPr="005E6520">
              <w:rPr>
                <w:lang w:val="en-CA"/>
              </w:rPr>
              <w:t>State/Local/Tribal</w:t>
            </w:r>
          </w:p>
          <w:p w14:paraId="45371484" w14:textId="4351E844" w:rsidR="006B32A3" w:rsidRPr="005E6520" w:rsidRDefault="006B32A3" w:rsidP="005F7A53">
            <w:pPr>
              <w:rPr>
                <w:lang w:val="en-CA"/>
              </w:rPr>
            </w:pPr>
            <w:r w:rsidRPr="005E6520">
              <w:rPr>
                <w:lang w:val="en-CA"/>
              </w:rPr>
              <w:t>Private</w:t>
            </w:r>
            <w:r w:rsidR="005F7A53">
              <w:rPr>
                <w:lang w:val="en-CA"/>
              </w:rPr>
              <w:t xml:space="preserve"> Sector</w:t>
            </w:r>
          </w:p>
        </w:tc>
        <w:tc>
          <w:tcPr>
            <w:tcW w:w="1350" w:type="dxa"/>
            <w:tcBorders>
              <w:top w:val="single" w:sz="6" w:space="0" w:color="auto"/>
              <w:left w:val="nil"/>
              <w:bottom w:val="nil"/>
              <w:right w:val="nil"/>
            </w:tcBorders>
            <w:vAlign w:val="center"/>
          </w:tcPr>
          <w:p w14:paraId="356AE64B" w14:textId="77777777" w:rsidR="005F7A53" w:rsidRDefault="005F7A53" w:rsidP="005D134D">
            <w:pPr>
              <w:rPr>
                <w:lang w:val="en-CA"/>
              </w:rPr>
            </w:pPr>
          </w:p>
          <w:p w14:paraId="6D1AE005" w14:textId="77777777" w:rsidR="006B32A3" w:rsidRPr="005E6520" w:rsidRDefault="00565F68" w:rsidP="005D134D">
            <w:pPr>
              <w:rPr>
                <w:lang w:val="en-CA"/>
              </w:rPr>
            </w:pPr>
            <w:r>
              <w:rPr>
                <w:lang w:val="en-CA"/>
              </w:rPr>
              <w:t>110</w:t>
            </w:r>
          </w:p>
          <w:p w14:paraId="3B111860" w14:textId="77777777" w:rsidR="006B32A3" w:rsidRPr="005E6520" w:rsidRDefault="007D2FA6" w:rsidP="005D134D">
            <w:pPr>
              <w:rPr>
                <w:lang w:val="en-CA"/>
              </w:rPr>
            </w:pPr>
            <w:r>
              <w:rPr>
                <w:lang w:val="en-CA"/>
              </w:rPr>
              <w:t>5</w:t>
            </w:r>
            <w:r w:rsidR="006B32A3">
              <w:rPr>
                <w:lang w:val="en-CA"/>
              </w:rPr>
              <w:t>0</w:t>
            </w:r>
          </w:p>
        </w:tc>
        <w:tc>
          <w:tcPr>
            <w:tcW w:w="1440" w:type="dxa"/>
            <w:tcBorders>
              <w:top w:val="single" w:sz="6" w:space="0" w:color="auto"/>
              <w:left w:val="nil"/>
              <w:bottom w:val="nil"/>
              <w:right w:val="nil"/>
            </w:tcBorders>
            <w:vAlign w:val="center"/>
            <w:hideMark/>
          </w:tcPr>
          <w:p w14:paraId="61119593" w14:textId="77777777" w:rsidR="005F7A53" w:rsidRDefault="005F7A53" w:rsidP="005D134D">
            <w:pPr>
              <w:rPr>
                <w:lang w:val="en-CA"/>
              </w:rPr>
            </w:pPr>
          </w:p>
          <w:p w14:paraId="19E0FEC2" w14:textId="77777777" w:rsidR="006B32A3" w:rsidRPr="005E6520" w:rsidRDefault="006B32A3" w:rsidP="005D134D">
            <w:pPr>
              <w:rPr>
                <w:lang w:val="en-CA"/>
              </w:rPr>
            </w:pPr>
            <w:r>
              <w:rPr>
                <w:lang w:val="en-CA"/>
              </w:rPr>
              <w:t>1 hour</w:t>
            </w:r>
          </w:p>
          <w:p w14:paraId="679A10D2" w14:textId="77777777" w:rsidR="006B32A3" w:rsidRPr="005E6520" w:rsidRDefault="006B32A3" w:rsidP="005D134D">
            <w:pPr>
              <w:rPr>
                <w:lang w:val="en-CA"/>
              </w:rPr>
            </w:pPr>
            <w:r>
              <w:rPr>
                <w:lang w:val="en-CA"/>
              </w:rPr>
              <w:t>1 hour</w:t>
            </w:r>
          </w:p>
        </w:tc>
        <w:tc>
          <w:tcPr>
            <w:tcW w:w="1170" w:type="dxa"/>
            <w:tcBorders>
              <w:top w:val="single" w:sz="6" w:space="0" w:color="auto"/>
              <w:left w:val="nil"/>
              <w:bottom w:val="nil"/>
              <w:right w:val="nil"/>
            </w:tcBorders>
            <w:vAlign w:val="center"/>
          </w:tcPr>
          <w:p w14:paraId="7AA4096E" w14:textId="77777777" w:rsidR="005F7A53" w:rsidRDefault="005F7A53" w:rsidP="005D134D">
            <w:pPr>
              <w:rPr>
                <w:lang w:val="en-CA"/>
              </w:rPr>
            </w:pPr>
          </w:p>
          <w:p w14:paraId="1C8438E9" w14:textId="77777777" w:rsidR="006B32A3" w:rsidRPr="005E6520" w:rsidRDefault="00565F68" w:rsidP="005D134D">
            <w:pPr>
              <w:rPr>
                <w:lang w:val="en-CA"/>
              </w:rPr>
            </w:pPr>
            <w:r>
              <w:rPr>
                <w:lang w:val="en-CA"/>
              </w:rPr>
              <w:t>110</w:t>
            </w:r>
          </w:p>
          <w:p w14:paraId="1787F659" w14:textId="77777777" w:rsidR="006B32A3" w:rsidRPr="005E6520" w:rsidRDefault="007D2FA6" w:rsidP="007D2FA6">
            <w:pPr>
              <w:rPr>
                <w:lang w:val="en-CA"/>
              </w:rPr>
            </w:pPr>
            <w:r>
              <w:rPr>
                <w:lang w:val="en-CA"/>
              </w:rPr>
              <w:t>50</w:t>
            </w:r>
          </w:p>
        </w:tc>
        <w:tc>
          <w:tcPr>
            <w:tcW w:w="1710" w:type="dxa"/>
            <w:tcBorders>
              <w:top w:val="single" w:sz="6" w:space="0" w:color="auto"/>
              <w:left w:val="nil"/>
              <w:bottom w:val="nil"/>
              <w:right w:val="nil"/>
            </w:tcBorders>
            <w:vAlign w:val="center"/>
          </w:tcPr>
          <w:p w14:paraId="020AC9C9" w14:textId="77777777" w:rsidR="005F7A53" w:rsidRDefault="005F7A53" w:rsidP="005D134D">
            <w:pPr>
              <w:rPr>
                <w:lang w:val="en-CA"/>
              </w:rPr>
            </w:pPr>
          </w:p>
          <w:p w14:paraId="5602748B" w14:textId="77777777" w:rsidR="006B32A3" w:rsidRPr="005E6520" w:rsidRDefault="006B32A3" w:rsidP="005D134D">
            <w:pPr>
              <w:rPr>
                <w:lang w:val="en-CA"/>
              </w:rPr>
            </w:pPr>
            <w:r w:rsidRPr="005E6520">
              <w:rPr>
                <w:lang w:val="en-CA"/>
              </w:rPr>
              <w:t>$</w:t>
            </w:r>
            <w:r w:rsidR="00E141F9">
              <w:rPr>
                <w:lang w:val="en-CA"/>
              </w:rPr>
              <w:t>52.01</w:t>
            </w:r>
          </w:p>
          <w:p w14:paraId="373DEBE3" w14:textId="77777777" w:rsidR="006B32A3" w:rsidRPr="005E6520" w:rsidRDefault="006B32A3" w:rsidP="00E141F9">
            <w:pPr>
              <w:rPr>
                <w:lang w:val="en-CA"/>
              </w:rPr>
            </w:pPr>
            <w:r w:rsidRPr="005E6520">
              <w:rPr>
                <w:lang w:val="en-CA"/>
              </w:rPr>
              <w:t>$</w:t>
            </w:r>
            <w:r w:rsidR="00CE1486">
              <w:rPr>
                <w:lang w:val="en-CA"/>
              </w:rPr>
              <w:t>51.</w:t>
            </w:r>
            <w:r w:rsidR="00E141F9">
              <w:rPr>
                <w:lang w:val="en-CA"/>
              </w:rPr>
              <w:t>58</w:t>
            </w:r>
          </w:p>
        </w:tc>
        <w:tc>
          <w:tcPr>
            <w:tcW w:w="1710" w:type="dxa"/>
            <w:tcBorders>
              <w:top w:val="single" w:sz="6" w:space="0" w:color="auto"/>
              <w:left w:val="nil"/>
              <w:bottom w:val="nil"/>
              <w:right w:val="single" w:sz="8" w:space="0" w:color="auto"/>
            </w:tcBorders>
            <w:vAlign w:val="center"/>
          </w:tcPr>
          <w:p w14:paraId="72EBCB34" w14:textId="77777777" w:rsidR="005F7A53" w:rsidRDefault="005F7A53" w:rsidP="005D134D">
            <w:pPr>
              <w:rPr>
                <w:lang w:val="en-CA"/>
              </w:rPr>
            </w:pPr>
          </w:p>
          <w:p w14:paraId="5D8F32D0" w14:textId="77777777" w:rsidR="006B32A3" w:rsidRDefault="00CF2BB5" w:rsidP="005D134D">
            <w:pPr>
              <w:rPr>
                <w:lang w:val="en-CA"/>
              </w:rPr>
            </w:pPr>
            <w:r>
              <w:rPr>
                <w:lang w:val="en-CA"/>
              </w:rPr>
              <w:t>$</w:t>
            </w:r>
            <w:r w:rsidR="00E141F9">
              <w:rPr>
                <w:lang w:val="en-CA"/>
              </w:rPr>
              <w:t>5,721.10</w:t>
            </w:r>
          </w:p>
          <w:p w14:paraId="599D3D1D" w14:textId="77777777" w:rsidR="006B32A3" w:rsidRPr="005E6520" w:rsidRDefault="00CF2BB5" w:rsidP="00E141F9">
            <w:pPr>
              <w:rPr>
                <w:lang w:val="en-CA"/>
              </w:rPr>
            </w:pPr>
            <w:r>
              <w:rPr>
                <w:lang w:val="en-CA"/>
              </w:rPr>
              <w:t>$</w:t>
            </w:r>
            <w:r w:rsidR="00E141F9">
              <w:rPr>
                <w:lang w:val="en-CA"/>
              </w:rPr>
              <w:t>2,579.00</w:t>
            </w:r>
          </w:p>
        </w:tc>
      </w:tr>
      <w:tr w:rsidR="00703E05" w:rsidRPr="0073753C" w14:paraId="447DD7CD" w14:textId="77777777" w:rsidTr="00B82B92">
        <w:trPr>
          <w:trHeight w:val="975"/>
        </w:trPr>
        <w:tc>
          <w:tcPr>
            <w:tcW w:w="1890" w:type="dxa"/>
            <w:tcBorders>
              <w:top w:val="single" w:sz="6" w:space="0" w:color="auto"/>
              <w:left w:val="single" w:sz="8" w:space="0" w:color="auto"/>
              <w:bottom w:val="nil"/>
              <w:right w:val="nil"/>
            </w:tcBorders>
            <w:vAlign w:val="center"/>
          </w:tcPr>
          <w:p w14:paraId="736C81BC" w14:textId="0EED4FE3" w:rsidR="00703E05" w:rsidRDefault="00703E05" w:rsidP="005D134D">
            <w:pPr>
              <w:rPr>
                <w:b/>
                <w:lang w:val="en-CA"/>
              </w:rPr>
            </w:pPr>
            <w:r>
              <w:rPr>
                <w:b/>
                <w:lang w:val="en-CA"/>
              </w:rPr>
              <w:t>Year 2</w:t>
            </w:r>
            <w:r w:rsidR="00EB220F">
              <w:rPr>
                <w:b/>
                <w:lang w:val="en-CA"/>
              </w:rPr>
              <w:t xml:space="preserve"> (out of 5)</w:t>
            </w:r>
          </w:p>
          <w:p w14:paraId="24B9F5B9" w14:textId="77777777" w:rsidR="00703E05" w:rsidRPr="005E6520" w:rsidRDefault="00703E05" w:rsidP="00703E05">
            <w:pPr>
              <w:rPr>
                <w:lang w:val="en-CA"/>
              </w:rPr>
            </w:pPr>
            <w:r w:rsidRPr="005E6520">
              <w:rPr>
                <w:lang w:val="en-CA"/>
              </w:rPr>
              <w:t>State/Local/Tribal</w:t>
            </w:r>
          </w:p>
          <w:p w14:paraId="0D1475C7" w14:textId="58269950" w:rsidR="00703E05" w:rsidRPr="005E6520" w:rsidDel="006C380A" w:rsidRDefault="00703E05" w:rsidP="005F7A53">
            <w:pPr>
              <w:rPr>
                <w:b/>
                <w:lang w:val="en-CA"/>
              </w:rPr>
            </w:pPr>
            <w:r w:rsidRPr="005E6520">
              <w:rPr>
                <w:lang w:val="en-CA"/>
              </w:rPr>
              <w:t>Private</w:t>
            </w:r>
            <w:r>
              <w:rPr>
                <w:lang w:val="en-CA"/>
              </w:rPr>
              <w:t xml:space="preserve"> </w:t>
            </w:r>
            <w:r w:rsidR="005F7A53">
              <w:rPr>
                <w:lang w:val="en-CA"/>
              </w:rPr>
              <w:t>Sector</w:t>
            </w:r>
          </w:p>
        </w:tc>
        <w:tc>
          <w:tcPr>
            <w:tcW w:w="1350" w:type="dxa"/>
            <w:tcBorders>
              <w:top w:val="single" w:sz="6" w:space="0" w:color="auto"/>
              <w:left w:val="nil"/>
              <w:bottom w:val="nil"/>
              <w:right w:val="nil"/>
            </w:tcBorders>
            <w:vAlign w:val="center"/>
          </w:tcPr>
          <w:p w14:paraId="04A7D389" w14:textId="77777777" w:rsidR="005F7A53" w:rsidRDefault="005F7A53" w:rsidP="005D134D">
            <w:pPr>
              <w:rPr>
                <w:lang w:val="en-CA"/>
              </w:rPr>
            </w:pPr>
          </w:p>
          <w:p w14:paraId="64F71647" w14:textId="77777777" w:rsidR="00703E05" w:rsidRDefault="00703E05" w:rsidP="005D134D">
            <w:pPr>
              <w:rPr>
                <w:lang w:val="en-CA"/>
              </w:rPr>
            </w:pPr>
            <w:r>
              <w:rPr>
                <w:lang w:val="en-CA"/>
              </w:rPr>
              <w:t>25</w:t>
            </w:r>
          </w:p>
          <w:p w14:paraId="761E8A77" w14:textId="77777777" w:rsidR="00703E05" w:rsidRDefault="00703E05" w:rsidP="005D134D">
            <w:pPr>
              <w:rPr>
                <w:lang w:val="en-CA"/>
              </w:rPr>
            </w:pPr>
            <w:r>
              <w:rPr>
                <w:lang w:val="en-CA"/>
              </w:rPr>
              <w:t>25</w:t>
            </w:r>
          </w:p>
        </w:tc>
        <w:tc>
          <w:tcPr>
            <w:tcW w:w="1440" w:type="dxa"/>
            <w:tcBorders>
              <w:top w:val="single" w:sz="6" w:space="0" w:color="auto"/>
              <w:left w:val="nil"/>
              <w:bottom w:val="nil"/>
              <w:right w:val="nil"/>
            </w:tcBorders>
            <w:vAlign w:val="center"/>
          </w:tcPr>
          <w:p w14:paraId="16242B8F" w14:textId="77777777" w:rsidR="005F7A53" w:rsidRDefault="005F7A53" w:rsidP="00703E05">
            <w:pPr>
              <w:rPr>
                <w:lang w:val="en-CA"/>
              </w:rPr>
            </w:pPr>
          </w:p>
          <w:p w14:paraId="0CB2EDEC" w14:textId="77777777" w:rsidR="00703E05" w:rsidRPr="005E6520" w:rsidRDefault="00703E05" w:rsidP="00703E05">
            <w:pPr>
              <w:rPr>
                <w:lang w:val="en-CA"/>
              </w:rPr>
            </w:pPr>
            <w:r>
              <w:rPr>
                <w:lang w:val="en-CA"/>
              </w:rPr>
              <w:t>1 hour</w:t>
            </w:r>
          </w:p>
          <w:p w14:paraId="475E1F6C" w14:textId="77777777" w:rsidR="00703E05" w:rsidRDefault="00703E05" w:rsidP="00703E05">
            <w:pPr>
              <w:rPr>
                <w:lang w:val="en-CA"/>
              </w:rPr>
            </w:pPr>
            <w:r>
              <w:rPr>
                <w:lang w:val="en-CA"/>
              </w:rPr>
              <w:t>1 hour</w:t>
            </w:r>
          </w:p>
        </w:tc>
        <w:tc>
          <w:tcPr>
            <w:tcW w:w="1170" w:type="dxa"/>
            <w:tcBorders>
              <w:top w:val="single" w:sz="6" w:space="0" w:color="auto"/>
              <w:left w:val="nil"/>
              <w:bottom w:val="nil"/>
              <w:right w:val="nil"/>
            </w:tcBorders>
            <w:vAlign w:val="center"/>
          </w:tcPr>
          <w:p w14:paraId="1555C2F0" w14:textId="77777777" w:rsidR="005F7A53" w:rsidRDefault="005F7A53" w:rsidP="005D134D">
            <w:pPr>
              <w:rPr>
                <w:lang w:val="en-CA"/>
              </w:rPr>
            </w:pPr>
          </w:p>
          <w:p w14:paraId="00E83DEB" w14:textId="77777777" w:rsidR="00703E05" w:rsidRDefault="00703E05" w:rsidP="005D134D">
            <w:pPr>
              <w:rPr>
                <w:lang w:val="en-CA"/>
              </w:rPr>
            </w:pPr>
            <w:r>
              <w:rPr>
                <w:lang w:val="en-CA"/>
              </w:rPr>
              <w:t>25</w:t>
            </w:r>
          </w:p>
          <w:p w14:paraId="689BFF04" w14:textId="77777777" w:rsidR="00703E05" w:rsidRPr="005E6520" w:rsidRDefault="00703E05" w:rsidP="005D134D">
            <w:pPr>
              <w:rPr>
                <w:lang w:val="en-CA"/>
              </w:rPr>
            </w:pPr>
            <w:r>
              <w:rPr>
                <w:lang w:val="en-CA"/>
              </w:rPr>
              <w:t>25</w:t>
            </w:r>
          </w:p>
        </w:tc>
        <w:tc>
          <w:tcPr>
            <w:tcW w:w="1710" w:type="dxa"/>
            <w:tcBorders>
              <w:top w:val="single" w:sz="6" w:space="0" w:color="auto"/>
              <w:left w:val="nil"/>
              <w:bottom w:val="nil"/>
              <w:right w:val="nil"/>
            </w:tcBorders>
            <w:vAlign w:val="center"/>
          </w:tcPr>
          <w:p w14:paraId="74B315BC" w14:textId="77777777" w:rsidR="005F7A53" w:rsidRDefault="005F7A53" w:rsidP="00703E05">
            <w:pPr>
              <w:rPr>
                <w:lang w:val="en-CA"/>
              </w:rPr>
            </w:pPr>
          </w:p>
          <w:p w14:paraId="43932175" w14:textId="77777777" w:rsidR="00703E05" w:rsidRPr="005E6520" w:rsidRDefault="00703E05" w:rsidP="00703E05">
            <w:pPr>
              <w:rPr>
                <w:lang w:val="en-CA"/>
              </w:rPr>
            </w:pPr>
            <w:r w:rsidRPr="005E6520">
              <w:rPr>
                <w:lang w:val="en-CA"/>
              </w:rPr>
              <w:t>$</w:t>
            </w:r>
            <w:r w:rsidR="00E141F9">
              <w:rPr>
                <w:lang w:val="en-CA"/>
              </w:rPr>
              <w:t>52.01</w:t>
            </w:r>
          </w:p>
          <w:p w14:paraId="7E77651C" w14:textId="77777777" w:rsidR="00703E05" w:rsidRDefault="00703E05" w:rsidP="00E141F9">
            <w:pPr>
              <w:rPr>
                <w:lang w:val="en-CA"/>
              </w:rPr>
            </w:pPr>
            <w:r w:rsidRPr="005E6520">
              <w:rPr>
                <w:lang w:val="en-CA"/>
              </w:rPr>
              <w:t>$</w:t>
            </w:r>
            <w:r w:rsidR="00C25860">
              <w:rPr>
                <w:lang w:val="en-CA"/>
              </w:rPr>
              <w:t>51</w:t>
            </w:r>
            <w:r>
              <w:rPr>
                <w:lang w:val="en-CA"/>
              </w:rPr>
              <w:t>.</w:t>
            </w:r>
            <w:r w:rsidR="00E141F9">
              <w:rPr>
                <w:lang w:val="en-CA"/>
              </w:rPr>
              <w:t>58</w:t>
            </w:r>
          </w:p>
        </w:tc>
        <w:tc>
          <w:tcPr>
            <w:tcW w:w="1710" w:type="dxa"/>
            <w:tcBorders>
              <w:top w:val="single" w:sz="6" w:space="0" w:color="auto"/>
              <w:left w:val="nil"/>
              <w:bottom w:val="nil"/>
              <w:right w:val="single" w:sz="8" w:space="0" w:color="auto"/>
            </w:tcBorders>
            <w:vAlign w:val="center"/>
          </w:tcPr>
          <w:p w14:paraId="1FB4C33F" w14:textId="77777777" w:rsidR="005F7A53" w:rsidRDefault="005F7A53" w:rsidP="005D134D">
            <w:pPr>
              <w:rPr>
                <w:lang w:val="en-CA"/>
              </w:rPr>
            </w:pPr>
          </w:p>
          <w:p w14:paraId="456EDAAF" w14:textId="77777777" w:rsidR="00703E05" w:rsidRDefault="00703E05" w:rsidP="005D134D">
            <w:pPr>
              <w:rPr>
                <w:lang w:val="en-CA"/>
              </w:rPr>
            </w:pPr>
            <w:r>
              <w:rPr>
                <w:lang w:val="en-CA"/>
              </w:rPr>
              <w:t>$</w:t>
            </w:r>
            <w:r w:rsidR="00E141F9">
              <w:rPr>
                <w:lang w:val="en-CA"/>
              </w:rPr>
              <w:t>1,300.25</w:t>
            </w:r>
          </w:p>
          <w:p w14:paraId="48C83AA0" w14:textId="77777777" w:rsidR="00703E05" w:rsidRPr="005E6520" w:rsidRDefault="00703E05" w:rsidP="00E141F9">
            <w:pPr>
              <w:rPr>
                <w:lang w:val="en-CA"/>
              </w:rPr>
            </w:pPr>
            <w:r>
              <w:rPr>
                <w:lang w:val="en-CA"/>
              </w:rPr>
              <w:t>$</w:t>
            </w:r>
            <w:r w:rsidR="00E141F9">
              <w:rPr>
                <w:lang w:val="en-CA"/>
              </w:rPr>
              <w:t>1,289.50</w:t>
            </w:r>
          </w:p>
        </w:tc>
      </w:tr>
      <w:tr w:rsidR="005F7A53" w:rsidRPr="0073753C" w14:paraId="1A8D76E1" w14:textId="77777777" w:rsidTr="00B82B92">
        <w:trPr>
          <w:trHeight w:val="345"/>
        </w:trPr>
        <w:tc>
          <w:tcPr>
            <w:tcW w:w="1890" w:type="dxa"/>
            <w:tcBorders>
              <w:top w:val="single" w:sz="6" w:space="0" w:color="auto"/>
              <w:left w:val="single" w:sz="8" w:space="0" w:color="auto"/>
              <w:bottom w:val="single" w:sz="8" w:space="0" w:color="auto"/>
              <w:right w:val="nil"/>
            </w:tcBorders>
            <w:vAlign w:val="center"/>
          </w:tcPr>
          <w:p w14:paraId="23C3B67C" w14:textId="156CEDD9" w:rsidR="005F7A53" w:rsidRDefault="005F7A53" w:rsidP="005F7A53">
            <w:pPr>
              <w:rPr>
                <w:b/>
                <w:lang w:val="en-CA"/>
              </w:rPr>
            </w:pPr>
            <w:r>
              <w:rPr>
                <w:b/>
                <w:lang w:val="en-CA"/>
              </w:rPr>
              <w:t>Year 3</w:t>
            </w:r>
            <w:r w:rsidR="00EB220F">
              <w:rPr>
                <w:b/>
                <w:lang w:val="en-CA"/>
              </w:rPr>
              <w:t xml:space="preserve"> (out of 5)</w:t>
            </w:r>
          </w:p>
          <w:p w14:paraId="263C767C" w14:textId="77777777" w:rsidR="005F7A53" w:rsidRPr="005E6520" w:rsidRDefault="005F7A53" w:rsidP="005F7A53">
            <w:pPr>
              <w:rPr>
                <w:lang w:val="en-CA"/>
              </w:rPr>
            </w:pPr>
            <w:r w:rsidRPr="005E6520">
              <w:rPr>
                <w:lang w:val="en-CA"/>
              </w:rPr>
              <w:t>State/Local/Tribal</w:t>
            </w:r>
          </w:p>
          <w:p w14:paraId="090AA878" w14:textId="14D306A1" w:rsidR="005F7A53" w:rsidRPr="005E6520" w:rsidRDefault="005F7A53" w:rsidP="005D134D">
            <w:pPr>
              <w:rPr>
                <w:b/>
                <w:lang w:val="en-CA"/>
              </w:rPr>
            </w:pPr>
            <w:r w:rsidRPr="005E6520">
              <w:rPr>
                <w:lang w:val="en-CA"/>
              </w:rPr>
              <w:t>Private</w:t>
            </w:r>
            <w:r>
              <w:rPr>
                <w:lang w:val="en-CA"/>
              </w:rPr>
              <w:t xml:space="preserve"> Sector</w:t>
            </w:r>
          </w:p>
        </w:tc>
        <w:tc>
          <w:tcPr>
            <w:tcW w:w="1350" w:type="dxa"/>
            <w:tcBorders>
              <w:top w:val="single" w:sz="6" w:space="0" w:color="auto"/>
              <w:left w:val="nil"/>
              <w:bottom w:val="single" w:sz="8" w:space="0" w:color="auto"/>
              <w:right w:val="nil"/>
            </w:tcBorders>
            <w:vAlign w:val="center"/>
          </w:tcPr>
          <w:p w14:paraId="7EB20C13" w14:textId="77777777" w:rsidR="005F7A53" w:rsidRDefault="005F7A53" w:rsidP="005F7A53">
            <w:pPr>
              <w:rPr>
                <w:lang w:val="en-CA"/>
              </w:rPr>
            </w:pPr>
          </w:p>
          <w:p w14:paraId="4F8214CC" w14:textId="77777777" w:rsidR="005F7A53" w:rsidRDefault="005F7A53" w:rsidP="005F7A53">
            <w:pPr>
              <w:rPr>
                <w:lang w:val="en-CA"/>
              </w:rPr>
            </w:pPr>
            <w:r>
              <w:rPr>
                <w:lang w:val="en-CA"/>
              </w:rPr>
              <w:t>25</w:t>
            </w:r>
          </w:p>
          <w:p w14:paraId="78EDCC0C" w14:textId="4C64A78E" w:rsidR="005F7A53" w:rsidRPr="005E6520" w:rsidRDefault="005F7A53" w:rsidP="00565F68">
            <w:pPr>
              <w:rPr>
                <w:b/>
                <w:lang w:val="en-CA"/>
              </w:rPr>
            </w:pPr>
            <w:r>
              <w:rPr>
                <w:lang w:val="en-CA"/>
              </w:rPr>
              <w:t>25</w:t>
            </w:r>
          </w:p>
        </w:tc>
        <w:tc>
          <w:tcPr>
            <w:tcW w:w="1440" w:type="dxa"/>
            <w:tcBorders>
              <w:top w:val="single" w:sz="6" w:space="0" w:color="auto"/>
              <w:left w:val="nil"/>
              <w:bottom w:val="single" w:sz="8" w:space="0" w:color="auto"/>
              <w:right w:val="nil"/>
            </w:tcBorders>
            <w:vAlign w:val="center"/>
          </w:tcPr>
          <w:p w14:paraId="0F8640F2" w14:textId="77777777" w:rsidR="005F7A53" w:rsidRDefault="005F7A53" w:rsidP="005F7A53">
            <w:pPr>
              <w:rPr>
                <w:lang w:val="en-CA"/>
              </w:rPr>
            </w:pPr>
          </w:p>
          <w:p w14:paraId="4C7CDD6F" w14:textId="77777777" w:rsidR="005F7A53" w:rsidRPr="005E6520" w:rsidRDefault="005F7A53" w:rsidP="005F7A53">
            <w:pPr>
              <w:rPr>
                <w:lang w:val="en-CA"/>
              </w:rPr>
            </w:pPr>
            <w:r>
              <w:rPr>
                <w:lang w:val="en-CA"/>
              </w:rPr>
              <w:t>1 hour</w:t>
            </w:r>
          </w:p>
          <w:p w14:paraId="55B9DB00" w14:textId="6D47C5E9" w:rsidR="005F7A53" w:rsidRPr="005E6520" w:rsidRDefault="005F7A53" w:rsidP="005D134D">
            <w:pPr>
              <w:rPr>
                <w:b/>
                <w:lang w:val="en-CA"/>
              </w:rPr>
            </w:pPr>
            <w:r>
              <w:rPr>
                <w:lang w:val="en-CA"/>
              </w:rPr>
              <w:t>1 hour</w:t>
            </w:r>
          </w:p>
        </w:tc>
        <w:tc>
          <w:tcPr>
            <w:tcW w:w="1170" w:type="dxa"/>
            <w:tcBorders>
              <w:top w:val="single" w:sz="6" w:space="0" w:color="auto"/>
              <w:left w:val="nil"/>
              <w:bottom w:val="single" w:sz="8" w:space="0" w:color="auto"/>
              <w:right w:val="nil"/>
            </w:tcBorders>
            <w:vAlign w:val="center"/>
          </w:tcPr>
          <w:p w14:paraId="2C764A20" w14:textId="77777777" w:rsidR="005F7A53" w:rsidRDefault="005F7A53" w:rsidP="005F7A53">
            <w:pPr>
              <w:rPr>
                <w:lang w:val="en-CA"/>
              </w:rPr>
            </w:pPr>
          </w:p>
          <w:p w14:paraId="75806CA2" w14:textId="77777777" w:rsidR="005F7A53" w:rsidRDefault="005F7A53" w:rsidP="005F7A53">
            <w:pPr>
              <w:rPr>
                <w:lang w:val="en-CA"/>
              </w:rPr>
            </w:pPr>
            <w:r>
              <w:rPr>
                <w:lang w:val="en-CA"/>
              </w:rPr>
              <w:t>25</w:t>
            </w:r>
          </w:p>
          <w:p w14:paraId="5613658B" w14:textId="5AD47FC1" w:rsidR="005F7A53" w:rsidRPr="005E6520" w:rsidRDefault="005F7A53" w:rsidP="00565F68">
            <w:pPr>
              <w:rPr>
                <w:b/>
                <w:lang w:val="en-CA"/>
              </w:rPr>
            </w:pPr>
            <w:r>
              <w:rPr>
                <w:lang w:val="en-CA"/>
              </w:rPr>
              <w:t>25</w:t>
            </w:r>
          </w:p>
        </w:tc>
        <w:tc>
          <w:tcPr>
            <w:tcW w:w="1710" w:type="dxa"/>
            <w:tcBorders>
              <w:top w:val="single" w:sz="6" w:space="0" w:color="auto"/>
              <w:left w:val="nil"/>
              <w:bottom w:val="single" w:sz="8" w:space="0" w:color="auto"/>
              <w:right w:val="nil"/>
            </w:tcBorders>
            <w:vAlign w:val="center"/>
          </w:tcPr>
          <w:p w14:paraId="510668AB" w14:textId="77777777" w:rsidR="005F7A53" w:rsidRDefault="005F7A53" w:rsidP="005F7A53">
            <w:pPr>
              <w:rPr>
                <w:lang w:val="en-CA"/>
              </w:rPr>
            </w:pPr>
          </w:p>
          <w:p w14:paraId="25360786" w14:textId="77777777" w:rsidR="005F7A53" w:rsidRPr="005E6520" w:rsidRDefault="005F7A53" w:rsidP="005F7A53">
            <w:pPr>
              <w:rPr>
                <w:lang w:val="en-CA"/>
              </w:rPr>
            </w:pPr>
            <w:r w:rsidRPr="005E6520">
              <w:rPr>
                <w:lang w:val="en-CA"/>
              </w:rPr>
              <w:t>$</w:t>
            </w:r>
            <w:r>
              <w:rPr>
                <w:lang w:val="en-CA"/>
              </w:rPr>
              <w:t>52.01</w:t>
            </w:r>
          </w:p>
          <w:p w14:paraId="412B5778" w14:textId="24CB758D" w:rsidR="005F7A53" w:rsidRPr="005E6520" w:rsidRDefault="005F7A53" w:rsidP="005D134D">
            <w:pPr>
              <w:rPr>
                <w:b/>
                <w:lang w:val="en-CA"/>
              </w:rPr>
            </w:pPr>
            <w:r w:rsidRPr="005E6520">
              <w:rPr>
                <w:lang w:val="en-CA"/>
              </w:rPr>
              <w:t>$</w:t>
            </w:r>
            <w:r>
              <w:rPr>
                <w:lang w:val="en-CA"/>
              </w:rPr>
              <w:t>51.58</w:t>
            </w:r>
          </w:p>
        </w:tc>
        <w:tc>
          <w:tcPr>
            <w:tcW w:w="1710" w:type="dxa"/>
            <w:tcBorders>
              <w:top w:val="single" w:sz="6" w:space="0" w:color="auto"/>
              <w:left w:val="nil"/>
              <w:bottom w:val="single" w:sz="8" w:space="0" w:color="auto"/>
              <w:right w:val="single" w:sz="8" w:space="0" w:color="auto"/>
            </w:tcBorders>
            <w:vAlign w:val="center"/>
          </w:tcPr>
          <w:p w14:paraId="7DEA470D" w14:textId="77777777" w:rsidR="005F7A53" w:rsidRDefault="005F7A53" w:rsidP="005F7A53">
            <w:pPr>
              <w:rPr>
                <w:lang w:val="en-CA"/>
              </w:rPr>
            </w:pPr>
          </w:p>
          <w:p w14:paraId="2C695BD8" w14:textId="77777777" w:rsidR="005F7A53" w:rsidRDefault="005F7A53" w:rsidP="005F7A53">
            <w:pPr>
              <w:rPr>
                <w:lang w:val="en-CA"/>
              </w:rPr>
            </w:pPr>
            <w:r>
              <w:rPr>
                <w:lang w:val="en-CA"/>
              </w:rPr>
              <w:t>$1,300.25</w:t>
            </w:r>
          </w:p>
          <w:p w14:paraId="36C7657E" w14:textId="60F53B18" w:rsidR="005F7A53" w:rsidRPr="005E6520" w:rsidRDefault="005F7A53" w:rsidP="00E141F9">
            <w:pPr>
              <w:rPr>
                <w:b/>
                <w:lang w:val="en-CA"/>
              </w:rPr>
            </w:pPr>
            <w:r>
              <w:rPr>
                <w:lang w:val="en-CA"/>
              </w:rPr>
              <w:t>$1,289.50</w:t>
            </w:r>
          </w:p>
        </w:tc>
      </w:tr>
      <w:tr w:rsidR="005F7A53" w:rsidRPr="0073753C" w14:paraId="72289933" w14:textId="77777777" w:rsidTr="00B82B92">
        <w:trPr>
          <w:trHeight w:val="345"/>
        </w:trPr>
        <w:tc>
          <w:tcPr>
            <w:tcW w:w="1890" w:type="dxa"/>
            <w:tcBorders>
              <w:top w:val="single" w:sz="6" w:space="0" w:color="auto"/>
              <w:left w:val="single" w:sz="8" w:space="0" w:color="auto"/>
              <w:bottom w:val="single" w:sz="8" w:space="0" w:color="auto"/>
              <w:right w:val="nil"/>
            </w:tcBorders>
            <w:vAlign w:val="center"/>
            <w:hideMark/>
          </w:tcPr>
          <w:p w14:paraId="2ACCBED9" w14:textId="77777777" w:rsidR="005F7A53" w:rsidRPr="005E6520" w:rsidRDefault="005F7A53" w:rsidP="005D134D">
            <w:pPr>
              <w:rPr>
                <w:b/>
                <w:lang w:val="en-CA"/>
              </w:rPr>
            </w:pPr>
            <w:r w:rsidRPr="005E6520">
              <w:rPr>
                <w:b/>
                <w:lang w:val="en-CA"/>
              </w:rPr>
              <w:t>TOTAL</w:t>
            </w:r>
          </w:p>
        </w:tc>
        <w:tc>
          <w:tcPr>
            <w:tcW w:w="1350" w:type="dxa"/>
            <w:tcBorders>
              <w:top w:val="single" w:sz="6" w:space="0" w:color="auto"/>
              <w:left w:val="nil"/>
              <w:bottom w:val="single" w:sz="8" w:space="0" w:color="auto"/>
              <w:right w:val="nil"/>
            </w:tcBorders>
            <w:vAlign w:val="center"/>
          </w:tcPr>
          <w:p w14:paraId="0BC2497A" w14:textId="77777777" w:rsidR="005F7A53" w:rsidRPr="005E6520" w:rsidRDefault="005F7A53" w:rsidP="00565F68">
            <w:pPr>
              <w:rPr>
                <w:b/>
                <w:lang w:val="en-CA"/>
              </w:rPr>
            </w:pPr>
          </w:p>
        </w:tc>
        <w:tc>
          <w:tcPr>
            <w:tcW w:w="1440" w:type="dxa"/>
            <w:tcBorders>
              <w:top w:val="single" w:sz="6" w:space="0" w:color="auto"/>
              <w:left w:val="nil"/>
              <w:bottom w:val="single" w:sz="8" w:space="0" w:color="auto"/>
              <w:right w:val="nil"/>
            </w:tcBorders>
            <w:vAlign w:val="center"/>
          </w:tcPr>
          <w:p w14:paraId="37897B1A" w14:textId="77777777" w:rsidR="005F7A53" w:rsidRPr="005E6520" w:rsidRDefault="005F7A53" w:rsidP="005D134D">
            <w:pPr>
              <w:rPr>
                <w:b/>
                <w:lang w:val="en-CA"/>
              </w:rPr>
            </w:pPr>
          </w:p>
        </w:tc>
        <w:tc>
          <w:tcPr>
            <w:tcW w:w="1170" w:type="dxa"/>
            <w:tcBorders>
              <w:top w:val="single" w:sz="6" w:space="0" w:color="auto"/>
              <w:left w:val="nil"/>
              <w:bottom w:val="single" w:sz="8" w:space="0" w:color="auto"/>
              <w:right w:val="nil"/>
            </w:tcBorders>
            <w:vAlign w:val="center"/>
          </w:tcPr>
          <w:p w14:paraId="30446D9C" w14:textId="77777777" w:rsidR="005F7A53" w:rsidRPr="005E6520" w:rsidRDefault="005F7A53" w:rsidP="00565F68">
            <w:pPr>
              <w:rPr>
                <w:b/>
                <w:lang w:val="en-CA"/>
              </w:rPr>
            </w:pPr>
          </w:p>
        </w:tc>
        <w:tc>
          <w:tcPr>
            <w:tcW w:w="1710" w:type="dxa"/>
            <w:tcBorders>
              <w:top w:val="single" w:sz="6" w:space="0" w:color="auto"/>
              <w:left w:val="nil"/>
              <w:bottom w:val="single" w:sz="8" w:space="0" w:color="auto"/>
              <w:right w:val="nil"/>
            </w:tcBorders>
            <w:vAlign w:val="center"/>
          </w:tcPr>
          <w:p w14:paraId="4C2DD95B" w14:textId="77777777" w:rsidR="005F7A53" w:rsidRPr="005E6520" w:rsidRDefault="005F7A53" w:rsidP="005D134D">
            <w:pPr>
              <w:rPr>
                <w:b/>
                <w:lang w:val="en-CA"/>
              </w:rPr>
            </w:pPr>
          </w:p>
        </w:tc>
        <w:tc>
          <w:tcPr>
            <w:tcW w:w="1710" w:type="dxa"/>
            <w:tcBorders>
              <w:top w:val="single" w:sz="6" w:space="0" w:color="auto"/>
              <w:left w:val="nil"/>
              <w:bottom w:val="single" w:sz="8" w:space="0" w:color="auto"/>
              <w:right w:val="single" w:sz="8" w:space="0" w:color="auto"/>
            </w:tcBorders>
            <w:vAlign w:val="center"/>
            <w:hideMark/>
          </w:tcPr>
          <w:p w14:paraId="15F8502D" w14:textId="7C275B2E" w:rsidR="005F7A53" w:rsidRPr="005E6520" w:rsidRDefault="005F7A53" w:rsidP="00F6055F">
            <w:pPr>
              <w:rPr>
                <w:b/>
                <w:lang w:val="en-CA"/>
              </w:rPr>
            </w:pPr>
            <w:r w:rsidRPr="005E6520">
              <w:rPr>
                <w:b/>
                <w:lang w:val="en-CA"/>
              </w:rPr>
              <w:t>$</w:t>
            </w:r>
            <w:r w:rsidR="00F6055F">
              <w:rPr>
                <w:b/>
                <w:lang w:val="en-CA"/>
              </w:rPr>
              <w:t>13,479.60</w:t>
            </w:r>
          </w:p>
        </w:tc>
      </w:tr>
    </w:tbl>
    <w:p w14:paraId="1A8A24FA" w14:textId="77777777" w:rsidR="006B32A3" w:rsidRPr="0030018F" w:rsidRDefault="006B32A3" w:rsidP="006B3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40B95094"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7201">
        <w:rPr>
          <w:b/>
          <w:sz w:val="24"/>
          <w:szCs w:val="24"/>
        </w:rPr>
        <w:t>13.</w:t>
      </w:r>
      <w:r w:rsidRPr="003E7201">
        <w:rPr>
          <w:b/>
          <w:sz w:val="24"/>
          <w:szCs w:val="24"/>
        </w:rPr>
        <w:tab/>
        <w:t xml:space="preserve">Provide an estimate of the total annual </w:t>
      </w:r>
      <w:r w:rsidR="00DE1FFE" w:rsidRPr="003E7201">
        <w:rPr>
          <w:b/>
          <w:sz w:val="24"/>
          <w:szCs w:val="24"/>
        </w:rPr>
        <w:t>non-hour</w:t>
      </w:r>
      <w:r w:rsidRPr="003E7201">
        <w:rPr>
          <w:b/>
          <w:sz w:val="24"/>
          <w:szCs w:val="24"/>
        </w:rPr>
        <w:t xml:space="preserve"> cost burden to respondents or </w:t>
      </w:r>
      <w:proofErr w:type="spellStart"/>
      <w:r w:rsidRPr="003E7201">
        <w:rPr>
          <w:b/>
          <w:sz w:val="24"/>
          <w:szCs w:val="24"/>
        </w:rPr>
        <w:t>recordkeepers</w:t>
      </w:r>
      <w:proofErr w:type="spellEnd"/>
      <w:r w:rsidRPr="003E7201">
        <w:rPr>
          <w:b/>
          <w:sz w:val="24"/>
          <w:szCs w:val="24"/>
        </w:rPr>
        <w:t xml:space="preserve"> resulting from the collection of information.  (Do not include the cost of any hour burden </w:t>
      </w:r>
      <w:r w:rsidR="004A6DFA" w:rsidRPr="003E7201">
        <w:rPr>
          <w:b/>
          <w:sz w:val="24"/>
          <w:szCs w:val="24"/>
        </w:rPr>
        <w:t xml:space="preserve">already reflected </w:t>
      </w:r>
      <w:r w:rsidR="00F73931" w:rsidRPr="003E7201">
        <w:rPr>
          <w:b/>
          <w:sz w:val="24"/>
          <w:szCs w:val="24"/>
        </w:rPr>
        <w:t>in item 12</w:t>
      </w:r>
      <w:r w:rsidR="004A6DFA" w:rsidRPr="003E7201">
        <w:rPr>
          <w:b/>
          <w:sz w:val="24"/>
          <w:szCs w:val="24"/>
        </w:rPr>
        <w:t>.)</w:t>
      </w:r>
    </w:p>
    <w:p w14:paraId="20551BBA"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Pr>
          <w:sz w:val="24"/>
          <w:szCs w:val="24"/>
        </w:rPr>
        <w:t>*</w:t>
      </w:r>
      <w:r>
        <w:rPr>
          <w:sz w:val="24"/>
          <w:szCs w:val="24"/>
        </w:rPr>
        <w:tab/>
      </w:r>
      <w:r w:rsidRPr="003E7201">
        <w:rPr>
          <w:b/>
          <w:sz w:val="24"/>
          <w:szCs w:val="24"/>
        </w:rPr>
        <w:t xml:space="preserve">The cost estimate should be split into two components: (a) a total capital and start-up cost component (annualized over its expected useful life) and (b) a total operation </w:t>
      </w:r>
      <w:r w:rsidRPr="003E7201">
        <w:rPr>
          <w:b/>
          <w:sz w:val="24"/>
          <w:szCs w:val="24"/>
        </w:rPr>
        <w:lastRenderedPageBreak/>
        <w:t xml:space="preserve">and maintenance and purchase of services component.  The estimates should take into account costs associated with generating, maintaining, and disclosing or providing the information </w:t>
      </w:r>
      <w:r w:rsidR="000257C8" w:rsidRPr="003E7201">
        <w:rPr>
          <w:b/>
          <w:sz w:val="24"/>
          <w:szCs w:val="24"/>
        </w:rPr>
        <w:t>(</w:t>
      </w:r>
      <w:r w:rsidRPr="003E7201">
        <w:rPr>
          <w:b/>
          <w:sz w:val="24"/>
          <w:szCs w:val="24"/>
        </w:rPr>
        <w:t>including filing fees paid</w:t>
      </w:r>
      <w:r w:rsidR="000257C8" w:rsidRPr="003E7201">
        <w:rPr>
          <w:b/>
          <w:sz w:val="24"/>
          <w:szCs w:val="24"/>
        </w:rPr>
        <w:t xml:space="preserve"> for form processing)</w:t>
      </w:r>
      <w:r w:rsidRPr="003E7201">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C157FDD"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3E7201">
        <w:rPr>
          <w:b/>
          <w:sz w:val="24"/>
          <w:szCs w:val="24"/>
        </w:rPr>
        <w:t>*</w:t>
      </w:r>
      <w:r w:rsidRPr="003E7201">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FD7448F"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E7201">
        <w:rPr>
          <w:b/>
          <w:sz w:val="24"/>
          <w:szCs w:val="24"/>
        </w:rPr>
        <w:tab/>
        <w:t>*</w:t>
      </w:r>
      <w:r w:rsidRPr="003E7201">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06E04C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BA3688" w14:textId="77777777" w:rsidR="00DB6B59" w:rsidRPr="0073753C" w:rsidRDefault="00DB6B59" w:rsidP="007426C2">
      <w:pPr>
        <w:ind w:left="360" w:firstLine="360"/>
        <w:rPr>
          <w:sz w:val="24"/>
          <w:szCs w:val="24"/>
        </w:rPr>
      </w:pPr>
      <w:r w:rsidRPr="0073753C">
        <w:rPr>
          <w:sz w:val="24"/>
          <w:szCs w:val="24"/>
        </w:rPr>
        <w:t xml:space="preserve">There is no non-hour cost burden to </w:t>
      </w:r>
      <w:r w:rsidR="00C90292">
        <w:rPr>
          <w:sz w:val="24"/>
          <w:szCs w:val="24"/>
        </w:rPr>
        <w:t>respondents</w:t>
      </w:r>
      <w:r w:rsidR="00C90292" w:rsidRPr="0073753C">
        <w:rPr>
          <w:sz w:val="24"/>
          <w:szCs w:val="24"/>
        </w:rPr>
        <w:t xml:space="preserve"> </w:t>
      </w:r>
      <w:r w:rsidRPr="0073753C">
        <w:rPr>
          <w:sz w:val="24"/>
          <w:szCs w:val="24"/>
        </w:rPr>
        <w:t xml:space="preserve">resulting from this collection.  There are no fees associated with </w:t>
      </w:r>
      <w:r w:rsidR="00CE663C">
        <w:rPr>
          <w:sz w:val="24"/>
          <w:szCs w:val="24"/>
        </w:rPr>
        <w:t xml:space="preserve">an </w:t>
      </w:r>
      <w:r w:rsidRPr="0073753C">
        <w:rPr>
          <w:sz w:val="24"/>
          <w:szCs w:val="24"/>
        </w:rPr>
        <w:t>application process</w:t>
      </w:r>
      <w:r w:rsidR="00CE663C">
        <w:rPr>
          <w:sz w:val="24"/>
          <w:szCs w:val="24"/>
        </w:rPr>
        <w:t>,</w:t>
      </w:r>
      <w:r w:rsidRPr="0073753C">
        <w:rPr>
          <w:sz w:val="24"/>
          <w:szCs w:val="24"/>
        </w:rPr>
        <w:t xml:space="preserve"> or</w:t>
      </w:r>
      <w:r w:rsidR="00CE663C">
        <w:rPr>
          <w:sz w:val="24"/>
          <w:szCs w:val="24"/>
        </w:rPr>
        <w:t xml:space="preserve"> with</w:t>
      </w:r>
      <w:r w:rsidRPr="0073753C">
        <w:rPr>
          <w:sz w:val="24"/>
          <w:szCs w:val="24"/>
        </w:rPr>
        <w:t xml:space="preserve"> </w:t>
      </w:r>
      <w:r w:rsidR="00CE663C">
        <w:rPr>
          <w:sz w:val="24"/>
          <w:szCs w:val="24"/>
        </w:rPr>
        <w:t xml:space="preserve">collection </w:t>
      </w:r>
      <w:r w:rsidRPr="0073753C">
        <w:rPr>
          <w:sz w:val="24"/>
          <w:szCs w:val="24"/>
        </w:rPr>
        <w:t>requirements</w:t>
      </w:r>
      <w:r w:rsidR="00CE663C">
        <w:rPr>
          <w:sz w:val="24"/>
          <w:szCs w:val="24"/>
        </w:rPr>
        <w:t xml:space="preserve"> or methods</w:t>
      </w:r>
      <w:r w:rsidRPr="0073753C">
        <w:rPr>
          <w:sz w:val="24"/>
          <w:szCs w:val="24"/>
        </w:rPr>
        <w:t>.</w:t>
      </w:r>
    </w:p>
    <w:p w14:paraId="3DCB035B" w14:textId="77777777" w:rsidR="00956776" w:rsidRDefault="00956776" w:rsidP="009567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04C8EF4" w14:textId="77777777" w:rsidR="0060758B" w:rsidRPr="003E7201" w:rsidRDefault="00295103" w:rsidP="009567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E7201">
        <w:rPr>
          <w:b/>
          <w:sz w:val="24"/>
          <w:szCs w:val="24"/>
        </w:rPr>
        <w:t>14.</w:t>
      </w:r>
      <w:r w:rsidRPr="003E7201">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3E7201">
        <w:rPr>
          <w:b/>
          <w:sz w:val="24"/>
          <w:szCs w:val="24"/>
        </w:rPr>
        <w:t xml:space="preserve">his collection of information. </w:t>
      </w:r>
    </w:p>
    <w:p w14:paraId="0414F8C4" w14:textId="77777777" w:rsidR="006B32A3" w:rsidRDefault="006B3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3982DAD" w14:textId="1CA8669F" w:rsidR="00AC0239" w:rsidRDefault="007426C2" w:rsidP="00E44A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2B7E3C">
        <w:rPr>
          <w:sz w:val="24"/>
          <w:szCs w:val="24"/>
        </w:rPr>
        <w:t>Our estimate of</w:t>
      </w:r>
      <w:r w:rsidR="00B54AE8">
        <w:rPr>
          <w:sz w:val="24"/>
          <w:szCs w:val="24"/>
        </w:rPr>
        <w:t xml:space="preserve"> annual </w:t>
      </w:r>
      <w:r w:rsidR="006610D0">
        <w:rPr>
          <w:sz w:val="24"/>
          <w:szCs w:val="24"/>
        </w:rPr>
        <w:t xml:space="preserve">total </w:t>
      </w:r>
      <w:r w:rsidR="002B7E3C">
        <w:rPr>
          <w:sz w:val="24"/>
          <w:szCs w:val="24"/>
        </w:rPr>
        <w:t xml:space="preserve">cost to the Federal government is </w:t>
      </w:r>
      <w:r w:rsidR="00FA14C2">
        <w:rPr>
          <w:sz w:val="24"/>
          <w:szCs w:val="24"/>
        </w:rPr>
        <w:t>$</w:t>
      </w:r>
      <w:r w:rsidR="002662FB">
        <w:rPr>
          <w:sz w:val="24"/>
          <w:szCs w:val="24"/>
        </w:rPr>
        <w:t>146,186.68</w:t>
      </w:r>
      <w:r w:rsidR="006610D0">
        <w:rPr>
          <w:sz w:val="24"/>
          <w:szCs w:val="24"/>
        </w:rPr>
        <w:t xml:space="preserve"> in year 1 and $</w:t>
      </w:r>
      <w:r w:rsidR="0031683A">
        <w:rPr>
          <w:sz w:val="24"/>
          <w:szCs w:val="24"/>
        </w:rPr>
        <w:t>21</w:t>
      </w:r>
      <w:r w:rsidR="006610D0">
        <w:rPr>
          <w:sz w:val="24"/>
          <w:szCs w:val="24"/>
        </w:rPr>
        <w:t>,</w:t>
      </w:r>
      <w:r w:rsidR="002662FB">
        <w:rPr>
          <w:sz w:val="24"/>
          <w:szCs w:val="24"/>
        </w:rPr>
        <w:t>956.34</w:t>
      </w:r>
      <w:r w:rsidR="006610D0">
        <w:rPr>
          <w:sz w:val="24"/>
          <w:szCs w:val="24"/>
        </w:rPr>
        <w:t xml:space="preserve"> </w:t>
      </w:r>
      <w:r w:rsidR="00FA14C2">
        <w:rPr>
          <w:sz w:val="24"/>
          <w:szCs w:val="24"/>
        </w:rPr>
        <w:t xml:space="preserve">in </w:t>
      </w:r>
      <w:r w:rsidR="00B54AE8">
        <w:rPr>
          <w:sz w:val="24"/>
          <w:szCs w:val="24"/>
        </w:rPr>
        <w:t xml:space="preserve">future years </w:t>
      </w:r>
      <w:r w:rsidR="002B7E3C">
        <w:rPr>
          <w:sz w:val="24"/>
          <w:szCs w:val="24"/>
        </w:rPr>
        <w:t>(see Table 2).</w:t>
      </w:r>
      <w:r w:rsidR="00FD2277">
        <w:rPr>
          <w:sz w:val="24"/>
          <w:szCs w:val="24"/>
        </w:rPr>
        <w:t xml:space="preserve"> The total cost over the </w:t>
      </w:r>
      <w:r w:rsidR="005C6788">
        <w:rPr>
          <w:sz w:val="24"/>
          <w:szCs w:val="24"/>
        </w:rPr>
        <w:t>3-year</w:t>
      </w:r>
      <w:r w:rsidR="00FD2277">
        <w:rPr>
          <w:sz w:val="24"/>
          <w:szCs w:val="24"/>
        </w:rPr>
        <w:t xml:space="preserve"> period for which this information collection is being requested is estimated to be $190,099.36, or an average of </w:t>
      </w:r>
      <w:r w:rsidR="005C6788">
        <w:rPr>
          <w:sz w:val="24"/>
          <w:szCs w:val="24"/>
        </w:rPr>
        <w:t>$63,366.45 per year</w:t>
      </w:r>
      <w:r w:rsidR="00FD2277">
        <w:rPr>
          <w:sz w:val="24"/>
          <w:szCs w:val="24"/>
        </w:rPr>
        <w:t>.</w:t>
      </w:r>
    </w:p>
    <w:p w14:paraId="701D21B5" w14:textId="77777777" w:rsidR="00B00BC1" w:rsidRDefault="00B00BC1" w:rsidP="00E44A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A3111F" w14:textId="0375B550" w:rsidR="00226DE8" w:rsidRDefault="007426C2" w:rsidP="00E44A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F37195">
        <w:rPr>
          <w:sz w:val="24"/>
          <w:szCs w:val="24"/>
        </w:rPr>
        <w:t xml:space="preserve">Start-up costs </w:t>
      </w:r>
      <w:r w:rsidR="00A679DE">
        <w:rPr>
          <w:sz w:val="24"/>
          <w:szCs w:val="24"/>
        </w:rPr>
        <w:t>will be contracted through the</w:t>
      </w:r>
      <w:r w:rsidR="00F37195">
        <w:rPr>
          <w:sz w:val="24"/>
          <w:szCs w:val="24"/>
        </w:rPr>
        <w:t xml:space="preserve"> </w:t>
      </w:r>
      <w:r w:rsidR="00904F11">
        <w:rPr>
          <w:sz w:val="24"/>
          <w:szCs w:val="24"/>
        </w:rPr>
        <w:t>Information Science Branch of the USGS Fort Collins</w:t>
      </w:r>
      <w:r w:rsidR="00B57B27">
        <w:rPr>
          <w:sz w:val="24"/>
          <w:szCs w:val="24"/>
        </w:rPr>
        <w:t xml:space="preserve"> Science Center</w:t>
      </w:r>
      <w:r w:rsidR="00B9309D">
        <w:rPr>
          <w:sz w:val="24"/>
          <w:szCs w:val="24"/>
        </w:rPr>
        <w:t xml:space="preserve"> </w:t>
      </w:r>
      <w:r w:rsidR="00A679DE">
        <w:rPr>
          <w:sz w:val="24"/>
          <w:szCs w:val="24"/>
        </w:rPr>
        <w:t xml:space="preserve">at a rate of $62.11/hour.  </w:t>
      </w:r>
      <w:r w:rsidR="00FA14C2">
        <w:rPr>
          <w:sz w:val="24"/>
          <w:szCs w:val="24"/>
        </w:rPr>
        <w:t>Personnel from that institution have estimated</w:t>
      </w:r>
      <w:r w:rsidR="00B57B27">
        <w:rPr>
          <w:sz w:val="24"/>
          <w:szCs w:val="24"/>
        </w:rPr>
        <w:t xml:space="preserve"> </w:t>
      </w:r>
      <w:r w:rsidR="0007361C">
        <w:rPr>
          <w:sz w:val="24"/>
          <w:szCs w:val="24"/>
        </w:rPr>
        <w:t>644</w:t>
      </w:r>
      <w:r w:rsidR="00FA14C2">
        <w:rPr>
          <w:sz w:val="24"/>
          <w:szCs w:val="24"/>
        </w:rPr>
        <w:t xml:space="preserve"> hours of labor required to develop the database</w:t>
      </w:r>
      <w:r w:rsidR="00C164E9">
        <w:rPr>
          <w:sz w:val="24"/>
          <w:szCs w:val="24"/>
        </w:rPr>
        <w:t>.</w:t>
      </w:r>
      <w:r w:rsidR="00FA14C2">
        <w:rPr>
          <w:sz w:val="24"/>
          <w:szCs w:val="24"/>
        </w:rPr>
        <w:t xml:space="preserve">  An additional 200 hours of labor each year may be required for developing new tools and</w:t>
      </w:r>
      <w:r w:rsidR="00A25B85">
        <w:rPr>
          <w:sz w:val="24"/>
          <w:szCs w:val="24"/>
        </w:rPr>
        <w:t xml:space="preserve"> for managing and improving the</w:t>
      </w:r>
      <w:r w:rsidR="00FA14C2">
        <w:rPr>
          <w:sz w:val="24"/>
          <w:szCs w:val="24"/>
        </w:rPr>
        <w:t xml:space="preserve"> database (see developmental costs).</w:t>
      </w:r>
    </w:p>
    <w:p w14:paraId="12D48930" w14:textId="77777777" w:rsidR="007D448E" w:rsidRDefault="007D448E" w:rsidP="00E44A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E9FAF61" w14:textId="55B95F7B" w:rsidR="007D448E" w:rsidRDefault="007426C2" w:rsidP="00E44A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7D448E">
        <w:rPr>
          <w:sz w:val="24"/>
          <w:szCs w:val="24"/>
        </w:rPr>
        <w:t>Supporting costs</w:t>
      </w:r>
      <w:r w:rsidR="00FA14C2">
        <w:rPr>
          <w:sz w:val="24"/>
          <w:szCs w:val="24"/>
        </w:rPr>
        <w:t xml:space="preserve"> will</w:t>
      </w:r>
      <w:r w:rsidR="00294F7E">
        <w:rPr>
          <w:sz w:val="24"/>
          <w:szCs w:val="24"/>
        </w:rPr>
        <w:t xml:space="preserve"> include 52 hours </w:t>
      </w:r>
      <w:r w:rsidR="00F83E19">
        <w:rPr>
          <w:sz w:val="24"/>
          <w:szCs w:val="24"/>
        </w:rPr>
        <w:t xml:space="preserve">(1 hour/week) </w:t>
      </w:r>
      <w:r w:rsidR="00294F7E">
        <w:rPr>
          <w:sz w:val="24"/>
          <w:szCs w:val="24"/>
        </w:rPr>
        <w:t>of</w:t>
      </w:r>
      <w:r w:rsidR="00FA14C2">
        <w:rPr>
          <w:sz w:val="24"/>
          <w:szCs w:val="24"/>
        </w:rPr>
        <w:t xml:space="preserve"> general</w:t>
      </w:r>
      <w:r w:rsidR="00294F7E">
        <w:rPr>
          <w:sz w:val="24"/>
          <w:szCs w:val="24"/>
        </w:rPr>
        <w:t xml:space="preserve"> </w:t>
      </w:r>
      <w:r w:rsidR="00F83E19">
        <w:rPr>
          <w:sz w:val="24"/>
          <w:szCs w:val="24"/>
        </w:rPr>
        <w:t>support labor</w:t>
      </w:r>
      <w:r w:rsidR="00FA14C2">
        <w:rPr>
          <w:sz w:val="24"/>
          <w:szCs w:val="24"/>
        </w:rPr>
        <w:t xml:space="preserve"> each year</w:t>
      </w:r>
      <w:r w:rsidR="00EE48A1">
        <w:rPr>
          <w:sz w:val="24"/>
          <w:szCs w:val="24"/>
        </w:rPr>
        <w:t xml:space="preserve">.  </w:t>
      </w:r>
      <w:r w:rsidR="00A679DE">
        <w:rPr>
          <w:sz w:val="24"/>
          <w:szCs w:val="24"/>
        </w:rPr>
        <w:t xml:space="preserve">The hourly cost of Federal employees is based on the Office of Personnel Management </w:t>
      </w:r>
      <w:r w:rsidR="00A679DE">
        <w:rPr>
          <w:rFonts w:ascii="Georgia" w:hAnsi="Georgia"/>
          <w:color w:val="000000"/>
          <w:sz w:val="21"/>
          <w:szCs w:val="21"/>
          <w:shd w:val="clear" w:color="auto" w:fill="FFFFFF"/>
        </w:rPr>
        <w:t>locality pay area of Washington-Baltimore-Northern Virginia, DC-MD-VA-WV-PA</w:t>
      </w:r>
      <w:r w:rsidR="00F155C8">
        <w:rPr>
          <w:rFonts w:ascii="Georgia" w:hAnsi="Georgia"/>
          <w:color w:val="000000"/>
          <w:sz w:val="21"/>
          <w:szCs w:val="21"/>
          <w:shd w:val="clear" w:color="auto" w:fill="FFFFFF"/>
        </w:rPr>
        <w:t xml:space="preserve"> (</w:t>
      </w:r>
      <w:r w:rsidR="007C11BF" w:rsidRPr="0084199D">
        <w:rPr>
          <w:rFonts w:ascii="Georgia" w:hAnsi="Georgia"/>
          <w:i/>
          <w:color w:val="000000"/>
          <w:sz w:val="21"/>
          <w:szCs w:val="21"/>
          <w:shd w:val="clear" w:color="auto" w:fill="FFFFFF"/>
        </w:rPr>
        <w:t>https://www.opm.gov/policy-data-oversight/pay-leave/salaries-wages/salary-</w:t>
      </w:r>
      <w:r w:rsidR="007C11BF" w:rsidRPr="0084199D">
        <w:rPr>
          <w:rFonts w:ascii="Georgia" w:hAnsi="Georgia"/>
          <w:i/>
          <w:color w:val="000000"/>
          <w:sz w:val="21"/>
          <w:szCs w:val="21"/>
          <w:shd w:val="clear" w:color="auto" w:fill="FFFFFF"/>
        </w:rPr>
        <w:lastRenderedPageBreak/>
        <w:t>tables/pdf/2014/DCB_h.pdf</w:t>
      </w:r>
      <w:r w:rsidR="00F155C8">
        <w:rPr>
          <w:rFonts w:ascii="Georgia" w:hAnsi="Georgia"/>
          <w:color w:val="000000"/>
          <w:sz w:val="21"/>
          <w:szCs w:val="21"/>
          <w:shd w:val="clear" w:color="auto" w:fill="FFFFFF"/>
        </w:rPr>
        <w:t>)</w:t>
      </w:r>
      <w:r w:rsidR="00A679DE">
        <w:rPr>
          <w:sz w:val="24"/>
          <w:szCs w:val="24"/>
        </w:rPr>
        <w:t xml:space="preserve">.  </w:t>
      </w:r>
      <w:r w:rsidR="00EE48A1">
        <w:rPr>
          <w:sz w:val="24"/>
          <w:szCs w:val="24"/>
        </w:rPr>
        <w:t>The hourly wage for</w:t>
      </w:r>
      <w:r w:rsidR="00F83E19">
        <w:rPr>
          <w:sz w:val="24"/>
          <w:szCs w:val="24"/>
        </w:rPr>
        <w:t xml:space="preserve"> </w:t>
      </w:r>
      <w:r w:rsidR="00A679DE">
        <w:rPr>
          <w:sz w:val="24"/>
          <w:szCs w:val="24"/>
        </w:rPr>
        <w:t xml:space="preserve">a </w:t>
      </w:r>
      <w:r w:rsidR="00127766">
        <w:rPr>
          <w:sz w:val="24"/>
          <w:szCs w:val="24"/>
        </w:rPr>
        <w:t xml:space="preserve">step 10 </w:t>
      </w:r>
      <w:r w:rsidR="00F83E19">
        <w:rPr>
          <w:sz w:val="24"/>
          <w:szCs w:val="24"/>
        </w:rPr>
        <w:t xml:space="preserve">GS-15 </w:t>
      </w:r>
      <w:proofErr w:type="gramStart"/>
      <w:r w:rsidR="00F83E19">
        <w:rPr>
          <w:sz w:val="24"/>
          <w:szCs w:val="24"/>
        </w:rPr>
        <w:t>scientist</w:t>
      </w:r>
      <w:proofErr w:type="gramEnd"/>
      <w:r w:rsidR="00F83E19">
        <w:rPr>
          <w:sz w:val="24"/>
          <w:szCs w:val="24"/>
        </w:rPr>
        <w:t xml:space="preserve"> </w:t>
      </w:r>
      <w:r w:rsidR="00EE48A1">
        <w:rPr>
          <w:sz w:val="24"/>
          <w:szCs w:val="24"/>
        </w:rPr>
        <w:t>is $</w:t>
      </w:r>
      <w:r w:rsidR="00CB012D">
        <w:rPr>
          <w:sz w:val="24"/>
          <w:szCs w:val="24"/>
        </w:rPr>
        <w:t>75.28</w:t>
      </w:r>
      <w:r w:rsidR="00EE48A1">
        <w:rPr>
          <w:sz w:val="24"/>
          <w:szCs w:val="24"/>
        </w:rPr>
        <w:t xml:space="preserve"> multiplied by 1.5 to account for benefits ($</w:t>
      </w:r>
      <w:r w:rsidR="00CB012D">
        <w:rPr>
          <w:sz w:val="24"/>
          <w:szCs w:val="24"/>
        </w:rPr>
        <w:t>112.92</w:t>
      </w:r>
      <w:r w:rsidR="00EE48A1">
        <w:rPr>
          <w:sz w:val="24"/>
          <w:szCs w:val="24"/>
        </w:rPr>
        <w:t>)</w:t>
      </w:r>
      <w:r w:rsidR="00A679DE">
        <w:rPr>
          <w:sz w:val="24"/>
          <w:szCs w:val="24"/>
        </w:rPr>
        <w:t>.</w:t>
      </w:r>
    </w:p>
    <w:p w14:paraId="4F181E3D" w14:textId="77777777" w:rsidR="007D448E" w:rsidRDefault="007D448E" w:rsidP="00E44A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4CE9B1" w14:textId="4390CBF9" w:rsidR="00127766" w:rsidRDefault="007426C2" w:rsidP="00E44A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127766">
        <w:rPr>
          <w:sz w:val="24"/>
          <w:szCs w:val="24"/>
        </w:rPr>
        <w:t xml:space="preserve">The expected number of respondents </w:t>
      </w:r>
      <w:r w:rsidR="00117107">
        <w:rPr>
          <w:sz w:val="24"/>
          <w:szCs w:val="24"/>
        </w:rPr>
        <w:t>is 1200/year with an estimated 1 hour/response.  Again, we used the</w:t>
      </w:r>
      <w:r w:rsidR="00127766">
        <w:rPr>
          <w:sz w:val="24"/>
          <w:szCs w:val="24"/>
        </w:rPr>
        <w:t xml:space="preserve"> hourly wage </w:t>
      </w:r>
      <w:r w:rsidR="00117107">
        <w:rPr>
          <w:sz w:val="24"/>
          <w:szCs w:val="24"/>
        </w:rPr>
        <w:t xml:space="preserve">of Federal employees based on the Office of Personnel Management </w:t>
      </w:r>
      <w:r w:rsidR="00117107">
        <w:rPr>
          <w:rFonts w:ascii="Georgia" w:hAnsi="Georgia"/>
          <w:color w:val="000000"/>
          <w:sz w:val="21"/>
          <w:szCs w:val="21"/>
          <w:shd w:val="clear" w:color="auto" w:fill="FFFFFF"/>
        </w:rPr>
        <w:t>locality pay area of Washington-Baltimore-Northern Virginia, DC-MD-VA-WV-PA</w:t>
      </w:r>
      <w:r w:rsidR="007C11BF">
        <w:rPr>
          <w:rFonts w:ascii="Georgia" w:hAnsi="Georgia"/>
          <w:color w:val="000000"/>
          <w:sz w:val="21"/>
          <w:szCs w:val="21"/>
          <w:shd w:val="clear" w:color="auto" w:fill="FFFFFF"/>
        </w:rPr>
        <w:t xml:space="preserve"> (</w:t>
      </w:r>
      <w:r w:rsidR="007C11BF" w:rsidRPr="0084199D">
        <w:rPr>
          <w:rFonts w:ascii="Georgia" w:hAnsi="Georgia"/>
          <w:i/>
          <w:color w:val="000000"/>
          <w:sz w:val="21"/>
          <w:szCs w:val="21"/>
          <w:shd w:val="clear" w:color="auto" w:fill="FFFFFF"/>
        </w:rPr>
        <w:t>https://www.opm.gov/policy-data-oversight/pay-leave/salaries-wages/salary-tables/pdf/2014/DCB_h.pdf</w:t>
      </w:r>
      <w:r w:rsidR="007C11BF">
        <w:rPr>
          <w:rFonts w:ascii="Georgia" w:hAnsi="Georgia"/>
          <w:color w:val="000000"/>
          <w:sz w:val="21"/>
          <w:szCs w:val="21"/>
          <w:shd w:val="clear" w:color="auto" w:fill="FFFFFF"/>
        </w:rPr>
        <w:t>)</w:t>
      </w:r>
      <w:r w:rsidR="00117107">
        <w:rPr>
          <w:sz w:val="24"/>
          <w:szCs w:val="24"/>
        </w:rPr>
        <w:t xml:space="preserve"> </w:t>
      </w:r>
      <w:r w:rsidR="00127766">
        <w:rPr>
          <w:sz w:val="24"/>
          <w:szCs w:val="24"/>
        </w:rPr>
        <w:t xml:space="preserve">for a step 5 GS-13 scientist </w:t>
      </w:r>
      <w:r w:rsidR="00117107">
        <w:rPr>
          <w:sz w:val="24"/>
          <w:szCs w:val="24"/>
        </w:rPr>
        <w:t>(</w:t>
      </w:r>
      <w:r w:rsidR="00127766">
        <w:rPr>
          <w:sz w:val="24"/>
          <w:szCs w:val="24"/>
        </w:rPr>
        <w:t>$48.</w:t>
      </w:r>
      <w:r w:rsidR="00CB012D">
        <w:rPr>
          <w:sz w:val="24"/>
          <w:szCs w:val="24"/>
        </w:rPr>
        <w:t>83</w:t>
      </w:r>
      <w:r w:rsidR="00117107">
        <w:rPr>
          <w:sz w:val="24"/>
          <w:szCs w:val="24"/>
        </w:rPr>
        <w:t>)</w:t>
      </w:r>
      <w:r w:rsidR="00127766">
        <w:rPr>
          <w:sz w:val="24"/>
          <w:szCs w:val="24"/>
        </w:rPr>
        <w:t xml:space="preserve"> multiplied by 1.5 to account for benefits ($</w:t>
      </w:r>
      <w:r w:rsidR="00CB012D">
        <w:rPr>
          <w:sz w:val="24"/>
          <w:szCs w:val="24"/>
        </w:rPr>
        <w:t>73.25</w:t>
      </w:r>
      <w:r w:rsidR="00127766">
        <w:rPr>
          <w:sz w:val="24"/>
          <w:szCs w:val="24"/>
        </w:rPr>
        <w:t>)</w:t>
      </w:r>
      <w:r w:rsidR="00117107">
        <w:rPr>
          <w:sz w:val="24"/>
          <w:szCs w:val="24"/>
        </w:rPr>
        <w:t>.</w:t>
      </w:r>
    </w:p>
    <w:p w14:paraId="00AE1BD9" w14:textId="77777777" w:rsidR="007C11BF" w:rsidRDefault="007C11BF" w:rsidP="00E44A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26F00B7" w14:textId="77777777" w:rsidR="00B57B27" w:rsidRDefault="00117107" w:rsidP="00EE48A1">
      <w:pPr>
        <w:widowControl/>
        <w:autoSpaceDE/>
        <w:autoSpaceDN/>
        <w:adjustRightInd/>
        <w:rPr>
          <w:b/>
          <w:sz w:val="24"/>
          <w:szCs w:val="24"/>
        </w:rPr>
      </w:pPr>
      <w:r w:rsidRPr="00E44A1B">
        <w:rPr>
          <w:b/>
          <w:sz w:val="24"/>
          <w:szCs w:val="24"/>
        </w:rPr>
        <w:t>Table 2.  Estimated annual</w:t>
      </w:r>
      <w:r>
        <w:rPr>
          <w:b/>
          <w:sz w:val="24"/>
          <w:szCs w:val="24"/>
        </w:rPr>
        <w:t xml:space="preserve"> </w:t>
      </w:r>
      <w:r w:rsidRPr="00E44A1B">
        <w:rPr>
          <w:b/>
          <w:sz w:val="24"/>
          <w:szCs w:val="24"/>
        </w:rPr>
        <w:t>cost to the Federal government.</w:t>
      </w:r>
    </w:p>
    <w:p w14:paraId="677B3EC0" w14:textId="77777777" w:rsidR="00A25B85" w:rsidRDefault="00A25B85" w:rsidP="00EE48A1">
      <w:pPr>
        <w:widowControl/>
        <w:autoSpaceDE/>
        <w:autoSpaceDN/>
        <w:adjustRightInd/>
        <w:rPr>
          <w:b/>
          <w:sz w:val="24"/>
          <w:szCs w:val="24"/>
        </w:rPr>
      </w:pPr>
    </w:p>
    <w:tbl>
      <w:tblPr>
        <w:tblW w:w="87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84"/>
        <w:gridCol w:w="126"/>
        <w:gridCol w:w="1458"/>
        <w:gridCol w:w="2052"/>
        <w:gridCol w:w="1908"/>
        <w:gridCol w:w="1602"/>
      </w:tblGrid>
      <w:tr w:rsidR="003E3270" w:rsidRPr="0073753C" w14:paraId="2E0B407A" w14:textId="77777777" w:rsidTr="000525D9">
        <w:trPr>
          <w:trHeight w:val="611"/>
        </w:trPr>
        <w:tc>
          <w:tcPr>
            <w:tcW w:w="1584" w:type="dxa"/>
            <w:tcBorders>
              <w:top w:val="single" w:sz="4" w:space="0" w:color="auto"/>
              <w:left w:val="single" w:sz="4" w:space="0" w:color="auto"/>
              <w:bottom w:val="single" w:sz="4" w:space="0" w:color="auto"/>
              <w:right w:val="nil"/>
            </w:tcBorders>
            <w:shd w:val="clear" w:color="auto" w:fill="auto"/>
            <w:vAlign w:val="center"/>
            <w:hideMark/>
          </w:tcPr>
          <w:p w14:paraId="7E234205" w14:textId="77777777" w:rsidR="00684ABE" w:rsidRPr="005E6520" w:rsidRDefault="00684ABE" w:rsidP="006066F9">
            <w:pPr>
              <w:rPr>
                <w:b/>
                <w:lang w:val="en-CA"/>
              </w:rPr>
            </w:pPr>
            <w:r w:rsidRPr="005E6520">
              <w:rPr>
                <w:b/>
                <w:lang w:val="en-CA"/>
              </w:rPr>
              <w:t>Activity</w:t>
            </w:r>
          </w:p>
        </w:tc>
        <w:tc>
          <w:tcPr>
            <w:tcW w:w="1584" w:type="dxa"/>
            <w:gridSpan w:val="2"/>
            <w:tcBorders>
              <w:top w:val="single" w:sz="4" w:space="0" w:color="auto"/>
              <w:left w:val="nil"/>
              <w:bottom w:val="single" w:sz="4" w:space="0" w:color="auto"/>
              <w:right w:val="nil"/>
            </w:tcBorders>
            <w:shd w:val="clear" w:color="auto" w:fill="auto"/>
          </w:tcPr>
          <w:p w14:paraId="29A8C27D" w14:textId="77777777" w:rsidR="00684ABE" w:rsidRDefault="00684ABE" w:rsidP="006066F9">
            <w:pPr>
              <w:jc w:val="center"/>
              <w:rPr>
                <w:b/>
                <w:lang w:val="en-CA"/>
              </w:rPr>
            </w:pPr>
            <w:r w:rsidRPr="005E6520">
              <w:rPr>
                <w:b/>
                <w:lang w:val="en-CA"/>
              </w:rPr>
              <w:t>Annual Number of Responses</w:t>
            </w:r>
          </w:p>
        </w:tc>
        <w:tc>
          <w:tcPr>
            <w:tcW w:w="2052" w:type="dxa"/>
            <w:tcBorders>
              <w:top w:val="single" w:sz="4" w:space="0" w:color="auto"/>
              <w:left w:val="nil"/>
              <w:bottom w:val="single" w:sz="4" w:space="0" w:color="auto"/>
              <w:right w:val="nil"/>
            </w:tcBorders>
            <w:shd w:val="clear" w:color="auto" w:fill="auto"/>
            <w:vAlign w:val="center"/>
            <w:hideMark/>
          </w:tcPr>
          <w:p w14:paraId="4A39F4E0" w14:textId="77777777" w:rsidR="00684ABE" w:rsidRPr="005E6520" w:rsidRDefault="00684ABE" w:rsidP="006066F9">
            <w:pPr>
              <w:jc w:val="center"/>
              <w:rPr>
                <w:b/>
                <w:lang w:val="en-CA"/>
              </w:rPr>
            </w:pPr>
            <w:r w:rsidRPr="005E6520">
              <w:rPr>
                <w:b/>
                <w:lang w:val="en-CA"/>
              </w:rPr>
              <w:t>Estimated Completion Time</w:t>
            </w:r>
            <w:r>
              <w:rPr>
                <w:b/>
                <w:lang w:val="en-CA"/>
              </w:rPr>
              <w:t xml:space="preserve"> for Activity (hours)</w:t>
            </w:r>
          </w:p>
        </w:tc>
        <w:tc>
          <w:tcPr>
            <w:tcW w:w="1908" w:type="dxa"/>
            <w:tcBorders>
              <w:top w:val="single" w:sz="4" w:space="0" w:color="auto"/>
              <w:left w:val="nil"/>
              <w:bottom w:val="single" w:sz="4" w:space="0" w:color="auto"/>
              <w:right w:val="nil"/>
            </w:tcBorders>
            <w:shd w:val="clear" w:color="auto" w:fill="auto"/>
            <w:vAlign w:val="center"/>
            <w:hideMark/>
          </w:tcPr>
          <w:p w14:paraId="2C740972" w14:textId="77777777" w:rsidR="00684ABE" w:rsidRPr="005E6520" w:rsidRDefault="00684ABE" w:rsidP="006066F9">
            <w:pPr>
              <w:jc w:val="center"/>
              <w:rPr>
                <w:b/>
                <w:lang w:val="en-CA"/>
              </w:rPr>
            </w:pPr>
            <w:r>
              <w:rPr>
                <w:b/>
                <w:lang w:val="en-CA"/>
              </w:rPr>
              <w:t>Dollar value/hour</w:t>
            </w:r>
          </w:p>
        </w:tc>
        <w:tc>
          <w:tcPr>
            <w:tcW w:w="1602" w:type="dxa"/>
            <w:tcBorders>
              <w:top w:val="single" w:sz="4" w:space="0" w:color="auto"/>
              <w:left w:val="nil"/>
              <w:bottom w:val="single" w:sz="4" w:space="0" w:color="auto"/>
              <w:right w:val="single" w:sz="4" w:space="0" w:color="auto"/>
            </w:tcBorders>
            <w:shd w:val="clear" w:color="auto" w:fill="auto"/>
            <w:vAlign w:val="center"/>
          </w:tcPr>
          <w:p w14:paraId="7A9B2C9B" w14:textId="77777777" w:rsidR="00684ABE" w:rsidRPr="005E6520" w:rsidRDefault="00684ABE" w:rsidP="006066F9">
            <w:pPr>
              <w:jc w:val="center"/>
              <w:rPr>
                <w:b/>
                <w:lang w:val="en-CA"/>
              </w:rPr>
            </w:pPr>
            <w:r>
              <w:rPr>
                <w:b/>
                <w:lang w:val="en-CA"/>
              </w:rPr>
              <w:t xml:space="preserve">Annual cost </w:t>
            </w:r>
          </w:p>
        </w:tc>
      </w:tr>
      <w:tr w:rsidR="003E3270" w:rsidRPr="0073753C" w14:paraId="4AEED8F3" w14:textId="77777777" w:rsidTr="00EB220F">
        <w:trPr>
          <w:trHeight w:val="611"/>
        </w:trPr>
        <w:tc>
          <w:tcPr>
            <w:tcW w:w="1710" w:type="dxa"/>
            <w:gridSpan w:val="2"/>
            <w:tcBorders>
              <w:top w:val="single" w:sz="4" w:space="0" w:color="auto"/>
              <w:left w:val="single" w:sz="4" w:space="0" w:color="auto"/>
              <w:bottom w:val="single" w:sz="4" w:space="0" w:color="auto"/>
              <w:right w:val="nil"/>
            </w:tcBorders>
            <w:shd w:val="clear" w:color="auto" w:fill="auto"/>
            <w:vAlign w:val="center"/>
            <w:hideMark/>
          </w:tcPr>
          <w:p w14:paraId="00B56011" w14:textId="203DB9F6" w:rsidR="00684ABE" w:rsidRPr="00684ABE" w:rsidRDefault="00684ABE" w:rsidP="006066F9">
            <w:pPr>
              <w:rPr>
                <w:b/>
                <w:lang w:val="en-CA"/>
              </w:rPr>
            </w:pPr>
            <w:r w:rsidRPr="00684ABE">
              <w:rPr>
                <w:b/>
                <w:lang w:val="en-CA"/>
              </w:rPr>
              <w:t>Year 1</w:t>
            </w:r>
            <w:r w:rsidR="00EB220F">
              <w:rPr>
                <w:b/>
                <w:lang w:val="en-CA"/>
              </w:rPr>
              <w:t xml:space="preserve"> (out of 5)</w:t>
            </w:r>
          </w:p>
          <w:p w14:paraId="49331430" w14:textId="77777777" w:rsidR="00684ABE" w:rsidRPr="00B82B92" w:rsidRDefault="00684ABE" w:rsidP="006066F9">
            <w:pPr>
              <w:rPr>
                <w:lang w:val="en-CA"/>
              </w:rPr>
            </w:pPr>
            <w:r w:rsidRPr="00B82B92">
              <w:rPr>
                <w:lang w:val="en-CA"/>
              </w:rPr>
              <w:t>Start-up costs (contractor)</w:t>
            </w:r>
          </w:p>
        </w:tc>
        <w:tc>
          <w:tcPr>
            <w:tcW w:w="1458" w:type="dxa"/>
            <w:tcBorders>
              <w:top w:val="single" w:sz="4" w:space="0" w:color="auto"/>
              <w:left w:val="nil"/>
              <w:bottom w:val="single" w:sz="4" w:space="0" w:color="auto"/>
              <w:right w:val="nil"/>
            </w:tcBorders>
            <w:shd w:val="clear" w:color="auto" w:fill="auto"/>
            <w:vAlign w:val="center"/>
          </w:tcPr>
          <w:p w14:paraId="479A4F21" w14:textId="77777777" w:rsidR="00684ABE" w:rsidRPr="00B82B92" w:rsidRDefault="00684ABE" w:rsidP="00684ABE">
            <w:pPr>
              <w:jc w:val="center"/>
              <w:rPr>
                <w:lang w:val="en-CA"/>
              </w:rPr>
            </w:pPr>
            <w:r w:rsidRPr="00B82B92">
              <w:rPr>
                <w:lang w:val="en-CA"/>
              </w:rPr>
              <w:t>-</w:t>
            </w:r>
          </w:p>
        </w:tc>
        <w:tc>
          <w:tcPr>
            <w:tcW w:w="2052" w:type="dxa"/>
            <w:tcBorders>
              <w:top w:val="single" w:sz="4" w:space="0" w:color="auto"/>
              <w:left w:val="nil"/>
              <w:bottom w:val="single" w:sz="4" w:space="0" w:color="auto"/>
              <w:right w:val="nil"/>
            </w:tcBorders>
            <w:shd w:val="clear" w:color="auto" w:fill="auto"/>
            <w:vAlign w:val="center"/>
            <w:hideMark/>
          </w:tcPr>
          <w:p w14:paraId="05DA7431" w14:textId="77777777" w:rsidR="00684ABE" w:rsidRPr="00B82B92" w:rsidRDefault="00684ABE" w:rsidP="00684ABE">
            <w:pPr>
              <w:jc w:val="center"/>
              <w:rPr>
                <w:lang w:val="en-CA"/>
              </w:rPr>
            </w:pPr>
            <w:r w:rsidRPr="00B82B92">
              <w:rPr>
                <w:lang w:val="en-CA"/>
              </w:rPr>
              <w:t>644</w:t>
            </w:r>
          </w:p>
        </w:tc>
        <w:tc>
          <w:tcPr>
            <w:tcW w:w="1908" w:type="dxa"/>
            <w:tcBorders>
              <w:top w:val="single" w:sz="4" w:space="0" w:color="auto"/>
              <w:left w:val="nil"/>
              <w:bottom w:val="single" w:sz="4" w:space="0" w:color="auto"/>
              <w:right w:val="nil"/>
            </w:tcBorders>
            <w:shd w:val="clear" w:color="auto" w:fill="auto"/>
            <w:vAlign w:val="center"/>
            <w:hideMark/>
          </w:tcPr>
          <w:p w14:paraId="28A82F0E" w14:textId="77777777" w:rsidR="00684ABE" w:rsidRPr="00B82B92" w:rsidRDefault="00684ABE" w:rsidP="00B82B92">
            <w:pPr>
              <w:jc w:val="center"/>
              <w:rPr>
                <w:lang w:val="en-CA"/>
              </w:rPr>
            </w:pPr>
            <w:r w:rsidRPr="00B82B92">
              <w:rPr>
                <w:lang w:val="en-CA"/>
              </w:rPr>
              <w:t>$62.11</w:t>
            </w:r>
          </w:p>
        </w:tc>
        <w:tc>
          <w:tcPr>
            <w:tcW w:w="1602" w:type="dxa"/>
            <w:tcBorders>
              <w:top w:val="single" w:sz="4" w:space="0" w:color="auto"/>
              <w:left w:val="nil"/>
              <w:bottom w:val="single" w:sz="4" w:space="0" w:color="auto"/>
              <w:right w:val="single" w:sz="4" w:space="0" w:color="auto"/>
            </w:tcBorders>
            <w:shd w:val="clear" w:color="auto" w:fill="auto"/>
            <w:vAlign w:val="center"/>
          </w:tcPr>
          <w:p w14:paraId="5721E8DA" w14:textId="77777777" w:rsidR="00684ABE" w:rsidRPr="00B82B92" w:rsidRDefault="00684ABE" w:rsidP="00B82B92">
            <w:pPr>
              <w:jc w:val="center"/>
              <w:rPr>
                <w:lang w:val="en-CA"/>
              </w:rPr>
            </w:pPr>
            <w:r w:rsidRPr="00B82B92">
              <w:rPr>
                <w:lang w:val="en-CA"/>
              </w:rPr>
              <w:t>$39,998.84</w:t>
            </w:r>
          </w:p>
        </w:tc>
      </w:tr>
      <w:tr w:rsidR="003E3270" w:rsidRPr="0073753C" w14:paraId="274CB6C3" w14:textId="77777777" w:rsidTr="00EB220F">
        <w:trPr>
          <w:trHeight w:val="611"/>
        </w:trPr>
        <w:tc>
          <w:tcPr>
            <w:tcW w:w="1710" w:type="dxa"/>
            <w:gridSpan w:val="2"/>
            <w:tcBorders>
              <w:top w:val="single" w:sz="4" w:space="0" w:color="auto"/>
              <w:left w:val="single" w:sz="4" w:space="0" w:color="auto"/>
              <w:bottom w:val="single" w:sz="4" w:space="0" w:color="auto"/>
              <w:right w:val="nil"/>
            </w:tcBorders>
            <w:shd w:val="clear" w:color="auto" w:fill="auto"/>
            <w:vAlign w:val="center"/>
            <w:hideMark/>
          </w:tcPr>
          <w:p w14:paraId="4805AF61" w14:textId="166AE91C" w:rsidR="00684ABE" w:rsidRPr="00B82B92" w:rsidRDefault="00684ABE" w:rsidP="00EB220F">
            <w:pPr>
              <w:rPr>
                <w:lang w:val="en-CA"/>
              </w:rPr>
            </w:pPr>
            <w:r w:rsidRPr="00B82B92">
              <w:rPr>
                <w:lang w:val="en-CA"/>
              </w:rPr>
              <w:t>Developmental costs</w:t>
            </w:r>
            <w:r w:rsidR="000525D9">
              <w:rPr>
                <w:lang w:val="en-CA"/>
              </w:rPr>
              <w:t xml:space="preserve"> </w:t>
            </w:r>
            <w:r w:rsidRPr="00B82B92">
              <w:rPr>
                <w:lang w:val="en-CA"/>
              </w:rPr>
              <w:t>(contractor)</w:t>
            </w:r>
          </w:p>
        </w:tc>
        <w:tc>
          <w:tcPr>
            <w:tcW w:w="1458" w:type="dxa"/>
            <w:tcBorders>
              <w:top w:val="single" w:sz="4" w:space="0" w:color="auto"/>
              <w:left w:val="nil"/>
              <w:bottom w:val="single" w:sz="4" w:space="0" w:color="auto"/>
              <w:right w:val="nil"/>
            </w:tcBorders>
            <w:shd w:val="clear" w:color="auto" w:fill="auto"/>
            <w:vAlign w:val="center"/>
          </w:tcPr>
          <w:p w14:paraId="1D25F28F" w14:textId="77777777" w:rsidR="00684ABE" w:rsidRPr="00B82B92" w:rsidRDefault="00684ABE" w:rsidP="00684ABE">
            <w:pPr>
              <w:jc w:val="center"/>
              <w:rPr>
                <w:lang w:val="en-CA"/>
              </w:rPr>
            </w:pPr>
            <w:r w:rsidRPr="00B82B92">
              <w:rPr>
                <w:lang w:val="en-CA"/>
              </w:rPr>
              <w:t>-</w:t>
            </w:r>
          </w:p>
        </w:tc>
        <w:tc>
          <w:tcPr>
            <w:tcW w:w="2052" w:type="dxa"/>
            <w:tcBorders>
              <w:top w:val="single" w:sz="4" w:space="0" w:color="auto"/>
              <w:left w:val="nil"/>
              <w:bottom w:val="single" w:sz="4" w:space="0" w:color="auto"/>
              <w:right w:val="nil"/>
            </w:tcBorders>
            <w:shd w:val="clear" w:color="auto" w:fill="auto"/>
            <w:vAlign w:val="center"/>
            <w:hideMark/>
          </w:tcPr>
          <w:p w14:paraId="53D71504" w14:textId="77777777" w:rsidR="00684ABE" w:rsidRPr="00B82B92" w:rsidRDefault="00684ABE" w:rsidP="00684ABE">
            <w:pPr>
              <w:jc w:val="center"/>
              <w:rPr>
                <w:lang w:val="en-CA"/>
              </w:rPr>
            </w:pPr>
            <w:r w:rsidRPr="00B82B92">
              <w:rPr>
                <w:lang w:val="en-CA"/>
              </w:rPr>
              <w:t>200</w:t>
            </w:r>
          </w:p>
        </w:tc>
        <w:tc>
          <w:tcPr>
            <w:tcW w:w="1908" w:type="dxa"/>
            <w:tcBorders>
              <w:top w:val="single" w:sz="4" w:space="0" w:color="auto"/>
              <w:left w:val="nil"/>
              <w:bottom w:val="single" w:sz="4" w:space="0" w:color="auto"/>
              <w:right w:val="nil"/>
            </w:tcBorders>
            <w:shd w:val="clear" w:color="auto" w:fill="auto"/>
            <w:vAlign w:val="center"/>
            <w:hideMark/>
          </w:tcPr>
          <w:p w14:paraId="7D4E15B6" w14:textId="77777777" w:rsidR="00684ABE" w:rsidRPr="00B82B92" w:rsidRDefault="00684ABE" w:rsidP="00B82B92">
            <w:pPr>
              <w:jc w:val="center"/>
              <w:rPr>
                <w:lang w:val="en-CA"/>
              </w:rPr>
            </w:pPr>
            <w:r w:rsidRPr="00B82B92">
              <w:rPr>
                <w:lang w:val="en-CA"/>
              </w:rPr>
              <w:t>$62.11</w:t>
            </w:r>
          </w:p>
        </w:tc>
        <w:tc>
          <w:tcPr>
            <w:tcW w:w="1602" w:type="dxa"/>
            <w:tcBorders>
              <w:top w:val="single" w:sz="4" w:space="0" w:color="auto"/>
              <w:left w:val="nil"/>
              <w:bottom w:val="single" w:sz="4" w:space="0" w:color="auto"/>
              <w:right w:val="single" w:sz="4" w:space="0" w:color="auto"/>
            </w:tcBorders>
            <w:shd w:val="clear" w:color="auto" w:fill="auto"/>
            <w:vAlign w:val="center"/>
          </w:tcPr>
          <w:p w14:paraId="37A3F076" w14:textId="77777777" w:rsidR="00684ABE" w:rsidRPr="00B82B92" w:rsidRDefault="00684ABE" w:rsidP="00B82B92">
            <w:pPr>
              <w:jc w:val="center"/>
              <w:rPr>
                <w:lang w:val="en-CA"/>
              </w:rPr>
            </w:pPr>
            <w:r w:rsidRPr="00B82B92">
              <w:rPr>
                <w:lang w:val="en-CA"/>
              </w:rPr>
              <w:t>$12,422.00</w:t>
            </w:r>
          </w:p>
        </w:tc>
      </w:tr>
      <w:tr w:rsidR="003E3270" w:rsidRPr="0073753C" w14:paraId="66E1518E" w14:textId="77777777" w:rsidTr="00EB220F">
        <w:trPr>
          <w:trHeight w:val="611"/>
        </w:trPr>
        <w:tc>
          <w:tcPr>
            <w:tcW w:w="1710" w:type="dxa"/>
            <w:gridSpan w:val="2"/>
            <w:tcBorders>
              <w:top w:val="single" w:sz="4" w:space="0" w:color="auto"/>
              <w:left w:val="single" w:sz="4" w:space="0" w:color="auto"/>
              <w:bottom w:val="single" w:sz="4" w:space="0" w:color="auto"/>
              <w:right w:val="nil"/>
            </w:tcBorders>
            <w:shd w:val="clear" w:color="auto" w:fill="auto"/>
            <w:vAlign w:val="center"/>
            <w:hideMark/>
          </w:tcPr>
          <w:p w14:paraId="450C0CCA" w14:textId="77777777" w:rsidR="00684ABE" w:rsidRPr="00B82B92" w:rsidRDefault="00684ABE" w:rsidP="006066F9">
            <w:pPr>
              <w:rPr>
                <w:lang w:val="en-CA"/>
              </w:rPr>
            </w:pPr>
            <w:r w:rsidRPr="00B82B92">
              <w:rPr>
                <w:lang w:val="en-CA"/>
              </w:rPr>
              <w:t xml:space="preserve">Supporting costs (agency) </w:t>
            </w:r>
          </w:p>
        </w:tc>
        <w:tc>
          <w:tcPr>
            <w:tcW w:w="1458" w:type="dxa"/>
            <w:tcBorders>
              <w:top w:val="single" w:sz="4" w:space="0" w:color="auto"/>
              <w:left w:val="nil"/>
              <w:bottom w:val="single" w:sz="4" w:space="0" w:color="auto"/>
              <w:right w:val="nil"/>
            </w:tcBorders>
            <w:shd w:val="clear" w:color="auto" w:fill="auto"/>
            <w:vAlign w:val="center"/>
          </w:tcPr>
          <w:p w14:paraId="7A5372D4" w14:textId="77777777" w:rsidR="00684ABE" w:rsidRPr="00B82B92" w:rsidRDefault="00684ABE" w:rsidP="00684ABE">
            <w:pPr>
              <w:jc w:val="center"/>
              <w:rPr>
                <w:lang w:val="en-CA"/>
              </w:rPr>
            </w:pPr>
            <w:r w:rsidRPr="00B82B92">
              <w:rPr>
                <w:lang w:val="en-CA"/>
              </w:rPr>
              <w:t>-</w:t>
            </w:r>
          </w:p>
        </w:tc>
        <w:tc>
          <w:tcPr>
            <w:tcW w:w="2052" w:type="dxa"/>
            <w:tcBorders>
              <w:top w:val="single" w:sz="4" w:space="0" w:color="auto"/>
              <w:left w:val="nil"/>
              <w:bottom w:val="single" w:sz="4" w:space="0" w:color="auto"/>
              <w:right w:val="nil"/>
            </w:tcBorders>
            <w:shd w:val="clear" w:color="auto" w:fill="auto"/>
            <w:vAlign w:val="center"/>
            <w:hideMark/>
          </w:tcPr>
          <w:p w14:paraId="6E6919DC" w14:textId="77777777" w:rsidR="00684ABE" w:rsidRPr="00B82B92" w:rsidRDefault="00684ABE" w:rsidP="00684ABE">
            <w:pPr>
              <w:jc w:val="center"/>
              <w:rPr>
                <w:lang w:val="en-CA"/>
              </w:rPr>
            </w:pPr>
            <w:r w:rsidRPr="00B82B92">
              <w:rPr>
                <w:lang w:val="en-CA"/>
              </w:rPr>
              <w:t>52</w:t>
            </w:r>
          </w:p>
        </w:tc>
        <w:tc>
          <w:tcPr>
            <w:tcW w:w="1908" w:type="dxa"/>
            <w:tcBorders>
              <w:top w:val="single" w:sz="4" w:space="0" w:color="auto"/>
              <w:left w:val="nil"/>
              <w:bottom w:val="single" w:sz="4" w:space="0" w:color="auto"/>
              <w:right w:val="nil"/>
            </w:tcBorders>
            <w:shd w:val="clear" w:color="auto" w:fill="auto"/>
            <w:vAlign w:val="center"/>
            <w:hideMark/>
          </w:tcPr>
          <w:p w14:paraId="51120E06" w14:textId="77777777" w:rsidR="00684ABE" w:rsidRPr="00B82B92" w:rsidRDefault="00684ABE" w:rsidP="002662FB">
            <w:pPr>
              <w:jc w:val="center"/>
              <w:rPr>
                <w:lang w:val="en-CA"/>
              </w:rPr>
            </w:pPr>
            <w:r w:rsidRPr="00B82B92">
              <w:rPr>
                <w:lang w:val="en-CA"/>
              </w:rPr>
              <w:t>$</w:t>
            </w:r>
            <w:r w:rsidR="002662FB">
              <w:rPr>
                <w:lang w:val="en-CA"/>
              </w:rPr>
              <w:t>112.92</w:t>
            </w:r>
          </w:p>
        </w:tc>
        <w:tc>
          <w:tcPr>
            <w:tcW w:w="1602" w:type="dxa"/>
            <w:tcBorders>
              <w:top w:val="single" w:sz="4" w:space="0" w:color="auto"/>
              <w:left w:val="nil"/>
              <w:bottom w:val="single" w:sz="4" w:space="0" w:color="auto"/>
              <w:right w:val="single" w:sz="4" w:space="0" w:color="auto"/>
            </w:tcBorders>
            <w:shd w:val="clear" w:color="auto" w:fill="auto"/>
            <w:vAlign w:val="center"/>
          </w:tcPr>
          <w:p w14:paraId="3CB0D4D2" w14:textId="77777777" w:rsidR="00684ABE" w:rsidRPr="00B82B92" w:rsidRDefault="00684ABE" w:rsidP="002662FB">
            <w:pPr>
              <w:jc w:val="center"/>
              <w:rPr>
                <w:lang w:val="en-CA"/>
              </w:rPr>
            </w:pPr>
            <w:r w:rsidRPr="00B82B92">
              <w:rPr>
                <w:lang w:val="en-CA"/>
              </w:rPr>
              <w:t>$5,</w:t>
            </w:r>
            <w:r w:rsidR="002662FB">
              <w:rPr>
                <w:lang w:val="en-CA"/>
              </w:rPr>
              <w:t>871.84</w:t>
            </w:r>
          </w:p>
        </w:tc>
      </w:tr>
      <w:tr w:rsidR="003E3270" w:rsidRPr="0073753C" w14:paraId="0502780D" w14:textId="77777777" w:rsidTr="00EB220F">
        <w:trPr>
          <w:trHeight w:val="611"/>
        </w:trPr>
        <w:tc>
          <w:tcPr>
            <w:tcW w:w="1710" w:type="dxa"/>
            <w:gridSpan w:val="2"/>
            <w:tcBorders>
              <w:top w:val="single" w:sz="4" w:space="0" w:color="auto"/>
              <w:left w:val="single" w:sz="4" w:space="0" w:color="auto"/>
              <w:bottom w:val="single" w:sz="4" w:space="0" w:color="auto"/>
              <w:right w:val="nil"/>
            </w:tcBorders>
            <w:shd w:val="clear" w:color="auto" w:fill="auto"/>
            <w:vAlign w:val="center"/>
            <w:hideMark/>
          </w:tcPr>
          <w:p w14:paraId="6D02A98C" w14:textId="77777777" w:rsidR="00684ABE" w:rsidRPr="00B82B92" w:rsidRDefault="00684ABE" w:rsidP="006066F9">
            <w:pPr>
              <w:rPr>
                <w:lang w:val="en-CA"/>
              </w:rPr>
            </w:pPr>
            <w:r w:rsidRPr="00B82B92">
              <w:rPr>
                <w:lang w:val="en-CA"/>
              </w:rPr>
              <w:t xml:space="preserve">Federal burden hours (agencies) </w:t>
            </w:r>
          </w:p>
        </w:tc>
        <w:tc>
          <w:tcPr>
            <w:tcW w:w="1458" w:type="dxa"/>
            <w:tcBorders>
              <w:top w:val="single" w:sz="4" w:space="0" w:color="auto"/>
              <w:left w:val="nil"/>
              <w:bottom w:val="single" w:sz="4" w:space="0" w:color="auto"/>
              <w:right w:val="nil"/>
            </w:tcBorders>
            <w:shd w:val="clear" w:color="auto" w:fill="auto"/>
            <w:vAlign w:val="center"/>
          </w:tcPr>
          <w:p w14:paraId="1A2F4E75" w14:textId="77777777" w:rsidR="00684ABE" w:rsidRPr="00B82B92" w:rsidRDefault="00684ABE" w:rsidP="00684ABE">
            <w:pPr>
              <w:jc w:val="center"/>
              <w:rPr>
                <w:lang w:val="en-CA"/>
              </w:rPr>
            </w:pPr>
            <w:r w:rsidRPr="00B82B92">
              <w:rPr>
                <w:lang w:val="en-CA"/>
              </w:rPr>
              <w:t>1200</w:t>
            </w:r>
          </w:p>
        </w:tc>
        <w:tc>
          <w:tcPr>
            <w:tcW w:w="2052" w:type="dxa"/>
            <w:tcBorders>
              <w:top w:val="single" w:sz="4" w:space="0" w:color="auto"/>
              <w:left w:val="nil"/>
              <w:bottom w:val="single" w:sz="4" w:space="0" w:color="auto"/>
              <w:right w:val="nil"/>
            </w:tcBorders>
            <w:shd w:val="clear" w:color="auto" w:fill="auto"/>
            <w:vAlign w:val="center"/>
            <w:hideMark/>
          </w:tcPr>
          <w:p w14:paraId="23E195E1" w14:textId="77777777" w:rsidR="00684ABE" w:rsidRPr="00B82B92" w:rsidRDefault="00684ABE" w:rsidP="00684ABE">
            <w:pPr>
              <w:jc w:val="center"/>
              <w:rPr>
                <w:lang w:val="en-CA"/>
              </w:rPr>
            </w:pPr>
            <w:r w:rsidRPr="00B82B92">
              <w:rPr>
                <w:lang w:val="en-CA"/>
              </w:rPr>
              <w:t>1200</w:t>
            </w:r>
          </w:p>
        </w:tc>
        <w:tc>
          <w:tcPr>
            <w:tcW w:w="1908" w:type="dxa"/>
            <w:tcBorders>
              <w:top w:val="single" w:sz="4" w:space="0" w:color="auto"/>
              <w:left w:val="nil"/>
              <w:bottom w:val="single" w:sz="4" w:space="0" w:color="auto"/>
              <w:right w:val="nil"/>
            </w:tcBorders>
            <w:shd w:val="clear" w:color="auto" w:fill="auto"/>
            <w:vAlign w:val="center"/>
            <w:hideMark/>
          </w:tcPr>
          <w:p w14:paraId="203F9522" w14:textId="77777777" w:rsidR="00684ABE" w:rsidRPr="00B82B92" w:rsidRDefault="00684ABE" w:rsidP="002662FB">
            <w:pPr>
              <w:jc w:val="center"/>
              <w:rPr>
                <w:lang w:val="en-CA"/>
              </w:rPr>
            </w:pPr>
            <w:r w:rsidRPr="00B82B92">
              <w:rPr>
                <w:lang w:val="en-CA"/>
              </w:rPr>
              <w:t>$</w:t>
            </w:r>
            <w:r w:rsidR="002662FB">
              <w:rPr>
                <w:lang w:val="en-CA"/>
              </w:rPr>
              <w:t>73.25</w:t>
            </w:r>
          </w:p>
        </w:tc>
        <w:tc>
          <w:tcPr>
            <w:tcW w:w="1602" w:type="dxa"/>
            <w:tcBorders>
              <w:top w:val="single" w:sz="4" w:space="0" w:color="auto"/>
              <w:left w:val="nil"/>
              <w:bottom w:val="single" w:sz="4" w:space="0" w:color="auto"/>
              <w:right w:val="single" w:sz="4" w:space="0" w:color="auto"/>
            </w:tcBorders>
            <w:shd w:val="clear" w:color="auto" w:fill="auto"/>
            <w:vAlign w:val="center"/>
          </w:tcPr>
          <w:p w14:paraId="4248FC43" w14:textId="77777777" w:rsidR="00684ABE" w:rsidRPr="00B82B92" w:rsidRDefault="00684ABE" w:rsidP="002662FB">
            <w:pPr>
              <w:jc w:val="center"/>
              <w:rPr>
                <w:lang w:val="en-CA"/>
              </w:rPr>
            </w:pPr>
            <w:r w:rsidRPr="00B82B92">
              <w:rPr>
                <w:lang w:val="en-CA"/>
              </w:rPr>
              <w:t>$87,</w:t>
            </w:r>
            <w:r w:rsidR="002662FB">
              <w:rPr>
                <w:lang w:val="en-CA"/>
              </w:rPr>
              <w:t>894</w:t>
            </w:r>
            <w:r w:rsidRPr="00B82B92">
              <w:rPr>
                <w:lang w:val="en-CA"/>
              </w:rPr>
              <w:t>.00</w:t>
            </w:r>
          </w:p>
        </w:tc>
      </w:tr>
      <w:tr w:rsidR="003E3270" w:rsidRPr="00A25B85" w14:paraId="6A3508C4" w14:textId="77777777" w:rsidTr="000525D9">
        <w:trPr>
          <w:trHeight w:val="611"/>
        </w:trPr>
        <w:tc>
          <w:tcPr>
            <w:tcW w:w="3168" w:type="dxa"/>
            <w:gridSpan w:val="3"/>
            <w:tcBorders>
              <w:top w:val="single" w:sz="4" w:space="0" w:color="auto"/>
              <w:left w:val="single" w:sz="4" w:space="0" w:color="auto"/>
              <w:bottom w:val="single" w:sz="4" w:space="0" w:color="auto"/>
              <w:right w:val="nil"/>
            </w:tcBorders>
            <w:shd w:val="clear" w:color="auto" w:fill="auto"/>
            <w:vAlign w:val="center"/>
          </w:tcPr>
          <w:p w14:paraId="4AC438CE" w14:textId="77777777" w:rsidR="00B82B92" w:rsidRPr="00B82B92" w:rsidRDefault="00B82B92" w:rsidP="00A25B85">
            <w:pPr>
              <w:rPr>
                <w:lang w:val="en-CA"/>
              </w:rPr>
            </w:pPr>
            <w:r>
              <w:rPr>
                <w:b/>
                <w:lang w:val="en-CA"/>
              </w:rPr>
              <w:t xml:space="preserve">TOTAL </w:t>
            </w:r>
            <w:r w:rsidR="00980504">
              <w:rPr>
                <w:b/>
                <w:lang w:val="en-CA"/>
              </w:rPr>
              <w:t>(</w:t>
            </w:r>
            <w:r>
              <w:rPr>
                <w:b/>
                <w:lang w:val="en-CA"/>
              </w:rPr>
              <w:t>YEAR ONE</w:t>
            </w:r>
            <w:r w:rsidR="00980504">
              <w:rPr>
                <w:b/>
                <w:lang w:val="en-CA"/>
              </w:rPr>
              <w:t>)</w:t>
            </w:r>
          </w:p>
        </w:tc>
        <w:tc>
          <w:tcPr>
            <w:tcW w:w="2052" w:type="dxa"/>
            <w:tcBorders>
              <w:top w:val="single" w:sz="4" w:space="0" w:color="auto"/>
              <w:left w:val="nil"/>
              <w:bottom w:val="single" w:sz="4" w:space="0" w:color="auto"/>
              <w:right w:val="nil"/>
            </w:tcBorders>
            <w:shd w:val="clear" w:color="auto" w:fill="auto"/>
            <w:vAlign w:val="center"/>
          </w:tcPr>
          <w:p w14:paraId="64C40582" w14:textId="77777777" w:rsidR="00B82B92" w:rsidRPr="00B82B92" w:rsidRDefault="00B82B92" w:rsidP="00684ABE">
            <w:pPr>
              <w:jc w:val="center"/>
              <w:rPr>
                <w:lang w:val="en-CA"/>
              </w:rPr>
            </w:pPr>
          </w:p>
        </w:tc>
        <w:tc>
          <w:tcPr>
            <w:tcW w:w="1908" w:type="dxa"/>
            <w:tcBorders>
              <w:top w:val="single" w:sz="4" w:space="0" w:color="auto"/>
              <w:left w:val="nil"/>
              <w:bottom w:val="single" w:sz="4" w:space="0" w:color="auto"/>
              <w:right w:val="nil"/>
            </w:tcBorders>
            <w:shd w:val="clear" w:color="auto" w:fill="auto"/>
            <w:vAlign w:val="center"/>
          </w:tcPr>
          <w:p w14:paraId="4F1441CA" w14:textId="77777777" w:rsidR="00B82B92" w:rsidRPr="00B82B92" w:rsidRDefault="00B82B92" w:rsidP="00B82B92">
            <w:pPr>
              <w:jc w:val="center"/>
              <w:rPr>
                <w:lang w:val="en-CA"/>
              </w:rPr>
            </w:pPr>
          </w:p>
        </w:tc>
        <w:tc>
          <w:tcPr>
            <w:tcW w:w="1602" w:type="dxa"/>
            <w:tcBorders>
              <w:top w:val="single" w:sz="4" w:space="0" w:color="auto"/>
              <w:left w:val="nil"/>
              <w:bottom w:val="single" w:sz="4" w:space="0" w:color="auto"/>
              <w:right w:val="single" w:sz="4" w:space="0" w:color="auto"/>
            </w:tcBorders>
            <w:shd w:val="clear" w:color="auto" w:fill="auto"/>
            <w:vAlign w:val="center"/>
          </w:tcPr>
          <w:p w14:paraId="572CBBFF" w14:textId="77777777" w:rsidR="00B82B92" w:rsidRPr="00A25B85" w:rsidRDefault="00B82B92" w:rsidP="002662FB">
            <w:pPr>
              <w:jc w:val="center"/>
              <w:rPr>
                <w:b/>
                <w:lang w:val="en-CA"/>
              </w:rPr>
            </w:pPr>
            <w:r w:rsidRPr="00A25B85">
              <w:rPr>
                <w:b/>
                <w:lang w:val="en-CA"/>
              </w:rPr>
              <w:t>$</w:t>
            </w:r>
            <w:r w:rsidR="002662FB">
              <w:rPr>
                <w:b/>
                <w:lang w:val="en-CA"/>
              </w:rPr>
              <w:t>146,186</w:t>
            </w:r>
            <w:r w:rsidRPr="00A25B85">
              <w:rPr>
                <w:b/>
                <w:lang w:val="en-CA"/>
              </w:rPr>
              <w:t>.</w:t>
            </w:r>
            <w:r w:rsidR="002662FB">
              <w:rPr>
                <w:b/>
                <w:lang w:val="en-CA"/>
              </w:rPr>
              <w:t>6</w:t>
            </w:r>
            <w:r w:rsidR="002662FB" w:rsidRPr="00A25B85">
              <w:rPr>
                <w:b/>
                <w:lang w:val="en-CA"/>
              </w:rPr>
              <w:t>8</w:t>
            </w:r>
          </w:p>
        </w:tc>
      </w:tr>
      <w:tr w:rsidR="003E3270" w:rsidRPr="0073753C" w14:paraId="0DBD4AA0" w14:textId="77777777" w:rsidTr="000525D9">
        <w:trPr>
          <w:trHeight w:val="611"/>
        </w:trPr>
        <w:tc>
          <w:tcPr>
            <w:tcW w:w="1584" w:type="dxa"/>
            <w:tcBorders>
              <w:top w:val="single" w:sz="4" w:space="0" w:color="auto"/>
              <w:left w:val="single" w:sz="4" w:space="0" w:color="auto"/>
              <w:bottom w:val="single" w:sz="4" w:space="0" w:color="auto"/>
              <w:right w:val="nil"/>
            </w:tcBorders>
            <w:shd w:val="clear" w:color="auto" w:fill="auto"/>
            <w:vAlign w:val="center"/>
            <w:hideMark/>
          </w:tcPr>
          <w:p w14:paraId="0F9E2CF6" w14:textId="2531482B" w:rsidR="00684ABE" w:rsidRPr="00684ABE" w:rsidRDefault="00684ABE" w:rsidP="006066F9">
            <w:pPr>
              <w:rPr>
                <w:b/>
                <w:lang w:val="en-CA"/>
              </w:rPr>
            </w:pPr>
            <w:r w:rsidRPr="00684ABE">
              <w:rPr>
                <w:b/>
                <w:lang w:val="en-CA"/>
              </w:rPr>
              <w:t>Years 2-</w:t>
            </w:r>
            <w:r w:rsidR="00E60F7E">
              <w:rPr>
                <w:b/>
                <w:lang w:val="en-CA"/>
              </w:rPr>
              <w:t>3</w:t>
            </w:r>
            <w:r w:rsidR="004725D9">
              <w:rPr>
                <w:b/>
                <w:lang w:val="en-CA"/>
              </w:rPr>
              <w:t xml:space="preserve"> (</w:t>
            </w:r>
            <w:r w:rsidR="00EB220F">
              <w:rPr>
                <w:b/>
                <w:lang w:val="en-CA"/>
              </w:rPr>
              <w:t>out of 5</w:t>
            </w:r>
            <w:r w:rsidR="004725D9">
              <w:rPr>
                <w:b/>
                <w:lang w:val="en-CA"/>
              </w:rPr>
              <w:t>)</w:t>
            </w:r>
          </w:p>
          <w:p w14:paraId="422F801B" w14:textId="77777777" w:rsidR="00684ABE" w:rsidRPr="00B82B92" w:rsidRDefault="00684ABE" w:rsidP="006066F9">
            <w:pPr>
              <w:rPr>
                <w:lang w:val="en-CA"/>
              </w:rPr>
            </w:pPr>
            <w:r w:rsidRPr="00B82B92">
              <w:rPr>
                <w:lang w:val="en-CA"/>
              </w:rPr>
              <w:t>Developmental costs (contractor)</w:t>
            </w:r>
          </w:p>
        </w:tc>
        <w:tc>
          <w:tcPr>
            <w:tcW w:w="1584" w:type="dxa"/>
            <w:gridSpan w:val="2"/>
            <w:tcBorders>
              <w:top w:val="single" w:sz="4" w:space="0" w:color="auto"/>
              <w:left w:val="nil"/>
              <w:bottom w:val="single" w:sz="4" w:space="0" w:color="auto"/>
              <w:right w:val="nil"/>
            </w:tcBorders>
            <w:shd w:val="clear" w:color="auto" w:fill="auto"/>
            <w:vAlign w:val="center"/>
          </w:tcPr>
          <w:p w14:paraId="33526221" w14:textId="77777777" w:rsidR="00684ABE" w:rsidRPr="00B82B92" w:rsidRDefault="00684ABE" w:rsidP="00684ABE">
            <w:pPr>
              <w:jc w:val="center"/>
              <w:rPr>
                <w:lang w:val="en-CA"/>
              </w:rPr>
            </w:pPr>
            <w:r w:rsidRPr="00B82B92">
              <w:rPr>
                <w:lang w:val="en-CA"/>
              </w:rPr>
              <w:t>-</w:t>
            </w:r>
          </w:p>
        </w:tc>
        <w:tc>
          <w:tcPr>
            <w:tcW w:w="2052" w:type="dxa"/>
            <w:tcBorders>
              <w:top w:val="single" w:sz="4" w:space="0" w:color="auto"/>
              <w:left w:val="nil"/>
              <w:bottom w:val="single" w:sz="4" w:space="0" w:color="auto"/>
              <w:right w:val="nil"/>
            </w:tcBorders>
            <w:shd w:val="clear" w:color="auto" w:fill="auto"/>
            <w:vAlign w:val="center"/>
            <w:hideMark/>
          </w:tcPr>
          <w:p w14:paraId="7A8B490D" w14:textId="77777777" w:rsidR="00684ABE" w:rsidRPr="00B82B92" w:rsidRDefault="00684ABE" w:rsidP="00684ABE">
            <w:pPr>
              <w:jc w:val="center"/>
              <w:rPr>
                <w:lang w:val="en-CA"/>
              </w:rPr>
            </w:pPr>
            <w:r w:rsidRPr="00B82B92">
              <w:rPr>
                <w:lang w:val="en-CA"/>
              </w:rPr>
              <w:t>200</w:t>
            </w:r>
          </w:p>
        </w:tc>
        <w:tc>
          <w:tcPr>
            <w:tcW w:w="1908" w:type="dxa"/>
            <w:tcBorders>
              <w:top w:val="single" w:sz="4" w:space="0" w:color="auto"/>
              <w:left w:val="nil"/>
              <w:bottom w:val="single" w:sz="4" w:space="0" w:color="auto"/>
              <w:right w:val="nil"/>
            </w:tcBorders>
            <w:shd w:val="clear" w:color="auto" w:fill="auto"/>
            <w:vAlign w:val="center"/>
            <w:hideMark/>
          </w:tcPr>
          <w:p w14:paraId="4C7E7959" w14:textId="77777777" w:rsidR="00684ABE" w:rsidRPr="00B82B92" w:rsidRDefault="00684ABE" w:rsidP="00B82B92">
            <w:pPr>
              <w:jc w:val="center"/>
              <w:rPr>
                <w:lang w:val="en-CA"/>
              </w:rPr>
            </w:pPr>
            <w:r w:rsidRPr="00B82B92">
              <w:rPr>
                <w:lang w:val="en-CA"/>
              </w:rPr>
              <w:t>$62.11</w:t>
            </w:r>
          </w:p>
        </w:tc>
        <w:tc>
          <w:tcPr>
            <w:tcW w:w="1602" w:type="dxa"/>
            <w:tcBorders>
              <w:top w:val="single" w:sz="4" w:space="0" w:color="auto"/>
              <w:left w:val="nil"/>
              <w:bottom w:val="single" w:sz="4" w:space="0" w:color="auto"/>
              <w:right w:val="single" w:sz="4" w:space="0" w:color="auto"/>
            </w:tcBorders>
            <w:shd w:val="clear" w:color="auto" w:fill="auto"/>
            <w:vAlign w:val="center"/>
          </w:tcPr>
          <w:p w14:paraId="2B022E77" w14:textId="77777777" w:rsidR="00684ABE" w:rsidRPr="00B82B92" w:rsidRDefault="00684ABE" w:rsidP="00B82B92">
            <w:pPr>
              <w:jc w:val="center"/>
              <w:rPr>
                <w:lang w:val="en-CA"/>
              </w:rPr>
            </w:pPr>
            <w:r w:rsidRPr="00B82B92">
              <w:rPr>
                <w:lang w:val="en-CA"/>
              </w:rPr>
              <w:t>$12,422.00</w:t>
            </w:r>
          </w:p>
        </w:tc>
      </w:tr>
      <w:tr w:rsidR="003E3270" w:rsidRPr="0073753C" w14:paraId="082D907C" w14:textId="77777777" w:rsidTr="000525D9">
        <w:trPr>
          <w:trHeight w:val="611"/>
        </w:trPr>
        <w:tc>
          <w:tcPr>
            <w:tcW w:w="1584" w:type="dxa"/>
            <w:tcBorders>
              <w:top w:val="single" w:sz="4" w:space="0" w:color="auto"/>
              <w:left w:val="single" w:sz="4" w:space="0" w:color="auto"/>
              <w:bottom w:val="single" w:sz="4" w:space="0" w:color="auto"/>
              <w:right w:val="nil"/>
            </w:tcBorders>
            <w:shd w:val="clear" w:color="auto" w:fill="auto"/>
            <w:vAlign w:val="center"/>
            <w:hideMark/>
          </w:tcPr>
          <w:p w14:paraId="31E482DD" w14:textId="77777777" w:rsidR="00684ABE" w:rsidRPr="00B82B92" w:rsidRDefault="00684ABE" w:rsidP="006066F9">
            <w:pPr>
              <w:rPr>
                <w:lang w:val="en-CA"/>
              </w:rPr>
            </w:pPr>
            <w:r w:rsidRPr="00B82B92">
              <w:rPr>
                <w:lang w:val="en-CA"/>
              </w:rPr>
              <w:t xml:space="preserve">Supporting costs (agency) </w:t>
            </w:r>
          </w:p>
        </w:tc>
        <w:tc>
          <w:tcPr>
            <w:tcW w:w="1584" w:type="dxa"/>
            <w:gridSpan w:val="2"/>
            <w:tcBorders>
              <w:top w:val="single" w:sz="4" w:space="0" w:color="auto"/>
              <w:left w:val="nil"/>
              <w:bottom w:val="single" w:sz="4" w:space="0" w:color="auto"/>
              <w:right w:val="nil"/>
            </w:tcBorders>
            <w:shd w:val="clear" w:color="auto" w:fill="auto"/>
            <w:vAlign w:val="center"/>
          </w:tcPr>
          <w:p w14:paraId="267D2E9B" w14:textId="77777777" w:rsidR="00684ABE" w:rsidRPr="00B82B92" w:rsidRDefault="00684ABE" w:rsidP="00684ABE">
            <w:pPr>
              <w:jc w:val="center"/>
              <w:rPr>
                <w:lang w:val="en-CA"/>
              </w:rPr>
            </w:pPr>
            <w:r w:rsidRPr="00B82B92">
              <w:rPr>
                <w:lang w:val="en-CA"/>
              </w:rPr>
              <w:t>-</w:t>
            </w:r>
          </w:p>
        </w:tc>
        <w:tc>
          <w:tcPr>
            <w:tcW w:w="2052" w:type="dxa"/>
            <w:tcBorders>
              <w:top w:val="single" w:sz="4" w:space="0" w:color="auto"/>
              <w:left w:val="nil"/>
              <w:bottom w:val="single" w:sz="4" w:space="0" w:color="auto"/>
              <w:right w:val="nil"/>
            </w:tcBorders>
            <w:shd w:val="clear" w:color="auto" w:fill="auto"/>
            <w:vAlign w:val="center"/>
            <w:hideMark/>
          </w:tcPr>
          <w:p w14:paraId="2B71AD60" w14:textId="77777777" w:rsidR="00684ABE" w:rsidRPr="00B82B92" w:rsidRDefault="00684ABE" w:rsidP="00684ABE">
            <w:pPr>
              <w:jc w:val="center"/>
              <w:rPr>
                <w:lang w:val="en-CA"/>
              </w:rPr>
            </w:pPr>
            <w:r w:rsidRPr="00B82B92">
              <w:rPr>
                <w:lang w:val="en-CA"/>
              </w:rPr>
              <w:t>52</w:t>
            </w:r>
          </w:p>
        </w:tc>
        <w:tc>
          <w:tcPr>
            <w:tcW w:w="1908" w:type="dxa"/>
            <w:tcBorders>
              <w:top w:val="single" w:sz="4" w:space="0" w:color="auto"/>
              <w:left w:val="nil"/>
              <w:bottom w:val="single" w:sz="4" w:space="0" w:color="auto"/>
              <w:right w:val="nil"/>
            </w:tcBorders>
            <w:shd w:val="clear" w:color="auto" w:fill="auto"/>
            <w:vAlign w:val="center"/>
            <w:hideMark/>
          </w:tcPr>
          <w:p w14:paraId="43151723" w14:textId="77777777" w:rsidR="00684ABE" w:rsidRPr="00B82B92" w:rsidRDefault="00684ABE" w:rsidP="002662FB">
            <w:pPr>
              <w:jc w:val="center"/>
              <w:rPr>
                <w:lang w:val="en-CA"/>
              </w:rPr>
            </w:pPr>
            <w:r w:rsidRPr="00B82B92">
              <w:rPr>
                <w:lang w:val="en-CA"/>
              </w:rPr>
              <w:t>$</w:t>
            </w:r>
            <w:r w:rsidR="002662FB">
              <w:rPr>
                <w:lang w:val="en-CA"/>
              </w:rPr>
              <w:t>112.92</w:t>
            </w:r>
          </w:p>
        </w:tc>
        <w:tc>
          <w:tcPr>
            <w:tcW w:w="1602" w:type="dxa"/>
            <w:tcBorders>
              <w:top w:val="single" w:sz="4" w:space="0" w:color="auto"/>
              <w:left w:val="nil"/>
              <w:bottom w:val="single" w:sz="4" w:space="0" w:color="auto"/>
              <w:right w:val="single" w:sz="4" w:space="0" w:color="auto"/>
            </w:tcBorders>
            <w:shd w:val="clear" w:color="auto" w:fill="auto"/>
            <w:vAlign w:val="center"/>
          </w:tcPr>
          <w:p w14:paraId="1B257CB3" w14:textId="77777777" w:rsidR="00684ABE" w:rsidRPr="00B82B92" w:rsidRDefault="00684ABE" w:rsidP="002662FB">
            <w:pPr>
              <w:jc w:val="center"/>
              <w:rPr>
                <w:lang w:val="en-CA"/>
              </w:rPr>
            </w:pPr>
            <w:r w:rsidRPr="00B82B92">
              <w:rPr>
                <w:lang w:val="en-CA"/>
              </w:rPr>
              <w:t>$</w:t>
            </w:r>
            <w:r w:rsidR="002662FB">
              <w:rPr>
                <w:lang w:val="en-CA"/>
              </w:rPr>
              <w:t>5,871.84</w:t>
            </w:r>
          </w:p>
        </w:tc>
      </w:tr>
      <w:tr w:rsidR="003E3270" w:rsidRPr="0073753C" w14:paraId="6D23E2AC" w14:textId="77777777" w:rsidTr="000525D9">
        <w:trPr>
          <w:trHeight w:val="611"/>
        </w:trPr>
        <w:tc>
          <w:tcPr>
            <w:tcW w:w="1584" w:type="dxa"/>
            <w:tcBorders>
              <w:top w:val="single" w:sz="4" w:space="0" w:color="auto"/>
              <w:left w:val="single" w:sz="4" w:space="0" w:color="auto"/>
              <w:bottom w:val="single" w:sz="4" w:space="0" w:color="auto"/>
              <w:right w:val="nil"/>
            </w:tcBorders>
            <w:shd w:val="clear" w:color="auto" w:fill="auto"/>
            <w:vAlign w:val="center"/>
            <w:hideMark/>
          </w:tcPr>
          <w:p w14:paraId="570C9407" w14:textId="77777777" w:rsidR="00684ABE" w:rsidRPr="00B82B92" w:rsidRDefault="00684ABE" w:rsidP="006066F9">
            <w:pPr>
              <w:rPr>
                <w:lang w:val="en-CA"/>
              </w:rPr>
            </w:pPr>
            <w:r w:rsidRPr="00B82B92">
              <w:rPr>
                <w:lang w:val="en-CA"/>
              </w:rPr>
              <w:t xml:space="preserve">Federal burden hours (agencies) </w:t>
            </w:r>
          </w:p>
        </w:tc>
        <w:tc>
          <w:tcPr>
            <w:tcW w:w="1584" w:type="dxa"/>
            <w:gridSpan w:val="2"/>
            <w:tcBorders>
              <w:top w:val="single" w:sz="4" w:space="0" w:color="auto"/>
              <w:left w:val="nil"/>
              <w:bottom w:val="single" w:sz="4" w:space="0" w:color="auto"/>
              <w:right w:val="nil"/>
            </w:tcBorders>
            <w:shd w:val="clear" w:color="auto" w:fill="auto"/>
            <w:vAlign w:val="center"/>
          </w:tcPr>
          <w:p w14:paraId="1897A61D" w14:textId="77777777" w:rsidR="00684ABE" w:rsidRPr="00B82B92" w:rsidRDefault="00684ABE" w:rsidP="00684ABE">
            <w:pPr>
              <w:jc w:val="center"/>
              <w:rPr>
                <w:lang w:val="en-CA"/>
              </w:rPr>
            </w:pPr>
            <w:r w:rsidRPr="00B82B92">
              <w:rPr>
                <w:lang w:val="en-CA"/>
              </w:rPr>
              <w:t>50</w:t>
            </w:r>
          </w:p>
        </w:tc>
        <w:tc>
          <w:tcPr>
            <w:tcW w:w="2052" w:type="dxa"/>
            <w:tcBorders>
              <w:top w:val="single" w:sz="4" w:space="0" w:color="auto"/>
              <w:left w:val="nil"/>
              <w:bottom w:val="single" w:sz="4" w:space="0" w:color="auto"/>
              <w:right w:val="nil"/>
            </w:tcBorders>
            <w:shd w:val="clear" w:color="auto" w:fill="auto"/>
            <w:vAlign w:val="center"/>
            <w:hideMark/>
          </w:tcPr>
          <w:p w14:paraId="0CCC6AA6" w14:textId="77777777" w:rsidR="00684ABE" w:rsidRPr="00B82B92" w:rsidRDefault="00684ABE" w:rsidP="00684ABE">
            <w:pPr>
              <w:jc w:val="center"/>
              <w:rPr>
                <w:lang w:val="en-CA"/>
              </w:rPr>
            </w:pPr>
            <w:r w:rsidRPr="00B82B92">
              <w:rPr>
                <w:lang w:val="en-CA"/>
              </w:rPr>
              <w:t>50</w:t>
            </w:r>
          </w:p>
        </w:tc>
        <w:tc>
          <w:tcPr>
            <w:tcW w:w="1908" w:type="dxa"/>
            <w:tcBorders>
              <w:top w:val="single" w:sz="4" w:space="0" w:color="auto"/>
              <w:left w:val="nil"/>
              <w:bottom w:val="single" w:sz="4" w:space="0" w:color="auto"/>
              <w:right w:val="nil"/>
            </w:tcBorders>
            <w:shd w:val="clear" w:color="auto" w:fill="auto"/>
            <w:vAlign w:val="center"/>
            <w:hideMark/>
          </w:tcPr>
          <w:p w14:paraId="19241A0E" w14:textId="77777777" w:rsidR="00684ABE" w:rsidRPr="00B82B92" w:rsidRDefault="00684ABE" w:rsidP="002662FB">
            <w:pPr>
              <w:jc w:val="center"/>
              <w:rPr>
                <w:lang w:val="en-CA"/>
              </w:rPr>
            </w:pPr>
            <w:r w:rsidRPr="00B82B92">
              <w:rPr>
                <w:lang w:val="en-CA"/>
              </w:rPr>
              <w:t>$</w:t>
            </w:r>
            <w:r w:rsidR="002662FB">
              <w:rPr>
                <w:lang w:val="en-CA"/>
              </w:rPr>
              <w:t>73.25</w:t>
            </w:r>
          </w:p>
        </w:tc>
        <w:tc>
          <w:tcPr>
            <w:tcW w:w="1602" w:type="dxa"/>
            <w:tcBorders>
              <w:top w:val="single" w:sz="4" w:space="0" w:color="auto"/>
              <w:left w:val="nil"/>
              <w:bottom w:val="single" w:sz="4" w:space="0" w:color="auto"/>
              <w:right w:val="single" w:sz="4" w:space="0" w:color="auto"/>
            </w:tcBorders>
            <w:shd w:val="clear" w:color="auto" w:fill="auto"/>
            <w:vAlign w:val="center"/>
          </w:tcPr>
          <w:p w14:paraId="190843F6" w14:textId="77777777" w:rsidR="00684ABE" w:rsidRPr="00B82B92" w:rsidRDefault="00684ABE" w:rsidP="002662FB">
            <w:pPr>
              <w:jc w:val="center"/>
              <w:rPr>
                <w:lang w:val="en-CA"/>
              </w:rPr>
            </w:pPr>
            <w:r w:rsidRPr="00B82B92">
              <w:rPr>
                <w:lang w:val="en-CA"/>
              </w:rPr>
              <w:t>$3,</w:t>
            </w:r>
            <w:r w:rsidR="002662FB" w:rsidRPr="00B82B92">
              <w:rPr>
                <w:lang w:val="en-CA"/>
              </w:rPr>
              <w:t>6</w:t>
            </w:r>
            <w:r w:rsidR="002662FB">
              <w:rPr>
                <w:lang w:val="en-CA"/>
              </w:rPr>
              <w:t>62</w:t>
            </w:r>
            <w:r w:rsidRPr="00B82B92">
              <w:rPr>
                <w:lang w:val="en-CA"/>
              </w:rPr>
              <w:t>.50</w:t>
            </w:r>
          </w:p>
        </w:tc>
      </w:tr>
      <w:tr w:rsidR="003E3270" w:rsidRPr="0073753C" w14:paraId="78D8DB79" w14:textId="77777777" w:rsidTr="000525D9">
        <w:trPr>
          <w:trHeight w:val="611"/>
        </w:trPr>
        <w:tc>
          <w:tcPr>
            <w:tcW w:w="5220" w:type="dxa"/>
            <w:gridSpan w:val="4"/>
            <w:tcBorders>
              <w:top w:val="single" w:sz="4" w:space="0" w:color="auto"/>
              <w:left w:val="single" w:sz="4" w:space="0" w:color="auto"/>
              <w:bottom w:val="single" w:sz="4" w:space="0" w:color="auto"/>
              <w:right w:val="nil"/>
            </w:tcBorders>
            <w:shd w:val="clear" w:color="auto" w:fill="auto"/>
            <w:vAlign w:val="center"/>
            <w:hideMark/>
          </w:tcPr>
          <w:p w14:paraId="14BBC411" w14:textId="77777777" w:rsidR="00B82B92" w:rsidRPr="005E6520" w:rsidRDefault="00B82B92" w:rsidP="00A25B85">
            <w:pPr>
              <w:rPr>
                <w:b/>
                <w:lang w:val="en-CA"/>
              </w:rPr>
            </w:pPr>
            <w:r>
              <w:rPr>
                <w:b/>
                <w:lang w:val="en-CA"/>
              </w:rPr>
              <w:t xml:space="preserve">ANNUAL </w:t>
            </w:r>
            <w:r w:rsidRPr="005E6520">
              <w:rPr>
                <w:b/>
                <w:lang w:val="en-CA"/>
              </w:rPr>
              <w:t>TOTAL</w:t>
            </w:r>
            <w:r>
              <w:rPr>
                <w:b/>
                <w:lang w:val="en-CA"/>
              </w:rPr>
              <w:t xml:space="preserve"> </w:t>
            </w:r>
            <w:r w:rsidR="00980504">
              <w:rPr>
                <w:b/>
                <w:lang w:val="en-CA"/>
              </w:rPr>
              <w:t>(</w:t>
            </w:r>
            <w:r>
              <w:rPr>
                <w:b/>
                <w:lang w:val="en-CA"/>
              </w:rPr>
              <w:t>FUTURE YEARS</w:t>
            </w:r>
            <w:r w:rsidR="00980504">
              <w:rPr>
                <w:b/>
                <w:lang w:val="en-CA"/>
              </w:rPr>
              <w:t>)</w:t>
            </w:r>
          </w:p>
        </w:tc>
        <w:tc>
          <w:tcPr>
            <w:tcW w:w="1908" w:type="dxa"/>
            <w:tcBorders>
              <w:top w:val="single" w:sz="4" w:space="0" w:color="auto"/>
              <w:left w:val="nil"/>
              <w:bottom w:val="single" w:sz="4" w:space="0" w:color="auto"/>
              <w:right w:val="nil"/>
            </w:tcBorders>
            <w:shd w:val="clear" w:color="auto" w:fill="auto"/>
            <w:vAlign w:val="center"/>
            <w:hideMark/>
          </w:tcPr>
          <w:p w14:paraId="025D8317" w14:textId="77777777" w:rsidR="00B82B92" w:rsidRPr="005E6520" w:rsidRDefault="00B82B92" w:rsidP="00B82B92">
            <w:pPr>
              <w:jc w:val="center"/>
              <w:rPr>
                <w:b/>
                <w:lang w:val="en-CA"/>
              </w:rPr>
            </w:pPr>
          </w:p>
        </w:tc>
        <w:tc>
          <w:tcPr>
            <w:tcW w:w="1602" w:type="dxa"/>
            <w:tcBorders>
              <w:top w:val="single" w:sz="4" w:space="0" w:color="auto"/>
              <w:left w:val="nil"/>
              <w:bottom w:val="single" w:sz="4" w:space="0" w:color="auto"/>
              <w:right w:val="single" w:sz="4" w:space="0" w:color="auto"/>
            </w:tcBorders>
            <w:shd w:val="clear" w:color="auto" w:fill="auto"/>
            <w:vAlign w:val="center"/>
          </w:tcPr>
          <w:p w14:paraId="587AC4B3" w14:textId="77777777" w:rsidR="00B82B92" w:rsidRPr="005E6520" w:rsidRDefault="00DD4788" w:rsidP="002662FB">
            <w:pPr>
              <w:jc w:val="center"/>
              <w:rPr>
                <w:b/>
                <w:lang w:val="en-CA"/>
              </w:rPr>
            </w:pPr>
            <w:r>
              <w:rPr>
                <w:b/>
                <w:lang w:val="en-CA"/>
              </w:rPr>
              <w:t>$21,</w:t>
            </w:r>
            <w:r w:rsidR="002662FB">
              <w:rPr>
                <w:b/>
                <w:lang w:val="en-CA"/>
              </w:rPr>
              <w:t>956.34</w:t>
            </w:r>
          </w:p>
        </w:tc>
      </w:tr>
    </w:tbl>
    <w:p w14:paraId="326896A3" w14:textId="77777777" w:rsidR="00B57B27" w:rsidRDefault="00B57B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167B16C"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7201">
        <w:rPr>
          <w:b/>
          <w:sz w:val="24"/>
          <w:szCs w:val="24"/>
        </w:rPr>
        <w:t>15.</w:t>
      </w:r>
      <w:r w:rsidRPr="003E7201">
        <w:rPr>
          <w:b/>
          <w:sz w:val="24"/>
          <w:szCs w:val="24"/>
        </w:rPr>
        <w:tab/>
        <w:t xml:space="preserve">Explain the reasons for any program changes or adjustments </w:t>
      </w:r>
      <w:r w:rsidR="00F73931" w:rsidRPr="003E7201">
        <w:rPr>
          <w:b/>
          <w:sz w:val="24"/>
          <w:szCs w:val="24"/>
        </w:rPr>
        <w:t>in hour or cost burden</w:t>
      </w:r>
      <w:r w:rsidR="0060758B" w:rsidRPr="003E7201">
        <w:rPr>
          <w:b/>
          <w:sz w:val="24"/>
          <w:szCs w:val="24"/>
        </w:rPr>
        <w:t>.</w:t>
      </w:r>
    </w:p>
    <w:p w14:paraId="320E5DA4" w14:textId="77777777" w:rsidR="00606997" w:rsidRDefault="00CF2B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p>
    <w:p w14:paraId="6C2B3B83" w14:textId="040965D5" w:rsidR="00CF2BB5" w:rsidRDefault="007426C2" w:rsidP="00606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ab/>
      </w:r>
      <w:r w:rsidR="000679D5">
        <w:rPr>
          <w:sz w:val="24"/>
          <w:szCs w:val="24"/>
        </w:rPr>
        <w:t>T</w:t>
      </w:r>
      <w:r w:rsidR="00CF2BB5">
        <w:rPr>
          <w:sz w:val="24"/>
          <w:szCs w:val="24"/>
        </w:rPr>
        <w:t>his is a new collection</w:t>
      </w:r>
      <w:r w:rsidR="000525D9">
        <w:rPr>
          <w:sz w:val="24"/>
          <w:szCs w:val="24"/>
        </w:rPr>
        <w:t>.</w:t>
      </w:r>
    </w:p>
    <w:p w14:paraId="5196EFB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78669A"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7201">
        <w:rPr>
          <w:b/>
          <w:sz w:val="24"/>
          <w:szCs w:val="24"/>
        </w:rPr>
        <w:t>16.</w:t>
      </w:r>
      <w:r w:rsidRPr="003E7201">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w:t>
      </w:r>
      <w:r w:rsidRPr="003E7201">
        <w:rPr>
          <w:b/>
          <w:sz w:val="24"/>
          <w:szCs w:val="24"/>
        </w:rPr>
        <w:lastRenderedPageBreak/>
        <w:t>actions.</w:t>
      </w:r>
    </w:p>
    <w:p w14:paraId="7404F137" w14:textId="77777777" w:rsidR="006B32A3" w:rsidRDefault="006B3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CA6D1EC" w14:textId="6E41AC82" w:rsidR="00DB6B59" w:rsidRDefault="007426C2" w:rsidP="006B3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6B32A3">
        <w:rPr>
          <w:sz w:val="24"/>
          <w:szCs w:val="24"/>
        </w:rPr>
        <w:t xml:space="preserve">Survey responses will be collated and made available in a searchable format on a </w:t>
      </w:r>
      <w:r w:rsidR="001F39AB">
        <w:rPr>
          <w:sz w:val="24"/>
          <w:szCs w:val="24"/>
        </w:rPr>
        <w:t xml:space="preserve">Web </w:t>
      </w:r>
      <w:r w:rsidR="006B32A3">
        <w:rPr>
          <w:sz w:val="24"/>
          <w:szCs w:val="24"/>
        </w:rPr>
        <w:t xml:space="preserve">platform.  No overall tabulations will be provided. No analysis of the results is included in this collection and data management activity. </w:t>
      </w:r>
    </w:p>
    <w:p w14:paraId="26D0502F" w14:textId="77777777" w:rsidR="006B32A3" w:rsidRDefault="006B32A3" w:rsidP="006B3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20A0E1E2" w14:textId="5566C26E" w:rsidR="002814AA" w:rsidRDefault="007426C2" w:rsidP="006B3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6B32A3">
        <w:rPr>
          <w:sz w:val="24"/>
          <w:szCs w:val="24"/>
        </w:rPr>
        <w:t xml:space="preserve">Web hosting </w:t>
      </w:r>
      <w:r w:rsidR="002814AA">
        <w:rPr>
          <w:sz w:val="24"/>
          <w:szCs w:val="24"/>
        </w:rPr>
        <w:t xml:space="preserve">will be accomplished in two ways. A USGS site will be established (under the National Climate Change and Wildlife Science Center domain). This site will hold all data, collected by this information collection. In addition, “back end” connections will be completed to enable sharing of </w:t>
      </w:r>
      <w:r w:rsidR="002E65E2">
        <w:rPr>
          <w:sz w:val="24"/>
          <w:szCs w:val="24"/>
        </w:rPr>
        <w:t xml:space="preserve">these </w:t>
      </w:r>
      <w:r w:rsidR="002814AA">
        <w:rPr>
          <w:sz w:val="24"/>
          <w:szCs w:val="24"/>
        </w:rPr>
        <w:t xml:space="preserve">data in a secure manner with a nongovernmental partner (EcoAdapt) </w:t>
      </w:r>
      <w:r w:rsidR="006B32A3">
        <w:rPr>
          <w:sz w:val="24"/>
          <w:szCs w:val="24"/>
        </w:rPr>
        <w:t>which hosts the Climate Adaptation Knowledge Exchange</w:t>
      </w:r>
      <w:r w:rsidR="00C25318">
        <w:rPr>
          <w:sz w:val="24"/>
          <w:szCs w:val="24"/>
        </w:rPr>
        <w:t xml:space="preserve"> (</w:t>
      </w:r>
      <w:r w:rsidR="002E65E2" w:rsidRPr="0005092F">
        <w:rPr>
          <w:i/>
          <w:sz w:val="24"/>
          <w:szCs w:val="24"/>
        </w:rPr>
        <w:t>http://www.ecoadapt.org/programs/cake</w:t>
      </w:r>
      <w:r w:rsidR="00C25318">
        <w:rPr>
          <w:sz w:val="24"/>
          <w:szCs w:val="24"/>
        </w:rPr>
        <w:t>)</w:t>
      </w:r>
      <w:r w:rsidR="006B32A3">
        <w:rPr>
          <w:sz w:val="24"/>
          <w:szCs w:val="24"/>
        </w:rPr>
        <w:t xml:space="preserve">, a well-known resource for the climate adaptation community of practice. </w:t>
      </w:r>
      <w:r w:rsidR="002814AA">
        <w:rPr>
          <w:sz w:val="24"/>
          <w:szCs w:val="24"/>
        </w:rPr>
        <w:t xml:space="preserve"> This will enable access to the </w:t>
      </w:r>
      <w:r w:rsidR="00250442">
        <w:rPr>
          <w:sz w:val="24"/>
          <w:szCs w:val="24"/>
        </w:rPr>
        <w:t xml:space="preserve">information </w:t>
      </w:r>
      <w:r w:rsidR="002814AA">
        <w:rPr>
          <w:sz w:val="24"/>
          <w:szCs w:val="24"/>
        </w:rPr>
        <w:t xml:space="preserve">by a broader suite of users than </w:t>
      </w:r>
      <w:r w:rsidR="00C25318">
        <w:rPr>
          <w:sz w:val="24"/>
          <w:szCs w:val="24"/>
        </w:rPr>
        <w:t xml:space="preserve">can be provided by </w:t>
      </w:r>
      <w:r w:rsidR="002814AA">
        <w:rPr>
          <w:sz w:val="24"/>
          <w:szCs w:val="24"/>
        </w:rPr>
        <w:t xml:space="preserve">either the USGS or EcoAdapt site alone. Additional technical and administrative work is required to finalize arrangements with EcoAdapt, but the project will proceed with the USGS site alone if these arrangements cannot be finalized. </w:t>
      </w:r>
    </w:p>
    <w:p w14:paraId="57066787" w14:textId="77777777" w:rsidR="002814AA" w:rsidRDefault="002814AA" w:rsidP="006B3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2BBE8A60" w14:textId="76F26D4F" w:rsidR="00685514" w:rsidRDefault="007426C2" w:rsidP="006B3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CF2BB5">
        <w:rPr>
          <w:sz w:val="24"/>
          <w:szCs w:val="24"/>
        </w:rPr>
        <w:t>The</w:t>
      </w:r>
      <w:r w:rsidR="00685514">
        <w:rPr>
          <w:sz w:val="24"/>
          <w:szCs w:val="24"/>
        </w:rPr>
        <w:t xml:space="preserve"> schedule below contemplates publication of Federal responses as soon as they can be made available, and addition of non-Federal entries later, following full PRA approval.</w:t>
      </w:r>
    </w:p>
    <w:p w14:paraId="47CF40AB" w14:textId="77777777" w:rsidR="006B32A3" w:rsidRDefault="006B32A3" w:rsidP="006B3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547"/>
        <w:gridCol w:w="3040"/>
      </w:tblGrid>
      <w:tr w:rsidR="00250442" w14:paraId="282AE822" w14:textId="77777777" w:rsidTr="002E65E2">
        <w:tc>
          <w:tcPr>
            <w:tcW w:w="2269" w:type="dxa"/>
            <w:shd w:val="clear" w:color="auto" w:fill="auto"/>
          </w:tcPr>
          <w:p w14:paraId="74F0B802" w14:textId="77777777" w:rsidR="00250442" w:rsidRPr="005D134D" w:rsidRDefault="00250442" w:rsidP="005D134D">
            <w:pPr>
              <w:rPr>
                <w:rFonts w:eastAsia="Calibri"/>
                <w:sz w:val="22"/>
                <w:szCs w:val="22"/>
              </w:rPr>
            </w:pPr>
            <w:r w:rsidRPr="005D134D">
              <w:rPr>
                <w:rFonts w:eastAsia="Calibri"/>
                <w:sz w:val="22"/>
                <w:szCs w:val="22"/>
              </w:rPr>
              <w:t>April-June 2013</w:t>
            </w:r>
          </w:p>
        </w:tc>
        <w:tc>
          <w:tcPr>
            <w:tcW w:w="3547" w:type="dxa"/>
            <w:shd w:val="clear" w:color="auto" w:fill="auto"/>
          </w:tcPr>
          <w:p w14:paraId="51D02767" w14:textId="77777777" w:rsidR="00250442" w:rsidRPr="005D134D" w:rsidRDefault="00250442" w:rsidP="005D134D">
            <w:pPr>
              <w:rPr>
                <w:rFonts w:eastAsia="Calibri"/>
                <w:sz w:val="22"/>
                <w:szCs w:val="22"/>
              </w:rPr>
            </w:pPr>
            <w:r w:rsidRPr="005D134D">
              <w:rPr>
                <w:rFonts w:eastAsia="Calibri"/>
                <w:sz w:val="22"/>
                <w:szCs w:val="22"/>
              </w:rPr>
              <w:t>Design survey content</w:t>
            </w:r>
          </w:p>
        </w:tc>
        <w:tc>
          <w:tcPr>
            <w:tcW w:w="3040" w:type="dxa"/>
          </w:tcPr>
          <w:p w14:paraId="39846BDE" w14:textId="77777777" w:rsidR="00250442" w:rsidRPr="005D134D" w:rsidRDefault="00250442" w:rsidP="005D134D">
            <w:pPr>
              <w:rPr>
                <w:rFonts w:eastAsia="Calibri"/>
                <w:sz w:val="22"/>
                <w:szCs w:val="22"/>
              </w:rPr>
            </w:pPr>
            <w:r>
              <w:rPr>
                <w:rFonts w:eastAsia="Calibri"/>
                <w:sz w:val="22"/>
                <w:szCs w:val="22"/>
              </w:rPr>
              <w:t>Complete</w:t>
            </w:r>
          </w:p>
        </w:tc>
      </w:tr>
      <w:tr w:rsidR="00250442" w14:paraId="7C7AC895" w14:textId="77777777" w:rsidTr="002E65E2">
        <w:tc>
          <w:tcPr>
            <w:tcW w:w="2269" w:type="dxa"/>
            <w:shd w:val="clear" w:color="auto" w:fill="auto"/>
          </w:tcPr>
          <w:p w14:paraId="11183AF1" w14:textId="77777777" w:rsidR="00250442" w:rsidRPr="005D134D" w:rsidRDefault="00250442" w:rsidP="005D134D">
            <w:pPr>
              <w:rPr>
                <w:rFonts w:eastAsia="Calibri"/>
                <w:sz w:val="22"/>
                <w:szCs w:val="22"/>
              </w:rPr>
            </w:pPr>
            <w:r>
              <w:rPr>
                <w:rFonts w:eastAsia="Calibri"/>
                <w:sz w:val="22"/>
                <w:szCs w:val="22"/>
              </w:rPr>
              <w:t>September 2013</w:t>
            </w:r>
          </w:p>
        </w:tc>
        <w:tc>
          <w:tcPr>
            <w:tcW w:w="3547" w:type="dxa"/>
            <w:shd w:val="clear" w:color="auto" w:fill="auto"/>
          </w:tcPr>
          <w:p w14:paraId="6999FA2D" w14:textId="0D778859" w:rsidR="00250442" w:rsidRPr="005D134D" w:rsidRDefault="00250442" w:rsidP="005D134D">
            <w:pPr>
              <w:rPr>
                <w:rFonts w:eastAsia="Calibri"/>
                <w:sz w:val="22"/>
                <w:szCs w:val="22"/>
              </w:rPr>
            </w:pPr>
            <w:r w:rsidRPr="005D134D">
              <w:rPr>
                <w:rFonts w:eastAsia="Calibri"/>
                <w:sz w:val="22"/>
                <w:szCs w:val="22"/>
              </w:rPr>
              <w:t xml:space="preserve">Prepare </w:t>
            </w:r>
            <w:r w:rsidR="001F39AB">
              <w:rPr>
                <w:rFonts w:eastAsia="Calibri"/>
                <w:sz w:val="22"/>
                <w:szCs w:val="22"/>
              </w:rPr>
              <w:t>W</w:t>
            </w:r>
            <w:r w:rsidRPr="005D134D">
              <w:rPr>
                <w:rFonts w:eastAsia="Calibri"/>
                <w:sz w:val="22"/>
                <w:szCs w:val="22"/>
              </w:rPr>
              <w:t>eb-form survey instrument</w:t>
            </w:r>
          </w:p>
        </w:tc>
        <w:tc>
          <w:tcPr>
            <w:tcW w:w="3040" w:type="dxa"/>
          </w:tcPr>
          <w:p w14:paraId="531F8D41" w14:textId="61DE75FA" w:rsidR="00250442" w:rsidRPr="005D134D" w:rsidRDefault="00942BB8" w:rsidP="00F93F4F">
            <w:pPr>
              <w:rPr>
                <w:rFonts w:eastAsia="Calibri"/>
                <w:sz w:val="22"/>
                <w:szCs w:val="22"/>
              </w:rPr>
            </w:pPr>
            <w:r>
              <w:rPr>
                <w:rFonts w:eastAsia="Calibri"/>
                <w:sz w:val="22"/>
                <w:szCs w:val="22"/>
              </w:rPr>
              <w:t xml:space="preserve">Beta </w:t>
            </w:r>
            <w:r w:rsidR="00250442">
              <w:rPr>
                <w:rFonts w:eastAsia="Calibri"/>
                <w:sz w:val="22"/>
                <w:szCs w:val="22"/>
              </w:rPr>
              <w:t xml:space="preserve">version complete </w:t>
            </w:r>
          </w:p>
        </w:tc>
      </w:tr>
      <w:tr w:rsidR="00250442" w14:paraId="09453D8D" w14:textId="77777777" w:rsidTr="002E65E2">
        <w:tc>
          <w:tcPr>
            <w:tcW w:w="2269" w:type="dxa"/>
            <w:shd w:val="clear" w:color="auto" w:fill="auto"/>
          </w:tcPr>
          <w:p w14:paraId="0D6DF165" w14:textId="6E20B55C" w:rsidR="00250442" w:rsidRPr="005D134D" w:rsidRDefault="00F93F4F" w:rsidP="002662FB">
            <w:pPr>
              <w:rPr>
                <w:rFonts w:eastAsia="Calibri"/>
                <w:sz w:val="22"/>
                <w:szCs w:val="22"/>
              </w:rPr>
            </w:pPr>
            <w:r>
              <w:rPr>
                <w:rFonts w:eastAsia="Calibri"/>
                <w:sz w:val="22"/>
                <w:szCs w:val="22"/>
              </w:rPr>
              <w:t xml:space="preserve">July </w:t>
            </w:r>
            <w:r w:rsidR="002662FB">
              <w:rPr>
                <w:rFonts w:eastAsia="Calibri"/>
                <w:sz w:val="22"/>
                <w:szCs w:val="22"/>
              </w:rPr>
              <w:t>2014</w:t>
            </w:r>
          </w:p>
        </w:tc>
        <w:tc>
          <w:tcPr>
            <w:tcW w:w="3547" w:type="dxa"/>
            <w:shd w:val="clear" w:color="auto" w:fill="auto"/>
          </w:tcPr>
          <w:p w14:paraId="4DD26D82" w14:textId="77777777" w:rsidR="00250442" w:rsidRPr="005D134D" w:rsidRDefault="00250442" w:rsidP="005D134D">
            <w:pPr>
              <w:rPr>
                <w:rFonts w:eastAsia="Calibri"/>
                <w:sz w:val="22"/>
                <w:szCs w:val="22"/>
              </w:rPr>
            </w:pPr>
            <w:r w:rsidRPr="005D134D">
              <w:rPr>
                <w:rFonts w:eastAsia="Calibri"/>
                <w:sz w:val="22"/>
                <w:szCs w:val="22"/>
              </w:rPr>
              <w:t>Distribute survey to FEDERAL partners only</w:t>
            </w:r>
          </w:p>
        </w:tc>
        <w:tc>
          <w:tcPr>
            <w:tcW w:w="3040" w:type="dxa"/>
          </w:tcPr>
          <w:p w14:paraId="1CBFE873" w14:textId="77777777" w:rsidR="00250442" w:rsidRPr="005D134D" w:rsidRDefault="00250442" w:rsidP="005D134D">
            <w:pPr>
              <w:rPr>
                <w:rFonts w:eastAsia="Calibri"/>
                <w:sz w:val="22"/>
                <w:szCs w:val="22"/>
              </w:rPr>
            </w:pPr>
          </w:p>
        </w:tc>
      </w:tr>
      <w:tr w:rsidR="00250442" w14:paraId="58783CC2" w14:textId="77777777" w:rsidTr="002E65E2">
        <w:tc>
          <w:tcPr>
            <w:tcW w:w="2269" w:type="dxa"/>
            <w:shd w:val="clear" w:color="auto" w:fill="auto"/>
          </w:tcPr>
          <w:p w14:paraId="4056FF6C" w14:textId="1524B7F6" w:rsidR="00250442" w:rsidRPr="005D134D" w:rsidRDefault="00F93F4F" w:rsidP="002662FB">
            <w:pPr>
              <w:rPr>
                <w:rFonts w:eastAsia="Calibri"/>
                <w:sz w:val="22"/>
                <w:szCs w:val="22"/>
              </w:rPr>
            </w:pPr>
            <w:r>
              <w:rPr>
                <w:rFonts w:eastAsia="Calibri"/>
                <w:sz w:val="22"/>
                <w:szCs w:val="22"/>
              </w:rPr>
              <w:t xml:space="preserve">August </w:t>
            </w:r>
            <w:r w:rsidR="00250442">
              <w:rPr>
                <w:rFonts w:eastAsia="Calibri"/>
                <w:sz w:val="22"/>
                <w:szCs w:val="22"/>
              </w:rPr>
              <w:t>2014</w:t>
            </w:r>
          </w:p>
        </w:tc>
        <w:tc>
          <w:tcPr>
            <w:tcW w:w="3547" w:type="dxa"/>
            <w:shd w:val="clear" w:color="auto" w:fill="auto"/>
          </w:tcPr>
          <w:p w14:paraId="6491AAB9" w14:textId="77777777" w:rsidR="00250442" w:rsidRPr="005D134D" w:rsidRDefault="00250442" w:rsidP="005D134D">
            <w:pPr>
              <w:rPr>
                <w:rFonts w:eastAsia="Calibri"/>
                <w:sz w:val="22"/>
                <w:szCs w:val="22"/>
              </w:rPr>
            </w:pPr>
            <w:r w:rsidRPr="005D134D">
              <w:rPr>
                <w:rFonts w:eastAsia="Calibri"/>
                <w:sz w:val="22"/>
                <w:szCs w:val="22"/>
              </w:rPr>
              <w:t>Publish initial FEDERAL survey results</w:t>
            </w:r>
          </w:p>
        </w:tc>
        <w:tc>
          <w:tcPr>
            <w:tcW w:w="3040" w:type="dxa"/>
          </w:tcPr>
          <w:p w14:paraId="434F68E7" w14:textId="77777777" w:rsidR="00250442" w:rsidRPr="005D134D" w:rsidRDefault="00250442" w:rsidP="005D134D">
            <w:pPr>
              <w:rPr>
                <w:rFonts w:eastAsia="Calibri"/>
                <w:sz w:val="22"/>
                <w:szCs w:val="22"/>
              </w:rPr>
            </w:pPr>
          </w:p>
        </w:tc>
      </w:tr>
      <w:tr w:rsidR="00250442" w14:paraId="3C45C352" w14:textId="77777777" w:rsidTr="002E65E2">
        <w:tc>
          <w:tcPr>
            <w:tcW w:w="2269" w:type="dxa"/>
            <w:shd w:val="clear" w:color="auto" w:fill="auto"/>
          </w:tcPr>
          <w:p w14:paraId="17BFCC53" w14:textId="77777777" w:rsidR="00250442" w:rsidRPr="005D134D" w:rsidRDefault="00250442" w:rsidP="005D134D">
            <w:pPr>
              <w:rPr>
                <w:rFonts w:eastAsia="Calibri"/>
                <w:sz w:val="22"/>
                <w:szCs w:val="22"/>
              </w:rPr>
            </w:pPr>
            <w:r w:rsidRPr="005D134D">
              <w:rPr>
                <w:rFonts w:eastAsia="Calibri"/>
                <w:sz w:val="22"/>
                <w:szCs w:val="22"/>
              </w:rPr>
              <w:t>Pending PRA Approval</w:t>
            </w:r>
          </w:p>
        </w:tc>
        <w:tc>
          <w:tcPr>
            <w:tcW w:w="3547" w:type="dxa"/>
            <w:shd w:val="clear" w:color="auto" w:fill="auto"/>
          </w:tcPr>
          <w:p w14:paraId="340E4A92" w14:textId="77777777" w:rsidR="00250442" w:rsidRPr="005D134D" w:rsidRDefault="00250442" w:rsidP="005D134D">
            <w:pPr>
              <w:rPr>
                <w:rFonts w:eastAsia="Calibri"/>
                <w:sz w:val="22"/>
                <w:szCs w:val="22"/>
              </w:rPr>
            </w:pPr>
            <w:r w:rsidRPr="005D134D">
              <w:rPr>
                <w:rFonts w:eastAsia="Calibri"/>
                <w:sz w:val="22"/>
                <w:szCs w:val="22"/>
              </w:rPr>
              <w:t>Survey instrument will be made available to non-Federal partners</w:t>
            </w:r>
          </w:p>
        </w:tc>
        <w:tc>
          <w:tcPr>
            <w:tcW w:w="3040" w:type="dxa"/>
          </w:tcPr>
          <w:p w14:paraId="234F8248" w14:textId="77777777" w:rsidR="00250442" w:rsidRPr="005D134D" w:rsidRDefault="00250442" w:rsidP="005D134D">
            <w:pPr>
              <w:rPr>
                <w:rFonts w:eastAsia="Calibri"/>
                <w:sz w:val="22"/>
                <w:szCs w:val="22"/>
              </w:rPr>
            </w:pPr>
          </w:p>
        </w:tc>
      </w:tr>
      <w:tr w:rsidR="00250442" w14:paraId="6164A584" w14:textId="77777777" w:rsidTr="002E65E2">
        <w:tc>
          <w:tcPr>
            <w:tcW w:w="2269" w:type="dxa"/>
            <w:shd w:val="clear" w:color="auto" w:fill="auto"/>
          </w:tcPr>
          <w:p w14:paraId="5B62FF59" w14:textId="77777777" w:rsidR="00250442" w:rsidRPr="005D134D" w:rsidRDefault="00250442" w:rsidP="005D134D">
            <w:pPr>
              <w:rPr>
                <w:rFonts w:eastAsia="Calibri"/>
                <w:sz w:val="22"/>
                <w:szCs w:val="22"/>
              </w:rPr>
            </w:pPr>
            <w:r w:rsidRPr="005D134D">
              <w:rPr>
                <w:rFonts w:eastAsia="Calibri"/>
                <w:sz w:val="22"/>
                <w:szCs w:val="22"/>
              </w:rPr>
              <w:t xml:space="preserve">PRA approval + 2 months </w:t>
            </w:r>
          </w:p>
        </w:tc>
        <w:tc>
          <w:tcPr>
            <w:tcW w:w="3547" w:type="dxa"/>
            <w:shd w:val="clear" w:color="auto" w:fill="auto"/>
          </w:tcPr>
          <w:p w14:paraId="7FEADC02" w14:textId="77777777" w:rsidR="00250442" w:rsidRPr="005D134D" w:rsidRDefault="00250442" w:rsidP="005D134D">
            <w:pPr>
              <w:rPr>
                <w:rFonts w:eastAsia="Calibri"/>
                <w:sz w:val="22"/>
                <w:szCs w:val="22"/>
              </w:rPr>
            </w:pPr>
            <w:r w:rsidRPr="005D134D">
              <w:rPr>
                <w:rFonts w:eastAsia="Calibri"/>
                <w:sz w:val="22"/>
                <w:szCs w:val="22"/>
              </w:rPr>
              <w:t xml:space="preserve">Bulk upload and release of available non-Federal information </w:t>
            </w:r>
          </w:p>
        </w:tc>
        <w:tc>
          <w:tcPr>
            <w:tcW w:w="3040" w:type="dxa"/>
          </w:tcPr>
          <w:p w14:paraId="70074165" w14:textId="77777777" w:rsidR="00250442" w:rsidRPr="005D134D" w:rsidRDefault="00250442" w:rsidP="005D134D">
            <w:pPr>
              <w:rPr>
                <w:rFonts w:eastAsia="Calibri"/>
                <w:sz w:val="22"/>
                <w:szCs w:val="22"/>
              </w:rPr>
            </w:pPr>
          </w:p>
        </w:tc>
      </w:tr>
      <w:tr w:rsidR="00250442" w14:paraId="7A1409B6" w14:textId="77777777" w:rsidTr="002E65E2">
        <w:tc>
          <w:tcPr>
            <w:tcW w:w="2269" w:type="dxa"/>
            <w:shd w:val="clear" w:color="auto" w:fill="auto"/>
          </w:tcPr>
          <w:p w14:paraId="6D2EB375" w14:textId="77777777" w:rsidR="00250442" w:rsidRPr="005D134D" w:rsidRDefault="00250442" w:rsidP="005D134D">
            <w:pPr>
              <w:rPr>
                <w:rFonts w:eastAsia="Calibri"/>
                <w:sz w:val="22"/>
                <w:szCs w:val="22"/>
              </w:rPr>
            </w:pPr>
            <w:r w:rsidRPr="005D134D">
              <w:rPr>
                <w:rFonts w:eastAsia="Calibri"/>
                <w:sz w:val="22"/>
                <w:szCs w:val="22"/>
              </w:rPr>
              <w:t>Ongoing</w:t>
            </w:r>
          </w:p>
        </w:tc>
        <w:tc>
          <w:tcPr>
            <w:tcW w:w="3547" w:type="dxa"/>
            <w:shd w:val="clear" w:color="auto" w:fill="auto"/>
          </w:tcPr>
          <w:p w14:paraId="33A78F08" w14:textId="77777777" w:rsidR="00250442" w:rsidRPr="005D134D" w:rsidRDefault="00250442" w:rsidP="005D134D">
            <w:pPr>
              <w:rPr>
                <w:rFonts w:eastAsia="Calibri"/>
                <w:sz w:val="22"/>
                <w:szCs w:val="22"/>
              </w:rPr>
            </w:pPr>
            <w:r w:rsidRPr="005D134D">
              <w:rPr>
                <w:rFonts w:eastAsia="Calibri"/>
                <w:sz w:val="22"/>
                <w:szCs w:val="22"/>
              </w:rPr>
              <w:t>Addition of new entries as received</w:t>
            </w:r>
          </w:p>
        </w:tc>
        <w:tc>
          <w:tcPr>
            <w:tcW w:w="3040" w:type="dxa"/>
          </w:tcPr>
          <w:p w14:paraId="3E2705BD" w14:textId="77777777" w:rsidR="00250442" w:rsidRPr="005D134D" w:rsidRDefault="00250442" w:rsidP="005D134D">
            <w:pPr>
              <w:rPr>
                <w:rFonts w:eastAsia="Calibri"/>
                <w:sz w:val="22"/>
                <w:szCs w:val="22"/>
              </w:rPr>
            </w:pPr>
          </w:p>
        </w:tc>
      </w:tr>
      <w:tr w:rsidR="00250442" w14:paraId="6C572F1A" w14:textId="77777777" w:rsidTr="002E65E2">
        <w:tc>
          <w:tcPr>
            <w:tcW w:w="2269" w:type="dxa"/>
            <w:shd w:val="clear" w:color="auto" w:fill="auto"/>
          </w:tcPr>
          <w:p w14:paraId="6DC57417" w14:textId="77777777" w:rsidR="00250442" w:rsidRPr="005D134D" w:rsidRDefault="00250442" w:rsidP="005D134D">
            <w:pPr>
              <w:rPr>
                <w:rFonts w:eastAsia="Calibri"/>
                <w:sz w:val="22"/>
                <w:szCs w:val="22"/>
              </w:rPr>
            </w:pPr>
            <w:r w:rsidRPr="005D134D">
              <w:rPr>
                <w:rFonts w:eastAsia="Calibri"/>
                <w:sz w:val="22"/>
                <w:szCs w:val="22"/>
              </w:rPr>
              <w:t>Annually</w:t>
            </w:r>
          </w:p>
        </w:tc>
        <w:tc>
          <w:tcPr>
            <w:tcW w:w="3547" w:type="dxa"/>
            <w:shd w:val="clear" w:color="auto" w:fill="auto"/>
          </w:tcPr>
          <w:p w14:paraId="4B0382A0" w14:textId="77777777" w:rsidR="00250442" w:rsidRPr="005D134D" w:rsidRDefault="00250442" w:rsidP="005D134D">
            <w:pPr>
              <w:rPr>
                <w:rFonts w:eastAsia="Calibri"/>
                <w:sz w:val="22"/>
                <w:szCs w:val="22"/>
              </w:rPr>
            </w:pPr>
            <w:r w:rsidRPr="005D134D">
              <w:rPr>
                <w:rFonts w:eastAsia="Calibri"/>
                <w:sz w:val="22"/>
                <w:szCs w:val="22"/>
              </w:rPr>
              <w:t xml:space="preserve">Participating federal agencies resurvey </w:t>
            </w:r>
          </w:p>
        </w:tc>
        <w:tc>
          <w:tcPr>
            <w:tcW w:w="3040" w:type="dxa"/>
          </w:tcPr>
          <w:p w14:paraId="60B72018" w14:textId="77777777" w:rsidR="00250442" w:rsidRPr="005D134D" w:rsidRDefault="00250442" w:rsidP="005D134D">
            <w:pPr>
              <w:rPr>
                <w:rFonts w:eastAsia="Calibri"/>
                <w:sz w:val="22"/>
                <w:szCs w:val="22"/>
              </w:rPr>
            </w:pPr>
          </w:p>
        </w:tc>
      </w:tr>
      <w:tr w:rsidR="00250442" w14:paraId="68E8F012" w14:textId="77777777" w:rsidTr="002E65E2">
        <w:tc>
          <w:tcPr>
            <w:tcW w:w="2269" w:type="dxa"/>
            <w:shd w:val="clear" w:color="auto" w:fill="auto"/>
          </w:tcPr>
          <w:p w14:paraId="67B6F859" w14:textId="77777777" w:rsidR="00250442" w:rsidRPr="005D134D" w:rsidRDefault="00250442" w:rsidP="005D134D">
            <w:pPr>
              <w:rPr>
                <w:rFonts w:eastAsia="Calibri"/>
                <w:sz w:val="22"/>
                <w:szCs w:val="22"/>
              </w:rPr>
            </w:pPr>
            <w:r w:rsidRPr="005D134D">
              <w:rPr>
                <w:rFonts w:eastAsia="Calibri"/>
                <w:sz w:val="22"/>
                <w:szCs w:val="22"/>
              </w:rPr>
              <w:t>Annually</w:t>
            </w:r>
          </w:p>
        </w:tc>
        <w:tc>
          <w:tcPr>
            <w:tcW w:w="3547" w:type="dxa"/>
            <w:shd w:val="clear" w:color="auto" w:fill="auto"/>
          </w:tcPr>
          <w:p w14:paraId="71624A91" w14:textId="77777777" w:rsidR="00250442" w:rsidRPr="005D134D" w:rsidRDefault="00250442" w:rsidP="0060009E">
            <w:pPr>
              <w:rPr>
                <w:rFonts w:eastAsia="Calibri"/>
                <w:sz w:val="22"/>
                <w:szCs w:val="22"/>
              </w:rPr>
            </w:pPr>
            <w:r w:rsidRPr="005D134D">
              <w:rPr>
                <w:rFonts w:eastAsia="Calibri"/>
                <w:sz w:val="22"/>
                <w:szCs w:val="22"/>
              </w:rPr>
              <w:t xml:space="preserve">Registry </w:t>
            </w:r>
            <w:r>
              <w:rPr>
                <w:rFonts w:eastAsia="Calibri"/>
                <w:sz w:val="22"/>
                <w:szCs w:val="22"/>
              </w:rPr>
              <w:t xml:space="preserve">respondents </w:t>
            </w:r>
            <w:r w:rsidRPr="005D134D">
              <w:rPr>
                <w:rFonts w:eastAsia="Calibri"/>
                <w:sz w:val="22"/>
                <w:szCs w:val="22"/>
              </w:rPr>
              <w:t>contacted to ascertain changes in status</w:t>
            </w:r>
          </w:p>
        </w:tc>
        <w:tc>
          <w:tcPr>
            <w:tcW w:w="3040" w:type="dxa"/>
          </w:tcPr>
          <w:p w14:paraId="62D38D84" w14:textId="77777777" w:rsidR="00250442" w:rsidRPr="005D134D" w:rsidRDefault="00250442" w:rsidP="0060009E">
            <w:pPr>
              <w:rPr>
                <w:rFonts w:eastAsia="Calibri"/>
                <w:sz w:val="22"/>
                <w:szCs w:val="22"/>
              </w:rPr>
            </w:pPr>
          </w:p>
        </w:tc>
      </w:tr>
    </w:tbl>
    <w:p w14:paraId="4B4ECAB0" w14:textId="77777777" w:rsidR="006B32A3" w:rsidRDefault="006B32A3" w:rsidP="0060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C2AE36" w14:textId="77777777" w:rsidR="006B32A3" w:rsidRPr="003E7201" w:rsidRDefault="006B32A3" w:rsidP="0060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FA21326"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7201">
        <w:rPr>
          <w:b/>
          <w:sz w:val="24"/>
          <w:szCs w:val="24"/>
        </w:rPr>
        <w:t>17.</w:t>
      </w:r>
      <w:r w:rsidRPr="003E7201">
        <w:rPr>
          <w:b/>
          <w:sz w:val="24"/>
          <w:szCs w:val="24"/>
        </w:rPr>
        <w:tab/>
        <w:t>If seeking approval to not display the expiration date for OMB approval of the information collection, explain the reasons that display would be inappropriate.</w:t>
      </w:r>
    </w:p>
    <w:p w14:paraId="17C5883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07D05F" w14:textId="3BC6FC02" w:rsidR="00685514" w:rsidRDefault="007426C2" w:rsidP="006855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b/>
      </w:r>
      <w:r w:rsidR="00685514">
        <w:rPr>
          <w:sz w:val="24"/>
          <w:szCs w:val="24"/>
        </w:rPr>
        <w:t xml:space="preserve">Not applicable. </w:t>
      </w:r>
    </w:p>
    <w:p w14:paraId="16D181F0" w14:textId="77777777" w:rsidR="00685514" w:rsidRDefault="006855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E729B37" w14:textId="77777777" w:rsidR="00295103" w:rsidRPr="003E720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7201">
        <w:rPr>
          <w:b/>
          <w:sz w:val="24"/>
          <w:szCs w:val="24"/>
        </w:rPr>
        <w:t>18.</w:t>
      </w:r>
      <w:r w:rsidRPr="003E7201">
        <w:rPr>
          <w:b/>
          <w:sz w:val="24"/>
          <w:szCs w:val="24"/>
        </w:rPr>
        <w:tab/>
        <w:t xml:space="preserve">Explain each exception to the </w:t>
      </w:r>
      <w:r w:rsidR="005D39A7" w:rsidRPr="003E7201">
        <w:rPr>
          <w:b/>
          <w:sz w:val="24"/>
          <w:szCs w:val="24"/>
        </w:rPr>
        <w:t xml:space="preserve">topics of the </w:t>
      </w:r>
      <w:r w:rsidRPr="003E7201">
        <w:rPr>
          <w:b/>
          <w:sz w:val="24"/>
          <w:szCs w:val="24"/>
        </w:rPr>
        <w:t>certification statement identified in "Certification for Paperwork Reduction Act Submissions</w:t>
      </w:r>
      <w:r w:rsidR="005D39A7" w:rsidRPr="003E7201">
        <w:rPr>
          <w:b/>
          <w:sz w:val="24"/>
          <w:szCs w:val="24"/>
        </w:rPr>
        <w:t>.</w:t>
      </w:r>
      <w:r w:rsidRPr="003E7201">
        <w:rPr>
          <w:b/>
          <w:sz w:val="24"/>
          <w:szCs w:val="24"/>
        </w:rPr>
        <w:t>"</w:t>
      </w:r>
    </w:p>
    <w:p w14:paraId="0DB994A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556B6" w14:textId="6B0C02B7" w:rsidR="00782A92" w:rsidRDefault="00606997" w:rsidP="009D6A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7426C2">
        <w:rPr>
          <w:sz w:val="24"/>
          <w:szCs w:val="24"/>
        </w:rPr>
        <w:tab/>
      </w:r>
      <w:r w:rsidR="00CF2BB5">
        <w:rPr>
          <w:sz w:val="24"/>
          <w:szCs w:val="24"/>
        </w:rPr>
        <w:t>None</w:t>
      </w:r>
      <w:r w:rsidR="00344B7A">
        <w:rPr>
          <w:sz w:val="24"/>
          <w:szCs w:val="24"/>
        </w:rPr>
        <w:t>.</w:t>
      </w:r>
    </w:p>
    <w:sectPr w:rsidR="00782A92">
      <w:footerReference w:type="even" r:id="rId11"/>
      <w:footerReference w:type="default" r:id="rId12"/>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14CC2" w14:textId="77777777" w:rsidR="005E2EA5" w:rsidRDefault="005E2EA5" w:rsidP="00327CFA">
      <w:r>
        <w:separator/>
      </w:r>
    </w:p>
  </w:endnote>
  <w:endnote w:type="continuationSeparator" w:id="0">
    <w:p w14:paraId="2CBFE2F6" w14:textId="77777777" w:rsidR="005E2EA5" w:rsidRDefault="005E2EA5" w:rsidP="0032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191CD" w14:textId="77777777" w:rsidR="005E2EA5" w:rsidRDefault="005E2EA5" w:rsidP="00DC76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F3351F" w14:textId="77777777" w:rsidR="005E2EA5" w:rsidRDefault="005E2EA5" w:rsidP="00CE69F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7118F" w14:textId="77777777" w:rsidR="005E2EA5" w:rsidRDefault="005E2EA5" w:rsidP="00DC76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5EB2">
      <w:rPr>
        <w:rStyle w:val="PageNumber"/>
        <w:noProof/>
      </w:rPr>
      <w:t>12</w:t>
    </w:r>
    <w:r>
      <w:rPr>
        <w:rStyle w:val="PageNumber"/>
      </w:rPr>
      <w:fldChar w:fldCharType="end"/>
    </w:r>
  </w:p>
  <w:p w14:paraId="02C95CAA" w14:textId="77777777" w:rsidR="005E2EA5" w:rsidRDefault="005E2EA5" w:rsidP="00DC765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B16BC" w14:textId="77777777" w:rsidR="005E2EA5" w:rsidRDefault="005E2EA5" w:rsidP="00327CFA">
      <w:r>
        <w:separator/>
      </w:r>
    </w:p>
  </w:footnote>
  <w:footnote w:type="continuationSeparator" w:id="0">
    <w:p w14:paraId="53C1D753" w14:textId="77777777" w:rsidR="005E2EA5" w:rsidRDefault="005E2EA5" w:rsidP="00327CFA">
      <w:r>
        <w:continuationSeparator/>
      </w:r>
    </w:p>
  </w:footnote>
  <w:footnote w:id="1">
    <w:p w14:paraId="5BDB8940" w14:textId="77777777" w:rsidR="005E2EA5" w:rsidRDefault="005E2EA5">
      <w:pPr>
        <w:pStyle w:val="FootnoteText"/>
      </w:pPr>
      <w:r>
        <w:rPr>
          <w:rStyle w:val="FootnoteReference"/>
        </w:rPr>
        <w:footnoteRef/>
      </w:r>
      <w:r>
        <w:t xml:space="preserve"> “Assessment endpoints” are those natural and societal resources (for example, a species) being studied to determine the effect climate change will have on them. </w:t>
      </w:r>
    </w:p>
  </w:footnote>
  <w:footnote w:id="2">
    <w:p w14:paraId="102D5317" w14:textId="77777777" w:rsidR="005E2EA5" w:rsidRDefault="005E2EA5" w:rsidP="00E44A1B">
      <w:pPr>
        <w:pStyle w:val="CommentText"/>
      </w:pPr>
      <w:r>
        <w:rPr>
          <w:rStyle w:val="FootnoteReference"/>
        </w:rPr>
        <w:footnoteRef/>
      </w:r>
      <w:r>
        <w:t xml:space="preserve"> </w:t>
      </w:r>
      <w:r w:rsidRPr="00790D4C">
        <w:rPr>
          <w:rFonts w:cs="Verdana"/>
          <w:bCs/>
          <w:color w:val="000000"/>
        </w:rPr>
        <w:t xml:space="preserve">Surveys, Investigations and Research Both Inside and Outside the United States (43 U.S.C. § 31): </w:t>
      </w:r>
      <w:r w:rsidRPr="00790D4C">
        <w:rPr>
          <w:rFonts w:cs="Verdana"/>
          <w:color w:val="000000"/>
        </w:rPr>
        <w:t>The</w:t>
      </w:r>
      <w:r>
        <w:rPr>
          <w:rFonts w:cs="Verdana"/>
          <w:color w:val="000000"/>
        </w:rPr>
        <w:t xml:space="preserve"> Organic Act establishing the USGS authorizes surveys, investigations, and research, including such activities outside the national domain when the Secretary determines that work abroad is in the national interest.</w:t>
      </w:r>
    </w:p>
  </w:footnote>
  <w:footnote w:id="3">
    <w:p w14:paraId="35D94FFB" w14:textId="77777777" w:rsidR="005E2EA5" w:rsidRPr="007E345D" w:rsidRDefault="005E2EA5" w:rsidP="00E44A1B">
      <w:pPr>
        <w:pStyle w:val="MediumGrid2-Accent11"/>
        <w:rPr>
          <w:rFonts w:ascii="Times New Roman" w:hAnsi="Times New Roman"/>
          <w:sz w:val="20"/>
          <w:szCs w:val="20"/>
        </w:rPr>
      </w:pPr>
      <w:r>
        <w:rPr>
          <w:rStyle w:val="FootnoteReference"/>
        </w:rPr>
        <w:footnoteRef/>
      </w:r>
      <w:r>
        <w:t xml:space="preserve"> </w:t>
      </w:r>
      <w:r w:rsidRPr="00E44A1B">
        <w:rPr>
          <w:rFonts w:ascii="Times New Roman" w:hAnsi="Times New Roman"/>
          <w:sz w:val="20"/>
          <w:szCs w:val="20"/>
        </w:rPr>
        <w:t>Department of the Interior, Environment, and Related Agencies Appropriations Bill, 2008</w:t>
      </w:r>
      <w:r>
        <w:rPr>
          <w:rFonts w:ascii="Times New Roman" w:hAnsi="Times New Roman"/>
          <w:i/>
          <w:sz w:val="20"/>
          <w:szCs w:val="20"/>
        </w:rPr>
        <w:t xml:space="preserve">, </w:t>
      </w:r>
      <w:r w:rsidRPr="00E44A1B">
        <w:rPr>
          <w:rFonts w:ascii="Times New Roman" w:hAnsi="Times New Roman"/>
          <w:i/>
          <w:sz w:val="20"/>
          <w:szCs w:val="20"/>
        </w:rPr>
        <w:t>House Report 110-187</w:t>
      </w:r>
      <w:r>
        <w:rPr>
          <w:rFonts w:ascii="Times New Roman" w:hAnsi="Times New Roman"/>
          <w:sz w:val="20"/>
          <w:szCs w:val="20"/>
        </w:rPr>
        <w:t>.</w:t>
      </w:r>
    </w:p>
  </w:footnote>
  <w:footnote w:id="4">
    <w:p w14:paraId="6CDE139E" w14:textId="77777777" w:rsidR="005E2EA5" w:rsidRDefault="005E2EA5">
      <w:pPr>
        <w:pStyle w:val="FootnoteText"/>
      </w:pPr>
      <w:r>
        <w:rPr>
          <w:rStyle w:val="FootnoteReference"/>
        </w:rPr>
        <w:footnoteRef/>
      </w:r>
      <w:r>
        <w:t xml:space="preserve"> Secretarial Order 3289, September 2009, amended February 2010.</w:t>
      </w:r>
    </w:p>
  </w:footnote>
  <w:footnote w:id="5">
    <w:p w14:paraId="1EA38086" w14:textId="77777777" w:rsidR="005E2EA5" w:rsidRDefault="005E2EA5">
      <w:pPr>
        <w:pStyle w:val="FootnoteText"/>
      </w:pPr>
      <w:r>
        <w:rPr>
          <w:rStyle w:val="FootnoteReference"/>
        </w:rPr>
        <w:footnoteRef/>
      </w:r>
      <w:r>
        <w:t xml:space="preserve"> At present, this includes: USGS (lead developer), Bureau of Indian Affairs, National Park Service, US Fish and Wildlife Service, Bureau of Land Management, US Forest Service, Environmental Protection Agency, National Oceanic and Atmospheric Administration, Office of Science and Technology Policy, and Council on Environmental Quality.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D803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2426EA"/>
    <w:multiLevelType w:val="hybridMultilevel"/>
    <w:tmpl w:val="FAD69FD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EC0AB1"/>
    <w:multiLevelType w:val="hybridMultilevel"/>
    <w:tmpl w:val="A1780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5224D1"/>
    <w:multiLevelType w:val="hybridMultilevel"/>
    <w:tmpl w:val="183E5034"/>
    <w:lvl w:ilvl="0" w:tplc="D3D0865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044C2"/>
    <w:multiLevelType w:val="hybridMultilevel"/>
    <w:tmpl w:val="F8940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27757B0"/>
    <w:multiLevelType w:val="multilevel"/>
    <w:tmpl w:val="81D42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125F3D"/>
    <w:multiLevelType w:val="hybridMultilevel"/>
    <w:tmpl w:val="06DEE6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7B4055A"/>
    <w:multiLevelType w:val="hybridMultilevel"/>
    <w:tmpl w:val="E6BC44D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4CC1430F"/>
    <w:multiLevelType w:val="hybridMultilevel"/>
    <w:tmpl w:val="B880B4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D143F93"/>
    <w:multiLevelType w:val="hybridMultilevel"/>
    <w:tmpl w:val="F7401CEA"/>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9E2A3F"/>
    <w:multiLevelType w:val="hybridMultilevel"/>
    <w:tmpl w:val="EC02B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DC11A4"/>
    <w:multiLevelType w:val="hybridMultilevel"/>
    <w:tmpl w:val="92CAD6E2"/>
    <w:lvl w:ilvl="0" w:tplc="52F2744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687996"/>
    <w:multiLevelType w:val="hybridMultilevel"/>
    <w:tmpl w:val="943E7C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5"/>
  </w:num>
  <w:num w:numId="4">
    <w:abstractNumId w:val="0"/>
  </w:num>
  <w:num w:numId="5">
    <w:abstractNumId w:val="6"/>
  </w:num>
  <w:num w:numId="6">
    <w:abstractNumId w:val="10"/>
  </w:num>
  <w:num w:numId="7">
    <w:abstractNumId w:val="8"/>
  </w:num>
  <w:num w:numId="8">
    <w:abstractNumId w:val="7"/>
  </w:num>
  <w:num w:numId="9">
    <w:abstractNumId w:val="11"/>
  </w:num>
  <w:num w:numId="10">
    <w:abstractNumId w:val="3"/>
  </w:num>
  <w:num w:numId="11">
    <w:abstractNumId w:val="4"/>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5F27"/>
    <w:rsid w:val="00012F0F"/>
    <w:rsid w:val="0001682B"/>
    <w:rsid w:val="000257C8"/>
    <w:rsid w:val="00026233"/>
    <w:rsid w:val="0003164E"/>
    <w:rsid w:val="00034D56"/>
    <w:rsid w:val="0004623A"/>
    <w:rsid w:val="0005092F"/>
    <w:rsid w:val="00050E0B"/>
    <w:rsid w:val="00051C86"/>
    <w:rsid w:val="000525D9"/>
    <w:rsid w:val="000679D5"/>
    <w:rsid w:val="0007361C"/>
    <w:rsid w:val="00081F2B"/>
    <w:rsid w:val="00082F3F"/>
    <w:rsid w:val="00083EB3"/>
    <w:rsid w:val="000E052E"/>
    <w:rsid w:val="000F1C17"/>
    <w:rsid w:val="000F3AF1"/>
    <w:rsid w:val="0010469D"/>
    <w:rsid w:val="00107E58"/>
    <w:rsid w:val="00117107"/>
    <w:rsid w:val="00127766"/>
    <w:rsid w:val="00135A66"/>
    <w:rsid w:val="001458D4"/>
    <w:rsid w:val="0015314C"/>
    <w:rsid w:val="001568E8"/>
    <w:rsid w:val="00162B02"/>
    <w:rsid w:val="00165479"/>
    <w:rsid w:val="00174A77"/>
    <w:rsid w:val="001754D7"/>
    <w:rsid w:val="00177EDE"/>
    <w:rsid w:val="00196C69"/>
    <w:rsid w:val="001A7EEA"/>
    <w:rsid w:val="001B5240"/>
    <w:rsid w:val="001C46CF"/>
    <w:rsid w:val="001C4864"/>
    <w:rsid w:val="001D1AA9"/>
    <w:rsid w:val="001D274F"/>
    <w:rsid w:val="001F3575"/>
    <w:rsid w:val="001F39AB"/>
    <w:rsid w:val="00212861"/>
    <w:rsid w:val="00213232"/>
    <w:rsid w:val="00217DED"/>
    <w:rsid w:val="00226DE8"/>
    <w:rsid w:val="00250442"/>
    <w:rsid w:val="002511B8"/>
    <w:rsid w:val="00251A4B"/>
    <w:rsid w:val="002662FB"/>
    <w:rsid w:val="002814AA"/>
    <w:rsid w:val="00282712"/>
    <w:rsid w:val="00287890"/>
    <w:rsid w:val="00294F7E"/>
    <w:rsid w:val="00295103"/>
    <w:rsid w:val="002978D5"/>
    <w:rsid w:val="002A00AB"/>
    <w:rsid w:val="002B0238"/>
    <w:rsid w:val="002B7E3C"/>
    <w:rsid w:val="002C3070"/>
    <w:rsid w:val="002C34A2"/>
    <w:rsid w:val="002C6120"/>
    <w:rsid w:val="002D074C"/>
    <w:rsid w:val="002E65E2"/>
    <w:rsid w:val="003046E0"/>
    <w:rsid w:val="003134AE"/>
    <w:rsid w:val="0031683A"/>
    <w:rsid w:val="00327CFA"/>
    <w:rsid w:val="00336878"/>
    <w:rsid w:val="00344B7A"/>
    <w:rsid w:val="00352210"/>
    <w:rsid w:val="00356939"/>
    <w:rsid w:val="00371ABE"/>
    <w:rsid w:val="003801F3"/>
    <w:rsid w:val="003A4D9C"/>
    <w:rsid w:val="003B0FFD"/>
    <w:rsid w:val="003B538E"/>
    <w:rsid w:val="003B6E74"/>
    <w:rsid w:val="003C3292"/>
    <w:rsid w:val="003C7B23"/>
    <w:rsid w:val="003D3DCD"/>
    <w:rsid w:val="003E3270"/>
    <w:rsid w:val="003E3F4B"/>
    <w:rsid w:val="003E7201"/>
    <w:rsid w:val="003F3AEC"/>
    <w:rsid w:val="00400AD0"/>
    <w:rsid w:val="0040396D"/>
    <w:rsid w:val="00412A81"/>
    <w:rsid w:val="00415AA4"/>
    <w:rsid w:val="00422B20"/>
    <w:rsid w:val="00434722"/>
    <w:rsid w:val="00436C82"/>
    <w:rsid w:val="004548F0"/>
    <w:rsid w:val="00465DE3"/>
    <w:rsid w:val="00472394"/>
    <w:rsid w:val="004725D9"/>
    <w:rsid w:val="0047451E"/>
    <w:rsid w:val="0047591A"/>
    <w:rsid w:val="00482892"/>
    <w:rsid w:val="0049536C"/>
    <w:rsid w:val="004A1472"/>
    <w:rsid w:val="004A37EA"/>
    <w:rsid w:val="004A6DFA"/>
    <w:rsid w:val="004A774E"/>
    <w:rsid w:val="004B6994"/>
    <w:rsid w:val="004C77A1"/>
    <w:rsid w:val="004F6019"/>
    <w:rsid w:val="00500AF1"/>
    <w:rsid w:val="00500DC6"/>
    <w:rsid w:val="00512719"/>
    <w:rsid w:val="00515D57"/>
    <w:rsid w:val="00523CCF"/>
    <w:rsid w:val="00523DBA"/>
    <w:rsid w:val="00525467"/>
    <w:rsid w:val="0053001F"/>
    <w:rsid w:val="0053087C"/>
    <w:rsid w:val="005430B4"/>
    <w:rsid w:val="00552962"/>
    <w:rsid w:val="00555921"/>
    <w:rsid w:val="00561F24"/>
    <w:rsid w:val="00563A30"/>
    <w:rsid w:val="00565109"/>
    <w:rsid w:val="00565F68"/>
    <w:rsid w:val="0058778F"/>
    <w:rsid w:val="005948D0"/>
    <w:rsid w:val="005A2AF3"/>
    <w:rsid w:val="005A580B"/>
    <w:rsid w:val="005B3610"/>
    <w:rsid w:val="005C1A16"/>
    <w:rsid w:val="005C6788"/>
    <w:rsid w:val="005D134D"/>
    <w:rsid w:val="005D39A7"/>
    <w:rsid w:val="005E0031"/>
    <w:rsid w:val="005E2EA5"/>
    <w:rsid w:val="005F5103"/>
    <w:rsid w:val="005F7A53"/>
    <w:rsid w:val="0060009E"/>
    <w:rsid w:val="00603EA4"/>
    <w:rsid w:val="00605968"/>
    <w:rsid w:val="006066F9"/>
    <w:rsid w:val="00606997"/>
    <w:rsid w:val="0060758B"/>
    <w:rsid w:val="006410CA"/>
    <w:rsid w:val="0065163E"/>
    <w:rsid w:val="006610D0"/>
    <w:rsid w:val="006766E7"/>
    <w:rsid w:val="006775FF"/>
    <w:rsid w:val="00680FD1"/>
    <w:rsid w:val="00684ABE"/>
    <w:rsid w:val="00685514"/>
    <w:rsid w:val="0068707C"/>
    <w:rsid w:val="00695077"/>
    <w:rsid w:val="006A13CB"/>
    <w:rsid w:val="006A777E"/>
    <w:rsid w:val="006B3191"/>
    <w:rsid w:val="006B32A3"/>
    <w:rsid w:val="006B5E3E"/>
    <w:rsid w:val="006C380A"/>
    <w:rsid w:val="006D6125"/>
    <w:rsid w:val="006D7B10"/>
    <w:rsid w:val="006E339F"/>
    <w:rsid w:val="006F3901"/>
    <w:rsid w:val="006F4384"/>
    <w:rsid w:val="00701C0C"/>
    <w:rsid w:val="00702835"/>
    <w:rsid w:val="00703E05"/>
    <w:rsid w:val="00714D6E"/>
    <w:rsid w:val="00716E94"/>
    <w:rsid w:val="0072562C"/>
    <w:rsid w:val="00731E23"/>
    <w:rsid w:val="0073593F"/>
    <w:rsid w:val="00736EF3"/>
    <w:rsid w:val="007426C2"/>
    <w:rsid w:val="00754E97"/>
    <w:rsid w:val="007636FB"/>
    <w:rsid w:val="00770BAA"/>
    <w:rsid w:val="00775FF2"/>
    <w:rsid w:val="007825B1"/>
    <w:rsid w:val="00782A92"/>
    <w:rsid w:val="007851E9"/>
    <w:rsid w:val="00785EB2"/>
    <w:rsid w:val="00790D4C"/>
    <w:rsid w:val="00792314"/>
    <w:rsid w:val="00794072"/>
    <w:rsid w:val="007B0A5D"/>
    <w:rsid w:val="007C11BF"/>
    <w:rsid w:val="007C67C2"/>
    <w:rsid w:val="007D2FA6"/>
    <w:rsid w:val="007D448E"/>
    <w:rsid w:val="007E21B5"/>
    <w:rsid w:val="007E345D"/>
    <w:rsid w:val="007F0C96"/>
    <w:rsid w:val="007F2CE5"/>
    <w:rsid w:val="008115DC"/>
    <w:rsid w:val="0081259F"/>
    <w:rsid w:val="00816D5F"/>
    <w:rsid w:val="008262D5"/>
    <w:rsid w:val="00837885"/>
    <w:rsid w:val="0084199D"/>
    <w:rsid w:val="00845EB7"/>
    <w:rsid w:val="0084649F"/>
    <w:rsid w:val="008526F3"/>
    <w:rsid w:val="008666D7"/>
    <w:rsid w:val="00870AAD"/>
    <w:rsid w:val="008805DB"/>
    <w:rsid w:val="00881025"/>
    <w:rsid w:val="008856B5"/>
    <w:rsid w:val="008969BE"/>
    <w:rsid w:val="008A4A92"/>
    <w:rsid w:val="008C0B6B"/>
    <w:rsid w:val="008D48FB"/>
    <w:rsid w:val="008F1FCF"/>
    <w:rsid w:val="008F4290"/>
    <w:rsid w:val="008F5F9E"/>
    <w:rsid w:val="00904F11"/>
    <w:rsid w:val="00912D86"/>
    <w:rsid w:val="009344E5"/>
    <w:rsid w:val="009349FA"/>
    <w:rsid w:val="0093573B"/>
    <w:rsid w:val="00942BB8"/>
    <w:rsid w:val="00943790"/>
    <w:rsid w:val="00944C21"/>
    <w:rsid w:val="00950575"/>
    <w:rsid w:val="00954C24"/>
    <w:rsid w:val="00955675"/>
    <w:rsid w:val="00956776"/>
    <w:rsid w:val="00966943"/>
    <w:rsid w:val="00967B9A"/>
    <w:rsid w:val="00980504"/>
    <w:rsid w:val="009829A5"/>
    <w:rsid w:val="009854B2"/>
    <w:rsid w:val="00985CC8"/>
    <w:rsid w:val="009910ED"/>
    <w:rsid w:val="00997300"/>
    <w:rsid w:val="009A1128"/>
    <w:rsid w:val="009A3DBC"/>
    <w:rsid w:val="009B359F"/>
    <w:rsid w:val="009B5CC6"/>
    <w:rsid w:val="009C26E2"/>
    <w:rsid w:val="009C43BC"/>
    <w:rsid w:val="009C7247"/>
    <w:rsid w:val="009D507E"/>
    <w:rsid w:val="009D532D"/>
    <w:rsid w:val="009D6A81"/>
    <w:rsid w:val="009E724C"/>
    <w:rsid w:val="009F4571"/>
    <w:rsid w:val="00A059DE"/>
    <w:rsid w:val="00A1090A"/>
    <w:rsid w:val="00A16E01"/>
    <w:rsid w:val="00A236E4"/>
    <w:rsid w:val="00A25B85"/>
    <w:rsid w:val="00A56F43"/>
    <w:rsid w:val="00A64767"/>
    <w:rsid w:val="00A679DE"/>
    <w:rsid w:val="00A67D40"/>
    <w:rsid w:val="00A818E3"/>
    <w:rsid w:val="00AA25DB"/>
    <w:rsid w:val="00AC0239"/>
    <w:rsid w:val="00AC062A"/>
    <w:rsid w:val="00AC2F66"/>
    <w:rsid w:val="00AD71CB"/>
    <w:rsid w:val="00AD7A25"/>
    <w:rsid w:val="00AE2DF9"/>
    <w:rsid w:val="00B00BC1"/>
    <w:rsid w:val="00B00E2E"/>
    <w:rsid w:val="00B21F8F"/>
    <w:rsid w:val="00B325B9"/>
    <w:rsid w:val="00B34C62"/>
    <w:rsid w:val="00B54AE8"/>
    <w:rsid w:val="00B57B27"/>
    <w:rsid w:val="00B61EC7"/>
    <w:rsid w:val="00B8235A"/>
    <w:rsid w:val="00B82B92"/>
    <w:rsid w:val="00B84A24"/>
    <w:rsid w:val="00B87792"/>
    <w:rsid w:val="00B9309D"/>
    <w:rsid w:val="00BB6841"/>
    <w:rsid w:val="00BC2B29"/>
    <w:rsid w:val="00BE59FD"/>
    <w:rsid w:val="00BF1DF0"/>
    <w:rsid w:val="00C164E9"/>
    <w:rsid w:val="00C21A68"/>
    <w:rsid w:val="00C25318"/>
    <w:rsid w:val="00C25860"/>
    <w:rsid w:val="00C40E66"/>
    <w:rsid w:val="00C60711"/>
    <w:rsid w:val="00C756DE"/>
    <w:rsid w:val="00C87FD9"/>
    <w:rsid w:val="00C90292"/>
    <w:rsid w:val="00C97D6C"/>
    <w:rsid w:val="00CA4D06"/>
    <w:rsid w:val="00CA51FB"/>
    <w:rsid w:val="00CB012D"/>
    <w:rsid w:val="00CD3B9F"/>
    <w:rsid w:val="00CD7E8E"/>
    <w:rsid w:val="00CE1486"/>
    <w:rsid w:val="00CE31EE"/>
    <w:rsid w:val="00CE663C"/>
    <w:rsid w:val="00CE69F7"/>
    <w:rsid w:val="00CF13E8"/>
    <w:rsid w:val="00CF2BB5"/>
    <w:rsid w:val="00CF3358"/>
    <w:rsid w:val="00D12BD5"/>
    <w:rsid w:val="00D27940"/>
    <w:rsid w:val="00D4543B"/>
    <w:rsid w:val="00D572A7"/>
    <w:rsid w:val="00D730FB"/>
    <w:rsid w:val="00D73C58"/>
    <w:rsid w:val="00D93B8E"/>
    <w:rsid w:val="00DA6DEB"/>
    <w:rsid w:val="00DB6B59"/>
    <w:rsid w:val="00DC71F1"/>
    <w:rsid w:val="00DC7654"/>
    <w:rsid w:val="00DD4788"/>
    <w:rsid w:val="00DE15AD"/>
    <w:rsid w:val="00DE1FFE"/>
    <w:rsid w:val="00DE4FB8"/>
    <w:rsid w:val="00DE513C"/>
    <w:rsid w:val="00DE7630"/>
    <w:rsid w:val="00DF3135"/>
    <w:rsid w:val="00DF718A"/>
    <w:rsid w:val="00E141F9"/>
    <w:rsid w:val="00E40C94"/>
    <w:rsid w:val="00E44A1B"/>
    <w:rsid w:val="00E47A0F"/>
    <w:rsid w:val="00E6013B"/>
    <w:rsid w:val="00E60F7E"/>
    <w:rsid w:val="00E87A63"/>
    <w:rsid w:val="00E944B7"/>
    <w:rsid w:val="00E95860"/>
    <w:rsid w:val="00EA1390"/>
    <w:rsid w:val="00EB220F"/>
    <w:rsid w:val="00ED1A6D"/>
    <w:rsid w:val="00ED32F6"/>
    <w:rsid w:val="00ED4E45"/>
    <w:rsid w:val="00EE1A2D"/>
    <w:rsid w:val="00EE443E"/>
    <w:rsid w:val="00EE48A1"/>
    <w:rsid w:val="00EE62C7"/>
    <w:rsid w:val="00EE650F"/>
    <w:rsid w:val="00EE726D"/>
    <w:rsid w:val="00EF0327"/>
    <w:rsid w:val="00F05ADA"/>
    <w:rsid w:val="00F14445"/>
    <w:rsid w:val="00F155C8"/>
    <w:rsid w:val="00F37195"/>
    <w:rsid w:val="00F6055F"/>
    <w:rsid w:val="00F716D2"/>
    <w:rsid w:val="00F73931"/>
    <w:rsid w:val="00F83E19"/>
    <w:rsid w:val="00F93F4F"/>
    <w:rsid w:val="00F96D3F"/>
    <w:rsid w:val="00FA14C2"/>
    <w:rsid w:val="00FA5A32"/>
    <w:rsid w:val="00FB2BFD"/>
    <w:rsid w:val="00FB6C13"/>
    <w:rsid w:val="00FD0A27"/>
    <w:rsid w:val="00FD2277"/>
    <w:rsid w:val="00FD3154"/>
    <w:rsid w:val="00FE30C1"/>
    <w:rsid w:val="00FE77DA"/>
    <w:rsid w:val="00FF6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8C7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4">
    <w:name w:val="heading 4"/>
    <w:basedOn w:val="Normal"/>
    <w:link w:val="Heading4Char"/>
    <w:uiPriority w:val="9"/>
    <w:qFormat/>
    <w:rsid w:val="00AC0239"/>
    <w:pPr>
      <w:widowControl/>
      <w:autoSpaceDE/>
      <w:autoSpaceDN/>
      <w:adjustRightInd/>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noteText">
    <w:name w:val="footnote text"/>
    <w:basedOn w:val="Normal"/>
    <w:link w:val="FootnoteTextChar"/>
    <w:uiPriority w:val="99"/>
    <w:semiHidden/>
    <w:unhideWhenUsed/>
    <w:rsid w:val="00327CFA"/>
  </w:style>
  <w:style w:type="character" w:customStyle="1" w:styleId="FootnoteTextChar">
    <w:name w:val="Footnote Text Char"/>
    <w:link w:val="FootnoteText"/>
    <w:uiPriority w:val="99"/>
    <w:semiHidden/>
    <w:rsid w:val="00327CFA"/>
    <w:rPr>
      <w:rFonts w:ascii="Times New Roman" w:hAnsi="Times New Roman"/>
    </w:rPr>
  </w:style>
  <w:style w:type="character" w:styleId="FootnoteReference">
    <w:name w:val="footnote reference"/>
    <w:uiPriority w:val="99"/>
    <w:semiHidden/>
    <w:unhideWhenUsed/>
    <w:rsid w:val="00327CFA"/>
    <w:rPr>
      <w:vertAlign w:val="superscript"/>
    </w:rPr>
  </w:style>
  <w:style w:type="character" w:styleId="Hyperlink">
    <w:name w:val="Hyperlink"/>
    <w:uiPriority w:val="99"/>
    <w:unhideWhenUsed/>
    <w:rsid w:val="006B32A3"/>
    <w:rPr>
      <w:color w:val="0000FF"/>
      <w:u w:val="single"/>
    </w:rPr>
  </w:style>
  <w:style w:type="character" w:styleId="FollowedHyperlink">
    <w:name w:val="FollowedHyperlink"/>
    <w:uiPriority w:val="99"/>
    <w:semiHidden/>
    <w:unhideWhenUsed/>
    <w:rsid w:val="006B32A3"/>
    <w:rPr>
      <w:color w:val="800080"/>
      <w:u w:val="single"/>
    </w:rPr>
  </w:style>
  <w:style w:type="table" w:styleId="TableGrid">
    <w:name w:val="Table Grid"/>
    <w:basedOn w:val="TableNormal"/>
    <w:uiPriority w:val="59"/>
    <w:rsid w:val="00685514"/>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754D7"/>
    <w:rPr>
      <w:sz w:val="16"/>
      <w:szCs w:val="16"/>
    </w:rPr>
  </w:style>
  <w:style w:type="paragraph" w:styleId="CommentText">
    <w:name w:val="annotation text"/>
    <w:basedOn w:val="Normal"/>
    <w:link w:val="CommentTextChar"/>
    <w:uiPriority w:val="99"/>
    <w:unhideWhenUsed/>
    <w:rsid w:val="001754D7"/>
  </w:style>
  <w:style w:type="character" w:customStyle="1" w:styleId="CommentTextChar">
    <w:name w:val="Comment Text Char"/>
    <w:link w:val="CommentText"/>
    <w:uiPriority w:val="99"/>
    <w:rsid w:val="001754D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754D7"/>
    <w:rPr>
      <w:b/>
      <w:bCs/>
    </w:rPr>
  </w:style>
  <w:style w:type="character" w:customStyle="1" w:styleId="CommentSubjectChar">
    <w:name w:val="Comment Subject Char"/>
    <w:link w:val="CommentSubject"/>
    <w:uiPriority w:val="99"/>
    <w:semiHidden/>
    <w:rsid w:val="001754D7"/>
    <w:rPr>
      <w:rFonts w:ascii="Times New Roman" w:hAnsi="Times New Roman"/>
      <w:b/>
      <w:bCs/>
    </w:rPr>
  </w:style>
  <w:style w:type="paragraph" w:customStyle="1" w:styleId="Default">
    <w:name w:val="Default"/>
    <w:rsid w:val="0010469D"/>
    <w:pPr>
      <w:autoSpaceDE w:val="0"/>
      <w:autoSpaceDN w:val="0"/>
      <w:adjustRightInd w:val="0"/>
    </w:pPr>
    <w:rPr>
      <w:rFonts w:ascii="Verdana" w:hAnsi="Verdana" w:cs="Verdana"/>
      <w:color w:val="000000"/>
      <w:sz w:val="24"/>
      <w:szCs w:val="24"/>
    </w:rPr>
  </w:style>
  <w:style w:type="character" w:customStyle="1" w:styleId="Heading4Char">
    <w:name w:val="Heading 4 Char"/>
    <w:link w:val="Heading4"/>
    <w:uiPriority w:val="9"/>
    <w:rsid w:val="00AC0239"/>
    <w:rPr>
      <w:rFonts w:ascii="Times New Roman" w:hAnsi="Times New Roman"/>
      <w:b/>
      <w:bCs/>
      <w:sz w:val="24"/>
      <w:szCs w:val="24"/>
    </w:rPr>
  </w:style>
  <w:style w:type="paragraph" w:styleId="NormalWeb">
    <w:name w:val="Normal (Web)"/>
    <w:basedOn w:val="Normal"/>
    <w:uiPriority w:val="99"/>
    <w:unhideWhenUsed/>
    <w:rsid w:val="00AC0239"/>
    <w:pPr>
      <w:widowControl/>
      <w:autoSpaceDE/>
      <w:autoSpaceDN/>
      <w:adjustRightInd/>
      <w:spacing w:before="100" w:beforeAutospacing="1" w:after="100" w:afterAutospacing="1"/>
    </w:pPr>
    <w:rPr>
      <w:sz w:val="24"/>
      <w:szCs w:val="24"/>
    </w:rPr>
  </w:style>
  <w:style w:type="paragraph" w:customStyle="1" w:styleId="MediumGrid2-Accent11">
    <w:name w:val="Medium Grid 2 - Accent 11"/>
    <w:uiPriority w:val="1"/>
    <w:qFormat/>
    <w:rsid w:val="00012F0F"/>
    <w:rPr>
      <w:rFonts w:eastAsia="Calibri"/>
      <w:sz w:val="22"/>
      <w:szCs w:val="22"/>
    </w:rPr>
  </w:style>
  <w:style w:type="paragraph" w:styleId="Header">
    <w:name w:val="header"/>
    <w:basedOn w:val="Normal"/>
    <w:link w:val="HeaderChar"/>
    <w:uiPriority w:val="99"/>
    <w:unhideWhenUsed/>
    <w:rsid w:val="00B82B92"/>
    <w:pPr>
      <w:tabs>
        <w:tab w:val="center" w:pos="4680"/>
        <w:tab w:val="right" w:pos="9360"/>
      </w:tabs>
    </w:pPr>
  </w:style>
  <w:style w:type="character" w:customStyle="1" w:styleId="HeaderChar">
    <w:name w:val="Header Char"/>
    <w:link w:val="Header"/>
    <w:uiPriority w:val="99"/>
    <w:rsid w:val="00B82B92"/>
    <w:rPr>
      <w:rFonts w:ascii="Times New Roman" w:hAnsi="Times New Roman"/>
    </w:rPr>
  </w:style>
  <w:style w:type="paragraph" w:styleId="Footer">
    <w:name w:val="footer"/>
    <w:basedOn w:val="Normal"/>
    <w:link w:val="FooterChar"/>
    <w:uiPriority w:val="99"/>
    <w:unhideWhenUsed/>
    <w:rsid w:val="00B82B92"/>
    <w:pPr>
      <w:tabs>
        <w:tab w:val="center" w:pos="4680"/>
        <w:tab w:val="right" w:pos="9360"/>
      </w:tabs>
    </w:pPr>
  </w:style>
  <w:style w:type="character" w:customStyle="1" w:styleId="FooterChar">
    <w:name w:val="Footer Char"/>
    <w:link w:val="Footer"/>
    <w:uiPriority w:val="99"/>
    <w:rsid w:val="00B82B92"/>
    <w:rPr>
      <w:rFonts w:ascii="Times New Roman" w:hAnsi="Times New Roman"/>
    </w:rPr>
  </w:style>
  <w:style w:type="character" w:styleId="PageNumber">
    <w:name w:val="page number"/>
    <w:uiPriority w:val="99"/>
    <w:semiHidden/>
    <w:unhideWhenUsed/>
    <w:rsid w:val="00DC7654"/>
  </w:style>
  <w:style w:type="paragraph" w:styleId="ListParagraph">
    <w:name w:val="List Paragraph"/>
    <w:basedOn w:val="Normal"/>
    <w:uiPriority w:val="72"/>
    <w:rsid w:val="007426C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4">
    <w:name w:val="heading 4"/>
    <w:basedOn w:val="Normal"/>
    <w:link w:val="Heading4Char"/>
    <w:uiPriority w:val="9"/>
    <w:qFormat/>
    <w:rsid w:val="00AC0239"/>
    <w:pPr>
      <w:widowControl/>
      <w:autoSpaceDE/>
      <w:autoSpaceDN/>
      <w:adjustRightInd/>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noteText">
    <w:name w:val="footnote text"/>
    <w:basedOn w:val="Normal"/>
    <w:link w:val="FootnoteTextChar"/>
    <w:uiPriority w:val="99"/>
    <w:semiHidden/>
    <w:unhideWhenUsed/>
    <w:rsid w:val="00327CFA"/>
  </w:style>
  <w:style w:type="character" w:customStyle="1" w:styleId="FootnoteTextChar">
    <w:name w:val="Footnote Text Char"/>
    <w:link w:val="FootnoteText"/>
    <w:uiPriority w:val="99"/>
    <w:semiHidden/>
    <w:rsid w:val="00327CFA"/>
    <w:rPr>
      <w:rFonts w:ascii="Times New Roman" w:hAnsi="Times New Roman"/>
    </w:rPr>
  </w:style>
  <w:style w:type="character" w:styleId="FootnoteReference">
    <w:name w:val="footnote reference"/>
    <w:uiPriority w:val="99"/>
    <w:semiHidden/>
    <w:unhideWhenUsed/>
    <w:rsid w:val="00327CFA"/>
    <w:rPr>
      <w:vertAlign w:val="superscript"/>
    </w:rPr>
  </w:style>
  <w:style w:type="character" w:styleId="Hyperlink">
    <w:name w:val="Hyperlink"/>
    <w:uiPriority w:val="99"/>
    <w:unhideWhenUsed/>
    <w:rsid w:val="006B32A3"/>
    <w:rPr>
      <w:color w:val="0000FF"/>
      <w:u w:val="single"/>
    </w:rPr>
  </w:style>
  <w:style w:type="character" w:styleId="FollowedHyperlink">
    <w:name w:val="FollowedHyperlink"/>
    <w:uiPriority w:val="99"/>
    <w:semiHidden/>
    <w:unhideWhenUsed/>
    <w:rsid w:val="006B32A3"/>
    <w:rPr>
      <w:color w:val="800080"/>
      <w:u w:val="single"/>
    </w:rPr>
  </w:style>
  <w:style w:type="table" w:styleId="TableGrid">
    <w:name w:val="Table Grid"/>
    <w:basedOn w:val="TableNormal"/>
    <w:uiPriority w:val="59"/>
    <w:rsid w:val="00685514"/>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754D7"/>
    <w:rPr>
      <w:sz w:val="16"/>
      <w:szCs w:val="16"/>
    </w:rPr>
  </w:style>
  <w:style w:type="paragraph" w:styleId="CommentText">
    <w:name w:val="annotation text"/>
    <w:basedOn w:val="Normal"/>
    <w:link w:val="CommentTextChar"/>
    <w:uiPriority w:val="99"/>
    <w:unhideWhenUsed/>
    <w:rsid w:val="001754D7"/>
  </w:style>
  <w:style w:type="character" w:customStyle="1" w:styleId="CommentTextChar">
    <w:name w:val="Comment Text Char"/>
    <w:link w:val="CommentText"/>
    <w:uiPriority w:val="99"/>
    <w:rsid w:val="001754D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754D7"/>
    <w:rPr>
      <w:b/>
      <w:bCs/>
    </w:rPr>
  </w:style>
  <w:style w:type="character" w:customStyle="1" w:styleId="CommentSubjectChar">
    <w:name w:val="Comment Subject Char"/>
    <w:link w:val="CommentSubject"/>
    <w:uiPriority w:val="99"/>
    <w:semiHidden/>
    <w:rsid w:val="001754D7"/>
    <w:rPr>
      <w:rFonts w:ascii="Times New Roman" w:hAnsi="Times New Roman"/>
      <w:b/>
      <w:bCs/>
    </w:rPr>
  </w:style>
  <w:style w:type="paragraph" w:customStyle="1" w:styleId="Default">
    <w:name w:val="Default"/>
    <w:rsid w:val="0010469D"/>
    <w:pPr>
      <w:autoSpaceDE w:val="0"/>
      <w:autoSpaceDN w:val="0"/>
      <w:adjustRightInd w:val="0"/>
    </w:pPr>
    <w:rPr>
      <w:rFonts w:ascii="Verdana" w:hAnsi="Verdana" w:cs="Verdana"/>
      <w:color w:val="000000"/>
      <w:sz w:val="24"/>
      <w:szCs w:val="24"/>
    </w:rPr>
  </w:style>
  <w:style w:type="character" w:customStyle="1" w:styleId="Heading4Char">
    <w:name w:val="Heading 4 Char"/>
    <w:link w:val="Heading4"/>
    <w:uiPriority w:val="9"/>
    <w:rsid w:val="00AC0239"/>
    <w:rPr>
      <w:rFonts w:ascii="Times New Roman" w:hAnsi="Times New Roman"/>
      <w:b/>
      <w:bCs/>
      <w:sz w:val="24"/>
      <w:szCs w:val="24"/>
    </w:rPr>
  </w:style>
  <w:style w:type="paragraph" w:styleId="NormalWeb">
    <w:name w:val="Normal (Web)"/>
    <w:basedOn w:val="Normal"/>
    <w:uiPriority w:val="99"/>
    <w:unhideWhenUsed/>
    <w:rsid w:val="00AC0239"/>
    <w:pPr>
      <w:widowControl/>
      <w:autoSpaceDE/>
      <w:autoSpaceDN/>
      <w:adjustRightInd/>
      <w:spacing w:before="100" w:beforeAutospacing="1" w:after="100" w:afterAutospacing="1"/>
    </w:pPr>
    <w:rPr>
      <w:sz w:val="24"/>
      <w:szCs w:val="24"/>
    </w:rPr>
  </w:style>
  <w:style w:type="paragraph" w:customStyle="1" w:styleId="MediumGrid2-Accent11">
    <w:name w:val="Medium Grid 2 - Accent 11"/>
    <w:uiPriority w:val="1"/>
    <w:qFormat/>
    <w:rsid w:val="00012F0F"/>
    <w:rPr>
      <w:rFonts w:eastAsia="Calibri"/>
      <w:sz w:val="22"/>
      <w:szCs w:val="22"/>
    </w:rPr>
  </w:style>
  <w:style w:type="paragraph" w:styleId="Header">
    <w:name w:val="header"/>
    <w:basedOn w:val="Normal"/>
    <w:link w:val="HeaderChar"/>
    <w:uiPriority w:val="99"/>
    <w:unhideWhenUsed/>
    <w:rsid w:val="00B82B92"/>
    <w:pPr>
      <w:tabs>
        <w:tab w:val="center" w:pos="4680"/>
        <w:tab w:val="right" w:pos="9360"/>
      </w:tabs>
    </w:pPr>
  </w:style>
  <w:style w:type="character" w:customStyle="1" w:styleId="HeaderChar">
    <w:name w:val="Header Char"/>
    <w:link w:val="Header"/>
    <w:uiPriority w:val="99"/>
    <w:rsid w:val="00B82B92"/>
    <w:rPr>
      <w:rFonts w:ascii="Times New Roman" w:hAnsi="Times New Roman"/>
    </w:rPr>
  </w:style>
  <w:style w:type="paragraph" w:styleId="Footer">
    <w:name w:val="footer"/>
    <w:basedOn w:val="Normal"/>
    <w:link w:val="FooterChar"/>
    <w:uiPriority w:val="99"/>
    <w:unhideWhenUsed/>
    <w:rsid w:val="00B82B92"/>
    <w:pPr>
      <w:tabs>
        <w:tab w:val="center" w:pos="4680"/>
        <w:tab w:val="right" w:pos="9360"/>
      </w:tabs>
    </w:pPr>
  </w:style>
  <w:style w:type="character" w:customStyle="1" w:styleId="FooterChar">
    <w:name w:val="Footer Char"/>
    <w:link w:val="Footer"/>
    <w:uiPriority w:val="99"/>
    <w:rsid w:val="00B82B92"/>
    <w:rPr>
      <w:rFonts w:ascii="Times New Roman" w:hAnsi="Times New Roman"/>
    </w:rPr>
  </w:style>
  <w:style w:type="character" w:styleId="PageNumber">
    <w:name w:val="page number"/>
    <w:uiPriority w:val="99"/>
    <w:semiHidden/>
    <w:unhideWhenUsed/>
    <w:rsid w:val="00DC7654"/>
  </w:style>
  <w:style w:type="paragraph" w:styleId="ListParagraph">
    <w:name w:val="List Paragraph"/>
    <w:basedOn w:val="Normal"/>
    <w:uiPriority w:val="72"/>
    <w:rsid w:val="00742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77426">
      <w:bodyDiv w:val="1"/>
      <w:marLeft w:val="0"/>
      <w:marRight w:val="0"/>
      <w:marTop w:val="0"/>
      <w:marBottom w:val="0"/>
      <w:divBdr>
        <w:top w:val="none" w:sz="0" w:space="0" w:color="auto"/>
        <w:left w:val="none" w:sz="0" w:space="0" w:color="auto"/>
        <w:bottom w:val="none" w:sz="0" w:space="0" w:color="auto"/>
        <w:right w:val="none" w:sz="0" w:space="0" w:color="auto"/>
      </w:divBdr>
      <w:divsChild>
        <w:div w:id="218709287">
          <w:marLeft w:val="0"/>
          <w:marRight w:val="0"/>
          <w:marTop w:val="0"/>
          <w:marBottom w:val="0"/>
          <w:divBdr>
            <w:top w:val="none" w:sz="0" w:space="0" w:color="auto"/>
            <w:left w:val="none" w:sz="0" w:space="0" w:color="auto"/>
            <w:bottom w:val="none" w:sz="0" w:space="0" w:color="auto"/>
            <w:right w:val="none" w:sz="0" w:space="0" w:color="auto"/>
          </w:divBdr>
        </w:div>
      </w:divsChild>
    </w:div>
    <w:div w:id="419646869">
      <w:bodyDiv w:val="1"/>
      <w:marLeft w:val="0"/>
      <w:marRight w:val="0"/>
      <w:marTop w:val="0"/>
      <w:marBottom w:val="0"/>
      <w:divBdr>
        <w:top w:val="none" w:sz="0" w:space="0" w:color="auto"/>
        <w:left w:val="none" w:sz="0" w:space="0" w:color="auto"/>
        <w:bottom w:val="none" w:sz="0" w:space="0" w:color="auto"/>
        <w:right w:val="none" w:sz="0" w:space="0" w:color="auto"/>
      </w:divBdr>
      <w:divsChild>
        <w:div w:id="1799452968">
          <w:marLeft w:val="0"/>
          <w:marRight w:val="0"/>
          <w:marTop w:val="0"/>
          <w:marBottom w:val="0"/>
          <w:divBdr>
            <w:top w:val="none" w:sz="0" w:space="0" w:color="auto"/>
            <w:left w:val="none" w:sz="0" w:space="0" w:color="auto"/>
            <w:bottom w:val="none" w:sz="0" w:space="0" w:color="auto"/>
            <w:right w:val="none" w:sz="0" w:space="0" w:color="auto"/>
          </w:divBdr>
        </w:div>
      </w:divsChild>
    </w:div>
    <w:div w:id="1257790748">
      <w:bodyDiv w:val="1"/>
      <w:marLeft w:val="0"/>
      <w:marRight w:val="0"/>
      <w:marTop w:val="0"/>
      <w:marBottom w:val="0"/>
      <w:divBdr>
        <w:top w:val="none" w:sz="0" w:space="0" w:color="auto"/>
        <w:left w:val="none" w:sz="0" w:space="0" w:color="auto"/>
        <w:bottom w:val="none" w:sz="0" w:space="0" w:color="auto"/>
        <w:right w:val="none" w:sz="0" w:space="0" w:color="auto"/>
      </w:divBdr>
    </w:div>
    <w:div w:id="132122825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12D913BC52842AF62665DFE39F657" ma:contentTypeVersion="0" ma:contentTypeDescription="Create a new document." ma:contentTypeScope="" ma:versionID="fcd58a769741f934205198e7c6898b3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3691B-E1CF-4DE7-8C7A-11B8378C2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081854-2480-4913-A3BD-F869EB8E25E0}">
  <ds:schemaRefs>
    <ds:schemaRef ds:uri="http://schemas.microsoft.com/sharepoint/v3/contenttype/forms"/>
  </ds:schemaRefs>
</ds:datastoreItem>
</file>

<file path=customXml/itemProps3.xml><?xml version="1.0" encoding="utf-8"?>
<ds:datastoreItem xmlns:ds="http://schemas.openxmlformats.org/officeDocument/2006/customXml" ds:itemID="{23386ADD-E10A-4A43-9D33-131A3901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12</Pages>
  <Words>4579</Words>
  <Characters>26106</Characters>
  <Application>Microsoft Macintosh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30624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David L. Govoni</cp:lastModifiedBy>
  <cp:revision>5</cp:revision>
  <cp:lastPrinted>2014-03-27T15:42:00Z</cp:lastPrinted>
  <dcterms:created xsi:type="dcterms:W3CDTF">2014-04-16T17:00:00Z</dcterms:created>
  <dcterms:modified xsi:type="dcterms:W3CDTF">2014-05-05T13:29:00Z</dcterms:modified>
</cp:coreProperties>
</file>