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39" w:rsidRPr="00BA5680" w:rsidRDefault="003B5B29" w:rsidP="000F5D39">
      <w:pPr>
        <w:pStyle w:val="ReportCover-Title"/>
        <w:rPr>
          <w:rFonts w:ascii="Times New Roman" w:hAnsi="Times New Roman"/>
          <w:color w:val="auto"/>
        </w:rPr>
      </w:pPr>
      <w:bookmarkStart w:id="0" w:name="_GoBack"/>
      <w:bookmarkEnd w:id="0"/>
      <w:r>
        <w:rPr>
          <w:rFonts w:ascii="Times New Roman" w:hAnsi="Times New Roman"/>
          <w:noProof/>
          <w:color w:val="auto"/>
        </w:rPr>
        <w:pict>
          <v:shapetype id="_x0000_t32" coordsize="21600,21600" o:spt="32" o:oned="t" path="m,l21600,21600e" filled="f">
            <v:path arrowok="t" fillok="f" o:connecttype="none"/>
            <o:lock v:ext="edit" shapetype="t"/>
          </v:shapetype>
          <v:shape id="AutoShape 2" o:spid="_x0000_s1026" type="#_x0000_t32" style="position:absolute;margin-left:-8.25pt;margin-top:2.25pt;width:49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E9IQ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" strokeweight="2.25pt"/>
        </w:pict>
      </w:r>
    </w:p>
    <w:p w:rsidR="003E6412" w:rsidRDefault="003E6412" w:rsidP="000F5D39">
      <w:pPr>
        <w:pStyle w:val="ReportCover-Title"/>
        <w:jc w:val="center"/>
        <w:rPr>
          <w:rFonts w:ascii="Times New Roman" w:eastAsia="Arial Unicode MS" w:hAnsi="Times New Roman"/>
          <w:caps/>
          <w:noProof/>
          <w:color w:val="auto"/>
        </w:rPr>
      </w:pPr>
    </w:p>
    <w:p w:rsidR="000F5D39" w:rsidRPr="00BA5680" w:rsidRDefault="00DA746C" w:rsidP="000F5D39">
      <w:pPr>
        <w:pStyle w:val="ReportCover-Title"/>
        <w:jc w:val="center"/>
        <w:rPr>
          <w:rFonts w:ascii="Times New Roman" w:hAnsi="Times New Roman"/>
          <w:caps/>
          <w:color w:val="auto"/>
        </w:rPr>
      </w:pPr>
      <w:r w:rsidRPr="00BA5680">
        <w:rPr>
          <w:rFonts w:ascii="Times New Roman" w:eastAsia="Arial Unicode MS" w:hAnsi="Times New Roman"/>
          <w:caps/>
          <w:noProof/>
          <w:color w:val="auto"/>
        </w:rPr>
        <w:t xml:space="preserve">Head Start </w:t>
      </w:r>
      <w:r w:rsidR="002958AC">
        <w:rPr>
          <w:rFonts w:ascii="Times New Roman" w:eastAsia="Arial Unicode MS" w:hAnsi="Times New Roman"/>
          <w:caps/>
          <w:noProof/>
          <w:color w:val="auto"/>
        </w:rPr>
        <w:t>DESIGNATION RENEWAL SYSTEM EVALUATION PROJECT</w:t>
      </w:r>
    </w:p>
    <w:p w:rsidR="000F5D39" w:rsidRPr="00BA5680" w:rsidRDefault="000F5D39" w:rsidP="000F5D39">
      <w:pPr>
        <w:pStyle w:val="ReportCover-Title"/>
        <w:rPr>
          <w:rFonts w:ascii="Times New Roman" w:hAnsi="Times New Roman"/>
          <w:color w:val="auto"/>
        </w:rPr>
      </w:pPr>
    </w:p>
    <w:p w:rsidR="000F5D39" w:rsidRPr="00BA5680" w:rsidRDefault="000F5D39" w:rsidP="000F5D39">
      <w:pPr>
        <w:pStyle w:val="ReportCover-Title"/>
        <w:rPr>
          <w:rFonts w:ascii="Times New Roman" w:hAnsi="Times New Roman"/>
          <w:color w:val="auto"/>
        </w:rPr>
      </w:pPr>
    </w:p>
    <w:p w:rsidR="000F5D39" w:rsidRPr="00BA5680" w:rsidRDefault="000F5D39" w:rsidP="000F5D39">
      <w:pPr>
        <w:pStyle w:val="ReportCover-Title"/>
        <w:jc w:val="center"/>
        <w:rPr>
          <w:rFonts w:ascii="Times New Roman" w:hAnsi="Times New Roman"/>
          <w:color w:val="auto"/>
          <w:sz w:val="32"/>
          <w:szCs w:val="32"/>
        </w:rPr>
      </w:pPr>
      <w:r w:rsidRPr="00BA5680">
        <w:rPr>
          <w:rFonts w:ascii="Times New Roman" w:hAnsi="Times New Roman"/>
          <w:color w:val="auto"/>
          <w:sz w:val="32"/>
          <w:szCs w:val="32"/>
        </w:rPr>
        <w:t>OMB Information Collection Request</w:t>
      </w:r>
    </w:p>
    <w:p w:rsidR="000F5D39" w:rsidRDefault="00BA5680" w:rsidP="00A4694B">
      <w:pPr>
        <w:pStyle w:val="ReportCover-Title"/>
        <w:jc w:val="center"/>
        <w:rPr>
          <w:rFonts w:ascii="Times New Roman" w:hAnsi="Times New Roman"/>
          <w:color w:val="auto"/>
          <w:sz w:val="32"/>
          <w:szCs w:val="32"/>
        </w:rPr>
      </w:pPr>
      <w:r>
        <w:rPr>
          <w:rFonts w:ascii="Times New Roman" w:hAnsi="Times New Roman"/>
          <w:color w:val="auto"/>
          <w:sz w:val="32"/>
          <w:szCs w:val="32"/>
        </w:rPr>
        <w:t xml:space="preserve">New Collection </w:t>
      </w:r>
    </w:p>
    <w:p w:rsidR="00A4694B" w:rsidRDefault="00A4694B" w:rsidP="00A4694B">
      <w:pPr>
        <w:pStyle w:val="ReportCover-Title"/>
        <w:jc w:val="center"/>
        <w:rPr>
          <w:rFonts w:ascii="Times New Roman" w:hAnsi="Times New Roman"/>
          <w:color w:val="auto"/>
          <w:sz w:val="32"/>
          <w:szCs w:val="32"/>
        </w:rPr>
      </w:pPr>
    </w:p>
    <w:p w:rsidR="00A4694B" w:rsidRPr="00A4694B" w:rsidRDefault="00A4694B" w:rsidP="00A4694B">
      <w:pPr>
        <w:pStyle w:val="ReportCover-Title"/>
        <w:jc w:val="center"/>
        <w:rPr>
          <w:rFonts w:ascii="Times New Roman" w:hAnsi="Times New Roman"/>
          <w:color w:val="auto"/>
          <w:sz w:val="32"/>
          <w:szCs w:val="32"/>
        </w:rPr>
      </w:pPr>
    </w:p>
    <w:p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Supporting Statement</w:t>
      </w:r>
    </w:p>
    <w:p w:rsidR="000F5D39" w:rsidRPr="00BA5680" w:rsidRDefault="000F5D39" w:rsidP="000F5D39">
      <w:pPr>
        <w:pStyle w:val="ReportCover-Date"/>
        <w:spacing w:after="360" w:line="240" w:lineRule="auto"/>
        <w:jc w:val="center"/>
        <w:rPr>
          <w:rFonts w:ascii="Times New Roman" w:hAnsi="Times New Roman"/>
          <w:color w:val="auto"/>
          <w:sz w:val="48"/>
          <w:szCs w:val="48"/>
        </w:rPr>
      </w:pPr>
      <w:r w:rsidRPr="00BA5680">
        <w:rPr>
          <w:rFonts w:ascii="Times New Roman" w:hAnsi="Times New Roman"/>
          <w:color w:val="auto"/>
          <w:sz w:val="48"/>
          <w:szCs w:val="48"/>
        </w:rPr>
        <w:t xml:space="preserve">Part </w:t>
      </w:r>
      <w:r w:rsidR="006F30E0" w:rsidRPr="00BA5680">
        <w:rPr>
          <w:rFonts w:ascii="Times New Roman" w:hAnsi="Times New Roman"/>
          <w:color w:val="auto"/>
          <w:sz w:val="48"/>
          <w:szCs w:val="48"/>
        </w:rPr>
        <w:t>B</w:t>
      </w:r>
    </w:p>
    <w:p w:rsidR="000F5D39" w:rsidRDefault="00920C86" w:rsidP="00A4694B">
      <w:pPr>
        <w:pStyle w:val="ReportCover-Date"/>
        <w:spacing w:after="0"/>
        <w:jc w:val="center"/>
        <w:rPr>
          <w:rFonts w:ascii="Times New Roman" w:hAnsi="Times New Roman"/>
          <w:color w:val="auto"/>
        </w:rPr>
      </w:pPr>
      <w:r>
        <w:rPr>
          <w:rFonts w:ascii="Times New Roman" w:hAnsi="Times New Roman"/>
          <w:color w:val="auto"/>
        </w:rPr>
        <w:t>August</w:t>
      </w:r>
      <w:r w:rsidR="002958AC">
        <w:rPr>
          <w:rFonts w:ascii="Times New Roman" w:hAnsi="Times New Roman"/>
          <w:color w:val="auto"/>
        </w:rPr>
        <w:t xml:space="preserve"> </w:t>
      </w:r>
      <w:r w:rsidR="00BA5680">
        <w:rPr>
          <w:rFonts w:ascii="Times New Roman" w:hAnsi="Times New Roman"/>
          <w:color w:val="auto"/>
        </w:rPr>
        <w:t>2013</w:t>
      </w:r>
    </w:p>
    <w:p w:rsidR="00A4694B" w:rsidRDefault="00A4694B" w:rsidP="00A4694B">
      <w:pPr>
        <w:pStyle w:val="ReportCover-Date"/>
        <w:spacing w:after="0"/>
        <w:jc w:val="center"/>
        <w:rPr>
          <w:rFonts w:ascii="Times New Roman" w:hAnsi="Times New Roman"/>
          <w:color w:val="auto"/>
        </w:rPr>
      </w:pPr>
    </w:p>
    <w:p w:rsidR="00A4694B" w:rsidRPr="00A4694B" w:rsidRDefault="00A4694B" w:rsidP="00A4694B">
      <w:pPr>
        <w:pStyle w:val="ReportCover-Date"/>
        <w:spacing w:after="0"/>
        <w:jc w:val="center"/>
        <w:rPr>
          <w:rFonts w:ascii="Times New Roman" w:hAnsi="Times New Roman"/>
          <w:color w:val="auto"/>
        </w:rPr>
      </w:pPr>
    </w:p>
    <w:p w:rsidR="000F5D39" w:rsidRPr="00BA5680" w:rsidRDefault="000F5D39" w:rsidP="000F5D39">
      <w:pPr>
        <w:jc w:val="center"/>
      </w:pPr>
      <w:r w:rsidRPr="00BA5680">
        <w:t>Submitted By:</w:t>
      </w:r>
    </w:p>
    <w:p w:rsidR="000F5D39" w:rsidRPr="00BA5680" w:rsidRDefault="000F5D39" w:rsidP="000F5D39">
      <w:pPr>
        <w:jc w:val="center"/>
      </w:pPr>
      <w:r w:rsidRPr="00BA5680">
        <w:t>Office of Planning, Research and Evaluation</w:t>
      </w:r>
    </w:p>
    <w:p w:rsidR="000F5D39" w:rsidRPr="00BA5680" w:rsidRDefault="000F5D39" w:rsidP="000F5D39">
      <w:pPr>
        <w:jc w:val="center"/>
      </w:pPr>
      <w:r w:rsidRPr="00BA5680">
        <w:t xml:space="preserve">Administration for Children and Families </w:t>
      </w:r>
    </w:p>
    <w:p w:rsidR="000F5D39" w:rsidRPr="00BA5680" w:rsidRDefault="000F5D39" w:rsidP="000F5D39">
      <w:pPr>
        <w:jc w:val="center"/>
      </w:pPr>
      <w:r w:rsidRPr="00BA5680">
        <w:t>U.S. Department of Health and Human Services</w:t>
      </w:r>
    </w:p>
    <w:p w:rsidR="000F5D39" w:rsidRPr="00BA5680" w:rsidRDefault="000F5D39" w:rsidP="000F5D39">
      <w:pPr>
        <w:jc w:val="center"/>
      </w:pPr>
    </w:p>
    <w:p w:rsidR="000F5D39" w:rsidRPr="00BA5680" w:rsidRDefault="000F5D39" w:rsidP="000F5D39">
      <w:pPr>
        <w:jc w:val="center"/>
      </w:pPr>
      <w:r w:rsidRPr="00BA5680">
        <w:t>7</w:t>
      </w:r>
      <w:r w:rsidRPr="00BA5680">
        <w:rPr>
          <w:vertAlign w:val="superscript"/>
        </w:rPr>
        <w:t>th</w:t>
      </w:r>
      <w:r w:rsidRPr="00BA5680">
        <w:t xml:space="preserve"> Floor, West Aerospace Building</w:t>
      </w:r>
    </w:p>
    <w:p w:rsidR="000F5D39" w:rsidRPr="00BA5680" w:rsidRDefault="000F5D39" w:rsidP="000F5D39">
      <w:pPr>
        <w:jc w:val="center"/>
      </w:pPr>
      <w:r w:rsidRPr="00BA5680">
        <w:t>370 L’Enfant Promenade, SW</w:t>
      </w:r>
    </w:p>
    <w:p w:rsidR="000F5D39" w:rsidRPr="00BA5680" w:rsidRDefault="000F5D39" w:rsidP="000F5D39">
      <w:pPr>
        <w:jc w:val="center"/>
      </w:pPr>
      <w:r w:rsidRPr="00BA5680">
        <w:t>Washington, D.C. 20447</w:t>
      </w:r>
    </w:p>
    <w:p w:rsidR="000F5D39" w:rsidRPr="00BA5680" w:rsidRDefault="000F5D39" w:rsidP="000F5D39">
      <w:pPr>
        <w:jc w:val="center"/>
      </w:pPr>
    </w:p>
    <w:p w:rsidR="00A4694B" w:rsidRDefault="002958AC" w:rsidP="00A4694B">
      <w:pPr>
        <w:jc w:val="center"/>
      </w:pPr>
      <w:r>
        <w:t>Amy Madigan</w:t>
      </w:r>
    </w:p>
    <w:p w:rsidR="00A4694B" w:rsidRDefault="00A4694B" w:rsidP="00727F06"/>
    <w:p w:rsidR="00A4694B" w:rsidRPr="00A4694B" w:rsidRDefault="00A4694B" w:rsidP="00727F06">
      <w:pPr>
        <w:rPr>
          <w:b/>
        </w:rPr>
      </w:pPr>
    </w:p>
    <w:p w:rsidR="003E6412" w:rsidRDefault="003B5B29">
      <w:pPr>
        <w:rPr>
          <w:b/>
        </w:rPr>
      </w:pPr>
      <w:r>
        <w:rPr>
          <w:b/>
          <w:noProof/>
        </w:rPr>
        <w:pict>
          <v:line id="Straight Connector 16" o:spid="_x0000_s1037" style="position:absolute;z-index:251673600;visibility:visible;mso-wrap-distance-top:-6e-5mm;mso-wrap-distance-bottom:-6e-5mm;mso-width-relative:margin;mso-height-relative:margin" from="-19.35pt,47.55pt" to="496.6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" strokecolor="black [3213]" strokeweight="2.75pt">
            <o:lock v:ext="edit" shapetype="f"/>
          </v:line>
        </w:pict>
      </w:r>
      <w:r w:rsidR="003E6412">
        <w:rPr>
          <w:b/>
        </w:rPr>
        <w:br w:type="page"/>
      </w:r>
    </w:p>
    <w:p w:rsidR="00A4694B" w:rsidRDefault="003E6412" w:rsidP="00727F06">
      <w:pPr>
        <w:rPr>
          <w:b/>
        </w:rPr>
      </w:pPr>
      <w:r>
        <w:rPr>
          <w:b/>
        </w:rPr>
        <w:lastRenderedPageBreak/>
        <w:t>Contents</w:t>
      </w:r>
    </w:p>
    <w:p w:rsidR="003E6412" w:rsidRDefault="003E6412" w:rsidP="00727F06">
      <w:pPr>
        <w:rPr>
          <w:b/>
        </w:rPr>
      </w:pPr>
    </w:p>
    <w:p w:rsidR="00727F06" w:rsidRDefault="00727F06" w:rsidP="00727F06">
      <w:pPr>
        <w:rPr>
          <w:b/>
        </w:rPr>
      </w:pPr>
      <w:r>
        <w:rPr>
          <w:b/>
        </w:rPr>
        <w:t xml:space="preserve">B.       </w:t>
      </w:r>
      <w:r w:rsidRPr="00727F06">
        <w:rPr>
          <w:b/>
        </w:rPr>
        <w:t>COLLECTIONS OF INFORMATION EMPLOYING STATISTICAL METHODS</w:t>
      </w:r>
    </w:p>
    <w:p w:rsidR="00727F06" w:rsidRPr="00727F06" w:rsidRDefault="00727F06" w:rsidP="00727F06">
      <w:pPr>
        <w:rPr>
          <w:b/>
        </w:rPr>
      </w:pPr>
    </w:p>
    <w:p w:rsidR="00727F06" w:rsidRPr="00727F06" w:rsidRDefault="00D55922" w:rsidP="00727F06">
      <w:pPr>
        <w:pStyle w:val="TOC1"/>
        <w:rPr>
          <w:rFonts w:ascii="Calibri" w:hAnsi="Calibri"/>
          <w:noProof/>
          <w:sz w:val="22"/>
          <w:szCs w:val="22"/>
        </w:rPr>
      </w:pPr>
      <w:r>
        <w:fldChar w:fldCharType="begin"/>
      </w:r>
      <w:r w:rsidR="00727F06">
        <w:instrText xml:space="preserve"> TOC \o "1-3" \h \z \u </w:instrText>
      </w:r>
      <w:r>
        <w:fldChar w:fldCharType="separate"/>
      </w:r>
      <w:hyperlink w:anchor="_Toc347409180" w:history="1">
        <w:r w:rsidR="00727F06" w:rsidRPr="0032617D">
          <w:rPr>
            <w:rStyle w:val="Hyperlink"/>
            <w:noProof/>
          </w:rPr>
          <w:t>B1. Respondent Universe and Sampling Methods</w:t>
        </w:r>
        <w:r w:rsidR="00727F06">
          <w:rPr>
            <w:noProof/>
            <w:webHidden/>
          </w:rPr>
          <w:tab/>
        </w:r>
        <w:r>
          <w:rPr>
            <w:noProof/>
            <w:webHidden/>
          </w:rPr>
          <w:fldChar w:fldCharType="begin"/>
        </w:r>
        <w:r w:rsidR="00727F06">
          <w:rPr>
            <w:noProof/>
            <w:webHidden/>
          </w:rPr>
          <w:instrText xml:space="preserve"> PAGEREF _Toc347409180 \h </w:instrText>
        </w:r>
        <w:r>
          <w:rPr>
            <w:noProof/>
            <w:webHidden/>
          </w:rPr>
        </w:r>
        <w:r>
          <w:rPr>
            <w:noProof/>
            <w:webHidden/>
          </w:rPr>
          <w:fldChar w:fldCharType="separate"/>
        </w:r>
        <w:r w:rsidR="00C84B98">
          <w:rPr>
            <w:noProof/>
            <w:webHidden/>
          </w:rPr>
          <w:t>3</w:t>
        </w:r>
        <w:r>
          <w:rPr>
            <w:noProof/>
            <w:webHidden/>
          </w:rPr>
          <w:fldChar w:fldCharType="end"/>
        </w:r>
      </w:hyperlink>
    </w:p>
    <w:p w:rsidR="00727F06" w:rsidRPr="00727F06" w:rsidRDefault="003B5B29" w:rsidP="00727F06">
      <w:pPr>
        <w:pStyle w:val="TOC1"/>
        <w:rPr>
          <w:rFonts w:ascii="Calibri" w:hAnsi="Calibri"/>
          <w:noProof/>
          <w:sz w:val="22"/>
          <w:szCs w:val="22"/>
        </w:rPr>
      </w:pPr>
      <w:hyperlink w:anchor="_Toc347409181" w:history="1">
        <w:r w:rsidR="00727F06" w:rsidRPr="0032617D">
          <w:rPr>
            <w:rStyle w:val="Hyperlink"/>
            <w:noProof/>
          </w:rPr>
          <w:t>B2. Procedures for Collection of Information</w:t>
        </w:r>
        <w:r w:rsidR="00727F06">
          <w:rPr>
            <w:noProof/>
            <w:webHidden/>
          </w:rPr>
          <w:tab/>
        </w:r>
        <w:r w:rsidR="00D55922">
          <w:rPr>
            <w:noProof/>
            <w:webHidden/>
          </w:rPr>
          <w:fldChar w:fldCharType="begin"/>
        </w:r>
        <w:r w:rsidR="00727F06">
          <w:rPr>
            <w:noProof/>
            <w:webHidden/>
          </w:rPr>
          <w:instrText xml:space="preserve"> PAGEREF _Toc347409181 \h </w:instrText>
        </w:r>
        <w:r w:rsidR="00D55922">
          <w:rPr>
            <w:noProof/>
            <w:webHidden/>
          </w:rPr>
        </w:r>
        <w:r w:rsidR="00D55922">
          <w:rPr>
            <w:noProof/>
            <w:webHidden/>
          </w:rPr>
          <w:fldChar w:fldCharType="separate"/>
        </w:r>
        <w:r w:rsidR="00C84B98">
          <w:rPr>
            <w:noProof/>
            <w:webHidden/>
          </w:rPr>
          <w:t>12</w:t>
        </w:r>
        <w:r w:rsidR="00D55922">
          <w:rPr>
            <w:noProof/>
            <w:webHidden/>
          </w:rPr>
          <w:fldChar w:fldCharType="end"/>
        </w:r>
      </w:hyperlink>
    </w:p>
    <w:p w:rsidR="00727F06" w:rsidRPr="00727F06" w:rsidRDefault="003B5B29" w:rsidP="00727F06">
      <w:pPr>
        <w:pStyle w:val="TOC1"/>
        <w:rPr>
          <w:rFonts w:ascii="Calibri" w:hAnsi="Calibri"/>
          <w:noProof/>
          <w:sz w:val="22"/>
          <w:szCs w:val="22"/>
        </w:rPr>
      </w:pPr>
      <w:hyperlink w:anchor="_Toc347409182" w:history="1">
        <w:r w:rsidR="00727F06" w:rsidRPr="0032617D">
          <w:rPr>
            <w:rStyle w:val="Hyperlink"/>
            <w:noProof/>
          </w:rPr>
          <w:t>B3. Methods to Maximize Response Rates and Deal with Nonresponse</w:t>
        </w:r>
        <w:r w:rsidR="00727F06">
          <w:rPr>
            <w:noProof/>
            <w:webHidden/>
          </w:rPr>
          <w:tab/>
        </w:r>
        <w:r w:rsidR="00D55922">
          <w:rPr>
            <w:noProof/>
            <w:webHidden/>
          </w:rPr>
          <w:fldChar w:fldCharType="begin"/>
        </w:r>
        <w:r w:rsidR="00727F06">
          <w:rPr>
            <w:noProof/>
            <w:webHidden/>
          </w:rPr>
          <w:instrText xml:space="preserve"> PAGEREF _Toc347409182 \h </w:instrText>
        </w:r>
        <w:r w:rsidR="00D55922">
          <w:rPr>
            <w:noProof/>
            <w:webHidden/>
          </w:rPr>
        </w:r>
        <w:r w:rsidR="00D55922">
          <w:rPr>
            <w:noProof/>
            <w:webHidden/>
          </w:rPr>
          <w:fldChar w:fldCharType="separate"/>
        </w:r>
        <w:r w:rsidR="00C84B98">
          <w:rPr>
            <w:noProof/>
            <w:webHidden/>
          </w:rPr>
          <w:t>22</w:t>
        </w:r>
        <w:r w:rsidR="00D55922">
          <w:rPr>
            <w:noProof/>
            <w:webHidden/>
          </w:rPr>
          <w:fldChar w:fldCharType="end"/>
        </w:r>
      </w:hyperlink>
    </w:p>
    <w:p w:rsidR="00727F06" w:rsidRPr="00727F06" w:rsidRDefault="003B5B29" w:rsidP="00727F06">
      <w:pPr>
        <w:pStyle w:val="TOC1"/>
        <w:rPr>
          <w:rFonts w:ascii="Calibri" w:hAnsi="Calibri"/>
          <w:noProof/>
          <w:sz w:val="22"/>
          <w:szCs w:val="22"/>
        </w:rPr>
      </w:pPr>
      <w:hyperlink w:anchor="_Toc347409183" w:history="1">
        <w:r w:rsidR="00727F06" w:rsidRPr="0032617D">
          <w:rPr>
            <w:rStyle w:val="Hyperlink"/>
            <w:noProof/>
          </w:rPr>
          <w:t>B4. Tests of Procedures or Methods to be Undertaken</w:t>
        </w:r>
        <w:r w:rsidR="00727F06">
          <w:rPr>
            <w:noProof/>
            <w:webHidden/>
          </w:rPr>
          <w:tab/>
        </w:r>
        <w:r w:rsidR="00D55922">
          <w:rPr>
            <w:noProof/>
            <w:webHidden/>
          </w:rPr>
          <w:fldChar w:fldCharType="begin"/>
        </w:r>
        <w:r w:rsidR="00727F06">
          <w:rPr>
            <w:noProof/>
            <w:webHidden/>
          </w:rPr>
          <w:instrText xml:space="preserve"> PAGEREF _Toc347409183 \h </w:instrText>
        </w:r>
        <w:r w:rsidR="00D55922">
          <w:rPr>
            <w:noProof/>
            <w:webHidden/>
          </w:rPr>
        </w:r>
        <w:r w:rsidR="00D55922">
          <w:rPr>
            <w:noProof/>
            <w:webHidden/>
          </w:rPr>
          <w:fldChar w:fldCharType="separate"/>
        </w:r>
        <w:r w:rsidR="00C84B98">
          <w:rPr>
            <w:noProof/>
            <w:webHidden/>
          </w:rPr>
          <w:t>24</w:t>
        </w:r>
        <w:r w:rsidR="00D55922">
          <w:rPr>
            <w:noProof/>
            <w:webHidden/>
          </w:rPr>
          <w:fldChar w:fldCharType="end"/>
        </w:r>
      </w:hyperlink>
    </w:p>
    <w:p w:rsidR="00727F06" w:rsidRPr="00727F06" w:rsidRDefault="003B5B29" w:rsidP="00727F06">
      <w:pPr>
        <w:pStyle w:val="TOC1"/>
        <w:spacing w:line="240" w:lineRule="auto"/>
        <w:rPr>
          <w:rFonts w:ascii="Calibri" w:hAnsi="Calibri"/>
          <w:noProof/>
          <w:sz w:val="22"/>
          <w:szCs w:val="22"/>
        </w:rPr>
      </w:pPr>
      <w:hyperlink w:anchor="_Toc347409184" w:history="1">
        <w:r w:rsidR="00727F06" w:rsidRPr="0032617D">
          <w:rPr>
            <w:rStyle w:val="Hyperlink"/>
            <w:noProof/>
          </w:rPr>
          <w:t>B5. Individual Consulted on Statistical Aspects and Individuals Collecting and/or Analyzing Data</w:t>
        </w:r>
        <w:r w:rsidR="00727F06">
          <w:rPr>
            <w:noProof/>
            <w:webHidden/>
          </w:rPr>
          <w:tab/>
        </w:r>
        <w:r w:rsidR="00D55922">
          <w:rPr>
            <w:noProof/>
            <w:webHidden/>
          </w:rPr>
          <w:fldChar w:fldCharType="begin"/>
        </w:r>
        <w:r w:rsidR="00727F06">
          <w:rPr>
            <w:noProof/>
            <w:webHidden/>
          </w:rPr>
          <w:instrText xml:space="preserve"> PAGEREF _Toc347409184 \h </w:instrText>
        </w:r>
        <w:r w:rsidR="00D55922">
          <w:rPr>
            <w:noProof/>
            <w:webHidden/>
          </w:rPr>
        </w:r>
        <w:r w:rsidR="00D55922">
          <w:rPr>
            <w:noProof/>
            <w:webHidden/>
          </w:rPr>
          <w:fldChar w:fldCharType="separate"/>
        </w:r>
        <w:r w:rsidR="00C84B98">
          <w:rPr>
            <w:noProof/>
            <w:webHidden/>
          </w:rPr>
          <w:t>25</w:t>
        </w:r>
        <w:r w:rsidR="00D55922">
          <w:rPr>
            <w:noProof/>
            <w:webHidden/>
          </w:rPr>
          <w:fldChar w:fldCharType="end"/>
        </w:r>
      </w:hyperlink>
    </w:p>
    <w:p w:rsidR="00727F06" w:rsidRDefault="00D55922">
      <w:r>
        <w:rPr>
          <w:b/>
          <w:bCs/>
          <w:noProof/>
        </w:rPr>
        <w:fldChar w:fldCharType="end"/>
      </w:r>
    </w:p>
    <w:p w:rsidR="002958AC" w:rsidRPr="00020A05" w:rsidRDefault="00BB49BF" w:rsidP="00020A05">
      <w:pPr>
        <w:rPr>
          <w:b/>
        </w:rPr>
      </w:pPr>
      <w:r>
        <w:rPr>
          <w:b/>
        </w:rPr>
        <w:br w:type="page"/>
      </w:r>
      <w:bookmarkStart w:id="1" w:name="_Toc347409180"/>
      <w:r w:rsidR="00727F06" w:rsidRPr="00020A05">
        <w:rPr>
          <w:b/>
          <w:sz w:val="28"/>
        </w:rPr>
        <w:lastRenderedPageBreak/>
        <w:t>B1. Respondent Universe and Sampling Methods</w:t>
      </w:r>
      <w:bookmarkEnd w:id="1"/>
    </w:p>
    <w:p w:rsidR="00020A05" w:rsidRPr="001B19DB" w:rsidRDefault="002958AC" w:rsidP="002958AC">
      <w:pPr>
        <w:pStyle w:val="Heading2"/>
        <w:rPr>
          <w:rFonts w:ascii="Times New Roman" w:hAnsi="Times New Roman" w:cs="Times New Roman"/>
          <w:color w:val="auto"/>
          <w:sz w:val="24"/>
          <w:szCs w:val="24"/>
        </w:rPr>
      </w:pPr>
      <w:bookmarkStart w:id="2" w:name="_Toc354492032"/>
      <w:r w:rsidRPr="001B19DB">
        <w:rPr>
          <w:rFonts w:ascii="Times New Roman" w:hAnsi="Times New Roman" w:cs="Times New Roman"/>
          <w:color w:val="auto"/>
          <w:sz w:val="24"/>
          <w:szCs w:val="24"/>
        </w:rPr>
        <w:t>B1.1. Respondent Universe</w:t>
      </w:r>
      <w:bookmarkEnd w:id="2"/>
    </w:p>
    <w:p w:rsidR="002958AC" w:rsidRPr="001B19DB" w:rsidRDefault="002958AC" w:rsidP="00020A05"/>
    <w:p w:rsidR="009469FA" w:rsidRPr="003F6AEB" w:rsidRDefault="00CC75A1" w:rsidP="002958AC">
      <w:pPr>
        <w:ind w:right="-450"/>
      </w:pPr>
      <w:r w:rsidRPr="003F6AEB">
        <w:t xml:space="preserve">The Head Start Designation Renewal System (DRS) is being implemented on a rolling basis across </w:t>
      </w:r>
      <w:r w:rsidR="00DE32EB">
        <w:t>the population</w:t>
      </w:r>
      <w:r w:rsidR="00DE32EB" w:rsidRPr="003F6AEB">
        <w:t xml:space="preserve"> </w:t>
      </w:r>
      <w:r w:rsidRPr="003F6AEB">
        <w:t xml:space="preserve">of </w:t>
      </w:r>
      <w:r w:rsidR="00020A05">
        <w:t xml:space="preserve">Head Start </w:t>
      </w:r>
      <w:r w:rsidRPr="003F6AEB">
        <w:t xml:space="preserve">grantees.  Eventually all organizations receiving grants to implement any type of Head Start </w:t>
      </w:r>
      <w:r w:rsidR="00020A05">
        <w:t>program</w:t>
      </w:r>
      <w:r w:rsidRPr="003F6AEB">
        <w:t xml:space="preserve"> will </w:t>
      </w:r>
      <w:r w:rsidR="00DE32EB">
        <w:t>be subject to</w:t>
      </w:r>
      <w:r w:rsidR="00DE32EB" w:rsidRPr="003F6AEB">
        <w:t xml:space="preserve"> </w:t>
      </w:r>
      <w:r w:rsidRPr="003F6AEB">
        <w:t>the DRS</w:t>
      </w:r>
      <w:r w:rsidR="001E135A" w:rsidRPr="003F6AEB">
        <w:t xml:space="preserve"> (</w:t>
      </w:r>
      <w:r w:rsidR="00BE5BEF">
        <w:t xml:space="preserve">1,596 </w:t>
      </w:r>
      <w:r w:rsidR="00DE32EB">
        <w:t xml:space="preserve">grantees </w:t>
      </w:r>
      <w:r w:rsidR="00BE5BEF">
        <w:t>based on 2012 PIR data</w:t>
      </w:r>
      <w:r w:rsidR="001E135A" w:rsidRPr="003F6AEB">
        <w:t>)</w:t>
      </w:r>
      <w:r w:rsidRPr="003F6AEB">
        <w:t xml:space="preserve">.  </w:t>
      </w:r>
      <w:r w:rsidR="0056465A" w:rsidRPr="003F6AEB">
        <w:t xml:space="preserve">From a research perspective, the </w:t>
      </w:r>
      <w:r w:rsidR="00DE32EB">
        <w:t>competitive process</w:t>
      </w:r>
      <w:r w:rsidR="00DE32EB" w:rsidRPr="003F6AEB">
        <w:t xml:space="preserve"> </w:t>
      </w:r>
      <w:r w:rsidR="0056465A" w:rsidRPr="003F6AEB">
        <w:t xml:space="preserve">can be divided into </w:t>
      </w:r>
      <w:r w:rsidR="009469FA" w:rsidRPr="003F6AEB">
        <w:t>five stages</w:t>
      </w:r>
      <w:r w:rsidR="00D10EB2" w:rsidRPr="003F6AEB">
        <w:t xml:space="preserve"> as shown in Figure </w:t>
      </w:r>
      <w:r w:rsidR="00440D4F" w:rsidRPr="003F6AEB">
        <w:t>B-</w:t>
      </w:r>
      <w:r w:rsidR="00D432A0">
        <w:t>1</w:t>
      </w:r>
      <w:r w:rsidR="00250E34">
        <w:t xml:space="preserve"> (for grantees designated for competition)</w:t>
      </w:r>
      <w:r w:rsidR="00D10EB2" w:rsidRPr="003F6AEB">
        <w:t xml:space="preserve">.  Incumbent grantees enter at </w:t>
      </w:r>
      <w:r w:rsidR="00BD31E5" w:rsidRPr="003F6AEB">
        <w:t>Stage</w:t>
      </w:r>
      <w:r w:rsidR="00D10EB2" w:rsidRPr="003F6AEB">
        <w:t xml:space="preserve"> 1.  They all experience a point in which they know that they will be assessed through the DRS, but they do not yet know their designation status.  At </w:t>
      </w:r>
      <w:r w:rsidR="00BD31E5" w:rsidRPr="003F6AEB">
        <w:t>Stage</w:t>
      </w:r>
      <w:r w:rsidR="00D10EB2" w:rsidRPr="003F6AEB">
        <w:t xml:space="preserve"> 2, the incumbent grantees learn whether they may </w:t>
      </w:r>
      <w:r w:rsidR="00DE32EB">
        <w:t>apply for a non-competitive five-year grant</w:t>
      </w:r>
      <w:r w:rsidR="00D10EB2" w:rsidRPr="003F6AEB">
        <w:t xml:space="preserve">, or if their grant has been designated for competition.  At this stage, potential competitors also assess whether they should enter the competition.  In </w:t>
      </w:r>
      <w:r w:rsidR="00BD31E5" w:rsidRPr="003F6AEB">
        <w:t>Stage</w:t>
      </w:r>
      <w:r w:rsidR="00D10EB2" w:rsidRPr="003F6AEB">
        <w:t xml:space="preserve"> 3, the competition occurs – incumbents and new competitors </w:t>
      </w:r>
      <w:r w:rsidR="00A313B2" w:rsidRPr="003F6AEB">
        <w:t xml:space="preserve">complete and submit applications to serve particular communities.  In </w:t>
      </w:r>
      <w:r w:rsidR="00BD31E5" w:rsidRPr="003F6AEB">
        <w:t>Stage</w:t>
      </w:r>
      <w:r w:rsidR="00A313B2" w:rsidRPr="003F6AEB">
        <w:t xml:space="preserve"> 4, the competitors learn which organizations have received awards to deliver Head Start services and transition planning begins.  Finally, in </w:t>
      </w:r>
      <w:r w:rsidR="00BD31E5" w:rsidRPr="003F6AEB">
        <w:t>Stage</w:t>
      </w:r>
      <w:r w:rsidR="00A313B2" w:rsidRPr="003F6AEB">
        <w:t xml:space="preserve"> 5, post-competition service delivery begins.</w:t>
      </w:r>
    </w:p>
    <w:p w:rsidR="00D10EB2" w:rsidRPr="003F6AEB" w:rsidRDefault="00D10EB2" w:rsidP="002958AC">
      <w:pPr>
        <w:ind w:right="-450"/>
        <w:rPr>
          <w:sz w:val="20"/>
          <w:szCs w:val="20"/>
        </w:rPr>
      </w:pPr>
    </w:p>
    <w:p w:rsidR="00D10EB2" w:rsidRPr="0033666A" w:rsidRDefault="00D10EB2" w:rsidP="002958AC">
      <w:pPr>
        <w:ind w:right="-450"/>
        <w:rPr>
          <w:b/>
        </w:rPr>
      </w:pPr>
      <w:r w:rsidRPr="0033666A">
        <w:rPr>
          <w:b/>
        </w:rPr>
        <w:t xml:space="preserve">Figure </w:t>
      </w:r>
      <w:r w:rsidR="001E7B8F" w:rsidRPr="0033666A">
        <w:rPr>
          <w:b/>
        </w:rPr>
        <w:t>B-</w:t>
      </w:r>
      <w:r w:rsidR="00D432A0" w:rsidRPr="0033666A">
        <w:rPr>
          <w:b/>
        </w:rPr>
        <w:t>1</w:t>
      </w:r>
      <w:r w:rsidRPr="0033666A">
        <w:rPr>
          <w:b/>
        </w:rPr>
        <w:t xml:space="preserve">: DRS </w:t>
      </w:r>
      <w:r w:rsidR="00A313B2" w:rsidRPr="0033666A">
        <w:rPr>
          <w:b/>
        </w:rPr>
        <w:t xml:space="preserve">Implementation </w:t>
      </w:r>
      <w:r w:rsidR="00BD31E5" w:rsidRPr="0033666A">
        <w:rPr>
          <w:b/>
        </w:rPr>
        <w:t>Stages</w:t>
      </w:r>
    </w:p>
    <w:p w:rsidR="009469FA" w:rsidRPr="003F6AEB" w:rsidRDefault="009469FA" w:rsidP="002958AC">
      <w:pPr>
        <w:ind w:right="-450"/>
        <w:rPr>
          <w:sz w:val="20"/>
          <w:szCs w:val="20"/>
        </w:rPr>
      </w:pPr>
    </w:p>
    <w:p w:rsidR="009469FA" w:rsidRPr="003F6AEB" w:rsidRDefault="003B5B29" w:rsidP="002958AC">
      <w:pPr>
        <w:ind w:right="-450"/>
        <w:rPr>
          <w:sz w:val="20"/>
          <w:szCs w:val="20"/>
        </w:rPr>
      </w:pPr>
      <w:r>
        <w:rPr>
          <w:noProof/>
          <w:sz w:val="20"/>
          <w:szCs w:val="20"/>
        </w:rPr>
        <w:pict>
          <v:group id="Group 11" o:spid="_x0000_s1036" style="position:absolute;margin-left:2.85pt;margin-top:-.15pt;width:461.25pt;height:65.25pt;z-index:251672576" coordsize="58578,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">
            <v:shapetype id="_x0000_t202" coordsize="21600,21600" o:spt="202" path="m,l,21600r21600,l21600,xe">
              <v:stroke joinstyle="miter"/>
              <v:path gradientshapeok="t" o:connecttype="rect"/>
            </v:shapetype>
            <v:shape id="Text Box 1" o:spid="_x0000_s1027" type="#_x0000_t202" style="position:absolute;width:9810;height:8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564B93" w:rsidRPr="00D10EB2" w:rsidRDefault="00564B93">
                    <w:pPr>
                      <w:rPr>
                        <w:b/>
                        <w:sz w:val="22"/>
                        <w:szCs w:val="22"/>
                      </w:rPr>
                    </w:pPr>
                    <w:r>
                      <w:rPr>
                        <w:b/>
                        <w:sz w:val="22"/>
                        <w:szCs w:val="22"/>
                      </w:rPr>
                      <w:t>Stage</w:t>
                    </w:r>
                    <w:r w:rsidRPr="00D10EB2">
                      <w:rPr>
                        <w:b/>
                        <w:sz w:val="22"/>
                        <w:szCs w:val="22"/>
                      </w:rPr>
                      <w:t xml:space="preserve"> 1:</w:t>
                    </w:r>
                  </w:p>
                  <w:p w:rsidR="00564B93" w:rsidRPr="00D10EB2" w:rsidRDefault="00564B93">
                    <w:pPr>
                      <w:rPr>
                        <w:sz w:val="22"/>
                        <w:szCs w:val="22"/>
                      </w:rPr>
                    </w:pPr>
                    <w:r w:rsidRPr="00D10EB2">
                      <w:rPr>
                        <w:sz w:val="22"/>
                        <w:szCs w:val="22"/>
                      </w:rPr>
                      <w:t xml:space="preserve">Pre-Designation </w:t>
                    </w:r>
                    <w:r>
                      <w:rPr>
                        <w:sz w:val="22"/>
                        <w:szCs w:val="22"/>
                      </w:rPr>
                      <w:t>Status</w:t>
                    </w:r>
                  </w:p>
                </w:txbxContent>
              </v:textbox>
            </v:shape>
            <v:shape id="Straight Arrow Connector 3" o:spid="_x0000_s1028" type="#_x0000_t32" style="position:absolute;left:9810;top:3979;width:21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asS8EAAADaAAAADwAAAGRycy9kb3ducmV2LnhtbESPT4vCMBTE78J+h/AW9mZTVyqlaxQR&#10;ynr1H+jtbfNsi81LaVLtfnsjCB6Hmd8MM18OphE36lxtWcEkikEQF1bXXCo47PNxCsJ5ZI2NZVLw&#10;Tw6Wi4/RHDNt77yl286XIpSwy1BB5X2bSemKigy6yLbEwbvYzqAPsiul7vAeyk0jv+N4Jg3WHBYq&#10;bGldUXHd9UbB9PI3/KZ+JdP8ZNd9nyTJMT8r9fU5rH5AeBr8O/yiNzpw8LwSboB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qxLwQAAANoAAAAPAAAAAAAAAAAAAAAA&#10;AKECAABkcnMvZG93bnJldi54bWxQSwUGAAAAAAQABAD5AAAAjwMAAAAA&#10;" strokecolor="#4579b8 [3044]">
              <v:stroke endarrow="open"/>
            </v:shape>
            <v:shape id="Text Box 4" o:spid="_x0000_s1029" type="#_x0000_t202" style="position:absolute;left:12001;width:10287;height:8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564B93" w:rsidRPr="00D10EB2" w:rsidRDefault="00564B93" w:rsidP="009469FA">
                    <w:pPr>
                      <w:rPr>
                        <w:b/>
                        <w:sz w:val="22"/>
                        <w:szCs w:val="22"/>
                      </w:rPr>
                    </w:pPr>
                    <w:r>
                      <w:rPr>
                        <w:b/>
                        <w:sz w:val="22"/>
                        <w:szCs w:val="22"/>
                      </w:rPr>
                      <w:t>Stage</w:t>
                    </w:r>
                    <w:r w:rsidRPr="00D10EB2">
                      <w:rPr>
                        <w:b/>
                        <w:sz w:val="22"/>
                        <w:szCs w:val="22"/>
                      </w:rPr>
                      <w:t xml:space="preserve"> 2:</w:t>
                    </w:r>
                  </w:p>
                  <w:p w:rsidR="00564B93" w:rsidRDefault="00564B93" w:rsidP="009469FA">
                    <w:r w:rsidRPr="00D10EB2">
                      <w:rPr>
                        <w:sz w:val="22"/>
                        <w:szCs w:val="22"/>
                      </w:rPr>
                      <w:t>Status Known/ Decision to Apply or Not</w:t>
                    </w:r>
                  </w:p>
                </w:txbxContent>
              </v:textbox>
            </v:shape>
            <v:shape id="Straight Arrow Connector 5" o:spid="_x0000_s1030" type="#_x0000_t32" style="position:absolute;left:22288;top:4000;width:219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ORpMEAAADaAAAADwAAAGRycy9kb3ducmV2LnhtbESPT4vCMBTE78J+h/AW9mZTVyqlaxQR&#10;ynr1H+jtbfNsi81LaVLtfnsjCB6HmfkNM18OphE36lxtWcEkikEQF1bXXCo47PNxCsJ5ZI2NZVLw&#10;Tw6Wi4/RHDNt77yl286XIkDYZaig8r7NpHRFRQZdZFvi4F1sZ9AH2ZVSd3gPcNPI7zieSYM1h4UK&#10;W1pXVFx3vVEwvfwNv6lfyTQ/2XXfJ0lyzM9KfX0Oqx8Qngb/Dr/aG60ggeeVc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5GkwQAAANoAAAAPAAAAAAAAAAAAAAAA&#10;AKECAABkcnMvZG93bnJldi54bWxQSwUGAAAAAAQABAD5AAAAjwMAAAAA&#10;" strokecolor="#4579b8 [3044]">
              <v:stroke endarrow="open"/>
            </v:shape>
            <v:shape id="Text Box 6" o:spid="_x0000_s1031" type="#_x0000_t202" style="position:absolute;left:24479;width:9239;height:8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564B93" w:rsidRPr="00D10EB2" w:rsidRDefault="00564B93" w:rsidP="009469FA">
                    <w:pPr>
                      <w:rPr>
                        <w:b/>
                        <w:sz w:val="22"/>
                        <w:szCs w:val="22"/>
                      </w:rPr>
                    </w:pPr>
                    <w:r>
                      <w:rPr>
                        <w:b/>
                        <w:sz w:val="22"/>
                        <w:szCs w:val="22"/>
                      </w:rPr>
                      <w:t>Stage</w:t>
                    </w:r>
                    <w:r w:rsidRPr="00D10EB2">
                      <w:rPr>
                        <w:b/>
                        <w:sz w:val="22"/>
                        <w:szCs w:val="22"/>
                      </w:rPr>
                      <w:t xml:space="preserve"> 3:</w:t>
                    </w:r>
                  </w:p>
                  <w:p w:rsidR="00564B93" w:rsidRDefault="00564B93" w:rsidP="009469FA">
                    <w:pPr>
                      <w:rPr>
                        <w:sz w:val="22"/>
                        <w:szCs w:val="22"/>
                      </w:rPr>
                    </w:pPr>
                    <w:r>
                      <w:rPr>
                        <w:sz w:val="22"/>
                        <w:szCs w:val="22"/>
                      </w:rPr>
                      <w:t xml:space="preserve">Application for </w:t>
                    </w:r>
                  </w:p>
                  <w:p w:rsidR="00564B93" w:rsidRPr="00D10EB2" w:rsidRDefault="00564B93" w:rsidP="009469FA">
                    <w:pPr>
                      <w:rPr>
                        <w:sz w:val="22"/>
                        <w:szCs w:val="22"/>
                      </w:rPr>
                    </w:pPr>
                    <w:r>
                      <w:rPr>
                        <w:sz w:val="22"/>
                        <w:szCs w:val="22"/>
                      </w:rPr>
                      <w:t>Competition</w:t>
                    </w:r>
                  </w:p>
                </w:txbxContent>
              </v:textbox>
            </v:shape>
            <v:shape id="Straight Arrow Connector 7" o:spid="_x0000_s1032" type="#_x0000_t32" style="position:absolute;left:33718;top:3810;width:20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shape id="Text Box 8" o:spid="_x0000_s1033" type="#_x0000_t202" style="position:absolute;left:35814;width:9048;height:8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564B93" w:rsidRPr="00D10EB2" w:rsidRDefault="00564B93" w:rsidP="009469FA">
                    <w:pPr>
                      <w:rPr>
                        <w:b/>
                        <w:sz w:val="22"/>
                        <w:szCs w:val="22"/>
                      </w:rPr>
                    </w:pPr>
                    <w:r>
                      <w:rPr>
                        <w:b/>
                        <w:sz w:val="22"/>
                        <w:szCs w:val="22"/>
                      </w:rPr>
                      <w:t>Stage</w:t>
                    </w:r>
                    <w:r w:rsidRPr="00D10EB2">
                      <w:rPr>
                        <w:b/>
                        <w:sz w:val="22"/>
                        <w:szCs w:val="22"/>
                      </w:rPr>
                      <w:t>4:</w:t>
                    </w:r>
                  </w:p>
                  <w:p w:rsidR="00564B93" w:rsidRDefault="00564B93" w:rsidP="009469FA">
                    <w:r w:rsidRPr="00D10EB2">
                      <w:rPr>
                        <w:sz w:val="22"/>
                        <w:szCs w:val="22"/>
                      </w:rPr>
                      <w:t>Award Notification</w:t>
                    </w:r>
                    <w:r>
                      <w:t xml:space="preserve"> </w:t>
                    </w:r>
                  </w:p>
                </w:txbxContent>
              </v:textbox>
            </v:shape>
            <v:shape id="Straight Arrow Connector 9" o:spid="_x0000_s1034" type="#_x0000_t32" style="position:absolute;left:44862;top:3905;width:228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bocMAAADaAAAADwAAAGRycy9kb3ducmV2LnhtbESPT2uDQBTE74F+h+UVekvWNhiMdRUJ&#10;SHpt/kB7e3FfVOq+FXdN7LfvFgo9DjPzGyYrZtOLG42us6zgeRWBIK6t7rhRcDpWywSE88gae8uk&#10;4JscFPnDIsNU2zu/0+3gGxEg7FJU0Ho/pFK6uiWDbmUH4uBd7WjQBzk2Uo94D3DTy5co2kiDHYeF&#10;FgfatVR/HSajYH29zPvElzKpPuxumuI4PlefSj09zuUrCE+z/w//td+0gi3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um6HDAAAA2gAAAA8AAAAAAAAAAAAA&#10;AAAAoQIAAGRycy9kb3ducmV2LnhtbFBLBQYAAAAABAAEAPkAAACRAwAAAAA=&#10;" strokecolor="#4579b8 [3044]">
              <v:stroke endarrow="open"/>
            </v:shape>
            <v:shape id="Text Box 10" o:spid="_x0000_s1035" type="#_x0000_t202" style="position:absolute;left:47148;width:11430;height:8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564B93" w:rsidRPr="00D10EB2" w:rsidRDefault="00564B93" w:rsidP="00D10EB2">
                    <w:pPr>
                      <w:rPr>
                        <w:b/>
                        <w:sz w:val="22"/>
                        <w:szCs w:val="22"/>
                      </w:rPr>
                    </w:pPr>
                    <w:r>
                      <w:rPr>
                        <w:b/>
                        <w:sz w:val="22"/>
                        <w:szCs w:val="22"/>
                      </w:rPr>
                      <w:t>Stage</w:t>
                    </w:r>
                    <w:r w:rsidRPr="00D10EB2">
                      <w:rPr>
                        <w:b/>
                        <w:sz w:val="22"/>
                        <w:szCs w:val="22"/>
                      </w:rPr>
                      <w:t xml:space="preserve"> 5:</w:t>
                    </w:r>
                  </w:p>
                  <w:p w:rsidR="00564B93" w:rsidRDefault="00564B93" w:rsidP="00D10EB2">
                    <w:r w:rsidRPr="00D10EB2">
                      <w:rPr>
                        <w:sz w:val="22"/>
                        <w:szCs w:val="22"/>
                      </w:rPr>
                      <w:t>Post-Competition Service Delivery</w:t>
                    </w:r>
                    <w:r>
                      <w:t xml:space="preserve"> </w:t>
                    </w:r>
                  </w:p>
                </w:txbxContent>
              </v:textbox>
            </v:shape>
          </v:group>
        </w:pict>
      </w:r>
    </w:p>
    <w:p w:rsidR="009469FA" w:rsidRPr="003F6AEB" w:rsidRDefault="009469FA" w:rsidP="002958AC">
      <w:pPr>
        <w:ind w:right="-450"/>
        <w:rPr>
          <w:sz w:val="20"/>
          <w:szCs w:val="20"/>
        </w:rPr>
      </w:pPr>
    </w:p>
    <w:p w:rsidR="009469FA" w:rsidRPr="003F6AEB" w:rsidRDefault="009469FA" w:rsidP="002958AC">
      <w:pPr>
        <w:ind w:right="-450"/>
        <w:rPr>
          <w:sz w:val="20"/>
          <w:szCs w:val="20"/>
        </w:rPr>
      </w:pPr>
    </w:p>
    <w:p w:rsidR="009469FA" w:rsidRPr="003F6AEB" w:rsidRDefault="009469FA" w:rsidP="002958AC">
      <w:pPr>
        <w:ind w:right="-450"/>
        <w:rPr>
          <w:sz w:val="20"/>
          <w:szCs w:val="20"/>
        </w:rPr>
      </w:pPr>
    </w:p>
    <w:p w:rsidR="009469FA" w:rsidRPr="003F6AEB" w:rsidRDefault="009469FA" w:rsidP="002958AC">
      <w:pPr>
        <w:ind w:right="-450"/>
        <w:rPr>
          <w:sz w:val="20"/>
          <w:szCs w:val="20"/>
        </w:rPr>
      </w:pPr>
    </w:p>
    <w:p w:rsidR="00A313B2" w:rsidRPr="003F6AEB" w:rsidRDefault="00A313B2" w:rsidP="002958AC">
      <w:pPr>
        <w:ind w:right="-450"/>
        <w:rPr>
          <w:sz w:val="20"/>
          <w:szCs w:val="20"/>
        </w:rPr>
      </w:pPr>
    </w:p>
    <w:p w:rsidR="003F6AEB" w:rsidRDefault="003F6AEB" w:rsidP="002958AC">
      <w:pPr>
        <w:ind w:right="-450"/>
      </w:pPr>
    </w:p>
    <w:p w:rsidR="00D432A0" w:rsidRDefault="0056465A" w:rsidP="00D432A0">
      <w:pPr>
        <w:ind w:right="-450"/>
      </w:pPr>
      <w:r w:rsidRPr="003F6AEB">
        <w:t xml:space="preserve">Due to the rolling implementation of the DRS, </w:t>
      </w:r>
      <w:r w:rsidR="00704405" w:rsidRPr="003F6AEB">
        <w:t xml:space="preserve">at any single point in time, </w:t>
      </w:r>
      <w:r w:rsidR="00DE32EB">
        <w:t xml:space="preserve">different </w:t>
      </w:r>
      <w:r w:rsidRPr="003F6AEB">
        <w:t xml:space="preserve">grantees </w:t>
      </w:r>
      <w:r w:rsidR="00704405" w:rsidRPr="003F6AEB">
        <w:t>will be in a different stage of DRS implementation (</w:t>
      </w:r>
      <w:r w:rsidR="00D432A0">
        <w:t>as indicated in Figure B-1</w:t>
      </w:r>
      <w:r w:rsidRPr="003F6AEB">
        <w:t>)</w:t>
      </w:r>
      <w:r w:rsidR="00704405" w:rsidRPr="003F6AEB">
        <w:t xml:space="preserve">. </w:t>
      </w:r>
      <w:r w:rsidR="00A313B2" w:rsidRPr="003F6AEB">
        <w:t>This evaluation has been designed to gain the perspectives of grantees and selected comp</w:t>
      </w:r>
      <w:r w:rsidR="00650B39" w:rsidRPr="003F6AEB">
        <w:t>etitors</w:t>
      </w:r>
      <w:r w:rsidR="00A313B2" w:rsidRPr="003F6AEB">
        <w:t>, and to target exploration of issues across</w:t>
      </w:r>
      <w:r w:rsidR="00704405" w:rsidRPr="003F6AEB">
        <w:t xml:space="preserve"> the DRS</w:t>
      </w:r>
      <w:r w:rsidR="002C5D86">
        <w:t xml:space="preserve"> </w:t>
      </w:r>
      <w:r w:rsidR="00D432A0">
        <w:t xml:space="preserve">implementation </w:t>
      </w:r>
      <w:r w:rsidR="002C5D86">
        <w:t>stages</w:t>
      </w:r>
      <w:r w:rsidR="00D432A0">
        <w:t xml:space="preserve"> (stages 1, </w:t>
      </w:r>
      <w:r w:rsidR="00287127">
        <w:t xml:space="preserve">2, </w:t>
      </w:r>
      <w:r w:rsidR="00D432A0">
        <w:t>3, and 4)</w:t>
      </w:r>
      <w:r w:rsidR="002C5D86">
        <w:t>.</w:t>
      </w:r>
      <w:r w:rsidR="00704405" w:rsidRPr="003F6AEB">
        <w:t xml:space="preserve"> </w:t>
      </w:r>
      <w:r w:rsidR="00D432A0" w:rsidRPr="003F6AEB">
        <w:t xml:space="preserve">Table B-1 shows the four initial DRS implementation cohorts, and approximately when they experience the five stages.  Italics are used to denote the uncertainty surrounding future events; actual time periods </w:t>
      </w:r>
      <w:r w:rsidR="00D432A0">
        <w:t xml:space="preserve">may </w:t>
      </w:r>
      <w:r w:rsidR="00D432A0" w:rsidRPr="003F6AEB">
        <w:t>vary from what is shown in this chart for a variety of reasons.</w:t>
      </w:r>
    </w:p>
    <w:p w:rsidR="001B19DB" w:rsidRDefault="001B19DB" w:rsidP="00D432A0">
      <w:pPr>
        <w:ind w:right="-450"/>
      </w:pPr>
    </w:p>
    <w:p w:rsidR="001B19DB" w:rsidRDefault="001B19DB" w:rsidP="001B19DB">
      <w:pPr>
        <w:ind w:right="-450"/>
      </w:pPr>
      <w:r w:rsidRPr="003F6AEB">
        <w:t xml:space="preserve">To collect information across these stages in a timely manner, </w:t>
      </w:r>
      <w:r>
        <w:t>we</w:t>
      </w:r>
      <w:r w:rsidRPr="003F6AEB">
        <w:t xml:space="preserve"> propose to gather data from grantees </w:t>
      </w:r>
      <w:r>
        <w:t xml:space="preserve">subject to review through monitoring in 2013-2014 (some of which will be designated for competition as part of DRS Cohort 4), grantees designated to compete in DRS Cohort 3, and applicants for new grants in DRS Cohort 3.  RQ1 and RQ2 draw from grantees that are experiencing the pre-designation stage. As indicated in Table B-2, the sample for RQ1 will be drawn through Sampling Frame A, the 434 grantees with center-based Head Start classrooms subjected to monitoring in Fall 2013-Spring 2014.  Sampling Frames B and C, which support answering RQ2, are subsets of Frame A.  This connection will facilitate linkages between data collected for RQ1 and data collected for RQ2, which layered together, may help explain findings across the two research questions.  </w:t>
      </w:r>
    </w:p>
    <w:p w:rsidR="001B19DB" w:rsidRDefault="001B19DB" w:rsidP="001B19DB">
      <w:pPr>
        <w:ind w:right="-450"/>
      </w:pPr>
    </w:p>
    <w:p w:rsidR="001B19DB" w:rsidRPr="003F6AEB" w:rsidRDefault="001B19DB" w:rsidP="00D432A0">
      <w:pPr>
        <w:ind w:right="-450"/>
      </w:pPr>
    </w:p>
    <w:p w:rsidR="00020A05" w:rsidRDefault="006C12B1" w:rsidP="001B19DB">
      <w:pPr>
        <w:spacing w:after="120"/>
        <w:ind w:right="-446"/>
        <w:rPr>
          <w:b/>
          <w:szCs w:val="20"/>
        </w:rPr>
      </w:pPr>
      <w:r w:rsidRPr="00ED3392">
        <w:rPr>
          <w:b/>
          <w:szCs w:val="20"/>
        </w:rPr>
        <w:lastRenderedPageBreak/>
        <w:t xml:space="preserve">Table </w:t>
      </w:r>
      <w:r w:rsidR="00704405" w:rsidRPr="00ED3392">
        <w:rPr>
          <w:b/>
          <w:szCs w:val="20"/>
        </w:rPr>
        <w:t>B-</w:t>
      </w:r>
      <w:r w:rsidRPr="00ED3392">
        <w:rPr>
          <w:b/>
          <w:szCs w:val="20"/>
        </w:rPr>
        <w:t>1: DRS Implementation Cohorts and Timing of Implementation Stages</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61"/>
        <w:gridCol w:w="1710"/>
        <w:gridCol w:w="1980"/>
        <w:gridCol w:w="1890"/>
        <w:gridCol w:w="1620"/>
      </w:tblGrid>
      <w:tr w:rsidR="000B717A" w:rsidRPr="003F6AEB">
        <w:trPr>
          <w:trHeight w:val="335"/>
          <w:tblHeader/>
          <w:jc w:val="center"/>
        </w:trPr>
        <w:tc>
          <w:tcPr>
            <w:tcW w:w="2461" w:type="dxa"/>
            <w:shd w:val="clear" w:color="auto" w:fill="auto"/>
            <w:tcMar>
              <w:top w:w="15" w:type="dxa"/>
              <w:left w:w="95" w:type="dxa"/>
              <w:bottom w:w="0" w:type="dxa"/>
              <w:right w:w="95" w:type="dxa"/>
            </w:tcMar>
          </w:tcPr>
          <w:p w:rsidR="000B717A" w:rsidRPr="003F6AEB" w:rsidRDefault="00440D4F" w:rsidP="000B717A">
            <w:pPr>
              <w:jc w:val="center"/>
              <w:rPr>
                <w:sz w:val="20"/>
                <w:szCs w:val="20"/>
              </w:rPr>
            </w:pPr>
            <w:r w:rsidRPr="003F6AEB">
              <w:rPr>
                <w:b/>
                <w:bCs/>
                <w:color w:val="000000" w:themeColor="text1"/>
                <w:kern w:val="24"/>
                <w:sz w:val="20"/>
                <w:szCs w:val="20"/>
                <w:u w:val="single"/>
              </w:rPr>
              <w:t>Stage of Implementation</w:t>
            </w:r>
            <w:r w:rsidR="000B717A" w:rsidRPr="003F6AEB">
              <w:rPr>
                <w:b/>
                <w:bCs/>
                <w:color w:val="000000" w:themeColor="text1"/>
                <w:kern w:val="24"/>
                <w:sz w:val="20"/>
                <w:szCs w:val="20"/>
                <w:u w:val="single"/>
              </w:rPr>
              <w:t xml:space="preserve">: </w:t>
            </w:r>
          </w:p>
        </w:tc>
        <w:tc>
          <w:tcPr>
            <w:tcW w:w="1710" w:type="dxa"/>
            <w:shd w:val="clear" w:color="auto" w:fill="auto"/>
            <w:tcMar>
              <w:top w:w="15" w:type="dxa"/>
              <w:left w:w="95" w:type="dxa"/>
              <w:bottom w:w="0" w:type="dxa"/>
              <w:right w:w="95" w:type="dxa"/>
            </w:tcMar>
          </w:tcPr>
          <w:p w:rsidR="000B717A" w:rsidRPr="003F6AEB" w:rsidRDefault="000B717A" w:rsidP="000B717A">
            <w:pPr>
              <w:rPr>
                <w:sz w:val="20"/>
                <w:szCs w:val="20"/>
              </w:rPr>
            </w:pPr>
            <w:r w:rsidRPr="003F6AEB">
              <w:rPr>
                <w:b/>
                <w:bCs/>
                <w:color w:val="000000" w:themeColor="text1"/>
                <w:kern w:val="24"/>
                <w:sz w:val="20"/>
                <w:szCs w:val="20"/>
                <w:u w:val="single"/>
              </w:rPr>
              <w:t>Cohort 1</w:t>
            </w:r>
          </w:p>
        </w:tc>
        <w:tc>
          <w:tcPr>
            <w:tcW w:w="1980" w:type="dxa"/>
            <w:shd w:val="clear" w:color="auto" w:fill="auto"/>
            <w:tcMar>
              <w:top w:w="15" w:type="dxa"/>
              <w:left w:w="95" w:type="dxa"/>
              <w:bottom w:w="0" w:type="dxa"/>
              <w:right w:w="95" w:type="dxa"/>
            </w:tcMar>
          </w:tcPr>
          <w:p w:rsidR="000B717A" w:rsidRPr="003F6AEB" w:rsidRDefault="000B717A" w:rsidP="000B717A">
            <w:pPr>
              <w:rPr>
                <w:sz w:val="20"/>
                <w:szCs w:val="20"/>
              </w:rPr>
            </w:pPr>
            <w:r w:rsidRPr="003F6AEB">
              <w:rPr>
                <w:b/>
                <w:bCs/>
                <w:color w:val="000000" w:themeColor="text1"/>
                <w:kern w:val="24"/>
                <w:sz w:val="20"/>
                <w:szCs w:val="20"/>
                <w:u w:val="single"/>
              </w:rPr>
              <w:t>Cohort 2</w:t>
            </w:r>
          </w:p>
        </w:tc>
        <w:tc>
          <w:tcPr>
            <w:tcW w:w="1890" w:type="dxa"/>
            <w:shd w:val="clear" w:color="auto" w:fill="auto"/>
            <w:tcMar>
              <w:top w:w="15" w:type="dxa"/>
              <w:left w:w="95" w:type="dxa"/>
              <w:bottom w:w="0" w:type="dxa"/>
              <w:right w:w="95" w:type="dxa"/>
            </w:tcMar>
          </w:tcPr>
          <w:p w:rsidR="000B717A" w:rsidRPr="003F6AEB" w:rsidRDefault="000B717A" w:rsidP="000B717A">
            <w:pPr>
              <w:rPr>
                <w:sz w:val="20"/>
                <w:szCs w:val="20"/>
              </w:rPr>
            </w:pPr>
            <w:r w:rsidRPr="003F6AEB">
              <w:rPr>
                <w:b/>
                <w:bCs/>
                <w:color w:val="000000" w:themeColor="text1"/>
                <w:kern w:val="24"/>
                <w:sz w:val="20"/>
                <w:szCs w:val="20"/>
                <w:u w:val="single"/>
              </w:rPr>
              <w:t>Cohort 3</w:t>
            </w:r>
          </w:p>
        </w:tc>
        <w:tc>
          <w:tcPr>
            <w:tcW w:w="1620" w:type="dxa"/>
            <w:shd w:val="clear" w:color="auto" w:fill="auto"/>
            <w:tcMar>
              <w:top w:w="15" w:type="dxa"/>
              <w:left w:w="95" w:type="dxa"/>
              <w:bottom w:w="0" w:type="dxa"/>
              <w:right w:w="95" w:type="dxa"/>
            </w:tcMar>
          </w:tcPr>
          <w:p w:rsidR="000B717A" w:rsidRPr="003F6AEB" w:rsidRDefault="000B717A" w:rsidP="000B717A">
            <w:pPr>
              <w:rPr>
                <w:sz w:val="20"/>
                <w:szCs w:val="20"/>
              </w:rPr>
            </w:pPr>
            <w:r w:rsidRPr="003F6AEB">
              <w:rPr>
                <w:b/>
                <w:bCs/>
                <w:color w:val="000000" w:themeColor="text1"/>
                <w:kern w:val="24"/>
                <w:sz w:val="20"/>
                <w:szCs w:val="20"/>
                <w:u w:val="single"/>
              </w:rPr>
              <w:t>Cohort 4</w:t>
            </w:r>
          </w:p>
        </w:tc>
      </w:tr>
      <w:tr w:rsidR="000B717A" w:rsidRPr="003F6AEB">
        <w:trPr>
          <w:trHeight w:val="965"/>
          <w:jc w:val="center"/>
        </w:trPr>
        <w:tc>
          <w:tcPr>
            <w:tcW w:w="2461" w:type="dxa"/>
            <w:shd w:val="clear" w:color="auto" w:fill="auto"/>
            <w:tcMar>
              <w:top w:w="15" w:type="dxa"/>
              <w:left w:w="95" w:type="dxa"/>
              <w:bottom w:w="0" w:type="dxa"/>
              <w:right w:w="95" w:type="dxa"/>
            </w:tcMar>
            <w:vAlign w:val="center"/>
          </w:tcPr>
          <w:p w:rsidR="000B717A" w:rsidRPr="003F6AEB" w:rsidRDefault="00383121" w:rsidP="000B717A">
            <w:pPr>
              <w:rPr>
                <w:b/>
                <w:bCs/>
                <w:color w:val="000000" w:themeColor="text1"/>
                <w:kern w:val="24"/>
                <w:sz w:val="20"/>
                <w:szCs w:val="20"/>
              </w:rPr>
            </w:pPr>
            <w:r w:rsidRPr="003F6AEB">
              <w:rPr>
                <w:b/>
                <w:bCs/>
                <w:color w:val="000000" w:themeColor="text1"/>
                <w:kern w:val="24"/>
                <w:sz w:val="20"/>
                <w:szCs w:val="20"/>
              </w:rPr>
              <w:t>Stage</w:t>
            </w:r>
            <w:r w:rsidR="00A602E6">
              <w:rPr>
                <w:b/>
                <w:bCs/>
                <w:color w:val="000000" w:themeColor="text1"/>
                <w:kern w:val="24"/>
                <w:sz w:val="20"/>
                <w:szCs w:val="20"/>
              </w:rPr>
              <w:t xml:space="preserve"> </w:t>
            </w:r>
            <w:r w:rsidR="000B717A" w:rsidRPr="003F6AEB">
              <w:rPr>
                <w:b/>
                <w:bCs/>
                <w:color w:val="000000" w:themeColor="text1"/>
                <w:kern w:val="24"/>
                <w:sz w:val="20"/>
                <w:szCs w:val="20"/>
              </w:rPr>
              <w:t>1:</w:t>
            </w:r>
          </w:p>
          <w:p w:rsidR="000B717A" w:rsidRPr="003F6AEB" w:rsidRDefault="00704405" w:rsidP="000B717A">
            <w:pPr>
              <w:rPr>
                <w:sz w:val="20"/>
                <w:szCs w:val="20"/>
              </w:rPr>
            </w:pPr>
            <w:r w:rsidRPr="003F6AEB">
              <w:rPr>
                <w:b/>
                <w:bCs/>
                <w:color w:val="000000" w:themeColor="text1"/>
                <w:kern w:val="24"/>
                <w:sz w:val="20"/>
                <w:szCs w:val="20"/>
              </w:rPr>
              <w:t>Pre-Designation</w:t>
            </w:r>
            <w:r w:rsidR="00D432A0">
              <w:rPr>
                <w:b/>
                <w:bCs/>
                <w:color w:val="000000" w:themeColor="text1"/>
                <w:kern w:val="24"/>
                <w:sz w:val="20"/>
                <w:szCs w:val="20"/>
              </w:rPr>
              <w:t xml:space="preserve"> Status (</w:t>
            </w:r>
            <w:r w:rsidR="000B717A" w:rsidRPr="003F6AEB">
              <w:rPr>
                <w:b/>
                <w:bCs/>
                <w:color w:val="000000" w:themeColor="text1"/>
                <w:kern w:val="24"/>
                <w:sz w:val="20"/>
                <w:szCs w:val="20"/>
              </w:rPr>
              <w:t>Tracking Period for DRS Conditions</w:t>
            </w:r>
            <w:r w:rsidR="00D432A0">
              <w:rPr>
                <w:b/>
                <w:bCs/>
                <w:color w:val="000000" w:themeColor="text1"/>
                <w:kern w:val="24"/>
                <w:sz w:val="20"/>
                <w:szCs w:val="20"/>
              </w:rPr>
              <w:t>)</w:t>
            </w:r>
          </w:p>
        </w:tc>
        <w:tc>
          <w:tcPr>
            <w:tcW w:w="1710" w:type="dxa"/>
            <w:shd w:val="clear" w:color="auto" w:fill="auto"/>
            <w:tcMar>
              <w:top w:w="15" w:type="dxa"/>
              <w:left w:w="95" w:type="dxa"/>
              <w:bottom w:w="0" w:type="dxa"/>
              <w:right w:w="95" w:type="dxa"/>
            </w:tcMar>
            <w:vAlign w:val="center"/>
          </w:tcPr>
          <w:p w:rsidR="000B717A" w:rsidRPr="003F6AEB" w:rsidRDefault="000B717A" w:rsidP="000B717A">
            <w:pPr>
              <w:rPr>
                <w:sz w:val="20"/>
                <w:szCs w:val="20"/>
              </w:rPr>
            </w:pPr>
            <w:r w:rsidRPr="003F6AEB">
              <w:rPr>
                <w:color w:val="000000" w:themeColor="dark1"/>
                <w:kern w:val="24"/>
                <w:sz w:val="20"/>
                <w:szCs w:val="20"/>
              </w:rPr>
              <w:t>Deficiencies only</w:t>
            </w:r>
          </w:p>
          <w:p w:rsidR="000B717A" w:rsidRPr="003F6AEB" w:rsidRDefault="000B717A" w:rsidP="000B717A">
            <w:pPr>
              <w:rPr>
                <w:sz w:val="20"/>
                <w:szCs w:val="20"/>
              </w:rPr>
            </w:pPr>
            <w:r w:rsidRPr="003F6AEB">
              <w:rPr>
                <w:color w:val="000000" w:themeColor="dark1"/>
                <w:kern w:val="24"/>
                <w:sz w:val="20"/>
                <w:szCs w:val="20"/>
              </w:rPr>
              <w:t>from June 2009-Nov. 2011</w:t>
            </w:r>
          </w:p>
        </w:tc>
        <w:tc>
          <w:tcPr>
            <w:tcW w:w="1980" w:type="dxa"/>
            <w:shd w:val="clear" w:color="auto" w:fill="auto"/>
            <w:tcMar>
              <w:top w:w="15" w:type="dxa"/>
              <w:left w:w="95" w:type="dxa"/>
              <w:bottom w:w="0" w:type="dxa"/>
              <w:right w:w="95" w:type="dxa"/>
            </w:tcMar>
            <w:vAlign w:val="center"/>
          </w:tcPr>
          <w:p w:rsidR="000B717A" w:rsidRPr="003F6AEB" w:rsidRDefault="000B717A" w:rsidP="000B717A">
            <w:pPr>
              <w:rPr>
                <w:sz w:val="20"/>
                <w:szCs w:val="20"/>
              </w:rPr>
            </w:pPr>
            <w:r w:rsidRPr="003F6AEB">
              <w:rPr>
                <w:color w:val="000000" w:themeColor="dark1"/>
                <w:kern w:val="24"/>
                <w:sz w:val="20"/>
                <w:szCs w:val="20"/>
              </w:rPr>
              <w:t>Oct. 2011-Sept. 2012</w:t>
            </w:r>
          </w:p>
        </w:tc>
        <w:tc>
          <w:tcPr>
            <w:tcW w:w="1890" w:type="dxa"/>
            <w:shd w:val="clear" w:color="auto" w:fill="auto"/>
            <w:tcMar>
              <w:top w:w="15" w:type="dxa"/>
              <w:left w:w="95" w:type="dxa"/>
              <w:bottom w:w="0" w:type="dxa"/>
              <w:right w:w="95" w:type="dxa"/>
            </w:tcMar>
            <w:vAlign w:val="center"/>
          </w:tcPr>
          <w:p w:rsidR="000B717A" w:rsidRPr="003F6AEB" w:rsidRDefault="000B717A" w:rsidP="000B717A">
            <w:pPr>
              <w:rPr>
                <w:sz w:val="20"/>
                <w:szCs w:val="20"/>
              </w:rPr>
            </w:pPr>
            <w:r w:rsidRPr="003F6AEB">
              <w:rPr>
                <w:i/>
                <w:iCs/>
                <w:color w:val="000000" w:themeColor="dark1"/>
                <w:kern w:val="24"/>
                <w:sz w:val="20"/>
                <w:szCs w:val="20"/>
              </w:rPr>
              <w:t>Oct. 2012-Sept. 2013</w:t>
            </w:r>
          </w:p>
        </w:tc>
        <w:tc>
          <w:tcPr>
            <w:tcW w:w="1620" w:type="dxa"/>
            <w:shd w:val="clear" w:color="auto" w:fill="auto"/>
            <w:tcMar>
              <w:top w:w="15" w:type="dxa"/>
              <w:left w:w="95" w:type="dxa"/>
              <w:bottom w:w="0" w:type="dxa"/>
              <w:right w:w="95" w:type="dxa"/>
            </w:tcMar>
            <w:vAlign w:val="center"/>
          </w:tcPr>
          <w:p w:rsidR="000B717A" w:rsidRPr="003F6AEB" w:rsidRDefault="000B717A" w:rsidP="000B717A">
            <w:pPr>
              <w:rPr>
                <w:sz w:val="20"/>
                <w:szCs w:val="20"/>
              </w:rPr>
            </w:pPr>
            <w:r w:rsidRPr="003F6AEB">
              <w:rPr>
                <w:i/>
                <w:iCs/>
                <w:color w:val="000000" w:themeColor="dark1"/>
                <w:kern w:val="24"/>
                <w:sz w:val="20"/>
                <w:szCs w:val="20"/>
              </w:rPr>
              <w:t>Oct. 2013-Sept. 2014</w:t>
            </w:r>
          </w:p>
        </w:tc>
      </w:tr>
      <w:tr w:rsidR="000B717A" w:rsidRPr="003F6AEB">
        <w:trPr>
          <w:trHeight w:val="415"/>
          <w:jc w:val="center"/>
        </w:trPr>
        <w:tc>
          <w:tcPr>
            <w:tcW w:w="2461" w:type="dxa"/>
            <w:shd w:val="clear" w:color="auto" w:fill="auto"/>
            <w:tcMar>
              <w:top w:w="15" w:type="dxa"/>
              <w:left w:w="95" w:type="dxa"/>
              <w:bottom w:w="0" w:type="dxa"/>
              <w:right w:w="95" w:type="dxa"/>
            </w:tcMar>
            <w:vAlign w:val="bottom"/>
          </w:tcPr>
          <w:p w:rsidR="000B717A" w:rsidRPr="003F6AEB" w:rsidRDefault="00440D4F" w:rsidP="000B717A">
            <w:pPr>
              <w:rPr>
                <w:b/>
                <w:bCs/>
                <w:color w:val="000000" w:themeColor="text1"/>
                <w:kern w:val="24"/>
                <w:sz w:val="20"/>
                <w:szCs w:val="20"/>
              </w:rPr>
            </w:pPr>
            <w:r w:rsidRPr="003F6AEB">
              <w:rPr>
                <w:b/>
                <w:bCs/>
                <w:color w:val="000000" w:themeColor="text1"/>
                <w:kern w:val="24"/>
                <w:sz w:val="20"/>
                <w:szCs w:val="20"/>
              </w:rPr>
              <w:t>Stage</w:t>
            </w:r>
            <w:r w:rsidR="000B717A" w:rsidRPr="003F6AEB">
              <w:rPr>
                <w:b/>
                <w:bCs/>
                <w:color w:val="000000" w:themeColor="text1"/>
                <w:kern w:val="24"/>
                <w:sz w:val="20"/>
                <w:szCs w:val="20"/>
              </w:rPr>
              <w:t xml:space="preserve"> 2:</w:t>
            </w:r>
          </w:p>
          <w:p w:rsidR="000B717A" w:rsidRPr="003F6AEB" w:rsidRDefault="00D432A0" w:rsidP="000B717A">
            <w:pPr>
              <w:rPr>
                <w:sz w:val="20"/>
                <w:szCs w:val="20"/>
              </w:rPr>
            </w:pPr>
            <w:r>
              <w:rPr>
                <w:b/>
                <w:bCs/>
                <w:color w:val="000000" w:themeColor="text1"/>
                <w:kern w:val="24"/>
                <w:sz w:val="20"/>
                <w:szCs w:val="20"/>
              </w:rPr>
              <w:t>Status Known/Decision to Apply or Not (</w:t>
            </w:r>
            <w:r w:rsidR="000B717A" w:rsidRPr="003F6AEB">
              <w:rPr>
                <w:b/>
                <w:bCs/>
                <w:color w:val="000000" w:themeColor="text1"/>
                <w:kern w:val="24"/>
                <w:sz w:val="20"/>
                <w:szCs w:val="20"/>
              </w:rPr>
              <w:t>Designation Notification</w:t>
            </w:r>
            <w:r>
              <w:rPr>
                <w:b/>
                <w:bCs/>
                <w:color w:val="000000" w:themeColor="text1"/>
                <w:kern w:val="24"/>
                <w:sz w:val="20"/>
                <w:szCs w:val="20"/>
              </w:rPr>
              <w:t>)</w:t>
            </w:r>
          </w:p>
        </w:tc>
        <w:tc>
          <w:tcPr>
            <w:tcW w:w="171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color w:val="000000" w:themeColor="dark1"/>
                <w:kern w:val="24"/>
                <w:sz w:val="20"/>
                <w:szCs w:val="20"/>
              </w:rPr>
              <w:t>Dec. 2011</w:t>
            </w:r>
          </w:p>
        </w:tc>
        <w:tc>
          <w:tcPr>
            <w:tcW w:w="198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color w:val="000000" w:themeColor="dark1"/>
                <w:kern w:val="24"/>
                <w:sz w:val="20"/>
                <w:szCs w:val="20"/>
              </w:rPr>
              <w:t>Jan. 2013</w:t>
            </w:r>
          </w:p>
        </w:tc>
        <w:tc>
          <w:tcPr>
            <w:tcW w:w="189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Jan. 2014</w:t>
            </w:r>
          </w:p>
        </w:tc>
        <w:tc>
          <w:tcPr>
            <w:tcW w:w="162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Jan. 2015</w:t>
            </w:r>
          </w:p>
        </w:tc>
      </w:tr>
      <w:tr w:rsidR="000B717A" w:rsidRPr="003F6AEB">
        <w:trPr>
          <w:trHeight w:val="415"/>
          <w:jc w:val="center"/>
        </w:trPr>
        <w:tc>
          <w:tcPr>
            <w:tcW w:w="2461" w:type="dxa"/>
            <w:shd w:val="clear" w:color="auto" w:fill="auto"/>
            <w:tcMar>
              <w:top w:w="15" w:type="dxa"/>
              <w:left w:w="95" w:type="dxa"/>
              <w:bottom w:w="0" w:type="dxa"/>
              <w:right w:w="95" w:type="dxa"/>
            </w:tcMar>
            <w:vAlign w:val="bottom"/>
          </w:tcPr>
          <w:p w:rsidR="000B717A" w:rsidRPr="003F6AEB" w:rsidRDefault="00440D4F" w:rsidP="000B717A">
            <w:pPr>
              <w:rPr>
                <w:b/>
                <w:bCs/>
                <w:color w:val="000000" w:themeColor="text1"/>
                <w:kern w:val="24"/>
                <w:sz w:val="20"/>
                <w:szCs w:val="20"/>
              </w:rPr>
            </w:pPr>
            <w:r w:rsidRPr="003F6AEB">
              <w:rPr>
                <w:b/>
                <w:bCs/>
                <w:color w:val="000000" w:themeColor="text1"/>
                <w:kern w:val="24"/>
                <w:sz w:val="20"/>
                <w:szCs w:val="20"/>
              </w:rPr>
              <w:t>Stage</w:t>
            </w:r>
            <w:r w:rsidR="000B717A" w:rsidRPr="003F6AEB">
              <w:rPr>
                <w:b/>
                <w:bCs/>
                <w:color w:val="000000" w:themeColor="text1"/>
                <w:kern w:val="24"/>
                <w:sz w:val="20"/>
                <w:szCs w:val="20"/>
              </w:rPr>
              <w:t xml:space="preserve"> 3:</w:t>
            </w:r>
          </w:p>
          <w:p w:rsidR="000B717A" w:rsidRPr="003F6AEB" w:rsidRDefault="000B717A" w:rsidP="000B717A">
            <w:pPr>
              <w:rPr>
                <w:sz w:val="20"/>
                <w:szCs w:val="20"/>
              </w:rPr>
            </w:pPr>
            <w:r w:rsidRPr="003F6AEB">
              <w:rPr>
                <w:b/>
                <w:bCs/>
                <w:color w:val="000000" w:themeColor="text1"/>
                <w:kern w:val="24"/>
                <w:sz w:val="20"/>
                <w:szCs w:val="20"/>
              </w:rPr>
              <w:t>Application for Competition</w:t>
            </w:r>
          </w:p>
        </w:tc>
        <w:tc>
          <w:tcPr>
            <w:tcW w:w="171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color w:val="000000" w:themeColor="dark1"/>
                <w:kern w:val="24"/>
                <w:sz w:val="20"/>
                <w:szCs w:val="20"/>
              </w:rPr>
              <w:t>April-July 2012</w:t>
            </w:r>
          </w:p>
        </w:tc>
        <w:tc>
          <w:tcPr>
            <w:tcW w:w="1980" w:type="dxa"/>
            <w:shd w:val="clear" w:color="auto" w:fill="auto"/>
            <w:tcMar>
              <w:top w:w="15" w:type="dxa"/>
              <w:left w:w="95" w:type="dxa"/>
              <w:bottom w:w="0" w:type="dxa"/>
              <w:right w:w="95" w:type="dxa"/>
            </w:tcMar>
            <w:vAlign w:val="bottom"/>
          </w:tcPr>
          <w:p w:rsidR="000B717A" w:rsidRPr="003F6AEB" w:rsidRDefault="003E6412" w:rsidP="000B717A">
            <w:pPr>
              <w:rPr>
                <w:sz w:val="20"/>
                <w:szCs w:val="20"/>
              </w:rPr>
            </w:pPr>
            <w:r>
              <w:rPr>
                <w:i/>
                <w:iCs/>
                <w:color w:val="000000" w:themeColor="dark1"/>
                <w:kern w:val="24"/>
                <w:sz w:val="20"/>
                <w:szCs w:val="20"/>
              </w:rPr>
              <w:t>Aug.-Oct.</w:t>
            </w:r>
            <w:r w:rsidR="000B717A" w:rsidRPr="003F6AEB">
              <w:rPr>
                <w:i/>
                <w:iCs/>
                <w:color w:val="000000" w:themeColor="dark1"/>
                <w:kern w:val="24"/>
                <w:sz w:val="20"/>
                <w:szCs w:val="20"/>
              </w:rPr>
              <w:t xml:space="preserve"> 2013</w:t>
            </w:r>
          </w:p>
        </w:tc>
        <w:tc>
          <w:tcPr>
            <w:tcW w:w="189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March-May 2014</w:t>
            </w:r>
          </w:p>
        </w:tc>
        <w:tc>
          <w:tcPr>
            <w:tcW w:w="162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March-May 2015</w:t>
            </w:r>
          </w:p>
        </w:tc>
      </w:tr>
      <w:tr w:rsidR="000B717A" w:rsidRPr="003F6AEB">
        <w:trPr>
          <w:trHeight w:val="415"/>
          <w:jc w:val="center"/>
        </w:trPr>
        <w:tc>
          <w:tcPr>
            <w:tcW w:w="2461" w:type="dxa"/>
            <w:shd w:val="clear" w:color="auto" w:fill="auto"/>
            <w:tcMar>
              <w:top w:w="15" w:type="dxa"/>
              <w:left w:w="95" w:type="dxa"/>
              <w:bottom w:w="0" w:type="dxa"/>
              <w:right w:w="95" w:type="dxa"/>
            </w:tcMar>
            <w:vAlign w:val="bottom"/>
          </w:tcPr>
          <w:p w:rsidR="000B717A" w:rsidRPr="003F6AEB" w:rsidRDefault="00440D4F" w:rsidP="000B717A">
            <w:pPr>
              <w:rPr>
                <w:b/>
                <w:bCs/>
                <w:color w:val="000000" w:themeColor="text1"/>
                <w:kern w:val="24"/>
                <w:sz w:val="20"/>
                <w:szCs w:val="20"/>
              </w:rPr>
            </w:pPr>
            <w:r w:rsidRPr="003F6AEB">
              <w:rPr>
                <w:b/>
                <w:bCs/>
                <w:color w:val="000000" w:themeColor="text1"/>
                <w:kern w:val="24"/>
                <w:sz w:val="20"/>
                <w:szCs w:val="20"/>
              </w:rPr>
              <w:t>Stage</w:t>
            </w:r>
            <w:r w:rsidR="000B717A" w:rsidRPr="003F6AEB">
              <w:rPr>
                <w:b/>
                <w:bCs/>
                <w:color w:val="000000" w:themeColor="text1"/>
                <w:kern w:val="24"/>
                <w:sz w:val="20"/>
                <w:szCs w:val="20"/>
              </w:rPr>
              <w:t xml:space="preserve"> 4:</w:t>
            </w:r>
          </w:p>
          <w:p w:rsidR="000B717A" w:rsidRPr="003F6AEB" w:rsidRDefault="000B717A" w:rsidP="000B717A">
            <w:pPr>
              <w:rPr>
                <w:sz w:val="20"/>
                <w:szCs w:val="20"/>
              </w:rPr>
            </w:pPr>
            <w:r w:rsidRPr="003F6AEB">
              <w:rPr>
                <w:b/>
                <w:bCs/>
                <w:color w:val="000000" w:themeColor="text1"/>
                <w:kern w:val="24"/>
                <w:sz w:val="20"/>
                <w:szCs w:val="20"/>
              </w:rPr>
              <w:t>Award Notification</w:t>
            </w:r>
          </w:p>
        </w:tc>
        <w:tc>
          <w:tcPr>
            <w:tcW w:w="1710" w:type="dxa"/>
            <w:shd w:val="clear" w:color="auto" w:fill="auto"/>
            <w:tcMar>
              <w:top w:w="15" w:type="dxa"/>
              <w:left w:w="95" w:type="dxa"/>
              <w:bottom w:w="0" w:type="dxa"/>
              <w:right w:w="95" w:type="dxa"/>
            </w:tcMar>
            <w:vAlign w:val="bottom"/>
          </w:tcPr>
          <w:p w:rsidR="000B717A" w:rsidRPr="003E6412" w:rsidRDefault="003E6412" w:rsidP="000B717A">
            <w:pPr>
              <w:rPr>
                <w:sz w:val="20"/>
                <w:szCs w:val="20"/>
              </w:rPr>
            </w:pPr>
            <w:r w:rsidRPr="00287127">
              <w:rPr>
                <w:iCs/>
                <w:color w:val="000000" w:themeColor="dark1"/>
                <w:kern w:val="24"/>
                <w:sz w:val="20"/>
                <w:szCs w:val="20"/>
              </w:rPr>
              <w:t>April 2013</w:t>
            </w:r>
          </w:p>
        </w:tc>
        <w:tc>
          <w:tcPr>
            <w:tcW w:w="198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Dec. 2013</w:t>
            </w:r>
          </w:p>
        </w:tc>
        <w:tc>
          <w:tcPr>
            <w:tcW w:w="189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Dec. 2014</w:t>
            </w:r>
          </w:p>
        </w:tc>
        <w:tc>
          <w:tcPr>
            <w:tcW w:w="162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Dec. 2015</w:t>
            </w:r>
          </w:p>
        </w:tc>
      </w:tr>
      <w:tr w:rsidR="000B717A" w:rsidRPr="003F6AEB">
        <w:trPr>
          <w:trHeight w:val="415"/>
          <w:jc w:val="center"/>
        </w:trPr>
        <w:tc>
          <w:tcPr>
            <w:tcW w:w="2461" w:type="dxa"/>
            <w:shd w:val="clear" w:color="auto" w:fill="auto"/>
            <w:tcMar>
              <w:top w:w="15" w:type="dxa"/>
              <w:left w:w="95" w:type="dxa"/>
              <w:bottom w:w="0" w:type="dxa"/>
              <w:right w:w="95" w:type="dxa"/>
            </w:tcMar>
            <w:vAlign w:val="bottom"/>
          </w:tcPr>
          <w:p w:rsidR="000B717A" w:rsidRPr="003F6AEB" w:rsidRDefault="00440D4F" w:rsidP="000B717A">
            <w:pPr>
              <w:rPr>
                <w:b/>
                <w:bCs/>
                <w:color w:val="000000" w:themeColor="text1"/>
                <w:kern w:val="24"/>
                <w:sz w:val="20"/>
                <w:szCs w:val="20"/>
              </w:rPr>
            </w:pPr>
            <w:r w:rsidRPr="003F6AEB">
              <w:rPr>
                <w:b/>
                <w:bCs/>
                <w:color w:val="000000" w:themeColor="text1"/>
                <w:kern w:val="24"/>
                <w:sz w:val="20"/>
                <w:szCs w:val="20"/>
              </w:rPr>
              <w:t>Stage</w:t>
            </w:r>
            <w:r w:rsidR="000B717A" w:rsidRPr="003F6AEB">
              <w:rPr>
                <w:b/>
                <w:bCs/>
                <w:color w:val="000000" w:themeColor="text1"/>
                <w:kern w:val="24"/>
                <w:sz w:val="20"/>
                <w:szCs w:val="20"/>
              </w:rPr>
              <w:t xml:space="preserve"> 5:</w:t>
            </w:r>
          </w:p>
          <w:p w:rsidR="000B717A" w:rsidRPr="003F6AEB" w:rsidRDefault="000B717A" w:rsidP="000B717A">
            <w:pPr>
              <w:rPr>
                <w:sz w:val="20"/>
                <w:szCs w:val="20"/>
              </w:rPr>
            </w:pPr>
            <w:r w:rsidRPr="003F6AEB">
              <w:rPr>
                <w:b/>
                <w:bCs/>
                <w:color w:val="000000" w:themeColor="text1"/>
                <w:kern w:val="24"/>
                <w:sz w:val="20"/>
                <w:szCs w:val="20"/>
              </w:rPr>
              <w:t>Post-Competition Service Delivery</w:t>
            </w:r>
          </w:p>
        </w:tc>
        <w:tc>
          <w:tcPr>
            <w:tcW w:w="171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color w:val="000000" w:themeColor="dark1"/>
                <w:kern w:val="24"/>
                <w:sz w:val="20"/>
                <w:szCs w:val="20"/>
              </w:rPr>
              <w:t>July 2013</w:t>
            </w:r>
          </w:p>
        </w:tc>
        <w:tc>
          <w:tcPr>
            <w:tcW w:w="198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Summer 2014</w:t>
            </w:r>
          </w:p>
        </w:tc>
        <w:tc>
          <w:tcPr>
            <w:tcW w:w="189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Summer 2015</w:t>
            </w:r>
          </w:p>
        </w:tc>
        <w:tc>
          <w:tcPr>
            <w:tcW w:w="1620" w:type="dxa"/>
            <w:shd w:val="clear" w:color="auto" w:fill="auto"/>
            <w:tcMar>
              <w:top w:w="15" w:type="dxa"/>
              <w:left w:w="95" w:type="dxa"/>
              <w:bottom w:w="0" w:type="dxa"/>
              <w:right w:w="95" w:type="dxa"/>
            </w:tcMar>
            <w:vAlign w:val="bottom"/>
          </w:tcPr>
          <w:p w:rsidR="000B717A" w:rsidRPr="003F6AEB" w:rsidRDefault="000B717A" w:rsidP="000B717A">
            <w:pPr>
              <w:rPr>
                <w:sz w:val="20"/>
                <w:szCs w:val="20"/>
              </w:rPr>
            </w:pPr>
            <w:r w:rsidRPr="003F6AEB">
              <w:rPr>
                <w:i/>
                <w:iCs/>
                <w:color w:val="000000" w:themeColor="dark1"/>
                <w:kern w:val="24"/>
                <w:sz w:val="20"/>
                <w:szCs w:val="20"/>
              </w:rPr>
              <w:t>Summer 2016</w:t>
            </w:r>
          </w:p>
        </w:tc>
      </w:tr>
    </w:tbl>
    <w:p w:rsidR="006C12B1" w:rsidRPr="001B19DB" w:rsidRDefault="006C12B1" w:rsidP="002958AC">
      <w:pPr>
        <w:ind w:right="-450"/>
      </w:pPr>
    </w:p>
    <w:p w:rsidR="00D432A0" w:rsidRDefault="006D1517" w:rsidP="002958AC">
      <w:pPr>
        <w:ind w:right="-450"/>
      </w:pPr>
      <w:r>
        <w:t xml:space="preserve">RQ3 focuses on a different element of the DRS process, represented by DRS implementation stages 3 and 4 – the levels and types of competition (stage 3) and perceptions of competition measured after award (stage </w:t>
      </w:r>
      <w:r w:rsidR="003E6412">
        <w:t>4</w:t>
      </w:r>
      <w:r>
        <w:t xml:space="preserve">). </w:t>
      </w:r>
      <w:r w:rsidR="0081042C">
        <w:t xml:space="preserve"> </w:t>
      </w:r>
      <w:r>
        <w:t xml:space="preserve">This different focus requires different sampling frames.  </w:t>
      </w:r>
      <w:r w:rsidR="007D6C5F">
        <w:t xml:space="preserve">The first part of RQ3, </w:t>
      </w:r>
      <w:r w:rsidR="000A39E6">
        <w:t>w</w:t>
      </w:r>
      <w:r w:rsidR="007D6C5F">
        <w:t xml:space="preserve">hat does competition look like, is answered through Sampling Frame D.  Sampling Frame D is comprised of all the applicants for Head Start grants </w:t>
      </w:r>
      <w:r w:rsidR="007425D7">
        <w:t>resulting from competition associated with</w:t>
      </w:r>
      <w:r w:rsidR="007D6C5F">
        <w:t xml:space="preserve"> DRS </w:t>
      </w:r>
      <w:r w:rsidR="00644888">
        <w:t>C</w:t>
      </w:r>
      <w:r w:rsidR="007D6C5F">
        <w:t xml:space="preserve">ohort </w:t>
      </w:r>
      <w:r w:rsidR="007425D7">
        <w:t>3</w:t>
      </w:r>
      <w:r w:rsidR="007D6C5F">
        <w:t xml:space="preserve">.  The number of applicants is estimated to be 500 </w:t>
      </w:r>
      <w:r w:rsidR="007425D7">
        <w:t>(</w:t>
      </w:r>
      <w:r w:rsidR="007D6C5F">
        <w:t xml:space="preserve">based on the number of applicants participating in the grant competition for DRS </w:t>
      </w:r>
      <w:r w:rsidR="00644888">
        <w:t>C</w:t>
      </w:r>
      <w:r w:rsidR="007D6C5F">
        <w:t>ohort 1</w:t>
      </w:r>
      <w:r w:rsidR="007425D7">
        <w:t>)</w:t>
      </w:r>
      <w:r w:rsidR="007D6C5F">
        <w:t xml:space="preserve">.  The second part of RQ3, </w:t>
      </w:r>
      <w:r w:rsidR="007425D7">
        <w:t>h</w:t>
      </w:r>
      <w:r w:rsidR="007D6C5F">
        <w:t xml:space="preserve">ow programs respond in communities where Head Start grantees are designated for competition, is answered through Sampling Frame E.  Sampling Frame E is the subset of Sampling Frame D that applied and </w:t>
      </w:r>
      <w:proofErr w:type="gramStart"/>
      <w:r w:rsidR="007D6C5F">
        <w:t>were</w:t>
      </w:r>
      <w:proofErr w:type="gramEnd"/>
      <w:r w:rsidR="007D6C5F">
        <w:t xml:space="preserve"> awarded a new five-year grant.  </w:t>
      </w:r>
    </w:p>
    <w:p w:rsidR="00D432A0" w:rsidRDefault="00D432A0" w:rsidP="002958AC">
      <w:pPr>
        <w:ind w:right="-450"/>
      </w:pPr>
    </w:p>
    <w:p w:rsidR="00020A05" w:rsidRDefault="0081042C" w:rsidP="001B19DB">
      <w:pPr>
        <w:spacing w:after="120"/>
        <w:rPr>
          <w:b/>
        </w:rPr>
      </w:pPr>
      <w:r w:rsidRPr="00584294">
        <w:rPr>
          <w:b/>
        </w:rPr>
        <w:t>Table B-</w:t>
      </w:r>
      <w:r>
        <w:rPr>
          <w:b/>
        </w:rPr>
        <w:t>2</w:t>
      </w:r>
      <w:r w:rsidRPr="00584294">
        <w:rPr>
          <w:b/>
        </w:rPr>
        <w:t>.  Description of Sampling Frames</w:t>
      </w:r>
    </w:p>
    <w:tbl>
      <w:tblPr>
        <w:tblStyle w:val="TableGrid"/>
        <w:tblW w:w="0" w:type="auto"/>
        <w:tblLook w:val="04A0" w:firstRow="1" w:lastRow="0" w:firstColumn="1" w:lastColumn="0" w:noHBand="0" w:noVBand="1"/>
      </w:tblPr>
      <w:tblGrid>
        <w:gridCol w:w="1728"/>
        <w:gridCol w:w="1800"/>
        <w:gridCol w:w="1890"/>
        <w:gridCol w:w="2036"/>
        <w:gridCol w:w="1710"/>
      </w:tblGrid>
      <w:tr w:rsidR="0081042C" w:rsidRPr="00584294">
        <w:trPr>
          <w:tblHeader/>
        </w:trPr>
        <w:tc>
          <w:tcPr>
            <w:tcW w:w="1728" w:type="dxa"/>
          </w:tcPr>
          <w:p w:rsidR="0081042C" w:rsidRPr="001B19DB" w:rsidRDefault="0081042C" w:rsidP="00D134E5">
            <w:pPr>
              <w:rPr>
                <w:rFonts w:ascii="Times New Roman" w:hAnsi="Times New Roman" w:cs="Times New Roman"/>
                <w:b/>
                <w:sz w:val="22"/>
                <w:szCs w:val="22"/>
              </w:rPr>
            </w:pPr>
            <w:r w:rsidRPr="001B19DB">
              <w:rPr>
                <w:rFonts w:ascii="Times New Roman" w:hAnsi="Times New Roman" w:cs="Times New Roman"/>
                <w:b/>
                <w:sz w:val="22"/>
                <w:szCs w:val="22"/>
              </w:rPr>
              <w:t>Sampling Frame</w:t>
            </w:r>
          </w:p>
        </w:tc>
        <w:tc>
          <w:tcPr>
            <w:tcW w:w="1800" w:type="dxa"/>
          </w:tcPr>
          <w:p w:rsidR="0081042C" w:rsidRPr="001B19DB" w:rsidRDefault="007425D7" w:rsidP="00D134E5">
            <w:pPr>
              <w:rPr>
                <w:rFonts w:ascii="Times New Roman" w:hAnsi="Times New Roman" w:cs="Times New Roman"/>
                <w:b/>
                <w:sz w:val="22"/>
                <w:szCs w:val="22"/>
              </w:rPr>
            </w:pPr>
            <w:r w:rsidRPr="001B19DB">
              <w:rPr>
                <w:rFonts w:ascii="Times New Roman" w:hAnsi="Times New Roman" w:cs="Times New Roman"/>
                <w:b/>
                <w:sz w:val="22"/>
                <w:szCs w:val="22"/>
              </w:rPr>
              <w:t>Population</w:t>
            </w:r>
          </w:p>
        </w:tc>
        <w:tc>
          <w:tcPr>
            <w:tcW w:w="1890" w:type="dxa"/>
          </w:tcPr>
          <w:p w:rsidR="0081042C" w:rsidRPr="001B19DB" w:rsidRDefault="0081042C" w:rsidP="00D134E5">
            <w:pPr>
              <w:rPr>
                <w:rFonts w:ascii="Times New Roman" w:hAnsi="Times New Roman" w:cs="Times New Roman"/>
                <w:b/>
                <w:sz w:val="22"/>
                <w:szCs w:val="22"/>
              </w:rPr>
            </w:pPr>
            <w:r w:rsidRPr="001B19DB">
              <w:rPr>
                <w:rFonts w:ascii="Times New Roman" w:hAnsi="Times New Roman" w:cs="Times New Roman"/>
                <w:b/>
                <w:sz w:val="22"/>
                <w:szCs w:val="22"/>
              </w:rPr>
              <w:t>DRS Implementation Stage</w:t>
            </w:r>
          </w:p>
        </w:tc>
        <w:tc>
          <w:tcPr>
            <w:tcW w:w="2036" w:type="dxa"/>
          </w:tcPr>
          <w:p w:rsidR="0081042C" w:rsidRPr="001B19DB" w:rsidRDefault="0081042C" w:rsidP="00D134E5">
            <w:pPr>
              <w:rPr>
                <w:rFonts w:ascii="Times New Roman" w:hAnsi="Times New Roman" w:cs="Times New Roman"/>
                <w:b/>
                <w:sz w:val="22"/>
                <w:szCs w:val="22"/>
              </w:rPr>
            </w:pPr>
            <w:r w:rsidRPr="001B19DB">
              <w:rPr>
                <w:rFonts w:ascii="Times New Roman" w:hAnsi="Times New Roman" w:cs="Times New Roman"/>
                <w:b/>
                <w:sz w:val="22"/>
                <w:szCs w:val="22"/>
              </w:rPr>
              <w:t>Frame Size</w:t>
            </w:r>
            <w:r w:rsidR="00DE32EB" w:rsidRPr="001B19DB">
              <w:rPr>
                <w:rFonts w:ascii="Times New Roman" w:hAnsi="Times New Roman" w:cs="Times New Roman"/>
                <w:b/>
                <w:sz w:val="22"/>
                <w:szCs w:val="22"/>
              </w:rPr>
              <w:t xml:space="preserve"> and Description</w:t>
            </w:r>
          </w:p>
        </w:tc>
        <w:tc>
          <w:tcPr>
            <w:tcW w:w="1710" w:type="dxa"/>
          </w:tcPr>
          <w:p w:rsidR="0081042C" w:rsidRPr="001B19DB" w:rsidRDefault="0081042C" w:rsidP="00D134E5">
            <w:pPr>
              <w:rPr>
                <w:rFonts w:ascii="Times New Roman" w:hAnsi="Times New Roman" w:cs="Times New Roman"/>
                <w:b/>
                <w:sz w:val="22"/>
                <w:szCs w:val="22"/>
              </w:rPr>
            </w:pPr>
            <w:r w:rsidRPr="001B19DB">
              <w:rPr>
                <w:rFonts w:ascii="Times New Roman" w:hAnsi="Times New Roman" w:cs="Times New Roman"/>
                <w:b/>
                <w:sz w:val="22"/>
                <w:szCs w:val="22"/>
              </w:rPr>
              <w:t>Sample Size</w:t>
            </w:r>
          </w:p>
        </w:tc>
      </w:tr>
      <w:tr w:rsidR="0081042C" w:rsidRPr="00584294">
        <w:tc>
          <w:tcPr>
            <w:tcW w:w="9164" w:type="dxa"/>
            <w:gridSpan w:val="5"/>
            <w:shd w:val="clear" w:color="auto" w:fill="BFBFBF" w:themeFill="background1" w:themeFillShade="BF"/>
          </w:tcPr>
          <w:p w:rsidR="00020A05" w:rsidRPr="001B19DB" w:rsidRDefault="00020A05" w:rsidP="00D134E5">
            <w:pPr>
              <w:rPr>
                <w:rFonts w:ascii="Times New Roman" w:hAnsi="Times New Roman" w:cs="Times New Roman"/>
                <w:sz w:val="22"/>
                <w:szCs w:val="22"/>
              </w:rPr>
            </w:pPr>
          </w:p>
          <w:p w:rsidR="0081042C" w:rsidRPr="001B19DB" w:rsidRDefault="0081042C" w:rsidP="00D134E5">
            <w:pPr>
              <w:rPr>
                <w:rFonts w:ascii="Times New Roman" w:hAnsi="Times New Roman" w:cs="Times New Roman"/>
                <w:color w:val="000000"/>
                <w:sz w:val="22"/>
                <w:szCs w:val="22"/>
              </w:rPr>
            </w:pPr>
            <w:r w:rsidRPr="001B19DB">
              <w:rPr>
                <w:rFonts w:ascii="Times New Roman" w:hAnsi="Times New Roman" w:cs="Times New Roman"/>
                <w:sz w:val="22"/>
                <w:szCs w:val="22"/>
              </w:rPr>
              <w:t xml:space="preserve">RQ1: </w:t>
            </w:r>
            <w:r w:rsidRPr="001B19DB">
              <w:rPr>
                <w:rFonts w:ascii="Times New Roman" w:hAnsi="Times New Roman" w:cs="Times New Roman"/>
                <w:color w:val="000000"/>
                <w:sz w:val="22"/>
                <w:szCs w:val="22"/>
              </w:rPr>
              <w:t xml:space="preserve">How effective is the DRS in identifying higher and lower quality Head Start </w:t>
            </w:r>
            <w:r w:rsidR="00676B85" w:rsidRPr="001B19DB">
              <w:rPr>
                <w:rFonts w:ascii="Times New Roman" w:hAnsi="Times New Roman" w:cs="Times New Roman"/>
                <w:color w:val="000000"/>
                <w:sz w:val="22"/>
                <w:szCs w:val="22"/>
              </w:rPr>
              <w:t>grantee</w:t>
            </w:r>
            <w:r w:rsidRPr="001B19DB">
              <w:rPr>
                <w:rFonts w:ascii="Times New Roman" w:hAnsi="Times New Roman" w:cs="Times New Roman"/>
                <w:color w:val="000000"/>
                <w:sz w:val="22"/>
                <w:szCs w:val="22"/>
              </w:rPr>
              <w:t>s?</w:t>
            </w:r>
          </w:p>
          <w:p w:rsidR="0081042C" w:rsidRPr="001B19DB" w:rsidRDefault="0081042C" w:rsidP="00D134E5">
            <w:pPr>
              <w:rPr>
                <w:rFonts w:ascii="Times New Roman" w:hAnsi="Times New Roman" w:cs="Times New Roman"/>
                <w:color w:val="000000"/>
                <w:sz w:val="22"/>
                <w:szCs w:val="22"/>
              </w:rPr>
            </w:pPr>
          </w:p>
        </w:tc>
      </w:tr>
      <w:tr w:rsidR="0081042C" w:rsidRPr="00584294">
        <w:tc>
          <w:tcPr>
            <w:tcW w:w="1728"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Frame A</w:t>
            </w:r>
          </w:p>
        </w:tc>
        <w:tc>
          <w:tcPr>
            <w:tcW w:w="1800" w:type="dxa"/>
          </w:tcPr>
          <w:p w:rsidR="0081042C" w:rsidRPr="001B19DB" w:rsidRDefault="007425D7" w:rsidP="007425D7">
            <w:pPr>
              <w:rPr>
                <w:rFonts w:ascii="Times New Roman" w:hAnsi="Times New Roman" w:cs="Times New Roman"/>
                <w:sz w:val="22"/>
                <w:szCs w:val="22"/>
              </w:rPr>
            </w:pPr>
            <w:r w:rsidRPr="001B19DB">
              <w:rPr>
                <w:rFonts w:ascii="Times New Roman" w:hAnsi="Times New Roman" w:cs="Times New Roman"/>
                <w:sz w:val="22"/>
                <w:szCs w:val="22"/>
              </w:rPr>
              <w:t>Grantees subject to</w:t>
            </w:r>
            <w:r w:rsidR="00F5214A" w:rsidRPr="001B19DB">
              <w:rPr>
                <w:rFonts w:ascii="Times New Roman" w:hAnsi="Times New Roman" w:cs="Times New Roman"/>
                <w:sz w:val="22"/>
                <w:szCs w:val="22"/>
              </w:rPr>
              <w:t xml:space="preserve"> monitoring in </w:t>
            </w:r>
            <w:r w:rsidRPr="001B19DB">
              <w:rPr>
                <w:rFonts w:ascii="Times New Roman" w:hAnsi="Times New Roman" w:cs="Times New Roman"/>
                <w:sz w:val="22"/>
                <w:szCs w:val="22"/>
              </w:rPr>
              <w:t>2013-2014</w:t>
            </w:r>
          </w:p>
        </w:tc>
        <w:tc>
          <w:tcPr>
            <w:tcW w:w="189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Stage 1: Pre-Designation Status</w:t>
            </w:r>
          </w:p>
        </w:tc>
        <w:tc>
          <w:tcPr>
            <w:tcW w:w="2036" w:type="dxa"/>
          </w:tcPr>
          <w:p w:rsidR="0081042C" w:rsidRPr="001B19DB" w:rsidRDefault="0081042C" w:rsidP="007425D7">
            <w:pPr>
              <w:rPr>
                <w:rFonts w:ascii="Times New Roman" w:hAnsi="Times New Roman" w:cs="Times New Roman"/>
                <w:sz w:val="22"/>
                <w:szCs w:val="22"/>
              </w:rPr>
            </w:pPr>
            <w:r w:rsidRPr="001B19DB">
              <w:rPr>
                <w:rFonts w:ascii="Times New Roman" w:hAnsi="Times New Roman" w:cs="Times New Roman"/>
                <w:sz w:val="22"/>
                <w:szCs w:val="22"/>
              </w:rPr>
              <w:t xml:space="preserve">434 grantees with </w:t>
            </w:r>
            <w:r w:rsidR="00DE32EB" w:rsidRPr="001B19DB">
              <w:rPr>
                <w:rFonts w:ascii="Times New Roman" w:hAnsi="Times New Roman" w:cs="Times New Roman"/>
                <w:sz w:val="22"/>
                <w:szCs w:val="22"/>
              </w:rPr>
              <w:t xml:space="preserve">center-based </w:t>
            </w:r>
            <w:r w:rsidRPr="001B19DB">
              <w:rPr>
                <w:rFonts w:ascii="Times New Roman" w:hAnsi="Times New Roman" w:cs="Times New Roman"/>
                <w:sz w:val="22"/>
                <w:szCs w:val="22"/>
              </w:rPr>
              <w:t xml:space="preserve">Head Start classrooms </w:t>
            </w:r>
          </w:p>
        </w:tc>
        <w:tc>
          <w:tcPr>
            <w:tcW w:w="1710" w:type="dxa"/>
          </w:tcPr>
          <w:p w:rsidR="0081042C" w:rsidRPr="001B19DB" w:rsidRDefault="0081042C" w:rsidP="002C4DEE">
            <w:pPr>
              <w:rPr>
                <w:rFonts w:ascii="Times New Roman" w:hAnsi="Times New Roman" w:cs="Times New Roman"/>
                <w:sz w:val="22"/>
                <w:szCs w:val="22"/>
              </w:rPr>
            </w:pPr>
            <w:r w:rsidRPr="001B19DB">
              <w:rPr>
                <w:rFonts w:ascii="Times New Roman" w:hAnsi="Times New Roman" w:cs="Times New Roman"/>
                <w:sz w:val="22"/>
                <w:szCs w:val="22"/>
              </w:rPr>
              <w:t xml:space="preserve">70 grantees, </w:t>
            </w:r>
            <w:r w:rsidR="002C4DEE" w:rsidRPr="001B19DB">
              <w:rPr>
                <w:rFonts w:ascii="Times New Roman" w:hAnsi="Times New Roman" w:cs="Times New Roman"/>
                <w:sz w:val="22"/>
                <w:szCs w:val="22"/>
              </w:rPr>
              <w:t>30</w:t>
            </w:r>
            <w:r w:rsidRPr="001B19DB">
              <w:rPr>
                <w:rFonts w:ascii="Times New Roman" w:hAnsi="Times New Roman" w:cs="Times New Roman"/>
                <w:sz w:val="22"/>
                <w:szCs w:val="22"/>
              </w:rPr>
              <w:t xml:space="preserve">0 centers, </w:t>
            </w:r>
            <w:r w:rsidR="002C4DEE" w:rsidRPr="001B19DB">
              <w:rPr>
                <w:rFonts w:ascii="Times New Roman" w:hAnsi="Times New Roman" w:cs="Times New Roman"/>
                <w:sz w:val="22"/>
                <w:szCs w:val="22"/>
              </w:rPr>
              <w:t>560</w:t>
            </w:r>
            <w:r w:rsidRPr="001B19DB">
              <w:rPr>
                <w:rFonts w:ascii="Times New Roman" w:hAnsi="Times New Roman" w:cs="Times New Roman"/>
                <w:sz w:val="22"/>
                <w:szCs w:val="22"/>
              </w:rPr>
              <w:t xml:space="preserve"> classrooms</w:t>
            </w:r>
          </w:p>
        </w:tc>
      </w:tr>
      <w:tr w:rsidR="0081042C" w:rsidRPr="00584294">
        <w:tc>
          <w:tcPr>
            <w:tcW w:w="9164" w:type="dxa"/>
            <w:gridSpan w:val="5"/>
            <w:shd w:val="clear" w:color="auto" w:fill="BFBFBF" w:themeFill="background1" w:themeFillShade="BF"/>
          </w:tcPr>
          <w:p w:rsidR="00020A05" w:rsidRPr="001B19DB" w:rsidRDefault="00020A05" w:rsidP="00D134E5">
            <w:pPr>
              <w:rPr>
                <w:rFonts w:ascii="Times New Roman" w:hAnsi="Times New Roman" w:cs="Times New Roman"/>
                <w:sz w:val="22"/>
                <w:szCs w:val="22"/>
              </w:rPr>
            </w:pPr>
          </w:p>
          <w:p w:rsidR="0081042C" w:rsidRPr="001B19DB" w:rsidRDefault="0081042C" w:rsidP="00D134E5">
            <w:pPr>
              <w:rPr>
                <w:rFonts w:ascii="Times New Roman" w:hAnsi="Times New Roman" w:cs="Times New Roman"/>
                <w:color w:val="000000"/>
                <w:sz w:val="22"/>
                <w:szCs w:val="22"/>
              </w:rPr>
            </w:pPr>
            <w:r w:rsidRPr="001B19DB">
              <w:rPr>
                <w:rFonts w:ascii="Times New Roman" w:hAnsi="Times New Roman" w:cs="Times New Roman"/>
                <w:sz w:val="22"/>
                <w:szCs w:val="22"/>
              </w:rPr>
              <w:t xml:space="preserve">RQ2: </w:t>
            </w:r>
            <w:r w:rsidRPr="001B19DB">
              <w:rPr>
                <w:rFonts w:ascii="Times New Roman" w:hAnsi="Times New Roman" w:cs="Times New Roman"/>
                <w:color w:val="000000"/>
                <w:sz w:val="22"/>
                <w:szCs w:val="22"/>
              </w:rPr>
              <w:t xml:space="preserve">How have Head Start </w:t>
            </w:r>
            <w:r w:rsidR="00676B85" w:rsidRPr="001B19DB">
              <w:rPr>
                <w:rFonts w:ascii="Times New Roman" w:hAnsi="Times New Roman" w:cs="Times New Roman"/>
                <w:color w:val="000000"/>
                <w:sz w:val="22"/>
                <w:szCs w:val="22"/>
              </w:rPr>
              <w:t>grantee</w:t>
            </w:r>
            <w:r w:rsidRPr="001B19DB">
              <w:rPr>
                <w:rFonts w:ascii="Times New Roman" w:hAnsi="Times New Roman" w:cs="Times New Roman"/>
                <w:color w:val="000000"/>
                <w:sz w:val="22"/>
                <w:szCs w:val="22"/>
              </w:rPr>
              <w:t>s understood and responded to the provisions of the DRS in terms of their efforts to improve program operations and quality?</w:t>
            </w:r>
          </w:p>
          <w:p w:rsidR="0081042C" w:rsidRPr="001B19DB" w:rsidRDefault="0081042C" w:rsidP="00D134E5">
            <w:pPr>
              <w:rPr>
                <w:rFonts w:ascii="Times New Roman" w:hAnsi="Times New Roman" w:cs="Times New Roman"/>
                <w:sz w:val="22"/>
                <w:szCs w:val="22"/>
              </w:rPr>
            </w:pPr>
          </w:p>
        </w:tc>
      </w:tr>
      <w:tr w:rsidR="0081042C" w:rsidRPr="00584294">
        <w:tc>
          <w:tcPr>
            <w:tcW w:w="1728"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Frame B</w:t>
            </w:r>
          </w:p>
        </w:tc>
        <w:tc>
          <w:tcPr>
            <w:tcW w:w="1800" w:type="dxa"/>
          </w:tcPr>
          <w:p w:rsidR="0081042C" w:rsidRPr="001B19DB" w:rsidRDefault="007425D7" w:rsidP="00D134E5">
            <w:pPr>
              <w:rPr>
                <w:rFonts w:ascii="Times New Roman" w:hAnsi="Times New Roman" w:cs="Times New Roman"/>
                <w:sz w:val="22"/>
                <w:szCs w:val="22"/>
              </w:rPr>
            </w:pPr>
            <w:r w:rsidRPr="001B19DB">
              <w:rPr>
                <w:rFonts w:ascii="Times New Roman" w:hAnsi="Times New Roman" w:cs="Times New Roman"/>
                <w:sz w:val="22"/>
                <w:szCs w:val="22"/>
              </w:rPr>
              <w:t>Grantees subject to monitorin</w:t>
            </w:r>
            <w:r w:rsidR="00F5214A" w:rsidRPr="001B19DB">
              <w:rPr>
                <w:rFonts w:ascii="Times New Roman" w:hAnsi="Times New Roman" w:cs="Times New Roman"/>
                <w:sz w:val="22"/>
                <w:szCs w:val="22"/>
              </w:rPr>
              <w:t>g in</w:t>
            </w:r>
            <w:r w:rsidRPr="001B19DB">
              <w:rPr>
                <w:rFonts w:ascii="Times New Roman" w:hAnsi="Times New Roman" w:cs="Times New Roman"/>
                <w:sz w:val="22"/>
                <w:szCs w:val="22"/>
              </w:rPr>
              <w:t xml:space="preserve"> 2013-2014</w:t>
            </w:r>
          </w:p>
        </w:tc>
        <w:tc>
          <w:tcPr>
            <w:tcW w:w="189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Stage 1: Pre-Designation Status</w:t>
            </w:r>
          </w:p>
        </w:tc>
        <w:tc>
          <w:tcPr>
            <w:tcW w:w="2036"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70 grantees</w:t>
            </w:r>
          </w:p>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w:t>
            </w:r>
            <w:r w:rsidR="00DE32EB" w:rsidRPr="001B19DB">
              <w:rPr>
                <w:rFonts w:ascii="Times New Roman" w:hAnsi="Times New Roman" w:cs="Times New Roman"/>
                <w:sz w:val="22"/>
                <w:szCs w:val="22"/>
              </w:rPr>
              <w:t xml:space="preserve">subsample of </w:t>
            </w:r>
            <w:r w:rsidRPr="001B19DB">
              <w:rPr>
                <w:rFonts w:ascii="Times New Roman" w:hAnsi="Times New Roman" w:cs="Times New Roman"/>
                <w:sz w:val="22"/>
                <w:szCs w:val="22"/>
              </w:rPr>
              <w:t>those in Sample A)</w:t>
            </w:r>
          </w:p>
        </w:tc>
        <w:tc>
          <w:tcPr>
            <w:tcW w:w="171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35 grantees</w:t>
            </w:r>
          </w:p>
        </w:tc>
      </w:tr>
      <w:tr w:rsidR="0081042C" w:rsidRPr="00584294">
        <w:tc>
          <w:tcPr>
            <w:tcW w:w="1728"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lastRenderedPageBreak/>
              <w:t>Frame C</w:t>
            </w:r>
          </w:p>
        </w:tc>
        <w:tc>
          <w:tcPr>
            <w:tcW w:w="1800" w:type="dxa"/>
          </w:tcPr>
          <w:p w:rsidR="0081042C" w:rsidRPr="001B19DB" w:rsidRDefault="007425D7" w:rsidP="00D134E5">
            <w:pPr>
              <w:rPr>
                <w:rFonts w:ascii="Times New Roman" w:hAnsi="Times New Roman" w:cs="Times New Roman"/>
                <w:sz w:val="22"/>
                <w:szCs w:val="22"/>
              </w:rPr>
            </w:pPr>
            <w:r w:rsidRPr="001B19DB">
              <w:rPr>
                <w:rFonts w:ascii="Times New Roman" w:hAnsi="Times New Roman" w:cs="Times New Roman"/>
                <w:sz w:val="22"/>
                <w:szCs w:val="22"/>
              </w:rPr>
              <w:t>Grant</w:t>
            </w:r>
            <w:r w:rsidR="00F5214A" w:rsidRPr="001B19DB">
              <w:rPr>
                <w:rFonts w:ascii="Times New Roman" w:hAnsi="Times New Roman" w:cs="Times New Roman"/>
                <w:sz w:val="22"/>
                <w:szCs w:val="22"/>
              </w:rPr>
              <w:t xml:space="preserve">ees subject to monitoring in </w:t>
            </w:r>
            <w:r w:rsidRPr="001B19DB">
              <w:rPr>
                <w:rFonts w:ascii="Times New Roman" w:hAnsi="Times New Roman" w:cs="Times New Roman"/>
                <w:sz w:val="22"/>
                <w:szCs w:val="22"/>
              </w:rPr>
              <w:t>2013-2014</w:t>
            </w:r>
          </w:p>
        </w:tc>
        <w:tc>
          <w:tcPr>
            <w:tcW w:w="189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Stage 1: Pre-Designation Status</w:t>
            </w:r>
          </w:p>
        </w:tc>
        <w:tc>
          <w:tcPr>
            <w:tcW w:w="2036"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35 grantees</w:t>
            </w:r>
          </w:p>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w:t>
            </w:r>
            <w:r w:rsidR="00DE32EB" w:rsidRPr="001B19DB">
              <w:rPr>
                <w:rFonts w:ascii="Times New Roman" w:hAnsi="Times New Roman" w:cs="Times New Roman"/>
                <w:sz w:val="22"/>
                <w:szCs w:val="22"/>
              </w:rPr>
              <w:t xml:space="preserve">subsample of </w:t>
            </w:r>
            <w:r w:rsidRPr="001B19DB">
              <w:rPr>
                <w:rFonts w:ascii="Times New Roman" w:hAnsi="Times New Roman" w:cs="Times New Roman"/>
                <w:sz w:val="22"/>
                <w:szCs w:val="22"/>
              </w:rPr>
              <w:t>those in Sample B)</w:t>
            </w:r>
          </w:p>
        </w:tc>
        <w:tc>
          <w:tcPr>
            <w:tcW w:w="171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15 grantees</w:t>
            </w:r>
          </w:p>
        </w:tc>
      </w:tr>
      <w:tr w:rsidR="0081042C" w:rsidRPr="00584294">
        <w:tc>
          <w:tcPr>
            <w:tcW w:w="9164" w:type="dxa"/>
            <w:gridSpan w:val="5"/>
            <w:shd w:val="clear" w:color="auto" w:fill="BFBFBF" w:themeFill="background1" w:themeFillShade="BF"/>
          </w:tcPr>
          <w:p w:rsidR="00020A05" w:rsidRPr="001B19DB" w:rsidRDefault="00020A05" w:rsidP="00D134E5">
            <w:pPr>
              <w:rPr>
                <w:rFonts w:ascii="Times New Roman" w:hAnsi="Times New Roman" w:cs="Times New Roman"/>
                <w:sz w:val="22"/>
                <w:szCs w:val="22"/>
              </w:rPr>
            </w:pPr>
          </w:p>
          <w:p w:rsidR="0081042C" w:rsidRPr="001B19DB" w:rsidRDefault="0081042C" w:rsidP="00D134E5">
            <w:pPr>
              <w:rPr>
                <w:rFonts w:ascii="Times New Roman" w:hAnsi="Times New Roman" w:cs="Times New Roman"/>
                <w:color w:val="000000"/>
                <w:sz w:val="22"/>
                <w:szCs w:val="22"/>
              </w:rPr>
            </w:pPr>
            <w:r w:rsidRPr="001B19DB">
              <w:rPr>
                <w:rFonts w:ascii="Times New Roman" w:hAnsi="Times New Roman" w:cs="Times New Roman"/>
                <w:sz w:val="22"/>
                <w:szCs w:val="22"/>
              </w:rPr>
              <w:t xml:space="preserve">RQ3: </w:t>
            </w:r>
            <w:r w:rsidRPr="001B19DB">
              <w:rPr>
                <w:rFonts w:ascii="Times New Roman" w:hAnsi="Times New Roman" w:cs="Times New Roman"/>
                <w:color w:val="000000"/>
                <w:sz w:val="22"/>
                <w:szCs w:val="22"/>
              </w:rPr>
              <w:t>What does competition look like and how do programs respond in communities where Head Start grantees are designated for competition? </w:t>
            </w:r>
          </w:p>
          <w:p w:rsidR="0081042C" w:rsidRPr="001B19DB" w:rsidRDefault="0081042C" w:rsidP="00D134E5">
            <w:pPr>
              <w:rPr>
                <w:rFonts w:ascii="Times New Roman" w:hAnsi="Times New Roman" w:cs="Times New Roman"/>
                <w:sz w:val="22"/>
                <w:szCs w:val="22"/>
              </w:rPr>
            </w:pPr>
          </w:p>
        </w:tc>
      </w:tr>
      <w:tr w:rsidR="0081042C" w:rsidRPr="00584294">
        <w:tc>
          <w:tcPr>
            <w:tcW w:w="1728"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Frame D</w:t>
            </w:r>
          </w:p>
        </w:tc>
        <w:tc>
          <w:tcPr>
            <w:tcW w:w="1800" w:type="dxa"/>
          </w:tcPr>
          <w:p w:rsidR="0081042C" w:rsidRPr="001B19DB" w:rsidRDefault="007425D7" w:rsidP="00D134E5">
            <w:pPr>
              <w:rPr>
                <w:rFonts w:ascii="Times New Roman" w:hAnsi="Times New Roman" w:cs="Times New Roman"/>
                <w:sz w:val="22"/>
                <w:szCs w:val="22"/>
              </w:rPr>
            </w:pPr>
            <w:r w:rsidRPr="001B19DB">
              <w:rPr>
                <w:rFonts w:ascii="Times New Roman" w:hAnsi="Times New Roman" w:cs="Times New Roman"/>
                <w:sz w:val="22"/>
                <w:szCs w:val="22"/>
              </w:rPr>
              <w:t xml:space="preserve">DRS </w:t>
            </w:r>
            <w:r w:rsidR="0081042C" w:rsidRPr="001B19DB">
              <w:rPr>
                <w:rFonts w:ascii="Times New Roman" w:hAnsi="Times New Roman" w:cs="Times New Roman"/>
                <w:sz w:val="22"/>
                <w:szCs w:val="22"/>
              </w:rPr>
              <w:t>Cohort 3</w:t>
            </w:r>
          </w:p>
        </w:tc>
        <w:tc>
          <w:tcPr>
            <w:tcW w:w="189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Stage 3: Competition</w:t>
            </w:r>
          </w:p>
        </w:tc>
        <w:tc>
          <w:tcPr>
            <w:tcW w:w="2036" w:type="dxa"/>
          </w:tcPr>
          <w:p w:rsidR="0081042C" w:rsidRPr="001B19DB" w:rsidRDefault="00B0633E" w:rsidP="00D134E5">
            <w:pPr>
              <w:rPr>
                <w:rFonts w:ascii="Times New Roman" w:hAnsi="Times New Roman" w:cs="Times New Roman"/>
                <w:sz w:val="22"/>
                <w:szCs w:val="22"/>
              </w:rPr>
            </w:pPr>
            <w:r w:rsidRPr="001B19DB">
              <w:rPr>
                <w:rFonts w:ascii="Times New Roman" w:hAnsi="Times New Roman" w:cs="Times New Roman"/>
                <w:sz w:val="22"/>
                <w:szCs w:val="22"/>
              </w:rPr>
              <w:t xml:space="preserve">Estimated </w:t>
            </w:r>
            <w:r w:rsidR="0081042C" w:rsidRPr="001B19DB">
              <w:rPr>
                <w:rFonts w:ascii="Times New Roman" w:hAnsi="Times New Roman" w:cs="Times New Roman"/>
                <w:sz w:val="22"/>
                <w:szCs w:val="22"/>
              </w:rPr>
              <w:t>500 applicant organizations for designated grants</w:t>
            </w:r>
          </w:p>
        </w:tc>
        <w:tc>
          <w:tcPr>
            <w:tcW w:w="171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Entire frame</w:t>
            </w:r>
          </w:p>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(500)</w:t>
            </w:r>
          </w:p>
        </w:tc>
      </w:tr>
      <w:tr w:rsidR="0081042C" w:rsidRPr="00584294">
        <w:tc>
          <w:tcPr>
            <w:tcW w:w="1728"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Frame E</w:t>
            </w:r>
          </w:p>
        </w:tc>
        <w:tc>
          <w:tcPr>
            <w:tcW w:w="1800" w:type="dxa"/>
          </w:tcPr>
          <w:p w:rsidR="0081042C" w:rsidRPr="001B19DB" w:rsidRDefault="007425D7" w:rsidP="00D134E5">
            <w:pPr>
              <w:rPr>
                <w:rFonts w:ascii="Times New Roman" w:hAnsi="Times New Roman" w:cs="Times New Roman"/>
                <w:sz w:val="22"/>
                <w:szCs w:val="22"/>
              </w:rPr>
            </w:pPr>
            <w:r w:rsidRPr="001B19DB">
              <w:rPr>
                <w:rFonts w:ascii="Times New Roman" w:hAnsi="Times New Roman" w:cs="Times New Roman"/>
                <w:sz w:val="22"/>
                <w:szCs w:val="22"/>
              </w:rPr>
              <w:t xml:space="preserve">DRS </w:t>
            </w:r>
            <w:r w:rsidR="0081042C" w:rsidRPr="001B19DB">
              <w:rPr>
                <w:rFonts w:ascii="Times New Roman" w:hAnsi="Times New Roman" w:cs="Times New Roman"/>
                <w:sz w:val="22"/>
                <w:szCs w:val="22"/>
              </w:rPr>
              <w:t>Cohort 3</w:t>
            </w:r>
          </w:p>
        </w:tc>
        <w:tc>
          <w:tcPr>
            <w:tcW w:w="189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Stage 4: Award Notification (prior to new service delivery)</w:t>
            </w:r>
          </w:p>
        </w:tc>
        <w:tc>
          <w:tcPr>
            <w:tcW w:w="2036"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Applicants awarded grants</w:t>
            </w:r>
          </w:p>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(subset of Sample D)</w:t>
            </w:r>
          </w:p>
        </w:tc>
        <w:tc>
          <w:tcPr>
            <w:tcW w:w="1710" w:type="dxa"/>
          </w:tcPr>
          <w:p w:rsidR="0081042C" w:rsidRPr="001B19DB" w:rsidRDefault="0081042C" w:rsidP="00D134E5">
            <w:pPr>
              <w:rPr>
                <w:rFonts w:ascii="Times New Roman" w:hAnsi="Times New Roman" w:cs="Times New Roman"/>
                <w:sz w:val="22"/>
                <w:szCs w:val="22"/>
              </w:rPr>
            </w:pPr>
            <w:r w:rsidRPr="001B19DB">
              <w:rPr>
                <w:rFonts w:ascii="Times New Roman" w:hAnsi="Times New Roman" w:cs="Times New Roman"/>
                <w:sz w:val="22"/>
                <w:szCs w:val="22"/>
              </w:rPr>
              <w:t>9 awardee organizations</w:t>
            </w:r>
          </w:p>
        </w:tc>
      </w:tr>
    </w:tbl>
    <w:p w:rsidR="001B19DB" w:rsidRDefault="001B19DB" w:rsidP="001B19DB">
      <w:pPr>
        <w:pStyle w:val="Heading2"/>
        <w:spacing w:before="0"/>
        <w:rPr>
          <w:rFonts w:ascii="Times New Roman" w:hAnsi="Times New Roman" w:cs="Times New Roman"/>
          <w:color w:val="auto"/>
          <w:sz w:val="24"/>
          <w:szCs w:val="24"/>
        </w:rPr>
      </w:pPr>
      <w:bookmarkStart w:id="3" w:name="_Toc354492033"/>
    </w:p>
    <w:p w:rsidR="002958AC" w:rsidRPr="001B19DB" w:rsidRDefault="002958AC" w:rsidP="001B19DB">
      <w:pPr>
        <w:pStyle w:val="Heading2"/>
        <w:spacing w:before="0"/>
        <w:rPr>
          <w:rFonts w:ascii="Times New Roman" w:hAnsi="Times New Roman" w:cs="Times New Roman"/>
          <w:color w:val="auto"/>
          <w:sz w:val="24"/>
          <w:szCs w:val="24"/>
        </w:rPr>
      </w:pPr>
      <w:r w:rsidRPr="001B19DB">
        <w:rPr>
          <w:rFonts w:ascii="Times New Roman" w:hAnsi="Times New Roman" w:cs="Times New Roman"/>
          <w:color w:val="auto"/>
          <w:sz w:val="24"/>
          <w:szCs w:val="24"/>
        </w:rPr>
        <w:t>B1.2. Sample Selection</w:t>
      </w:r>
      <w:bookmarkEnd w:id="3"/>
    </w:p>
    <w:p w:rsidR="00020A05" w:rsidRDefault="00020A05" w:rsidP="001B19DB">
      <w:pPr>
        <w:ind w:right="-450"/>
        <w:rPr>
          <w:b/>
        </w:rPr>
      </w:pPr>
    </w:p>
    <w:p w:rsidR="00B73D47" w:rsidRPr="003F6AEB" w:rsidRDefault="00BE5BEF" w:rsidP="001B19DB">
      <w:pPr>
        <w:ind w:right="-450"/>
        <w:rPr>
          <w:b/>
        </w:rPr>
      </w:pPr>
      <w:r>
        <w:rPr>
          <w:b/>
        </w:rPr>
        <w:t xml:space="preserve">1.2a </w:t>
      </w:r>
      <w:r w:rsidR="007D6C5F">
        <w:rPr>
          <w:b/>
        </w:rPr>
        <w:t xml:space="preserve">RQ1: </w:t>
      </w:r>
      <w:r w:rsidR="007D6C5F" w:rsidRPr="007D6C5F">
        <w:rPr>
          <w:b/>
          <w:color w:val="000000"/>
        </w:rPr>
        <w:t xml:space="preserve">How effective is the DRS in identifying higher and lower quality Head Start </w:t>
      </w:r>
      <w:r w:rsidR="00676B85">
        <w:rPr>
          <w:b/>
          <w:color w:val="000000"/>
        </w:rPr>
        <w:t>grantee</w:t>
      </w:r>
      <w:r w:rsidR="007D6C5F" w:rsidRPr="007D6C5F">
        <w:rPr>
          <w:b/>
          <w:color w:val="000000"/>
        </w:rPr>
        <w:t>s?</w:t>
      </w:r>
    </w:p>
    <w:p w:rsidR="00020A05" w:rsidRDefault="00020A05" w:rsidP="00B73D47">
      <w:pPr>
        <w:ind w:right="-450"/>
      </w:pPr>
    </w:p>
    <w:p w:rsidR="00B73D47" w:rsidRPr="009A6213" w:rsidRDefault="00B73D47" w:rsidP="00B73D47">
      <w:pPr>
        <w:ind w:right="-450"/>
      </w:pPr>
      <w:r w:rsidRPr="003F6AEB">
        <w:t xml:space="preserve">As stated in Part A, this evaluation will use independent measures of quality, primarily on-site observational assessment tools </w:t>
      </w:r>
      <w:r>
        <w:t>administered at the</w:t>
      </w:r>
      <w:r w:rsidRPr="003F6AEB">
        <w:t xml:space="preserve"> classroom</w:t>
      </w:r>
      <w:r>
        <w:t>, center, and grantee level</w:t>
      </w:r>
      <w:r w:rsidRPr="003F6AEB">
        <w:t>s</w:t>
      </w:r>
      <w:r w:rsidR="007425D7">
        <w:t>,</w:t>
      </w:r>
      <w:r w:rsidRPr="003F6AEB">
        <w:t xml:space="preserve"> to assess the validity of the </w:t>
      </w:r>
      <w:r w:rsidR="007E7106">
        <w:t>DRS</w:t>
      </w:r>
      <w:r w:rsidRPr="003F6AEB">
        <w:t xml:space="preserve"> in identifying higher</w:t>
      </w:r>
      <w:r>
        <w:t>-</w:t>
      </w:r>
      <w:r w:rsidRPr="003F6AEB">
        <w:t xml:space="preserve"> and lower</w:t>
      </w:r>
      <w:r>
        <w:t>-</w:t>
      </w:r>
      <w:r w:rsidRPr="003F6AEB">
        <w:t xml:space="preserve">performing grantees. The validity assessment part of the evaluation will focus on the </w:t>
      </w:r>
      <w:r>
        <w:t>434</w:t>
      </w:r>
      <w:r w:rsidRPr="003F6AEB">
        <w:t xml:space="preserve"> grantees </w:t>
      </w:r>
      <w:r>
        <w:t xml:space="preserve">that will receive a monitoring </w:t>
      </w:r>
      <w:r w:rsidR="007425D7">
        <w:t xml:space="preserve">review </w:t>
      </w:r>
      <w:r>
        <w:t xml:space="preserve">in FY 2014 </w:t>
      </w:r>
      <w:r w:rsidR="008371B6">
        <w:t>(Sampling Frame A)</w:t>
      </w:r>
      <w:r w:rsidRPr="003F6AEB">
        <w:t xml:space="preserve">.  </w:t>
      </w:r>
      <w:r>
        <w:t xml:space="preserve">This group was identified as the sampling population because it means that independent measures of quality can be collected around the same time that </w:t>
      </w:r>
      <w:r w:rsidR="00E612A7">
        <w:t>the Office of Head Start (</w:t>
      </w:r>
      <w:r>
        <w:t>OHS</w:t>
      </w:r>
      <w:r w:rsidR="00E612A7">
        <w:t>)</w:t>
      </w:r>
      <w:r>
        <w:t xml:space="preserve"> is evaluating grantee status on the DRS conditions.  Because quality can change over time, this proximity between OHS assessment and assessment conducted for the purpose of the study is important for reliably exploring the relationship between grantee status on the DRS conditions and independent measures of quality. </w:t>
      </w:r>
    </w:p>
    <w:p w:rsidR="00B73D47" w:rsidRDefault="00B73D47" w:rsidP="00B73D47">
      <w:pPr>
        <w:ind w:right="-450"/>
        <w:rPr>
          <w:rFonts w:eastAsia="AppleGothic"/>
          <w:bCs/>
          <w:spacing w:val="1"/>
        </w:rPr>
      </w:pPr>
    </w:p>
    <w:p w:rsidR="00B73D47" w:rsidRPr="003F6AEB" w:rsidRDefault="00B73D47" w:rsidP="00B73D47">
      <w:pPr>
        <w:ind w:right="-450"/>
        <w:rPr>
          <w:rFonts w:eastAsia="AppleGothic"/>
          <w:bCs/>
          <w:spacing w:val="1"/>
        </w:rPr>
      </w:pPr>
      <w:r>
        <w:rPr>
          <w:rFonts w:eastAsia="AppleGothic"/>
          <w:bCs/>
          <w:spacing w:val="1"/>
        </w:rPr>
        <w:t xml:space="preserve">Collecting data near the time of the monitoring visit means that the designation status of the grantee will not be known at the time of data collection.  </w:t>
      </w:r>
      <w:r w:rsidRPr="003F6AEB">
        <w:rPr>
          <w:rFonts w:eastAsia="AppleGothic"/>
          <w:bCs/>
          <w:spacing w:val="1"/>
        </w:rPr>
        <w:t xml:space="preserve">The sample must ultimately include </w:t>
      </w:r>
      <w:r>
        <w:rPr>
          <w:rFonts w:eastAsia="AppleGothic"/>
          <w:bCs/>
          <w:spacing w:val="1"/>
        </w:rPr>
        <w:t xml:space="preserve">a sufficient number of </w:t>
      </w:r>
      <w:r w:rsidRPr="003F6AEB">
        <w:rPr>
          <w:rFonts w:eastAsia="AppleGothic"/>
          <w:bCs/>
          <w:spacing w:val="1"/>
        </w:rPr>
        <w:t xml:space="preserve">grantees that have and have not been designated for competition so that the DRS identification into </w:t>
      </w:r>
      <w:r>
        <w:rPr>
          <w:rFonts w:eastAsia="AppleGothic"/>
          <w:bCs/>
          <w:spacing w:val="1"/>
        </w:rPr>
        <w:t xml:space="preserve">higher- </w:t>
      </w:r>
      <w:r w:rsidRPr="003F6AEB">
        <w:rPr>
          <w:rFonts w:eastAsia="AppleGothic"/>
          <w:bCs/>
          <w:spacing w:val="1"/>
        </w:rPr>
        <w:t xml:space="preserve">and </w:t>
      </w:r>
      <w:r>
        <w:rPr>
          <w:rFonts w:eastAsia="AppleGothic"/>
          <w:bCs/>
          <w:spacing w:val="1"/>
        </w:rPr>
        <w:t>lower-</w:t>
      </w:r>
      <w:r w:rsidRPr="003F6AEB">
        <w:rPr>
          <w:rFonts w:eastAsia="AppleGothic"/>
          <w:bCs/>
          <w:spacing w:val="1"/>
        </w:rPr>
        <w:t xml:space="preserve">performing </w:t>
      </w:r>
      <w:r w:rsidR="00676B85">
        <w:rPr>
          <w:rFonts w:eastAsia="AppleGothic"/>
          <w:bCs/>
          <w:spacing w:val="1"/>
        </w:rPr>
        <w:t>grantee</w:t>
      </w:r>
      <w:r w:rsidRPr="003F6AEB">
        <w:rPr>
          <w:rFonts w:eastAsia="AppleGothic"/>
          <w:bCs/>
          <w:spacing w:val="1"/>
        </w:rPr>
        <w:t>s can be compared to the evaluation assessments on independent measures of quality. The</w:t>
      </w:r>
      <w:r>
        <w:rPr>
          <w:rFonts w:eastAsia="AppleGothic"/>
          <w:bCs/>
          <w:spacing w:val="1"/>
        </w:rPr>
        <w:t xml:space="preserve"> sample design thus includes procedures </w:t>
      </w:r>
      <w:r w:rsidRPr="003F6AEB">
        <w:rPr>
          <w:rFonts w:eastAsia="AppleGothic"/>
          <w:bCs/>
          <w:spacing w:val="1"/>
        </w:rPr>
        <w:t xml:space="preserve">for identifying which Head Start grantees are </w:t>
      </w:r>
      <w:r w:rsidRPr="003F6AEB">
        <w:rPr>
          <w:rFonts w:eastAsia="AppleGothic"/>
          <w:bCs/>
          <w:i/>
          <w:spacing w:val="1"/>
        </w:rPr>
        <w:t>likely</w:t>
      </w:r>
      <w:r w:rsidRPr="003F6AEB">
        <w:rPr>
          <w:rFonts w:eastAsia="AppleGothic"/>
          <w:bCs/>
          <w:spacing w:val="1"/>
        </w:rPr>
        <w:t xml:space="preserve"> to be designated for competition when drawing the sample for the validity assessment </w:t>
      </w:r>
      <w:r w:rsidR="007D6C5F">
        <w:rPr>
          <w:rFonts w:eastAsia="AppleGothic"/>
          <w:bCs/>
          <w:spacing w:val="1"/>
        </w:rPr>
        <w:t>portion</w:t>
      </w:r>
      <w:r w:rsidRPr="003F6AEB">
        <w:rPr>
          <w:rFonts w:eastAsia="AppleGothic"/>
          <w:bCs/>
          <w:spacing w:val="1"/>
        </w:rPr>
        <w:t xml:space="preserve"> of the evaluation.  </w:t>
      </w:r>
    </w:p>
    <w:p w:rsidR="001B19DB" w:rsidRPr="003F6AEB" w:rsidRDefault="001B19DB" w:rsidP="00B73D47">
      <w:pPr>
        <w:ind w:right="-450"/>
        <w:rPr>
          <w:rFonts w:eastAsia="AppleGothic"/>
          <w:bCs/>
          <w:spacing w:val="1"/>
        </w:rPr>
      </w:pPr>
    </w:p>
    <w:p w:rsidR="00B73D47" w:rsidRDefault="00B73D47" w:rsidP="00B73D47">
      <w:pPr>
        <w:rPr>
          <w:i/>
        </w:rPr>
      </w:pPr>
      <w:r w:rsidRPr="003F6AEB">
        <w:rPr>
          <w:i/>
        </w:rPr>
        <w:t xml:space="preserve">Selecting Grantees </w:t>
      </w:r>
      <w:r w:rsidR="007D6C5F">
        <w:rPr>
          <w:i/>
        </w:rPr>
        <w:t>for RQ1</w:t>
      </w:r>
    </w:p>
    <w:p w:rsidR="00B73D47" w:rsidRDefault="00B73D47" w:rsidP="00B73D47">
      <w:pPr>
        <w:rPr>
          <w:i/>
        </w:rPr>
      </w:pPr>
    </w:p>
    <w:p w:rsidR="00B73D47" w:rsidRDefault="00B73D47" w:rsidP="00B73D47">
      <w:r>
        <w:t xml:space="preserve">Estimates below related to size of the universe and sampling frames are based on data reported by grantees in the </w:t>
      </w:r>
      <w:r w:rsidR="00933268">
        <w:t>Program Information Report (</w:t>
      </w:r>
      <w:r>
        <w:t>PIR</w:t>
      </w:r>
      <w:r w:rsidR="00933268">
        <w:t>)</w:t>
      </w:r>
      <w:r>
        <w:t xml:space="preserve"> for FY 2012 </w:t>
      </w:r>
      <w:r w:rsidRPr="009A6213">
        <w:t>and i</w:t>
      </w:r>
      <w:r>
        <w:t xml:space="preserve">nformation provided by </w:t>
      </w:r>
      <w:r w:rsidR="00E612A7">
        <w:lastRenderedPageBreak/>
        <w:t>OHS</w:t>
      </w:r>
      <w:r>
        <w:t xml:space="preserve">.  The estimates are based on the most current data sources available at the time of the development of this package. Actual sampling frames will be constructed using a combination of PIR data for FY 2013, data and information provided by </w:t>
      </w:r>
      <w:r w:rsidR="00E612A7">
        <w:t>OHS</w:t>
      </w:r>
      <w:r>
        <w:t xml:space="preserve"> regarding changes to the grantee population for the 2013-2014 school year, and information provided by OHS on grantees subject to a monitoring review.  </w:t>
      </w:r>
    </w:p>
    <w:p w:rsidR="00B73D47" w:rsidRPr="009A6213" w:rsidRDefault="00B73D47" w:rsidP="00B73D47"/>
    <w:p w:rsidR="00064446" w:rsidRDefault="00B73D47" w:rsidP="00B73D47">
      <w:pPr>
        <w:ind w:left="1080" w:hanging="1080"/>
      </w:pPr>
      <w:r w:rsidRPr="003F6AEB">
        <w:rPr>
          <w:b/>
        </w:rPr>
        <w:t>Universe:</w:t>
      </w:r>
      <w:r w:rsidRPr="003F6AEB">
        <w:t xml:space="preserve"> </w:t>
      </w:r>
      <w:r>
        <w:tab/>
      </w:r>
    </w:p>
    <w:p w:rsidR="00020A05" w:rsidRDefault="00020A05" w:rsidP="00064446"/>
    <w:p w:rsidR="00B73D47" w:rsidRPr="003F6AEB" w:rsidRDefault="00B73D47" w:rsidP="00B73D47">
      <w:r>
        <w:t>As described previously, the universe for this study is Head Start grantees that offer a center-based program option</w:t>
      </w:r>
      <w:r w:rsidR="00BF35C0">
        <w:t xml:space="preserve"> to serve preschool-aged children</w:t>
      </w:r>
      <w:r w:rsidR="003D1417">
        <w:t xml:space="preserve">, but excludes </w:t>
      </w:r>
      <w:r w:rsidR="00BF35C0">
        <w:t>Migrant and Seasonal Head Start (MSHS)</w:t>
      </w:r>
      <w:r w:rsidR="003D1417">
        <w:t>, A</w:t>
      </w:r>
      <w:r w:rsidR="00BF35C0">
        <w:t xml:space="preserve">merican </w:t>
      </w:r>
      <w:r w:rsidR="003D1417">
        <w:t>I</w:t>
      </w:r>
      <w:r w:rsidR="00BF35C0">
        <w:t>ndian/</w:t>
      </w:r>
      <w:r w:rsidR="003D1417">
        <w:t>A</w:t>
      </w:r>
      <w:r w:rsidR="00BF35C0">
        <w:t xml:space="preserve">laskan </w:t>
      </w:r>
      <w:r w:rsidR="003D1417">
        <w:t>N</w:t>
      </w:r>
      <w:r w:rsidR="00BF35C0">
        <w:t>ative Head Start (AIAN)</w:t>
      </w:r>
      <w:r w:rsidR="003D1417">
        <w:t xml:space="preserve">, </w:t>
      </w:r>
      <w:r w:rsidR="00BF35C0">
        <w:t xml:space="preserve">stand-along Early Head Start (EHS) </w:t>
      </w:r>
      <w:r w:rsidR="003D1417">
        <w:t xml:space="preserve">and interim </w:t>
      </w:r>
      <w:r w:rsidR="00676B85">
        <w:t>grantee</w:t>
      </w:r>
      <w:r w:rsidR="003D1417">
        <w:t xml:space="preserve">s </w:t>
      </w:r>
      <w:r w:rsidR="00D97629">
        <w:t>as described in Part A.</w:t>
      </w:r>
      <w:r>
        <w:t xml:space="preserve"> For FY 2012, t</w:t>
      </w:r>
      <w:r w:rsidRPr="003F6AEB">
        <w:t xml:space="preserve">he </w:t>
      </w:r>
      <w:r>
        <w:t>total</w:t>
      </w:r>
      <w:r w:rsidRPr="003F6AEB">
        <w:t xml:space="preserve"> number of Head Start </w:t>
      </w:r>
      <w:r>
        <w:t xml:space="preserve">and </w:t>
      </w:r>
      <w:r w:rsidR="00BF35C0">
        <w:t>EHS</w:t>
      </w:r>
      <w:r>
        <w:t xml:space="preserve"> </w:t>
      </w:r>
      <w:r w:rsidRPr="003F6AEB">
        <w:t xml:space="preserve">grantees is </w:t>
      </w:r>
      <w:r>
        <w:t>1,596</w:t>
      </w:r>
      <w:r w:rsidRPr="003F6AEB">
        <w:t xml:space="preserve">.  Excluding </w:t>
      </w:r>
      <w:r w:rsidR="00BF35C0">
        <w:t>stand-alone EHS</w:t>
      </w:r>
      <w:r w:rsidRPr="003F6AEB">
        <w:t xml:space="preserve">, Head Start </w:t>
      </w:r>
      <w:r w:rsidR="00676B85">
        <w:t>grantee</w:t>
      </w:r>
      <w:r w:rsidRPr="003F6AEB">
        <w:t xml:space="preserve">s without center-based options, </w:t>
      </w:r>
      <w:r w:rsidR="00BF35C0">
        <w:t>MSHS</w:t>
      </w:r>
      <w:r>
        <w:t>,</w:t>
      </w:r>
      <w:r w:rsidRPr="003F6AEB">
        <w:t xml:space="preserve"> AIAN</w:t>
      </w:r>
      <w:r>
        <w:t>, and interim</w:t>
      </w:r>
      <w:r w:rsidRPr="003F6AEB">
        <w:t xml:space="preserve"> grantees reduces the universe to approximately </w:t>
      </w:r>
      <w:r>
        <w:t>1,195</w:t>
      </w:r>
      <w:r w:rsidRPr="003F6AEB">
        <w:t xml:space="preserve">. </w:t>
      </w:r>
      <w:r w:rsidR="001B19DB">
        <w:t xml:space="preserve"> </w:t>
      </w:r>
      <w:r>
        <w:t xml:space="preserve">The analytic unit (and thus the </w:t>
      </w:r>
      <w:r w:rsidR="007D6C5F">
        <w:t xml:space="preserve">primary </w:t>
      </w:r>
      <w:r>
        <w:t xml:space="preserve">sampling unit) for this study is the Head Start grantee.  </w:t>
      </w:r>
    </w:p>
    <w:p w:rsidR="00B73D47" w:rsidRDefault="00B73D47" w:rsidP="00B73D47">
      <w:pPr>
        <w:rPr>
          <w:b/>
        </w:rPr>
      </w:pPr>
    </w:p>
    <w:p w:rsidR="00064446" w:rsidRDefault="00B73D47" w:rsidP="00B73D47">
      <w:pPr>
        <w:ind w:left="720" w:hanging="720"/>
      </w:pPr>
      <w:r w:rsidRPr="003F6AEB">
        <w:rPr>
          <w:b/>
        </w:rPr>
        <w:t xml:space="preserve">Sampling </w:t>
      </w:r>
      <w:r>
        <w:rPr>
          <w:b/>
        </w:rPr>
        <w:t>population</w:t>
      </w:r>
      <w:r w:rsidRPr="003F6AEB">
        <w:rPr>
          <w:b/>
        </w:rPr>
        <w:t xml:space="preserve">: </w:t>
      </w:r>
      <w:r w:rsidRPr="003F6AEB">
        <w:t xml:space="preserve"> </w:t>
      </w:r>
    </w:p>
    <w:p w:rsidR="00020A05" w:rsidRDefault="00020A05" w:rsidP="00064446"/>
    <w:p w:rsidR="00B73D47" w:rsidRDefault="00B73D47" w:rsidP="00064446">
      <w:r w:rsidRPr="003F6AEB">
        <w:t xml:space="preserve">Head Start grantees are divided into </w:t>
      </w:r>
      <w:r>
        <w:t>three</w:t>
      </w:r>
      <w:r w:rsidRPr="003F6AEB">
        <w:t xml:space="preserve"> </w:t>
      </w:r>
      <w:r>
        <w:t xml:space="preserve">monitoring </w:t>
      </w:r>
      <w:r w:rsidRPr="003F6AEB">
        <w:t xml:space="preserve">cohorts so that </w:t>
      </w:r>
      <w:r w:rsidR="00E612A7">
        <w:t>OHS</w:t>
      </w:r>
      <w:r w:rsidRPr="003F6AEB">
        <w:t xml:space="preserve"> can monitor grantees on a three year cycle.  </w:t>
      </w:r>
      <w:r>
        <w:t xml:space="preserve">This triennial monitoring, along with monitoring visits conducted for selected grantees outside of the triennial cycle, forms the basis for the DRS “monitoring deficiency” criterion.  The DRS “CLASS” criterion only applies to grantees that receive a triennial monitoring visit during the relevant time period.  Because the analytic objective is to compare grantees designated for competition to those not designated for competition, the most appropriate comparison group is grantees from the same monitoring cohort. </w:t>
      </w:r>
    </w:p>
    <w:p w:rsidR="00B73D47" w:rsidRDefault="00B73D47" w:rsidP="00B73D47">
      <w:pPr>
        <w:ind w:left="720" w:hanging="720"/>
      </w:pPr>
    </w:p>
    <w:p w:rsidR="007F29A9" w:rsidRDefault="00B73D47">
      <w:r>
        <w:t xml:space="preserve">Thus, the sampling population for </w:t>
      </w:r>
      <w:r w:rsidR="007D6C5F">
        <w:t>RQ</w:t>
      </w:r>
      <w:r>
        <w:t>1 will be restricted to the set of grantees that have a monitoring review during FY 2014 (n≈</w:t>
      </w:r>
      <w:r w:rsidRPr="00DB576C">
        <w:t>434)</w:t>
      </w:r>
      <w:r>
        <w:t>. We expect that findings from a single monitoring cohort will be generalizable to the population of grantees included in the universe defined above.  Assignment to a particular monitoring cohort is not expected to be associated with grantee characteristics or any of the outcomes of interest for this study.  However, the contractor will carefully compare demographic characteristics across cohorts (i.e., funded grantee enrollment, location, program options offered, and others) to identify whether any systematic differences exist and if they do, to explore the implication of those differences for the generalizability of the study findings.</w:t>
      </w:r>
    </w:p>
    <w:p w:rsidR="00E62C22" w:rsidRDefault="00E62C22">
      <w:pPr>
        <w:rPr>
          <w:b/>
        </w:rPr>
      </w:pPr>
    </w:p>
    <w:p w:rsidR="00D134E5" w:rsidRPr="00020A05" w:rsidRDefault="00B73D47" w:rsidP="00020A05">
      <w:pPr>
        <w:rPr>
          <w:b/>
        </w:rPr>
      </w:pPr>
      <w:r w:rsidRPr="00005B15">
        <w:rPr>
          <w:b/>
        </w:rPr>
        <w:t>Sampling frame construction and sampling approach:</w:t>
      </w:r>
      <w:r w:rsidRPr="00005B15">
        <w:t xml:space="preserve">  </w:t>
      </w:r>
    </w:p>
    <w:p w:rsidR="007F29A9" w:rsidRPr="00005B15" w:rsidRDefault="007F29A9" w:rsidP="00D134E5"/>
    <w:p w:rsidR="00020A05" w:rsidRDefault="00D134E5" w:rsidP="00D134E5">
      <w:pPr>
        <w:rPr>
          <w:u w:val="single"/>
        </w:rPr>
      </w:pPr>
      <w:r w:rsidRPr="00005B15">
        <w:rPr>
          <w:u w:val="single"/>
        </w:rPr>
        <w:t>Sampling Grantees</w:t>
      </w:r>
    </w:p>
    <w:p w:rsidR="00D134E5" w:rsidRPr="00005B15" w:rsidRDefault="00D134E5" w:rsidP="00D134E5">
      <w:pPr>
        <w:rPr>
          <w:u w:val="single"/>
        </w:rPr>
      </w:pPr>
    </w:p>
    <w:p w:rsidR="00D134E5" w:rsidRPr="00005B15" w:rsidRDefault="00B73D47" w:rsidP="00064446">
      <w:r w:rsidRPr="00005B15">
        <w:t>The study will utilize a disproportionate stratified random sampling approach to selecting grantees for the study.  The design calls for a representative sample of 35 grantees designated for competition and a comparison group of 35 grantees determined eligible for a five-year non-competitive grant award.  Because we anticipate that only 20-</w:t>
      </w:r>
      <w:r w:rsidR="00042484">
        <w:t>30</w:t>
      </w:r>
      <w:r w:rsidR="00042484" w:rsidRPr="00005B15">
        <w:t xml:space="preserve"> </w:t>
      </w:r>
      <w:r w:rsidR="007818D3" w:rsidRPr="00005B15">
        <w:t>percent</w:t>
      </w:r>
      <w:r w:rsidR="001609F2" w:rsidRPr="00005B15">
        <w:t xml:space="preserve"> </w:t>
      </w:r>
      <w:r w:rsidRPr="00005B15">
        <w:t xml:space="preserve">of grantees in the </w:t>
      </w:r>
      <w:r w:rsidRPr="00005B15">
        <w:lastRenderedPageBreak/>
        <w:t xml:space="preserve">sampling population will actually be designated for competition, the sampling approach involves selecting disproportionately from the two groups.  The </w:t>
      </w:r>
      <w:r w:rsidR="00872936" w:rsidRPr="00005B15">
        <w:t xml:space="preserve">primary </w:t>
      </w:r>
      <w:r w:rsidRPr="00005B15">
        <w:t>sampling frame will be constructed using information provided by OHS on grantees scheduled for a monitoring review in FY 2014, and information from the PIR (confirmed by OHS) on which of those grantees are part of the universe.</w:t>
      </w:r>
      <w:r w:rsidR="00872936" w:rsidRPr="00005B15">
        <w:t xml:space="preserve"> </w:t>
      </w:r>
    </w:p>
    <w:p w:rsidR="00D134E5" w:rsidRPr="00005B15" w:rsidRDefault="00D134E5" w:rsidP="00064446">
      <w:pPr>
        <w:rPr>
          <w:b/>
        </w:rPr>
      </w:pPr>
    </w:p>
    <w:p w:rsidR="00D134E5" w:rsidRPr="00005B15" w:rsidRDefault="00D134E5" w:rsidP="00064446">
      <w:r w:rsidRPr="00005B15">
        <w:t>A major sampling design feature involves stratification of the list of grantees and sample allocation to strata (i.e., how many grantees to sample from each stratum).  We will stratify grantees by region (4 categories) and size (3 categories) in order to ensure a representative sample. We will exclude grantees in Alaska, Hawaii, and the US territories for budgetary reasons.  Based on the distribution of grantee sizes, we will classify grantees as small, medium, and large (with the super-grantees as their own category</w:t>
      </w:r>
      <w:r w:rsidR="00CD1845">
        <w:t>)</w:t>
      </w:r>
      <w:r w:rsidRPr="00005B15">
        <w:t xml:space="preserve">.  </w:t>
      </w:r>
    </w:p>
    <w:p w:rsidR="00D134E5" w:rsidRPr="00005B15" w:rsidRDefault="00D134E5" w:rsidP="00064446"/>
    <w:p w:rsidR="00D134E5" w:rsidRPr="00005B15" w:rsidRDefault="00D134E5" w:rsidP="00064446">
      <w:r w:rsidRPr="00005B15">
        <w:t xml:space="preserve">Within the (4 x 3) = 12 cells formed by cross classifying region by size, we will need to stratify further by a measure that reflects the propensity to be designated for competition.  We </w:t>
      </w:r>
      <w:r w:rsidR="00F5214A">
        <w:t>will</w:t>
      </w:r>
      <w:r w:rsidR="00F5214A" w:rsidRPr="00005B15">
        <w:t xml:space="preserve"> </w:t>
      </w:r>
      <w:r w:rsidRPr="00005B15">
        <w:t>us</w:t>
      </w:r>
      <w:r w:rsidR="00F5214A">
        <w:t>e</w:t>
      </w:r>
      <w:r w:rsidRPr="00005B15">
        <w:t xml:space="preserve"> the FY 2014 OHS monitoring </w:t>
      </w:r>
      <w:r w:rsidR="00F5214A">
        <w:t xml:space="preserve">data, </w:t>
      </w:r>
      <w:r w:rsidRPr="00005B15">
        <w:t>score</w:t>
      </w:r>
      <w:r w:rsidR="00042484">
        <w:t>s</w:t>
      </w:r>
      <w:r w:rsidRPr="00005B15">
        <w:t xml:space="preserve"> </w:t>
      </w:r>
      <w:r w:rsidR="004D7CB9" w:rsidRPr="00005B15">
        <w:t xml:space="preserve">from </w:t>
      </w:r>
      <w:r w:rsidR="00F5214A">
        <w:t xml:space="preserve">the OHS-measured </w:t>
      </w:r>
      <w:r w:rsidR="004D7CB9" w:rsidRPr="00005B15">
        <w:t>Classroom Assessment Scoring System (CLASS) observations</w:t>
      </w:r>
      <w:r w:rsidR="003E7894">
        <w:t xml:space="preserve">, </w:t>
      </w:r>
      <w:r w:rsidR="003D1417">
        <w:t xml:space="preserve">any </w:t>
      </w:r>
      <w:r w:rsidR="003E7894">
        <w:t xml:space="preserve">OHS </w:t>
      </w:r>
      <w:r w:rsidR="003D1417">
        <w:t>monitoring findings that might be labeled a deficiency, and PIR information such as region, size, and composition</w:t>
      </w:r>
      <w:r w:rsidRPr="00005B15">
        <w:t xml:space="preserve"> to create </w:t>
      </w:r>
      <w:r w:rsidR="00872936" w:rsidRPr="00005B15">
        <w:t xml:space="preserve">a </w:t>
      </w:r>
      <w:r w:rsidRPr="00005B15">
        <w:t xml:space="preserve">propensity measure reflecting likelihood of being designated for competition.   We note that </w:t>
      </w:r>
      <w:r w:rsidR="00F5214A">
        <w:t xml:space="preserve">findings of deficiency through monitoring and </w:t>
      </w:r>
      <w:r w:rsidRPr="00005B15">
        <w:t>CLASS score</w:t>
      </w:r>
      <w:r w:rsidR="00F5214A">
        <w:t>s</w:t>
      </w:r>
      <w:r w:rsidRPr="00005B15">
        <w:t xml:space="preserve"> </w:t>
      </w:r>
      <w:r w:rsidR="00F5214A">
        <w:t>are</w:t>
      </w:r>
      <w:r w:rsidRPr="00005B15">
        <w:t xml:space="preserve"> the two primary criteria that lead to a designation for competition. A propensity model will be developed using a previous monitoring cohort’s (Cohort</w:t>
      </w:r>
      <w:r w:rsidR="00644888" w:rsidRPr="00005B15">
        <w:t>s</w:t>
      </w:r>
      <w:r w:rsidRPr="00005B15">
        <w:t xml:space="preserve"> 2 and 3, if available) distribution of CLASS scores</w:t>
      </w:r>
      <w:r w:rsidR="00042484">
        <w:t xml:space="preserve"> and deficiency findings</w:t>
      </w:r>
      <w:r w:rsidRPr="00005B15">
        <w:t xml:space="preserve">, and historical monitoring data of the grantees in the sampling frame.  The propensity model will be used to predict the propensity of each of the grantees </w:t>
      </w:r>
      <w:r w:rsidR="00F5214A">
        <w:t xml:space="preserve">in the sampling population </w:t>
      </w:r>
      <w:r w:rsidRPr="00005B15">
        <w:t>to be designated for competition.  We will use the predicted propensities to develop sampling rates within each region x size cell/stratum in order to select roughly equal samples of 35 competition and 35 non-competition grantees (or at least get very close to this allocation).</w:t>
      </w:r>
    </w:p>
    <w:p w:rsidR="00B73D47" w:rsidRPr="00005B15" w:rsidRDefault="00B73D47" w:rsidP="00D134E5"/>
    <w:p w:rsidR="00D134E5" w:rsidRPr="00005B15" w:rsidRDefault="00D134E5" w:rsidP="00B73D47">
      <w:pPr>
        <w:ind w:left="720" w:hanging="720"/>
        <w:rPr>
          <w:u w:val="single"/>
        </w:rPr>
      </w:pPr>
      <w:r w:rsidRPr="00005B15">
        <w:rPr>
          <w:u w:val="single"/>
        </w:rPr>
        <w:t>Sampling Classrooms</w:t>
      </w:r>
    </w:p>
    <w:p w:rsidR="00020A05" w:rsidRDefault="00020A05" w:rsidP="00064446"/>
    <w:p w:rsidR="001236B3" w:rsidRPr="00005B15" w:rsidRDefault="00872936" w:rsidP="00064446">
      <w:r w:rsidRPr="00005B15">
        <w:t xml:space="preserve">Because the unit of analysis is the grantee, a sufficient number of classrooms need to be selected to obtain sufficiently precise grantee-level estimates on the independent measures of quality. Thus, the </w:t>
      </w:r>
      <w:r w:rsidR="001236B3" w:rsidRPr="00005B15">
        <w:t xml:space="preserve">number of classrooms sampled per grantee will depend on the number of classrooms in each grantee. The total number of classrooms operated by grantees in the sampling frame ranges from 2 to 1,174 with a mean of 40 and a median of 21.  The formula for selecting the number of classrooms per grantee </w:t>
      </w:r>
      <w:r w:rsidRPr="00005B15">
        <w:t xml:space="preserve">has been </w:t>
      </w:r>
      <w:r w:rsidR="001236B3" w:rsidRPr="00005B15">
        <w:t xml:space="preserve">constructed in a manner parallel to that used by </w:t>
      </w:r>
      <w:r w:rsidR="00E612A7">
        <w:t>OHS</w:t>
      </w:r>
      <w:r w:rsidR="001236B3" w:rsidRPr="00005B15">
        <w:t xml:space="preserve"> in selecting the classrooms to be sampled for CLASS observations.  In addition, intra-class correlations, the design effect, statistical power, and effect sizes </w:t>
      </w:r>
      <w:r w:rsidRPr="00005B15">
        <w:t xml:space="preserve">have </w:t>
      </w:r>
      <w:r w:rsidR="001236B3" w:rsidRPr="00005B15">
        <w:t>be</w:t>
      </w:r>
      <w:r w:rsidRPr="00005B15">
        <w:t>en</w:t>
      </w:r>
      <w:r w:rsidR="001236B3" w:rsidRPr="00005B15">
        <w:t xml:space="preserve"> considered.</w:t>
      </w:r>
    </w:p>
    <w:p w:rsidR="00291684" w:rsidRPr="00005B15" w:rsidRDefault="00291684" w:rsidP="00064446">
      <w:pPr>
        <w:rPr>
          <w:u w:val="single"/>
        </w:rPr>
      </w:pPr>
    </w:p>
    <w:p w:rsidR="00B73D47" w:rsidRPr="00005B15" w:rsidRDefault="00D134E5" w:rsidP="00064446">
      <w:r w:rsidRPr="00005B15">
        <w:t xml:space="preserve">Once a grantee is selected, we </w:t>
      </w:r>
      <w:r w:rsidR="00BD2E14">
        <w:t xml:space="preserve">will </w:t>
      </w:r>
      <w:r w:rsidRPr="00005B15">
        <w:t xml:space="preserve">use a listing of all classes associated with that grantee to develop and draw a proportionate stratified sample.  We will capture the heterogeneity of the centers and classrooms by stratifying the list of classrooms by center.  Specifically, we will randomly array a list of centers, and within each center, randomly array the list of classrooms, choosing every nth classrooms, with n defined as the multiplicative inverse of the number of classrooms sampled divided by the total number of classrooms operated by the grantee. This </w:t>
      </w:r>
      <w:r w:rsidRPr="00005B15">
        <w:lastRenderedPageBreak/>
        <w:t>approach will reduce the risk of drawing a biased sample by chance and yield a highly representative sample of classrooms.</w:t>
      </w:r>
    </w:p>
    <w:p w:rsidR="00D134E5" w:rsidRPr="00005B15" w:rsidRDefault="00D134E5" w:rsidP="00B73D47">
      <w:pPr>
        <w:ind w:left="720"/>
      </w:pPr>
    </w:p>
    <w:p w:rsidR="00D134E5" w:rsidRPr="00005B15" w:rsidRDefault="00D134E5" w:rsidP="00D134E5">
      <w:pPr>
        <w:rPr>
          <w:u w:val="single"/>
        </w:rPr>
      </w:pPr>
      <w:r w:rsidRPr="00005B15">
        <w:rPr>
          <w:u w:val="single"/>
        </w:rPr>
        <w:t>Sampling Centers</w:t>
      </w:r>
    </w:p>
    <w:p w:rsidR="00BD1CF3" w:rsidRDefault="00BD1CF3" w:rsidP="00064446"/>
    <w:p w:rsidR="00D134E5" w:rsidRPr="00005B15" w:rsidRDefault="00D134E5" w:rsidP="00064446">
      <w:r w:rsidRPr="00005B15">
        <w:t>Because some of the proposed measures include elements that need to be collected at the center level, it is important to maximize the heterogeneity of centers through our sampling of classrooms. Center-level data would be collected from centers in which a classroom is included in the sample.</w:t>
      </w:r>
    </w:p>
    <w:p w:rsidR="002958AC" w:rsidRPr="00005B15" w:rsidRDefault="002958AC" w:rsidP="002958AC">
      <w:pPr>
        <w:tabs>
          <w:tab w:val="left" w:pos="3179"/>
        </w:tabs>
        <w:rPr>
          <w:rFonts w:ascii="Segoe UI" w:hAnsi="Segoe UI" w:cs="Segoe UI"/>
          <w:sz w:val="20"/>
          <w:szCs w:val="20"/>
        </w:rPr>
      </w:pPr>
    </w:p>
    <w:p w:rsidR="00C8322A" w:rsidRPr="00AF3B09" w:rsidRDefault="00C8322A" w:rsidP="00C8322A">
      <w:pPr>
        <w:tabs>
          <w:tab w:val="left" w:pos="3179"/>
        </w:tabs>
        <w:rPr>
          <w:rFonts w:eastAsia="AppleGothic"/>
          <w:bCs/>
          <w:spacing w:val="1"/>
        </w:rPr>
      </w:pPr>
      <w:r>
        <w:rPr>
          <w:b/>
        </w:rPr>
        <w:t xml:space="preserve">Power to Identify DRS Status Differences on Quality </w:t>
      </w:r>
      <w:r w:rsidRPr="007D0679">
        <w:rPr>
          <w:b/>
        </w:rPr>
        <w:t xml:space="preserve">Measures </w:t>
      </w:r>
      <w:r w:rsidRPr="00AF3B09">
        <w:rPr>
          <w:b/>
          <w:i/>
        </w:rPr>
        <w:t>Collected at the Grantee Level</w:t>
      </w:r>
      <w:r w:rsidRPr="00AF3B09">
        <w:rPr>
          <w:rFonts w:eastAsia="AppleGothic"/>
          <w:bCs/>
          <w:spacing w:val="1"/>
        </w:rPr>
        <w:t xml:space="preserve">: </w:t>
      </w:r>
    </w:p>
    <w:p w:rsidR="00C8322A" w:rsidRPr="00D44547" w:rsidRDefault="00C8322A" w:rsidP="00C8322A">
      <w:pPr>
        <w:ind w:right="-450"/>
        <w:rPr>
          <w:rFonts w:eastAsia="AppleGothic"/>
          <w:bCs/>
          <w:spacing w:val="1"/>
        </w:rPr>
      </w:pPr>
      <w:r w:rsidRPr="00AF3B09">
        <w:rPr>
          <w:rFonts w:eastAsia="AppleGothic"/>
          <w:bCs/>
          <w:spacing w:val="1"/>
        </w:rPr>
        <w:t xml:space="preserve">   </w:t>
      </w:r>
    </w:p>
    <w:p w:rsidR="00C8322A" w:rsidRPr="00D44547" w:rsidRDefault="00D44547" w:rsidP="00C8322A">
      <w:pPr>
        <w:ind w:right="-450"/>
        <w:rPr>
          <w:rFonts w:eastAsia="AppleGothic"/>
          <w:bCs/>
          <w:spacing w:val="1"/>
        </w:rPr>
      </w:pPr>
      <w:r w:rsidRPr="00D44547">
        <w:rPr>
          <w:rFonts w:cs="Calibri"/>
          <w:spacing w:val="1"/>
          <w:kern w:val="1"/>
          <w:szCs w:val="30"/>
        </w:rPr>
        <w:t>The DRS conditions measured at the grantee level include debarment of receipt of federal or state funds, suspension by the Administration for Children and Families</w:t>
      </w:r>
      <w:r w:rsidR="00BF35C0">
        <w:rPr>
          <w:rFonts w:cs="Calibri"/>
          <w:spacing w:val="1"/>
          <w:kern w:val="1"/>
          <w:szCs w:val="30"/>
        </w:rPr>
        <w:t xml:space="preserve"> (ACF)</w:t>
      </w:r>
      <w:r w:rsidRPr="00D44547">
        <w:rPr>
          <w:rFonts w:cs="Calibri"/>
          <w:spacing w:val="1"/>
          <w:kern w:val="1"/>
          <w:szCs w:val="30"/>
        </w:rPr>
        <w:t xml:space="preserve">, whether the grantee had a poor audit, and whether the grantee is at risk for failing to continue as a “going concern” (i.e. they are at risk for financial failure.  For the evaluation, only the </w:t>
      </w:r>
      <w:proofErr w:type="spellStart"/>
      <w:r w:rsidRPr="00D44547">
        <w:rPr>
          <w:rFonts w:cs="Calibri"/>
          <w:spacing w:val="1"/>
          <w:kern w:val="1"/>
          <w:szCs w:val="30"/>
        </w:rPr>
        <w:t>Tuckman</w:t>
      </w:r>
      <w:proofErr w:type="spellEnd"/>
      <w:r w:rsidRPr="00D44547">
        <w:rPr>
          <w:rFonts w:cs="Calibri"/>
          <w:spacing w:val="1"/>
          <w:kern w:val="1"/>
          <w:szCs w:val="30"/>
        </w:rPr>
        <w:t xml:space="preserve"> and Chang (1991) Financial Ratios, which measure financial vulnerability, will be collected at the grantee level. </w:t>
      </w:r>
      <w:r w:rsidRPr="00D44547">
        <w:rPr>
          <w:rFonts w:cs="Calibri"/>
          <w:kern w:val="1"/>
          <w:szCs w:val="30"/>
        </w:rPr>
        <w:t>Financial vulnerability</w:t>
      </w:r>
      <w:r w:rsidRPr="00D44547">
        <w:rPr>
          <w:rFonts w:cs="Calibri"/>
          <w:spacing w:val="1"/>
          <w:kern w:val="1"/>
          <w:szCs w:val="30"/>
        </w:rPr>
        <w:t xml:space="preserve"> is assumed to be measured without statistical error.  We will contrast the measures of the n=35 “competition designated” grantees and the n=35 “non-competition” grantees.  We will have 80% power to detect effect sizes of d=.56 or larger on continuous outcomes and odds ratios of 1.86 or larger, given we have 35 agencies in each DRS group and alpha=.05.  This will provide reasonable power to detect differences, given we anticipate large differences on DRS conditions in which there is variation, but limited power to detect policy relevant differences related to DRS status such as size of agency or regions for these outcomes.</w:t>
      </w:r>
      <w:r w:rsidR="00C8322A" w:rsidRPr="00D44547">
        <w:rPr>
          <w:rFonts w:eastAsia="AppleGothic"/>
          <w:bCs/>
          <w:spacing w:val="1"/>
        </w:rPr>
        <w:t xml:space="preserve">   </w:t>
      </w:r>
    </w:p>
    <w:p w:rsidR="00C8322A" w:rsidRPr="00D44547" w:rsidRDefault="00C8322A" w:rsidP="00C8322A">
      <w:pPr>
        <w:ind w:right="-450"/>
        <w:rPr>
          <w:rFonts w:eastAsia="AppleGothic"/>
          <w:bCs/>
          <w:spacing w:val="1"/>
        </w:rPr>
      </w:pPr>
    </w:p>
    <w:p w:rsidR="00C8322A" w:rsidRPr="00AF3B09" w:rsidRDefault="00C8322A" w:rsidP="00C8322A">
      <w:pPr>
        <w:tabs>
          <w:tab w:val="left" w:pos="3179"/>
        </w:tabs>
        <w:rPr>
          <w:rFonts w:eastAsia="AppleGothic"/>
          <w:bCs/>
          <w:spacing w:val="1"/>
        </w:rPr>
      </w:pPr>
      <w:r>
        <w:rPr>
          <w:b/>
        </w:rPr>
        <w:t xml:space="preserve">Power to Identify DRS Status Differences on Quality Measures </w:t>
      </w:r>
      <w:r w:rsidRPr="00AF3B09">
        <w:rPr>
          <w:b/>
          <w:i/>
        </w:rPr>
        <w:t xml:space="preserve">Collected at the Classroom </w:t>
      </w:r>
      <w:r>
        <w:rPr>
          <w:b/>
          <w:i/>
        </w:rPr>
        <w:t xml:space="preserve">or Center </w:t>
      </w:r>
      <w:r w:rsidRPr="00AF3B09">
        <w:rPr>
          <w:b/>
          <w:i/>
        </w:rPr>
        <w:t>Level</w:t>
      </w:r>
      <w:r w:rsidRPr="00AF3B09">
        <w:rPr>
          <w:rFonts w:eastAsia="AppleGothic"/>
          <w:bCs/>
          <w:spacing w:val="1"/>
        </w:rPr>
        <w:t xml:space="preserve">: </w:t>
      </w:r>
    </w:p>
    <w:p w:rsidR="00C8322A" w:rsidRPr="00AF3B09" w:rsidRDefault="00C8322A" w:rsidP="00C8322A">
      <w:pPr>
        <w:tabs>
          <w:tab w:val="left" w:pos="3179"/>
        </w:tabs>
        <w:rPr>
          <w:rFonts w:eastAsia="AppleGothic"/>
          <w:bCs/>
          <w:spacing w:val="1"/>
        </w:rPr>
      </w:pPr>
    </w:p>
    <w:p w:rsidR="00C8322A" w:rsidRPr="00AF3B09" w:rsidRDefault="00C8322A" w:rsidP="00C8322A">
      <w:pPr>
        <w:tabs>
          <w:tab w:val="left" w:pos="720"/>
          <w:tab w:val="left" w:pos="3179"/>
        </w:tabs>
        <w:rPr>
          <w:rFonts w:eastAsia="AppleGothic"/>
          <w:bCs/>
          <w:spacing w:val="1"/>
        </w:rPr>
      </w:pPr>
      <w:r>
        <w:rPr>
          <w:rFonts w:eastAsia="AppleGothic"/>
          <w:bCs/>
          <w:spacing w:val="1"/>
        </w:rPr>
        <w:t xml:space="preserve">The classroom quality measures will be collected at the classroom level, and measures of health and safety, child development and education, family involvement, and management and supervision will be collected at the center level.  The proposed study involves a two-level design for classroom measures that will take the lack of independence of classrooms within the same </w:t>
      </w:r>
      <w:r w:rsidR="00506B3F">
        <w:rPr>
          <w:rFonts w:eastAsia="AppleGothic"/>
          <w:bCs/>
          <w:spacing w:val="1"/>
        </w:rPr>
        <w:t>grantee</w:t>
      </w:r>
      <w:r>
        <w:rPr>
          <w:rFonts w:eastAsia="AppleGothic"/>
          <w:bCs/>
          <w:spacing w:val="1"/>
        </w:rPr>
        <w:t xml:space="preserve"> into account.  </w:t>
      </w:r>
      <w:r w:rsidRPr="00AF3B09">
        <w:rPr>
          <w:rFonts w:eastAsia="AppleGothic"/>
          <w:bCs/>
          <w:spacing w:val="1"/>
        </w:rPr>
        <w:t xml:space="preserve">Grantee measures that are based on classroom (or center) observation are necessarily subject to sampling </w:t>
      </w:r>
      <w:r>
        <w:rPr>
          <w:rFonts w:eastAsia="AppleGothic"/>
          <w:bCs/>
          <w:spacing w:val="1"/>
        </w:rPr>
        <w:t>variability</w:t>
      </w:r>
      <w:r w:rsidRPr="00AF3B09">
        <w:rPr>
          <w:rFonts w:eastAsia="AppleGothic"/>
          <w:bCs/>
          <w:spacing w:val="1"/>
        </w:rPr>
        <w:t xml:space="preserve">.  This variation will affect the resulting minimum effect sizes when contrasting ‘competition’ and ‘non-competition’ grantees.  We are controlling the extent of this variation by ensuring that the coefficient of variation of classroom (and center) based measures are below 20 percent for any given grantee. In consequence, we will have adequate statistical power to detect differences between ‘competition’ and ‘noncompetition’ grantees.  </w:t>
      </w:r>
      <w:r>
        <w:rPr>
          <w:rFonts w:eastAsia="AppleGothic"/>
          <w:bCs/>
          <w:spacing w:val="1"/>
        </w:rPr>
        <w:t>Power was computed using the Optimal Design software (</w:t>
      </w:r>
      <w:proofErr w:type="spellStart"/>
      <w:r>
        <w:t>Raudenbush</w:t>
      </w:r>
      <w:proofErr w:type="spellEnd"/>
      <w:r>
        <w:t xml:space="preserve"> et al.</w:t>
      </w:r>
      <w:r w:rsidR="00BD2E14">
        <w:t>,</w:t>
      </w:r>
      <w:r>
        <w:t xml:space="preserve"> 2011).  The power analysis assumed there were 35 </w:t>
      </w:r>
      <w:r w:rsidR="00506B3F">
        <w:t>grantees</w:t>
      </w:r>
      <w:r>
        <w:t xml:space="preserve"> in each DRS Status group, 8 classrooms on average per </w:t>
      </w:r>
      <w:r w:rsidR="00506B3F">
        <w:t>grantee</w:t>
      </w:r>
      <w:r>
        <w:t>, alpha=.05, and an intra-class correlation of .05.  We have 80% power to detect differences of d=.26 or larger on measures of classroom quality (e.g., a difference of .20 on the ECERS</w:t>
      </w:r>
      <w:r w:rsidRPr="00AF3B09">
        <w:rPr>
          <w:rFonts w:eastAsia="AppleGothic"/>
          <w:bCs/>
          <w:spacing w:val="1"/>
        </w:rPr>
        <w:t xml:space="preserve"> </w:t>
      </w:r>
      <w:r>
        <w:rPr>
          <w:rFonts w:eastAsia="AppleGothic"/>
          <w:bCs/>
          <w:spacing w:val="1"/>
        </w:rPr>
        <w:t xml:space="preserve">Interaction score).  A similar analysis indicated that we have 80% power to detect differences of d=.34 or larger on measures of center quality, assuming there are an average of 4.3 centers per </w:t>
      </w:r>
      <w:r w:rsidR="00506B3F">
        <w:rPr>
          <w:rFonts w:eastAsia="AppleGothic"/>
          <w:bCs/>
          <w:spacing w:val="1"/>
        </w:rPr>
        <w:t>grantee</w:t>
      </w:r>
      <w:r>
        <w:rPr>
          <w:rFonts w:eastAsia="AppleGothic"/>
          <w:bCs/>
          <w:spacing w:val="1"/>
        </w:rPr>
        <w:t>.</w:t>
      </w:r>
    </w:p>
    <w:p w:rsidR="00C8322A" w:rsidRPr="00AF3B09" w:rsidRDefault="00C8322A" w:rsidP="00C8322A">
      <w:pPr>
        <w:tabs>
          <w:tab w:val="left" w:pos="720"/>
          <w:tab w:val="left" w:pos="3179"/>
        </w:tabs>
        <w:rPr>
          <w:rFonts w:eastAsia="AppleGothic"/>
          <w:bCs/>
          <w:spacing w:val="1"/>
        </w:rPr>
      </w:pPr>
    </w:p>
    <w:p w:rsidR="00C8322A" w:rsidRPr="007D0679" w:rsidRDefault="00C8322A" w:rsidP="001B19DB">
      <w:pPr>
        <w:spacing w:after="120" w:line="276" w:lineRule="auto"/>
        <w:rPr>
          <w:rFonts w:eastAsia="AppleGothic"/>
          <w:b/>
          <w:bCs/>
          <w:spacing w:val="1"/>
        </w:rPr>
      </w:pPr>
      <w:r w:rsidRPr="007D0679">
        <w:rPr>
          <w:rFonts w:eastAsia="AppleGothic"/>
          <w:b/>
          <w:bCs/>
          <w:spacing w:val="1"/>
        </w:rPr>
        <w:t xml:space="preserve">Table </w:t>
      </w:r>
      <w:r w:rsidR="00064446">
        <w:rPr>
          <w:rFonts w:eastAsia="AppleGothic"/>
          <w:b/>
          <w:bCs/>
          <w:spacing w:val="1"/>
        </w:rPr>
        <w:t>B-3</w:t>
      </w:r>
      <w:r w:rsidRPr="007D0679">
        <w:rPr>
          <w:rFonts w:eastAsia="AppleGothic"/>
          <w:b/>
          <w:bCs/>
          <w:spacing w:val="1"/>
        </w:rPr>
        <w:t xml:space="preserve">: Minimum Detectable Differences and Effect Sizes for Hypothetical </w:t>
      </w:r>
      <w:r>
        <w:rPr>
          <w:rFonts w:eastAsia="AppleGothic"/>
          <w:b/>
          <w:bCs/>
          <w:spacing w:val="1"/>
        </w:rPr>
        <w:t>C</w:t>
      </w:r>
      <w:r w:rsidRPr="007D0679">
        <w:rPr>
          <w:rFonts w:eastAsia="AppleGothic"/>
          <w:b/>
          <w:bCs/>
          <w:spacing w:val="1"/>
        </w:rPr>
        <w:t xml:space="preserve">lassroom </w:t>
      </w:r>
      <w:r>
        <w:rPr>
          <w:rFonts w:eastAsia="AppleGothic"/>
          <w:b/>
          <w:bCs/>
          <w:spacing w:val="1"/>
        </w:rPr>
        <w:t>O</w:t>
      </w:r>
      <w:r w:rsidRPr="007D0679">
        <w:rPr>
          <w:rFonts w:eastAsia="AppleGothic"/>
          <w:b/>
          <w:bCs/>
          <w:spacing w:val="1"/>
        </w:rPr>
        <w:t xml:space="preserve">bservation </w:t>
      </w:r>
      <w:r>
        <w:rPr>
          <w:rFonts w:eastAsia="AppleGothic"/>
          <w:b/>
          <w:bCs/>
          <w:spacing w:val="1"/>
        </w:rPr>
        <w:t>M</w:t>
      </w:r>
      <w:r w:rsidRPr="007D0679">
        <w:rPr>
          <w:rFonts w:eastAsia="AppleGothic"/>
          <w:b/>
          <w:bCs/>
          <w:spacing w:val="1"/>
        </w:rPr>
        <w:t>easures (</w:t>
      </w:r>
      <w:r w:rsidR="001B19DB">
        <w:rPr>
          <w:rFonts w:eastAsia="AppleGothic"/>
          <w:b/>
          <w:bCs/>
          <w:spacing w:val="1"/>
        </w:rPr>
        <w:t xml:space="preserve">comparing </w:t>
      </w:r>
      <w:r>
        <w:rPr>
          <w:rFonts w:eastAsia="AppleGothic"/>
          <w:b/>
          <w:bCs/>
          <w:spacing w:val="1"/>
        </w:rPr>
        <w:t>g</w:t>
      </w:r>
      <w:r w:rsidRPr="007D0679">
        <w:rPr>
          <w:rFonts w:eastAsia="AppleGothic"/>
          <w:b/>
          <w:bCs/>
          <w:spacing w:val="1"/>
        </w:rPr>
        <w:t xml:space="preserve">rantees </w:t>
      </w:r>
      <w:r w:rsidR="001B19DB">
        <w:rPr>
          <w:rFonts w:eastAsia="AppleGothic"/>
          <w:b/>
          <w:bCs/>
          <w:spacing w:val="1"/>
        </w:rPr>
        <w:t>designated for competition vs. those not</w:t>
      </w:r>
      <w:r w:rsidRPr="007D0679">
        <w:rPr>
          <w:rFonts w:eastAsia="AppleGothic"/>
          <w:b/>
          <w:bCs/>
          <w:spacing w:val="1"/>
        </w:rPr>
        <w:t>)</w:t>
      </w:r>
    </w:p>
    <w:tbl>
      <w:tblPr>
        <w:tblStyle w:val="TableGrid"/>
        <w:tblW w:w="0" w:type="auto"/>
        <w:tblLook w:val="04A0" w:firstRow="1" w:lastRow="0" w:firstColumn="1" w:lastColumn="0" w:noHBand="0" w:noVBand="1"/>
      </w:tblPr>
      <w:tblGrid>
        <w:gridCol w:w="2880"/>
        <w:gridCol w:w="1350"/>
        <w:gridCol w:w="1337"/>
        <w:gridCol w:w="1471"/>
        <w:gridCol w:w="1980"/>
      </w:tblGrid>
      <w:tr w:rsidR="00C8322A" w:rsidRPr="007D0679">
        <w:tc>
          <w:tcPr>
            <w:tcW w:w="2880" w:type="dxa"/>
          </w:tcPr>
          <w:p w:rsidR="00C8322A" w:rsidRPr="001B19DB" w:rsidRDefault="00C8322A" w:rsidP="00C664A5">
            <w:pPr>
              <w:rPr>
                <w:rFonts w:ascii="Times New Roman" w:hAnsi="Times New Roman" w:cs="Times New Roman"/>
                <w:b/>
                <w:sz w:val="22"/>
                <w:szCs w:val="22"/>
              </w:rPr>
            </w:pPr>
            <w:r w:rsidRPr="001B19DB">
              <w:rPr>
                <w:rFonts w:ascii="Times New Roman" w:hAnsi="Times New Roman" w:cs="Times New Roman"/>
                <w:b/>
                <w:sz w:val="22"/>
                <w:szCs w:val="22"/>
              </w:rPr>
              <w:t>Measure</w:t>
            </w:r>
          </w:p>
        </w:tc>
        <w:tc>
          <w:tcPr>
            <w:tcW w:w="1350" w:type="dxa"/>
          </w:tcPr>
          <w:p w:rsidR="00C8322A" w:rsidRPr="001B19DB" w:rsidRDefault="00C8322A" w:rsidP="00C664A5">
            <w:pPr>
              <w:rPr>
                <w:rFonts w:ascii="Times New Roman" w:hAnsi="Times New Roman" w:cs="Times New Roman"/>
                <w:b/>
                <w:sz w:val="22"/>
                <w:szCs w:val="22"/>
              </w:rPr>
            </w:pPr>
            <w:r w:rsidRPr="001B19DB">
              <w:rPr>
                <w:rFonts w:ascii="Times New Roman" w:hAnsi="Times New Roman" w:cs="Times New Roman"/>
                <w:b/>
                <w:sz w:val="22"/>
                <w:szCs w:val="22"/>
              </w:rPr>
              <w:t>Designated grantees</w:t>
            </w:r>
          </w:p>
        </w:tc>
        <w:tc>
          <w:tcPr>
            <w:tcW w:w="1337" w:type="dxa"/>
          </w:tcPr>
          <w:p w:rsidR="00C8322A" w:rsidRPr="001B19DB" w:rsidRDefault="00C8322A" w:rsidP="00C664A5">
            <w:pPr>
              <w:rPr>
                <w:rFonts w:ascii="Times New Roman" w:hAnsi="Times New Roman" w:cs="Times New Roman"/>
                <w:b/>
                <w:sz w:val="22"/>
                <w:szCs w:val="22"/>
              </w:rPr>
            </w:pPr>
            <w:r w:rsidRPr="001B19DB">
              <w:rPr>
                <w:rFonts w:ascii="Times New Roman" w:hAnsi="Times New Roman" w:cs="Times New Roman"/>
                <w:b/>
                <w:sz w:val="22"/>
                <w:szCs w:val="22"/>
              </w:rPr>
              <w:t>Classrooms per grantee</w:t>
            </w:r>
          </w:p>
        </w:tc>
        <w:tc>
          <w:tcPr>
            <w:tcW w:w="1471" w:type="dxa"/>
          </w:tcPr>
          <w:p w:rsidR="00C8322A" w:rsidRPr="001B19DB" w:rsidRDefault="00C8322A" w:rsidP="00C664A5">
            <w:pPr>
              <w:rPr>
                <w:rFonts w:ascii="Times New Roman" w:hAnsi="Times New Roman" w:cs="Times New Roman"/>
                <w:b/>
                <w:sz w:val="22"/>
                <w:szCs w:val="22"/>
              </w:rPr>
            </w:pPr>
            <w:r w:rsidRPr="001B19DB">
              <w:rPr>
                <w:rFonts w:ascii="Times New Roman" w:hAnsi="Times New Roman" w:cs="Times New Roman"/>
                <w:b/>
                <w:sz w:val="22"/>
                <w:szCs w:val="22"/>
              </w:rPr>
              <w:t>Centers per grantee</w:t>
            </w:r>
          </w:p>
        </w:tc>
        <w:tc>
          <w:tcPr>
            <w:tcW w:w="1980" w:type="dxa"/>
          </w:tcPr>
          <w:p w:rsidR="00C8322A" w:rsidRPr="001B19DB" w:rsidRDefault="00C8322A" w:rsidP="00C664A5">
            <w:pPr>
              <w:rPr>
                <w:rFonts w:ascii="Times New Roman" w:hAnsi="Times New Roman" w:cs="Times New Roman"/>
                <w:b/>
                <w:sz w:val="22"/>
                <w:szCs w:val="22"/>
              </w:rPr>
            </w:pPr>
            <w:r w:rsidRPr="001B19DB">
              <w:rPr>
                <w:rFonts w:ascii="Times New Roman" w:eastAsia="AppleGothic" w:hAnsi="Times New Roman" w:cs="Times New Roman"/>
                <w:b/>
                <w:bCs/>
                <w:spacing w:val="1"/>
                <w:sz w:val="22"/>
                <w:szCs w:val="22"/>
              </w:rPr>
              <w:t>Minimum Effect Size</w:t>
            </w:r>
          </w:p>
        </w:tc>
      </w:tr>
      <w:tr w:rsidR="00C8322A" w:rsidRPr="007D0679">
        <w:tc>
          <w:tcPr>
            <w:tcW w:w="2880" w:type="dxa"/>
          </w:tcPr>
          <w:p w:rsidR="00C8322A" w:rsidRPr="001B19DB" w:rsidRDefault="00C8322A" w:rsidP="00C664A5">
            <w:pPr>
              <w:rPr>
                <w:rFonts w:ascii="Times New Roman" w:hAnsi="Times New Roman" w:cs="Times New Roman"/>
                <w:sz w:val="22"/>
                <w:szCs w:val="22"/>
              </w:rPr>
            </w:pPr>
            <w:r w:rsidRPr="001B19DB">
              <w:rPr>
                <w:rFonts w:ascii="Times New Roman" w:hAnsi="Times New Roman" w:cs="Times New Roman"/>
                <w:sz w:val="22"/>
                <w:szCs w:val="22"/>
              </w:rPr>
              <w:t>Classroom quality (e.g., ECERS-R)</w:t>
            </w:r>
          </w:p>
        </w:tc>
        <w:tc>
          <w:tcPr>
            <w:tcW w:w="1350" w:type="dxa"/>
            <w:vAlign w:val="center"/>
          </w:tcPr>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 xml:space="preserve">Yes n=35 </w:t>
            </w:r>
          </w:p>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No   n=35</w:t>
            </w:r>
          </w:p>
        </w:tc>
        <w:tc>
          <w:tcPr>
            <w:tcW w:w="1337" w:type="dxa"/>
            <w:vAlign w:val="center"/>
          </w:tcPr>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Yes n=8</w:t>
            </w:r>
          </w:p>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No   n=8</w:t>
            </w:r>
          </w:p>
        </w:tc>
        <w:tc>
          <w:tcPr>
            <w:tcW w:w="1471" w:type="dxa"/>
            <w:vAlign w:val="center"/>
          </w:tcPr>
          <w:p w:rsidR="00C8322A" w:rsidRPr="001B19DB" w:rsidRDefault="00C8322A" w:rsidP="00AE23B2">
            <w:pPr>
              <w:rPr>
                <w:rFonts w:ascii="Times New Roman" w:hAnsi="Times New Roman" w:cs="Times New Roman"/>
                <w:sz w:val="22"/>
                <w:szCs w:val="22"/>
              </w:rPr>
            </w:pPr>
          </w:p>
        </w:tc>
        <w:tc>
          <w:tcPr>
            <w:tcW w:w="1980" w:type="dxa"/>
            <w:vAlign w:val="center"/>
          </w:tcPr>
          <w:p w:rsidR="00C8322A" w:rsidRPr="001B19DB" w:rsidRDefault="00C8322A" w:rsidP="00AE23B2">
            <w:pPr>
              <w:rPr>
                <w:rFonts w:ascii="Times New Roman" w:hAnsi="Times New Roman" w:cs="Times New Roman"/>
                <w:sz w:val="22"/>
                <w:szCs w:val="22"/>
              </w:rPr>
            </w:pPr>
            <w:r w:rsidRPr="001B19DB">
              <w:rPr>
                <w:rFonts w:ascii="Times New Roman" w:eastAsia="AppleGothic" w:hAnsi="Times New Roman" w:cs="Times New Roman"/>
                <w:bCs/>
                <w:spacing w:val="1"/>
                <w:sz w:val="22"/>
                <w:szCs w:val="22"/>
              </w:rPr>
              <w:t xml:space="preserve"> d=0.26</w:t>
            </w:r>
          </w:p>
        </w:tc>
      </w:tr>
      <w:tr w:rsidR="00C8322A" w:rsidRPr="007D0679">
        <w:tc>
          <w:tcPr>
            <w:tcW w:w="2880" w:type="dxa"/>
          </w:tcPr>
          <w:p w:rsidR="00C8322A" w:rsidRPr="001B19DB" w:rsidRDefault="00C8322A" w:rsidP="00556D44">
            <w:pPr>
              <w:rPr>
                <w:rFonts w:ascii="Times New Roman" w:hAnsi="Times New Roman" w:cs="Times New Roman"/>
                <w:sz w:val="22"/>
                <w:szCs w:val="22"/>
              </w:rPr>
            </w:pPr>
            <w:r w:rsidRPr="001B19DB">
              <w:rPr>
                <w:rFonts w:ascii="Times New Roman" w:hAnsi="Times New Roman" w:cs="Times New Roman"/>
                <w:sz w:val="22"/>
                <w:szCs w:val="22"/>
              </w:rPr>
              <w:t xml:space="preserve">Center quality (e.g., Health and Safety </w:t>
            </w:r>
            <w:r w:rsidR="00556D44" w:rsidRPr="001B19DB">
              <w:rPr>
                <w:rFonts w:ascii="Times New Roman" w:hAnsi="Times New Roman" w:cs="Times New Roman"/>
                <w:sz w:val="22"/>
                <w:szCs w:val="22"/>
              </w:rPr>
              <w:t>Checklist</w:t>
            </w:r>
            <w:r w:rsidRPr="001B19DB">
              <w:rPr>
                <w:rFonts w:ascii="Times New Roman" w:hAnsi="Times New Roman" w:cs="Times New Roman"/>
                <w:sz w:val="22"/>
                <w:szCs w:val="22"/>
              </w:rPr>
              <w:t xml:space="preserve"> total score</w:t>
            </w:r>
            <w:r w:rsidR="00556D44" w:rsidRPr="001B19DB">
              <w:rPr>
                <w:rFonts w:ascii="Times New Roman" w:hAnsi="Times New Roman" w:cs="Times New Roman"/>
                <w:sz w:val="22"/>
                <w:szCs w:val="22"/>
              </w:rPr>
              <w:t>)</w:t>
            </w:r>
          </w:p>
        </w:tc>
        <w:tc>
          <w:tcPr>
            <w:tcW w:w="1350" w:type="dxa"/>
            <w:vAlign w:val="center"/>
          </w:tcPr>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 xml:space="preserve">Yes n=35 </w:t>
            </w:r>
          </w:p>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No   n=35</w:t>
            </w:r>
          </w:p>
        </w:tc>
        <w:tc>
          <w:tcPr>
            <w:tcW w:w="1337" w:type="dxa"/>
            <w:vAlign w:val="center"/>
          </w:tcPr>
          <w:p w:rsidR="00C8322A" w:rsidRPr="001B19DB" w:rsidRDefault="00C8322A" w:rsidP="00AE23B2">
            <w:pPr>
              <w:rPr>
                <w:rFonts w:ascii="Times New Roman" w:hAnsi="Times New Roman" w:cs="Times New Roman"/>
                <w:sz w:val="22"/>
                <w:szCs w:val="22"/>
              </w:rPr>
            </w:pPr>
          </w:p>
        </w:tc>
        <w:tc>
          <w:tcPr>
            <w:tcW w:w="1471" w:type="dxa"/>
            <w:vAlign w:val="center"/>
          </w:tcPr>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Yes n=4.28</w:t>
            </w:r>
          </w:p>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No   n=4.28</w:t>
            </w:r>
          </w:p>
        </w:tc>
        <w:tc>
          <w:tcPr>
            <w:tcW w:w="1980" w:type="dxa"/>
            <w:vAlign w:val="center"/>
          </w:tcPr>
          <w:p w:rsidR="00C8322A" w:rsidRPr="001B19DB" w:rsidRDefault="00C8322A" w:rsidP="00AE23B2">
            <w:pPr>
              <w:rPr>
                <w:rFonts w:ascii="Times New Roman" w:hAnsi="Times New Roman" w:cs="Times New Roman"/>
                <w:sz w:val="22"/>
                <w:szCs w:val="22"/>
              </w:rPr>
            </w:pPr>
            <w:r w:rsidRPr="001B19DB">
              <w:rPr>
                <w:rFonts w:ascii="Times New Roman" w:eastAsia="AppleGothic" w:hAnsi="Times New Roman" w:cs="Times New Roman"/>
                <w:bCs/>
                <w:spacing w:val="1"/>
                <w:sz w:val="22"/>
                <w:szCs w:val="22"/>
              </w:rPr>
              <w:t xml:space="preserve"> d=0.34</w:t>
            </w:r>
          </w:p>
        </w:tc>
      </w:tr>
      <w:tr w:rsidR="00C8322A" w:rsidRPr="007D0679">
        <w:tc>
          <w:tcPr>
            <w:tcW w:w="2880" w:type="dxa"/>
          </w:tcPr>
          <w:p w:rsidR="00C8322A" w:rsidRPr="001B19DB" w:rsidRDefault="00506B3F" w:rsidP="00C664A5">
            <w:pPr>
              <w:rPr>
                <w:rFonts w:ascii="Times New Roman" w:hAnsi="Times New Roman" w:cs="Times New Roman"/>
                <w:sz w:val="22"/>
                <w:szCs w:val="22"/>
              </w:rPr>
            </w:pPr>
            <w:r w:rsidRPr="001B19DB">
              <w:rPr>
                <w:rFonts w:ascii="Times New Roman" w:hAnsi="Times New Roman" w:cs="Times New Roman"/>
                <w:sz w:val="22"/>
                <w:szCs w:val="22"/>
              </w:rPr>
              <w:t>Grantee</w:t>
            </w:r>
            <w:r w:rsidR="00C8322A" w:rsidRPr="001B19DB">
              <w:rPr>
                <w:rFonts w:ascii="Times New Roman" w:hAnsi="Times New Roman" w:cs="Times New Roman"/>
                <w:sz w:val="22"/>
                <w:szCs w:val="22"/>
              </w:rPr>
              <w:t xml:space="preserve"> quality (e.g., </w:t>
            </w:r>
          </w:p>
          <w:p w:rsidR="00C8322A" w:rsidRPr="001B19DB" w:rsidRDefault="00C8322A" w:rsidP="00C664A5">
            <w:pPr>
              <w:rPr>
                <w:rFonts w:ascii="Times New Roman" w:hAnsi="Times New Roman" w:cs="Times New Roman"/>
                <w:sz w:val="22"/>
                <w:szCs w:val="22"/>
              </w:rPr>
            </w:pPr>
            <w:r w:rsidRPr="001B19DB">
              <w:rPr>
                <w:rFonts w:ascii="Times New Roman" w:hAnsi="Times New Roman" w:cs="Times New Roman"/>
                <w:sz w:val="22"/>
                <w:szCs w:val="22"/>
              </w:rPr>
              <w:t>Financial Ratios</w:t>
            </w:r>
          </w:p>
          <w:p w:rsidR="00C8322A" w:rsidRPr="001B19DB" w:rsidRDefault="00C8322A" w:rsidP="00C664A5">
            <w:pPr>
              <w:rPr>
                <w:rFonts w:ascii="Times New Roman" w:hAnsi="Times New Roman" w:cs="Times New Roman"/>
                <w:sz w:val="22"/>
                <w:szCs w:val="22"/>
              </w:rPr>
            </w:pPr>
            <w:r w:rsidRPr="001B19DB">
              <w:rPr>
                <w:rFonts w:ascii="Times New Roman" w:hAnsi="Times New Roman" w:cs="Times New Roman"/>
                <w:sz w:val="22"/>
                <w:szCs w:val="22"/>
              </w:rPr>
              <w:t>Health and Safety Finding)</w:t>
            </w:r>
          </w:p>
        </w:tc>
        <w:tc>
          <w:tcPr>
            <w:tcW w:w="1350" w:type="dxa"/>
            <w:vAlign w:val="center"/>
          </w:tcPr>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 xml:space="preserve">Yes n=35 </w:t>
            </w:r>
          </w:p>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No   n=35</w:t>
            </w:r>
          </w:p>
        </w:tc>
        <w:tc>
          <w:tcPr>
            <w:tcW w:w="1337" w:type="dxa"/>
            <w:vAlign w:val="center"/>
          </w:tcPr>
          <w:p w:rsidR="00C8322A" w:rsidRPr="001B19DB" w:rsidRDefault="00C8322A" w:rsidP="00AE23B2">
            <w:pPr>
              <w:rPr>
                <w:rFonts w:ascii="Times New Roman" w:hAnsi="Times New Roman" w:cs="Times New Roman"/>
                <w:sz w:val="22"/>
                <w:szCs w:val="22"/>
              </w:rPr>
            </w:pPr>
          </w:p>
        </w:tc>
        <w:tc>
          <w:tcPr>
            <w:tcW w:w="1471" w:type="dxa"/>
            <w:vAlign w:val="center"/>
          </w:tcPr>
          <w:p w:rsidR="00C8322A" w:rsidRPr="001B19DB" w:rsidRDefault="00C8322A" w:rsidP="00AE23B2">
            <w:pPr>
              <w:rPr>
                <w:rFonts w:ascii="Times New Roman" w:hAnsi="Times New Roman" w:cs="Times New Roman"/>
                <w:sz w:val="22"/>
                <w:szCs w:val="22"/>
              </w:rPr>
            </w:pPr>
          </w:p>
        </w:tc>
        <w:tc>
          <w:tcPr>
            <w:tcW w:w="1980" w:type="dxa"/>
            <w:vAlign w:val="center"/>
          </w:tcPr>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 xml:space="preserve"> d=.56</w:t>
            </w:r>
          </w:p>
          <w:p w:rsidR="00C8322A" w:rsidRPr="001B19DB" w:rsidRDefault="00C8322A" w:rsidP="00AE23B2">
            <w:pPr>
              <w:rPr>
                <w:rFonts w:ascii="Times New Roman" w:hAnsi="Times New Roman" w:cs="Times New Roman"/>
                <w:sz w:val="22"/>
                <w:szCs w:val="22"/>
              </w:rPr>
            </w:pPr>
            <w:r w:rsidRPr="001B19DB">
              <w:rPr>
                <w:rFonts w:ascii="Times New Roman" w:hAnsi="Times New Roman" w:cs="Times New Roman"/>
                <w:sz w:val="22"/>
                <w:szCs w:val="22"/>
              </w:rPr>
              <w:t>Odds ratio = 1.86</w:t>
            </w:r>
          </w:p>
        </w:tc>
      </w:tr>
    </w:tbl>
    <w:p w:rsidR="001B19DB" w:rsidRDefault="001B19DB" w:rsidP="00C8322A">
      <w:pPr>
        <w:rPr>
          <w:sz w:val="20"/>
          <w:szCs w:val="20"/>
        </w:rPr>
      </w:pPr>
    </w:p>
    <w:p w:rsidR="00064446" w:rsidRPr="009640BF" w:rsidRDefault="00C8322A" w:rsidP="00C8322A">
      <w:pPr>
        <w:rPr>
          <w:sz w:val="22"/>
          <w:szCs w:val="22"/>
        </w:rPr>
      </w:pPr>
      <w:r w:rsidRPr="009640BF">
        <w:rPr>
          <w:sz w:val="22"/>
          <w:szCs w:val="22"/>
        </w:rPr>
        <w:t>Note: listed are the average anticipated number of classrooms per grantee and average number of centers per grantee, with a target of a total of 560 classrooms and 300 centers.</w:t>
      </w:r>
    </w:p>
    <w:p w:rsidR="00C8322A" w:rsidRDefault="00C8322A" w:rsidP="00C8322A">
      <w:pPr>
        <w:rPr>
          <w:rFonts w:eastAsia="AppleGothic"/>
          <w:bCs/>
          <w:spacing w:val="1"/>
          <w:sz w:val="22"/>
          <w:szCs w:val="22"/>
        </w:rPr>
      </w:pPr>
      <w:r w:rsidRPr="009640BF">
        <w:rPr>
          <w:rFonts w:eastAsia="AppleGothic"/>
          <w:bCs/>
          <w:spacing w:val="1"/>
          <w:sz w:val="22"/>
          <w:szCs w:val="22"/>
        </w:rPr>
        <w:t>Assumes One-tailed test, Alpha=.05, Statistical Power= 80%, Intra Class Correlation = .05</w:t>
      </w:r>
    </w:p>
    <w:p w:rsidR="00A0534E" w:rsidRDefault="00A0534E" w:rsidP="00A0534E"/>
    <w:p w:rsidR="00A0534E" w:rsidRPr="00934E17" w:rsidRDefault="00A0534E" w:rsidP="00A0534E">
      <w:r w:rsidRPr="00934E17">
        <w:t xml:space="preserve">A </w:t>
      </w:r>
      <w:r>
        <w:t xml:space="preserve">second </w:t>
      </w:r>
      <w:r w:rsidRPr="00934E17">
        <w:t xml:space="preserve">power analysis was conducted </w:t>
      </w:r>
      <w:r>
        <w:t xml:space="preserve">for the third proposed analysis for RQ1 regarding validating the individual DRS criteria.  This analysis used </w:t>
      </w:r>
      <w:r w:rsidRPr="00934E17">
        <w:t>the proportion of cohort 2 agencies that were designated for competition due to either a deficiency or low CLASS score</w:t>
      </w:r>
      <w:r>
        <w:t>, the two DRS criteria that accounted for over 99% of agencies designated for competition</w:t>
      </w:r>
      <w:r w:rsidRPr="00934E17">
        <w:t>.  We assumed there w</w:t>
      </w:r>
      <w:r>
        <w:t xml:space="preserve">ill be </w:t>
      </w:r>
      <w:r w:rsidRPr="00934E17">
        <w:t>70 agencies</w:t>
      </w:r>
      <w:r>
        <w:t xml:space="preserve"> in our sample</w:t>
      </w:r>
      <w:r w:rsidRPr="00934E17">
        <w:t xml:space="preserve">, power of 80%, and a p-value of .05.  Based on data from DRS cohort 2, 65% of grantees designated for competition in our sample are expected to have had a monitoring deficiency (i.e., 65% of 35 grantees).  With 23 agencies in the sample expected to have a monitoring deficiency, we have </w:t>
      </w:r>
      <w:r>
        <w:t xml:space="preserve">good </w:t>
      </w:r>
      <w:r w:rsidRPr="00934E17">
        <w:t>power to detect an agreement rate of .78.   Similarly, we expect 40% of grantees designated for competition in our sample to have low CLASS scores (i.e., 40% of 35 grantees).  With 14 grantees in the s</w:t>
      </w:r>
      <w:r>
        <w:t>ample expected to have low CLASS</w:t>
      </w:r>
      <w:r w:rsidRPr="00934E17">
        <w:t xml:space="preserve"> scores, we have </w:t>
      </w:r>
      <w:r>
        <w:t xml:space="preserve">good </w:t>
      </w:r>
      <w:r w:rsidRPr="00934E17">
        <w:t xml:space="preserve">power to detect an agreement rate of .74.  </w:t>
      </w:r>
    </w:p>
    <w:p w:rsidR="00A0534E" w:rsidRPr="009640BF" w:rsidRDefault="00A0534E" w:rsidP="00C8322A">
      <w:pPr>
        <w:rPr>
          <w:sz w:val="22"/>
          <w:szCs w:val="22"/>
        </w:rPr>
      </w:pPr>
    </w:p>
    <w:p w:rsidR="008E7BB2" w:rsidRPr="001B19DB" w:rsidRDefault="008E7BB2" w:rsidP="000B52F8">
      <w:pPr>
        <w:rPr>
          <w:rFonts w:eastAsia="AppleGothic"/>
          <w:b/>
          <w:bCs/>
          <w:spacing w:val="1"/>
        </w:rPr>
      </w:pPr>
    </w:p>
    <w:p w:rsidR="008E7BB2" w:rsidRDefault="008E7BB2" w:rsidP="008E7BB2">
      <w:pPr>
        <w:rPr>
          <w:b/>
          <w:color w:val="000000"/>
        </w:rPr>
      </w:pPr>
      <w:r>
        <w:rPr>
          <w:rFonts w:eastAsia="AppleGothic"/>
          <w:b/>
          <w:bCs/>
          <w:spacing w:val="1"/>
        </w:rPr>
        <w:t xml:space="preserve">1.2b. RQ2: </w:t>
      </w:r>
      <w:r w:rsidRPr="008E7BB2">
        <w:rPr>
          <w:b/>
          <w:color w:val="000000"/>
        </w:rPr>
        <w:t xml:space="preserve">How have Head Start </w:t>
      </w:r>
      <w:r w:rsidR="00676B85">
        <w:rPr>
          <w:b/>
          <w:color w:val="000000"/>
        </w:rPr>
        <w:t>grantee</w:t>
      </w:r>
      <w:r w:rsidRPr="008E7BB2">
        <w:rPr>
          <w:b/>
          <w:color w:val="000000"/>
        </w:rPr>
        <w:t>s understood and responded to the provisions of the DRS in terms of their efforts to improve program operations and quality?</w:t>
      </w:r>
    </w:p>
    <w:p w:rsidR="008E7BB2" w:rsidRDefault="008E7BB2" w:rsidP="008E7BB2">
      <w:pPr>
        <w:rPr>
          <w:b/>
          <w:color w:val="000000"/>
        </w:rPr>
      </w:pPr>
    </w:p>
    <w:p w:rsidR="00123DE5" w:rsidRDefault="00123DE5" w:rsidP="00123DE5">
      <w:r>
        <w:t xml:space="preserve">The DRS Evaluation’s second research question </w:t>
      </w:r>
      <w:r w:rsidR="00872936">
        <w:t xml:space="preserve">involves describing </w:t>
      </w:r>
      <w:r>
        <w:t>grantee efforts to improve quality</w:t>
      </w:r>
      <w:r w:rsidR="00BD2E14">
        <w:t xml:space="preserve"> and</w:t>
      </w:r>
      <w:r>
        <w:t xml:space="preserve"> </w:t>
      </w:r>
      <w:r w:rsidR="00872936">
        <w:t xml:space="preserve">perceived </w:t>
      </w:r>
      <w:r>
        <w:t xml:space="preserve">incentives for quality improvement.   RQ2 will be addressed through qualitative data collection with purposively selected samples of grantees.  As described above, the DRS </w:t>
      </w:r>
      <w:proofErr w:type="gramStart"/>
      <w:r>
        <w:t>is</w:t>
      </w:r>
      <w:proofErr w:type="gramEnd"/>
      <w:r>
        <w:t xml:space="preserve"> being phased in over time.  To understand how the DRS </w:t>
      </w:r>
      <w:r w:rsidR="00BD2E14">
        <w:t xml:space="preserve">relates to </w:t>
      </w:r>
      <w:r>
        <w:t>grantees</w:t>
      </w:r>
      <w:r w:rsidR="00BD2E14">
        <w:t>’ quality improvement efforts</w:t>
      </w:r>
      <w:r>
        <w:t xml:space="preserve"> at different points in time and with differing characteristics, the sampling approach for the qualitative data collection divides the universe of grantees into groups according to where they fall in the DRS process and targets those groups with questions related to their respective stage in the process.  </w:t>
      </w:r>
    </w:p>
    <w:p w:rsidR="00123DE5" w:rsidRDefault="00123DE5" w:rsidP="00123DE5"/>
    <w:p w:rsidR="00123DE5" w:rsidRDefault="00123DE5" w:rsidP="00123DE5">
      <w:r>
        <w:t xml:space="preserve">RQ2 is designed to collect information from Head Start </w:t>
      </w:r>
      <w:r w:rsidR="00676B85">
        <w:t>grantee</w:t>
      </w:r>
      <w:r>
        <w:t xml:space="preserve">s on a set of topics which </w:t>
      </w:r>
      <w:r w:rsidR="00872936">
        <w:t xml:space="preserve">have not yet been systematically studied due to the </w:t>
      </w:r>
      <w:r>
        <w:t xml:space="preserve">new nature of DRS. </w:t>
      </w:r>
      <w:r w:rsidR="00872936">
        <w:t xml:space="preserve">Additionally, the </w:t>
      </w:r>
      <w:r>
        <w:t xml:space="preserve">study </w:t>
      </w:r>
      <w:r w:rsidR="00872936">
        <w:t>will</w:t>
      </w:r>
      <w:r>
        <w:t xml:space="preserve"> collect information </w:t>
      </w:r>
      <w:r w:rsidR="00872936">
        <w:t>about</w:t>
      </w:r>
      <w:r>
        <w:t xml:space="preserve"> responses </w:t>
      </w:r>
      <w:r w:rsidR="00872936">
        <w:t xml:space="preserve">to the DRS </w:t>
      </w:r>
      <w:r>
        <w:t xml:space="preserve">across the diverse set of grantees, for the purpose </w:t>
      </w:r>
      <w:r>
        <w:lastRenderedPageBreak/>
        <w:t xml:space="preserve">of ensuring that </w:t>
      </w:r>
      <w:r w:rsidR="006F7DF7">
        <w:t>requirements and guidelines</w:t>
      </w:r>
      <w:r>
        <w:t xml:space="preserve">, technical assistance, and training are sensitive to the vast differences in grantee operational approaches and populations served.  Thus, the study design generally centers on an exploratory approach that can effectively capture as much variation as possible and build our understanding to support future investigation, as opposed to an approach that measures incidence or tests hypotheses.  </w:t>
      </w:r>
    </w:p>
    <w:p w:rsidR="00123DE5" w:rsidRDefault="00123DE5" w:rsidP="00123DE5"/>
    <w:p w:rsidR="00123DE5" w:rsidRDefault="00123DE5" w:rsidP="00123DE5">
      <w:pPr>
        <w:rPr>
          <w:i/>
        </w:rPr>
      </w:pPr>
      <w:r w:rsidRPr="003F6AEB">
        <w:rPr>
          <w:i/>
        </w:rPr>
        <w:t xml:space="preserve">Selecting Grantees </w:t>
      </w:r>
      <w:r>
        <w:rPr>
          <w:i/>
        </w:rPr>
        <w:t>for RQ2</w:t>
      </w:r>
    </w:p>
    <w:p w:rsidR="00123DE5" w:rsidRDefault="00123DE5" w:rsidP="00123DE5">
      <w:pPr>
        <w:rPr>
          <w:color w:val="000000"/>
        </w:rPr>
      </w:pPr>
    </w:p>
    <w:p w:rsidR="00123DE5" w:rsidRDefault="00123DE5" w:rsidP="00123DE5">
      <w:r w:rsidRPr="003F6AEB">
        <w:rPr>
          <w:b/>
        </w:rPr>
        <w:t>Universe:</w:t>
      </w:r>
      <w:r>
        <w:rPr>
          <w:b/>
        </w:rPr>
        <w:t xml:space="preserve"> </w:t>
      </w:r>
      <w:r>
        <w:t xml:space="preserve">The universe for RQ2 is the same as that for RQ1.  </w:t>
      </w:r>
      <w:r w:rsidR="00E62C22">
        <w:t xml:space="preserve">The sample for the </w:t>
      </w:r>
      <w:r w:rsidR="00B97038" w:rsidRPr="00D6463F">
        <w:rPr>
          <w:bCs/>
          <w:noProof/>
        </w:rPr>
        <w:t>DRS Telephone Interview: Program Directors</w:t>
      </w:r>
      <w:r w:rsidR="00B97038" w:rsidDel="00B97038">
        <w:t xml:space="preserve"> </w:t>
      </w:r>
      <w:r w:rsidR="00B97038">
        <w:t xml:space="preserve">(Appendix F) </w:t>
      </w:r>
      <w:r w:rsidR="00E62C22">
        <w:t xml:space="preserve">will be </w:t>
      </w:r>
      <w:r w:rsidR="00FE4449">
        <w:t xml:space="preserve">purposively </w:t>
      </w:r>
      <w:r w:rsidR="00E62C22">
        <w:t>selected, with 17 cases drawn from among the group expected to be designated for competition and 18 cases drawn from among the group expected to be designated for a non-competitive five year grant.  Grantee size (funded center-based Head Start enrollment</w:t>
      </w:r>
      <w:r w:rsidR="00FE4449">
        <w:t xml:space="preserve">), rural/urban status, region, organizational auspice (for-profit, non-profit, school, etc.), and presence of delegate </w:t>
      </w:r>
      <w:r w:rsidR="00FE4449" w:rsidRPr="006562AA">
        <w:t>agencies</w:t>
      </w:r>
      <w:r w:rsidR="00E62C22">
        <w:t xml:space="preserve"> will serve as additional stratification variable</w:t>
      </w:r>
      <w:r w:rsidR="00FE4449">
        <w:t>s</w:t>
      </w:r>
      <w:r w:rsidR="00E62C22">
        <w:t xml:space="preserve">. The sample for the follow-up site visits </w:t>
      </w:r>
      <w:r w:rsidR="006B461B">
        <w:t xml:space="preserve">for administration of </w:t>
      </w:r>
      <w:r w:rsidR="004C1FF9">
        <w:t xml:space="preserve">the </w:t>
      </w:r>
      <w:r w:rsidR="004C1FF9">
        <w:rPr>
          <w:bCs/>
          <w:noProof/>
        </w:rPr>
        <w:t xml:space="preserve">DRS In-Depth Interview: </w:t>
      </w:r>
      <w:r w:rsidR="004C1FF9" w:rsidRPr="006562AA">
        <w:rPr>
          <w:bCs/>
          <w:noProof/>
        </w:rPr>
        <w:t>Agency</w:t>
      </w:r>
      <w:r w:rsidR="004C1FF9" w:rsidRPr="00D6463F">
        <w:rPr>
          <w:bCs/>
          <w:noProof/>
        </w:rPr>
        <w:t xml:space="preserve"> Directors</w:t>
      </w:r>
      <w:r w:rsidR="004C1FF9">
        <w:rPr>
          <w:bCs/>
          <w:noProof/>
        </w:rPr>
        <w:t>, DRS In-Depth Interview: Program</w:t>
      </w:r>
      <w:r w:rsidR="004C1FF9" w:rsidRPr="00D6463F">
        <w:rPr>
          <w:bCs/>
          <w:noProof/>
        </w:rPr>
        <w:t xml:space="preserve"> Directors</w:t>
      </w:r>
      <w:r w:rsidR="004C1FF9">
        <w:rPr>
          <w:bCs/>
          <w:noProof/>
        </w:rPr>
        <w:t xml:space="preserve">, </w:t>
      </w:r>
      <w:r w:rsidR="004C1FF9" w:rsidRPr="00D6463F">
        <w:rPr>
          <w:bCs/>
          <w:noProof/>
        </w:rPr>
        <w:t>DRS In-D</w:t>
      </w:r>
      <w:r w:rsidR="004C1FF9">
        <w:rPr>
          <w:bCs/>
          <w:noProof/>
        </w:rPr>
        <w:t>epth Interview: Policy Council/</w:t>
      </w:r>
      <w:r w:rsidR="004C1FF9" w:rsidRPr="00D6463F">
        <w:rPr>
          <w:bCs/>
          <w:noProof/>
        </w:rPr>
        <w:t>Governing Body</w:t>
      </w:r>
      <w:r w:rsidR="004C1FF9">
        <w:rPr>
          <w:bCs/>
          <w:noProof/>
        </w:rPr>
        <w:t xml:space="preserve">, and </w:t>
      </w:r>
      <w:r w:rsidR="004C1FF9" w:rsidRPr="00D6463F">
        <w:rPr>
          <w:bCs/>
          <w:noProof/>
        </w:rPr>
        <w:t xml:space="preserve">DRS In-Depth </w:t>
      </w:r>
      <w:r w:rsidR="004C1FF9">
        <w:rPr>
          <w:bCs/>
          <w:noProof/>
        </w:rPr>
        <w:t xml:space="preserve">Interview: </w:t>
      </w:r>
      <w:r w:rsidR="004C1FF9" w:rsidRPr="00D6463F">
        <w:rPr>
          <w:bCs/>
          <w:noProof/>
        </w:rPr>
        <w:t>Program Managers</w:t>
      </w:r>
      <w:r w:rsidR="006B461B">
        <w:t xml:space="preserve"> (Appendi</w:t>
      </w:r>
      <w:r w:rsidR="004C1FF9">
        <w:t>ces G-J</w:t>
      </w:r>
      <w:r w:rsidR="006B461B">
        <w:t xml:space="preserve">) </w:t>
      </w:r>
      <w:r w:rsidR="00E62C22">
        <w:t>will be purposively selected</w:t>
      </w:r>
      <w:r w:rsidR="006B461B">
        <w:t xml:space="preserve"> to</w:t>
      </w:r>
      <w:r w:rsidR="00E62C22">
        <w:t xml:space="preserve"> include 7 cases drawn from the group expected to be designated for competition and 8 cases drawn from the group expected to be designated for a non-competitive five year grant.  Purposive selection of grantees for the site visits will focus on identifying a sample with diverse </w:t>
      </w:r>
      <w:r w:rsidR="00FE4449">
        <w:t xml:space="preserve">characteristics and diverse </w:t>
      </w:r>
      <w:r w:rsidR="00E62C22">
        <w:t>responses to the DRS, specifically in terms of the types of actions undertaken to improve quality, the perceived amount of potential competition for the Head Start grant in their community, and expressed level of concern about being designated for competition. </w:t>
      </w:r>
      <w:r>
        <w:t xml:space="preserve"> Two sampling frames will be used (described below as B and C).</w:t>
      </w:r>
    </w:p>
    <w:p w:rsidR="00123DE5" w:rsidRDefault="00123DE5" w:rsidP="00123DE5"/>
    <w:p w:rsidR="00123DE5" w:rsidRDefault="00123DE5" w:rsidP="00123DE5">
      <w:r>
        <w:rPr>
          <w:b/>
        </w:rPr>
        <w:t xml:space="preserve">Sampling </w:t>
      </w:r>
      <w:r w:rsidR="00C5144E">
        <w:rPr>
          <w:b/>
        </w:rPr>
        <w:t>F</w:t>
      </w:r>
      <w:r>
        <w:rPr>
          <w:b/>
        </w:rPr>
        <w:t>rame B</w:t>
      </w:r>
      <w:r>
        <w:t xml:space="preserve"> will be made up of grantees selected for the data collection as part of </w:t>
      </w:r>
      <w:r w:rsidR="006B461B">
        <w:t>RQ1</w:t>
      </w:r>
      <w:r>
        <w:t xml:space="preserve"> through the sampling procedures outlined in the previous section (Sampling Frame A).  According to those parameters, this frame will be made up </w:t>
      </w:r>
      <w:r w:rsidRPr="00146A17">
        <w:t>of 70 grantees</w:t>
      </w:r>
      <w:r>
        <w:t xml:space="preserve"> that are representative of grantees that receive OHS monitoring </w:t>
      </w:r>
      <w:r w:rsidR="006B461B">
        <w:t xml:space="preserve">reviews </w:t>
      </w:r>
      <w:r>
        <w:t xml:space="preserve">during FY 2014.   From that frame, we will select a subsample of 35 grantees to participate in </w:t>
      </w:r>
      <w:r w:rsidR="004C1FF9">
        <w:t xml:space="preserve">the </w:t>
      </w:r>
      <w:r>
        <w:t xml:space="preserve">75-minute </w:t>
      </w:r>
      <w:r w:rsidR="004C1FF9" w:rsidRPr="00D6463F">
        <w:rPr>
          <w:bCs/>
          <w:noProof/>
        </w:rPr>
        <w:t>DRS Telephone Interview: Program Directors</w:t>
      </w:r>
      <w:r w:rsidR="004C1FF9" w:rsidDel="00B97038">
        <w:t xml:space="preserve"> </w:t>
      </w:r>
      <w:r w:rsidR="004C1FF9">
        <w:t>(Appendix F)</w:t>
      </w:r>
      <w:r>
        <w:t xml:space="preserve"> in Spring 2014.  These interviews will focus on grantee understanding of and responses to the DRS, prior to being notified of their designation status.   Purposive selection of grantees in this frame will focus on maximizing diversity in terms of expected designation status and characteristics such as </w:t>
      </w:r>
      <w:r w:rsidR="00676B85">
        <w:t>grantee</w:t>
      </w:r>
      <w:r>
        <w:t xml:space="preserve"> size (funded enrollment), rural/urban status, auspice, region, and presence of delegate </w:t>
      </w:r>
      <w:r w:rsidRPr="006562AA">
        <w:t>agencies</w:t>
      </w:r>
      <w:r>
        <w:t xml:space="preserve">.  </w:t>
      </w:r>
    </w:p>
    <w:p w:rsidR="00123DE5" w:rsidRDefault="00123DE5" w:rsidP="00123DE5"/>
    <w:p w:rsidR="00123DE5" w:rsidRDefault="00123DE5" w:rsidP="00123DE5">
      <w:r>
        <w:rPr>
          <w:b/>
        </w:rPr>
        <w:t xml:space="preserve">Sampling </w:t>
      </w:r>
      <w:r w:rsidR="00C5144E">
        <w:rPr>
          <w:b/>
        </w:rPr>
        <w:t>F</w:t>
      </w:r>
      <w:r>
        <w:rPr>
          <w:b/>
        </w:rPr>
        <w:t xml:space="preserve">rame C </w:t>
      </w:r>
      <w:r>
        <w:t xml:space="preserve">will be made up of the 35 grantees selected </w:t>
      </w:r>
      <w:r w:rsidR="006B461B">
        <w:t xml:space="preserve">to participate in </w:t>
      </w:r>
      <w:r w:rsidR="004C1FF9">
        <w:t xml:space="preserve">the </w:t>
      </w:r>
      <w:r w:rsidR="004C1FF9" w:rsidRPr="00D6463F">
        <w:rPr>
          <w:bCs/>
          <w:noProof/>
        </w:rPr>
        <w:t>DRS Telephone Interview: Program Directors</w:t>
      </w:r>
      <w:r w:rsidR="004C1FF9" w:rsidDel="00B97038">
        <w:t xml:space="preserve"> </w:t>
      </w:r>
      <w:r w:rsidR="004C1FF9">
        <w:t>(Appendix F)</w:t>
      </w:r>
      <w:r>
        <w:t xml:space="preserve"> in </w:t>
      </w:r>
      <w:r w:rsidR="00C5144E">
        <w:t>F</w:t>
      </w:r>
      <w:r>
        <w:t>rame B.  From that frame, we will select a subsample of 15 grantees to participate in</w:t>
      </w:r>
      <w:r w:rsidR="006B461B">
        <w:t xml:space="preserve"> </w:t>
      </w:r>
      <w:r w:rsidR="004C1FF9">
        <w:t xml:space="preserve">the </w:t>
      </w:r>
      <w:r w:rsidR="004C1FF9">
        <w:rPr>
          <w:bCs/>
          <w:noProof/>
        </w:rPr>
        <w:t xml:space="preserve">DRS In-Depth Interview: </w:t>
      </w:r>
      <w:r w:rsidR="004C1FF9" w:rsidRPr="00BC59FA">
        <w:rPr>
          <w:bCs/>
          <w:noProof/>
        </w:rPr>
        <w:t>Agency</w:t>
      </w:r>
      <w:r w:rsidR="004C1FF9" w:rsidRPr="00D6463F">
        <w:rPr>
          <w:bCs/>
          <w:noProof/>
        </w:rPr>
        <w:t xml:space="preserve"> Directors</w:t>
      </w:r>
      <w:r w:rsidR="004C1FF9">
        <w:rPr>
          <w:bCs/>
          <w:noProof/>
        </w:rPr>
        <w:t>, DRS In-Depth Interview: Program</w:t>
      </w:r>
      <w:r w:rsidR="004C1FF9" w:rsidRPr="00D6463F">
        <w:rPr>
          <w:bCs/>
          <w:noProof/>
        </w:rPr>
        <w:t xml:space="preserve"> Directors</w:t>
      </w:r>
      <w:r w:rsidR="004C1FF9">
        <w:rPr>
          <w:bCs/>
          <w:noProof/>
        </w:rPr>
        <w:t xml:space="preserve">, </w:t>
      </w:r>
      <w:r w:rsidR="004C1FF9" w:rsidRPr="00D6463F">
        <w:rPr>
          <w:bCs/>
          <w:noProof/>
        </w:rPr>
        <w:t>DRS In-D</w:t>
      </w:r>
      <w:r w:rsidR="004C1FF9">
        <w:rPr>
          <w:bCs/>
          <w:noProof/>
        </w:rPr>
        <w:t>epth Interview: Policy Council/</w:t>
      </w:r>
      <w:r w:rsidR="004C1FF9" w:rsidRPr="00D6463F">
        <w:rPr>
          <w:bCs/>
          <w:noProof/>
        </w:rPr>
        <w:t>Governing Body</w:t>
      </w:r>
      <w:r w:rsidR="004C1FF9">
        <w:rPr>
          <w:bCs/>
          <w:noProof/>
        </w:rPr>
        <w:t xml:space="preserve">, and </w:t>
      </w:r>
      <w:r w:rsidR="004C1FF9" w:rsidRPr="00D6463F">
        <w:rPr>
          <w:bCs/>
          <w:noProof/>
        </w:rPr>
        <w:t xml:space="preserve">DRS In-Depth </w:t>
      </w:r>
      <w:r w:rsidR="004C1FF9">
        <w:rPr>
          <w:bCs/>
          <w:noProof/>
        </w:rPr>
        <w:t xml:space="preserve">Interview: </w:t>
      </w:r>
      <w:r w:rsidR="004C1FF9" w:rsidRPr="00D6463F">
        <w:rPr>
          <w:bCs/>
          <w:noProof/>
        </w:rPr>
        <w:t>Program Managers</w:t>
      </w:r>
      <w:r w:rsidR="004C1FF9">
        <w:t xml:space="preserve"> (Appendices G-J) </w:t>
      </w:r>
      <w:r w:rsidR="006B461B">
        <w:t xml:space="preserve">through </w:t>
      </w:r>
      <w:r>
        <w:t xml:space="preserve">one-to-two day site visits. Like the telephone interviews conducted within sampling </w:t>
      </w:r>
      <w:r w:rsidR="00C5144E">
        <w:t>F</w:t>
      </w:r>
      <w:r>
        <w:t xml:space="preserve">rame B, but in greater depth, these interviews will focus on grantee understanding of and responses to the DRS, prior to being notified of their designation status.  Purposive selection of </w:t>
      </w:r>
      <w:r>
        <w:lastRenderedPageBreak/>
        <w:t xml:space="preserve">grantees in this frame will focus on maximizing diversity in terms of expected designation status and characteristics such as </w:t>
      </w:r>
      <w:r w:rsidR="00676B85">
        <w:t>grantee</w:t>
      </w:r>
      <w:r>
        <w:t xml:space="preserve"> size (funded enrollment), rural/urban status, auspice, region, presence of delegate </w:t>
      </w:r>
      <w:r w:rsidRPr="00BC59FA">
        <w:t>agencies</w:t>
      </w:r>
      <w:r>
        <w:t xml:space="preserve">, and views of and reactions to the DRS as expressed in the </w:t>
      </w:r>
      <w:r w:rsidR="004C1FF9" w:rsidRPr="00D6463F">
        <w:rPr>
          <w:bCs/>
          <w:noProof/>
        </w:rPr>
        <w:t>DRS Telephone Interview: Program Directors</w:t>
      </w:r>
      <w:r w:rsidR="004C1FF9" w:rsidDel="00B97038">
        <w:t xml:space="preserve"> </w:t>
      </w:r>
      <w:r w:rsidR="004C1FF9">
        <w:t>(Appendix F)</w:t>
      </w:r>
      <w:r>
        <w:t>.</w:t>
      </w:r>
    </w:p>
    <w:p w:rsidR="00D20113" w:rsidRDefault="00D20113" w:rsidP="000B52F8">
      <w:pPr>
        <w:rPr>
          <w:rFonts w:eastAsia="AppleGothic"/>
          <w:b/>
          <w:bCs/>
          <w:spacing w:val="1"/>
        </w:rPr>
      </w:pPr>
    </w:p>
    <w:p w:rsidR="008E7BB2" w:rsidRDefault="008E7BB2" w:rsidP="000B52F8">
      <w:pPr>
        <w:rPr>
          <w:color w:val="000000"/>
        </w:rPr>
      </w:pPr>
      <w:r>
        <w:rPr>
          <w:rFonts w:eastAsia="AppleGothic"/>
          <w:b/>
          <w:bCs/>
          <w:spacing w:val="1"/>
        </w:rPr>
        <w:t xml:space="preserve">1.2c. RQ3: </w:t>
      </w:r>
      <w:r w:rsidRPr="008E7BB2">
        <w:rPr>
          <w:b/>
          <w:color w:val="000000"/>
        </w:rPr>
        <w:t>What does competition look like and how do programs respond in communities where Head Start grantees are designated for competition?</w:t>
      </w:r>
      <w:r w:rsidRPr="00584294">
        <w:rPr>
          <w:color w:val="000000"/>
        </w:rPr>
        <w:t> </w:t>
      </w:r>
    </w:p>
    <w:p w:rsidR="00D20113" w:rsidRDefault="00D20113" w:rsidP="000B52F8">
      <w:pPr>
        <w:rPr>
          <w:color w:val="000000"/>
        </w:rPr>
      </w:pPr>
    </w:p>
    <w:p w:rsidR="00DE07FE" w:rsidRDefault="000F4F74" w:rsidP="000B52F8">
      <w:r>
        <w:t xml:space="preserve">The third research question will examine the </w:t>
      </w:r>
      <w:r w:rsidR="00C9262F">
        <w:t>level of competition</w:t>
      </w:r>
      <w:r>
        <w:t xml:space="preserve"> generated by </w:t>
      </w:r>
      <w:r w:rsidR="001C6CDC">
        <w:t xml:space="preserve">the </w:t>
      </w:r>
      <w:r>
        <w:t>DRS</w:t>
      </w:r>
      <w:r w:rsidR="00C9262F">
        <w:t>,</w:t>
      </w:r>
      <w:r w:rsidR="000B52F8">
        <w:t xml:space="preserve"> the perceptions of how </w:t>
      </w:r>
      <w:r>
        <w:t xml:space="preserve">the competition </w:t>
      </w:r>
      <w:r w:rsidR="000B52F8">
        <w:t xml:space="preserve">works, and the incentives </w:t>
      </w:r>
      <w:r>
        <w:t xml:space="preserve">for quality improvement related to competition </w:t>
      </w:r>
      <w:r w:rsidR="000B52F8">
        <w:t>through administrative data</w:t>
      </w:r>
      <w:r w:rsidR="00C9262F">
        <w:t xml:space="preserve"> and</w:t>
      </w:r>
      <w:r>
        <w:t xml:space="preserve"> qualitative</w:t>
      </w:r>
      <w:r w:rsidR="00C9262F">
        <w:t xml:space="preserve"> interviews</w:t>
      </w:r>
      <w:r w:rsidR="000B52F8">
        <w:t>.</w:t>
      </w:r>
    </w:p>
    <w:p w:rsidR="00DE07FE" w:rsidRDefault="00DE07FE" w:rsidP="000B52F8"/>
    <w:p w:rsidR="009640BF" w:rsidRDefault="009640BF" w:rsidP="000B52F8"/>
    <w:p w:rsidR="00DE07FE" w:rsidRDefault="00DE07FE" w:rsidP="00DE07FE">
      <w:pPr>
        <w:rPr>
          <w:i/>
        </w:rPr>
      </w:pPr>
      <w:r w:rsidRPr="003F6AEB">
        <w:rPr>
          <w:i/>
        </w:rPr>
        <w:t xml:space="preserve">Selecting </w:t>
      </w:r>
      <w:r>
        <w:rPr>
          <w:i/>
        </w:rPr>
        <w:t>Organizations</w:t>
      </w:r>
      <w:r w:rsidRPr="003F6AEB">
        <w:rPr>
          <w:i/>
        </w:rPr>
        <w:t xml:space="preserve"> </w:t>
      </w:r>
      <w:r>
        <w:rPr>
          <w:i/>
        </w:rPr>
        <w:t>for RQ3</w:t>
      </w:r>
    </w:p>
    <w:p w:rsidR="00DE07FE" w:rsidRDefault="00DE07FE" w:rsidP="00DE07FE">
      <w:pPr>
        <w:rPr>
          <w:rFonts w:eastAsia="AppleGothic"/>
          <w:b/>
          <w:bCs/>
          <w:spacing w:val="1"/>
        </w:rPr>
      </w:pPr>
    </w:p>
    <w:p w:rsidR="00DE07FE" w:rsidRDefault="00DE07FE" w:rsidP="00DE07FE">
      <w:r w:rsidRPr="003F6AEB">
        <w:rPr>
          <w:b/>
        </w:rPr>
        <w:t>Universe:</w:t>
      </w:r>
      <w:r>
        <w:rPr>
          <w:b/>
        </w:rPr>
        <w:t xml:space="preserve"> </w:t>
      </w:r>
      <w:r>
        <w:t xml:space="preserve">The universe for RQ3 is all of the organizations, both incumbent grantees and new competitors, </w:t>
      </w:r>
      <w:r w:rsidR="00872936">
        <w:t xml:space="preserve">which </w:t>
      </w:r>
      <w:r>
        <w:t>participate in the competitive grant application process</w:t>
      </w:r>
      <w:r w:rsidR="00872936">
        <w:t xml:space="preserve"> expected to take place between March and May 2014</w:t>
      </w:r>
      <w:r w:rsidR="000F4F74">
        <w:t xml:space="preserve"> for DRS Cohort 3</w:t>
      </w:r>
      <w:r>
        <w:t>.  T</w:t>
      </w:r>
      <w:r w:rsidR="00872936">
        <w:t xml:space="preserve">he size of this </w:t>
      </w:r>
      <w:r>
        <w:t xml:space="preserve">universe is unknown due to the newness of </w:t>
      </w:r>
      <w:r w:rsidR="001C6CDC">
        <w:t xml:space="preserve">the </w:t>
      </w:r>
      <w:r>
        <w:t xml:space="preserve">competitive five year grant process.  However, 500 applications were received for the </w:t>
      </w:r>
      <w:r w:rsidR="00843A46">
        <w:t xml:space="preserve">Cohort </w:t>
      </w:r>
      <w:r>
        <w:t xml:space="preserve">1 competition cycle so the universe is </w:t>
      </w:r>
      <w:r w:rsidR="000F4F74">
        <w:t>expected to be of relatively similar size</w:t>
      </w:r>
      <w:r>
        <w:t xml:space="preserve">.  </w:t>
      </w:r>
    </w:p>
    <w:p w:rsidR="00DE07FE" w:rsidRDefault="00DE07FE" w:rsidP="000B52F8"/>
    <w:p w:rsidR="007C4DA4" w:rsidRDefault="00DE07FE" w:rsidP="007C4DA4">
      <w:r>
        <w:t xml:space="preserve">The first part of RQ3 assesses the reality of the competitive process – What does the competition look like?  This type of assessment requires collection of data to describe the </w:t>
      </w:r>
      <w:r w:rsidR="00F86C03">
        <w:t xml:space="preserve">number and characteristics </w:t>
      </w:r>
      <w:r>
        <w:t xml:space="preserve">of competitors.  </w:t>
      </w:r>
      <w:r w:rsidR="00F86C03">
        <w:t>These data will be collected through an instrument designed for the purpose of this research, the</w:t>
      </w:r>
      <w:r>
        <w:t xml:space="preserve"> Competition Data Capture Sheet (CDCS</w:t>
      </w:r>
      <w:r w:rsidR="00EA6927">
        <w:t>) (Appendix N).</w:t>
      </w:r>
      <w:r w:rsidR="007C5F38">
        <w:t xml:space="preserve">  </w:t>
      </w:r>
      <w:r w:rsidR="00BF35C0">
        <w:t xml:space="preserve">ACF </w:t>
      </w:r>
      <w:r w:rsidR="000B52F8">
        <w:t>will administer the CDCS as part of the F</w:t>
      </w:r>
      <w:r w:rsidR="00F86C03">
        <w:t xml:space="preserve">unding </w:t>
      </w:r>
      <w:r w:rsidR="000B52F8">
        <w:t>O</w:t>
      </w:r>
      <w:r w:rsidR="00F86C03">
        <w:t xml:space="preserve">pportunity </w:t>
      </w:r>
      <w:r w:rsidR="000B52F8">
        <w:t>A</w:t>
      </w:r>
      <w:r w:rsidR="00F86C03">
        <w:t>nnouncement</w:t>
      </w:r>
      <w:r w:rsidR="00933268">
        <w:t xml:space="preserve"> (FOA)</w:t>
      </w:r>
      <w:r w:rsidR="00F86C03">
        <w:t xml:space="preserve"> and application</w:t>
      </w:r>
      <w:r w:rsidR="000B52F8">
        <w:t xml:space="preserve"> process </w:t>
      </w:r>
      <w:r w:rsidR="008E7BB2">
        <w:t xml:space="preserve">in Spring 2014, </w:t>
      </w:r>
      <w:r w:rsidR="000B52F8">
        <w:t xml:space="preserve">and then provide the </w:t>
      </w:r>
      <w:r w:rsidR="007C4DA4">
        <w:t xml:space="preserve">capture </w:t>
      </w:r>
      <w:r w:rsidR="000B52F8">
        <w:t>sheet</w:t>
      </w:r>
      <w:r w:rsidR="007C4DA4">
        <w:t>s</w:t>
      </w:r>
      <w:r w:rsidR="000B52F8">
        <w:t xml:space="preserve"> to the evaluation team.  </w:t>
      </w:r>
    </w:p>
    <w:p w:rsidR="007C4DA4" w:rsidRDefault="007C4DA4" w:rsidP="007C4DA4"/>
    <w:p w:rsidR="000B52F8" w:rsidRDefault="007C4DA4" w:rsidP="007C4DA4">
      <w:r w:rsidRPr="007C4DA4">
        <w:rPr>
          <w:b/>
        </w:rPr>
        <w:t>Sampling Frame D</w:t>
      </w:r>
      <w:r>
        <w:t xml:space="preserve"> will be comprised of a</w:t>
      </w:r>
      <w:r w:rsidR="000B52F8">
        <w:t xml:space="preserve">ll organizations </w:t>
      </w:r>
      <w:r w:rsidR="008E7BB2">
        <w:t xml:space="preserve">participating in the competitive grant application for DRS </w:t>
      </w:r>
      <w:r w:rsidR="00C5144E">
        <w:t>C</w:t>
      </w:r>
      <w:r w:rsidR="008E7BB2">
        <w:t>ohort 3</w:t>
      </w:r>
      <w:r w:rsidR="000B52F8">
        <w:t>.  Sampling will not occur for this data collection because we cannot get a count of how much competition has occurred without collecting data from all applicants.</w:t>
      </w:r>
      <w:r w:rsidR="008371B6">
        <w:t xml:space="preserve">  </w:t>
      </w:r>
    </w:p>
    <w:p w:rsidR="00C9262F" w:rsidRDefault="00C9262F" w:rsidP="000B52F8"/>
    <w:p w:rsidR="00C9262F" w:rsidRDefault="007C4DA4" w:rsidP="000B52F8">
      <w:r>
        <w:t xml:space="preserve">The second part of RQ3 </w:t>
      </w:r>
      <w:r w:rsidR="00F86C03">
        <w:t>examines h</w:t>
      </w:r>
      <w:r>
        <w:t xml:space="preserve">ow </w:t>
      </w:r>
      <w:r w:rsidR="00F86C03">
        <w:t xml:space="preserve">organizations </w:t>
      </w:r>
      <w:r>
        <w:t>respond in communities where Head Start grantees are designated for competition</w:t>
      </w:r>
      <w:r w:rsidR="000F4F74">
        <w:t>.</w:t>
      </w:r>
      <w:r>
        <w:t xml:space="preserve">  This type of assessment suggests the use of exploratory interviews, similar to those described for RQ2 but with an emphasis on experiences </w:t>
      </w:r>
      <w:r w:rsidR="00F86C03">
        <w:t xml:space="preserve">with </w:t>
      </w:r>
      <w:r>
        <w:t>and responses to the competitive process.</w:t>
      </w:r>
      <w:r w:rsidR="000A4FAC">
        <w:t xml:space="preserve"> Incumbent grantees that would have been eligible to compete, but have chosen not to do so, will not be included in the sampling frame.  There have been fewer than five such grantees since the DRS process began.</w:t>
      </w:r>
    </w:p>
    <w:p w:rsidR="008E7BB2" w:rsidRDefault="008E7BB2" w:rsidP="000B52F8"/>
    <w:p w:rsidR="00BD1CF3" w:rsidRDefault="008E7BB2" w:rsidP="00BD1CF3">
      <w:r>
        <w:rPr>
          <w:b/>
        </w:rPr>
        <w:t xml:space="preserve">Sampling </w:t>
      </w:r>
      <w:r w:rsidR="00C5144E">
        <w:rPr>
          <w:b/>
        </w:rPr>
        <w:t>F</w:t>
      </w:r>
      <w:r>
        <w:rPr>
          <w:b/>
        </w:rPr>
        <w:t xml:space="preserve">rame E </w:t>
      </w:r>
      <w:r>
        <w:t xml:space="preserve">will be made up of the </w:t>
      </w:r>
      <w:r w:rsidR="00F86C03">
        <w:t>grantees receiving an award through the DRS Cohort 3 competitive process</w:t>
      </w:r>
      <w:r>
        <w:t xml:space="preserve">.  The application process </w:t>
      </w:r>
      <w:r w:rsidR="00F86C03">
        <w:t>is expected to</w:t>
      </w:r>
      <w:r>
        <w:t xml:space="preserve"> take place in March-May 2014, and awards </w:t>
      </w:r>
      <w:r w:rsidR="00C43557">
        <w:t xml:space="preserve">are expected around </w:t>
      </w:r>
      <w:r>
        <w:t xml:space="preserve">December 2014.  Thus, the </w:t>
      </w:r>
      <w:r w:rsidR="00C43557">
        <w:t xml:space="preserve">size of the </w:t>
      </w:r>
      <w:r>
        <w:t xml:space="preserve">sampling frame is not known at this time.  The </w:t>
      </w:r>
      <w:r w:rsidR="00933268">
        <w:t>CDCS</w:t>
      </w:r>
      <w:r>
        <w:t xml:space="preserve"> will capture the characteristics of the sampling frame. Purposive </w:t>
      </w:r>
      <w:r>
        <w:lastRenderedPageBreak/>
        <w:t xml:space="preserve">selection of grantees in this frame will focus on maximizing diversity in characteristics such as </w:t>
      </w:r>
      <w:r w:rsidR="00676B85">
        <w:t>grantee</w:t>
      </w:r>
      <w:r>
        <w:t xml:space="preserve"> size (funded enrollment), rural/urban status, auspice, region, reason for designation for competition, and previous relationship to Head Start. Our sample of nine will include </w:t>
      </w:r>
      <w:r w:rsidRPr="000B52F8">
        <w:t>four</w:t>
      </w:r>
      <w:r>
        <w:t xml:space="preserve"> incumbent grantees and </w:t>
      </w:r>
      <w:r w:rsidRPr="000B52F8">
        <w:t>five</w:t>
      </w:r>
      <w:r>
        <w:t xml:space="preserve"> </w:t>
      </w:r>
      <w:r w:rsidR="007C4DA4">
        <w:t>new awardees</w:t>
      </w:r>
      <w:r>
        <w:t xml:space="preserve">. Grantees selected for this sample will participate in a one-to-two day site visit that will involve </w:t>
      </w:r>
      <w:r w:rsidR="006E03A4">
        <w:t>Competition I</w:t>
      </w:r>
      <w:r>
        <w:t>n-</w:t>
      </w:r>
      <w:r w:rsidR="006E03A4">
        <w:t>D</w:t>
      </w:r>
      <w:r>
        <w:t xml:space="preserve">epth </w:t>
      </w:r>
      <w:r w:rsidR="006E03A4">
        <w:t>I</w:t>
      </w:r>
      <w:r>
        <w:t xml:space="preserve">nterviews with the Head Start </w:t>
      </w:r>
      <w:r w:rsidR="006E03A4">
        <w:t>P</w:t>
      </w:r>
      <w:r>
        <w:t xml:space="preserve">rogram </w:t>
      </w:r>
      <w:r w:rsidR="006E03A4">
        <w:t>D</w:t>
      </w:r>
      <w:r>
        <w:t xml:space="preserve">irector, </w:t>
      </w:r>
      <w:r w:rsidR="006E03A4" w:rsidRPr="001C6CDC">
        <w:t>A</w:t>
      </w:r>
      <w:r w:rsidR="00EA6927" w:rsidRPr="001C6CDC">
        <w:t>gency</w:t>
      </w:r>
      <w:r w:rsidR="00EA6927">
        <w:t xml:space="preserve"> </w:t>
      </w:r>
      <w:r w:rsidR="006E03A4">
        <w:t>D</w:t>
      </w:r>
      <w:r w:rsidR="00EA6927">
        <w:t xml:space="preserve">irector (if different from the program director), </w:t>
      </w:r>
      <w:r w:rsidR="006E03A4">
        <w:t>G</w:t>
      </w:r>
      <w:r>
        <w:t xml:space="preserve">overning </w:t>
      </w:r>
      <w:r w:rsidR="006E03A4">
        <w:t>B</w:t>
      </w:r>
      <w:r>
        <w:t>ody</w:t>
      </w:r>
      <w:r w:rsidR="007C4DA4">
        <w:t xml:space="preserve"> and </w:t>
      </w:r>
      <w:r w:rsidR="006E03A4">
        <w:t>P</w:t>
      </w:r>
      <w:r w:rsidR="007C4DA4">
        <w:t xml:space="preserve">olicy </w:t>
      </w:r>
      <w:r w:rsidR="006E03A4">
        <w:t>C</w:t>
      </w:r>
      <w:r w:rsidR="007C4DA4">
        <w:t>ouncil members</w:t>
      </w:r>
      <w:r>
        <w:t xml:space="preserve">, and </w:t>
      </w:r>
      <w:r w:rsidR="006E03A4">
        <w:t>P</w:t>
      </w:r>
      <w:r>
        <w:t xml:space="preserve">rogram </w:t>
      </w:r>
      <w:r w:rsidR="006E03A4">
        <w:t>M</w:t>
      </w:r>
      <w:r>
        <w:t>anagers</w:t>
      </w:r>
      <w:r w:rsidR="00EA6927">
        <w:t xml:space="preserve"> (Appendices K-M)</w:t>
      </w:r>
      <w:r>
        <w:t xml:space="preserve">. Interviews will focus on </w:t>
      </w:r>
      <w:r w:rsidR="007C4DA4">
        <w:t>organizational</w:t>
      </w:r>
      <w:r>
        <w:t xml:space="preserve"> decisions to apply for competitive funding, the participation of partners in the process, how their relationship to Head Start did/did not change in the process, how their relationship to the community did/did not change in the process, what they knew about the challenges faced in the community and how they proposed addressing those challenges, what barriers they expected in applying, what barrier</w:t>
      </w:r>
      <w:r w:rsidR="007C4DA4">
        <w:t>s they actually faced, how they</w:t>
      </w:r>
      <w:r>
        <w:t xml:space="preserve"> experienced the process as a whole, and how having competed is likely to shape their thinking as they move forward in the implementation of their Head Start grant.</w:t>
      </w:r>
    </w:p>
    <w:p w:rsidR="008E7BB2" w:rsidRDefault="008E7BB2" w:rsidP="00BD1CF3"/>
    <w:p w:rsidR="00DA746C" w:rsidRPr="00174A9E" w:rsidRDefault="007C4DA4" w:rsidP="00BD1CF3">
      <w:pPr>
        <w:pStyle w:val="Heading1"/>
        <w:spacing w:before="0" w:after="0"/>
        <w:rPr>
          <w:rFonts w:ascii="Times New Roman" w:hAnsi="Times New Roman"/>
          <w:sz w:val="24"/>
        </w:rPr>
      </w:pPr>
      <w:bookmarkStart w:id="4" w:name="_Toc347409181"/>
      <w:r w:rsidRPr="007B0D49">
        <w:rPr>
          <w:rFonts w:ascii="Times New Roman" w:hAnsi="Times New Roman"/>
          <w:sz w:val="28"/>
        </w:rPr>
        <w:t>B</w:t>
      </w:r>
      <w:r w:rsidR="00E05A0A" w:rsidRPr="007B0D49">
        <w:rPr>
          <w:rFonts w:ascii="Times New Roman" w:hAnsi="Times New Roman"/>
          <w:sz w:val="28"/>
        </w:rPr>
        <w:t>2. Procedures for Collection of Information</w:t>
      </w:r>
      <w:bookmarkEnd w:id="4"/>
    </w:p>
    <w:p w:rsidR="00EA5804" w:rsidRDefault="00EA5804" w:rsidP="00BD1CF3">
      <w:pPr>
        <w:rPr>
          <w:highlight w:val="yellow"/>
        </w:rPr>
      </w:pPr>
    </w:p>
    <w:p w:rsidR="00174A9E" w:rsidRDefault="00174A9E" w:rsidP="00BD1CF3">
      <w:pPr>
        <w:rPr>
          <w:b/>
        </w:rPr>
      </w:pPr>
      <w:r>
        <w:rPr>
          <w:b/>
        </w:rPr>
        <w:t xml:space="preserve">RQ1: How effective </w:t>
      </w:r>
      <w:r w:rsidRPr="00174A9E">
        <w:rPr>
          <w:b/>
        </w:rPr>
        <w:t xml:space="preserve">is the DRS in identifying higher and lower quality Head Start </w:t>
      </w:r>
      <w:r w:rsidR="00676B85">
        <w:rPr>
          <w:b/>
        </w:rPr>
        <w:t>grantee</w:t>
      </w:r>
      <w:r w:rsidRPr="00174A9E">
        <w:rPr>
          <w:b/>
        </w:rPr>
        <w:t>s?</w:t>
      </w:r>
    </w:p>
    <w:p w:rsidR="00174A9E" w:rsidRPr="00174A9E" w:rsidRDefault="00174A9E" w:rsidP="00EA5804">
      <w:pPr>
        <w:rPr>
          <w:u w:val="single"/>
        </w:rPr>
      </w:pPr>
    </w:p>
    <w:p w:rsidR="00BD1CF3" w:rsidRDefault="00174A9E" w:rsidP="00EA5804">
      <w:pPr>
        <w:rPr>
          <w:u w:val="single"/>
        </w:rPr>
      </w:pPr>
      <w:r w:rsidRPr="00174A9E">
        <w:rPr>
          <w:u w:val="single"/>
        </w:rPr>
        <w:t>Recruitment</w:t>
      </w:r>
    </w:p>
    <w:p w:rsidR="00174A9E" w:rsidRPr="00174A9E" w:rsidRDefault="00174A9E" w:rsidP="00EA5804">
      <w:pPr>
        <w:rPr>
          <w:u w:val="single"/>
        </w:rPr>
      </w:pPr>
    </w:p>
    <w:p w:rsidR="00EA5804" w:rsidRPr="00174A9E" w:rsidRDefault="002958AC" w:rsidP="00EA5804">
      <w:r w:rsidRPr="00174A9E">
        <w:t xml:space="preserve">Sample recruitment </w:t>
      </w:r>
      <w:r w:rsidR="001979E6" w:rsidRPr="00174A9E">
        <w:t xml:space="preserve">for </w:t>
      </w:r>
      <w:r w:rsidR="00174A9E" w:rsidRPr="00174A9E">
        <w:t>this</w:t>
      </w:r>
      <w:r w:rsidR="001979E6" w:rsidRPr="00174A9E">
        <w:t xml:space="preserve"> portion of the study </w:t>
      </w:r>
      <w:r w:rsidRPr="00174A9E">
        <w:t>will begin one month after receiving OMB approval</w:t>
      </w:r>
      <w:r w:rsidR="000F4F74">
        <w:t xml:space="preserve"> for this data collection effort</w:t>
      </w:r>
      <w:r w:rsidRPr="00174A9E">
        <w:t xml:space="preserve">.  The </w:t>
      </w:r>
      <w:r w:rsidR="00F51BE5" w:rsidRPr="00174A9E">
        <w:t xml:space="preserve">research team </w:t>
      </w:r>
      <w:r w:rsidRPr="00174A9E">
        <w:t xml:space="preserve">will collate available information about Head </w:t>
      </w:r>
      <w:r w:rsidR="00AD4AD8" w:rsidRPr="00174A9E">
        <w:t>Start</w:t>
      </w:r>
      <w:r w:rsidR="00AD4AD8">
        <w:t xml:space="preserve"> grantees</w:t>
      </w:r>
      <w:r w:rsidR="00C43557">
        <w:t xml:space="preserve"> and centers included in the sample, including</w:t>
      </w:r>
      <w:r w:rsidRPr="00174A9E">
        <w:t xml:space="preserve"> director name, phone number, and e-mail (if available), </w:t>
      </w:r>
      <w:r w:rsidR="00676B85">
        <w:t>grantee</w:t>
      </w:r>
      <w:r w:rsidRPr="00174A9E">
        <w:t xml:space="preserve"> physical and e-mail address, language preference, program hours, and grantee/delegate status</w:t>
      </w:r>
      <w:r w:rsidR="00C43557">
        <w:t>.</w:t>
      </w:r>
      <w:r w:rsidR="009A3967" w:rsidRPr="00174A9E">
        <w:t xml:space="preserve"> </w:t>
      </w:r>
    </w:p>
    <w:p w:rsidR="003F6AEB" w:rsidRPr="00174A9E" w:rsidRDefault="003F6AEB" w:rsidP="00EA5804"/>
    <w:p w:rsidR="002958AC" w:rsidRPr="00B11CE5" w:rsidRDefault="00152BFC" w:rsidP="00174A9E">
      <w:r w:rsidRPr="00B11CE5">
        <w:t>A member of the</w:t>
      </w:r>
      <w:r w:rsidR="002958AC" w:rsidRPr="00B11CE5">
        <w:t xml:space="preserve"> </w:t>
      </w:r>
      <w:r w:rsidRPr="00B11CE5">
        <w:t xml:space="preserve">research team </w:t>
      </w:r>
      <w:r w:rsidR="002958AC" w:rsidRPr="00B11CE5">
        <w:t xml:space="preserve">will initiate the first call (see </w:t>
      </w:r>
      <w:r w:rsidR="006E03A4" w:rsidRPr="006E03A4">
        <w:t>Phone Script for Contacting Head Start Grantee</w:t>
      </w:r>
      <w:r w:rsidR="00A1163A">
        <w:t>s</w:t>
      </w:r>
      <w:r w:rsidR="00F33CCA" w:rsidRPr="00B11CE5">
        <w:t xml:space="preserve">, </w:t>
      </w:r>
      <w:r w:rsidR="002958AC" w:rsidRPr="00B11CE5">
        <w:t xml:space="preserve">Appendix </w:t>
      </w:r>
      <w:r w:rsidR="00EA6927" w:rsidRPr="00B11CE5">
        <w:t>O1.3</w:t>
      </w:r>
      <w:r w:rsidR="002958AC" w:rsidRPr="00B11CE5">
        <w:t xml:space="preserve">) to each </w:t>
      </w:r>
      <w:r w:rsidR="0068484C" w:rsidRPr="00B11CE5">
        <w:t xml:space="preserve">Head Start </w:t>
      </w:r>
      <w:r w:rsidR="00F30B78" w:rsidRPr="00B11CE5">
        <w:t>Program Director at the grantee-level</w:t>
      </w:r>
      <w:r w:rsidR="00F30B78" w:rsidRPr="00B11CE5" w:rsidDel="00F30B78">
        <w:t xml:space="preserve"> </w:t>
      </w:r>
      <w:r w:rsidR="002958AC" w:rsidRPr="00B11CE5">
        <w:t xml:space="preserve">seeking their participation and </w:t>
      </w:r>
      <w:r w:rsidR="00126FB1" w:rsidRPr="00B11CE5">
        <w:t>highlighting the value of their participating in the evaluation of the DRS</w:t>
      </w:r>
      <w:r w:rsidR="002958AC" w:rsidRPr="00B11CE5">
        <w:t xml:space="preserve"> and how the results will be used. </w:t>
      </w:r>
      <w:r w:rsidR="00F51BE5" w:rsidRPr="00B11CE5">
        <w:t xml:space="preserve">We also will </w:t>
      </w:r>
      <w:r w:rsidR="002958AC" w:rsidRPr="00B11CE5">
        <w:t xml:space="preserve">ask the </w:t>
      </w:r>
      <w:r w:rsidR="0068484C" w:rsidRPr="00B11CE5">
        <w:t>grantee</w:t>
      </w:r>
      <w:r w:rsidR="00FA0262" w:rsidRPr="00B11CE5">
        <w:t>-level director</w:t>
      </w:r>
      <w:r w:rsidR="0068484C" w:rsidRPr="00B11CE5">
        <w:t xml:space="preserve"> </w:t>
      </w:r>
      <w:r w:rsidR="002958AC" w:rsidRPr="00B11CE5">
        <w:t xml:space="preserve">to </w:t>
      </w:r>
      <w:r w:rsidR="00FA0262" w:rsidRPr="00B11CE5">
        <w:t>email</w:t>
      </w:r>
      <w:r w:rsidR="002958AC" w:rsidRPr="00B11CE5">
        <w:t xml:space="preserve"> </w:t>
      </w:r>
      <w:r w:rsidR="0068484C" w:rsidRPr="00B11CE5">
        <w:t xml:space="preserve">center directors </w:t>
      </w:r>
      <w:r w:rsidR="002958AC" w:rsidRPr="00B11CE5">
        <w:t xml:space="preserve">to introduce the study, demonstrate their approval of this project, and encourage </w:t>
      </w:r>
      <w:r w:rsidR="0068484C" w:rsidRPr="00B11CE5">
        <w:t xml:space="preserve">center directors </w:t>
      </w:r>
      <w:r w:rsidR="002958AC" w:rsidRPr="00B11CE5">
        <w:t>to participate</w:t>
      </w:r>
      <w:r w:rsidR="00FA0262" w:rsidRPr="00B11CE5">
        <w:t xml:space="preserve"> (see</w:t>
      </w:r>
      <w:r w:rsidR="006E03A4" w:rsidRPr="006E03A4">
        <w:t xml:space="preserve"> Email from Head Start Program Director at the</w:t>
      </w:r>
      <w:r w:rsidR="006E03A4">
        <w:t xml:space="preserve"> Grantee-Level to Notify Center Director of Study Permission</w:t>
      </w:r>
      <w:r w:rsidR="00F33CCA" w:rsidRPr="00B11CE5">
        <w:t xml:space="preserve">, Appendix </w:t>
      </w:r>
      <w:r w:rsidR="00EA6927" w:rsidRPr="00B11CE5">
        <w:t>O1.5</w:t>
      </w:r>
      <w:r w:rsidR="00FA0262" w:rsidRPr="00B11CE5">
        <w:t>)</w:t>
      </w:r>
      <w:r w:rsidR="002958AC" w:rsidRPr="00B11CE5">
        <w:t xml:space="preserve">. </w:t>
      </w:r>
    </w:p>
    <w:p w:rsidR="003F6AEB" w:rsidRPr="00B11CE5" w:rsidRDefault="003F6AEB" w:rsidP="002958AC">
      <w:pPr>
        <w:ind w:firstLine="360"/>
      </w:pPr>
    </w:p>
    <w:p w:rsidR="002958AC" w:rsidRPr="00174A9E" w:rsidRDefault="00174A9E" w:rsidP="00174A9E">
      <w:r w:rsidRPr="00B11CE5">
        <w:t>The research team</w:t>
      </w:r>
      <w:r w:rsidR="002958AC" w:rsidRPr="00B11CE5">
        <w:t xml:space="preserve"> will </w:t>
      </w:r>
      <w:r w:rsidR="00FA0262" w:rsidRPr="00B11CE5">
        <w:t xml:space="preserve">send each selected Head Start Center Director an </w:t>
      </w:r>
      <w:r w:rsidR="006E03A4">
        <w:t>I</w:t>
      </w:r>
      <w:r w:rsidR="00FA0262" w:rsidRPr="00B11CE5">
        <w:t xml:space="preserve">nformational </w:t>
      </w:r>
      <w:r w:rsidR="006E03A4">
        <w:t>L</w:t>
      </w:r>
      <w:r w:rsidR="00FA0262" w:rsidRPr="00B11CE5">
        <w:t xml:space="preserve">etter (see Appendix </w:t>
      </w:r>
      <w:r w:rsidR="00E41E57" w:rsidRPr="00B11CE5">
        <w:t>O2.1</w:t>
      </w:r>
      <w:r w:rsidR="00FA0262" w:rsidRPr="00B11CE5">
        <w:t>) about the study followed by</w:t>
      </w:r>
      <w:r w:rsidR="002958AC" w:rsidRPr="00B11CE5">
        <w:t xml:space="preserve"> phone calls using a pre-developed </w:t>
      </w:r>
      <w:r w:rsidR="006E03A4" w:rsidRPr="00BC6B5E">
        <w:rPr>
          <w:bCs/>
        </w:rPr>
        <w:t>Phone Script for Contacting Head Start Center</w:t>
      </w:r>
      <w:r w:rsidR="00A1163A">
        <w:rPr>
          <w:bCs/>
        </w:rPr>
        <w:t xml:space="preserve"> </w:t>
      </w:r>
      <w:r w:rsidR="002958AC" w:rsidRPr="00B11CE5">
        <w:t xml:space="preserve">(see Appendix </w:t>
      </w:r>
      <w:r w:rsidR="00E41E57" w:rsidRPr="00B11CE5">
        <w:t>O2.3</w:t>
      </w:r>
      <w:r w:rsidR="00ED5851" w:rsidRPr="00B11CE5">
        <w:t xml:space="preserve">) </w:t>
      </w:r>
      <w:r w:rsidR="00126FB1" w:rsidRPr="00B11CE5">
        <w:t>highlighting</w:t>
      </w:r>
      <w:r w:rsidR="002958AC" w:rsidRPr="00B11CE5">
        <w:t xml:space="preserve"> that participation will aid in </w:t>
      </w:r>
      <w:r w:rsidR="00C43557">
        <w:t>understanding the effectiveness of</w:t>
      </w:r>
      <w:r w:rsidR="00C43557" w:rsidRPr="00B11CE5" w:rsidDel="00C43557">
        <w:t xml:space="preserve"> </w:t>
      </w:r>
      <w:r w:rsidR="002958AC" w:rsidRPr="00B11CE5">
        <w:t xml:space="preserve">the DRS and that the data collected </w:t>
      </w:r>
      <w:r w:rsidRPr="00B11CE5">
        <w:t>will be kept private, meaning that the data we collect will only be used for the purposes of this research</w:t>
      </w:r>
      <w:r w:rsidR="002958AC" w:rsidRPr="00B11CE5">
        <w:t xml:space="preserve">. </w:t>
      </w:r>
      <w:r w:rsidR="00E0266B" w:rsidRPr="00B11CE5">
        <w:t xml:space="preserve">Verbal consent will be obtained from center directors during this call (see informed consent document in </w:t>
      </w:r>
      <w:r w:rsidR="00E0266B" w:rsidRPr="0021093F">
        <w:t xml:space="preserve">Appendix </w:t>
      </w:r>
      <w:r w:rsidR="00E41E57" w:rsidRPr="0021093F">
        <w:t>O2.4</w:t>
      </w:r>
      <w:r w:rsidR="00E0266B" w:rsidRPr="0021093F">
        <w:t xml:space="preserve">). </w:t>
      </w:r>
      <w:r w:rsidR="002958AC" w:rsidRPr="0021093F">
        <w:t>If</w:t>
      </w:r>
      <w:r w:rsidR="002958AC" w:rsidRPr="00174A9E">
        <w:t xml:space="preserve"> </w:t>
      </w:r>
      <w:r w:rsidR="00F51BE5" w:rsidRPr="00174A9E">
        <w:t xml:space="preserve">center </w:t>
      </w:r>
      <w:r w:rsidR="002958AC" w:rsidRPr="00174A9E">
        <w:t xml:space="preserve">directors agree to participate in the study, </w:t>
      </w:r>
      <w:r w:rsidRPr="00174A9E">
        <w:t>the research team</w:t>
      </w:r>
      <w:r w:rsidR="002958AC" w:rsidRPr="00174A9E">
        <w:t xml:space="preserve"> will</w:t>
      </w:r>
      <w:r w:rsidR="00E0266B" w:rsidRPr="00174A9E">
        <w:t xml:space="preserve"> then schedule site visits</w:t>
      </w:r>
      <w:r w:rsidR="00126FB1" w:rsidRPr="00174A9E">
        <w:t xml:space="preserve"> (or the program director at the grantee level will be notified to begin scheduling of visit</w:t>
      </w:r>
      <w:r w:rsidR="00805F07">
        <w:t>s</w:t>
      </w:r>
      <w:r w:rsidR="00126FB1" w:rsidRPr="00174A9E">
        <w:t xml:space="preserve"> if they prefer to handle scheduling)</w:t>
      </w:r>
      <w:r w:rsidR="002958AC" w:rsidRPr="00174A9E">
        <w:t xml:space="preserve">.  Each site visit will last </w:t>
      </w:r>
      <w:r w:rsidR="00F57BFF">
        <w:t>up to</w:t>
      </w:r>
      <w:r w:rsidR="002958AC" w:rsidRPr="00174A9E">
        <w:t xml:space="preserve"> </w:t>
      </w:r>
      <w:r w:rsidR="002958AC" w:rsidRPr="00B821E7">
        <w:t>5</w:t>
      </w:r>
      <w:r w:rsidR="002958AC" w:rsidRPr="00174A9E">
        <w:t xml:space="preserve"> days </w:t>
      </w:r>
      <w:r w:rsidR="002958AC" w:rsidRPr="00174A9E">
        <w:lastRenderedPageBreak/>
        <w:t xml:space="preserve">consisting of interviews with </w:t>
      </w:r>
      <w:r w:rsidR="00A64DB4" w:rsidRPr="00174A9E">
        <w:t xml:space="preserve">grantee </w:t>
      </w:r>
      <w:r w:rsidR="002958AC" w:rsidRPr="00174A9E">
        <w:t xml:space="preserve">staff, the center director, and </w:t>
      </w:r>
      <w:r w:rsidR="00A64DB4" w:rsidRPr="00174A9E">
        <w:t xml:space="preserve">selected </w:t>
      </w:r>
      <w:r w:rsidR="002958AC" w:rsidRPr="00174A9E">
        <w:t xml:space="preserve">classroom teachers, as well as classroom observation in each </w:t>
      </w:r>
      <w:r w:rsidR="00A64DB4" w:rsidRPr="00174A9E">
        <w:t xml:space="preserve">selected </w:t>
      </w:r>
      <w:r w:rsidR="002958AC" w:rsidRPr="00174A9E">
        <w:t>class</w:t>
      </w:r>
      <w:r w:rsidR="00A64DB4" w:rsidRPr="00174A9E">
        <w:t>room</w:t>
      </w:r>
      <w:r w:rsidR="002958AC" w:rsidRPr="00174A9E">
        <w:t>. This is detailed below in the on-site data collection activity section.</w:t>
      </w:r>
    </w:p>
    <w:p w:rsidR="002958AC" w:rsidRDefault="002958AC" w:rsidP="002958AC">
      <w:pPr>
        <w:rPr>
          <w:highlight w:val="yellow"/>
        </w:rPr>
      </w:pPr>
    </w:p>
    <w:p w:rsidR="00174A9E" w:rsidRPr="00174A9E" w:rsidRDefault="00174A9E" w:rsidP="002958AC">
      <w:pPr>
        <w:rPr>
          <w:u w:val="single"/>
        </w:rPr>
      </w:pPr>
      <w:r w:rsidRPr="00174A9E">
        <w:rPr>
          <w:u w:val="single"/>
        </w:rPr>
        <w:t>Data Collector Recruitment, Hiring, and Training</w:t>
      </w:r>
    </w:p>
    <w:p w:rsidR="00BD1CF3" w:rsidRDefault="00BD1CF3" w:rsidP="00805F07"/>
    <w:p w:rsidR="000A4FAC" w:rsidRDefault="002958AC" w:rsidP="001534A7">
      <w:r w:rsidRPr="006F7DF7">
        <w:t xml:space="preserve">The data collector recruitment, </w:t>
      </w:r>
      <w:r w:rsidR="003D1417" w:rsidRPr="003D1417">
        <w:t>hiring, and training plan minimizes the negative impact of error during data collection and increase</w:t>
      </w:r>
      <w:r w:rsidR="00805F07">
        <w:t>s</w:t>
      </w:r>
      <w:r w:rsidR="003D1417" w:rsidRPr="003D1417">
        <w:t xml:space="preserve"> the likelihood of retaining trained data collector</w:t>
      </w:r>
      <w:r w:rsidR="00805F07">
        <w:t>s</w:t>
      </w:r>
      <w:r w:rsidR="003D1417" w:rsidRPr="003D1417">
        <w:t xml:space="preserve"> throughout the data collection period.</w:t>
      </w:r>
      <w:r w:rsidR="003D1417">
        <w:t xml:space="preserve">  </w:t>
      </w:r>
      <w:r w:rsidRPr="001534A7">
        <w:t xml:space="preserve">We will recruit staff from within or near the selected Head Start sites to minimize travel time and cost. To avoid potential conflicts of interest data collection staff will not be recruited from the pool of data collectors who collect data for the OHS monitoring process. </w:t>
      </w:r>
      <w:r w:rsidR="00FA00DA" w:rsidRPr="003020C4">
        <w:rPr>
          <w:color w:val="000000" w:themeColor="text1"/>
        </w:rPr>
        <w:t xml:space="preserve">Approximately </w:t>
      </w:r>
      <w:r w:rsidR="0064334E">
        <w:rPr>
          <w:color w:val="000000" w:themeColor="text1"/>
        </w:rPr>
        <w:t>half</w:t>
      </w:r>
      <w:r w:rsidR="0064334E" w:rsidRPr="003020C4">
        <w:rPr>
          <w:color w:val="000000" w:themeColor="text1"/>
        </w:rPr>
        <w:t xml:space="preserve"> </w:t>
      </w:r>
      <w:r w:rsidR="00FA00DA" w:rsidRPr="003020C4">
        <w:rPr>
          <w:color w:val="000000" w:themeColor="text1"/>
        </w:rPr>
        <w:t xml:space="preserve">of the data collectors will be trained on the Environment Rating Scales (ECERS-R, ECERS-E) and the Child Care Health and Safety Checklist and </w:t>
      </w:r>
      <w:r w:rsidR="0064334E">
        <w:rPr>
          <w:color w:val="000000" w:themeColor="text1"/>
        </w:rPr>
        <w:t>half</w:t>
      </w:r>
      <w:r w:rsidR="0064334E" w:rsidRPr="003020C4">
        <w:rPr>
          <w:color w:val="000000" w:themeColor="text1"/>
        </w:rPr>
        <w:t xml:space="preserve"> </w:t>
      </w:r>
      <w:r w:rsidR="00FA00DA" w:rsidRPr="003020C4">
        <w:rPr>
          <w:color w:val="000000" w:themeColor="text1"/>
        </w:rPr>
        <w:t xml:space="preserve">will be trained on the </w:t>
      </w:r>
      <w:r w:rsidR="00676B85">
        <w:rPr>
          <w:color w:val="000000" w:themeColor="text1"/>
        </w:rPr>
        <w:t>Teacher Style Rating Scale (Adapted TSRS</w:t>
      </w:r>
      <w:r w:rsidR="00FA00DA" w:rsidRPr="003020C4">
        <w:rPr>
          <w:color w:val="000000" w:themeColor="text1"/>
        </w:rPr>
        <w:t xml:space="preserve">), and the CLASS. </w:t>
      </w:r>
      <w:r w:rsidR="0064334E">
        <w:rPr>
          <w:color w:val="000000" w:themeColor="text1"/>
        </w:rPr>
        <w:t xml:space="preserve"> About three-quarters</w:t>
      </w:r>
      <w:r w:rsidR="00FA00DA" w:rsidRPr="003020C4">
        <w:rPr>
          <w:color w:val="000000" w:themeColor="text1"/>
        </w:rPr>
        <w:t xml:space="preserve"> will be trained on the Program Administration Scale (PAS). </w:t>
      </w:r>
    </w:p>
    <w:p w:rsidR="000A4FAC" w:rsidRDefault="000A4FAC" w:rsidP="001534A7"/>
    <w:p w:rsidR="001534A7" w:rsidRDefault="001534A7" w:rsidP="001534A7">
      <w:r w:rsidRPr="00B41B77">
        <w:t xml:space="preserve">Initial training of data collectors will take place in a group meeting before data collection commences with the goals of orienting them to the purposes of the study, the procedures required of them, and ethical principles of assessment and data handling, followed by specific training on the measures. During this training, data collectors will be briefed on the provisions for the protection of human subjects approved by the IRB, including procedures for informed consent, confidentiality and privacy (including legal requirement to report abuse or neglect and applicable procedures for that), and data security. Data collectors will also be trained to omit identifying information from any notes, even if respondents use identifying information in response to questions.  </w:t>
      </w:r>
      <w:r w:rsidR="00C43557">
        <w:t xml:space="preserve">Senior </w:t>
      </w:r>
      <w:r w:rsidR="003A5AE3">
        <w:t>contractor</w:t>
      </w:r>
      <w:r w:rsidRPr="00B41B77">
        <w:t xml:space="preserve"> staff </w:t>
      </w:r>
      <w:r w:rsidR="00C43557">
        <w:t xml:space="preserve">experienced with both primary data collection and supervision of data collectors </w:t>
      </w:r>
      <w:r w:rsidRPr="00B41B77">
        <w:t>will provide this initial training.</w:t>
      </w:r>
    </w:p>
    <w:p w:rsidR="001534A7" w:rsidRDefault="001534A7" w:rsidP="001534A7">
      <w:pPr>
        <w:ind w:firstLine="360"/>
      </w:pPr>
    </w:p>
    <w:p w:rsidR="001534A7" w:rsidRPr="00B41B77" w:rsidRDefault="001534A7" w:rsidP="001534A7">
      <w:r w:rsidRPr="00B41B77">
        <w:t xml:space="preserve">Each of the observation assessment instruments has a standardized training process </w:t>
      </w:r>
      <w:r w:rsidR="00C43557">
        <w:t>designed and typically facilitated</w:t>
      </w:r>
      <w:r w:rsidRPr="00B41B77">
        <w:t xml:space="preserve"> by the developers of the scales. </w:t>
      </w:r>
      <w:r w:rsidR="009D7CD1" w:rsidRPr="003020C4">
        <w:rPr>
          <w:color w:val="000000" w:themeColor="text1"/>
        </w:rPr>
        <w:t xml:space="preserve">For the ECERS-R and ECERS-E, as has been done in previous studies, an experienced member of the research team will be trained to reliability by the authors of the measure.  This staff member will then provide the training for the data collectors and serve as the anchor for reliability. </w:t>
      </w:r>
      <w:r w:rsidRPr="00B41B77">
        <w:t xml:space="preserve"> Each consultant will be required to meet a reliability criterion of 80 percent agreement which is calculated by dividing the number of items that were within one scale point of the gold standard score by the total number of items. For example, if the data collector is within one scale point of the experienced staff score f</w:t>
      </w:r>
      <w:r w:rsidRPr="009D7CD1">
        <w:t xml:space="preserve">or </w:t>
      </w:r>
      <w:r w:rsidR="009D7CD1" w:rsidRPr="00F242F2">
        <w:t xml:space="preserve">20 </w:t>
      </w:r>
      <w:r w:rsidRPr="00F242F2">
        <w:t xml:space="preserve">out of the </w:t>
      </w:r>
      <w:r w:rsidR="009D7CD1" w:rsidRPr="00F242F2">
        <w:t>2</w:t>
      </w:r>
      <w:r w:rsidR="00F242F2">
        <w:t>2</w:t>
      </w:r>
      <w:r w:rsidR="009D7CD1" w:rsidRPr="00F242F2">
        <w:t xml:space="preserve"> </w:t>
      </w:r>
      <w:r w:rsidRPr="00F242F2">
        <w:t>items</w:t>
      </w:r>
      <w:r w:rsidRPr="009D7CD1">
        <w:t>,</w:t>
      </w:r>
      <w:r w:rsidRPr="00B41B77">
        <w:t xml:space="preserve"> the reliability score would be 90 percent. Certification of data collectors will be based on observer’s reliability scores, as well as the measure trainer’s qualitative evaluations of each observer. Additional days for reliability will be scheduled for individuals who do not meet the reliability standard. If data collectors do not attain reliability after 5 days of the field observation, they will not be kept on staff for data collection. These procedures are similar to procedures that the study sub-contractor has used in previous studies, such as the Quality Initiatives for Early Care and Education and the National Center for Early Development and Learning. In conjunction with this training, the consultants will also be trained on the </w:t>
      </w:r>
      <w:r w:rsidR="00843A46">
        <w:t xml:space="preserve">Child Care </w:t>
      </w:r>
      <w:r w:rsidRPr="00B41B77">
        <w:t>Health and Safety Checklist. Data collectors will practice using the checklist and certify with a master coder.</w:t>
      </w:r>
    </w:p>
    <w:p w:rsidR="001534A7" w:rsidRPr="00B41B77" w:rsidRDefault="001534A7" w:rsidP="001534A7">
      <w:pPr>
        <w:ind w:firstLine="360"/>
      </w:pPr>
    </w:p>
    <w:p w:rsidR="001534A7" w:rsidRPr="00B41B77" w:rsidRDefault="001534A7" w:rsidP="001534A7">
      <w:r w:rsidRPr="00B41B77">
        <w:t xml:space="preserve">For CLASS, a trainer from </w:t>
      </w:r>
      <w:proofErr w:type="spellStart"/>
      <w:r w:rsidRPr="00B41B77">
        <w:t>Teachstone</w:t>
      </w:r>
      <w:proofErr w:type="spellEnd"/>
      <w:r w:rsidRPr="00B41B77">
        <w:t xml:space="preserve"> will provide a two-day CLASS Observation Training to prepare data collectors to take the test for the CLASS Observer Certification. Data collectors will review materials prior to reliability testing to increase proficiency and accuracy. Data collectors will have 30 days after training to take the test. Once data collectors take and pass the CLASS reliability test, they will be certified for one year. For data collectors who are </w:t>
      </w:r>
      <w:r w:rsidR="00C43557">
        <w:t xml:space="preserve">already </w:t>
      </w:r>
      <w:r w:rsidRPr="00B41B77">
        <w:t xml:space="preserve">certified in CLASS, the Project Coordinator will confirm their certification. For data collectors who require re-certification, they will take and pass the recertification reliability test to be certified for another year. Training for </w:t>
      </w:r>
      <w:r w:rsidR="006A7D24">
        <w:t xml:space="preserve">the </w:t>
      </w:r>
      <w:r w:rsidR="00676B85">
        <w:t>Adapted TSRS</w:t>
      </w:r>
      <w:r w:rsidRPr="00B41B77">
        <w:t xml:space="preserve"> will follow standard procedures developed for previous studies with similar reliability procedures as the CLASS observation.</w:t>
      </w:r>
    </w:p>
    <w:p w:rsidR="001534A7" w:rsidRPr="00B41B77" w:rsidRDefault="001534A7" w:rsidP="001534A7">
      <w:pPr>
        <w:ind w:firstLine="360"/>
      </w:pPr>
    </w:p>
    <w:p w:rsidR="003F6AEB" w:rsidRPr="002026BE" w:rsidRDefault="001534A7" w:rsidP="001534A7">
      <w:pPr>
        <w:rPr>
          <w:highlight w:val="yellow"/>
        </w:rPr>
      </w:pPr>
      <w:r w:rsidRPr="00B41B77">
        <w:t>Data collectors hired to conduct the PAS will attend a four-day reliability training provided by the McCormick Center for Early Childhood Leadership. This intensive training provides an overview of the reliability and validity of the PAS; rating indicators and scoring items; interview protocol for collecting data; verifying documentation; and establishing and maintaining reliability. Certification is valid for two years.</w:t>
      </w:r>
    </w:p>
    <w:p w:rsidR="00A277F2" w:rsidRDefault="00A277F2" w:rsidP="001534A7">
      <w:pPr>
        <w:rPr>
          <w:u w:val="single"/>
        </w:rPr>
      </w:pPr>
    </w:p>
    <w:p w:rsidR="001534A7" w:rsidRPr="001534A7" w:rsidRDefault="001534A7" w:rsidP="001534A7">
      <w:pPr>
        <w:rPr>
          <w:u w:val="single"/>
        </w:rPr>
      </w:pPr>
      <w:r w:rsidRPr="001534A7">
        <w:rPr>
          <w:u w:val="single"/>
        </w:rPr>
        <w:t>Data Collection Procedures</w:t>
      </w:r>
    </w:p>
    <w:p w:rsidR="00BD1CF3" w:rsidRDefault="00BD1CF3" w:rsidP="00AC4681"/>
    <w:p w:rsidR="002958AC" w:rsidRPr="00AC4681" w:rsidRDefault="003A5AE3" w:rsidP="00AC4681">
      <w:r>
        <w:t>The sub-contractor on the r</w:t>
      </w:r>
      <w:r w:rsidR="00126FB1" w:rsidRPr="00AC4681">
        <w:t xml:space="preserve">esearch </w:t>
      </w:r>
      <w:r>
        <w:t>t</w:t>
      </w:r>
      <w:r w:rsidR="00126FB1" w:rsidRPr="00AC4681">
        <w:t>eam</w:t>
      </w:r>
      <w:r w:rsidR="002958AC" w:rsidRPr="00AC4681">
        <w:t xml:space="preserve"> </w:t>
      </w:r>
      <w:r>
        <w:t xml:space="preserve">(Frank Porter Graham Child Development Institute at University of North Carolina-Chapel Hill; FPG) </w:t>
      </w:r>
      <w:r w:rsidR="002958AC" w:rsidRPr="00AC4681">
        <w:t xml:space="preserve">will oversee data collection, management, and analysis at FPG. </w:t>
      </w:r>
      <w:r w:rsidR="00E701E0" w:rsidRPr="00AC4681">
        <w:t xml:space="preserve">The FPG </w:t>
      </w:r>
      <w:r w:rsidR="002958AC" w:rsidRPr="00AC4681">
        <w:t xml:space="preserve">Project Coordinator will </w:t>
      </w:r>
      <w:r w:rsidR="00E701E0" w:rsidRPr="00AC4681">
        <w:t xml:space="preserve">supervise data collectors while on site, will </w:t>
      </w:r>
      <w:r w:rsidR="002958AC" w:rsidRPr="00AC4681">
        <w:t>coordinate observation schedules</w:t>
      </w:r>
      <w:r w:rsidR="00EF16D5" w:rsidRPr="00AC4681">
        <w:t xml:space="preserve"> and will work with research assistant</w:t>
      </w:r>
      <w:r w:rsidR="00126FB1" w:rsidRPr="00AC4681">
        <w:t>s</w:t>
      </w:r>
      <w:r w:rsidR="00EF16D5" w:rsidRPr="00AC4681">
        <w:t xml:space="preserve"> to </w:t>
      </w:r>
      <w:r w:rsidR="002958AC" w:rsidRPr="00AC4681">
        <w:t xml:space="preserve">coordinate scheduling of interviews to align with data collection in each region. </w:t>
      </w:r>
    </w:p>
    <w:p w:rsidR="003F6AEB" w:rsidRPr="00AC4681" w:rsidRDefault="003F6AEB" w:rsidP="002958AC">
      <w:pPr>
        <w:ind w:firstLine="720"/>
        <w:rPr>
          <w:b/>
        </w:rPr>
      </w:pPr>
    </w:p>
    <w:p w:rsidR="003F6AEB" w:rsidRPr="00AC4681" w:rsidRDefault="009D7CD1" w:rsidP="00AC4681">
      <w:r w:rsidRPr="003020C4">
        <w:rPr>
          <w:color w:val="000000" w:themeColor="text1"/>
        </w:rPr>
        <w:t xml:space="preserve">Typically, a two member data collection team will be used, but it depends on the size of the grantee and numbers of classrooms sampled. This team will spend up to </w:t>
      </w:r>
      <w:r w:rsidR="00F57BFF">
        <w:rPr>
          <w:color w:val="000000" w:themeColor="text1"/>
        </w:rPr>
        <w:t>5 business days</w:t>
      </w:r>
      <w:r w:rsidRPr="003020C4">
        <w:rPr>
          <w:color w:val="000000" w:themeColor="text1"/>
        </w:rPr>
        <w:t xml:space="preserve"> (dependent on numbers of sampled classrooms) with grantees and selected programs, collecting observation data, interviews with directors and teachers, and conducting additional ratings as needed. The data collector teams will have one member trained in the </w:t>
      </w:r>
      <w:r w:rsidR="009640BF">
        <w:rPr>
          <w:color w:val="000000" w:themeColor="text1"/>
        </w:rPr>
        <w:t>ECERS</w:t>
      </w:r>
      <w:r w:rsidRPr="003020C4">
        <w:rPr>
          <w:color w:val="000000" w:themeColor="text1"/>
        </w:rPr>
        <w:t xml:space="preserve"> and the Child Care Health and Safety Checklist, one member trained in the CLASS and </w:t>
      </w:r>
      <w:r w:rsidR="00676B85">
        <w:rPr>
          <w:color w:val="000000" w:themeColor="text1"/>
        </w:rPr>
        <w:t>Adapted TSRS</w:t>
      </w:r>
      <w:r w:rsidRPr="003020C4">
        <w:rPr>
          <w:color w:val="000000" w:themeColor="text1"/>
        </w:rPr>
        <w:t xml:space="preserve">, and at least one of those trained in PAS and other project-developed ratings. </w:t>
      </w:r>
      <w:r w:rsidR="002958AC" w:rsidRPr="00AC4681">
        <w:t xml:space="preserve">This team will ensure reliability of data collection, as well as safety. For unforeseen issues with data collectors (e.g., sick leave, emergency), </w:t>
      </w:r>
      <w:r w:rsidR="00E701E0" w:rsidRPr="00AC4681">
        <w:t xml:space="preserve">there will be </w:t>
      </w:r>
      <w:r w:rsidR="002958AC" w:rsidRPr="00AC4681">
        <w:t>on-call data collector</w:t>
      </w:r>
      <w:r w:rsidR="00610BAF" w:rsidRPr="00AC4681">
        <w:t>s</w:t>
      </w:r>
      <w:r w:rsidR="002958AC" w:rsidRPr="00AC4681">
        <w:t xml:space="preserve"> who can replace a team member </w:t>
      </w:r>
      <w:r w:rsidR="009640BF">
        <w:t>on</w:t>
      </w:r>
      <w:r w:rsidR="002958AC" w:rsidRPr="00AC4681">
        <w:t xml:space="preserve"> short notice.</w:t>
      </w:r>
    </w:p>
    <w:p w:rsidR="002958AC" w:rsidRPr="00AC4681" w:rsidRDefault="002958AC" w:rsidP="002958AC">
      <w:pPr>
        <w:ind w:firstLine="720"/>
      </w:pPr>
      <w:r w:rsidRPr="00AC4681">
        <w:t xml:space="preserve"> </w:t>
      </w:r>
    </w:p>
    <w:p w:rsidR="002958AC" w:rsidRPr="00AC4681" w:rsidRDefault="00E701E0" w:rsidP="00AC4681">
      <w:r w:rsidRPr="00AC4681">
        <w:rPr>
          <w:rFonts w:eastAsia="Calibri"/>
        </w:rPr>
        <w:t xml:space="preserve">The research team will develop </w:t>
      </w:r>
      <w:r w:rsidR="002958AC" w:rsidRPr="00AC4681">
        <w:t xml:space="preserve">computer-assisted interviews (CAI) for use during interviews with the key personnel and the center directors </w:t>
      </w:r>
      <w:r w:rsidR="00AD4AD8" w:rsidRPr="00AC4681">
        <w:t>and</w:t>
      </w:r>
      <w:r w:rsidR="00AD4AD8">
        <w:t xml:space="preserve"> use</w:t>
      </w:r>
      <w:r w:rsidR="004D0484">
        <w:t xml:space="preserve"> electronic</w:t>
      </w:r>
      <w:r w:rsidR="002958AC" w:rsidRPr="00AC4681">
        <w:t xml:space="preserve">-based </w:t>
      </w:r>
      <w:r w:rsidR="004D0484">
        <w:t xml:space="preserve">tablets to </w:t>
      </w:r>
      <w:r w:rsidR="002958AC" w:rsidRPr="00AC4681">
        <w:t>record the data during observations</w:t>
      </w:r>
      <w:r w:rsidR="002958AC" w:rsidRPr="00AC4681">
        <w:rPr>
          <w:rFonts w:eastAsia="Calibri"/>
        </w:rPr>
        <w:t xml:space="preserve"> and transmit it to the FPG database once collected</w:t>
      </w:r>
      <w:r w:rsidR="002958AC" w:rsidRPr="00AC4681">
        <w:t xml:space="preserve">. In addition to all relevant project materials (e.g., </w:t>
      </w:r>
      <w:r w:rsidR="002958AC" w:rsidRPr="00AC4681">
        <w:rPr>
          <w:shd w:val="clear" w:color="auto" w:fill="FFFFFF" w:themeFill="background1"/>
        </w:rPr>
        <w:t>information letter, project fact sheet; see</w:t>
      </w:r>
      <w:r w:rsidR="002958AC" w:rsidRPr="00AC4681">
        <w:t xml:space="preserve"> Appendix </w:t>
      </w:r>
      <w:r w:rsidR="004D0484">
        <w:t>O</w:t>
      </w:r>
      <w:r w:rsidR="002958AC" w:rsidRPr="00AC4681">
        <w:t>), data collectors will also have paper copies of measures and protocols in case of equipment malfunction.</w:t>
      </w:r>
    </w:p>
    <w:p w:rsidR="003F6AEB" w:rsidRPr="00AC4681" w:rsidRDefault="003F6AEB" w:rsidP="002958AC">
      <w:pPr>
        <w:ind w:firstLine="720"/>
      </w:pPr>
    </w:p>
    <w:p w:rsidR="002958AC" w:rsidRPr="00AC4681" w:rsidRDefault="002958AC" w:rsidP="00AC4681">
      <w:pPr>
        <w:rPr>
          <w:rFonts w:eastAsia="Calibri"/>
        </w:rPr>
      </w:pPr>
      <w:r w:rsidRPr="00AC4681">
        <w:t xml:space="preserve">Data collectors will complete a </w:t>
      </w:r>
      <w:r w:rsidR="0000355B" w:rsidRPr="00AC4681">
        <w:t>Center D</w:t>
      </w:r>
      <w:r w:rsidRPr="00AC4681">
        <w:t>emographic</w:t>
      </w:r>
      <w:r w:rsidR="00F33CCA" w:rsidRPr="00AC4681">
        <w:t xml:space="preserve"> </w:t>
      </w:r>
      <w:r w:rsidR="0000355B" w:rsidRPr="00AC4681">
        <w:t>Sheet</w:t>
      </w:r>
      <w:r w:rsidRPr="00AC4681">
        <w:t xml:space="preserve"> (see Appendix</w:t>
      </w:r>
      <w:r w:rsidR="00F33CCA" w:rsidRPr="00AC4681">
        <w:t xml:space="preserve"> D</w:t>
      </w:r>
      <w:r w:rsidRPr="00AC4681">
        <w:t xml:space="preserve">) for each </w:t>
      </w:r>
      <w:r w:rsidR="00676B85">
        <w:t>center</w:t>
      </w:r>
      <w:r w:rsidRPr="00AC4681">
        <w:t xml:space="preserve"> prior to beginning data collection, including address, director information, and type of program. Each data collector will record when they schedule a visit and when they finish the visit. </w:t>
      </w:r>
      <w:r w:rsidRPr="00AC4681">
        <w:rPr>
          <w:rFonts w:eastAsia="Calibri"/>
        </w:rPr>
        <w:t xml:space="preserve">Project staff will check the data tracking website daily and stay in communication with data collectors to </w:t>
      </w:r>
      <w:r w:rsidRPr="00AC4681">
        <w:rPr>
          <w:rFonts w:eastAsia="Calibri"/>
        </w:rPr>
        <w:lastRenderedPageBreak/>
        <w:t xml:space="preserve">ensure that data are being collected in a timely manner. </w:t>
      </w:r>
      <w:r w:rsidR="00001620" w:rsidRPr="00AC4681">
        <w:rPr>
          <w:rFonts w:eastAsia="Calibri"/>
        </w:rPr>
        <w:t>The measures used in data collection are described in summary in Part A</w:t>
      </w:r>
      <w:r w:rsidR="000F4F74">
        <w:rPr>
          <w:rFonts w:eastAsia="Calibri"/>
        </w:rPr>
        <w:t xml:space="preserve"> and Appendices </w:t>
      </w:r>
      <w:r w:rsidR="00B02243">
        <w:rPr>
          <w:rFonts w:eastAsia="Calibri"/>
        </w:rPr>
        <w:t>B-E</w:t>
      </w:r>
      <w:r w:rsidR="00683FB0" w:rsidRPr="00AC4681">
        <w:rPr>
          <w:rFonts w:eastAsia="Calibri"/>
        </w:rPr>
        <w:t xml:space="preserve">. </w:t>
      </w:r>
    </w:p>
    <w:p w:rsidR="002958AC" w:rsidRPr="00AC4681" w:rsidRDefault="002958AC" w:rsidP="00FE1EDA">
      <w:pPr>
        <w:pStyle w:val="instru2"/>
        <w:ind w:left="0" w:firstLine="0"/>
      </w:pPr>
      <w:r w:rsidRPr="00AC4681">
        <w:rPr>
          <w:rFonts w:ascii="Calibri" w:hAnsi="Calibri" w:cstheme="majorHAnsi"/>
          <w:szCs w:val="24"/>
        </w:rPr>
        <w:tab/>
      </w:r>
    </w:p>
    <w:p w:rsidR="00064446" w:rsidRPr="00064446" w:rsidRDefault="002958AC" w:rsidP="00064446">
      <w:pPr>
        <w:pStyle w:val="ColorfulList-Accent11"/>
        <w:ind w:left="0"/>
        <w:rPr>
          <w:rFonts w:eastAsia="Calibri"/>
          <w:i/>
        </w:rPr>
      </w:pPr>
      <w:r w:rsidRPr="00064446">
        <w:rPr>
          <w:rFonts w:eastAsia="Calibri"/>
          <w:i/>
        </w:rPr>
        <w:t>Site Visits</w:t>
      </w:r>
    </w:p>
    <w:p w:rsidR="00BD1CF3" w:rsidRDefault="00BD1CF3" w:rsidP="00064446">
      <w:pPr>
        <w:pStyle w:val="ColorfulList-Accent11"/>
        <w:ind w:left="0"/>
      </w:pPr>
    </w:p>
    <w:p w:rsidR="002958AC" w:rsidRPr="00AC4681" w:rsidRDefault="002958AC" w:rsidP="00064446">
      <w:pPr>
        <w:pStyle w:val="ColorfulList-Accent11"/>
        <w:ind w:left="0"/>
      </w:pPr>
      <w:r w:rsidRPr="00AC4681">
        <w:t xml:space="preserve">A team of </w:t>
      </w:r>
      <w:r w:rsidR="0000355B" w:rsidRPr="00AC4681">
        <w:t>two</w:t>
      </w:r>
      <w:r w:rsidR="00EE3465" w:rsidRPr="00AC4681">
        <w:t xml:space="preserve"> </w:t>
      </w:r>
      <w:r w:rsidRPr="00AC4681">
        <w:t xml:space="preserve">data collectors will visit each of the selected sites. Site visits will be </w:t>
      </w:r>
      <w:r w:rsidR="0000355B" w:rsidRPr="00AC4681">
        <w:t xml:space="preserve">up to </w:t>
      </w:r>
      <w:r w:rsidRPr="00AC4681">
        <w:t>5 days</w:t>
      </w:r>
      <w:r w:rsidR="00F57BFF">
        <w:t xml:space="preserve"> with 4 classrooms completed by one data collection team in that period</w:t>
      </w:r>
      <w:r w:rsidRPr="00AC4681">
        <w:t xml:space="preserve">.  </w:t>
      </w:r>
      <w:r w:rsidR="00E714D5">
        <w:t xml:space="preserve">In large </w:t>
      </w:r>
      <w:r w:rsidR="00676B85">
        <w:t>grantee</w:t>
      </w:r>
      <w:r w:rsidR="00E714D5">
        <w:t>s where there are up to 8 classrooms, site visits will occur over two weeks or a second team of data collectors will be used, depending upon which procedure is the most efficient.</w:t>
      </w:r>
      <w:r w:rsidRPr="00AC4681">
        <w:t xml:space="preserve"> During the site visits, </w:t>
      </w:r>
      <w:r w:rsidR="00EE3465" w:rsidRPr="00AC4681">
        <w:t xml:space="preserve">data collectors </w:t>
      </w:r>
      <w:r w:rsidRPr="00AC4681">
        <w:t xml:space="preserve">will </w:t>
      </w:r>
      <w:r w:rsidR="00FE1EDA" w:rsidRPr="00AC4681">
        <w:t xml:space="preserve">spend up to 4 </w:t>
      </w:r>
      <w:r w:rsidR="00001620" w:rsidRPr="00AC4681">
        <w:t xml:space="preserve">hours in </w:t>
      </w:r>
      <w:r w:rsidR="00001620" w:rsidRPr="00656C98">
        <w:t xml:space="preserve">observational measures, including conducting an approximately </w:t>
      </w:r>
      <w:r w:rsidR="006F7DF7">
        <w:t>11</w:t>
      </w:r>
      <w:r w:rsidR="006F7DF7" w:rsidRPr="00656C98">
        <w:t>0</w:t>
      </w:r>
      <w:r w:rsidR="00101A78" w:rsidRPr="00656C98">
        <w:t xml:space="preserve">-minute </w:t>
      </w:r>
      <w:r w:rsidR="00001620" w:rsidRPr="00656C98">
        <w:t xml:space="preserve">interview </w:t>
      </w:r>
      <w:r w:rsidRPr="00656C98">
        <w:t>with center</w:t>
      </w:r>
      <w:r w:rsidRPr="00AC4681">
        <w:t xml:space="preserve"> directors to complete the PAS</w:t>
      </w:r>
      <w:r w:rsidR="004D0484">
        <w:t xml:space="preserve"> (Appendix B2)</w:t>
      </w:r>
      <w:r w:rsidR="00101A78">
        <w:t xml:space="preserve">, </w:t>
      </w:r>
      <w:r w:rsidR="00B0633E">
        <w:t>Child Care Health and Safety Checklist</w:t>
      </w:r>
      <w:r w:rsidR="004D0484">
        <w:t xml:space="preserve"> (Appendix B3)</w:t>
      </w:r>
      <w:r w:rsidR="00B0633E">
        <w:t>, Center Director Questionnaire</w:t>
      </w:r>
      <w:r w:rsidRPr="00AC4681">
        <w:t xml:space="preserve"> (Appendi</w:t>
      </w:r>
      <w:r w:rsidR="00F33CCA" w:rsidRPr="00AC4681">
        <w:t xml:space="preserve">x </w:t>
      </w:r>
      <w:r w:rsidR="00B0633E">
        <w:t>D</w:t>
      </w:r>
      <w:r w:rsidRPr="00AC4681">
        <w:t>)</w:t>
      </w:r>
      <w:r w:rsidR="006F7DF7">
        <w:t>, and Technical Assistance and Training Interview (Appendix E)</w:t>
      </w:r>
      <w:r w:rsidRPr="00AC4681">
        <w:t>. The site visit days will match the following basic schedule</w:t>
      </w:r>
      <w:r w:rsidR="003F6AEB" w:rsidRPr="00AC4681">
        <w:t>, with variation depending on availability of the director</w:t>
      </w:r>
      <w:r w:rsidRPr="00AC4681">
        <w:t xml:space="preserve">.  However, interviews will be scheduled at </w:t>
      </w:r>
      <w:r w:rsidR="0000355B" w:rsidRPr="00AC4681">
        <w:t>a</w:t>
      </w:r>
      <w:r w:rsidRPr="00AC4681">
        <w:t xml:space="preserve"> time that is convenient for Head Start staff. The observations will be conducted during normal class time, during which staff can go about their daily routine</w:t>
      </w:r>
      <w:r w:rsidR="004D0484">
        <w:t>.</w:t>
      </w:r>
      <w:r w:rsidR="00F57BFF">
        <w:t xml:space="preserve">  </w:t>
      </w:r>
    </w:p>
    <w:p w:rsidR="002958AC" w:rsidRPr="002026BE" w:rsidRDefault="002958AC" w:rsidP="002958AC">
      <w:pPr>
        <w:rPr>
          <w:color w:val="000000" w:themeColor="text1"/>
          <w:highlight w:val="yellow"/>
        </w:rPr>
      </w:pPr>
    </w:p>
    <w:p w:rsidR="002958AC" w:rsidRPr="007B0D49" w:rsidRDefault="002958AC" w:rsidP="002958AC">
      <w:pPr>
        <w:rPr>
          <w:color w:val="000000" w:themeColor="text1"/>
          <w:u w:val="single"/>
        </w:rPr>
      </w:pPr>
      <w:r w:rsidRPr="007B0D49">
        <w:rPr>
          <w:color w:val="000000" w:themeColor="text1"/>
          <w:u w:val="single"/>
        </w:rPr>
        <w:t>Day 1</w:t>
      </w:r>
    </w:p>
    <w:p w:rsidR="002958AC" w:rsidRPr="00AC4681" w:rsidRDefault="004D0484" w:rsidP="002958AC">
      <w:pPr>
        <w:rPr>
          <w:color w:val="000000" w:themeColor="text1"/>
        </w:rPr>
      </w:pPr>
      <w:r>
        <w:rPr>
          <w:color w:val="000000" w:themeColor="text1"/>
        </w:rPr>
        <w:t xml:space="preserve">Child Care </w:t>
      </w:r>
      <w:r w:rsidR="002958AC" w:rsidRPr="00AC4681">
        <w:rPr>
          <w:color w:val="000000" w:themeColor="text1"/>
        </w:rPr>
        <w:t xml:space="preserve">Health and Safety Checklist </w:t>
      </w:r>
    </w:p>
    <w:p w:rsidR="002958AC" w:rsidRDefault="002958AC" w:rsidP="002958AC">
      <w:pPr>
        <w:rPr>
          <w:color w:val="000000" w:themeColor="text1"/>
        </w:rPr>
      </w:pPr>
      <w:r w:rsidRPr="00AC4681">
        <w:rPr>
          <w:color w:val="000000" w:themeColor="text1"/>
        </w:rPr>
        <w:t xml:space="preserve">PAS (director interview </w:t>
      </w:r>
      <w:r w:rsidR="00001620" w:rsidRPr="00AC4681">
        <w:rPr>
          <w:color w:val="000000" w:themeColor="text1"/>
        </w:rPr>
        <w:t xml:space="preserve">at time convenient to director, </w:t>
      </w:r>
      <w:r w:rsidR="0000355B" w:rsidRPr="00AC4681">
        <w:rPr>
          <w:color w:val="000000" w:themeColor="text1"/>
        </w:rPr>
        <w:t>document review</w:t>
      </w:r>
      <w:r w:rsidR="00001620" w:rsidRPr="00AC4681">
        <w:rPr>
          <w:color w:val="000000" w:themeColor="text1"/>
        </w:rPr>
        <w:t xml:space="preserve">, </w:t>
      </w:r>
      <w:r w:rsidRPr="00AC4681">
        <w:rPr>
          <w:color w:val="000000" w:themeColor="text1"/>
        </w:rPr>
        <w:t>and program observation)</w:t>
      </w:r>
    </w:p>
    <w:p w:rsidR="00101A78" w:rsidRPr="00AC4681" w:rsidRDefault="00101A78" w:rsidP="002958AC">
      <w:pPr>
        <w:rPr>
          <w:color w:val="000000" w:themeColor="text1"/>
        </w:rPr>
      </w:pPr>
      <w:r>
        <w:rPr>
          <w:color w:val="000000" w:themeColor="text1"/>
        </w:rPr>
        <w:t>Center Director Questionnaire</w:t>
      </w:r>
    </w:p>
    <w:p w:rsidR="002958AC" w:rsidRDefault="006F7DF7" w:rsidP="002958AC">
      <w:pPr>
        <w:rPr>
          <w:color w:val="000000" w:themeColor="text1"/>
        </w:rPr>
      </w:pPr>
      <w:r>
        <w:rPr>
          <w:color w:val="000000" w:themeColor="text1"/>
        </w:rPr>
        <w:t>Technical Assistance and Training Interview</w:t>
      </w:r>
    </w:p>
    <w:p w:rsidR="006F7DF7" w:rsidRPr="00AC4681" w:rsidRDefault="006F7DF7" w:rsidP="002958AC">
      <w:pPr>
        <w:rPr>
          <w:color w:val="000000" w:themeColor="text1"/>
        </w:rPr>
      </w:pPr>
    </w:p>
    <w:p w:rsidR="002958AC" w:rsidRPr="007B0D49" w:rsidRDefault="002958AC" w:rsidP="002958AC">
      <w:pPr>
        <w:rPr>
          <w:color w:val="000000" w:themeColor="text1"/>
          <w:u w:val="single"/>
        </w:rPr>
      </w:pPr>
      <w:r w:rsidRPr="007B0D49">
        <w:rPr>
          <w:color w:val="000000" w:themeColor="text1"/>
          <w:u w:val="single"/>
        </w:rPr>
        <w:t>Day 2</w:t>
      </w:r>
    </w:p>
    <w:p w:rsidR="002958AC" w:rsidRPr="00AC4681" w:rsidRDefault="002958AC" w:rsidP="002958AC">
      <w:pPr>
        <w:rPr>
          <w:color w:val="000000" w:themeColor="text1"/>
        </w:rPr>
      </w:pPr>
      <w:r w:rsidRPr="00AC4681">
        <w:rPr>
          <w:color w:val="000000" w:themeColor="text1"/>
        </w:rPr>
        <w:t>ECERS-R and ECERS-E (classroom observation + interview as needed) for Classroom 1</w:t>
      </w:r>
    </w:p>
    <w:p w:rsidR="002958AC" w:rsidRPr="00AC4681" w:rsidRDefault="002958AC" w:rsidP="002958AC">
      <w:pPr>
        <w:rPr>
          <w:color w:val="000000" w:themeColor="text1"/>
        </w:rPr>
      </w:pPr>
      <w:r w:rsidRPr="00AC4681">
        <w:rPr>
          <w:color w:val="000000" w:themeColor="text1"/>
        </w:rPr>
        <w:t>CLASS/</w:t>
      </w:r>
      <w:r w:rsidR="00676B85">
        <w:rPr>
          <w:color w:val="000000" w:themeColor="text1"/>
        </w:rPr>
        <w:t>Adapted TSRS</w:t>
      </w:r>
      <w:r w:rsidRPr="00AC4681">
        <w:rPr>
          <w:color w:val="000000" w:themeColor="text1"/>
        </w:rPr>
        <w:t xml:space="preserve"> (classroom observation) for Classroom 1</w:t>
      </w:r>
    </w:p>
    <w:p w:rsidR="002958AC" w:rsidRPr="00AC4681" w:rsidRDefault="002958AC" w:rsidP="002958AC">
      <w:pPr>
        <w:rPr>
          <w:color w:val="000000" w:themeColor="text1"/>
        </w:rPr>
      </w:pPr>
    </w:p>
    <w:p w:rsidR="002958AC" w:rsidRPr="007B0D49" w:rsidRDefault="002958AC" w:rsidP="002958AC">
      <w:pPr>
        <w:rPr>
          <w:color w:val="000000" w:themeColor="text1"/>
          <w:u w:val="single"/>
        </w:rPr>
      </w:pPr>
      <w:r w:rsidRPr="007B0D49">
        <w:rPr>
          <w:color w:val="000000" w:themeColor="text1"/>
          <w:u w:val="single"/>
        </w:rPr>
        <w:t>Day 3</w:t>
      </w:r>
    </w:p>
    <w:p w:rsidR="002958AC" w:rsidRPr="00AC4681" w:rsidRDefault="002958AC" w:rsidP="002958AC">
      <w:pPr>
        <w:rPr>
          <w:color w:val="000000" w:themeColor="text1"/>
        </w:rPr>
      </w:pPr>
      <w:r w:rsidRPr="00AC4681">
        <w:rPr>
          <w:color w:val="000000" w:themeColor="text1"/>
        </w:rPr>
        <w:t>ECERS-R and ECERS-E (classroom observation + interview as needed) for Classroom 2</w:t>
      </w:r>
    </w:p>
    <w:p w:rsidR="002958AC" w:rsidRPr="00AC4681" w:rsidRDefault="002958AC" w:rsidP="002958AC">
      <w:pPr>
        <w:rPr>
          <w:color w:val="000000" w:themeColor="text1"/>
        </w:rPr>
      </w:pPr>
      <w:r w:rsidRPr="00AC4681">
        <w:rPr>
          <w:color w:val="000000" w:themeColor="text1"/>
        </w:rPr>
        <w:t>CLASS/</w:t>
      </w:r>
      <w:r w:rsidR="00676B85">
        <w:rPr>
          <w:color w:val="000000" w:themeColor="text1"/>
        </w:rPr>
        <w:t>Adapted TSRS</w:t>
      </w:r>
      <w:r w:rsidRPr="00AC4681">
        <w:rPr>
          <w:color w:val="000000" w:themeColor="text1"/>
        </w:rPr>
        <w:t xml:space="preserve"> (classroom observation) for Classroom 2</w:t>
      </w:r>
    </w:p>
    <w:p w:rsidR="002958AC" w:rsidRPr="00AC4681" w:rsidRDefault="002958AC" w:rsidP="002958AC">
      <w:pPr>
        <w:rPr>
          <w:color w:val="000000" w:themeColor="text1"/>
        </w:rPr>
      </w:pPr>
    </w:p>
    <w:p w:rsidR="002958AC" w:rsidRPr="007B0D49" w:rsidRDefault="002958AC" w:rsidP="002958AC">
      <w:pPr>
        <w:rPr>
          <w:color w:val="000000" w:themeColor="text1"/>
          <w:u w:val="single"/>
        </w:rPr>
      </w:pPr>
      <w:r w:rsidRPr="007B0D49">
        <w:rPr>
          <w:color w:val="000000" w:themeColor="text1"/>
          <w:u w:val="single"/>
        </w:rPr>
        <w:t>Day 4</w:t>
      </w:r>
    </w:p>
    <w:p w:rsidR="002958AC" w:rsidRPr="00AC4681" w:rsidRDefault="002958AC" w:rsidP="002958AC">
      <w:pPr>
        <w:rPr>
          <w:color w:val="000000" w:themeColor="text1"/>
        </w:rPr>
      </w:pPr>
      <w:r w:rsidRPr="00AC4681">
        <w:rPr>
          <w:color w:val="000000" w:themeColor="text1"/>
        </w:rPr>
        <w:t>ECERS-R and ECERS-E (classroom observation + interview as needed) for Classroom 3</w:t>
      </w:r>
    </w:p>
    <w:p w:rsidR="002958AC" w:rsidRPr="00AC4681" w:rsidRDefault="002958AC" w:rsidP="002958AC">
      <w:pPr>
        <w:rPr>
          <w:color w:val="000000" w:themeColor="text1"/>
        </w:rPr>
      </w:pPr>
      <w:r w:rsidRPr="00AC4681">
        <w:rPr>
          <w:color w:val="000000" w:themeColor="text1"/>
        </w:rPr>
        <w:t>CLASS/</w:t>
      </w:r>
      <w:r w:rsidR="00676B85">
        <w:rPr>
          <w:color w:val="000000" w:themeColor="text1"/>
        </w:rPr>
        <w:t>Adapted TSRS</w:t>
      </w:r>
      <w:r w:rsidRPr="00AC4681">
        <w:rPr>
          <w:color w:val="000000" w:themeColor="text1"/>
        </w:rPr>
        <w:t xml:space="preserve"> (classroom observation) for Classroom 3</w:t>
      </w:r>
    </w:p>
    <w:p w:rsidR="002958AC" w:rsidRPr="00AC4681" w:rsidRDefault="002958AC" w:rsidP="002958AC">
      <w:pPr>
        <w:rPr>
          <w:color w:val="000000" w:themeColor="text1"/>
        </w:rPr>
      </w:pPr>
    </w:p>
    <w:p w:rsidR="002958AC" w:rsidRPr="007B0D49" w:rsidRDefault="002958AC" w:rsidP="002958AC">
      <w:pPr>
        <w:rPr>
          <w:color w:val="000000" w:themeColor="text1"/>
          <w:u w:val="single"/>
        </w:rPr>
      </w:pPr>
      <w:r w:rsidRPr="007B0D49">
        <w:rPr>
          <w:color w:val="000000" w:themeColor="text1"/>
          <w:u w:val="single"/>
        </w:rPr>
        <w:t>Day 5</w:t>
      </w:r>
    </w:p>
    <w:p w:rsidR="002958AC" w:rsidRPr="00AC4681" w:rsidRDefault="002958AC" w:rsidP="002958AC">
      <w:pPr>
        <w:rPr>
          <w:color w:val="000000" w:themeColor="text1"/>
        </w:rPr>
      </w:pPr>
      <w:r w:rsidRPr="00AC4681">
        <w:rPr>
          <w:color w:val="000000" w:themeColor="text1"/>
        </w:rPr>
        <w:t>ECERS-R and ECERS-E (classroom observation + interview as needed) for Classroom 4</w:t>
      </w:r>
    </w:p>
    <w:p w:rsidR="002958AC" w:rsidRPr="00AC4681" w:rsidRDefault="002958AC" w:rsidP="002958AC">
      <w:pPr>
        <w:rPr>
          <w:color w:val="000000" w:themeColor="text1"/>
        </w:rPr>
      </w:pPr>
      <w:r w:rsidRPr="00AC4681">
        <w:rPr>
          <w:color w:val="000000" w:themeColor="text1"/>
        </w:rPr>
        <w:t>CLASS/</w:t>
      </w:r>
      <w:r w:rsidR="00676B85">
        <w:rPr>
          <w:color w:val="000000" w:themeColor="text1"/>
        </w:rPr>
        <w:t>Adapted TSRS</w:t>
      </w:r>
      <w:r w:rsidRPr="00AC4681">
        <w:rPr>
          <w:color w:val="000000" w:themeColor="text1"/>
        </w:rPr>
        <w:t xml:space="preserve"> (classroom observation) for Classroom 4</w:t>
      </w:r>
    </w:p>
    <w:p w:rsidR="002958AC" w:rsidRPr="00AC4681" w:rsidRDefault="002958AC" w:rsidP="002958AC"/>
    <w:p w:rsidR="00BD1CF3" w:rsidRDefault="002958AC" w:rsidP="002958AC">
      <w:r w:rsidRPr="00AC4681">
        <w:t xml:space="preserve">For the </w:t>
      </w:r>
      <w:r w:rsidR="004D0484">
        <w:t xml:space="preserve">Child Care </w:t>
      </w:r>
      <w:r w:rsidRPr="00AC4681">
        <w:t>Health</w:t>
      </w:r>
      <w:r w:rsidR="00843A46" w:rsidRPr="00843A46">
        <w:t xml:space="preserve"> </w:t>
      </w:r>
      <w:r w:rsidR="00843A46" w:rsidRPr="00AC4681">
        <w:t>and</w:t>
      </w:r>
      <w:r w:rsidRPr="00AC4681">
        <w:t xml:space="preserve"> </w:t>
      </w:r>
      <w:r w:rsidR="00843A46" w:rsidRPr="00AC4681">
        <w:t xml:space="preserve">Safety </w:t>
      </w:r>
      <w:r w:rsidRPr="00AC4681">
        <w:t xml:space="preserve">Checklist and the ECERS measures the </w:t>
      </w:r>
      <w:r w:rsidR="00001620" w:rsidRPr="00AC4681">
        <w:t xml:space="preserve">interviewer </w:t>
      </w:r>
      <w:r w:rsidRPr="00AC4681">
        <w:t xml:space="preserve">will be able to score many items based on observation alone.  If the interviewer is unable to score an item based on observation, he/she will ask the </w:t>
      </w:r>
      <w:r w:rsidR="00683FB0" w:rsidRPr="00AC4681">
        <w:t>appropriate staff member</w:t>
      </w:r>
      <w:r w:rsidRPr="00AC4681">
        <w:t xml:space="preserve"> about standard practices </w:t>
      </w:r>
      <w:r w:rsidRPr="00AC4681">
        <w:lastRenderedPageBreak/>
        <w:t>and score the item appropriately</w:t>
      </w:r>
      <w:r w:rsidR="000F4F74">
        <w:t xml:space="preserve"> (see Quality Measures Follow Up Interviews in Appendi</w:t>
      </w:r>
      <w:r w:rsidR="00B02243">
        <w:t>ces C and D</w:t>
      </w:r>
      <w:r w:rsidR="000F4F74">
        <w:t>)</w:t>
      </w:r>
      <w:r w:rsidRPr="00AC4681">
        <w:t xml:space="preserve">.  </w:t>
      </w:r>
    </w:p>
    <w:p w:rsidR="002958AC" w:rsidRPr="00AC4681" w:rsidRDefault="002958AC" w:rsidP="002958AC"/>
    <w:p w:rsidR="00064446" w:rsidRPr="00064446" w:rsidRDefault="002958AC" w:rsidP="00BD1CF3">
      <w:pPr>
        <w:tabs>
          <w:tab w:val="left" w:pos="0"/>
          <w:tab w:val="left" w:pos="288"/>
          <w:tab w:val="left" w:pos="662"/>
        </w:tabs>
        <w:rPr>
          <w:i/>
        </w:rPr>
      </w:pPr>
      <w:r w:rsidRPr="00064446">
        <w:rPr>
          <w:i/>
        </w:rPr>
        <w:t>Informed Consent</w:t>
      </w:r>
    </w:p>
    <w:p w:rsidR="00BD1CF3" w:rsidRDefault="00BD1CF3" w:rsidP="00BD1CF3">
      <w:pPr>
        <w:tabs>
          <w:tab w:val="left" w:pos="0"/>
          <w:tab w:val="left" w:pos="288"/>
          <w:tab w:val="left" w:pos="662"/>
        </w:tabs>
      </w:pPr>
    </w:p>
    <w:p w:rsidR="002958AC" w:rsidRPr="00AC4681" w:rsidRDefault="0000355B" w:rsidP="00BD1CF3">
      <w:pPr>
        <w:tabs>
          <w:tab w:val="left" w:pos="0"/>
          <w:tab w:val="left" w:pos="288"/>
          <w:tab w:val="left" w:pos="662"/>
        </w:tabs>
      </w:pPr>
      <w:r w:rsidRPr="00AC4681">
        <w:t xml:space="preserve">Verbal </w:t>
      </w:r>
      <w:r w:rsidR="002958AC" w:rsidRPr="00AC4681">
        <w:t xml:space="preserve">informed consent will be requested from </w:t>
      </w:r>
      <w:r w:rsidR="00E701E0" w:rsidRPr="00AC4681">
        <w:t xml:space="preserve">Head Start </w:t>
      </w:r>
      <w:r w:rsidR="002958AC" w:rsidRPr="00AC4681">
        <w:t>center directors</w:t>
      </w:r>
      <w:r w:rsidR="00F33CCA" w:rsidRPr="00AC4681">
        <w:t xml:space="preserve"> and program directors</w:t>
      </w:r>
      <w:r w:rsidRPr="00AC4681">
        <w:t>.</w:t>
      </w:r>
      <w:r w:rsidR="002958AC" w:rsidRPr="00AC4681">
        <w:t xml:space="preserve"> </w:t>
      </w:r>
      <w:r w:rsidRPr="00AC4681">
        <w:t xml:space="preserve">Written informed consent will be requested from </w:t>
      </w:r>
      <w:r w:rsidR="002958AC" w:rsidRPr="00AC4681">
        <w:t>teachers. One copy of each of these consent</w:t>
      </w:r>
      <w:r w:rsidR="00564B93">
        <w:t xml:space="preserve"> forms will be retained in the contractor’s</w:t>
      </w:r>
      <w:r w:rsidR="002958AC" w:rsidRPr="00AC4681">
        <w:t xml:space="preserve"> files.  Copies of the consent forms will be given to participants for their records. See each instrument for the informed consent language that will be used in the interviews and the observations</w:t>
      </w:r>
      <w:r w:rsidR="00991388">
        <w:t xml:space="preserve"> </w:t>
      </w:r>
      <w:r w:rsidR="000F4F74">
        <w:t>in Appendi</w:t>
      </w:r>
      <w:r w:rsidR="00991388">
        <w:t>x O</w:t>
      </w:r>
      <w:r w:rsidR="002958AC" w:rsidRPr="00AC4681">
        <w:t xml:space="preserve">. </w:t>
      </w:r>
    </w:p>
    <w:p w:rsidR="000A4FAC" w:rsidRDefault="000A4FAC" w:rsidP="00064446">
      <w:pPr>
        <w:rPr>
          <w:i/>
        </w:rPr>
      </w:pPr>
    </w:p>
    <w:p w:rsidR="00064446" w:rsidRPr="00064446" w:rsidRDefault="00064446" w:rsidP="00064446">
      <w:pPr>
        <w:rPr>
          <w:i/>
        </w:rPr>
      </w:pPr>
      <w:r w:rsidRPr="00064446">
        <w:rPr>
          <w:i/>
        </w:rPr>
        <w:t>Quality Control</w:t>
      </w:r>
      <w:r w:rsidR="002958AC" w:rsidRPr="00064446">
        <w:rPr>
          <w:i/>
        </w:rPr>
        <w:t xml:space="preserve">  </w:t>
      </w:r>
    </w:p>
    <w:p w:rsidR="00BD1CF3" w:rsidRDefault="00BD1CF3" w:rsidP="00064446"/>
    <w:p w:rsidR="002958AC" w:rsidRPr="00F45BDC" w:rsidRDefault="002958AC" w:rsidP="00064446">
      <w:r w:rsidRPr="00AC4681">
        <w:t>Quality assurance will be maintained, in part, through a central tracking system</w:t>
      </w:r>
      <w:r w:rsidR="004B5206">
        <w:t xml:space="preserve">, the </w:t>
      </w:r>
      <w:r w:rsidRPr="00AC4681">
        <w:t>use of electronic data collection</w:t>
      </w:r>
      <w:r w:rsidR="004B5206">
        <w:t>, reliability checks for observations, and the review of interview tapes</w:t>
      </w:r>
      <w:r w:rsidRPr="00AC4681">
        <w:t xml:space="preserve">. </w:t>
      </w:r>
      <w:r w:rsidR="00E701E0" w:rsidRPr="00AC4681">
        <w:t xml:space="preserve">There will be </w:t>
      </w:r>
      <w:r w:rsidRPr="00AC4681">
        <w:t xml:space="preserve">a central, web-based tracking system that will record each recruited </w:t>
      </w:r>
      <w:r w:rsidR="00F45BDC">
        <w:t>grantee</w:t>
      </w:r>
      <w:r w:rsidRPr="00AC4681">
        <w:t xml:space="preserve"> and the status of data collection for that site (ready to be scheduled, scheduled, collected, transferred to FPG). Project staff will check all data for quality assurance issues (e.g., valid IDs, range checks per variable) during data collection and can transmit </w:t>
      </w:r>
      <w:r w:rsidR="00115768" w:rsidRPr="00AC4681">
        <w:t xml:space="preserve">the data </w:t>
      </w:r>
      <w:r w:rsidRPr="00AC4681">
        <w:t xml:space="preserve">to the FPG database once collected. </w:t>
      </w:r>
      <w:r w:rsidR="00E701E0" w:rsidRPr="00AC4681">
        <w:t xml:space="preserve">Project staff </w:t>
      </w:r>
      <w:r w:rsidRPr="00AC4681">
        <w:t>will check for consistency between ID and personal identifiers and remove the identifiers once these checks are successfully complete</w:t>
      </w:r>
      <w:r w:rsidR="00115768" w:rsidRPr="00AC4681">
        <w:t>d</w:t>
      </w:r>
      <w:r w:rsidRPr="00AC4681">
        <w:t xml:space="preserve">. </w:t>
      </w:r>
      <w:r w:rsidR="00E701E0" w:rsidRPr="00AC4681">
        <w:t xml:space="preserve">In addition, a </w:t>
      </w:r>
      <w:r w:rsidRPr="00AC4681">
        <w:t>data manager will monitor the data received, check it for other potential errors, update the data, and score the data.</w:t>
      </w:r>
      <w:r w:rsidRPr="00AC4681">
        <w:rPr>
          <w:sz w:val="22"/>
          <w:szCs w:val="22"/>
        </w:rPr>
        <w:t xml:space="preserve"> </w:t>
      </w:r>
      <w:r w:rsidR="001A1BB7" w:rsidRPr="001A1BB7">
        <w:t xml:space="preserve">To </w:t>
      </w:r>
      <w:r w:rsidR="001A1BB7" w:rsidRPr="0059634D">
        <w:t>prevent drift</w:t>
      </w:r>
      <w:r w:rsidR="001A1BB7">
        <w:t xml:space="preserve"> and to assist in maintaining satisfactory </w:t>
      </w:r>
      <w:proofErr w:type="spellStart"/>
      <w:r w:rsidR="001A1BB7">
        <w:t>interobserver</w:t>
      </w:r>
      <w:proofErr w:type="spellEnd"/>
      <w:r w:rsidR="001A1BB7">
        <w:t xml:space="preserve"> agreement</w:t>
      </w:r>
      <w:r w:rsidR="001A1BB7" w:rsidRPr="001A1BB7">
        <w:t xml:space="preserve"> the project’s master observer will </w:t>
      </w:r>
      <w:r w:rsidR="001A1BB7">
        <w:t>conduct reliability visits in 10% of the classrooms</w:t>
      </w:r>
      <w:r w:rsidR="00A1163A">
        <w:t xml:space="preserve"> and 10% of the centers</w:t>
      </w:r>
      <w:r w:rsidR="008A6147">
        <w:t>. The master observer and the data collector will observe and independently rate the same classrooms</w:t>
      </w:r>
      <w:r w:rsidR="001A1BB7">
        <w:t>.</w:t>
      </w:r>
    </w:p>
    <w:p w:rsidR="00064446" w:rsidRDefault="00064446" w:rsidP="00AC4681">
      <w:pPr>
        <w:rPr>
          <w:sz w:val="22"/>
          <w:szCs w:val="22"/>
        </w:rPr>
      </w:pPr>
    </w:p>
    <w:p w:rsidR="00AC4681" w:rsidRDefault="00AC4681" w:rsidP="00AC4681">
      <w:pPr>
        <w:rPr>
          <w:b/>
          <w:color w:val="000000"/>
        </w:rPr>
      </w:pPr>
      <w:r>
        <w:rPr>
          <w:b/>
        </w:rPr>
        <w:t xml:space="preserve">RQ2: </w:t>
      </w:r>
      <w:r w:rsidRPr="00AC4681">
        <w:rPr>
          <w:b/>
          <w:color w:val="000000"/>
        </w:rPr>
        <w:t xml:space="preserve">How have Head Start </w:t>
      </w:r>
      <w:r w:rsidR="00676B85">
        <w:rPr>
          <w:b/>
          <w:color w:val="000000"/>
        </w:rPr>
        <w:t>grantee</w:t>
      </w:r>
      <w:r w:rsidRPr="00AC4681">
        <w:rPr>
          <w:b/>
          <w:color w:val="000000"/>
        </w:rPr>
        <w:t>s understood and responded to the provisions of the DRS in terms of their efforts to improve program operations and quality?</w:t>
      </w:r>
    </w:p>
    <w:p w:rsidR="00B821E7" w:rsidRDefault="00B821E7" w:rsidP="0081054C">
      <w:pPr>
        <w:rPr>
          <w:iCs/>
          <w:u w:val="single"/>
        </w:rPr>
      </w:pPr>
    </w:p>
    <w:p w:rsidR="006B259E" w:rsidRPr="006B259E" w:rsidRDefault="006B259E" w:rsidP="0081054C">
      <w:pPr>
        <w:rPr>
          <w:iCs/>
        </w:rPr>
      </w:pPr>
      <w:r w:rsidRPr="006B259E">
        <w:rPr>
          <w:iCs/>
          <w:u w:val="single"/>
        </w:rPr>
        <w:t>DRS Telephone Interview: Program Directors</w:t>
      </w:r>
      <w:r w:rsidR="00AC4681" w:rsidRPr="006B259E">
        <w:rPr>
          <w:iCs/>
        </w:rPr>
        <w:t xml:space="preserve">  </w:t>
      </w:r>
    </w:p>
    <w:p w:rsidR="00BD1CF3" w:rsidRDefault="00BD1CF3" w:rsidP="00AC4681">
      <w:pPr>
        <w:tabs>
          <w:tab w:val="left" w:pos="720"/>
          <w:tab w:val="left" w:pos="2520"/>
          <w:tab w:val="left" w:pos="4680"/>
        </w:tabs>
        <w:rPr>
          <w:iCs/>
        </w:rPr>
      </w:pPr>
    </w:p>
    <w:p w:rsidR="00AC4681" w:rsidRPr="006B259E" w:rsidRDefault="00AC4681" w:rsidP="00AC4681">
      <w:pPr>
        <w:tabs>
          <w:tab w:val="left" w:pos="720"/>
          <w:tab w:val="left" w:pos="2520"/>
          <w:tab w:val="left" w:pos="4680"/>
        </w:tabs>
      </w:pPr>
      <w:r w:rsidRPr="006B259E">
        <w:rPr>
          <w:iCs/>
        </w:rPr>
        <w:t xml:space="preserve">Data will be collected through </w:t>
      </w:r>
      <w:r w:rsidR="00991388">
        <w:rPr>
          <w:iCs/>
        </w:rPr>
        <w:t xml:space="preserve">the DRS Telephone Interview: Program Directors </w:t>
      </w:r>
      <w:r w:rsidR="00991388" w:rsidRPr="0081054C">
        <w:t>(</w:t>
      </w:r>
      <w:r w:rsidR="00991388" w:rsidRPr="00A84018">
        <w:t xml:space="preserve">Appendix </w:t>
      </w:r>
      <w:r w:rsidR="00991388" w:rsidRPr="0081054C">
        <w:t>F)</w:t>
      </w:r>
      <w:r w:rsidR="00991388">
        <w:t xml:space="preserve"> from </w:t>
      </w:r>
      <w:r w:rsidR="006B259E" w:rsidRPr="006B259E">
        <w:t>35</w:t>
      </w:r>
      <w:r w:rsidRPr="006B259E">
        <w:t xml:space="preserve"> local Head Start </w:t>
      </w:r>
      <w:r w:rsidR="00676B85">
        <w:t>grantees</w:t>
      </w:r>
      <w:r w:rsidRPr="006B259E">
        <w:t xml:space="preserve"> that are a subset of the grantees where the observational assessments described </w:t>
      </w:r>
      <w:r w:rsidR="00B101D1">
        <w:t>in RQ1</w:t>
      </w:r>
      <w:r w:rsidRPr="006B259E">
        <w:t xml:space="preserve"> have occurred</w:t>
      </w:r>
      <w:r w:rsidRPr="0081054C">
        <w:rPr>
          <w:iCs/>
        </w:rPr>
        <w:t xml:space="preserve">. </w:t>
      </w:r>
      <w:r w:rsidRPr="0081054C">
        <w:t>The</w:t>
      </w:r>
      <w:r w:rsidRPr="006B259E">
        <w:t xml:space="preserve"> </w:t>
      </w:r>
      <w:r w:rsidR="00B101D1">
        <w:t>interview</w:t>
      </w:r>
      <w:r w:rsidRPr="006B259E">
        <w:t xml:space="preserve"> respondent will be the Head Start program director.  The telephone </w:t>
      </w:r>
      <w:r w:rsidR="00B101D1">
        <w:t>interview</w:t>
      </w:r>
      <w:r w:rsidRPr="006B259E">
        <w:t xml:space="preserve"> will follow the on-site assessments </w:t>
      </w:r>
      <w:r w:rsidR="006B259E">
        <w:t xml:space="preserve">conducted for RQ1 </w:t>
      </w:r>
      <w:r w:rsidRPr="006B259E">
        <w:t xml:space="preserve">by a couple of weeks.  </w:t>
      </w:r>
    </w:p>
    <w:p w:rsidR="00AC4681" w:rsidRPr="006B259E" w:rsidRDefault="00AC4681" w:rsidP="00AC4681">
      <w:pPr>
        <w:tabs>
          <w:tab w:val="left" w:pos="720"/>
          <w:tab w:val="left" w:pos="2520"/>
          <w:tab w:val="left" w:pos="4680"/>
        </w:tabs>
      </w:pPr>
    </w:p>
    <w:p w:rsidR="006B259E" w:rsidRPr="006B259E" w:rsidRDefault="006B259E" w:rsidP="00AC4681">
      <w:pPr>
        <w:tabs>
          <w:tab w:val="left" w:pos="720"/>
          <w:tab w:val="left" w:pos="2520"/>
          <w:tab w:val="left" w:pos="4680"/>
        </w:tabs>
        <w:rPr>
          <w:i/>
        </w:rPr>
      </w:pPr>
      <w:r w:rsidRPr="006B259E">
        <w:rPr>
          <w:i/>
        </w:rPr>
        <w:t>Recruitment</w:t>
      </w:r>
    </w:p>
    <w:p w:rsidR="00BD1CF3" w:rsidRDefault="00BD1CF3" w:rsidP="00AC4681">
      <w:pPr>
        <w:tabs>
          <w:tab w:val="left" w:pos="720"/>
          <w:tab w:val="left" w:pos="2520"/>
          <w:tab w:val="left" w:pos="4680"/>
        </w:tabs>
      </w:pPr>
    </w:p>
    <w:p w:rsidR="00B101D1" w:rsidRDefault="00AC4681" w:rsidP="00BD1CF3">
      <w:pPr>
        <w:tabs>
          <w:tab w:val="left" w:pos="720"/>
          <w:tab w:val="left" w:pos="2520"/>
          <w:tab w:val="left" w:pos="4680"/>
        </w:tabs>
      </w:pPr>
      <w:r w:rsidRPr="006B259E">
        <w:t xml:space="preserve">Program directors will be initially introduced to the study through the recruitment processes described </w:t>
      </w:r>
      <w:r w:rsidR="006B259E">
        <w:t>under RQ1</w:t>
      </w:r>
      <w:r w:rsidRPr="006B259E">
        <w:t xml:space="preserve">, but because not all program directors participating in the observational assessments will be selected to participate in the telephone survey a separate outreach effort will be conducted.  The program director will be contacted by phone to answer questions they have about </w:t>
      </w:r>
      <w:r w:rsidR="00C43557">
        <w:t>this component of the</w:t>
      </w:r>
      <w:r w:rsidR="00C43557" w:rsidRPr="006B259E">
        <w:t xml:space="preserve"> </w:t>
      </w:r>
      <w:r w:rsidRPr="006B259E">
        <w:t xml:space="preserve">research and </w:t>
      </w:r>
      <w:r w:rsidR="00E157D8">
        <w:t xml:space="preserve">to </w:t>
      </w:r>
      <w:r w:rsidRPr="006B259E">
        <w:t xml:space="preserve">discuss their participation </w:t>
      </w:r>
      <w:r w:rsidRPr="0081054C">
        <w:t>(</w:t>
      </w:r>
      <w:r w:rsidRPr="00A84018">
        <w:t xml:space="preserve">Appendix </w:t>
      </w:r>
      <w:r w:rsidR="004D0484" w:rsidRPr="0081054C">
        <w:t>O</w:t>
      </w:r>
      <w:r w:rsidR="004D0484">
        <w:t>4.2</w:t>
      </w:r>
      <w:r w:rsidRPr="0081054C">
        <w:t>)</w:t>
      </w:r>
      <w:r w:rsidRPr="006B259E">
        <w:t xml:space="preserve">. These </w:t>
      </w:r>
      <w:r w:rsidRPr="006B259E">
        <w:lastRenderedPageBreak/>
        <w:t xml:space="preserve">initial calls will conclude by scheduling the interview at </w:t>
      </w:r>
      <w:r w:rsidR="00E157D8">
        <w:t xml:space="preserve">a </w:t>
      </w:r>
      <w:r w:rsidRPr="006B259E">
        <w:t xml:space="preserve">future time that is convenient for respondents (or establishing a procedure for scheduling with an alternative respondent). </w:t>
      </w:r>
    </w:p>
    <w:p w:rsidR="00AC4681" w:rsidRPr="006B259E" w:rsidRDefault="00AC4681" w:rsidP="00BD1CF3">
      <w:pPr>
        <w:tabs>
          <w:tab w:val="left" w:pos="720"/>
          <w:tab w:val="left" w:pos="2520"/>
          <w:tab w:val="left" w:pos="4680"/>
        </w:tabs>
      </w:pPr>
      <w:r w:rsidRPr="006B259E">
        <w:rPr>
          <w:bCs/>
        </w:rPr>
        <w:t xml:space="preserve"> </w:t>
      </w:r>
    </w:p>
    <w:p w:rsidR="00B101D1" w:rsidRPr="00B101D1" w:rsidRDefault="00B101D1" w:rsidP="00BD1CF3">
      <w:pPr>
        <w:tabs>
          <w:tab w:val="left" w:pos="0"/>
          <w:tab w:val="left" w:pos="288"/>
          <w:tab w:val="left" w:pos="662"/>
        </w:tabs>
        <w:rPr>
          <w:i/>
        </w:rPr>
      </w:pPr>
      <w:r w:rsidRPr="00B101D1">
        <w:rPr>
          <w:i/>
        </w:rPr>
        <w:t>Informed Consent</w:t>
      </w:r>
    </w:p>
    <w:p w:rsidR="00BD1CF3" w:rsidRDefault="00BD1CF3" w:rsidP="00BD1CF3">
      <w:pPr>
        <w:tabs>
          <w:tab w:val="left" w:pos="0"/>
          <w:tab w:val="left" w:pos="288"/>
          <w:tab w:val="left" w:pos="662"/>
        </w:tabs>
      </w:pPr>
    </w:p>
    <w:p w:rsidR="00AC4681" w:rsidRPr="006B259E" w:rsidRDefault="00AC4681" w:rsidP="00BD1CF3">
      <w:pPr>
        <w:tabs>
          <w:tab w:val="left" w:pos="0"/>
          <w:tab w:val="left" w:pos="288"/>
          <w:tab w:val="left" w:pos="662"/>
        </w:tabs>
      </w:pPr>
      <w:r w:rsidRPr="006B259E">
        <w:t xml:space="preserve">Verbal consent will be obtained from respondents at the beginning of each telephone survey (see instrument for the verbal informed consent language that will be used in the survey, in </w:t>
      </w:r>
      <w:r w:rsidRPr="00A84018">
        <w:t xml:space="preserve">Appendix </w:t>
      </w:r>
      <w:r w:rsidR="0081054C" w:rsidRPr="0081054C">
        <w:t>F</w:t>
      </w:r>
      <w:r w:rsidRPr="0081054C">
        <w:t xml:space="preserve">). </w:t>
      </w:r>
      <w:r w:rsidRPr="00A84018">
        <w:rPr>
          <w:iCs/>
        </w:rPr>
        <w:t>The same protocol will be used for all grantees.</w:t>
      </w:r>
      <w:r w:rsidRPr="006B259E">
        <w:t xml:space="preserve"> </w:t>
      </w:r>
      <w:r w:rsidRPr="006B259E">
        <w:rPr>
          <w:iCs/>
        </w:rPr>
        <w:t xml:space="preserve"> </w:t>
      </w:r>
    </w:p>
    <w:p w:rsidR="000A4FAC" w:rsidRDefault="000A4FAC" w:rsidP="00B101D1">
      <w:pPr>
        <w:tabs>
          <w:tab w:val="left" w:pos="720"/>
          <w:tab w:val="left" w:pos="2520"/>
          <w:tab w:val="left" w:pos="4680"/>
        </w:tabs>
        <w:rPr>
          <w:i/>
        </w:rPr>
      </w:pPr>
    </w:p>
    <w:p w:rsidR="00B101D1" w:rsidRPr="00B101D1" w:rsidRDefault="00B101D1" w:rsidP="00B101D1">
      <w:pPr>
        <w:tabs>
          <w:tab w:val="left" w:pos="720"/>
          <w:tab w:val="left" w:pos="2520"/>
          <w:tab w:val="left" w:pos="4680"/>
        </w:tabs>
        <w:rPr>
          <w:i/>
        </w:rPr>
      </w:pPr>
      <w:r w:rsidRPr="00B101D1">
        <w:rPr>
          <w:i/>
        </w:rPr>
        <w:t>Training</w:t>
      </w:r>
    </w:p>
    <w:p w:rsidR="00BD1CF3" w:rsidRDefault="00BD1CF3" w:rsidP="00B101D1">
      <w:pPr>
        <w:tabs>
          <w:tab w:val="left" w:pos="720"/>
          <w:tab w:val="left" w:pos="2520"/>
          <w:tab w:val="left" w:pos="4680"/>
        </w:tabs>
      </w:pPr>
    </w:p>
    <w:p w:rsidR="00B101D1" w:rsidRPr="006B259E" w:rsidRDefault="00B101D1" w:rsidP="00B101D1">
      <w:pPr>
        <w:tabs>
          <w:tab w:val="left" w:pos="720"/>
          <w:tab w:val="left" w:pos="2520"/>
          <w:tab w:val="left" w:pos="4680"/>
        </w:tabs>
      </w:pPr>
      <w:r w:rsidRPr="006B259E">
        <w:t>All interviewers will b</w:t>
      </w:r>
      <w:r w:rsidR="009B77DC">
        <w:t>e trained on the protocol by senior members of the research team</w:t>
      </w:r>
      <w:r w:rsidRPr="006B259E">
        <w:t xml:space="preserve">.  During interviewer training, the interviewers will be walked through the protocol and </w:t>
      </w:r>
      <w:r w:rsidR="00C43557">
        <w:t>engage in discussion of</w:t>
      </w:r>
      <w:r w:rsidRPr="006B259E">
        <w:t xml:space="preserve"> the purpose of each item, examples of desired responses, and appropriate probes to use. </w:t>
      </w:r>
      <w:r w:rsidR="00F90F41">
        <w:t xml:space="preserve">Interviewer training will also include interviewer responsibilities regarding </w:t>
      </w:r>
      <w:r w:rsidR="00C43557">
        <w:t xml:space="preserve">ethics of data </w:t>
      </w:r>
      <w:r w:rsidR="00F90F41">
        <w:t xml:space="preserve">collection, informed consent requirements, and confidentiality of data. </w:t>
      </w:r>
      <w:r w:rsidR="00C43557">
        <w:t xml:space="preserve">To ensure ongoing quality and consistency, </w:t>
      </w:r>
      <w:r w:rsidR="000F4F74">
        <w:t>senior members of the research team</w:t>
      </w:r>
      <w:r w:rsidR="00C43557">
        <w:t xml:space="preserve"> will periodically review completed interview notes and meet with interviewers to discuss the interview process and resolve any issues.</w:t>
      </w:r>
    </w:p>
    <w:p w:rsidR="009B77DC" w:rsidRDefault="009B77DC" w:rsidP="00AC4681">
      <w:pPr>
        <w:tabs>
          <w:tab w:val="left" w:pos="720"/>
          <w:tab w:val="left" w:pos="2520"/>
          <w:tab w:val="left" w:pos="4680"/>
        </w:tabs>
        <w:rPr>
          <w:i/>
        </w:rPr>
      </w:pPr>
    </w:p>
    <w:p w:rsidR="006B259E" w:rsidRPr="00B101D1" w:rsidRDefault="006B259E" w:rsidP="00AC4681">
      <w:pPr>
        <w:tabs>
          <w:tab w:val="left" w:pos="720"/>
          <w:tab w:val="left" w:pos="2520"/>
          <w:tab w:val="left" w:pos="4680"/>
        </w:tabs>
        <w:rPr>
          <w:i/>
        </w:rPr>
      </w:pPr>
      <w:r w:rsidRPr="00B101D1">
        <w:rPr>
          <w:i/>
        </w:rPr>
        <w:t xml:space="preserve">Data </w:t>
      </w:r>
      <w:r w:rsidR="00B101D1" w:rsidRPr="00B101D1">
        <w:rPr>
          <w:i/>
        </w:rPr>
        <w:t>Collection</w:t>
      </w:r>
    </w:p>
    <w:p w:rsidR="00BD1CF3" w:rsidRDefault="00BD1CF3" w:rsidP="00AC4681">
      <w:pPr>
        <w:tabs>
          <w:tab w:val="left" w:pos="720"/>
          <w:tab w:val="left" w:pos="2520"/>
          <w:tab w:val="left" w:pos="4680"/>
        </w:tabs>
      </w:pPr>
    </w:p>
    <w:p w:rsidR="006B259E" w:rsidRDefault="003B2CFA" w:rsidP="00AC4681">
      <w:pPr>
        <w:tabs>
          <w:tab w:val="left" w:pos="720"/>
          <w:tab w:val="left" w:pos="2520"/>
          <w:tab w:val="left" w:pos="4680"/>
        </w:tabs>
      </w:pPr>
      <w:r>
        <w:t>B</w:t>
      </w:r>
      <w:r w:rsidRPr="006B259E">
        <w:t xml:space="preserve">efore conducting each survey, researchers </w:t>
      </w:r>
      <w:r>
        <w:t xml:space="preserve">will familiarize themselves with the grantee by </w:t>
      </w:r>
      <w:r w:rsidRPr="006B259E">
        <w:t>review</w:t>
      </w:r>
      <w:r>
        <w:t>ing</w:t>
      </w:r>
      <w:r w:rsidRPr="006B259E">
        <w:t xml:space="preserve"> data on key </w:t>
      </w:r>
      <w:r w:rsidR="00676B85">
        <w:t>grantee</w:t>
      </w:r>
      <w:r w:rsidRPr="006B259E">
        <w:t xml:space="preserve"> characteristics from the PIR and other information available about t</w:t>
      </w:r>
      <w:r>
        <w:t>he grantee</w:t>
      </w:r>
      <w:r w:rsidRPr="006B259E">
        <w:t xml:space="preserve">. </w:t>
      </w:r>
      <w:r>
        <w:t xml:space="preserve"> </w:t>
      </w:r>
      <w:r w:rsidR="00AC4681" w:rsidRPr="006B259E">
        <w:t xml:space="preserve">To facilitate data collection, entry, and management, interview protocols will be programmed into a web application such as Checkbox that interviewers will access on a secure server. This application will prompt interviewers through the protocol and also serve as the mechanism by which telephone interviewers record responses. </w:t>
      </w:r>
      <w:r w:rsidR="00B101D1" w:rsidRPr="006B259E">
        <w:rPr>
          <w:iCs/>
        </w:rPr>
        <w:t>Each telephone survey is expected to last approximately 75 minutes.</w:t>
      </w:r>
    </w:p>
    <w:p w:rsidR="006B259E" w:rsidRDefault="006B259E" w:rsidP="00AC4681">
      <w:pPr>
        <w:tabs>
          <w:tab w:val="left" w:pos="720"/>
          <w:tab w:val="left" w:pos="2520"/>
          <w:tab w:val="left" w:pos="4680"/>
        </w:tabs>
      </w:pPr>
    </w:p>
    <w:p w:rsidR="00B101D1" w:rsidRPr="0033170B" w:rsidRDefault="00B101D1" w:rsidP="00AC4681">
      <w:pPr>
        <w:rPr>
          <w:u w:val="single"/>
        </w:rPr>
      </w:pPr>
      <w:r w:rsidRPr="0033170B">
        <w:rPr>
          <w:u w:val="single"/>
        </w:rPr>
        <w:t xml:space="preserve">DRS In-Depth Interview: </w:t>
      </w:r>
      <w:r w:rsidRPr="00E157D8">
        <w:rPr>
          <w:u w:val="single"/>
        </w:rPr>
        <w:t>Agency</w:t>
      </w:r>
      <w:r w:rsidRPr="0033170B">
        <w:rPr>
          <w:u w:val="single"/>
        </w:rPr>
        <w:t xml:space="preserve"> Directors, Program Directors, </w:t>
      </w:r>
      <w:r w:rsidR="0033170B" w:rsidRPr="0033170B">
        <w:rPr>
          <w:u w:val="single"/>
        </w:rPr>
        <w:t>Policy Council/Governing Body, and Program Managers</w:t>
      </w:r>
    </w:p>
    <w:p w:rsidR="00BD1CF3" w:rsidRDefault="00BD1CF3" w:rsidP="0033170B"/>
    <w:p w:rsidR="0033170B" w:rsidRDefault="0033170B" w:rsidP="0033170B">
      <w:r w:rsidRPr="0033170B">
        <w:t>Additional</w:t>
      </w:r>
      <w:r w:rsidR="00AC4681" w:rsidRPr="0033170B">
        <w:t xml:space="preserve"> qualitative data will be collected through site visits with a sub-set of the grantees that participated in </w:t>
      </w:r>
      <w:r w:rsidR="00991388">
        <w:rPr>
          <w:iCs/>
        </w:rPr>
        <w:t xml:space="preserve">the DRS Telephone Interview: Program Directors </w:t>
      </w:r>
      <w:r w:rsidR="00991388" w:rsidRPr="0081054C">
        <w:t>(</w:t>
      </w:r>
      <w:r w:rsidR="00991388" w:rsidRPr="00A84018">
        <w:t xml:space="preserve">Appendix </w:t>
      </w:r>
      <w:r w:rsidR="00991388" w:rsidRPr="0081054C">
        <w:t>F)</w:t>
      </w:r>
      <w:r w:rsidR="00AC4681" w:rsidRPr="0033170B">
        <w:t xml:space="preserve">.  During the summer of 2014, the contractor will examine preliminary data from telephone interviews and select 15 grantees </w:t>
      </w:r>
      <w:r w:rsidR="00FE4449">
        <w:t xml:space="preserve">for </w:t>
      </w:r>
      <w:r w:rsidR="00991388">
        <w:t xml:space="preserve">the </w:t>
      </w:r>
      <w:r w:rsidR="00991388">
        <w:rPr>
          <w:bCs/>
          <w:noProof/>
        </w:rPr>
        <w:t xml:space="preserve">DRS In-Depth Interview: </w:t>
      </w:r>
      <w:r w:rsidR="00991388" w:rsidRPr="00E157D8">
        <w:rPr>
          <w:bCs/>
          <w:noProof/>
        </w:rPr>
        <w:t>Agency D</w:t>
      </w:r>
      <w:r w:rsidR="00991388" w:rsidRPr="00D6463F">
        <w:rPr>
          <w:bCs/>
          <w:noProof/>
        </w:rPr>
        <w:t>irectors</w:t>
      </w:r>
      <w:r w:rsidR="00991388">
        <w:rPr>
          <w:bCs/>
          <w:noProof/>
        </w:rPr>
        <w:t>, DRS In-Depth Interview: Program</w:t>
      </w:r>
      <w:r w:rsidR="00991388" w:rsidRPr="00D6463F">
        <w:rPr>
          <w:bCs/>
          <w:noProof/>
        </w:rPr>
        <w:t xml:space="preserve"> Directors</w:t>
      </w:r>
      <w:r w:rsidR="00991388">
        <w:rPr>
          <w:bCs/>
          <w:noProof/>
        </w:rPr>
        <w:t xml:space="preserve">, </w:t>
      </w:r>
      <w:r w:rsidR="00991388" w:rsidRPr="00D6463F">
        <w:rPr>
          <w:bCs/>
          <w:noProof/>
        </w:rPr>
        <w:t>DRS In-D</w:t>
      </w:r>
      <w:r w:rsidR="00991388">
        <w:rPr>
          <w:bCs/>
          <w:noProof/>
        </w:rPr>
        <w:t>epth Interview: Policy Council/</w:t>
      </w:r>
      <w:r w:rsidR="00991388" w:rsidRPr="00D6463F">
        <w:rPr>
          <w:bCs/>
          <w:noProof/>
        </w:rPr>
        <w:t>Governing Body</w:t>
      </w:r>
      <w:r w:rsidR="00991388">
        <w:rPr>
          <w:bCs/>
          <w:noProof/>
        </w:rPr>
        <w:t xml:space="preserve">, and </w:t>
      </w:r>
      <w:r w:rsidR="00991388" w:rsidRPr="00D6463F">
        <w:rPr>
          <w:bCs/>
          <w:noProof/>
        </w:rPr>
        <w:t xml:space="preserve">DRS In-Depth </w:t>
      </w:r>
      <w:r w:rsidR="00991388">
        <w:rPr>
          <w:bCs/>
          <w:noProof/>
        </w:rPr>
        <w:t xml:space="preserve">Interview: </w:t>
      </w:r>
      <w:r w:rsidR="00991388" w:rsidRPr="00D6463F">
        <w:rPr>
          <w:bCs/>
          <w:noProof/>
        </w:rPr>
        <w:t>Program Managers</w:t>
      </w:r>
      <w:r w:rsidR="00991388">
        <w:t xml:space="preserve"> (Appendices G-J)</w:t>
      </w:r>
      <w:r w:rsidR="00E157D8">
        <w:t>.  These interviews will take</w:t>
      </w:r>
      <w:r w:rsidR="00991388">
        <w:t xml:space="preserve"> place over the course of </w:t>
      </w:r>
      <w:r w:rsidR="00FE4449">
        <w:t>one-to-two-day site visits where a variety of perspectives will be sought on understanding of and reactions to the DRS</w:t>
      </w:r>
      <w:r w:rsidR="00E157D8">
        <w:t xml:space="preserve">.  It is important to seek out a variety of perspectives because Head Start grantees rely on a </w:t>
      </w:r>
      <w:r w:rsidR="002D44FD">
        <w:t xml:space="preserve">diffuse governance system that includes a </w:t>
      </w:r>
      <w:r w:rsidR="00E157D8">
        <w:t>variety of types of managers and directors</w:t>
      </w:r>
      <w:r w:rsidR="002D44FD">
        <w:t>, governing body and policy council members</w:t>
      </w:r>
      <w:r w:rsidR="00E157D8">
        <w:t xml:space="preserve"> to make and carry out decisions, a</w:t>
      </w:r>
      <w:r w:rsidR="002D44FD">
        <w:t xml:space="preserve">nd to allocate resources.  The perceptions and understanding of all of these individuals is likely to influence how the DRS </w:t>
      </w:r>
      <w:proofErr w:type="gramStart"/>
      <w:r w:rsidR="002D44FD">
        <w:t>is</w:t>
      </w:r>
      <w:proofErr w:type="gramEnd"/>
      <w:r w:rsidR="002D44FD">
        <w:t xml:space="preserve"> experienced by the </w:t>
      </w:r>
      <w:r w:rsidR="00676B85">
        <w:t>grantee</w:t>
      </w:r>
      <w:r w:rsidR="002D44FD">
        <w:t xml:space="preserve">. </w:t>
      </w:r>
      <w:r w:rsidR="00381B0F">
        <w:t xml:space="preserve"> </w:t>
      </w:r>
      <w:r w:rsidR="00E157D8">
        <w:t xml:space="preserve">  </w:t>
      </w:r>
    </w:p>
    <w:p w:rsidR="00A277F2" w:rsidRDefault="00A277F2" w:rsidP="0033170B">
      <w:pPr>
        <w:rPr>
          <w:i/>
        </w:rPr>
      </w:pPr>
    </w:p>
    <w:p w:rsidR="0033170B" w:rsidRPr="0033170B" w:rsidRDefault="0033170B" w:rsidP="0033170B">
      <w:pPr>
        <w:rPr>
          <w:i/>
        </w:rPr>
      </w:pPr>
      <w:r w:rsidRPr="0033170B">
        <w:rPr>
          <w:i/>
        </w:rPr>
        <w:t>Recruitment</w:t>
      </w:r>
    </w:p>
    <w:p w:rsidR="00BD1CF3" w:rsidRDefault="00BD1CF3" w:rsidP="0033170B"/>
    <w:p w:rsidR="00A1163A" w:rsidRPr="0033170B" w:rsidRDefault="00AC4681" w:rsidP="0033170B">
      <w:r w:rsidRPr="0033170B">
        <w:t xml:space="preserve">Letters will be sent to </w:t>
      </w:r>
      <w:r w:rsidR="0033170B">
        <w:t xml:space="preserve">the Head Start </w:t>
      </w:r>
      <w:r w:rsidR="0081054C">
        <w:t>p</w:t>
      </w:r>
      <w:r w:rsidR="0033170B">
        <w:t xml:space="preserve">rogram </w:t>
      </w:r>
      <w:r w:rsidR="0081054C">
        <w:t>d</w:t>
      </w:r>
      <w:r w:rsidR="0033170B">
        <w:t xml:space="preserve">irector in the selected </w:t>
      </w:r>
      <w:r w:rsidR="00676B85">
        <w:t>grantee</w:t>
      </w:r>
      <w:r w:rsidRPr="0033170B">
        <w:t>s to invite them to participate (</w:t>
      </w:r>
      <w:r w:rsidRPr="00A84018">
        <w:t xml:space="preserve">Appendix </w:t>
      </w:r>
      <w:r w:rsidR="0081054C" w:rsidRPr="00A84018">
        <w:t>O4.1</w:t>
      </w:r>
      <w:r w:rsidRPr="00A84018">
        <w:t>),</w:t>
      </w:r>
      <w:r w:rsidRPr="0033170B">
        <w:t xml:space="preserve"> and follow-up phone calls will be made to further recruit </w:t>
      </w:r>
      <w:r w:rsidR="00676B85">
        <w:t>grantee</w:t>
      </w:r>
      <w:r w:rsidRPr="0033170B">
        <w:t>s and schedule the site visits for the months September – December 2014</w:t>
      </w:r>
      <w:r w:rsidR="0081054C">
        <w:t xml:space="preserve"> </w:t>
      </w:r>
      <w:r w:rsidR="0081054C" w:rsidRPr="0033170B">
        <w:t>(</w:t>
      </w:r>
      <w:r w:rsidR="0081054C" w:rsidRPr="00A84018">
        <w:t>Appendix O4.2</w:t>
      </w:r>
      <w:r w:rsidR="0081054C" w:rsidRPr="0033170B">
        <w:t>)</w:t>
      </w:r>
      <w:r w:rsidRPr="0033170B">
        <w:t xml:space="preserve">. </w:t>
      </w:r>
      <w:r w:rsidR="0033170B" w:rsidRPr="0033170B">
        <w:t>The site visit team will work with the program director or designee to determine the best methods for recruiting participants in each of the targeted respondent groups.</w:t>
      </w:r>
    </w:p>
    <w:p w:rsidR="00082372" w:rsidRDefault="00082372">
      <w:pPr>
        <w:rPr>
          <w:i/>
        </w:rPr>
      </w:pPr>
    </w:p>
    <w:p w:rsidR="00F90F41" w:rsidRPr="00B101D1" w:rsidRDefault="00F90F41" w:rsidP="00F90F41">
      <w:pPr>
        <w:tabs>
          <w:tab w:val="left" w:pos="720"/>
          <w:tab w:val="left" w:pos="2520"/>
          <w:tab w:val="left" w:pos="4680"/>
        </w:tabs>
        <w:rPr>
          <w:i/>
        </w:rPr>
      </w:pPr>
      <w:r w:rsidRPr="00B101D1">
        <w:rPr>
          <w:i/>
        </w:rPr>
        <w:t>Training</w:t>
      </w:r>
    </w:p>
    <w:p w:rsidR="00BD1CF3" w:rsidRDefault="00BD1CF3" w:rsidP="00F90F41">
      <w:pPr>
        <w:tabs>
          <w:tab w:val="left" w:pos="720"/>
          <w:tab w:val="left" w:pos="2520"/>
          <w:tab w:val="left" w:pos="4680"/>
        </w:tabs>
      </w:pPr>
    </w:p>
    <w:p w:rsidR="0033170B" w:rsidRPr="00F90F41" w:rsidRDefault="00F90F41" w:rsidP="00F90F41">
      <w:pPr>
        <w:tabs>
          <w:tab w:val="left" w:pos="720"/>
          <w:tab w:val="left" w:pos="2520"/>
          <w:tab w:val="left" w:pos="4680"/>
        </w:tabs>
      </w:pPr>
      <w:r w:rsidRPr="006B259E">
        <w:t xml:space="preserve">All interviewers will be trained on the protocol by </w:t>
      </w:r>
      <w:r w:rsidR="00084713">
        <w:t>senior members of the research team</w:t>
      </w:r>
      <w:r w:rsidRPr="006B259E">
        <w:t xml:space="preserve"> before the interviews.  During interviewer training, the interviewers will be walked through the protocol and discuss the purpose of each item, examples of desired responses, and appropriate probes to use. </w:t>
      </w:r>
      <w:r>
        <w:t>Interviewer training will also include interviewer responsibilities regarding ethical collection of data, informed consent requirements, and confidentiality of data</w:t>
      </w:r>
      <w:r w:rsidR="003B2CFA">
        <w:t>.</w:t>
      </w:r>
      <w:r w:rsidRPr="006B259E">
        <w:t xml:space="preserve"> </w:t>
      </w:r>
    </w:p>
    <w:p w:rsidR="009B77DC" w:rsidRDefault="009B77DC" w:rsidP="00AC4681">
      <w:pPr>
        <w:pStyle w:val="ColorfulList-Accent11"/>
        <w:ind w:left="0"/>
        <w:rPr>
          <w:i/>
        </w:rPr>
      </w:pPr>
    </w:p>
    <w:p w:rsidR="0033170B" w:rsidRPr="0033170B" w:rsidRDefault="0033170B" w:rsidP="00AC4681">
      <w:pPr>
        <w:pStyle w:val="ColorfulList-Accent11"/>
        <w:ind w:left="0"/>
        <w:rPr>
          <w:i/>
        </w:rPr>
      </w:pPr>
      <w:r w:rsidRPr="0033170B">
        <w:rPr>
          <w:i/>
        </w:rPr>
        <w:t>Data Collection</w:t>
      </w:r>
    </w:p>
    <w:p w:rsidR="00BD1CF3" w:rsidRDefault="00BD1CF3" w:rsidP="00AC4681">
      <w:pPr>
        <w:pStyle w:val="ColorfulList-Accent11"/>
        <w:ind w:left="0"/>
      </w:pPr>
    </w:p>
    <w:p w:rsidR="00AC4681" w:rsidRPr="0033170B" w:rsidRDefault="003B2CFA" w:rsidP="00AC4681">
      <w:pPr>
        <w:pStyle w:val="ColorfulList-Accent11"/>
        <w:ind w:left="0"/>
      </w:pPr>
      <w:r>
        <w:t>B</w:t>
      </w:r>
      <w:r w:rsidRPr="006B259E">
        <w:t xml:space="preserve">efore </w:t>
      </w:r>
      <w:r>
        <w:t>visiting each site</w:t>
      </w:r>
      <w:r w:rsidRPr="006B259E">
        <w:t xml:space="preserve">, researchers </w:t>
      </w:r>
      <w:r>
        <w:t xml:space="preserve">will familiarize themselves with the grantee by </w:t>
      </w:r>
      <w:r w:rsidRPr="006B259E">
        <w:t>review</w:t>
      </w:r>
      <w:r>
        <w:t>ing</w:t>
      </w:r>
      <w:r w:rsidRPr="006B259E">
        <w:t xml:space="preserve"> data on key </w:t>
      </w:r>
      <w:r w:rsidR="00676B85">
        <w:t>grantee</w:t>
      </w:r>
      <w:r w:rsidRPr="006B259E">
        <w:t xml:space="preserve"> characteristics from the PIR and other information available about t</w:t>
      </w:r>
      <w:r>
        <w:t>he grantee</w:t>
      </w:r>
      <w:r w:rsidRPr="006B259E">
        <w:t>.</w:t>
      </w:r>
      <w:r>
        <w:t xml:space="preserve"> </w:t>
      </w:r>
      <w:r w:rsidR="00AC4681" w:rsidRPr="0033170B">
        <w:t xml:space="preserve">A team of two researchers will visit each of the 15 selected sites. </w:t>
      </w:r>
      <w:r w:rsidR="002D44FD">
        <w:t>T</w:t>
      </w:r>
      <w:r w:rsidR="0033170B" w:rsidRPr="0033170B">
        <w:t xml:space="preserve">he senior researcher </w:t>
      </w:r>
      <w:r w:rsidR="002D44FD">
        <w:t>will lead</w:t>
      </w:r>
      <w:r w:rsidR="0033170B" w:rsidRPr="0033170B">
        <w:t xml:space="preserve"> most of the interviews, and</w:t>
      </w:r>
      <w:r w:rsidR="002D44FD">
        <w:t xml:space="preserve"> the junior researcher will take</w:t>
      </w:r>
      <w:r w:rsidR="0033170B" w:rsidRPr="0033170B">
        <w:t xml:space="preserve"> detailed notes as close to verbatim as possible. With the permission of the respondent, the interviews will be recorded, solely for the purpose of editing and correcting the notes and creating a targeted transcription with key responses. </w:t>
      </w:r>
    </w:p>
    <w:p w:rsidR="00AC4681" w:rsidRPr="0033170B" w:rsidRDefault="00AC4681" w:rsidP="00AC4681">
      <w:pPr>
        <w:pStyle w:val="ColorfulList-Accent11"/>
        <w:ind w:left="0"/>
      </w:pPr>
    </w:p>
    <w:p w:rsidR="00AC4681" w:rsidRPr="00A84018" w:rsidRDefault="00AC4681" w:rsidP="00AC4681">
      <w:pPr>
        <w:pStyle w:val="ColorfulList-Accent11"/>
        <w:ind w:left="0"/>
      </w:pPr>
      <w:r w:rsidRPr="00A84018">
        <w:t xml:space="preserve">During the </w:t>
      </w:r>
      <w:r w:rsidR="0081054C" w:rsidRPr="00A84018">
        <w:t xml:space="preserve">one-to-two-day </w:t>
      </w:r>
      <w:r w:rsidRPr="00A84018">
        <w:t xml:space="preserve">site visits, researchers will conduct a 90-minute follow-up interview </w:t>
      </w:r>
      <w:r w:rsidR="002D44FD">
        <w:t xml:space="preserve">through the DRS In-Depth Interview: Program Directors (Appendix H) </w:t>
      </w:r>
      <w:r w:rsidRPr="00A84018">
        <w:t xml:space="preserve">with the staff member who responded to the </w:t>
      </w:r>
      <w:r w:rsidR="00A1163A">
        <w:t>DRS Telephone Interview: Program Directors (Appendix F)</w:t>
      </w:r>
      <w:r w:rsidR="002D44FD">
        <w:t>. Researchers will conduct</w:t>
      </w:r>
      <w:r w:rsidRPr="00A84018">
        <w:t xml:space="preserve"> a one-hour interview with the </w:t>
      </w:r>
      <w:r w:rsidRPr="0089302D">
        <w:t>agency</w:t>
      </w:r>
      <w:r w:rsidRPr="00A84018">
        <w:t xml:space="preserve"> director</w:t>
      </w:r>
      <w:r w:rsidR="00991388">
        <w:t xml:space="preserve"> </w:t>
      </w:r>
      <w:r w:rsidR="002D44FD">
        <w:t xml:space="preserve">using </w:t>
      </w:r>
      <w:r w:rsidR="00991388">
        <w:t xml:space="preserve">the </w:t>
      </w:r>
      <w:r w:rsidR="00991388">
        <w:rPr>
          <w:bCs/>
          <w:noProof/>
        </w:rPr>
        <w:t xml:space="preserve">DRS In-Depth Interview: </w:t>
      </w:r>
      <w:r w:rsidR="00991388" w:rsidRPr="002D44FD">
        <w:rPr>
          <w:bCs/>
          <w:noProof/>
        </w:rPr>
        <w:t>Agency</w:t>
      </w:r>
      <w:r w:rsidR="00991388" w:rsidRPr="00D6463F">
        <w:rPr>
          <w:bCs/>
          <w:noProof/>
        </w:rPr>
        <w:t xml:space="preserve"> Directors</w:t>
      </w:r>
      <w:r w:rsidR="00A1163A">
        <w:rPr>
          <w:bCs/>
          <w:noProof/>
        </w:rPr>
        <w:t xml:space="preserve"> </w:t>
      </w:r>
      <w:r w:rsidRPr="00A84018">
        <w:t>(</w:t>
      </w:r>
      <w:r w:rsidR="00991388" w:rsidRPr="00A84018">
        <w:t>Appendi</w:t>
      </w:r>
      <w:r w:rsidR="00991388">
        <w:t>x</w:t>
      </w:r>
      <w:r w:rsidR="00991388" w:rsidRPr="00A84018">
        <w:t xml:space="preserve"> </w:t>
      </w:r>
      <w:r w:rsidR="0081054C" w:rsidRPr="00A84018">
        <w:t>G</w:t>
      </w:r>
      <w:r w:rsidRPr="00A84018">
        <w:t xml:space="preserve">). Some managers will be interviewed in a </w:t>
      </w:r>
      <w:r w:rsidR="005F3A7E">
        <w:t xml:space="preserve">90-minute </w:t>
      </w:r>
      <w:r w:rsidRPr="00A84018">
        <w:t>small group interview (e.g., education services manager, or other specialty area)</w:t>
      </w:r>
      <w:r w:rsidR="00991388">
        <w:t xml:space="preserve"> </w:t>
      </w:r>
      <w:r w:rsidR="002D44FD">
        <w:t>using</w:t>
      </w:r>
      <w:r w:rsidR="00991388">
        <w:t xml:space="preserve"> the DRS In-Depth Interview: Program Managers</w:t>
      </w:r>
      <w:r w:rsidR="0081054C" w:rsidRPr="00A84018">
        <w:t xml:space="preserve"> (Appendix J)</w:t>
      </w:r>
      <w:r w:rsidRPr="00A84018">
        <w:t xml:space="preserve">.  Researchers will also conduct </w:t>
      </w:r>
      <w:r w:rsidR="005F3A7E">
        <w:t xml:space="preserve">90-minute </w:t>
      </w:r>
      <w:r w:rsidRPr="00A84018">
        <w:t xml:space="preserve">group interviews of policy council and governing board members </w:t>
      </w:r>
      <w:r w:rsidR="002D44FD">
        <w:t>using</w:t>
      </w:r>
      <w:r w:rsidR="00991388">
        <w:t xml:space="preserve"> the </w:t>
      </w:r>
      <w:r w:rsidR="00991388" w:rsidRPr="00D6463F">
        <w:rPr>
          <w:bCs/>
          <w:noProof/>
        </w:rPr>
        <w:t>DRS In-D</w:t>
      </w:r>
      <w:r w:rsidR="00991388">
        <w:rPr>
          <w:bCs/>
          <w:noProof/>
        </w:rPr>
        <w:t>epth Interview: Policy Council/</w:t>
      </w:r>
      <w:r w:rsidR="00991388" w:rsidRPr="00D6463F">
        <w:rPr>
          <w:bCs/>
          <w:noProof/>
        </w:rPr>
        <w:t>Governing Body</w:t>
      </w:r>
      <w:r w:rsidR="00991388" w:rsidRPr="00A84018">
        <w:t xml:space="preserve"> </w:t>
      </w:r>
      <w:r w:rsidRPr="00A84018">
        <w:t>(Appendi</w:t>
      </w:r>
      <w:r w:rsidR="0081054C" w:rsidRPr="00A84018">
        <w:t>x I</w:t>
      </w:r>
      <w:r w:rsidRPr="00A84018">
        <w:t xml:space="preserve">). </w:t>
      </w:r>
    </w:p>
    <w:p w:rsidR="00AC4681" w:rsidRPr="00A84018" w:rsidRDefault="00AC4681" w:rsidP="00AC4681">
      <w:r w:rsidRPr="00A84018">
        <w:t xml:space="preserve">   </w:t>
      </w:r>
    </w:p>
    <w:p w:rsidR="00AC4681" w:rsidRPr="00A84018" w:rsidRDefault="00AC4681" w:rsidP="00AC4681">
      <w:r w:rsidRPr="00A84018">
        <w:t xml:space="preserve">The interviews will all use discussion guides with key topics and open-ended questions rather than close-ended questions (i.e. rigidly specified and directly quantifiable questions). This approach is the best data collection method for understanding in depth how the </w:t>
      </w:r>
      <w:r w:rsidR="007E7106">
        <w:t>DRS</w:t>
      </w:r>
      <w:r w:rsidRPr="00A84018">
        <w:t xml:space="preserve"> </w:t>
      </w:r>
      <w:proofErr w:type="gramStart"/>
      <w:r w:rsidRPr="00A84018">
        <w:t>is</w:t>
      </w:r>
      <w:proofErr w:type="gramEnd"/>
      <w:r w:rsidRPr="00A84018">
        <w:t xml:space="preserve"> understood, the incentives experienced, and the actions taken.  The researchers will be trained to mark in their notes when a key statement is made so that quotes can later be checked for accuracy with the recording.</w:t>
      </w:r>
    </w:p>
    <w:p w:rsidR="00AC4681" w:rsidRPr="00A84018" w:rsidRDefault="00AC4681" w:rsidP="00AC4681">
      <w:pPr>
        <w:rPr>
          <w:b/>
        </w:rPr>
      </w:pPr>
    </w:p>
    <w:p w:rsidR="00AC4681" w:rsidRPr="00A84018" w:rsidRDefault="00AC4681" w:rsidP="00040B0D">
      <w:pPr>
        <w:rPr>
          <w:b/>
          <w:color w:val="000000"/>
        </w:rPr>
      </w:pPr>
      <w:r w:rsidRPr="00A84018">
        <w:rPr>
          <w:b/>
        </w:rPr>
        <w:lastRenderedPageBreak/>
        <w:t xml:space="preserve">RQ3: </w:t>
      </w:r>
      <w:r w:rsidRPr="00A84018">
        <w:rPr>
          <w:b/>
          <w:color w:val="000000"/>
        </w:rPr>
        <w:t>What does competition look like and how do programs respond in communities where Head Start grantees are designated for competition? </w:t>
      </w:r>
    </w:p>
    <w:p w:rsidR="00AD4AD8" w:rsidRDefault="00AD4AD8" w:rsidP="00040B0D">
      <w:pPr>
        <w:rPr>
          <w:u w:val="single"/>
        </w:rPr>
      </w:pPr>
    </w:p>
    <w:p w:rsidR="001B3663" w:rsidRPr="00A84018" w:rsidRDefault="001B3663" w:rsidP="00040B0D">
      <w:pPr>
        <w:rPr>
          <w:b/>
          <w:color w:val="000000"/>
        </w:rPr>
      </w:pPr>
      <w:r w:rsidRPr="00A84018">
        <w:rPr>
          <w:u w:val="single"/>
        </w:rPr>
        <w:t>Data Collection Procedures for Competition Data Capture Sheet</w:t>
      </w:r>
      <w:r w:rsidR="00933268">
        <w:rPr>
          <w:u w:val="single"/>
        </w:rPr>
        <w:t xml:space="preserve"> (CDCS)</w:t>
      </w:r>
    </w:p>
    <w:p w:rsidR="00BD1CF3" w:rsidRDefault="00BD1CF3" w:rsidP="00040B0D"/>
    <w:p w:rsidR="001B3663" w:rsidRPr="00F90F41" w:rsidRDefault="001B3663" w:rsidP="00040B0D">
      <w:r w:rsidRPr="00A84018">
        <w:t xml:space="preserve">The </w:t>
      </w:r>
      <w:r w:rsidR="00933268">
        <w:t>CDCS</w:t>
      </w:r>
      <w:r w:rsidRPr="00A84018">
        <w:t xml:space="preserve"> </w:t>
      </w:r>
      <w:r w:rsidR="00992B57" w:rsidRPr="00A84018">
        <w:t xml:space="preserve">(Appendix N) </w:t>
      </w:r>
      <w:r w:rsidRPr="00A84018">
        <w:t>will collect information from competitive applicants in</w:t>
      </w:r>
      <w:r w:rsidR="00F90F41" w:rsidRPr="00A84018">
        <w:t xml:space="preserve"> DRS </w:t>
      </w:r>
      <w:r w:rsidR="00992B57" w:rsidRPr="00A84018">
        <w:t>C</w:t>
      </w:r>
      <w:r w:rsidR="00F90F41" w:rsidRPr="00A84018">
        <w:t>ohort 3</w:t>
      </w:r>
      <w:r w:rsidRPr="00A84018">
        <w:t>.   It captures information through the FOA application process by consolidating fields of interest for the evaluation into a single response section.  All competitive a</w:t>
      </w:r>
      <w:r w:rsidR="00F90F41" w:rsidRPr="00A84018">
        <w:t xml:space="preserve">pplicants in DRS </w:t>
      </w:r>
      <w:r w:rsidR="00992B57" w:rsidRPr="00A84018">
        <w:t xml:space="preserve">Cohort </w:t>
      </w:r>
      <w:r w:rsidR="00F90F41" w:rsidRPr="00A84018">
        <w:t>3</w:t>
      </w:r>
      <w:r w:rsidRPr="00A84018">
        <w:t xml:space="preserve"> will be requested to complete the sheet as part of the FOA process.  </w:t>
      </w:r>
      <w:r w:rsidR="00E612A7">
        <w:t>OHS</w:t>
      </w:r>
      <w:r w:rsidRPr="00F90F41">
        <w:t xml:space="preserve"> will forward the CDCS documents to the evaluation team when the application process closes.</w:t>
      </w:r>
    </w:p>
    <w:p w:rsidR="00F90F41" w:rsidRDefault="00F90F41" w:rsidP="00040B0D">
      <w:pPr>
        <w:rPr>
          <w:highlight w:val="yellow"/>
        </w:rPr>
      </w:pPr>
    </w:p>
    <w:p w:rsidR="00F90F41" w:rsidRPr="00F90F41" w:rsidRDefault="00F90F41" w:rsidP="00F90F41">
      <w:pPr>
        <w:rPr>
          <w:u w:val="single"/>
        </w:rPr>
      </w:pPr>
      <w:r w:rsidRPr="00F90F41">
        <w:rPr>
          <w:u w:val="single"/>
        </w:rPr>
        <w:t xml:space="preserve">Competition In-Depth Interview: </w:t>
      </w:r>
      <w:r w:rsidRPr="003B2CFA">
        <w:rPr>
          <w:u w:val="single"/>
        </w:rPr>
        <w:t>Agency</w:t>
      </w:r>
      <w:r w:rsidRPr="00F90F41">
        <w:rPr>
          <w:u w:val="single"/>
        </w:rPr>
        <w:t xml:space="preserve"> and Program Directors, Policy Council and Governing Body, and Program Managers</w:t>
      </w:r>
    </w:p>
    <w:p w:rsidR="00BD1CF3" w:rsidRDefault="00BD1CF3" w:rsidP="00F90F41"/>
    <w:p w:rsidR="00F90F41" w:rsidRDefault="00F90F41" w:rsidP="00F90F41">
      <w:r w:rsidRPr="00005B15">
        <w:t xml:space="preserve">The contractor will examine preliminary data from </w:t>
      </w:r>
      <w:r w:rsidR="00933268">
        <w:t>the CDCS</w:t>
      </w:r>
      <w:r w:rsidRPr="00005B15">
        <w:t xml:space="preserve"> and </w:t>
      </w:r>
      <w:r w:rsidR="00C8322A" w:rsidRPr="00005B15">
        <w:t xml:space="preserve">purposively </w:t>
      </w:r>
      <w:r w:rsidRPr="00005B15">
        <w:t xml:space="preserve">select 9 awardees (four incumbent grantees and five new awardees) for site visits maximizing diversity in characteristics such as </w:t>
      </w:r>
      <w:r w:rsidR="00676B85">
        <w:t>grantee</w:t>
      </w:r>
      <w:r w:rsidRPr="00005B15">
        <w:t xml:space="preserve"> size (funded enrollment), rural/urban status auspice, region, </w:t>
      </w:r>
      <w:r w:rsidR="00644888" w:rsidRPr="00005B15">
        <w:t xml:space="preserve">and </w:t>
      </w:r>
      <w:r w:rsidRPr="00005B15">
        <w:t>reason for designation for competition.</w:t>
      </w:r>
      <w:r w:rsidRPr="00F90F41">
        <w:t xml:space="preserve"> </w:t>
      </w:r>
    </w:p>
    <w:p w:rsidR="00A277F2" w:rsidRDefault="00A277F2" w:rsidP="00F90F41">
      <w:pPr>
        <w:rPr>
          <w:i/>
        </w:rPr>
      </w:pPr>
    </w:p>
    <w:p w:rsidR="00F90F41" w:rsidRPr="00F90F41" w:rsidRDefault="00F90F41" w:rsidP="00F90F41">
      <w:pPr>
        <w:rPr>
          <w:i/>
        </w:rPr>
      </w:pPr>
      <w:r w:rsidRPr="00F90F41">
        <w:rPr>
          <w:i/>
        </w:rPr>
        <w:t>Recruitment</w:t>
      </w:r>
    </w:p>
    <w:p w:rsidR="00BD1CF3" w:rsidRDefault="00BD1CF3" w:rsidP="00F90F41"/>
    <w:p w:rsidR="00F90F41" w:rsidRDefault="00F90F41" w:rsidP="00F90F41">
      <w:r w:rsidRPr="00F90F41">
        <w:t xml:space="preserve">Letters will be sent to the Head Start program directors in the selected </w:t>
      </w:r>
      <w:r w:rsidR="00676B85">
        <w:t>grantee</w:t>
      </w:r>
      <w:r w:rsidRPr="00F90F41">
        <w:t xml:space="preserve">s to invite them to participate (Appendix </w:t>
      </w:r>
      <w:r w:rsidR="0081054C">
        <w:t>O5.1</w:t>
      </w:r>
      <w:r w:rsidRPr="00F90F41">
        <w:t xml:space="preserve">), and follow-up phone calls will be made to further recruit </w:t>
      </w:r>
      <w:r w:rsidR="00676B85">
        <w:t>grantee</w:t>
      </w:r>
      <w:r w:rsidRPr="00F90F41">
        <w:t xml:space="preserve">s and schedule the site visits for the months of January-April </w:t>
      </w:r>
      <w:r w:rsidRPr="00A84018">
        <w:t>2015</w:t>
      </w:r>
      <w:r w:rsidR="0081054C" w:rsidRPr="00A84018">
        <w:t xml:space="preserve"> (Appendix O5.2)</w:t>
      </w:r>
      <w:r w:rsidRPr="00A84018">
        <w:t>. The site visit team will work with the program director or designee to determine the best methods</w:t>
      </w:r>
      <w:r w:rsidRPr="0033170B">
        <w:t xml:space="preserve"> for recruiting participants in each of the targeted respondent groups.</w:t>
      </w:r>
    </w:p>
    <w:p w:rsidR="0016110E" w:rsidRDefault="0016110E" w:rsidP="00F90F41"/>
    <w:p w:rsidR="0016110E" w:rsidRPr="00B101D1" w:rsidRDefault="0016110E" w:rsidP="0016110E">
      <w:pPr>
        <w:tabs>
          <w:tab w:val="left" w:pos="720"/>
          <w:tab w:val="left" w:pos="2520"/>
          <w:tab w:val="left" w:pos="4680"/>
        </w:tabs>
        <w:rPr>
          <w:i/>
        </w:rPr>
      </w:pPr>
      <w:r w:rsidRPr="00B101D1">
        <w:rPr>
          <w:i/>
        </w:rPr>
        <w:t>Training</w:t>
      </w:r>
    </w:p>
    <w:p w:rsidR="00BD1CF3" w:rsidRDefault="00BD1CF3" w:rsidP="0016110E"/>
    <w:p w:rsidR="0016110E" w:rsidRPr="00F90F41" w:rsidRDefault="0016110E" w:rsidP="0016110E">
      <w:r w:rsidRPr="006B259E">
        <w:t xml:space="preserve">All interviewers will be trained on the protocol by </w:t>
      </w:r>
      <w:r w:rsidR="00F0509D">
        <w:t>senior members of the research team</w:t>
      </w:r>
      <w:r w:rsidRPr="006B259E">
        <w:t xml:space="preserve"> before the interviews.  During interviewer training, the interviewers will be walked through the protocol and discuss the purpose of each item, examples of desired responses, and appropriate probes to use. </w:t>
      </w:r>
      <w:r>
        <w:t xml:space="preserve">Interviewers will be given an overview of the DRS competitive process, and will learn how to select the appropriate sub-protocol based on the </w:t>
      </w:r>
      <w:r w:rsidR="00D86493">
        <w:t xml:space="preserve">incumbent status and when the organization had been formed. </w:t>
      </w:r>
      <w:r>
        <w:t xml:space="preserve">Interviewer training will also include interviewer responsibilities regarding ethical collection of data, informed consent requirements, and confidentiality of data. </w:t>
      </w:r>
    </w:p>
    <w:p w:rsidR="00F90F41" w:rsidRPr="002026BE" w:rsidRDefault="00F90F41" w:rsidP="00F90F41">
      <w:pPr>
        <w:rPr>
          <w:highlight w:val="yellow"/>
        </w:rPr>
      </w:pPr>
    </w:p>
    <w:p w:rsidR="0016110E" w:rsidRPr="0033170B" w:rsidRDefault="0016110E" w:rsidP="0016110E">
      <w:pPr>
        <w:pStyle w:val="ColorfulList-Accent11"/>
        <w:ind w:left="0"/>
        <w:rPr>
          <w:i/>
        </w:rPr>
      </w:pPr>
      <w:r w:rsidRPr="0033170B">
        <w:rPr>
          <w:i/>
        </w:rPr>
        <w:t>Data Collection</w:t>
      </w:r>
    </w:p>
    <w:p w:rsidR="00BD1CF3" w:rsidRDefault="00BD1CF3" w:rsidP="0016110E">
      <w:pPr>
        <w:pStyle w:val="ColorfulList-Accent11"/>
        <w:ind w:left="0"/>
      </w:pPr>
    </w:p>
    <w:p w:rsidR="0016110E" w:rsidRPr="0033170B" w:rsidRDefault="003B2CFA" w:rsidP="0016110E">
      <w:pPr>
        <w:pStyle w:val="ColorfulList-Accent11"/>
        <w:ind w:left="0"/>
      </w:pPr>
      <w:r>
        <w:t>B</w:t>
      </w:r>
      <w:r w:rsidRPr="006B259E">
        <w:t xml:space="preserve">efore </w:t>
      </w:r>
      <w:r>
        <w:t>visiting each site</w:t>
      </w:r>
      <w:r w:rsidRPr="006B259E">
        <w:t xml:space="preserve">, researchers </w:t>
      </w:r>
      <w:r>
        <w:t xml:space="preserve">will familiarize themselves with the grantee by </w:t>
      </w:r>
      <w:r w:rsidRPr="006B259E">
        <w:t>review</w:t>
      </w:r>
      <w:r>
        <w:t>ing</w:t>
      </w:r>
      <w:r w:rsidRPr="006B259E">
        <w:t xml:space="preserve"> data on key </w:t>
      </w:r>
      <w:r w:rsidR="00676B85">
        <w:t>grantee</w:t>
      </w:r>
      <w:r w:rsidRPr="006B259E">
        <w:t xml:space="preserve"> characteristics from the PIR</w:t>
      </w:r>
      <w:r>
        <w:t>, data collected through the CDCS,</w:t>
      </w:r>
      <w:r w:rsidRPr="006B259E">
        <w:t xml:space="preserve"> and other information available about t</w:t>
      </w:r>
      <w:r>
        <w:t>he grantee</w:t>
      </w:r>
      <w:r w:rsidRPr="006B259E">
        <w:t>.</w:t>
      </w:r>
      <w:r>
        <w:t xml:space="preserve">  </w:t>
      </w:r>
      <w:r w:rsidR="0016110E" w:rsidRPr="0033170B">
        <w:t xml:space="preserve">Two site visitors will conduct </w:t>
      </w:r>
      <w:r>
        <w:t xml:space="preserve">each of </w:t>
      </w:r>
      <w:r w:rsidR="0016110E" w:rsidRPr="0033170B">
        <w:t xml:space="preserve">the </w:t>
      </w:r>
      <w:r>
        <w:t xml:space="preserve">9 </w:t>
      </w:r>
      <w:r w:rsidR="0016110E" w:rsidRPr="0033170B">
        <w:t xml:space="preserve">site visits as a team, with the senior researcher leading most of the interviews, and junior </w:t>
      </w:r>
      <w:r>
        <w:t>researcher</w:t>
      </w:r>
      <w:r w:rsidR="0016110E" w:rsidRPr="0033170B">
        <w:t xml:space="preserve"> taking detailed notes as close to verbatim as possible. With the permission of the respondent, the interviews will be recorded, solely for the purpose of editing and correcting the notes and </w:t>
      </w:r>
      <w:r w:rsidR="0016110E" w:rsidRPr="0033170B">
        <w:lastRenderedPageBreak/>
        <w:t xml:space="preserve">creating a targeted transcription with key responses. Site visits will be one-to-two </w:t>
      </w:r>
      <w:r>
        <w:t xml:space="preserve">days </w:t>
      </w:r>
      <w:r w:rsidR="0016110E" w:rsidRPr="0033170B">
        <w:t xml:space="preserve">that will </w:t>
      </w:r>
      <w:r w:rsidR="00991388">
        <w:t xml:space="preserve">feature </w:t>
      </w:r>
      <w:r>
        <w:t xml:space="preserve">data collection through </w:t>
      </w:r>
      <w:r w:rsidR="00991388">
        <w:t xml:space="preserve">the </w:t>
      </w:r>
      <w:r w:rsidR="00991388" w:rsidRPr="00991388">
        <w:t>Competition In-Depth Intervie</w:t>
      </w:r>
      <w:r w:rsidR="00991388">
        <w:t xml:space="preserve">w: </w:t>
      </w:r>
      <w:r w:rsidR="00991388" w:rsidRPr="003B2CFA">
        <w:t>Agency</w:t>
      </w:r>
      <w:r w:rsidR="00991388">
        <w:t xml:space="preserve"> and Program Directors, </w:t>
      </w:r>
      <w:r w:rsidR="00991388" w:rsidRPr="00991388">
        <w:t>Competition In-Depth Interview:</w:t>
      </w:r>
      <w:r w:rsidR="00991388">
        <w:t xml:space="preserve"> Policy Council/ Governing Body, and </w:t>
      </w:r>
      <w:r w:rsidR="00991388" w:rsidRPr="00991388">
        <w:t>Competition In-De</w:t>
      </w:r>
      <w:r w:rsidR="00991388">
        <w:t>pth Interview: Program Managers (Appendices K-M)</w:t>
      </w:r>
      <w:r w:rsidR="0016110E" w:rsidRPr="0033170B">
        <w:t xml:space="preserve">.  </w:t>
      </w:r>
    </w:p>
    <w:p w:rsidR="0016110E" w:rsidRPr="0033170B" w:rsidRDefault="0016110E" w:rsidP="0016110E">
      <w:pPr>
        <w:pStyle w:val="ColorfulList-Accent11"/>
        <w:ind w:left="0"/>
      </w:pPr>
    </w:p>
    <w:p w:rsidR="0016110E" w:rsidRPr="00A84018" w:rsidRDefault="0016110E" w:rsidP="0016110E">
      <w:pPr>
        <w:pStyle w:val="ColorfulList-Accent11"/>
        <w:ind w:left="0"/>
      </w:pPr>
      <w:r w:rsidRPr="00992B57">
        <w:t xml:space="preserve">During the site visits, researchers will conduct </w:t>
      </w:r>
      <w:r w:rsidR="0089302D">
        <w:t xml:space="preserve">the </w:t>
      </w:r>
      <w:r w:rsidRPr="00992B57">
        <w:t xml:space="preserve">75-minute </w:t>
      </w:r>
      <w:r w:rsidR="0089302D" w:rsidRPr="00991388">
        <w:t>Competition In-Depth Intervie</w:t>
      </w:r>
      <w:r w:rsidR="0089302D">
        <w:t xml:space="preserve">w: </w:t>
      </w:r>
      <w:r w:rsidR="0089302D" w:rsidRPr="00AD49B6">
        <w:t>Agency</w:t>
      </w:r>
      <w:r w:rsidR="0089302D">
        <w:t xml:space="preserve"> and Program Directors</w:t>
      </w:r>
      <w:r w:rsidRPr="00992B57">
        <w:t xml:space="preserve"> (</w:t>
      </w:r>
      <w:r w:rsidRPr="00A84018">
        <w:t>Appendi</w:t>
      </w:r>
      <w:r w:rsidR="00992B57" w:rsidRPr="00A84018">
        <w:t>x K</w:t>
      </w:r>
      <w:r w:rsidRPr="00992B57">
        <w:t>)</w:t>
      </w:r>
      <w:r w:rsidR="0089302D">
        <w:t>, separately for each respondent</w:t>
      </w:r>
      <w:r w:rsidRPr="00992B57">
        <w:t xml:space="preserve">. </w:t>
      </w:r>
      <w:r w:rsidR="0089302D" w:rsidRPr="00A84018">
        <w:t xml:space="preserve">Researchers will also conduct </w:t>
      </w:r>
      <w:r w:rsidR="0089302D">
        <w:t xml:space="preserve">the </w:t>
      </w:r>
      <w:r w:rsidR="0089302D" w:rsidRPr="00A84018">
        <w:t xml:space="preserve">group </w:t>
      </w:r>
      <w:r w:rsidR="0089302D" w:rsidRPr="00991388">
        <w:t>Competition In-Depth Interview:</w:t>
      </w:r>
      <w:r w:rsidR="0089302D">
        <w:t xml:space="preserve"> Policy Council/ Governing Body</w:t>
      </w:r>
      <w:r w:rsidR="0089302D" w:rsidRPr="00992B57">
        <w:t xml:space="preserve"> </w:t>
      </w:r>
      <w:r w:rsidR="0089302D" w:rsidRPr="00A84018">
        <w:t>(Appendix L)</w:t>
      </w:r>
      <w:r w:rsidR="0089302D">
        <w:t xml:space="preserve">, lasting about 90 minutes. Finally, in the </w:t>
      </w:r>
      <w:r w:rsidR="0089302D" w:rsidRPr="0089302D">
        <w:t xml:space="preserve">Competition In-Depth Interview: Program Managers </w:t>
      </w:r>
      <w:r w:rsidR="0089302D" w:rsidRPr="00A84018">
        <w:t>(Appendi</w:t>
      </w:r>
      <w:r w:rsidR="0089302D" w:rsidRPr="00992B57">
        <w:t>x M)</w:t>
      </w:r>
      <w:r w:rsidR="0089302D">
        <w:t>, s</w:t>
      </w:r>
      <w:r w:rsidR="0089302D" w:rsidRPr="00992B57">
        <w:t>ome managers will be interviewed in a small group interview (e.g., education services manager, or othe</w:t>
      </w:r>
      <w:r w:rsidR="0089302D" w:rsidRPr="00A84018">
        <w:t>r specialty area)</w:t>
      </w:r>
      <w:r w:rsidR="0089302D">
        <w:t xml:space="preserve">, also lasting about 90 </w:t>
      </w:r>
      <w:r w:rsidR="0089302D" w:rsidRPr="00A84018">
        <w:t>minutes</w:t>
      </w:r>
      <w:r w:rsidR="0089302D">
        <w:t>.</w:t>
      </w:r>
      <w:r w:rsidRPr="00A84018">
        <w:t xml:space="preserve"> </w:t>
      </w:r>
    </w:p>
    <w:p w:rsidR="0016110E" w:rsidRPr="00A84018" w:rsidRDefault="0016110E" w:rsidP="0016110E">
      <w:r w:rsidRPr="00A84018">
        <w:t xml:space="preserve">   </w:t>
      </w:r>
    </w:p>
    <w:p w:rsidR="00F90F41" w:rsidRPr="00D86493" w:rsidRDefault="0016110E" w:rsidP="00F90F41">
      <w:r w:rsidRPr="00992B57">
        <w:t>The interviews will use discussion guides with key topics and open-ended questions rather</w:t>
      </w:r>
      <w:r w:rsidRPr="0033170B">
        <w:t xml:space="preserve"> than close-ended questions (i.e. rigidly specified and directly quantifiable questions). This approach is the best data collection method for understanding in depth how</w:t>
      </w:r>
      <w:r>
        <w:t xml:space="preserve"> competition is experienced, and how the competitive process relates to changes in partnerships, funding, and incentives </w:t>
      </w:r>
      <w:r w:rsidR="009F5938">
        <w:t>for quality improvement</w:t>
      </w:r>
      <w:r w:rsidRPr="0033170B">
        <w:t>.  The researchers will be trained to mark in their notes when a key statement is made so that quotes can later be checked for accuracy with the recording.</w:t>
      </w:r>
    </w:p>
    <w:p w:rsidR="000A4FAC" w:rsidRDefault="000A4FAC" w:rsidP="00FE1EDA">
      <w:pPr>
        <w:rPr>
          <w:b/>
        </w:rPr>
      </w:pPr>
    </w:p>
    <w:p w:rsidR="002958AC" w:rsidRPr="00D86493" w:rsidRDefault="00FE1EDA" w:rsidP="00FE1EDA">
      <w:pPr>
        <w:rPr>
          <w:b/>
        </w:rPr>
      </w:pPr>
      <w:r w:rsidRPr="00D86493">
        <w:rPr>
          <w:b/>
        </w:rPr>
        <w:t>Secondary Data Sources</w:t>
      </w:r>
    </w:p>
    <w:p w:rsidR="00BD1CF3" w:rsidRDefault="00BD1CF3" w:rsidP="00FE1EDA">
      <w:pPr>
        <w:pStyle w:val="ListParagraph"/>
        <w:ind w:left="0"/>
      </w:pPr>
    </w:p>
    <w:p w:rsidR="00707B97" w:rsidRPr="00D86493" w:rsidRDefault="00707B97" w:rsidP="00707B97">
      <w:r>
        <w:t>Seco</w:t>
      </w:r>
      <w:r w:rsidR="00256C2D">
        <w:t xml:space="preserve">ndary data sources will be used </w:t>
      </w:r>
      <w:r>
        <w:t xml:space="preserve">for several purposes in the study.  </w:t>
      </w:r>
      <w:r w:rsidR="00256C2D">
        <w:t>They</w:t>
      </w:r>
      <w:r>
        <w:t xml:space="preserve"> will be used to develop the propensity model, and to create the propensity measure</w:t>
      </w:r>
      <w:r w:rsidR="00256C2D">
        <w:t>, for the sampling selection process</w:t>
      </w:r>
      <w:r>
        <w:t xml:space="preserve"> (see B2.1).</w:t>
      </w:r>
      <w:r w:rsidR="00256C2D">
        <w:t xml:space="preserve">  Additionally, secondary data sources will be used to inform the qualitative interviews with grantees by contributing to descriptive profiles of grantees and providing background information about where, when and from whom grantees receive information regarding the DRS.  </w:t>
      </w:r>
      <w:r w:rsidR="00FE1EDA" w:rsidRPr="00D86493">
        <w:t xml:space="preserve">The research team will </w:t>
      </w:r>
      <w:r w:rsidR="00256C2D">
        <w:t xml:space="preserve">also </w:t>
      </w:r>
      <w:r w:rsidR="00FE1EDA" w:rsidRPr="00D86493">
        <w:t xml:space="preserve">connect </w:t>
      </w:r>
      <w:r w:rsidR="00256E95" w:rsidRPr="00D86493">
        <w:t xml:space="preserve">the primary data collected for the study </w:t>
      </w:r>
      <w:r w:rsidR="00FE1EDA" w:rsidRPr="00D86493">
        <w:t>to secondary data sources to enrich the analys</w:t>
      </w:r>
      <w:r w:rsidR="00256C2D">
        <w:t>e</w:t>
      </w:r>
      <w:r w:rsidR="00FE1EDA" w:rsidRPr="00D86493">
        <w:t>s</w:t>
      </w:r>
      <w:r w:rsidR="00256C2D">
        <w:t xml:space="preserve"> of the research questions.  Specifically, these data will be used to help understand the circumstances in which the DRS is working more or less well (e.g., to look at differences between grantees with different characteristics or experiences with the DRS)</w:t>
      </w:r>
      <w:r w:rsidR="00FE1EDA" w:rsidRPr="00D86493">
        <w:t xml:space="preserve">. </w:t>
      </w:r>
      <w:r w:rsidRPr="00D86493">
        <w:t xml:space="preserve">We intend to draw data from the following documents </w:t>
      </w:r>
      <w:r>
        <w:t xml:space="preserve">and data sources </w:t>
      </w:r>
      <w:r w:rsidRPr="00D86493">
        <w:t>as part of our evaluation:</w:t>
      </w:r>
    </w:p>
    <w:p w:rsidR="00040B0D" w:rsidRPr="00D86493" w:rsidRDefault="00040B0D" w:rsidP="00040B0D"/>
    <w:p w:rsidR="00FE1EDA" w:rsidRPr="00D86493" w:rsidRDefault="00A410F9" w:rsidP="00BD1CF3">
      <w:pPr>
        <w:numPr>
          <w:ilvl w:val="0"/>
          <w:numId w:val="23"/>
        </w:numPr>
        <w:tabs>
          <w:tab w:val="clear" w:pos="720"/>
          <w:tab w:val="num" w:pos="360"/>
        </w:tabs>
        <w:ind w:left="360"/>
      </w:pPr>
      <w:r>
        <w:rPr>
          <w:i/>
        </w:rPr>
        <w:t>PIR d</w:t>
      </w:r>
      <w:r w:rsidR="00FE1EDA" w:rsidRPr="002271D2">
        <w:rPr>
          <w:i/>
        </w:rPr>
        <w:t xml:space="preserve">ata available through </w:t>
      </w:r>
      <w:r w:rsidR="00E612A7" w:rsidRPr="002271D2">
        <w:rPr>
          <w:i/>
        </w:rPr>
        <w:t>OHS</w:t>
      </w:r>
      <w:r w:rsidR="002271D2" w:rsidRPr="002271D2">
        <w:rPr>
          <w:i/>
        </w:rPr>
        <w:t>.</w:t>
      </w:r>
      <w:r w:rsidR="002271D2">
        <w:t xml:space="preserve">  </w:t>
      </w:r>
      <w:r>
        <w:t>PIR</w:t>
      </w:r>
      <w:r w:rsidR="00256C2D">
        <w:t xml:space="preserve"> will</w:t>
      </w:r>
      <w:r>
        <w:t xml:space="preserve"> </w:t>
      </w:r>
      <w:r w:rsidR="00256C2D">
        <w:t>provide descriptive da</w:t>
      </w:r>
      <w:r w:rsidR="00FD2808">
        <w:t xml:space="preserve">ta on features and characteristics of the Head Start program, staff, and children/families served for each grantee participating in the study.  The </w:t>
      </w:r>
      <w:r w:rsidR="002271D2">
        <w:t>data will be used for the sampling selection process</w:t>
      </w:r>
      <w:r w:rsidR="00FD2808">
        <w:t xml:space="preserve">; </w:t>
      </w:r>
      <w:r w:rsidR="005E6BE8">
        <w:t>to</w:t>
      </w:r>
      <w:r w:rsidR="00FD2808">
        <w:t xml:space="preserve"> provide summary statistics on the population and sample of Head Start grantees; and to understand</w:t>
      </w:r>
      <w:r>
        <w:t xml:space="preserve"> the</w:t>
      </w:r>
      <w:r w:rsidR="002271D2">
        <w:t xml:space="preserve"> circumstances under which DRS works more or less well</w:t>
      </w:r>
      <w:r w:rsidR="00FD2808">
        <w:t xml:space="preserve"> by linking PIR with primary data sources.</w:t>
      </w:r>
    </w:p>
    <w:p w:rsidR="00FE1EDA" w:rsidRPr="00D86493" w:rsidRDefault="00A410F9" w:rsidP="00BD1CF3">
      <w:pPr>
        <w:numPr>
          <w:ilvl w:val="0"/>
          <w:numId w:val="23"/>
        </w:numPr>
        <w:tabs>
          <w:tab w:val="clear" w:pos="720"/>
          <w:tab w:val="num" w:pos="360"/>
        </w:tabs>
        <w:ind w:left="360"/>
      </w:pPr>
      <w:r>
        <w:rPr>
          <w:i/>
        </w:rPr>
        <w:t>Monitoring d</w:t>
      </w:r>
      <w:r w:rsidR="00FE1EDA" w:rsidRPr="002271D2">
        <w:rPr>
          <w:i/>
        </w:rPr>
        <w:t xml:space="preserve">ata available through </w:t>
      </w:r>
      <w:r w:rsidR="00E612A7" w:rsidRPr="002271D2">
        <w:rPr>
          <w:i/>
        </w:rPr>
        <w:t>OHS</w:t>
      </w:r>
      <w:r w:rsidR="002271D2" w:rsidRPr="002271D2">
        <w:rPr>
          <w:i/>
        </w:rPr>
        <w:t>.</w:t>
      </w:r>
      <w:r w:rsidR="002271D2">
        <w:t xml:space="preserve">  </w:t>
      </w:r>
      <w:r w:rsidR="00FD2808">
        <w:t xml:space="preserve">Monitoring data will include scores for the OHS-assessed CLASS observations as well as data related to findings of non-compliance and deficiency during monitoring reviews. </w:t>
      </w:r>
      <w:r w:rsidR="002271D2">
        <w:t>These data will be used for the sampling selection process</w:t>
      </w:r>
      <w:r w:rsidR="00FD2808">
        <w:t>; t</w:t>
      </w:r>
      <w:r w:rsidR="002271D2">
        <w:t>o conduct summary statistics characterizing the population and sample</w:t>
      </w:r>
      <w:r w:rsidR="00FD2808">
        <w:t xml:space="preserve">; and </w:t>
      </w:r>
      <w:r w:rsidR="005E6BE8">
        <w:t xml:space="preserve">to link </w:t>
      </w:r>
      <w:r w:rsidR="005E6BE8">
        <w:lastRenderedPageBreak/>
        <w:t xml:space="preserve">with primary data sources to understand how the DRS is working in relation to the monitoring condition. </w:t>
      </w:r>
    </w:p>
    <w:p w:rsidR="00FE1EDA" w:rsidRPr="00D86493" w:rsidRDefault="00A410F9" w:rsidP="00BD1CF3">
      <w:pPr>
        <w:numPr>
          <w:ilvl w:val="0"/>
          <w:numId w:val="23"/>
        </w:numPr>
        <w:tabs>
          <w:tab w:val="clear" w:pos="720"/>
          <w:tab w:val="num" w:pos="360"/>
        </w:tabs>
        <w:ind w:left="360"/>
      </w:pPr>
      <w:r>
        <w:rPr>
          <w:i/>
        </w:rPr>
        <w:t>Designation status d</w:t>
      </w:r>
      <w:r w:rsidR="00FE1EDA" w:rsidRPr="002271D2">
        <w:rPr>
          <w:i/>
        </w:rPr>
        <w:t xml:space="preserve">ata available through </w:t>
      </w:r>
      <w:r w:rsidR="00E612A7" w:rsidRPr="002271D2">
        <w:rPr>
          <w:i/>
        </w:rPr>
        <w:t>OHS</w:t>
      </w:r>
      <w:r w:rsidR="002271D2" w:rsidRPr="002271D2">
        <w:rPr>
          <w:i/>
        </w:rPr>
        <w:t>.</w:t>
      </w:r>
      <w:r w:rsidR="002271D2">
        <w:t xml:space="preserve">  These data </w:t>
      </w:r>
      <w:r w:rsidR="005E6BE8">
        <w:t xml:space="preserve">will provide information about which grantees are designated for competition (and which are not) and which conditions triggered designation for competition.  The data </w:t>
      </w:r>
      <w:r w:rsidR="002271D2">
        <w:t xml:space="preserve">will be used for the sampling selection process. </w:t>
      </w:r>
      <w:r w:rsidR="005E6BE8">
        <w:t>It will also be linked to other data sources</w:t>
      </w:r>
      <w:r w:rsidR="00B02489">
        <w:t xml:space="preserve"> to examine the validity of the designation and to understand the circumstances in which the DRS </w:t>
      </w:r>
      <w:proofErr w:type="gramStart"/>
      <w:r w:rsidR="00B02489">
        <w:t>is</w:t>
      </w:r>
      <w:proofErr w:type="gramEnd"/>
      <w:r w:rsidR="00B02489">
        <w:t xml:space="preserve"> working more or less well. </w:t>
      </w:r>
    </w:p>
    <w:p w:rsidR="00FE1EDA" w:rsidRPr="00D86493" w:rsidRDefault="00256E95" w:rsidP="00BD1CF3">
      <w:pPr>
        <w:numPr>
          <w:ilvl w:val="0"/>
          <w:numId w:val="23"/>
        </w:numPr>
        <w:tabs>
          <w:tab w:val="clear" w:pos="720"/>
          <w:tab w:val="num" w:pos="360"/>
        </w:tabs>
        <w:ind w:left="360"/>
      </w:pPr>
      <w:r w:rsidRPr="00502650">
        <w:rPr>
          <w:i/>
        </w:rPr>
        <w:t>Other materials available through federal web-sites</w:t>
      </w:r>
      <w:r w:rsidR="002271D2" w:rsidRPr="00502650">
        <w:rPr>
          <w:i/>
        </w:rPr>
        <w:t>.</w:t>
      </w:r>
      <w:r w:rsidR="002271D2">
        <w:t xml:space="preserve">  Other materials may include information memorandums, policy clarifications, postings about the DRS, and other materials intended to inform grantees </w:t>
      </w:r>
      <w:r w:rsidR="00502650">
        <w:t xml:space="preserve">and potential applicants </w:t>
      </w:r>
      <w:r w:rsidR="002271D2">
        <w:t>about the DRS</w:t>
      </w:r>
      <w:r w:rsidR="00850894">
        <w:t xml:space="preserve"> or competitive process</w:t>
      </w:r>
      <w:r w:rsidR="002271D2">
        <w:t xml:space="preserve">.  This information will be used to provide </w:t>
      </w:r>
      <w:r w:rsidR="00502650">
        <w:t>background on the timing of communications from OHS and the mechanisms by which information is distributed.</w:t>
      </w:r>
      <w:r w:rsidR="002271D2">
        <w:t xml:space="preserve"> </w:t>
      </w:r>
      <w:r w:rsidR="00040B0D" w:rsidRPr="00D86493">
        <w:t xml:space="preserve"> </w:t>
      </w:r>
    </w:p>
    <w:p w:rsidR="00E7044A" w:rsidRDefault="00FE1EDA" w:rsidP="00E7044A">
      <w:pPr>
        <w:numPr>
          <w:ilvl w:val="0"/>
          <w:numId w:val="23"/>
        </w:numPr>
        <w:tabs>
          <w:tab w:val="clear" w:pos="720"/>
          <w:tab w:val="num" w:pos="360"/>
        </w:tabs>
        <w:ind w:left="360"/>
      </w:pPr>
      <w:r w:rsidRPr="00850894">
        <w:rPr>
          <w:i/>
        </w:rPr>
        <w:t>D</w:t>
      </w:r>
      <w:r w:rsidR="00040B0D" w:rsidRPr="00850894">
        <w:rPr>
          <w:i/>
        </w:rPr>
        <w:t>ata on nonprofit Head Start organizations available from the Urban Institute’s National Center for Charit</w:t>
      </w:r>
      <w:r w:rsidR="00850894">
        <w:rPr>
          <w:i/>
        </w:rPr>
        <w:t>able Statistics (i.e., IRS Form</w:t>
      </w:r>
      <w:r w:rsidR="00040B0D" w:rsidRPr="00850894">
        <w:rPr>
          <w:i/>
        </w:rPr>
        <w:t xml:space="preserve"> 990)</w:t>
      </w:r>
      <w:r w:rsidR="00040B0D" w:rsidRPr="00D86493">
        <w:t>.</w:t>
      </w:r>
      <w:r w:rsidR="00502650">
        <w:t xml:space="preserve"> </w:t>
      </w:r>
      <w:r w:rsidR="00850894">
        <w:t xml:space="preserve">These data include financial information about federally tax-exempt organizations reported to the IRS with Form 990. The data </w:t>
      </w:r>
      <w:r w:rsidR="00850894" w:rsidRPr="00D86493">
        <w:t xml:space="preserve">will be used as an independent measure of financial vulnerability to contribute to answering RQ1 by calculating the </w:t>
      </w:r>
      <w:proofErr w:type="spellStart"/>
      <w:r w:rsidR="00850894" w:rsidRPr="00D86493">
        <w:t>Tuckman</w:t>
      </w:r>
      <w:proofErr w:type="spellEnd"/>
      <w:r w:rsidR="00850894" w:rsidRPr="00D86493">
        <w:t xml:space="preserve"> </w:t>
      </w:r>
      <w:r w:rsidR="00850894">
        <w:t>and</w:t>
      </w:r>
      <w:r w:rsidR="00850894" w:rsidRPr="00D86493">
        <w:t xml:space="preserve"> Chang (1991) financial ratios</w:t>
      </w:r>
      <w:r w:rsidR="00850894">
        <w:t xml:space="preserve"> for nonprofit organizations participating in the study</w:t>
      </w:r>
      <w:r w:rsidR="00850894" w:rsidRPr="00D86493">
        <w:t>.</w:t>
      </w:r>
      <w:r w:rsidR="00850894">
        <w:t xml:space="preserve"> </w:t>
      </w:r>
      <w:r w:rsidR="00502650">
        <w:t xml:space="preserve"> </w:t>
      </w:r>
      <w:r w:rsidR="00E7044A" w:rsidRPr="00D86493">
        <w:t xml:space="preserve">A description and the calculation methods for the ratios are found </w:t>
      </w:r>
      <w:r w:rsidR="00A410F9">
        <w:t>in Table B-4</w:t>
      </w:r>
      <w:r w:rsidR="00E7044A" w:rsidRPr="00D86493">
        <w:t>:</w:t>
      </w:r>
    </w:p>
    <w:p w:rsidR="00850894" w:rsidRDefault="00850894" w:rsidP="00850894"/>
    <w:p w:rsidR="007C5F38" w:rsidRPr="00D86493" w:rsidRDefault="007C5F38" w:rsidP="00E7044A"/>
    <w:p w:rsidR="00BD1CF3" w:rsidRPr="007C5F38" w:rsidRDefault="00E7044A" w:rsidP="007C5F38">
      <w:pPr>
        <w:pStyle w:val="Heading3"/>
        <w:spacing w:before="0" w:after="120"/>
        <w:rPr>
          <w:rFonts w:ascii="Times New Roman" w:hAnsi="Times New Roman" w:cs="Times New Roman"/>
          <w:color w:val="auto"/>
        </w:rPr>
      </w:pPr>
      <w:bookmarkStart w:id="5" w:name="_Toc351323259"/>
      <w:bookmarkStart w:id="6" w:name="_Toc351324897"/>
      <w:bookmarkStart w:id="7" w:name="_Toc351325623"/>
      <w:r w:rsidRPr="007C5F38">
        <w:rPr>
          <w:rFonts w:ascii="Times New Roman" w:hAnsi="Times New Roman" w:cs="Times New Roman"/>
          <w:color w:val="auto"/>
        </w:rPr>
        <w:t xml:space="preserve">Table </w:t>
      </w:r>
      <w:r w:rsidR="00EF08D3" w:rsidRPr="007C5F38">
        <w:rPr>
          <w:rFonts w:ascii="Times New Roman" w:hAnsi="Times New Roman" w:cs="Times New Roman"/>
          <w:color w:val="auto"/>
        </w:rPr>
        <w:t>B-4</w:t>
      </w:r>
      <w:r w:rsidRPr="007C5F38">
        <w:rPr>
          <w:rFonts w:ascii="Times New Roman" w:hAnsi="Times New Roman" w:cs="Times New Roman"/>
          <w:color w:val="auto"/>
        </w:rPr>
        <w:t xml:space="preserve">: Elements of </w:t>
      </w:r>
      <w:proofErr w:type="spellStart"/>
      <w:r w:rsidRPr="007C5F38">
        <w:rPr>
          <w:rFonts w:ascii="Times New Roman" w:hAnsi="Times New Roman" w:cs="Times New Roman"/>
          <w:color w:val="auto"/>
        </w:rPr>
        <w:t>Tuckman</w:t>
      </w:r>
      <w:proofErr w:type="spellEnd"/>
      <w:r w:rsidRPr="007C5F38">
        <w:rPr>
          <w:rFonts w:ascii="Times New Roman" w:hAnsi="Times New Roman" w:cs="Times New Roman"/>
          <w:color w:val="auto"/>
        </w:rPr>
        <w:t xml:space="preserve"> &amp; </w:t>
      </w:r>
      <w:r w:rsidR="003517B7" w:rsidRPr="007C5F38">
        <w:rPr>
          <w:rFonts w:ascii="Times New Roman" w:hAnsi="Times New Roman" w:cs="Times New Roman"/>
          <w:color w:val="auto"/>
        </w:rPr>
        <w:t>Chang (</w:t>
      </w:r>
      <w:r w:rsidRPr="007C5F38">
        <w:rPr>
          <w:rFonts w:ascii="Times New Roman" w:hAnsi="Times New Roman" w:cs="Times New Roman"/>
          <w:color w:val="auto"/>
        </w:rPr>
        <w:t>1991) Financial Ratios</w:t>
      </w:r>
      <w:bookmarkEnd w:id="5"/>
      <w:bookmarkEnd w:id="6"/>
      <w:bookmarkEnd w:id="7"/>
    </w:p>
    <w:tbl>
      <w:tblPr>
        <w:tblStyle w:val="TableGrid"/>
        <w:tblW w:w="0" w:type="auto"/>
        <w:tblInd w:w="18" w:type="dxa"/>
        <w:tblLook w:val="04A0" w:firstRow="1" w:lastRow="0" w:firstColumn="1" w:lastColumn="0" w:noHBand="0" w:noVBand="1"/>
      </w:tblPr>
      <w:tblGrid>
        <w:gridCol w:w="2004"/>
        <w:gridCol w:w="3192"/>
        <w:gridCol w:w="3192"/>
      </w:tblGrid>
      <w:tr w:rsidR="00E7044A" w:rsidRPr="007C5F38">
        <w:trPr>
          <w:tblHeader/>
        </w:trPr>
        <w:tc>
          <w:tcPr>
            <w:tcW w:w="2004" w:type="dxa"/>
            <w:shd w:val="clear" w:color="auto" w:fill="BFBFBF" w:themeFill="background1" w:themeFillShade="BF"/>
          </w:tcPr>
          <w:p w:rsidR="00E7044A" w:rsidRPr="009640BF" w:rsidRDefault="00E7044A" w:rsidP="009640BF">
            <w:pPr>
              <w:tabs>
                <w:tab w:val="left" w:pos="990"/>
              </w:tabs>
              <w:rPr>
                <w:rFonts w:ascii="Times New Roman" w:hAnsi="Times New Roman" w:cs="Times New Roman"/>
                <w:b/>
                <w:sz w:val="22"/>
                <w:szCs w:val="22"/>
              </w:rPr>
            </w:pPr>
            <w:r w:rsidRPr="009640BF">
              <w:rPr>
                <w:rFonts w:ascii="Times New Roman" w:hAnsi="Times New Roman" w:cs="Times New Roman"/>
                <w:b/>
                <w:sz w:val="22"/>
                <w:szCs w:val="22"/>
              </w:rPr>
              <w:t>Ratio</w:t>
            </w:r>
            <w:r w:rsidR="009640BF" w:rsidRPr="009640BF">
              <w:rPr>
                <w:rFonts w:ascii="Times New Roman" w:hAnsi="Times New Roman" w:cs="Times New Roman"/>
                <w:b/>
                <w:sz w:val="22"/>
                <w:szCs w:val="22"/>
              </w:rPr>
              <w:tab/>
            </w:r>
          </w:p>
        </w:tc>
        <w:tc>
          <w:tcPr>
            <w:tcW w:w="3192" w:type="dxa"/>
            <w:shd w:val="clear" w:color="auto" w:fill="BFBFBF" w:themeFill="background1" w:themeFillShade="BF"/>
          </w:tcPr>
          <w:p w:rsidR="00E7044A" w:rsidRPr="009640BF" w:rsidRDefault="00E7044A" w:rsidP="009640BF">
            <w:pPr>
              <w:jc w:val="center"/>
              <w:rPr>
                <w:rFonts w:ascii="Times New Roman" w:hAnsi="Times New Roman" w:cs="Times New Roman"/>
                <w:b/>
                <w:sz w:val="22"/>
                <w:szCs w:val="22"/>
              </w:rPr>
            </w:pPr>
            <w:r w:rsidRPr="009640BF">
              <w:rPr>
                <w:rFonts w:ascii="Times New Roman" w:hAnsi="Times New Roman" w:cs="Times New Roman"/>
                <w:b/>
                <w:sz w:val="22"/>
                <w:szCs w:val="22"/>
              </w:rPr>
              <w:t>Computation</w:t>
            </w:r>
          </w:p>
        </w:tc>
        <w:tc>
          <w:tcPr>
            <w:tcW w:w="3192" w:type="dxa"/>
            <w:shd w:val="clear" w:color="auto" w:fill="BFBFBF" w:themeFill="background1" w:themeFillShade="BF"/>
          </w:tcPr>
          <w:p w:rsidR="00E7044A" w:rsidRPr="009640BF" w:rsidRDefault="00E7044A" w:rsidP="009640BF">
            <w:pPr>
              <w:jc w:val="center"/>
              <w:rPr>
                <w:rFonts w:ascii="Times New Roman" w:hAnsi="Times New Roman" w:cs="Times New Roman"/>
                <w:b/>
                <w:sz w:val="22"/>
                <w:szCs w:val="22"/>
              </w:rPr>
            </w:pPr>
            <w:r w:rsidRPr="009640BF">
              <w:rPr>
                <w:rFonts w:ascii="Times New Roman" w:hAnsi="Times New Roman" w:cs="Times New Roman"/>
                <w:b/>
                <w:sz w:val="22"/>
                <w:szCs w:val="22"/>
              </w:rPr>
              <w:t>Form 990 Variables</w:t>
            </w:r>
          </w:p>
        </w:tc>
      </w:tr>
      <w:tr w:rsidR="00E7044A" w:rsidRPr="007C5F38">
        <w:tc>
          <w:tcPr>
            <w:tcW w:w="2004" w:type="dxa"/>
          </w:tcPr>
          <w:p w:rsidR="00E7044A" w:rsidRPr="009640BF" w:rsidRDefault="00E7044A" w:rsidP="00D134E5">
            <w:pPr>
              <w:tabs>
                <w:tab w:val="left" w:pos="2250"/>
              </w:tabs>
              <w:rPr>
                <w:rFonts w:ascii="Times New Roman" w:hAnsi="Times New Roman" w:cs="Times New Roman"/>
                <w:sz w:val="22"/>
                <w:szCs w:val="22"/>
              </w:rPr>
            </w:pPr>
            <w:r w:rsidRPr="009640BF">
              <w:rPr>
                <w:rFonts w:ascii="Times New Roman" w:hAnsi="Times New Roman" w:cs="Times New Roman"/>
                <w:sz w:val="22"/>
                <w:szCs w:val="22"/>
              </w:rPr>
              <w:t>Equity Ratio</w:t>
            </w:r>
          </w:p>
        </w:tc>
        <w:tc>
          <w:tcPr>
            <w:tcW w:w="3192" w:type="dxa"/>
          </w:tcPr>
          <w:p w:rsidR="00E7044A" w:rsidRPr="007C5F38" w:rsidRDefault="003B5B29" w:rsidP="00D134E5">
            <w:pPr>
              <w:jc w:val="center"/>
              <w:rPr>
                <w:rFonts w:ascii="Times New Roman" w:hAnsi="Times New Roman" w:cs="Times New Roman"/>
              </w:rPr>
            </w:pPr>
            <m:oMathPara>
              <m:oMath>
                <m:f>
                  <m:fPr>
                    <m:ctrlPr>
                      <w:rPr>
                        <w:rFonts w:ascii="Cambria Math" w:hAnsi="Times New Roman" w:cs="Times New Roman"/>
                        <w:i/>
                      </w:rPr>
                    </m:ctrlPr>
                  </m:fPr>
                  <m:num>
                    <m:r>
                      <w:rPr>
                        <w:rFonts w:ascii="Cambria Math" w:hAnsi="Cambria Math" w:cs="Times New Roman"/>
                      </w:rPr>
                      <m:t>Total</m:t>
                    </m:r>
                    <m:r>
                      <w:rPr>
                        <w:rFonts w:ascii="Cambria Math" w:hAnsi="Times New Roman" w:cs="Times New Roman"/>
                      </w:rPr>
                      <m:t xml:space="preserve"> </m:t>
                    </m:r>
                    <m:r>
                      <w:rPr>
                        <w:rFonts w:ascii="Cambria Math" w:hAnsi="Cambria Math" w:cs="Times New Roman"/>
                      </w:rPr>
                      <m:t>Equity</m:t>
                    </m:r>
                  </m:num>
                  <m:den>
                    <m:r>
                      <w:rPr>
                        <w:rFonts w:ascii="Cambria Math" w:hAnsi="Cambria Math" w:cs="Times New Roman"/>
                      </w:rPr>
                      <m:t>Total</m:t>
                    </m:r>
                    <m:r>
                      <w:rPr>
                        <w:rFonts w:ascii="Cambria Math" w:hAnsi="Times New Roman" w:cs="Times New Roman"/>
                      </w:rPr>
                      <m:t xml:space="preserve"> </m:t>
                    </m:r>
                    <m:r>
                      <w:rPr>
                        <w:rFonts w:ascii="Cambria Math" w:hAnsi="Cambria Math" w:cs="Times New Roman"/>
                      </w:rPr>
                      <m:t>Revenues</m:t>
                    </m:r>
                  </m:den>
                </m:f>
              </m:oMath>
            </m:oMathPara>
          </w:p>
        </w:tc>
        <w:tc>
          <w:tcPr>
            <w:tcW w:w="3192" w:type="dxa"/>
          </w:tcPr>
          <w:p w:rsidR="00E7044A" w:rsidRPr="007C5F38" w:rsidRDefault="003B5B29" w:rsidP="00D134E5">
            <w:pPr>
              <w:rPr>
                <w:rFonts w:ascii="Times New Roman" w:hAnsi="Times New Roman" w:cs="Times New Roman"/>
              </w:rPr>
            </w:pPr>
            <m:oMathPara>
              <m:oMath>
                <m:f>
                  <m:fPr>
                    <m:ctrlPr>
                      <w:rPr>
                        <w:rFonts w:ascii="Cambria Math" w:hAnsi="Times New Roman" w:cs="Times New Roman"/>
                        <w:i/>
                      </w:rPr>
                    </m:ctrlPr>
                  </m:fPr>
                  <m:num>
                    <m:r>
                      <w:rPr>
                        <w:rFonts w:ascii="Cambria Math" w:hAnsi="Cambria Math" w:cs="Times New Roman"/>
                      </w:rPr>
                      <m:t>FUNDBAL</m:t>
                    </m:r>
                  </m:num>
                  <m:den>
                    <m:r>
                      <w:rPr>
                        <w:rFonts w:ascii="Cambria Math" w:hAnsi="Cambria Math" w:cs="Times New Roman"/>
                      </w:rPr>
                      <m:t>TOTREV</m:t>
                    </m:r>
                  </m:den>
                </m:f>
              </m:oMath>
            </m:oMathPara>
          </w:p>
        </w:tc>
      </w:tr>
      <w:tr w:rsidR="00E7044A" w:rsidRPr="007C5F38">
        <w:tc>
          <w:tcPr>
            <w:tcW w:w="2004" w:type="dxa"/>
          </w:tcPr>
          <w:p w:rsidR="00E7044A" w:rsidRPr="009640BF" w:rsidRDefault="00E7044A" w:rsidP="00D134E5">
            <w:pPr>
              <w:rPr>
                <w:rFonts w:ascii="Times New Roman" w:hAnsi="Times New Roman" w:cs="Times New Roman"/>
                <w:sz w:val="22"/>
                <w:szCs w:val="22"/>
              </w:rPr>
            </w:pPr>
            <w:r w:rsidRPr="009640BF">
              <w:rPr>
                <w:rFonts w:ascii="Times New Roman" w:hAnsi="Times New Roman" w:cs="Times New Roman"/>
                <w:sz w:val="22"/>
                <w:szCs w:val="22"/>
              </w:rPr>
              <w:t>Revenue Concentration</w:t>
            </w:r>
          </w:p>
        </w:tc>
        <w:tc>
          <w:tcPr>
            <w:tcW w:w="3192" w:type="dxa"/>
          </w:tcPr>
          <w:p w:rsidR="00E7044A" w:rsidRPr="007C5F38" w:rsidRDefault="003B5B29" w:rsidP="00D134E5">
            <w:pPr>
              <w:rPr>
                <w:rFonts w:ascii="Times New Roman" w:hAnsi="Times New Roman" w:cs="Times New Roman"/>
              </w:rPr>
            </w:pPr>
            <m:oMathPara>
              <m:oMath>
                <m:sSup>
                  <m:sSupPr>
                    <m:ctrlPr>
                      <w:rPr>
                        <w:rFonts w:ascii="Cambria Math" w:hAnsi="Times New Roman" w:cs="Times New Roman"/>
                        <w:i/>
                      </w:rPr>
                    </m:ctrlPr>
                  </m:sSupPr>
                  <m:e>
                    <m:nary>
                      <m:naryPr>
                        <m:chr m:val="∑"/>
                        <m:limLoc m:val="undOvr"/>
                        <m:subHide m:val="1"/>
                        <m:supHide m:val="1"/>
                        <m:ctrlPr>
                          <w:rPr>
                            <w:rFonts w:ascii="Cambria Math" w:hAnsi="Times New Roman" w:cs="Times New Roman"/>
                            <w:i/>
                          </w:rPr>
                        </m:ctrlPr>
                      </m:naryPr>
                      <m:sub/>
                      <m:sup/>
                      <m:e>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Revenue</m:t>
                                    </m:r>
                                    <m:r>
                                      <w:rPr>
                                        <w:rFonts w:ascii="Cambria Math" w:hAnsi="Times New Roman" w:cs="Times New Roman"/>
                                      </w:rPr>
                                      <m:t xml:space="preserve"> </m:t>
                                    </m:r>
                                    <m:r>
                                      <w:rPr>
                                        <w:rFonts w:ascii="Cambria Math" w:hAnsi="Cambria Math" w:cs="Times New Roman"/>
                                      </w:rPr>
                                      <m:t>Sources</m:t>
                                    </m:r>
                                  </m:e>
                                  <m:sub>
                                    <m:r>
                                      <w:rPr>
                                        <w:rFonts w:ascii="Cambria Math" w:hAnsi="Cambria Math" w:cs="Times New Roman"/>
                                      </w:rPr>
                                      <m:t>j</m:t>
                                    </m:r>
                                  </m:sub>
                                </m:sSub>
                              </m:num>
                              <m:den>
                                <m:r>
                                  <w:rPr>
                                    <w:rFonts w:ascii="Cambria Math" w:hAnsi="Cambria Math" w:cs="Times New Roman"/>
                                  </w:rPr>
                                  <m:t>Total</m:t>
                                </m:r>
                                <m:r>
                                  <w:rPr>
                                    <w:rFonts w:ascii="Cambria Math" w:hAnsi="Times New Roman" w:cs="Times New Roman"/>
                                  </w:rPr>
                                  <m:t xml:space="preserve"> </m:t>
                                </m:r>
                                <m:r>
                                  <w:rPr>
                                    <w:rFonts w:ascii="Cambria Math" w:hAnsi="Cambria Math" w:cs="Times New Roman"/>
                                  </w:rPr>
                                  <m:t>Revenues</m:t>
                                </m:r>
                              </m:den>
                            </m:f>
                          </m:e>
                        </m:d>
                      </m:e>
                    </m:nary>
                  </m:e>
                  <m:sup>
                    <m:r>
                      <w:rPr>
                        <w:rFonts w:ascii="Cambria Math" w:hAnsi="Times New Roman" w:cs="Times New Roman"/>
                      </w:rPr>
                      <m:t>2</m:t>
                    </m:r>
                  </m:sup>
                </m:sSup>
              </m:oMath>
            </m:oMathPara>
          </w:p>
        </w:tc>
        <w:tc>
          <w:tcPr>
            <w:tcW w:w="3192" w:type="dxa"/>
          </w:tcPr>
          <w:p w:rsidR="00E7044A" w:rsidRPr="007C5F38" w:rsidRDefault="003B5B29" w:rsidP="00D134E5">
            <w:pPr>
              <w:rPr>
                <w:rFonts w:ascii="Times New Roman" w:hAnsi="Times New Roman" w:cs="Times New Roman"/>
              </w:rPr>
            </w:pPr>
            <m:oMathPara>
              <m:oMath>
                <m:sSup>
                  <m:sSupPr>
                    <m:ctrlPr>
                      <w:rPr>
                        <w:rFonts w:ascii="Cambria Math" w:hAnsi="Times New Roman" w:cs="Times New Roman"/>
                        <w:i/>
                      </w:rPr>
                    </m:ctrlPr>
                  </m:sSupPr>
                  <m:e>
                    <m:nary>
                      <m:naryPr>
                        <m:chr m:val="∑"/>
                        <m:limLoc m:val="undOvr"/>
                        <m:subHide m:val="1"/>
                        <m:supHide m:val="1"/>
                        <m:ctrlPr>
                          <w:rPr>
                            <w:rFonts w:ascii="Cambria Math" w:hAnsi="Times New Roman" w:cs="Times New Roman"/>
                            <w:i/>
                          </w:rPr>
                        </m:ctrlPr>
                      </m:naryPr>
                      <m:sub/>
                      <m:sup/>
                      <m:e>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Revenue</m:t>
                                    </m:r>
                                    <m:r>
                                      <w:rPr>
                                        <w:rFonts w:ascii="Cambria Math" w:hAnsi="Times New Roman" w:cs="Times New Roman"/>
                                      </w:rPr>
                                      <m:t xml:space="preserve"> </m:t>
                                    </m:r>
                                    <m:r>
                                      <w:rPr>
                                        <w:rFonts w:ascii="Cambria Math" w:hAnsi="Cambria Math" w:cs="Times New Roman"/>
                                      </w:rPr>
                                      <m:t>Sources</m:t>
                                    </m:r>
                                  </m:e>
                                  <m:sub>
                                    <m:r>
                                      <w:rPr>
                                        <w:rFonts w:ascii="Cambria Math" w:hAnsi="Cambria Math" w:cs="Times New Roman"/>
                                      </w:rPr>
                                      <m:t>j</m:t>
                                    </m:r>
                                  </m:sub>
                                </m:sSub>
                              </m:num>
                              <m:den>
                                <m:r>
                                  <w:rPr>
                                    <w:rFonts w:ascii="Cambria Math" w:hAnsi="Cambria Math" w:cs="Times New Roman"/>
                                  </w:rPr>
                                  <m:t>Total</m:t>
                                </m:r>
                                <m:r>
                                  <w:rPr>
                                    <w:rFonts w:ascii="Cambria Math" w:hAnsi="Times New Roman" w:cs="Times New Roman"/>
                                  </w:rPr>
                                  <m:t xml:space="preserve"> </m:t>
                                </m:r>
                                <m:r>
                                  <w:rPr>
                                    <w:rFonts w:ascii="Cambria Math" w:hAnsi="Cambria Math" w:cs="Times New Roman"/>
                                  </w:rPr>
                                  <m:t>Revenues</m:t>
                                </m:r>
                              </m:den>
                            </m:f>
                          </m:e>
                        </m:d>
                      </m:e>
                    </m:nary>
                  </m:e>
                  <m:sup>
                    <m:r>
                      <w:rPr>
                        <w:rFonts w:ascii="Cambria Math" w:hAnsi="Times New Roman" w:cs="Times New Roman"/>
                      </w:rPr>
                      <m:t>2</m:t>
                    </m:r>
                  </m:sup>
                </m:sSup>
              </m:oMath>
            </m:oMathPara>
          </w:p>
        </w:tc>
      </w:tr>
      <w:tr w:rsidR="00E7044A" w:rsidRPr="007C5F38">
        <w:tc>
          <w:tcPr>
            <w:tcW w:w="2004" w:type="dxa"/>
          </w:tcPr>
          <w:p w:rsidR="00E7044A" w:rsidRPr="009640BF" w:rsidRDefault="00E7044A" w:rsidP="00D134E5">
            <w:pPr>
              <w:rPr>
                <w:rFonts w:ascii="Times New Roman" w:hAnsi="Times New Roman" w:cs="Times New Roman"/>
                <w:sz w:val="22"/>
                <w:szCs w:val="22"/>
              </w:rPr>
            </w:pPr>
            <w:r w:rsidRPr="009640BF">
              <w:rPr>
                <w:rFonts w:ascii="Times New Roman" w:hAnsi="Times New Roman" w:cs="Times New Roman"/>
                <w:sz w:val="22"/>
                <w:szCs w:val="22"/>
              </w:rPr>
              <w:t>Administrative Cost Ratio</w:t>
            </w:r>
          </w:p>
        </w:tc>
        <w:tc>
          <w:tcPr>
            <w:tcW w:w="3192" w:type="dxa"/>
          </w:tcPr>
          <w:p w:rsidR="00E7044A" w:rsidRPr="007C5F38" w:rsidRDefault="003B5B29" w:rsidP="00D134E5">
            <w:pPr>
              <w:rPr>
                <w:rFonts w:ascii="Times New Roman" w:hAnsi="Times New Roman" w:cs="Times New Roman"/>
              </w:rPr>
            </w:pPr>
            <m:oMathPara>
              <m:oMath>
                <m:f>
                  <m:fPr>
                    <m:ctrlPr>
                      <w:rPr>
                        <w:rFonts w:ascii="Cambria Math" w:hAnsi="Times New Roman" w:cs="Times New Roman"/>
                        <w:i/>
                      </w:rPr>
                    </m:ctrlPr>
                  </m:fPr>
                  <m:num>
                    <m:r>
                      <w:rPr>
                        <w:rFonts w:ascii="Cambria Math" w:hAnsi="Cambria Math" w:cs="Times New Roman"/>
                      </w:rPr>
                      <m:t>Administrative</m:t>
                    </m:r>
                    <m:r>
                      <w:rPr>
                        <w:rFonts w:ascii="Cambria Math" w:hAnsi="Times New Roman" w:cs="Times New Roman"/>
                      </w:rPr>
                      <m:t xml:space="preserve"> </m:t>
                    </m:r>
                    <m:r>
                      <w:rPr>
                        <w:rFonts w:ascii="Cambria Math" w:hAnsi="Cambria Math" w:cs="Times New Roman"/>
                      </w:rPr>
                      <m:t>Expenses</m:t>
                    </m:r>
                  </m:num>
                  <m:den>
                    <m:r>
                      <w:rPr>
                        <w:rFonts w:ascii="Cambria Math" w:hAnsi="Cambria Math" w:cs="Times New Roman"/>
                      </w:rPr>
                      <m:t>Total</m:t>
                    </m:r>
                    <m:r>
                      <w:rPr>
                        <w:rFonts w:ascii="Cambria Math" w:hAnsi="Times New Roman" w:cs="Times New Roman"/>
                      </w:rPr>
                      <m:t xml:space="preserve"> </m:t>
                    </m:r>
                    <m:r>
                      <w:rPr>
                        <w:rFonts w:ascii="Cambria Math" w:hAnsi="Cambria Math" w:cs="Times New Roman"/>
                      </w:rPr>
                      <m:t>Expenses</m:t>
                    </m:r>
                  </m:den>
                </m:f>
              </m:oMath>
            </m:oMathPara>
          </w:p>
        </w:tc>
        <w:tc>
          <w:tcPr>
            <w:tcW w:w="3192" w:type="dxa"/>
          </w:tcPr>
          <w:p w:rsidR="00E7044A" w:rsidRPr="007C5F38" w:rsidRDefault="003B5B29" w:rsidP="00D134E5">
            <w:pPr>
              <w:rPr>
                <w:rFonts w:ascii="Times New Roman" w:hAnsi="Times New Roman" w:cs="Times New Roman"/>
              </w:rPr>
            </w:pPr>
            <m:oMathPara>
              <m:oMath>
                <m:f>
                  <m:fPr>
                    <m:ctrlPr>
                      <w:rPr>
                        <w:rFonts w:ascii="Cambria Math" w:hAnsi="Times New Roman" w:cs="Times New Roman"/>
                        <w:i/>
                      </w:rPr>
                    </m:ctrlPr>
                  </m:fPr>
                  <m:num>
                    <m:r>
                      <w:rPr>
                        <w:rFonts w:ascii="Cambria Math" w:hAnsi="Cambria Math" w:cs="Times New Roman"/>
                      </w:rPr>
                      <m:t>ADMINEXP</m:t>
                    </m:r>
                  </m:num>
                  <m:den>
                    <m:r>
                      <w:rPr>
                        <w:rFonts w:ascii="Cambria Math" w:hAnsi="Cambria Math" w:cs="Times New Roman"/>
                      </w:rPr>
                      <m:t>EXPS</m:t>
                    </m:r>
                  </m:den>
                </m:f>
              </m:oMath>
            </m:oMathPara>
          </w:p>
        </w:tc>
      </w:tr>
      <w:tr w:rsidR="00E7044A" w:rsidRPr="007C5F38">
        <w:tc>
          <w:tcPr>
            <w:tcW w:w="2004" w:type="dxa"/>
          </w:tcPr>
          <w:p w:rsidR="00E7044A" w:rsidRPr="009640BF" w:rsidRDefault="00E7044A" w:rsidP="00D134E5">
            <w:pPr>
              <w:rPr>
                <w:rFonts w:ascii="Times New Roman" w:hAnsi="Times New Roman" w:cs="Times New Roman"/>
                <w:sz w:val="22"/>
                <w:szCs w:val="22"/>
              </w:rPr>
            </w:pPr>
            <w:r w:rsidRPr="009640BF">
              <w:rPr>
                <w:rFonts w:ascii="Times New Roman" w:hAnsi="Times New Roman" w:cs="Times New Roman"/>
                <w:sz w:val="22"/>
                <w:szCs w:val="22"/>
              </w:rPr>
              <w:t>Operating Margin</w:t>
            </w:r>
          </w:p>
        </w:tc>
        <w:tc>
          <w:tcPr>
            <w:tcW w:w="3192" w:type="dxa"/>
          </w:tcPr>
          <w:p w:rsidR="00E7044A" w:rsidRPr="007C5F38" w:rsidRDefault="003B5B29" w:rsidP="00D134E5">
            <w:pPr>
              <w:rPr>
                <w:rFonts w:ascii="Times New Roman" w:hAnsi="Times New Roman" w:cs="Times New Roman"/>
              </w:rPr>
            </w:pPr>
            <m:oMathPara>
              <m:oMath>
                <m:f>
                  <m:fPr>
                    <m:ctrlPr>
                      <w:rPr>
                        <w:rFonts w:ascii="Cambria Math" w:hAnsi="Times New Roman" w:cs="Times New Roman"/>
                        <w:i/>
                      </w:rPr>
                    </m:ctrlPr>
                  </m:fPr>
                  <m:num>
                    <m:r>
                      <w:rPr>
                        <w:rFonts w:ascii="Cambria Math" w:hAnsi="Times New Roman" w:cs="Times New Roman"/>
                      </w:rPr>
                      <m:t>(</m:t>
                    </m:r>
                    <m:r>
                      <w:rPr>
                        <w:rFonts w:ascii="Cambria Math" w:hAnsi="Cambria Math" w:cs="Times New Roman"/>
                      </w:rPr>
                      <m:t>Rev</m:t>
                    </m:r>
                    <m:r>
                      <w:rPr>
                        <w:rFonts w:ascii="Cambria Math" w:hAnsi="Cambria Math" w:cs="Times New Roman"/>
                      </w:rPr>
                      <m:t>enue</m:t>
                    </m:r>
                    <m:r>
                      <w:rPr>
                        <w:rFonts w:ascii="Times New Roman" w:hAnsi="Times New Roman" w:cs="Times New Roman"/>
                      </w:rPr>
                      <m:t>-</m:t>
                    </m:r>
                    <m:r>
                      <w:rPr>
                        <w:rFonts w:ascii="Cambria Math" w:hAnsi="Cambria Math" w:cs="Times New Roman"/>
                      </w:rPr>
                      <m:t>Expenses</m:t>
                    </m:r>
                    <m:r>
                      <w:rPr>
                        <w:rFonts w:ascii="Cambria Math" w:hAnsi="Times New Roman" w:cs="Times New Roman"/>
                      </w:rPr>
                      <m:t>)</m:t>
                    </m:r>
                  </m:num>
                  <m:den>
                    <m:r>
                      <w:rPr>
                        <w:rFonts w:ascii="Cambria Math" w:hAnsi="Cambria Math" w:cs="Times New Roman"/>
                      </w:rPr>
                      <m:t>Revenue</m:t>
                    </m:r>
                  </m:den>
                </m:f>
              </m:oMath>
            </m:oMathPara>
          </w:p>
        </w:tc>
        <w:tc>
          <w:tcPr>
            <w:tcW w:w="3192" w:type="dxa"/>
          </w:tcPr>
          <w:p w:rsidR="00E7044A" w:rsidRPr="007C5F38" w:rsidRDefault="003B5B29" w:rsidP="00D134E5">
            <w:pPr>
              <w:rPr>
                <w:rFonts w:ascii="Times New Roman" w:hAnsi="Times New Roman" w:cs="Times New Roman"/>
              </w:rPr>
            </w:pPr>
            <m:oMathPara>
              <m:oMath>
                <m:f>
                  <m:fPr>
                    <m:ctrlPr>
                      <w:rPr>
                        <w:rFonts w:ascii="Cambria Math" w:hAnsi="Times New Roman" w:cs="Times New Roman"/>
                        <w:i/>
                      </w:rPr>
                    </m:ctrlPr>
                  </m:fPr>
                  <m:num>
                    <m:r>
                      <w:rPr>
                        <w:rFonts w:ascii="Cambria Math" w:hAnsi="Times New Roman" w:cs="Times New Roman"/>
                      </w:rPr>
                      <m:t>(</m:t>
                    </m:r>
                    <m:r>
                      <w:rPr>
                        <w:rFonts w:ascii="Cambria Math" w:hAnsi="Cambria Math" w:cs="Times New Roman"/>
                      </w:rPr>
                      <m:t>TOTREV</m:t>
                    </m:r>
                    <m:r>
                      <w:rPr>
                        <w:rFonts w:ascii="Times New Roman" w:hAnsi="Times New Roman" w:cs="Times New Roman"/>
                      </w:rPr>
                      <m:t>-</m:t>
                    </m:r>
                    <m:r>
                      <w:rPr>
                        <w:rFonts w:ascii="Cambria Math" w:hAnsi="Cambria Math" w:cs="Times New Roman"/>
                      </w:rPr>
                      <m:t>EXPS</m:t>
                    </m:r>
                    <m:r>
                      <w:rPr>
                        <w:rFonts w:ascii="Cambria Math" w:hAnsi="Times New Roman" w:cs="Times New Roman"/>
                      </w:rPr>
                      <m:t>)</m:t>
                    </m:r>
                  </m:num>
                  <m:den>
                    <m:r>
                      <w:rPr>
                        <w:rFonts w:ascii="Cambria Math" w:hAnsi="Cambria Math" w:cs="Times New Roman"/>
                      </w:rPr>
                      <m:t>TOTREV</m:t>
                    </m:r>
                  </m:den>
                </m:f>
              </m:oMath>
            </m:oMathPara>
          </w:p>
        </w:tc>
      </w:tr>
    </w:tbl>
    <w:p w:rsidR="007C5F38" w:rsidRDefault="007C5F38" w:rsidP="007C5F38">
      <w:pPr>
        <w:pStyle w:val="Heading1"/>
        <w:spacing w:before="0" w:after="0"/>
        <w:rPr>
          <w:rFonts w:ascii="Times New Roman" w:hAnsi="Times New Roman"/>
          <w:sz w:val="28"/>
        </w:rPr>
      </w:pPr>
      <w:bookmarkStart w:id="8" w:name="_Toc347409182"/>
    </w:p>
    <w:p w:rsidR="00E05A0A" w:rsidRPr="007C5F38" w:rsidRDefault="00E05A0A" w:rsidP="007C5F38">
      <w:pPr>
        <w:pStyle w:val="Heading1"/>
        <w:spacing w:before="0" w:after="0"/>
        <w:rPr>
          <w:rFonts w:ascii="Times New Roman" w:hAnsi="Times New Roman"/>
          <w:sz w:val="28"/>
        </w:rPr>
      </w:pPr>
      <w:r w:rsidRPr="007C5F38">
        <w:rPr>
          <w:rFonts w:ascii="Times New Roman" w:hAnsi="Times New Roman"/>
          <w:sz w:val="28"/>
        </w:rPr>
        <w:t>B3. Methods to Maximize Response Rates and Deal with Nonresponse</w:t>
      </w:r>
      <w:bookmarkEnd w:id="8"/>
    </w:p>
    <w:p w:rsidR="002958AC" w:rsidRPr="007C5F38" w:rsidRDefault="002958AC" w:rsidP="007C5F38">
      <w:pPr>
        <w:rPr>
          <w:sz w:val="20"/>
          <w:szCs w:val="20"/>
          <w:highlight w:val="yellow"/>
        </w:rPr>
      </w:pPr>
    </w:p>
    <w:p w:rsidR="00001620" w:rsidRPr="00EF16D5" w:rsidRDefault="00EF16D5" w:rsidP="007C5F38">
      <w:pPr>
        <w:rPr>
          <w:rFonts w:eastAsia="AppleGothic"/>
          <w:i/>
        </w:rPr>
      </w:pPr>
      <w:r w:rsidRPr="00EF16D5">
        <w:rPr>
          <w:rFonts w:eastAsia="AppleGothic"/>
          <w:b/>
          <w:i/>
        </w:rPr>
        <w:t xml:space="preserve">Expected Response Rates </w:t>
      </w:r>
    </w:p>
    <w:p w:rsidR="007C5F38" w:rsidRDefault="007C5F38" w:rsidP="007C5F38">
      <w:pPr>
        <w:pStyle w:val="Heading1"/>
        <w:spacing w:before="0" w:after="0"/>
        <w:rPr>
          <w:rFonts w:ascii="Times New Roman" w:hAnsi="Times New Roman"/>
          <w:b w:val="0"/>
          <w:sz w:val="24"/>
        </w:rPr>
      </w:pPr>
    </w:p>
    <w:p w:rsidR="00EF16D5" w:rsidRPr="00287127" w:rsidRDefault="00EF16D5" w:rsidP="007C5F38">
      <w:pPr>
        <w:pStyle w:val="Heading1"/>
        <w:spacing w:before="0" w:after="0"/>
        <w:rPr>
          <w:rFonts w:eastAsia="AppleGothic"/>
        </w:rPr>
      </w:pPr>
      <w:r w:rsidRPr="003C147B">
        <w:rPr>
          <w:rFonts w:ascii="Times New Roman" w:hAnsi="Times New Roman"/>
          <w:b w:val="0"/>
          <w:sz w:val="24"/>
        </w:rPr>
        <w:t xml:space="preserve">The contractor anticipates a relatively high response rate (80 percent) in terms of contacted </w:t>
      </w:r>
      <w:r w:rsidRPr="00456627">
        <w:rPr>
          <w:rFonts w:ascii="Times New Roman" w:hAnsi="Times New Roman"/>
          <w:b w:val="0"/>
          <w:sz w:val="24"/>
          <w:szCs w:val="24"/>
        </w:rPr>
        <w:t>grantees being willing to participate in the  assessment of the validity of the DRS. This estimate is based on the contractor’s past experience in recruiting Head Start and other early childhood programs for similar research</w:t>
      </w:r>
      <w:r w:rsidR="003162B3" w:rsidRPr="00456627">
        <w:rPr>
          <w:rFonts w:ascii="Times New Roman" w:hAnsi="Times New Roman"/>
          <w:b w:val="0"/>
          <w:color w:val="000000" w:themeColor="text1"/>
          <w:sz w:val="24"/>
          <w:szCs w:val="24"/>
        </w:rPr>
        <w:t xml:space="preserve">. Examples of such experience include the </w:t>
      </w:r>
      <w:proofErr w:type="spellStart"/>
      <w:r w:rsidR="00F40DFE" w:rsidRPr="00456627">
        <w:rPr>
          <w:rFonts w:ascii="Times New Roman" w:hAnsi="Times New Roman"/>
          <w:b w:val="0"/>
          <w:sz w:val="24"/>
          <w:szCs w:val="24"/>
        </w:rPr>
        <w:t>Educare</w:t>
      </w:r>
      <w:proofErr w:type="spellEnd"/>
      <w:r w:rsidR="00F40DFE" w:rsidRPr="00456627">
        <w:rPr>
          <w:rFonts w:ascii="Times New Roman" w:hAnsi="Times New Roman"/>
          <w:b w:val="0"/>
          <w:sz w:val="24"/>
          <w:szCs w:val="24"/>
        </w:rPr>
        <w:t xml:space="preserve"> Learning Network Implementation Study</w:t>
      </w:r>
      <w:r w:rsidR="00F40DFE" w:rsidRPr="00456627">
        <w:rPr>
          <w:rFonts w:ascii="Times New Roman" w:hAnsi="Times New Roman"/>
          <w:b w:val="0"/>
          <w:color w:val="000000"/>
          <w:sz w:val="24"/>
          <w:szCs w:val="24"/>
        </w:rPr>
        <w:t xml:space="preserve">, </w:t>
      </w:r>
      <w:r w:rsidR="00F40DFE" w:rsidRPr="00456627">
        <w:rPr>
          <w:rFonts w:ascii="Times New Roman" w:hAnsi="Times New Roman"/>
          <w:b w:val="0"/>
          <w:sz w:val="24"/>
          <w:szCs w:val="24"/>
        </w:rPr>
        <w:t>Quality Interventions for Early Care and Education</w:t>
      </w:r>
      <w:r w:rsidR="003162B3" w:rsidRPr="00456627">
        <w:rPr>
          <w:rFonts w:ascii="Times New Roman" w:hAnsi="Times New Roman"/>
          <w:b w:val="0"/>
          <w:sz w:val="24"/>
          <w:szCs w:val="24"/>
        </w:rPr>
        <w:t xml:space="preserve"> (QUINCE)</w:t>
      </w:r>
      <w:r w:rsidR="00F40DFE" w:rsidRPr="00456627">
        <w:rPr>
          <w:rFonts w:ascii="Times New Roman" w:hAnsi="Times New Roman"/>
          <w:b w:val="0"/>
          <w:color w:val="000000"/>
          <w:sz w:val="24"/>
          <w:szCs w:val="24"/>
        </w:rPr>
        <w:t xml:space="preserve">, and </w:t>
      </w:r>
      <w:r w:rsidR="003162B3" w:rsidRPr="00456627">
        <w:rPr>
          <w:rFonts w:ascii="Times New Roman" w:hAnsi="Times New Roman"/>
          <w:b w:val="0"/>
          <w:color w:val="000000"/>
          <w:sz w:val="24"/>
          <w:szCs w:val="24"/>
        </w:rPr>
        <w:t xml:space="preserve">the </w:t>
      </w:r>
      <w:r w:rsidR="00F40DFE" w:rsidRPr="00456627">
        <w:rPr>
          <w:rFonts w:ascii="Times New Roman" w:hAnsi="Times New Roman"/>
          <w:b w:val="0"/>
          <w:sz w:val="24"/>
          <w:szCs w:val="24"/>
        </w:rPr>
        <w:t>National Center for Early Development and Learning</w:t>
      </w:r>
      <w:r w:rsidR="003162B3" w:rsidRPr="00456627">
        <w:rPr>
          <w:rFonts w:ascii="Times New Roman" w:hAnsi="Times New Roman"/>
          <w:b w:val="0"/>
          <w:sz w:val="24"/>
          <w:szCs w:val="24"/>
        </w:rPr>
        <w:t xml:space="preserve"> (</w:t>
      </w:r>
      <w:r w:rsidR="003162B3" w:rsidRPr="00456627">
        <w:rPr>
          <w:rFonts w:ascii="Times New Roman" w:hAnsi="Times New Roman"/>
          <w:b w:val="0"/>
          <w:color w:val="000000"/>
          <w:sz w:val="24"/>
          <w:szCs w:val="24"/>
        </w:rPr>
        <w:t>NCEDL)</w:t>
      </w:r>
      <w:r w:rsidR="00F40DFE" w:rsidRPr="00456627">
        <w:rPr>
          <w:rFonts w:ascii="Times New Roman" w:hAnsi="Times New Roman"/>
          <w:b w:val="0"/>
          <w:sz w:val="24"/>
          <w:szCs w:val="24"/>
        </w:rPr>
        <w:t xml:space="preserve"> as well as rates in the H</w:t>
      </w:r>
      <w:r w:rsidR="003162B3" w:rsidRPr="00456627">
        <w:rPr>
          <w:rFonts w:ascii="Times New Roman" w:hAnsi="Times New Roman"/>
          <w:b w:val="0"/>
          <w:sz w:val="24"/>
          <w:szCs w:val="24"/>
        </w:rPr>
        <w:t xml:space="preserve">ead </w:t>
      </w:r>
      <w:r w:rsidR="00F40DFE" w:rsidRPr="00456627">
        <w:rPr>
          <w:rFonts w:ascii="Times New Roman" w:hAnsi="Times New Roman"/>
          <w:b w:val="0"/>
          <w:sz w:val="24"/>
          <w:szCs w:val="24"/>
        </w:rPr>
        <w:t>S</w:t>
      </w:r>
      <w:r w:rsidR="003162B3" w:rsidRPr="00456627">
        <w:rPr>
          <w:rFonts w:ascii="Times New Roman" w:hAnsi="Times New Roman"/>
          <w:b w:val="0"/>
          <w:sz w:val="24"/>
          <w:szCs w:val="24"/>
        </w:rPr>
        <w:t xml:space="preserve">tart </w:t>
      </w:r>
      <w:r w:rsidR="00F40DFE" w:rsidRPr="00456627">
        <w:rPr>
          <w:rFonts w:ascii="Times New Roman" w:hAnsi="Times New Roman"/>
          <w:b w:val="0"/>
          <w:sz w:val="24"/>
          <w:szCs w:val="24"/>
        </w:rPr>
        <w:t>I</w:t>
      </w:r>
      <w:r w:rsidR="003162B3" w:rsidRPr="00456627">
        <w:rPr>
          <w:rFonts w:ascii="Times New Roman" w:hAnsi="Times New Roman"/>
          <w:b w:val="0"/>
          <w:sz w:val="24"/>
          <w:szCs w:val="24"/>
        </w:rPr>
        <w:t xml:space="preserve">mpact </w:t>
      </w:r>
      <w:r w:rsidR="00F40DFE" w:rsidRPr="00456627">
        <w:rPr>
          <w:rFonts w:ascii="Times New Roman" w:hAnsi="Times New Roman"/>
          <w:b w:val="0"/>
          <w:sz w:val="24"/>
          <w:szCs w:val="24"/>
        </w:rPr>
        <w:t>S</w:t>
      </w:r>
      <w:r w:rsidR="003162B3" w:rsidRPr="00456627">
        <w:rPr>
          <w:rFonts w:ascii="Times New Roman" w:hAnsi="Times New Roman"/>
          <w:b w:val="0"/>
          <w:sz w:val="24"/>
          <w:szCs w:val="24"/>
        </w:rPr>
        <w:t>tudy</w:t>
      </w:r>
      <w:r w:rsidR="00F40DFE" w:rsidRPr="00456627">
        <w:rPr>
          <w:rFonts w:ascii="Times New Roman" w:hAnsi="Times New Roman"/>
          <w:b w:val="0"/>
          <w:sz w:val="24"/>
          <w:szCs w:val="24"/>
        </w:rPr>
        <w:t xml:space="preserve"> </w:t>
      </w:r>
      <w:r w:rsidR="003162B3" w:rsidRPr="00456627">
        <w:rPr>
          <w:rFonts w:ascii="Times New Roman" w:hAnsi="Times New Roman"/>
          <w:b w:val="0"/>
          <w:sz w:val="24"/>
          <w:szCs w:val="24"/>
        </w:rPr>
        <w:t>(</w:t>
      </w:r>
      <w:r w:rsidR="00564B93">
        <w:rPr>
          <w:rFonts w:ascii="Times New Roman" w:hAnsi="Times New Roman"/>
          <w:b w:val="0"/>
          <w:sz w:val="24"/>
          <w:szCs w:val="24"/>
        </w:rPr>
        <w:t>ACF</w:t>
      </w:r>
      <w:r w:rsidR="003162B3" w:rsidRPr="00456627">
        <w:rPr>
          <w:rFonts w:ascii="Times New Roman" w:hAnsi="Times New Roman"/>
          <w:b w:val="0"/>
          <w:sz w:val="24"/>
          <w:szCs w:val="24"/>
        </w:rPr>
        <w:t xml:space="preserve"> 2005) </w:t>
      </w:r>
      <w:r w:rsidR="00F40DFE" w:rsidRPr="00456627">
        <w:rPr>
          <w:rFonts w:ascii="Times New Roman" w:hAnsi="Times New Roman"/>
          <w:b w:val="0"/>
          <w:sz w:val="24"/>
          <w:szCs w:val="24"/>
        </w:rPr>
        <w:t xml:space="preserve">and </w:t>
      </w:r>
      <w:r w:rsidR="003162B3" w:rsidRPr="00456627">
        <w:rPr>
          <w:rFonts w:ascii="Times New Roman" w:hAnsi="Times New Roman"/>
          <w:b w:val="0"/>
          <w:sz w:val="24"/>
          <w:szCs w:val="24"/>
        </w:rPr>
        <w:t xml:space="preserve">the </w:t>
      </w:r>
      <w:r w:rsidR="00F40DFE" w:rsidRPr="00456627">
        <w:rPr>
          <w:rFonts w:ascii="Times New Roman" w:hAnsi="Times New Roman"/>
          <w:b w:val="0"/>
          <w:sz w:val="24"/>
          <w:szCs w:val="24"/>
        </w:rPr>
        <w:t>F</w:t>
      </w:r>
      <w:r w:rsidR="003162B3" w:rsidRPr="00456627">
        <w:rPr>
          <w:rFonts w:ascii="Times New Roman" w:hAnsi="Times New Roman"/>
          <w:b w:val="0"/>
          <w:sz w:val="24"/>
          <w:szCs w:val="24"/>
        </w:rPr>
        <w:t xml:space="preserve">amily and child </w:t>
      </w:r>
      <w:r w:rsidR="00F40DFE" w:rsidRPr="00456627">
        <w:rPr>
          <w:rFonts w:ascii="Times New Roman" w:hAnsi="Times New Roman"/>
          <w:b w:val="0"/>
          <w:sz w:val="24"/>
          <w:szCs w:val="24"/>
        </w:rPr>
        <w:t>E</w:t>
      </w:r>
      <w:r w:rsidR="003162B3" w:rsidRPr="00456627">
        <w:rPr>
          <w:rFonts w:ascii="Times New Roman" w:hAnsi="Times New Roman"/>
          <w:b w:val="0"/>
          <w:sz w:val="24"/>
          <w:szCs w:val="24"/>
        </w:rPr>
        <w:t xml:space="preserve">xperiences </w:t>
      </w:r>
      <w:r w:rsidR="00F40DFE" w:rsidRPr="00456627">
        <w:rPr>
          <w:rFonts w:ascii="Times New Roman" w:hAnsi="Times New Roman"/>
          <w:b w:val="0"/>
          <w:sz w:val="24"/>
          <w:szCs w:val="24"/>
        </w:rPr>
        <w:t>S</w:t>
      </w:r>
      <w:r w:rsidR="003162B3" w:rsidRPr="00456627">
        <w:rPr>
          <w:rFonts w:ascii="Times New Roman" w:hAnsi="Times New Roman"/>
          <w:b w:val="0"/>
          <w:sz w:val="24"/>
          <w:szCs w:val="24"/>
        </w:rPr>
        <w:t>urvey (FACES)</w:t>
      </w:r>
      <w:r w:rsidR="00F40DFE" w:rsidRPr="00456627">
        <w:rPr>
          <w:rFonts w:ascii="Times New Roman" w:hAnsi="Times New Roman"/>
          <w:b w:val="0"/>
          <w:sz w:val="24"/>
          <w:szCs w:val="24"/>
        </w:rPr>
        <w:t xml:space="preserve">  (West, Malone, Hulsey, </w:t>
      </w:r>
      <w:proofErr w:type="spellStart"/>
      <w:r w:rsidR="00F40DFE" w:rsidRPr="00456627">
        <w:rPr>
          <w:rFonts w:ascii="Times New Roman" w:hAnsi="Times New Roman"/>
          <w:b w:val="0"/>
          <w:sz w:val="24"/>
          <w:szCs w:val="24"/>
        </w:rPr>
        <w:t>Aikens</w:t>
      </w:r>
      <w:proofErr w:type="spellEnd"/>
      <w:r w:rsidR="00F40DFE" w:rsidRPr="00456627">
        <w:rPr>
          <w:rFonts w:ascii="Times New Roman" w:hAnsi="Times New Roman"/>
          <w:b w:val="0"/>
          <w:sz w:val="24"/>
          <w:szCs w:val="24"/>
        </w:rPr>
        <w:t xml:space="preserve">, &amp; </w:t>
      </w:r>
      <w:proofErr w:type="spellStart"/>
      <w:r w:rsidR="00F40DFE" w:rsidRPr="00456627">
        <w:rPr>
          <w:rFonts w:ascii="Times New Roman" w:hAnsi="Times New Roman"/>
          <w:b w:val="0"/>
          <w:sz w:val="24"/>
          <w:szCs w:val="24"/>
        </w:rPr>
        <w:t>Tarullo</w:t>
      </w:r>
      <w:proofErr w:type="spellEnd"/>
      <w:r w:rsidR="003162B3" w:rsidRPr="00456627">
        <w:rPr>
          <w:rFonts w:ascii="Times New Roman" w:hAnsi="Times New Roman"/>
          <w:b w:val="0"/>
          <w:sz w:val="24"/>
          <w:szCs w:val="24"/>
        </w:rPr>
        <w:t xml:space="preserve">, </w:t>
      </w:r>
      <w:r w:rsidR="00F40DFE" w:rsidRPr="00456627">
        <w:rPr>
          <w:rFonts w:ascii="Times New Roman" w:hAnsi="Times New Roman"/>
          <w:b w:val="0"/>
          <w:sz w:val="24"/>
          <w:szCs w:val="24"/>
        </w:rPr>
        <w:t>2010)</w:t>
      </w:r>
      <w:r w:rsidR="00FE1EDA" w:rsidRPr="00456627">
        <w:rPr>
          <w:rFonts w:ascii="Times New Roman" w:hAnsi="Times New Roman"/>
          <w:b w:val="0"/>
          <w:sz w:val="24"/>
          <w:szCs w:val="24"/>
        </w:rPr>
        <w:t>.</w:t>
      </w:r>
      <w:r w:rsidRPr="00456627">
        <w:rPr>
          <w:rFonts w:ascii="Times New Roman" w:eastAsia="AppleGothic" w:hAnsi="Times New Roman"/>
          <w:b w:val="0"/>
          <w:sz w:val="24"/>
          <w:szCs w:val="24"/>
        </w:rPr>
        <w:t xml:space="preserve"> </w:t>
      </w:r>
      <w:r w:rsidR="00FE1EDA" w:rsidRPr="00456627">
        <w:rPr>
          <w:rFonts w:ascii="Times New Roman" w:eastAsia="AppleGothic" w:hAnsi="Times New Roman"/>
          <w:b w:val="0"/>
          <w:sz w:val="24"/>
          <w:szCs w:val="24"/>
        </w:rPr>
        <w:t xml:space="preserve">Scheduling </w:t>
      </w:r>
      <w:r w:rsidR="00231EB6" w:rsidRPr="00456627">
        <w:rPr>
          <w:rFonts w:ascii="Times New Roman" w:eastAsia="AppleGothic" w:hAnsi="Times New Roman"/>
          <w:b w:val="0"/>
          <w:sz w:val="24"/>
          <w:szCs w:val="24"/>
        </w:rPr>
        <w:t xml:space="preserve">site visits for </w:t>
      </w:r>
      <w:r w:rsidRPr="00456627">
        <w:rPr>
          <w:rFonts w:ascii="Times New Roman" w:eastAsia="AppleGothic" w:hAnsi="Times New Roman"/>
          <w:b w:val="0"/>
          <w:sz w:val="24"/>
          <w:szCs w:val="24"/>
        </w:rPr>
        <w:t xml:space="preserve">classroom </w:t>
      </w:r>
      <w:r w:rsidRPr="00456627">
        <w:rPr>
          <w:rFonts w:ascii="Times New Roman" w:eastAsia="AppleGothic" w:hAnsi="Times New Roman"/>
          <w:b w:val="0"/>
          <w:sz w:val="24"/>
          <w:szCs w:val="24"/>
        </w:rPr>
        <w:lastRenderedPageBreak/>
        <w:t>observation</w:t>
      </w:r>
      <w:r w:rsidR="00231EB6" w:rsidRPr="00456627">
        <w:rPr>
          <w:rFonts w:ascii="Times New Roman" w:eastAsia="AppleGothic" w:hAnsi="Times New Roman"/>
          <w:b w:val="0"/>
          <w:sz w:val="24"/>
          <w:szCs w:val="24"/>
        </w:rPr>
        <w:t>s</w:t>
      </w:r>
      <w:r w:rsidRPr="00456627">
        <w:rPr>
          <w:rFonts w:ascii="Times New Roman" w:eastAsia="AppleGothic" w:hAnsi="Times New Roman"/>
          <w:b w:val="0"/>
          <w:sz w:val="24"/>
          <w:szCs w:val="24"/>
        </w:rPr>
        <w:t xml:space="preserve"> </w:t>
      </w:r>
      <w:r w:rsidR="0082134B" w:rsidRPr="00456627">
        <w:rPr>
          <w:rFonts w:ascii="Times New Roman" w:eastAsia="AppleGothic" w:hAnsi="Times New Roman"/>
          <w:b w:val="0"/>
          <w:sz w:val="24"/>
          <w:szCs w:val="24"/>
        </w:rPr>
        <w:t xml:space="preserve">at the Head Start centers </w:t>
      </w:r>
      <w:r w:rsidR="00FE1EDA" w:rsidRPr="00456627">
        <w:rPr>
          <w:rFonts w:ascii="Times New Roman" w:eastAsia="AppleGothic" w:hAnsi="Times New Roman"/>
          <w:b w:val="0"/>
          <w:sz w:val="24"/>
          <w:szCs w:val="24"/>
        </w:rPr>
        <w:t xml:space="preserve">may be challenging </w:t>
      </w:r>
      <w:r w:rsidRPr="00456627">
        <w:rPr>
          <w:rFonts w:ascii="Times New Roman" w:eastAsia="AppleGothic" w:hAnsi="Times New Roman"/>
          <w:b w:val="0"/>
          <w:sz w:val="24"/>
          <w:szCs w:val="24"/>
        </w:rPr>
        <w:t xml:space="preserve">and therefore </w:t>
      </w:r>
      <w:r w:rsidR="0082134B" w:rsidRPr="00456627">
        <w:rPr>
          <w:rFonts w:ascii="Times New Roman" w:eastAsia="AppleGothic" w:hAnsi="Times New Roman"/>
          <w:b w:val="0"/>
          <w:sz w:val="24"/>
          <w:szCs w:val="24"/>
        </w:rPr>
        <w:t xml:space="preserve">the research team is </w:t>
      </w:r>
      <w:r w:rsidRPr="00456627">
        <w:rPr>
          <w:rFonts w:ascii="Times New Roman" w:eastAsia="AppleGothic" w:hAnsi="Times New Roman"/>
          <w:b w:val="0"/>
          <w:sz w:val="24"/>
          <w:szCs w:val="24"/>
        </w:rPr>
        <w:t xml:space="preserve">planning to be persistent in follow-up calls </w:t>
      </w:r>
      <w:r w:rsidR="00231EB6" w:rsidRPr="00456627">
        <w:rPr>
          <w:rFonts w:ascii="Times New Roman" w:eastAsia="AppleGothic" w:hAnsi="Times New Roman"/>
          <w:b w:val="0"/>
          <w:sz w:val="24"/>
          <w:szCs w:val="24"/>
        </w:rPr>
        <w:t>and e-mails</w:t>
      </w:r>
      <w:r w:rsidRPr="00456627">
        <w:rPr>
          <w:rFonts w:ascii="Times New Roman" w:eastAsia="AppleGothic" w:hAnsi="Times New Roman"/>
          <w:b w:val="0"/>
          <w:sz w:val="24"/>
          <w:szCs w:val="24"/>
        </w:rPr>
        <w:t xml:space="preserve"> to get these classroom </w:t>
      </w:r>
      <w:r w:rsidR="00231EB6" w:rsidRPr="00456627">
        <w:rPr>
          <w:rFonts w:ascii="Times New Roman" w:eastAsia="AppleGothic" w:hAnsi="Times New Roman"/>
          <w:b w:val="0"/>
          <w:sz w:val="24"/>
          <w:szCs w:val="24"/>
        </w:rPr>
        <w:t>observations</w:t>
      </w:r>
      <w:r w:rsidRPr="00456627">
        <w:rPr>
          <w:rFonts w:ascii="Times New Roman" w:eastAsia="AppleGothic" w:hAnsi="Times New Roman"/>
          <w:b w:val="0"/>
          <w:sz w:val="24"/>
          <w:szCs w:val="24"/>
        </w:rPr>
        <w:t xml:space="preserve"> scheduled.  We also plan to place multiple calls at varying times of the day and days of the week to schedule </w:t>
      </w:r>
      <w:r w:rsidR="00231EB6" w:rsidRPr="00456627">
        <w:rPr>
          <w:rFonts w:ascii="Times New Roman" w:eastAsia="AppleGothic" w:hAnsi="Times New Roman"/>
          <w:b w:val="0"/>
          <w:sz w:val="24"/>
          <w:szCs w:val="24"/>
        </w:rPr>
        <w:t>observation visits and as</w:t>
      </w:r>
      <w:r w:rsidR="00231EB6" w:rsidRPr="003C147B">
        <w:rPr>
          <w:rFonts w:ascii="Times New Roman" w:eastAsia="AppleGothic" w:hAnsi="Times New Roman"/>
          <w:b w:val="0"/>
          <w:sz w:val="24"/>
        </w:rPr>
        <w:t xml:space="preserve"> needed request the assistance of the </w:t>
      </w:r>
      <w:r w:rsidR="00992B57" w:rsidRPr="003C147B">
        <w:rPr>
          <w:rFonts w:ascii="Times New Roman" w:eastAsia="AppleGothic" w:hAnsi="Times New Roman"/>
          <w:b w:val="0"/>
          <w:sz w:val="24"/>
        </w:rPr>
        <w:t xml:space="preserve">program director </w:t>
      </w:r>
      <w:r w:rsidR="00231EB6" w:rsidRPr="003C147B">
        <w:rPr>
          <w:rFonts w:ascii="Times New Roman" w:eastAsia="AppleGothic" w:hAnsi="Times New Roman"/>
          <w:b w:val="0"/>
          <w:sz w:val="24"/>
        </w:rPr>
        <w:t xml:space="preserve">at the </w:t>
      </w:r>
      <w:r w:rsidR="00992B57" w:rsidRPr="003C147B">
        <w:rPr>
          <w:rFonts w:ascii="Times New Roman" w:eastAsia="AppleGothic" w:hAnsi="Times New Roman"/>
          <w:b w:val="0"/>
          <w:sz w:val="24"/>
        </w:rPr>
        <w:t xml:space="preserve">grantee </w:t>
      </w:r>
      <w:r w:rsidR="00231EB6" w:rsidRPr="003C147B">
        <w:rPr>
          <w:rFonts w:ascii="Times New Roman" w:eastAsia="AppleGothic" w:hAnsi="Times New Roman"/>
          <w:b w:val="0"/>
          <w:sz w:val="24"/>
        </w:rPr>
        <w:t>level</w:t>
      </w:r>
      <w:r w:rsidRPr="003C147B">
        <w:rPr>
          <w:rFonts w:ascii="Times New Roman" w:eastAsia="AppleGothic" w:hAnsi="Times New Roman"/>
          <w:b w:val="0"/>
          <w:sz w:val="24"/>
        </w:rPr>
        <w:t>.</w:t>
      </w:r>
    </w:p>
    <w:p w:rsidR="00EF16D5" w:rsidRPr="003C147B" w:rsidRDefault="00EF16D5" w:rsidP="00EF16D5">
      <w:pPr>
        <w:pStyle w:val="PlainText"/>
        <w:rPr>
          <w:rFonts w:ascii="Times New Roman" w:hAnsi="Times New Roman"/>
          <w:sz w:val="24"/>
        </w:rPr>
      </w:pPr>
    </w:p>
    <w:p w:rsidR="00040B0D" w:rsidRPr="0082134B" w:rsidRDefault="00EA5804" w:rsidP="00001620">
      <w:pPr>
        <w:rPr>
          <w:b/>
          <w:i/>
        </w:rPr>
      </w:pPr>
      <w:r w:rsidRPr="00EA5804">
        <w:rPr>
          <w:b/>
          <w:i/>
        </w:rPr>
        <w:t>Dealing with non-response</w:t>
      </w:r>
    </w:p>
    <w:p w:rsidR="00040B0D" w:rsidRDefault="00040B0D" w:rsidP="00001620"/>
    <w:p w:rsidR="002026BE" w:rsidRPr="003061FB" w:rsidRDefault="002026BE" w:rsidP="0082134B">
      <w:pPr>
        <w:pStyle w:val="PlainText"/>
        <w:rPr>
          <w:rFonts w:ascii="Times New Roman" w:hAnsi="Times New Roman" w:cs="Times New Roman"/>
          <w:i/>
          <w:sz w:val="24"/>
          <w:szCs w:val="24"/>
        </w:rPr>
      </w:pPr>
      <w:r w:rsidRPr="003061FB">
        <w:rPr>
          <w:rFonts w:ascii="Times New Roman" w:hAnsi="Times New Roman" w:cs="Times New Roman"/>
          <w:i/>
          <w:sz w:val="24"/>
          <w:szCs w:val="24"/>
        </w:rPr>
        <w:t xml:space="preserve">RQ1: </w:t>
      </w:r>
      <w:r w:rsidRPr="003061FB">
        <w:rPr>
          <w:rFonts w:ascii="Times New Roman" w:hAnsi="Times New Roman" w:cs="Times New Roman"/>
          <w:i/>
          <w:color w:val="000000"/>
        </w:rPr>
        <w:t xml:space="preserve">How effective is the DRS in identifying higher and lower quality Head Start </w:t>
      </w:r>
      <w:r w:rsidR="00676B85">
        <w:rPr>
          <w:rFonts w:ascii="Times New Roman" w:hAnsi="Times New Roman" w:cs="Times New Roman"/>
          <w:i/>
          <w:color w:val="000000"/>
        </w:rPr>
        <w:t>grantee</w:t>
      </w:r>
      <w:r w:rsidRPr="003061FB">
        <w:rPr>
          <w:rFonts w:ascii="Times New Roman" w:hAnsi="Times New Roman" w:cs="Times New Roman"/>
          <w:i/>
          <w:color w:val="000000"/>
        </w:rPr>
        <w:t>s?</w:t>
      </w:r>
    </w:p>
    <w:p w:rsidR="002026BE" w:rsidRDefault="002026BE" w:rsidP="0082134B">
      <w:pPr>
        <w:pStyle w:val="PlainText"/>
        <w:rPr>
          <w:rFonts w:ascii="Times New Roman" w:hAnsi="Times New Roman" w:cs="Times New Roman"/>
          <w:sz w:val="24"/>
          <w:szCs w:val="24"/>
        </w:rPr>
      </w:pPr>
    </w:p>
    <w:p w:rsidR="00001620" w:rsidRDefault="0082134B" w:rsidP="00FE4449">
      <w:pPr>
        <w:pStyle w:val="PlainText"/>
      </w:pPr>
      <w:r w:rsidRPr="00222FD8">
        <w:rPr>
          <w:rFonts w:ascii="Times New Roman" w:hAnsi="Times New Roman" w:cs="Times New Roman"/>
          <w:sz w:val="24"/>
          <w:szCs w:val="24"/>
        </w:rPr>
        <w:t xml:space="preserve">The contractor will draw a sample of grantees that is </w:t>
      </w:r>
      <w:r w:rsidR="00177047" w:rsidRPr="00222FD8">
        <w:rPr>
          <w:rFonts w:ascii="Times New Roman" w:hAnsi="Times New Roman" w:cs="Times New Roman"/>
          <w:sz w:val="24"/>
          <w:szCs w:val="24"/>
        </w:rPr>
        <w:t xml:space="preserve">at least </w:t>
      </w:r>
      <w:r w:rsidRPr="00222FD8">
        <w:rPr>
          <w:rFonts w:ascii="Times New Roman" w:hAnsi="Times New Roman" w:cs="Times New Roman"/>
          <w:sz w:val="24"/>
          <w:szCs w:val="24"/>
        </w:rPr>
        <w:t xml:space="preserve">125 percent larger than needed (1/.8), and will hold back </w:t>
      </w:r>
      <w:r w:rsidR="00937969" w:rsidRPr="00937969">
        <w:rPr>
          <w:rFonts w:ascii="Times New Roman" w:hAnsi="Times New Roman" w:cs="Times New Roman"/>
          <w:sz w:val="24"/>
          <w:szCs w:val="24"/>
        </w:rPr>
        <w:t>2</w:t>
      </w:r>
      <w:r w:rsidR="00937969">
        <w:rPr>
          <w:rFonts w:ascii="Times New Roman" w:hAnsi="Times New Roman" w:cs="Times New Roman"/>
          <w:sz w:val="24"/>
          <w:szCs w:val="24"/>
        </w:rPr>
        <w:t>0</w:t>
      </w:r>
      <w:r w:rsidR="00937969" w:rsidRPr="00222FD8">
        <w:rPr>
          <w:rFonts w:ascii="Times New Roman" w:hAnsi="Times New Roman" w:cs="Times New Roman"/>
          <w:sz w:val="24"/>
          <w:szCs w:val="24"/>
        </w:rPr>
        <w:t xml:space="preserve"> </w:t>
      </w:r>
      <w:r w:rsidRPr="00222FD8">
        <w:rPr>
          <w:rFonts w:ascii="Times New Roman" w:hAnsi="Times New Roman" w:cs="Times New Roman"/>
          <w:sz w:val="24"/>
          <w:szCs w:val="24"/>
        </w:rPr>
        <w:t>percent of the sample from initial recruitment. Note that the sample is divided into two sampling strata (those likely to be put into competition versus those likely to</w:t>
      </w:r>
      <w:r w:rsidR="00DB7DFA">
        <w:rPr>
          <w:rFonts w:ascii="Times New Roman" w:hAnsi="Times New Roman" w:cs="Times New Roman"/>
          <w:sz w:val="24"/>
          <w:szCs w:val="24"/>
        </w:rPr>
        <w:t xml:space="preserve"> not have to compete) and then </w:t>
      </w:r>
      <w:r w:rsidRPr="00222FD8">
        <w:rPr>
          <w:rFonts w:ascii="Times New Roman" w:hAnsi="Times New Roman" w:cs="Times New Roman"/>
          <w:sz w:val="24"/>
          <w:szCs w:val="24"/>
        </w:rPr>
        <w:t xml:space="preserve">those two strata </w:t>
      </w:r>
      <w:r w:rsidR="00177047" w:rsidRPr="00222FD8">
        <w:rPr>
          <w:rFonts w:ascii="Times New Roman" w:hAnsi="Times New Roman" w:cs="Times New Roman"/>
          <w:sz w:val="24"/>
          <w:szCs w:val="24"/>
        </w:rPr>
        <w:t xml:space="preserve">may </w:t>
      </w:r>
      <w:r w:rsidRPr="00222FD8">
        <w:rPr>
          <w:rFonts w:ascii="Times New Roman" w:hAnsi="Times New Roman" w:cs="Times New Roman"/>
          <w:sz w:val="24"/>
          <w:szCs w:val="24"/>
        </w:rPr>
        <w:t>be further stratified</w:t>
      </w:r>
      <w:r w:rsidR="00DB7DFA">
        <w:rPr>
          <w:rFonts w:ascii="Times New Roman" w:hAnsi="Times New Roman" w:cs="Times New Roman"/>
          <w:sz w:val="24"/>
          <w:szCs w:val="24"/>
        </w:rPr>
        <w:t xml:space="preserve"> by size and region.</w:t>
      </w:r>
      <w:r w:rsidRPr="00222FD8">
        <w:rPr>
          <w:rFonts w:ascii="Times New Roman" w:hAnsi="Times New Roman" w:cs="Times New Roman"/>
          <w:sz w:val="24"/>
          <w:szCs w:val="24"/>
        </w:rPr>
        <w:t xml:space="preserve"> If a sampled grantee declines to participate in the research, the team will discuss the case, the concerns the site has about participating, and brainstorm options for addressing the site’s concerns. If it is ultimately determined that a selected site cannot or will not participate in the </w:t>
      </w:r>
      <w:r w:rsidR="00A410F9">
        <w:rPr>
          <w:rFonts w:ascii="Times New Roman" w:hAnsi="Times New Roman" w:cs="Times New Roman"/>
          <w:sz w:val="24"/>
          <w:szCs w:val="24"/>
        </w:rPr>
        <w:t>study</w:t>
      </w:r>
      <w:r w:rsidRPr="00222FD8">
        <w:rPr>
          <w:rFonts w:ascii="Times New Roman" w:hAnsi="Times New Roman" w:cs="Times New Roman"/>
          <w:sz w:val="24"/>
          <w:szCs w:val="24"/>
        </w:rPr>
        <w:t xml:space="preserve">, the contractor will go back to the sampling strata </w:t>
      </w:r>
      <w:r w:rsidR="00A410F9">
        <w:rPr>
          <w:rFonts w:ascii="Times New Roman" w:hAnsi="Times New Roman" w:cs="Times New Roman"/>
          <w:sz w:val="24"/>
          <w:szCs w:val="24"/>
        </w:rPr>
        <w:t>from</w:t>
      </w:r>
      <w:r w:rsidRPr="00222FD8">
        <w:rPr>
          <w:rFonts w:ascii="Times New Roman" w:hAnsi="Times New Roman" w:cs="Times New Roman"/>
          <w:sz w:val="24"/>
          <w:szCs w:val="24"/>
        </w:rPr>
        <w:t xml:space="preserve"> which the non-respondent was selected and </w:t>
      </w:r>
      <w:r w:rsidR="00B1583E" w:rsidRPr="00222FD8">
        <w:rPr>
          <w:rFonts w:ascii="Times New Roman" w:hAnsi="Times New Roman" w:cs="Times New Roman"/>
          <w:sz w:val="24"/>
          <w:szCs w:val="24"/>
        </w:rPr>
        <w:t xml:space="preserve">contact the </w:t>
      </w:r>
      <w:r w:rsidR="003C147B">
        <w:rPr>
          <w:rFonts w:ascii="Times New Roman" w:hAnsi="Times New Roman" w:cs="Times New Roman"/>
          <w:sz w:val="24"/>
          <w:szCs w:val="24"/>
        </w:rPr>
        <w:t>grantee</w:t>
      </w:r>
      <w:r w:rsidR="00B1583E" w:rsidRPr="00222FD8">
        <w:rPr>
          <w:rFonts w:ascii="Times New Roman" w:hAnsi="Times New Roman" w:cs="Times New Roman"/>
          <w:sz w:val="24"/>
          <w:szCs w:val="24"/>
        </w:rPr>
        <w:t xml:space="preserve"> listed next in the array of </w:t>
      </w:r>
      <w:r w:rsidR="003C147B">
        <w:rPr>
          <w:rFonts w:ascii="Times New Roman" w:hAnsi="Times New Roman" w:cs="Times New Roman"/>
          <w:sz w:val="24"/>
          <w:szCs w:val="24"/>
        </w:rPr>
        <w:t>grantees</w:t>
      </w:r>
      <w:r w:rsidR="00B1583E" w:rsidRPr="00222FD8">
        <w:rPr>
          <w:rFonts w:ascii="Times New Roman" w:hAnsi="Times New Roman" w:cs="Times New Roman"/>
          <w:sz w:val="24"/>
          <w:szCs w:val="24"/>
        </w:rPr>
        <w:t xml:space="preserve"> based on random numbers.   </w:t>
      </w:r>
    </w:p>
    <w:p w:rsidR="00AD4AD8" w:rsidRDefault="00AD4AD8" w:rsidP="002958AC">
      <w:pPr>
        <w:rPr>
          <w:rFonts w:eastAsia="AppleGothic"/>
        </w:rPr>
      </w:pPr>
    </w:p>
    <w:p w:rsidR="002958AC" w:rsidRDefault="00B976C2" w:rsidP="002958AC">
      <w:pPr>
        <w:rPr>
          <w:rFonts w:eastAsia="AppleGothic"/>
        </w:rPr>
      </w:pPr>
      <w:r>
        <w:rPr>
          <w:rFonts w:eastAsia="AppleGothic"/>
        </w:rPr>
        <w:t xml:space="preserve">Drawing replacements </w:t>
      </w:r>
      <w:r w:rsidR="00B1583E">
        <w:rPr>
          <w:rFonts w:eastAsia="AppleGothic"/>
        </w:rPr>
        <w:t xml:space="preserve">from the randomized list of </w:t>
      </w:r>
      <w:r w:rsidR="003C147B">
        <w:rPr>
          <w:rFonts w:eastAsia="AppleGothic"/>
        </w:rPr>
        <w:t>grantees</w:t>
      </w:r>
      <w:r w:rsidR="00B1583E">
        <w:rPr>
          <w:rFonts w:eastAsia="AppleGothic"/>
        </w:rPr>
        <w:t xml:space="preserve"> within s</w:t>
      </w:r>
      <w:r w:rsidR="003C147B">
        <w:rPr>
          <w:rFonts w:eastAsia="AppleGothic"/>
        </w:rPr>
        <w:t>trata or of classrooms within a</w:t>
      </w:r>
      <w:r w:rsidR="00B1583E">
        <w:rPr>
          <w:rFonts w:eastAsia="AppleGothic"/>
        </w:rPr>
        <w:t xml:space="preserve"> </w:t>
      </w:r>
      <w:r w:rsidR="003C147B">
        <w:rPr>
          <w:rFonts w:eastAsia="AppleGothic"/>
        </w:rPr>
        <w:t>grantee</w:t>
      </w:r>
      <w:r w:rsidR="00B1583E">
        <w:rPr>
          <w:rFonts w:eastAsia="AppleGothic"/>
        </w:rPr>
        <w:t xml:space="preserve"> </w:t>
      </w:r>
      <w:r>
        <w:rPr>
          <w:rFonts w:eastAsia="AppleGothic"/>
        </w:rPr>
        <w:t xml:space="preserve">will reduce </w:t>
      </w:r>
      <w:r w:rsidR="002958AC" w:rsidRPr="002958AC">
        <w:rPr>
          <w:rFonts w:eastAsia="AppleGothic"/>
        </w:rPr>
        <w:t xml:space="preserve">any nonresponse bias.  However, it is always possible that </w:t>
      </w:r>
      <w:r>
        <w:rPr>
          <w:rFonts w:eastAsia="AppleGothic"/>
        </w:rPr>
        <w:t>the grantees</w:t>
      </w:r>
      <w:r w:rsidR="003C147B">
        <w:rPr>
          <w:rFonts w:eastAsia="AppleGothic"/>
        </w:rPr>
        <w:t xml:space="preserve"> that</w:t>
      </w:r>
      <w:r>
        <w:rPr>
          <w:rFonts w:eastAsia="AppleGothic"/>
        </w:rPr>
        <w:t xml:space="preserve"> </w:t>
      </w:r>
      <w:r w:rsidR="002958AC" w:rsidRPr="002958AC">
        <w:rPr>
          <w:rFonts w:eastAsia="AppleGothic"/>
        </w:rPr>
        <w:t>refuse to participate in this study or grantees we could not get scheduled</w:t>
      </w:r>
      <w:r>
        <w:rPr>
          <w:rFonts w:eastAsia="AppleGothic"/>
        </w:rPr>
        <w:t xml:space="preserve"> will differ </w:t>
      </w:r>
      <w:r w:rsidR="002958AC" w:rsidRPr="002958AC">
        <w:rPr>
          <w:rFonts w:eastAsia="AppleGothic"/>
        </w:rPr>
        <w:t>from those who do participate</w:t>
      </w:r>
      <w:r>
        <w:rPr>
          <w:rFonts w:eastAsia="AppleGothic"/>
        </w:rPr>
        <w:t xml:space="preserve">, leading to </w:t>
      </w:r>
      <w:r w:rsidR="00DB7DFA">
        <w:rPr>
          <w:rFonts w:eastAsia="AppleGothic"/>
        </w:rPr>
        <w:t xml:space="preserve">potential bias. </w:t>
      </w:r>
      <w:r w:rsidR="002958AC" w:rsidRPr="002958AC">
        <w:rPr>
          <w:rFonts w:eastAsia="AppleGothic"/>
        </w:rPr>
        <w:t xml:space="preserve">The size of the potential bias depends on both how much the non-participants differ and the response rate.  Using administrative data </w:t>
      </w:r>
      <w:r>
        <w:rPr>
          <w:rFonts w:eastAsia="AppleGothic"/>
        </w:rPr>
        <w:t xml:space="preserve">the contractor </w:t>
      </w:r>
      <w:r w:rsidR="002958AC" w:rsidRPr="002958AC">
        <w:rPr>
          <w:rFonts w:eastAsia="AppleGothic"/>
        </w:rPr>
        <w:t>will demographically compare the g</w:t>
      </w:r>
      <w:r w:rsidR="00DB7DFA">
        <w:rPr>
          <w:rFonts w:eastAsia="AppleGothic"/>
        </w:rPr>
        <w:t xml:space="preserve">rantees that respond </w:t>
      </w:r>
      <w:r w:rsidR="002958AC" w:rsidRPr="002958AC">
        <w:rPr>
          <w:rFonts w:eastAsia="AppleGothic"/>
        </w:rPr>
        <w:t xml:space="preserve">to those that do not respond and if there are significant differences then </w:t>
      </w:r>
      <w:r>
        <w:rPr>
          <w:rFonts w:eastAsia="AppleGothic"/>
        </w:rPr>
        <w:t xml:space="preserve">the contractor </w:t>
      </w:r>
      <w:r w:rsidR="002958AC" w:rsidRPr="002958AC">
        <w:rPr>
          <w:rFonts w:eastAsia="AppleGothic"/>
        </w:rPr>
        <w:t xml:space="preserve">will adjust estimates by applying a post-stratification weighting adjustment that would make </w:t>
      </w:r>
      <w:r>
        <w:rPr>
          <w:rFonts w:eastAsia="AppleGothic"/>
        </w:rPr>
        <w:t>the study</w:t>
      </w:r>
      <w:r w:rsidR="002958AC" w:rsidRPr="002958AC">
        <w:rPr>
          <w:rFonts w:eastAsia="AppleGothic"/>
        </w:rPr>
        <w:t xml:space="preserve"> sample have the same demographic make-up as the overall population which will reduce the potential for nonresponse bias.  </w:t>
      </w:r>
    </w:p>
    <w:p w:rsidR="002026BE" w:rsidRDefault="002026BE" w:rsidP="002958AC">
      <w:pPr>
        <w:rPr>
          <w:rFonts w:eastAsia="AppleGothic"/>
        </w:rPr>
      </w:pPr>
    </w:p>
    <w:p w:rsidR="006E3A8F" w:rsidRDefault="006E3A8F" w:rsidP="006E3A8F">
      <w:pPr>
        <w:pStyle w:val="PlainText"/>
        <w:rPr>
          <w:rFonts w:ascii="Times New Roman" w:hAnsi="Times New Roman" w:cs="Times New Roman"/>
          <w:sz w:val="24"/>
          <w:szCs w:val="24"/>
        </w:rPr>
      </w:pPr>
      <w:r>
        <w:rPr>
          <w:rFonts w:ascii="Times New Roman" w:hAnsi="Times New Roman" w:cs="Times New Roman"/>
          <w:sz w:val="24"/>
          <w:szCs w:val="24"/>
        </w:rPr>
        <w:t xml:space="preserve">Multiple </w:t>
      </w:r>
      <w:r w:rsidR="00082372">
        <w:rPr>
          <w:rFonts w:ascii="Times New Roman" w:hAnsi="Times New Roman" w:cs="Times New Roman"/>
          <w:sz w:val="24"/>
          <w:szCs w:val="24"/>
        </w:rPr>
        <w:t>imputations</w:t>
      </w:r>
      <w:r>
        <w:rPr>
          <w:rFonts w:ascii="Times New Roman" w:hAnsi="Times New Roman" w:cs="Times New Roman"/>
          <w:sz w:val="24"/>
          <w:szCs w:val="24"/>
        </w:rPr>
        <w:t xml:space="preserve"> will be used during analysis to account for missing data within recruited grantees.  This approach should provide unbiased estimates that account for the inevitable failure to collect all data in all sites.</w:t>
      </w:r>
    </w:p>
    <w:p w:rsidR="006E3A8F" w:rsidRDefault="006E3A8F" w:rsidP="002958AC">
      <w:pPr>
        <w:rPr>
          <w:rFonts w:eastAsia="AppleGothic"/>
        </w:rPr>
      </w:pPr>
    </w:p>
    <w:p w:rsidR="002026BE" w:rsidRPr="003061FB" w:rsidRDefault="002026BE" w:rsidP="002958AC">
      <w:pPr>
        <w:rPr>
          <w:i/>
          <w:color w:val="000000"/>
        </w:rPr>
      </w:pPr>
      <w:r w:rsidRPr="003061FB">
        <w:rPr>
          <w:rFonts w:eastAsia="AppleGothic"/>
          <w:i/>
        </w:rPr>
        <w:t xml:space="preserve">RQ2: </w:t>
      </w:r>
      <w:r w:rsidRPr="003061FB">
        <w:rPr>
          <w:i/>
          <w:color w:val="000000"/>
        </w:rPr>
        <w:t xml:space="preserve">How have Head Start </w:t>
      </w:r>
      <w:r w:rsidR="00676B85">
        <w:rPr>
          <w:i/>
          <w:color w:val="000000"/>
        </w:rPr>
        <w:t>grantee</w:t>
      </w:r>
      <w:r w:rsidRPr="003061FB">
        <w:rPr>
          <w:i/>
          <w:color w:val="000000"/>
        </w:rPr>
        <w:t>s understood and responded to the provisions of the DRS in terms of their efforts to improve program operations and quality?</w:t>
      </w:r>
    </w:p>
    <w:p w:rsidR="00DC6CFF" w:rsidRDefault="00DC6CFF" w:rsidP="002958AC">
      <w:pPr>
        <w:rPr>
          <w:b/>
          <w:color w:val="000000"/>
        </w:rPr>
      </w:pPr>
    </w:p>
    <w:p w:rsidR="00DC6CFF" w:rsidRPr="00DC6CFF" w:rsidRDefault="00DC6CFF" w:rsidP="00DC6CFF">
      <w:pPr>
        <w:pStyle w:val="PlainText"/>
        <w:rPr>
          <w:rFonts w:ascii="Times New Roman" w:hAnsi="Times New Roman" w:cs="Times New Roman"/>
          <w:sz w:val="24"/>
          <w:szCs w:val="24"/>
        </w:rPr>
      </w:pPr>
      <w:r w:rsidRPr="00DC6CFF">
        <w:rPr>
          <w:rFonts w:ascii="Times New Roman" w:hAnsi="Times New Roman" w:cs="Times New Roman"/>
          <w:color w:val="000000"/>
          <w:sz w:val="24"/>
          <w:szCs w:val="24"/>
        </w:rPr>
        <w:t xml:space="preserve">The 35 telephone interviews and 15 in-depth grantee site visits will be purposively selected to maximize diversity.  During the purposive selection process, alternative grantees will be selected to replace those initially selected should interviewees refuse participation.  </w:t>
      </w:r>
      <w:r w:rsidRPr="00DC6CFF">
        <w:rPr>
          <w:rFonts w:ascii="Times New Roman" w:hAnsi="Times New Roman" w:cs="Times New Roman"/>
          <w:sz w:val="24"/>
          <w:szCs w:val="24"/>
        </w:rPr>
        <w:t xml:space="preserve">If a sampled grantee declines to participate in the research, the team will discuss the case, the concerns the site has about participating, and brainstorm options for addressing the site’s concerns. If it is ultimately determined that a selected site cannot or will not participate in the research, the contractor will </w:t>
      </w:r>
      <w:r w:rsidRPr="00DC6CFF">
        <w:rPr>
          <w:rFonts w:ascii="Times New Roman" w:hAnsi="Times New Roman" w:cs="Times New Roman"/>
          <w:sz w:val="24"/>
          <w:szCs w:val="24"/>
        </w:rPr>
        <w:lastRenderedPageBreak/>
        <w:t xml:space="preserve">go back to the sampling strata in which the non-respondent was selected from and then contact the alternative grantee that is most similar to the grantee that declined.   </w:t>
      </w:r>
    </w:p>
    <w:p w:rsidR="00DC6CFF" w:rsidRDefault="00DC6CFF" w:rsidP="002958AC">
      <w:pPr>
        <w:rPr>
          <w:b/>
          <w:color w:val="000000"/>
        </w:rPr>
      </w:pPr>
    </w:p>
    <w:p w:rsidR="002026BE" w:rsidRPr="003061FB" w:rsidRDefault="002026BE" w:rsidP="002958AC">
      <w:pPr>
        <w:rPr>
          <w:i/>
          <w:color w:val="000000"/>
        </w:rPr>
      </w:pPr>
      <w:r w:rsidRPr="003061FB">
        <w:rPr>
          <w:i/>
        </w:rPr>
        <w:t xml:space="preserve">RQ3: </w:t>
      </w:r>
      <w:r w:rsidRPr="003061FB">
        <w:rPr>
          <w:i/>
          <w:color w:val="000000"/>
        </w:rPr>
        <w:t>What does competition look like and how do programs respond in communities where Head Start grantees are designated for competition? </w:t>
      </w:r>
    </w:p>
    <w:p w:rsidR="00DC6CFF" w:rsidRDefault="00DC6CFF" w:rsidP="002958AC">
      <w:pPr>
        <w:rPr>
          <w:b/>
          <w:color w:val="000000"/>
        </w:rPr>
      </w:pPr>
    </w:p>
    <w:p w:rsidR="008A468B" w:rsidRDefault="00DC6CFF" w:rsidP="002958AC">
      <w:pPr>
        <w:rPr>
          <w:rFonts w:eastAsia="AppleGothic"/>
        </w:rPr>
      </w:pPr>
      <w:r>
        <w:rPr>
          <w:rFonts w:eastAsia="AppleGothic"/>
        </w:rPr>
        <w:t xml:space="preserve">The </w:t>
      </w:r>
      <w:r w:rsidR="00933268">
        <w:rPr>
          <w:rFonts w:eastAsia="AppleGothic"/>
        </w:rPr>
        <w:t>CDCS</w:t>
      </w:r>
      <w:r>
        <w:rPr>
          <w:rFonts w:eastAsia="AppleGothic"/>
        </w:rPr>
        <w:t xml:space="preserve"> </w:t>
      </w:r>
      <w:r w:rsidR="003061FB">
        <w:rPr>
          <w:rFonts w:eastAsia="AppleGothic"/>
        </w:rPr>
        <w:t xml:space="preserve">is to be completed as part of the </w:t>
      </w:r>
      <w:r w:rsidR="00933268">
        <w:rPr>
          <w:rFonts w:eastAsia="AppleGothic"/>
        </w:rPr>
        <w:t>FOA</w:t>
      </w:r>
      <w:r w:rsidR="003061FB">
        <w:rPr>
          <w:rFonts w:eastAsia="AppleGothic"/>
        </w:rPr>
        <w:t xml:space="preserve"> </w:t>
      </w:r>
      <w:r w:rsidR="00933268">
        <w:rPr>
          <w:rFonts w:eastAsia="AppleGothic"/>
        </w:rPr>
        <w:t>a</w:t>
      </w:r>
      <w:r w:rsidR="003061FB">
        <w:rPr>
          <w:rFonts w:eastAsia="AppleGothic"/>
        </w:rPr>
        <w:t xml:space="preserve">pplication process.  </w:t>
      </w:r>
      <w:r w:rsidR="008D05C1">
        <w:rPr>
          <w:rFonts w:eastAsia="AppleGothic"/>
        </w:rPr>
        <w:t xml:space="preserve">As the request to fill out the form is being </w:t>
      </w:r>
      <w:r w:rsidR="003C147B">
        <w:rPr>
          <w:rFonts w:eastAsia="AppleGothic"/>
        </w:rPr>
        <w:t>directed to</w:t>
      </w:r>
      <w:r w:rsidR="008D05C1">
        <w:rPr>
          <w:rFonts w:eastAsia="AppleGothic"/>
        </w:rPr>
        <w:t xml:space="preserve"> the population, it will not be possible to replace </w:t>
      </w:r>
      <w:proofErr w:type="spellStart"/>
      <w:r w:rsidR="008D05C1">
        <w:rPr>
          <w:rFonts w:eastAsia="AppleGothic"/>
        </w:rPr>
        <w:t>nonrespondents</w:t>
      </w:r>
      <w:proofErr w:type="spellEnd"/>
      <w:r w:rsidR="008D05C1">
        <w:rPr>
          <w:rFonts w:eastAsia="AppleGothic"/>
        </w:rPr>
        <w:t xml:space="preserve"> with others.  However, it may be possible to capture some of the </w:t>
      </w:r>
      <w:proofErr w:type="spellStart"/>
      <w:r w:rsidR="008D05C1">
        <w:rPr>
          <w:rFonts w:eastAsia="AppleGothic"/>
        </w:rPr>
        <w:t>nonrespondent</w:t>
      </w:r>
      <w:proofErr w:type="spellEnd"/>
      <w:r w:rsidR="008D05C1">
        <w:rPr>
          <w:rFonts w:eastAsia="AppleGothic"/>
        </w:rPr>
        <w:t xml:space="preserve"> data directly from the </w:t>
      </w:r>
      <w:r w:rsidR="00933268">
        <w:rPr>
          <w:rFonts w:eastAsia="AppleGothic"/>
        </w:rPr>
        <w:t>FOA</w:t>
      </w:r>
      <w:r w:rsidR="008D05C1">
        <w:rPr>
          <w:rFonts w:eastAsia="AppleGothic"/>
        </w:rPr>
        <w:t xml:space="preserve"> </w:t>
      </w:r>
      <w:r w:rsidR="00933268">
        <w:rPr>
          <w:rFonts w:eastAsia="AppleGothic"/>
        </w:rPr>
        <w:t>a</w:t>
      </w:r>
      <w:r w:rsidR="008D05C1">
        <w:rPr>
          <w:rFonts w:eastAsia="AppleGothic"/>
        </w:rPr>
        <w:t xml:space="preserve">pplication.  </w:t>
      </w:r>
      <w:r w:rsidR="008A468B">
        <w:rPr>
          <w:rFonts w:eastAsia="AppleGothic"/>
        </w:rPr>
        <w:t>Any information learned about level and types of competition will be informative, and caveats about what can be said will be provided given response rates.</w:t>
      </w:r>
    </w:p>
    <w:p w:rsidR="008A468B" w:rsidRDefault="008A468B" w:rsidP="002958AC">
      <w:pPr>
        <w:rPr>
          <w:rFonts w:eastAsia="AppleGothic"/>
        </w:rPr>
      </w:pPr>
    </w:p>
    <w:p w:rsidR="00DC6CFF" w:rsidRPr="00DC6CFF" w:rsidRDefault="008A468B" w:rsidP="002958AC">
      <w:pPr>
        <w:rPr>
          <w:rFonts w:eastAsia="AppleGothic"/>
        </w:rPr>
      </w:pPr>
      <w:r>
        <w:rPr>
          <w:rFonts w:eastAsia="AppleGothic"/>
        </w:rPr>
        <w:t xml:space="preserve">The 9 in-depth grantee site visits will be purposively selected to maximize diversity. </w:t>
      </w:r>
      <w:r w:rsidRPr="00DC6CFF">
        <w:rPr>
          <w:color w:val="000000"/>
        </w:rPr>
        <w:t xml:space="preserve">During the purposive selection process, alternative grantees will be selected to replace those initially selected should interviewees refuse participation.  </w:t>
      </w:r>
      <w:r w:rsidRPr="00DC6CFF">
        <w:t>If a sampled grantee declines to participate in the research, the team will discuss the case, the concerns the site has about participating, and brainstorm options for addressing the site’s concerns. If it is ultimately determined that a selected site cannot or will not participate in the research, the contractor will go back to the sampling strata in which the non-respondent was selected from and then contact the alternative grantee that is most similar to the grantee that declined.</w:t>
      </w:r>
      <w:r>
        <w:rPr>
          <w:rFonts w:eastAsia="AppleGothic"/>
        </w:rPr>
        <w:t xml:space="preserve">  </w:t>
      </w:r>
      <w:r w:rsidR="0036529C">
        <w:rPr>
          <w:rFonts w:eastAsia="AppleGothic"/>
        </w:rPr>
        <w:t xml:space="preserve"> </w:t>
      </w:r>
      <w:r w:rsidR="003061FB">
        <w:rPr>
          <w:rFonts w:eastAsia="AppleGothic"/>
        </w:rPr>
        <w:t xml:space="preserve"> </w:t>
      </w:r>
    </w:p>
    <w:p w:rsidR="00B976C2" w:rsidRDefault="00B976C2" w:rsidP="00EF16D5"/>
    <w:p w:rsidR="00B976C2" w:rsidRPr="00B976C2" w:rsidRDefault="00EA5804" w:rsidP="00EF16D5">
      <w:pPr>
        <w:rPr>
          <w:b/>
          <w:i/>
        </w:rPr>
      </w:pPr>
      <w:r w:rsidRPr="00EA5804">
        <w:rPr>
          <w:b/>
          <w:i/>
        </w:rPr>
        <w:t>Maximizing Response Rates</w:t>
      </w:r>
    </w:p>
    <w:p w:rsidR="00B976C2" w:rsidRDefault="00B976C2" w:rsidP="00EF16D5"/>
    <w:p w:rsidR="00EF16D5" w:rsidRDefault="00EF16D5" w:rsidP="00BD1CF3">
      <w:r>
        <w:t>Responses to interviews and observations will be maximized in several ways.  First, interviews will be scheduled at times that are convenient for respondents and can be separated into several sections to minimize fatigue.  Observers will strive to be as unobtrusive as possible while in the classrooms and all staff can go about their regular activities while observations are underway.  Further</w:t>
      </w:r>
      <w:r w:rsidR="00115768">
        <w:t>,</w:t>
      </w:r>
      <w:r>
        <w:t xml:space="preserve"> recruitment materials inform participants that study data collection will not be used to evaluate individual Head Start </w:t>
      </w:r>
      <w:r w:rsidR="00676B85">
        <w:t>grantee</w:t>
      </w:r>
      <w:r>
        <w:t>s.</w:t>
      </w:r>
      <w:r w:rsidR="00F65511">
        <w:t xml:space="preserve">  Finally, incentives will be offered to participate in the assessments associated with RQ1.  Teachers whose classrooms are observed will be offered $25 gift cards, and grantees that agree to participate will be offered $</w:t>
      </w:r>
      <w:r w:rsidR="009D7CD1">
        <w:t xml:space="preserve">200 </w:t>
      </w:r>
      <w:r w:rsidR="00F65511">
        <w:t xml:space="preserve">to $500 based on the numbers of centers and classrooms sampled and participating in assessments.  The grantee level </w:t>
      </w:r>
      <w:r w:rsidR="00335AE4">
        <w:t xml:space="preserve">gift in appreciation </w:t>
      </w:r>
      <w:r w:rsidR="00F65511">
        <w:t>will be used to support designation of a grantee staff member as an on-site coordinator to help in scheduling of classrooms and centers for observation.</w:t>
      </w:r>
      <w:r w:rsidR="009F5938">
        <w:t xml:space="preserve"> (Incentives are discussed in more detail in Supporting Statement A.)</w:t>
      </w:r>
    </w:p>
    <w:p w:rsidR="00F20419" w:rsidRPr="00BA5680" w:rsidRDefault="00F20419" w:rsidP="00BD1CF3"/>
    <w:p w:rsidR="00BD1CF3" w:rsidRDefault="00E05A0A" w:rsidP="00BD1CF3">
      <w:pPr>
        <w:pStyle w:val="Heading1"/>
        <w:spacing w:before="0" w:after="0"/>
        <w:rPr>
          <w:rFonts w:ascii="Times New Roman" w:hAnsi="Times New Roman"/>
          <w:sz w:val="28"/>
        </w:rPr>
      </w:pPr>
      <w:bookmarkStart w:id="9" w:name="_Toc347409183"/>
      <w:r w:rsidRPr="007B0D49">
        <w:rPr>
          <w:rFonts w:ascii="Times New Roman" w:hAnsi="Times New Roman"/>
          <w:sz w:val="28"/>
        </w:rPr>
        <w:t>B4. Tests of Procedures or Methods to be Undertaken</w:t>
      </w:r>
      <w:bookmarkEnd w:id="9"/>
    </w:p>
    <w:p w:rsidR="00727F06" w:rsidRPr="00BD1CF3" w:rsidRDefault="00727F06" w:rsidP="00BD1CF3"/>
    <w:p w:rsidR="00001620" w:rsidRDefault="00001620" w:rsidP="00BD1CF3">
      <w:r>
        <w:t xml:space="preserve">The majority of the </w:t>
      </w:r>
      <w:r w:rsidR="004B3000">
        <w:t xml:space="preserve">independent </w:t>
      </w:r>
      <w:r>
        <w:t>measures</w:t>
      </w:r>
      <w:r w:rsidR="004B3000">
        <w:t xml:space="preserve"> of program quality</w:t>
      </w:r>
      <w:r>
        <w:t xml:space="preserve"> have been used successfully with similar populations in studies conducted by </w:t>
      </w:r>
      <w:r w:rsidR="001A56D0">
        <w:t>FPG</w:t>
      </w:r>
      <w:r>
        <w:t xml:space="preserve">.  The research team will pilot the full data collection battery with several classrooms </w:t>
      </w:r>
      <w:r w:rsidR="00F65511">
        <w:t xml:space="preserve">and centers </w:t>
      </w:r>
      <w:r>
        <w:t>to confirm timing and scheduling</w:t>
      </w:r>
      <w:r w:rsidR="00F65511">
        <w:t xml:space="preserve"> prior to official data collection</w:t>
      </w:r>
      <w:r>
        <w:t>.</w:t>
      </w:r>
    </w:p>
    <w:p w:rsidR="004B3000" w:rsidRDefault="004B3000" w:rsidP="00001620"/>
    <w:p w:rsidR="004B3000" w:rsidRDefault="004B3000" w:rsidP="00BD1CF3">
      <w:r>
        <w:t>The instruments developed by the research team will be pilot-tested prior to use</w:t>
      </w:r>
      <w:r w:rsidR="00556D44">
        <w:t xml:space="preserve"> with grantees that are not in the sampling frames identified for this study.  Testing will be conducted both </w:t>
      </w:r>
      <w:r w:rsidR="00556D44">
        <w:lastRenderedPageBreak/>
        <w:t xml:space="preserve">before and after the OMB clearance process with testing occurring within proximity to the data collection period.  For example, for instruments that will collect data in Spring 2014, testing will occur in Fall 2013.  For instruments that will collect data in Spring 2015, testing will occur in Fall 2014.  Proximity of testing to the time period of instrument implementation is important because it is likely that understandings of how the DRS works and the language associated with the DRS will change over time.  </w:t>
      </w:r>
    </w:p>
    <w:p w:rsidR="00001620" w:rsidRDefault="00001620" w:rsidP="00BD1CF3">
      <w:pPr>
        <w:rPr>
          <w:highlight w:val="yellow"/>
        </w:rPr>
      </w:pPr>
    </w:p>
    <w:p w:rsidR="00D53C44" w:rsidRPr="007B0D49" w:rsidRDefault="00E05A0A" w:rsidP="00BD1CF3">
      <w:pPr>
        <w:pStyle w:val="Heading1"/>
        <w:spacing w:before="0" w:after="0"/>
        <w:rPr>
          <w:rFonts w:ascii="Times New Roman" w:hAnsi="Times New Roman"/>
          <w:sz w:val="28"/>
        </w:rPr>
      </w:pPr>
      <w:bookmarkStart w:id="10" w:name="_Toc347409184"/>
      <w:r w:rsidRPr="007B0D49">
        <w:rPr>
          <w:rFonts w:ascii="Times New Roman" w:hAnsi="Times New Roman"/>
          <w:sz w:val="28"/>
        </w:rPr>
        <w:t>B5. In</w:t>
      </w:r>
      <w:r w:rsidR="00DA746C" w:rsidRPr="007B0D49">
        <w:rPr>
          <w:rFonts w:ascii="Times New Roman" w:hAnsi="Times New Roman"/>
          <w:sz w:val="28"/>
        </w:rPr>
        <w:t>d</w:t>
      </w:r>
      <w:r w:rsidRPr="007B0D49">
        <w:rPr>
          <w:rFonts w:ascii="Times New Roman" w:hAnsi="Times New Roman"/>
          <w:sz w:val="28"/>
        </w:rPr>
        <w:t>ividual</w:t>
      </w:r>
      <w:r w:rsidR="00F65511" w:rsidRPr="007B0D49">
        <w:rPr>
          <w:rFonts w:ascii="Times New Roman" w:hAnsi="Times New Roman"/>
          <w:sz w:val="28"/>
        </w:rPr>
        <w:t>s</w:t>
      </w:r>
      <w:r w:rsidRPr="007B0D49">
        <w:rPr>
          <w:rFonts w:ascii="Times New Roman" w:hAnsi="Times New Roman"/>
          <w:sz w:val="28"/>
        </w:rPr>
        <w:t xml:space="preserve"> Consulted on Statistical Aspects and Individuals Collecting and/or Analyzing Data</w:t>
      </w:r>
      <w:bookmarkEnd w:id="10"/>
    </w:p>
    <w:p w:rsidR="00BD1CF3" w:rsidRDefault="00BD1CF3" w:rsidP="00BD1CF3">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0F30" w:rsidRDefault="00D53C44" w:rsidP="00BD1CF3">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A5680">
        <w:t>The study design plan</w:t>
      </w:r>
      <w:r w:rsidR="00A4425C" w:rsidRPr="00BA5680">
        <w:t xml:space="preserve"> and data collection protocols were </w:t>
      </w:r>
      <w:r w:rsidRPr="00BA5680">
        <w:t xml:space="preserve">developed </w:t>
      </w:r>
      <w:r w:rsidR="006D0F30">
        <w:t xml:space="preserve">jointly </w:t>
      </w:r>
      <w:r w:rsidRPr="00BA5680">
        <w:t>by project staff at the Urban Institute</w:t>
      </w:r>
      <w:r w:rsidR="006D0F30">
        <w:t xml:space="preserve"> and the Frank Porter Graham </w:t>
      </w:r>
      <w:r w:rsidR="009640BF">
        <w:t xml:space="preserve">(FPG) </w:t>
      </w:r>
      <w:r w:rsidR="006D0F30">
        <w:t>Child Development Institute at the University of North Carolina</w:t>
      </w:r>
      <w:r w:rsidR="001A56D0">
        <w:t>-Chapel Hill</w:t>
      </w:r>
      <w:r w:rsidR="006D0F30">
        <w:t xml:space="preserve">. </w:t>
      </w:r>
      <w:r w:rsidR="000438D7">
        <w:t xml:space="preserve">Key project </w:t>
      </w:r>
      <w:proofErr w:type="gramStart"/>
      <w:r w:rsidR="000438D7">
        <w:t>s</w:t>
      </w:r>
      <w:r w:rsidR="006D0F30">
        <w:t>taff include</w:t>
      </w:r>
      <w:proofErr w:type="gramEnd"/>
      <w:r w:rsidR="006D0F30">
        <w:t>:</w:t>
      </w:r>
    </w:p>
    <w:p w:rsidR="006D0F30" w:rsidRDefault="006D0F30" w:rsidP="00BD1CF3">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3C44" w:rsidRPr="007C5F38" w:rsidRDefault="006D0F30" w:rsidP="00BD1CF3">
      <w:pPr>
        <w:keepLines/>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C5F38">
        <w:rPr>
          <w:b/>
        </w:rPr>
        <w:t>Urban Institute:</w:t>
      </w:r>
      <w:r w:rsidR="00D53C44" w:rsidRPr="007C5F38">
        <w:rPr>
          <w:b/>
        </w:rPr>
        <w:t xml:space="preserve"> </w:t>
      </w:r>
    </w:p>
    <w:p w:rsidR="006D0F30" w:rsidRPr="007C5F38" w:rsidRDefault="006D0F30" w:rsidP="00BD1CF3">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5F38">
        <w:t>Teresa Derrick-Mills</w:t>
      </w:r>
      <w:r w:rsidR="00A4425C" w:rsidRPr="007C5F38">
        <w:t xml:space="preserve">, </w:t>
      </w:r>
      <w:r w:rsidR="00D53C44" w:rsidRPr="007C5F38">
        <w:t>Project Director</w:t>
      </w:r>
      <w:r w:rsidRPr="007C5F38">
        <w:t xml:space="preserve"> and Co-Principal Investigator</w:t>
      </w:r>
    </w:p>
    <w:p w:rsidR="00D53C44" w:rsidRPr="007C5F38" w:rsidRDefault="006D0F30" w:rsidP="00BD1CF3">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5F38">
        <w:t>Elizabeth Peters, Project Senior Advisor</w:t>
      </w:r>
    </w:p>
    <w:p w:rsidR="006D0F30" w:rsidRPr="007C5F38" w:rsidRDefault="00D53C44" w:rsidP="00BD1CF3">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5F38">
        <w:t>Monica Rohacek</w:t>
      </w:r>
      <w:r w:rsidR="000438D7" w:rsidRPr="007C5F38">
        <w:t xml:space="preserve">, </w:t>
      </w:r>
      <w:r w:rsidR="00CA5C6F" w:rsidRPr="007C5F38">
        <w:t>Task Leader</w:t>
      </w:r>
    </w:p>
    <w:p w:rsidR="00A84018" w:rsidRPr="007C5F38" w:rsidRDefault="00A84018" w:rsidP="00BD1CF3">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5F38">
        <w:t>Rob Santos, Senior Methodologist</w:t>
      </w:r>
    </w:p>
    <w:p w:rsidR="00796F85" w:rsidRPr="007C5F38" w:rsidRDefault="00796F85" w:rsidP="00BD1CF3">
      <w:pPr>
        <w:keepLines/>
        <w:numPr>
          <w:ilvl w:val="0"/>
          <w:numId w:val="15"/>
        </w:numPr>
        <w:tabs>
          <w:tab w:val="left" w:pos="-369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5F38">
        <w:t>Tim Triplett, Sampling Methodologist</w:t>
      </w:r>
    </w:p>
    <w:p w:rsidR="006D0F30" w:rsidRPr="007C5F38" w:rsidRDefault="006D0F30" w:rsidP="00BD1CF3"/>
    <w:p w:rsidR="006D0F30" w:rsidRPr="007C5F38" w:rsidRDefault="006D0F30" w:rsidP="00BD1CF3">
      <w:pPr>
        <w:rPr>
          <w:b/>
        </w:rPr>
      </w:pPr>
      <w:r w:rsidRPr="007C5F38">
        <w:rPr>
          <w:b/>
        </w:rPr>
        <w:t>FPG Child Development Institute:</w:t>
      </w:r>
    </w:p>
    <w:p w:rsidR="006D0F30" w:rsidRPr="007C5F38" w:rsidRDefault="006D0F30" w:rsidP="00BD1CF3">
      <w:pPr>
        <w:pStyle w:val="ListParagraph"/>
        <w:numPr>
          <w:ilvl w:val="0"/>
          <w:numId w:val="18"/>
        </w:numPr>
      </w:pPr>
      <w:r w:rsidRPr="007C5F38">
        <w:t>Peg Burchinal</w:t>
      </w:r>
      <w:r w:rsidR="000438D7" w:rsidRPr="007C5F38">
        <w:t>, Co-Principal Investigator</w:t>
      </w:r>
    </w:p>
    <w:p w:rsidR="000438D7" w:rsidRPr="007C5F38" w:rsidRDefault="000438D7" w:rsidP="00BD1CF3">
      <w:pPr>
        <w:pStyle w:val="ListParagraph"/>
        <w:numPr>
          <w:ilvl w:val="0"/>
          <w:numId w:val="18"/>
        </w:numPr>
      </w:pPr>
      <w:proofErr w:type="spellStart"/>
      <w:r w:rsidRPr="007C5F38">
        <w:t>Iheoma</w:t>
      </w:r>
      <w:proofErr w:type="spellEnd"/>
      <w:r w:rsidRPr="007C5F38">
        <w:t xml:space="preserve"> </w:t>
      </w:r>
      <w:proofErr w:type="spellStart"/>
      <w:r w:rsidRPr="007C5F38">
        <w:t>Iruka</w:t>
      </w:r>
      <w:proofErr w:type="spellEnd"/>
      <w:r w:rsidRPr="007C5F38">
        <w:t>, Co-Principal Investigator</w:t>
      </w:r>
    </w:p>
    <w:p w:rsidR="00CA5C6F" w:rsidRPr="007C5F38" w:rsidRDefault="00CA5C6F" w:rsidP="00BD1CF3">
      <w:pPr>
        <w:pStyle w:val="ListParagraph"/>
      </w:pPr>
    </w:p>
    <w:p w:rsidR="000438D7" w:rsidRDefault="00705C90" w:rsidP="00BD1CF3">
      <w:r>
        <w:t>The core team of Urban</w:t>
      </w:r>
      <w:r w:rsidR="003A5AE3">
        <w:t xml:space="preserve"> Institute</w:t>
      </w:r>
      <w:r>
        <w:t xml:space="preserve"> and FPG researchers engaged in this study possesses the skills and experience needed to carefully, thoroughly, and successfully evaluate the Head Start </w:t>
      </w:r>
      <w:r w:rsidR="007E7106">
        <w:t>DRS</w:t>
      </w:r>
      <w:r>
        <w:t xml:space="preserve">. </w:t>
      </w:r>
      <w:r w:rsidR="000438D7" w:rsidRPr="00BA5680">
        <w:t xml:space="preserve">This leadership team brings extensive experience designing and implementing complex, mixed-methods research studies, expert knowledge of Head Start/Early Head Start and other early childhood programs, and extensive field and survey research experience and training, including overall design, instrument design, survey and qualitative interviewing, and analysis of quantitative and qualitative data.  </w:t>
      </w:r>
      <w:r>
        <w:t xml:space="preserve">The leadership team </w:t>
      </w:r>
      <w:r w:rsidR="000438D7" w:rsidRPr="00BA5680">
        <w:t xml:space="preserve">will </w:t>
      </w:r>
      <w:r>
        <w:t xml:space="preserve">be directly </w:t>
      </w:r>
      <w:r w:rsidR="000438D7" w:rsidRPr="00BA5680">
        <w:t>engage</w:t>
      </w:r>
      <w:r>
        <w:t>d</w:t>
      </w:r>
      <w:r w:rsidR="000438D7" w:rsidRPr="00BA5680">
        <w:t xml:space="preserve"> in data collection and analysis, and will be joined </w:t>
      </w:r>
      <w:r w:rsidR="000438D7">
        <w:t xml:space="preserve">by </w:t>
      </w:r>
      <w:r w:rsidR="000438D7" w:rsidRPr="00BA5680">
        <w:t>additional researchers from the Urban Institute</w:t>
      </w:r>
      <w:r w:rsidR="00B976C2">
        <w:t xml:space="preserve">. </w:t>
      </w:r>
    </w:p>
    <w:p w:rsidR="006D0F30" w:rsidRPr="00BA5680" w:rsidRDefault="006D0F30" w:rsidP="00BD1CF3"/>
    <w:p w:rsidR="00A4425C" w:rsidRPr="00BA5680" w:rsidRDefault="00A4425C" w:rsidP="00BD1CF3">
      <w:r w:rsidRPr="00BA5680">
        <w:t xml:space="preserve">In developing the </w:t>
      </w:r>
      <w:r w:rsidR="005453BF" w:rsidRPr="00BA5680">
        <w:t xml:space="preserve">study design and </w:t>
      </w:r>
      <w:r w:rsidRPr="00BA5680">
        <w:t xml:space="preserve">data collection protocols, the study team </w:t>
      </w:r>
      <w:r w:rsidR="006D0F30">
        <w:t>convened an expert workgroup consisting of the following six members</w:t>
      </w:r>
      <w:r w:rsidRPr="00BA5680">
        <w:t xml:space="preserve">: </w:t>
      </w:r>
    </w:p>
    <w:p w:rsidR="00A4425C" w:rsidRPr="00BA5680" w:rsidRDefault="00A4425C" w:rsidP="00BD1CF3"/>
    <w:p w:rsidR="006D0F30" w:rsidRDefault="006D0F30" w:rsidP="00BD1CF3">
      <w:r w:rsidRPr="000A5291">
        <w:rPr>
          <w:b/>
        </w:rPr>
        <w:t>Greg Duncan</w:t>
      </w:r>
      <w:r w:rsidRPr="000A5291">
        <w:t>, Distinguished Professor, School of Education, University of California at Irvine</w:t>
      </w:r>
      <w:r>
        <w:br/>
      </w:r>
      <w:r w:rsidRPr="000A5291">
        <w:rPr>
          <w:b/>
        </w:rPr>
        <w:t>Stephanie Jones</w:t>
      </w:r>
      <w:r w:rsidRPr="000A5291">
        <w:t xml:space="preserve">, </w:t>
      </w:r>
      <w:r>
        <w:t xml:space="preserve">Marie and Max </w:t>
      </w:r>
      <w:proofErr w:type="spellStart"/>
      <w:r>
        <w:t>Kargman</w:t>
      </w:r>
      <w:proofErr w:type="spellEnd"/>
      <w:r>
        <w:t xml:space="preserve"> Associate Professor in Human Development and Urban Education Advancement, Graduate School of Education, Harvard University</w:t>
      </w:r>
    </w:p>
    <w:p w:rsidR="006D0F30" w:rsidRPr="000A5291" w:rsidRDefault="006D0F30" w:rsidP="00BD1CF3">
      <w:pPr>
        <w:rPr>
          <w:highlight w:val="yellow"/>
        </w:rPr>
      </w:pPr>
      <w:r>
        <w:rPr>
          <w:b/>
        </w:rPr>
        <w:t>Christine</w:t>
      </w:r>
      <w:r w:rsidRPr="000A5291">
        <w:rPr>
          <w:b/>
        </w:rPr>
        <w:t xml:space="preserve"> </w:t>
      </w:r>
      <w:proofErr w:type="spellStart"/>
      <w:r w:rsidRPr="000A5291">
        <w:rPr>
          <w:b/>
        </w:rPr>
        <w:t>McWayne</w:t>
      </w:r>
      <w:proofErr w:type="spellEnd"/>
      <w:r w:rsidRPr="000A5291">
        <w:t>, Associate Professor of Child Development, Eliot-Pearson Department of Child Development, Tufts University</w:t>
      </w:r>
    </w:p>
    <w:p w:rsidR="006D0F30" w:rsidRPr="000A5291" w:rsidRDefault="006D0F30" w:rsidP="00BD1CF3">
      <w:r w:rsidRPr="000A5291">
        <w:rPr>
          <w:b/>
        </w:rPr>
        <w:t>Kathryn Newcomer</w:t>
      </w:r>
      <w:r w:rsidRPr="000A5291">
        <w:t>, Professor and Director, Trachtenberg School of Public Policy and Public Administration, George Washington University</w:t>
      </w:r>
    </w:p>
    <w:p w:rsidR="006D0F30" w:rsidRPr="000A5291" w:rsidRDefault="006D0F30" w:rsidP="00BD1CF3">
      <w:r w:rsidRPr="000A5291">
        <w:rPr>
          <w:b/>
        </w:rPr>
        <w:lastRenderedPageBreak/>
        <w:t>Kathryn Tout</w:t>
      </w:r>
      <w:r w:rsidRPr="000A5291">
        <w:t>, Co-Director, Early Childhood Research &amp; Senior Research Scientist, Child Trends</w:t>
      </w:r>
    </w:p>
    <w:p w:rsidR="005453BF" w:rsidRDefault="006D0F30" w:rsidP="00BD1CF3">
      <w:r w:rsidRPr="000A5291">
        <w:rPr>
          <w:b/>
        </w:rPr>
        <w:t>Mildred Warner</w:t>
      </w:r>
      <w:r w:rsidRPr="000A5291">
        <w:t>,</w:t>
      </w:r>
      <w:r>
        <w:t xml:space="preserve"> </w:t>
      </w:r>
      <w:r w:rsidRPr="000A5291">
        <w:t>Professor, Department of City and Regional Planning, Cornell University</w:t>
      </w:r>
    </w:p>
    <w:p w:rsidR="000F3601" w:rsidRDefault="000F3601" w:rsidP="00BD1CF3"/>
    <w:p w:rsidR="000F3601" w:rsidRDefault="00CA5C6F" w:rsidP="00BD1CF3">
      <w:r>
        <w:t xml:space="preserve">These </w:t>
      </w:r>
      <w:r w:rsidR="000F3601">
        <w:t xml:space="preserve">experts include </w:t>
      </w:r>
      <w:r w:rsidR="000F3601" w:rsidRPr="00CB149E">
        <w:t>individuals with technical e</w:t>
      </w:r>
      <w:r w:rsidR="000F3601">
        <w:t>xpertise in a number of areas in addition to expertise specific to Head Start, including Measurement of Quality in Child Care Classrooms; Measurement of Management and Financial Quality; Quality Rating and Improvement System (QRIS) Research and Evaluation; Research and Evaluation of Accountability Systems; Examination of Government-Induced Competition; General Study Design: Econometrics for Determining Causal Inference with Quasi-Experimental Design; Technical Expertise: Econometrics for Determining Causal Inference with Quasi-Experimental Design</w:t>
      </w:r>
      <w:r w:rsidR="009B77DC">
        <w:t xml:space="preserve">. </w:t>
      </w:r>
    </w:p>
    <w:p w:rsidR="000F3601" w:rsidRPr="00BA5680" w:rsidRDefault="000F3601" w:rsidP="00BD1CF3"/>
    <w:p w:rsidR="000D53DF" w:rsidRDefault="00DA746C" w:rsidP="00BD1CF3">
      <w:r w:rsidRPr="00BA5680">
        <w:t xml:space="preserve">The Federal </w:t>
      </w:r>
      <w:r w:rsidR="009F5938">
        <w:t>P</w:t>
      </w:r>
      <w:r w:rsidRPr="00BA5680">
        <w:t xml:space="preserve">roject </w:t>
      </w:r>
      <w:r w:rsidR="009F5938">
        <w:t>O</w:t>
      </w:r>
      <w:r w:rsidRPr="00BA5680">
        <w:t xml:space="preserve">fficer for this project </w:t>
      </w:r>
      <w:r w:rsidR="006D0F30">
        <w:t xml:space="preserve">is </w:t>
      </w:r>
      <w:r w:rsidR="006D0F30" w:rsidRPr="000F3601">
        <w:rPr>
          <w:b/>
        </w:rPr>
        <w:t>Amy Madigan</w:t>
      </w:r>
      <w:r w:rsidR="006D0F30">
        <w:t xml:space="preserve">. </w:t>
      </w:r>
      <w:r w:rsidR="006D0F30" w:rsidRPr="000F3601">
        <w:rPr>
          <w:b/>
        </w:rPr>
        <w:t>Jennifer Brooks</w:t>
      </w:r>
      <w:r w:rsidR="006D0F30">
        <w:t xml:space="preserve"> (OPRE) has </w:t>
      </w:r>
      <w:r w:rsidR="000438D7">
        <w:t xml:space="preserve">also </w:t>
      </w:r>
      <w:r w:rsidR="006D0F30">
        <w:t xml:space="preserve">played </w:t>
      </w:r>
      <w:r w:rsidR="000438D7">
        <w:t>an integral role</w:t>
      </w:r>
      <w:r w:rsidR="006D0F30">
        <w:t xml:space="preserve"> in the review and approval of </w:t>
      </w:r>
      <w:r w:rsidR="000438D7">
        <w:t>data-related aspects of the project</w:t>
      </w:r>
      <w:r w:rsidR="006D0F30">
        <w:t>.</w:t>
      </w:r>
      <w:r w:rsidR="00460560">
        <w:t xml:space="preserve">  </w:t>
      </w:r>
      <w:r w:rsidR="009D46BA" w:rsidRPr="00456627">
        <w:rPr>
          <w:b/>
        </w:rPr>
        <w:t>OHS</w:t>
      </w:r>
      <w:r w:rsidR="000438D7">
        <w:t xml:space="preserve"> has supplied </w:t>
      </w:r>
      <w:r w:rsidR="00676B85">
        <w:t>grantee</w:t>
      </w:r>
      <w:r w:rsidR="000438D7">
        <w:t xml:space="preserve"> and administrative data necessary to con</w:t>
      </w:r>
      <w:r w:rsidR="00460560">
        <w:t>s</w:t>
      </w:r>
      <w:r w:rsidR="000438D7">
        <w:t>truct a sampling plan and supplement primary observation data collected on-site.</w:t>
      </w:r>
    </w:p>
    <w:p w:rsidR="007133E9" w:rsidRDefault="007133E9" w:rsidP="00BD1CF3"/>
    <w:p w:rsidR="007133E9" w:rsidRDefault="007133E9" w:rsidP="00BD1CF3"/>
    <w:p w:rsidR="00FD050D" w:rsidRPr="009640BF" w:rsidRDefault="00FD050D" w:rsidP="00BD1CF3">
      <w:pPr>
        <w:rPr>
          <w:b/>
          <w:sz w:val="28"/>
          <w:szCs w:val="28"/>
        </w:rPr>
      </w:pPr>
      <w:r w:rsidRPr="009640BF">
        <w:rPr>
          <w:b/>
          <w:sz w:val="28"/>
          <w:szCs w:val="28"/>
        </w:rPr>
        <w:t>References</w:t>
      </w:r>
    </w:p>
    <w:p w:rsidR="00FD050D" w:rsidRDefault="00FD050D" w:rsidP="00BD1CF3"/>
    <w:p w:rsidR="00FD050D" w:rsidRDefault="00564B93" w:rsidP="00564B93">
      <w:pPr>
        <w:ind w:left="720" w:hanging="720"/>
      </w:pPr>
      <w:proofErr w:type="gramStart"/>
      <w:r>
        <w:t>Administration for Children and Families (ACF).</w:t>
      </w:r>
      <w:proofErr w:type="gramEnd"/>
      <w:r>
        <w:t xml:space="preserve"> (2005).</w:t>
      </w:r>
      <w:r w:rsidR="00FD050D">
        <w:t xml:space="preserve"> </w:t>
      </w:r>
      <w:r w:rsidR="00FD050D">
        <w:rPr>
          <w:i/>
          <w:iCs/>
        </w:rPr>
        <w:t>Head Start Impact Study: First Year Findings</w:t>
      </w:r>
      <w:r w:rsidR="00FD050D">
        <w:t xml:space="preserve">. </w:t>
      </w:r>
      <w:r>
        <w:t xml:space="preserve">Washington, DC: U.S, Department of Health and Human Services. </w:t>
      </w:r>
    </w:p>
    <w:p w:rsidR="00564B93" w:rsidRDefault="00564B93" w:rsidP="00564B93">
      <w:pPr>
        <w:ind w:left="720" w:hanging="720"/>
      </w:pPr>
    </w:p>
    <w:p w:rsidR="00FD050D" w:rsidRDefault="00FD050D" w:rsidP="00564B93">
      <w:pPr>
        <w:ind w:left="720" w:hanging="720"/>
      </w:pPr>
      <w:proofErr w:type="gramStart"/>
      <w:r>
        <w:t xml:space="preserve">West, J., L. Malone, L. Hulsey, N. </w:t>
      </w:r>
      <w:proofErr w:type="spellStart"/>
      <w:r>
        <w:t>Aikens</w:t>
      </w:r>
      <w:proofErr w:type="spellEnd"/>
      <w:r>
        <w:t xml:space="preserve">, &amp; L. </w:t>
      </w:r>
      <w:proofErr w:type="spellStart"/>
      <w:r>
        <w:t>Tarullo</w:t>
      </w:r>
      <w:proofErr w:type="spellEnd"/>
      <w:r>
        <w:t>.</w:t>
      </w:r>
      <w:proofErr w:type="gramEnd"/>
      <w:r>
        <w:t xml:space="preserve"> (2010). </w:t>
      </w:r>
      <w:r>
        <w:rPr>
          <w:i/>
          <w:iCs/>
        </w:rPr>
        <w:t>Head Start Children Go to Kindergarten</w:t>
      </w:r>
      <w:r>
        <w:t xml:space="preserve">. </w:t>
      </w:r>
      <w:proofErr w:type="spellStart"/>
      <w:r w:rsidR="00564B93">
        <w:t>Washingtong</w:t>
      </w:r>
      <w:proofErr w:type="spellEnd"/>
      <w:r w:rsidR="00564B93">
        <w:t xml:space="preserve">, DC: U.S. </w:t>
      </w:r>
      <w:r>
        <w:t>Department of Health and Human Services, Administration for Children and Families, Office of Planning, Research and Evaluation</w:t>
      </w:r>
      <w:r w:rsidR="00564B93">
        <w:t xml:space="preserve">. </w:t>
      </w:r>
    </w:p>
    <w:p w:rsidR="000D53DF" w:rsidRPr="00BA5680" w:rsidRDefault="000D53DF" w:rsidP="00564B93">
      <w:pPr>
        <w:ind w:left="720" w:hanging="720"/>
      </w:pPr>
    </w:p>
    <w:sectPr w:rsidR="000D53DF" w:rsidRPr="00BA5680" w:rsidSect="00727F06">
      <w:headerReference w:type="default" r:id="rId12"/>
      <w:footerReference w:type="default" r:id="rId13"/>
      <w:footerReference w:type="first" r:id="rId14"/>
      <w:pgSz w:w="12240" w:h="15840"/>
      <w:pgMar w:top="171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45" w:rsidRDefault="00364845">
      <w:r>
        <w:separator/>
      </w:r>
    </w:p>
  </w:endnote>
  <w:endnote w:type="continuationSeparator" w:id="0">
    <w:p w:rsidR="00364845" w:rsidRDefault="00364845">
      <w:r>
        <w:continuationSeparator/>
      </w:r>
    </w:p>
  </w:endnote>
  <w:endnote w:type="continuationNotice" w:id="1">
    <w:p w:rsidR="00364845" w:rsidRDefault="00364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Gothic">
    <w:charset w:val="4F"/>
    <w:family w:val="auto"/>
    <w:pitch w:val="variable"/>
    <w:sig w:usb0="00000001" w:usb1="00000000" w:usb2="01002406" w:usb3="00000000" w:csb0="00080000" w:csb1="00000000"/>
  </w:font>
  <w:font w:name="Segoe UI">
    <w:altName w:val="Cambria"/>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93" w:rsidRDefault="003B5B29">
    <w:pPr>
      <w:pStyle w:val="Footer"/>
      <w:jc w:val="center"/>
    </w:pPr>
    <w:r>
      <w:fldChar w:fldCharType="begin"/>
    </w:r>
    <w:r>
      <w:instrText xml:space="preserve"> PAGE   \* MERGEFORMAT </w:instrText>
    </w:r>
    <w:r>
      <w:fldChar w:fldCharType="separate"/>
    </w:r>
    <w:r>
      <w:rPr>
        <w:noProof/>
      </w:rPr>
      <w:t>25</w:t>
    </w:r>
    <w:r>
      <w:rPr>
        <w:noProof/>
      </w:rPr>
      <w:fldChar w:fldCharType="end"/>
    </w:r>
  </w:p>
  <w:p w:rsidR="00564B93" w:rsidRDefault="00564B93" w:rsidP="00292B7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93" w:rsidRDefault="003B5B29">
    <w:pPr>
      <w:pStyle w:val="Footer"/>
      <w:jc w:val="center"/>
    </w:pPr>
    <w:r>
      <w:fldChar w:fldCharType="begin"/>
    </w:r>
    <w:r>
      <w:instrText xml:space="preserve"> PAGE   \* MERGEFORMAT </w:instrText>
    </w:r>
    <w:r>
      <w:fldChar w:fldCharType="separate"/>
    </w:r>
    <w:r w:rsidR="00564B93">
      <w:rPr>
        <w:noProof/>
      </w:rPr>
      <w:t>1</w:t>
    </w:r>
    <w:r>
      <w:rPr>
        <w:noProof/>
      </w:rPr>
      <w:fldChar w:fldCharType="end"/>
    </w:r>
  </w:p>
  <w:p w:rsidR="00564B93" w:rsidRDefault="00564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45" w:rsidRDefault="00364845">
      <w:r>
        <w:separator/>
      </w:r>
    </w:p>
  </w:footnote>
  <w:footnote w:type="continuationSeparator" w:id="0">
    <w:p w:rsidR="00364845" w:rsidRDefault="00364845">
      <w:r>
        <w:continuationSeparator/>
      </w:r>
    </w:p>
  </w:footnote>
  <w:footnote w:type="continuationNotice" w:id="1">
    <w:p w:rsidR="00364845" w:rsidRDefault="003648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93" w:rsidRDefault="0056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8CF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32BD3"/>
    <w:multiLevelType w:val="hybridMultilevel"/>
    <w:tmpl w:val="8BB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F274F"/>
    <w:multiLevelType w:val="hybridMultilevel"/>
    <w:tmpl w:val="66F0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86041"/>
    <w:multiLevelType w:val="hybridMultilevel"/>
    <w:tmpl w:val="BA48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2B76E6"/>
    <w:multiLevelType w:val="hybridMultilevel"/>
    <w:tmpl w:val="44CE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8529F9"/>
    <w:multiLevelType w:val="hybridMultilevel"/>
    <w:tmpl w:val="5AE8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C27A56"/>
    <w:multiLevelType w:val="hybridMultilevel"/>
    <w:tmpl w:val="21E4B0A8"/>
    <w:lvl w:ilvl="0" w:tplc="FA706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4118A3"/>
    <w:multiLevelType w:val="hybridMultilevel"/>
    <w:tmpl w:val="C314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EC4E4E"/>
    <w:multiLevelType w:val="hybridMultilevel"/>
    <w:tmpl w:val="283CE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185534"/>
    <w:multiLevelType w:val="hybridMultilevel"/>
    <w:tmpl w:val="FE82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4A1B55"/>
    <w:multiLevelType w:val="hybridMultilevel"/>
    <w:tmpl w:val="EB8C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1A613B"/>
    <w:multiLevelType w:val="hybridMultilevel"/>
    <w:tmpl w:val="535EC7A8"/>
    <w:lvl w:ilvl="0" w:tplc="16E21A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A04DE"/>
    <w:multiLevelType w:val="hybridMultilevel"/>
    <w:tmpl w:val="4B4046DC"/>
    <w:lvl w:ilvl="0" w:tplc="0C5A3ED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5"/>
  </w:num>
  <w:num w:numId="4">
    <w:abstractNumId w:val="10"/>
  </w:num>
  <w:num w:numId="5">
    <w:abstractNumId w:val="11"/>
  </w:num>
  <w:num w:numId="6">
    <w:abstractNumId w:val="17"/>
  </w:num>
  <w:num w:numId="7">
    <w:abstractNumId w:val="16"/>
  </w:num>
  <w:num w:numId="8">
    <w:abstractNumId w:val="12"/>
  </w:num>
  <w:num w:numId="9">
    <w:abstractNumId w:val="13"/>
  </w:num>
  <w:num w:numId="10">
    <w:abstractNumId w:val="3"/>
  </w:num>
  <w:num w:numId="11">
    <w:abstractNumId w:val="1"/>
  </w:num>
  <w:num w:numId="12">
    <w:abstractNumId w:val="6"/>
  </w:num>
  <w:num w:numId="13">
    <w:abstractNumId w:val="18"/>
  </w:num>
  <w:num w:numId="14">
    <w:abstractNumId w:val="8"/>
  </w:num>
  <w:num w:numId="15">
    <w:abstractNumId w:val="20"/>
  </w:num>
  <w:num w:numId="16">
    <w:abstractNumId w:val="0"/>
  </w:num>
  <w:num w:numId="17">
    <w:abstractNumId w:val="9"/>
  </w:num>
  <w:num w:numId="18">
    <w:abstractNumId w:val="21"/>
  </w:num>
  <w:num w:numId="19">
    <w:abstractNumId w:val="23"/>
  </w:num>
  <w:num w:numId="20">
    <w:abstractNumId w:val="4"/>
  </w:num>
  <w:num w:numId="21">
    <w:abstractNumId w:val="22"/>
  </w:num>
  <w:num w:numId="22">
    <w:abstractNumId w:val="14"/>
  </w:num>
  <w:num w:numId="23">
    <w:abstractNumId w:val="5"/>
  </w:num>
  <w:num w:numId="24">
    <w:abstractNumId w:val="24"/>
  </w:num>
  <w:num w:numId="25">
    <w:abstractNumId w:val="19"/>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8B7F2C"/>
    <w:rsid w:val="00001620"/>
    <w:rsid w:val="0000355B"/>
    <w:rsid w:val="00005B15"/>
    <w:rsid w:val="00020A05"/>
    <w:rsid w:val="0003259B"/>
    <w:rsid w:val="00040B0D"/>
    <w:rsid w:val="00042484"/>
    <w:rsid w:val="000438D7"/>
    <w:rsid w:val="00053D9B"/>
    <w:rsid w:val="00055475"/>
    <w:rsid w:val="00062839"/>
    <w:rsid w:val="00064446"/>
    <w:rsid w:val="00073CFC"/>
    <w:rsid w:val="00077F0D"/>
    <w:rsid w:val="00082372"/>
    <w:rsid w:val="00084713"/>
    <w:rsid w:val="00091C59"/>
    <w:rsid w:val="00093688"/>
    <w:rsid w:val="00094E16"/>
    <w:rsid w:val="000A39E6"/>
    <w:rsid w:val="000A4FAC"/>
    <w:rsid w:val="000A7D25"/>
    <w:rsid w:val="000B12D8"/>
    <w:rsid w:val="000B52F8"/>
    <w:rsid w:val="000B5EA8"/>
    <w:rsid w:val="000B717A"/>
    <w:rsid w:val="000C2670"/>
    <w:rsid w:val="000C438D"/>
    <w:rsid w:val="000C4A6B"/>
    <w:rsid w:val="000D53DF"/>
    <w:rsid w:val="000D7DBE"/>
    <w:rsid w:val="000E6EE5"/>
    <w:rsid w:val="000F3601"/>
    <w:rsid w:val="000F4C4C"/>
    <w:rsid w:val="000F4F74"/>
    <w:rsid w:val="000F5D39"/>
    <w:rsid w:val="000F788B"/>
    <w:rsid w:val="00100DA2"/>
    <w:rsid w:val="00101A78"/>
    <w:rsid w:val="00101AE9"/>
    <w:rsid w:val="00102795"/>
    <w:rsid w:val="0010753D"/>
    <w:rsid w:val="00114216"/>
    <w:rsid w:val="00115768"/>
    <w:rsid w:val="00117E8A"/>
    <w:rsid w:val="001236B3"/>
    <w:rsid w:val="00123DE5"/>
    <w:rsid w:val="00126FB1"/>
    <w:rsid w:val="00146A17"/>
    <w:rsid w:val="00152BFC"/>
    <w:rsid w:val="001534A7"/>
    <w:rsid w:val="0015637D"/>
    <w:rsid w:val="0016012E"/>
    <w:rsid w:val="001609F2"/>
    <w:rsid w:val="0016110E"/>
    <w:rsid w:val="0016508A"/>
    <w:rsid w:val="00167AB0"/>
    <w:rsid w:val="001747B8"/>
    <w:rsid w:val="00174A9E"/>
    <w:rsid w:val="00177047"/>
    <w:rsid w:val="00177300"/>
    <w:rsid w:val="001779C2"/>
    <w:rsid w:val="00183C0F"/>
    <w:rsid w:val="001979E6"/>
    <w:rsid w:val="001A1BB7"/>
    <w:rsid w:val="001A56D0"/>
    <w:rsid w:val="001A5BDD"/>
    <w:rsid w:val="001B19DB"/>
    <w:rsid w:val="001B3663"/>
    <w:rsid w:val="001C4D60"/>
    <w:rsid w:val="001C6CDC"/>
    <w:rsid w:val="001D27A6"/>
    <w:rsid w:val="001E135A"/>
    <w:rsid w:val="001E7B8F"/>
    <w:rsid w:val="002026BE"/>
    <w:rsid w:val="0020382F"/>
    <w:rsid w:val="00206BEE"/>
    <w:rsid w:val="0021093F"/>
    <w:rsid w:val="002127B1"/>
    <w:rsid w:val="00222FD8"/>
    <w:rsid w:val="002231FA"/>
    <w:rsid w:val="002271D2"/>
    <w:rsid w:val="00231EB6"/>
    <w:rsid w:val="00234AC8"/>
    <w:rsid w:val="00234E8D"/>
    <w:rsid w:val="00235A6D"/>
    <w:rsid w:val="00250E34"/>
    <w:rsid w:val="00253148"/>
    <w:rsid w:val="00256C2D"/>
    <w:rsid w:val="00256E95"/>
    <w:rsid w:val="00264BF5"/>
    <w:rsid w:val="00267034"/>
    <w:rsid w:val="00272876"/>
    <w:rsid w:val="00287127"/>
    <w:rsid w:val="00290FA1"/>
    <w:rsid w:val="00291684"/>
    <w:rsid w:val="00292B70"/>
    <w:rsid w:val="002958AC"/>
    <w:rsid w:val="002A1F68"/>
    <w:rsid w:val="002B3B2F"/>
    <w:rsid w:val="002B4DBE"/>
    <w:rsid w:val="002B5F6D"/>
    <w:rsid w:val="002C0A01"/>
    <w:rsid w:val="002C3DA1"/>
    <w:rsid w:val="002C4DEE"/>
    <w:rsid w:val="002C5D86"/>
    <w:rsid w:val="002D44FD"/>
    <w:rsid w:val="002E4FFC"/>
    <w:rsid w:val="00302FC3"/>
    <w:rsid w:val="003061FB"/>
    <w:rsid w:val="00312BBD"/>
    <w:rsid w:val="003134FC"/>
    <w:rsid w:val="003162B3"/>
    <w:rsid w:val="00317815"/>
    <w:rsid w:val="0033170B"/>
    <w:rsid w:val="00331B9E"/>
    <w:rsid w:val="0033424E"/>
    <w:rsid w:val="00335AE4"/>
    <w:rsid w:val="0033666A"/>
    <w:rsid w:val="00342BC3"/>
    <w:rsid w:val="003517B7"/>
    <w:rsid w:val="003645BA"/>
    <w:rsid w:val="00364845"/>
    <w:rsid w:val="0036529C"/>
    <w:rsid w:val="00366664"/>
    <w:rsid w:val="0037156C"/>
    <w:rsid w:val="00374DAB"/>
    <w:rsid w:val="00381B0F"/>
    <w:rsid w:val="0038256C"/>
    <w:rsid w:val="00383121"/>
    <w:rsid w:val="0039238E"/>
    <w:rsid w:val="00397D29"/>
    <w:rsid w:val="003A5AE3"/>
    <w:rsid w:val="003B2CFA"/>
    <w:rsid w:val="003B381F"/>
    <w:rsid w:val="003B5B29"/>
    <w:rsid w:val="003C147B"/>
    <w:rsid w:val="003D1417"/>
    <w:rsid w:val="003D5231"/>
    <w:rsid w:val="003D7027"/>
    <w:rsid w:val="003D74E4"/>
    <w:rsid w:val="003E6412"/>
    <w:rsid w:val="003E7894"/>
    <w:rsid w:val="003F6AEB"/>
    <w:rsid w:val="00413A36"/>
    <w:rsid w:val="004217BE"/>
    <w:rsid w:val="00424F16"/>
    <w:rsid w:val="00425D06"/>
    <w:rsid w:val="00440D4F"/>
    <w:rsid w:val="004463B4"/>
    <w:rsid w:val="004554B1"/>
    <w:rsid w:val="00456627"/>
    <w:rsid w:val="00456E2F"/>
    <w:rsid w:val="00460560"/>
    <w:rsid w:val="00482DDE"/>
    <w:rsid w:val="004875AF"/>
    <w:rsid w:val="00494247"/>
    <w:rsid w:val="00496184"/>
    <w:rsid w:val="004B3000"/>
    <w:rsid w:val="004B32A9"/>
    <w:rsid w:val="004B3CD0"/>
    <w:rsid w:val="004B5206"/>
    <w:rsid w:val="004B5388"/>
    <w:rsid w:val="004B587E"/>
    <w:rsid w:val="004C1FF9"/>
    <w:rsid w:val="004C7749"/>
    <w:rsid w:val="004D0484"/>
    <w:rsid w:val="004D6CA9"/>
    <w:rsid w:val="004D7CB9"/>
    <w:rsid w:val="004E1E92"/>
    <w:rsid w:val="004F4E1D"/>
    <w:rsid w:val="00502650"/>
    <w:rsid w:val="00503C0E"/>
    <w:rsid w:val="005046F0"/>
    <w:rsid w:val="00506B3F"/>
    <w:rsid w:val="00520737"/>
    <w:rsid w:val="005317E1"/>
    <w:rsid w:val="00531C98"/>
    <w:rsid w:val="005353B7"/>
    <w:rsid w:val="00535BFE"/>
    <w:rsid w:val="00541024"/>
    <w:rsid w:val="005453BF"/>
    <w:rsid w:val="00556D44"/>
    <w:rsid w:val="0056465A"/>
    <w:rsid w:val="00564B93"/>
    <w:rsid w:val="00572E5C"/>
    <w:rsid w:val="005A08E3"/>
    <w:rsid w:val="005A64C5"/>
    <w:rsid w:val="005C4A56"/>
    <w:rsid w:val="005D11A4"/>
    <w:rsid w:val="005D35A1"/>
    <w:rsid w:val="005E17E2"/>
    <w:rsid w:val="005E3602"/>
    <w:rsid w:val="005E6BE8"/>
    <w:rsid w:val="005F2061"/>
    <w:rsid w:val="005F3A7E"/>
    <w:rsid w:val="00607351"/>
    <w:rsid w:val="00610BAF"/>
    <w:rsid w:val="0062217A"/>
    <w:rsid w:val="0062670B"/>
    <w:rsid w:val="00626D72"/>
    <w:rsid w:val="00631AF9"/>
    <w:rsid w:val="00636000"/>
    <w:rsid w:val="00642D85"/>
    <w:rsid w:val="0064334E"/>
    <w:rsid w:val="00644888"/>
    <w:rsid w:val="00644C3D"/>
    <w:rsid w:val="00650B39"/>
    <w:rsid w:val="00650CB5"/>
    <w:rsid w:val="00651DBA"/>
    <w:rsid w:val="0065461C"/>
    <w:rsid w:val="006562AA"/>
    <w:rsid w:val="00656C98"/>
    <w:rsid w:val="0065729E"/>
    <w:rsid w:val="00657424"/>
    <w:rsid w:val="00657BFB"/>
    <w:rsid w:val="00657CB1"/>
    <w:rsid w:val="00657F3E"/>
    <w:rsid w:val="00661A90"/>
    <w:rsid w:val="006638F0"/>
    <w:rsid w:val="00676A33"/>
    <w:rsid w:val="00676B85"/>
    <w:rsid w:val="00683FB0"/>
    <w:rsid w:val="00684665"/>
    <w:rsid w:val="0068484C"/>
    <w:rsid w:val="006A7D24"/>
    <w:rsid w:val="006B0594"/>
    <w:rsid w:val="006B259E"/>
    <w:rsid w:val="006B461B"/>
    <w:rsid w:val="006B6845"/>
    <w:rsid w:val="006C12B1"/>
    <w:rsid w:val="006D0F30"/>
    <w:rsid w:val="006D1517"/>
    <w:rsid w:val="006E03A4"/>
    <w:rsid w:val="006E3A8F"/>
    <w:rsid w:val="006F30E0"/>
    <w:rsid w:val="006F7DF7"/>
    <w:rsid w:val="00701045"/>
    <w:rsid w:val="00704405"/>
    <w:rsid w:val="00704540"/>
    <w:rsid w:val="00705C90"/>
    <w:rsid w:val="00707831"/>
    <w:rsid w:val="00707B97"/>
    <w:rsid w:val="007133E9"/>
    <w:rsid w:val="0072204D"/>
    <w:rsid w:val="00724EB0"/>
    <w:rsid w:val="00727F06"/>
    <w:rsid w:val="007425D7"/>
    <w:rsid w:val="00760695"/>
    <w:rsid w:val="00772457"/>
    <w:rsid w:val="007818D3"/>
    <w:rsid w:val="00784137"/>
    <w:rsid w:val="00796F85"/>
    <w:rsid w:val="0079701D"/>
    <w:rsid w:val="00797E9B"/>
    <w:rsid w:val="007A1DF9"/>
    <w:rsid w:val="007A76D9"/>
    <w:rsid w:val="007B0D49"/>
    <w:rsid w:val="007B269A"/>
    <w:rsid w:val="007C1FFA"/>
    <w:rsid w:val="007C2BEA"/>
    <w:rsid w:val="007C4DA4"/>
    <w:rsid w:val="007C5F38"/>
    <w:rsid w:val="007D6C5F"/>
    <w:rsid w:val="007E6BAB"/>
    <w:rsid w:val="007E7106"/>
    <w:rsid w:val="007F1A2A"/>
    <w:rsid w:val="007F29A9"/>
    <w:rsid w:val="00805F07"/>
    <w:rsid w:val="00806504"/>
    <w:rsid w:val="0081042C"/>
    <w:rsid w:val="0081054C"/>
    <w:rsid w:val="008172E0"/>
    <w:rsid w:val="00820F9F"/>
    <w:rsid w:val="0082134B"/>
    <w:rsid w:val="008236D9"/>
    <w:rsid w:val="00825B3B"/>
    <w:rsid w:val="008352D2"/>
    <w:rsid w:val="008371B6"/>
    <w:rsid w:val="0083775D"/>
    <w:rsid w:val="00843A46"/>
    <w:rsid w:val="008441C5"/>
    <w:rsid w:val="00844C40"/>
    <w:rsid w:val="00850894"/>
    <w:rsid w:val="00853BEB"/>
    <w:rsid w:val="00865492"/>
    <w:rsid w:val="00867076"/>
    <w:rsid w:val="0087234E"/>
    <w:rsid w:val="00872936"/>
    <w:rsid w:val="0089302D"/>
    <w:rsid w:val="00894147"/>
    <w:rsid w:val="008956F7"/>
    <w:rsid w:val="0089725B"/>
    <w:rsid w:val="008A468B"/>
    <w:rsid w:val="008A6147"/>
    <w:rsid w:val="008B7F2C"/>
    <w:rsid w:val="008D05C1"/>
    <w:rsid w:val="008E7BB2"/>
    <w:rsid w:val="00901D25"/>
    <w:rsid w:val="00914370"/>
    <w:rsid w:val="00920C86"/>
    <w:rsid w:val="00924408"/>
    <w:rsid w:val="00932D71"/>
    <w:rsid w:val="00933268"/>
    <w:rsid w:val="00935537"/>
    <w:rsid w:val="00937969"/>
    <w:rsid w:val="00940963"/>
    <w:rsid w:val="00945CD6"/>
    <w:rsid w:val="009469FA"/>
    <w:rsid w:val="009553D5"/>
    <w:rsid w:val="00962C92"/>
    <w:rsid w:val="009640BF"/>
    <w:rsid w:val="009648CE"/>
    <w:rsid w:val="00970298"/>
    <w:rsid w:val="00977A0F"/>
    <w:rsid w:val="009827DB"/>
    <w:rsid w:val="00987F5A"/>
    <w:rsid w:val="00991388"/>
    <w:rsid w:val="00992B57"/>
    <w:rsid w:val="00995B49"/>
    <w:rsid w:val="009A2557"/>
    <w:rsid w:val="009A3967"/>
    <w:rsid w:val="009B0296"/>
    <w:rsid w:val="009B77DC"/>
    <w:rsid w:val="009D356D"/>
    <w:rsid w:val="009D46BA"/>
    <w:rsid w:val="009D47D2"/>
    <w:rsid w:val="009D535A"/>
    <w:rsid w:val="009D7886"/>
    <w:rsid w:val="009D7CD1"/>
    <w:rsid w:val="009E632D"/>
    <w:rsid w:val="009E6F4E"/>
    <w:rsid w:val="009F1FF5"/>
    <w:rsid w:val="009F5859"/>
    <w:rsid w:val="009F5938"/>
    <w:rsid w:val="009F5A99"/>
    <w:rsid w:val="00A027FE"/>
    <w:rsid w:val="00A0534E"/>
    <w:rsid w:val="00A058DB"/>
    <w:rsid w:val="00A07B08"/>
    <w:rsid w:val="00A1163A"/>
    <w:rsid w:val="00A13091"/>
    <w:rsid w:val="00A165FF"/>
    <w:rsid w:val="00A277F2"/>
    <w:rsid w:val="00A301F9"/>
    <w:rsid w:val="00A313B2"/>
    <w:rsid w:val="00A35E23"/>
    <w:rsid w:val="00A410F9"/>
    <w:rsid w:val="00A4425C"/>
    <w:rsid w:val="00A45AB8"/>
    <w:rsid w:val="00A4694B"/>
    <w:rsid w:val="00A602E6"/>
    <w:rsid w:val="00A605F9"/>
    <w:rsid w:val="00A60B44"/>
    <w:rsid w:val="00A6108F"/>
    <w:rsid w:val="00A6415F"/>
    <w:rsid w:val="00A64DB4"/>
    <w:rsid w:val="00A84018"/>
    <w:rsid w:val="00AA29C0"/>
    <w:rsid w:val="00AB0689"/>
    <w:rsid w:val="00AB3FF9"/>
    <w:rsid w:val="00AC4338"/>
    <w:rsid w:val="00AC4681"/>
    <w:rsid w:val="00AD1558"/>
    <w:rsid w:val="00AD1F6B"/>
    <w:rsid w:val="00AD49B6"/>
    <w:rsid w:val="00AD4AD8"/>
    <w:rsid w:val="00AD670D"/>
    <w:rsid w:val="00AE23B2"/>
    <w:rsid w:val="00AF06BE"/>
    <w:rsid w:val="00AF7DEB"/>
    <w:rsid w:val="00B01BAD"/>
    <w:rsid w:val="00B02243"/>
    <w:rsid w:val="00B02489"/>
    <w:rsid w:val="00B0633E"/>
    <w:rsid w:val="00B101D1"/>
    <w:rsid w:val="00B10200"/>
    <w:rsid w:val="00B11CE5"/>
    <w:rsid w:val="00B14396"/>
    <w:rsid w:val="00B1583E"/>
    <w:rsid w:val="00B23550"/>
    <w:rsid w:val="00B470F4"/>
    <w:rsid w:val="00B66D0D"/>
    <w:rsid w:val="00B67DAD"/>
    <w:rsid w:val="00B73D47"/>
    <w:rsid w:val="00B821E7"/>
    <w:rsid w:val="00B91E16"/>
    <w:rsid w:val="00B96A20"/>
    <w:rsid w:val="00B97038"/>
    <w:rsid w:val="00B976C2"/>
    <w:rsid w:val="00BA0C9F"/>
    <w:rsid w:val="00BA1DEF"/>
    <w:rsid w:val="00BA5680"/>
    <w:rsid w:val="00BB3E44"/>
    <w:rsid w:val="00BB49BF"/>
    <w:rsid w:val="00BC2E6A"/>
    <w:rsid w:val="00BC59FA"/>
    <w:rsid w:val="00BD1CF3"/>
    <w:rsid w:val="00BD2E14"/>
    <w:rsid w:val="00BD31E5"/>
    <w:rsid w:val="00BD4CFB"/>
    <w:rsid w:val="00BE17F5"/>
    <w:rsid w:val="00BE5BEF"/>
    <w:rsid w:val="00BF35C0"/>
    <w:rsid w:val="00BF4460"/>
    <w:rsid w:val="00C00C7E"/>
    <w:rsid w:val="00C117AB"/>
    <w:rsid w:val="00C11BFA"/>
    <w:rsid w:val="00C12B95"/>
    <w:rsid w:val="00C15709"/>
    <w:rsid w:val="00C34179"/>
    <w:rsid w:val="00C43557"/>
    <w:rsid w:val="00C46634"/>
    <w:rsid w:val="00C5144E"/>
    <w:rsid w:val="00C519E1"/>
    <w:rsid w:val="00C55CC1"/>
    <w:rsid w:val="00C56EA9"/>
    <w:rsid w:val="00C5759E"/>
    <w:rsid w:val="00C62CB0"/>
    <w:rsid w:val="00C664A5"/>
    <w:rsid w:val="00C74C79"/>
    <w:rsid w:val="00C74F2B"/>
    <w:rsid w:val="00C8322A"/>
    <w:rsid w:val="00C84B98"/>
    <w:rsid w:val="00C9262F"/>
    <w:rsid w:val="00C94852"/>
    <w:rsid w:val="00C9659E"/>
    <w:rsid w:val="00C97EF9"/>
    <w:rsid w:val="00CA59CA"/>
    <w:rsid w:val="00CA5C6F"/>
    <w:rsid w:val="00CB17F4"/>
    <w:rsid w:val="00CC75A1"/>
    <w:rsid w:val="00CD1845"/>
    <w:rsid w:val="00CD5767"/>
    <w:rsid w:val="00CE0569"/>
    <w:rsid w:val="00CE5B2B"/>
    <w:rsid w:val="00CE6EFF"/>
    <w:rsid w:val="00D012A6"/>
    <w:rsid w:val="00D06D5F"/>
    <w:rsid w:val="00D10EB2"/>
    <w:rsid w:val="00D134E5"/>
    <w:rsid w:val="00D179DF"/>
    <w:rsid w:val="00D20113"/>
    <w:rsid w:val="00D20477"/>
    <w:rsid w:val="00D22DE9"/>
    <w:rsid w:val="00D432A0"/>
    <w:rsid w:val="00D44547"/>
    <w:rsid w:val="00D44CBC"/>
    <w:rsid w:val="00D51315"/>
    <w:rsid w:val="00D519D9"/>
    <w:rsid w:val="00D53C44"/>
    <w:rsid w:val="00D55922"/>
    <w:rsid w:val="00D64A01"/>
    <w:rsid w:val="00D765F8"/>
    <w:rsid w:val="00D850B6"/>
    <w:rsid w:val="00D86493"/>
    <w:rsid w:val="00D923CB"/>
    <w:rsid w:val="00D97629"/>
    <w:rsid w:val="00DA746C"/>
    <w:rsid w:val="00DA78D5"/>
    <w:rsid w:val="00DB7DFA"/>
    <w:rsid w:val="00DC0338"/>
    <w:rsid w:val="00DC4D60"/>
    <w:rsid w:val="00DC6CFF"/>
    <w:rsid w:val="00DE07FE"/>
    <w:rsid w:val="00DE32EB"/>
    <w:rsid w:val="00E0266B"/>
    <w:rsid w:val="00E05A0A"/>
    <w:rsid w:val="00E068F2"/>
    <w:rsid w:val="00E157D8"/>
    <w:rsid w:val="00E23C0E"/>
    <w:rsid w:val="00E3576D"/>
    <w:rsid w:val="00E41D46"/>
    <w:rsid w:val="00E41E57"/>
    <w:rsid w:val="00E612A7"/>
    <w:rsid w:val="00E62C22"/>
    <w:rsid w:val="00E701E0"/>
    <w:rsid w:val="00E7044A"/>
    <w:rsid w:val="00E714D5"/>
    <w:rsid w:val="00E72E9A"/>
    <w:rsid w:val="00E75B7B"/>
    <w:rsid w:val="00E95EB6"/>
    <w:rsid w:val="00E97E13"/>
    <w:rsid w:val="00EA15E7"/>
    <w:rsid w:val="00EA5804"/>
    <w:rsid w:val="00EA6927"/>
    <w:rsid w:val="00EB487C"/>
    <w:rsid w:val="00EB5B54"/>
    <w:rsid w:val="00EC329F"/>
    <w:rsid w:val="00EC4B70"/>
    <w:rsid w:val="00EC6101"/>
    <w:rsid w:val="00ED3392"/>
    <w:rsid w:val="00ED5851"/>
    <w:rsid w:val="00EE3465"/>
    <w:rsid w:val="00EE402B"/>
    <w:rsid w:val="00EE7AC5"/>
    <w:rsid w:val="00EF08D3"/>
    <w:rsid w:val="00EF16D5"/>
    <w:rsid w:val="00F00984"/>
    <w:rsid w:val="00F0509D"/>
    <w:rsid w:val="00F13EA4"/>
    <w:rsid w:val="00F20419"/>
    <w:rsid w:val="00F242F2"/>
    <w:rsid w:val="00F30B78"/>
    <w:rsid w:val="00F33CCA"/>
    <w:rsid w:val="00F40606"/>
    <w:rsid w:val="00F40DFE"/>
    <w:rsid w:val="00F43B4B"/>
    <w:rsid w:val="00F4438A"/>
    <w:rsid w:val="00F45BDC"/>
    <w:rsid w:val="00F46B6C"/>
    <w:rsid w:val="00F46DB9"/>
    <w:rsid w:val="00F51BE5"/>
    <w:rsid w:val="00F5214A"/>
    <w:rsid w:val="00F56220"/>
    <w:rsid w:val="00F562D1"/>
    <w:rsid w:val="00F57BFF"/>
    <w:rsid w:val="00F62AE0"/>
    <w:rsid w:val="00F65511"/>
    <w:rsid w:val="00F704A8"/>
    <w:rsid w:val="00F706F8"/>
    <w:rsid w:val="00F73374"/>
    <w:rsid w:val="00F86C03"/>
    <w:rsid w:val="00F90F41"/>
    <w:rsid w:val="00F95F02"/>
    <w:rsid w:val="00FA00DA"/>
    <w:rsid w:val="00FA01A3"/>
    <w:rsid w:val="00FA0262"/>
    <w:rsid w:val="00FA78A1"/>
    <w:rsid w:val="00FC04C5"/>
    <w:rsid w:val="00FD050D"/>
    <w:rsid w:val="00FD1B70"/>
    <w:rsid w:val="00FD2808"/>
    <w:rsid w:val="00FD7600"/>
    <w:rsid w:val="00FE1C8E"/>
    <w:rsid w:val="00FE1EDA"/>
    <w:rsid w:val="00FE4449"/>
    <w:rsid w:val="00FE4D18"/>
    <w:rsid w:val="00FF0E91"/>
    <w:rsid w:val="00FF30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6" type="connector" idref="#Straight Arrow Connector 5"/>
        <o:r id="V:Rule7" type="connector" idref="#AutoShape 2"/>
        <o:r id="V:Rule8" type="connector" idref="#Straight Arrow Connector 9"/>
        <o:r id="V:Rule9" type="connector" idref="#Straight Arrow Connector 3"/>
        <o:r id="V:Rule10" type="connector" idref="#Straight Arrow Connector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2958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704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Heading2Char">
    <w:name w:val="Heading 2 Char"/>
    <w:basedOn w:val="DefaultParagraphFont"/>
    <w:link w:val="Heading2"/>
    <w:semiHidden/>
    <w:rsid w:val="002958AC"/>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2958AC"/>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2958AC"/>
    <w:rPr>
      <w:rFonts w:asciiTheme="minorHAnsi" w:eastAsiaTheme="minorHAnsi" w:hAnsiTheme="minorHAnsi" w:cstheme="minorBidi"/>
      <w:sz w:val="22"/>
      <w:szCs w:val="22"/>
    </w:rPr>
  </w:style>
  <w:style w:type="character" w:customStyle="1" w:styleId="ColorfulList-Accent1Char">
    <w:name w:val="Colorful List - Accent 1 Char"/>
    <w:link w:val="ColorfulList-Accent11"/>
    <w:uiPriority w:val="34"/>
    <w:locked/>
    <w:rsid w:val="002958AC"/>
    <w:rPr>
      <w:sz w:val="24"/>
      <w:szCs w:val="24"/>
    </w:rPr>
  </w:style>
  <w:style w:type="paragraph" w:customStyle="1" w:styleId="instru2">
    <w:name w:val="instru 2"/>
    <w:basedOn w:val="Normal"/>
    <w:rsid w:val="002958AC"/>
    <w:pPr>
      <w:widowControl w:val="0"/>
      <w:tabs>
        <w:tab w:val="left" w:pos="360"/>
      </w:tabs>
      <w:ind w:left="432" w:firstLine="576"/>
    </w:pPr>
    <w:rPr>
      <w:szCs w:val="20"/>
    </w:rPr>
  </w:style>
  <w:style w:type="table" w:styleId="TableGrid">
    <w:name w:val="Table Grid"/>
    <w:basedOn w:val="TableNormal"/>
    <w:uiPriority w:val="59"/>
    <w:rsid w:val="002958AC"/>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40B0D"/>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40B0D"/>
    <w:rPr>
      <w:rFonts w:ascii="Calibri" w:eastAsiaTheme="minorHAnsi" w:hAnsi="Calibri" w:cs="Consolas"/>
      <w:sz w:val="22"/>
      <w:szCs w:val="21"/>
    </w:rPr>
  </w:style>
  <w:style w:type="paragraph" w:styleId="Revision">
    <w:name w:val="Revision"/>
    <w:hidden/>
    <w:uiPriority w:val="99"/>
    <w:semiHidden/>
    <w:rsid w:val="00B73D47"/>
    <w:rPr>
      <w:sz w:val="24"/>
      <w:szCs w:val="24"/>
    </w:rPr>
  </w:style>
  <w:style w:type="character" w:customStyle="1" w:styleId="Heading3Char">
    <w:name w:val="Heading 3 Char"/>
    <w:basedOn w:val="DefaultParagraphFont"/>
    <w:link w:val="Heading3"/>
    <w:semiHidden/>
    <w:rsid w:val="00E7044A"/>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504"/>
    <w:rPr>
      <w:sz w:val="24"/>
      <w:szCs w:val="24"/>
    </w:rPr>
  </w:style>
  <w:style w:type="paragraph" w:styleId="Heading1">
    <w:name w:val="heading 1"/>
    <w:basedOn w:val="Normal"/>
    <w:next w:val="Normal"/>
    <w:link w:val="Heading1Char"/>
    <w:qFormat/>
    <w:rsid w:val="00BA56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2958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7044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paragraph" w:customStyle="1" w:styleId="ColorfulList-Accent11">
    <w:name w:val="Colorful List - Accent 11"/>
    <w:basedOn w:val="Normal"/>
    <w:link w:val="ColorfulList-Accent1Char"/>
    <w:uiPriority w:val="34"/>
    <w:qFormat/>
    <w:rsid w:val="00DA746C"/>
    <w:pPr>
      <w:ind w:left="720"/>
      <w:contextualSpacing/>
    </w:pPr>
  </w:style>
  <w:style w:type="paragraph" w:customStyle="1" w:styleId="ColorfulShading-Accent11">
    <w:name w:val="Colorful Shading - Accent 11"/>
    <w:hidden/>
    <w:uiPriority w:val="71"/>
    <w:rsid w:val="00535BFE"/>
    <w:rPr>
      <w:sz w:val="24"/>
      <w:szCs w:val="24"/>
    </w:rPr>
  </w:style>
  <w:style w:type="character" w:customStyle="1" w:styleId="Heading1Char">
    <w:name w:val="Heading 1 Char"/>
    <w:link w:val="Heading1"/>
    <w:rsid w:val="00BA568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27F0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727F06"/>
    <w:pPr>
      <w:tabs>
        <w:tab w:val="left" w:pos="1080"/>
        <w:tab w:val="right" w:leader="dot" w:pos="9350"/>
      </w:tabs>
      <w:spacing w:line="480" w:lineRule="auto"/>
      <w:ind w:left="1080" w:hanging="360"/>
    </w:pPr>
  </w:style>
  <w:style w:type="paragraph" w:styleId="ListParagraph">
    <w:name w:val="List Paragraph"/>
    <w:basedOn w:val="Normal"/>
    <w:link w:val="ListParagraphChar"/>
    <w:uiPriority w:val="34"/>
    <w:qFormat/>
    <w:rsid w:val="00A058DB"/>
    <w:pPr>
      <w:ind w:left="720"/>
      <w:contextualSpacing/>
    </w:pPr>
  </w:style>
  <w:style w:type="character" w:customStyle="1" w:styleId="ListParagraphChar">
    <w:name w:val="List Paragraph Char"/>
    <w:link w:val="ListParagraph"/>
    <w:uiPriority w:val="34"/>
    <w:locked/>
    <w:rsid w:val="00A058DB"/>
    <w:rPr>
      <w:sz w:val="24"/>
      <w:szCs w:val="24"/>
    </w:rPr>
  </w:style>
  <w:style w:type="character" w:customStyle="1" w:styleId="Heading2Char">
    <w:name w:val="Heading 2 Char"/>
    <w:basedOn w:val="DefaultParagraphFont"/>
    <w:link w:val="Heading2"/>
    <w:semiHidden/>
    <w:rsid w:val="002958AC"/>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2958AC"/>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2958AC"/>
    <w:rPr>
      <w:rFonts w:asciiTheme="minorHAnsi" w:eastAsiaTheme="minorHAnsi" w:hAnsiTheme="minorHAnsi" w:cstheme="minorBidi"/>
      <w:sz w:val="22"/>
      <w:szCs w:val="22"/>
    </w:rPr>
  </w:style>
  <w:style w:type="character" w:customStyle="1" w:styleId="ColorfulList-Accent1Char">
    <w:name w:val="Colorful List - Accent 1 Char"/>
    <w:link w:val="ColorfulList-Accent11"/>
    <w:uiPriority w:val="34"/>
    <w:locked/>
    <w:rsid w:val="002958AC"/>
    <w:rPr>
      <w:sz w:val="24"/>
      <w:szCs w:val="24"/>
    </w:rPr>
  </w:style>
  <w:style w:type="paragraph" w:customStyle="1" w:styleId="instru2">
    <w:name w:val="instru 2"/>
    <w:basedOn w:val="Normal"/>
    <w:rsid w:val="002958AC"/>
    <w:pPr>
      <w:widowControl w:val="0"/>
      <w:tabs>
        <w:tab w:val="left" w:pos="360"/>
      </w:tabs>
      <w:ind w:left="432" w:firstLine="576"/>
    </w:pPr>
    <w:rPr>
      <w:szCs w:val="20"/>
    </w:rPr>
  </w:style>
  <w:style w:type="table" w:styleId="TableGrid">
    <w:name w:val="Table Grid"/>
    <w:basedOn w:val="TableNormal"/>
    <w:uiPriority w:val="59"/>
    <w:rsid w:val="002958AC"/>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40B0D"/>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40B0D"/>
    <w:rPr>
      <w:rFonts w:ascii="Calibri" w:eastAsiaTheme="minorHAnsi" w:hAnsi="Calibri" w:cs="Consolas"/>
      <w:sz w:val="22"/>
      <w:szCs w:val="21"/>
    </w:rPr>
  </w:style>
  <w:style w:type="paragraph" w:styleId="Revision">
    <w:name w:val="Revision"/>
    <w:hidden/>
    <w:uiPriority w:val="99"/>
    <w:semiHidden/>
    <w:rsid w:val="00B73D47"/>
    <w:rPr>
      <w:sz w:val="24"/>
      <w:szCs w:val="24"/>
    </w:rPr>
  </w:style>
  <w:style w:type="character" w:customStyle="1" w:styleId="Heading3Char">
    <w:name w:val="Heading 3 Char"/>
    <w:basedOn w:val="DefaultParagraphFont"/>
    <w:link w:val="Heading3"/>
    <w:semiHidden/>
    <w:rsid w:val="00E7044A"/>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2464">
      <w:bodyDiv w:val="1"/>
      <w:marLeft w:val="0"/>
      <w:marRight w:val="0"/>
      <w:marTop w:val="0"/>
      <w:marBottom w:val="0"/>
      <w:divBdr>
        <w:top w:val="none" w:sz="0" w:space="0" w:color="auto"/>
        <w:left w:val="none" w:sz="0" w:space="0" w:color="auto"/>
        <w:bottom w:val="none" w:sz="0" w:space="0" w:color="auto"/>
        <w:right w:val="none" w:sz="0" w:space="0" w:color="auto"/>
      </w:divBdr>
    </w:div>
    <w:div w:id="957643231">
      <w:bodyDiv w:val="1"/>
      <w:marLeft w:val="0"/>
      <w:marRight w:val="0"/>
      <w:marTop w:val="0"/>
      <w:marBottom w:val="0"/>
      <w:divBdr>
        <w:top w:val="none" w:sz="0" w:space="0" w:color="auto"/>
        <w:left w:val="none" w:sz="0" w:space="0" w:color="auto"/>
        <w:bottom w:val="none" w:sz="0" w:space="0" w:color="auto"/>
        <w:right w:val="none" w:sz="0" w:space="0" w:color="auto"/>
      </w:divBdr>
    </w:div>
    <w:div w:id="16404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064-89A6-4E67-9B9B-CB9B35A16FD7}">
  <ds:schemaRefs>
    <ds:schemaRef ds:uri="http://schemas.openxmlformats.org/officeDocument/2006/bibliography"/>
  </ds:schemaRefs>
</ds:datastoreItem>
</file>

<file path=customXml/itemProps2.xml><?xml version="1.0" encoding="utf-8"?>
<ds:datastoreItem xmlns:ds="http://schemas.openxmlformats.org/officeDocument/2006/customXml" ds:itemID="{D7894F64-13E4-144B-8C6A-6FC28FAF9D7E}">
  <ds:schemaRefs>
    <ds:schemaRef ds:uri="http://schemas.openxmlformats.org/officeDocument/2006/bibliography"/>
  </ds:schemaRefs>
</ds:datastoreItem>
</file>

<file path=customXml/itemProps3.xml><?xml version="1.0" encoding="utf-8"?>
<ds:datastoreItem xmlns:ds="http://schemas.openxmlformats.org/officeDocument/2006/customXml" ds:itemID="{55F78C29-C0DF-4B7D-AC26-E76C4816B4E9}">
  <ds:schemaRefs>
    <ds:schemaRef ds:uri="http://schemas.openxmlformats.org/officeDocument/2006/bibliography"/>
  </ds:schemaRefs>
</ds:datastoreItem>
</file>

<file path=customXml/itemProps4.xml><?xml version="1.0" encoding="utf-8"?>
<ds:datastoreItem xmlns:ds="http://schemas.openxmlformats.org/officeDocument/2006/customXml" ds:itemID="{8157DB66-F02A-43A8-8760-06D3143E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10348</Words>
  <Characters>58987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69197</CharactersWithSpaces>
  <SharedDoc>false</SharedDoc>
  <HLinks>
    <vt:vector size="30" baseType="variant">
      <vt:variant>
        <vt:i4>1441845</vt:i4>
      </vt:variant>
      <vt:variant>
        <vt:i4>26</vt:i4>
      </vt:variant>
      <vt:variant>
        <vt:i4>0</vt:i4>
      </vt:variant>
      <vt:variant>
        <vt:i4>5</vt:i4>
      </vt:variant>
      <vt:variant>
        <vt:lpwstr/>
      </vt:variant>
      <vt:variant>
        <vt:lpwstr>_Toc347409184</vt:lpwstr>
      </vt:variant>
      <vt:variant>
        <vt:i4>1441845</vt:i4>
      </vt:variant>
      <vt:variant>
        <vt:i4>20</vt:i4>
      </vt:variant>
      <vt:variant>
        <vt:i4>0</vt:i4>
      </vt:variant>
      <vt:variant>
        <vt:i4>5</vt:i4>
      </vt:variant>
      <vt:variant>
        <vt:lpwstr/>
      </vt:variant>
      <vt:variant>
        <vt:lpwstr>_Toc347409183</vt:lpwstr>
      </vt:variant>
      <vt:variant>
        <vt:i4>1441845</vt:i4>
      </vt:variant>
      <vt:variant>
        <vt:i4>14</vt:i4>
      </vt:variant>
      <vt:variant>
        <vt:i4>0</vt:i4>
      </vt:variant>
      <vt:variant>
        <vt:i4>5</vt:i4>
      </vt:variant>
      <vt:variant>
        <vt:lpwstr/>
      </vt:variant>
      <vt:variant>
        <vt:lpwstr>_Toc347409182</vt:lpwstr>
      </vt:variant>
      <vt:variant>
        <vt:i4>1441845</vt:i4>
      </vt:variant>
      <vt:variant>
        <vt:i4>8</vt:i4>
      </vt:variant>
      <vt:variant>
        <vt:i4>0</vt:i4>
      </vt:variant>
      <vt:variant>
        <vt:i4>5</vt:i4>
      </vt:variant>
      <vt:variant>
        <vt:lpwstr/>
      </vt:variant>
      <vt:variant>
        <vt:lpwstr>_Toc347409181</vt:lpwstr>
      </vt:variant>
      <vt:variant>
        <vt:i4>1441845</vt:i4>
      </vt:variant>
      <vt:variant>
        <vt:i4>2</vt:i4>
      </vt:variant>
      <vt:variant>
        <vt:i4>0</vt:i4>
      </vt:variant>
      <vt:variant>
        <vt:i4>5</vt:i4>
      </vt:variant>
      <vt:variant>
        <vt:lpwstr/>
      </vt:variant>
      <vt:variant>
        <vt:lpwstr>_Toc347409180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4</cp:revision>
  <cp:lastPrinted>2013-07-30T00:39:00Z</cp:lastPrinted>
  <dcterms:created xsi:type="dcterms:W3CDTF">2013-12-04T11:50:00Z</dcterms:created>
  <dcterms:modified xsi:type="dcterms:W3CDTF">2013-12-31T17:50:00Z</dcterms:modified>
</cp:coreProperties>
</file>