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4B0" w:rsidRPr="002B34B0" w:rsidRDefault="002B34B0" w:rsidP="002B34B0">
      <w:pPr>
        <w:tabs>
          <w:tab w:val="left" w:pos="432"/>
        </w:tabs>
        <w:spacing w:line="480" w:lineRule="auto"/>
        <w:ind w:firstLine="432"/>
        <w:jc w:val="both"/>
        <w:rPr>
          <w:rFonts w:ascii="Garamond" w:eastAsia="Times New Roman" w:hAnsi="Garamond" w:cs="Times New Roman"/>
          <w:sz w:val="24"/>
          <w:szCs w:val="24"/>
        </w:rPr>
      </w:pPr>
    </w:p>
    <w:p w:rsidR="002B34B0" w:rsidRPr="002B34B0" w:rsidRDefault="002B34B0" w:rsidP="002B34B0">
      <w:pPr>
        <w:tabs>
          <w:tab w:val="left" w:pos="432"/>
        </w:tabs>
        <w:spacing w:line="480" w:lineRule="auto"/>
        <w:jc w:val="center"/>
        <w:outlineLvl w:val="7"/>
        <w:rPr>
          <w:rFonts w:ascii="Arial" w:eastAsia="Times New Roman" w:hAnsi="Arial" w:cs="Times New Roman"/>
          <w:b/>
          <w:caps/>
          <w:sz w:val="24"/>
          <w:szCs w:val="24"/>
        </w:rPr>
      </w:pPr>
    </w:p>
    <w:p w:rsidR="002B34B0" w:rsidRPr="002B34B0" w:rsidRDefault="002B34B0" w:rsidP="002B34B0">
      <w:pPr>
        <w:tabs>
          <w:tab w:val="left" w:pos="432"/>
        </w:tabs>
        <w:spacing w:line="480" w:lineRule="auto"/>
        <w:jc w:val="center"/>
        <w:outlineLvl w:val="7"/>
        <w:rPr>
          <w:rFonts w:ascii="Arial" w:eastAsia="Times New Roman" w:hAnsi="Arial" w:cs="Times New Roman"/>
          <w:b/>
          <w:caps/>
          <w:sz w:val="24"/>
          <w:szCs w:val="24"/>
        </w:rPr>
      </w:pPr>
      <w:bookmarkStart w:id="0" w:name="_Toc351111835"/>
      <w:bookmarkStart w:id="1" w:name="_Toc351111834"/>
      <w:r w:rsidRPr="002B34B0">
        <w:rPr>
          <w:rFonts w:ascii="Arial" w:eastAsia="Times New Roman" w:hAnsi="Arial" w:cs="Times New Roman"/>
          <w:b/>
          <w:caps/>
          <w:sz w:val="24"/>
          <w:szCs w:val="24"/>
        </w:rPr>
        <w:t>SUPPORTING STATEMENT</w:t>
      </w:r>
      <w:bookmarkEnd w:id="0"/>
    </w:p>
    <w:p w:rsidR="002B34B0" w:rsidRPr="002B34B0" w:rsidRDefault="002B34B0" w:rsidP="002B34B0">
      <w:pPr>
        <w:tabs>
          <w:tab w:val="left" w:pos="432"/>
        </w:tabs>
        <w:spacing w:line="480" w:lineRule="auto"/>
        <w:jc w:val="center"/>
        <w:outlineLvl w:val="7"/>
        <w:rPr>
          <w:rFonts w:ascii="Arial" w:eastAsia="Times New Roman" w:hAnsi="Arial" w:cs="Times New Roman"/>
          <w:b/>
          <w:caps/>
          <w:sz w:val="24"/>
          <w:szCs w:val="24"/>
        </w:rPr>
      </w:pPr>
      <w:r w:rsidRPr="002B34B0">
        <w:rPr>
          <w:rFonts w:ascii="Arial" w:eastAsia="Times New Roman" w:hAnsi="Arial" w:cs="Times New Roman"/>
          <w:b/>
          <w:caps/>
          <w:sz w:val="24"/>
          <w:szCs w:val="24"/>
        </w:rPr>
        <w:t>Part B</w:t>
      </w:r>
      <w:bookmarkEnd w:id="1"/>
    </w:p>
    <w:p w:rsidR="002B34B0" w:rsidRPr="002B34B0" w:rsidRDefault="002B34B0" w:rsidP="002B34B0">
      <w:pPr>
        <w:tabs>
          <w:tab w:val="left" w:pos="432"/>
        </w:tabs>
        <w:spacing w:before="240" w:after="240"/>
        <w:jc w:val="center"/>
        <w:outlineLvl w:val="0"/>
        <w:rPr>
          <w:rFonts w:ascii="Garamond" w:eastAsia="Times New Roman" w:hAnsi="Garamond" w:cs="Arial"/>
          <w:b/>
          <w:caps/>
          <w:sz w:val="28"/>
          <w:szCs w:val="28"/>
        </w:rPr>
      </w:pPr>
    </w:p>
    <w:p w:rsidR="002B34B0" w:rsidRPr="002B34B0" w:rsidRDefault="002B34B0" w:rsidP="002B34B0">
      <w:pPr>
        <w:tabs>
          <w:tab w:val="left" w:pos="432"/>
        </w:tabs>
        <w:spacing w:before="240" w:after="240"/>
        <w:jc w:val="center"/>
        <w:outlineLvl w:val="0"/>
        <w:rPr>
          <w:rFonts w:ascii="Garamond" w:eastAsia="Times New Roman" w:hAnsi="Garamond" w:cs="Arial"/>
          <w:b/>
          <w:caps/>
          <w:sz w:val="28"/>
          <w:szCs w:val="28"/>
        </w:rPr>
      </w:pPr>
    </w:p>
    <w:p w:rsidR="002B34B0" w:rsidRPr="002B34B0" w:rsidRDefault="002B34B0" w:rsidP="002B34B0">
      <w:pPr>
        <w:tabs>
          <w:tab w:val="left" w:pos="432"/>
        </w:tabs>
        <w:spacing w:before="240" w:after="240"/>
        <w:jc w:val="center"/>
        <w:outlineLvl w:val="0"/>
        <w:rPr>
          <w:rFonts w:ascii="Garamond" w:eastAsia="Times New Roman" w:hAnsi="Garamond" w:cs="Arial"/>
          <w:b/>
          <w:caps/>
          <w:sz w:val="28"/>
          <w:szCs w:val="28"/>
        </w:rPr>
      </w:pPr>
      <w:bookmarkStart w:id="2" w:name="_Toc351111836"/>
      <w:r w:rsidRPr="002B34B0">
        <w:rPr>
          <w:rFonts w:ascii="Garamond" w:eastAsia="Times New Roman" w:hAnsi="Garamond" w:cs="Arial"/>
          <w:b/>
          <w:sz w:val="28"/>
          <w:szCs w:val="28"/>
        </w:rPr>
        <w:t>Evaluation of the Children’s Health Insurance Program Reauthorization Act of 2009 (CHIPRA) Quality Demonstration Grant Program</w:t>
      </w:r>
      <w:bookmarkEnd w:id="2"/>
      <w:r w:rsidR="007E1498">
        <w:rPr>
          <w:rFonts w:ascii="Garamond" w:eastAsia="Times New Roman" w:hAnsi="Garamond" w:cs="Arial"/>
          <w:b/>
          <w:sz w:val="28"/>
          <w:szCs w:val="28"/>
        </w:rPr>
        <w:t xml:space="preserve">: </w:t>
      </w:r>
      <w:r w:rsidR="007E1498" w:rsidRPr="007E1498">
        <w:rPr>
          <w:rFonts w:ascii="Garamond" w:eastAsia="Times New Roman" w:hAnsi="Garamond" w:cs="Arial"/>
          <w:b/>
          <w:sz w:val="28"/>
          <w:szCs w:val="28"/>
        </w:rPr>
        <w:t>Survey Data Collection</w:t>
      </w:r>
    </w:p>
    <w:p w:rsidR="002B34B0" w:rsidRPr="002B34B0" w:rsidRDefault="002B34B0" w:rsidP="002B34B0">
      <w:pPr>
        <w:tabs>
          <w:tab w:val="left" w:pos="432"/>
        </w:tabs>
        <w:spacing w:before="240" w:after="240"/>
        <w:jc w:val="center"/>
        <w:outlineLvl w:val="0"/>
        <w:rPr>
          <w:rFonts w:ascii="Garamond" w:eastAsia="Times New Roman" w:hAnsi="Garamond" w:cs="Arial"/>
          <w:b/>
          <w:caps/>
          <w:sz w:val="28"/>
          <w:szCs w:val="28"/>
        </w:rPr>
      </w:pPr>
    </w:p>
    <w:p w:rsidR="002B34B0" w:rsidRPr="002B34B0" w:rsidRDefault="002B34B0" w:rsidP="002B34B0">
      <w:pPr>
        <w:tabs>
          <w:tab w:val="left" w:pos="432"/>
        </w:tabs>
        <w:spacing w:before="240" w:after="240"/>
        <w:jc w:val="center"/>
        <w:outlineLvl w:val="0"/>
        <w:rPr>
          <w:rFonts w:ascii="Garamond" w:eastAsia="Times New Roman" w:hAnsi="Garamond" w:cs="Arial"/>
          <w:b/>
          <w:caps/>
          <w:sz w:val="28"/>
          <w:szCs w:val="28"/>
        </w:rPr>
      </w:pPr>
    </w:p>
    <w:p w:rsidR="002B34B0" w:rsidRPr="002B34B0" w:rsidRDefault="002B34B0" w:rsidP="002B34B0">
      <w:pPr>
        <w:tabs>
          <w:tab w:val="left" w:pos="432"/>
        </w:tabs>
        <w:spacing w:before="240" w:after="240"/>
        <w:jc w:val="center"/>
        <w:outlineLvl w:val="0"/>
        <w:rPr>
          <w:rFonts w:ascii="Garamond" w:eastAsia="Times New Roman" w:hAnsi="Garamond" w:cs="Arial"/>
          <w:b/>
          <w:caps/>
          <w:sz w:val="28"/>
          <w:szCs w:val="28"/>
        </w:rPr>
      </w:pPr>
    </w:p>
    <w:p w:rsidR="002B34B0" w:rsidRPr="002B34B0" w:rsidRDefault="005E31C1" w:rsidP="002B34B0">
      <w:pPr>
        <w:tabs>
          <w:tab w:val="left" w:pos="432"/>
        </w:tabs>
        <w:spacing w:before="240" w:after="240"/>
        <w:jc w:val="center"/>
        <w:outlineLvl w:val="0"/>
        <w:rPr>
          <w:rFonts w:ascii="Garamond" w:eastAsia="Times New Roman" w:hAnsi="Garamond" w:cs="Arial"/>
          <w:caps/>
          <w:sz w:val="28"/>
          <w:szCs w:val="28"/>
        </w:rPr>
      </w:pPr>
      <w:bookmarkStart w:id="3" w:name="_Toc351111837"/>
      <w:r>
        <w:rPr>
          <w:rFonts w:ascii="Garamond" w:eastAsia="Times New Roman" w:hAnsi="Garamond" w:cs="Arial"/>
          <w:sz w:val="28"/>
          <w:szCs w:val="28"/>
        </w:rPr>
        <w:t>Version: July 26</w:t>
      </w:r>
      <w:r w:rsidR="002B34B0" w:rsidRPr="002B34B0">
        <w:rPr>
          <w:rFonts w:ascii="Garamond" w:eastAsia="Times New Roman" w:hAnsi="Garamond" w:cs="Arial"/>
          <w:sz w:val="28"/>
          <w:szCs w:val="28"/>
        </w:rPr>
        <w:t>, 2013</w:t>
      </w:r>
      <w:bookmarkEnd w:id="3"/>
    </w:p>
    <w:p w:rsidR="002B34B0" w:rsidRPr="002B34B0" w:rsidRDefault="002B34B0" w:rsidP="002B34B0">
      <w:pPr>
        <w:tabs>
          <w:tab w:val="left" w:pos="432"/>
        </w:tabs>
        <w:spacing w:before="240" w:after="240"/>
        <w:jc w:val="center"/>
        <w:outlineLvl w:val="0"/>
        <w:rPr>
          <w:rFonts w:ascii="Garamond" w:eastAsia="Times New Roman" w:hAnsi="Garamond" w:cs="Arial"/>
          <w:caps/>
          <w:sz w:val="28"/>
          <w:szCs w:val="28"/>
        </w:rPr>
      </w:pPr>
    </w:p>
    <w:p w:rsidR="002B34B0" w:rsidRPr="002B34B0" w:rsidRDefault="002B34B0" w:rsidP="002B34B0">
      <w:pPr>
        <w:tabs>
          <w:tab w:val="left" w:pos="432"/>
        </w:tabs>
        <w:spacing w:after="240"/>
        <w:ind w:firstLine="432"/>
        <w:jc w:val="center"/>
        <w:rPr>
          <w:rFonts w:ascii="Garamond" w:eastAsia="Times New Roman" w:hAnsi="Garamond" w:cs="Arial"/>
          <w:sz w:val="28"/>
          <w:szCs w:val="28"/>
        </w:rPr>
      </w:pPr>
      <w:r w:rsidRPr="002B34B0">
        <w:rPr>
          <w:rFonts w:ascii="Garamond" w:eastAsia="Times New Roman" w:hAnsi="Garamond" w:cs="Arial"/>
          <w:sz w:val="28"/>
          <w:szCs w:val="28"/>
        </w:rPr>
        <w:t>Agency of Healthcare Research and Quality (AHRQ)</w:t>
      </w:r>
    </w:p>
    <w:p w:rsidR="007E1498" w:rsidRDefault="002B34B0" w:rsidP="007E1498">
      <w:pPr>
        <w:rPr>
          <w:b/>
        </w:rPr>
      </w:pPr>
      <w:r w:rsidRPr="002B34B0">
        <w:rPr>
          <w:rFonts w:ascii="Garamond" w:eastAsia="Times New Roman" w:hAnsi="Garamond" w:cs="Times New Roman"/>
          <w:sz w:val="24"/>
          <w:szCs w:val="24"/>
        </w:rPr>
        <w:br w:type="page"/>
      </w:r>
      <w:r w:rsidR="007E1498" w:rsidRPr="001D0454">
        <w:rPr>
          <w:b/>
        </w:rPr>
        <w:lastRenderedPageBreak/>
        <w:t>Table of contents</w:t>
      </w:r>
    </w:p>
    <w:p w:rsidR="007E1498" w:rsidRDefault="007E1498" w:rsidP="007E1498"/>
    <w:p w:rsidR="007E1498" w:rsidRDefault="007E1498" w:rsidP="007E1498">
      <w:pPr>
        <w:tabs>
          <w:tab w:val="left" w:leader="dot" w:pos="8460"/>
        </w:tabs>
      </w:pPr>
      <w:r w:rsidRPr="00FC633E">
        <w:t>B. Collections of Information Employing Statistical Methods</w:t>
      </w:r>
      <w:r>
        <w:tab/>
        <w:t>2</w:t>
      </w:r>
    </w:p>
    <w:p w:rsidR="007E1498" w:rsidRDefault="007E1498" w:rsidP="007E1498">
      <w:pPr>
        <w:tabs>
          <w:tab w:val="left" w:pos="360"/>
          <w:tab w:val="left" w:leader="dot" w:pos="8460"/>
        </w:tabs>
      </w:pPr>
      <w:r>
        <w:tab/>
        <w:t xml:space="preserve">1. </w:t>
      </w:r>
      <w:r w:rsidRPr="00FC633E">
        <w:t>Respondent universe and sampling methods</w:t>
      </w:r>
      <w:r>
        <w:tab/>
      </w:r>
      <w:r w:rsidR="00453848">
        <w:t>2</w:t>
      </w:r>
    </w:p>
    <w:p w:rsidR="007E1498" w:rsidRDefault="007E1498" w:rsidP="007E1498">
      <w:pPr>
        <w:tabs>
          <w:tab w:val="left" w:pos="360"/>
          <w:tab w:val="left" w:leader="dot" w:pos="8460"/>
        </w:tabs>
      </w:pPr>
      <w:r>
        <w:tab/>
        <w:t xml:space="preserve">2. </w:t>
      </w:r>
      <w:r w:rsidRPr="00FC633E">
        <w:t>Information Collection Procedures</w:t>
      </w:r>
      <w:r>
        <w:tab/>
      </w:r>
      <w:r w:rsidR="00453848">
        <w:t>3</w:t>
      </w:r>
    </w:p>
    <w:p w:rsidR="007E1498" w:rsidRDefault="007E1498" w:rsidP="007E1498">
      <w:pPr>
        <w:tabs>
          <w:tab w:val="left" w:pos="360"/>
          <w:tab w:val="left" w:leader="dot" w:pos="8460"/>
        </w:tabs>
      </w:pPr>
      <w:r>
        <w:tab/>
        <w:t xml:space="preserve">3. </w:t>
      </w:r>
      <w:r w:rsidRPr="00FC633E">
        <w:t>Methods to Maximize Response Rates</w:t>
      </w:r>
      <w:r>
        <w:tab/>
      </w:r>
      <w:r w:rsidR="00453848">
        <w:t>6</w:t>
      </w:r>
    </w:p>
    <w:p w:rsidR="007E1498" w:rsidRDefault="007E1498" w:rsidP="007E1498">
      <w:pPr>
        <w:tabs>
          <w:tab w:val="left" w:pos="360"/>
          <w:tab w:val="left" w:leader="dot" w:pos="8460"/>
        </w:tabs>
      </w:pPr>
      <w:r>
        <w:tab/>
        <w:t xml:space="preserve">4. </w:t>
      </w:r>
      <w:r w:rsidRPr="00FC633E">
        <w:t>Tests of Procedures</w:t>
      </w:r>
      <w:r>
        <w:tab/>
      </w:r>
      <w:r w:rsidR="00453848">
        <w:t>7</w:t>
      </w:r>
    </w:p>
    <w:p w:rsidR="007E1498" w:rsidRPr="00FC633E" w:rsidRDefault="007E1498" w:rsidP="007E1498">
      <w:pPr>
        <w:tabs>
          <w:tab w:val="left" w:pos="360"/>
          <w:tab w:val="left" w:leader="dot" w:pos="8460"/>
        </w:tabs>
      </w:pPr>
      <w:r>
        <w:tab/>
        <w:t xml:space="preserve">5. </w:t>
      </w:r>
      <w:r w:rsidRPr="00FC633E">
        <w:t>Statistical Consultants</w:t>
      </w:r>
      <w:r>
        <w:tab/>
      </w:r>
      <w:r w:rsidR="00453848">
        <w:t>7</w:t>
      </w:r>
    </w:p>
    <w:p w:rsidR="007E1498" w:rsidRDefault="007E1498" w:rsidP="007E1498"/>
    <w:p w:rsidR="007E1498" w:rsidRDefault="007E1498">
      <w:pPr>
        <w:rPr>
          <w:rFonts w:ascii="Garamond" w:eastAsia="Times New Roman" w:hAnsi="Garamond" w:cs="Times New Roman"/>
          <w:sz w:val="24"/>
          <w:szCs w:val="24"/>
        </w:rPr>
      </w:pPr>
      <w:r>
        <w:rPr>
          <w:rFonts w:ascii="Garamond" w:eastAsia="Times New Roman" w:hAnsi="Garamond" w:cs="Times New Roman"/>
          <w:sz w:val="24"/>
          <w:szCs w:val="24"/>
        </w:rPr>
        <w:br w:type="page"/>
      </w:r>
    </w:p>
    <w:p w:rsidR="002B34B0" w:rsidRPr="002B34B0" w:rsidRDefault="002B34B0" w:rsidP="002B34B0">
      <w:pPr>
        <w:keepNext/>
        <w:tabs>
          <w:tab w:val="left" w:pos="432"/>
        </w:tabs>
        <w:spacing w:after="240"/>
        <w:ind w:left="432" w:hanging="432"/>
        <w:jc w:val="both"/>
        <w:outlineLvl w:val="1"/>
        <w:rPr>
          <w:rFonts w:ascii="Arial" w:eastAsia="Times New Roman" w:hAnsi="Arial" w:cs="Times New Roman"/>
          <w:b/>
          <w:sz w:val="24"/>
          <w:szCs w:val="24"/>
        </w:rPr>
      </w:pPr>
      <w:bookmarkStart w:id="4" w:name="_Toc351111838"/>
      <w:r w:rsidRPr="002B34B0">
        <w:rPr>
          <w:rFonts w:ascii="Arial" w:eastAsia="Times New Roman" w:hAnsi="Arial" w:cs="Times New Roman"/>
          <w:b/>
          <w:sz w:val="24"/>
          <w:szCs w:val="24"/>
        </w:rPr>
        <w:lastRenderedPageBreak/>
        <w:t>B.</w:t>
      </w:r>
      <w:r w:rsidRPr="002B34B0">
        <w:rPr>
          <w:rFonts w:ascii="Arial" w:eastAsia="Times New Roman" w:hAnsi="Arial" w:cs="Times New Roman"/>
          <w:b/>
          <w:sz w:val="24"/>
          <w:szCs w:val="24"/>
        </w:rPr>
        <w:tab/>
        <w:t>Collections of Information Employing Statistical Methods</w:t>
      </w:r>
      <w:bookmarkEnd w:id="4"/>
    </w:p>
    <w:p w:rsidR="002B34B0" w:rsidRPr="002B34B0" w:rsidRDefault="002B34B0" w:rsidP="002B34B0">
      <w:pPr>
        <w:keepNext/>
        <w:tabs>
          <w:tab w:val="left" w:pos="432"/>
        </w:tabs>
        <w:spacing w:after="240"/>
        <w:ind w:left="432" w:hanging="432"/>
        <w:jc w:val="both"/>
        <w:outlineLvl w:val="2"/>
        <w:rPr>
          <w:rFonts w:ascii="Garamond" w:eastAsia="Times New Roman" w:hAnsi="Garamond" w:cs="Times New Roman"/>
          <w:b/>
          <w:sz w:val="24"/>
          <w:szCs w:val="24"/>
        </w:rPr>
      </w:pPr>
      <w:bookmarkStart w:id="5" w:name="_Toc351111839"/>
      <w:r w:rsidRPr="002B34B0">
        <w:rPr>
          <w:rFonts w:ascii="Garamond" w:eastAsia="Times New Roman" w:hAnsi="Garamond" w:cs="Times New Roman"/>
          <w:b/>
          <w:sz w:val="24"/>
          <w:szCs w:val="24"/>
        </w:rPr>
        <w:t>1.</w:t>
      </w:r>
      <w:r w:rsidRPr="002B34B0">
        <w:rPr>
          <w:rFonts w:ascii="Garamond" w:eastAsia="Times New Roman" w:hAnsi="Garamond" w:cs="Times New Roman"/>
          <w:b/>
          <w:sz w:val="24"/>
          <w:szCs w:val="24"/>
        </w:rPr>
        <w:tab/>
        <w:t>Respondent Universe and Sampling Methods</w:t>
      </w:r>
      <w:bookmarkEnd w:id="5"/>
    </w:p>
    <w:p w:rsidR="002B34B0" w:rsidRPr="002B34B0" w:rsidRDefault="002B34B0" w:rsidP="00F13887">
      <w:pPr>
        <w:tabs>
          <w:tab w:val="left" w:pos="432"/>
        </w:tabs>
        <w:spacing w:after="240"/>
        <w:rPr>
          <w:rFonts w:ascii="Garamond" w:eastAsia="Times New Roman" w:hAnsi="Garamond" w:cs="Times New Roman"/>
          <w:sz w:val="24"/>
          <w:szCs w:val="24"/>
        </w:rPr>
      </w:pPr>
      <w:r w:rsidRPr="002B34B0">
        <w:rPr>
          <w:rFonts w:ascii="Garamond" w:eastAsia="Times New Roman" w:hAnsi="Garamond" w:cs="Times New Roman"/>
          <w:sz w:val="24"/>
          <w:szCs w:val="24"/>
        </w:rPr>
        <w:t xml:space="preserve">The universe of respondents for this study is the group of physicians who provide primary care to children enrolled in Medicaid in selected States (Massachusetts, North Carolina, Ohio, and Pennsylvania). This group of child-serving physicians includes both pediatricians and family physicians. According to the American Medical Association (AMA) Masterfile, nationally, there are </w:t>
      </w:r>
      <w:r w:rsidRPr="002B34B0">
        <w:rPr>
          <w:rFonts w:ascii="Garamond" w:eastAsia="Times New Roman" w:hAnsi="Garamond" w:cs="Arial"/>
          <w:sz w:val="24"/>
          <w:szCs w:val="24"/>
        </w:rPr>
        <w:t>about 42,000 office-based pediatricians and about 68,000 office-based family physicians. Within the selected States, there are an estimated 5,970 office-based pediatricians and 8,608 office-based family physicians.</w:t>
      </w:r>
      <w:r w:rsidRPr="002B34B0">
        <w:rPr>
          <w:rFonts w:ascii="Garamond" w:eastAsia="Times New Roman" w:hAnsi="Garamond" w:cs="Arial"/>
          <w:sz w:val="24"/>
          <w:szCs w:val="24"/>
          <w:u w:color="000080"/>
          <w:vertAlign w:val="superscript"/>
        </w:rPr>
        <w:footnoteReference w:id="1"/>
      </w:r>
      <w:r w:rsidRPr="002B34B0">
        <w:rPr>
          <w:rFonts w:ascii="Garamond" w:eastAsia="Times New Roman" w:hAnsi="Garamond" w:cs="Arial"/>
          <w:sz w:val="24"/>
          <w:szCs w:val="24"/>
        </w:rPr>
        <w:t xml:space="preserve">  </w:t>
      </w:r>
      <w:r w:rsidRPr="002B34B0">
        <w:rPr>
          <w:rFonts w:ascii="Garamond" w:eastAsia="Times New Roman" w:hAnsi="Garamond" w:cs="Times New Roman"/>
          <w:sz w:val="24"/>
          <w:szCs w:val="24"/>
        </w:rPr>
        <w:t>Based on available studies, the contractor estimates that 80 percent of pediatricians and 50 percent of family physicians serve at least some children enrolled in Medicaid.</w:t>
      </w:r>
      <w:r w:rsidRPr="002B34B0">
        <w:rPr>
          <w:rFonts w:ascii="Garamond" w:eastAsia="Times New Roman" w:hAnsi="Garamond" w:cs="Times New Roman"/>
          <w:sz w:val="24"/>
          <w:szCs w:val="24"/>
          <w:u w:color="000080"/>
          <w:vertAlign w:val="superscript"/>
        </w:rPr>
        <w:footnoteReference w:id="2"/>
      </w:r>
      <w:r w:rsidRPr="002B34B0">
        <w:rPr>
          <w:rFonts w:ascii="Garamond" w:eastAsia="Times New Roman" w:hAnsi="Garamond" w:cs="Times New Roman"/>
          <w:sz w:val="24"/>
          <w:szCs w:val="24"/>
        </w:rPr>
        <w:t xml:space="preserve"> The estimated size of the survey-eligible population in the selected States is therefore 9,080 (4,776 pediatricians and 4,304 family physicians).</w:t>
      </w:r>
      <w:r w:rsidRPr="002B34B0">
        <w:rPr>
          <w:rFonts w:ascii="Garamond" w:eastAsia="Times New Roman" w:hAnsi="Garamond" w:cs="Times New Roman"/>
          <w:sz w:val="24"/>
          <w:szCs w:val="24"/>
          <w:u w:color="000080"/>
          <w:vertAlign w:val="superscript"/>
        </w:rPr>
        <w:footnoteReference w:id="3"/>
      </w:r>
    </w:p>
    <w:p w:rsidR="002B34B0" w:rsidRPr="002B34B0" w:rsidRDefault="002B34B0" w:rsidP="00F13887">
      <w:pPr>
        <w:tabs>
          <w:tab w:val="left" w:pos="432"/>
        </w:tabs>
        <w:spacing w:after="240"/>
        <w:rPr>
          <w:rFonts w:ascii="Garamond" w:eastAsia="Times New Roman" w:hAnsi="Garamond" w:cs="Times New Roman"/>
          <w:sz w:val="24"/>
          <w:szCs w:val="24"/>
        </w:rPr>
      </w:pPr>
      <w:r w:rsidRPr="002B34B0">
        <w:rPr>
          <w:rFonts w:ascii="Garamond" w:eastAsia="Times New Roman" w:hAnsi="Garamond" w:cs="Times New Roman"/>
          <w:sz w:val="24"/>
          <w:szCs w:val="24"/>
        </w:rPr>
        <w:t>The sample</w:t>
      </w:r>
      <w:r w:rsidR="00F05ABD">
        <w:rPr>
          <w:rFonts w:ascii="Garamond" w:eastAsia="Times New Roman" w:hAnsi="Garamond" w:cs="Times New Roman"/>
          <w:sz w:val="24"/>
          <w:szCs w:val="24"/>
        </w:rPr>
        <w:t xml:space="preserve"> will be selected from</w:t>
      </w:r>
      <w:r w:rsidRPr="002B34B0">
        <w:rPr>
          <w:rFonts w:ascii="Garamond" w:eastAsia="Times New Roman" w:hAnsi="Garamond" w:cs="Times New Roman"/>
          <w:sz w:val="24"/>
          <w:szCs w:val="24"/>
        </w:rPr>
        <w:t xml:space="preserve"> the AMA’s Physician Masterfile, a dataset frequently used to sample the physician workforce in the U.S. </w:t>
      </w:r>
      <w:r w:rsidRPr="002B34B0">
        <w:rPr>
          <w:rFonts w:ascii="Garamond" w:eastAsia="Times New Roman" w:hAnsi="Garamond" w:cs="Arial"/>
          <w:sz w:val="24"/>
          <w:szCs w:val="24"/>
        </w:rPr>
        <w:t xml:space="preserve">The Masterfile includes current and historical data for more than 900,000 physicians, residents, and medical students, including about 42,000 office-based pediatricians and about 68,000 office-based family physicians. Specifically, it offers </w:t>
      </w:r>
      <w:r w:rsidRPr="002B34B0">
        <w:rPr>
          <w:rFonts w:ascii="Garamond" w:eastAsia="Times New Roman" w:hAnsi="Garamond" w:cs="Times New Roman"/>
          <w:sz w:val="24"/>
          <w:szCs w:val="24"/>
        </w:rPr>
        <w:t xml:space="preserve">information on physician demographics, professional activities (patient care versus nonpatient care), specialties (self-reported), medical education, certifications and licensures, and contact information. The AMA aims to capture in the Masterfile every physician in the U.S., including those who are not members of the AMA. </w:t>
      </w:r>
    </w:p>
    <w:p w:rsidR="002B34B0" w:rsidRPr="00183E4E" w:rsidRDefault="002B34B0" w:rsidP="00F13887">
      <w:pPr>
        <w:tabs>
          <w:tab w:val="left" w:pos="432"/>
        </w:tabs>
        <w:spacing w:after="240"/>
        <w:rPr>
          <w:rFonts w:ascii="Garamond" w:eastAsia="Times New Roman" w:hAnsi="Garamond" w:cs="Times New Roman"/>
          <w:sz w:val="24"/>
          <w:szCs w:val="24"/>
        </w:rPr>
      </w:pPr>
      <w:r w:rsidRPr="00183E4E">
        <w:rPr>
          <w:rFonts w:ascii="Garamond" w:eastAsia="Times New Roman" w:hAnsi="Garamond" w:cs="Times New Roman"/>
          <w:sz w:val="24"/>
          <w:szCs w:val="24"/>
        </w:rPr>
        <w:t xml:space="preserve">Massachusetts, North Carolina, and Pennsylvania were selected because they are implementing demonstration-funded activities, such as statewide efforts to promote use of standard quality </w:t>
      </w:r>
      <w:r w:rsidR="00C67960" w:rsidRPr="00183E4E">
        <w:rPr>
          <w:rFonts w:ascii="Garamond" w:eastAsia="Times New Roman" w:hAnsi="Garamond" w:cs="Times New Roman"/>
          <w:sz w:val="24"/>
          <w:szCs w:val="24"/>
        </w:rPr>
        <w:t>measures that</w:t>
      </w:r>
      <w:r w:rsidRPr="00183E4E">
        <w:rPr>
          <w:rFonts w:ascii="Garamond" w:eastAsia="Times New Roman" w:hAnsi="Garamond" w:cs="Times New Roman"/>
          <w:sz w:val="24"/>
          <w:szCs w:val="24"/>
        </w:rPr>
        <w:t xml:space="preserve"> are designed to influence physicians’ beliefs and attitudes about the value of quality measurement for improving child health services. </w:t>
      </w:r>
      <w:r w:rsidR="00C67960" w:rsidRPr="00183E4E">
        <w:rPr>
          <w:rFonts w:ascii="Garamond" w:eastAsia="Times New Roman" w:hAnsi="Garamond" w:cs="Times New Roman"/>
          <w:sz w:val="24"/>
          <w:szCs w:val="24"/>
        </w:rPr>
        <w:t>Of the remaining CHIPRA grantees, only South Carolina is implementing an activity that is likely to have statewide effects on attitudes toward quality measure</w:t>
      </w:r>
      <w:r w:rsidR="00B2548C" w:rsidRPr="00183E4E">
        <w:rPr>
          <w:rFonts w:ascii="Garamond" w:eastAsia="Times New Roman" w:hAnsi="Garamond" w:cs="Times New Roman"/>
          <w:sz w:val="24"/>
          <w:szCs w:val="24"/>
        </w:rPr>
        <w:t>ment</w:t>
      </w:r>
      <w:r w:rsidR="00C67960" w:rsidRPr="00183E4E">
        <w:rPr>
          <w:rFonts w:ascii="Garamond" w:eastAsia="Times New Roman" w:hAnsi="Garamond" w:cs="Times New Roman"/>
          <w:sz w:val="24"/>
          <w:szCs w:val="24"/>
        </w:rPr>
        <w:t xml:space="preserve"> and has a provider population large enough to </w:t>
      </w:r>
      <w:r w:rsidR="004609EA" w:rsidRPr="00183E4E">
        <w:rPr>
          <w:rFonts w:ascii="Garamond" w:eastAsia="Times New Roman" w:hAnsi="Garamond" w:cs="Times New Roman"/>
          <w:sz w:val="24"/>
          <w:szCs w:val="24"/>
        </w:rPr>
        <w:t>generate</w:t>
      </w:r>
      <w:r w:rsidR="00C67960" w:rsidRPr="00183E4E">
        <w:rPr>
          <w:rFonts w:ascii="Garamond" w:eastAsia="Times New Roman" w:hAnsi="Garamond" w:cs="Times New Roman"/>
          <w:sz w:val="24"/>
          <w:szCs w:val="24"/>
        </w:rPr>
        <w:t xml:space="preserve"> our target number of respondents.  However, </w:t>
      </w:r>
      <w:r w:rsidRPr="00183E4E">
        <w:rPr>
          <w:rFonts w:ascii="Garamond" w:eastAsia="Times New Roman" w:hAnsi="Garamond" w:cs="Times New Roman"/>
          <w:sz w:val="24"/>
          <w:szCs w:val="24"/>
        </w:rPr>
        <w:t xml:space="preserve">South Carolina already conducts an annual survey of its primary care providers. Hence, we excluded South Carolina from considerations. The remaining demonstration states are not implementing activities that are likely to have statewide effects on attitudes toward quality measurement.  One </w:t>
      </w:r>
      <w:proofErr w:type="gramStart"/>
      <w:r w:rsidRPr="00183E4E">
        <w:rPr>
          <w:rFonts w:ascii="Garamond" w:eastAsia="Times New Roman" w:hAnsi="Garamond" w:cs="Times New Roman"/>
          <w:sz w:val="24"/>
          <w:szCs w:val="24"/>
        </w:rPr>
        <w:t>comparison</w:t>
      </w:r>
      <w:proofErr w:type="gramEnd"/>
      <w:r w:rsidR="00DC0597" w:rsidRPr="00183E4E">
        <w:rPr>
          <w:rFonts w:ascii="Garamond" w:eastAsia="Times New Roman" w:hAnsi="Garamond" w:cs="Times New Roman"/>
          <w:sz w:val="24"/>
          <w:szCs w:val="24"/>
        </w:rPr>
        <w:t xml:space="preserve"> </w:t>
      </w:r>
      <w:r w:rsidRPr="00183E4E">
        <w:rPr>
          <w:rFonts w:ascii="Garamond" w:eastAsia="Times New Roman" w:hAnsi="Garamond" w:cs="Times New Roman"/>
          <w:sz w:val="24"/>
          <w:szCs w:val="24"/>
        </w:rPr>
        <w:t xml:space="preserve">State not participating in the demonstration (Ohio) was selected based on similarities to the selected demonstration States in terms of geography and provider population. </w:t>
      </w:r>
    </w:p>
    <w:p w:rsidR="002B34B0" w:rsidRPr="00183E4E" w:rsidRDefault="00E97917" w:rsidP="00E97917">
      <w:pPr>
        <w:tabs>
          <w:tab w:val="left" w:pos="432"/>
        </w:tabs>
        <w:spacing w:after="240"/>
        <w:rPr>
          <w:rFonts w:ascii="Garamond" w:eastAsia="Times New Roman" w:hAnsi="Garamond" w:cs="Times New Roman"/>
          <w:sz w:val="24"/>
          <w:szCs w:val="24"/>
        </w:rPr>
      </w:pPr>
      <w:r w:rsidRPr="00183E4E">
        <w:rPr>
          <w:rFonts w:ascii="Garamond" w:eastAsia="Times New Roman" w:hAnsi="Garamond" w:cs="Times New Roman"/>
          <w:sz w:val="24"/>
          <w:szCs w:val="24"/>
        </w:rPr>
        <w:t>T</w:t>
      </w:r>
      <w:r w:rsidR="002B34B0" w:rsidRPr="00183E4E">
        <w:rPr>
          <w:rFonts w:ascii="Garamond" w:eastAsia="Times New Roman" w:hAnsi="Garamond" w:cs="Times New Roman"/>
          <w:sz w:val="24"/>
          <w:szCs w:val="24"/>
        </w:rPr>
        <w:t>wo sampling strata</w:t>
      </w:r>
      <w:r w:rsidRPr="00183E4E">
        <w:rPr>
          <w:rFonts w:ascii="Garamond" w:eastAsia="Times New Roman" w:hAnsi="Garamond" w:cs="Times New Roman"/>
          <w:sz w:val="24"/>
          <w:szCs w:val="24"/>
        </w:rPr>
        <w:t xml:space="preserve"> will be defined</w:t>
      </w:r>
      <w:r w:rsidR="002B34B0" w:rsidRPr="00183E4E">
        <w:rPr>
          <w:rFonts w:ascii="Garamond" w:eastAsia="Times New Roman" w:hAnsi="Garamond" w:cs="Times New Roman"/>
          <w:sz w:val="24"/>
          <w:szCs w:val="24"/>
        </w:rPr>
        <w:t xml:space="preserve">: pediatricians and family physicians, in order to </w:t>
      </w:r>
      <w:r w:rsidR="007714E4" w:rsidRPr="00183E4E">
        <w:rPr>
          <w:rFonts w:ascii="Garamond" w:eastAsia="Times New Roman" w:hAnsi="Garamond" w:cs="Times New Roman"/>
          <w:sz w:val="24"/>
          <w:szCs w:val="24"/>
        </w:rPr>
        <w:t>control the release of the sample</w:t>
      </w:r>
      <w:r w:rsidR="002B34B0" w:rsidRPr="00183E4E">
        <w:rPr>
          <w:rFonts w:ascii="Garamond" w:eastAsia="Times New Roman" w:hAnsi="Garamond" w:cs="Times New Roman"/>
          <w:sz w:val="24"/>
          <w:szCs w:val="24"/>
        </w:rPr>
        <w:t xml:space="preserve">. To preserve the original distribution of these specialties, the sample will be proportionally allocated to these two strata. </w:t>
      </w:r>
    </w:p>
    <w:p w:rsidR="002B34B0" w:rsidRPr="00183E4E" w:rsidRDefault="002B34B0" w:rsidP="00F13887">
      <w:pPr>
        <w:tabs>
          <w:tab w:val="left" w:pos="432"/>
        </w:tabs>
        <w:spacing w:after="240"/>
        <w:rPr>
          <w:rFonts w:ascii="Garamond" w:eastAsia="Times New Roman" w:hAnsi="Garamond" w:cs="Times New Roman"/>
          <w:sz w:val="24"/>
          <w:szCs w:val="24"/>
        </w:rPr>
      </w:pPr>
      <w:r w:rsidRPr="00183E4E">
        <w:rPr>
          <w:rFonts w:ascii="Garamond" w:eastAsia="Times New Roman" w:hAnsi="Garamond" w:cs="Times New Roman"/>
          <w:sz w:val="24"/>
          <w:szCs w:val="24"/>
        </w:rPr>
        <w:t>In selecting the sample both explicit and implicit stratification</w:t>
      </w:r>
      <w:r w:rsidR="00E97917" w:rsidRPr="00183E4E">
        <w:rPr>
          <w:rFonts w:ascii="Garamond" w:eastAsia="Times New Roman" w:hAnsi="Garamond" w:cs="Times New Roman"/>
          <w:sz w:val="24"/>
          <w:szCs w:val="24"/>
        </w:rPr>
        <w:t xml:space="preserve"> will be used</w:t>
      </w:r>
      <w:r w:rsidRPr="00183E4E">
        <w:rPr>
          <w:rFonts w:ascii="Garamond" w:eastAsia="Times New Roman" w:hAnsi="Garamond" w:cs="Times New Roman"/>
          <w:sz w:val="24"/>
          <w:szCs w:val="24"/>
        </w:rPr>
        <w:t xml:space="preserve">. </w:t>
      </w:r>
      <w:r w:rsidR="00E97917" w:rsidRPr="00183E4E">
        <w:rPr>
          <w:rFonts w:ascii="Garamond" w:eastAsia="Times New Roman" w:hAnsi="Garamond" w:cs="Times New Roman"/>
          <w:sz w:val="24"/>
          <w:szCs w:val="24"/>
        </w:rPr>
        <w:t xml:space="preserve"> </w:t>
      </w:r>
      <w:r w:rsidRPr="00183E4E">
        <w:rPr>
          <w:rFonts w:ascii="Garamond" w:eastAsia="Times New Roman" w:hAnsi="Garamond" w:cs="Times New Roman"/>
          <w:sz w:val="24"/>
          <w:szCs w:val="24"/>
        </w:rPr>
        <w:t xml:space="preserve">Explicit stratification involves defining groups (strata) within which samples of a specified size are selected. Implicit stratification, by which the frame is sorted on the stratifying variables before sampling, is used when sequential sampling methods are used to help ensure that the sample is proportionately distributed </w:t>
      </w:r>
      <w:r w:rsidRPr="00183E4E">
        <w:rPr>
          <w:rFonts w:ascii="Garamond" w:eastAsia="Times New Roman" w:hAnsi="Garamond" w:cs="Times New Roman"/>
          <w:sz w:val="24"/>
          <w:szCs w:val="24"/>
        </w:rPr>
        <w:lastRenderedPageBreak/>
        <w:t>on the stratifying variables. Within each specialty</w:t>
      </w:r>
      <w:r w:rsidR="00EF23A0" w:rsidRPr="00183E4E">
        <w:rPr>
          <w:rFonts w:ascii="Garamond" w:eastAsia="Times New Roman" w:hAnsi="Garamond" w:cs="Times New Roman"/>
          <w:sz w:val="24"/>
          <w:szCs w:val="24"/>
        </w:rPr>
        <w:t>,</w:t>
      </w:r>
      <w:r w:rsidRPr="00183E4E">
        <w:rPr>
          <w:rFonts w:ascii="Garamond" w:eastAsia="Times New Roman" w:hAnsi="Garamond" w:cs="Times New Roman"/>
          <w:sz w:val="24"/>
          <w:szCs w:val="24"/>
        </w:rPr>
        <w:t xml:space="preserve"> implicit stratification</w:t>
      </w:r>
      <w:r w:rsidR="00E97917" w:rsidRPr="00183E4E">
        <w:rPr>
          <w:rFonts w:ascii="Garamond" w:eastAsia="Times New Roman" w:hAnsi="Garamond" w:cs="Times New Roman"/>
          <w:sz w:val="24"/>
          <w:szCs w:val="24"/>
        </w:rPr>
        <w:t xml:space="preserve"> will be used</w:t>
      </w:r>
      <w:r w:rsidRPr="00183E4E">
        <w:rPr>
          <w:rFonts w:ascii="Garamond" w:eastAsia="Times New Roman" w:hAnsi="Garamond" w:cs="Times New Roman"/>
          <w:sz w:val="24"/>
          <w:szCs w:val="24"/>
        </w:rPr>
        <w:t xml:space="preserve"> on physician characteristics to help ensure that the samples are distributed in the same way as the sampling frame.</w:t>
      </w:r>
      <w:r w:rsidRPr="00183E4E">
        <w:rPr>
          <w:rFonts w:ascii="Garamond" w:eastAsia="Times New Roman" w:hAnsi="Garamond" w:cs="Times New Roman"/>
          <w:sz w:val="24"/>
          <w:szCs w:val="24"/>
          <w:u w:color="000080"/>
          <w:vertAlign w:val="superscript"/>
        </w:rPr>
        <w:footnoteReference w:id="4"/>
      </w:r>
      <w:r w:rsidR="00B2548C" w:rsidRPr="00183E4E">
        <w:rPr>
          <w:rFonts w:ascii="Garamond" w:eastAsia="Times New Roman" w:hAnsi="Garamond" w:cs="Times New Roman"/>
          <w:sz w:val="24"/>
          <w:szCs w:val="24"/>
        </w:rPr>
        <w:t xml:space="preserve"> Variables available in the AMA Masterfile that will likely be used for implicit stratification include </w:t>
      </w:r>
      <w:r w:rsidR="00343381" w:rsidRPr="00183E4E">
        <w:rPr>
          <w:rFonts w:ascii="Garamond" w:eastAsia="Times New Roman" w:hAnsi="Garamond" w:cs="Times New Roman"/>
          <w:sz w:val="24"/>
          <w:szCs w:val="24"/>
        </w:rPr>
        <w:t xml:space="preserve">age, </w:t>
      </w:r>
      <w:r w:rsidR="00B2548C" w:rsidRPr="00183E4E">
        <w:rPr>
          <w:rFonts w:ascii="Garamond" w:eastAsia="Times New Roman" w:hAnsi="Garamond" w:cs="Times New Roman"/>
          <w:sz w:val="24"/>
          <w:szCs w:val="24"/>
        </w:rPr>
        <w:t>gend</w:t>
      </w:r>
      <w:r w:rsidR="00343381" w:rsidRPr="00183E4E">
        <w:rPr>
          <w:rFonts w:ascii="Garamond" w:eastAsia="Times New Roman" w:hAnsi="Garamond" w:cs="Times New Roman"/>
          <w:sz w:val="24"/>
          <w:szCs w:val="24"/>
        </w:rPr>
        <w:t>er</w:t>
      </w:r>
      <w:r w:rsidR="00B2548C" w:rsidRPr="00183E4E">
        <w:rPr>
          <w:rFonts w:ascii="Garamond" w:eastAsia="Times New Roman" w:hAnsi="Garamond" w:cs="Times New Roman"/>
          <w:sz w:val="24"/>
          <w:szCs w:val="24"/>
        </w:rPr>
        <w:t>,</w:t>
      </w:r>
      <w:r w:rsidR="00343381" w:rsidRPr="00183E4E">
        <w:rPr>
          <w:rFonts w:ascii="Garamond" w:eastAsia="Times New Roman" w:hAnsi="Garamond" w:cs="Times New Roman"/>
          <w:sz w:val="24"/>
          <w:szCs w:val="24"/>
        </w:rPr>
        <w:t xml:space="preserve"> and years since completion of residency.</w:t>
      </w:r>
      <w:r w:rsidR="00B2548C" w:rsidRPr="00183E4E">
        <w:rPr>
          <w:rFonts w:ascii="Garamond" w:eastAsia="Times New Roman" w:hAnsi="Garamond" w:cs="Times New Roman"/>
          <w:sz w:val="24"/>
          <w:szCs w:val="24"/>
        </w:rPr>
        <w:t xml:space="preserve"> </w:t>
      </w:r>
    </w:p>
    <w:p w:rsidR="002B34B0" w:rsidRPr="00183E4E" w:rsidRDefault="002B34B0" w:rsidP="00F13887">
      <w:pPr>
        <w:keepNext/>
        <w:tabs>
          <w:tab w:val="left" w:pos="432"/>
        </w:tabs>
        <w:spacing w:after="240"/>
        <w:ind w:left="432" w:hanging="432"/>
        <w:outlineLvl w:val="2"/>
        <w:rPr>
          <w:rFonts w:ascii="Garamond" w:eastAsia="Times New Roman" w:hAnsi="Garamond" w:cs="Times New Roman"/>
          <w:b/>
          <w:sz w:val="24"/>
          <w:szCs w:val="24"/>
        </w:rPr>
      </w:pPr>
      <w:bookmarkStart w:id="6" w:name="_Toc351111840"/>
      <w:r w:rsidRPr="00183E4E">
        <w:rPr>
          <w:rFonts w:ascii="Garamond" w:eastAsia="Times New Roman" w:hAnsi="Garamond" w:cs="Times New Roman"/>
          <w:b/>
          <w:sz w:val="24"/>
          <w:szCs w:val="24"/>
        </w:rPr>
        <w:t>2.</w:t>
      </w:r>
      <w:r w:rsidRPr="00183E4E">
        <w:rPr>
          <w:rFonts w:ascii="Garamond" w:eastAsia="Times New Roman" w:hAnsi="Garamond" w:cs="Times New Roman"/>
          <w:b/>
          <w:sz w:val="24"/>
          <w:szCs w:val="24"/>
        </w:rPr>
        <w:tab/>
        <w:t>Information Collection Procedures</w:t>
      </w:r>
      <w:bookmarkEnd w:id="6"/>
    </w:p>
    <w:p w:rsidR="002B34B0" w:rsidRPr="00183E4E" w:rsidRDefault="002B34B0" w:rsidP="00F13887">
      <w:pPr>
        <w:tabs>
          <w:tab w:val="left" w:pos="432"/>
        </w:tabs>
        <w:spacing w:after="240"/>
        <w:ind w:left="432" w:hanging="432"/>
        <w:outlineLvl w:val="3"/>
        <w:rPr>
          <w:rFonts w:ascii="Garamond" w:eastAsia="Times New Roman" w:hAnsi="Garamond" w:cs="Times New Roman"/>
          <w:b/>
          <w:sz w:val="24"/>
          <w:szCs w:val="24"/>
        </w:rPr>
      </w:pPr>
      <w:r w:rsidRPr="00183E4E">
        <w:rPr>
          <w:rFonts w:ascii="Garamond" w:eastAsia="Times New Roman" w:hAnsi="Garamond" w:cs="Times New Roman"/>
          <w:b/>
          <w:sz w:val="24"/>
          <w:szCs w:val="24"/>
        </w:rPr>
        <w:t>a.</w:t>
      </w:r>
      <w:r w:rsidRPr="00183E4E">
        <w:rPr>
          <w:rFonts w:ascii="Garamond" w:eastAsia="Times New Roman" w:hAnsi="Garamond" w:cs="Times New Roman"/>
          <w:b/>
          <w:sz w:val="24"/>
          <w:szCs w:val="24"/>
        </w:rPr>
        <w:tab/>
        <w:t>Overview</w:t>
      </w:r>
    </w:p>
    <w:p w:rsidR="002B34B0" w:rsidRPr="00183E4E" w:rsidRDefault="002B34B0" w:rsidP="00F13887">
      <w:pPr>
        <w:tabs>
          <w:tab w:val="left" w:pos="432"/>
        </w:tabs>
        <w:spacing w:after="240"/>
        <w:rPr>
          <w:rFonts w:ascii="Garamond" w:eastAsia="Times New Roman" w:hAnsi="Garamond" w:cs="Times New Roman"/>
          <w:sz w:val="24"/>
          <w:szCs w:val="24"/>
        </w:rPr>
      </w:pPr>
      <w:r w:rsidRPr="00183E4E">
        <w:rPr>
          <w:rFonts w:ascii="Garamond" w:eastAsia="Times New Roman" w:hAnsi="Garamond" w:cs="Times New Roman"/>
          <w:sz w:val="24"/>
          <w:szCs w:val="24"/>
        </w:rPr>
        <w:t xml:space="preserve">Information for this study will be collected primarily through a pencil-and-paper survey; respondents also will be offered a web-based option and the opportunity to complete the survey by phone during follow-up calls. </w:t>
      </w:r>
    </w:p>
    <w:p w:rsidR="002B34B0" w:rsidRPr="00183E4E" w:rsidRDefault="002B34B0" w:rsidP="00F13887">
      <w:pPr>
        <w:tabs>
          <w:tab w:val="left" w:pos="432"/>
        </w:tabs>
        <w:spacing w:after="240"/>
        <w:rPr>
          <w:rFonts w:ascii="Garamond" w:eastAsia="Times New Roman" w:hAnsi="Garamond" w:cs="Times New Roman"/>
          <w:sz w:val="24"/>
          <w:szCs w:val="24"/>
        </w:rPr>
      </w:pPr>
      <w:r w:rsidRPr="00183E4E">
        <w:rPr>
          <w:rFonts w:ascii="Garamond" w:eastAsia="Times New Roman" w:hAnsi="Garamond" w:cs="Times New Roman"/>
          <w:sz w:val="24"/>
          <w:szCs w:val="24"/>
        </w:rPr>
        <w:t>We conservatively estimate 40 percent of these physicians will respond to the letter based on previous surveys conducted by the American Academy of Pediatrics and the American Academy of Family Physicians.</w:t>
      </w:r>
      <w:r w:rsidRPr="00183E4E">
        <w:rPr>
          <w:rFonts w:ascii="Garamond" w:eastAsia="Times New Roman" w:hAnsi="Garamond" w:cs="Times New Roman"/>
          <w:sz w:val="24"/>
          <w:szCs w:val="24"/>
          <w:u w:color="000080"/>
          <w:vertAlign w:val="superscript"/>
        </w:rPr>
        <w:footnoteReference w:id="5"/>
      </w:r>
      <w:r w:rsidRPr="00183E4E">
        <w:rPr>
          <w:rFonts w:ascii="Garamond" w:eastAsia="Times New Roman" w:hAnsi="Garamond" w:cs="Times New Roman"/>
          <w:sz w:val="24"/>
          <w:szCs w:val="24"/>
        </w:rPr>
        <w:t xml:space="preserve">  Based on the published literature, it is likely that 20 percent of pediatricians and 50 percent of family physicians who respond to the letter will indicate that they do not serve Medicaid-enrolled children.</w:t>
      </w:r>
      <w:r w:rsidRPr="00183E4E">
        <w:rPr>
          <w:rFonts w:ascii="Garamond" w:eastAsia="Times New Roman" w:hAnsi="Garamond" w:cs="Times New Roman"/>
          <w:sz w:val="24"/>
          <w:szCs w:val="24"/>
          <w:vertAlign w:val="superscript"/>
        </w:rPr>
        <w:t>5</w:t>
      </w:r>
      <w:r w:rsidRPr="00183E4E">
        <w:rPr>
          <w:rFonts w:ascii="Garamond" w:eastAsia="Times New Roman" w:hAnsi="Garamond" w:cs="Times New Roman"/>
          <w:sz w:val="24"/>
          <w:szCs w:val="24"/>
        </w:rPr>
        <w:t xml:space="preserve"> </w:t>
      </w:r>
    </w:p>
    <w:p w:rsidR="002B34B0" w:rsidRPr="00183E4E" w:rsidRDefault="004E2FC4" w:rsidP="00F13887">
      <w:pPr>
        <w:tabs>
          <w:tab w:val="left" w:pos="432"/>
        </w:tabs>
        <w:spacing w:after="240"/>
        <w:rPr>
          <w:rFonts w:ascii="Garamond" w:eastAsia="Times New Roman" w:hAnsi="Garamond" w:cs="Times New Roman"/>
          <w:sz w:val="24"/>
          <w:szCs w:val="24"/>
        </w:rPr>
      </w:pPr>
      <w:r w:rsidRPr="00183E4E">
        <w:rPr>
          <w:rFonts w:ascii="Garamond" w:eastAsia="Times New Roman" w:hAnsi="Garamond" w:cs="Times New Roman"/>
          <w:sz w:val="24"/>
          <w:szCs w:val="24"/>
        </w:rPr>
        <w:t>We</w:t>
      </w:r>
      <w:r w:rsidR="002B34B0" w:rsidRPr="00183E4E">
        <w:rPr>
          <w:rFonts w:ascii="Garamond" w:eastAsia="Times New Roman" w:hAnsi="Garamond" w:cs="Times New Roman"/>
          <w:sz w:val="24"/>
          <w:szCs w:val="24"/>
        </w:rPr>
        <w:t xml:space="preserve"> expect that the remainder of those who respond to the letter (that is, 80 percent of pediatricians and 50 percent of family physicians who respond to the letter) will indicate that they do serve Medicaid children and will complete the survey. </w:t>
      </w:r>
    </w:p>
    <w:p w:rsidR="002B34B0" w:rsidRPr="00183E4E" w:rsidRDefault="002B34B0" w:rsidP="00F13887">
      <w:pPr>
        <w:tabs>
          <w:tab w:val="left" w:pos="432"/>
        </w:tabs>
        <w:spacing w:after="240"/>
        <w:rPr>
          <w:rFonts w:ascii="Garamond" w:eastAsia="Times New Roman" w:hAnsi="Garamond" w:cs="Times New Roman"/>
          <w:sz w:val="24"/>
          <w:szCs w:val="24"/>
        </w:rPr>
      </w:pPr>
      <w:r w:rsidRPr="00183E4E">
        <w:rPr>
          <w:rFonts w:ascii="Garamond" w:eastAsia="Times New Roman" w:hAnsi="Garamond" w:cs="Times New Roman"/>
          <w:sz w:val="24"/>
          <w:szCs w:val="24"/>
        </w:rPr>
        <w:t xml:space="preserve">Assuming an equal number of pediatricians and family physicians in the sample, </w:t>
      </w:r>
      <w:r w:rsidR="004E2FC4" w:rsidRPr="00183E4E">
        <w:rPr>
          <w:rFonts w:ascii="Garamond" w:eastAsia="Times New Roman" w:hAnsi="Garamond" w:cs="Times New Roman"/>
          <w:sz w:val="24"/>
          <w:szCs w:val="24"/>
        </w:rPr>
        <w:t>Table</w:t>
      </w:r>
      <w:r w:rsidRPr="00183E4E">
        <w:rPr>
          <w:rFonts w:ascii="Garamond" w:eastAsia="Times New Roman" w:hAnsi="Garamond" w:cs="Times New Roman"/>
          <w:sz w:val="24"/>
          <w:szCs w:val="24"/>
        </w:rPr>
        <w:t>1 illustrates these assumptions.</w:t>
      </w:r>
    </w:p>
    <w:p w:rsidR="00343381" w:rsidRPr="00183E4E" w:rsidRDefault="00343381" w:rsidP="002B34B0">
      <w:pPr>
        <w:keepNext/>
        <w:tabs>
          <w:tab w:val="left" w:pos="432"/>
        </w:tabs>
        <w:spacing w:after="60"/>
        <w:jc w:val="both"/>
        <w:rPr>
          <w:rFonts w:ascii="Arial" w:eastAsia="Times New Roman" w:hAnsi="Arial" w:cs="Times New Roman"/>
          <w:b/>
          <w:sz w:val="18"/>
          <w:szCs w:val="24"/>
        </w:rPr>
      </w:pPr>
    </w:p>
    <w:p w:rsidR="002B34B0" w:rsidRPr="00183E4E" w:rsidRDefault="004E2FC4" w:rsidP="002B34B0">
      <w:pPr>
        <w:keepNext/>
        <w:tabs>
          <w:tab w:val="left" w:pos="432"/>
        </w:tabs>
        <w:spacing w:after="60"/>
        <w:jc w:val="both"/>
        <w:rPr>
          <w:rFonts w:ascii="Arial" w:eastAsia="Times New Roman" w:hAnsi="Arial" w:cs="Times New Roman"/>
          <w:b/>
          <w:sz w:val="18"/>
          <w:szCs w:val="24"/>
        </w:rPr>
      </w:pPr>
      <w:r w:rsidRPr="00183E4E">
        <w:rPr>
          <w:rFonts w:ascii="Arial" w:eastAsia="Times New Roman" w:hAnsi="Arial" w:cs="Times New Roman"/>
          <w:b/>
          <w:sz w:val="18"/>
          <w:szCs w:val="24"/>
        </w:rPr>
        <w:t>Table</w:t>
      </w:r>
      <w:r w:rsidR="001C31B1" w:rsidRPr="00183E4E">
        <w:rPr>
          <w:rFonts w:ascii="Arial" w:eastAsia="Times New Roman" w:hAnsi="Arial" w:cs="Times New Roman"/>
          <w:b/>
          <w:sz w:val="18"/>
          <w:szCs w:val="24"/>
        </w:rPr>
        <w:t xml:space="preserve"> </w:t>
      </w:r>
      <w:r w:rsidR="002B34B0" w:rsidRPr="00183E4E">
        <w:rPr>
          <w:rFonts w:ascii="Arial" w:eastAsia="Times New Roman" w:hAnsi="Arial" w:cs="Times New Roman"/>
          <w:b/>
          <w:sz w:val="18"/>
          <w:szCs w:val="24"/>
        </w:rPr>
        <w:t xml:space="preserve">1. Response Pattern Assumptions </w:t>
      </w:r>
    </w:p>
    <w:tbl>
      <w:tblPr>
        <w:tblStyle w:val="SMPRTableBlack"/>
        <w:tblW w:w="0" w:type="auto"/>
        <w:tblLayout w:type="fixed"/>
        <w:tblLook w:val="04A0"/>
      </w:tblPr>
      <w:tblGrid>
        <w:gridCol w:w="4338"/>
        <w:gridCol w:w="1746"/>
        <w:gridCol w:w="1746"/>
        <w:gridCol w:w="1746"/>
      </w:tblGrid>
      <w:tr w:rsidR="002B34B0" w:rsidRPr="00183E4E" w:rsidTr="00F13887">
        <w:trPr>
          <w:cnfStyle w:val="100000000000"/>
        </w:trPr>
        <w:tc>
          <w:tcPr>
            <w:tcW w:w="4338" w:type="dxa"/>
          </w:tcPr>
          <w:p w:rsidR="002B34B0" w:rsidRPr="00183E4E" w:rsidRDefault="002B34B0" w:rsidP="002B34B0">
            <w:pPr>
              <w:tabs>
                <w:tab w:val="left" w:pos="432"/>
              </w:tabs>
              <w:spacing w:before="120" w:after="60"/>
              <w:rPr>
                <w:sz w:val="18"/>
              </w:rPr>
            </w:pPr>
            <w:r w:rsidRPr="00183E4E">
              <w:rPr>
                <w:sz w:val="18"/>
              </w:rPr>
              <w:t>Expectations Per State</w:t>
            </w:r>
          </w:p>
        </w:tc>
        <w:tc>
          <w:tcPr>
            <w:tcW w:w="1746" w:type="dxa"/>
          </w:tcPr>
          <w:p w:rsidR="002B34B0" w:rsidRPr="00183E4E" w:rsidRDefault="002B34B0" w:rsidP="002B34B0">
            <w:pPr>
              <w:tabs>
                <w:tab w:val="left" w:pos="432"/>
              </w:tabs>
              <w:spacing w:before="120" w:after="60"/>
              <w:jc w:val="center"/>
              <w:rPr>
                <w:sz w:val="18"/>
              </w:rPr>
            </w:pPr>
            <w:r w:rsidRPr="00183E4E">
              <w:rPr>
                <w:sz w:val="18"/>
              </w:rPr>
              <w:t>Pediatricians</w:t>
            </w:r>
          </w:p>
        </w:tc>
        <w:tc>
          <w:tcPr>
            <w:tcW w:w="1746" w:type="dxa"/>
          </w:tcPr>
          <w:p w:rsidR="002B34B0" w:rsidRPr="00183E4E" w:rsidRDefault="002B34B0" w:rsidP="002B34B0">
            <w:pPr>
              <w:tabs>
                <w:tab w:val="left" w:pos="432"/>
              </w:tabs>
              <w:spacing w:before="120" w:after="60"/>
              <w:jc w:val="center"/>
              <w:rPr>
                <w:sz w:val="18"/>
              </w:rPr>
            </w:pPr>
            <w:r w:rsidRPr="00183E4E">
              <w:rPr>
                <w:sz w:val="18"/>
              </w:rPr>
              <w:t>Family Physicians</w:t>
            </w:r>
          </w:p>
        </w:tc>
        <w:tc>
          <w:tcPr>
            <w:tcW w:w="1746" w:type="dxa"/>
          </w:tcPr>
          <w:p w:rsidR="002B34B0" w:rsidRPr="00183E4E" w:rsidRDefault="002B34B0" w:rsidP="002B34B0">
            <w:pPr>
              <w:tabs>
                <w:tab w:val="left" w:pos="432"/>
              </w:tabs>
              <w:spacing w:before="120" w:after="60"/>
              <w:jc w:val="center"/>
              <w:rPr>
                <w:sz w:val="18"/>
              </w:rPr>
            </w:pPr>
            <w:r w:rsidRPr="00183E4E">
              <w:rPr>
                <w:sz w:val="18"/>
              </w:rPr>
              <w:t>Total</w:t>
            </w:r>
          </w:p>
        </w:tc>
      </w:tr>
      <w:tr w:rsidR="002B34B0" w:rsidRPr="00183E4E" w:rsidTr="00F13887">
        <w:tc>
          <w:tcPr>
            <w:tcW w:w="4338" w:type="dxa"/>
            <w:vAlign w:val="top"/>
          </w:tcPr>
          <w:p w:rsidR="002B34B0" w:rsidRPr="00183E4E" w:rsidRDefault="002B34B0" w:rsidP="002B34B0">
            <w:pPr>
              <w:spacing w:before="120"/>
              <w:rPr>
                <w:sz w:val="18"/>
              </w:rPr>
            </w:pPr>
            <w:r w:rsidRPr="00183E4E">
              <w:rPr>
                <w:sz w:val="18"/>
              </w:rPr>
              <w:t>Number of letters sent</w:t>
            </w:r>
          </w:p>
        </w:tc>
        <w:tc>
          <w:tcPr>
            <w:tcW w:w="1746" w:type="dxa"/>
            <w:vAlign w:val="top"/>
          </w:tcPr>
          <w:p w:rsidR="002B34B0" w:rsidRPr="00183E4E" w:rsidRDefault="002B34B0" w:rsidP="002B34B0">
            <w:pPr>
              <w:tabs>
                <w:tab w:val="decimal" w:pos="947"/>
              </w:tabs>
              <w:spacing w:before="120"/>
              <w:rPr>
                <w:sz w:val="18"/>
              </w:rPr>
            </w:pPr>
            <w:r w:rsidRPr="00183E4E">
              <w:rPr>
                <w:sz w:val="18"/>
              </w:rPr>
              <w:t>577</w:t>
            </w:r>
          </w:p>
        </w:tc>
        <w:tc>
          <w:tcPr>
            <w:tcW w:w="1746" w:type="dxa"/>
            <w:vAlign w:val="top"/>
          </w:tcPr>
          <w:p w:rsidR="002B34B0" w:rsidRPr="00183E4E" w:rsidRDefault="002B34B0" w:rsidP="002B34B0">
            <w:pPr>
              <w:tabs>
                <w:tab w:val="decimal" w:pos="947"/>
              </w:tabs>
              <w:spacing w:before="120"/>
              <w:rPr>
                <w:sz w:val="18"/>
              </w:rPr>
            </w:pPr>
            <w:r w:rsidRPr="00183E4E">
              <w:rPr>
                <w:sz w:val="18"/>
              </w:rPr>
              <w:t>577</w:t>
            </w:r>
          </w:p>
        </w:tc>
        <w:tc>
          <w:tcPr>
            <w:tcW w:w="1746" w:type="dxa"/>
            <w:vAlign w:val="top"/>
          </w:tcPr>
          <w:p w:rsidR="002B34B0" w:rsidRPr="00183E4E" w:rsidRDefault="002B34B0" w:rsidP="002B34B0">
            <w:pPr>
              <w:tabs>
                <w:tab w:val="decimal" w:pos="947"/>
              </w:tabs>
              <w:spacing w:before="120"/>
              <w:rPr>
                <w:sz w:val="18"/>
              </w:rPr>
            </w:pPr>
            <w:r w:rsidRPr="00183E4E">
              <w:rPr>
                <w:sz w:val="18"/>
              </w:rPr>
              <w:t>1,154</w:t>
            </w:r>
          </w:p>
        </w:tc>
      </w:tr>
      <w:tr w:rsidR="002B34B0" w:rsidRPr="00183E4E" w:rsidTr="00F13887">
        <w:tc>
          <w:tcPr>
            <w:tcW w:w="4338" w:type="dxa"/>
            <w:vAlign w:val="top"/>
          </w:tcPr>
          <w:p w:rsidR="002B34B0" w:rsidRPr="00183E4E" w:rsidRDefault="002B34B0" w:rsidP="002B34B0">
            <w:pPr>
              <w:rPr>
                <w:sz w:val="18"/>
              </w:rPr>
            </w:pPr>
            <w:r w:rsidRPr="00183E4E">
              <w:rPr>
                <w:sz w:val="18"/>
              </w:rPr>
              <w:t>Number responding to letter</w:t>
            </w:r>
          </w:p>
        </w:tc>
        <w:tc>
          <w:tcPr>
            <w:tcW w:w="1746" w:type="dxa"/>
            <w:vAlign w:val="top"/>
          </w:tcPr>
          <w:p w:rsidR="002B34B0" w:rsidRPr="00183E4E" w:rsidRDefault="002B34B0" w:rsidP="002B34B0">
            <w:pPr>
              <w:tabs>
                <w:tab w:val="decimal" w:pos="947"/>
              </w:tabs>
              <w:rPr>
                <w:sz w:val="18"/>
              </w:rPr>
            </w:pPr>
            <w:r w:rsidRPr="00183E4E">
              <w:rPr>
                <w:sz w:val="18"/>
              </w:rPr>
              <w:t>231</w:t>
            </w:r>
          </w:p>
        </w:tc>
        <w:tc>
          <w:tcPr>
            <w:tcW w:w="1746" w:type="dxa"/>
            <w:vAlign w:val="top"/>
          </w:tcPr>
          <w:p w:rsidR="002B34B0" w:rsidRPr="00183E4E" w:rsidRDefault="002B34B0" w:rsidP="002B34B0">
            <w:pPr>
              <w:tabs>
                <w:tab w:val="decimal" w:pos="947"/>
              </w:tabs>
              <w:rPr>
                <w:sz w:val="18"/>
              </w:rPr>
            </w:pPr>
            <w:r w:rsidRPr="00183E4E">
              <w:rPr>
                <w:sz w:val="18"/>
              </w:rPr>
              <w:t>231</w:t>
            </w:r>
          </w:p>
        </w:tc>
        <w:tc>
          <w:tcPr>
            <w:tcW w:w="1746" w:type="dxa"/>
            <w:vAlign w:val="top"/>
          </w:tcPr>
          <w:p w:rsidR="002B34B0" w:rsidRPr="00183E4E" w:rsidRDefault="002B34B0" w:rsidP="002B34B0">
            <w:pPr>
              <w:tabs>
                <w:tab w:val="decimal" w:pos="947"/>
              </w:tabs>
              <w:rPr>
                <w:sz w:val="18"/>
              </w:rPr>
            </w:pPr>
            <w:r w:rsidRPr="00183E4E">
              <w:rPr>
                <w:sz w:val="18"/>
              </w:rPr>
              <w:t>462</w:t>
            </w:r>
          </w:p>
        </w:tc>
      </w:tr>
      <w:tr w:rsidR="002B34B0" w:rsidRPr="00183E4E" w:rsidTr="00F13887">
        <w:tc>
          <w:tcPr>
            <w:tcW w:w="4338" w:type="dxa"/>
            <w:vAlign w:val="top"/>
          </w:tcPr>
          <w:p w:rsidR="002B34B0" w:rsidRPr="00183E4E" w:rsidRDefault="002B34B0" w:rsidP="002B34B0">
            <w:pPr>
              <w:spacing w:after="60"/>
              <w:rPr>
                <w:sz w:val="18"/>
              </w:rPr>
            </w:pPr>
            <w:r w:rsidRPr="00183E4E">
              <w:rPr>
                <w:sz w:val="18"/>
              </w:rPr>
              <w:t xml:space="preserve">Number of respondents replying to the letter who serve Medicaid children and complete the survey </w:t>
            </w:r>
            <w:r w:rsidRPr="00183E4E">
              <w:rPr>
                <w:sz w:val="18"/>
                <w:vertAlign w:val="superscript"/>
              </w:rPr>
              <w:t>1</w:t>
            </w:r>
          </w:p>
        </w:tc>
        <w:tc>
          <w:tcPr>
            <w:tcW w:w="1746" w:type="dxa"/>
            <w:vAlign w:val="top"/>
          </w:tcPr>
          <w:p w:rsidR="002B34B0" w:rsidRPr="00183E4E" w:rsidRDefault="002B34B0" w:rsidP="002B34B0">
            <w:pPr>
              <w:tabs>
                <w:tab w:val="decimal" w:pos="947"/>
              </w:tabs>
              <w:rPr>
                <w:sz w:val="18"/>
              </w:rPr>
            </w:pPr>
            <w:r w:rsidRPr="00183E4E">
              <w:rPr>
                <w:sz w:val="18"/>
              </w:rPr>
              <w:t>185</w:t>
            </w:r>
          </w:p>
        </w:tc>
        <w:tc>
          <w:tcPr>
            <w:tcW w:w="1746" w:type="dxa"/>
            <w:vAlign w:val="top"/>
          </w:tcPr>
          <w:p w:rsidR="002B34B0" w:rsidRPr="00183E4E" w:rsidRDefault="002B34B0" w:rsidP="002B34B0">
            <w:pPr>
              <w:tabs>
                <w:tab w:val="decimal" w:pos="947"/>
              </w:tabs>
              <w:rPr>
                <w:sz w:val="18"/>
              </w:rPr>
            </w:pPr>
            <w:r w:rsidRPr="00183E4E">
              <w:rPr>
                <w:sz w:val="18"/>
              </w:rPr>
              <w:t>115</w:t>
            </w:r>
          </w:p>
        </w:tc>
        <w:tc>
          <w:tcPr>
            <w:tcW w:w="1746" w:type="dxa"/>
            <w:vAlign w:val="top"/>
          </w:tcPr>
          <w:p w:rsidR="002B34B0" w:rsidRPr="00183E4E" w:rsidRDefault="002B34B0" w:rsidP="002B34B0">
            <w:pPr>
              <w:tabs>
                <w:tab w:val="decimal" w:pos="947"/>
              </w:tabs>
              <w:rPr>
                <w:sz w:val="18"/>
              </w:rPr>
            </w:pPr>
            <w:r w:rsidRPr="00183E4E">
              <w:rPr>
                <w:sz w:val="18"/>
              </w:rPr>
              <w:t>300</w:t>
            </w:r>
          </w:p>
        </w:tc>
      </w:tr>
    </w:tbl>
    <w:p w:rsidR="002B34B0" w:rsidRPr="00183E4E" w:rsidRDefault="002B34B0" w:rsidP="00F13887">
      <w:pPr>
        <w:rPr>
          <w:rFonts w:ascii="Arial" w:eastAsia="Times New Roman" w:hAnsi="Arial" w:cs="Times New Roman"/>
          <w:b/>
          <w:sz w:val="18"/>
          <w:szCs w:val="24"/>
        </w:rPr>
      </w:pPr>
      <w:r w:rsidRPr="00183E4E">
        <w:rPr>
          <w:rFonts w:ascii="Arial" w:eastAsia="Times New Roman" w:hAnsi="Arial" w:cs="Times New Roman"/>
          <w:sz w:val="18"/>
          <w:szCs w:val="24"/>
          <w:vertAlign w:val="superscript"/>
        </w:rPr>
        <w:t>1</w:t>
      </w:r>
      <w:r w:rsidRPr="00183E4E">
        <w:rPr>
          <w:rFonts w:ascii="Arial" w:eastAsia="Times New Roman" w:hAnsi="Arial" w:cs="Times New Roman"/>
          <w:sz w:val="18"/>
          <w:szCs w:val="24"/>
        </w:rPr>
        <w:t xml:space="preserve"> Assuming 80 percent of pediatricians and 50 percent of family physicians serve children enrolled in Medicaid, 231 responding pediatricians will result in 185 pediatricians (80 percent of 231) who serve children enrolled in Medicaid and 231 responding family physicians will result in 115 family physicians (50 percent of 231) who serve children enrolled in Medicaid </w:t>
      </w:r>
    </w:p>
    <w:p w:rsidR="002B34B0" w:rsidRPr="00183E4E" w:rsidRDefault="002B34B0" w:rsidP="002B34B0">
      <w:pPr>
        <w:tabs>
          <w:tab w:val="left" w:pos="432"/>
        </w:tabs>
        <w:spacing w:after="240"/>
        <w:rPr>
          <w:rFonts w:ascii="Garamond" w:eastAsia="Times New Roman" w:hAnsi="Garamond" w:cs="Times New Roman"/>
          <w:sz w:val="24"/>
          <w:szCs w:val="24"/>
        </w:rPr>
      </w:pPr>
    </w:p>
    <w:p w:rsidR="002B34B0" w:rsidRPr="00183E4E" w:rsidRDefault="002B34B0" w:rsidP="002B34B0">
      <w:pPr>
        <w:tabs>
          <w:tab w:val="left" w:pos="432"/>
        </w:tabs>
        <w:spacing w:after="240"/>
        <w:ind w:left="432" w:hanging="432"/>
        <w:jc w:val="both"/>
        <w:outlineLvl w:val="3"/>
        <w:rPr>
          <w:rFonts w:ascii="Garamond" w:eastAsia="Times New Roman" w:hAnsi="Garamond" w:cs="Times New Roman"/>
          <w:b/>
          <w:sz w:val="24"/>
          <w:szCs w:val="24"/>
        </w:rPr>
      </w:pPr>
      <w:r w:rsidRPr="00183E4E">
        <w:rPr>
          <w:rFonts w:ascii="Garamond" w:eastAsia="Times New Roman" w:hAnsi="Garamond" w:cs="Times New Roman"/>
          <w:b/>
          <w:sz w:val="24"/>
          <w:szCs w:val="24"/>
        </w:rPr>
        <w:t>b.</w:t>
      </w:r>
      <w:r w:rsidRPr="00183E4E">
        <w:rPr>
          <w:rFonts w:ascii="Garamond" w:eastAsia="Times New Roman" w:hAnsi="Garamond" w:cs="Times New Roman"/>
          <w:b/>
          <w:sz w:val="24"/>
          <w:szCs w:val="24"/>
        </w:rPr>
        <w:tab/>
        <w:t xml:space="preserve">Estimating Population Characteristics </w:t>
      </w:r>
    </w:p>
    <w:p w:rsidR="002B34B0" w:rsidRPr="00183E4E" w:rsidRDefault="002B34B0" w:rsidP="00F13887">
      <w:pPr>
        <w:tabs>
          <w:tab w:val="left" w:pos="432"/>
        </w:tabs>
        <w:spacing w:after="240"/>
        <w:rPr>
          <w:rFonts w:ascii="Garamond" w:eastAsia="Times New Roman" w:hAnsi="Garamond" w:cs="Times New Roman"/>
          <w:sz w:val="24"/>
          <w:szCs w:val="24"/>
        </w:rPr>
      </w:pPr>
      <w:r w:rsidRPr="00183E4E">
        <w:rPr>
          <w:rFonts w:ascii="Garamond" w:eastAsia="Times New Roman" w:hAnsi="Garamond" w:cs="Times New Roman"/>
          <w:sz w:val="24"/>
          <w:szCs w:val="24"/>
        </w:rPr>
        <w:t xml:space="preserve">Population characteristics will be estimated from survey data using </w:t>
      </w:r>
      <w:r w:rsidR="007714E4" w:rsidRPr="00183E4E">
        <w:rPr>
          <w:rFonts w:ascii="Garamond" w:eastAsia="Times New Roman" w:hAnsi="Garamond" w:cs="Times New Roman"/>
          <w:sz w:val="24"/>
          <w:szCs w:val="24"/>
        </w:rPr>
        <w:t xml:space="preserve">sampling </w:t>
      </w:r>
      <w:r w:rsidRPr="00183E4E">
        <w:rPr>
          <w:rFonts w:ascii="Garamond" w:eastAsia="Times New Roman" w:hAnsi="Garamond" w:cs="Times New Roman"/>
          <w:sz w:val="24"/>
          <w:szCs w:val="24"/>
        </w:rPr>
        <w:t xml:space="preserve">weights that reflect differences </w:t>
      </w:r>
      <w:r w:rsidR="007714E4" w:rsidRPr="00183E4E">
        <w:rPr>
          <w:rFonts w:ascii="Garamond" w:eastAsia="Times New Roman" w:hAnsi="Garamond" w:cs="Times New Roman"/>
          <w:sz w:val="24"/>
          <w:szCs w:val="24"/>
        </w:rPr>
        <w:t xml:space="preserve">in probability of selection for the physicians.   We will then adjust the sampling weights to compensate for </w:t>
      </w:r>
      <w:r w:rsidRPr="00183E4E">
        <w:rPr>
          <w:rFonts w:ascii="Garamond" w:eastAsia="Times New Roman" w:hAnsi="Garamond" w:cs="Times New Roman"/>
          <w:sz w:val="24"/>
          <w:szCs w:val="24"/>
        </w:rPr>
        <w:t xml:space="preserve">physicians </w:t>
      </w:r>
      <w:r w:rsidR="007714E4" w:rsidRPr="00183E4E">
        <w:rPr>
          <w:rFonts w:ascii="Garamond" w:eastAsia="Times New Roman" w:hAnsi="Garamond" w:cs="Times New Roman"/>
          <w:sz w:val="24"/>
          <w:szCs w:val="24"/>
        </w:rPr>
        <w:t xml:space="preserve">who do </w:t>
      </w:r>
      <w:r w:rsidRPr="00183E4E">
        <w:rPr>
          <w:rFonts w:ascii="Garamond" w:eastAsia="Times New Roman" w:hAnsi="Garamond" w:cs="Times New Roman"/>
          <w:sz w:val="24"/>
          <w:szCs w:val="24"/>
        </w:rPr>
        <w:t>complet</w:t>
      </w:r>
      <w:r w:rsidR="007714E4" w:rsidRPr="00183E4E">
        <w:rPr>
          <w:rFonts w:ascii="Garamond" w:eastAsia="Times New Roman" w:hAnsi="Garamond" w:cs="Times New Roman"/>
          <w:sz w:val="24"/>
          <w:szCs w:val="24"/>
        </w:rPr>
        <w:t>e</w:t>
      </w:r>
      <w:r w:rsidRPr="00183E4E">
        <w:rPr>
          <w:rFonts w:ascii="Garamond" w:eastAsia="Times New Roman" w:hAnsi="Garamond" w:cs="Times New Roman"/>
          <w:sz w:val="24"/>
          <w:szCs w:val="24"/>
        </w:rPr>
        <w:t xml:space="preserve"> the survey </w:t>
      </w:r>
      <w:r w:rsidR="007714E4" w:rsidRPr="00183E4E">
        <w:rPr>
          <w:rFonts w:ascii="Garamond" w:eastAsia="Times New Roman" w:hAnsi="Garamond" w:cs="Times New Roman"/>
          <w:sz w:val="24"/>
          <w:szCs w:val="24"/>
        </w:rPr>
        <w:t xml:space="preserve">by computing the </w:t>
      </w:r>
      <w:r w:rsidRPr="00183E4E">
        <w:rPr>
          <w:rFonts w:ascii="Garamond" w:eastAsia="Times New Roman" w:hAnsi="Garamond" w:cs="Times New Roman"/>
          <w:sz w:val="24"/>
          <w:szCs w:val="24"/>
        </w:rPr>
        <w:t>propensity to respond</w:t>
      </w:r>
      <w:r w:rsidR="007714E4" w:rsidRPr="00183E4E">
        <w:rPr>
          <w:rFonts w:ascii="Garamond" w:eastAsia="Times New Roman" w:hAnsi="Garamond" w:cs="Times New Roman"/>
          <w:sz w:val="24"/>
          <w:szCs w:val="24"/>
        </w:rPr>
        <w:t>.  The inverse of the response propensity will be used as the adjustment factor and the weights will be post-stratified to the frame counts</w:t>
      </w:r>
      <w:r w:rsidRPr="00183E4E">
        <w:rPr>
          <w:rFonts w:ascii="Garamond" w:eastAsia="Times New Roman" w:hAnsi="Garamond" w:cs="Times New Roman"/>
          <w:sz w:val="24"/>
          <w:szCs w:val="24"/>
        </w:rPr>
        <w:t xml:space="preserve">. Because the expected response rate is less than 80 percent, </w:t>
      </w:r>
      <w:r w:rsidR="007714E4" w:rsidRPr="00183E4E">
        <w:rPr>
          <w:rFonts w:ascii="Garamond" w:eastAsia="Times New Roman" w:hAnsi="Garamond" w:cs="Times New Roman"/>
          <w:sz w:val="24"/>
          <w:szCs w:val="24"/>
        </w:rPr>
        <w:t>an</w:t>
      </w:r>
      <w:r w:rsidRPr="00183E4E">
        <w:rPr>
          <w:rFonts w:ascii="Garamond" w:eastAsia="Times New Roman" w:hAnsi="Garamond" w:cs="Times New Roman"/>
          <w:sz w:val="24"/>
          <w:szCs w:val="24"/>
        </w:rPr>
        <w:t xml:space="preserve"> analysis</w:t>
      </w:r>
      <w:r w:rsidR="004E2FC4" w:rsidRPr="00183E4E">
        <w:rPr>
          <w:rFonts w:ascii="Garamond" w:eastAsia="Times New Roman" w:hAnsi="Garamond" w:cs="Times New Roman"/>
          <w:sz w:val="24"/>
          <w:szCs w:val="24"/>
        </w:rPr>
        <w:t xml:space="preserve"> </w:t>
      </w:r>
      <w:r w:rsidR="007714E4" w:rsidRPr="00183E4E">
        <w:rPr>
          <w:rFonts w:ascii="Garamond" w:eastAsia="Times New Roman" w:hAnsi="Garamond" w:cs="Times New Roman"/>
          <w:sz w:val="24"/>
          <w:szCs w:val="24"/>
        </w:rPr>
        <w:t xml:space="preserve">of the potential for nonresponse bias </w:t>
      </w:r>
      <w:r w:rsidR="004E2FC4" w:rsidRPr="00183E4E">
        <w:rPr>
          <w:rFonts w:ascii="Garamond" w:eastAsia="Times New Roman" w:hAnsi="Garamond" w:cs="Times New Roman"/>
          <w:sz w:val="24"/>
          <w:szCs w:val="24"/>
        </w:rPr>
        <w:t>will be conducted</w:t>
      </w:r>
      <w:r w:rsidRPr="00183E4E">
        <w:rPr>
          <w:rFonts w:ascii="Garamond" w:eastAsia="Times New Roman" w:hAnsi="Garamond" w:cs="Times New Roman"/>
          <w:sz w:val="24"/>
          <w:szCs w:val="24"/>
        </w:rPr>
        <w:t xml:space="preserve"> and</w:t>
      </w:r>
      <w:r w:rsidR="004E2FC4" w:rsidRPr="00183E4E">
        <w:rPr>
          <w:rFonts w:ascii="Garamond" w:eastAsia="Times New Roman" w:hAnsi="Garamond" w:cs="Times New Roman"/>
          <w:sz w:val="24"/>
          <w:szCs w:val="24"/>
        </w:rPr>
        <w:t xml:space="preserve"> the results</w:t>
      </w:r>
      <w:r w:rsidRPr="00183E4E">
        <w:rPr>
          <w:rFonts w:ascii="Garamond" w:eastAsia="Times New Roman" w:hAnsi="Garamond" w:cs="Times New Roman"/>
          <w:sz w:val="24"/>
          <w:szCs w:val="24"/>
        </w:rPr>
        <w:t xml:space="preserve"> use</w:t>
      </w:r>
      <w:r w:rsidR="004E2FC4" w:rsidRPr="00183E4E">
        <w:rPr>
          <w:rFonts w:ascii="Garamond" w:eastAsia="Times New Roman" w:hAnsi="Garamond" w:cs="Times New Roman"/>
          <w:sz w:val="24"/>
          <w:szCs w:val="24"/>
        </w:rPr>
        <w:t>d</w:t>
      </w:r>
      <w:r w:rsidRPr="00183E4E">
        <w:rPr>
          <w:rFonts w:ascii="Garamond" w:eastAsia="Times New Roman" w:hAnsi="Garamond" w:cs="Times New Roman"/>
          <w:sz w:val="24"/>
          <w:szCs w:val="24"/>
        </w:rPr>
        <w:t xml:space="preserve"> in making </w:t>
      </w:r>
      <w:r w:rsidRPr="00183E4E">
        <w:rPr>
          <w:rFonts w:ascii="Garamond" w:eastAsia="Times New Roman" w:hAnsi="Garamond" w:cs="Times New Roman"/>
          <w:sz w:val="24"/>
          <w:szCs w:val="24"/>
        </w:rPr>
        <w:lastRenderedPageBreak/>
        <w:t xml:space="preserve">nonresponse adjustments. Below we first describe these procedures for conducting nonresponse analysis and then present the plan for weighting. </w:t>
      </w:r>
      <w:r w:rsidR="004E2FC4" w:rsidRPr="00183E4E">
        <w:rPr>
          <w:rFonts w:ascii="Garamond" w:eastAsia="Times New Roman" w:hAnsi="Garamond" w:cs="Times New Roman"/>
          <w:sz w:val="24"/>
          <w:szCs w:val="24"/>
        </w:rPr>
        <w:t>N</w:t>
      </w:r>
      <w:r w:rsidR="005B0446" w:rsidRPr="00183E4E">
        <w:rPr>
          <w:rFonts w:ascii="Garamond" w:eastAsia="Times New Roman" w:hAnsi="Garamond" w:cs="Times New Roman"/>
          <w:sz w:val="24"/>
          <w:szCs w:val="24"/>
        </w:rPr>
        <w:t>onresponse analysis</w:t>
      </w:r>
      <w:r w:rsidR="004E2FC4" w:rsidRPr="00183E4E">
        <w:rPr>
          <w:rFonts w:ascii="Garamond" w:eastAsia="Times New Roman" w:hAnsi="Garamond" w:cs="Times New Roman"/>
          <w:sz w:val="24"/>
          <w:szCs w:val="24"/>
        </w:rPr>
        <w:t xml:space="preserve"> is routinely conducted</w:t>
      </w:r>
      <w:r w:rsidRPr="00183E4E">
        <w:rPr>
          <w:rFonts w:ascii="Garamond" w:eastAsia="Times New Roman" w:hAnsi="Garamond" w:cs="Times New Roman"/>
          <w:sz w:val="24"/>
          <w:szCs w:val="24"/>
        </w:rPr>
        <w:t xml:space="preserve"> as part of the weighting process,</w:t>
      </w:r>
      <w:r w:rsidR="004E2FC4" w:rsidRPr="00183E4E">
        <w:rPr>
          <w:rFonts w:ascii="Garamond" w:eastAsia="Times New Roman" w:hAnsi="Garamond" w:cs="Times New Roman"/>
          <w:sz w:val="24"/>
          <w:szCs w:val="24"/>
        </w:rPr>
        <w:t xml:space="preserve"> and involves</w:t>
      </w:r>
      <w:r w:rsidRPr="00183E4E">
        <w:rPr>
          <w:rFonts w:ascii="Garamond" w:eastAsia="Times New Roman" w:hAnsi="Garamond" w:cs="Times New Roman"/>
          <w:sz w:val="24"/>
          <w:szCs w:val="24"/>
        </w:rPr>
        <w:t xml:space="preserve"> identifying which measurable factors are associated with nonresponse. </w:t>
      </w:r>
    </w:p>
    <w:p w:rsidR="002B34B0" w:rsidRPr="00183E4E" w:rsidRDefault="002B34B0" w:rsidP="00F13887">
      <w:pPr>
        <w:tabs>
          <w:tab w:val="left" w:pos="432"/>
          <w:tab w:val="left" w:pos="1350"/>
        </w:tabs>
        <w:spacing w:after="240"/>
        <w:rPr>
          <w:rFonts w:ascii="Garamond" w:eastAsia="Times New Roman" w:hAnsi="Garamond" w:cs="Times New Roman"/>
          <w:sz w:val="24"/>
          <w:szCs w:val="24"/>
        </w:rPr>
      </w:pPr>
      <w:r w:rsidRPr="00183E4E">
        <w:rPr>
          <w:rFonts w:ascii="Garamond" w:eastAsia="Times New Roman" w:hAnsi="Garamond" w:cs="Times New Roman"/>
          <w:sz w:val="24"/>
          <w:szCs w:val="24"/>
        </w:rPr>
        <w:t xml:space="preserve">The goals of nonresponse analysis are to assess the extent to which (1) nonresponse has introduced an appreciable risk of bias and (2) the weighting process has corrected for any such risk. The  procedures  to achieve these goals will entail (1) identifying factors associated with nonresponse, (2) seeing which of the factors identified in step 1 are also associated with key study variables (to be identified by the research team), (3) using this information </w:t>
      </w:r>
      <w:r w:rsidR="007714E4" w:rsidRPr="00183E4E">
        <w:rPr>
          <w:rFonts w:ascii="Garamond" w:eastAsia="Times New Roman" w:hAnsi="Garamond" w:cs="Times New Roman"/>
          <w:sz w:val="24"/>
          <w:szCs w:val="24"/>
        </w:rPr>
        <w:t>in the logistic regression response propensity models</w:t>
      </w:r>
      <w:r w:rsidRPr="00183E4E">
        <w:rPr>
          <w:rFonts w:ascii="Garamond" w:eastAsia="Times New Roman" w:hAnsi="Garamond" w:cs="Times New Roman"/>
          <w:sz w:val="24"/>
          <w:szCs w:val="24"/>
        </w:rPr>
        <w:t xml:space="preserve"> for </w:t>
      </w:r>
      <w:proofErr w:type="spellStart"/>
      <w:r w:rsidRPr="00183E4E">
        <w:rPr>
          <w:rFonts w:ascii="Garamond" w:eastAsia="Times New Roman" w:hAnsi="Garamond" w:cs="Times New Roman"/>
          <w:sz w:val="24"/>
          <w:szCs w:val="24"/>
        </w:rPr>
        <w:t>nonresponse</w:t>
      </w:r>
      <w:proofErr w:type="spellEnd"/>
      <w:r w:rsidRPr="00183E4E">
        <w:rPr>
          <w:rFonts w:ascii="Garamond" w:eastAsia="Times New Roman" w:hAnsi="Garamond" w:cs="Times New Roman"/>
          <w:sz w:val="24"/>
          <w:szCs w:val="24"/>
        </w:rPr>
        <w:t xml:space="preserve"> adjustments, and (4) checking to see if the weighting process corrected imbalance on characteristics associated with both nonresponse and key study variables.</w:t>
      </w:r>
    </w:p>
    <w:p w:rsidR="002B34B0" w:rsidRPr="00183E4E" w:rsidRDefault="002B34B0" w:rsidP="00F13887">
      <w:pPr>
        <w:tabs>
          <w:tab w:val="left" w:pos="432"/>
        </w:tabs>
        <w:spacing w:after="240"/>
        <w:rPr>
          <w:rFonts w:ascii="Garamond" w:eastAsia="Times New Roman" w:hAnsi="Garamond" w:cs="Times New Roman"/>
          <w:sz w:val="24"/>
          <w:szCs w:val="24"/>
        </w:rPr>
      </w:pPr>
      <w:r w:rsidRPr="00183E4E">
        <w:rPr>
          <w:rFonts w:ascii="Garamond" w:eastAsia="Times New Roman" w:hAnsi="Garamond" w:cs="Times New Roman"/>
          <w:sz w:val="24"/>
          <w:szCs w:val="24"/>
        </w:rPr>
        <w:t xml:space="preserve">To identify variables associated with </w:t>
      </w:r>
      <w:proofErr w:type="spellStart"/>
      <w:r w:rsidRPr="00183E4E">
        <w:rPr>
          <w:rFonts w:ascii="Garamond" w:eastAsia="Times New Roman" w:hAnsi="Garamond" w:cs="Times New Roman"/>
          <w:sz w:val="24"/>
          <w:szCs w:val="24"/>
        </w:rPr>
        <w:t>nonresponse</w:t>
      </w:r>
      <w:proofErr w:type="spellEnd"/>
      <w:r w:rsidRPr="00183E4E">
        <w:rPr>
          <w:rFonts w:ascii="Garamond" w:eastAsia="Times New Roman" w:hAnsi="Garamond" w:cs="Times New Roman"/>
          <w:sz w:val="24"/>
          <w:szCs w:val="24"/>
        </w:rPr>
        <w:t xml:space="preserve">, </w:t>
      </w:r>
      <w:r w:rsidR="00833CF5" w:rsidRPr="00183E4E">
        <w:rPr>
          <w:rFonts w:ascii="Garamond" w:eastAsia="Times New Roman" w:hAnsi="Garamond" w:cs="Times New Roman"/>
          <w:sz w:val="24"/>
          <w:szCs w:val="24"/>
        </w:rPr>
        <w:t xml:space="preserve">AHRQ </w:t>
      </w:r>
      <w:r w:rsidRPr="00183E4E">
        <w:rPr>
          <w:rFonts w:ascii="Garamond" w:eastAsia="Times New Roman" w:hAnsi="Garamond" w:cs="Times New Roman"/>
          <w:sz w:val="24"/>
          <w:szCs w:val="24"/>
        </w:rPr>
        <w:t xml:space="preserve">will use two techniques—Chi-Square Automatic Interaction Detection (CHAID) </w:t>
      </w:r>
      <w:r w:rsidR="007714E4" w:rsidRPr="00183E4E">
        <w:rPr>
          <w:rFonts w:ascii="Garamond" w:eastAsia="Times New Roman" w:hAnsi="Garamond" w:cs="Times New Roman"/>
          <w:sz w:val="24"/>
          <w:szCs w:val="24"/>
        </w:rPr>
        <w:t>followed by</w:t>
      </w:r>
      <w:r w:rsidRPr="00183E4E">
        <w:rPr>
          <w:rFonts w:ascii="Garamond" w:eastAsia="Times New Roman" w:hAnsi="Garamond" w:cs="Times New Roman"/>
          <w:sz w:val="24"/>
          <w:szCs w:val="24"/>
        </w:rPr>
        <w:t xml:space="preserve"> logistic regression. Potential sources of data for this analysis include characteristics of sample members available from the sampling frame and environmental variables such as length of time in the field and number of contacts. </w:t>
      </w:r>
    </w:p>
    <w:p w:rsidR="002B34B0" w:rsidRPr="00183E4E" w:rsidRDefault="002B34B0" w:rsidP="00F13887">
      <w:pPr>
        <w:tabs>
          <w:tab w:val="left" w:pos="432"/>
        </w:tabs>
        <w:spacing w:after="240"/>
        <w:rPr>
          <w:rFonts w:ascii="Garamond" w:eastAsia="Times New Roman" w:hAnsi="Garamond" w:cs="Times New Roman"/>
          <w:sz w:val="24"/>
          <w:szCs w:val="24"/>
        </w:rPr>
      </w:pPr>
      <w:r w:rsidRPr="00183E4E">
        <w:rPr>
          <w:rFonts w:ascii="Garamond" w:eastAsia="Times New Roman" w:hAnsi="Garamond" w:cs="Times New Roman"/>
          <w:sz w:val="24"/>
          <w:szCs w:val="24"/>
        </w:rPr>
        <w:t>Once characteristics associated with nonresponse are identified, logistic regression</w:t>
      </w:r>
      <w:r w:rsidR="004E2FC4" w:rsidRPr="00183E4E">
        <w:rPr>
          <w:rFonts w:ascii="Garamond" w:eastAsia="Times New Roman" w:hAnsi="Garamond" w:cs="Times New Roman"/>
          <w:sz w:val="24"/>
          <w:szCs w:val="24"/>
        </w:rPr>
        <w:t xml:space="preserve"> will be used</w:t>
      </w:r>
      <w:r w:rsidRPr="00183E4E">
        <w:rPr>
          <w:rFonts w:ascii="Garamond" w:eastAsia="Times New Roman" w:hAnsi="Garamond" w:cs="Times New Roman"/>
          <w:sz w:val="24"/>
          <w:szCs w:val="24"/>
        </w:rPr>
        <w:t xml:space="preserve"> to examine whether any of these characteristics are also </w:t>
      </w:r>
      <w:r w:rsidR="007714E4" w:rsidRPr="00183E4E">
        <w:rPr>
          <w:rFonts w:ascii="Garamond" w:eastAsia="Times New Roman" w:hAnsi="Garamond" w:cs="Times New Roman"/>
          <w:sz w:val="24"/>
          <w:szCs w:val="24"/>
        </w:rPr>
        <w:t xml:space="preserve">associated </w:t>
      </w:r>
      <w:r w:rsidRPr="00183E4E">
        <w:rPr>
          <w:rFonts w:ascii="Garamond" w:eastAsia="Times New Roman" w:hAnsi="Garamond" w:cs="Times New Roman"/>
          <w:sz w:val="24"/>
          <w:szCs w:val="24"/>
        </w:rPr>
        <w:t xml:space="preserve">with </w:t>
      </w:r>
      <w:r w:rsidR="007714E4" w:rsidRPr="00183E4E">
        <w:rPr>
          <w:rFonts w:ascii="Garamond" w:eastAsia="Times New Roman" w:hAnsi="Garamond" w:cs="Times New Roman"/>
          <w:sz w:val="24"/>
          <w:szCs w:val="24"/>
        </w:rPr>
        <w:t>response to the interview</w:t>
      </w:r>
      <w:r w:rsidRPr="00183E4E">
        <w:rPr>
          <w:rFonts w:ascii="Garamond" w:eastAsia="Times New Roman" w:hAnsi="Garamond" w:cs="Times New Roman"/>
          <w:sz w:val="24"/>
          <w:szCs w:val="24"/>
        </w:rPr>
        <w:t xml:space="preserve">. </w:t>
      </w:r>
      <w:r w:rsidR="00A930AB" w:rsidRPr="00183E4E">
        <w:rPr>
          <w:rFonts w:ascii="Garamond" w:eastAsia="Times New Roman" w:hAnsi="Garamond" w:cs="Times New Roman"/>
          <w:sz w:val="24"/>
          <w:szCs w:val="24"/>
        </w:rPr>
        <w:t xml:space="preserve">The inverse of the response propensity scores will be used directly or will be used to form weighting classes for the nonresponse adjustments.  </w:t>
      </w:r>
    </w:p>
    <w:p w:rsidR="002B34B0" w:rsidRPr="00183E4E" w:rsidRDefault="002B34B0" w:rsidP="00F13887">
      <w:pPr>
        <w:tabs>
          <w:tab w:val="left" w:pos="432"/>
        </w:tabs>
        <w:spacing w:after="240"/>
        <w:rPr>
          <w:rFonts w:ascii="Garamond" w:eastAsia="Times New Roman" w:hAnsi="Garamond" w:cs="Times New Roman"/>
          <w:sz w:val="24"/>
          <w:szCs w:val="24"/>
        </w:rPr>
      </w:pPr>
      <w:r w:rsidRPr="00183E4E">
        <w:rPr>
          <w:rFonts w:ascii="Garamond" w:eastAsia="Times New Roman" w:hAnsi="Garamond" w:cs="Times New Roman"/>
          <w:sz w:val="24"/>
          <w:szCs w:val="24"/>
        </w:rPr>
        <w:t xml:space="preserve">The analysis weights will </w:t>
      </w:r>
      <w:r w:rsidR="00183E4E" w:rsidRPr="00183E4E">
        <w:rPr>
          <w:rFonts w:ascii="Garamond" w:eastAsia="Times New Roman" w:hAnsi="Garamond" w:cs="Times New Roman"/>
          <w:sz w:val="24"/>
          <w:szCs w:val="24"/>
        </w:rPr>
        <w:t xml:space="preserve">be used </w:t>
      </w:r>
      <w:r w:rsidR="007714E4" w:rsidRPr="00183E4E">
        <w:rPr>
          <w:rFonts w:ascii="Garamond" w:eastAsia="Times New Roman" w:hAnsi="Garamond" w:cs="Times New Roman"/>
          <w:sz w:val="24"/>
          <w:szCs w:val="24"/>
        </w:rPr>
        <w:t>to compute</w:t>
      </w:r>
      <w:r w:rsidRPr="00183E4E">
        <w:rPr>
          <w:rFonts w:ascii="Garamond" w:eastAsia="Times New Roman" w:hAnsi="Garamond" w:cs="Times New Roman"/>
          <w:sz w:val="24"/>
          <w:szCs w:val="24"/>
        </w:rPr>
        <w:t xml:space="preserve"> estimates </w:t>
      </w:r>
      <w:r w:rsidR="007714E4" w:rsidRPr="00183E4E">
        <w:rPr>
          <w:rFonts w:ascii="Garamond" w:eastAsia="Times New Roman" w:hAnsi="Garamond" w:cs="Times New Roman"/>
          <w:sz w:val="24"/>
          <w:szCs w:val="24"/>
        </w:rPr>
        <w:t xml:space="preserve">by and </w:t>
      </w:r>
      <w:r w:rsidRPr="00183E4E">
        <w:rPr>
          <w:rFonts w:ascii="Garamond" w:eastAsia="Times New Roman" w:hAnsi="Garamond" w:cs="Times New Roman"/>
          <w:sz w:val="24"/>
          <w:szCs w:val="24"/>
        </w:rPr>
        <w:t>within specialty, state, and overall. Weights are needed for analysis because the</w:t>
      </w:r>
      <w:r w:rsidR="00833CF5" w:rsidRPr="00183E4E">
        <w:rPr>
          <w:rFonts w:ascii="Garamond" w:eastAsia="Times New Roman" w:hAnsi="Garamond" w:cs="Times New Roman"/>
          <w:sz w:val="24"/>
          <w:szCs w:val="24"/>
        </w:rPr>
        <w:t xml:space="preserve"> contractor </w:t>
      </w:r>
      <w:r w:rsidRPr="00183E4E">
        <w:rPr>
          <w:rFonts w:ascii="Garamond" w:eastAsia="Times New Roman" w:hAnsi="Garamond" w:cs="Times New Roman"/>
          <w:sz w:val="24"/>
          <w:szCs w:val="24"/>
        </w:rPr>
        <w:t xml:space="preserve">will use differential sampling methods (sampling pediatricians and family physicians at different rates within and across states) and because some level of nonresponse is expected. The differential sampling and nonresponse will result in samples of pediatricians and family physicians that are distributed differently than the populations from which they have been sampled. To the extent that the samples differ from their respective populations on dimensions that are related to study variables, estimates made with unweighted data will be biased. The weights will be designed to bring the weighted distribution of the sample back in line with the population distributions. </w:t>
      </w:r>
    </w:p>
    <w:p w:rsidR="002B34B0" w:rsidRPr="00183E4E" w:rsidRDefault="002B34B0" w:rsidP="00F13887">
      <w:pPr>
        <w:tabs>
          <w:tab w:val="left" w:pos="432"/>
        </w:tabs>
        <w:spacing w:after="240"/>
        <w:rPr>
          <w:rFonts w:ascii="Garamond" w:eastAsia="Times New Roman" w:hAnsi="Garamond" w:cs="Times New Roman"/>
          <w:sz w:val="24"/>
          <w:szCs w:val="24"/>
        </w:rPr>
      </w:pPr>
      <w:r w:rsidRPr="00183E4E">
        <w:rPr>
          <w:rFonts w:ascii="Garamond" w:eastAsia="Times New Roman" w:hAnsi="Garamond" w:cs="Times New Roman"/>
          <w:sz w:val="24"/>
          <w:szCs w:val="24"/>
        </w:rPr>
        <w:t xml:space="preserve">The weights will be the products of several factors designed to correct for differences in probabilities of selection and response propensities. The first factor is the sampling weight, defined as the inverse of each physician’s probability of selection. The next factor will be a nonresponse adjustment. In making the </w:t>
      </w:r>
      <w:proofErr w:type="spellStart"/>
      <w:r w:rsidRPr="00183E4E">
        <w:rPr>
          <w:rFonts w:ascii="Garamond" w:eastAsia="Times New Roman" w:hAnsi="Garamond" w:cs="Times New Roman"/>
          <w:sz w:val="24"/>
          <w:szCs w:val="24"/>
        </w:rPr>
        <w:t>nonresponse</w:t>
      </w:r>
      <w:proofErr w:type="spellEnd"/>
      <w:r w:rsidRPr="00183E4E">
        <w:rPr>
          <w:rFonts w:ascii="Garamond" w:eastAsia="Times New Roman" w:hAnsi="Garamond" w:cs="Times New Roman"/>
          <w:sz w:val="24"/>
          <w:szCs w:val="24"/>
        </w:rPr>
        <w:t xml:space="preserve"> adjustments, </w:t>
      </w:r>
      <w:r w:rsidR="00A930AB" w:rsidRPr="00183E4E">
        <w:rPr>
          <w:rFonts w:ascii="Garamond" w:eastAsia="Times New Roman" w:hAnsi="Garamond" w:cs="Times New Roman"/>
          <w:sz w:val="24"/>
          <w:szCs w:val="24"/>
        </w:rPr>
        <w:t xml:space="preserve">we </w:t>
      </w:r>
      <w:r w:rsidRPr="00183E4E">
        <w:rPr>
          <w:rFonts w:ascii="Garamond" w:eastAsia="Times New Roman" w:hAnsi="Garamond" w:cs="Times New Roman"/>
          <w:sz w:val="24"/>
          <w:szCs w:val="24"/>
        </w:rPr>
        <w:t xml:space="preserve">will </w:t>
      </w:r>
      <w:r w:rsidR="00A930AB" w:rsidRPr="00183E4E">
        <w:rPr>
          <w:rFonts w:ascii="Garamond" w:eastAsia="Times New Roman" w:hAnsi="Garamond" w:cs="Times New Roman"/>
          <w:sz w:val="24"/>
          <w:szCs w:val="24"/>
        </w:rPr>
        <w:t xml:space="preserve">use the response propensity score or </w:t>
      </w:r>
      <w:r w:rsidRPr="00183E4E">
        <w:rPr>
          <w:rFonts w:ascii="Garamond" w:eastAsia="Times New Roman" w:hAnsi="Garamond" w:cs="Times New Roman"/>
          <w:sz w:val="24"/>
          <w:szCs w:val="24"/>
        </w:rPr>
        <w:t xml:space="preserve">form cells based on the nonresponse analysis described above. </w:t>
      </w:r>
    </w:p>
    <w:p w:rsidR="002B34B0" w:rsidRPr="00183E4E" w:rsidRDefault="002B34B0" w:rsidP="00F13887">
      <w:pPr>
        <w:tabs>
          <w:tab w:val="left" w:pos="432"/>
        </w:tabs>
        <w:spacing w:after="240"/>
        <w:ind w:firstLine="432"/>
        <w:rPr>
          <w:rFonts w:ascii="Garamond" w:eastAsia="Times New Roman" w:hAnsi="Garamond" w:cs="Times New Roman"/>
          <w:sz w:val="24"/>
          <w:szCs w:val="24"/>
        </w:rPr>
      </w:pPr>
      <w:r w:rsidRPr="00183E4E">
        <w:rPr>
          <w:rFonts w:ascii="Garamond" w:eastAsia="Times New Roman" w:hAnsi="Garamond" w:cs="Times New Roman"/>
          <w:sz w:val="24"/>
          <w:szCs w:val="24"/>
        </w:rPr>
        <w:t xml:space="preserve">The product of the two factors yields the nonresponse adjusted weight (NRW): </w:t>
      </w:r>
    </w:p>
    <w:p w:rsidR="002B34B0" w:rsidRPr="00183E4E" w:rsidRDefault="002B34B0" w:rsidP="00F13887">
      <w:pPr>
        <w:tabs>
          <w:tab w:val="left" w:pos="432"/>
        </w:tabs>
        <w:spacing w:after="240"/>
        <w:ind w:firstLine="432"/>
        <w:rPr>
          <w:rFonts w:ascii="Garamond" w:eastAsia="Times New Roman" w:hAnsi="Garamond" w:cs="Times New Roman"/>
          <w:sz w:val="24"/>
          <w:szCs w:val="24"/>
        </w:rPr>
      </w:pPr>
      <w:r w:rsidRPr="00183E4E">
        <w:rPr>
          <w:rFonts w:ascii="Garamond" w:eastAsia="Times New Roman" w:hAnsi="Garamond" w:cs="Times New Roman"/>
          <w:sz w:val="24"/>
          <w:szCs w:val="24"/>
        </w:rPr>
        <w:t>(1)</w:t>
      </w:r>
      <w:r w:rsidRPr="00183E4E">
        <w:rPr>
          <w:rFonts w:ascii="Garamond" w:eastAsia="Times New Roman" w:hAnsi="Garamond" w:cs="Times New Roman"/>
          <w:sz w:val="24"/>
          <w:szCs w:val="24"/>
        </w:rPr>
        <w:tab/>
      </w:r>
      <w:r w:rsidRPr="00183E4E">
        <w:rPr>
          <w:rFonts w:ascii="Garamond" w:eastAsia="Times New Roman" w:hAnsi="Garamond" w:cs="Times New Roman"/>
          <w:position w:val="-28"/>
          <w:sz w:val="24"/>
          <w:szCs w:val="24"/>
        </w:rPr>
        <w:object w:dxaOrig="250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55pt;height:29.1pt" o:ole="">
            <v:imagedata r:id="rId7" o:title=""/>
          </v:shape>
          <o:OLEObject Type="Embed" ProgID="Equation.DSMT4" ShapeID="_x0000_i1025" DrawAspect="Content" ObjectID="_1438673922" r:id="rId8"/>
        </w:object>
      </w:r>
    </w:p>
    <w:p w:rsidR="002B34B0" w:rsidRPr="00183E4E" w:rsidRDefault="002B34B0" w:rsidP="00F13887">
      <w:pPr>
        <w:tabs>
          <w:tab w:val="left" w:pos="432"/>
        </w:tabs>
        <w:spacing w:after="240"/>
        <w:ind w:firstLine="432"/>
        <w:rPr>
          <w:rFonts w:ascii="Garamond" w:eastAsia="Times New Roman" w:hAnsi="Garamond" w:cs="Times New Roman"/>
          <w:sz w:val="24"/>
          <w:szCs w:val="24"/>
        </w:rPr>
      </w:pPr>
      <w:r w:rsidRPr="00183E4E">
        <w:rPr>
          <w:rFonts w:ascii="Garamond" w:eastAsia="Times New Roman" w:hAnsi="Garamond" w:cs="Times New Roman"/>
          <w:sz w:val="24"/>
          <w:szCs w:val="24"/>
        </w:rPr>
        <w:t>where</w:t>
      </w:r>
    </w:p>
    <w:p w:rsidR="002B34B0" w:rsidRPr="00183E4E" w:rsidRDefault="002B34B0" w:rsidP="00F13887">
      <w:pPr>
        <w:tabs>
          <w:tab w:val="left" w:pos="432"/>
        </w:tabs>
        <w:spacing w:after="240"/>
        <w:ind w:firstLine="432"/>
        <w:rPr>
          <w:rFonts w:ascii="Garamond" w:eastAsia="Times New Roman" w:hAnsi="Garamond" w:cs="Times New Roman"/>
          <w:sz w:val="24"/>
          <w:szCs w:val="24"/>
        </w:rPr>
      </w:pPr>
      <w:r w:rsidRPr="00183E4E">
        <w:rPr>
          <w:rFonts w:ascii="Garamond" w:eastAsia="Times New Roman" w:hAnsi="Garamond" w:cs="Times New Roman"/>
          <w:sz w:val="24"/>
          <w:szCs w:val="24"/>
        </w:rPr>
        <w:t>P</w:t>
      </w:r>
      <w:r w:rsidRPr="00183E4E">
        <w:rPr>
          <w:rFonts w:ascii="Garamond" w:eastAsia="Times New Roman" w:hAnsi="Garamond" w:cs="Times New Roman"/>
          <w:sz w:val="24"/>
          <w:szCs w:val="24"/>
          <w:vertAlign w:val="subscript"/>
        </w:rPr>
        <w:t>Sji</w:t>
      </w:r>
      <w:r w:rsidRPr="00183E4E">
        <w:rPr>
          <w:rFonts w:ascii="Garamond" w:eastAsia="Times New Roman" w:hAnsi="Garamond" w:cs="Times New Roman"/>
          <w:sz w:val="24"/>
          <w:szCs w:val="24"/>
        </w:rPr>
        <w:t>=the probability of selection of physician i in specialty j in State S</w:t>
      </w:r>
    </w:p>
    <w:p w:rsidR="002B34B0" w:rsidRPr="00183E4E" w:rsidRDefault="002B34B0" w:rsidP="00F13887">
      <w:pPr>
        <w:tabs>
          <w:tab w:val="left" w:pos="432"/>
        </w:tabs>
        <w:spacing w:after="240"/>
        <w:ind w:firstLine="432"/>
        <w:rPr>
          <w:rFonts w:ascii="Garamond" w:eastAsia="Times New Roman" w:hAnsi="Garamond" w:cs="Times New Roman"/>
          <w:sz w:val="24"/>
          <w:szCs w:val="24"/>
        </w:rPr>
      </w:pPr>
      <w:r w:rsidRPr="00183E4E">
        <w:rPr>
          <w:rFonts w:ascii="Garamond" w:eastAsia="Times New Roman" w:hAnsi="Garamond" w:cs="Times New Roman"/>
          <w:sz w:val="24"/>
          <w:szCs w:val="24"/>
        </w:rPr>
        <w:t>RR</w:t>
      </w:r>
      <w:r w:rsidRPr="00183E4E">
        <w:rPr>
          <w:rFonts w:ascii="Garamond" w:eastAsia="Times New Roman" w:hAnsi="Garamond" w:cs="Times New Roman"/>
          <w:sz w:val="24"/>
          <w:szCs w:val="24"/>
          <w:vertAlign w:val="subscript"/>
        </w:rPr>
        <w:t>Sjik</w:t>
      </w:r>
      <w:r w:rsidRPr="00183E4E">
        <w:rPr>
          <w:rFonts w:ascii="Garamond" w:eastAsia="Times New Roman" w:hAnsi="Garamond" w:cs="Times New Roman"/>
          <w:sz w:val="24"/>
          <w:szCs w:val="24"/>
        </w:rPr>
        <w:t xml:space="preserve"> is the response </w:t>
      </w:r>
      <w:r w:rsidR="007714E4" w:rsidRPr="00183E4E">
        <w:rPr>
          <w:rFonts w:ascii="Garamond" w:eastAsia="Times New Roman" w:hAnsi="Garamond" w:cs="Times New Roman"/>
          <w:sz w:val="24"/>
          <w:szCs w:val="24"/>
        </w:rPr>
        <w:t xml:space="preserve">propensity score </w:t>
      </w:r>
      <w:r w:rsidRPr="00183E4E">
        <w:rPr>
          <w:rFonts w:ascii="Garamond" w:eastAsia="Times New Roman" w:hAnsi="Garamond" w:cs="Times New Roman"/>
          <w:sz w:val="24"/>
          <w:szCs w:val="24"/>
        </w:rPr>
        <w:t xml:space="preserve">for </w:t>
      </w:r>
      <w:r w:rsidR="007714E4" w:rsidRPr="00183E4E">
        <w:rPr>
          <w:rFonts w:ascii="Garamond" w:eastAsia="Times New Roman" w:hAnsi="Garamond" w:cs="Times New Roman"/>
          <w:sz w:val="24"/>
          <w:szCs w:val="24"/>
        </w:rPr>
        <w:t xml:space="preserve">the individual physician K or for the individual physician in </w:t>
      </w:r>
      <w:r w:rsidRPr="00183E4E">
        <w:rPr>
          <w:rFonts w:ascii="Garamond" w:eastAsia="Times New Roman" w:hAnsi="Garamond" w:cs="Times New Roman"/>
          <w:sz w:val="24"/>
          <w:szCs w:val="24"/>
        </w:rPr>
        <w:t>cell K. (The formation of response rate adjustment cells is discussed below.)</w:t>
      </w:r>
    </w:p>
    <w:p w:rsidR="002B34B0" w:rsidRPr="00183E4E" w:rsidRDefault="002B34B0" w:rsidP="00F13887">
      <w:pPr>
        <w:tabs>
          <w:tab w:val="left" w:pos="432"/>
        </w:tabs>
        <w:spacing w:after="240"/>
        <w:ind w:firstLine="432"/>
        <w:rPr>
          <w:rFonts w:ascii="Garamond" w:eastAsia="Times New Roman" w:hAnsi="Garamond" w:cs="Times New Roman"/>
          <w:sz w:val="24"/>
          <w:szCs w:val="24"/>
        </w:rPr>
      </w:pPr>
      <w:r w:rsidRPr="00183E4E">
        <w:rPr>
          <w:rFonts w:ascii="Garamond" w:eastAsia="Times New Roman" w:hAnsi="Garamond" w:cs="Times New Roman"/>
          <w:sz w:val="24"/>
          <w:szCs w:val="24"/>
        </w:rPr>
        <w:lastRenderedPageBreak/>
        <w:t>The next step will be to ratio-adjust the sample in each specialty each State sums for the frame total:</w:t>
      </w:r>
    </w:p>
    <w:p w:rsidR="002B34B0" w:rsidRPr="00183E4E" w:rsidRDefault="002B34B0" w:rsidP="00F13887">
      <w:pPr>
        <w:tabs>
          <w:tab w:val="left" w:pos="432"/>
        </w:tabs>
        <w:spacing w:after="240"/>
        <w:ind w:firstLine="432"/>
        <w:rPr>
          <w:rFonts w:ascii="Garamond" w:eastAsia="Times New Roman" w:hAnsi="Garamond" w:cs="Times New Roman"/>
          <w:sz w:val="24"/>
          <w:szCs w:val="24"/>
        </w:rPr>
      </w:pPr>
      <w:r w:rsidRPr="00183E4E">
        <w:rPr>
          <w:rFonts w:ascii="Garamond" w:eastAsia="Times New Roman" w:hAnsi="Garamond" w:cs="Times New Roman"/>
          <w:sz w:val="24"/>
          <w:szCs w:val="24"/>
        </w:rPr>
        <w:t>(2)</w:t>
      </w:r>
      <w:r w:rsidRPr="00183E4E">
        <w:rPr>
          <w:rFonts w:ascii="Garamond" w:eastAsia="Times New Roman" w:hAnsi="Garamond" w:cs="Times New Roman"/>
          <w:sz w:val="24"/>
          <w:szCs w:val="24"/>
        </w:rPr>
        <w:tab/>
      </w:r>
      <w:r w:rsidRPr="00183E4E">
        <w:rPr>
          <w:rFonts w:ascii="Garamond" w:eastAsia="Times New Roman" w:hAnsi="Garamond" w:cs="Times New Roman"/>
          <w:position w:val="-66"/>
          <w:sz w:val="24"/>
          <w:szCs w:val="24"/>
        </w:rPr>
        <w:object w:dxaOrig="2600" w:dyaOrig="1080">
          <v:shape id="_x0000_i1026" type="#_x0000_t75" style="width:131.1pt;height:53.1pt" o:ole="">
            <v:imagedata r:id="rId9" o:title=""/>
          </v:shape>
          <o:OLEObject Type="Embed" ProgID="Equation.DSMT4" ShapeID="_x0000_i1026" DrawAspect="Content" ObjectID="_1438673923" r:id="rId10"/>
        </w:object>
      </w:r>
    </w:p>
    <w:p w:rsidR="002B34B0" w:rsidRPr="00183E4E" w:rsidRDefault="002B34B0" w:rsidP="00F13887">
      <w:pPr>
        <w:tabs>
          <w:tab w:val="left" w:pos="432"/>
        </w:tabs>
        <w:spacing w:after="240"/>
        <w:ind w:firstLine="432"/>
        <w:rPr>
          <w:rFonts w:ascii="Garamond" w:eastAsia="Times New Roman" w:hAnsi="Garamond" w:cs="Times New Roman"/>
          <w:sz w:val="24"/>
          <w:szCs w:val="24"/>
        </w:rPr>
      </w:pPr>
      <w:r w:rsidRPr="00183E4E">
        <w:rPr>
          <w:rFonts w:ascii="Garamond" w:eastAsia="Times New Roman" w:hAnsi="Garamond" w:cs="Times New Roman"/>
          <w:sz w:val="24"/>
          <w:szCs w:val="24"/>
        </w:rPr>
        <w:t xml:space="preserve"> The post stratified physician weight is then </w:t>
      </w:r>
    </w:p>
    <w:p w:rsidR="002B34B0" w:rsidRPr="00183E4E" w:rsidRDefault="002B34B0" w:rsidP="00F13887">
      <w:pPr>
        <w:tabs>
          <w:tab w:val="left" w:pos="432"/>
        </w:tabs>
        <w:spacing w:after="240"/>
        <w:ind w:firstLine="432"/>
        <w:rPr>
          <w:rFonts w:ascii="Garamond" w:eastAsia="Times New Roman" w:hAnsi="Garamond" w:cs="Times New Roman"/>
          <w:position w:val="-12"/>
          <w:sz w:val="24"/>
          <w:szCs w:val="24"/>
        </w:rPr>
      </w:pPr>
      <w:r w:rsidRPr="00183E4E">
        <w:rPr>
          <w:rFonts w:ascii="Garamond" w:eastAsia="Times New Roman" w:hAnsi="Garamond" w:cs="Times New Roman"/>
          <w:sz w:val="24"/>
          <w:szCs w:val="24"/>
        </w:rPr>
        <w:t>(3)</w:t>
      </w:r>
      <w:r w:rsidRPr="00183E4E">
        <w:rPr>
          <w:rFonts w:ascii="Garamond" w:eastAsia="Times New Roman" w:hAnsi="Garamond" w:cs="Times New Roman"/>
          <w:sz w:val="24"/>
          <w:szCs w:val="24"/>
        </w:rPr>
        <w:tab/>
      </w:r>
      <w:r w:rsidRPr="00183E4E">
        <w:rPr>
          <w:rFonts w:ascii="Garamond" w:eastAsia="Times New Roman" w:hAnsi="Garamond" w:cs="Times New Roman"/>
          <w:position w:val="-16"/>
          <w:sz w:val="24"/>
          <w:szCs w:val="24"/>
        </w:rPr>
        <w:object w:dxaOrig="3280" w:dyaOrig="400">
          <v:shape id="_x0000_i1027" type="#_x0000_t75" style="width:164.75pt;height:22.6pt" o:ole="">
            <v:imagedata r:id="rId11" o:title=""/>
          </v:shape>
          <o:OLEObject Type="Embed" ProgID="Equation.DSMT4" ShapeID="_x0000_i1027" DrawAspect="Content" ObjectID="_1438673924" r:id="rId12"/>
        </w:object>
      </w:r>
      <w:r w:rsidRPr="00183E4E">
        <w:rPr>
          <w:rFonts w:ascii="Garamond" w:eastAsia="Times New Roman" w:hAnsi="Garamond" w:cs="Times New Roman"/>
          <w:position w:val="-12"/>
          <w:sz w:val="24"/>
          <w:szCs w:val="24"/>
        </w:rPr>
        <w:t xml:space="preserve"> </w:t>
      </w:r>
    </w:p>
    <w:p w:rsidR="002B34B0" w:rsidRPr="00183E4E" w:rsidRDefault="002B34B0" w:rsidP="00F13887">
      <w:pPr>
        <w:tabs>
          <w:tab w:val="left" w:pos="432"/>
        </w:tabs>
        <w:spacing w:after="240"/>
        <w:ind w:firstLine="432"/>
        <w:rPr>
          <w:rFonts w:ascii="Garamond" w:eastAsia="Times New Roman" w:hAnsi="Garamond" w:cs="Times New Roman"/>
          <w:sz w:val="24"/>
          <w:szCs w:val="24"/>
        </w:rPr>
      </w:pPr>
    </w:p>
    <w:p w:rsidR="002B34B0" w:rsidRPr="00183E4E" w:rsidRDefault="002B34B0" w:rsidP="00F13887">
      <w:pPr>
        <w:tabs>
          <w:tab w:val="left" w:pos="432"/>
        </w:tabs>
        <w:spacing w:after="240"/>
        <w:rPr>
          <w:rFonts w:ascii="Garamond" w:eastAsia="Times New Roman" w:hAnsi="Garamond" w:cs="Times New Roman"/>
          <w:sz w:val="24"/>
          <w:szCs w:val="24"/>
        </w:rPr>
      </w:pPr>
      <w:r w:rsidRPr="00183E4E">
        <w:rPr>
          <w:rFonts w:ascii="Garamond" w:eastAsia="Times New Roman" w:hAnsi="Garamond" w:cs="Times New Roman"/>
          <w:sz w:val="24"/>
          <w:szCs w:val="24"/>
        </w:rPr>
        <w:t>Weights will be examined at this point to see if trimming is required. If weights are trimmed, the sum of the trimmed weights will be readjusted to the estimated population total.</w:t>
      </w:r>
      <w:r w:rsidRPr="00183E4E">
        <w:rPr>
          <w:rFonts w:ascii="Garamond" w:eastAsia="Times New Roman" w:hAnsi="Garamond" w:cs="Times New Roman"/>
          <w:sz w:val="24"/>
          <w:szCs w:val="24"/>
          <w:u w:color="000080"/>
          <w:vertAlign w:val="superscript"/>
        </w:rPr>
        <w:footnoteReference w:id="6"/>
      </w:r>
    </w:p>
    <w:p w:rsidR="004A6D22" w:rsidRPr="00183E4E" w:rsidRDefault="002B34B0" w:rsidP="00DC0597">
      <w:pPr>
        <w:rPr>
          <w:b/>
          <w:bCs/>
          <w:color w:val="FF0000"/>
        </w:rPr>
      </w:pPr>
      <w:r w:rsidRPr="00183E4E">
        <w:rPr>
          <w:rFonts w:ascii="Garamond" w:eastAsia="Times New Roman" w:hAnsi="Garamond" w:cs="Times New Roman"/>
          <w:position w:val="-12"/>
          <w:sz w:val="24"/>
          <w:szCs w:val="24"/>
        </w:rPr>
        <w:t xml:space="preserve">Multiple sets of weights will be constructed as needed to facilitate the following analyses: (1) statewide estimates (or comparisons of physicians from two States), (2) estimates for all States combined, and (3) comparisons of physicians between the three demonstration states and the non-demonstration </w:t>
      </w:r>
      <w:r w:rsidR="004A6D22" w:rsidRPr="00183E4E">
        <w:rPr>
          <w:rFonts w:ascii="Garamond" w:eastAsia="Times New Roman" w:hAnsi="Garamond" w:cs="Times New Roman"/>
          <w:position w:val="-12"/>
          <w:sz w:val="24"/>
          <w:szCs w:val="24"/>
        </w:rPr>
        <w:t>state.</w:t>
      </w:r>
    </w:p>
    <w:p w:rsidR="004A6D22" w:rsidRPr="00183E4E" w:rsidRDefault="004A6D22" w:rsidP="00DC0597">
      <w:pPr>
        <w:rPr>
          <w:b/>
          <w:bCs/>
          <w:color w:val="FF0000"/>
        </w:rPr>
      </w:pPr>
    </w:p>
    <w:p w:rsidR="00A930AB" w:rsidRPr="00183E4E" w:rsidRDefault="00A930AB" w:rsidP="00A930AB">
      <w:pPr>
        <w:tabs>
          <w:tab w:val="left" w:pos="432"/>
        </w:tabs>
        <w:spacing w:after="240"/>
        <w:rPr>
          <w:rFonts w:ascii="Garamond" w:eastAsia="Times New Roman" w:hAnsi="Garamond" w:cs="Times New Roman"/>
          <w:position w:val="-12"/>
          <w:sz w:val="24"/>
          <w:szCs w:val="24"/>
        </w:rPr>
      </w:pPr>
      <w:r w:rsidRPr="00183E4E">
        <w:rPr>
          <w:rFonts w:ascii="Garamond" w:eastAsia="Times New Roman" w:hAnsi="Garamond" w:cs="Times New Roman"/>
          <w:position w:val="-12"/>
          <w:sz w:val="24"/>
          <w:szCs w:val="24"/>
        </w:rPr>
        <w:t xml:space="preserve"> </w:t>
      </w:r>
      <w:r w:rsidR="004A6D22" w:rsidRPr="00183E4E">
        <w:rPr>
          <w:rFonts w:ascii="Garamond" w:eastAsia="Times New Roman" w:hAnsi="Garamond" w:cs="Times New Roman"/>
          <w:position w:val="-12"/>
          <w:sz w:val="24"/>
          <w:szCs w:val="24"/>
        </w:rPr>
        <w:t xml:space="preserve">The </w:t>
      </w:r>
      <w:r w:rsidRPr="00183E4E">
        <w:rPr>
          <w:rFonts w:ascii="Garamond" w:eastAsia="Times New Roman" w:hAnsi="Garamond" w:cs="Times New Roman"/>
          <w:position w:val="-12"/>
          <w:sz w:val="24"/>
          <w:szCs w:val="24"/>
        </w:rPr>
        <w:t>sample design is a stratified random sample and the computation of survey estimates based on the sample requires the use of survey data analysis procedures. These survey data analysis procedures are available in the SAS, STATA, and SUDAAN statistical software packages. The sampling variance will be computed for nonlinear estimates (such as proportions, percentages, means, and regression coefficients) using the Taylor series linearized expansion of the survey estimator and the explicit equations for stratified random sampling. The data file of respondents will include the stratification parameters to permit the computation of correct sampling variances.</w:t>
      </w:r>
    </w:p>
    <w:p w:rsidR="002B34B0" w:rsidRPr="00183E4E" w:rsidRDefault="002B34B0" w:rsidP="00F13887">
      <w:pPr>
        <w:tabs>
          <w:tab w:val="left" w:pos="432"/>
        </w:tabs>
        <w:spacing w:after="240"/>
        <w:ind w:left="432" w:hanging="432"/>
        <w:outlineLvl w:val="3"/>
        <w:rPr>
          <w:rFonts w:ascii="Garamond" w:eastAsia="Times New Roman" w:hAnsi="Garamond" w:cs="Times New Roman"/>
          <w:b/>
          <w:sz w:val="24"/>
          <w:szCs w:val="24"/>
        </w:rPr>
      </w:pPr>
      <w:r w:rsidRPr="00183E4E">
        <w:rPr>
          <w:rFonts w:ascii="Garamond" w:eastAsia="Times New Roman" w:hAnsi="Garamond" w:cs="Times New Roman"/>
          <w:b/>
          <w:sz w:val="24"/>
          <w:szCs w:val="24"/>
        </w:rPr>
        <w:t>c.</w:t>
      </w:r>
      <w:r w:rsidRPr="00183E4E">
        <w:rPr>
          <w:rFonts w:ascii="Garamond" w:eastAsia="Times New Roman" w:hAnsi="Garamond" w:cs="Times New Roman"/>
          <w:b/>
          <w:sz w:val="24"/>
          <w:szCs w:val="24"/>
        </w:rPr>
        <w:tab/>
        <w:t>Expected Confidence Intervals</w:t>
      </w:r>
    </w:p>
    <w:p w:rsidR="002B34B0" w:rsidRPr="00183E4E" w:rsidRDefault="002B34B0" w:rsidP="00F13887">
      <w:pPr>
        <w:tabs>
          <w:tab w:val="left" w:pos="432"/>
        </w:tabs>
        <w:spacing w:after="240"/>
        <w:rPr>
          <w:rFonts w:ascii="Garamond" w:eastAsia="Times New Roman" w:hAnsi="Garamond" w:cs="Times New Roman"/>
          <w:sz w:val="24"/>
          <w:szCs w:val="24"/>
        </w:rPr>
      </w:pPr>
      <w:r w:rsidRPr="00183E4E">
        <w:rPr>
          <w:rFonts w:ascii="Garamond" w:eastAsia="Times New Roman" w:hAnsi="Garamond" w:cs="Times New Roman"/>
          <w:sz w:val="24"/>
          <w:szCs w:val="24"/>
        </w:rPr>
        <w:t>Expected confidence intervals help indicate the degree of precision with which the survey estimates represent the overall population from which a sample is drawn.</w:t>
      </w:r>
      <w:r w:rsidR="00323890" w:rsidRPr="00183E4E">
        <w:rPr>
          <w:rFonts w:ascii="Garamond" w:eastAsia="Times New Roman" w:hAnsi="Garamond" w:cs="Times New Roman"/>
          <w:sz w:val="24"/>
          <w:szCs w:val="24"/>
        </w:rPr>
        <w:t xml:space="preserve"> Table</w:t>
      </w:r>
      <w:r w:rsidR="001C31B1" w:rsidRPr="00183E4E">
        <w:rPr>
          <w:rFonts w:ascii="Garamond" w:eastAsia="Times New Roman" w:hAnsi="Garamond" w:cs="Times New Roman"/>
          <w:sz w:val="24"/>
          <w:szCs w:val="24"/>
        </w:rPr>
        <w:t xml:space="preserve"> </w:t>
      </w:r>
      <w:r w:rsidRPr="00183E4E">
        <w:rPr>
          <w:rFonts w:ascii="Garamond" w:eastAsia="Times New Roman" w:hAnsi="Garamond" w:cs="Times New Roman"/>
          <w:sz w:val="24"/>
          <w:szCs w:val="24"/>
        </w:rPr>
        <w:t>2 presents the expected half-width of 90 and 95 percent confidence intervals for alternative values of a characteristic (percentage) for all physicians interviewed in a State.  Minimum detectable differences (MDDs) are also given for percentages between two states assuming alpha of 0.05 and statistical power of 70 percent and 80 percent for alternative values of a characteristic.</w:t>
      </w:r>
    </w:p>
    <w:p w:rsidR="00343381" w:rsidRDefault="00343381" w:rsidP="00F13887">
      <w:pPr>
        <w:tabs>
          <w:tab w:val="left" w:pos="432"/>
        </w:tabs>
        <w:spacing w:after="240"/>
        <w:rPr>
          <w:rFonts w:ascii="Garamond" w:eastAsia="Times New Roman" w:hAnsi="Garamond" w:cs="Times New Roman"/>
          <w:sz w:val="24"/>
          <w:szCs w:val="24"/>
        </w:rPr>
      </w:pPr>
    </w:p>
    <w:p w:rsidR="00453026" w:rsidRDefault="00453026" w:rsidP="00F13887">
      <w:pPr>
        <w:tabs>
          <w:tab w:val="left" w:pos="432"/>
        </w:tabs>
        <w:spacing w:after="240"/>
        <w:rPr>
          <w:rFonts w:ascii="Garamond" w:eastAsia="Times New Roman" w:hAnsi="Garamond" w:cs="Times New Roman"/>
          <w:sz w:val="24"/>
          <w:szCs w:val="24"/>
        </w:rPr>
      </w:pPr>
    </w:p>
    <w:p w:rsidR="00453026" w:rsidRDefault="00453026" w:rsidP="00F13887">
      <w:pPr>
        <w:tabs>
          <w:tab w:val="left" w:pos="432"/>
        </w:tabs>
        <w:spacing w:after="240"/>
        <w:rPr>
          <w:rFonts w:ascii="Garamond" w:eastAsia="Times New Roman" w:hAnsi="Garamond" w:cs="Times New Roman"/>
          <w:sz w:val="24"/>
          <w:szCs w:val="24"/>
        </w:rPr>
      </w:pPr>
    </w:p>
    <w:p w:rsidR="00453026" w:rsidRPr="00183E4E" w:rsidRDefault="00453026" w:rsidP="00F13887">
      <w:pPr>
        <w:tabs>
          <w:tab w:val="left" w:pos="432"/>
        </w:tabs>
        <w:spacing w:after="240"/>
        <w:rPr>
          <w:rFonts w:ascii="Garamond" w:eastAsia="Times New Roman" w:hAnsi="Garamond" w:cs="Times New Roman"/>
          <w:sz w:val="24"/>
          <w:szCs w:val="24"/>
        </w:rPr>
      </w:pPr>
    </w:p>
    <w:p w:rsidR="002B34B0" w:rsidRPr="00183E4E" w:rsidRDefault="00323890" w:rsidP="002B34B0">
      <w:pPr>
        <w:keepNext/>
        <w:tabs>
          <w:tab w:val="left" w:pos="432"/>
        </w:tabs>
        <w:spacing w:after="60"/>
        <w:jc w:val="both"/>
        <w:rPr>
          <w:rFonts w:ascii="Arial" w:eastAsia="Times New Roman" w:hAnsi="Arial" w:cs="Times New Roman"/>
          <w:b/>
          <w:sz w:val="18"/>
          <w:szCs w:val="24"/>
        </w:rPr>
      </w:pPr>
      <w:r w:rsidRPr="00183E4E">
        <w:rPr>
          <w:rFonts w:ascii="Arial" w:eastAsia="Times New Roman" w:hAnsi="Arial" w:cs="Times New Roman"/>
          <w:b/>
          <w:sz w:val="18"/>
          <w:szCs w:val="24"/>
        </w:rPr>
        <w:lastRenderedPageBreak/>
        <w:t>Table</w:t>
      </w:r>
      <w:r w:rsidR="001C31B1" w:rsidRPr="00183E4E">
        <w:rPr>
          <w:rFonts w:ascii="Arial" w:eastAsia="Times New Roman" w:hAnsi="Arial" w:cs="Times New Roman"/>
          <w:b/>
          <w:sz w:val="18"/>
          <w:szCs w:val="24"/>
        </w:rPr>
        <w:t xml:space="preserve"> </w:t>
      </w:r>
      <w:r w:rsidR="002B34B0" w:rsidRPr="00183E4E">
        <w:rPr>
          <w:rFonts w:ascii="Arial" w:eastAsia="Times New Roman" w:hAnsi="Arial" w:cs="Times New Roman"/>
          <w:b/>
          <w:sz w:val="18"/>
          <w:szCs w:val="24"/>
        </w:rPr>
        <w:t>2  Precision Level (90 And 95 Percent Confidence Interval) For Estimated Percentages For Single States And Minimum Detectable Difference In Percentages Between Two States For Alternative Values Of An Outcome Measure For 300 Completed Questionnaires In Each State</w:t>
      </w:r>
    </w:p>
    <w:tbl>
      <w:tblPr>
        <w:tblStyle w:val="SMPRTableBlack"/>
        <w:tblW w:w="9360" w:type="dxa"/>
        <w:tblLayout w:type="fixed"/>
        <w:tblLook w:val="04A0"/>
      </w:tblPr>
      <w:tblGrid>
        <w:gridCol w:w="2063"/>
        <w:gridCol w:w="1800"/>
        <w:gridCol w:w="1800"/>
        <w:gridCol w:w="263"/>
        <w:gridCol w:w="1717"/>
        <w:gridCol w:w="1717"/>
      </w:tblGrid>
      <w:tr w:rsidR="002B34B0" w:rsidRPr="00183E4E" w:rsidTr="00F13887">
        <w:trPr>
          <w:cnfStyle w:val="100000000000"/>
          <w:trHeight w:val="300"/>
        </w:trPr>
        <w:tc>
          <w:tcPr>
            <w:tcW w:w="2063" w:type="dxa"/>
            <w:vMerge w:val="restart"/>
            <w:tcBorders>
              <w:bottom w:val="single" w:sz="4" w:space="0" w:color="auto"/>
            </w:tcBorders>
            <w:noWrap/>
            <w:hideMark/>
          </w:tcPr>
          <w:p w:rsidR="002B34B0" w:rsidRPr="00183E4E" w:rsidRDefault="002B34B0" w:rsidP="002B34B0">
            <w:pPr>
              <w:tabs>
                <w:tab w:val="left" w:pos="432"/>
              </w:tabs>
              <w:spacing w:before="120" w:after="60"/>
              <w:rPr>
                <w:sz w:val="18"/>
              </w:rPr>
            </w:pPr>
            <w:r w:rsidRPr="00183E4E">
              <w:rPr>
                <w:sz w:val="18"/>
              </w:rPr>
              <w:t>Outcome Measured</w:t>
            </w:r>
            <w:r w:rsidRPr="00183E4E">
              <w:rPr>
                <w:sz w:val="18"/>
              </w:rPr>
              <w:br/>
              <w:t>as a Percentage</w:t>
            </w:r>
          </w:p>
        </w:tc>
        <w:tc>
          <w:tcPr>
            <w:tcW w:w="3600" w:type="dxa"/>
            <w:gridSpan w:val="2"/>
            <w:tcBorders>
              <w:bottom w:val="single" w:sz="4" w:space="0" w:color="auto"/>
            </w:tcBorders>
            <w:hideMark/>
          </w:tcPr>
          <w:p w:rsidR="002B34B0" w:rsidRPr="00183E4E" w:rsidRDefault="002B34B0" w:rsidP="002B34B0">
            <w:pPr>
              <w:tabs>
                <w:tab w:val="left" w:pos="432"/>
              </w:tabs>
              <w:spacing w:before="120" w:after="60"/>
              <w:jc w:val="center"/>
              <w:rPr>
                <w:sz w:val="18"/>
              </w:rPr>
            </w:pPr>
            <w:r w:rsidRPr="00183E4E">
              <w:rPr>
                <w:sz w:val="18"/>
              </w:rPr>
              <w:t xml:space="preserve">Half-width of Confidence </w:t>
            </w:r>
            <w:r w:rsidRPr="00183E4E">
              <w:rPr>
                <w:sz w:val="18"/>
              </w:rPr>
              <w:br/>
              <w:t>Interval for Single State</w:t>
            </w:r>
          </w:p>
        </w:tc>
        <w:tc>
          <w:tcPr>
            <w:tcW w:w="263" w:type="dxa"/>
            <w:tcBorders>
              <w:bottom w:val="nil"/>
            </w:tcBorders>
          </w:tcPr>
          <w:p w:rsidR="002B34B0" w:rsidRPr="00183E4E" w:rsidRDefault="002B34B0" w:rsidP="002B34B0">
            <w:pPr>
              <w:tabs>
                <w:tab w:val="left" w:pos="432"/>
              </w:tabs>
              <w:spacing w:before="120" w:after="60"/>
              <w:jc w:val="center"/>
              <w:rPr>
                <w:sz w:val="18"/>
              </w:rPr>
            </w:pPr>
          </w:p>
        </w:tc>
        <w:tc>
          <w:tcPr>
            <w:tcW w:w="3434" w:type="dxa"/>
            <w:gridSpan w:val="2"/>
            <w:tcBorders>
              <w:bottom w:val="single" w:sz="4" w:space="0" w:color="auto"/>
            </w:tcBorders>
            <w:hideMark/>
          </w:tcPr>
          <w:p w:rsidR="002B34B0" w:rsidRPr="00183E4E" w:rsidRDefault="002B34B0" w:rsidP="002B34B0">
            <w:pPr>
              <w:tabs>
                <w:tab w:val="left" w:pos="432"/>
              </w:tabs>
              <w:spacing w:before="120" w:after="60"/>
              <w:jc w:val="center"/>
              <w:rPr>
                <w:sz w:val="18"/>
              </w:rPr>
            </w:pPr>
            <w:r w:rsidRPr="00183E4E">
              <w:rPr>
                <w:sz w:val="18"/>
              </w:rPr>
              <w:t>Minimum Detectable Difference</w:t>
            </w:r>
            <w:r w:rsidRPr="00183E4E">
              <w:rPr>
                <w:sz w:val="18"/>
              </w:rPr>
              <w:br/>
              <w:t>(Alpha = 0.05)</w:t>
            </w:r>
          </w:p>
        </w:tc>
      </w:tr>
      <w:tr w:rsidR="002B34B0" w:rsidRPr="00183E4E" w:rsidTr="00F13887">
        <w:trPr>
          <w:trHeight w:val="300"/>
        </w:trPr>
        <w:tc>
          <w:tcPr>
            <w:tcW w:w="2063" w:type="dxa"/>
            <w:vMerge/>
            <w:tcBorders>
              <w:top w:val="single" w:sz="2" w:space="0" w:color="auto"/>
              <w:bottom w:val="single" w:sz="4" w:space="0" w:color="auto"/>
            </w:tcBorders>
            <w:noWrap/>
            <w:hideMark/>
          </w:tcPr>
          <w:p w:rsidR="002B34B0" w:rsidRPr="00183E4E" w:rsidRDefault="002B34B0" w:rsidP="002B34B0">
            <w:pPr>
              <w:tabs>
                <w:tab w:val="left" w:pos="432"/>
              </w:tabs>
              <w:spacing w:before="120" w:after="60"/>
              <w:jc w:val="center"/>
              <w:rPr>
                <w:sz w:val="18"/>
              </w:rPr>
            </w:pPr>
          </w:p>
        </w:tc>
        <w:tc>
          <w:tcPr>
            <w:tcW w:w="1800" w:type="dxa"/>
            <w:tcBorders>
              <w:top w:val="single" w:sz="4" w:space="0" w:color="auto"/>
              <w:bottom w:val="single" w:sz="4" w:space="0" w:color="auto"/>
            </w:tcBorders>
            <w:hideMark/>
          </w:tcPr>
          <w:p w:rsidR="002B34B0" w:rsidRPr="00183E4E" w:rsidRDefault="002B34B0" w:rsidP="002B34B0">
            <w:pPr>
              <w:tabs>
                <w:tab w:val="left" w:pos="432"/>
              </w:tabs>
              <w:spacing w:before="120" w:after="60"/>
              <w:jc w:val="center"/>
              <w:rPr>
                <w:sz w:val="18"/>
              </w:rPr>
            </w:pPr>
            <w:r w:rsidRPr="00183E4E">
              <w:rPr>
                <w:sz w:val="18"/>
              </w:rPr>
              <w:t xml:space="preserve">90 Percent </w:t>
            </w:r>
          </w:p>
        </w:tc>
        <w:tc>
          <w:tcPr>
            <w:tcW w:w="1800" w:type="dxa"/>
            <w:tcBorders>
              <w:top w:val="single" w:sz="4" w:space="0" w:color="auto"/>
              <w:bottom w:val="single" w:sz="4" w:space="0" w:color="auto"/>
            </w:tcBorders>
            <w:hideMark/>
          </w:tcPr>
          <w:p w:rsidR="002B34B0" w:rsidRPr="00183E4E" w:rsidRDefault="002B34B0" w:rsidP="002B34B0">
            <w:pPr>
              <w:tabs>
                <w:tab w:val="left" w:pos="432"/>
              </w:tabs>
              <w:spacing w:before="120" w:after="60"/>
              <w:jc w:val="center"/>
              <w:rPr>
                <w:sz w:val="18"/>
              </w:rPr>
            </w:pPr>
            <w:r w:rsidRPr="00183E4E">
              <w:rPr>
                <w:sz w:val="18"/>
              </w:rPr>
              <w:t xml:space="preserve">95 Percent </w:t>
            </w:r>
          </w:p>
        </w:tc>
        <w:tc>
          <w:tcPr>
            <w:tcW w:w="263" w:type="dxa"/>
            <w:tcBorders>
              <w:top w:val="nil"/>
              <w:bottom w:val="single" w:sz="4" w:space="0" w:color="auto"/>
            </w:tcBorders>
          </w:tcPr>
          <w:p w:rsidR="002B34B0" w:rsidRPr="00183E4E" w:rsidRDefault="002B34B0" w:rsidP="002B34B0">
            <w:pPr>
              <w:tabs>
                <w:tab w:val="left" w:pos="432"/>
              </w:tabs>
              <w:spacing w:before="120" w:after="60"/>
              <w:jc w:val="center"/>
              <w:rPr>
                <w:sz w:val="18"/>
              </w:rPr>
            </w:pPr>
          </w:p>
        </w:tc>
        <w:tc>
          <w:tcPr>
            <w:tcW w:w="1717" w:type="dxa"/>
            <w:tcBorders>
              <w:top w:val="single" w:sz="4" w:space="0" w:color="auto"/>
              <w:bottom w:val="single" w:sz="4" w:space="0" w:color="auto"/>
            </w:tcBorders>
            <w:hideMark/>
          </w:tcPr>
          <w:p w:rsidR="002B34B0" w:rsidRPr="00183E4E" w:rsidRDefault="002B34B0" w:rsidP="002B34B0">
            <w:pPr>
              <w:tabs>
                <w:tab w:val="left" w:pos="432"/>
              </w:tabs>
              <w:spacing w:before="120" w:after="60"/>
              <w:jc w:val="center"/>
              <w:rPr>
                <w:sz w:val="18"/>
              </w:rPr>
            </w:pPr>
            <w:r w:rsidRPr="00183E4E">
              <w:rPr>
                <w:sz w:val="18"/>
              </w:rPr>
              <w:t>70 Percent Power</w:t>
            </w:r>
          </w:p>
        </w:tc>
        <w:tc>
          <w:tcPr>
            <w:tcW w:w="1717" w:type="dxa"/>
            <w:tcBorders>
              <w:top w:val="single" w:sz="4" w:space="0" w:color="auto"/>
              <w:bottom w:val="single" w:sz="4" w:space="0" w:color="auto"/>
            </w:tcBorders>
            <w:noWrap/>
            <w:hideMark/>
          </w:tcPr>
          <w:p w:rsidR="002B34B0" w:rsidRPr="00183E4E" w:rsidRDefault="002B34B0" w:rsidP="002B34B0">
            <w:pPr>
              <w:tabs>
                <w:tab w:val="left" w:pos="432"/>
              </w:tabs>
              <w:spacing w:before="120" w:after="60"/>
              <w:jc w:val="center"/>
              <w:rPr>
                <w:sz w:val="18"/>
              </w:rPr>
            </w:pPr>
            <w:r w:rsidRPr="00183E4E">
              <w:rPr>
                <w:sz w:val="18"/>
              </w:rPr>
              <w:t>80 Percent Power</w:t>
            </w:r>
          </w:p>
        </w:tc>
      </w:tr>
      <w:tr w:rsidR="00A930AB" w:rsidRPr="00183E4E" w:rsidTr="00F13887">
        <w:tc>
          <w:tcPr>
            <w:tcW w:w="2063" w:type="dxa"/>
            <w:tcBorders>
              <w:top w:val="single" w:sz="4" w:space="0" w:color="auto"/>
            </w:tcBorders>
            <w:noWrap/>
            <w:hideMark/>
          </w:tcPr>
          <w:p w:rsidR="00A930AB" w:rsidRPr="00183E4E" w:rsidRDefault="00A930AB" w:rsidP="002B34B0">
            <w:pPr>
              <w:spacing w:before="120"/>
              <w:rPr>
                <w:sz w:val="18"/>
              </w:rPr>
            </w:pPr>
            <w:r w:rsidRPr="00183E4E">
              <w:rPr>
                <w:sz w:val="18"/>
              </w:rPr>
              <w:t>25.0</w:t>
            </w:r>
          </w:p>
        </w:tc>
        <w:tc>
          <w:tcPr>
            <w:tcW w:w="1800" w:type="dxa"/>
            <w:tcBorders>
              <w:top w:val="single" w:sz="4" w:space="0" w:color="auto"/>
            </w:tcBorders>
            <w:noWrap/>
            <w:hideMark/>
          </w:tcPr>
          <w:p w:rsidR="00A930AB" w:rsidRPr="00183E4E" w:rsidRDefault="00A930AB" w:rsidP="002B34B0">
            <w:pPr>
              <w:tabs>
                <w:tab w:val="decimal" w:pos="792"/>
              </w:tabs>
              <w:spacing w:before="120"/>
              <w:rPr>
                <w:sz w:val="18"/>
              </w:rPr>
            </w:pPr>
            <w:r w:rsidRPr="00183E4E">
              <w:rPr>
                <w:rFonts w:ascii="Calibri" w:hAnsi="Calibri"/>
                <w:color w:val="000000"/>
                <w:sz w:val="22"/>
                <w:szCs w:val="22"/>
              </w:rPr>
              <w:t>4.3</w:t>
            </w:r>
          </w:p>
        </w:tc>
        <w:tc>
          <w:tcPr>
            <w:tcW w:w="1800" w:type="dxa"/>
            <w:tcBorders>
              <w:top w:val="single" w:sz="4" w:space="0" w:color="auto"/>
            </w:tcBorders>
            <w:noWrap/>
            <w:hideMark/>
          </w:tcPr>
          <w:p w:rsidR="00A930AB" w:rsidRPr="00183E4E" w:rsidRDefault="00A930AB" w:rsidP="002B34B0">
            <w:pPr>
              <w:tabs>
                <w:tab w:val="decimal" w:pos="792"/>
              </w:tabs>
              <w:spacing w:before="120"/>
              <w:rPr>
                <w:sz w:val="18"/>
              </w:rPr>
            </w:pPr>
            <w:r w:rsidRPr="00183E4E">
              <w:rPr>
                <w:rFonts w:ascii="Calibri" w:hAnsi="Calibri"/>
                <w:color w:val="000000"/>
                <w:sz w:val="22"/>
                <w:szCs w:val="22"/>
              </w:rPr>
              <w:t>5.1</w:t>
            </w:r>
          </w:p>
        </w:tc>
        <w:tc>
          <w:tcPr>
            <w:tcW w:w="263" w:type="dxa"/>
            <w:tcBorders>
              <w:top w:val="single" w:sz="4" w:space="0" w:color="auto"/>
            </w:tcBorders>
          </w:tcPr>
          <w:p w:rsidR="00A930AB" w:rsidRPr="00183E4E" w:rsidRDefault="00A930AB" w:rsidP="002B34B0">
            <w:pPr>
              <w:spacing w:before="120"/>
              <w:rPr>
                <w:sz w:val="18"/>
              </w:rPr>
            </w:pPr>
          </w:p>
        </w:tc>
        <w:tc>
          <w:tcPr>
            <w:tcW w:w="1717" w:type="dxa"/>
            <w:tcBorders>
              <w:top w:val="single" w:sz="4" w:space="0" w:color="auto"/>
            </w:tcBorders>
            <w:noWrap/>
            <w:hideMark/>
          </w:tcPr>
          <w:p w:rsidR="00A930AB" w:rsidRPr="00183E4E" w:rsidRDefault="00A930AB" w:rsidP="002B34B0">
            <w:pPr>
              <w:tabs>
                <w:tab w:val="decimal" w:pos="774"/>
              </w:tabs>
              <w:spacing w:before="120"/>
              <w:rPr>
                <w:sz w:val="18"/>
              </w:rPr>
            </w:pPr>
            <w:r w:rsidRPr="00183E4E">
              <w:rPr>
                <w:rFonts w:ascii="Calibri" w:hAnsi="Calibri"/>
                <w:color w:val="000000"/>
                <w:sz w:val="22"/>
                <w:szCs w:val="22"/>
              </w:rPr>
              <w:t>9.2</w:t>
            </w:r>
          </w:p>
        </w:tc>
        <w:tc>
          <w:tcPr>
            <w:tcW w:w="1717" w:type="dxa"/>
            <w:tcBorders>
              <w:top w:val="single" w:sz="4" w:space="0" w:color="auto"/>
            </w:tcBorders>
            <w:noWrap/>
            <w:hideMark/>
          </w:tcPr>
          <w:p w:rsidR="00A930AB" w:rsidRPr="00183E4E" w:rsidRDefault="00A930AB" w:rsidP="002B34B0">
            <w:pPr>
              <w:tabs>
                <w:tab w:val="decimal" w:pos="774"/>
              </w:tabs>
              <w:spacing w:before="120"/>
              <w:rPr>
                <w:sz w:val="18"/>
              </w:rPr>
            </w:pPr>
            <w:r w:rsidRPr="00183E4E">
              <w:rPr>
                <w:rFonts w:ascii="Calibri" w:hAnsi="Calibri"/>
                <w:color w:val="000000"/>
                <w:sz w:val="22"/>
                <w:szCs w:val="22"/>
              </w:rPr>
              <w:t>10.4</w:t>
            </w:r>
          </w:p>
        </w:tc>
      </w:tr>
      <w:tr w:rsidR="00A930AB" w:rsidRPr="00183E4E" w:rsidTr="00F13887">
        <w:tc>
          <w:tcPr>
            <w:tcW w:w="2063" w:type="dxa"/>
            <w:noWrap/>
            <w:hideMark/>
          </w:tcPr>
          <w:p w:rsidR="00A930AB" w:rsidRPr="00183E4E" w:rsidRDefault="00A930AB" w:rsidP="002B34B0">
            <w:pPr>
              <w:rPr>
                <w:sz w:val="18"/>
              </w:rPr>
            </w:pPr>
            <w:r w:rsidRPr="00183E4E">
              <w:rPr>
                <w:sz w:val="18"/>
              </w:rPr>
              <w:t>33.3</w:t>
            </w:r>
          </w:p>
        </w:tc>
        <w:tc>
          <w:tcPr>
            <w:tcW w:w="1800" w:type="dxa"/>
            <w:noWrap/>
            <w:hideMark/>
          </w:tcPr>
          <w:p w:rsidR="00A930AB" w:rsidRPr="00183E4E" w:rsidRDefault="00A930AB" w:rsidP="002B34B0">
            <w:pPr>
              <w:tabs>
                <w:tab w:val="decimal" w:pos="792"/>
              </w:tabs>
              <w:rPr>
                <w:sz w:val="18"/>
              </w:rPr>
            </w:pPr>
            <w:r w:rsidRPr="00183E4E">
              <w:rPr>
                <w:rFonts w:ascii="Calibri" w:hAnsi="Calibri"/>
                <w:color w:val="000000"/>
                <w:sz w:val="22"/>
                <w:szCs w:val="22"/>
              </w:rPr>
              <w:t>4.7</w:t>
            </w:r>
          </w:p>
        </w:tc>
        <w:tc>
          <w:tcPr>
            <w:tcW w:w="1800" w:type="dxa"/>
            <w:noWrap/>
            <w:hideMark/>
          </w:tcPr>
          <w:p w:rsidR="00A930AB" w:rsidRPr="00183E4E" w:rsidRDefault="00A930AB" w:rsidP="002B34B0">
            <w:pPr>
              <w:tabs>
                <w:tab w:val="decimal" w:pos="792"/>
              </w:tabs>
              <w:rPr>
                <w:sz w:val="18"/>
              </w:rPr>
            </w:pPr>
            <w:r w:rsidRPr="00183E4E">
              <w:rPr>
                <w:rFonts w:ascii="Calibri" w:hAnsi="Calibri"/>
                <w:color w:val="000000"/>
                <w:sz w:val="22"/>
                <w:szCs w:val="22"/>
              </w:rPr>
              <w:t>5.6</w:t>
            </w:r>
          </w:p>
        </w:tc>
        <w:tc>
          <w:tcPr>
            <w:tcW w:w="263" w:type="dxa"/>
          </w:tcPr>
          <w:p w:rsidR="00A930AB" w:rsidRPr="00183E4E" w:rsidRDefault="00A930AB" w:rsidP="002B34B0">
            <w:pPr>
              <w:rPr>
                <w:sz w:val="18"/>
              </w:rPr>
            </w:pPr>
          </w:p>
        </w:tc>
        <w:tc>
          <w:tcPr>
            <w:tcW w:w="1717" w:type="dxa"/>
            <w:noWrap/>
            <w:hideMark/>
          </w:tcPr>
          <w:p w:rsidR="00A930AB" w:rsidRPr="00183E4E" w:rsidRDefault="00A930AB" w:rsidP="002B34B0">
            <w:pPr>
              <w:tabs>
                <w:tab w:val="decimal" w:pos="774"/>
              </w:tabs>
              <w:rPr>
                <w:sz w:val="18"/>
              </w:rPr>
            </w:pPr>
            <w:r w:rsidRPr="00183E4E">
              <w:rPr>
                <w:rFonts w:ascii="Calibri" w:hAnsi="Calibri"/>
                <w:color w:val="000000"/>
                <w:sz w:val="22"/>
                <w:szCs w:val="22"/>
              </w:rPr>
              <w:t>10.0</w:t>
            </w:r>
          </w:p>
        </w:tc>
        <w:tc>
          <w:tcPr>
            <w:tcW w:w="1717" w:type="dxa"/>
            <w:noWrap/>
            <w:hideMark/>
          </w:tcPr>
          <w:p w:rsidR="00A930AB" w:rsidRPr="00183E4E" w:rsidRDefault="00A930AB" w:rsidP="002B34B0">
            <w:pPr>
              <w:tabs>
                <w:tab w:val="decimal" w:pos="774"/>
              </w:tabs>
              <w:rPr>
                <w:sz w:val="18"/>
              </w:rPr>
            </w:pPr>
            <w:r w:rsidRPr="00183E4E">
              <w:rPr>
                <w:rFonts w:ascii="Calibri" w:hAnsi="Calibri"/>
                <w:color w:val="000000"/>
                <w:sz w:val="22"/>
                <w:szCs w:val="22"/>
              </w:rPr>
              <w:t>11.3</w:t>
            </w:r>
          </w:p>
        </w:tc>
      </w:tr>
      <w:tr w:rsidR="00A930AB" w:rsidRPr="00183E4E" w:rsidTr="00F13887">
        <w:tc>
          <w:tcPr>
            <w:tcW w:w="2063" w:type="dxa"/>
            <w:noWrap/>
            <w:hideMark/>
          </w:tcPr>
          <w:p w:rsidR="00A930AB" w:rsidRPr="00183E4E" w:rsidRDefault="00A930AB" w:rsidP="002B34B0">
            <w:pPr>
              <w:rPr>
                <w:sz w:val="18"/>
              </w:rPr>
            </w:pPr>
            <w:r w:rsidRPr="00183E4E">
              <w:rPr>
                <w:sz w:val="18"/>
              </w:rPr>
              <w:t>40.0</w:t>
            </w:r>
          </w:p>
        </w:tc>
        <w:tc>
          <w:tcPr>
            <w:tcW w:w="1800" w:type="dxa"/>
            <w:noWrap/>
            <w:hideMark/>
          </w:tcPr>
          <w:p w:rsidR="00A930AB" w:rsidRPr="00183E4E" w:rsidRDefault="00A930AB" w:rsidP="002B34B0">
            <w:pPr>
              <w:tabs>
                <w:tab w:val="decimal" w:pos="792"/>
              </w:tabs>
              <w:rPr>
                <w:sz w:val="18"/>
              </w:rPr>
            </w:pPr>
            <w:r w:rsidRPr="00183E4E">
              <w:rPr>
                <w:rFonts w:ascii="Calibri" w:hAnsi="Calibri"/>
                <w:color w:val="000000"/>
                <w:sz w:val="22"/>
                <w:szCs w:val="22"/>
              </w:rPr>
              <w:t>4.9</w:t>
            </w:r>
          </w:p>
        </w:tc>
        <w:tc>
          <w:tcPr>
            <w:tcW w:w="1800" w:type="dxa"/>
            <w:noWrap/>
            <w:hideMark/>
          </w:tcPr>
          <w:p w:rsidR="00A930AB" w:rsidRPr="00183E4E" w:rsidRDefault="00A930AB" w:rsidP="002B34B0">
            <w:pPr>
              <w:tabs>
                <w:tab w:val="decimal" w:pos="792"/>
              </w:tabs>
              <w:rPr>
                <w:sz w:val="18"/>
              </w:rPr>
            </w:pPr>
            <w:r w:rsidRPr="00183E4E">
              <w:rPr>
                <w:rFonts w:ascii="Calibri" w:hAnsi="Calibri"/>
                <w:color w:val="000000"/>
                <w:sz w:val="22"/>
                <w:szCs w:val="22"/>
              </w:rPr>
              <w:t>5.8</w:t>
            </w:r>
          </w:p>
        </w:tc>
        <w:tc>
          <w:tcPr>
            <w:tcW w:w="263" w:type="dxa"/>
          </w:tcPr>
          <w:p w:rsidR="00A930AB" w:rsidRPr="00183E4E" w:rsidRDefault="00A930AB" w:rsidP="002B34B0">
            <w:pPr>
              <w:rPr>
                <w:sz w:val="18"/>
              </w:rPr>
            </w:pPr>
          </w:p>
        </w:tc>
        <w:tc>
          <w:tcPr>
            <w:tcW w:w="1717" w:type="dxa"/>
            <w:noWrap/>
            <w:hideMark/>
          </w:tcPr>
          <w:p w:rsidR="00A930AB" w:rsidRPr="00183E4E" w:rsidRDefault="00A930AB" w:rsidP="002B34B0">
            <w:pPr>
              <w:tabs>
                <w:tab w:val="decimal" w:pos="774"/>
              </w:tabs>
              <w:rPr>
                <w:sz w:val="18"/>
              </w:rPr>
            </w:pPr>
            <w:r w:rsidRPr="00183E4E">
              <w:rPr>
                <w:rFonts w:ascii="Calibri" w:hAnsi="Calibri"/>
                <w:color w:val="000000"/>
                <w:sz w:val="22"/>
                <w:szCs w:val="22"/>
              </w:rPr>
              <w:t>10.4</w:t>
            </w:r>
          </w:p>
        </w:tc>
        <w:tc>
          <w:tcPr>
            <w:tcW w:w="1717" w:type="dxa"/>
            <w:noWrap/>
            <w:hideMark/>
          </w:tcPr>
          <w:p w:rsidR="00A930AB" w:rsidRPr="00183E4E" w:rsidRDefault="00A930AB" w:rsidP="002B34B0">
            <w:pPr>
              <w:tabs>
                <w:tab w:val="decimal" w:pos="774"/>
              </w:tabs>
              <w:rPr>
                <w:sz w:val="18"/>
              </w:rPr>
            </w:pPr>
            <w:r w:rsidRPr="00183E4E">
              <w:rPr>
                <w:rFonts w:ascii="Calibri" w:hAnsi="Calibri"/>
                <w:color w:val="000000"/>
                <w:sz w:val="22"/>
                <w:szCs w:val="22"/>
              </w:rPr>
              <w:t>11.8</w:t>
            </w:r>
          </w:p>
        </w:tc>
      </w:tr>
      <w:tr w:rsidR="00A930AB" w:rsidRPr="00183E4E" w:rsidTr="00F13887">
        <w:tc>
          <w:tcPr>
            <w:tcW w:w="2063" w:type="dxa"/>
            <w:noWrap/>
            <w:hideMark/>
          </w:tcPr>
          <w:p w:rsidR="00A930AB" w:rsidRPr="00183E4E" w:rsidRDefault="00A930AB" w:rsidP="002B34B0">
            <w:pPr>
              <w:spacing w:after="60"/>
              <w:rPr>
                <w:sz w:val="18"/>
              </w:rPr>
            </w:pPr>
            <w:r w:rsidRPr="00183E4E">
              <w:rPr>
                <w:sz w:val="18"/>
              </w:rPr>
              <w:t>50.0</w:t>
            </w:r>
          </w:p>
        </w:tc>
        <w:tc>
          <w:tcPr>
            <w:tcW w:w="1800" w:type="dxa"/>
            <w:noWrap/>
            <w:hideMark/>
          </w:tcPr>
          <w:p w:rsidR="00A930AB" w:rsidRPr="00183E4E" w:rsidRDefault="00A930AB" w:rsidP="002B34B0">
            <w:pPr>
              <w:tabs>
                <w:tab w:val="decimal" w:pos="792"/>
              </w:tabs>
              <w:spacing w:after="60"/>
              <w:rPr>
                <w:sz w:val="18"/>
              </w:rPr>
            </w:pPr>
            <w:r w:rsidRPr="00183E4E">
              <w:rPr>
                <w:rFonts w:ascii="Calibri" w:hAnsi="Calibri"/>
                <w:color w:val="000000"/>
                <w:sz w:val="22"/>
                <w:szCs w:val="22"/>
              </w:rPr>
              <w:t>5.0</w:t>
            </w:r>
          </w:p>
        </w:tc>
        <w:tc>
          <w:tcPr>
            <w:tcW w:w="1800" w:type="dxa"/>
            <w:noWrap/>
            <w:hideMark/>
          </w:tcPr>
          <w:p w:rsidR="00A930AB" w:rsidRPr="00183E4E" w:rsidRDefault="00A930AB" w:rsidP="002B34B0">
            <w:pPr>
              <w:tabs>
                <w:tab w:val="decimal" w:pos="792"/>
              </w:tabs>
              <w:spacing w:after="60"/>
              <w:rPr>
                <w:sz w:val="18"/>
              </w:rPr>
            </w:pPr>
            <w:r w:rsidRPr="00183E4E">
              <w:rPr>
                <w:rFonts w:ascii="Calibri" w:hAnsi="Calibri"/>
                <w:color w:val="000000"/>
                <w:sz w:val="22"/>
                <w:szCs w:val="22"/>
              </w:rPr>
              <w:t>5.9</w:t>
            </w:r>
          </w:p>
        </w:tc>
        <w:tc>
          <w:tcPr>
            <w:tcW w:w="263" w:type="dxa"/>
          </w:tcPr>
          <w:p w:rsidR="00A930AB" w:rsidRPr="00183E4E" w:rsidRDefault="00A930AB" w:rsidP="002B34B0">
            <w:pPr>
              <w:spacing w:after="60"/>
              <w:rPr>
                <w:sz w:val="18"/>
              </w:rPr>
            </w:pPr>
          </w:p>
        </w:tc>
        <w:tc>
          <w:tcPr>
            <w:tcW w:w="1717" w:type="dxa"/>
            <w:noWrap/>
            <w:hideMark/>
          </w:tcPr>
          <w:p w:rsidR="00A930AB" w:rsidRPr="00183E4E" w:rsidRDefault="00A930AB" w:rsidP="002B34B0">
            <w:pPr>
              <w:tabs>
                <w:tab w:val="decimal" w:pos="774"/>
              </w:tabs>
              <w:spacing w:after="60"/>
              <w:rPr>
                <w:sz w:val="18"/>
              </w:rPr>
            </w:pPr>
            <w:r w:rsidRPr="00183E4E">
              <w:rPr>
                <w:rFonts w:ascii="Calibri" w:hAnsi="Calibri"/>
                <w:color w:val="000000"/>
                <w:sz w:val="22"/>
                <w:szCs w:val="22"/>
              </w:rPr>
              <w:t>10.6</w:t>
            </w:r>
          </w:p>
        </w:tc>
        <w:tc>
          <w:tcPr>
            <w:tcW w:w="1717" w:type="dxa"/>
            <w:noWrap/>
            <w:hideMark/>
          </w:tcPr>
          <w:p w:rsidR="00A930AB" w:rsidRPr="00183E4E" w:rsidRDefault="00A930AB" w:rsidP="002B34B0">
            <w:pPr>
              <w:tabs>
                <w:tab w:val="decimal" w:pos="774"/>
              </w:tabs>
              <w:spacing w:after="60"/>
              <w:rPr>
                <w:sz w:val="18"/>
              </w:rPr>
            </w:pPr>
            <w:r w:rsidRPr="00183E4E">
              <w:rPr>
                <w:rFonts w:ascii="Calibri" w:hAnsi="Calibri"/>
                <w:color w:val="000000"/>
                <w:sz w:val="22"/>
                <w:szCs w:val="22"/>
              </w:rPr>
              <w:t>12.0</w:t>
            </w:r>
          </w:p>
        </w:tc>
      </w:tr>
    </w:tbl>
    <w:p w:rsidR="002B34B0" w:rsidRPr="00183E4E" w:rsidRDefault="00A930AB" w:rsidP="002B34B0">
      <w:pPr>
        <w:tabs>
          <w:tab w:val="left" w:pos="432"/>
        </w:tabs>
        <w:spacing w:after="240"/>
        <w:rPr>
          <w:rFonts w:ascii="Garamond" w:eastAsia="Times New Roman" w:hAnsi="Garamond" w:cs="Times New Roman"/>
          <w:sz w:val="18"/>
          <w:szCs w:val="18"/>
        </w:rPr>
      </w:pPr>
      <w:r w:rsidRPr="00183E4E">
        <w:rPr>
          <w:rFonts w:ascii="Garamond" w:eastAsia="Times New Roman" w:hAnsi="Garamond" w:cs="Times New Roman"/>
          <w:sz w:val="18"/>
          <w:szCs w:val="18"/>
        </w:rPr>
        <w:t>Note: The half-width of the confidence interval and minimum detectable difference are computed assuming a binomial variable.  A design effect of 1.1 was assumed to account for the weight differential arising from variation in the response rates of the physicians.</w:t>
      </w:r>
    </w:p>
    <w:p w:rsidR="002B34B0" w:rsidRPr="00183E4E" w:rsidRDefault="002B34B0" w:rsidP="002B34B0">
      <w:pPr>
        <w:tabs>
          <w:tab w:val="left" w:pos="432"/>
        </w:tabs>
        <w:spacing w:after="240"/>
        <w:ind w:left="432" w:hanging="432"/>
        <w:jc w:val="both"/>
        <w:outlineLvl w:val="3"/>
        <w:rPr>
          <w:rFonts w:ascii="Garamond" w:eastAsia="Times New Roman" w:hAnsi="Garamond" w:cs="Times New Roman"/>
          <w:b/>
          <w:sz w:val="24"/>
          <w:szCs w:val="24"/>
        </w:rPr>
      </w:pPr>
      <w:r w:rsidRPr="00183E4E">
        <w:rPr>
          <w:rFonts w:ascii="Garamond" w:eastAsia="Times New Roman" w:hAnsi="Garamond" w:cs="Times New Roman"/>
          <w:b/>
          <w:sz w:val="24"/>
          <w:szCs w:val="24"/>
        </w:rPr>
        <w:t>d.</w:t>
      </w:r>
      <w:r w:rsidRPr="00183E4E">
        <w:rPr>
          <w:rFonts w:ascii="Garamond" w:eastAsia="Times New Roman" w:hAnsi="Garamond" w:cs="Times New Roman"/>
          <w:b/>
          <w:sz w:val="24"/>
          <w:szCs w:val="24"/>
        </w:rPr>
        <w:tab/>
        <w:t>Quality Control Procedures</w:t>
      </w:r>
    </w:p>
    <w:p w:rsidR="002B34B0" w:rsidRPr="00183E4E" w:rsidRDefault="00323890" w:rsidP="00F13887">
      <w:pPr>
        <w:tabs>
          <w:tab w:val="left" w:pos="432"/>
        </w:tabs>
        <w:spacing w:after="240"/>
        <w:rPr>
          <w:rFonts w:ascii="Garamond" w:eastAsia="Times New Roman" w:hAnsi="Garamond" w:cs="Times New Roman"/>
          <w:sz w:val="24"/>
          <w:szCs w:val="24"/>
        </w:rPr>
      </w:pPr>
      <w:r w:rsidRPr="00183E4E">
        <w:rPr>
          <w:rFonts w:ascii="Garamond" w:eastAsia="Times New Roman" w:hAnsi="Garamond" w:cs="Times New Roman"/>
          <w:sz w:val="24"/>
          <w:szCs w:val="24"/>
        </w:rPr>
        <w:t>A</w:t>
      </w:r>
      <w:r w:rsidR="002B34B0" w:rsidRPr="00183E4E">
        <w:rPr>
          <w:rFonts w:ascii="Garamond" w:eastAsia="Times New Roman" w:hAnsi="Garamond" w:cs="Times New Roman"/>
          <w:sz w:val="24"/>
          <w:szCs w:val="24"/>
        </w:rPr>
        <w:t xml:space="preserve"> team of experienced quantitative researchers </w:t>
      </w:r>
      <w:r w:rsidRPr="00183E4E">
        <w:rPr>
          <w:rFonts w:ascii="Garamond" w:eastAsia="Times New Roman" w:hAnsi="Garamond" w:cs="Times New Roman"/>
          <w:sz w:val="24"/>
          <w:szCs w:val="24"/>
        </w:rPr>
        <w:t>will</w:t>
      </w:r>
      <w:r w:rsidR="002B34B0" w:rsidRPr="00183E4E">
        <w:rPr>
          <w:rFonts w:ascii="Garamond" w:eastAsia="Times New Roman" w:hAnsi="Garamond" w:cs="Times New Roman"/>
          <w:sz w:val="24"/>
          <w:szCs w:val="24"/>
        </w:rPr>
        <w:t xml:space="preserve"> collect and analyze the survey data described in this statement. In addition, sampling statisticians will review (1) specifications for the coding that will be used to conduct the analyses to ensure that appropriate weights are applied and (2) descriptions of the results to ensure that appropriate conclusions are drawn regarding population parameters. An independent senior programmer will review all code developed for the analyses.  </w:t>
      </w:r>
    </w:p>
    <w:p w:rsidR="002B34B0" w:rsidRPr="00183E4E" w:rsidRDefault="002B34B0" w:rsidP="00F13887">
      <w:pPr>
        <w:keepNext/>
        <w:tabs>
          <w:tab w:val="left" w:pos="432"/>
        </w:tabs>
        <w:spacing w:after="240"/>
        <w:ind w:left="432" w:hanging="432"/>
        <w:outlineLvl w:val="2"/>
        <w:rPr>
          <w:rFonts w:ascii="Garamond" w:eastAsia="Times New Roman" w:hAnsi="Garamond" w:cs="Times New Roman"/>
          <w:b/>
          <w:sz w:val="24"/>
          <w:szCs w:val="24"/>
        </w:rPr>
      </w:pPr>
      <w:bookmarkStart w:id="7" w:name="_Toc351111841"/>
      <w:r w:rsidRPr="00183E4E">
        <w:rPr>
          <w:rFonts w:ascii="Garamond" w:eastAsia="Times New Roman" w:hAnsi="Garamond" w:cs="Times New Roman"/>
          <w:b/>
          <w:sz w:val="24"/>
          <w:szCs w:val="24"/>
        </w:rPr>
        <w:t>3.</w:t>
      </w:r>
      <w:r w:rsidRPr="00183E4E">
        <w:rPr>
          <w:rFonts w:ascii="Garamond" w:eastAsia="Times New Roman" w:hAnsi="Garamond" w:cs="Times New Roman"/>
          <w:b/>
          <w:sz w:val="24"/>
          <w:szCs w:val="24"/>
        </w:rPr>
        <w:tab/>
        <w:t>Methods to Maximize Response Rates</w:t>
      </w:r>
      <w:bookmarkEnd w:id="7"/>
    </w:p>
    <w:p w:rsidR="005C2E2F" w:rsidRPr="00183E4E" w:rsidRDefault="002B34B0" w:rsidP="005C2E2F">
      <w:pPr>
        <w:pStyle w:val="NormalSS"/>
        <w:ind w:firstLine="0"/>
        <w:jc w:val="left"/>
      </w:pPr>
      <w:r w:rsidRPr="00183E4E">
        <w:t xml:space="preserve">Physicians can be a challenging population to contact and survey due to their workload and scheduling demands, and because of this, we generally do not expect high response rates from them. The estimated response rate for this study across all modes of survey completion is 40 percent. </w:t>
      </w:r>
      <w:r w:rsidR="005C2E2F" w:rsidRPr="00183E4E">
        <w:t xml:space="preserve">We will mail out 3,000 surveys for the random sample (750 per selected State) to yield 1,200 completed surveys (300 per State for each of four States). </w:t>
      </w:r>
    </w:p>
    <w:p w:rsidR="002B34B0" w:rsidRPr="00183E4E" w:rsidRDefault="002B34B0" w:rsidP="00F13887">
      <w:pPr>
        <w:tabs>
          <w:tab w:val="left" w:pos="432"/>
        </w:tabs>
        <w:spacing w:after="240"/>
        <w:rPr>
          <w:rFonts w:ascii="Garamond" w:eastAsia="Times New Roman" w:hAnsi="Garamond" w:cs="Times New Roman"/>
          <w:sz w:val="24"/>
          <w:szCs w:val="24"/>
        </w:rPr>
      </w:pPr>
      <w:r w:rsidRPr="00183E4E">
        <w:rPr>
          <w:rFonts w:ascii="Garamond" w:eastAsia="Times New Roman" w:hAnsi="Garamond" w:cs="Times New Roman"/>
          <w:sz w:val="24"/>
          <w:szCs w:val="24"/>
        </w:rPr>
        <w:t>The survey topics related to quality measures and improving the quality of pediatric patient care are highly salient to the universe of sampled pediatricians and family physicians. In addition to survey topic relevance, numerous methods and materials will be used to encourage response and reduce challenges to participation:</w:t>
      </w:r>
    </w:p>
    <w:p w:rsidR="002B34B0" w:rsidRPr="00183E4E" w:rsidRDefault="002B34B0" w:rsidP="00F13887">
      <w:pPr>
        <w:pStyle w:val="ListParagraph"/>
        <w:numPr>
          <w:ilvl w:val="0"/>
          <w:numId w:val="1"/>
        </w:numPr>
        <w:tabs>
          <w:tab w:val="left" w:pos="0"/>
        </w:tabs>
        <w:spacing w:after="120"/>
        <w:ind w:left="270" w:right="360" w:hanging="270"/>
        <w:rPr>
          <w:rFonts w:ascii="Garamond" w:eastAsia="Times New Roman" w:hAnsi="Garamond" w:cs="Times New Roman"/>
          <w:b/>
          <w:sz w:val="24"/>
          <w:szCs w:val="24"/>
        </w:rPr>
      </w:pPr>
      <w:r w:rsidRPr="00183E4E">
        <w:rPr>
          <w:rFonts w:ascii="Garamond" w:eastAsia="Times New Roman" w:hAnsi="Garamond" w:cs="Times New Roman"/>
          <w:b/>
          <w:sz w:val="24"/>
          <w:szCs w:val="24"/>
        </w:rPr>
        <w:t xml:space="preserve">Branded materials. </w:t>
      </w:r>
      <w:r w:rsidRPr="00183E4E">
        <w:rPr>
          <w:rFonts w:ascii="Garamond" w:eastAsia="Times New Roman" w:hAnsi="Garamond" w:cs="Times New Roman"/>
          <w:sz w:val="24"/>
          <w:szCs w:val="24"/>
        </w:rPr>
        <w:t>The advance letter will be printed on AHRQ letterhead and mailed in an AHRQ envelope so that the study is legitimized and the importance is stressed. In addition, the web-based survey will include the AHRQ logo.</w:t>
      </w:r>
    </w:p>
    <w:p w:rsidR="002B34B0" w:rsidRPr="00183E4E" w:rsidRDefault="002B34B0" w:rsidP="00F13887">
      <w:pPr>
        <w:pStyle w:val="ListParagraph"/>
        <w:numPr>
          <w:ilvl w:val="0"/>
          <w:numId w:val="1"/>
        </w:numPr>
        <w:tabs>
          <w:tab w:val="left" w:pos="360"/>
        </w:tabs>
        <w:spacing w:after="120"/>
        <w:ind w:left="270" w:right="360" w:hanging="270"/>
        <w:rPr>
          <w:rFonts w:ascii="Garamond" w:eastAsia="Times New Roman" w:hAnsi="Garamond" w:cs="Times New Roman"/>
          <w:b/>
          <w:sz w:val="24"/>
          <w:szCs w:val="24"/>
        </w:rPr>
      </w:pPr>
      <w:r w:rsidRPr="00183E4E">
        <w:rPr>
          <w:rFonts w:ascii="Garamond" w:eastAsia="Times New Roman" w:hAnsi="Garamond" w:cs="Times New Roman"/>
          <w:b/>
          <w:sz w:val="24"/>
          <w:szCs w:val="24"/>
        </w:rPr>
        <w:t xml:space="preserve">Endorsement of stakeholders. </w:t>
      </w:r>
      <w:r w:rsidR="00323890" w:rsidRPr="00183E4E">
        <w:rPr>
          <w:rFonts w:ascii="Garamond" w:eastAsia="Times New Roman" w:hAnsi="Garamond" w:cs="Times New Roman"/>
          <w:sz w:val="24"/>
          <w:szCs w:val="24"/>
        </w:rPr>
        <w:t>The</w:t>
      </w:r>
      <w:r w:rsidRPr="00183E4E">
        <w:rPr>
          <w:rFonts w:ascii="Garamond" w:eastAsia="Times New Roman" w:hAnsi="Garamond" w:cs="Times New Roman"/>
          <w:sz w:val="24"/>
          <w:szCs w:val="24"/>
        </w:rPr>
        <w:t xml:space="preserve"> advance letter will include an endorsement letter from the American Academy of Pediatrics (AAP) and American Academy of Family Physicians (AAFP). The endorsement will highlight the importance of the study and encourage participation.</w:t>
      </w:r>
    </w:p>
    <w:p w:rsidR="002B34B0" w:rsidRPr="00183E4E" w:rsidRDefault="002B34B0" w:rsidP="00F13887">
      <w:pPr>
        <w:pStyle w:val="ListParagraph"/>
        <w:numPr>
          <w:ilvl w:val="0"/>
          <w:numId w:val="1"/>
        </w:numPr>
        <w:tabs>
          <w:tab w:val="left" w:pos="360"/>
        </w:tabs>
        <w:spacing w:after="120"/>
        <w:ind w:left="270" w:right="360" w:hanging="270"/>
        <w:rPr>
          <w:rFonts w:ascii="Garamond" w:eastAsia="Times New Roman" w:hAnsi="Garamond" w:cs="Times New Roman"/>
          <w:b/>
          <w:sz w:val="24"/>
          <w:szCs w:val="24"/>
        </w:rPr>
      </w:pPr>
      <w:r w:rsidRPr="00183E4E">
        <w:rPr>
          <w:rFonts w:ascii="Garamond" w:eastAsia="Times New Roman" w:hAnsi="Garamond" w:cs="Times New Roman"/>
          <w:b/>
          <w:sz w:val="24"/>
          <w:szCs w:val="24"/>
        </w:rPr>
        <w:t xml:space="preserve">Use of incentives. </w:t>
      </w:r>
      <w:r w:rsidRPr="00183E4E">
        <w:rPr>
          <w:rFonts w:ascii="Garamond" w:eastAsia="Times New Roman" w:hAnsi="Garamond" w:cs="Times New Roman"/>
          <w:sz w:val="24"/>
          <w:szCs w:val="24"/>
        </w:rPr>
        <w:t>Prepaid monetary incentives are associated with increased survey response, even when small in amount. The initial survey mailing will include a $5 cash incentive to demonstrate appreciation for the respondent’s time and heighten the norm of reciprocity.</w:t>
      </w:r>
    </w:p>
    <w:p w:rsidR="002B34B0" w:rsidRPr="00183E4E" w:rsidRDefault="002B34B0" w:rsidP="00F13887">
      <w:pPr>
        <w:pStyle w:val="ListParagraph"/>
        <w:numPr>
          <w:ilvl w:val="0"/>
          <w:numId w:val="1"/>
        </w:numPr>
        <w:tabs>
          <w:tab w:val="left" w:pos="360"/>
        </w:tabs>
        <w:spacing w:after="120"/>
        <w:ind w:left="270" w:right="360" w:hanging="270"/>
        <w:rPr>
          <w:rFonts w:ascii="Garamond" w:eastAsia="Times New Roman" w:hAnsi="Garamond" w:cs="Times New Roman"/>
          <w:b/>
          <w:sz w:val="24"/>
          <w:szCs w:val="24"/>
        </w:rPr>
      </w:pPr>
      <w:r w:rsidRPr="00183E4E">
        <w:rPr>
          <w:rFonts w:ascii="Garamond" w:eastAsia="Times New Roman" w:hAnsi="Garamond" w:cs="Times New Roman"/>
          <w:b/>
          <w:sz w:val="24"/>
          <w:szCs w:val="24"/>
        </w:rPr>
        <w:t xml:space="preserve">Eligibility postcard experiment.  </w:t>
      </w:r>
      <w:r w:rsidR="009C1B89" w:rsidRPr="00183E4E">
        <w:rPr>
          <w:rFonts w:ascii="Garamond" w:eastAsia="Times New Roman" w:hAnsi="Garamond" w:cs="Times New Roman"/>
          <w:sz w:val="24"/>
          <w:szCs w:val="24"/>
        </w:rPr>
        <w:t>A</w:t>
      </w:r>
      <w:r w:rsidRPr="00183E4E">
        <w:rPr>
          <w:rFonts w:ascii="Garamond" w:eastAsia="Times New Roman" w:hAnsi="Garamond" w:cs="Times New Roman"/>
          <w:sz w:val="24"/>
          <w:szCs w:val="24"/>
        </w:rPr>
        <w:t xml:space="preserve"> randomized experiment in which a randomly selected group of physicians will have a postage-paid postcard inserted into their initial correspondence. The postcard contains the two survey questions that screen for eligibility for participation. </w:t>
      </w:r>
      <w:r w:rsidR="009C1B89" w:rsidRPr="00183E4E">
        <w:rPr>
          <w:rFonts w:ascii="Garamond" w:eastAsia="Times New Roman" w:hAnsi="Garamond" w:cs="Times New Roman"/>
          <w:sz w:val="24"/>
          <w:szCs w:val="24"/>
        </w:rPr>
        <w:t>We</w:t>
      </w:r>
      <w:r w:rsidRPr="00183E4E">
        <w:rPr>
          <w:rFonts w:ascii="Garamond" w:eastAsia="Times New Roman" w:hAnsi="Garamond" w:cs="Times New Roman"/>
          <w:sz w:val="24"/>
          <w:szCs w:val="24"/>
        </w:rPr>
        <w:t xml:space="preserve"> hypothesize that ineligible physicians will be more likely to return the postcard than the full paper survey indicating their ineligibility.  Return of the postcard can </w:t>
      </w:r>
      <w:r w:rsidRPr="00183E4E">
        <w:rPr>
          <w:rFonts w:ascii="Garamond" w:eastAsia="Times New Roman" w:hAnsi="Garamond" w:cs="Times New Roman"/>
          <w:sz w:val="24"/>
          <w:szCs w:val="24"/>
        </w:rPr>
        <w:lastRenderedPageBreak/>
        <w:t xml:space="preserve">help differentiate ineligible physicians versus nonresponders and potentially allow for more efficient release of additional case as needed to reach the target number of responses. In addition, physicians that return their postcard after the AHRQ advance letter but before the survey mailing will be removed from our mailing database. This saves costs on mailings.  </w:t>
      </w:r>
      <w:r w:rsidR="009C1B89" w:rsidRPr="00183E4E">
        <w:rPr>
          <w:rFonts w:ascii="Garamond" w:eastAsia="Times New Roman" w:hAnsi="Garamond" w:cs="Times New Roman"/>
          <w:sz w:val="24"/>
          <w:szCs w:val="24"/>
        </w:rPr>
        <w:t>T</w:t>
      </w:r>
      <w:r w:rsidRPr="00183E4E">
        <w:rPr>
          <w:rFonts w:ascii="Garamond" w:eastAsia="Times New Roman" w:hAnsi="Garamond" w:cs="Times New Roman"/>
          <w:sz w:val="24"/>
          <w:szCs w:val="24"/>
        </w:rPr>
        <w:t>his method</w:t>
      </w:r>
      <w:r w:rsidR="009C1B89" w:rsidRPr="00183E4E">
        <w:rPr>
          <w:rFonts w:ascii="Garamond" w:eastAsia="Times New Roman" w:hAnsi="Garamond" w:cs="Times New Roman"/>
          <w:sz w:val="24"/>
          <w:szCs w:val="24"/>
        </w:rPr>
        <w:t xml:space="preserve"> has been used</w:t>
      </w:r>
      <w:r w:rsidRPr="00183E4E">
        <w:rPr>
          <w:rFonts w:ascii="Garamond" w:eastAsia="Times New Roman" w:hAnsi="Garamond" w:cs="Times New Roman"/>
          <w:sz w:val="24"/>
          <w:szCs w:val="24"/>
        </w:rPr>
        <w:t xml:space="preserve"> in other surveys of physicians but </w:t>
      </w:r>
      <w:r w:rsidR="009C1B89" w:rsidRPr="00183E4E">
        <w:rPr>
          <w:rFonts w:ascii="Garamond" w:eastAsia="Times New Roman" w:hAnsi="Garamond" w:cs="Times New Roman"/>
          <w:sz w:val="24"/>
          <w:szCs w:val="24"/>
        </w:rPr>
        <w:t xml:space="preserve">there </w:t>
      </w:r>
      <w:r w:rsidRPr="00183E4E">
        <w:rPr>
          <w:rFonts w:ascii="Garamond" w:eastAsia="Times New Roman" w:hAnsi="Garamond" w:cs="Times New Roman"/>
          <w:sz w:val="24"/>
          <w:szCs w:val="24"/>
        </w:rPr>
        <w:t>has not</w:t>
      </w:r>
      <w:r w:rsidR="009C1B89" w:rsidRPr="00183E4E">
        <w:rPr>
          <w:rFonts w:ascii="Garamond" w:eastAsia="Times New Roman" w:hAnsi="Garamond" w:cs="Times New Roman"/>
          <w:sz w:val="24"/>
          <w:szCs w:val="24"/>
        </w:rPr>
        <w:t xml:space="preserve"> been</w:t>
      </w:r>
      <w:r w:rsidRPr="00183E4E">
        <w:rPr>
          <w:rFonts w:ascii="Garamond" w:eastAsia="Times New Roman" w:hAnsi="Garamond" w:cs="Times New Roman"/>
          <w:sz w:val="24"/>
          <w:szCs w:val="24"/>
        </w:rPr>
        <w:t xml:space="preserve"> a rigorous assessment of its effects.</w:t>
      </w:r>
    </w:p>
    <w:p w:rsidR="002B34B0" w:rsidRPr="00183E4E" w:rsidRDefault="002B34B0" w:rsidP="00F13887">
      <w:pPr>
        <w:pStyle w:val="ListParagraph"/>
        <w:numPr>
          <w:ilvl w:val="0"/>
          <w:numId w:val="1"/>
        </w:numPr>
        <w:tabs>
          <w:tab w:val="left" w:pos="360"/>
        </w:tabs>
        <w:spacing w:after="120"/>
        <w:ind w:left="270" w:right="360" w:hanging="270"/>
        <w:rPr>
          <w:rFonts w:ascii="Garamond" w:eastAsia="Times New Roman" w:hAnsi="Garamond" w:cs="Times New Roman"/>
          <w:b/>
          <w:sz w:val="24"/>
          <w:szCs w:val="24"/>
        </w:rPr>
      </w:pPr>
      <w:r w:rsidRPr="00183E4E">
        <w:rPr>
          <w:rFonts w:ascii="Garamond" w:eastAsia="Times New Roman" w:hAnsi="Garamond" w:cs="Times New Roman"/>
          <w:b/>
          <w:sz w:val="24"/>
          <w:szCs w:val="24"/>
        </w:rPr>
        <w:t xml:space="preserve">Flexible participation. </w:t>
      </w:r>
      <w:r w:rsidR="009C1B89" w:rsidRPr="00183E4E">
        <w:rPr>
          <w:rFonts w:ascii="Garamond" w:eastAsia="Times New Roman" w:hAnsi="Garamond" w:cs="Times New Roman"/>
          <w:sz w:val="24"/>
          <w:szCs w:val="24"/>
        </w:rPr>
        <w:t>R</w:t>
      </w:r>
      <w:r w:rsidRPr="00183E4E">
        <w:rPr>
          <w:rFonts w:ascii="Garamond" w:eastAsia="Times New Roman" w:hAnsi="Garamond" w:cs="Times New Roman"/>
          <w:sz w:val="24"/>
          <w:szCs w:val="24"/>
        </w:rPr>
        <w:t>espondents whose preferred mode of contact is not mail will</w:t>
      </w:r>
      <w:r w:rsidR="009C1B89" w:rsidRPr="00183E4E">
        <w:rPr>
          <w:rFonts w:ascii="Garamond" w:eastAsia="Times New Roman" w:hAnsi="Garamond" w:cs="Times New Roman"/>
          <w:sz w:val="24"/>
          <w:szCs w:val="24"/>
        </w:rPr>
        <w:t xml:space="preserve"> be</w:t>
      </w:r>
      <w:r w:rsidRPr="00183E4E">
        <w:rPr>
          <w:rFonts w:ascii="Garamond" w:eastAsia="Times New Roman" w:hAnsi="Garamond" w:cs="Times New Roman"/>
          <w:sz w:val="24"/>
          <w:szCs w:val="24"/>
        </w:rPr>
        <w:t xml:space="preserve"> offer</w:t>
      </w:r>
      <w:r w:rsidR="009C1B89" w:rsidRPr="00183E4E">
        <w:rPr>
          <w:rFonts w:ascii="Garamond" w:eastAsia="Times New Roman" w:hAnsi="Garamond" w:cs="Times New Roman"/>
          <w:sz w:val="24"/>
          <w:szCs w:val="24"/>
        </w:rPr>
        <w:t>ed</w:t>
      </w:r>
      <w:r w:rsidRPr="00183E4E">
        <w:rPr>
          <w:rFonts w:ascii="Garamond" w:eastAsia="Times New Roman" w:hAnsi="Garamond" w:cs="Times New Roman"/>
          <w:sz w:val="24"/>
          <w:szCs w:val="24"/>
        </w:rPr>
        <w:t xml:space="preserve"> the opportunity to complete the survey by fax or over the telephone with an interviewer. This flexibility will allow the respondent to participate in the manner most convenient based on their own scheduling needs.</w:t>
      </w:r>
    </w:p>
    <w:p w:rsidR="002B34B0" w:rsidRPr="00183E4E" w:rsidRDefault="002B34B0" w:rsidP="00F13887">
      <w:pPr>
        <w:pStyle w:val="ListParagraph"/>
        <w:numPr>
          <w:ilvl w:val="0"/>
          <w:numId w:val="1"/>
        </w:numPr>
        <w:tabs>
          <w:tab w:val="left" w:pos="360"/>
        </w:tabs>
        <w:spacing w:after="120"/>
        <w:ind w:left="270" w:right="360" w:hanging="270"/>
        <w:rPr>
          <w:rFonts w:ascii="Garamond" w:eastAsia="Times New Roman" w:hAnsi="Garamond" w:cs="Times New Roman"/>
          <w:b/>
          <w:sz w:val="24"/>
          <w:szCs w:val="24"/>
        </w:rPr>
      </w:pPr>
      <w:r w:rsidRPr="00183E4E">
        <w:rPr>
          <w:rFonts w:ascii="Garamond" w:eastAsia="Times New Roman" w:hAnsi="Garamond" w:cs="Times New Roman"/>
          <w:b/>
          <w:sz w:val="24"/>
          <w:szCs w:val="24"/>
        </w:rPr>
        <w:t xml:space="preserve">Closed-ended questions: </w:t>
      </w:r>
      <w:r w:rsidRPr="00183E4E">
        <w:rPr>
          <w:rFonts w:ascii="Garamond" w:eastAsia="Times New Roman" w:hAnsi="Garamond" w:cs="Times New Roman"/>
          <w:sz w:val="24"/>
          <w:szCs w:val="24"/>
        </w:rPr>
        <w:t xml:space="preserve">To facilitate completion of the survey by mail or web, the vast majority of survey items will be closed-ended with categorical response categories. </w:t>
      </w:r>
    </w:p>
    <w:p w:rsidR="002B34B0" w:rsidRPr="00183E4E" w:rsidRDefault="002B34B0" w:rsidP="00F13887">
      <w:pPr>
        <w:pStyle w:val="ListParagraph"/>
        <w:numPr>
          <w:ilvl w:val="0"/>
          <w:numId w:val="1"/>
        </w:numPr>
        <w:tabs>
          <w:tab w:val="left" w:pos="360"/>
        </w:tabs>
        <w:spacing w:after="120"/>
        <w:ind w:left="270" w:right="360" w:hanging="270"/>
        <w:rPr>
          <w:rFonts w:ascii="Garamond" w:eastAsia="Times New Roman" w:hAnsi="Garamond" w:cs="Times New Roman"/>
          <w:b/>
          <w:sz w:val="24"/>
          <w:szCs w:val="24"/>
        </w:rPr>
      </w:pPr>
      <w:r w:rsidRPr="00183E4E">
        <w:rPr>
          <w:rFonts w:ascii="Garamond" w:eastAsia="Times New Roman" w:hAnsi="Garamond" w:cs="Times New Roman"/>
          <w:b/>
          <w:sz w:val="24"/>
          <w:szCs w:val="24"/>
        </w:rPr>
        <w:t xml:space="preserve">Targeted nonresponse follow-up. </w:t>
      </w:r>
      <w:r w:rsidR="009C1B89" w:rsidRPr="00183E4E">
        <w:rPr>
          <w:rFonts w:ascii="Garamond" w:eastAsia="Times New Roman" w:hAnsi="Garamond" w:cs="Times New Roman"/>
          <w:sz w:val="24"/>
          <w:szCs w:val="24"/>
        </w:rPr>
        <w:t>S</w:t>
      </w:r>
      <w:r w:rsidRPr="00183E4E">
        <w:rPr>
          <w:rFonts w:ascii="Garamond" w:eastAsia="Times New Roman" w:hAnsi="Garamond" w:cs="Times New Roman"/>
          <w:sz w:val="24"/>
          <w:szCs w:val="24"/>
        </w:rPr>
        <w:t>even follow-up contact attempts</w:t>
      </w:r>
      <w:r w:rsidR="009C1B89" w:rsidRPr="00183E4E">
        <w:rPr>
          <w:rFonts w:ascii="Garamond" w:eastAsia="Times New Roman" w:hAnsi="Garamond" w:cs="Times New Roman"/>
          <w:sz w:val="24"/>
          <w:szCs w:val="24"/>
        </w:rPr>
        <w:t xml:space="preserve"> will be made</w:t>
      </w:r>
      <w:r w:rsidRPr="00183E4E">
        <w:rPr>
          <w:rFonts w:ascii="Garamond" w:eastAsia="Times New Roman" w:hAnsi="Garamond" w:cs="Times New Roman"/>
          <w:sz w:val="24"/>
          <w:szCs w:val="24"/>
        </w:rPr>
        <w:t xml:space="preserve"> after the initial mailing to encourage survey response. These contact attempts will vary by mode in order to reach respondents in the manner most convenient for them and will include a postcard mailing, fax, emailing (if available), and telephone reminders. During reminder calls (up to two), trained interviewers  will call respondents to (1) remind them about the survey and seek their participation; (2) gather updated contact information for the clinician, especially email addresses; and (3) offer to assist sample members over the phone to complete the survey.</w:t>
      </w:r>
    </w:p>
    <w:p w:rsidR="002B34B0" w:rsidRPr="00183E4E" w:rsidRDefault="002B34B0" w:rsidP="00F13887">
      <w:pPr>
        <w:pStyle w:val="ListParagraph"/>
        <w:numPr>
          <w:ilvl w:val="0"/>
          <w:numId w:val="1"/>
        </w:numPr>
        <w:tabs>
          <w:tab w:val="left" w:pos="360"/>
        </w:tabs>
        <w:spacing w:after="320"/>
        <w:ind w:left="270" w:right="360" w:hanging="270"/>
        <w:rPr>
          <w:rFonts w:ascii="Garamond" w:eastAsia="Times New Roman" w:hAnsi="Garamond" w:cs="Times New Roman"/>
          <w:b/>
          <w:sz w:val="24"/>
          <w:szCs w:val="24"/>
        </w:rPr>
      </w:pPr>
      <w:r w:rsidRPr="00183E4E">
        <w:rPr>
          <w:rFonts w:ascii="Garamond" w:eastAsia="Times New Roman" w:hAnsi="Garamond" w:cs="Times New Roman"/>
          <w:b/>
          <w:sz w:val="24"/>
          <w:szCs w:val="24"/>
        </w:rPr>
        <w:t xml:space="preserve">Survey support. </w:t>
      </w:r>
      <w:r w:rsidR="009C1B89" w:rsidRPr="00183E4E">
        <w:rPr>
          <w:rFonts w:ascii="Garamond" w:eastAsia="Times New Roman" w:hAnsi="Garamond" w:cs="Times New Roman"/>
          <w:sz w:val="24"/>
          <w:szCs w:val="24"/>
        </w:rPr>
        <w:t>There will be a</w:t>
      </w:r>
      <w:r w:rsidRPr="00183E4E">
        <w:rPr>
          <w:rFonts w:ascii="Garamond" w:eastAsia="Times New Roman" w:hAnsi="Garamond" w:cs="Times New Roman"/>
          <w:sz w:val="24"/>
          <w:szCs w:val="24"/>
        </w:rPr>
        <w:t xml:space="preserve"> toll-free helpline and an email address for this survey. This phone and email contact information will be made available to sample members in the advance letter, along with the paper and web survey versions, and during reminder telephone calls. This toll-free line and email box restrict access to project personnel only.</w:t>
      </w:r>
    </w:p>
    <w:p w:rsidR="00C84809" w:rsidRPr="00183E4E" w:rsidRDefault="00C84809" w:rsidP="005C2E2F">
      <w:pPr>
        <w:pStyle w:val="ListParagraph"/>
        <w:tabs>
          <w:tab w:val="left" w:pos="360"/>
        </w:tabs>
        <w:spacing w:after="320"/>
        <w:ind w:left="270" w:right="360"/>
        <w:rPr>
          <w:rFonts w:ascii="Garamond" w:eastAsia="Times New Roman" w:hAnsi="Garamond" w:cs="Times New Roman"/>
          <w:b/>
          <w:sz w:val="24"/>
          <w:szCs w:val="24"/>
        </w:rPr>
      </w:pPr>
    </w:p>
    <w:p w:rsidR="002B34B0" w:rsidRPr="00183E4E" w:rsidRDefault="002B34B0" w:rsidP="00F13887">
      <w:pPr>
        <w:keepNext/>
        <w:tabs>
          <w:tab w:val="left" w:pos="432"/>
        </w:tabs>
        <w:spacing w:after="240"/>
        <w:ind w:left="432" w:hanging="432"/>
        <w:outlineLvl w:val="2"/>
        <w:rPr>
          <w:rFonts w:ascii="Garamond" w:eastAsia="Times New Roman" w:hAnsi="Garamond" w:cs="Times New Roman"/>
          <w:b/>
          <w:sz w:val="24"/>
          <w:szCs w:val="24"/>
        </w:rPr>
      </w:pPr>
      <w:bookmarkStart w:id="8" w:name="_Toc351111842"/>
      <w:r w:rsidRPr="00183E4E">
        <w:rPr>
          <w:rFonts w:ascii="Garamond" w:eastAsia="Times New Roman" w:hAnsi="Garamond" w:cs="Times New Roman"/>
          <w:b/>
          <w:sz w:val="24"/>
          <w:szCs w:val="24"/>
        </w:rPr>
        <w:t>4.</w:t>
      </w:r>
      <w:r w:rsidRPr="00183E4E">
        <w:rPr>
          <w:rFonts w:ascii="Garamond" w:eastAsia="Times New Roman" w:hAnsi="Garamond" w:cs="Times New Roman"/>
          <w:b/>
          <w:sz w:val="24"/>
          <w:szCs w:val="24"/>
        </w:rPr>
        <w:tab/>
        <w:t>Tests of Procedures</w:t>
      </w:r>
      <w:bookmarkEnd w:id="8"/>
    </w:p>
    <w:p w:rsidR="002B34B0" w:rsidRPr="00183E4E" w:rsidRDefault="002B34B0" w:rsidP="00F13887">
      <w:pPr>
        <w:tabs>
          <w:tab w:val="left" w:pos="432"/>
        </w:tabs>
        <w:spacing w:after="240"/>
        <w:rPr>
          <w:rFonts w:ascii="Garamond" w:eastAsia="Times New Roman" w:hAnsi="Garamond" w:cs="Times New Roman"/>
          <w:sz w:val="24"/>
          <w:szCs w:val="24"/>
        </w:rPr>
      </w:pPr>
      <w:r w:rsidRPr="00183E4E">
        <w:rPr>
          <w:rFonts w:ascii="Garamond" w:eastAsia="Times New Roman" w:hAnsi="Garamond" w:cs="Times New Roman"/>
          <w:sz w:val="24"/>
          <w:szCs w:val="24"/>
        </w:rPr>
        <w:t xml:space="preserve">The survey questionnaire for the mail-based survey </w:t>
      </w:r>
      <w:r w:rsidR="00C92C15" w:rsidRPr="00183E4E">
        <w:rPr>
          <w:rFonts w:ascii="Garamond" w:eastAsia="Times New Roman" w:hAnsi="Garamond" w:cs="Times New Roman"/>
          <w:sz w:val="24"/>
          <w:szCs w:val="24"/>
        </w:rPr>
        <w:t>was pretested with four</w:t>
      </w:r>
      <w:r w:rsidRPr="00183E4E">
        <w:rPr>
          <w:rFonts w:ascii="Garamond" w:eastAsia="Times New Roman" w:hAnsi="Garamond" w:cs="Times New Roman"/>
          <w:sz w:val="24"/>
          <w:szCs w:val="24"/>
        </w:rPr>
        <w:t xml:space="preserve"> pediatricians and </w:t>
      </w:r>
      <w:r w:rsidR="00C92C15" w:rsidRPr="00183E4E">
        <w:rPr>
          <w:rFonts w:ascii="Garamond" w:eastAsia="Times New Roman" w:hAnsi="Garamond" w:cs="Times New Roman"/>
          <w:sz w:val="24"/>
          <w:szCs w:val="24"/>
        </w:rPr>
        <w:t xml:space="preserve">one </w:t>
      </w:r>
      <w:r w:rsidRPr="00183E4E">
        <w:rPr>
          <w:rFonts w:ascii="Garamond" w:eastAsia="Times New Roman" w:hAnsi="Garamond" w:cs="Times New Roman"/>
          <w:sz w:val="24"/>
          <w:szCs w:val="24"/>
        </w:rPr>
        <w:t xml:space="preserve">family medicine physicians in May-July 2013. The survey pretest </w:t>
      </w:r>
      <w:r w:rsidR="00C92C15" w:rsidRPr="00183E4E">
        <w:rPr>
          <w:rFonts w:ascii="Garamond" w:eastAsia="Times New Roman" w:hAnsi="Garamond" w:cs="Times New Roman"/>
          <w:sz w:val="24"/>
          <w:szCs w:val="24"/>
        </w:rPr>
        <w:t>was</w:t>
      </w:r>
      <w:r w:rsidRPr="00183E4E">
        <w:rPr>
          <w:rFonts w:ascii="Garamond" w:eastAsia="Times New Roman" w:hAnsi="Garamond" w:cs="Times New Roman"/>
          <w:sz w:val="24"/>
          <w:szCs w:val="24"/>
        </w:rPr>
        <w:t xml:space="preserve"> designed to determine whether the information being requested in the survey is reasonable, clearly stated in coherent and unambiguous language, and collected in the least burdensome way possible. Through the pretest, </w:t>
      </w:r>
      <w:r w:rsidR="00680A2A" w:rsidRPr="00183E4E">
        <w:rPr>
          <w:rFonts w:ascii="Garamond" w:eastAsia="Times New Roman" w:hAnsi="Garamond" w:cs="Times New Roman"/>
          <w:sz w:val="24"/>
          <w:szCs w:val="24"/>
        </w:rPr>
        <w:t>AHRQ</w:t>
      </w:r>
      <w:r w:rsidRPr="00183E4E">
        <w:rPr>
          <w:rFonts w:ascii="Garamond" w:eastAsia="Times New Roman" w:hAnsi="Garamond" w:cs="Times New Roman"/>
          <w:sz w:val="24"/>
          <w:szCs w:val="24"/>
        </w:rPr>
        <w:t xml:space="preserve"> </w:t>
      </w:r>
      <w:r w:rsidR="00C92C15" w:rsidRPr="00183E4E">
        <w:rPr>
          <w:rFonts w:ascii="Garamond" w:eastAsia="Times New Roman" w:hAnsi="Garamond" w:cs="Times New Roman"/>
          <w:sz w:val="24"/>
          <w:szCs w:val="24"/>
        </w:rPr>
        <w:t>learned</w:t>
      </w:r>
      <w:r w:rsidRPr="00183E4E">
        <w:rPr>
          <w:rFonts w:ascii="Garamond" w:eastAsia="Times New Roman" w:hAnsi="Garamond" w:cs="Times New Roman"/>
          <w:sz w:val="24"/>
          <w:szCs w:val="24"/>
        </w:rPr>
        <w:t xml:space="preserve"> about </w:t>
      </w:r>
      <w:r w:rsidR="00C92C15" w:rsidRPr="00183E4E">
        <w:rPr>
          <w:rFonts w:ascii="Garamond" w:eastAsia="Times New Roman" w:hAnsi="Garamond" w:cs="Times New Roman"/>
          <w:sz w:val="24"/>
          <w:szCs w:val="24"/>
        </w:rPr>
        <w:t>challenges</w:t>
      </w:r>
      <w:r w:rsidRPr="00183E4E">
        <w:rPr>
          <w:rFonts w:ascii="Garamond" w:eastAsia="Times New Roman" w:hAnsi="Garamond" w:cs="Times New Roman"/>
          <w:sz w:val="24"/>
          <w:szCs w:val="24"/>
        </w:rPr>
        <w:t xml:space="preserve"> respondents experience</w:t>
      </w:r>
      <w:r w:rsidR="00C92C15" w:rsidRPr="00183E4E">
        <w:rPr>
          <w:rFonts w:ascii="Garamond" w:eastAsia="Times New Roman" w:hAnsi="Garamond" w:cs="Times New Roman"/>
          <w:sz w:val="24"/>
          <w:szCs w:val="24"/>
        </w:rPr>
        <w:t>d in completing the survey and</w:t>
      </w:r>
      <w:r w:rsidRPr="00183E4E">
        <w:rPr>
          <w:rFonts w:ascii="Garamond" w:eastAsia="Times New Roman" w:hAnsi="Garamond" w:cs="Times New Roman"/>
          <w:sz w:val="24"/>
          <w:szCs w:val="24"/>
        </w:rPr>
        <w:t xml:space="preserve"> providing the requested information. As a result, following the pretest, recommendations for survey revisions</w:t>
      </w:r>
      <w:r w:rsidR="00680A2A" w:rsidRPr="00183E4E">
        <w:rPr>
          <w:rFonts w:ascii="Garamond" w:eastAsia="Times New Roman" w:hAnsi="Garamond" w:cs="Times New Roman"/>
          <w:sz w:val="24"/>
          <w:szCs w:val="24"/>
        </w:rPr>
        <w:t xml:space="preserve"> </w:t>
      </w:r>
      <w:r w:rsidR="00C92C15" w:rsidRPr="00183E4E">
        <w:rPr>
          <w:rFonts w:ascii="Garamond" w:eastAsia="Times New Roman" w:hAnsi="Garamond" w:cs="Times New Roman"/>
          <w:sz w:val="24"/>
          <w:szCs w:val="24"/>
        </w:rPr>
        <w:t>were</w:t>
      </w:r>
      <w:r w:rsidR="00680A2A" w:rsidRPr="00183E4E">
        <w:rPr>
          <w:rFonts w:ascii="Garamond" w:eastAsia="Times New Roman" w:hAnsi="Garamond" w:cs="Times New Roman"/>
          <w:sz w:val="24"/>
          <w:szCs w:val="24"/>
        </w:rPr>
        <w:t xml:space="preserve"> made</w:t>
      </w:r>
      <w:r w:rsidRPr="00183E4E">
        <w:rPr>
          <w:rFonts w:ascii="Garamond" w:eastAsia="Times New Roman" w:hAnsi="Garamond" w:cs="Times New Roman"/>
          <w:sz w:val="24"/>
          <w:szCs w:val="24"/>
        </w:rPr>
        <w:t xml:space="preserve">. </w:t>
      </w:r>
    </w:p>
    <w:p w:rsidR="002B34B0" w:rsidRPr="00183E4E" w:rsidRDefault="002B34B0" w:rsidP="00F13887">
      <w:pPr>
        <w:tabs>
          <w:tab w:val="left" w:pos="432"/>
        </w:tabs>
        <w:spacing w:after="240"/>
        <w:rPr>
          <w:rFonts w:ascii="Garamond" w:eastAsia="Times New Roman" w:hAnsi="Garamond" w:cs="Times New Roman"/>
          <w:sz w:val="24"/>
          <w:szCs w:val="24"/>
        </w:rPr>
      </w:pPr>
      <w:r w:rsidRPr="00183E4E">
        <w:rPr>
          <w:rFonts w:ascii="Garamond" w:eastAsia="Times New Roman" w:hAnsi="Garamond" w:cs="Times New Roman"/>
          <w:sz w:val="24"/>
          <w:szCs w:val="24"/>
        </w:rPr>
        <w:t xml:space="preserve">Pretest responses to the survey questionnaires </w:t>
      </w:r>
      <w:r w:rsidR="00C92C15" w:rsidRPr="00183E4E">
        <w:rPr>
          <w:rFonts w:ascii="Garamond" w:eastAsia="Times New Roman" w:hAnsi="Garamond" w:cs="Times New Roman"/>
          <w:sz w:val="24"/>
          <w:szCs w:val="24"/>
        </w:rPr>
        <w:t>were</w:t>
      </w:r>
      <w:r w:rsidRPr="00183E4E">
        <w:rPr>
          <w:rFonts w:ascii="Garamond" w:eastAsia="Times New Roman" w:hAnsi="Garamond" w:cs="Times New Roman"/>
          <w:sz w:val="24"/>
          <w:szCs w:val="24"/>
        </w:rPr>
        <w:t xml:space="preserve"> collected by mail </w:t>
      </w:r>
      <w:r w:rsidR="00833CF5" w:rsidRPr="00183E4E">
        <w:rPr>
          <w:rFonts w:ascii="Garamond" w:eastAsia="Times New Roman" w:hAnsi="Garamond" w:cs="Times New Roman"/>
          <w:sz w:val="24"/>
          <w:szCs w:val="24"/>
        </w:rPr>
        <w:t xml:space="preserve">because </w:t>
      </w:r>
      <w:r w:rsidRPr="00183E4E">
        <w:rPr>
          <w:rFonts w:ascii="Garamond" w:eastAsia="Times New Roman" w:hAnsi="Garamond" w:cs="Times New Roman"/>
          <w:sz w:val="24"/>
          <w:szCs w:val="24"/>
        </w:rPr>
        <w:t xml:space="preserve">that will be the primary mode of response. </w:t>
      </w:r>
      <w:r w:rsidR="00680A2A" w:rsidRPr="00183E4E">
        <w:rPr>
          <w:rFonts w:ascii="Garamond" w:eastAsia="Times New Roman" w:hAnsi="Garamond" w:cs="Times New Roman"/>
          <w:sz w:val="24"/>
          <w:szCs w:val="24"/>
        </w:rPr>
        <w:t>S</w:t>
      </w:r>
      <w:r w:rsidRPr="00183E4E">
        <w:rPr>
          <w:rFonts w:ascii="Garamond" w:eastAsia="Times New Roman" w:hAnsi="Garamond" w:cs="Times New Roman"/>
          <w:sz w:val="24"/>
          <w:szCs w:val="24"/>
        </w:rPr>
        <w:t xml:space="preserve">taff </w:t>
      </w:r>
      <w:r w:rsidR="00C92C15" w:rsidRPr="00183E4E">
        <w:rPr>
          <w:rFonts w:ascii="Garamond" w:eastAsia="Times New Roman" w:hAnsi="Garamond" w:cs="Times New Roman"/>
          <w:sz w:val="24"/>
          <w:szCs w:val="24"/>
        </w:rPr>
        <w:t>followed</w:t>
      </w:r>
      <w:r w:rsidRPr="00183E4E">
        <w:rPr>
          <w:rFonts w:ascii="Garamond" w:eastAsia="Times New Roman" w:hAnsi="Garamond" w:cs="Times New Roman"/>
          <w:sz w:val="24"/>
          <w:szCs w:val="24"/>
        </w:rPr>
        <w:t xml:space="preserve"> up with pretest respondents by telephone to learn their reactions and determine how to improve survey language. The pretest establish</w:t>
      </w:r>
      <w:r w:rsidR="00C92C15" w:rsidRPr="00183E4E">
        <w:rPr>
          <w:rFonts w:ascii="Garamond" w:eastAsia="Times New Roman" w:hAnsi="Garamond" w:cs="Times New Roman"/>
          <w:sz w:val="24"/>
          <w:szCs w:val="24"/>
        </w:rPr>
        <w:t>ed</w:t>
      </w:r>
      <w:r w:rsidRPr="00183E4E">
        <w:rPr>
          <w:rFonts w:ascii="Garamond" w:eastAsia="Times New Roman" w:hAnsi="Garamond" w:cs="Times New Roman"/>
          <w:sz w:val="24"/>
          <w:szCs w:val="24"/>
        </w:rPr>
        <w:t xml:space="preserve"> the average survey length</w:t>
      </w:r>
      <w:r w:rsidR="00C92C15" w:rsidRPr="00183E4E">
        <w:rPr>
          <w:rFonts w:ascii="Garamond" w:eastAsia="Times New Roman" w:hAnsi="Garamond" w:cs="Times New Roman"/>
          <w:sz w:val="24"/>
          <w:szCs w:val="24"/>
        </w:rPr>
        <w:t xml:space="preserve"> was less than</w:t>
      </w:r>
      <w:r w:rsidRPr="00183E4E">
        <w:rPr>
          <w:rFonts w:ascii="Garamond" w:eastAsia="Times New Roman" w:hAnsi="Garamond" w:cs="Times New Roman"/>
          <w:sz w:val="24"/>
          <w:szCs w:val="24"/>
        </w:rPr>
        <w:t xml:space="preserve"> </w:t>
      </w:r>
      <w:r w:rsidR="00C92C15" w:rsidRPr="00183E4E">
        <w:rPr>
          <w:rFonts w:ascii="Garamond" w:eastAsia="Times New Roman" w:hAnsi="Garamond" w:cs="Times New Roman"/>
          <w:sz w:val="24"/>
          <w:szCs w:val="24"/>
        </w:rPr>
        <w:t>15</w:t>
      </w:r>
      <w:r w:rsidRPr="00183E4E">
        <w:rPr>
          <w:rFonts w:ascii="Garamond" w:eastAsia="Times New Roman" w:hAnsi="Garamond" w:cs="Times New Roman"/>
          <w:sz w:val="24"/>
          <w:szCs w:val="24"/>
        </w:rPr>
        <w:t xml:space="preserve"> minutes per respondent. The results of the pretest </w:t>
      </w:r>
      <w:r w:rsidR="00C92C15" w:rsidRPr="00183E4E">
        <w:rPr>
          <w:rFonts w:ascii="Garamond" w:eastAsia="Times New Roman" w:hAnsi="Garamond" w:cs="Times New Roman"/>
          <w:sz w:val="24"/>
          <w:szCs w:val="24"/>
        </w:rPr>
        <w:t>were</w:t>
      </w:r>
      <w:r w:rsidRPr="00183E4E">
        <w:rPr>
          <w:rFonts w:ascii="Garamond" w:eastAsia="Times New Roman" w:hAnsi="Garamond" w:cs="Times New Roman"/>
          <w:sz w:val="24"/>
          <w:szCs w:val="24"/>
        </w:rPr>
        <w:t xml:space="preserve"> incorporated into the OMB package prior to the posting of the 30-day notice.</w:t>
      </w:r>
    </w:p>
    <w:p w:rsidR="002B34B0" w:rsidRPr="00183E4E" w:rsidRDefault="002B34B0" w:rsidP="00F13887">
      <w:pPr>
        <w:keepNext/>
        <w:tabs>
          <w:tab w:val="left" w:pos="432"/>
        </w:tabs>
        <w:spacing w:after="240"/>
        <w:ind w:left="432" w:hanging="432"/>
        <w:outlineLvl w:val="2"/>
        <w:rPr>
          <w:rFonts w:ascii="Garamond" w:eastAsia="Times New Roman" w:hAnsi="Garamond" w:cs="Times New Roman"/>
          <w:b/>
          <w:sz w:val="24"/>
          <w:szCs w:val="24"/>
        </w:rPr>
      </w:pPr>
      <w:bookmarkStart w:id="9" w:name="_Toc351111843"/>
      <w:r w:rsidRPr="00183E4E">
        <w:rPr>
          <w:rFonts w:ascii="Garamond" w:eastAsia="Times New Roman" w:hAnsi="Garamond" w:cs="Times New Roman"/>
          <w:b/>
          <w:sz w:val="24"/>
          <w:szCs w:val="24"/>
        </w:rPr>
        <w:t>5.</w:t>
      </w:r>
      <w:r w:rsidRPr="00183E4E">
        <w:rPr>
          <w:rFonts w:ascii="Garamond" w:eastAsia="Times New Roman" w:hAnsi="Garamond" w:cs="Times New Roman"/>
          <w:b/>
          <w:sz w:val="24"/>
          <w:szCs w:val="24"/>
        </w:rPr>
        <w:tab/>
        <w:t>Statistical Consultants</w:t>
      </w:r>
      <w:bookmarkEnd w:id="9"/>
    </w:p>
    <w:p w:rsidR="002B34B0" w:rsidRPr="00183E4E" w:rsidRDefault="002B34B0" w:rsidP="00F13887">
      <w:pPr>
        <w:tabs>
          <w:tab w:val="left" w:pos="432"/>
        </w:tabs>
        <w:spacing w:after="240"/>
        <w:rPr>
          <w:rFonts w:ascii="Garamond" w:eastAsia="Times New Roman" w:hAnsi="Garamond" w:cs="Times New Roman"/>
          <w:sz w:val="24"/>
          <w:szCs w:val="24"/>
        </w:rPr>
      </w:pPr>
      <w:r w:rsidRPr="00183E4E">
        <w:rPr>
          <w:rFonts w:ascii="Garamond" w:eastAsia="Times New Roman" w:hAnsi="Garamond" w:cs="Times New Roman"/>
          <w:sz w:val="24"/>
          <w:szCs w:val="24"/>
        </w:rPr>
        <w:t>AHRQ has contracted with Mathematica Policy Research, Urban Institute, and Academy Health to conduct the evaluation of the CHIPRA quality demonstration grants.</w:t>
      </w:r>
      <w:r w:rsidR="001B72A1" w:rsidRPr="00183E4E">
        <w:rPr>
          <w:rFonts w:ascii="Garamond" w:eastAsia="Times New Roman" w:hAnsi="Garamond" w:cs="Times New Roman"/>
          <w:sz w:val="24"/>
          <w:szCs w:val="24"/>
        </w:rPr>
        <w:t xml:space="preserve"> </w:t>
      </w:r>
      <w:r w:rsidR="00680A2A" w:rsidRPr="00183E4E">
        <w:rPr>
          <w:rFonts w:ascii="Garamond" w:eastAsia="Times New Roman" w:hAnsi="Garamond" w:cs="Times New Roman"/>
          <w:sz w:val="24"/>
          <w:szCs w:val="24"/>
        </w:rPr>
        <w:t xml:space="preserve">Table </w:t>
      </w:r>
      <w:r w:rsidRPr="00183E4E">
        <w:rPr>
          <w:rFonts w:ascii="Garamond" w:eastAsia="Times New Roman" w:hAnsi="Garamond" w:cs="Times New Roman"/>
          <w:sz w:val="24"/>
          <w:szCs w:val="24"/>
        </w:rPr>
        <w:t xml:space="preserve">3 identifies the individuals at these organizations who were consulted regarding the quantitative methods used in this project.  </w:t>
      </w:r>
      <w:r w:rsidR="00680A2A" w:rsidRPr="00183E4E">
        <w:rPr>
          <w:rFonts w:ascii="Garamond" w:eastAsia="Times New Roman" w:hAnsi="Garamond" w:cs="Times New Roman"/>
          <w:sz w:val="24"/>
          <w:szCs w:val="24"/>
        </w:rPr>
        <w:t>Table</w:t>
      </w:r>
      <w:r w:rsidR="001B72A1" w:rsidRPr="00183E4E">
        <w:rPr>
          <w:rFonts w:ascii="Garamond" w:eastAsia="Times New Roman" w:hAnsi="Garamond" w:cs="Times New Roman"/>
          <w:sz w:val="24"/>
          <w:szCs w:val="24"/>
        </w:rPr>
        <w:t xml:space="preserve"> </w:t>
      </w:r>
      <w:r w:rsidRPr="00183E4E">
        <w:rPr>
          <w:rFonts w:ascii="Garamond" w:eastAsia="Times New Roman" w:hAnsi="Garamond" w:cs="Times New Roman"/>
          <w:sz w:val="24"/>
          <w:szCs w:val="24"/>
        </w:rPr>
        <w:t>4 identifies members of technical expert panel that was consulted on this survey.</w:t>
      </w:r>
    </w:p>
    <w:p w:rsidR="002B34B0" w:rsidRPr="00183E4E" w:rsidRDefault="00680A2A" w:rsidP="002B34B0">
      <w:pPr>
        <w:keepNext/>
        <w:tabs>
          <w:tab w:val="left" w:pos="432"/>
        </w:tabs>
        <w:spacing w:after="60"/>
        <w:jc w:val="both"/>
        <w:rPr>
          <w:rFonts w:ascii="Arial" w:eastAsia="Times New Roman" w:hAnsi="Arial" w:cs="Times New Roman"/>
          <w:b/>
          <w:sz w:val="18"/>
          <w:szCs w:val="24"/>
        </w:rPr>
      </w:pPr>
      <w:r w:rsidRPr="00183E4E">
        <w:rPr>
          <w:rFonts w:ascii="Arial" w:eastAsia="Times New Roman" w:hAnsi="Arial" w:cs="Times New Roman"/>
          <w:b/>
          <w:sz w:val="18"/>
          <w:szCs w:val="24"/>
        </w:rPr>
        <w:lastRenderedPageBreak/>
        <w:t>Table</w:t>
      </w:r>
      <w:r w:rsidR="001B72A1" w:rsidRPr="00183E4E">
        <w:rPr>
          <w:rFonts w:ascii="Arial" w:eastAsia="Times New Roman" w:hAnsi="Arial" w:cs="Times New Roman"/>
          <w:b/>
          <w:sz w:val="18"/>
          <w:szCs w:val="24"/>
        </w:rPr>
        <w:t xml:space="preserve"> </w:t>
      </w:r>
      <w:r w:rsidR="002B34B0" w:rsidRPr="00183E4E">
        <w:rPr>
          <w:rFonts w:ascii="Arial" w:eastAsia="Times New Roman" w:hAnsi="Arial" w:cs="Times New Roman"/>
          <w:b/>
          <w:sz w:val="18"/>
          <w:szCs w:val="24"/>
        </w:rPr>
        <w:t>3  Individuals Consulted Regarding Quantitative Methods of Evaluation</w:t>
      </w:r>
    </w:p>
    <w:tbl>
      <w:tblPr>
        <w:tblStyle w:val="SMPRTableBlack"/>
        <w:tblW w:w="5000" w:type="pct"/>
        <w:tblLayout w:type="fixed"/>
        <w:tblLook w:val="04A0"/>
      </w:tblPr>
      <w:tblGrid>
        <w:gridCol w:w="2873"/>
        <w:gridCol w:w="1890"/>
        <w:gridCol w:w="3241"/>
        <w:gridCol w:w="1572"/>
      </w:tblGrid>
      <w:tr w:rsidR="002B34B0" w:rsidRPr="00183E4E" w:rsidTr="00F13887">
        <w:trPr>
          <w:cnfStyle w:val="100000000000"/>
        </w:trPr>
        <w:tc>
          <w:tcPr>
            <w:tcW w:w="1500" w:type="pct"/>
          </w:tcPr>
          <w:p w:rsidR="002B34B0" w:rsidRPr="00183E4E" w:rsidRDefault="002B34B0" w:rsidP="002B34B0">
            <w:pPr>
              <w:spacing w:before="120" w:after="60"/>
              <w:rPr>
                <w:rFonts w:cs="Arial"/>
                <w:sz w:val="18"/>
              </w:rPr>
            </w:pPr>
            <w:r w:rsidRPr="00183E4E">
              <w:rPr>
                <w:rFonts w:cs="Arial"/>
                <w:sz w:val="18"/>
              </w:rPr>
              <w:t>Name</w:t>
            </w:r>
          </w:p>
        </w:tc>
        <w:tc>
          <w:tcPr>
            <w:tcW w:w="987" w:type="pct"/>
          </w:tcPr>
          <w:p w:rsidR="002B34B0" w:rsidRPr="00183E4E" w:rsidRDefault="002B34B0" w:rsidP="002B34B0">
            <w:pPr>
              <w:tabs>
                <w:tab w:val="left" w:pos="432"/>
              </w:tabs>
              <w:spacing w:before="120" w:after="60"/>
              <w:jc w:val="center"/>
              <w:rPr>
                <w:rFonts w:cs="Arial"/>
                <w:sz w:val="18"/>
              </w:rPr>
            </w:pPr>
            <w:r w:rsidRPr="00183E4E">
              <w:rPr>
                <w:rFonts w:cs="Arial"/>
                <w:sz w:val="18"/>
              </w:rPr>
              <w:t>Title</w:t>
            </w:r>
          </w:p>
        </w:tc>
        <w:tc>
          <w:tcPr>
            <w:tcW w:w="1692" w:type="pct"/>
          </w:tcPr>
          <w:p w:rsidR="002B34B0" w:rsidRPr="00183E4E" w:rsidRDefault="002B34B0" w:rsidP="002B34B0">
            <w:pPr>
              <w:tabs>
                <w:tab w:val="left" w:pos="432"/>
              </w:tabs>
              <w:spacing w:before="120" w:after="60"/>
              <w:jc w:val="center"/>
              <w:rPr>
                <w:rFonts w:cs="Arial"/>
                <w:sz w:val="18"/>
              </w:rPr>
            </w:pPr>
            <w:r w:rsidRPr="00183E4E">
              <w:rPr>
                <w:rFonts w:cs="Arial"/>
                <w:sz w:val="18"/>
              </w:rPr>
              <w:t>Email</w:t>
            </w:r>
          </w:p>
        </w:tc>
        <w:tc>
          <w:tcPr>
            <w:tcW w:w="821" w:type="pct"/>
          </w:tcPr>
          <w:p w:rsidR="002B34B0" w:rsidRPr="00183E4E" w:rsidRDefault="002B34B0" w:rsidP="002B34B0">
            <w:pPr>
              <w:tabs>
                <w:tab w:val="left" w:pos="432"/>
              </w:tabs>
              <w:spacing w:before="120" w:after="60"/>
              <w:jc w:val="center"/>
              <w:rPr>
                <w:rFonts w:cs="Arial"/>
                <w:sz w:val="18"/>
              </w:rPr>
            </w:pPr>
            <w:r w:rsidRPr="00183E4E">
              <w:rPr>
                <w:rFonts w:cs="Arial"/>
                <w:sz w:val="18"/>
              </w:rPr>
              <w:t>Phone Number</w:t>
            </w:r>
          </w:p>
        </w:tc>
      </w:tr>
      <w:tr w:rsidR="002B34B0" w:rsidRPr="00183E4E" w:rsidTr="00F13887">
        <w:tc>
          <w:tcPr>
            <w:tcW w:w="1500" w:type="pct"/>
            <w:vAlign w:val="top"/>
          </w:tcPr>
          <w:p w:rsidR="002B34B0" w:rsidRPr="00183E4E" w:rsidRDefault="002B34B0" w:rsidP="002B34B0">
            <w:pPr>
              <w:spacing w:before="120"/>
              <w:rPr>
                <w:sz w:val="18"/>
              </w:rPr>
            </w:pPr>
            <w:r w:rsidRPr="00183E4E">
              <w:rPr>
                <w:sz w:val="18"/>
              </w:rPr>
              <w:t>Henry Ireys, Mathematica</w:t>
            </w:r>
          </w:p>
        </w:tc>
        <w:tc>
          <w:tcPr>
            <w:tcW w:w="987" w:type="pct"/>
            <w:vAlign w:val="top"/>
          </w:tcPr>
          <w:p w:rsidR="002B34B0" w:rsidRPr="00183E4E" w:rsidRDefault="002B34B0" w:rsidP="002B34B0">
            <w:pPr>
              <w:spacing w:before="120"/>
              <w:rPr>
                <w:sz w:val="18"/>
              </w:rPr>
            </w:pPr>
            <w:r w:rsidRPr="00183E4E">
              <w:rPr>
                <w:sz w:val="18"/>
              </w:rPr>
              <w:t>Senior Fellow</w:t>
            </w:r>
          </w:p>
        </w:tc>
        <w:tc>
          <w:tcPr>
            <w:tcW w:w="1692" w:type="pct"/>
            <w:vAlign w:val="top"/>
          </w:tcPr>
          <w:p w:rsidR="002B34B0" w:rsidRPr="00183E4E" w:rsidRDefault="00074493" w:rsidP="002B34B0">
            <w:pPr>
              <w:spacing w:before="120"/>
              <w:rPr>
                <w:sz w:val="18"/>
              </w:rPr>
            </w:pPr>
            <w:hyperlink r:id="rId13" w:history="1">
              <w:r w:rsidR="00833CF5" w:rsidRPr="00183E4E">
                <w:rPr>
                  <w:rStyle w:val="Hyperlink"/>
                  <w:sz w:val="18"/>
                </w:rPr>
                <w:t>hireys@mathematica-mpr.com</w:t>
              </w:r>
            </w:hyperlink>
          </w:p>
        </w:tc>
        <w:tc>
          <w:tcPr>
            <w:tcW w:w="821" w:type="pct"/>
            <w:vAlign w:val="top"/>
          </w:tcPr>
          <w:p w:rsidR="002B34B0" w:rsidRPr="00183E4E" w:rsidRDefault="002B34B0" w:rsidP="002B34B0">
            <w:pPr>
              <w:spacing w:before="120"/>
              <w:rPr>
                <w:sz w:val="18"/>
              </w:rPr>
            </w:pPr>
            <w:r w:rsidRPr="00183E4E">
              <w:rPr>
                <w:sz w:val="18"/>
              </w:rPr>
              <w:t>202- 554-7536</w:t>
            </w:r>
          </w:p>
        </w:tc>
      </w:tr>
      <w:tr w:rsidR="002B34B0" w:rsidRPr="00183E4E" w:rsidTr="00F13887">
        <w:tc>
          <w:tcPr>
            <w:tcW w:w="1500" w:type="pct"/>
            <w:vAlign w:val="top"/>
          </w:tcPr>
          <w:p w:rsidR="002B34B0" w:rsidRPr="00183E4E" w:rsidRDefault="002B34B0" w:rsidP="002B34B0">
            <w:pPr>
              <w:spacing w:before="60"/>
              <w:rPr>
                <w:sz w:val="18"/>
              </w:rPr>
            </w:pPr>
            <w:r w:rsidRPr="00183E4E">
              <w:rPr>
                <w:sz w:val="18"/>
              </w:rPr>
              <w:t>Frank Potter, Mathematica</w:t>
            </w:r>
          </w:p>
        </w:tc>
        <w:tc>
          <w:tcPr>
            <w:tcW w:w="987" w:type="pct"/>
            <w:vAlign w:val="top"/>
          </w:tcPr>
          <w:p w:rsidR="002B34B0" w:rsidRPr="00183E4E" w:rsidRDefault="002B34B0" w:rsidP="002B34B0">
            <w:pPr>
              <w:spacing w:before="60"/>
              <w:rPr>
                <w:sz w:val="18"/>
              </w:rPr>
            </w:pPr>
            <w:r w:rsidRPr="00183E4E">
              <w:rPr>
                <w:sz w:val="18"/>
              </w:rPr>
              <w:t xml:space="preserve">Senior Statistician </w:t>
            </w:r>
          </w:p>
        </w:tc>
        <w:tc>
          <w:tcPr>
            <w:tcW w:w="1692" w:type="pct"/>
            <w:vAlign w:val="top"/>
          </w:tcPr>
          <w:p w:rsidR="002B34B0" w:rsidRPr="00183E4E" w:rsidRDefault="00074493" w:rsidP="002B34B0">
            <w:pPr>
              <w:spacing w:before="60"/>
              <w:rPr>
                <w:sz w:val="18"/>
              </w:rPr>
            </w:pPr>
            <w:hyperlink r:id="rId14" w:history="1">
              <w:r w:rsidR="00833CF5" w:rsidRPr="00183E4E">
                <w:rPr>
                  <w:rStyle w:val="Hyperlink"/>
                  <w:sz w:val="18"/>
                </w:rPr>
                <w:t>fpotter@mathematica-mpr.com</w:t>
              </w:r>
            </w:hyperlink>
          </w:p>
        </w:tc>
        <w:tc>
          <w:tcPr>
            <w:tcW w:w="821" w:type="pct"/>
            <w:vAlign w:val="top"/>
          </w:tcPr>
          <w:p w:rsidR="002B34B0" w:rsidRPr="00183E4E" w:rsidRDefault="007714E4" w:rsidP="002B34B0">
            <w:pPr>
              <w:spacing w:before="60"/>
              <w:rPr>
                <w:sz w:val="18"/>
              </w:rPr>
            </w:pPr>
            <w:r w:rsidRPr="00183E4E">
              <w:rPr>
                <w:sz w:val="18"/>
              </w:rPr>
              <w:t>239-558-5956</w:t>
            </w:r>
          </w:p>
        </w:tc>
      </w:tr>
      <w:tr w:rsidR="002B34B0" w:rsidRPr="00183E4E" w:rsidTr="00F13887">
        <w:tc>
          <w:tcPr>
            <w:tcW w:w="1500" w:type="pct"/>
            <w:vAlign w:val="top"/>
          </w:tcPr>
          <w:p w:rsidR="002B34B0" w:rsidRPr="00183E4E" w:rsidRDefault="002B34B0" w:rsidP="002B34B0">
            <w:pPr>
              <w:spacing w:before="60"/>
              <w:rPr>
                <w:sz w:val="18"/>
              </w:rPr>
            </w:pPr>
            <w:r w:rsidRPr="00183E4E">
              <w:rPr>
                <w:sz w:val="18"/>
              </w:rPr>
              <w:t>John Hall, Mathematica</w:t>
            </w:r>
          </w:p>
        </w:tc>
        <w:tc>
          <w:tcPr>
            <w:tcW w:w="987" w:type="pct"/>
            <w:vAlign w:val="top"/>
          </w:tcPr>
          <w:p w:rsidR="002B34B0" w:rsidRPr="00183E4E" w:rsidRDefault="002B34B0" w:rsidP="002B34B0">
            <w:pPr>
              <w:spacing w:before="60"/>
              <w:rPr>
                <w:sz w:val="18"/>
              </w:rPr>
            </w:pPr>
            <w:r w:rsidRPr="00183E4E">
              <w:rPr>
                <w:sz w:val="18"/>
              </w:rPr>
              <w:t>Senor Statistician</w:t>
            </w:r>
          </w:p>
        </w:tc>
        <w:tc>
          <w:tcPr>
            <w:tcW w:w="1692" w:type="pct"/>
            <w:vAlign w:val="top"/>
          </w:tcPr>
          <w:p w:rsidR="002B34B0" w:rsidRPr="00183E4E" w:rsidRDefault="00074493" w:rsidP="002B34B0">
            <w:pPr>
              <w:spacing w:before="60"/>
              <w:rPr>
                <w:sz w:val="18"/>
              </w:rPr>
            </w:pPr>
            <w:hyperlink r:id="rId15" w:history="1">
              <w:r w:rsidR="00833CF5" w:rsidRPr="00183E4E">
                <w:rPr>
                  <w:rStyle w:val="Hyperlink"/>
                  <w:sz w:val="18"/>
                </w:rPr>
                <w:t>fhall@mathematica-mpr.com</w:t>
              </w:r>
            </w:hyperlink>
          </w:p>
        </w:tc>
        <w:tc>
          <w:tcPr>
            <w:tcW w:w="821" w:type="pct"/>
            <w:vAlign w:val="top"/>
          </w:tcPr>
          <w:p w:rsidR="002B34B0" w:rsidRPr="00183E4E" w:rsidRDefault="002B34B0" w:rsidP="002B34B0">
            <w:pPr>
              <w:spacing w:before="60"/>
              <w:rPr>
                <w:sz w:val="18"/>
              </w:rPr>
            </w:pPr>
            <w:r w:rsidRPr="00183E4E">
              <w:rPr>
                <w:sz w:val="18"/>
              </w:rPr>
              <w:t>609-275-2357</w:t>
            </w:r>
          </w:p>
        </w:tc>
      </w:tr>
      <w:tr w:rsidR="002B34B0" w:rsidRPr="002B34B0" w:rsidTr="00F13887">
        <w:tc>
          <w:tcPr>
            <w:tcW w:w="1500" w:type="pct"/>
            <w:vAlign w:val="top"/>
          </w:tcPr>
          <w:p w:rsidR="002B34B0" w:rsidRPr="00183E4E" w:rsidRDefault="002B34B0" w:rsidP="002B34B0">
            <w:pPr>
              <w:spacing w:before="60"/>
              <w:rPr>
                <w:sz w:val="18"/>
              </w:rPr>
            </w:pPr>
            <w:r w:rsidRPr="00183E4E">
              <w:rPr>
                <w:sz w:val="18"/>
              </w:rPr>
              <w:t>Kirsten Barrett, Mathematica</w:t>
            </w:r>
          </w:p>
        </w:tc>
        <w:tc>
          <w:tcPr>
            <w:tcW w:w="987" w:type="pct"/>
            <w:vAlign w:val="top"/>
          </w:tcPr>
          <w:p w:rsidR="002B34B0" w:rsidRPr="00183E4E" w:rsidRDefault="002B34B0" w:rsidP="002B34B0">
            <w:pPr>
              <w:spacing w:before="60"/>
              <w:rPr>
                <w:sz w:val="18"/>
              </w:rPr>
            </w:pPr>
            <w:r w:rsidRPr="00183E4E">
              <w:rPr>
                <w:sz w:val="18"/>
              </w:rPr>
              <w:t>Senior Survey Researcher</w:t>
            </w:r>
          </w:p>
        </w:tc>
        <w:tc>
          <w:tcPr>
            <w:tcW w:w="1692" w:type="pct"/>
            <w:vAlign w:val="top"/>
          </w:tcPr>
          <w:p w:rsidR="002B34B0" w:rsidRPr="00183E4E" w:rsidRDefault="00074493" w:rsidP="002B34B0">
            <w:pPr>
              <w:spacing w:before="60"/>
              <w:rPr>
                <w:sz w:val="18"/>
              </w:rPr>
            </w:pPr>
            <w:hyperlink r:id="rId16" w:history="1">
              <w:r w:rsidR="00833CF5" w:rsidRPr="00183E4E">
                <w:rPr>
                  <w:rStyle w:val="Hyperlink"/>
                  <w:sz w:val="18"/>
                </w:rPr>
                <w:t>kbarrett@mathematica-mpr.com</w:t>
              </w:r>
            </w:hyperlink>
          </w:p>
        </w:tc>
        <w:tc>
          <w:tcPr>
            <w:tcW w:w="821" w:type="pct"/>
            <w:vAlign w:val="top"/>
          </w:tcPr>
          <w:p w:rsidR="002B34B0" w:rsidRPr="002B34B0" w:rsidRDefault="002B34B0" w:rsidP="002B34B0">
            <w:pPr>
              <w:spacing w:before="60"/>
              <w:rPr>
                <w:sz w:val="18"/>
              </w:rPr>
            </w:pPr>
            <w:r w:rsidRPr="00183E4E">
              <w:rPr>
                <w:sz w:val="18"/>
              </w:rPr>
              <w:t>202-554-7564</w:t>
            </w:r>
          </w:p>
        </w:tc>
      </w:tr>
      <w:tr w:rsidR="002B34B0" w:rsidRPr="002B34B0" w:rsidTr="00F13887">
        <w:tc>
          <w:tcPr>
            <w:tcW w:w="1500" w:type="pct"/>
            <w:vAlign w:val="top"/>
          </w:tcPr>
          <w:p w:rsidR="002B34B0" w:rsidRPr="002B34B0" w:rsidRDefault="002B34B0" w:rsidP="002B34B0">
            <w:pPr>
              <w:spacing w:before="60"/>
              <w:rPr>
                <w:sz w:val="18"/>
              </w:rPr>
            </w:pPr>
            <w:r w:rsidRPr="002B34B0">
              <w:rPr>
                <w:sz w:val="18"/>
              </w:rPr>
              <w:t>Joe Zickafoose, Mathematica</w:t>
            </w:r>
          </w:p>
        </w:tc>
        <w:tc>
          <w:tcPr>
            <w:tcW w:w="987" w:type="pct"/>
            <w:vAlign w:val="top"/>
          </w:tcPr>
          <w:p w:rsidR="002B34B0" w:rsidRPr="002B34B0" w:rsidRDefault="002B34B0" w:rsidP="002B34B0">
            <w:pPr>
              <w:spacing w:before="60"/>
              <w:rPr>
                <w:sz w:val="18"/>
              </w:rPr>
            </w:pPr>
            <w:r w:rsidRPr="002B34B0">
              <w:rPr>
                <w:sz w:val="18"/>
              </w:rPr>
              <w:t>Researcher</w:t>
            </w:r>
          </w:p>
        </w:tc>
        <w:tc>
          <w:tcPr>
            <w:tcW w:w="1692" w:type="pct"/>
            <w:vAlign w:val="top"/>
          </w:tcPr>
          <w:p w:rsidR="002B34B0" w:rsidRPr="002B34B0" w:rsidRDefault="00074493" w:rsidP="002B34B0">
            <w:pPr>
              <w:spacing w:before="60"/>
              <w:rPr>
                <w:sz w:val="18"/>
              </w:rPr>
            </w:pPr>
            <w:hyperlink r:id="rId17" w:history="1">
              <w:r w:rsidR="00833CF5" w:rsidRPr="009B4F82">
                <w:rPr>
                  <w:rStyle w:val="Hyperlink"/>
                  <w:sz w:val="18"/>
                </w:rPr>
                <w:t>jzickafoose@mathematica-mpr.com</w:t>
              </w:r>
            </w:hyperlink>
          </w:p>
        </w:tc>
        <w:tc>
          <w:tcPr>
            <w:tcW w:w="821" w:type="pct"/>
            <w:vAlign w:val="top"/>
          </w:tcPr>
          <w:p w:rsidR="002B34B0" w:rsidRPr="002B34B0" w:rsidRDefault="002B34B0" w:rsidP="002B34B0">
            <w:pPr>
              <w:spacing w:before="60"/>
              <w:rPr>
                <w:sz w:val="18"/>
              </w:rPr>
            </w:pPr>
            <w:r w:rsidRPr="002B34B0">
              <w:rPr>
                <w:sz w:val="18"/>
              </w:rPr>
              <w:t>734-794-1123</w:t>
            </w:r>
          </w:p>
        </w:tc>
      </w:tr>
      <w:tr w:rsidR="002B34B0" w:rsidRPr="002B34B0" w:rsidTr="00F13887">
        <w:tc>
          <w:tcPr>
            <w:tcW w:w="1500" w:type="pct"/>
            <w:vAlign w:val="top"/>
          </w:tcPr>
          <w:p w:rsidR="002B34B0" w:rsidRPr="002B34B0" w:rsidRDefault="002B34B0" w:rsidP="002B34B0">
            <w:pPr>
              <w:spacing w:before="60"/>
              <w:rPr>
                <w:sz w:val="18"/>
              </w:rPr>
            </w:pPr>
            <w:r w:rsidRPr="002B34B0">
              <w:rPr>
                <w:sz w:val="18"/>
              </w:rPr>
              <w:t>Jenny Kenney, Urban Institute</w:t>
            </w:r>
          </w:p>
        </w:tc>
        <w:tc>
          <w:tcPr>
            <w:tcW w:w="987" w:type="pct"/>
            <w:vAlign w:val="top"/>
          </w:tcPr>
          <w:p w:rsidR="002B34B0" w:rsidRPr="002B34B0" w:rsidRDefault="002B34B0" w:rsidP="002B34B0">
            <w:pPr>
              <w:spacing w:before="60"/>
              <w:rPr>
                <w:sz w:val="18"/>
              </w:rPr>
            </w:pPr>
            <w:r w:rsidRPr="002B34B0">
              <w:rPr>
                <w:sz w:val="18"/>
              </w:rPr>
              <w:t>Senior Associate</w:t>
            </w:r>
          </w:p>
        </w:tc>
        <w:tc>
          <w:tcPr>
            <w:tcW w:w="1692" w:type="pct"/>
            <w:vAlign w:val="top"/>
          </w:tcPr>
          <w:p w:rsidR="002B34B0" w:rsidRPr="002B34B0" w:rsidRDefault="00074493" w:rsidP="002B34B0">
            <w:pPr>
              <w:spacing w:before="60"/>
              <w:rPr>
                <w:sz w:val="18"/>
              </w:rPr>
            </w:pPr>
            <w:hyperlink r:id="rId18" w:history="1">
              <w:r w:rsidR="00833CF5" w:rsidRPr="009B4F82">
                <w:rPr>
                  <w:rStyle w:val="Hyperlink"/>
                  <w:sz w:val="18"/>
                </w:rPr>
                <w:t>jkenney@urban.org</w:t>
              </w:r>
            </w:hyperlink>
          </w:p>
        </w:tc>
        <w:tc>
          <w:tcPr>
            <w:tcW w:w="821" w:type="pct"/>
            <w:vAlign w:val="top"/>
          </w:tcPr>
          <w:p w:rsidR="002B34B0" w:rsidRPr="002B34B0" w:rsidRDefault="002B34B0" w:rsidP="002B34B0">
            <w:pPr>
              <w:spacing w:before="60"/>
              <w:rPr>
                <w:sz w:val="18"/>
              </w:rPr>
            </w:pPr>
            <w:r w:rsidRPr="002B34B0">
              <w:rPr>
                <w:sz w:val="18"/>
              </w:rPr>
              <w:t>202-261-5825</w:t>
            </w:r>
          </w:p>
        </w:tc>
      </w:tr>
      <w:tr w:rsidR="002B34B0" w:rsidRPr="002B34B0" w:rsidTr="00F13887">
        <w:tc>
          <w:tcPr>
            <w:tcW w:w="1500" w:type="pct"/>
            <w:vAlign w:val="top"/>
          </w:tcPr>
          <w:p w:rsidR="002B34B0" w:rsidRPr="002B34B0" w:rsidRDefault="002B34B0" w:rsidP="002B34B0">
            <w:pPr>
              <w:spacing w:before="60"/>
              <w:rPr>
                <w:sz w:val="18"/>
              </w:rPr>
            </w:pPr>
            <w:r w:rsidRPr="002B34B0">
              <w:rPr>
                <w:sz w:val="18"/>
              </w:rPr>
              <w:t>Lisa Simpson, Academy Health</w:t>
            </w:r>
          </w:p>
        </w:tc>
        <w:tc>
          <w:tcPr>
            <w:tcW w:w="987" w:type="pct"/>
            <w:vAlign w:val="top"/>
          </w:tcPr>
          <w:p w:rsidR="002B34B0" w:rsidRPr="002B34B0" w:rsidRDefault="002B34B0" w:rsidP="002B34B0">
            <w:pPr>
              <w:spacing w:before="60"/>
              <w:rPr>
                <w:sz w:val="18"/>
              </w:rPr>
            </w:pPr>
            <w:r w:rsidRPr="002B34B0">
              <w:rPr>
                <w:sz w:val="18"/>
              </w:rPr>
              <w:t>President and CEO</w:t>
            </w:r>
          </w:p>
        </w:tc>
        <w:tc>
          <w:tcPr>
            <w:tcW w:w="1692" w:type="pct"/>
            <w:vAlign w:val="top"/>
          </w:tcPr>
          <w:p w:rsidR="002B34B0" w:rsidRPr="002B34B0" w:rsidRDefault="00074493" w:rsidP="002B34B0">
            <w:pPr>
              <w:spacing w:before="60"/>
              <w:rPr>
                <w:sz w:val="18"/>
              </w:rPr>
            </w:pPr>
            <w:hyperlink r:id="rId19" w:history="1">
              <w:r w:rsidR="00833CF5" w:rsidRPr="009B4F82">
                <w:rPr>
                  <w:rStyle w:val="Hyperlink"/>
                  <w:sz w:val="18"/>
                </w:rPr>
                <w:t>lisa.simpson@academyhealth.org</w:t>
              </w:r>
            </w:hyperlink>
          </w:p>
        </w:tc>
        <w:tc>
          <w:tcPr>
            <w:tcW w:w="821" w:type="pct"/>
            <w:vAlign w:val="top"/>
          </w:tcPr>
          <w:p w:rsidR="002B34B0" w:rsidRPr="002B34B0" w:rsidRDefault="002B34B0" w:rsidP="002B34B0">
            <w:pPr>
              <w:spacing w:before="60"/>
              <w:rPr>
                <w:sz w:val="18"/>
              </w:rPr>
            </w:pPr>
            <w:r w:rsidRPr="002B34B0">
              <w:rPr>
                <w:sz w:val="18"/>
              </w:rPr>
              <w:t>202-292-6747</w:t>
            </w:r>
          </w:p>
        </w:tc>
      </w:tr>
      <w:tr w:rsidR="002B34B0" w:rsidRPr="002B34B0" w:rsidTr="00F13887">
        <w:tc>
          <w:tcPr>
            <w:tcW w:w="1500" w:type="pct"/>
            <w:vAlign w:val="top"/>
          </w:tcPr>
          <w:p w:rsidR="002B34B0" w:rsidRPr="002B34B0" w:rsidRDefault="002B34B0" w:rsidP="002B34B0">
            <w:pPr>
              <w:spacing w:before="60"/>
              <w:rPr>
                <w:sz w:val="18"/>
              </w:rPr>
            </w:pPr>
            <w:r w:rsidRPr="002B34B0">
              <w:rPr>
                <w:sz w:val="18"/>
              </w:rPr>
              <w:t>Cindy Brach, AHRQ</w:t>
            </w:r>
          </w:p>
        </w:tc>
        <w:tc>
          <w:tcPr>
            <w:tcW w:w="987" w:type="pct"/>
            <w:vAlign w:val="top"/>
          </w:tcPr>
          <w:p w:rsidR="002B34B0" w:rsidRPr="002B34B0" w:rsidRDefault="002B34B0" w:rsidP="002B34B0">
            <w:pPr>
              <w:spacing w:before="60"/>
              <w:rPr>
                <w:sz w:val="18"/>
              </w:rPr>
            </w:pPr>
            <w:r w:rsidRPr="002B34B0">
              <w:rPr>
                <w:sz w:val="18"/>
              </w:rPr>
              <w:t>Project Officer</w:t>
            </w:r>
          </w:p>
        </w:tc>
        <w:tc>
          <w:tcPr>
            <w:tcW w:w="1692" w:type="pct"/>
            <w:vAlign w:val="top"/>
          </w:tcPr>
          <w:p w:rsidR="002B34B0" w:rsidRPr="002B34B0" w:rsidRDefault="00074493" w:rsidP="002B34B0">
            <w:pPr>
              <w:spacing w:before="60"/>
              <w:rPr>
                <w:sz w:val="18"/>
              </w:rPr>
            </w:pPr>
            <w:hyperlink r:id="rId20" w:history="1">
              <w:r w:rsidR="00833CF5" w:rsidRPr="009B4F82">
                <w:rPr>
                  <w:rStyle w:val="Hyperlink"/>
                  <w:sz w:val="18"/>
                </w:rPr>
                <w:t>cindy.brach@ahrq.hhs.gov</w:t>
              </w:r>
            </w:hyperlink>
          </w:p>
        </w:tc>
        <w:tc>
          <w:tcPr>
            <w:tcW w:w="821" w:type="pct"/>
            <w:vAlign w:val="top"/>
          </w:tcPr>
          <w:p w:rsidR="002B34B0" w:rsidRPr="002B34B0" w:rsidRDefault="002B34B0" w:rsidP="002B34B0">
            <w:pPr>
              <w:spacing w:before="60"/>
              <w:rPr>
                <w:sz w:val="18"/>
              </w:rPr>
            </w:pPr>
            <w:r w:rsidRPr="002B34B0">
              <w:rPr>
                <w:sz w:val="18"/>
              </w:rPr>
              <w:t>301-427-1444</w:t>
            </w:r>
          </w:p>
        </w:tc>
      </w:tr>
    </w:tbl>
    <w:p w:rsidR="002B34B0" w:rsidRPr="002B34B0" w:rsidRDefault="002B34B0" w:rsidP="002B34B0">
      <w:pPr>
        <w:tabs>
          <w:tab w:val="left" w:pos="432"/>
        </w:tabs>
        <w:spacing w:after="240"/>
        <w:jc w:val="both"/>
        <w:rPr>
          <w:rFonts w:ascii="Garamond" w:eastAsia="Times New Roman" w:hAnsi="Garamond" w:cs="Times New Roman"/>
          <w:sz w:val="24"/>
          <w:szCs w:val="24"/>
        </w:rPr>
      </w:pPr>
    </w:p>
    <w:p w:rsidR="002B34B0" w:rsidRPr="002B34B0" w:rsidRDefault="00680A2A" w:rsidP="002B34B0">
      <w:pPr>
        <w:keepNext/>
        <w:tabs>
          <w:tab w:val="left" w:pos="432"/>
        </w:tabs>
        <w:spacing w:after="60"/>
        <w:jc w:val="both"/>
        <w:rPr>
          <w:rFonts w:ascii="Arial" w:eastAsia="Times New Roman" w:hAnsi="Arial" w:cs="Times New Roman"/>
          <w:b/>
          <w:sz w:val="18"/>
          <w:szCs w:val="24"/>
        </w:rPr>
      </w:pPr>
      <w:r>
        <w:rPr>
          <w:rFonts w:ascii="Arial" w:eastAsia="Times New Roman" w:hAnsi="Arial" w:cs="Times New Roman"/>
          <w:b/>
          <w:sz w:val="18"/>
          <w:szCs w:val="24"/>
        </w:rPr>
        <w:t>Table</w:t>
      </w:r>
      <w:r w:rsidR="001B72A1">
        <w:rPr>
          <w:rFonts w:ascii="Arial" w:eastAsia="Times New Roman" w:hAnsi="Arial" w:cs="Times New Roman"/>
          <w:b/>
          <w:sz w:val="18"/>
          <w:szCs w:val="24"/>
        </w:rPr>
        <w:t xml:space="preserve"> </w:t>
      </w:r>
      <w:r w:rsidR="002B34B0" w:rsidRPr="002B34B0">
        <w:rPr>
          <w:rFonts w:ascii="Arial" w:eastAsia="Times New Roman" w:hAnsi="Arial" w:cs="Times New Roman"/>
          <w:b/>
          <w:sz w:val="18"/>
          <w:szCs w:val="24"/>
        </w:rPr>
        <w:t>4  Members of the CHIPRA Quality Demonstration Evaluation Technical Expert Panel Sub-Group on the Physician Survey</w:t>
      </w:r>
    </w:p>
    <w:tbl>
      <w:tblPr>
        <w:tblStyle w:val="SMPRTableBlack"/>
        <w:tblW w:w="5000" w:type="pct"/>
        <w:tblLayout w:type="fixed"/>
        <w:tblLook w:val="04A0"/>
      </w:tblPr>
      <w:tblGrid>
        <w:gridCol w:w="1965"/>
        <w:gridCol w:w="3338"/>
        <w:gridCol w:w="4273"/>
      </w:tblGrid>
      <w:tr w:rsidR="002B34B0" w:rsidRPr="002B34B0" w:rsidTr="00F13887">
        <w:trPr>
          <w:cnfStyle w:val="100000000000"/>
        </w:trPr>
        <w:tc>
          <w:tcPr>
            <w:tcW w:w="1026" w:type="pct"/>
          </w:tcPr>
          <w:p w:rsidR="002B34B0" w:rsidRPr="002B34B0" w:rsidRDefault="002B34B0" w:rsidP="002B34B0">
            <w:pPr>
              <w:spacing w:before="120" w:after="60"/>
              <w:rPr>
                <w:rFonts w:cs="Arial"/>
                <w:sz w:val="18"/>
              </w:rPr>
            </w:pPr>
            <w:r w:rsidRPr="002B34B0">
              <w:rPr>
                <w:rFonts w:cs="Arial"/>
                <w:sz w:val="18"/>
              </w:rPr>
              <w:t>Name</w:t>
            </w:r>
          </w:p>
        </w:tc>
        <w:tc>
          <w:tcPr>
            <w:tcW w:w="1743" w:type="pct"/>
          </w:tcPr>
          <w:p w:rsidR="002B34B0" w:rsidRPr="002B34B0" w:rsidRDefault="002B34B0" w:rsidP="002B34B0">
            <w:pPr>
              <w:tabs>
                <w:tab w:val="left" w:pos="432"/>
              </w:tabs>
              <w:spacing w:before="120" w:after="60"/>
              <w:jc w:val="center"/>
              <w:rPr>
                <w:rFonts w:cs="Arial"/>
                <w:sz w:val="18"/>
              </w:rPr>
            </w:pPr>
            <w:r w:rsidRPr="002B34B0">
              <w:rPr>
                <w:rFonts w:cs="Arial"/>
                <w:sz w:val="18"/>
              </w:rPr>
              <w:t>Title</w:t>
            </w:r>
          </w:p>
        </w:tc>
        <w:tc>
          <w:tcPr>
            <w:tcW w:w="2231" w:type="pct"/>
          </w:tcPr>
          <w:p w:rsidR="002B34B0" w:rsidRPr="002B34B0" w:rsidRDefault="002B34B0" w:rsidP="002B34B0">
            <w:pPr>
              <w:tabs>
                <w:tab w:val="left" w:pos="432"/>
              </w:tabs>
              <w:spacing w:before="120" w:after="60"/>
              <w:jc w:val="center"/>
              <w:rPr>
                <w:rFonts w:cs="Arial"/>
                <w:sz w:val="18"/>
              </w:rPr>
            </w:pPr>
            <w:r w:rsidRPr="002B34B0">
              <w:rPr>
                <w:rFonts w:cs="Arial"/>
                <w:sz w:val="18"/>
              </w:rPr>
              <w:t>Affiliation</w:t>
            </w:r>
          </w:p>
        </w:tc>
      </w:tr>
      <w:tr w:rsidR="002B34B0" w:rsidRPr="002B34B0" w:rsidTr="00F13887">
        <w:tc>
          <w:tcPr>
            <w:tcW w:w="1026" w:type="pct"/>
            <w:vAlign w:val="top"/>
          </w:tcPr>
          <w:p w:rsidR="002B34B0" w:rsidRPr="002B34B0" w:rsidRDefault="002B34B0" w:rsidP="002B34B0">
            <w:pPr>
              <w:spacing w:before="120"/>
              <w:rPr>
                <w:sz w:val="18"/>
              </w:rPr>
            </w:pPr>
            <w:r w:rsidRPr="002B34B0">
              <w:rPr>
                <w:sz w:val="18"/>
              </w:rPr>
              <w:t>Bruce Bagley</w:t>
            </w:r>
          </w:p>
        </w:tc>
        <w:tc>
          <w:tcPr>
            <w:tcW w:w="1743" w:type="pct"/>
            <w:vAlign w:val="top"/>
          </w:tcPr>
          <w:p w:rsidR="002B34B0" w:rsidRPr="002B34B0" w:rsidRDefault="002B34B0" w:rsidP="002B34B0">
            <w:pPr>
              <w:spacing w:before="120"/>
              <w:rPr>
                <w:sz w:val="18"/>
              </w:rPr>
            </w:pPr>
            <w:r w:rsidRPr="002B34B0">
              <w:rPr>
                <w:sz w:val="18"/>
              </w:rPr>
              <w:t>Medical Director for Quality Improvement</w:t>
            </w:r>
          </w:p>
        </w:tc>
        <w:tc>
          <w:tcPr>
            <w:tcW w:w="2231" w:type="pct"/>
            <w:vAlign w:val="top"/>
          </w:tcPr>
          <w:p w:rsidR="002B34B0" w:rsidRPr="002B34B0" w:rsidRDefault="002B34B0" w:rsidP="002B34B0">
            <w:pPr>
              <w:spacing w:before="120"/>
              <w:rPr>
                <w:sz w:val="18"/>
              </w:rPr>
            </w:pPr>
            <w:r w:rsidRPr="002B34B0">
              <w:rPr>
                <w:sz w:val="18"/>
              </w:rPr>
              <w:t>American Academy of Family Physicians</w:t>
            </w:r>
          </w:p>
        </w:tc>
      </w:tr>
      <w:tr w:rsidR="002B34B0" w:rsidRPr="002B34B0" w:rsidTr="00F13887">
        <w:tc>
          <w:tcPr>
            <w:tcW w:w="1026" w:type="pct"/>
            <w:vAlign w:val="top"/>
          </w:tcPr>
          <w:p w:rsidR="002B34B0" w:rsidRPr="002B34B0" w:rsidRDefault="002B34B0" w:rsidP="002B34B0">
            <w:pPr>
              <w:spacing w:before="60"/>
              <w:rPr>
                <w:sz w:val="18"/>
              </w:rPr>
            </w:pPr>
            <w:r w:rsidRPr="002B34B0">
              <w:rPr>
                <w:sz w:val="18"/>
              </w:rPr>
              <w:t>Steve Blumberg</w:t>
            </w:r>
          </w:p>
        </w:tc>
        <w:tc>
          <w:tcPr>
            <w:tcW w:w="1743" w:type="pct"/>
            <w:vAlign w:val="top"/>
          </w:tcPr>
          <w:p w:rsidR="002B34B0" w:rsidRPr="002B34B0" w:rsidRDefault="002B34B0" w:rsidP="002B34B0">
            <w:pPr>
              <w:spacing w:before="60"/>
              <w:rPr>
                <w:sz w:val="18"/>
              </w:rPr>
            </w:pPr>
            <w:r w:rsidRPr="002B34B0">
              <w:rPr>
                <w:sz w:val="18"/>
              </w:rPr>
              <w:t>Senior Scientist and Research Survey Statistician</w:t>
            </w:r>
          </w:p>
        </w:tc>
        <w:tc>
          <w:tcPr>
            <w:tcW w:w="2231" w:type="pct"/>
            <w:vAlign w:val="top"/>
          </w:tcPr>
          <w:p w:rsidR="002B34B0" w:rsidRPr="002B34B0" w:rsidRDefault="002B34B0" w:rsidP="002B34B0">
            <w:pPr>
              <w:spacing w:before="60"/>
              <w:rPr>
                <w:sz w:val="18"/>
              </w:rPr>
            </w:pPr>
            <w:r w:rsidRPr="002B34B0">
              <w:rPr>
                <w:sz w:val="18"/>
              </w:rPr>
              <w:t>National Center for Health Statistics, Centers for Disease Control and Prevention</w:t>
            </w:r>
          </w:p>
        </w:tc>
      </w:tr>
      <w:tr w:rsidR="002B34B0" w:rsidRPr="002B34B0" w:rsidTr="00F13887">
        <w:tc>
          <w:tcPr>
            <w:tcW w:w="1026" w:type="pct"/>
            <w:vAlign w:val="top"/>
          </w:tcPr>
          <w:p w:rsidR="002B34B0" w:rsidRPr="002B34B0" w:rsidRDefault="002B34B0" w:rsidP="002B34B0">
            <w:pPr>
              <w:spacing w:before="60"/>
              <w:rPr>
                <w:sz w:val="18"/>
              </w:rPr>
            </w:pPr>
            <w:r w:rsidRPr="002B34B0">
              <w:rPr>
                <w:sz w:val="18"/>
              </w:rPr>
              <w:t>David Kelley</w:t>
            </w:r>
          </w:p>
        </w:tc>
        <w:tc>
          <w:tcPr>
            <w:tcW w:w="1743" w:type="pct"/>
            <w:vAlign w:val="top"/>
          </w:tcPr>
          <w:p w:rsidR="002B34B0" w:rsidRPr="002B34B0" w:rsidRDefault="002B34B0" w:rsidP="002B34B0">
            <w:pPr>
              <w:spacing w:before="60"/>
              <w:rPr>
                <w:sz w:val="18"/>
              </w:rPr>
            </w:pPr>
            <w:r w:rsidRPr="002B34B0">
              <w:rPr>
                <w:sz w:val="18"/>
              </w:rPr>
              <w:t>Chief Medical Officer</w:t>
            </w:r>
          </w:p>
        </w:tc>
        <w:tc>
          <w:tcPr>
            <w:tcW w:w="2231" w:type="pct"/>
            <w:vAlign w:val="top"/>
          </w:tcPr>
          <w:p w:rsidR="002B34B0" w:rsidRPr="002B34B0" w:rsidRDefault="002B34B0" w:rsidP="002B34B0">
            <w:pPr>
              <w:spacing w:before="60"/>
              <w:rPr>
                <w:sz w:val="18"/>
              </w:rPr>
            </w:pPr>
            <w:r w:rsidRPr="002B34B0">
              <w:rPr>
                <w:sz w:val="18"/>
              </w:rPr>
              <w:t>Office of Medical Assistance Programs, Pennsylvania Department of Public Welfare</w:t>
            </w:r>
          </w:p>
        </w:tc>
      </w:tr>
      <w:tr w:rsidR="002B34B0" w:rsidRPr="002B34B0" w:rsidTr="00F13887">
        <w:tc>
          <w:tcPr>
            <w:tcW w:w="1026" w:type="pct"/>
            <w:vAlign w:val="top"/>
          </w:tcPr>
          <w:p w:rsidR="002B34B0" w:rsidRPr="002B34B0" w:rsidRDefault="002B34B0" w:rsidP="002B34B0">
            <w:pPr>
              <w:spacing w:before="60"/>
              <w:rPr>
                <w:sz w:val="18"/>
              </w:rPr>
            </w:pPr>
            <w:r w:rsidRPr="002B34B0">
              <w:rPr>
                <w:sz w:val="18"/>
              </w:rPr>
              <w:t>Jon Klein</w:t>
            </w:r>
          </w:p>
        </w:tc>
        <w:tc>
          <w:tcPr>
            <w:tcW w:w="1743" w:type="pct"/>
            <w:vAlign w:val="top"/>
          </w:tcPr>
          <w:p w:rsidR="002B34B0" w:rsidRPr="002B34B0" w:rsidRDefault="002B34B0" w:rsidP="002B34B0">
            <w:pPr>
              <w:spacing w:before="60"/>
              <w:rPr>
                <w:sz w:val="18"/>
              </w:rPr>
            </w:pPr>
            <w:r w:rsidRPr="002B34B0">
              <w:rPr>
                <w:sz w:val="18"/>
              </w:rPr>
              <w:t>Associate Executive Director and Director of the Julius B. Richmond Center of Excellence</w:t>
            </w:r>
          </w:p>
        </w:tc>
        <w:tc>
          <w:tcPr>
            <w:tcW w:w="2231" w:type="pct"/>
            <w:vAlign w:val="top"/>
          </w:tcPr>
          <w:p w:rsidR="002B34B0" w:rsidRPr="002B34B0" w:rsidRDefault="002B34B0" w:rsidP="002B34B0">
            <w:pPr>
              <w:spacing w:before="60"/>
              <w:rPr>
                <w:sz w:val="18"/>
              </w:rPr>
            </w:pPr>
            <w:r w:rsidRPr="002B34B0">
              <w:rPr>
                <w:sz w:val="18"/>
              </w:rPr>
              <w:t>American Academy of Pediatrics</w:t>
            </w:r>
          </w:p>
        </w:tc>
      </w:tr>
      <w:tr w:rsidR="002B34B0" w:rsidRPr="002B34B0" w:rsidTr="00F13887">
        <w:tc>
          <w:tcPr>
            <w:tcW w:w="1026" w:type="pct"/>
            <w:vAlign w:val="top"/>
          </w:tcPr>
          <w:p w:rsidR="002B34B0" w:rsidRPr="002B34B0" w:rsidRDefault="002B34B0" w:rsidP="002B34B0">
            <w:pPr>
              <w:spacing w:before="60"/>
              <w:rPr>
                <w:sz w:val="18"/>
              </w:rPr>
            </w:pPr>
            <w:r w:rsidRPr="002B34B0">
              <w:rPr>
                <w:sz w:val="18"/>
              </w:rPr>
              <w:t>Cynthia Minkovitz</w:t>
            </w:r>
          </w:p>
        </w:tc>
        <w:tc>
          <w:tcPr>
            <w:tcW w:w="1743" w:type="pct"/>
            <w:vAlign w:val="top"/>
          </w:tcPr>
          <w:p w:rsidR="002B34B0" w:rsidRPr="002B34B0" w:rsidRDefault="002B34B0" w:rsidP="002B34B0">
            <w:pPr>
              <w:spacing w:before="60"/>
              <w:rPr>
                <w:sz w:val="18"/>
              </w:rPr>
            </w:pPr>
            <w:r w:rsidRPr="002B34B0">
              <w:rPr>
                <w:sz w:val="18"/>
              </w:rPr>
              <w:t>Director, Women's and Children's Health Policy Center; Professor, Department of Population, Family and Reproductive Health and Pediatrics</w:t>
            </w:r>
          </w:p>
        </w:tc>
        <w:tc>
          <w:tcPr>
            <w:tcW w:w="2231" w:type="pct"/>
            <w:vAlign w:val="top"/>
          </w:tcPr>
          <w:p w:rsidR="002B34B0" w:rsidRPr="002B34B0" w:rsidRDefault="002B34B0" w:rsidP="002B34B0">
            <w:pPr>
              <w:spacing w:before="60"/>
              <w:rPr>
                <w:sz w:val="18"/>
              </w:rPr>
            </w:pPr>
            <w:r w:rsidRPr="002B34B0">
              <w:rPr>
                <w:sz w:val="18"/>
              </w:rPr>
              <w:t>Johns Hopkins Bloomberg School of Public Health</w:t>
            </w:r>
          </w:p>
        </w:tc>
      </w:tr>
      <w:tr w:rsidR="002B34B0" w:rsidRPr="002B34B0" w:rsidTr="00F13887">
        <w:tc>
          <w:tcPr>
            <w:tcW w:w="1026" w:type="pct"/>
            <w:vAlign w:val="top"/>
          </w:tcPr>
          <w:p w:rsidR="002B34B0" w:rsidRPr="002B34B0" w:rsidRDefault="002B34B0" w:rsidP="002B34B0">
            <w:pPr>
              <w:spacing w:before="60"/>
              <w:rPr>
                <w:sz w:val="18"/>
              </w:rPr>
            </w:pPr>
            <w:r w:rsidRPr="002B34B0">
              <w:rPr>
                <w:sz w:val="18"/>
              </w:rPr>
              <w:t>Lynn Olson</w:t>
            </w:r>
          </w:p>
        </w:tc>
        <w:tc>
          <w:tcPr>
            <w:tcW w:w="1743" w:type="pct"/>
            <w:vAlign w:val="top"/>
          </w:tcPr>
          <w:p w:rsidR="002B34B0" w:rsidRPr="002B34B0" w:rsidRDefault="002B34B0" w:rsidP="002B34B0">
            <w:pPr>
              <w:spacing w:before="60"/>
              <w:rPr>
                <w:sz w:val="18"/>
              </w:rPr>
            </w:pPr>
            <w:r w:rsidRPr="002B34B0">
              <w:rPr>
                <w:sz w:val="18"/>
              </w:rPr>
              <w:t>Director, Department of Research</w:t>
            </w:r>
          </w:p>
        </w:tc>
        <w:tc>
          <w:tcPr>
            <w:tcW w:w="2231" w:type="pct"/>
            <w:vAlign w:val="top"/>
          </w:tcPr>
          <w:p w:rsidR="002B34B0" w:rsidRPr="002B34B0" w:rsidRDefault="002B34B0" w:rsidP="002B34B0">
            <w:pPr>
              <w:spacing w:before="60"/>
              <w:rPr>
                <w:sz w:val="18"/>
              </w:rPr>
            </w:pPr>
            <w:r w:rsidRPr="002B34B0">
              <w:rPr>
                <w:sz w:val="18"/>
              </w:rPr>
              <w:t>American Academy of Pediatrics</w:t>
            </w:r>
          </w:p>
        </w:tc>
      </w:tr>
      <w:tr w:rsidR="002B34B0" w:rsidRPr="002B34B0" w:rsidTr="00F13887">
        <w:tc>
          <w:tcPr>
            <w:tcW w:w="1026" w:type="pct"/>
            <w:vAlign w:val="top"/>
          </w:tcPr>
          <w:p w:rsidR="002B34B0" w:rsidRPr="002B34B0" w:rsidRDefault="002B34B0" w:rsidP="002B34B0">
            <w:pPr>
              <w:spacing w:before="60"/>
              <w:rPr>
                <w:sz w:val="18"/>
              </w:rPr>
            </w:pPr>
            <w:r w:rsidRPr="002B34B0">
              <w:rPr>
                <w:sz w:val="18"/>
              </w:rPr>
              <w:t>Mark Weissman</w:t>
            </w:r>
          </w:p>
        </w:tc>
        <w:tc>
          <w:tcPr>
            <w:tcW w:w="1743" w:type="pct"/>
            <w:vAlign w:val="top"/>
          </w:tcPr>
          <w:p w:rsidR="002B34B0" w:rsidRPr="002B34B0" w:rsidRDefault="002B34B0" w:rsidP="002B34B0">
            <w:pPr>
              <w:spacing w:before="60"/>
              <w:rPr>
                <w:sz w:val="18"/>
              </w:rPr>
            </w:pPr>
            <w:r w:rsidRPr="002B34B0">
              <w:rPr>
                <w:sz w:val="18"/>
              </w:rPr>
              <w:t>Chief, Division of General Pediatrics &amp; Community Health; Executive Director, Children's National Health Network, DC Partnership to Improve Children's Healthcare Quality</w:t>
            </w:r>
          </w:p>
        </w:tc>
        <w:tc>
          <w:tcPr>
            <w:tcW w:w="2231" w:type="pct"/>
            <w:vAlign w:val="top"/>
          </w:tcPr>
          <w:p w:rsidR="002B34B0" w:rsidRPr="002B34B0" w:rsidRDefault="002B34B0" w:rsidP="002B34B0">
            <w:pPr>
              <w:spacing w:before="60"/>
              <w:rPr>
                <w:sz w:val="18"/>
              </w:rPr>
            </w:pPr>
            <w:r w:rsidRPr="002B34B0">
              <w:rPr>
                <w:sz w:val="18"/>
              </w:rPr>
              <w:t>Children’s National Medical Center</w:t>
            </w:r>
          </w:p>
        </w:tc>
      </w:tr>
    </w:tbl>
    <w:p w:rsidR="005F2FDA" w:rsidRDefault="005F2FDA"/>
    <w:sectPr w:rsidR="005F2FDA" w:rsidSect="00F13887">
      <w:endnotePr>
        <w:numFmt w:val="decimal"/>
      </w:endnotePr>
      <w:pgSz w:w="12240" w:h="15840" w:code="1"/>
      <w:pgMar w:top="1440" w:right="1440" w:bottom="720" w:left="1440" w:header="720" w:footer="576" w:gutter="0"/>
      <w:pgNumType w:start="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597" w:rsidRDefault="00DC0597" w:rsidP="002B34B0">
      <w:r>
        <w:separator/>
      </w:r>
    </w:p>
  </w:endnote>
  <w:endnote w:type="continuationSeparator" w:id="0">
    <w:p w:rsidR="00DC0597" w:rsidRDefault="00DC0597" w:rsidP="002B34B0">
      <w:r>
        <w:continuationSeparator/>
      </w:r>
    </w:p>
  </w:endnote>
  <w:endnote w:type="continuationNotice" w:id="1">
    <w:p w:rsidR="00DC0597" w:rsidRDefault="00DC0597">
      <w:r>
        <w:rPr>
          <w:sz w:val="16"/>
        </w:rPr>
        <w:tab/>
      </w:r>
      <w:r w:rsidR="00074493">
        <w:rPr>
          <w:rStyle w:val="PageNumber"/>
        </w:rPr>
        <w:fldChar w:fldCharType="begin"/>
      </w:r>
      <w:r>
        <w:rPr>
          <w:rStyle w:val="PageNumber"/>
        </w:rPr>
        <w:instrText xml:space="preserve"> PAGE </w:instrText>
      </w:r>
      <w:r w:rsidR="00074493">
        <w:rPr>
          <w:rStyle w:val="PageNumber"/>
        </w:rPr>
        <w:fldChar w:fldCharType="separate"/>
      </w:r>
      <w:r>
        <w:rPr>
          <w:rStyle w:val="PageNumber"/>
          <w:noProof/>
        </w:rPr>
        <w:t>5</w:t>
      </w:r>
      <w:r w:rsidR="00074493">
        <w:rPr>
          <w:rStyle w:val="PageNumber"/>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597" w:rsidRDefault="00DC0597" w:rsidP="002B34B0">
      <w:r>
        <w:separator/>
      </w:r>
    </w:p>
  </w:footnote>
  <w:footnote w:type="continuationSeparator" w:id="0">
    <w:p w:rsidR="00DC0597" w:rsidRDefault="00DC0597" w:rsidP="002B34B0">
      <w:r>
        <w:continuationSeparator/>
      </w:r>
    </w:p>
  </w:footnote>
  <w:footnote w:id="1">
    <w:p w:rsidR="00DC0597" w:rsidRDefault="00DC0597" w:rsidP="002B34B0">
      <w:pPr>
        <w:pStyle w:val="FootnoteText"/>
        <w:ind w:firstLine="450"/>
      </w:pPr>
      <w:r>
        <w:rPr>
          <w:rStyle w:val="FootnoteReference"/>
        </w:rPr>
        <w:footnoteRef/>
      </w:r>
      <w:r>
        <w:t xml:space="preserve"> Smart DR. </w:t>
      </w:r>
      <w:r w:rsidRPr="00875DDD">
        <w:rPr>
          <w:i/>
        </w:rPr>
        <w:t>Physician Characteristics and Distribution in the U.S.</w:t>
      </w:r>
      <w:r>
        <w:t xml:space="preserve"> Chicago: Division of Survey &amp; Data Resources, American Medical Association; 2012.</w:t>
      </w:r>
    </w:p>
  </w:footnote>
  <w:footnote w:id="2">
    <w:p w:rsidR="00DC0597" w:rsidRDefault="00DC0597" w:rsidP="002B34B0">
      <w:pPr>
        <w:pStyle w:val="FootnoteText"/>
        <w:ind w:firstLine="450"/>
      </w:pPr>
      <w:r>
        <w:rPr>
          <w:rStyle w:val="FootnoteReference"/>
        </w:rPr>
        <w:footnoteRef/>
      </w:r>
      <w:r>
        <w:t xml:space="preserve"> Zickafoose JS, Clark SJ, </w:t>
      </w:r>
      <w:proofErr w:type="spellStart"/>
      <w:r>
        <w:t>Sakshaug</w:t>
      </w:r>
      <w:proofErr w:type="spellEnd"/>
      <w:r>
        <w:t xml:space="preserve"> JW, Chen LM, Hollingsworth JM. Readiness of primary care practices for medical home certification. </w:t>
      </w:r>
      <w:proofErr w:type="gramStart"/>
      <w:r w:rsidRPr="00F12AE9">
        <w:rPr>
          <w:i/>
        </w:rPr>
        <w:t>Pediatrics</w:t>
      </w:r>
      <w:r>
        <w:t>.</w:t>
      </w:r>
      <w:proofErr w:type="gramEnd"/>
      <w:r>
        <w:t xml:space="preserve"> </w:t>
      </w:r>
      <w:r w:rsidRPr="00C25F33">
        <w:t>2013</w:t>
      </w:r>
      <w:proofErr w:type="gramStart"/>
      <w:r>
        <w:t>;131</w:t>
      </w:r>
      <w:proofErr w:type="gramEnd"/>
      <w:r>
        <w:t>(3): 473-482.</w:t>
      </w:r>
    </w:p>
  </w:footnote>
  <w:footnote w:id="3">
    <w:p w:rsidR="00DC0597" w:rsidRDefault="00DC0597" w:rsidP="002B34B0">
      <w:pPr>
        <w:pStyle w:val="FootnoteText"/>
        <w:ind w:firstLine="450"/>
      </w:pPr>
      <w:r>
        <w:rPr>
          <w:rStyle w:val="FootnoteReference"/>
        </w:rPr>
        <w:footnoteRef/>
      </w:r>
      <w:r>
        <w:t xml:space="preserve"> </w:t>
      </w:r>
      <w:proofErr w:type="gramStart"/>
      <w:r>
        <w:t>80 percent of the number of office-based pediatricians and 50 percent of the office-based family physicians.</w:t>
      </w:r>
      <w:proofErr w:type="gramEnd"/>
    </w:p>
  </w:footnote>
  <w:footnote w:id="4">
    <w:p w:rsidR="00DC0597" w:rsidRDefault="00DC0597" w:rsidP="00F13887">
      <w:pPr>
        <w:pStyle w:val="FootnoteText"/>
      </w:pPr>
      <w:r>
        <w:rPr>
          <w:rStyle w:val="FootnoteReference"/>
        </w:rPr>
        <w:footnoteRef/>
      </w:r>
      <w:r>
        <w:t xml:space="preserve"> We will consider the use of gender, age, other demographic characteristics, subspecialty, or whether the medical degree was received in the U.S.</w:t>
      </w:r>
    </w:p>
  </w:footnote>
  <w:footnote w:id="5">
    <w:p w:rsidR="00DC0597" w:rsidRDefault="00DC0597" w:rsidP="00F13887">
      <w:pPr>
        <w:pStyle w:val="FootnoteText"/>
      </w:pPr>
      <w:r>
        <w:rPr>
          <w:rStyle w:val="FootnoteReference"/>
        </w:rPr>
        <w:footnoteRef/>
      </w:r>
      <w:r>
        <w:t xml:space="preserve"> Because the expected response rate is less than 80 percent, we will conduct a nonresponse analysis, described in the next section on “Estimating Population Characteristics.”</w:t>
      </w:r>
    </w:p>
  </w:footnote>
  <w:footnote w:id="6">
    <w:p w:rsidR="00DC0597" w:rsidRDefault="00DC0597" w:rsidP="002B34B0">
      <w:pPr>
        <w:pStyle w:val="FootnoteText"/>
      </w:pPr>
      <w:r>
        <w:rPr>
          <w:rStyle w:val="FootnoteReference"/>
        </w:rPr>
        <w:footnoteRef/>
      </w:r>
      <w:r>
        <w:t xml:space="preserve"> Trimming (of weights) involves reducing the value of very large (outlier) weights and redistributing the “trimmed” amount to other (non-trimmed) cases. Trimming is used mainly to reduce the potential increase in sampling error (design effect) due to unequal weights.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60432E13"/>
    <w:multiLevelType w:val="hybridMultilevel"/>
    <w:tmpl w:val="CAD4A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9C5D1B"/>
    <w:multiLevelType w:val="multilevel"/>
    <w:tmpl w:val="5FBACFF4"/>
    <w:lvl w:ilvl="0">
      <w:start w:val="1"/>
      <w:numFmt w:val="decimal"/>
      <w:pStyle w:val="BulletBlackLastD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proofState w:spelling="clean" w:grammar="clean"/>
  <w:defaultTabStop w:val="720"/>
  <w:characterSpacingControl w:val="doNotCompress"/>
  <w:footnotePr>
    <w:footnote w:id="-1"/>
    <w:footnote w:id="0"/>
  </w:footnotePr>
  <w:endnotePr>
    <w:numFmt w:val="decimal"/>
    <w:endnote w:id="-1"/>
    <w:endnote w:id="0"/>
    <w:endnote w:id="1"/>
  </w:endnotePr>
  <w:compat/>
  <w:rsids>
    <w:rsidRoot w:val="002B34B0"/>
    <w:rsid w:val="00020E6D"/>
    <w:rsid w:val="00054586"/>
    <w:rsid w:val="00074493"/>
    <w:rsid w:val="000B07D4"/>
    <w:rsid w:val="000C7B8E"/>
    <w:rsid w:val="00130F94"/>
    <w:rsid w:val="00183E4E"/>
    <w:rsid w:val="001A05D6"/>
    <w:rsid w:val="001B343C"/>
    <w:rsid w:val="001B72A1"/>
    <w:rsid w:val="001C31B1"/>
    <w:rsid w:val="00260385"/>
    <w:rsid w:val="002B34B0"/>
    <w:rsid w:val="00323890"/>
    <w:rsid w:val="00343381"/>
    <w:rsid w:val="003971D2"/>
    <w:rsid w:val="003B5E18"/>
    <w:rsid w:val="004003A2"/>
    <w:rsid w:val="00453026"/>
    <w:rsid w:val="00453848"/>
    <w:rsid w:val="004609EA"/>
    <w:rsid w:val="004A6D22"/>
    <w:rsid w:val="004B6DC3"/>
    <w:rsid w:val="004E1014"/>
    <w:rsid w:val="004E2FC4"/>
    <w:rsid w:val="00561907"/>
    <w:rsid w:val="005A6992"/>
    <w:rsid w:val="005B0446"/>
    <w:rsid w:val="005C17C8"/>
    <w:rsid w:val="005C2E2F"/>
    <w:rsid w:val="005E31C1"/>
    <w:rsid w:val="005F2FDA"/>
    <w:rsid w:val="00664F8A"/>
    <w:rsid w:val="00680A2A"/>
    <w:rsid w:val="00696481"/>
    <w:rsid w:val="006B6954"/>
    <w:rsid w:val="00734259"/>
    <w:rsid w:val="00742E2C"/>
    <w:rsid w:val="00744145"/>
    <w:rsid w:val="00764AA6"/>
    <w:rsid w:val="007714E4"/>
    <w:rsid w:val="00782D16"/>
    <w:rsid w:val="007B0BF8"/>
    <w:rsid w:val="007E1498"/>
    <w:rsid w:val="007E6530"/>
    <w:rsid w:val="00833CF5"/>
    <w:rsid w:val="008579DF"/>
    <w:rsid w:val="008721E6"/>
    <w:rsid w:val="008B072F"/>
    <w:rsid w:val="009139A5"/>
    <w:rsid w:val="009C1B89"/>
    <w:rsid w:val="009C4885"/>
    <w:rsid w:val="009F094F"/>
    <w:rsid w:val="00A35AF2"/>
    <w:rsid w:val="00A737B1"/>
    <w:rsid w:val="00A930AB"/>
    <w:rsid w:val="00B2548C"/>
    <w:rsid w:val="00BA3CE1"/>
    <w:rsid w:val="00BE2010"/>
    <w:rsid w:val="00C00588"/>
    <w:rsid w:val="00C478A4"/>
    <w:rsid w:val="00C67960"/>
    <w:rsid w:val="00C84809"/>
    <w:rsid w:val="00C92C15"/>
    <w:rsid w:val="00CE078D"/>
    <w:rsid w:val="00CF58CA"/>
    <w:rsid w:val="00D62E2D"/>
    <w:rsid w:val="00D86785"/>
    <w:rsid w:val="00DC0597"/>
    <w:rsid w:val="00DD2854"/>
    <w:rsid w:val="00E26676"/>
    <w:rsid w:val="00E97917"/>
    <w:rsid w:val="00EB19CB"/>
    <w:rsid w:val="00EF23A0"/>
    <w:rsid w:val="00F05ABD"/>
    <w:rsid w:val="00F13887"/>
    <w:rsid w:val="00F21838"/>
    <w:rsid w:val="00F316ED"/>
    <w:rsid w:val="00F35617"/>
    <w:rsid w:val="00F80953"/>
    <w:rsid w:val="00FD06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F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B34B0"/>
    <w:pPr>
      <w:tabs>
        <w:tab w:val="center" w:pos="4680"/>
        <w:tab w:val="right" w:pos="9360"/>
      </w:tabs>
    </w:pPr>
  </w:style>
  <w:style w:type="character" w:customStyle="1" w:styleId="FooterChar">
    <w:name w:val="Footer Char"/>
    <w:basedOn w:val="DefaultParagraphFont"/>
    <w:link w:val="Footer"/>
    <w:uiPriority w:val="99"/>
    <w:semiHidden/>
    <w:rsid w:val="002B34B0"/>
  </w:style>
  <w:style w:type="paragraph" w:styleId="FootnoteText">
    <w:name w:val="footnote text"/>
    <w:basedOn w:val="Normal"/>
    <w:link w:val="FootnoteTextChar"/>
    <w:uiPriority w:val="99"/>
    <w:semiHidden/>
    <w:unhideWhenUsed/>
    <w:rsid w:val="002B34B0"/>
    <w:rPr>
      <w:sz w:val="20"/>
      <w:szCs w:val="20"/>
    </w:rPr>
  </w:style>
  <w:style w:type="character" w:customStyle="1" w:styleId="FootnoteTextChar">
    <w:name w:val="Footnote Text Char"/>
    <w:basedOn w:val="DefaultParagraphFont"/>
    <w:link w:val="FootnoteText"/>
    <w:uiPriority w:val="99"/>
    <w:semiHidden/>
    <w:rsid w:val="002B34B0"/>
    <w:rPr>
      <w:sz w:val="20"/>
      <w:szCs w:val="20"/>
    </w:rPr>
  </w:style>
  <w:style w:type="character" w:styleId="PageNumber">
    <w:name w:val="page number"/>
    <w:basedOn w:val="DefaultParagraphFont"/>
    <w:semiHidden/>
    <w:qFormat/>
    <w:rsid w:val="002B34B0"/>
    <w:rPr>
      <w:rFonts w:ascii="Garamond" w:hAnsi="Garamond"/>
      <w:sz w:val="24"/>
    </w:rPr>
  </w:style>
  <w:style w:type="character" w:styleId="FootnoteReference">
    <w:name w:val="footnote reference"/>
    <w:basedOn w:val="DefaultParagraphFont"/>
    <w:rsid w:val="002B34B0"/>
    <w:rPr>
      <w:spacing w:val="0"/>
      <w:position w:val="0"/>
      <w:u w:color="000080"/>
      <w:effect w:val="none"/>
      <w:vertAlign w:val="superscript"/>
    </w:rPr>
  </w:style>
  <w:style w:type="table" w:customStyle="1" w:styleId="SMPRTableBlack">
    <w:name w:val="SMPR_Table_Black"/>
    <w:basedOn w:val="TableNormal"/>
    <w:uiPriority w:val="99"/>
    <w:rsid w:val="002B34B0"/>
    <w:rPr>
      <w:rFonts w:ascii="Arial" w:eastAsia="Times New Roman" w:hAnsi="Arial" w:cs="Times New Roman"/>
      <w:sz w:val="20"/>
      <w:szCs w:val="24"/>
    </w:rPr>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Header">
    <w:name w:val="header"/>
    <w:basedOn w:val="Normal"/>
    <w:link w:val="HeaderChar"/>
    <w:uiPriority w:val="99"/>
    <w:semiHidden/>
    <w:unhideWhenUsed/>
    <w:rsid w:val="007E1498"/>
    <w:pPr>
      <w:tabs>
        <w:tab w:val="center" w:pos="4680"/>
        <w:tab w:val="right" w:pos="9360"/>
      </w:tabs>
    </w:pPr>
  </w:style>
  <w:style w:type="character" w:customStyle="1" w:styleId="HeaderChar">
    <w:name w:val="Header Char"/>
    <w:basedOn w:val="DefaultParagraphFont"/>
    <w:link w:val="Header"/>
    <w:uiPriority w:val="99"/>
    <w:semiHidden/>
    <w:rsid w:val="007E1498"/>
  </w:style>
  <w:style w:type="paragraph" w:styleId="ListParagraph">
    <w:name w:val="List Paragraph"/>
    <w:basedOn w:val="Normal"/>
    <w:uiPriority w:val="34"/>
    <w:qFormat/>
    <w:rsid w:val="00F13887"/>
    <w:pPr>
      <w:ind w:left="720"/>
      <w:contextualSpacing/>
    </w:pPr>
  </w:style>
  <w:style w:type="character" w:styleId="CommentReference">
    <w:name w:val="annotation reference"/>
    <w:basedOn w:val="DefaultParagraphFont"/>
    <w:semiHidden/>
    <w:unhideWhenUsed/>
    <w:rsid w:val="009C4885"/>
    <w:rPr>
      <w:sz w:val="16"/>
      <w:szCs w:val="16"/>
    </w:rPr>
  </w:style>
  <w:style w:type="paragraph" w:styleId="CommentText">
    <w:name w:val="annotation text"/>
    <w:basedOn w:val="Normal"/>
    <w:link w:val="CommentTextChar"/>
    <w:uiPriority w:val="99"/>
    <w:semiHidden/>
    <w:unhideWhenUsed/>
    <w:rsid w:val="009C4885"/>
    <w:rPr>
      <w:sz w:val="20"/>
      <w:szCs w:val="20"/>
    </w:rPr>
  </w:style>
  <w:style w:type="character" w:customStyle="1" w:styleId="CommentTextChar">
    <w:name w:val="Comment Text Char"/>
    <w:basedOn w:val="DefaultParagraphFont"/>
    <w:link w:val="CommentText"/>
    <w:uiPriority w:val="99"/>
    <w:semiHidden/>
    <w:rsid w:val="009C4885"/>
    <w:rPr>
      <w:sz w:val="20"/>
      <w:szCs w:val="20"/>
    </w:rPr>
  </w:style>
  <w:style w:type="paragraph" w:styleId="CommentSubject">
    <w:name w:val="annotation subject"/>
    <w:basedOn w:val="CommentText"/>
    <w:next w:val="CommentText"/>
    <w:link w:val="CommentSubjectChar"/>
    <w:uiPriority w:val="99"/>
    <w:semiHidden/>
    <w:unhideWhenUsed/>
    <w:rsid w:val="009C4885"/>
    <w:rPr>
      <w:b/>
      <w:bCs/>
    </w:rPr>
  </w:style>
  <w:style w:type="character" w:customStyle="1" w:styleId="CommentSubjectChar">
    <w:name w:val="Comment Subject Char"/>
    <w:basedOn w:val="CommentTextChar"/>
    <w:link w:val="CommentSubject"/>
    <w:uiPriority w:val="99"/>
    <w:semiHidden/>
    <w:rsid w:val="009C4885"/>
    <w:rPr>
      <w:b/>
      <w:bCs/>
    </w:rPr>
  </w:style>
  <w:style w:type="paragraph" w:styleId="BalloonText">
    <w:name w:val="Balloon Text"/>
    <w:basedOn w:val="Normal"/>
    <w:link w:val="BalloonTextChar"/>
    <w:uiPriority w:val="99"/>
    <w:semiHidden/>
    <w:unhideWhenUsed/>
    <w:rsid w:val="009C4885"/>
    <w:rPr>
      <w:rFonts w:ascii="Tahoma" w:hAnsi="Tahoma" w:cs="Tahoma"/>
      <w:sz w:val="16"/>
      <w:szCs w:val="16"/>
    </w:rPr>
  </w:style>
  <w:style w:type="character" w:customStyle="1" w:styleId="BalloonTextChar">
    <w:name w:val="Balloon Text Char"/>
    <w:basedOn w:val="DefaultParagraphFont"/>
    <w:link w:val="BalloonText"/>
    <w:uiPriority w:val="99"/>
    <w:semiHidden/>
    <w:rsid w:val="009C4885"/>
    <w:rPr>
      <w:rFonts w:ascii="Tahoma" w:hAnsi="Tahoma" w:cs="Tahoma"/>
      <w:sz w:val="16"/>
      <w:szCs w:val="16"/>
    </w:rPr>
  </w:style>
  <w:style w:type="paragraph" w:customStyle="1" w:styleId="NormalSS">
    <w:name w:val="NormalSS"/>
    <w:basedOn w:val="Normal"/>
    <w:qFormat/>
    <w:rsid w:val="00D86785"/>
    <w:pPr>
      <w:tabs>
        <w:tab w:val="left" w:pos="432"/>
      </w:tabs>
      <w:spacing w:after="240"/>
      <w:ind w:firstLine="432"/>
      <w:jc w:val="both"/>
    </w:pPr>
    <w:rPr>
      <w:rFonts w:ascii="Garamond" w:eastAsia="Times New Roman" w:hAnsi="Garamond" w:cs="Times New Roman"/>
      <w:sz w:val="24"/>
      <w:szCs w:val="24"/>
    </w:rPr>
  </w:style>
  <w:style w:type="paragraph" w:customStyle="1" w:styleId="BulletBlack">
    <w:name w:val="Bullet_Black"/>
    <w:basedOn w:val="Normal"/>
    <w:qFormat/>
    <w:rsid w:val="00C84809"/>
    <w:pPr>
      <w:numPr>
        <w:numId w:val="2"/>
      </w:numPr>
      <w:tabs>
        <w:tab w:val="left" w:pos="360"/>
      </w:tabs>
      <w:spacing w:after="120"/>
      <w:ind w:left="720" w:right="360" w:hanging="288"/>
      <w:jc w:val="both"/>
    </w:pPr>
    <w:rPr>
      <w:rFonts w:ascii="Garamond" w:eastAsia="Times New Roman" w:hAnsi="Garamond" w:cs="Times New Roman"/>
      <w:sz w:val="24"/>
      <w:szCs w:val="24"/>
    </w:rPr>
  </w:style>
  <w:style w:type="paragraph" w:customStyle="1" w:styleId="BulletBlackLastDS">
    <w:name w:val="Bullet_Black (Last DS)"/>
    <w:basedOn w:val="Normal"/>
    <w:next w:val="Normal"/>
    <w:qFormat/>
    <w:rsid w:val="00C84809"/>
    <w:pPr>
      <w:numPr>
        <w:numId w:val="3"/>
      </w:numPr>
      <w:tabs>
        <w:tab w:val="left" w:pos="360"/>
      </w:tabs>
      <w:spacing w:after="320"/>
      <w:ind w:right="360" w:hanging="288"/>
      <w:jc w:val="both"/>
    </w:pPr>
    <w:rPr>
      <w:rFonts w:ascii="Garamond" w:eastAsia="Times New Roman" w:hAnsi="Garamond" w:cs="Times New Roman"/>
      <w:sz w:val="24"/>
      <w:szCs w:val="24"/>
    </w:rPr>
  </w:style>
  <w:style w:type="character" w:styleId="Hyperlink">
    <w:name w:val="Hyperlink"/>
    <w:basedOn w:val="DefaultParagraphFont"/>
    <w:uiPriority w:val="99"/>
    <w:unhideWhenUsed/>
    <w:rsid w:val="00833CF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hireys@mathematica-mpr.com" TargetMode="External"/><Relationship Id="rId18" Type="http://schemas.openxmlformats.org/officeDocument/2006/relationships/hyperlink" Target="mailto:jkenney@urban.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mailto:jzickafoose@mathematica-mpr.com" TargetMode="External"/><Relationship Id="rId2" Type="http://schemas.openxmlformats.org/officeDocument/2006/relationships/styles" Target="styles.xml"/><Relationship Id="rId16" Type="http://schemas.openxmlformats.org/officeDocument/2006/relationships/hyperlink" Target="mailto:kbarrett@mathematica-mpr.com" TargetMode="External"/><Relationship Id="rId20" Type="http://schemas.openxmlformats.org/officeDocument/2006/relationships/hyperlink" Target="mailto:cindy.brach@ahrq.hhs.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yperlink" Target="mailto:fhall@mathematica-mpr.com" TargetMode="External"/><Relationship Id="rId10" Type="http://schemas.openxmlformats.org/officeDocument/2006/relationships/oleObject" Target="embeddings/oleObject2.bin"/><Relationship Id="rId19" Type="http://schemas.openxmlformats.org/officeDocument/2006/relationships/hyperlink" Target="mailto:lisa.simpson@academyhealth.org"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fpotter@mathematica-mpr.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3154</Words>
  <Characters>17981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21093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DHHS</cp:lastModifiedBy>
  <cp:revision>3</cp:revision>
  <cp:lastPrinted>2013-06-12T19:04:00Z</cp:lastPrinted>
  <dcterms:created xsi:type="dcterms:W3CDTF">2013-08-22T14:37:00Z</dcterms:created>
  <dcterms:modified xsi:type="dcterms:W3CDTF">2013-08-22T14:52:00Z</dcterms:modified>
</cp:coreProperties>
</file>