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0" w:type="dxa"/>
        <w:tblCellMar>
          <w:left w:w="10" w:type="dxa"/>
          <w:right w:w="10" w:type="dxa"/>
        </w:tblCellMar>
        <w:tblLook w:val="0000" w:firstRow="0" w:lastRow="0" w:firstColumn="0" w:lastColumn="0" w:noHBand="0" w:noVBand="0"/>
      </w:tblPr>
      <w:tblGrid>
        <w:gridCol w:w="8129"/>
        <w:gridCol w:w="1740"/>
      </w:tblGrid>
      <w:tr w:rsidR="00351DEC">
        <w:tc>
          <w:tcPr>
            <w:tcW w:w="0" w:type="auto"/>
            <w:tcBorders>
              <w:bottom w:val="single" w:sz="0" w:space="0" w:color="auto"/>
            </w:tcBorders>
            <w:tcMar>
              <w:top w:w="30" w:type="dxa"/>
              <w:left w:w="60" w:type="dxa"/>
              <w:bottom w:w="30" w:type="dxa"/>
              <w:right w:w="60" w:type="dxa"/>
            </w:tcMar>
            <w:vAlign w:val="bottom"/>
          </w:tcPr>
          <w:p w:rsidR="00351DEC" w:rsidRDefault="00BC425C">
            <w:bookmarkStart w:id="0" w:name="_GoBack"/>
            <w:bookmarkEnd w:id="0"/>
            <w:r>
              <w:rPr>
                <w:rStyle w:val="a"/>
              </w:rPr>
              <w:t>06.1 HHS Privacy Impact Assessment</w:t>
            </w:r>
            <w:r>
              <w:rPr>
                <w:rStyle w:val="a0"/>
              </w:rPr>
              <w:t xml:space="preserve"> (Form)</w:t>
            </w:r>
            <w:r>
              <w:rPr>
                <w:rStyle w:val="a"/>
              </w:rPr>
              <w:t xml:space="preserve"> / NIH NIMH NIMH Headquarters Network [System]</w:t>
            </w:r>
            <w:r>
              <w:rPr>
                <w:rStyle w:val="a0"/>
              </w:rPr>
              <w:t xml:space="preserve"> (Item) </w:t>
            </w:r>
            <w:r>
              <w:rPr>
                <w:rStyle w:val="a0"/>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sz="0" w:space="0" w:color="auto"/>
            </w:tcBorders>
            <w:tcMar>
              <w:top w:w="30" w:type="dxa"/>
              <w:left w:w="60" w:type="dxa"/>
              <w:bottom w:w="30" w:type="dxa"/>
              <w:right w:w="60" w:type="dxa"/>
            </w:tcMar>
            <w:vAlign w:val="bottom"/>
          </w:tcPr>
          <w:p w:rsidR="00351DEC" w:rsidRDefault="00BC425C">
            <w:pPr>
              <w:jc w:val="right"/>
            </w:pPr>
            <w:r>
              <w:rPr>
                <w:rStyle w:val="a2"/>
              </w:rPr>
              <w:t>Primavera ProSight</w:t>
            </w:r>
          </w:p>
        </w:tc>
      </w:tr>
      <w:tr w:rsidR="00351DEC">
        <w:tc>
          <w:tcPr>
            <w:tcW w:w="0" w:type="auto"/>
            <w:tcMar>
              <w:top w:w="30" w:type="dxa"/>
              <w:left w:w="60" w:type="dxa"/>
              <w:bottom w:w="30" w:type="dxa"/>
              <w:right w:w="60" w:type="dxa"/>
            </w:tcMar>
            <w:vAlign w:val="bottom"/>
          </w:tcPr>
          <w:p w:rsidR="00351DEC" w:rsidRDefault="00BC425C">
            <w:r>
              <w:rPr>
                <w:rStyle w:val="a3"/>
              </w:rPr>
              <w:t xml:space="preserve">Form Report, printed by: Hermach, William, </w:t>
            </w:r>
            <w:r>
              <w:rPr>
                <w:rStyle w:val="a1"/>
              </w:rPr>
              <w:t>Oct 31, 2012</w:t>
            </w:r>
          </w:p>
        </w:tc>
        <w:tc>
          <w:tcPr>
            <w:tcW w:w="0" w:type="auto"/>
            <w:tcMar>
              <w:top w:w="30" w:type="dxa"/>
              <w:left w:w="60" w:type="dxa"/>
              <w:bottom w:w="30" w:type="dxa"/>
              <w:right w:w="60" w:type="dxa"/>
            </w:tcMar>
          </w:tcPr>
          <w:p w:rsidR="00351DEC" w:rsidRDefault="00351DEC"/>
        </w:tc>
      </w:tr>
    </w:tbl>
    <w:p w:rsidR="00351DEC" w:rsidRDefault="00351DEC"/>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PIA SUMMARY</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351DEC"/>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351DEC" w:rsidRDefault="00351DEC">
      <w:pPr>
        <w:rPr>
          <w:vanish/>
        </w:rPr>
      </w:pPr>
    </w:p>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Summary of PIA Required Questions</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*Is this a new PIA?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No</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If this is an existing PIA, please provide a reason for revision: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PIA Validation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 Date of this Submission: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Jul 17, 2012</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 OPDIV Name: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NIH</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 Privacy Act System of Records Notice (SORN) Number (If response to Q.21 is Yes, a SORN number is required for Q.4):</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09-25-0036</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 OMB Information Collection Approval Number:</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*6. Other Identifying Number(s):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*7. System Name (Align with system item name):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NIMHnet</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*9. System Point of Contact (POC).  The System POC is the person to whom questions about the system and the responses to this PIA may be addressed:</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351DEC"/>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John Harris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*10. Provide an overview of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system is a General Support System (GSS) and does not directly collect or store information.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*13. Indicate if the system is new or an existing one being modified: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Existing</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*17. Does/Will the system collect, maintain (store), disseminate and/or pass through PII within any database(s), record(s), file(s) or website(s) hosted by this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17a. Is this a GSS PIA included for C&amp;A purposes only, with no ownership of underlying application data?  If the response to Q.17a is Yes, the response to Q.17 should be No and only the PIA Summary must be completed.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*19. Are records on the system retrieved by 1 or more PII data elements?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*21. Is the system subject to the Privacy Act? (If the response to Q.19 is Yes, the response to Q.21 must be Yes and a SORN number is required for Q.4)</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*23. If the system shares or discloses PII, please specify with whom and for what purpose(s):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system shares and discloses PII with NIMH staff and research partners in support of the NIMH mission. Reference SOR #: 09-25-0036</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system is a General Support System (GSS) and does not directly collect or store information.  The applications/systems residing on the GSS collect and store information.  Therefore, individual PIAs have been prepared and submitted for the applications/systems residing on this GSS.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NIMH procedures involve notification and consent to submit PII to the system during the grant application and administrative processes. Potential grantees must consent to provide PII to the system in order to apply for NIMH grants. NIMH staff consent to have PII stored in the system as a condition of employment during the hiring process. NIMH Web communications staff notifies individuals when major system changes or data use changes occur.</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*32. Does the system host a website? (Note:  If the system hosts a website, the Website Hosting Practices section is required to be completed regardless of the presence of PII)</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*37. Does the website have any information or pages directed at children under the age of thirteen?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No</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*50. Are there policies or guidelines in place with regard to the retention and destruction of PII? (Refer to the C&amp;A package and/or the Records Retention and Destruction section in SORN)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*54. Briefly describe in detail how the PII will be secured on the system using administrative, technical, and physical controls: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PII will be secured on the system using DHHS, NIH and NIMH administrative policies, NIHnet and NIMHnet technical controls, and encryption of sensitive data. The NIMHnet incorporates role based access controls with the principle of least privilege access and limited personnel physical access to the data center systems via card key.</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lastRenderedPageBreak/>
              <w:t>PIA REQUIRED INFORMATION</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HHS Privacy Impact Assessment (PIA)</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rsidR="00351DEC" w:rsidRDefault="00351DEC">
      <w:pPr>
        <w:rPr>
          <w:vanish/>
        </w:rPr>
      </w:pPr>
    </w:p>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General Information</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*Is this a new PIA?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No</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If this is an existing PIA, please provide a reason for revision: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PIA Validation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 Date of this Submission: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Jul 17, 2012</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 OPDIV Name: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NIH</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 Unique Project Identifier (UPI) Number for current fiscal year (Data is auto-populated from the System Inventory form, UPI table):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 Privacy Act System of Records Notice (SORN) Number (If response to Q.21 is Yes, a SORN number is required for Q.4):</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09-25-0036</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 OMB Information Collection Approval Number:</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5a. OMB Collection Approval Number Expiration Date: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*6. Other Identifying Number(s):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*7. System Name: (Align with system item name)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NIMHnet</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8. System Location: (OPDIV or contractor office building, room, city, and state)</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351DEC"/>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NIMH Headquarters Atrium and NSC buildings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 xml:space="preserve">6001 Executive Blvd. and 6101 Executive Blvd. </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Rockville</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MD</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*9. System Point of Contact (POC). The System POC is the person to whom questions about the system and the responses to this PIA may be addressed:</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351DEC"/>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John Harris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The following information will not be made publicly available:</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NIMH CIO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ORM/IRTMB</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301-443-8101</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Harrisjo@mail.nih.gov</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*10. Provide an overview of the system: (Note: The System Inventory form can provide additional information for child dependencies if the system is a GSS)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system is a General Support System (GSS) and does not directly collect or store information.</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lastRenderedPageBreak/>
              <w:t>SYSTEM CHARACTERIZATION AND DATA CATEGORIZATION</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System Characterization and Data Configuration</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11. Does HHS own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11a. If no, identify the system owner:</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Name: John Harris</w:t>
            </w:r>
          </w:p>
          <w:p w:rsidR="00351DEC" w:rsidRDefault="00BC425C">
            <w:r>
              <w:rPr>
                <w:rStyle w:val="a7"/>
              </w:rPr>
              <w:t xml:space="preserve">  Component: National Institutes of Health</w:t>
            </w:r>
          </w:p>
          <w:p w:rsidR="00351DEC" w:rsidRDefault="00BC425C">
            <w:r>
              <w:rPr>
                <w:rStyle w:val="a7"/>
              </w:rPr>
              <w:t xml:space="preserve">  Address: 6101 Executive Blvd </w:t>
            </w:r>
          </w:p>
          <w:p w:rsidR="00351DEC" w:rsidRDefault="00BC425C">
            <w:r>
              <w:rPr>
                <w:rStyle w:val="a7"/>
              </w:rPr>
              <w:t xml:space="preserve">Suite 374 </w:t>
            </w:r>
          </w:p>
          <w:p w:rsidR="00351DEC" w:rsidRDefault="00BC425C">
            <w:r>
              <w:rPr>
                <w:rStyle w:val="a7"/>
              </w:rPr>
              <w:t>Rockvill, MD 20852</w:t>
            </w:r>
          </w:p>
          <w:p w:rsidR="00351DEC" w:rsidRDefault="00BC425C">
            <w:r>
              <w:rPr>
                <w:rStyle w:val="a7"/>
              </w:rPr>
              <w:t xml:space="preserve">  Phone: 301-443-8101</w:t>
            </w:r>
          </w:p>
          <w:p w:rsidR="00351DEC" w:rsidRDefault="00BC425C">
            <w:r>
              <w:rPr>
                <w:rStyle w:val="a7"/>
              </w:rPr>
              <w:t xml:space="preserve">  Email: harrisjo@mail.nih.gov</w:t>
            </w:r>
          </w:p>
          <w:p w:rsidR="00351DEC" w:rsidRDefault="00BC425C">
            <w:r>
              <w:rPr>
                <w:rStyle w:val="a7"/>
              </w:rPr>
              <w:t xml:space="preserve">  FAX:</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12. Does HHS operate the system? (If the system is operated at a contractor site, the answer should be No)</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12a. If no, identify the system operator:</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*13. Indicate if the system is new or an existing one being modified: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Existing</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14. Identify the life-cycle phase of this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Operations/Maintenance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15. Have any of the following major changes occurred to the system since the PIA was last submitted?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No</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16. Is the system a General Support System (GSS), Major Application (MA), Minor Application (child) or Minor Application (stand-alone)?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General Support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*17. Does/Will the system collect, maintain (store), disseminate and/or pass through PII within any database(s), record(s), file(s) or website(s) hosted by this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Please indicate "Yes" or "No" for each PII category.  If the applicable PII category is not listed, please use the Other field to identify the appropriate category of PII.</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Social Security Number (SSN)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Employment history and other professional qualifications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17a. Is this a GSS PIA included for C&amp;A purposes only, with no ownership of underlying application data? If the response to Q.17a is Yes, the response to Q.17 should be No and only the PIA Summary must be completed.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*19. Are records on the system retrieved by 1 or more PII data elements?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Please indicate "Yes" or "No" for each PII category.  If the applicable PII category is not listed, please use the Other field to identify the appropriate category of PII.</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Scientific Discipline and Areas of Expertise</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20. Are 10 or more records containing PII maintained, stored or transmitted/passed through this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*21. Is the system subject to the Privacy Act? (If the response to Q.19 is Yes, the response to Q.21 must be Yes and a SORN number is required for Q.4)</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21a. If yes but a SORN has not been created, please provide an explanation.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INFORMATION SHARING PRACTICES</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Information Sharing Practices</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22. Does the system share or disclose PII with other divisions within this agency, external agencies, or other people or organizations outside the agency?</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 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Scientific Discipline</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*23. If the system shares or discloses PII please specify with whom and for what purpose(s):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system shares and discloses PII with NIMH staff and research partners in support of the NIMH mission. Reference SOR #: 09-25-0036</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24. If the PII in the system is matched against PII in one or more other computer systems, are computer data matching agreement(s) in place?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25. Is there a process in place to notify organizations or systems that are dependent upon the PII contained in this system when major changes occur (i.e., revisions to PII, or when the system is replaced)?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26. Are individuals notified how their PII is going to be used?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26a. If yes, please describe the process for allowing individuals to have a choice.  If no, please provide an explanation.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There is privacy policy and privacy act note on the applicable web pages, with a link to information on whom to contact for help.</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27. Is there a complaint process in place for individuals who believe their PII has been inappropriately obtained, used, or disclosed, or that the PII is inaccurate?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27a. If yes, please describe briefly the notification process.  If no, please provide an explanation.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Individuals notify the main NIMH contact number, Webmaster or CIO</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28. Are there processes in place for periodic reviews of PII contained in the system to ensure the data</w:t>
            </w:r>
            <w:r>
              <w:rPr>
                <w:rStyle w:val="aa"/>
              </w:rPr>
              <w:t>’</w:t>
            </w:r>
            <w:r>
              <w:rPr>
                <w:rStyle w:val="aa"/>
              </w:rPr>
              <w:t>s integrity, availability, accuracy and relevancy?</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28a. If yes, please describe briefly the review process.  If no, please provide an explanation.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 xml:space="preserve">Program Officers and administrative staff regularly review and update the information. </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29. Are there rules of conduct in place for access to PII on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Please indicate "Yes," "No," or "N/A" for each category.  If yes, briefly state the purpose for each user to have access: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080" w:type="dxa"/>
            <w:gridSpan w:val="3"/>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Users with access to PII</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Yes/No/N/A</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Purpose</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User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Administrative functions, information dissemination and grants review</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Administrators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Systems Administration</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Developers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Application Development</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Contractors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Systems and Applications Development</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Other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system is a General Support System (GSS) and does not directly collect or store information.  The applications/systems residing on the GSS collect and store information.  Therefore, individual PIAs have been prepared and submitted for the applications/systems residing on this GSS.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NIMH procedures involve notification and consent to submit PII to the system during the grant application and administrative processes. Potential grantees must consent to provide PII to the system in order to apply for NIMH grants. NIMH staff consent to have PII stored in the system as a condition of employment during the hiring process. NIMH Web communications staff notifies individuals when major system changes or data use changes occur.</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WEBSITE HOSTING PRACTICES</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Website Hosting Practices</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*32. Does the system host a website? (Note:  If the system hosts a website, the Website Hosting Practices section is required to be completed regardless of the presence of PII)</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080" w:type="dxa"/>
            <w:gridSpan w:val="3"/>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type of site below. If the system hosts both Internet and Intranet sites, indicate </w:t>
            </w:r>
            <w:r>
              <w:rPr>
                <w:rStyle w:val="tableTitleTd"/>
              </w:rPr>
              <w:t>“</w:t>
            </w:r>
            <w:r>
              <w:rPr>
                <w:rStyle w:val="tableTitleTd"/>
              </w:rPr>
              <w:t>Yes</w:t>
            </w:r>
            <w:r>
              <w:rPr>
                <w:rStyle w:val="tableTitleTd"/>
              </w:rPr>
              <w:t>”</w:t>
            </w:r>
            <w:r>
              <w:rPr>
                <w:rStyle w:val="tableTitleTd"/>
              </w:rPr>
              <w:t xml:space="preserve"> for </w:t>
            </w:r>
            <w:r>
              <w:rPr>
                <w:rStyle w:val="tableTitleTd"/>
              </w:rPr>
              <w:t>“</w:t>
            </w:r>
            <w:r>
              <w:rPr>
                <w:rStyle w:val="tableTitleTd"/>
              </w:rPr>
              <w:t>Both</w:t>
            </w:r>
            <w:r>
              <w:rPr>
                <w:rStyle w:val="tableTitleTd"/>
              </w:rPr>
              <w:t>”</w:t>
            </w:r>
            <w:r>
              <w:rPr>
                <w:rStyle w:val="tableTitleTd"/>
              </w:rPr>
              <w:t xml:space="preserve"> only.</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Yes/ No</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If the system hosts an Internet site, please enter the site URL.  Do not enter any URL(s) for Intranet sites.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Internet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www.nimh.nih.gov</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Intranet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351DEC">
            <w:pPr>
              <w:jc w:val="right"/>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Both</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351DEC">
            <w:pPr>
              <w:jc w:val="right"/>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33. Does the system host a website that is accessible by the public and does not meet the exceptions listed in OMB M-03-22?</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35a. If no, please indicate when the website will be P3P compliant:</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36. Does the website employ tracking technologies?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w:t>
            </w:r>
            <w:r>
              <w:rPr>
                <w:rStyle w:val="tableTitleTd"/>
              </w:rPr>
              <w:t>“</w:t>
            </w:r>
            <w:r>
              <w:rPr>
                <w:rStyle w:val="tableTitleTd"/>
              </w:rPr>
              <w:t>No</w:t>
            </w:r>
            <w:r>
              <w:rPr>
                <w:rStyle w:val="tableTitleTd"/>
              </w:rPr>
              <w:t>”</w:t>
            </w:r>
            <w:r>
              <w:rPr>
                <w:rStyle w:val="tableTitleTd"/>
              </w:rPr>
              <w:t xml:space="preserve">, or </w:t>
            </w:r>
            <w:r>
              <w:rPr>
                <w:rStyle w:val="tableTitleTd"/>
              </w:rPr>
              <w:t>“</w:t>
            </w:r>
            <w:r>
              <w:rPr>
                <w:rStyle w:val="tableTitleTd"/>
              </w:rPr>
              <w:t>N/A</w:t>
            </w:r>
            <w:r>
              <w:rPr>
                <w:rStyle w:val="tableTitleTd"/>
              </w:rPr>
              <w:t>”</w:t>
            </w:r>
            <w:r>
              <w:rPr>
                <w:rStyle w:val="tableTitleTd"/>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Yes/No/N/A</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*37. Does the website have any information or pages directed at children under the age of thirteen?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No</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37a. If </w:t>
            </w:r>
            <w:proofErr w:type="gramStart"/>
            <w:r>
              <w:rPr>
                <w:rStyle w:val="aa"/>
              </w:rPr>
              <w:t>yes,</w:t>
            </w:r>
            <w:proofErr w:type="gramEnd"/>
            <w:r>
              <w:rPr>
                <w:rStyle w:val="aa"/>
              </w:rPr>
              <w:t xml:space="preserve"> is there a unique privacy policy for the site, and does the unique privacy policy address the process for obtaining parental consent if any information is collected?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38. Does the website collect PII from individuals?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Driver's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Mother's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Scientific Discipline and Research Areas of Expertise</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39. Are rules of conduct in place for access to PII on the website?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40. Does the website contain links to sites external to HHS that owns and/or operates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40a. If yes, note whether the system provides a disclaimer notice for users that follow external links to websites not owned or operated by HHS.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ADMINISTRATIVE CONTROLS</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Administrative Controls</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41. Has the system been certified and accredited (C&amp;A)?</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41a. If yes, please indicate when the C&amp;A was completed: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Dec 7, 2011</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41b. If a system requires a C&amp;A and no C&amp;A was completed, is a C&amp;A in progress?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Not Applicable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42. Is there a system security plan for this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43. Is there a contingency (or backup) plan for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44. Are files backed up regularly?</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45. Are backup files stored offsite?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46. Are there user manuals for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47. Have personnel (system owners, managers, operators, contractors and/or program managers) using the system been trained and made aware of their responsibilities for protecting the information being collected and maintained?</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48. If contractors operate or use the system, do the contracts include clauses ensuring adherence to privacy provisions and practices?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49a. If yes, please specify method(s):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 xml:space="preserve">Only preauthorized users have access to the system and therefore access to the data. Only authorized system administrators have access to modify or delete the data.  </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*50. Are there policies or guidelines in place with regard to the retention and destruction of PII?  (Refer to the C&amp;A package and/or the Records Retention and Destruction section in SORN):</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50a. If yes, please provide some detail about these policies/practices: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NIH Records Retention Policy provides detail about the retention and destruction of PII in the system.</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TECHNICAL CONTROLS</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Technical Controls</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51.  Are technical controls in place to minimize the possibility of unauthorized access, use, or dissemination of the data in the system?</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Common Access Cards (CAC)</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Public Key Infrastructure (PKI)</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52.  Is there a process in place to monitor and respond to privacy and/or security incidents?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52a. If yes, please briefly describe the process: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NIH Incident Handling Procedures; The NIH Incident Response Team (IRT) handles all security incidents.</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PHYSICAL ACCESS</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Physical Access</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53.  Are physical access controls in place?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Yes</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rPr>
          <w:tblHeader/>
        </w:trPr>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351DEC" w:rsidRDefault="00BC425C">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51DEC" w:rsidRDefault="00BC425C">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a"/>
              </w:rPr>
              <w:t>*54. Briefly describe in detail how the PII will be secured on the system using administrative, technical, and physical controls:</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7"/>
              </w:rPr>
              <w:t>The PII will be secured on the system using DHHS, NIH and NIMH administrative policies, NIHnet and NIMHnet technical controls, and encryption of sensitive data. The NIMHnet incorporates role based access controls with the principle of least privilege access and limited personnel physical access to the data center systems via card key.</w:t>
            </w: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APPROVAL/DEMOTION</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System Information</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BC425C">
            <w:r>
              <w:rPr>
                <w:rStyle w:val="a7"/>
              </w:rPr>
              <w:t>NIMHnet</w:t>
            </w:r>
          </w:p>
        </w:tc>
      </w:tr>
    </w:tbl>
    <w:p w:rsidR="00351DEC" w:rsidRDefault="00351DEC">
      <w:pPr>
        <w:rPr>
          <w:vanish/>
        </w:rPr>
      </w:pPr>
    </w:p>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PIA Reviewer Approval/Promotion or Demotion</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BC425C">
            <w:r>
              <w:rPr>
                <w:rStyle w:val="a7"/>
              </w:rPr>
              <w:t>Promote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BC425C">
            <w:r>
              <w:rPr>
                <w:rStyle w:val="a7"/>
              </w:rPr>
              <w:t>William Hermach</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BC425C">
            <w:r>
              <w:rPr>
                <w:rStyle w:val="a7"/>
              </w:rPr>
              <w:t>Jul 17, 2012</w:t>
            </w:r>
          </w:p>
        </w:tc>
      </w:tr>
    </w:tbl>
    <w:p w:rsidR="00351DEC" w:rsidRDefault="00351DEC">
      <w:pPr>
        <w:rPr>
          <w:vanish/>
        </w:rPr>
      </w:pPr>
    </w:p>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Senior Official for Privacy Approval/Promotion or Demotion</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BC425C">
            <w:r>
              <w:rPr>
                <w:rStyle w:val="a7"/>
              </w:rPr>
              <w:t>Promote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OPDIV Senior Official for Privacy or Designee Approval</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6"/>
              </w:rPr>
              <w:t>This PIA has been reviewed and endorsed by the OPDIV Senior Official for Privacy or Designee (Name and Date):</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BC425C">
            <w:r>
              <w:rPr>
                <w:rStyle w:val="a6"/>
              </w:rPr>
              <w:t>Name:  __________________________________        Date:  ________________________________________</w:t>
            </w:r>
          </w:p>
        </w:tc>
      </w:tr>
    </w:tbl>
    <w:p w:rsidR="00351DEC" w:rsidRDefault="00351DEC">
      <w:pPr>
        <w:rPr>
          <w:vanish/>
        </w:rPr>
      </w:pPr>
    </w:p>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Td"/>
              </w:rPr>
              <w:t>Karen Pl</w:t>
            </w:r>
            <w:r>
              <w:rPr>
                <w:rStyle w:val="tableCellTd"/>
              </w:rPr>
              <w:t>á</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5" w:type="dxa"/>
            <w:tcBorders>
              <w:top w:val="nil"/>
              <w:left w:val="single" w:sz="0" w:space="0" w:color="auto"/>
              <w:bottom w:val="nil"/>
              <w:right w:val="nil"/>
            </w:tcBorders>
            <w:tcMar>
              <w:top w:w="60" w:type="dxa"/>
              <w:left w:w="60" w:type="dxa"/>
              <w:bottom w:w="60" w:type="dxa"/>
              <w:right w:w="60" w:type="dxa"/>
            </w:tcMar>
          </w:tcPr>
          <w:p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pPr>
              <w:jc w:val="right"/>
            </w:pPr>
            <w:r>
              <w:rPr>
                <w:rStyle w:val="tableCellTd"/>
              </w:rPr>
              <w:t>Sep 28, 2012</w:t>
            </w:r>
          </w:p>
        </w:tc>
        <w:tc>
          <w:tcPr>
            <w:tcW w:w="15" w:type="dxa"/>
            <w:tcBorders>
              <w:top w:val="nil"/>
              <w:left w:val="nil"/>
              <w:bottom w:val="nil"/>
              <w:right w:val="single" w:sz="0" w:space="0" w:color="auto"/>
            </w:tcBorders>
            <w:tcMar>
              <w:top w:w="60" w:type="dxa"/>
              <w:left w:w="60" w:type="dxa"/>
              <w:bottom w:w="60" w:type="dxa"/>
              <w:right w:w="60" w:type="dxa"/>
            </w:tcMar>
          </w:tcPr>
          <w:p w:rsidR="00351DEC" w:rsidRDefault="00351DEC">
            <w:pPr>
              <w:rPr>
                <w:sz w:val="16"/>
              </w:rPr>
            </w:pPr>
          </w:p>
        </w:tc>
      </w:tr>
      <w:tr w:rsidR="00351DE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351DEC" w:rsidRDefault="00351DEC">
            <w:pPr>
              <w:rPr>
                <w:sz w:val="16"/>
              </w:rPr>
            </w:pPr>
          </w:p>
        </w:tc>
      </w:tr>
    </w:tbl>
    <w:p w:rsidR="00351DEC" w:rsidRDefault="00351DEC">
      <w:pPr>
        <w:rPr>
          <w:vanish/>
        </w:rPr>
      </w:pPr>
    </w:p>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rsidR="00351DEC" w:rsidRDefault="00BC425C">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rsidR="00351DEC" w:rsidRDefault="00BC425C">
            <w:r>
              <w:rPr>
                <w:rStyle w:val="a5"/>
              </w:rPr>
              <w:t>Department Approval to Publish to the Web</w:t>
            </w:r>
          </w:p>
        </w:tc>
      </w:tr>
    </w:tbl>
    <w:p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351DE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351DEC">
            <w:pPr>
              <w:jc w:val="right"/>
            </w:pPr>
          </w:p>
        </w:tc>
      </w:tr>
      <w:tr w:rsidR="00351DE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351DEC">
            <w:pPr>
              <w:jc w:val="right"/>
            </w:pPr>
          </w:p>
        </w:tc>
      </w:tr>
      <w:tr w:rsidR="00351DE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BC425C">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51DEC" w:rsidRDefault="00351DEC">
            <w:pPr>
              <w:jc w:val="right"/>
            </w:pPr>
          </w:p>
        </w:tc>
      </w:tr>
    </w:tbl>
    <w:p w:rsidR="00351DEC" w:rsidRDefault="00351DEC">
      <w:pPr>
        <w:rPr>
          <w:vanish/>
        </w:rPr>
      </w:pPr>
    </w:p>
    <w:p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tc>
          <w:tcPr>
            <w:tcW w:w="0" w:type="auto"/>
            <w:tcMar>
              <w:top w:w="30" w:type="dxa"/>
              <w:left w:w="60" w:type="dxa"/>
              <w:bottom w:w="30" w:type="dxa"/>
              <w:right w:w="60" w:type="dxa"/>
            </w:tcMar>
          </w:tcPr>
          <w:p w:rsidR="00351DEC" w:rsidRDefault="00BC425C">
            <w:r>
              <w:t>PIA % COMPLETE</w:t>
            </w:r>
          </w:p>
        </w:tc>
      </w:tr>
    </w:tbl>
    <w:p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351DEC" w:rsidRDefault="00BC425C">
            <w:r>
              <w:rPr>
                <w:rStyle w:val="a5"/>
              </w:rPr>
              <w:t>PIA Completion</w:t>
            </w:r>
          </w:p>
        </w:tc>
      </w:tr>
    </w:tbl>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BC425C">
            <w:r>
              <w:rPr>
                <w:rStyle w:val="a7"/>
              </w:rPr>
              <w:t>100.00</w:t>
            </w:r>
          </w:p>
        </w:tc>
      </w:tr>
    </w:tbl>
    <w:p w:rsidR="00351DEC" w:rsidRDefault="00351DEC">
      <w:pPr>
        <w:rPr>
          <w:vanish/>
        </w:rPr>
      </w:pPr>
    </w:p>
    <w:p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351DEC" w:rsidRDefault="00BC425C">
            <w:r>
              <w:rPr>
                <w:rStyle w:val="a6"/>
              </w:rPr>
              <w:t>PIA Missing Fields: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351DEC" w:rsidRDefault="00351DEC"/>
        </w:tc>
      </w:tr>
    </w:tbl>
    <w:p w:rsidR="00351DEC" w:rsidRDefault="00351DEC">
      <w:pPr>
        <w:rPr>
          <w:vanish/>
        </w:rPr>
      </w:pPr>
    </w:p>
    <w:sectPr w:rsidR="00351DEC" w:rsidSect="00351DEC">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noPunctuationKerning/>
  <w:characterSpacingControl w:val="doNotCompress"/>
  <w:ignoreMixedConten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EC"/>
    <w:rsid w:val="00351DEC"/>
    <w:rsid w:val="00640EBC"/>
    <w:rsid w:val="00BC425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351DEC"/>
    <w:rPr>
      <w:b/>
      <w:sz w:val="22"/>
    </w:rPr>
  </w:style>
  <w:style w:type="character" w:customStyle="1" w:styleId="a0">
    <w:rsid w:val="00351DEC"/>
    <w:rPr>
      <w:sz w:val="18"/>
    </w:rPr>
  </w:style>
  <w:style w:type="character" w:customStyle="1" w:styleId="a1">
    <w:rsid w:val="00351DEC"/>
    <w:rPr>
      <w:b/>
      <w:sz w:val="18"/>
    </w:rPr>
  </w:style>
  <w:style w:type="character" w:customStyle="1" w:styleId="a2">
    <w:rsid w:val="00351DEC"/>
    <w:rPr>
      <w:sz w:val="26"/>
    </w:rPr>
  </w:style>
  <w:style w:type="character" w:customStyle="1" w:styleId="a3">
    <w:rsid w:val="00351DEC"/>
    <w:rPr>
      <w:sz w:val="18"/>
    </w:rPr>
  </w:style>
  <w:style w:type="character" w:styleId="Hyperlink">
    <w:name w:val="Hyperlink"/>
    <w:rsid w:val="00B507EA"/>
    <w:rPr>
      <w:color w:val="0000FF"/>
      <w:sz w:val="16"/>
      <w:u w:val="single"/>
    </w:rPr>
  </w:style>
  <w:style w:type="table" w:customStyle="1" w:styleId="printTabHeader">
    <w:name w:val="printTabHeader"/>
    <w:rsid w:val="00351DEC"/>
    <w:pPr>
      <w:jc w:val="center"/>
    </w:pPr>
    <w:rPr>
      <w:b/>
      <w:sz w:val="18"/>
    </w:rPr>
    <w:tblPr>
      <w:tblCellMar>
        <w:top w:w="0" w:type="dxa"/>
        <w:left w:w="0" w:type="dxa"/>
        <w:bottom w:w="0" w:type="dxa"/>
        <w:right w:w="0" w:type="dxa"/>
      </w:tblCellMar>
    </w:tblPr>
    <w:trPr>
      <w:trHeight w:hRule="exact" w:val="360"/>
    </w:trPr>
  </w:style>
  <w:style w:type="paragraph" w:customStyle="1" w:styleId="a4">
    <w:rsid w:val="00351DEC"/>
    <w:pPr>
      <w:jc w:val="center"/>
    </w:pPr>
    <w:rPr>
      <w:b/>
      <w:color w:val="FFFFFF"/>
      <w:sz w:val="18"/>
    </w:rPr>
  </w:style>
  <w:style w:type="character" w:customStyle="1" w:styleId="a5">
    <w:rsid w:val="00351DEC"/>
    <w:rPr>
      <w:b/>
      <w:sz w:val="18"/>
    </w:rPr>
  </w:style>
  <w:style w:type="character" w:customStyle="1" w:styleId="a6">
    <w:rsid w:val="00351DEC"/>
    <w:rPr>
      <w:b/>
      <w:sz w:val="16"/>
    </w:rPr>
  </w:style>
  <w:style w:type="character" w:customStyle="1" w:styleId="a7">
    <w:rsid w:val="00351DEC"/>
    <w:rPr>
      <w:sz w:val="16"/>
    </w:rPr>
  </w:style>
  <w:style w:type="paragraph" w:customStyle="1" w:styleId="a8">
    <w:rsid w:val="00351DEC"/>
    <w:pPr>
      <w:jc w:val="center"/>
    </w:pPr>
  </w:style>
  <w:style w:type="character" w:customStyle="1" w:styleId="a9">
    <w:rsid w:val="00351DEC"/>
    <w:rPr>
      <w:sz w:val="16"/>
    </w:rPr>
  </w:style>
  <w:style w:type="character" w:customStyle="1" w:styleId="aa">
    <w:rsid w:val="00351DEC"/>
    <w:rPr>
      <w:rFonts w:ascii="Arial"/>
      <w:i/>
      <w:sz w:val="14"/>
    </w:rPr>
  </w:style>
  <w:style w:type="character" w:customStyle="1" w:styleId="printLabelTdNonNested">
    <w:name w:val="printLabelTdNonNested"/>
    <w:rsid w:val="00351DEC"/>
    <w:rPr>
      <w:b/>
      <w:sz w:val="16"/>
    </w:rPr>
  </w:style>
  <w:style w:type="character" w:customStyle="1" w:styleId="printLabelTdNested">
    <w:name w:val="printLabelTdNested"/>
    <w:rsid w:val="00351DEC"/>
    <w:rPr>
      <w:b/>
      <w:sz w:val="16"/>
    </w:rPr>
  </w:style>
  <w:style w:type="character" w:customStyle="1" w:styleId="printUrlTd">
    <w:name w:val="printUrlTd"/>
    <w:rsid w:val="00351DEC"/>
    <w:rPr>
      <w:sz w:val="16"/>
    </w:rPr>
  </w:style>
  <w:style w:type="character" w:customStyle="1" w:styleId="phaseTitleTd">
    <w:name w:val="phaseTitleTd"/>
    <w:rsid w:val="00351DEC"/>
    <w:rPr>
      <w:b/>
      <w:sz w:val="16"/>
    </w:rPr>
  </w:style>
  <w:style w:type="character" w:customStyle="1" w:styleId="phaseCellValueTd">
    <w:name w:val="phaseCellValueTd"/>
    <w:rsid w:val="00351DEC"/>
    <w:rPr>
      <w:sz w:val="16"/>
    </w:rPr>
  </w:style>
  <w:style w:type="character" w:customStyle="1" w:styleId="phaseNameTd">
    <w:name w:val="phaseNameTd"/>
    <w:rsid w:val="00351DEC"/>
    <w:rPr>
      <w:b/>
      <w:sz w:val="16"/>
    </w:rPr>
  </w:style>
  <w:style w:type="character" w:customStyle="1" w:styleId="delTitleTd">
    <w:name w:val="delTitleTd"/>
    <w:rsid w:val="00351DEC"/>
    <w:rPr>
      <w:b/>
      <w:sz w:val="16"/>
    </w:rPr>
  </w:style>
  <w:style w:type="character" w:customStyle="1" w:styleId="delCellValueTd">
    <w:name w:val="delCellValueTd"/>
    <w:rsid w:val="00351DEC"/>
    <w:rPr>
      <w:sz w:val="16"/>
    </w:rPr>
  </w:style>
  <w:style w:type="character" w:customStyle="1" w:styleId="delNameTd">
    <w:name w:val="delNameTd"/>
    <w:rsid w:val="00351DEC"/>
    <w:rPr>
      <w:sz w:val="16"/>
    </w:rPr>
  </w:style>
  <w:style w:type="character" w:customStyle="1" w:styleId="tableCellTd">
    <w:name w:val="tableCellTd"/>
    <w:rsid w:val="00351DEC"/>
    <w:rPr>
      <w:sz w:val="16"/>
    </w:rPr>
  </w:style>
  <w:style w:type="character" w:customStyle="1" w:styleId="delCellValueTdOverdue">
    <w:name w:val="delCellValueTdOverdue"/>
    <w:rsid w:val="00351DEC"/>
    <w:rPr>
      <w:b/>
      <w:color w:val="FF0000"/>
      <w:sz w:val="16"/>
    </w:rPr>
  </w:style>
  <w:style w:type="character" w:customStyle="1" w:styleId="tableTitleTd">
    <w:name w:val="tableTitleTd"/>
    <w:rsid w:val="00351DEC"/>
    <w:rPr>
      <w:b/>
      <w:sz w:val="16"/>
    </w:rPr>
  </w:style>
  <w:style w:type="character" w:customStyle="1" w:styleId="tableCellSumStyleTd">
    <w:name w:val="tableCellSumStyleTd"/>
    <w:rsid w:val="00351DEC"/>
    <w:rPr>
      <w:b/>
      <w:sz w:val="16"/>
    </w:rPr>
  </w:style>
  <w:style w:type="character" w:customStyle="1" w:styleId="tableCellLabelNormal">
    <w:name w:val="tableCellLabelNormal"/>
    <w:rsid w:val="00351DEC"/>
    <w:rPr>
      <w:b/>
      <w:sz w:val="16"/>
    </w:rPr>
  </w:style>
  <w:style w:type="character" w:customStyle="1" w:styleId="MismatchGraph">
    <w:name w:val="MismatchGraph"/>
    <w:rsid w:val="00351DEC"/>
    <w:rPr>
      <w:b/>
      <w:sz w:val="16"/>
    </w:rPr>
  </w:style>
  <w:style w:type="character" w:customStyle="1" w:styleId="scPhaseName">
    <w:name w:val="scPhaseName"/>
    <w:rsid w:val="00351DEC"/>
    <w:rPr>
      <w:rFonts w:ascii="Tahoma"/>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351DEC"/>
    <w:rPr>
      <w:b/>
      <w:sz w:val="22"/>
    </w:rPr>
  </w:style>
  <w:style w:type="character" w:customStyle="1" w:styleId="a0">
    <w:rsid w:val="00351DEC"/>
    <w:rPr>
      <w:sz w:val="18"/>
    </w:rPr>
  </w:style>
  <w:style w:type="character" w:customStyle="1" w:styleId="a1">
    <w:rsid w:val="00351DEC"/>
    <w:rPr>
      <w:b/>
      <w:sz w:val="18"/>
    </w:rPr>
  </w:style>
  <w:style w:type="character" w:customStyle="1" w:styleId="a2">
    <w:rsid w:val="00351DEC"/>
    <w:rPr>
      <w:sz w:val="26"/>
    </w:rPr>
  </w:style>
  <w:style w:type="character" w:customStyle="1" w:styleId="a3">
    <w:rsid w:val="00351DEC"/>
    <w:rPr>
      <w:sz w:val="18"/>
    </w:rPr>
  </w:style>
  <w:style w:type="character" w:styleId="Hyperlink">
    <w:name w:val="Hyperlink"/>
    <w:rsid w:val="00B507EA"/>
    <w:rPr>
      <w:color w:val="0000FF"/>
      <w:sz w:val="16"/>
      <w:u w:val="single"/>
    </w:rPr>
  </w:style>
  <w:style w:type="table" w:customStyle="1" w:styleId="printTabHeader">
    <w:name w:val="printTabHeader"/>
    <w:rsid w:val="00351DEC"/>
    <w:pPr>
      <w:jc w:val="center"/>
    </w:pPr>
    <w:rPr>
      <w:b/>
      <w:sz w:val="18"/>
    </w:rPr>
    <w:tblPr>
      <w:tblCellMar>
        <w:top w:w="0" w:type="dxa"/>
        <w:left w:w="0" w:type="dxa"/>
        <w:bottom w:w="0" w:type="dxa"/>
        <w:right w:w="0" w:type="dxa"/>
      </w:tblCellMar>
    </w:tblPr>
    <w:trPr>
      <w:trHeight w:hRule="exact" w:val="360"/>
    </w:trPr>
  </w:style>
  <w:style w:type="paragraph" w:customStyle="1" w:styleId="a4">
    <w:rsid w:val="00351DEC"/>
    <w:pPr>
      <w:jc w:val="center"/>
    </w:pPr>
    <w:rPr>
      <w:b/>
      <w:color w:val="FFFFFF"/>
      <w:sz w:val="18"/>
    </w:rPr>
  </w:style>
  <w:style w:type="character" w:customStyle="1" w:styleId="a5">
    <w:rsid w:val="00351DEC"/>
    <w:rPr>
      <w:b/>
      <w:sz w:val="18"/>
    </w:rPr>
  </w:style>
  <w:style w:type="character" w:customStyle="1" w:styleId="a6">
    <w:rsid w:val="00351DEC"/>
    <w:rPr>
      <w:b/>
      <w:sz w:val="16"/>
    </w:rPr>
  </w:style>
  <w:style w:type="character" w:customStyle="1" w:styleId="a7">
    <w:rsid w:val="00351DEC"/>
    <w:rPr>
      <w:sz w:val="16"/>
    </w:rPr>
  </w:style>
  <w:style w:type="paragraph" w:customStyle="1" w:styleId="a8">
    <w:rsid w:val="00351DEC"/>
    <w:pPr>
      <w:jc w:val="center"/>
    </w:pPr>
  </w:style>
  <w:style w:type="character" w:customStyle="1" w:styleId="a9">
    <w:rsid w:val="00351DEC"/>
    <w:rPr>
      <w:sz w:val="16"/>
    </w:rPr>
  </w:style>
  <w:style w:type="character" w:customStyle="1" w:styleId="aa">
    <w:rsid w:val="00351DEC"/>
    <w:rPr>
      <w:rFonts w:ascii="Arial"/>
      <w:i/>
      <w:sz w:val="14"/>
    </w:rPr>
  </w:style>
  <w:style w:type="character" w:customStyle="1" w:styleId="printLabelTdNonNested">
    <w:name w:val="printLabelTdNonNested"/>
    <w:rsid w:val="00351DEC"/>
    <w:rPr>
      <w:b/>
      <w:sz w:val="16"/>
    </w:rPr>
  </w:style>
  <w:style w:type="character" w:customStyle="1" w:styleId="printLabelTdNested">
    <w:name w:val="printLabelTdNested"/>
    <w:rsid w:val="00351DEC"/>
    <w:rPr>
      <w:b/>
      <w:sz w:val="16"/>
    </w:rPr>
  </w:style>
  <w:style w:type="character" w:customStyle="1" w:styleId="printUrlTd">
    <w:name w:val="printUrlTd"/>
    <w:rsid w:val="00351DEC"/>
    <w:rPr>
      <w:sz w:val="16"/>
    </w:rPr>
  </w:style>
  <w:style w:type="character" w:customStyle="1" w:styleId="phaseTitleTd">
    <w:name w:val="phaseTitleTd"/>
    <w:rsid w:val="00351DEC"/>
    <w:rPr>
      <w:b/>
      <w:sz w:val="16"/>
    </w:rPr>
  </w:style>
  <w:style w:type="character" w:customStyle="1" w:styleId="phaseCellValueTd">
    <w:name w:val="phaseCellValueTd"/>
    <w:rsid w:val="00351DEC"/>
    <w:rPr>
      <w:sz w:val="16"/>
    </w:rPr>
  </w:style>
  <w:style w:type="character" w:customStyle="1" w:styleId="phaseNameTd">
    <w:name w:val="phaseNameTd"/>
    <w:rsid w:val="00351DEC"/>
    <w:rPr>
      <w:b/>
      <w:sz w:val="16"/>
    </w:rPr>
  </w:style>
  <w:style w:type="character" w:customStyle="1" w:styleId="delTitleTd">
    <w:name w:val="delTitleTd"/>
    <w:rsid w:val="00351DEC"/>
    <w:rPr>
      <w:b/>
      <w:sz w:val="16"/>
    </w:rPr>
  </w:style>
  <w:style w:type="character" w:customStyle="1" w:styleId="delCellValueTd">
    <w:name w:val="delCellValueTd"/>
    <w:rsid w:val="00351DEC"/>
    <w:rPr>
      <w:sz w:val="16"/>
    </w:rPr>
  </w:style>
  <w:style w:type="character" w:customStyle="1" w:styleId="delNameTd">
    <w:name w:val="delNameTd"/>
    <w:rsid w:val="00351DEC"/>
    <w:rPr>
      <w:sz w:val="16"/>
    </w:rPr>
  </w:style>
  <w:style w:type="character" w:customStyle="1" w:styleId="tableCellTd">
    <w:name w:val="tableCellTd"/>
    <w:rsid w:val="00351DEC"/>
    <w:rPr>
      <w:sz w:val="16"/>
    </w:rPr>
  </w:style>
  <w:style w:type="character" w:customStyle="1" w:styleId="delCellValueTdOverdue">
    <w:name w:val="delCellValueTdOverdue"/>
    <w:rsid w:val="00351DEC"/>
    <w:rPr>
      <w:b/>
      <w:color w:val="FF0000"/>
      <w:sz w:val="16"/>
    </w:rPr>
  </w:style>
  <w:style w:type="character" w:customStyle="1" w:styleId="tableTitleTd">
    <w:name w:val="tableTitleTd"/>
    <w:rsid w:val="00351DEC"/>
    <w:rPr>
      <w:b/>
      <w:sz w:val="16"/>
    </w:rPr>
  </w:style>
  <w:style w:type="character" w:customStyle="1" w:styleId="tableCellSumStyleTd">
    <w:name w:val="tableCellSumStyleTd"/>
    <w:rsid w:val="00351DEC"/>
    <w:rPr>
      <w:b/>
      <w:sz w:val="16"/>
    </w:rPr>
  </w:style>
  <w:style w:type="character" w:customStyle="1" w:styleId="tableCellLabelNormal">
    <w:name w:val="tableCellLabelNormal"/>
    <w:rsid w:val="00351DEC"/>
    <w:rPr>
      <w:b/>
      <w:sz w:val="16"/>
    </w:rPr>
  </w:style>
  <w:style w:type="character" w:customStyle="1" w:styleId="MismatchGraph">
    <w:name w:val="MismatchGraph"/>
    <w:rsid w:val="00351DEC"/>
    <w:rPr>
      <w:b/>
      <w:sz w:val="16"/>
    </w:rPr>
  </w:style>
  <w:style w:type="character" w:customStyle="1" w:styleId="scPhaseName">
    <w:name w:val="scPhaseName"/>
    <w:rsid w:val="00351DEC"/>
    <w:rPr>
      <w:rFonts w:ascii="Tahom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4005</Words>
  <Characters>22829</Characters>
  <Application>Microsoft Office Word</Application>
  <DocSecurity>4</DocSecurity>
  <Lines>190</Lines>
  <Paragraphs>53</Paragraphs>
  <ScaleCrop>false</ScaleCrop>
  <Company>NIMH HQ</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Hermach, William</dc:creator>
  <dc:description>Copyright 1998-2008 Primavera Systems, inc. All Rights Reserved.</dc:description>
  <cp:lastModifiedBy>Sarah Rhodes</cp:lastModifiedBy>
  <cp:revision>2</cp:revision>
  <dcterms:created xsi:type="dcterms:W3CDTF">2013-01-16T19:11:00Z</dcterms:created>
  <dcterms:modified xsi:type="dcterms:W3CDTF">2013-01-16T19:11:00Z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ies>
</file>