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0E749" w14:textId="77777777" w:rsidR="001A4AC1" w:rsidRDefault="001A4AC1" w:rsidP="001A4AC1">
      <w:pPr>
        <w:spacing w:line="276" w:lineRule="auto"/>
        <w:jc w:val="center"/>
        <w:rPr>
          <w:rFonts w:ascii="Times New Roman" w:eastAsia="Calibri" w:hAnsi="Times New Roman" w:cs="Times New Roman"/>
          <w:b/>
          <w:sz w:val="24"/>
          <w:szCs w:val="24"/>
        </w:rPr>
      </w:pPr>
    </w:p>
    <w:p w14:paraId="2083414A" w14:textId="666C700C" w:rsidR="00195F37" w:rsidRPr="00195F37" w:rsidRDefault="00195F37" w:rsidP="00195F37">
      <w:pPr>
        <w:jc w:val="center"/>
        <w:rPr>
          <w:rFonts w:ascii="Times New Roman" w:eastAsia="Calibri" w:hAnsi="Times New Roman" w:cs="Times New Roman"/>
          <w:b/>
          <w:sz w:val="24"/>
          <w:szCs w:val="24"/>
        </w:rPr>
      </w:pPr>
      <w:r w:rsidRPr="00195F37">
        <w:rPr>
          <w:rFonts w:ascii="Times New Roman" w:eastAsia="Calibri" w:hAnsi="Times New Roman" w:cs="Times New Roman"/>
          <w:b/>
          <w:sz w:val="24"/>
          <w:szCs w:val="24"/>
        </w:rPr>
        <w:t>Generic Information Collection: Emerging mosquito-borne diseases: assessment of chikungunya and dengue-related knowledge, attitudes and practices for Mexican-origin audiences along the U.S-Mexico border</w:t>
      </w:r>
    </w:p>
    <w:p w14:paraId="73C6C09E" w14:textId="77777777" w:rsidR="001A4AC1" w:rsidRPr="001A4AC1" w:rsidRDefault="001A4AC1" w:rsidP="001A4AC1">
      <w:pPr>
        <w:spacing w:line="276" w:lineRule="auto"/>
        <w:jc w:val="center"/>
        <w:rPr>
          <w:rFonts w:ascii="Times New Roman" w:eastAsia="Calibri" w:hAnsi="Times New Roman" w:cs="Times New Roman"/>
          <w:b/>
          <w:sz w:val="24"/>
          <w:szCs w:val="24"/>
        </w:rPr>
      </w:pPr>
    </w:p>
    <w:p w14:paraId="2AD863F0" w14:textId="77777777" w:rsidR="001A4AC1" w:rsidRPr="001A4AC1" w:rsidRDefault="001A4AC1" w:rsidP="001A4AC1">
      <w:pPr>
        <w:spacing w:line="276" w:lineRule="auto"/>
        <w:jc w:val="center"/>
        <w:rPr>
          <w:rFonts w:ascii="Times New Roman" w:eastAsia="Calibri" w:hAnsi="Times New Roman" w:cs="Times New Roman"/>
          <w:b/>
          <w:sz w:val="24"/>
          <w:szCs w:val="24"/>
        </w:rPr>
      </w:pPr>
      <w:r w:rsidRPr="001A4AC1">
        <w:rPr>
          <w:rFonts w:ascii="Times New Roman" w:eastAsia="Calibri" w:hAnsi="Times New Roman" w:cs="Times New Roman"/>
          <w:b/>
          <w:sz w:val="24"/>
          <w:szCs w:val="24"/>
        </w:rPr>
        <w:t>Generic Information Collection Request</w:t>
      </w:r>
    </w:p>
    <w:p w14:paraId="4A7EAF73" w14:textId="2ACC9B6D" w:rsidR="001A4AC1" w:rsidRPr="001A4AC1" w:rsidRDefault="00195F37" w:rsidP="001A4AC1">
      <w:pPr>
        <w:tabs>
          <w:tab w:val="right" w:pos="936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OMB No. 0920-0987</w:t>
      </w:r>
    </w:p>
    <w:p w14:paraId="791DB0A1" w14:textId="5F3249D7" w:rsidR="001A4AC1" w:rsidRPr="001A4AC1" w:rsidRDefault="001A4AC1" w:rsidP="001A4AC1">
      <w:pPr>
        <w:tabs>
          <w:tab w:val="right" w:pos="9360"/>
        </w:tabs>
        <w:jc w:val="center"/>
        <w:rPr>
          <w:rFonts w:ascii="Times New Roman" w:eastAsia="Calibri" w:hAnsi="Times New Roman" w:cs="Times New Roman"/>
          <w:b/>
          <w:sz w:val="24"/>
          <w:szCs w:val="24"/>
        </w:rPr>
      </w:pPr>
      <w:r w:rsidRPr="001A4AC1">
        <w:rPr>
          <w:rFonts w:ascii="Times New Roman" w:eastAsia="Calibri" w:hAnsi="Times New Roman" w:cs="Times New Roman"/>
          <w:b/>
          <w:sz w:val="24"/>
          <w:szCs w:val="24"/>
        </w:rPr>
        <w:t xml:space="preserve">Expiration Date </w:t>
      </w:r>
      <w:r w:rsidR="000A4D46">
        <w:rPr>
          <w:rFonts w:ascii="Times New Roman" w:eastAsia="Calibri" w:hAnsi="Times New Roman" w:cs="Times New Roman"/>
          <w:b/>
          <w:sz w:val="24"/>
          <w:szCs w:val="24"/>
        </w:rPr>
        <w:t>09</w:t>
      </w:r>
      <w:r w:rsidRPr="001A4AC1">
        <w:rPr>
          <w:rFonts w:ascii="Times New Roman" w:eastAsia="Calibri" w:hAnsi="Times New Roman" w:cs="Times New Roman"/>
          <w:b/>
          <w:sz w:val="24"/>
          <w:szCs w:val="24"/>
        </w:rPr>
        <w:t>/</w:t>
      </w:r>
      <w:r w:rsidR="000A4D46">
        <w:rPr>
          <w:rFonts w:ascii="Times New Roman" w:eastAsia="Calibri" w:hAnsi="Times New Roman" w:cs="Times New Roman"/>
          <w:b/>
          <w:sz w:val="24"/>
          <w:szCs w:val="24"/>
        </w:rPr>
        <w:t>30</w:t>
      </w:r>
      <w:r w:rsidRPr="001A4AC1">
        <w:rPr>
          <w:rFonts w:ascii="Times New Roman" w:eastAsia="Calibri" w:hAnsi="Times New Roman" w:cs="Times New Roman"/>
          <w:b/>
          <w:sz w:val="24"/>
          <w:szCs w:val="24"/>
        </w:rPr>
        <w:t>/</w:t>
      </w:r>
      <w:r w:rsidR="00062C7D" w:rsidRPr="001A4AC1">
        <w:rPr>
          <w:rFonts w:ascii="Times New Roman" w:eastAsia="Calibri" w:hAnsi="Times New Roman" w:cs="Times New Roman"/>
          <w:b/>
          <w:sz w:val="24"/>
          <w:szCs w:val="24"/>
        </w:rPr>
        <w:t>20</w:t>
      </w:r>
      <w:r w:rsidR="00195F37">
        <w:rPr>
          <w:rFonts w:ascii="Times New Roman" w:eastAsia="Calibri" w:hAnsi="Times New Roman" w:cs="Times New Roman"/>
          <w:b/>
          <w:sz w:val="24"/>
          <w:szCs w:val="24"/>
        </w:rPr>
        <w:t>16</w:t>
      </w:r>
    </w:p>
    <w:p w14:paraId="030E193D" w14:textId="77777777" w:rsidR="001A4AC1" w:rsidRPr="001A4AC1" w:rsidRDefault="001A4AC1" w:rsidP="001A4AC1">
      <w:pPr>
        <w:spacing w:line="276" w:lineRule="auto"/>
        <w:rPr>
          <w:rFonts w:ascii="Times New Roman" w:eastAsia="Times New Roman" w:hAnsi="Times New Roman" w:cs="Times New Roman"/>
          <w:b/>
          <w:sz w:val="24"/>
          <w:szCs w:val="24"/>
        </w:rPr>
      </w:pPr>
    </w:p>
    <w:p w14:paraId="4EEAD94E" w14:textId="77777777" w:rsidR="001A4AC1" w:rsidRPr="001A4AC1" w:rsidRDefault="001A4AC1" w:rsidP="001A4AC1">
      <w:pPr>
        <w:spacing w:line="276" w:lineRule="auto"/>
        <w:rPr>
          <w:rFonts w:ascii="Times New Roman" w:eastAsia="Times New Roman" w:hAnsi="Times New Roman" w:cs="Times New Roman"/>
          <w:b/>
          <w:sz w:val="24"/>
          <w:szCs w:val="24"/>
        </w:rPr>
      </w:pPr>
    </w:p>
    <w:p w14:paraId="229F5C42" w14:textId="64F4071C" w:rsidR="001A4AC1" w:rsidRPr="001A4AC1" w:rsidRDefault="001A4AC1" w:rsidP="001A4AC1">
      <w:pPr>
        <w:spacing w:line="276" w:lineRule="auto"/>
        <w:jc w:val="center"/>
        <w:rPr>
          <w:rFonts w:ascii="Times New Roman" w:eastAsia="Times New Roman" w:hAnsi="Times New Roman" w:cs="Times New Roman"/>
          <w:b/>
          <w:color w:val="FF0000"/>
          <w:sz w:val="24"/>
          <w:szCs w:val="24"/>
        </w:rPr>
      </w:pPr>
      <w:r w:rsidRPr="001A4AC1">
        <w:rPr>
          <w:rFonts w:ascii="Times New Roman" w:eastAsia="Times New Roman" w:hAnsi="Times New Roman" w:cs="Times New Roman"/>
          <w:b/>
          <w:sz w:val="24"/>
          <w:szCs w:val="24"/>
        </w:rPr>
        <w:t xml:space="preserve">Submitted on: </w:t>
      </w:r>
      <w:r w:rsidR="00915911">
        <w:rPr>
          <w:rFonts w:ascii="Times New Roman" w:eastAsia="Times New Roman" w:hAnsi="Times New Roman" w:cs="Times New Roman"/>
          <w:b/>
          <w:sz w:val="24"/>
          <w:szCs w:val="24"/>
        </w:rPr>
        <w:t>8</w:t>
      </w:r>
      <w:r w:rsidR="00D3630F" w:rsidRPr="00F338B1">
        <w:rPr>
          <w:rFonts w:ascii="Times New Roman" w:eastAsia="Times New Roman" w:hAnsi="Times New Roman" w:cs="Times New Roman"/>
          <w:b/>
          <w:sz w:val="24"/>
          <w:szCs w:val="24"/>
        </w:rPr>
        <w:t>/</w:t>
      </w:r>
      <w:r w:rsidR="00915911">
        <w:rPr>
          <w:rFonts w:ascii="Times New Roman" w:eastAsia="Times New Roman" w:hAnsi="Times New Roman" w:cs="Times New Roman"/>
          <w:b/>
          <w:sz w:val="24"/>
          <w:szCs w:val="24"/>
        </w:rPr>
        <w:t>13</w:t>
      </w:r>
      <w:r w:rsidR="00D3630F" w:rsidRPr="00F338B1">
        <w:rPr>
          <w:rFonts w:ascii="Times New Roman" w:eastAsia="Times New Roman" w:hAnsi="Times New Roman" w:cs="Times New Roman"/>
          <w:b/>
          <w:sz w:val="24"/>
          <w:szCs w:val="24"/>
        </w:rPr>
        <w:t>/2015</w:t>
      </w:r>
    </w:p>
    <w:p w14:paraId="56A30F11" w14:textId="77777777" w:rsidR="001A4AC1" w:rsidRPr="001A4AC1" w:rsidRDefault="001A4AC1" w:rsidP="001A4AC1">
      <w:pPr>
        <w:spacing w:line="276" w:lineRule="auto"/>
        <w:jc w:val="center"/>
        <w:rPr>
          <w:rFonts w:ascii="Times New Roman" w:eastAsia="Times New Roman" w:hAnsi="Times New Roman" w:cs="Times New Roman"/>
          <w:b/>
          <w:color w:val="FF0000"/>
          <w:sz w:val="24"/>
          <w:szCs w:val="24"/>
        </w:rPr>
      </w:pPr>
    </w:p>
    <w:p w14:paraId="4885D6C4" w14:textId="77777777" w:rsidR="001A4AC1" w:rsidRDefault="001A4AC1" w:rsidP="001A4AC1">
      <w:pPr>
        <w:spacing w:line="276" w:lineRule="auto"/>
        <w:jc w:val="center"/>
        <w:rPr>
          <w:rFonts w:ascii="Times New Roman" w:eastAsia="Times New Roman" w:hAnsi="Times New Roman" w:cs="Times New Roman"/>
          <w:b/>
          <w:sz w:val="24"/>
          <w:szCs w:val="24"/>
        </w:rPr>
      </w:pPr>
    </w:p>
    <w:p w14:paraId="518D0401" w14:textId="77777777" w:rsidR="001A4AC1" w:rsidRDefault="001A4AC1" w:rsidP="001A4AC1">
      <w:pPr>
        <w:spacing w:line="276" w:lineRule="auto"/>
        <w:jc w:val="center"/>
        <w:rPr>
          <w:rFonts w:ascii="Times New Roman" w:eastAsia="Times New Roman" w:hAnsi="Times New Roman" w:cs="Times New Roman"/>
          <w:b/>
          <w:sz w:val="24"/>
          <w:szCs w:val="24"/>
        </w:rPr>
      </w:pPr>
    </w:p>
    <w:p w14:paraId="29DF7C4C" w14:textId="77777777" w:rsidR="001A4AC1" w:rsidRDefault="001A4AC1" w:rsidP="001A4AC1">
      <w:pPr>
        <w:spacing w:line="276" w:lineRule="auto"/>
        <w:jc w:val="center"/>
        <w:rPr>
          <w:rFonts w:ascii="Times New Roman" w:eastAsia="Times New Roman" w:hAnsi="Times New Roman" w:cs="Times New Roman"/>
          <w:b/>
          <w:sz w:val="24"/>
          <w:szCs w:val="24"/>
        </w:rPr>
      </w:pPr>
    </w:p>
    <w:p w14:paraId="7DB03298" w14:textId="77777777" w:rsidR="001A4AC1" w:rsidRDefault="001A4AC1" w:rsidP="001A4AC1">
      <w:pPr>
        <w:spacing w:line="276" w:lineRule="auto"/>
        <w:jc w:val="center"/>
        <w:rPr>
          <w:rFonts w:ascii="Times New Roman" w:eastAsia="Times New Roman" w:hAnsi="Times New Roman" w:cs="Times New Roman"/>
          <w:b/>
          <w:sz w:val="24"/>
          <w:szCs w:val="24"/>
        </w:rPr>
      </w:pPr>
    </w:p>
    <w:p w14:paraId="6B91D9E4" w14:textId="77777777" w:rsidR="001A4AC1" w:rsidRDefault="001A4AC1" w:rsidP="001A4AC1">
      <w:pPr>
        <w:spacing w:line="276" w:lineRule="auto"/>
        <w:jc w:val="center"/>
        <w:rPr>
          <w:rFonts w:ascii="Times New Roman" w:eastAsia="Times New Roman" w:hAnsi="Times New Roman" w:cs="Times New Roman"/>
          <w:b/>
          <w:sz w:val="24"/>
          <w:szCs w:val="24"/>
        </w:rPr>
      </w:pPr>
    </w:p>
    <w:p w14:paraId="5560F697" w14:textId="77777777" w:rsidR="001A4AC1" w:rsidRDefault="001A4AC1" w:rsidP="001A4AC1">
      <w:pPr>
        <w:spacing w:line="276" w:lineRule="auto"/>
        <w:jc w:val="center"/>
        <w:rPr>
          <w:rFonts w:ascii="Times New Roman" w:eastAsia="Times New Roman" w:hAnsi="Times New Roman" w:cs="Times New Roman"/>
          <w:b/>
          <w:sz w:val="24"/>
          <w:szCs w:val="24"/>
        </w:rPr>
      </w:pPr>
    </w:p>
    <w:p w14:paraId="03E0D4F4" w14:textId="77777777" w:rsidR="001A4AC1" w:rsidRDefault="001A4AC1" w:rsidP="001A4AC1">
      <w:pPr>
        <w:spacing w:line="276" w:lineRule="auto"/>
        <w:jc w:val="center"/>
        <w:rPr>
          <w:rFonts w:ascii="Times New Roman" w:eastAsia="Times New Roman" w:hAnsi="Times New Roman" w:cs="Times New Roman"/>
          <w:b/>
          <w:sz w:val="24"/>
          <w:szCs w:val="24"/>
        </w:rPr>
      </w:pPr>
    </w:p>
    <w:p w14:paraId="63563CCD" w14:textId="77777777" w:rsidR="001A4AC1" w:rsidRPr="001A4AC1" w:rsidRDefault="001A4AC1" w:rsidP="001A4AC1">
      <w:pPr>
        <w:spacing w:line="276" w:lineRule="auto"/>
        <w:jc w:val="center"/>
        <w:rPr>
          <w:rFonts w:ascii="Times New Roman" w:eastAsia="Times New Roman" w:hAnsi="Times New Roman" w:cs="Times New Roman"/>
          <w:b/>
          <w:sz w:val="24"/>
          <w:szCs w:val="24"/>
        </w:rPr>
      </w:pPr>
      <w:r w:rsidRPr="001A4AC1">
        <w:rPr>
          <w:rFonts w:ascii="Times New Roman" w:eastAsia="Times New Roman" w:hAnsi="Times New Roman" w:cs="Times New Roman"/>
          <w:b/>
          <w:sz w:val="24"/>
          <w:szCs w:val="24"/>
        </w:rPr>
        <w:t>Statement A</w:t>
      </w:r>
    </w:p>
    <w:p w14:paraId="7E676C18" w14:textId="77777777" w:rsidR="001A4AC1" w:rsidRPr="001A4AC1" w:rsidRDefault="001A4AC1" w:rsidP="001A4AC1">
      <w:pPr>
        <w:spacing w:line="276" w:lineRule="auto"/>
        <w:rPr>
          <w:rFonts w:ascii="Times New Roman" w:eastAsia="Times New Roman" w:hAnsi="Times New Roman" w:cs="Times New Roman"/>
          <w:b/>
          <w:sz w:val="24"/>
          <w:szCs w:val="24"/>
        </w:rPr>
      </w:pPr>
    </w:p>
    <w:p w14:paraId="60AADCF0" w14:textId="77777777" w:rsidR="001A4AC1" w:rsidRPr="001A4AC1" w:rsidRDefault="001A4AC1" w:rsidP="001A4AC1">
      <w:pPr>
        <w:spacing w:line="276" w:lineRule="auto"/>
        <w:rPr>
          <w:rFonts w:ascii="Times New Roman" w:eastAsia="Times New Roman" w:hAnsi="Times New Roman" w:cs="Times New Roman"/>
          <w:b/>
          <w:sz w:val="24"/>
          <w:szCs w:val="24"/>
        </w:rPr>
      </w:pPr>
    </w:p>
    <w:p w14:paraId="15EAC5B9" w14:textId="77777777" w:rsidR="001A4AC1" w:rsidRPr="001A4AC1" w:rsidRDefault="001A4AC1" w:rsidP="001A4AC1">
      <w:pPr>
        <w:spacing w:line="276" w:lineRule="auto"/>
        <w:rPr>
          <w:rFonts w:ascii="Times New Roman" w:eastAsia="Times New Roman" w:hAnsi="Times New Roman" w:cs="Times New Roman"/>
          <w:b/>
          <w:sz w:val="24"/>
          <w:szCs w:val="24"/>
        </w:rPr>
      </w:pPr>
    </w:p>
    <w:p w14:paraId="6AAFF836" w14:textId="77777777" w:rsidR="001A4AC1" w:rsidRDefault="001A4AC1" w:rsidP="001A4AC1">
      <w:pPr>
        <w:spacing w:line="276" w:lineRule="auto"/>
        <w:rPr>
          <w:rFonts w:ascii="Times New Roman" w:eastAsia="Times New Roman" w:hAnsi="Times New Roman" w:cs="Times New Roman"/>
          <w:b/>
          <w:sz w:val="24"/>
          <w:szCs w:val="24"/>
          <w:u w:val="single"/>
        </w:rPr>
      </w:pPr>
    </w:p>
    <w:p w14:paraId="7BD21DAF" w14:textId="77777777" w:rsidR="001A4AC1" w:rsidRDefault="001A4AC1" w:rsidP="001A4AC1">
      <w:pPr>
        <w:spacing w:line="276" w:lineRule="auto"/>
        <w:rPr>
          <w:rFonts w:ascii="Times New Roman" w:eastAsia="Times New Roman" w:hAnsi="Times New Roman" w:cs="Times New Roman"/>
          <w:b/>
          <w:sz w:val="24"/>
          <w:szCs w:val="24"/>
          <w:u w:val="single"/>
        </w:rPr>
      </w:pPr>
    </w:p>
    <w:p w14:paraId="46C9BC42" w14:textId="77777777" w:rsidR="001A4AC1" w:rsidRDefault="001A4AC1" w:rsidP="001A4AC1">
      <w:pPr>
        <w:spacing w:line="276" w:lineRule="auto"/>
        <w:rPr>
          <w:rFonts w:ascii="Times New Roman" w:eastAsia="Times New Roman" w:hAnsi="Times New Roman" w:cs="Times New Roman"/>
          <w:b/>
          <w:sz w:val="24"/>
          <w:szCs w:val="24"/>
          <w:u w:val="single"/>
        </w:rPr>
      </w:pPr>
    </w:p>
    <w:p w14:paraId="44480937" w14:textId="77777777" w:rsidR="001A4AC1" w:rsidRDefault="001A4AC1" w:rsidP="001A4AC1">
      <w:pPr>
        <w:spacing w:line="276" w:lineRule="auto"/>
        <w:rPr>
          <w:rFonts w:ascii="Times New Roman" w:eastAsia="Times New Roman" w:hAnsi="Times New Roman" w:cs="Times New Roman"/>
          <w:b/>
          <w:sz w:val="24"/>
          <w:szCs w:val="24"/>
          <w:u w:val="single"/>
        </w:rPr>
      </w:pPr>
    </w:p>
    <w:p w14:paraId="1A9669A3" w14:textId="77777777" w:rsidR="001A4AC1" w:rsidRDefault="001A4AC1" w:rsidP="001A4AC1">
      <w:pPr>
        <w:spacing w:line="276" w:lineRule="auto"/>
        <w:rPr>
          <w:rFonts w:ascii="Times New Roman" w:eastAsia="Times New Roman" w:hAnsi="Times New Roman" w:cs="Times New Roman"/>
          <w:b/>
          <w:sz w:val="24"/>
          <w:szCs w:val="24"/>
          <w:u w:val="single"/>
        </w:rPr>
      </w:pPr>
    </w:p>
    <w:p w14:paraId="175F3FD9" w14:textId="77777777" w:rsidR="001A4AC1" w:rsidRDefault="001A4AC1" w:rsidP="001A4AC1">
      <w:pPr>
        <w:spacing w:line="276" w:lineRule="auto"/>
        <w:rPr>
          <w:rFonts w:ascii="Times New Roman" w:eastAsia="Times New Roman" w:hAnsi="Times New Roman" w:cs="Times New Roman"/>
          <w:b/>
          <w:sz w:val="24"/>
          <w:szCs w:val="24"/>
          <w:u w:val="single"/>
        </w:rPr>
      </w:pPr>
    </w:p>
    <w:p w14:paraId="3C213310" w14:textId="77777777" w:rsidR="001A4AC1" w:rsidRDefault="001A4AC1" w:rsidP="001A4AC1">
      <w:pPr>
        <w:spacing w:line="276" w:lineRule="auto"/>
        <w:rPr>
          <w:rFonts w:ascii="Times New Roman" w:eastAsia="Times New Roman" w:hAnsi="Times New Roman" w:cs="Times New Roman"/>
          <w:b/>
          <w:sz w:val="24"/>
          <w:szCs w:val="24"/>
          <w:u w:val="single"/>
        </w:rPr>
      </w:pPr>
    </w:p>
    <w:p w14:paraId="60B0AE60" w14:textId="77777777" w:rsidR="001A4AC1" w:rsidRDefault="001A4AC1" w:rsidP="001A4AC1">
      <w:pPr>
        <w:spacing w:line="276" w:lineRule="auto"/>
        <w:rPr>
          <w:rFonts w:ascii="Times New Roman" w:eastAsia="Times New Roman" w:hAnsi="Times New Roman" w:cs="Times New Roman"/>
          <w:b/>
          <w:sz w:val="24"/>
          <w:szCs w:val="24"/>
          <w:u w:val="single"/>
        </w:rPr>
      </w:pPr>
    </w:p>
    <w:p w14:paraId="751E703D" w14:textId="77777777" w:rsidR="001A4AC1" w:rsidRDefault="001A4AC1" w:rsidP="001A4AC1">
      <w:pPr>
        <w:spacing w:line="276" w:lineRule="auto"/>
        <w:rPr>
          <w:rFonts w:ascii="Times New Roman" w:eastAsia="Times New Roman" w:hAnsi="Times New Roman" w:cs="Times New Roman"/>
          <w:b/>
          <w:sz w:val="24"/>
          <w:szCs w:val="24"/>
          <w:u w:val="single"/>
        </w:rPr>
      </w:pPr>
    </w:p>
    <w:p w14:paraId="2BC4CC6C" w14:textId="77777777" w:rsidR="001A4AC1" w:rsidRPr="001A4AC1" w:rsidRDefault="001A4AC1" w:rsidP="001A4AC1">
      <w:pPr>
        <w:spacing w:line="276" w:lineRule="auto"/>
        <w:rPr>
          <w:rFonts w:ascii="Times New Roman" w:eastAsia="Times New Roman" w:hAnsi="Times New Roman" w:cs="Times New Roman"/>
          <w:sz w:val="24"/>
          <w:szCs w:val="24"/>
        </w:rPr>
      </w:pPr>
      <w:r w:rsidRPr="001A4AC1">
        <w:rPr>
          <w:rFonts w:ascii="Times New Roman" w:eastAsia="Times New Roman" w:hAnsi="Times New Roman" w:cs="Times New Roman"/>
          <w:b/>
          <w:sz w:val="24"/>
          <w:szCs w:val="24"/>
          <w:u w:val="single"/>
        </w:rPr>
        <w:t>Program Official/Project Officer</w:t>
      </w:r>
      <w:r w:rsidRPr="001A4AC1">
        <w:rPr>
          <w:rFonts w:ascii="Times New Roman" w:eastAsia="Times New Roman" w:hAnsi="Times New Roman" w:cs="Times New Roman"/>
          <w:sz w:val="24"/>
          <w:szCs w:val="24"/>
        </w:rPr>
        <w:tab/>
      </w:r>
    </w:p>
    <w:p w14:paraId="37E3133E" w14:textId="77777777" w:rsidR="001A4AC1" w:rsidRPr="001A4AC1" w:rsidRDefault="001A4AC1" w:rsidP="001A4AC1">
      <w:pPr>
        <w:rPr>
          <w:rFonts w:ascii="Times New Roman" w:eastAsia="Times New Roman" w:hAnsi="Times New Roman" w:cs="Times New Roman"/>
          <w:bCs/>
          <w:sz w:val="24"/>
          <w:szCs w:val="24"/>
        </w:rPr>
      </w:pPr>
      <w:r w:rsidRPr="001A4AC1">
        <w:rPr>
          <w:rFonts w:ascii="Times New Roman" w:eastAsia="Times New Roman" w:hAnsi="Times New Roman" w:cs="Times New Roman"/>
          <w:bCs/>
          <w:sz w:val="24"/>
          <w:szCs w:val="24"/>
        </w:rPr>
        <w:t>Amy McMillen</w:t>
      </w:r>
    </w:p>
    <w:p w14:paraId="1D65FA5B"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OMB Specialist</w:t>
      </w:r>
    </w:p>
    <w:p w14:paraId="6C423DD0"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Office of the Director</w:t>
      </w:r>
    </w:p>
    <w:p w14:paraId="444A3CB7"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National Center for Emerging and Zoonotic Infectious Diseases</w:t>
      </w:r>
    </w:p>
    <w:p w14:paraId="6F07FE89"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1600 Clifton Road, NE, MS C12</w:t>
      </w:r>
    </w:p>
    <w:p w14:paraId="20BCC79B"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Atlanta, Georgia 30333</w:t>
      </w:r>
    </w:p>
    <w:p w14:paraId="05424646"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Phone: 404-639-1045</w:t>
      </w:r>
    </w:p>
    <w:p w14:paraId="5A8EB169"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Fax Number: 404-639-7090</w:t>
      </w:r>
    </w:p>
    <w:p w14:paraId="2F38FC03" w14:textId="77777777" w:rsidR="001A4AC1" w:rsidRPr="001A4AC1" w:rsidRDefault="001A4AC1" w:rsidP="001A4AC1">
      <w:pPr>
        <w:rPr>
          <w:rFonts w:ascii="Times New Roman" w:eastAsia="Times New Roman" w:hAnsi="Times New Roman" w:cs="Times New Roman"/>
          <w:sz w:val="24"/>
          <w:szCs w:val="24"/>
        </w:rPr>
      </w:pPr>
      <w:r w:rsidRPr="001A4AC1">
        <w:rPr>
          <w:rFonts w:ascii="Times New Roman" w:eastAsia="Times New Roman" w:hAnsi="Times New Roman" w:cs="Times New Roman"/>
          <w:sz w:val="24"/>
          <w:szCs w:val="24"/>
        </w:rPr>
        <w:t xml:space="preserve">Email: </w:t>
      </w:r>
      <w:hyperlink r:id="rId8" w:history="1">
        <w:r w:rsidRPr="001A4AC1">
          <w:rPr>
            <w:rFonts w:ascii="Times New Roman" w:eastAsia="Times New Roman" w:hAnsi="Times New Roman" w:cs="Times New Roman"/>
            <w:color w:val="0000FF"/>
            <w:sz w:val="24"/>
            <w:szCs w:val="24"/>
            <w:u w:val="single"/>
            <w:bdr w:val="none" w:sz="0" w:space="0" w:color="auto" w:frame="1"/>
          </w:rPr>
          <w:t>AUH1@cdc.gov</w:t>
        </w:r>
      </w:hyperlink>
    </w:p>
    <w:p w14:paraId="3828C406" w14:textId="77777777" w:rsidR="003B0FED" w:rsidRDefault="003B0FED" w:rsidP="001A4AC1">
      <w:pPr>
        <w:spacing w:line="276" w:lineRule="auto"/>
        <w:rPr>
          <w:rFonts w:ascii="Times New Roman" w:eastAsia="Times New Roman" w:hAnsi="Times New Roman" w:cs="Times New Roman"/>
          <w:sz w:val="24"/>
          <w:szCs w:val="24"/>
        </w:rPr>
        <w:sectPr w:rsidR="003B0FED" w:rsidSect="009D253D">
          <w:footerReference w:type="default" r:id="rId9"/>
          <w:pgSz w:w="12240" w:h="15840"/>
          <w:pgMar w:top="1080" w:right="1080" w:bottom="1080" w:left="1080" w:header="720" w:footer="720" w:gutter="0"/>
          <w:pgNumType w:start="1"/>
          <w:cols w:space="720"/>
          <w:docGrid w:linePitch="360"/>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EndPr/>
      <w:sdtContent>
        <w:p w14:paraId="62CAFA13" w14:textId="77777777" w:rsidR="000A4D46" w:rsidRPr="009E4483" w:rsidRDefault="000A4D46" w:rsidP="000A4D46">
          <w:pPr>
            <w:pStyle w:val="TOCHeading"/>
            <w:rPr>
              <w:rFonts w:ascii="Times New Roman" w:eastAsia="Times New Roman" w:hAnsi="Times New Roman" w:cs="Times New Roman"/>
              <w:bCs w:val="0"/>
              <w:color w:val="auto"/>
              <w:sz w:val="24"/>
              <w:szCs w:val="24"/>
            </w:rPr>
          </w:pPr>
          <w:r>
            <w:rPr>
              <w:rFonts w:ascii="Times New Roman" w:eastAsia="Times New Roman" w:hAnsi="Times New Roman" w:cs="Times New Roman"/>
              <w:bCs w:val="0"/>
              <w:color w:val="auto"/>
              <w:sz w:val="24"/>
              <w:szCs w:val="24"/>
            </w:rPr>
            <w:t>TABLE OF CONTENTS</w:t>
          </w:r>
        </w:p>
        <w:p w14:paraId="1FE887AA" w14:textId="77777777" w:rsidR="000A4D46" w:rsidRDefault="000A4D46" w:rsidP="000A4D4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99967992" w:history="1">
            <w:r w:rsidRPr="001D77ED">
              <w:rPr>
                <w:rStyle w:val="Hyperlink"/>
                <w:b/>
                <w:noProof/>
              </w:rPr>
              <w:t>PART A. JUSTIFICATION</w:t>
            </w:r>
            <w:r>
              <w:rPr>
                <w:noProof/>
                <w:webHidden/>
              </w:rPr>
              <w:tab/>
            </w:r>
          </w:hyperlink>
          <w:r>
            <w:rPr>
              <w:noProof/>
            </w:rPr>
            <w:t>2</w:t>
          </w:r>
        </w:p>
        <w:p w14:paraId="36A959A7" w14:textId="77777777" w:rsidR="000A4D46" w:rsidRPr="001D77ED" w:rsidRDefault="000A4D46" w:rsidP="000A4D46">
          <w:pPr>
            <w:pStyle w:val="TOC1"/>
            <w:rPr>
              <w:rFonts w:asciiTheme="minorHAnsi" w:eastAsiaTheme="minorEastAsia" w:hAnsiTheme="minorHAnsi" w:cstheme="minorBidi"/>
              <w:noProof/>
              <w:sz w:val="22"/>
              <w:szCs w:val="22"/>
            </w:rPr>
          </w:pPr>
          <w:r>
            <w:rPr>
              <w:noProof/>
            </w:rPr>
            <w:tab/>
          </w:r>
          <w:hyperlink w:anchor="_Toc299967993" w:history="1">
            <w:r w:rsidRPr="001D77ED">
              <w:rPr>
                <w:rStyle w:val="Hyperlink"/>
                <w:noProof/>
              </w:rPr>
              <w:t>1. Circumstances Making the Collection of Information Necessary</w:t>
            </w:r>
            <w:r w:rsidRPr="001D77ED">
              <w:rPr>
                <w:noProof/>
                <w:webHidden/>
              </w:rPr>
              <w:tab/>
            </w:r>
          </w:hyperlink>
          <w:r>
            <w:rPr>
              <w:noProof/>
            </w:rPr>
            <w:t>2</w:t>
          </w:r>
        </w:p>
        <w:p w14:paraId="19E12DCB"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7994" w:history="1">
            <w:r w:rsidRPr="001D77ED">
              <w:rPr>
                <w:rStyle w:val="Hyperlink"/>
                <w:bCs/>
                <w:iCs/>
                <w:noProof/>
              </w:rPr>
              <w:t>2. Purpose and Use of Information Collection</w:t>
            </w:r>
            <w:r w:rsidRPr="001D77ED">
              <w:rPr>
                <w:noProof/>
                <w:webHidden/>
              </w:rPr>
              <w:tab/>
            </w:r>
          </w:hyperlink>
          <w:r>
            <w:rPr>
              <w:noProof/>
            </w:rPr>
            <w:t>3</w:t>
          </w:r>
        </w:p>
        <w:p w14:paraId="6EA67B37"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7995" w:history="1">
            <w:r w:rsidRPr="001D77ED">
              <w:rPr>
                <w:rStyle w:val="Hyperlink"/>
                <w:bCs/>
                <w:iCs/>
                <w:noProof/>
              </w:rPr>
              <w:t>3. Use of Improved Information Technology and Burden Reduction</w:t>
            </w:r>
            <w:r w:rsidRPr="001D77ED">
              <w:rPr>
                <w:noProof/>
                <w:webHidden/>
              </w:rPr>
              <w:tab/>
            </w:r>
          </w:hyperlink>
          <w:r>
            <w:rPr>
              <w:noProof/>
            </w:rPr>
            <w:t>5</w:t>
          </w:r>
        </w:p>
        <w:p w14:paraId="03D1EF36"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7996" w:history="1">
            <w:r w:rsidRPr="001D77ED">
              <w:rPr>
                <w:rStyle w:val="Hyperlink"/>
                <w:bCs/>
                <w:iCs/>
                <w:noProof/>
              </w:rPr>
              <w:t>4. Efforts to Identify Duplication and Use of Similar Information</w:t>
            </w:r>
            <w:r w:rsidRPr="001D77ED">
              <w:rPr>
                <w:noProof/>
                <w:webHidden/>
              </w:rPr>
              <w:tab/>
            </w:r>
          </w:hyperlink>
          <w:r>
            <w:rPr>
              <w:noProof/>
            </w:rPr>
            <w:t>5</w:t>
          </w:r>
        </w:p>
        <w:p w14:paraId="27D29268"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7997" w:history="1">
            <w:r w:rsidRPr="001D77ED">
              <w:rPr>
                <w:rStyle w:val="Hyperlink"/>
                <w:bCs/>
                <w:iCs/>
                <w:noProof/>
              </w:rPr>
              <w:t>5. Impact on Small Businesses or Other Small Entities</w:t>
            </w:r>
            <w:r w:rsidRPr="001D77ED">
              <w:rPr>
                <w:noProof/>
                <w:webHidden/>
              </w:rPr>
              <w:tab/>
            </w:r>
          </w:hyperlink>
          <w:r>
            <w:rPr>
              <w:noProof/>
            </w:rPr>
            <w:t>5</w:t>
          </w:r>
        </w:p>
        <w:p w14:paraId="54476491"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7998" w:history="1">
            <w:r w:rsidRPr="001D77ED">
              <w:rPr>
                <w:rStyle w:val="Hyperlink"/>
                <w:bCs/>
                <w:iCs/>
                <w:noProof/>
              </w:rPr>
              <w:t>6. Consequences of Collecting the Information Less Frequently</w:t>
            </w:r>
            <w:r w:rsidRPr="001D77ED">
              <w:rPr>
                <w:noProof/>
                <w:webHidden/>
              </w:rPr>
              <w:tab/>
            </w:r>
          </w:hyperlink>
          <w:r>
            <w:rPr>
              <w:noProof/>
            </w:rPr>
            <w:t>5</w:t>
          </w:r>
        </w:p>
        <w:p w14:paraId="51E9DEC6"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7999" w:history="1">
            <w:r w:rsidRPr="001D77ED">
              <w:rPr>
                <w:rStyle w:val="Hyperlink"/>
                <w:bCs/>
                <w:iCs/>
                <w:noProof/>
              </w:rPr>
              <w:t>7. Special Circumstances Relating to the Guidelines of 5 CFR 1320.5</w:t>
            </w:r>
            <w:r w:rsidRPr="001D77ED">
              <w:rPr>
                <w:noProof/>
                <w:webHidden/>
              </w:rPr>
              <w:tab/>
            </w:r>
          </w:hyperlink>
          <w:r>
            <w:rPr>
              <w:noProof/>
            </w:rPr>
            <w:t>6</w:t>
          </w:r>
        </w:p>
        <w:p w14:paraId="14143271"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00" w:history="1">
            <w:r w:rsidRPr="001D77ED">
              <w:rPr>
                <w:rStyle w:val="Hyperlink"/>
                <w:bCs/>
                <w:iCs/>
                <w:noProof/>
              </w:rPr>
              <w:t xml:space="preserve">8. Comments in Response to the Federal Register Notice and Efforts to Consult Outside </w:t>
            </w:r>
            <w:r>
              <w:rPr>
                <w:rStyle w:val="Hyperlink"/>
                <w:bCs/>
                <w:iCs/>
                <w:noProof/>
              </w:rPr>
              <w:t xml:space="preserve">                                                                   </w:t>
            </w:r>
            <w:r w:rsidRPr="001D77ED">
              <w:rPr>
                <w:rStyle w:val="Hyperlink"/>
                <w:bCs/>
                <w:iCs/>
                <w:noProof/>
              </w:rPr>
              <w:t>the Agency</w:t>
            </w:r>
            <w:r w:rsidRPr="001D77ED">
              <w:rPr>
                <w:noProof/>
                <w:webHidden/>
              </w:rPr>
              <w:tab/>
            </w:r>
          </w:hyperlink>
          <w:r>
            <w:rPr>
              <w:noProof/>
            </w:rPr>
            <w:t>6</w:t>
          </w:r>
        </w:p>
        <w:p w14:paraId="65DFCABA"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01" w:history="1">
            <w:r w:rsidRPr="001D77ED">
              <w:rPr>
                <w:rStyle w:val="Hyperlink"/>
                <w:bCs/>
                <w:iCs/>
                <w:noProof/>
              </w:rPr>
              <w:t>9. Explanation of Any Payment or Gift to Respondents</w:t>
            </w:r>
            <w:r w:rsidRPr="001D77ED">
              <w:rPr>
                <w:noProof/>
                <w:webHidden/>
              </w:rPr>
              <w:tab/>
            </w:r>
          </w:hyperlink>
          <w:r>
            <w:rPr>
              <w:noProof/>
            </w:rPr>
            <w:t>7</w:t>
          </w:r>
        </w:p>
        <w:p w14:paraId="55712BD1"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02" w:history="1">
            <w:r w:rsidRPr="001D77ED">
              <w:rPr>
                <w:rStyle w:val="Hyperlink"/>
                <w:bCs/>
                <w:iCs/>
                <w:noProof/>
              </w:rPr>
              <w:t>10. Assurance of Confidentiality Provided to Respondents</w:t>
            </w:r>
            <w:r w:rsidRPr="001D77ED">
              <w:rPr>
                <w:noProof/>
                <w:webHidden/>
              </w:rPr>
              <w:tab/>
            </w:r>
          </w:hyperlink>
          <w:r>
            <w:rPr>
              <w:noProof/>
            </w:rPr>
            <w:t>8</w:t>
          </w:r>
        </w:p>
        <w:p w14:paraId="71AAE07E"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03" w:history="1">
            <w:r w:rsidRPr="001D77ED">
              <w:rPr>
                <w:rStyle w:val="Hyperlink"/>
                <w:noProof/>
              </w:rPr>
              <w:t>11. Justification for Sensitive Questions</w:t>
            </w:r>
            <w:r w:rsidRPr="001D77ED">
              <w:rPr>
                <w:noProof/>
                <w:webHidden/>
              </w:rPr>
              <w:tab/>
            </w:r>
          </w:hyperlink>
          <w:r>
            <w:rPr>
              <w:noProof/>
            </w:rPr>
            <w:t>10</w:t>
          </w:r>
        </w:p>
        <w:p w14:paraId="43732D5F"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04" w:history="1">
            <w:r w:rsidRPr="001D77ED">
              <w:rPr>
                <w:rStyle w:val="Hyperlink"/>
                <w:bCs/>
                <w:iCs/>
                <w:noProof/>
              </w:rPr>
              <w:t>12. Estimates of Annualized Burden Hours and Costs</w:t>
            </w:r>
            <w:r w:rsidRPr="001D77ED">
              <w:rPr>
                <w:noProof/>
                <w:webHidden/>
              </w:rPr>
              <w:tab/>
            </w:r>
          </w:hyperlink>
          <w:r>
            <w:rPr>
              <w:noProof/>
            </w:rPr>
            <w:t>10</w:t>
          </w:r>
        </w:p>
        <w:p w14:paraId="34A0690F" w14:textId="77777777" w:rsidR="000A4D46" w:rsidRPr="001D77ED" w:rsidRDefault="000A4D46" w:rsidP="000A4D46">
          <w:pPr>
            <w:pStyle w:val="TOC1"/>
            <w:rPr>
              <w:rFonts w:asciiTheme="minorHAnsi" w:eastAsiaTheme="minorEastAsia" w:hAnsiTheme="minorHAnsi" w:cstheme="minorBidi"/>
              <w:noProof/>
              <w:sz w:val="22"/>
              <w:szCs w:val="22"/>
            </w:rPr>
          </w:pPr>
          <w:r>
            <w:rPr>
              <w:noProof/>
            </w:rPr>
            <w:tab/>
          </w:r>
          <w:hyperlink w:anchor="_Toc299968007" w:history="1">
            <w:r w:rsidRPr="001D77ED">
              <w:rPr>
                <w:rStyle w:val="Hyperlink"/>
                <w:bCs/>
                <w:iCs/>
                <w:noProof/>
              </w:rPr>
              <w:t>13. Estimates of Other Total Annual Cost Burden to Respondents or Record Keepers</w:t>
            </w:r>
            <w:r w:rsidRPr="001D77ED">
              <w:rPr>
                <w:noProof/>
                <w:webHidden/>
              </w:rPr>
              <w:tab/>
            </w:r>
          </w:hyperlink>
          <w:r>
            <w:rPr>
              <w:noProof/>
            </w:rPr>
            <w:t>12</w:t>
          </w:r>
        </w:p>
        <w:p w14:paraId="08EB2C3C"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08" w:history="1">
            <w:r w:rsidRPr="001D77ED">
              <w:rPr>
                <w:rStyle w:val="Hyperlink"/>
                <w:bCs/>
                <w:iCs/>
                <w:noProof/>
              </w:rPr>
              <w:t>14. Annualized Cost to the Government</w:t>
            </w:r>
            <w:r w:rsidRPr="001D77ED">
              <w:rPr>
                <w:noProof/>
                <w:webHidden/>
              </w:rPr>
              <w:tab/>
            </w:r>
          </w:hyperlink>
          <w:r>
            <w:rPr>
              <w:noProof/>
            </w:rPr>
            <w:t>13</w:t>
          </w:r>
        </w:p>
        <w:p w14:paraId="410CADB9"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lastRenderedPageBreak/>
            <w:tab/>
          </w:r>
          <w:hyperlink w:anchor="_Toc299968010" w:history="1">
            <w:r w:rsidRPr="001D77ED">
              <w:rPr>
                <w:rStyle w:val="Hyperlink"/>
                <w:bCs/>
                <w:iCs/>
                <w:noProof/>
              </w:rPr>
              <w:t>15. Explanation for Program Changes or Adjustments</w:t>
            </w:r>
            <w:r w:rsidRPr="001D77ED">
              <w:rPr>
                <w:noProof/>
                <w:webHidden/>
              </w:rPr>
              <w:tab/>
            </w:r>
          </w:hyperlink>
          <w:r>
            <w:rPr>
              <w:noProof/>
            </w:rPr>
            <w:t>13</w:t>
          </w:r>
        </w:p>
        <w:p w14:paraId="1E716754"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11" w:history="1">
            <w:r w:rsidRPr="001D77ED">
              <w:rPr>
                <w:rStyle w:val="Hyperlink"/>
                <w:bCs/>
                <w:iCs/>
                <w:noProof/>
              </w:rPr>
              <w:t>16. Plans for Tabulation and Publication and Project Time Schedule</w:t>
            </w:r>
            <w:r w:rsidRPr="001D77ED">
              <w:rPr>
                <w:noProof/>
                <w:webHidden/>
              </w:rPr>
              <w:tab/>
            </w:r>
          </w:hyperlink>
          <w:r>
            <w:rPr>
              <w:noProof/>
            </w:rPr>
            <w:t>13</w:t>
          </w:r>
        </w:p>
        <w:p w14:paraId="7F95C22D"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12" w:history="1">
            <w:r w:rsidRPr="001D77ED">
              <w:rPr>
                <w:rStyle w:val="Hyperlink"/>
                <w:bCs/>
                <w:iCs/>
                <w:noProof/>
              </w:rPr>
              <w:t>17. Reason(s) Display of OMB Expiration Date is Inappropriate</w:t>
            </w:r>
            <w:r w:rsidRPr="001D77ED">
              <w:rPr>
                <w:noProof/>
                <w:webHidden/>
              </w:rPr>
              <w:tab/>
            </w:r>
          </w:hyperlink>
          <w:r>
            <w:rPr>
              <w:noProof/>
            </w:rPr>
            <w:t>14</w:t>
          </w:r>
        </w:p>
        <w:p w14:paraId="2F472F2F" w14:textId="77777777" w:rsidR="000A4D46" w:rsidRPr="001D77ED" w:rsidRDefault="000A4D46" w:rsidP="000A4D46">
          <w:pPr>
            <w:pStyle w:val="TOC1"/>
            <w:rPr>
              <w:rFonts w:asciiTheme="minorHAnsi" w:eastAsiaTheme="minorEastAsia" w:hAnsiTheme="minorHAnsi" w:cstheme="minorBidi"/>
              <w:noProof/>
              <w:sz w:val="22"/>
              <w:szCs w:val="22"/>
            </w:rPr>
          </w:pPr>
          <w:r w:rsidRPr="001D77ED">
            <w:rPr>
              <w:noProof/>
            </w:rPr>
            <w:tab/>
          </w:r>
          <w:hyperlink w:anchor="_Toc299968013" w:history="1">
            <w:r w:rsidRPr="001D77ED">
              <w:rPr>
                <w:rStyle w:val="Hyperlink"/>
                <w:bCs/>
                <w:iCs/>
                <w:noProof/>
              </w:rPr>
              <w:t>18. Exceptions to Certification for Paperwork Reduction Act Submissions</w:t>
            </w:r>
            <w:r w:rsidRPr="001D77ED">
              <w:rPr>
                <w:noProof/>
                <w:webHidden/>
              </w:rPr>
              <w:tab/>
            </w:r>
          </w:hyperlink>
          <w:r>
            <w:rPr>
              <w:noProof/>
            </w:rPr>
            <w:t>14</w:t>
          </w:r>
        </w:p>
        <w:p w14:paraId="58E9FB35" w14:textId="77777777" w:rsidR="000A4D46" w:rsidRDefault="009635AC" w:rsidP="000A4D46">
          <w:pPr>
            <w:pStyle w:val="TOC1"/>
            <w:rPr>
              <w:rFonts w:asciiTheme="minorHAnsi" w:eastAsiaTheme="minorEastAsia" w:hAnsiTheme="minorHAnsi" w:cstheme="minorBidi"/>
              <w:noProof/>
              <w:sz w:val="22"/>
              <w:szCs w:val="22"/>
            </w:rPr>
          </w:pPr>
          <w:hyperlink w:anchor="_Toc299968014" w:history="1">
            <w:r w:rsidR="000A4D46" w:rsidRPr="001D77ED">
              <w:rPr>
                <w:rStyle w:val="Hyperlink"/>
                <w:b/>
                <w:noProof/>
              </w:rPr>
              <w:t>REFERENCES</w:t>
            </w:r>
            <w:r w:rsidR="000A4D46">
              <w:rPr>
                <w:noProof/>
                <w:webHidden/>
              </w:rPr>
              <w:tab/>
            </w:r>
          </w:hyperlink>
          <w:r w:rsidR="000A4D46">
            <w:rPr>
              <w:noProof/>
            </w:rPr>
            <w:t>15</w:t>
          </w:r>
        </w:p>
        <w:p w14:paraId="235717FE" w14:textId="77777777" w:rsidR="000A4D46" w:rsidRDefault="009635AC" w:rsidP="000A4D46">
          <w:pPr>
            <w:pStyle w:val="TOC1"/>
          </w:pPr>
          <w:hyperlink w:anchor="_Toc299968015" w:history="1">
            <w:r w:rsidR="000A4D46" w:rsidRPr="001D77ED">
              <w:rPr>
                <w:rStyle w:val="Hyperlink"/>
                <w:b/>
                <w:noProof/>
              </w:rPr>
              <w:t>ATTACHMENTS</w:t>
            </w:r>
            <w:r w:rsidR="000A4D46">
              <w:rPr>
                <w:noProof/>
                <w:webHidden/>
              </w:rPr>
              <w:tab/>
            </w:r>
          </w:hyperlink>
          <w:r w:rsidR="000A4D46">
            <w:fldChar w:fldCharType="end"/>
          </w:r>
          <w:r w:rsidR="000A4D46">
            <w:t>16</w:t>
          </w:r>
        </w:p>
      </w:sdtContent>
    </w:sdt>
    <w:p w14:paraId="3F270530" w14:textId="77777777" w:rsidR="00AB37D7" w:rsidRDefault="00AB37D7"/>
    <w:p w14:paraId="56FED4A2" w14:textId="77777777" w:rsidR="00AB37D7" w:rsidRDefault="00AB37D7"/>
    <w:p w14:paraId="09302EA9" w14:textId="77777777" w:rsidR="00AB37D7" w:rsidRDefault="00AB37D7"/>
    <w:p w14:paraId="187ABAC6" w14:textId="77777777" w:rsidR="00AB37D7" w:rsidRDefault="00AB37D7"/>
    <w:p w14:paraId="375C0C4E" w14:textId="77777777" w:rsidR="00AB37D7" w:rsidRDefault="00AB37D7"/>
    <w:p w14:paraId="6150E606" w14:textId="77777777" w:rsidR="00AB37D7" w:rsidRDefault="00AB37D7"/>
    <w:p w14:paraId="77955E46" w14:textId="77777777" w:rsidR="00AB37D7" w:rsidRDefault="00AB37D7"/>
    <w:p w14:paraId="384EAB6D" w14:textId="77777777" w:rsidR="00AB37D7" w:rsidRDefault="00AB37D7"/>
    <w:p w14:paraId="3D134226" w14:textId="77777777" w:rsidR="00AB37D7" w:rsidRDefault="00AB37D7"/>
    <w:p w14:paraId="26DD8592" w14:textId="77777777" w:rsidR="00AB37D7" w:rsidRDefault="00AB37D7"/>
    <w:p w14:paraId="1B59FCBF" w14:textId="77777777" w:rsidR="00AB37D7" w:rsidRDefault="00AB37D7"/>
    <w:p w14:paraId="6641E288" w14:textId="77777777" w:rsidR="00AB37D7" w:rsidRDefault="00AB37D7"/>
    <w:p w14:paraId="089C6FA0" w14:textId="77777777" w:rsidR="00AB37D7" w:rsidRDefault="00AB37D7"/>
    <w:p w14:paraId="7472F608" w14:textId="77777777" w:rsidR="00AB37D7" w:rsidRDefault="00AB37D7"/>
    <w:p w14:paraId="795597D9" w14:textId="77777777" w:rsidR="003B0FED" w:rsidRDefault="003B0FED" w:rsidP="003B0FED">
      <w:pPr>
        <w:spacing w:line="276" w:lineRule="auto"/>
        <w:jc w:val="center"/>
        <w:outlineLvl w:val="0"/>
        <w:rPr>
          <w:rFonts w:ascii="Times New Roman" w:eastAsia="Times New Roman" w:hAnsi="Times New Roman" w:cs="Times New Roman"/>
          <w:b/>
          <w:bCs/>
          <w:iCs/>
          <w:color w:val="000000"/>
          <w:kern w:val="36"/>
          <w:sz w:val="24"/>
          <w:szCs w:val="24"/>
        </w:rPr>
      </w:pPr>
    </w:p>
    <w:p w14:paraId="7F432E83"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F5C504C"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2381656D" w14:textId="4E6F405F"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r w:rsidRPr="00B448F5">
        <w:rPr>
          <w:rFonts w:ascii="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1D0559CD" wp14:editId="293EAC91">
                <wp:simplePos x="0" y="0"/>
                <wp:positionH relativeFrom="column">
                  <wp:posOffset>219075</wp:posOffset>
                </wp:positionH>
                <wp:positionV relativeFrom="paragraph">
                  <wp:posOffset>20955</wp:posOffset>
                </wp:positionV>
                <wp:extent cx="6162675" cy="2152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152650"/>
                        </a:xfrm>
                        <a:prstGeom prst="rect">
                          <a:avLst/>
                        </a:prstGeom>
                        <a:solidFill>
                          <a:srgbClr val="FFFFFF"/>
                        </a:solidFill>
                        <a:ln w="9525">
                          <a:solidFill>
                            <a:srgbClr val="000000"/>
                          </a:solidFill>
                          <a:miter lim="800000"/>
                          <a:headEnd/>
                          <a:tailEnd/>
                        </a:ln>
                      </wps:spPr>
                      <wps:txbx>
                        <w:txbxContent>
                          <w:p w14:paraId="2B1A586F" w14:textId="77777777" w:rsidR="000A4D46" w:rsidRDefault="000A4D46" w:rsidP="00195F37">
                            <w:pPr>
                              <w:pStyle w:val="ListParagraph"/>
                              <w:numPr>
                                <w:ilvl w:val="0"/>
                                <w:numId w:val="21"/>
                              </w:numPr>
                            </w:pPr>
                            <w:r>
                              <w:t xml:space="preserve">The goal of this project is to describe Mexican-born border residents’ knowledge, attitudes, and practices about chikungunya and dengue, and evaluate existing educational materials in Spanish for cultural and linguistic appropriateness. </w:t>
                            </w:r>
                          </w:p>
                          <w:p w14:paraId="2CBF7032" w14:textId="77777777" w:rsidR="000A4D46" w:rsidRDefault="000A4D46" w:rsidP="00195F37">
                            <w:pPr>
                              <w:pStyle w:val="ListParagraph"/>
                              <w:numPr>
                                <w:ilvl w:val="0"/>
                                <w:numId w:val="21"/>
                              </w:numPr>
                            </w:pPr>
                            <w:r>
                              <w:t xml:space="preserve">The results will be used to improve the cultural and linguistic appropriateness of CDC’s chikungunya and dengue materials for border residents. </w:t>
                            </w:r>
                          </w:p>
                          <w:p w14:paraId="473FE7C9" w14:textId="77777777" w:rsidR="000A4D46" w:rsidRDefault="000A4D46" w:rsidP="00195F37">
                            <w:pPr>
                              <w:pStyle w:val="ListParagraph"/>
                              <w:numPr>
                                <w:ilvl w:val="0"/>
                                <w:numId w:val="21"/>
                              </w:numPr>
                            </w:pPr>
                            <w:r>
                              <w:t xml:space="preserve">Up to 10 focus groups will be conducted with members of the population of interest. </w:t>
                            </w:r>
                          </w:p>
                          <w:p w14:paraId="79ABD7A4" w14:textId="77777777" w:rsidR="000A4D46" w:rsidRDefault="000A4D46" w:rsidP="00195F37">
                            <w:pPr>
                              <w:pStyle w:val="ListParagraph"/>
                              <w:numPr>
                                <w:ilvl w:val="0"/>
                                <w:numId w:val="21"/>
                              </w:numPr>
                            </w:pPr>
                            <w:r>
                              <w:t xml:space="preserve">The population of interest is adult Mexican-born U.S.-Mexico border residents. </w:t>
                            </w:r>
                          </w:p>
                          <w:p w14:paraId="38A7FCDC" w14:textId="36157BB5" w:rsidR="000A4D46" w:rsidRDefault="000A4D46" w:rsidP="001B64B1">
                            <w:pPr>
                              <w:pStyle w:val="ListParagraph"/>
                              <w:numPr>
                                <w:ilvl w:val="0"/>
                                <w:numId w:val="21"/>
                              </w:numPr>
                            </w:pPr>
                            <w:r>
                              <w:t xml:space="preserve">Data will be analyzed using qualitative thematic analysis using software such as </w:t>
                            </w:r>
                            <w:r w:rsidRPr="00EF0D80">
                              <w:t>NVivo, AtlasTI, or MAXQDA</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559CD" id="_x0000_t202" coordsize="21600,21600" o:spt="202" path="m,l,21600r21600,l21600,xe">
                <v:stroke joinstyle="miter"/>
                <v:path gradientshapeok="t" o:connecttype="rect"/>
              </v:shapetype>
              <v:shape id="Text Box 2" o:spid="_x0000_s1026" type="#_x0000_t202" style="position:absolute;margin-left:17.25pt;margin-top:1.65pt;width:485.25pt;height:16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">
                <v:textbox>
                  <w:txbxContent>
                    <w:p w14:paraId="2B1A586F" w14:textId="77777777" w:rsidR="000A4D46" w:rsidRDefault="000A4D46" w:rsidP="00195F37">
                      <w:pPr>
                        <w:pStyle w:val="ListParagraph"/>
                        <w:numPr>
                          <w:ilvl w:val="0"/>
                          <w:numId w:val="21"/>
                        </w:numPr>
                      </w:pPr>
                      <w:r>
                        <w:t xml:space="preserve">The goal of this project is to describe Mexican-born border residents’ knowledge, attitudes, and practices about </w:t>
                      </w:r>
                      <w:proofErr w:type="spellStart"/>
                      <w:r>
                        <w:t>chikungunya</w:t>
                      </w:r>
                      <w:proofErr w:type="spellEnd"/>
                      <w:r>
                        <w:t xml:space="preserve"> and dengue, and evaluate existing educational materials in Spanish for cultural and linguistic appropriateness. </w:t>
                      </w:r>
                    </w:p>
                    <w:p w14:paraId="2CBF7032" w14:textId="77777777" w:rsidR="000A4D46" w:rsidRDefault="000A4D46" w:rsidP="00195F37">
                      <w:pPr>
                        <w:pStyle w:val="ListParagraph"/>
                        <w:numPr>
                          <w:ilvl w:val="0"/>
                          <w:numId w:val="21"/>
                        </w:numPr>
                      </w:pPr>
                      <w:r>
                        <w:t xml:space="preserve">The results will be used to improve the cultural and linguistic appropriateness of CDC’s </w:t>
                      </w:r>
                      <w:proofErr w:type="spellStart"/>
                      <w:r>
                        <w:t>chikungunya</w:t>
                      </w:r>
                      <w:proofErr w:type="spellEnd"/>
                      <w:r>
                        <w:t xml:space="preserve"> and dengue materials for border residents. </w:t>
                      </w:r>
                    </w:p>
                    <w:p w14:paraId="473FE7C9" w14:textId="77777777" w:rsidR="000A4D46" w:rsidRDefault="000A4D46" w:rsidP="00195F37">
                      <w:pPr>
                        <w:pStyle w:val="ListParagraph"/>
                        <w:numPr>
                          <w:ilvl w:val="0"/>
                          <w:numId w:val="21"/>
                        </w:numPr>
                      </w:pPr>
                      <w:r>
                        <w:t xml:space="preserve">Up to 10 focus groups will be conducted with members of the population of interest. </w:t>
                      </w:r>
                    </w:p>
                    <w:p w14:paraId="79ABD7A4" w14:textId="77777777" w:rsidR="000A4D46" w:rsidRDefault="000A4D46" w:rsidP="00195F37">
                      <w:pPr>
                        <w:pStyle w:val="ListParagraph"/>
                        <w:numPr>
                          <w:ilvl w:val="0"/>
                          <w:numId w:val="21"/>
                        </w:numPr>
                      </w:pPr>
                      <w:r>
                        <w:t xml:space="preserve">The population of interest is adult Mexican-born U.S.-Mexico border residents. </w:t>
                      </w:r>
                    </w:p>
                    <w:p w14:paraId="38A7FCDC" w14:textId="36157BB5" w:rsidR="000A4D46" w:rsidRDefault="000A4D46" w:rsidP="001B64B1">
                      <w:pPr>
                        <w:pStyle w:val="ListParagraph"/>
                        <w:numPr>
                          <w:ilvl w:val="0"/>
                          <w:numId w:val="21"/>
                        </w:numPr>
                      </w:pPr>
                      <w:r>
                        <w:t xml:space="preserve">Data will be analyzed using qualitative thematic analysis using software such as </w:t>
                      </w:r>
                      <w:proofErr w:type="spellStart"/>
                      <w:r w:rsidRPr="00EF0D80">
                        <w:t>NVivo</w:t>
                      </w:r>
                      <w:proofErr w:type="spellEnd"/>
                      <w:r w:rsidRPr="00EF0D80">
                        <w:t xml:space="preserve">, </w:t>
                      </w:r>
                      <w:proofErr w:type="spellStart"/>
                      <w:r w:rsidRPr="00EF0D80">
                        <w:t>AtlasTI</w:t>
                      </w:r>
                      <w:proofErr w:type="spellEnd"/>
                      <w:r w:rsidRPr="00EF0D80">
                        <w:t>, or MAXQDA</w:t>
                      </w:r>
                      <w:r>
                        <w:t>.</w:t>
                      </w:r>
                    </w:p>
                  </w:txbxContent>
                </v:textbox>
              </v:shape>
            </w:pict>
          </mc:Fallback>
        </mc:AlternateContent>
      </w:r>
    </w:p>
    <w:p w14:paraId="361CDD11"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C59A02F"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6562D7BB"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BFB04AA"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EA2A4C3"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10979706"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22896DEA"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0D4A6E59"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B77F29E"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3A390A2"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74F06CCB"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468A8EB3" w14:textId="77777777" w:rsidR="00382D81" w:rsidRDefault="00382D81" w:rsidP="004C3B5E">
      <w:pPr>
        <w:spacing w:line="276" w:lineRule="auto"/>
        <w:outlineLvl w:val="0"/>
        <w:rPr>
          <w:rFonts w:ascii="Times New Roman" w:eastAsia="Times New Roman" w:hAnsi="Times New Roman" w:cs="Times New Roman"/>
          <w:b/>
          <w:bCs/>
          <w:iCs/>
          <w:color w:val="000000"/>
          <w:kern w:val="36"/>
          <w:sz w:val="24"/>
          <w:szCs w:val="24"/>
        </w:rPr>
      </w:pPr>
    </w:p>
    <w:p w14:paraId="63AF6547" w14:textId="77777777" w:rsidR="00AB37D7" w:rsidRDefault="00AB37D7" w:rsidP="004C3B5E">
      <w:pPr>
        <w:spacing w:line="276" w:lineRule="auto"/>
        <w:outlineLvl w:val="0"/>
        <w:rPr>
          <w:rFonts w:ascii="Times New Roman" w:eastAsia="Times New Roman" w:hAnsi="Times New Roman" w:cs="Times New Roman"/>
          <w:b/>
          <w:bCs/>
          <w:iCs/>
          <w:color w:val="000000"/>
          <w:kern w:val="36"/>
          <w:sz w:val="24"/>
          <w:szCs w:val="24"/>
        </w:rPr>
      </w:pPr>
      <w:r w:rsidRPr="00AB37D7">
        <w:rPr>
          <w:rFonts w:ascii="Times New Roman" w:eastAsia="Times New Roman" w:hAnsi="Times New Roman" w:cs="Times New Roman"/>
          <w:b/>
          <w:bCs/>
          <w:iCs/>
          <w:color w:val="000000"/>
          <w:kern w:val="36"/>
          <w:sz w:val="24"/>
          <w:szCs w:val="24"/>
        </w:rPr>
        <w:t>Part A. Justification</w:t>
      </w:r>
    </w:p>
    <w:p w14:paraId="5ACD41F6" w14:textId="77777777" w:rsidR="004C3B5E" w:rsidRPr="00AB37D7" w:rsidRDefault="004C3B5E" w:rsidP="004C3B5E">
      <w:pPr>
        <w:spacing w:line="276" w:lineRule="auto"/>
        <w:outlineLvl w:val="0"/>
        <w:rPr>
          <w:rFonts w:ascii="Times New Roman" w:eastAsia="Times New Roman" w:hAnsi="Times New Roman" w:cs="Times New Roman"/>
          <w:b/>
          <w:bCs/>
          <w:iCs/>
          <w:color w:val="000000"/>
          <w:kern w:val="36"/>
          <w:sz w:val="24"/>
          <w:szCs w:val="24"/>
        </w:rPr>
      </w:pPr>
    </w:p>
    <w:p w14:paraId="0F686D29" w14:textId="77777777" w:rsidR="00AB37D7" w:rsidRPr="004C3B5E" w:rsidRDefault="00AB37D7" w:rsidP="004C3B5E">
      <w:pPr>
        <w:pStyle w:val="ListParagraph"/>
        <w:numPr>
          <w:ilvl w:val="0"/>
          <w:numId w:val="2"/>
        </w:numPr>
        <w:outlineLvl w:val="1"/>
        <w:rPr>
          <w:rFonts w:ascii="Times New Roman" w:eastAsia="Times New Roman" w:hAnsi="Times New Roman" w:cs="Times New Roman"/>
          <w:b/>
          <w:sz w:val="24"/>
          <w:szCs w:val="24"/>
        </w:rPr>
      </w:pPr>
      <w:r w:rsidRPr="004C3B5E">
        <w:rPr>
          <w:rFonts w:ascii="Times New Roman" w:eastAsia="Times New Roman" w:hAnsi="Times New Roman" w:cs="Times New Roman"/>
          <w:b/>
          <w:sz w:val="24"/>
          <w:szCs w:val="24"/>
        </w:rPr>
        <w:t>Circumstances Making the Collection of Information Necessary</w:t>
      </w:r>
    </w:p>
    <w:p w14:paraId="22769430" w14:textId="77777777" w:rsidR="00195F37" w:rsidRPr="00195F37" w:rsidRDefault="00195F37" w:rsidP="00195F37">
      <w:pPr>
        <w:rPr>
          <w:rFonts w:ascii="Times New Roman" w:eastAsia="Times New Roman" w:hAnsi="Times New Roman" w:cs="Times New Roman"/>
          <w:sz w:val="24"/>
          <w:szCs w:val="24"/>
        </w:rPr>
      </w:pPr>
      <w:r w:rsidRPr="00195F37">
        <w:rPr>
          <w:rFonts w:ascii="Times New Roman" w:eastAsia="Times New Roman" w:hAnsi="Times New Roman" w:cs="Times New Roman"/>
          <w:color w:val="000000"/>
          <w:sz w:val="24"/>
          <w:szCs w:val="24"/>
        </w:rPr>
        <w:t xml:space="preserve">The Centers for Disease Control and Prevention (CDC), National Center for Emerging and Zoonotic Infectious Diseases (NCEZID), Division of Global Migration and Quarantine (DGMQ), received approval of a new “generic clearance” to facilitate the implementation of qualitative data collection projects to help us to better understand the </w:t>
      </w:r>
      <w:r w:rsidRPr="00195F37">
        <w:rPr>
          <w:rFonts w:ascii="Times New Roman" w:eastAsia="Times New Roman" w:hAnsi="Times New Roman" w:cs="Times New Roman"/>
          <w:color w:val="000000"/>
          <w:sz w:val="24"/>
          <w:szCs w:val="24"/>
        </w:rPr>
        <w:lastRenderedPageBreak/>
        <w:t xml:space="preserve">knowledge, attitudes and practices related to communicable and other emerging diseases among foreign-born </w:t>
      </w:r>
      <w:r w:rsidRPr="00195F37">
        <w:rPr>
          <w:rFonts w:ascii="Times New Roman" w:eastAsia="Times New Roman" w:hAnsi="Times New Roman" w:cs="Times New Roman"/>
          <w:bCs/>
          <w:sz w:val="24"/>
          <w:szCs w:val="24"/>
        </w:rPr>
        <w:t>individuals in limited, targeted geographic areas of the United States, e.g. neighborhoods, cities, and counties</w:t>
      </w:r>
      <w:r w:rsidRPr="00195F37">
        <w:rPr>
          <w:rFonts w:ascii="Times New Roman" w:eastAsia="Times New Roman" w:hAnsi="Times New Roman" w:cs="Times New Roman"/>
          <w:color w:val="000000"/>
          <w:sz w:val="24"/>
          <w:szCs w:val="24"/>
        </w:rPr>
        <w:t xml:space="preserve">. Foreign-born individuals include temporary and permanent immigrants, international visitors, and refugees settled in the United States. </w:t>
      </w:r>
      <w:r w:rsidRPr="00195F37">
        <w:rPr>
          <w:rFonts w:ascii="Times New Roman" w:eastAsia="Times New Roman" w:hAnsi="Times New Roman" w:cs="Times New Roman"/>
          <w:sz w:val="24"/>
          <w:szCs w:val="24"/>
        </w:rPr>
        <w:t xml:space="preserve"> </w:t>
      </w:r>
    </w:p>
    <w:p w14:paraId="3A1FAF6F" w14:textId="77777777" w:rsidR="00195F37" w:rsidRPr="00195F37" w:rsidRDefault="00195F37" w:rsidP="00195F37">
      <w:pPr>
        <w:rPr>
          <w:rFonts w:ascii="Times New Roman" w:eastAsia="Times New Roman" w:hAnsi="Times New Roman" w:cs="Times New Roman"/>
          <w:sz w:val="24"/>
          <w:szCs w:val="24"/>
        </w:rPr>
      </w:pPr>
    </w:p>
    <w:p w14:paraId="6C99FF6D" w14:textId="77777777" w:rsidR="00195F37" w:rsidRPr="00195F37" w:rsidRDefault="00195F37" w:rsidP="00195F37">
      <w:pPr>
        <w:rPr>
          <w:rFonts w:ascii="Times New Roman" w:eastAsia="Times New Roman" w:hAnsi="Times New Roman" w:cs="Times New Roman"/>
          <w:sz w:val="24"/>
          <w:szCs w:val="24"/>
        </w:rPr>
      </w:pPr>
      <w:r w:rsidRPr="00195F37">
        <w:rPr>
          <w:rFonts w:ascii="Times New Roman" w:eastAsia="Times New Roman" w:hAnsi="Times New Roman" w:cs="Times New Roman"/>
          <w:color w:val="000000"/>
          <w:sz w:val="24"/>
          <w:szCs w:val="24"/>
        </w:rPr>
        <w:t>The information collection is in accordance with DGMQ’s mission to reduce morbidity and mortality among immigrants, refugees, travelers, expatriates, and other globally mobile populations, and to prevent the introduction, transmission, or spread of communicable diseases from foreign countries into the United States. This mission is supported by delegated legal authorities</w:t>
      </w:r>
    </w:p>
    <w:p w14:paraId="6AE8EB16" w14:textId="77777777" w:rsidR="00195F37" w:rsidRPr="00195F37" w:rsidRDefault="00195F37" w:rsidP="00195F37">
      <w:pPr>
        <w:rPr>
          <w:rFonts w:ascii="Times New Roman" w:eastAsia="Times New Roman" w:hAnsi="Times New Roman" w:cs="Times New Roman"/>
          <w:sz w:val="24"/>
          <w:szCs w:val="24"/>
        </w:rPr>
      </w:pPr>
    </w:p>
    <w:p w14:paraId="048F99D1" w14:textId="77777777" w:rsidR="00195F37" w:rsidRPr="00195F37" w:rsidRDefault="00195F37" w:rsidP="00195F37">
      <w:pPr>
        <w:rPr>
          <w:rFonts w:ascii="Times New Roman" w:eastAsia="Times New Roman" w:hAnsi="Times New Roman" w:cs="Arial"/>
          <w:sz w:val="24"/>
          <w:szCs w:val="24"/>
        </w:rPr>
      </w:pPr>
      <w:r w:rsidRPr="00195F37">
        <w:rPr>
          <w:rFonts w:ascii="Times New Roman" w:eastAsia="Times New Roman" w:hAnsi="Times New Roman" w:cs="Arial"/>
          <w:sz w:val="24"/>
          <w:szCs w:val="24"/>
        </w:rPr>
        <w:t>Section 361 of the Public Health Service (PHS) Act (42 USC 264) (Attachment A)</w:t>
      </w:r>
      <w:r w:rsidRPr="00195F37">
        <w:rPr>
          <w:rFonts w:ascii="Times New Roman" w:eastAsia="Times New Roman" w:hAnsi="Times New Roman" w:cs="Arial"/>
          <w:b/>
          <w:sz w:val="24"/>
          <w:szCs w:val="24"/>
        </w:rPr>
        <w:t xml:space="preserve"> </w:t>
      </w:r>
      <w:r w:rsidRPr="00195F37">
        <w:rPr>
          <w:rFonts w:ascii="Times New Roman" w:eastAsia="Times New Roman" w:hAnsi="Times New Roman" w:cs="Arial"/>
          <w:sz w:val="24"/>
          <w:szCs w:val="24"/>
        </w:rPr>
        <w:t>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 and 71 (Attachments C and D).</w:t>
      </w:r>
    </w:p>
    <w:p w14:paraId="140C8CEB" w14:textId="2747ABC7" w:rsidR="00195F37" w:rsidRPr="00195F37" w:rsidRDefault="000A4D46" w:rsidP="000A4D46">
      <w:pPr>
        <w:tabs>
          <w:tab w:val="left" w:pos="4102"/>
        </w:tabs>
        <w:rPr>
          <w:rFonts w:ascii="Times New Roman" w:eastAsia="Times New Roman" w:hAnsi="Times New Roman" w:cs="Arial"/>
          <w:sz w:val="24"/>
          <w:szCs w:val="24"/>
        </w:rPr>
      </w:pPr>
      <w:r>
        <w:rPr>
          <w:rFonts w:ascii="Times New Roman" w:eastAsia="Times New Roman" w:hAnsi="Times New Roman" w:cs="Arial"/>
          <w:sz w:val="24"/>
          <w:szCs w:val="24"/>
        </w:rPr>
        <w:tab/>
      </w:r>
    </w:p>
    <w:p w14:paraId="4086CA5E" w14:textId="77777777" w:rsidR="00195F37" w:rsidRDefault="00195F37" w:rsidP="00195F37">
      <w:pPr>
        <w:autoSpaceDE w:val="0"/>
        <w:autoSpaceDN w:val="0"/>
        <w:adjustRightInd w:val="0"/>
        <w:rPr>
          <w:rFonts w:ascii="Times New Roman" w:eastAsia="Calibri" w:hAnsi="Times New Roman" w:cs="Times New Roman"/>
          <w:sz w:val="24"/>
          <w:szCs w:val="24"/>
        </w:rPr>
      </w:pPr>
      <w:r w:rsidRPr="00195F37">
        <w:rPr>
          <w:rFonts w:ascii="Times New Roman" w:eastAsia="Calibri" w:hAnsi="Times New Roman" w:cs="Times New Roman"/>
          <w:sz w:val="24"/>
          <w:szCs w:val="24"/>
        </w:rPr>
        <w:t xml:space="preserve">The Secretary of Health and Human Services also has the legal authority to establish regulations outlining the requirements for the medical examination of aliens before they may be admitted into the United States. This authority is provided under the Immigration and Nationality Act (8 U.S.C. § 1182(a)(1)(A)) </w:t>
      </w:r>
      <w:r w:rsidRPr="00195F37">
        <w:rPr>
          <w:rFonts w:ascii="Times New Roman" w:eastAsia="Times New Roman" w:hAnsi="Times New Roman" w:cs="Arial"/>
          <w:sz w:val="24"/>
          <w:szCs w:val="24"/>
        </w:rPr>
        <w:t>(Attachment E)</w:t>
      </w:r>
      <w:r w:rsidRPr="00195F37">
        <w:rPr>
          <w:rFonts w:ascii="Times New Roman" w:eastAsia="Times New Roman" w:hAnsi="Times New Roman" w:cs="Arial"/>
          <w:b/>
          <w:sz w:val="24"/>
          <w:szCs w:val="24"/>
        </w:rPr>
        <w:t xml:space="preserve"> </w:t>
      </w:r>
      <w:r w:rsidRPr="00195F37">
        <w:rPr>
          <w:rFonts w:ascii="Times New Roman" w:eastAsia="Calibri" w:hAnsi="Times New Roman" w:cs="Times New Roman"/>
          <w:sz w:val="24"/>
          <w:szCs w:val="24"/>
        </w:rPr>
        <w:t>and Public Health Service Act (42 U.S.C §</w:t>
      </w:r>
      <w:r w:rsidRPr="00195F37">
        <w:rPr>
          <w:rFonts w:ascii="Times New Roman" w:eastAsia="Times New Roman" w:hAnsi="Times New Roman" w:cs="Arial"/>
          <w:sz w:val="24"/>
          <w:szCs w:val="24"/>
        </w:rPr>
        <w:t xml:space="preserve"> 252)(Attachment F)</w:t>
      </w:r>
      <w:r w:rsidRPr="00195F37">
        <w:rPr>
          <w:rFonts w:ascii="Times New Roman" w:eastAsia="Calibri" w:hAnsi="Times New Roman" w:cs="Times New Roman"/>
          <w:sz w:val="24"/>
          <w:szCs w:val="24"/>
        </w:rPr>
        <w:t xml:space="preserve">. These regulations are codified in 42 CFR </w:t>
      </w:r>
      <w:r w:rsidRPr="00195F37">
        <w:rPr>
          <w:rFonts w:ascii="Times New Roman" w:eastAsia="Calibri" w:hAnsi="Times New Roman" w:cs="Times New Roman"/>
          <w:sz w:val="24"/>
          <w:szCs w:val="24"/>
        </w:rPr>
        <w:lastRenderedPageBreak/>
        <w:t>Part 34 (Attachment G), which establish requirements that determine whether aliens can be admitted into the United States.</w:t>
      </w:r>
    </w:p>
    <w:p w14:paraId="61AABE51" w14:textId="77777777" w:rsidR="00271474" w:rsidRDefault="00271474" w:rsidP="00195F37">
      <w:pPr>
        <w:autoSpaceDE w:val="0"/>
        <w:autoSpaceDN w:val="0"/>
        <w:adjustRightInd w:val="0"/>
        <w:rPr>
          <w:rFonts w:ascii="Times New Roman" w:eastAsia="Calibri" w:hAnsi="Times New Roman" w:cs="Times New Roman"/>
          <w:sz w:val="24"/>
          <w:szCs w:val="24"/>
        </w:rPr>
      </w:pPr>
    </w:p>
    <w:p w14:paraId="6E540210" w14:textId="502636B1" w:rsidR="00271474" w:rsidRPr="00195F37" w:rsidRDefault="00271474" w:rsidP="00195F37">
      <w:pPr>
        <w:autoSpaceDE w:val="0"/>
        <w:autoSpaceDN w:val="0"/>
        <w:adjustRightInd w:val="0"/>
        <w:rPr>
          <w:rFonts w:ascii="Times New Roman" w:eastAsia="Calibri" w:hAnsi="Times New Roman" w:cs="Times New Roman"/>
          <w:sz w:val="24"/>
          <w:szCs w:val="24"/>
        </w:rPr>
      </w:pPr>
      <w:r w:rsidRPr="009C3FE5">
        <w:rPr>
          <w:rFonts w:ascii="Times New Roman" w:hAnsi="Times New Roman"/>
        </w:rPr>
        <w:t xml:space="preserve">CDC is </w:t>
      </w:r>
      <w:r>
        <w:rPr>
          <w:rFonts w:ascii="Times New Roman" w:hAnsi="Times New Roman"/>
        </w:rPr>
        <w:t xml:space="preserve">also </w:t>
      </w:r>
      <w:r w:rsidRPr="009C3FE5">
        <w:rPr>
          <w:rFonts w:ascii="Times New Roman" w:hAnsi="Times New Roman"/>
        </w:rPr>
        <w:t xml:space="preserve">authorized </w:t>
      </w:r>
      <w:r>
        <w:rPr>
          <w:rFonts w:ascii="Times New Roman" w:hAnsi="Times New Roman"/>
        </w:rPr>
        <w:t xml:space="preserve">to do </w:t>
      </w:r>
      <w:r w:rsidRPr="00271474">
        <w:rPr>
          <w:rFonts w:ascii="Times New Roman" w:hAnsi="Times New Roman"/>
        </w:rPr>
        <w:t>Research and investigations generally</w:t>
      </w:r>
      <w:r>
        <w:rPr>
          <w:rFonts w:ascii="Times New Roman" w:hAnsi="Times New Roman"/>
        </w:rPr>
        <w:t xml:space="preserve"> and to </w:t>
      </w:r>
      <w:r w:rsidRPr="009C3FE5">
        <w:rPr>
          <w:rFonts w:ascii="Times New Roman" w:hAnsi="Times New Roman"/>
        </w:rPr>
        <w:t>collect these data under the Public Health Service Act (42 USC 241), Section 301</w:t>
      </w:r>
      <w:r>
        <w:rPr>
          <w:rFonts w:ascii="Times New Roman" w:hAnsi="Times New Roman"/>
        </w:rPr>
        <w:t xml:space="preserve"> (Attachment H)</w:t>
      </w:r>
    </w:p>
    <w:p w14:paraId="0E0E5E6E" w14:textId="77777777" w:rsidR="00195F37" w:rsidRPr="00195F37" w:rsidRDefault="00195F37" w:rsidP="00195F37">
      <w:pPr>
        <w:rPr>
          <w:rFonts w:ascii="Times New Roman" w:eastAsia="Times New Roman" w:hAnsi="Times New Roman" w:cs="Times New Roman"/>
          <w:color w:val="000000"/>
          <w:sz w:val="24"/>
          <w:szCs w:val="24"/>
        </w:rPr>
      </w:pPr>
    </w:p>
    <w:p w14:paraId="5849531D" w14:textId="1882F877" w:rsidR="00195F37" w:rsidRPr="00195F37" w:rsidRDefault="00195F37" w:rsidP="00195F37">
      <w:pPr>
        <w:rPr>
          <w:rFonts w:ascii="Times New Roman" w:eastAsia="Times New Roman" w:hAnsi="Times New Roman" w:cs="Times New Roman"/>
          <w:color w:val="000000"/>
          <w:sz w:val="24"/>
          <w:szCs w:val="24"/>
        </w:rPr>
      </w:pPr>
      <w:r w:rsidRPr="00195F37">
        <w:rPr>
          <w:rFonts w:ascii="Times New Roman" w:eastAsia="Times New Roman" w:hAnsi="Times New Roman" w:cs="Times New Roman"/>
          <w:color w:val="000000"/>
          <w:sz w:val="24"/>
          <w:szCs w:val="24"/>
        </w:rPr>
        <w:t xml:space="preserve">Foreign-born populations pose risks for introduction of communicable and emerging diseases into and/or within the United States and are vulnerable to higher morbidity and mortality because </w:t>
      </w:r>
      <w:r w:rsidR="0007218E">
        <w:rPr>
          <w:rFonts w:ascii="Times New Roman" w:eastAsia="Times New Roman" w:hAnsi="Times New Roman" w:cs="Times New Roman"/>
          <w:color w:val="000000"/>
          <w:sz w:val="24"/>
          <w:szCs w:val="24"/>
        </w:rPr>
        <w:t xml:space="preserve">of </w:t>
      </w:r>
      <w:r w:rsidRPr="00195F37">
        <w:rPr>
          <w:rFonts w:ascii="Times New Roman" w:eastAsia="Times New Roman" w:hAnsi="Times New Roman" w:cs="Times New Roman"/>
          <w:color w:val="000000"/>
          <w:sz w:val="24"/>
          <w:szCs w:val="24"/>
        </w:rPr>
        <w:t xml:space="preserve">international disease exposures, language, legal and cultural barriers and limited access to preventive care and health information once settled in the United States. </w:t>
      </w:r>
    </w:p>
    <w:p w14:paraId="10065F5F" w14:textId="77777777" w:rsidR="00195F37" w:rsidRPr="00195F37" w:rsidRDefault="00195F37" w:rsidP="00195F37">
      <w:pPr>
        <w:rPr>
          <w:rFonts w:ascii="Times New Roman" w:eastAsia="Times New Roman" w:hAnsi="Times New Roman" w:cs="Times New Roman"/>
          <w:color w:val="000000"/>
          <w:sz w:val="24"/>
          <w:szCs w:val="24"/>
        </w:rPr>
      </w:pPr>
    </w:p>
    <w:p w14:paraId="5F857F33" w14:textId="77777777" w:rsidR="00195F37" w:rsidRPr="00195F37" w:rsidRDefault="00195F37" w:rsidP="00195F37">
      <w:pPr>
        <w:rPr>
          <w:rFonts w:ascii="Times New Roman" w:eastAsia="Times New Roman" w:hAnsi="Times New Roman" w:cs="Times New Roman"/>
          <w:color w:val="000000"/>
          <w:sz w:val="24"/>
          <w:szCs w:val="24"/>
        </w:rPr>
      </w:pPr>
      <w:r w:rsidRPr="00195F37">
        <w:rPr>
          <w:rFonts w:ascii="Times New Roman" w:eastAsia="Times New Roman" w:hAnsi="Times New Roman" w:cs="Times New Roman"/>
          <w:color w:val="000000"/>
          <w:sz w:val="24"/>
          <w:szCs w:val="24"/>
        </w:rPr>
        <w:t>This qualitative data collection is needed by DGMQ because</w:t>
      </w:r>
      <w:r w:rsidRPr="00195F37">
        <w:rPr>
          <w:rFonts w:ascii="Times New Roman" w:eastAsia="Times New Roman" w:hAnsi="Times New Roman" w:cs="Times New Roman"/>
          <w:sz w:val="24"/>
          <w:szCs w:val="24"/>
        </w:rPr>
        <w:t xml:space="preserve"> foreign-born individuals are considered hard-to-reach populations and are often missed by routine information collection systems in the United States </w:t>
      </w:r>
      <w:r w:rsidRPr="00195F37">
        <w:rPr>
          <w:rFonts w:ascii="Times New Roman" w:eastAsia="Times New Roman" w:hAnsi="Times New Roman" w:cs="Times New Roman"/>
          <w:sz w:val="24"/>
          <w:szCs w:val="24"/>
        </w:rPr>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Pr="00195F37">
        <w:rPr>
          <w:rFonts w:ascii="Times New Roman" w:eastAsia="Times New Roman" w:hAnsi="Times New Roman" w:cs="Times New Roman"/>
          <w:sz w:val="24"/>
          <w:szCs w:val="24"/>
        </w:rPr>
        <w:instrText xml:space="preserve"> ADDIN EN.CITE </w:instrText>
      </w:r>
      <w:r w:rsidRPr="00195F37">
        <w:rPr>
          <w:rFonts w:ascii="Times New Roman" w:eastAsia="Times New Roman" w:hAnsi="Times New Roman" w:cs="Times New Roman"/>
          <w:sz w:val="24"/>
          <w:szCs w:val="24"/>
        </w:rPr>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Pr="00195F37">
        <w:rPr>
          <w:rFonts w:ascii="Times New Roman" w:eastAsia="Times New Roman" w:hAnsi="Times New Roman" w:cs="Times New Roman"/>
          <w:sz w:val="24"/>
          <w:szCs w:val="24"/>
        </w:rPr>
        <w:instrText xml:space="preserve"> ADDIN EN.CITE.DATA </w:instrText>
      </w:r>
      <w:r w:rsidRPr="00195F37">
        <w:rPr>
          <w:rFonts w:ascii="Times New Roman" w:eastAsia="Times New Roman" w:hAnsi="Times New Roman" w:cs="Times New Roman"/>
          <w:sz w:val="24"/>
          <w:szCs w:val="24"/>
        </w:rPr>
      </w:r>
      <w:r w:rsidRPr="00195F37">
        <w:rPr>
          <w:rFonts w:ascii="Times New Roman" w:eastAsia="Times New Roman" w:hAnsi="Times New Roman" w:cs="Times New Roman"/>
          <w:sz w:val="24"/>
          <w:szCs w:val="24"/>
        </w:rPr>
        <w:fldChar w:fldCharType="end"/>
      </w:r>
      <w:r w:rsidRPr="00195F37">
        <w:rPr>
          <w:rFonts w:ascii="Times New Roman" w:eastAsia="Times New Roman" w:hAnsi="Times New Roman" w:cs="Times New Roman"/>
          <w:sz w:val="24"/>
          <w:szCs w:val="24"/>
        </w:rPr>
      </w:r>
      <w:r w:rsidRPr="00195F37">
        <w:rPr>
          <w:rFonts w:ascii="Times New Roman" w:eastAsia="Times New Roman" w:hAnsi="Times New Roman" w:cs="Times New Roman"/>
          <w:sz w:val="24"/>
          <w:szCs w:val="24"/>
        </w:rPr>
        <w:fldChar w:fldCharType="separate"/>
      </w:r>
      <w:r w:rsidRPr="00195F37">
        <w:rPr>
          <w:rFonts w:ascii="Times New Roman" w:eastAsia="Times New Roman" w:hAnsi="Times New Roman" w:cs="Times New Roman"/>
          <w:noProof/>
          <w:sz w:val="24"/>
          <w:szCs w:val="24"/>
        </w:rPr>
        <w:t>[</w:t>
      </w:r>
      <w:hyperlink w:anchor="_ENREF_1" w:tooltip="Kissam, 2010 #71" w:history="1">
        <w:r w:rsidRPr="00195F37">
          <w:rPr>
            <w:rFonts w:ascii="Times New Roman" w:eastAsia="Times New Roman" w:hAnsi="Times New Roman" w:cs="Times New Roman"/>
            <w:noProof/>
            <w:sz w:val="24"/>
            <w:szCs w:val="24"/>
          </w:rPr>
          <w:t>1-3</w:t>
        </w:r>
      </w:hyperlink>
      <w:r w:rsidRPr="00195F37">
        <w:rPr>
          <w:rFonts w:ascii="Times New Roman" w:eastAsia="Times New Roman" w:hAnsi="Times New Roman" w:cs="Times New Roman"/>
          <w:noProof/>
          <w:sz w:val="24"/>
          <w:szCs w:val="24"/>
        </w:rPr>
        <w:t>]</w:t>
      </w:r>
      <w:r w:rsidRPr="00195F37">
        <w:rPr>
          <w:rFonts w:ascii="Times New Roman" w:eastAsia="Times New Roman" w:hAnsi="Times New Roman" w:cs="Times New Roman"/>
          <w:sz w:val="24"/>
          <w:szCs w:val="24"/>
        </w:rPr>
        <w:fldChar w:fldCharType="end"/>
      </w:r>
      <w:r w:rsidRPr="00195F37">
        <w:rPr>
          <w:rFonts w:ascii="Times New Roman" w:eastAsia="Times New Roman" w:hAnsi="Times New Roman" w:cs="Times New Roman"/>
          <w:sz w:val="24"/>
          <w:szCs w:val="24"/>
        </w:rPr>
        <w:t xml:space="preserve">. As a consequence, limited information is available about the health status </w:t>
      </w:r>
      <w:r w:rsidRPr="00195F37">
        <w:rPr>
          <w:rFonts w:ascii="Times New Roman" w:eastAsia="Times New Roman" w:hAnsi="Times New Roman" w:cs="Times New Roman"/>
          <w:sz w:val="24"/>
          <w:szCs w:val="24"/>
        </w:rPr>
        <w:fldChar w:fldCharType="begin"/>
      </w:r>
      <w:r w:rsidRPr="00195F37">
        <w:rPr>
          <w:rFonts w:ascii="Times New Roman" w:eastAsia="Times New Roman" w:hAnsi="Times New Roman" w:cs="Times New Roman"/>
          <w:sz w:val="24"/>
          <w:szCs w:val="24"/>
        </w:rPr>
        <w:instrText xml:space="preserve"> ADDIN EN.CITE &lt;EndNote&gt;&lt;Cite&gt;&lt;Author&gt;Villarejo&lt;/Author&gt;&lt;Year&gt;2010&lt;/Year&gt;&lt;RecNum&gt;58&lt;/RecNum&gt;&lt;DisplayText&gt;[4]&lt;/DisplayText&gt;&lt;record&gt;&lt;rec-number&gt;58&lt;/rec-number&gt;&lt;foreign-keys&gt;&lt;key app="EN" db-id="zat9d02flspvxoefpz8xszpq5s0tetsvr0d9"&gt;58&lt;/key&gt;&lt;/foreign-keys&gt;&lt;ref-type name="Journal Article"&gt;17&lt;/ref-type&gt;&lt;contributors&gt;&lt;authors&gt;&lt;author&gt;Villarejo, Don&lt;/author&gt;&lt;author&gt;McCurdy, Stephen A.&lt;/author&gt;&lt;author&gt;Bade, Bonnie&lt;/author&gt;&lt;author&gt;Samuels, Steve&lt;/author&gt;&lt;author&gt;Lighthall, David&lt;/author&gt;&lt;author&gt;Williams, Daniel&lt;/author&gt;&lt;/authors&gt;&lt;/contributors&gt;&lt;titles&gt;&lt;title&gt;The health of California&amp;apos;s immigrant hired farmworkers&lt;/title&gt;&lt;secondary-title&gt;American Journal of Industrial Medicine&lt;/secondary-title&gt;&lt;/titles&gt;&lt;periodical&gt;&lt;full-title&gt;American Journal of Industrial Medicine&lt;/full-title&gt;&lt;/periodical&gt;&lt;pages&gt;387-397&lt;/pages&gt;&lt;volume&gt;53&lt;/volume&gt;&lt;number&gt;4&lt;/number&gt;&lt;keywords&gt;&lt;keyword&gt;agricultural safety&lt;/keyword&gt;&lt;keyword&gt;farm labor&lt;/keyword&gt;&lt;keyword&gt;hired workers&lt;/keyword&gt;&lt;keyword&gt;immigrants&lt;/keyword&gt;&lt;keyword&gt;injury&lt;/keyword&gt;&lt;/keywords&gt;&lt;dates&gt;&lt;year&gt;2010&lt;/year&gt;&lt;/dates&gt;&lt;publisher&gt;Wiley Subscription Services, Inc., A Wiley Company&lt;/publisher&gt;&lt;isbn&gt;1097-0274&lt;/isbn&gt;&lt;urls&gt;&lt;related-urls&gt;&lt;url&gt;http://dx.doi.org/10.1002/ajim.20796&lt;/url&gt;&lt;/related-urls&gt;&lt;/urls&gt;&lt;electronic-resource-num&gt;10.1002/ajim.20796&lt;/electronic-resource-num&gt;&lt;/record&gt;&lt;/Cite&gt;&lt;/EndNote&gt;</w:instrText>
      </w:r>
      <w:r w:rsidRPr="00195F37">
        <w:rPr>
          <w:rFonts w:ascii="Times New Roman" w:eastAsia="Times New Roman" w:hAnsi="Times New Roman" w:cs="Times New Roman"/>
          <w:sz w:val="24"/>
          <w:szCs w:val="24"/>
        </w:rPr>
        <w:fldChar w:fldCharType="separate"/>
      </w:r>
      <w:r w:rsidRPr="00195F37">
        <w:rPr>
          <w:rFonts w:ascii="Times New Roman" w:eastAsia="Times New Roman" w:hAnsi="Times New Roman" w:cs="Times New Roman"/>
          <w:noProof/>
          <w:sz w:val="24"/>
          <w:szCs w:val="24"/>
        </w:rPr>
        <w:t>[</w:t>
      </w:r>
      <w:hyperlink w:anchor="_ENREF_4" w:tooltip="Villarejo, 2010 #58" w:history="1">
        <w:r w:rsidRPr="00195F37">
          <w:rPr>
            <w:rFonts w:ascii="Times New Roman" w:eastAsia="Times New Roman" w:hAnsi="Times New Roman" w:cs="Times New Roman"/>
            <w:noProof/>
            <w:sz w:val="24"/>
            <w:szCs w:val="24"/>
          </w:rPr>
          <w:t>4</w:t>
        </w:r>
      </w:hyperlink>
      <w:r w:rsidRPr="00195F37">
        <w:rPr>
          <w:rFonts w:ascii="Times New Roman" w:eastAsia="Times New Roman" w:hAnsi="Times New Roman" w:cs="Times New Roman"/>
          <w:noProof/>
          <w:sz w:val="24"/>
          <w:szCs w:val="24"/>
        </w:rPr>
        <w:t>]</w:t>
      </w:r>
      <w:r w:rsidRPr="00195F37">
        <w:rPr>
          <w:rFonts w:ascii="Times New Roman" w:eastAsia="Times New Roman" w:hAnsi="Times New Roman" w:cs="Times New Roman"/>
          <w:sz w:val="24"/>
          <w:szCs w:val="24"/>
        </w:rPr>
        <w:fldChar w:fldCharType="end"/>
      </w:r>
      <w:r w:rsidRPr="00195F37">
        <w:rPr>
          <w:rFonts w:ascii="Times New Roman" w:eastAsia="Times New Roman" w:hAnsi="Times New Roman" w:cs="Times New Roman"/>
          <w:sz w:val="24"/>
          <w:szCs w:val="24"/>
        </w:rPr>
        <w:t xml:space="preserve">, knowledge, attitudes, health beliefs </w:t>
      </w:r>
      <w:r w:rsidRPr="00195F37">
        <w:rPr>
          <w:rFonts w:ascii="Times New Roman" w:eastAsia="Times New Roman" w:hAnsi="Times New Roman" w:cs="Times New Roman"/>
          <w:sz w:val="24"/>
          <w:szCs w:val="24"/>
        </w:rPr>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Pr="00195F37">
        <w:rPr>
          <w:rFonts w:ascii="Times New Roman" w:eastAsia="Times New Roman" w:hAnsi="Times New Roman" w:cs="Times New Roman"/>
          <w:sz w:val="24"/>
          <w:szCs w:val="24"/>
        </w:rPr>
        <w:instrText xml:space="preserve"> ADDIN EN.CITE </w:instrText>
      </w:r>
      <w:r w:rsidRPr="00195F37">
        <w:rPr>
          <w:rFonts w:ascii="Times New Roman" w:eastAsia="Times New Roman" w:hAnsi="Times New Roman" w:cs="Times New Roman"/>
          <w:sz w:val="24"/>
          <w:szCs w:val="24"/>
        </w:rPr>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Pr="00195F37">
        <w:rPr>
          <w:rFonts w:ascii="Times New Roman" w:eastAsia="Times New Roman" w:hAnsi="Times New Roman" w:cs="Times New Roman"/>
          <w:sz w:val="24"/>
          <w:szCs w:val="24"/>
        </w:rPr>
        <w:instrText xml:space="preserve"> ADDIN EN.CITE.DATA </w:instrText>
      </w:r>
      <w:r w:rsidRPr="00195F37">
        <w:rPr>
          <w:rFonts w:ascii="Times New Roman" w:eastAsia="Times New Roman" w:hAnsi="Times New Roman" w:cs="Times New Roman"/>
          <w:sz w:val="24"/>
          <w:szCs w:val="24"/>
        </w:rPr>
      </w:r>
      <w:r w:rsidRPr="00195F37">
        <w:rPr>
          <w:rFonts w:ascii="Times New Roman" w:eastAsia="Times New Roman" w:hAnsi="Times New Roman" w:cs="Times New Roman"/>
          <w:sz w:val="24"/>
          <w:szCs w:val="24"/>
        </w:rPr>
        <w:fldChar w:fldCharType="end"/>
      </w:r>
      <w:r w:rsidRPr="00195F37">
        <w:rPr>
          <w:rFonts w:ascii="Times New Roman" w:eastAsia="Times New Roman" w:hAnsi="Times New Roman" w:cs="Times New Roman"/>
          <w:sz w:val="24"/>
          <w:szCs w:val="24"/>
        </w:rPr>
      </w:r>
      <w:r w:rsidRPr="00195F37">
        <w:rPr>
          <w:rFonts w:ascii="Times New Roman" w:eastAsia="Times New Roman" w:hAnsi="Times New Roman" w:cs="Times New Roman"/>
          <w:sz w:val="24"/>
          <w:szCs w:val="24"/>
        </w:rPr>
        <w:fldChar w:fldCharType="separate"/>
      </w:r>
      <w:r w:rsidRPr="00195F37">
        <w:rPr>
          <w:rFonts w:ascii="Times New Roman" w:eastAsia="Times New Roman" w:hAnsi="Times New Roman" w:cs="Times New Roman"/>
          <w:noProof/>
          <w:sz w:val="24"/>
          <w:szCs w:val="24"/>
        </w:rPr>
        <w:t>[</w:t>
      </w:r>
      <w:hyperlink w:anchor="_ENREF_5" w:tooltip="Clingerman, 2006 #69" w:history="1">
        <w:r w:rsidRPr="00195F37">
          <w:rPr>
            <w:rFonts w:ascii="Times New Roman" w:eastAsia="Times New Roman" w:hAnsi="Times New Roman" w:cs="Times New Roman"/>
            <w:noProof/>
            <w:sz w:val="24"/>
            <w:szCs w:val="24"/>
          </w:rPr>
          <w:t>5-7</w:t>
        </w:r>
      </w:hyperlink>
      <w:r w:rsidRPr="00195F37">
        <w:rPr>
          <w:rFonts w:ascii="Times New Roman" w:eastAsia="Times New Roman" w:hAnsi="Times New Roman" w:cs="Times New Roman"/>
          <w:noProof/>
          <w:sz w:val="24"/>
          <w:szCs w:val="24"/>
        </w:rPr>
        <w:t>]</w:t>
      </w:r>
      <w:r w:rsidRPr="00195F37">
        <w:rPr>
          <w:rFonts w:ascii="Times New Roman" w:eastAsia="Times New Roman" w:hAnsi="Times New Roman" w:cs="Times New Roman"/>
          <w:sz w:val="24"/>
          <w:szCs w:val="24"/>
        </w:rPr>
        <w:fldChar w:fldCharType="end"/>
      </w:r>
      <w:r w:rsidRPr="00195F37">
        <w:rPr>
          <w:rFonts w:ascii="Times New Roman" w:eastAsia="Times New Roman" w:hAnsi="Times New Roman" w:cs="Times New Roman"/>
          <w:sz w:val="24"/>
          <w:szCs w:val="24"/>
        </w:rPr>
        <w:t xml:space="preserve"> and practices related to communicable diseases and other emerging health issues (e.g., tuberculosis, influenza, viral hepatitis, rickettsial and parasitic diseases) amongst foreign-born populations in the United States </w:t>
      </w:r>
      <w:r w:rsidRPr="00195F37">
        <w:rPr>
          <w:rFonts w:ascii="Times New Roman" w:eastAsia="Times New Roman" w:hAnsi="Times New Roman" w:cs="Times New Roman"/>
          <w:sz w:val="24"/>
          <w:szCs w:val="24"/>
        </w:rPr>
        <w:fldChar w:fldCharType="begin"/>
      </w:r>
      <w:r w:rsidRPr="00195F37">
        <w:rPr>
          <w:rFonts w:ascii="Times New Roman" w:eastAsia="Times New Roman" w:hAnsi="Times New Roman" w:cs="Times New Roman"/>
          <w:sz w:val="24"/>
          <w:szCs w:val="24"/>
        </w:rPr>
        <w:instrText xml:space="preserve"> ADDIN EN.CITE &lt;EndNote&gt;&lt;Cite&gt;&lt;Author&gt;Painter&lt;/Author&gt;&lt;Year&gt;2008&lt;/Year&gt;&lt;RecNum&gt;85&lt;/RecNum&gt;&lt;DisplayText&gt;[8]&lt;/DisplayText&gt;&lt;record&gt;&lt;rec-number&gt;85&lt;/rec-number&gt;&lt;foreign-keys&gt;&lt;key app="EN" db-id="zat9d02flspvxoefpz8xszpq5s0tetsvr0d9"&gt;85&lt;/key&gt;&lt;/foreign-keys&gt;&lt;ref-type name="Journal Article"&gt;17&lt;/ref-type&gt;&lt;contributors&gt;&lt;authors&gt;&lt;author&gt;Painter, Thomas&lt;/author&gt;&lt;/authors&gt;&lt;/contributors&gt;&lt;titles&gt;&lt;title&gt;Connecting The Dots: When the Risks of HIV/STD Infection Appear High But the Burden of Infection Is Not Known—The Case of Male Latino Migrants in the Southern United States&lt;/title&gt;&lt;secondary-title&gt;AIDS and Behavior&lt;/secondary-title&gt;&lt;/titles&gt;&lt;periodical&gt;&lt;full-title&gt;AIDS and Behavior&lt;/full-title&gt;&lt;/periodical&gt;&lt;pages&gt;213-226&lt;/pages&gt;&lt;volume&gt;12&lt;/volume&gt;&lt;number&gt;2&lt;/number&gt;&lt;keywords&gt;&lt;keyword&gt;Medicine&lt;/keyword&gt;&lt;/keywords&gt;&lt;dates&gt;&lt;year&gt;2008&lt;/year&gt;&lt;/dates&gt;&lt;publisher&gt;Springer Netherlands&lt;/publisher&gt;&lt;isbn&gt;1090-7165&lt;/isbn&gt;&lt;urls&gt;&lt;related-urls&gt;&lt;url&gt;http://dx.doi.org/10.1007/s10461-007-9220-0&lt;/url&gt;&lt;/related-urls&gt;&lt;/urls&gt;&lt;electronic-resource-num&gt;10.1007/s10461-007-9220-0&lt;/electronic-resource-num&gt;&lt;/record&gt;&lt;/Cite&gt;&lt;/EndNote&gt;</w:instrText>
      </w:r>
      <w:r w:rsidRPr="00195F37">
        <w:rPr>
          <w:rFonts w:ascii="Times New Roman" w:eastAsia="Times New Roman" w:hAnsi="Times New Roman" w:cs="Times New Roman"/>
          <w:sz w:val="24"/>
          <w:szCs w:val="24"/>
        </w:rPr>
        <w:fldChar w:fldCharType="separate"/>
      </w:r>
      <w:r w:rsidRPr="00195F37">
        <w:rPr>
          <w:rFonts w:ascii="Times New Roman" w:eastAsia="Times New Roman" w:hAnsi="Times New Roman" w:cs="Times New Roman"/>
          <w:noProof/>
          <w:sz w:val="24"/>
          <w:szCs w:val="24"/>
        </w:rPr>
        <w:t>[</w:t>
      </w:r>
      <w:hyperlink w:anchor="_ENREF_8" w:tooltip="Painter, 2008 #85" w:history="1">
        <w:r w:rsidRPr="00195F37">
          <w:rPr>
            <w:rFonts w:ascii="Times New Roman" w:eastAsia="Times New Roman" w:hAnsi="Times New Roman" w:cs="Times New Roman"/>
            <w:noProof/>
            <w:sz w:val="24"/>
            <w:szCs w:val="24"/>
          </w:rPr>
          <w:t>8</w:t>
        </w:r>
      </w:hyperlink>
      <w:r w:rsidRPr="00195F37">
        <w:rPr>
          <w:rFonts w:ascii="Times New Roman" w:eastAsia="Times New Roman" w:hAnsi="Times New Roman" w:cs="Times New Roman"/>
          <w:noProof/>
          <w:sz w:val="24"/>
          <w:szCs w:val="24"/>
        </w:rPr>
        <w:t>]</w:t>
      </w:r>
      <w:r w:rsidRPr="00195F37">
        <w:rPr>
          <w:rFonts w:ascii="Times New Roman" w:eastAsia="Times New Roman" w:hAnsi="Times New Roman" w:cs="Times New Roman"/>
          <w:sz w:val="24"/>
          <w:szCs w:val="24"/>
        </w:rPr>
        <w:fldChar w:fldCharType="end"/>
      </w:r>
      <w:r w:rsidRPr="00195F37">
        <w:rPr>
          <w:rFonts w:ascii="Times New Roman" w:eastAsia="Times New Roman" w:hAnsi="Times New Roman" w:cs="Times New Roman"/>
          <w:sz w:val="24"/>
          <w:szCs w:val="24"/>
        </w:rPr>
        <w:t xml:space="preserve">. Foreign-born populations are very diverse in terms of </w:t>
      </w:r>
      <w:r w:rsidRPr="00195F37">
        <w:rPr>
          <w:rFonts w:ascii="Times New Roman" w:eastAsia="Times New Roman" w:hAnsi="Times New Roman" w:cs="Times New Roman"/>
          <w:color w:val="000000"/>
          <w:sz w:val="24"/>
          <w:szCs w:val="24"/>
        </w:rPr>
        <w:t xml:space="preserve">countries of origin, socio-demographic, cultural and linguistic characteristics and geographic destinations in the U.S.  </w:t>
      </w:r>
      <w:r w:rsidRPr="00195F37">
        <w:rPr>
          <w:rFonts w:ascii="Times New Roman" w:eastAsia="Times New Roman" w:hAnsi="Times New Roman" w:cs="Times New Roman"/>
          <w:sz w:val="24"/>
          <w:szCs w:val="24"/>
        </w:rPr>
        <w:t xml:space="preserve">Data is especially limited at the local level. </w:t>
      </w:r>
    </w:p>
    <w:p w14:paraId="1F6DB081" w14:textId="77777777" w:rsidR="00195F37" w:rsidRPr="00195F37" w:rsidRDefault="00195F37" w:rsidP="00195F37">
      <w:pPr>
        <w:rPr>
          <w:rFonts w:ascii="Times New Roman" w:eastAsia="Times New Roman" w:hAnsi="Times New Roman" w:cs="Times New Roman"/>
          <w:color w:val="000000"/>
          <w:sz w:val="24"/>
          <w:szCs w:val="24"/>
        </w:rPr>
      </w:pPr>
    </w:p>
    <w:p w14:paraId="4E190AB2" w14:textId="77777777" w:rsidR="00195F37" w:rsidRPr="00195F37" w:rsidRDefault="00195F37" w:rsidP="00195F37">
      <w:pPr>
        <w:rPr>
          <w:rFonts w:ascii="Times New Roman" w:eastAsia="Calibri" w:hAnsi="Times New Roman" w:cs="Times New Roman"/>
          <w:sz w:val="24"/>
          <w:szCs w:val="24"/>
          <w:highlight w:val="yellow"/>
        </w:rPr>
      </w:pPr>
      <w:r w:rsidRPr="00195F37">
        <w:rPr>
          <w:rFonts w:ascii="Times New Roman" w:eastAsia="Calibri" w:hAnsi="Times New Roman" w:cs="Times New Roman"/>
          <w:sz w:val="24"/>
          <w:szCs w:val="24"/>
        </w:rPr>
        <w:t>Since its first appearance in the Western Hemisphere in December 2013, over 1.3 million cases of chikungunya virus have been reported in the Americas, with outbreaks en</w:t>
      </w:r>
      <w:r w:rsidRPr="00195F37">
        <w:rPr>
          <w:rFonts w:ascii="Times New Roman" w:eastAsia="Calibri" w:hAnsi="Times New Roman" w:cs="Times New Roman"/>
          <w:sz w:val="24"/>
          <w:szCs w:val="24"/>
        </w:rPr>
        <w:lastRenderedPageBreak/>
        <w:t>compassing  44 countries and territories throughout the Caribbean, South America, Central America, and now several states in northern Mexico.  Based on our experience with dengue, which is transmitted by the same mosquito species, the arrival of chikungunya along the United States-Mexico border is imminent. The risk is greatest in areas with established populations of mosquito vectors and large numbers of travelers arriving from chikungunya or dengue-outbreak areas. Outbreaks have been reported throughout Mexico and, in particular, in Mexican states bordering the United States.</w:t>
      </w:r>
    </w:p>
    <w:p w14:paraId="31BC3398" w14:textId="77777777" w:rsidR="00195F37" w:rsidRPr="00195F37" w:rsidRDefault="00195F37" w:rsidP="00195F37">
      <w:pPr>
        <w:rPr>
          <w:rFonts w:ascii="Times New Roman" w:eastAsia="Calibri" w:hAnsi="Times New Roman" w:cs="Times New Roman"/>
          <w:sz w:val="24"/>
          <w:szCs w:val="24"/>
        </w:rPr>
      </w:pPr>
    </w:p>
    <w:p w14:paraId="1C141B66" w14:textId="77777777" w:rsidR="00195F37" w:rsidRPr="00195F37" w:rsidRDefault="00195F37" w:rsidP="00195F37">
      <w:pPr>
        <w:rPr>
          <w:rFonts w:ascii="Times New Roman" w:eastAsia="Calibri" w:hAnsi="Times New Roman" w:cs="Times New Roman"/>
          <w:sz w:val="24"/>
          <w:szCs w:val="24"/>
        </w:rPr>
      </w:pPr>
      <w:r w:rsidRPr="00195F37">
        <w:rPr>
          <w:rFonts w:ascii="Times New Roman" w:eastAsia="Calibri" w:hAnsi="Times New Roman" w:cs="Times New Roman"/>
          <w:sz w:val="24"/>
          <w:szCs w:val="24"/>
        </w:rPr>
        <w:t xml:space="preserve">Unlike the sweeping outbreaks currently occurring in more tropical climates, CDC anticipates that sporadic and local chikungunya outbreaks within the continental United States will occur in border states. It is only a matter of time before local transmission of chikungunya occurs along the U.S.-Mexico border (Arizona, California, New Mexico, and Texas).  In order to facilitate early recognition of cases and/or outbreaks along the U.S.-Mexico border, CDC recommends that state health agencies in high risk border  states should immediately expand activities to inform key target audiences about chikungunya risk, identification and prevention.   Though our campaign seeks to educate this region about chikungunya, a new emerging mosquito-borne disease, sporadic outbreaks of dengue have also occurred in this region and education efforts will also incorporate joint chikungunya-dengue awareness and prevention.   </w:t>
      </w:r>
    </w:p>
    <w:p w14:paraId="4A6BCEFA" w14:textId="77777777" w:rsidR="00195F37" w:rsidRPr="00195F37" w:rsidRDefault="00195F37" w:rsidP="00195F37">
      <w:pPr>
        <w:rPr>
          <w:rFonts w:ascii="Times New Roman" w:eastAsia="Calibri" w:hAnsi="Times New Roman" w:cs="Times New Roman"/>
          <w:sz w:val="24"/>
          <w:szCs w:val="24"/>
        </w:rPr>
      </w:pPr>
    </w:p>
    <w:p w14:paraId="24F02C22" w14:textId="77777777" w:rsidR="00195F37" w:rsidRPr="00195F37" w:rsidRDefault="00195F37" w:rsidP="00195F37">
      <w:pPr>
        <w:rPr>
          <w:rFonts w:ascii="Times New Roman" w:eastAsia="Calibri" w:hAnsi="Times New Roman" w:cs="Times New Roman"/>
          <w:sz w:val="24"/>
          <w:szCs w:val="24"/>
        </w:rPr>
      </w:pPr>
      <w:r w:rsidRPr="00195F37">
        <w:rPr>
          <w:rFonts w:ascii="Times New Roman" w:eastAsia="Calibri" w:hAnsi="Times New Roman" w:cs="Times New Roman"/>
          <w:sz w:val="24"/>
          <w:szCs w:val="24"/>
        </w:rPr>
        <w:t xml:space="preserve">There are more than 7 million Mexican-born residents in the four U.S-Mexico border states. This population is culturally unique; many of them speak Spanish as their primary language and have limited proficiency in English, and have different communication needs, media preferences, and healthcare seeking behaviors from the general U.S. audience and other border residents. Many of them cross frequently between the United </w:t>
      </w:r>
      <w:r w:rsidRPr="00195F37">
        <w:rPr>
          <w:rFonts w:ascii="Times New Roman" w:eastAsia="Calibri" w:hAnsi="Times New Roman" w:cs="Times New Roman"/>
          <w:sz w:val="24"/>
          <w:szCs w:val="24"/>
        </w:rPr>
        <w:lastRenderedPageBreak/>
        <w:t xml:space="preserve">States and Mexico to work, go to school, visit family, and shop. Social contacts and sharing of health information and risks thus occurs in a single binational epidemiologic environment, which must be understood as such. </w:t>
      </w:r>
    </w:p>
    <w:p w14:paraId="27A1D489" w14:textId="77777777" w:rsidR="00533604" w:rsidRDefault="00533604" w:rsidP="00195F37">
      <w:pPr>
        <w:rPr>
          <w:rFonts w:ascii="Times New Roman" w:eastAsia="Calibri" w:hAnsi="Times New Roman" w:cs="Times New Roman"/>
          <w:sz w:val="24"/>
          <w:szCs w:val="24"/>
        </w:rPr>
      </w:pPr>
    </w:p>
    <w:p w14:paraId="2CD9C9A1" w14:textId="77777777" w:rsidR="00195F37" w:rsidRPr="00195F37" w:rsidRDefault="00195F37" w:rsidP="00195F37">
      <w:pPr>
        <w:rPr>
          <w:rFonts w:ascii="Times New Roman" w:eastAsia="Calibri" w:hAnsi="Times New Roman" w:cs="Times New Roman"/>
          <w:sz w:val="24"/>
          <w:szCs w:val="24"/>
        </w:rPr>
      </w:pPr>
      <w:r w:rsidRPr="00195F37">
        <w:rPr>
          <w:rFonts w:ascii="Times New Roman" w:eastAsia="Calibri" w:hAnsi="Times New Roman" w:cs="Times New Roman"/>
          <w:sz w:val="24"/>
          <w:szCs w:val="24"/>
        </w:rPr>
        <w:t>In preparation for chikungunya and dengue outbreak in the U.S.-Mexico border region, it is necessary to develop culturally and linguistically appropriate educational materials in Spanish that will meet the information and education needs of the Mexican-born resident population and will help prevent and manage the spread of chikungunya in the border region. We need to better understand the messaging preferences and the current state of knowledge, attitudes and practices (KAP) of this population to provide an effective and targeted chikungunya and dengue awareness campaign. Funding a campaign like this can  more effectively educate the Mexican-born border population about the emergence of chikungunya and dengue, symptoms and effects, and how families can protect themselves, their loved ones and by extension their communities.</w:t>
      </w:r>
    </w:p>
    <w:p w14:paraId="3A18DE96" w14:textId="77777777" w:rsidR="00195F37" w:rsidRPr="00195F37" w:rsidRDefault="00195F37" w:rsidP="00195F37">
      <w:pPr>
        <w:rPr>
          <w:rFonts w:ascii="Times New Roman" w:eastAsia="Calibri" w:hAnsi="Times New Roman" w:cs="Times New Roman"/>
          <w:sz w:val="24"/>
          <w:szCs w:val="24"/>
        </w:rPr>
      </w:pPr>
    </w:p>
    <w:p w14:paraId="671FE3B3" w14:textId="77777777" w:rsidR="00195F37" w:rsidRPr="00195F37" w:rsidRDefault="00195F37" w:rsidP="00195F37">
      <w:pPr>
        <w:rPr>
          <w:rFonts w:ascii="Times New Roman" w:eastAsia="Calibri" w:hAnsi="Times New Roman" w:cs="Times New Roman"/>
          <w:sz w:val="24"/>
          <w:szCs w:val="24"/>
        </w:rPr>
      </w:pPr>
      <w:r w:rsidRPr="00195F37">
        <w:rPr>
          <w:rFonts w:ascii="Times New Roman" w:eastAsia="Calibri" w:hAnsi="Times New Roman" w:cs="Times New Roman"/>
          <w:sz w:val="24"/>
          <w:szCs w:val="24"/>
        </w:rPr>
        <w:t xml:space="preserve">Federal, state (California, Florida, Arizona, Texas, and New Mexico) and local partners have already begun a collaboration to address this challenge.  A Chikungunya Border Workgroup consisting of federal, state and local partners is working to define health education needs and to design and produce bilingual materials such as PSAs, posters, HANs, and a media toolkit.  </w:t>
      </w:r>
    </w:p>
    <w:p w14:paraId="4D6F479B" w14:textId="77777777" w:rsidR="00195F37" w:rsidRPr="00195F37" w:rsidRDefault="00195F37" w:rsidP="00195F37">
      <w:pPr>
        <w:rPr>
          <w:rFonts w:ascii="Times New Roman" w:eastAsia="Times New Roman" w:hAnsi="Times New Roman" w:cs="Times New Roman"/>
          <w:sz w:val="24"/>
          <w:szCs w:val="24"/>
        </w:rPr>
      </w:pPr>
    </w:p>
    <w:p w14:paraId="0C29C124" w14:textId="4167EA06" w:rsidR="009749D9" w:rsidRPr="009749D9" w:rsidRDefault="00195F37" w:rsidP="00195F37">
      <w:pPr>
        <w:pStyle w:val="Header"/>
        <w:tabs>
          <w:tab w:val="clear" w:pos="4680"/>
        </w:tabs>
        <w:spacing w:line="276" w:lineRule="auto"/>
        <w:rPr>
          <w:rFonts w:ascii="Times New Roman" w:hAnsi="Times New Roman" w:cs="Times New Roman"/>
          <w:sz w:val="24"/>
          <w:szCs w:val="24"/>
        </w:rPr>
      </w:pPr>
      <w:r w:rsidRPr="00195F37">
        <w:rPr>
          <w:rFonts w:ascii="Times New Roman" w:eastAsia="Times New Roman" w:hAnsi="Times New Roman" w:cs="Times New Roman"/>
          <w:sz w:val="24"/>
          <w:szCs w:val="24"/>
        </w:rPr>
        <w:t xml:space="preserve">In order to make these tools maximally effective, it is imperative to culturally and linguistically validate messages and educational materials being developed for the border </w:t>
      </w:r>
      <w:r w:rsidRPr="00195F37">
        <w:rPr>
          <w:rFonts w:ascii="Times New Roman" w:eastAsia="Times New Roman" w:hAnsi="Times New Roman" w:cs="Times New Roman"/>
          <w:sz w:val="24"/>
          <w:szCs w:val="24"/>
        </w:rPr>
        <w:lastRenderedPageBreak/>
        <w:t>population, by conducting formative evaluation of those materials with the Mexican-born population in the U.S Mexico-border region.</w:t>
      </w:r>
      <w:r w:rsidR="009749D9" w:rsidRPr="009749D9">
        <w:rPr>
          <w:rFonts w:ascii="Times New Roman" w:hAnsi="Times New Roman" w:cs="Times New Roman"/>
          <w:sz w:val="24"/>
          <w:szCs w:val="24"/>
        </w:rPr>
        <w:t xml:space="preserve">  </w:t>
      </w:r>
    </w:p>
    <w:p w14:paraId="38E33362" w14:textId="77777777" w:rsidR="00AB37D7" w:rsidRDefault="00AB37D7" w:rsidP="004C3B5E">
      <w:pPr>
        <w:spacing w:line="276" w:lineRule="auto"/>
      </w:pPr>
    </w:p>
    <w:p w14:paraId="60D9217E" w14:textId="77777777" w:rsidR="001A59DA" w:rsidRPr="001A59DA" w:rsidRDefault="001A59DA" w:rsidP="001A59DA">
      <w:pPr>
        <w:pStyle w:val="Header"/>
        <w:numPr>
          <w:ilvl w:val="0"/>
          <w:numId w:val="2"/>
        </w:numPr>
        <w:spacing w:line="276" w:lineRule="auto"/>
        <w:rPr>
          <w:rFonts w:ascii="Times New Roman" w:hAnsi="Times New Roman" w:cs="Times New Roman"/>
          <w:b/>
          <w:sz w:val="24"/>
          <w:szCs w:val="24"/>
        </w:rPr>
      </w:pPr>
      <w:r w:rsidRPr="001A59DA">
        <w:rPr>
          <w:rFonts w:ascii="Times New Roman" w:hAnsi="Times New Roman" w:cs="Times New Roman"/>
          <w:b/>
          <w:sz w:val="24"/>
          <w:szCs w:val="24"/>
        </w:rPr>
        <w:t xml:space="preserve">Purpose and Use of the Information Collection  </w:t>
      </w:r>
    </w:p>
    <w:p w14:paraId="04E6C401" w14:textId="77777777" w:rsidR="001A59DA" w:rsidRPr="001A59DA" w:rsidRDefault="001A59DA" w:rsidP="001A59DA">
      <w:pPr>
        <w:pStyle w:val="Header"/>
        <w:spacing w:line="276" w:lineRule="auto"/>
        <w:rPr>
          <w:rFonts w:ascii="Times New Roman" w:hAnsi="Times New Roman" w:cs="Times New Roman"/>
          <w:sz w:val="24"/>
          <w:szCs w:val="24"/>
        </w:rPr>
      </w:pPr>
    </w:p>
    <w:p w14:paraId="234E7F99" w14:textId="77777777" w:rsidR="00533604" w:rsidRPr="00533604" w:rsidRDefault="00533604" w:rsidP="00533604">
      <w:pPr>
        <w:rPr>
          <w:rFonts w:ascii="Times New Roman" w:eastAsia="Times New Roman" w:hAnsi="Times New Roman" w:cs="Times New Roman"/>
          <w:sz w:val="24"/>
          <w:szCs w:val="24"/>
        </w:rPr>
      </w:pPr>
      <w:r w:rsidRPr="00533604">
        <w:rPr>
          <w:rFonts w:ascii="Times New Roman" w:eastAsia="Times New Roman" w:hAnsi="Times New Roman" w:cs="Times New Roman"/>
          <w:sz w:val="24"/>
          <w:szCs w:val="24"/>
        </w:rPr>
        <w:t>The two main purposes for this data collection are:</w:t>
      </w:r>
    </w:p>
    <w:p w14:paraId="1581D2D2" w14:textId="77777777" w:rsidR="00533604" w:rsidRPr="00533604" w:rsidRDefault="00533604" w:rsidP="00533604">
      <w:pPr>
        <w:numPr>
          <w:ilvl w:val="0"/>
          <w:numId w:val="25"/>
        </w:numPr>
        <w:spacing w:line="276" w:lineRule="auto"/>
        <w:contextualSpacing/>
        <w:rPr>
          <w:rFonts w:ascii="Times New Roman" w:eastAsia="Times New Roman" w:hAnsi="Times New Roman" w:cs="Times New Roman"/>
          <w:sz w:val="24"/>
          <w:szCs w:val="24"/>
        </w:rPr>
      </w:pPr>
      <w:r w:rsidRPr="00533604">
        <w:rPr>
          <w:rFonts w:ascii="Times New Roman" w:eastAsia="Times New Roman" w:hAnsi="Times New Roman" w:cs="Times New Roman"/>
          <w:sz w:val="24"/>
          <w:szCs w:val="24"/>
        </w:rPr>
        <w:t>Describe Mexican-born border residents’ knowledge attitudes and practices about chikungunya and dengue, including transmission, symptoms, treatment, and prevention measures.</w:t>
      </w:r>
    </w:p>
    <w:p w14:paraId="30818BA5" w14:textId="77777777" w:rsidR="00533604" w:rsidRPr="00533604" w:rsidRDefault="00533604" w:rsidP="00533604">
      <w:pPr>
        <w:numPr>
          <w:ilvl w:val="0"/>
          <w:numId w:val="25"/>
        </w:numPr>
        <w:spacing w:line="276" w:lineRule="auto"/>
        <w:contextualSpacing/>
        <w:rPr>
          <w:rFonts w:ascii="Times New Roman" w:eastAsia="Times New Roman" w:hAnsi="Times New Roman" w:cs="Times New Roman"/>
          <w:sz w:val="24"/>
          <w:szCs w:val="24"/>
        </w:rPr>
      </w:pPr>
      <w:r w:rsidRPr="00533604">
        <w:rPr>
          <w:rFonts w:ascii="Times New Roman" w:eastAsia="Times New Roman" w:hAnsi="Times New Roman" w:cs="Times New Roman"/>
          <w:sz w:val="24"/>
          <w:szCs w:val="24"/>
        </w:rPr>
        <w:t>Evaluate existing and draft chikungunya and dengue materials in Spanish for cultural and linguistic appropriateness.</w:t>
      </w:r>
    </w:p>
    <w:p w14:paraId="74D70C1C" w14:textId="77777777" w:rsidR="00533604" w:rsidRPr="00533604" w:rsidRDefault="00533604" w:rsidP="00533604">
      <w:pPr>
        <w:ind w:left="720"/>
        <w:contextualSpacing/>
        <w:rPr>
          <w:rFonts w:ascii="Times New Roman" w:eastAsia="Times New Roman" w:hAnsi="Times New Roman" w:cs="Times New Roman"/>
          <w:sz w:val="24"/>
          <w:szCs w:val="24"/>
        </w:rPr>
      </w:pPr>
    </w:p>
    <w:p w14:paraId="78F87FD6" w14:textId="77777777" w:rsidR="00533604" w:rsidRPr="00533604" w:rsidRDefault="00533604" w:rsidP="00533604">
      <w:pPr>
        <w:rPr>
          <w:rFonts w:ascii="Times New Roman" w:eastAsia="Times New Roman" w:hAnsi="Times New Roman" w:cs="Times New Roman"/>
          <w:b/>
          <w:bCs/>
          <w:iCs/>
          <w:color w:val="000000"/>
          <w:sz w:val="24"/>
          <w:szCs w:val="24"/>
        </w:rPr>
      </w:pPr>
      <w:r w:rsidRPr="00533604">
        <w:rPr>
          <w:rFonts w:ascii="Times New Roman" w:eastAsia="Times New Roman" w:hAnsi="Times New Roman" w:cs="Times New Roman"/>
          <w:sz w:val="24"/>
          <w:szCs w:val="24"/>
        </w:rPr>
        <w:t xml:space="preserve">Findings from this project will help inform a U.S.-Mexico chikungunya and dengue education campaign for Spanish-speaking Mexican-born populations CDC plans to conduct in 2015. </w:t>
      </w:r>
    </w:p>
    <w:p w14:paraId="2AF5E422" w14:textId="5CAE3C5C" w:rsidR="001A59DA" w:rsidRPr="001A59DA" w:rsidRDefault="001A59DA" w:rsidP="001A59DA">
      <w:pPr>
        <w:pStyle w:val="Header"/>
        <w:spacing w:line="276" w:lineRule="auto"/>
        <w:rPr>
          <w:rFonts w:ascii="Times New Roman" w:hAnsi="Times New Roman" w:cs="Times New Roman"/>
          <w:sz w:val="24"/>
          <w:szCs w:val="24"/>
        </w:rPr>
      </w:pPr>
    </w:p>
    <w:p w14:paraId="74835239" w14:textId="4F8E9CB4" w:rsidR="00A33606" w:rsidRPr="00C77C4A" w:rsidRDefault="00A33606" w:rsidP="00C77C4A">
      <w:pPr>
        <w:pStyle w:val="Header"/>
        <w:numPr>
          <w:ilvl w:val="0"/>
          <w:numId w:val="2"/>
        </w:numPr>
        <w:spacing w:line="276" w:lineRule="auto"/>
        <w:rPr>
          <w:rFonts w:ascii="Times New Roman" w:hAnsi="Times New Roman" w:cs="Times New Roman"/>
          <w:b/>
          <w:sz w:val="24"/>
          <w:szCs w:val="24"/>
        </w:rPr>
      </w:pPr>
      <w:r w:rsidRPr="00C77C4A">
        <w:rPr>
          <w:rFonts w:ascii="Times New Roman" w:hAnsi="Times New Roman" w:cs="Times New Roman"/>
          <w:b/>
          <w:sz w:val="24"/>
          <w:szCs w:val="24"/>
        </w:rPr>
        <w:t>Use of Improved Information Technology and Burden Reduction</w:t>
      </w:r>
    </w:p>
    <w:p w14:paraId="6CF63FA1" w14:textId="77777777" w:rsidR="00A33606" w:rsidRPr="00A33606" w:rsidRDefault="00A33606" w:rsidP="00A33606"/>
    <w:p w14:paraId="16FE3C54" w14:textId="72AB4BB5" w:rsidR="00A33606" w:rsidRDefault="00533604" w:rsidP="00A33606">
      <w:pPr>
        <w:tabs>
          <w:tab w:val="left" w:pos="0"/>
        </w:tabs>
        <w:spacing w:line="276" w:lineRule="auto"/>
        <w:rPr>
          <w:rFonts w:ascii="Times New Roman" w:hAnsi="Times New Roman" w:cs="Times New Roman"/>
          <w:sz w:val="24"/>
          <w:szCs w:val="24"/>
        </w:rPr>
      </w:pPr>
      <w:r>
        <w:rPr>
          <w:rFonts w:ascii="Times New Roman" w:hAnsi="Times New Roman" w:cs="Times New Roman"/>
          <w:sz w:val="24"/>
          <w:szCs w:val="24"/>
        </w:rPr>
        <w:t xml:space="preserve">To the extent possible, project officers have tried to minimize the generation of hard copy forms and responses necessary to conduct this information collection.  </w:t>
      </w:r>
      <w:r w:rsidRPr="00533604">
        <w:rPr>
          <w:rFonts w:ascii="Times New Roman" w:hAnsi="Times New Roman" w:cs="Times New Roman"/>
          <w:sz w:val="24"/>
          <w:szCs w:val="24"/>
        </w:rPr>
        <w:t xml:space="preserve">Responses </w:t>
      </w:r>
      <w:r>
        <w:rPr>
          <w:rFonts w:ascii="Times New Roman" w:hAnsi="Times New Roman" w:cs="Times New Roman"/>
          <w:sz w:val="24"/>
          <w:szCs w:val="24"/>
        </w:rPr>
        <w:t xml:space="preserve">from participants </w:t>
      </w:r>
      <w:r w:rsidRPr="00533604">
        <w:rPr>
          <w:rFonts w:ascii="Times New Roman" w:hAnsi="Times New Roman" w:cs="Times New Roman"/>
          <w:sz w:val="24"/>
          <w:szCs w:val="24"/>
        </w:rPr>
        <w:t>will be recorded using an audio recording device one time only</w:t>
      </w:r>
      <w:r>
        <w:rPr>
          <w:rFonts w:ascii="Times New Roman" w:hAnsi="Times New Roman" w:cs="Times New Roman"/>
          <w:sz w:val="24"/>
          <w:szCs w:val="24"/>
        </w:rPr>
        <w:t>, when the</w:t>
      </w:r>
      <w:r w:rsidRPr="00533604">
        <w:rPr>
          <w:rFonts w:ascii="Times New Roman" w:hAnsi="Times New Roman" w:cs="Times New Roman"/>
          <w:sz w:val="24"/>
          <w:szCs w:val="24"/>
        </w:rPr>
        <w:t xml:space="preserve"> focus groups take place. This will reduce the burden and </w:t>
      </w:r>
      <w:r>
        <w:rPr>
          <w:rFonts w:ascii="Times New Roman" w:hAnsi="Times New Roman" w:cs="Times New Roman"/>
          <w:sz w:val="24"/>
          <w:szCs w:val="24"/>
        </w:rPr>
        <w:t>ease of the submission of information to CDC.</w:t>
      </w:r>
    </w:p>
    <w:p w14:paraId="325D2D38" w14:textId="77777777" w:rsidR="00A33606" w:rsidRDefault="00A33606" w:rsidP="00A33606">
      <w:pPr>
        <w:pStyle w:val="Heading2"/>
        <w:tabs>
          <w:tab w:val="left" w:pos="0"/>
        </w:tabs>
      </w:pPr>
      <w:r w:rsidRPr="0088113F">
        <w:lastRenderedPageBreak/>
        <w:t xml:space="preserve">4. Efforts to Identify Duplication and Use of Similar Information </w:t>
      </w:r>
    </w:p>
    <w:p w14:paraId="3B9C9ADB" w14:textId="0D4B01AB" w:rsidR="00A33606" w:rsidRPr="006420FB" w:rsidRDefault="00BF3D91" w:rsidP="00A33606">
      <w:pPr>
        <w:spacing w:line="276" w:lineRule="auto"/>
        <w:rPr>
          <w:rFonts w:ascii="Times New Roman" w:hAnsi="Times New Roman" w:cs="Times New Roman"/>
          <w:color w:val="FF0000"/>
          <w:sz w:val="24"/>
          <w:szCs w:val="24"/>
        </w:rPr>
      </w:pPr>
      <w:r>
        <w:rPr>
          <w:rFonts w:ascii="Times New Roman" w:hAnsi="Times New Roman" w:cs="Times New Roman"/>
          <w:sz w:val="24"/>
          <w:szCs w:val="24"/>
        </w:rPr>
        <w:t>A</w:t>
      </w:r>
      <w:r w:rsidR="00705483">
        <w:rPr>
          <w:rFonts w:ascii="Times New Roman" w:hAnsi="Times New Roman" w:cs="Times New Roman"/>
          <w:sz w:val="24"/>
          <w:szCs w:val="24"/>
        </w:rPr>
        <w:t xml:space="preserve"> review of the scientific and gray literature indicates that </w:t>
      </w:r>
      <w:r w:rsidR="00A33606" w:rsidRPr="00A33606">
        <w:rPr>
          <w:rFonts w:ascii="Times New Roman" w:hAnsi="Times New Roman" w:cs="Times New Roman"/>
          <w:sz w:val="24"/>
          <w:szCs w:val="24"/>
        </w:rPr>
        <w:t>no other agency is collecting similar data</w:t>
      </w:r>
      <w:r w:rsidR="00533604">
        <w:rPr>
          <w:rFonts w:ascii="Times New Roman" w:hAnsi="Times New Roman" w:cs="Times New Roman"/>
          <w:sz w:val="24"/>
          <w:szCs w:val="24"/>
        </w:rPr>
        <w:t xml:space="preserve"> on </w:t>
      </w:r>
      <w:r w:rsidR="00533604" w:rsidRPr="00195F37">
        <w:rPr>
          <w:rFonts w:ascii="Times New Roman" w:eastAsia="Times New Roman" w:hAnsi="Times New Roman" w:cs="Times New Roman"/>
          <w:sz w:val="24"/>
          <w:szCs w:val="24"/>
        </w:rPr>
        <w:t xml:space="preserve">culturally and linguistically </w:t>
      </w:r>
      <w:r w:rsidR="00533604">
        <w:rPr>
          <w:rFonts w:ascii="Times New Roman" w:eastAsia="Times New Roman" w:hAnsi="Times New Roman" w:cs="Times New Roman"/>
          <w:sz w:val="24"/>
          <w:szCs w:val="24"/>
        </w:rPr>
        <w:t>appropriate messaging</w:t>
      </w:r>
      <w:r w:rsidR="00533604" w:rsidRPr="00195F37">
        <w:rPr>
          <w:rFonts w:ascii="Times New Roman" w:eastAsia="Times New Roman" w:hAnsi="Times New Roman" w:cs="Times New Roman"/>
          <w:sz w:val="24"/>
          <w:szCs w:val="24"/>
        </w:rPr>
        <w:t xml:space="preserve"> and educational materials </w:t>
      </w:r>
      <w:r w:rsidR="00533604">
        <w:rPr>
          <w:rFonts w:ascii="Times New Roman" w:eastAsia="Times New Roman" w:hAnsi="Times New Roman" w:cs="Times New Roman"/>
          <w:sz w:val="24"/>
          <w:szCs w:val="24"/>
        </w:rPr>
        <w:t>for this particular foreign born population concerning chikungunya</w:t>
      </w:r>
      <w:r w:rsidR="006149B6">
        <w:rPr>
          <w:rFonts w:ascii="Times New Roman" w:eastAsia="Times New Roman" w:hAnsi="Times New Roman" w:cs="Times New Roman"/>
          <w:sz w:val="24"/>
          <w:szCs w:val="24"/>
        </w:rPr>
        <w:t xml:space="preserve"> and dengue</w:t>
      </w:r>
      <w:r w:rsidR="00533604">
        <w:rPr>
          <w:rFonts w:ascii="Times New Roman" w:eastAsia="Times New Roman" w:hAnsi="Times New Roman" w:cs="Times New Roman"/>
          <w:sz w:val="24"/>
          <w:szCs w:val="24"/>
        </w:rPr>
        <w:t>.</w:t>
      </w:r>
    </w:p>
    <w:p w14:paraId="01ED916A" w14:textId="77777777" w:rsidR="00A33606" w:rsidRPr="0088113F" w:rsidRDefault="00A33606" w:rsidP="00A33606">
      <w:pPr>
        <w:pStyle w:val="Heading2"/>
        <w:tabs>
          <w:tab w:val="left" w:pos="0"/>
        </w:tabs>
        <w:rPr>
          <w:bCs/>
        </w:rPr>
      </w:pPr>
      <w:r w:rsidRPr="0088113F">
        <w:t>5. Impact on Small Businesses or Other Small Entities</w:t>
      </w:r>
      <w:r w:rsidRPr="0088113F">
        <w:rPr>
          <w:bCs/>
        </w:rPr>
        <w:t xml:space="preserve"> </w:t>
      </w:r>
    </w:p>
    <w:p w14:paraId="11F0386C" w14:textId="4DF3DAC3" w:rsidR="00A33606" w:rsidRPr="00057B00" w:rsidRDefault="00A33606" w:rsidP="00A33606">
      <w:pPr>
        <w:tabs>
          <w:tab w:val="left" w:pos="0"/>
        </w:tabs>
        <w:rPr>
          <w:rFonts w:ascii="Times New Roman" w:hAnsi="Times New Roman"/>
          <w:iCs/>
          <w:sz w:val="24"/>
          <w:szCs w:val="24"/>
        </w:rPr>
      </w:pPr>
      <w:r w:rsidRPr="00057B00">
        <w:rPr>
          <w:rFonts w:ascii="Times New Roman" w:hAnsi="Times New Roman"/>
          <w:iCs/>
          <w:sz w:val="24"/>
          <w:szCs w:val="24"/>
        </w:rPr>
        <w:t>No small businesses will be involved in this data collection.</w:t>
      </w:r>
      <w:r w:rsidR="00DD1EE3" w:rsidRPr="00DD1EE3">
        <w:rPr>
          <w:rFonts w:ascii="Times New Roman" w:hAnsi="Times New Roman"/>
          <w:iCs/>
          <w:sz w:val="24"/>
          <w:szCs w:val="24"/>
        </w:rPr>
        <w:t xml:space="preserve">  Respondents are primarily temp</w:t>
      </w:r>
      <w:r w:rsidR="00DD1EE3">
        <w:rPr>
          <w:rFonts w:ascii="Times New Roman" w:hAnsi="Times New Roman"/>
          <w:iCs/>
          <w:sz w:val="24"/>
          <w:szCs w:val="24"/>
        </w:rPr>
        <w:t>orary and permanent immigrants from Mexico living in the United States border region.</w:t>
      </w:r>
    </w:p>
    <w:p w14:paraId="47B14175" w14:textId="77777777" w:rsidR="00A33606" w:rsidRPr="0088113F" w:rsidRDefault="00A33606" w:rsidP="00A33606">
      <w:pPr>
        <w:pStyle w:val="Heading2"/>
      </w:pPr>
      <w:r>
        <w:t>6.</w:t>
      </w:r>
      <w:r w:rsidRPr="0088113F">
        <w:t xml:space="preserve"> Consequences of Collecting the Information Less Frequently </w:t>
      </w:r>
    </w:p>
    <w:p w14:paraId="7628F526" w14:textId="5CC48D3C" w:rsidR="00174A8D" w:rsidRPr="009B3AEA" w:rsidRDefault="00A33606" w:rsidP="009B3AEA">
      <w:pPr>
        <w:pStyle w:val="ListParagraph"/>
        <w:spacing w:after="0"/>
        <w:ind w:left="0"/>
        <w:rPr>
          <w:rFonts w:asciiTheme="majorHAnsi" w:hAnsiTheme="majorHAnsi"/>
        </w:rPr>
      </w:pPr>
      <w:r w:rsidRPr="009B3AEA">
        <w:rPr>
          <w:rFonts w:ascii="Times New Roman" w:hAnsi="Times New Roman" w:cs="Times New Roman"/>
          <w:sz w:val="24"/>
          <w:szCs w:val="24"/>
        </w:rPr>
        <w:t>This request is for a one time data collection.  There are no legal obstacles to reduce the burden.</w:t>
      </w:r>
      <w:r w:rsidR="009B3AEA" w:rsidRPr="009B3AEA">
        <w:rPr>
          <w:rFonts w:ascii="Times New Roman" w:hAnsi="Times New Roman" w:cs="Times New Roman"/>
          <w:sz w:val="24"/>
          <w:szCs w:val="24"/>
        </w:rPr>
        <w:t xml:space="preserve"> </w:t>
      </w:r>
      <w:r w:rsidR="00714407">
        <w:rPr>
          <w:rFonts w:ascii="Times New Roman" w:hAnsi="Times New Roman" w:cs="Times New Roman"/>
          <w:sz w:val="24"/>
          <w:szCs w:val="24"/>
        </w:rPr>
        <w:t>Given the likely possibility of chikungunya introduction into the United States, CDC and other public health partners</w:t>
      </w:r>
      <w:r w:rsidR="00714407" w:rsidRPr="00143490">
        <w:rPr>
          <w:rFonts w:ascii="Times New Roman" w:hAnsi="Times New Roman" w:cs="Times New Roman"/>
          <w:sz w:val="24"/>
          <w:szCs w:val="24"/>
        </w:rPr>
        <w:t xml:space="preserve"> need to better understand the messaging preferences and the current state of knowledge, attitudes and practices of this population to provide an effective and targeted chikungunya and dengue awareness campaign. </w:t>
      </w:r>
      <w:r w:rsidR="00714407">
        <w:rPr>
          <w:rFonts w:ascii="Times New Roman" w:hAnsi="Times New Roman" w:cs="Times New Roman"/>
          <w:sz w:val="24"/>
          <w:szCs w:val="24"/>
        </w:rPr>
        <w:t>Early and targeted development of appropriate health messaging</w:t>
      </w:r>
      <w:r w:rsidR="00714407" w:rsidRPr="00143490">
        <w:rPr>
          <w:rFonts w:ascii="Times New Roman" w:hAnsi="Times New Roman" w:cs="Times New Roman"/>
          <w:sz w:val="24"/>
          <w:szCs w:val="24"/>
        </w:rPr>
        <w:t xml:space="preserve"> can  more effectively educate the Mexican-born border population </w:t>
      </w:r>
      <w:r w:rsidR="006149B6">
        <w:rPr>
          <w:rFonts w:ascii="Times New Roman" w:hAnsi="Times New Roman" w:cs="Times New Roman"/>
          <w:sz w:val="24"/>
          <w:szCs w:val="24"/>
        </w:rPr>
        <w:t xml:space="preserve">in the United States </w:t>
      </w:r>
      <w:r w:rsidR="00714407" w:rsidRPr="00143490">
        <w:rPr>
          <w:rFonts w:ascii="Times New Roman" w:hAnsi="Times New Roman" w:cs="Times New Roman"/>
          <w:sz w:val="24"/>
          <w:szCs w:val="24"/>
        </w:rPr>
        <w:t xml:space="preserve">about the emergence of </w:t>
      </w:r>
      <w:r w:rsidR="00714407" w:rsidRPr="00143490">
        <w:rPr>
          <w:rFonts w:ascii="Times New Roman" w:hAnsi="Times New Roman" w:cs="Times New Roman"/>
          <w:sz w:val="24"/>
          <w:szCs w:val="24"/>
        </w:rPr>
        <w:lastRenderedPageBreak/>
        <w:t>chikungunya and dengue, symptoms and effects, and how families can protect themselves, their loved ones and by extension their communities.</w:t>
      </w:r>
      <w:r w:rsidR="006149B6">
        <w:rPr>
          <w:rFonts w:ascii="Times New Roman" w:hAnsi="Times New Roman" w:cs="Times New Roman"/>
          <w:sz w:val="24"/>
          <w:szCs w:val="24"/>
        </w:rPr>
        <w:t xml:space="preserve"> This information will help reduce the burden of disease in the border region and throughout the entire country.</w:t>
      </w:r>
    </w:p>
    <w:p w14:paraId="1C51B63B" w14:textId="77777777" w:rsidR="009B3AEA" w:rsidRPr="007976D5" w:rsidRDefault="009B3AEA" w:rsidP="009B3AEA">
      <w:pPr>
        <w:pStyle w:val="Heading2"/>
      </w:pPr>
      <w:r w:rsidRPr="0088113F">
        <w:t>7</w:t>
      </w:r>
      <w:r>
        <w:t>.</w:t>
      </w:r>
      <w:r w:rsidRPr="0088113F">
        <w:t xml:space="preserve"> Special Circumstances Relating to the Guidelines of 5 CFR 1320.5</w:t>
      </w:r>
    </w:p>
    <w:p w14:paraId="05C8BFFE" w14:textId="77777777" w:rsidR="009B3AEA" w:rsidRPr="00D355ED" w:rsidRDefault="009B3AEA" w:rsidP="009B3AEA">
      <w:pPr>
        <w:rPr>
          <w:rFonts w:ascii="Times New Roman" w:hAnsi="Times New Roman" w:cs="Times New Roman"/>
          <w:sz w:val="24"/>
          <w:szCs w:val="24"/>
        </w:rPr>
      </w:pPr>
      <w:r w:rsidRPr="00D355ED">
        <w:rPr>
          <w:rFonts w:ascii="Times New Roman" w:hAnsi="Times New Roman" w:cs="Times New Roman"/>
          <w:sz w:val="24"/>
          <w:szCs w:val="24"/>
        </w:rPr>
        <w:t>There are no special circumstances with this information. This request fully complies with the regulation 5 CFR 1320.5.</w:t>
      </w:r>
    </w:p>
    <w:p w14:paraId="017A1C7D" w14:textId="77777777" w:rsidR="009B3AEA" w:rsidRPr="0088113F" w:rsidRDefault="009B3AEA" w:rsidP="009B3AEA">
      <w:pPr>
        <w:pStyle w:val="Heading2"/>
        <w:rPr>
          <w:b w:val="0"/>
        </w:rPr>
      </w:pPr>
      <w:r>
        <w:t xml:space="preserve">8. </w:t>
      </w:r>
      <w:r w:rsidRPr="0088113F">
        <w:t>Comments in Response to the Federal Register Notice and Efforts to Consult Outside the Agency</w:t>
      </w:r>
    </w:p>
    <w:p w14:paraId="4370DFDA" w14:textId="77777777" w:rsidR="00DD1EE3" w:rsidRPr="00DD1EE3" w:rsidRDefault="00DD1EE3" w:rsidP="00DD1EE3">
      <w:pPr>
        <w:rPr>
          <w:rFonts w:ascii="Times New Roman" w:eastAsia="Times New Roman" w:hAnsi="Times New Roman" w:cs="Times New Roman"/>
          <w:sz w:val="24"/>
          <w:szCs w:val="24"/>
        </w:rPr>
      </w:pPr>
      <w:r w:rsidRPr="00DD1EE3">
        <w:rPr>
          <w:rFonts w:ascii="Times New Roman" w:eastAsia="Times New Roman" w:hAnsi="Times New Roman" w:cs="Times New Roman"/>
          <w:sz w:val="24"/>
          <w:szCs w:val="24"/>
        </w:rPr>
        <w:t>A.  A notice detailing the proposed data collection activities was published in the Federal Register on, Wednesday, May 14, 2014, Vol. 79, PP 27618- 27619. (Attachment B).  No comments were received.</w:t>
      </w:r>
    </w:p>
    <w:p w14:paraId="5C488F3A" w14:textId="77777777" w:rsidR="00DD1EE3" w:rsidRPr="00DD1EE3" w:rsidRDefault="00DD1EE3" w:rsidP="00DD1EE3">
      <w:pPr>
        <w:rPr>
          <w:rFonts w:ascii="Times New Roman" w:eastAsia="Times New Roman" w:hAnsi="Times New Roman" w:cs="Times New Roman"/>
          <w:b/>
          <w:sz w:val="24"/>
          <w:szCs w:val="24"/>
        </w:rPr>
      </w:pPr>
    </w:p>
    <w:p w14:paraId="72002B73" w14:textId="0B8FD5D0" w:rsidR="00DD1EE3" w:rsidRPr="00DD1EE3" w:rsidRDefault="00DD1EE3" w:rsidP="00DD1EE3">
      <w:pPr>
        <w:widowControl w:val="0"/>
        <w:rPr>
          <w:rFonts w:ascii="Times New Roman" w:eastAsia="Times New Roman" w:hAnsi="Times New Roman" w:cs="Times New Roman"/>
          <w:sz w:val="24"/>
          <w:szCs w:val="24"/>
        </w:rPr>
      </w:pPr>
      <w:r w:rsidRPr="00DD1EE3">
        <w:rPr>
          <w:rFonts w:ascii="Times New Roman" w:eastAsia="Times New Roman" w:hAnsi="Times New Roman" w:cs="Times New Roman"/>
          <w:sz w:val="24"/>
          <w:szCs w:val="24"/>
        </w:rPr>
        <w:t xml:space="preserve">B. CDC did not consult with outside persons on the development of these forms.  The forms represent data that is already captured by state and local health departments and maritime operators.  CDC collects these data on a voluntary basis.  The forms are tools to facilitate transfer of this information to CDC. However, CDC has collaborated with federal, state (California, Florida, Arizona, Texas, and New Mexico) and local partners to define health education needs and to design and produce bilingual materials such as </w:t>
      </w:r>
      <w:r w:rsidRPr="00DD1EE3">
        <w:rPr>
          <w:rFonts w:ascii="Times New Roman" w:eastAsia="Times New Roman" w:hAnsi="Times New Roman" w:cs="Times New Roman"/>
          <w:sz w:val="24"/>
          <w:szCs w:val="24"/>
        </w:rPr>
        <w:lastRenderedPageBreak/>
        <w:t xml:space="preserve">PSAs, posters, HANs, and a media toolkit.  </w:t>
      </w:r>
    </w:p>
    <w:p w14:paraId="2849BC1C" w14:textId="64DC4998" w:rsidR="009B3AEA" w:rsidRPr="00905D7F" w:rsidRDefault="009B3AEA" w:rsidP="00DD1EE3">
      <w:pPr>
        <w:widowControl w:val="0"/>
        <w:rPr>
          <w:rFonts w:ascii="Times New Roman" w:hAnsi="Times New Roman" w:cs="Times New Roman"/>
          <w:sz w:val="24"/>
          <w:szCs w:val="24"/>
        </w:rPr>
      </w:pPr>
    </w:p>
    <w:p w14:paraId="2A7CA5DE" w14:textId="77777777" w:rsidR="00785221" w:rsidRPr="006808BF" w:rsidRDefault="00785221" w:rsidP="00785221">
      <w:pPr>
        <w:pStyle w:val="Heading2"/>
      </w:pPr>
      <w:r>
        <w:t xml:space="preserve">9. </w:t>
      </w:r>
      <w:r w:rsidRPr="0088113F">
        <w:t xml:space="preserve"> Explanation of Any </w:t>
      </w:r>
      <w:r>
        <w:t xml:space="preserve">Payment or Gift to Respondents  </w:t>
      </w:r>
    </w:p>
    <w:p w14:paraId="6BCC3F43" w14:textId="3F9AD4F7" w:rsidR="001C7C16" w:rsidRPr="001C7C16" w:rsidRDefault="001C7C16" w:rsidP="001C7C16">
      <w:pPr>
        <w:rPr>
          <w:rFonts w:ascii="Times New Roman" w:eastAsia="Times New Roman" w:hAnsi="Times New Roman" w:cs="Times New Roman"/>
          <w:sz w:val="24"/>
          <w:szCs w:val="24"/>
        </w:rPr>
      </w:pPr>
      <w:r w:rsidRPr="001C7C16">
        <w:rPr>
          <w:rFonts w:ascii="Times New Roman" w:eastAsia="Times New Roman" w:hAnsi="Times New Roman" w:cs="Times New Roman"/>
          <w:sz w:val="24"/>
          <w:szCs w:val="24"/>
        </w:rPr>
        <w:t>DGMQ will not directly offer cash incentives to the participants targeted in this information collection. However, the organization contracted to conduct recruitment will provide small, tangible tokens of appreciation for participants’ time</w:t>
      </w:r>
      <w:bookmarkStart w:id="0" w:name="_GoBack"/>
      <w:bookmarkEnd w:id="0"/>
      <w:r w:rsidRPr="001C7C16">
        <w:rPr>
          <w:rFonts w:ascii="Times New Roman" w:eastAsia="Times New Roman" w:hAnsi="Times New Roman" w:cs="Times New Roman"/>
          <w:sz w:val="24"/>
          <w:szCs w:val="24"/>
        </w:rPr>
        <w:t>. Given that the target population is expected to be of low socioeconomic status and may have limited access to transportation, a small cash stipend ($20 to $40) or other non-monetary incentive for the same value (e.g., a transportation voucher, phone cards, gift cards) will be offered to the focus group participants as a token of appreciation for a respondent’s time and interest in the project and to reimburse for expenses such as transportation and childcare costs.</w:t>
      </w:r>
      <w:r w:rsidR="008E28B0">
        <w:rPr>
          <w:rFonts w:ascii="Times New Roman" w:eastAsia="Times New Roman" w:hAnsi="Times New Roman" w:cs="Times New Roman"/>
          <w:sz w:val="24"/>
          <w:szCs w:val="24"/>
        </w:rPr>
        <w:t xml:space="preserve"> Incentives will be provided upon completion of focus group participation.</w:t>
      </w:r>
    </w:p>
    <w:p w14:paraId="31403593" w14:textId="77777777" w:rsidR="001C7C16" w:rsidRDefault="001C7C16" w:rsidP="001C7C16"/>
    <w:p w14:paraId="4B2C17D2" w14:textId="2E8D9231" w:rsidR="00785221" w:rsidRPr="001C7C16" w:rsidRDefault="001C7C16" w:rsidP="001C7C16">
      <w:pPr>
        <w:rPr>
          <w:rFonts w:ascii="Times New Roman" w:eastAsia="Times New Roman" w:hAnsi="Times New Roman" w:cs="Times New Roman"/>
          <w:sz w:val="24"/>
          <w:szCs w:val="24"/>
        </w:rPr>
      </w:pPr>
      <w:r w:rsidRPr="001C7C16">
        <w:rPr>
          <w:rFonts w:ascii="Times New Roman" w:eastAsia="Times New Roman" w:hAnsi="Times New Roman" w:cs="Times New Roman"/>
          <w:sz w:val="24"/>
          <w:szCs w:val="24"/>
        </w:rPr>
        <w:t>Incorporating modest incentives (e.g., between $20 and $40) or non-monetary incentives to aid in recruitment for focus groups is standard practice among commercial market researchers and public health researchers. The level of incentive payment will be determined after consulting with community representatives, community-based organizations and trained focus group moderators who have worked with similar populations in the past. CDC will attempt, though participation with local partners and location of focus group facilities, to limit inconveniences associated with travel. </w:t>
      </w:r>
      <w:r w:rsidR="00785221" w:rsidRPr="001C7C16">
        <w:rPr>
          <w:rFonts w:ascii="Times New Roman" w:eastAsia="Times New Roman" w:hAnsi="Times New Roman" w:cs="Times New Roman"/>
          <w:sz w:val="24"/>
          <w:szCs w:val="24"/>
        </w:rPr>
        <w:t xml:space="preserve"> </w:t>
      </w:r>
    </w:p>
    <w:p w14:paraId="510F1600" w14:textId="77777777" w:rsidR="001C7C16" w:rsidRPr="001C7C16" w:rsidRDefault="001C7C16" w:rsidP="001C7C16">
      <w:pPr>
        <w:pStyle w:val="Heading2"/>
      </w:pPr>
      <w:r w:rsidRPr="001C7C16">
        <w:lastRenderedPageBreak/>
        <w:t>10.</w:t>
      </w:r>
      <w:r w:rsidRPr="001C7C16">
        <w:tab/>
        <w:t xml:space="preserve">Assurance of Confidentiality Provided to Respondents </w:t>
      </w:r>
    </w:p>
    <w:p w14:paraId="0B37ECDB" w14:textId="219E48DB" w:rsidR="001C7C16" w:rsidRPr="001C7C16" w:rsidRDefault="001C7C16" w:rsidP="001C7C16">
      <w:pPr>
        <w:rPr>
          <w:rFonts w:ascii="Times New Roman" w:eastAsia="Times New Roman" w:hAnsi="Times New Roman" w:cs="Times New Roman"/>
          <w:sz w:val="24"/>
          <w:szCs w:val="24"/>
        </w:rPr>
      </w:pPr>
      <w:r w:rsidRPr="001C7C16">
        <w:rPr>
          <w:rFonts w:ascii="Times New Roman" w:eastAsia="Times New Roman" w:hAnsi="Times New Roman" w:cs="Times New Roman"/>
          <w:sz w:val="24"/>
          <w:szCs w:val="24"/>
        </w:rPr>
        <w:t xml:space="preserve">This submission has been reviewed by the National Center for Emerging and Zoonotic Infectious Diseases who has determined that the Privacy Act does not apply.  As noted above, all focus group discussion participants will be informed that discussions are </w:t>
      </w:r>
      <w:r w:rsidR="00521567">
        <w:rPr>
          <w:rFonts w:ascii="Times New Roman" w:eastAsia="Times New Roman" w:hAnsi="Times New Roman" w:cs="Times New Roman"/>
          <w:sz w:val="24"/>
          <w:szCs w:val="24"/>
        </w:rPr>
        <w:t>private</w:t>
      </w:r>
      <w:r w:rsidRPr="001C7C16">
        <w:rPr>
          <w:rFonts w:ascii="Times New Roman" w:eastAsia="Times New Roman" w:hAnsi="Times New Roman" w:cs="Times New Roman"/>
          <w:sz w:val="24"/>
          <w:szCs w:val="24"/>
        </w:rPr>
        <w:t xml:space="preserve">. As such, no identifiers (other than audio recording) will be used. First names may be written during the course of discussion, however, no last names or other identifiers will be </w:t>
      </w:r>
      <w:r w:rsidR="00521567">
        <w:rPr>
          <w:rFonts w:ascii="Times New Roman" w:eastAsia="Times New Roman" w:hAnsi="Times New Roman" w:cs="Times New Roman"/>
          <w:sz w:val="24"/>
          <w:szCs w:val="24"/>
        </w:rPr>
        <w:t>recorded</w:t>
      </w:r>
      <w:r w:rsidRPr="001C7C16">
        <w:rPr>
          <w:rFonts w:ascii="Times New Roman" w:eastAsia="Times New Roman" w:hAnsi="Times New Roman" w:cs="Times New Roman"/>
          <w:sz w:val="24"/>
          <w:szCs w:val="24"/>
        </w:rPr>
        <w:t xml:space="preserve">. Participants are free to use a pseudonym if they would like to have a greater degree of assurance about </w:t>
      </w:r>
      <w:r w:rsidR="00521567">
        <w:rPr>
          <w:rFonts w:ascii="Times New Roman" w:eastAsia="Times New Roman" w:hAnsi="Times New Roman" w:cs="Times New Roman"/>
          <w:sz w:val="24"/>
          <w:szCs w:val="24"/>
        </w:rPr>
        <w:t>privacy</w:t>
      </w:r>
      <w:r w:rsidRPr="001C7C16">
        <w:rPr>
          <w:rFonts w:ascii="Times New Roman" w:eastAsia="Times New Roman" w:hAnsi="Times New Roman" w:cs="Times New Roman"/>
          <w:sz w:val="24"/>
          <w:szCs w:val="24"/>
        </w:rPr>
        <w:t>.  Further, any information communicated by participants will not be associated with any particular individual’s name in any reports or other materials, and no System of Records is being created. DGMQ, contractors, and partner organizations will follow procedures for securing and maintaining privacy during all stages of information collection. Participants will be recruited directly by CBOs. Partner organizations and contractors will collect and analyze the project specific data. DGMQ will provide technical assistance in the design, implementation, and analysis of the project but will not have contact with project participants (and will only have access to coded</w:t>
      </w:r>
      <w:r w:rsidR="006149B6">
        <w:rPr>
          <w:rFonts w:ascii="Times New Roman" w:eastAsia="Times New Roman" w:hAnsi="Times New Roman" w:cs="Times New Roman"/>
          <w:sz w:val="24"/>
          <w:szCs w:val="24"/>
        </w:rPr>
        <w:t>, de-identified</w:t>
      </w:r>
      <w:r w:rsidRPr="001C7C16">
        <w:rPr>
          <w:rFonts w:ascii="Times New Roman" w:eastAsia="Times New Roman" w:hAnsi="Times New Roman" w:cs="Times New Roman"/>
          <w:sz w:val="24"/>
          <w:szCs w:val="24"/>
        </w:rPr>
        <w:t xml:space="preserve"> data).  All information provided by participants will be treated in a secure manner and will not be disclosed unless otherwise compelled by law. Participants will be informed prior to participation that their responses will be treated in a secure manner.</w:t>
      </w:r>
    </w:p>
    <w:p w14:paraId="218AC1CB" w14:textId="77777777" w:rsidR="001C7C16" w:rsidRPr="001C7C16" w:rsidRDefault="001C7C16" w:rsidP="001C7C16">
      <w:pPr>
        <w:rPr>
          <w:rFonts w:ascii="Times New Roman" w:eastAsia="Times New Roman" w:hAnsi="Times New Roman" w:cs="Times New Roman"/>
          <w:sz w:val="24"/>
          <w:szCs w:val="24"/>
        </w:rPr>
      </w:pPr>
    </w:p>
    <w:p w14:paraId="028AC8D8" w14:textId="1C64BE5E" w:rsidR="001C7C16" w:rsidRDefault="001C7C16" w:rsidP="001C7C16">
      <w:pPr>
        <w:rPr>
          <w:rFonts w:ascii="Times New Roman" w:eastAsia="Times New Roman" w:hAnsi="Times New Roman" w:cs="Times New Roman"/>
          <w:sz w:val="24"/>
          <w:szCs w:val="24"/>
        </w:rPr>
      </w:pPr>
      <w:r w:rsidRPr="001C7C16">
        <w:rPr>
          <w:rFonts w:ascii="Times New Roman" w:eastAsia="Times New Roman" w:hAnsi="Times New Roman" w:cs="Times New Roman"/>
          <w:sz w:val="24"/>
          <w:szCs w:val="24"/>
        </w:rPr>
        <w:t xml:space="preserve">Project proposal (Attachment </w:t>
      </w:r>
      <w:r w:rsidR="006D0A15">
        <w:rPr>
          <w:rFonts w:ascii="Times New Roman" w:eastAsia="Times New Roman" w:hAnsi="Times New Roman" w:cs="Times New Roman"/>
          <w:sz w:val="24"/>
          <w:szCs w:val="24"/>
        </w:rPr>
        <w:t>N</w:t>
      </w:r>
      <w:r w:rsidRPr="001C7C16">
        <w:rPr>
          <w:rFonts w:ascii="Times New Roman" w:eastAsia="Times New Roman" w:hAnsi="Times New Roman" w:cs="Times New Roman"/>
          <w:sz w:val="24"/>
          <w:szCs w:val="24"/>
        </w:rPr>
        <w:t>) was reviewed by CDC and determined to be non-resea</w:t>
      </w:r>
      <w:r w:rsidR="00671DE4">
        <w:rPr>
          <w:rFonts w:ascii="Times New Roman" w:eastAsia="Times New Roman" w:hAnsi="Times New Roman" w:cs="Times New Roman"/>
          <w:sz w:val="24"/>
          <w:szCs w:val="24"/>
        </w:rPr>
        <w:t xml:space="preserve">rch on June 26 (See Attachment </w:t>
      </w:r>
      <w:r w:rsidR="006D0A15">
        <w:rPr>
          <w:rFonts w:ascii="Times New Roman" w:eastAsia="Times New Roman" w:hAnsi="Times New Roman" w:cs="Times New Roman"/>
          <w:sz w:val="24"/>
          <w:szCs w:val="24"/>
        </w:rPr>
        <w:t>O</w:t>
      </w:r>
      <w:r w:rsidRPr="001C7C16">
        <w:rPr>
          <w:rFonts w:ascii="Times New Roman" w:eastAsia="Times New Roman" w:hAnsi="Times New Roman" w:cs="Times New Roman"/>
          <w:sz w:val="24"/>
          <w:szCs w:val="24"/>
        </w:rPr>
        <w:t xml:space="preserve">). </w:t>
      </w:r>
    </w:p>
    <w:p w14:paraId="54A1AE06" w14:textId="77777777" w:rsidR="001C7C16" w:rsidRDefault="001C7C16" w:rsidP="001C7C16">
      <w:pPr>
        <w:rPr>
          <w:rFonts w:ascii="Times New Roman" w:eastAsia="Times New Roman" w:hAnsi="Times New Roman" w:cs="Times New Roman"/>
          <w:sz w:val="24"/>
          <w:szCs w:val="24"/>
        </w:rPr>
      </w:pPr>
    </w:p>
    <w:p w14:paraId="759AB824" w14:textId="2147A56B" w:rsidR="00785221" w:rsidRPr="001C7C16" w:rsidRDefault="00785221" w:rsidP="001C7C16">
      <w:pPr>
        <w:rPr>
          <w:rFonts w:ascii="Times New Roman" w:eastAsia="Times New Roman" w:hAnsi="Times New Roman" w:cs="Times New Roman"/>
          <w:b/>
          <w:sz w:val="24"/>
          <w:szCs w:val="24"/>
        </w:rPr>
      </w:pPr>
      <w:r w:rsidRPr="001C7C16">
        <w:rPr>
          <w:rFonts w:ascii="Times New Roman" w:eastAsia="Times New Roman" w:hAnsi="Times New Roman" w:cs="Times New Roman"/>
          <w:b/>
          <w:bCs/>
          <w:sz w:val="24"/>
          <w:szCs w:val="24"/>
        </w:rPr>
        <w:t xml:space="preserve">10.1 Privacy Impact Assessment Information </w:t>
      </w:r>
    </w:p>
    <w:p w14:paraId="116A14CC" w14:textId="77777777" w:rsidR="004E06B2" w:rsidRDefault="004E06B2" w:rsidP="00785221">
      <w:pPr>
        <w:pStyle w:val="Heading3"/>
        <w:rPr>
          <w:b w:val="0"/>
          <w:color w:val="auto"/>
          <w:u w:val="single"/>
        </w:rPr>
      </w:pPr>
    </w:p>
    <w:p w14:paraId="2DAC87A3" w14:textId="3C8AFFC1" w:rsidR="004750B5" w:rsidRPr="00534B59" w:rsidRDefault="004750B5" w:rsidP="00534B59">
      <w:pPr>
        <w:pStyle w:val="ListParagraph"/>
        <w:numPr>
          <w:ilvl w:val="0"/>
          <w:numId w:val="22"/>
        </w:numPr>
        <w:rPr>
          <w:rFonts w:ascii="Times New Roman" w:hAnsi="Times New Roman" w:cs="Times New Roman"/>
          <w:sz w:val="24"/>
          <w:szCs w:val="24"/>
        </w:rPr>
      </w:pPr>
      <w:r w:rsidRPr="00534B59">
        <w:rPr>
          <w:rFonts w:ascii="Times New Roman" w:hAnsi="Times New Roman" w:cs="Times New Roman"/>
          <w:sz w:val="24"/>
          <w:szCs w:val="24"/>
        </w:rPr>
        <w:t xml:space="preserve">Overview of the Data Collection System – The data collection system to be used consists of a </w:t>
      </w:r>
      <w:r w:rsidR="00671DE4">
        <w:rPr>
          <w:rFonts w:ascii="Times New Roman" w:hAnsi="Times New Roman" w:cs="Times New Roman"/>
          <w:sz w:val="24"/>
          <w:szCs w:val="24"/>
        </w:rPr>
        <w:t xml:space="preserve">Focus Group Discussion Guide (Attachment </w:t>
      </w:r>
      <w:r w:rsidR="00016AA8">
        <w:rPr>
          <w:rFonts w:ascii="Times New Roman" w:hAnsi="Times New Roman" w:cs="Times New Roman"/>
          <w:sz w:val="24"/>
          <w:szCs w:val="24"/>
        </w:rPr>
        <w:t>I</w:t>
      </w:r>
      <w:r w:rsidR="00671DE4">
        <w:rPr>
          <w:rFonts w:ascii="Times New Roman" w:hAnsi="Times New Roman" w:cs="Times New Roman"/>
          <w:sz w:val="24"/>
          <w:szCs w:val="24"/>
        </w:rPr>
        <w:t>)</w:t>
      </w:r>
      <w:r w:rsidRPr="00534B59">
        <w:rPr>
          <w:rFonts w:ascii="Times New Roman" w:hAnsi="Times New Roman" w:cs="Times New Roman"/>
          <w:sz w:val="24"/>
          <w:szCs w:val="24"/>
        </w:rPr>
        <w:t xml:space="preserve"> for </w:t>
      </w:r>
      <w:r w:rsidR="00534B59" w:rsidRPr="00534B59">
        <w:rPr>
          <w:rFonts w:ascii="Times New Roman" w:hAnsi="Times New Roman" w:cs="Times New Roman"/>
          <w:sz w:val="24"/>
          <w:szCs w:val="24"/>
        </w:rPr>
        <w:t>up to 10 focus groups with members of the Mexican-born population in border communities in the following four states: Texas, Arizona, New Mexico and California. Each focus group will include up to 12 adult members of the target population.</w:t>
      </w:r>
      <w:r w:rsidR="00534B59">
        <w:rPr>
          <w:rFonts w:ascii="Times New Roman" w:hAnsi="Times New Roman" w:cs="Times New Roman"/>
          <w:sz w:val="24"/>
          <w:szCs w:val="24"/>
        </w:rPr>
        <w:t xml:space="preserve"> </w:t>
      </w:r>
      <w:r w:rsidR="00534B59" w:rsidRPr="00534B59">
        <w:rPr>
          <w:rFonts w:ascii="Times New Roman" w:hAnsi="Times New Roman" w:cs="Times New Roman"/>
          <w:sz w:val="24"/>
          <w:szCs w:val="24"/>
        </w:rPr>
        <w:t>The focus group</w:t>
      </w:r>
      <w:r w:rsidR="00534B59">
        <w:rPr>
          <w:rFonts w:ascii="Times New Roman" w:hAnsi="Times New Roman" w:cs="Times New Roman"/>
          <w:sz w:val="24"/>
          <w:szCs w:val="24"/>
        </w:rPr>
        <w:t>s</w:t>
      </w:r>
      <w:r w:rsidR="00534B59" w:rsidRPr="00534B59">
        <w:rPr>
          <w:rFonts w:ascii="Times New Roman" w:hAnsi="Times New Roman" w:cs="Times New Roman"/>
          <w:sz w:val="24"/>
          <w:szCs w:val="24"/>
        </w:rPr>
        <w:t>, which will be conducted in Spanish,</w:t>
      </w:r>
      <w:r w:rsidRPr="00534B59">
        <w:rPr>
          <w:rFonts w:ascii="Times New Roman" w:hAnsi="Times New Roman" w:cs="Times New Roman"/>
          <w:sz w:val="24"/>
          <w:szCs w:val="24"/>
        </w:rPr>
        <w:t xml:space="preserve"> </w:t>
      </w:r>
      <w:r w:rsidR="00016AA8">
        <w:rPr>
          <w:rFonts w:ascii="Times New Roman" w:hAnsi="Times New Roman" w:cs="Times New Roman"/>
          <w:sz w:val="24"/>
          <w:szCs w:val="24"/>
        </w:rPr>
        <w:t>are</w:t>
      </w:r>
      <w:r w:rsidRPr="00534B59">
        <w:rPr>
          <w:rFonts w:ascii="Times New Roman" w:hAnsi="Times New Roman" w:cs="Times New Roman"/>
          <w:sz w:val="24"/>
          <w:szCs w:val="24"/>
        </w:rPr>
        <w:t xml:space="preserve"> designed to assess </w:t>
      </w:r>
      <w:r w:rsidR="00534B59" w:rsidRPr="00534B59">
        <w:rPr>
          <w:rFonts w:ascii="Times New Roman" w:hAnsi="Times New Roman" w:cs="Times New Roman"/>
          <w:sz w:val="24"/>
          <w:szCs w:val="24"/>
        </w:rPr>
        <w:t>participants’</w:t>
      </w:r>
      <w:r w:rsidRPr="00534B59">
        <w:rPr>
          <w:rFonts w:ascii="Times New Roman" w:hAnsi="Times New Roman" w:cs="Times New Roman"/>
          <w:sz w:val="24"/>
          <w:szCs w:val="24"/>
        </w:rPr>
        <w:t xml:space="preserve"> knowledge, attitudes and practices regard</w:t>
      </w:r>
      <w:r w:rsidR="00534B59" w:rsidRPr="00534B59">
        <w:rPr>
          <w:rFonts w:ascii="Times New Roman" w:hAnsi="Times New Roman" w:cs="Times New Roman"/>
          <w:sz w:val="24"/>
          <w:szCs w:val="24"/>
        </w:rPr>
        <w:t>ing vector borne disease transmission, mosquito prevention, and message testing</w:t>
      </w:r>
      <w:r w:rsidRPr="00534B59">
        <w:rPr>
          <w:rFonts w:ascii="Times New Roman" w:hAnsi="Times New Roman" w:cs="Times New Roman"/>
          <w:sz w:val="24"/>
          <w:szCs w:val="24"/>
        </w:rPr>
        <w:t xml:space="preserve"> </w:t>
      </w:r>
      <w:r w:rsidR="00534B59" w:rsidRPr="00534B59">
        <w:rPr>
          <w:rFonts w:ascii="Times New Roman" w:hAnsi="Times New Roman" w:cs="Times New Roman"/>
          <w:sz w:val="24"/>
          <w:szCs w:val="24"/>
        </w:rPr>
        <w:t xml:space="preserve">for </w:t>
      </w:r>
      <w:r w:rsidRPr="00534B59">
        <w:rPr>
          <w:rFonts w:ascii="Times New Roman" w:hAnsi="Times New Roman" w:cs="Times New Roman"/>
          <w:sz w:val="24"/>
          <w:szCs w:val="24"/>
        </w:rPr>
        <w:t>chikungunya</w:t>
      </w:r>
      <w:r w:rsidR="00534B59" w:rsidRPr="00534B59">
        <w:rPr>
          <w:rFonts w:ascii="Times New Roman" w:hAnsi="Times New Roman" w:cs="Times New Roman"/>
          <w:sz w:val="24"/>
          <w:szCs w:val="24"/>
        </w:rPr>
        <w:t xml:space="preserve"> using the</w:t>
      </w:r>
      <w:r w:rsidR="00016AA8">
        <w:rPr>
          <w:rFonts w:ascii="Times New Roman" w:hAnsi="Times New Roman" w:cs="Times New Roman"/>
          <w:sz w:val="24"/>
          <w:szCs w:val="24"/>
        </w:rPr>
        <w:t xml:space="preserve"> attached materials</w:t>
      </w:r>
      <w:r w:rsidRPr="00534B59">
        <w:rPr>
          <w:rFonts w:ascii="Times New Roman" w:hAnsi="Times New Roman" w:cs="Times New Roman"/>
          <w:sz w:val="24"/>
          <w:szCs w:val="24"/>
        </w:rPr>
        <w:t xml:space="preserve">. The data collection instruments will be administered </w:t>
      </w:r>
      <w:r w:rsidR="00534B59" w:rsidRPr="00534B59">
        <w:rPr>
          <w:rFonts w:ascii="Times New Roman" w:hAnsi="Times New Roman" w:cs="Times New Roman"/>
          <w:sz w:val="24"/>
          <w:szCs w:val="24"/>
        </w:rPr>
        <w:t>in person.</w:t>
      </w:r>
    </w:p>
    <w:p w14:paraId="6046F423" w14:textId="77777777" w:rsidR="00E86ADA" w:rsidRDefault="00E86ADA" w:rsidP="0014540C">
      <w:pPr>
        <w:pStyle w:val="ListParagraph"/>
        <w:spacing w:after="0"/>
        <w:rPr>
          <w:rFonts w:ascii="Times New Roman" w:hAnsi="Times New Roman" w:cs="Times New Roman"/>
          <w:sz w:val="24"/>
          <w:szCs w:val="24"/>
        </w:rPr>
      </w:pPr>
    </w:p>
    <w:p w14:paraId="289C888D" w14:textId="3DDB822D" w:rsidR="00E86ADA" w:rsidRPr="00D93863" w:rsidRDefault="00E86ADA" w:rsidP="00195F37">
      <w:pPr>
        <w:spacing w:line="276" w:lineRule="auto"/>
        <w:ind w:left="720"/>
        <w:rPr>
          <w:rFonts w:ascii="Times New Roman" w:hAnsi="Times New Roman"/>
          <w:color w:val="000000" w:themeColor="text1"/>
          <w:sz w:val="24"/>
          <w:szCs w:val="24"/>
        </w:rPr>
      </w:pPr>
      <w:r w:rsidRPr="00D93863">
        <w:rPr>
          <w:rFonts w:ascii="Times New Roman" w:hAnsi="Times New Roman"/>
          <w:color w:val="000000" w:themeColor="text1"/>
          <w:sz w:val="24"/>
          <w:szCs w:val="24"/>
        </w:rPr>
        <w:t xml:space="preserve">Potential participants will be </w:t>
      </w:r>
      <w:r w:rsidR="0014540C">
        <w:rPr>
          <w:rFonts w:ascii="Times New Roman" w:hAnsi="Times New Roman"/>
          <w:color w:val="000000" w:themeColor="text1"/>
          <w:sz w:val="24"/>
          <w:szCs w:val="24"/>
        </w:rPr>
        <w:t xml:space="preserve">screened and </w:t>
      </w:r>
      <w:r w:rsidRPr="00D93863">
        <w:rPr>
          <w:rFonts w:ascii="Times New Roman" w:hAnsi="Times New Roman"/>
          <w:color w:val="000000" w:themeColor="text1"/>
          <w:sz w:val="24"/>
          <w:szCs w:val="24"/>
        </w:rPr>
        <w:t xml:space="preserve">selected based </w:t>
      </w:r>
      <w:r w:rsidR="00534B59">
        <w:rPr>
          <w:rFonts w:ascii="Times New Roman" w:hAnsi="Times New Roman"/>
          <w:color w:val="000000" w:themeColor="text1"/>
          <w:sz w:val="24"/>
          <w:szCs w:val="24"/>
        </w:rPr>
        <w:t>on age</w:t>
      </w:r>
      <w:r w:rsidR="00521567">
        <w:rPr>
          <w:rFonts w:ascii="Times New Roman" w:hAnsi="Times New Roman"/>
          <w:color w:val="000000" w:themeColor="text1"/>
          <w:sz w:val="24"/>
          <w:szCs w:val="24"/>
        </w:rPr>
        <w:t>, nationality, preferred language.  If the individual is under 18, the screening will end</w:t>
      </w:r>
      <w:r w:rsidR="00016AA8">
        <w:rPr>
          <w:rFonts w:ascii="Times New Roman" w:hAnsi="Times New Roman"/>
          <w:color w:val="000000" w:themeColor="text1"/>
          <w:sz w:val="24"/>
          <w:szCs w:val="24"/>
        </w:rPr>
        <w:t xml:space="preserve"> (Attachment J)</w:t>
      </w:r>
      <w:r w:rsidR="00521567">
        <w:rPr>
          <w:rFonts w:ascii="Times New Roman" w:hAnsi="Times New Roman"/>
          <w:color w:val="000000" w:themeColor="text1"/>
          <w:sz w:val="24"/>
          <w:szCs w:val="24"/>
        </w:rPr>
        <w:t xml:space="preserve">. </w:t>
      </w:r>
      <w:r w:rsidRPr="00D93863">
        <w:rPr>
          <w:rFonts w:ascii="Times New Roman" w:hAnsi="Times New Roman"/>
          <w:color w:val="000000" w:themeColor="text1"/>
          <w:sz w:val="24"/>
          <w:szCs w:val="24"/>
        </w:rPr>
        <w:t xml:space="preserve"> </w:t>
      </w:r>
      <w:r w:rsidR="00671DE4">
        <w:rPr>
          <w:rFonts w:ascii="Times New Roman" w:hAnsi="Times New Roman"/>
          <w:color w:val="000000" w:themeColor="text1"/>
          <w:sz w:val="24"/>
          <w:szCs w:val="24"/>
        </w:rPr>
        <w:t>Further questions include, but are not limited to, demographic information concerning where the potential participant lives in relation to the border and how long they have lived there</w:t>
      </w:r>
      <w:r w:rsidR="004054A9">
        <w:rPr>
          <w:rFonts w:ascii="Times New Roman" w:hAnsi="Times New Roman"/>
          <w:color w:val="000000" w:themeColor="text1"/>
          <w:sz w:val="24"/>
          <w:szCs w:val="24"/>
        </w:rPr>
        <w:t xml:space="preserve"> (Attachment </w:t>
      </w:r>
      <w:r w:rsidR="00016AA8">
        <w:rPr>
          <w:rFonts w:ascii="Times New Roman" w:hAnsi="Times New Roman"/>
          <w:color w:val="000000" w:themeColor="text1"/>
          <w:sz w:val="24"/>
          <w:szCs w:val="24"/>
        </w:rPr>
        <w:t>K</w:t>
      </w:r>
      <w:r w:rsidR="00295BA7">
        <w:rPr>
          <w:rFonts w:ascii="Times New Roman" w:hAnsi="Times New Roman"/>
          <w:color w:val="000000" w:themeColor="text1"/>
          <w:sz w:val="24"/>
          <w:szCs w:val="24"/>
        </w:rPr>
        <w:t>)</w:t>
      </w:r>
      <w:r w:rsidR="00671DE4">
        <w:rPr>
          <w:rFonts w:ascii="Times New Roman" w:hAnsi="Times New Roman"/>
          <w:color w:val="000000" w:themeColor="text1"/>
          <w:sz w:val="24"/>
          <w:szCs w:val="24"/>
        </w:rPr>
        <w:t xml:space="preserve">. </w:t>
      </w:r>
    </w:p>
    <w:p w14:paraId="182F4219" w14:textId="77777777" w:rsidR="00E86ADA" w:rsidRPr="00D93863" w:rsidRDefault="00E86ADA" w:rsidP="00E86ADA">
      <w:pPr>
        <w:pStyle w:val="ListParagraph"/>
        <w:spacing w:after="0"/>
        <w:rPr>
          <w:rFonts w:ascii="Times New Roman" w:hAnsi="Times New Roman"/>
          <w:color w:val="000000" w:themeColor="text1"/>
          <w:sz w:val="24"/>
          <w:szCs w:val="24"/>
        </w:rPr>
      </w:pPr>
    </w:p>
    <w:p w14:paraId="75A3907D" w14:textId="347878A0" w:rsidR="00521567" w:rsidRDefault="005E1789" w:rsidP="00521567">
      <w:pPr>
        <w:pStyle w:val="ListParagraph"/>
        <w:numPr>
          <w:ilvl w:val="0"/>
          <w:numId w:val="22"/>
        </w:numPr>
        <w:spacing w:after="0"/>
        <w:rPr>
          <w:rFonts w:ascii="Times New Roman" w:hAnsi="Times New Roman"/>
          <w:sz w:val="24"/>
          <w:szCs w:val="24"/>
        </w:rPr>
      </w:pPr>
      <w:r>
        <w:rPr>
          <w:rFonts w:ascii="Times New Roman" w:hAnsi="Times New Roman"/>
          <w:sz w:val="24"/>
          <w:szCs w:val="24"/>
        </w:rPr>
        <w:t xml:space="preserve">Description of the Information to be Collected </w:t>
      </w:r>
      <w:r w:rsidR="009E299E">
        <w:rPr>
          <w:rFonts w:ascii="Times New Roman" w:hAnsi="Times New Roman"/>
          <w:sz w:val="24"/>
          <w:szCs w:val="24"/>
        </w:rPr>
        <w:t>–</w:t>
      </w:r>
      <w:r>
        <w:rPr>
          <w:rFonts w:ascii="Times New Roman" w:hAnsi="Times New Roman"/>
          <w:sz w:val="24"/>
          <w:szCs w:val="24"/>
        </w:rPr>
        <w:t xml:space="preserve"> </w:t>
      </w:r>
      <w:r w:rsidR="009E299E">
        <w:rPr>
          <w:rFonts w:ascii="Times New Roman" w:hAnsi="Times New Roman"/>
          <w:sz w:val="24"/>
          <w:szCs w:val="24"/>
        </w:rPr>
        <w:t xml:space="preserve">The screening form will collect basic demographic information to determine the individuals eligibility (adult, foreign born) residence in the U.S.-Mexico border region.  The focus group discussion will ask participants a series of questions to assess </w:t>
      </w:r>
      <w:r w:rsidR="009E299E" w:rsidRPr="00534B59">
        <w:rPr>
          <w:rFonts w:ascii="Times New Roman" w:hAnsi="Times New Roman" w:cs="Times New Roman"/>
          <w:sz w:val="24"/>
          <w:szCs w:val="24"/>
        </w:rPr>
        <w:t xml:space="preserve">participants’ knowledge, attitudes and practices regarding vector borne disease transmission, </w:t>
      </w:r>
      <w:r w:rsidR="009E299E" w:rsidRPr="00534B59">
        <w:rPr>
          <w:rFonts w:ascii="Times New Roman" w:hAnsi="Times New Roman" w:cs="Times New Roman"/>
          <w:sz w:val="24"/>
          <w:szCs w:val="24"/>
        </w:rPr>
        <w:lastRenderedPageBreak/>
        <w:t>mosquito prevention, and message testing for chikungunya using the att</w:t>
      </w:r>
      <w:r w:rsidR="009E299E">
        <w:rPr>
          <w:rFonts w:ascii="Times New Roman" w:hAnsi="Times New Roman" w:cs="Times New Roman"/>
          <w:sz w:val="24"/>
          <w:szCs w:val="24"/>
        </w:rPr>
        <w:t>ached materials</w:t>
      </w:r>
      <w:r w:rsidR="009E299E" w:rsidRPr="00534B59">
        <w:rPr>
          <w:rFonts w:ascii="Times New Roman" w:hAnsi="Times New Roman" w:cs="Times New Roman"/>
          <w:sz w:val="24"/>
          <w:szCs w:val="24"/>
        </w:rPr>
        <w:t>.</w:t>
      </w:r>
    </w:p>
    <w:p w14:paraId="423586F7" w14:textId="77777777" w:rsidR="00B429F8" w:rsidRDefault="00B429F8" w:rsidP="00AE0147">
      <w:pPr>
        <w:pStyle w:val="ListParagraph"/>
        <w:spacing w:after="0"/>
        <w:rPr>
          <w:rFonts w:ascii="Times New Roman" w:hAnsi="Times New Roman"/>
          <w:sz w:val="24"/>
          <w:szCs w:val="24"/>
        </w:rPr>
      </w:pPr>
    </w:p>
    <w:p w14:paraId="273AFD03" w14:textId="7DD42B58" w:rsidR="002524E5" w:rsidRPr="006F16EF" w:rsidRDefault="00B429F8" w:rsidP="006F16EF">
      <w:pPr>
        <w:pStyle w:val="ListParagraph"/>
        <w:numPr>
          <w:ilvl w:val="0"/>
          <w:numId w:val="22"/>
        </w:numPr>
        <w:rPr>
          <w:rFonts w:ascii="Times New Roman" w:hAnsi="Times New Roman"/>
          <w:sz w:val="24"/>
          <w:szCs w:val="24"/>
        </w:rPr>
      </w:pPr>
      <w:r w:rsidRPr="00B429F8">
        <w:rPr>
          <w:rFonts w:ascii="Times New Roman" w:hAnsi="Times New Roman"/>
          <w:sz w:val="24"/>
          <w:szCs w:val="24"/>
        </w:rPr>
        <w:t>A description of how the information will be shared and for what purpose</w:t>
      </w:r>
      <w:r>
        <w:rPr>
          <w:rFonts w:ascii="Times New Roman" w:hAnsi="Times New Roman"/>
          <w:sz w:val="24"/>
          <w:szCs w:val="24"/>
        </w:rPr>
        <w:t xml:space="preserve"> </w:t>
      </w:r>
      <w:r w:rsidR="005818EE">
        <w:rPr>
          <w:rFonts w:ascii="Times New Roman" w:hAnsi="Times New Roman"/>
          <w:sz w:val="24"/>
          <w:szCs w:val="24"/>
        </w:rPr>
        <w:t>–</w:t>
      </w:r>
      <w:r>
        <w:rPr>
          <w:rFonts w:ascii="Times New Roman" w:hAnsi="Times New Roman"/>
          <w:sz w:val="24"/>
          <w:szCs w:val="24"/>
        </w:rPr>
        <w:t xml:space="preserve"> </w:t>
      </w:r>
      <w:r w:rsidR="00DC263C" w:rsidRPr="00DC263C">
        <w:rPr>
          <w:rFonts w:ascii="Times New Roman" w:hAnsi="Times New Roman"/>
          <w:sz w:val="24"/>
          <w:szCs w:val="24"/>
        </w:rPr>
        <w:t>Results of this data collection will be used to review, edit existing messages and materials and develop prevention messages and educational materials on dengue and Chikungunya in the U.S.-Mexico Border Region</w:t>
      </w:r>
      <w:r w:rsidR="0044596D">
        <w:rPr>
          <w:rFonts w:ascii="Times New Roman" w:hAnsi="Times New Roman"/>
          <w:sz w:val="24"/>
          <w:szCs w:val="24"/>
        </w:rPr>
        <w:t xml:space="preserve">. Findings </w:t>
      </w:r>
      <w:r w:rsidR="005818EE">
        <w:rPr>
          <w:rFonts w:ascii="Times New Roman" w:hAnsi="Times New Roman"/>
          <w:sz w:val="24"/>
          <w:szCs w:val="24"/>
        </w:rPr>
        <w:t>will be presented at national and international conferences</w:t>
      </w:r>
      <w:r w:rsidR="0044596D">
        <w:rPr>
          <w:rFonts w:ascii="Times New Roman" w:hAnsi="Times New Roman"/>
          <w:sz w:val="24"/>
          <w:szCs w:val="24"/>
        </w:rPr>
        <w:t xml:space="preserve"> about health communications</w:t>
      </w:r>
      <w:r w:rsidR="00671DE4">
        <w:rPr>
          <w:rFonts w:ascii="Times New Roman" w:hAnsi="Times New Roman"/>
          <w:sz w:val="24"/>
          <w:szCs w:val="24"/>
        </w:rPr>
        <w:t xml:space="preserve"> and U.S.-Mexico border health issues</w:t>
      </w:r>
      <w:r w:rsidR="00775D50">
        <w:rPr>
          <w:rFonts w:ascii="Times New Roman" w:hAnsi="Times New Roman"/>
          <w:sz w:val="24"/>
          <w:szCs w:val="24"/>
        </w:rPr>
        <w:t xml:space="preserve">, as well as with other </w:t>
      </w:r>
      <w:r w:rsidR="00775D50" w:rsidRPr="00775D50">
        <w:rPr>
          <w:rFonts w:ascii="Times New Roman" w:hAnsi="Times New Roman"/>
          <w:sz w:val="24"/>
          <w:szCs w:val="24"/>
        </w:rPr>
        <w:t xml:space="preserve">CDC and border health partners, including the state, local, and </w:t>
      </w:r>
      <w:r w:rsidR="00775D50">
        <w:rPr>
          <w:rFonts w:ascii="Times New Roman" w:hAnsi="Times New Roman"/>
          <w:sz w:val="24"/>
          <w:szCs w:val="24"/>
        </w:rPr>
        <w:t xml:space="preserve">the </w:t>
      </w:r>
      <w:r w:rsidR="001B64B1">
        <w:rPr>
          <w:rFonts w:ascii="Times New Roman" w:hAnsi="Times New Roman"/>
          <w:sz w:val="24"/>
          <w:szCs w:val="24"/>
        </w:rPr>
        <w:t>intergovenmental</w:t>
      </w:r>
      <w:r w:rsidR="006149B6" w:rsidRPr="00775D50">
        <w:rPr>
          <w:rFonts w:ascii="Times New Roman" w:hAnsi="Times New Roman"/>
          <w:sz w:val="24"/>
          <w:szCs w:val="24"/>
        </w:rPr>
        <w:t xml:space="preserve"> </w:t>
      </w:r>
      <w:r w:rsidR="00775D50" w:rsidRPr="00775D50">
        <w:rPr>
          <w:rFonts w:ascii="Times New Roman" w:hAnsi="Times New Roman"/>
          <w:sz w:val="24"/>
          <w:szCs w:val="24"/>
        </w:rPr>
        <w:t>Chikungunya Border Workgroup</w:t>
      </w:r>
      <w:r w:rsidR="00016AA8">
        <w:rPr>
          <w:rFonts w:ascii="Times New Roman" w:hAnsi="Times New Roman"/>
          <w:sz w:val="24"/>
          <w:szCs w:val="24"/>
        </w:rPr>
        <w:t xml:space="preserve"> (Attachment</w:t>
      </w:r>
      <w:r w:rsidR="00DC263C">
        <w:rPr>
          <w:rFonts w:ascii="Times New Roman" w:hAnsi="Times New Roman"/>
          <w:sz w:val="24"/>
          <w:szCs w:val="24"/>
        </w:rPr>
        <w:t>s</w:t>
      </w:r>
      <w:r w:rsidR="00016AA8">
        <w:rPr>
          <w:rFonts w:ascii="Times New Roman" w:hAnsi="Times New Roman"/>
          <w:sz w:val="24"/>
          <w:szCs w:val="24"/>
        </w:rPr>
        <w:t xml:space="preserve"> L</w:t>
      </w:r>
      <w:r w:rsidR="006F16EF">
        <w:rPr>
          <w:rFonts w:ascii="Times New Roman" w:hAnsi="Times New Roman"/>
          <w:sz w:val="24"/>
          <w:szCs w:val="24"/>
        </w:rPr>
        <w:t xml:space="preserve"> and M</w:t>
      </w:r>
      <w:r w:rsidR="00016AA8">
        <w:rPr>
          <w:rFonts w:ascii="Times New Roman" w:hAnsi="Times New Roman"/>
          <w:sz w:val="24"/>
          <w:szCs w:val="24"/>
        </w:rPr>
        <w:t>)</w:t>
      </w:r>
      <w:r w:rsidR="001B64B1">
        <w:rPr>
          <w:rFonts w:ascii="Times New Roman" w:hAnsi="Times New Roman"/>
          <w:sz w:val="24"/>
          <w:szCs w:val="24"/>
        </w:rPr>
        <w:t>.</w:t>
      </w:r>
    </w:p>
    <w:p w14:paraId="1D092479" w14:textId="77777777" w:rsidR="002524E5" w:rsidRPr="002524E5" w:rsidRDefault="002524E5" w:rsidP="002524E5">
      <w:pPr>
        <w:pStyle w:val="ListParagraph"/>
        <w:rPr>
          <w:rFonts w:ascii="Times New Roman" w:hAnsi="Times New Roman"/>
          <w:sz w:val="24"/>
          <w:szCs w:val="24"/>
        </w:rPr>
      </w:pPr>
    </w:p>
    <w:p w14:paraId="7AD88DA0" w14:textId="2052AF95" w:rsidR="00B429F8" w:rsidRDefault="00B429F8" w:rsidP="00B429F8">
      <w:pPr>
        <w:pStyle w:val="ListParagraph"/>
        <w:numPr>
          <w:ilvl w:val="0"/>
          <w:numId w:val="22"/>
        </w:numPr>
        <w:rPr>
          <w:rFonts w:ascii="Times New Roman" w:hAnsi="Times New Roman"/>
          <w:sz w:val="24"/>
          <w:szCs w:val="24"/>
        </w:rPr>
      </w:pPr>
      <w:r w:rsidRPr="00B429F8">
        <w:rPr>
          <w:rFonts w:ascii="Times New Roman" w:hAnsi="Times New Roman"/>
          <w:sz w:val="24"/>
          <w:szCs w:val="24"/>
        </w:rPr>
        <w:t>A statement detailing the impact the proposed collection will have on the respondent’s privacy</w:t>
      </w:r>
      <w:r>
        <w:rPr>
          <w:rFonts w:ascii="Times New Roman" w:hAnsi="Times New Roman"/>
          <w:sz w:val="24"/>
          <w:szCs w:val="24"/>
        </w:rPr>
        <w:t xml:space="preserve"> - </w:t>
      </w:r>
      <w:r w:rsidR="00E86ADA" w:rsidRPr="00B429F8">
        <w:rPr>
          <w:rFonts w:ascii="Times New Roman" w:hAnsi="Times New Roman"/>
          <w:sz w:val="24"/>
          <w:szCs w:val="24"/>
        </w:rPr>
        <w:t>No personally identifiable info</w:t>
      </w:r>
      <w:r w:rsidR="00E86ADA">
        <w:rPr>
          <w:rFonts w:ascii="Times New Roman" w:hAnsi="Times New Roman"/>
          <w:sz w:val="24"/>
          <w:szCs w:val="24"/>
        </w:rPr>
        <w:t xml:space="preserve">rmation (PII) will be collected during this project. </w:t>
      </w:r>
      <w:r w:rsidR="00AE0147" w:rsidRPr="00D93863">
        <w:rPr>
          <w:rFonts w:ascii="Times New Roman" w:hAnsi="Times New Roman"/>
          <w:color w:val="000000" w:themeColor="text1"/>
          <w:sz w:val="24"/>
          <w:szCs w:val="24"/>
        </w:rPr>
        <w:t>The proposed data collection will have little or no effect on the respondent’s privacy.  All data will always be reported in an anonymous manner.</w:t>
      </w:r>
      <w:r w:rsidR="00AE0147">
        <w:rPr>
          <w:rFonts w:ascii="Times New Roman" w:hAnsi="Times New Roman"/>
          <w:color w:val="000000" w:themeColor="text1"/>
          <w:sz w:val="24"/>
          <w:szCs w:val="24"/>
        </w:rPr>
        <w:t xml:space="preserve"> </w:t>
      </w:r>
      <w:r w:rsidR="00E86ADA" w:rsidRPr="00D93863">
        <w:rPr>
          <w:rFonts w:ascii="Times New Roman" w:hAnsi="Times New Roman"/>
          <w:color w:val="000000" w:themeColor="text1"/>
          <w:sz w:val="24"/>
          <w:szCs w:val="24"/>
        </w:rPr>
        <w:t xml:space="preserve">Participants will not be able to be identified either directly or indirectly from the information that appears in the final data set. </w:t>
      </w:r>
    </w:p>
    <w:p w14:paraId="6491397B" w14:textId="77777777" w:rsidR="00B429F8" w:rsidRPr="00B429F8" w:rsidRDefault="00B429F8" w:rsidP="00B429F8">
      <w:pPr>
        <w:pStyle w:val="ListParagraph"/>
        <w:rPr>
          <w:rFonts w:ascii="Times New Roman" w:hAnsi="Times New Roman"/>
          <w:sz w:val="24"/>
          <w:szCs w:val="24"/>
        </w:rPr>
      </w:pPr>
    </w:p>
    <w:p w14:paraId="60BE3187" w14:textId="3030173E" w:rsidR="00B429F8" w:rsidRDefault="00B429F8" w:rsidP="00B429F8">
      <w:pPr>
        <w:pStyle w:val="ListParagraph"/>
        <w:numPr>
          <w:ilvl w:val="0"/>
          <w:numId w:val="22"/>
        </w:numPr>
        <w:rPr>
          <w:rFonts w:ascii="Times New Roman" w:hAnsi="Times New Roman"/>
          <w:sz w:val="24"/>
          <w:szCs w:val="24"/>
        </w:rPr>
      </w:pPr>
      <w:r w:rsidRPr="00B429F8">
        <w:rPr>
          <w:rFonts w:ascii="Times New Roman" w:hAnsi="Times New Roman"/>
          <w:sz w:val="24"/>
          <w:szCs w:val="24"/>
        </w:rPr>
        <w:t>Whether individuals are informed that providing the inform</w:t>
      </w:r>
      <w:r>
        <w:rPr>
          <w:rFonts w:ascii="Times New Roman" w:hAnsi="Times New Roman"/>
          <w:sz w:val="24"/>
          <w:szCs w:val="24"/>
        </w:rPr>
        <w:t xml:space="preserve">ation is voluntary or mandatory </w:t>
      </w:r>
      <w:r w:rsidR="00671DE4">
        <w:rPr>
          <w:rFonts w:ascii="Times New Roman" w:hAnsi="Times New Roman"/>
          <w:sz w:val="24"/>
          <w:szCs w:val="24"/>
        </w:rPr>
        <w:t>–</w:t>
      </w:r>
      <w:r>
        <w:rPr>
          <w:rFonts w:ascii="Times New Roman" w:hAnsi="Times New Roman"/>
          <w:sz w:val="24"/>
          <w:szCs w:val="24"/>
        </w:rPr>
        <w:t xml:space="preserve"> </w:t>
      </w:r>
      <w:r w:rsidR="00671DE4">
        <w:rPr>
          <w:rFonts w:ascii="Times New Roman" w:hAnsi="Times New Roman" w:cs="Times New Roman"/>
          <w:sz w:val="24"/>
          <w:szCs w:val="24"/>
        </w:rPr>
        <w:t>Individuals are informed that participatio</w:t>
      </w:r>
      <w:r w:rsidR="00775D50">
        <w:rPr>
          <w:rFonts w:ascii="Times New Roman" w:hAnsi="Times New Roman" w:cs="Times New Roman"/>
          <w:sz w:val="24"/>
          <w:szCs w:val="24"/>
        </w:rPr>
        <w:t xml:space="preserve">n is voluntary both during screening for eligibility and when provided the information sheet immediately </w:t>
      </w:r>
      <w:r w:rsidR="00775D50">
        <w:rPr>
          <w:rFonts w:ascii="Times New Roman" w:hAnsi="Times New Roman" w:cs="Times New Roman"/>
          <w:sz w:val="24"/>
          <w:szCs w:val="24"/>
        </w:rPr>
        <w:lastRenderedPageBreak/>
        <w:t>prior to participation in the focus group.  Individuals are informed that participation is voluntary and they may leave at any time</w:t>
      </w:r>
      <w:r w:rsidR="008252BA">
        <w:rPr>
          <w:rFonts w:ascii="Times New Roman" w:hAnsi="Times New Roman" w:cs="Times New Roman"/>
          <w:sz w:val="24"/>
          <w:szCs w:val="24"/>
        </w:rPr>
        <w:t>, either prior to or during the focus group</w:t>
      </w:r>
      <w:r w:rsidR="00775D50">
        <w:rPr>
          <w:rFonts w:ascii="Times New Roman" w:hAnsi="Times New Roman" w:cs="Times New Roman"/>
          <w:sz w:val="24"/>
          <w:szCs w:val="24"/>
        </w:rPr>
        <w:t>.</w:t>
      </w:r>
    </w:p>
    <w:p w14:paraId="63022624" w14:textId="77777777" w:rsidR="00B429F8" w:rsidRPr="00B429F8" w:rsidRDefault="00B429F8" w:rsidP="00B429F8">
      <w:pPr>
        <w:pStyle w:val="ListParagraph"/>
        <w:rPr>
          <w:rFonts w:ascii="Times New Roman" w:hAnsi="Times New Roman"/>
          <w:sz w:val="24"/>
          <w:szCs w:val="24"/>
        </w:rPr>
      </w:pPr>
    </w:p>
    <w:p w14:paraId="78B52D59" w14:textId="4D78EE58" w:rsidR="00775D50" w:rsidRPr="00775D50" w:rsidRDefault="00B429F8" w:rsidP="00775D50">
      <w:pPr>
        <w:pStyle w:val="ListParagraph"/>
        <w:numPr>
          <w:ilvl w:val="0"/>
          <w:numId w:val="22"/>
        </w:numPr>
        <w:rPr>
          <w:rFonts w:ascii="Times New Roman" w:hAnsi="Times New Roman"/>
          <w:sz w:val="24"/>
          <w:szCs w:val="24"/>
        </w:rPr>
      </w:pPr>
      <w:r w:rsidRPr="00B429F8">
        <w:rPr>
          <w:rFonts w:ascii="Times New Roman" w:hAnsi="Times New Roman"/>
          <w:sz w:val="24"/>
          <w:szCs w:val="24"/>
        </w:rPr>
        <w:t>Opportunities to consent, if any, to sharin</w:t>
      </w:r>
      <w:r>
        <w:rPr>
          <w:rFonts w:ascii="Times New Roman" w:hAnsi="Times New Roman"/>
          <w:sz w:val="24"/>
          <w:szCs w:val="24"/>
        </w:rPr>
        <w:t xml:space="preserve">g and submission of information - </w:t>
      </w:r>
      <w:r w:rsidRPr="001A59DA">
        <w:rPr>
          <w:rFonts w:ascii="Times New Roman" w:hAnsi="Times New Roman" w:cs="Times New Roman"/>
          <w:sz w:val="24"/>
          <w:szCs w:val="24"/>
        </w:rPr>
        <w:t>All potential participants</w:t>
      </w:r>
      <w:r w:rsidR="00775D50">
        <w:rPr>
          <w:rFonts w:ascii="Times New Roman" w:hAnsi="Times New Roman" w:cs="Times New Roman"/>
          <w:sz w:val="24"/>
          <w:szCs w:val="24"/>
        </w:rPr>
        <w:t xml:space="preserve"> will receive the participant information sheet outlining the basic details of the focus group.  Included in this sheet is the following statement to ensure participants that they cannot be identified after the focus group. If this statement is not sufficient for the participants to feel comfortable about their de-identified answer</w:t>
      </w:r>
      <w:r w:rsidR="006459BF">
        <w:rPr>
          <w:rFonts w:ascii="Times New Roman" w:hAnsi="Times New Roman" w:cs="Times New Roman"/>
          <w:sz w:val="24"/>
          <w:szCs w:val="24"/>
        </w:rPr>
        <w:t>s</w:t>
      </w:r>
      <w:r w:rsidR="00775D50">
        <w:rPr>
          <w:rFonts w:ascii="Times New Roman" w:hAnsi="Times New Roman" w:cs="Times New Roman"/>
          <w:sz w:val="24"/>
          <w:szCs w:val="24"/>
        </w:rPr>
        <w:t xml:space="preserve"> being shared, they are free not to participate. </w:t>
      </w:r>
    </w:p>
    <w:p w14:paraId="7B7EF25D" w14:textId="551280AA" w:rsidR="00B429F8" w:rsidRDefault="00775D50" w:rsidP="00775D50">
      <w:pPr>
        <w:pStyle w:val="ListParagraph"/>
        <w:numPr>
          <w:ilvl w:val="1"/>
          <w:numId w:val="22"/>
        </w:numPr>
        <w:rPr>
          <w:rFonts w:ascii="Times New Roman" w:hAnsi="Times New Roman"/>
          <w:sz w:val="24"/>
          <w:szCs w:val="24"/>
        </w:rPr>
      </w:pPr>
      <w:r>
        <w:rPr>
          <w:rFonts w:ascii="Times New Roman" w:hAnsi="Times New Roman" w:cs="Times New Roman"/>
          <w:sz w:val="24"/>
          <w:szCs w:val="24"/>
        </w:rPr>
        <w:t>“</w:t>
      </w:r>
      <w:r w:rsidRPr="00775D50">
        <w:rPr>
          <w:rFonts w:ascii="Times New Roman" w:hAnsi="Times New Roman" w:cs="Times New Roman"/>
          <w:sz w:val="24"/>
          <w:szCs w:val="24"/>
        </w:rPr>
        <w:t>None of the information being collected is of a personal nature. We will protect this information to the extent allowed by law. We will not keep a written record of your name, and the information you share will not be used in any report so that you can be identified. By agreeing to participate, you agree to let us audio record today’s discussion. We will destroy the audio recording after 3 years. While we ask that the other participants do not talk about what we discuss today outside of the group, there is the possibility that they might talk and so we cannot guarantee complete privacy in this case.</w:t>
      </w:r>
      <w:r>
        <w:rPr>
          <w:rFonts w:ascii="Times New Roman" w:hAnsi="Times New Roman" w:cs="Times New Roman"/>
          <w:sz w:val="24"/>
          <w:szCs w:val="24"/>
        </w:rPr>
        <w:t>”</w:t>
      </w:r>
    </w:p>
    <w:p w14:paraId="79BDAB28" w14:textId="77777777" w:rsidR="00B429F8" w:rsidRPr="00B429F8" w:rsidRDefault="00B429F8" w:rsidP="00B429F8">
      <w:pPr>
        <w:pStyle w:val="ListParagraph"/>
        <w:rPr>
          <w:rFonts w:ascii="Times New Roman" w:hAnsi="Times New Roman"/>
          <w:sz w:val="24"/>
          <w:szCs w:val="24"/>
        </w:rPr>
      </w:pPr>
    </w:p>
    <w:p w14:paraId="5024D052" w14:textId="4672AFD2" w:rsidR="00B429F8" w:rsidRDefault="00B429F8" w:rsidP="008252BA">
      <w:pPr>
        <w:pStyle w:val="ListParagraph"/>
        <w:numPr>
          <w:ilvl w:val="0"/>
          <w:numId w:val="22"/>
        </w:numPr>
        <w:rPr>
          <w:rFonts w:ascii="Times New Roman" w:hAnsi="Times New Roman"/>
          <w:sz w:val="24"/>
          <w:szCs w:val="24"/>
        </w:rPr>
      </w:pPr>
      <w:r w:rsidRPr="00B429F8">
        <w:rPr>
          <w:rFonts w:ascii="Times New Roman" w:hAnsi="Times New Roman"/>
          <w:sz w:val="24"/>
          <w:szCs w:val="24"/>
        </w:rPr>
        <w:lastRenderedPageBreak/>
        <w:t xml:space="preserve">How the </w:t>
      </w:r>
      <w:r>
        <w:rPr>
          <w:rFonts w:ascii="Times New Roman" w:hAnsi="Times New Roman"/>
          <w:sz w:val="24"/>
          <w:szCs w:val="24"/>
        </w:rPr>
        <w:t>information will be secured -</w:t>
      </w:r>
      <w:r w:rsidRPr="00B429F8">
        <w:rPr>
          <w:rFonts w:ascii="Times New Roman" w:hAnsi="Times New Roman"/>
          <w:sz w:val="24"/>
          <w:szCs w:val="24"/>
        </w:rPr>
        <w:t xml:space="preserve"> </w:t>
      </w:r>
      <w:r w:rsidR="008252BA" w:rsidRPr="008252BA">
        <w:rPr>
          <w:rFonts w:ascii="Times New Roman" w:hAnsi="Times New Roman"/>
          <w:sz w:val="24"/>
          <w:szCs w:val="24"/>
        </w:rPr>
        <w:t>All data will be stored in secured electronic files at CDC’s and/or a contractor’s office and will be accessible only to staff directly involved in the project. All members of the project will be required to sign a statement pledging their personal commitment to guard the security of data. Data files will be retained for a period of no more than three years and then destroyed. After the three years, the documents and multimedia recordings will be deleted. Online data collections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particularly as it relates to handling requests for information from respondents, and in providing assurance to respondents about the protection of their responses.</w:t>
      </w:r>
    </w:p>
    <w:p w14:paraId="2CF476F7" w14:textId="77777777" w:rsidR="00B429F8" w:rsidRPr="00B429F8" w:rsidRDefault="00B429F8" w:rsidP="00B429F8">
      <w:pPr>
        <w:pStyle w:val="ListParagraph"/>
        <w:rPr>
          <w:rFonts w:ascii="Times New Roman" w:hAnsi="Times New Roman"/>
          <w:sz w:val="24"/>
          <w:szCs w:val="24"/>
        </w:rPr>
      </w:pPr>
    </w:p>
    <w:p w14:paraId="3BA9FEA1" w14:textId="1ABF1A04" w:rsidR="00B429F8" w:rsidRPr="00B429F8" w:rsidRDefault="00B429F8" w:rsidP="00B429F8">
      <w:pPr>
        <w:pStyle w:val="ListParagraph"/>
        <w:numPr>
          <w:ilvl w:val="0"/>
          <w:numId w:val="22"/>
        </w:numPr>
        <w:rPr>
          <w:rFonts w:ascii="Times New Roman" w:hAnsi="Times New Roman"/>
          <w:sz w:val="24"/>
          <w:szCs w:val="24"/>
        </w:rPr>
      </w:pPr>
      <w:r w:rsidRPr="00B429F8">
        <w:rPr>
          <w:rFonts w:ascii="Times New Roman" w:hAnsi="Times New Roman"/>
          <w:sz w:val="24"/>
          <w:szCs w:val="24"/>
        </w:rPr>
        <w:t>Whether a system of records is being created under the Privacy Act</w:t>
      </w:r>
      <w:r>
        <w:rPr>
          <w:rFonts w:ascii="Times New Roman" w:hAnsi="Times New Roman"/>
          <w:sz w:val="24"/>
          <w:szCs w:val="24"/>
        </w:rPr>
        <w:t xml:space="preserve"> – No </w:t>
      </w:r>
      <w:r w:rsidRPr="00B429F8">
        <w:rPr>
          <w:rFonts w:ascii="Times New Roman" w:hAnsi="Times New Roman"/>
          <w:sz w:val="24"/>
          <w:szCs w:val="24"/>
        </w:rPr>
        <w:t xml:space="preserve">System of Records </w:t>
      </w:r>
      <w:r>
        <w:rPr>
          <w:rFonts w:ascii="Times New Roman" w:hAnsi="Times New Roman"/>
          <w:sz w:val="24"/>
          <w:szCs w:val="24"/>
        </w:rPr>
        <w:t xml:space="preserve">will be created as a part of this project. </w:t>
      </w:r>
      <w:r w:rsidRPr="00B429F8">
        <w:rPr>
          <w:rFonts w:ascii="Times New Roman" w:hAnsi="Times New Roman"/>
          <w:sz w:val="24"/>
          <w:szCs w:val="24"/>
        </w:rPr>
        <w:t xml:space="preserve">No PII will be </w:t>
      </w:r>
      <w:r w:rsidR="008252BA">
        <w:rPr>
          <w:rFonts w:ascii="Times New Roman" w:hAnsi="Times New Roman"/>
          <w:sz w:val="24"/>
          <w:szCs w:val="24"/>
        </w:rPr>
        <w:t>stored</w:t>
      </w:r>
      <w:r w:rsidRPr="00B429F8">
        <w:rPr>
          <w:rFonts w:ascii="Times New Roman" w:hAnsi="Times New Roman"/>
          <w:sz w:val="24"/>
          <w:szCs w:val="24"/>
        </w:rPr>
        <w:t xml:space="preserve"> from focus group participants in group sessions. </w:t>
      </w:r>
    </w:p>
    <w:p w14:paraId="7DBAE63B" w14:textId="77777777" w:rsidR="00785221" w:rsidRPr="009D108F" w:rsidRDefault="00785221" w:rsidP="00785221">
      <w:pPr>
        <w:pStyle w:val="Heading2"/>
      </w:pPr>
      <w:r w:rsidRPr="00D93863">
        <w:t>11. Justification for Sensitive Questions</w:t>
      </w:r>
      <w:r w:rsidRPr="009D108F">
        <w:t xml:space="preserve"> </w:t>
      </w:r>
    </w:p>
    <w:p w14:paraId="1162E9DD" w14:textId="77777777" w:rsidR="008252BA" w:rsidRPr="008252BA" w:rsidRDefault="008252BA" w:rsidP="008252BA">
      <w:pPr>
        <w:rPr>
          <w:rFonts w:ascii="Times New Roman" w:eastAsia="Times New Roman" w:hAnsi="Times New Roman" w:cs="Times New Roman"/>
          <w:bCs/>
          <w:iCs/>
          <w:sz w:val="24"/>
          <w:szCs w:val="24"/>
        </w:rPr>
      </w:pPr>
      <w:r w:rsidRPr="008252BA">
        <w:rPr>
          <w:rFonts w:ascii="Times New Roman" w:eastAsia="Times New Roman" w:hAnsi="Times New Roman" w:cs="Times New Roman"/>
          <w:bCs/>
          <w:iCs/>
          <w:sz w:val="24"/>
          <w:szCs w:val="24"/>
        </w:rPr>
        <w:lastRenderedPageBreak/>
        <w:t xml:space="preserve">The majority of questions asked will not be of a sensitive nature. However, some respondents may find thinking about and discussing a disease unpleasant, or a portion of respondents could consider questions about race, ethnicity, or other demographic characteristics to be sensitive. Where relevant to the information collection, race and ethnicity data will be collected consistent with HHS policy and standard OMB classifications. </w:t>
      </w:r>
    </w:p>
    <w:p w14:paraId="0509C55D" w14:textId="77777777" w:rsidR="008252BA" w:rsidRPr="008252BA" w:rsidRDefault="008252BA" w:rsidP="008252BA">
      <w:pPr>
        <w:rPr>
          <w:rFonts w:ascii="Times New Roman" w:eastAsia="Times New Roman" w:hAnsi="Times New Roman" w:cs="Times New Roman"/>
          <w:bCs/>
          <w:iCs/>
          <w:sz w:val="24"/>
          <w:szCs w:val="24"/>
        </w:rPr>
      </w:pPr>
    </w:p>
    <w:p w14:paraId="31194D70" w14:textId="335C8341" w:rsidR="008252BA" w:rsidRPr="008252BA" w:rsidRDefault="008252BA" w:rsidP="008252BA">
      <w:pPr>
        <w:rPr>
          <w:rFonts w:ascii="Times New Roman" w:eastAsia="Times New Roman" w:hAnsi="Times New Roman" w:cs="Times New Roman"/>
          <w:bCs/>
          <w:iCs/>
          <w:sz w:val="24"/>
          <w:szCs w:val="24"/>
        </w:rPr>
      </w:pPr>
      <w:r w:rsidRPr="008252BA">
        <w:rPr>
          <w:rFonts w:ascii="Times New Roman" w:eastAsia="Times New Roman" w:hAnsi="Times New Roman" w:cs="Times New Roman"/>
          <w:bCs/>
          <w:iCs/>
          <w:sz w:val="24"/>
          <w:szCs w:val="24"/>
        </w:rPr>
        <w:t>Additionally, some respondents may feel uncomfortable answering particular questions about their individual experiences, level of disease awareness, belie</w:t>
      </w:r>
      <w:r w:rsidR="006459BF">
        <w:rPr>
          <w:rFonts w:ascii="Times New Roman" w:eastAsia="Times New Roman" w:hAnsi="Times New Roman" w:cs="Times New Roman"/>
          <w:bCs/>
          <w:iCs/>
          <w:sz w:val="24"/>
          <w:szCs w:val="24"/>
        </w:rPr>
        <w:t>fs</w:t>
      </w:r>
      <w:r w:rsidRPr="008252BA">
        <w:rPr>
          <w:rFonts w:ascii="Times New Roman" w:eastAsia="Times New Roman" w:hAnsi="Times New Roman" w:cs="Times New Roman"/>
          <w:bCs/>
          <w:iCs/>
          <w:sz w:val="24"/>
          <w:szCs w:val="24"/>
        </w:rPr>
        <w:t xml:space="preserve"> and/or adopted preventative behaviors (or lack thereof) associated with various diseases. However, such questions are necessary for the purposes of a targeted CDC activity and thus to the information collection. To minimize psychological distress, the interviewer or focus group moderator will inform participants that they do not have to respond to any questions they do not want to answer and they may stop participating at any time. Each individual information collection will provide justification for the inclusion of any questions that may be of a sensitive nature.</w:t>
      </w:r>
    </w:p>
    <w:p w14:paraId="7F96186C" w14:textId="32BC8367" w:rsidR="004F0A44" w:rsidRDefault="004F0A44" w:rsidP="008252BA">
      <w:pPr>
        <w:pStyle w:val="Heading2"/>
      </w:pPr>
      <w:r>
        <w:t>1</w:t>
      </w:r>
      <w:r w:rsidRPr="009D108F">
        <w:t>2</w:t>
      </w:r>
      <w:r>
        <w:t>.</w:t>
      </w:r>
      <w:r w:rsidRPr="009D108F">
        <w:t xml:space="preserve"> Estimates of Annualized Burden Hours and Costs</w:t>
      </w:r>
    </w:p>
    <w:p w14:paraId="7362B2BD" w14:textId="16F08D61" w:rsidR="001542AC" w:rsidRPr="001542AC" w:rsidRDefault="004D5EA4" w:rsidP="001542AC">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1542AC" w:rsidRPr="001542AC">
        <w:rPr>
          <w:rFonts w:ascii="Times New Roman" w:eastAsia="Times New Roman" w:hAnsi="Times New Roman" w:cs="Times New Roman"/>
          <w:sz w:val="24"/>
          <w:szCs w:val="24"/>
        </w:rPr>
        <w:t xml:space="preserve">DGMQ estimates that 240 Mexican-born people living in the U.S.-Mexico border region will be screened using the Participant Screener form; of those, only 120 will be eligible to participate and recruited for information collection activities each year. 240 individuals will be screened once, with a burden of 10 minutes per screening, for a total burden of 40 hours. It is estimated that there will be up to 10 focus groups, with 12 participants per focus group.  </w:t>
      </w:r>
    </w:p>
    <w:p w14:paraId="2C6FFAEA" w14:textId="77777777" w:rsidR="001542AC" w:rsidRPr="001542AC" w:rsidRDefault="001542AC" w:rsidP="001542AC">
      <w:pPr>
        <w:rPr>
          <w:rFonts w:ascii="Times New Roman" w:eastAsia="Times New Roman" w:hAnsi="Times New Roman" w:cs="Times New Roman"/>
          <w:sz w:val="24"/>
          <w:szCs w:val="24"/>
        </w:rPr>
      </w:pPr>
    </w:p>
    <w:p w14:paraId="1097188A" w14:textId="2F1CC0D4" w:rsidR="001542AC" w:rsidRPr="001542AC" w:rsidRDefault="001542AC" w:rsidP="001542AC">
      <w:pPr>
        <w:keepNext/>
        <w:keepLines/>
        <w:spacing w:before="200"/>
        <w:outlineLvl w:val="1"/>
        <w:rPr>
          <w:rFonts w:ascii="Times New Roman" w:eastAsia="Times New Roman" w:hAnsi="Times New Roman" w:cs="Times New Roman"/>
          <w:bCs/>
          <w:sz w:val="24"/>
          <w:szCs w:val="24"/>
        </w:rPr>
      </w:pPr>
      <w:bookmarkStart w:id="1" w:name="_Toc295818078"/>
      <w:bookmarkStart w:id="2" w:name="_Toc295819851"/>
      <w:bookmarkStart w:id="3" w:name="_Toc299968005"/>
      <w:bookmarkStart w:id="4" w:name="_Toc331406345"/>
      <w:bookmarkStart w:id="5" w:name="_Toc423590893"/>
      <w:r w:rsidRPr="001542AC">
        <w:rPr>
          <w:rFonts w:ascii="Times New Roman" w:eastAsia="Times New Roman" w:hAnsi="Times New Roman" w:cs="Times New Roman"/>
          <w:bCs/>
          <w:sz w:val="24"/>
          <w:szCs w:val="24"/>
        </w:rPr>
        <w:t>Table A.</w:t>
      </w:r>
      <w:r>
        <w:rPr>
          <w:rFonts w:ascii="Times New Roman" w:eastAsia="Times New Roman" w:hAnsi="Times New Roman" w:cs="Times New Roman"/>
          <w:bCs/>
          <w:sz w:val="24"/>
          <w:szCs w:val="24"/>
        </w:rPr>
        <w:t>1</w:t>
      </w:r>
      <w:r w:rsidRPr="001542AC">
        <w:rPr>
          <w:rFonts w:ascii="Times New Roman" w:eastAsia="Times New Roman" w:hAnsi="Times New Roman" w:cs="Times New Roman"/>
          <w:bCs/>
          <w:sz w:val="24"/>
          <w:szCs w:val="24"/>
        </w:rPr>
        <w:t>2-A: Estimated Annualized Burden to Respondents</w:t>
      </w:r>
      <w:bookmarkEnd w:id="1"/>
      <w:bookmarkEnd w:id="2"/>
      <w:bookmarkEnd w:id="3"/>
      <w:bookmarkEnd w:id="4"/>
      <w:bookmarkEnd w:id="5"/>
    </w:p>
    <w:tbl>
      <w:tblPr>
        <w:tblStyle w:val="TableGrid2"/>
        <w:tblW w:w="0" w:type="auto"/>
        <w:tblCellMar>
          <w:left w:w="115" w:type="dxa"/>
          <w:right w:w="115" w:type="dxa"/>
        </w:tblCellMar>
        <w:tblLook w:val="01E0" w:firstRow="1" w:lastRow="1" w:firstColumn="1" w:lastColumn="1" w:noHBand="0" w:noVBand="0"/>
      </w:tblPr>
      <w:tblGrid>
        <w:gridCol w:w="1691"/>
        <w:gridCol w:w="2312"/>
        <w:gridCol w:w="1537"/>
        <w:gridCol w:w="1444"/>
        <w:gridCol w:w="1208"/>
        <w:gridCol w:w="1210"/>
      </w:tblGrid>
      <w:tr w:rsidR="001542AC" w:rsidRPr="001542AC" w14:paraId="2A748ACC" w14:textId="77777777" w:rsidTr="000A4D46">
        <w:trPr>
          <w:cantSplit/>
          <w:tblHeader/>
        </w:trPr>
        <w:tc>
          <w:tcPr>
            <w:tcW w:w="1691" w:type="dxa"/>
            <w:vAlign w:val="center"/>
          </w:tcPr>
          <w:p w14:paraId="0F951ABC" w14:textId="77777777" w:rsidR="001542AC" w:rsidRPr="001542AC" w:rsidRDefault="001542AC" w:rsidP="001542AC">
            <w:pPr>
              <w:tabs>
                <w:tab w:val="left" w:pos="-1440"/>
              </w:tabs>
              <w:jc w:val="center"/>
              <w:rPr>
                <w:b/>
                <w:sz w:val="24"/>
                <w:szCs w:val="24"/>
              </w:rPr>
            </w:pPr>
            <w:r w:rsidRPr="001542AC">
              <w:rPr>
                <w:b/>
                <w:sz w:val="24"/>
                <w:szCs w:val="24"/>
              </w:rPr>
              <w:t>Type of Respondent</w:t>
            </w:r>
          </w:p>
        </w:tc>
        <w:tc>
          <w:tcPr>
            <w:tcW w:w="2312" w:type="dxa"/>
            <w:vAlign w:val="center"/>
          </w:tcPr>
          <w:p w14:paraId="662F6567" w14:textId="77777777" w:rsidR="001542AC" w:rsidRPr="001542AC" w:rsidRDefault="001542AC" w:rsidP="001542AC">
            <w:pPr>
              <w:tabs>
                <w:tab w:val="left" w:pos="-1440"/>
              </w:tabs>
              <w:jc w:val="center"/>
              <w:rPr>
                <w:b/>
                <w:sz w:val="24"/>
                <w:szCs w:val="24"/>
              </w:rPr>
            </w:pPr>
            <w:r w:rsidRPr="001542AC">
              <w:rPr>
                <w:b/>
                <w:sz w:val="24"/>
                <w:szCs w:val="24"/>
              </w:rPr>
              <w:t>Form Name</w:t>
            </w:r>
          </w:p>
        </w:tc>
        <w:tc>
          <w:tcPr>
            <w:tcW w:w="1535" w:type="dxa"/>
            <w:vAlign w:val="center"/>
          </w:tcPr>
          <w:p w14:paraId="435208B8" w14:textId="77777777" w:rsidR="001542AC" w:rsidRPr="001542AC" w:rsidRDefault="001542AC" w:rsidP="001542AC">
            <w:pPr>
              <w:tabs>
                <w:tab w:val="left" w:pos="-1440"/>
              </w:tabs>
              <w:jc w:val="center"/>
              <w:rPr>
                <w:b/>
                <w:sz w:val="24"/>
                <w:szCs w:val="24"/>
              </w:rPr>
            </w:pPr>
            <w:r w:rsidRPr="001542AC">
              <w:rPr>
                <w:b/>
                <w:sz w:val="24"/>
                <w:szCs w:val="24"/>
              </w:rPr>
              <w:t>No. of Respondents</w:t>
            </w:r>
          </w:p>
        </w:tc>
        <w:tc>
          <w:tcPr>
            <w:tcW w:w="1394" w:type="dxa"/>
            <w:vAlign w:val="center"/>
          </w:tcPr>
          <w:p w14:paraId="3D254EB0" w14:textId="77777777" w:rsidR="001542AC" w:rsidRPr="001542AC" w:rsidRDefault="001542AC" w:rsidP="001542AC">
            <w:pPr>
              <w:tabs>
                <w:tab w:val="left" w:pos="-1440"/>
              </w:tabs>
              <w:jc w:val="center"/>
              <w:rPr>
                <w:b/>
                <w:sz w:val="24"/>
                <w:szCs w:val="24"/>
              </w:rPr>
            </w:pPr>
            <w:r w:rsidRPr="001542AC">
              <w:rPr>
                <w:b/>
                <w:sz w:val="24"/>
                <w:szCs w:val="24"/>
              </w:rPr>
              <w:t>No. of Responses per Respondent</w:t>
            </w:r>
          </w:p>
        </w:tc>
        <w:tc>
          <w:tcPr>
            <w:tcW w:w="1208" w:type="dxa"/>
            <w:vAlign w:val="center"/>
          </w:tcPr>
          <w:p w14:paraId="5B489997" w14:textId="77777777" w:rsidR="001542AC" w:rsidRPr="001542AC" w:rsidRDefault="001542AC" w:rsidP="001542AC">
            <w:pPr>
              <w:tabs>
                <w:tab w:val="left" w:pos="-1440"/>
              </w:tabs>
              <w:jc w:val="center"/>
              <w:rPr>
                <w:b/>
                <w:sz w:val="24"/>
                <w:szCs w:val="24"/>
              </w:rPr>
            </w:pPr>
            <w:r w:rsidRPr="001542AC">
              <w:rPr>
                <w:b/>
                <w:sz w:val="24"/>
                <w:szCs w:val="24"/>
              </w:rPr>
              <w:t>Average Burden per Response  (in hours)</w:t>
            </w:r>
          </w:p>
        </w:tc>
        <w:tc>
          <w:tcPr>
            <w:tcW w:w="1210" w:type="dxa"/>
            <w:vAlign w:val="center"/>
          </w:tcPr>
          <w:p w14:paraId="0B392607" w14:textId="77777777" w:rsidR="001542AC" w:rsidRPr="001542AC" w:rsidRDefault="001542AC" w:rsidP="001542AC">
            <w:pPr>
              <w:tabs>
                <w:tab w:val="left" w:pos="-1440"/>
              </w:tabs>
              <w:jc w:val="center"/>
              <w:rPr>
                <w:b/>
                <w:sz w:val="24"/>
                <w:szCs w:val="24"/>
              </w:rPr>
            </w:pPr>
            <w:r w:rsidRPr="001542AC">
              <w:rPr>
                <w:b/>
                <w:sz w:val="24"/>
                <w:szCs w:val="24"/>
              </w:rPr>
              <w:t>Total Burden Hours</w:t>
            </w:r>
          </w:p>
        </w:tc>
      </w:tr>
      <w:tr w:rsidR="001542AC" w:rsidRPr="001542AC" w14:paraId="5C4EB443" w14:textId="77777777" w:rsidTr="000A4D46">
        <w:trPr>
          <w:cantSplit/>
          <w:trHeight w:val="1538"/>
        </w:trPr>
        <w:tc>
          <w:tcPr>
            <w:tcW w:w="1691" w:type="dxa"/>
          </w:tcPr>
          <w:p w14:paraId="53FD8D0C" w14:textId="77777777" w:rsidR="001542AC" w:rsidRPr="001542AC" w:rsidRDefault="001542AC" w:rsidP="001542AC">
            <w:pPr>
              <w:tabs>
                <w:tab w:val="left" w:pos="-1440"/>
              </w:tabs>
              <w:rPr>
                <w:sz w:val="24"/>
                <w:szCs w:val="24"/>
              </w:rPr>
            </w:pPr>
            <w:r w:rsidRPr="001542AC">
              <w:rPr>
                <w:color w:val="000000"/>
                <w:sz w:val="24"/>
                <w:szCs w:val="24"/>
              </w:rPr>
              <w:t xml:space="preserve">Mexican-born living in the U.S-Mexico border region </w:t>
            </w:r>
            <w:r w:rsidRPr="001542AC" w:rsidDel="00DF090F">
              <w:rPr>
                <w:color w:val="000000"/>
                <w:sz w:val="24"/>
                <w:szCs w:val="24"/>
              </w:rPr>
              <w:t xml:space="preserve"> </w:t>
            </w:r>
            <w:r w:rsidRPr="001542AC">
              <w:rPr>
                <w:color w:val="000000"/>
                <w:sz w:val="24"/>
                <w:szCs w:val="24"/>
              </w:rPr>
              <w:t xml:space="preserve"> </w:t>
            </w:r>
          </w:p>
        </w:tc>
        <w:tc>
          <w:tcPr>
            <w:tcW w:w="2312" w:type="dxa"/>
          </w:tcPr>
          <w:p w14:paraId="4118F680" w14:textId="77777777" w:rsidR="001542AC" w:rsidRPr="001542AC" w:rsidRDefault="001542AC" w:rsidP="001542AC">
            <w:pPr>
              <w:tabs>
                <w:tab w:val="left" w:pos="-1440"/>
              </w:tabs>
              <w:rPr>
                <w:sz w:val="24"/>
                <w:szCs w:val="24"/>
              </w:rPr>
            </w:pPr>
            <w:r w:rsidRPr="001542AC">
              <w:rPr>
                <w:sz w:val="24"/>
                <w:szCs w:val="24"/>
              </w:rPr>
              <w:t xml:space="preserve">Participant Screener </w:t>
            </w:r>
          </w:p>
          <w:p w14:paraId="75B570FA" w14:textId="77777777" w:rsidR="001542AC" w:rsidRPr="001542AC" w:rsidRDefault="001542AC" w:rsidP="001542AC">
            <w:pPr>
              <w:tabs>
                <w:tab w:val="left" w:pos="-1440"/>
              </w:tabs>
              <w:rPr>
                <w:sz w:val="24"/>
                <w:szCs w:val="24"/>
              </w:rPr>
            </w:pPr>
          </w:p>
        </w:tc>
        <w:tc>
          <w:tcPr>
            <w:tcW w:w="1535" w:type="dxa"/>
          </w:tcPr>
          <w:p w14:paraId="4CBC16EA" w14:textId="77777777" w:rsidR="001542AC" w:rsidRPr="001542AC" w:rsidRDefault="001542AC" w:rsidP="004D5EA4">
            <w:pPr>
              <w:tabs>
                <w:tab w:val="left" w:pos="-1440"/>
              </w:tabs>
              <w:rPr>
                <w:sz w:val="24"/>
                <w:szCs w:val="24"/>
              </w:rPr>
            </w:pPr>
            <w:r w:rsidRPr="001542AC">
              <w:rPr>
                <w:sz w:val="24"/>
                <w:szCs w:val="24"/>
              </w:rPr>
              <w:t>240 (240 people screened, 120 of those eligible to participate in focus groups)</w:t>
            </w:r>
          </w:p>
        </w:tc>
        <w:tc>
          <w:tcPr>
            <w:tcW w:w="1394" w:type="dxa"/>
          </w:tcPr>
          <w:p w14:paraId="66C7DEA8" w14:textId="77777777" w:rsidR="001542AC" w:rsidRPr="001542AC" w:rsidRDefault="001542AC" w:rsidP="001542AC">
            <w:pPr>
              <w:tabs>
                <w:tab w:val="left" w:pos="-1440"/>
              </w:tabs>
              <w:jc w:val="center"/>
              <w:rPr>
                <w:sz w:val="24"/>
                <w:szCs w:val="24"/>
              </w:rPr>
            </w:pPr>
            <w:r w:rsidRPr="001542AC">
              <w:rPr>
                <w:sz w:val="24"/>
                <w:szCs w:val="24"/>
              </w:rPr>
              <w:t>1</w:t>
            </w:r>
          </w:p>
        </w:tc>
        <w:tc>
          <w:tcPr>
            <w:tcW w:w="1208" w:type="dxa"/>
          </w:tcPr>
          <w:p w14:paraId="1CB5B018" w14:textId="77777777" w:rsidR="001542AC" w:rsidRPr="001542AC" w:rsidRDefault="001542AC" w:rsidP="001542AC">
            <w:pPr>
              <w:tabs>
                <w:tab w:val="left" w:pos="-1440"/>
              </w:tabs>
              <w:jc w:val="center"/>
              <w:rPr>
                <w:sz w:val="24"/>
                <w:szCs w:val="24"/>
              </w:rPr>
            </w:pPr>
            <w:r w:rsidRPr="001542AC">
              <w:rPr>
                <w:sz w:val="24"/>
                <w:szCs w:val="24"/>
              </w:rPr>
              <w:t>10/60</w:t>
            </w:r>
          </w:p>
        </w:tc>
        <w:tc>
          <w:tcPr>
            <w:tcW w:w="1210" w:type="dxa"/>
          </w:tcPr>
          <w:p w14:paraId="01315320" w14:textId="77777777" w:rsidR="001542AC" w:rsidRPr="001542AC" w:rsidRDefault="001542AC" w:rsidP="001542AC">
            <w:pPr>
              <w:tabs>
                <w:tab w:val="left" w:pos="-1440"/>
              </w:tabs>
              <w:jc w:val="center"/>
              <w:rPr>
                <w:sz w:val="24"/>
                <w:szCs w:val="24"/>
              </w:rPr>
            </w:pPr>
            <w:r w:rsidRPr="001542AC">
              <w:rPr>
                <w:sz w:val="24"/>
                <w:szCs w:val="24"/>
              </w:rPr>
              <w:t>40</w:t>
            </w:r>
          </w:p>
        </w:tc>
      </w:tr>
      <w:tr w:rsidR="001542AC" w:rsidRPr="001542AC" w14:paraId="48B08A25" w14:textId="77777777" w:rsidTr="000A4D46">
        <w:trPr>
          <w:cantSplit/>
          <w:trHeight w:val="1340"/>
        </w:trPr>
        <w:tc>
          <w:tcPr>
            <w:tcW w:w="1691" w:type="dxa"/>
          </w:tcPr>
          <w:p w14:paraId="52664CAD" w14:textId="77777777" w:rsidR="001542AC" w:rsidRPr="001542AC" w:rsidRDefault="001542AC" w:rsidP="001542AC">
            <w:pPr>
              <w:tabs>
                <w:tab w:val="left" w:pos="-1440"/>
              </w:tabs>
              <w:rPr>
                <w:color w:val="000000"/>
                <w:sz w:val="24"/>
                <w:szCs w:val="24"/>
              </w:rPr>
            </w:pPr>
            <w:r w:rsidRPr="001542AC">
              <w:rPr>
                <w:color w:val="000000"/>
                <w:sz w:val="24"/>
                <w:szCs w:val="24"/>
              </w:rPr>
              <w:t>Mexican-born living in the U.S-Mexico border region</w:t>
            </w:r>
          </w:p>
        </w:tc>
        <w:tc>
          <w:tcPr>
            <w:tcW w:w="2312" w:type="dxa"/>
          </w:tcPr>
          <w:p w14:paraId="39986217" w14:textId="77777777" w:rsidR="001542AC" w:rsidRPr="001542AC" w:rsidRDefault="001542AC" w:rsidP="001542AC">
            <w:pPr>
              <w:tabs>
                <w:tab w:val="left" w:pos="-1440"/>
              </w:tabs>
              <w:rPr>
                <w:sz w:val="24"/>
                <w:szCs w:val="24"/>
              </w:rPr>
            </w:pPr>
            <w:r w:rsidRPr="001542AC">
              <w:rPr>
                <w:sz w:val="24"/>
                <w:szCs w:val="24"/>
              </w:rPr>
              <w:t xml:space="preserve">Focus Group Discussion Guide </w:t>
            </w:r>
          </w:p>
        </w:tc>
        <w:tc>
          <w:tcPr>
            <w:tcW w:w="1535" w:type="dxa"/>
          </w:tcPr>
          <w:p w14:paraId="25F7CCA5" w14:textId="77777777" w:rsidR="001542AC" w:rsidRPr="001542AC" w:rsidRDefault="001542AC" w:rsidP="004D5EA4">
            <w:pPr>
              <w:tabs>
                <w:tab w:val="left" w:pos="-1440"/>
              </w:tabs>
              <w:rPr>
                <w:sz w:val="24"/>
                <w:szCs w:val="24"/>
              </w:rPr>
            </w:pPr>
            <w:r w:rsidRPr="001542AC">
              <w:rPr>
                <w:sz w:val="24"/>
                <w:szCs w:val="24"/>
              </w:rPr>
              <w:t>120</w:t>
            </w:r>
          </w:p>
          <w:p w14:paraId="2E72A9F0" w14:textId="77777777" w:rsidR="001542AC" w:rsidRPr="001542AC" w:rsidRDefault="001542AC" w:rsidP="004D5EA4">
            <w:pPr>
              <w:tabs>
                <w:tab w:val="left" w:pos="-1440"/>
              </w:tabs>
              <w:rPr>
                <w:sz w:val="24"/>
                <w:szCs w:val="24"/>
              </w:rPr>
            </w:pPr>
            <w:r w:rsidRPr="001542AC">
              <w:rPr>
                <w:sz w:val="24"/>
                <w:szCs w:val="24"/>
              </w:rPr>
              <w:t>(Up to 10 focus groups  and up to 12 participants per focus group)</w:t>
            </w:r>
          </w:p>
        </w:tc>
        <w:tc>
          <w:tcPr>
            <w:tcW w:w="1394" w:type="dxa"/>
          </w:tcPr>
          <w:p w14:paraId="7FEE2769" w14:textId="77777777" w:rsidR="001542AC" w:rsidRPr="001542AC" w:rsidRDefault="001542AC" w:rsidP="001542AC">
            <w:pPr>
              <w:tabs>
                <w:tab w:val="left" w:pos="-1440"/>
              </w:tabs>
              <w:jc w:val="center"/>
              <w:rPr>
                <w:sz w:val="24"/>
                <w:szCs w:val="24"/>
              </w:rPr>
            </w:pPr>
            <w:r w:rsidRPr="001542AC">
              <w:rPr>
                <w:sz w:val="24"/>
                <w:szCs w:val="24"/>
              </w:rPr>
              <w:t>1</w:t>
            </w:r>
          </w:p>
        </w:tc>
        <w:tc>
          <w:tcPr>
            <w:tcW w:w="1208" w:type="dxa"/>
          </w:tcPr>
          <w:p w14:paraId="6E6AF56E" w14:textId="77777777" w:rsidR="001542AC" w:rsidRPr="001542AC" w:rsidRDefault="001542AC" w:rsidP="001542AC">
            <w:pPr>
              <w:tabs>
                <w:tab w:val="left" w:pos="-1440"/>
              </w:tabs>
              <w:jc w:val="center"/>
              <w:rPr>
                <w:sz w:val="24"/>
                <w:szCs w:val="24"/>
              </w:rPr>
            </w:pPr>
            <w:r w:rsidRPr="001542AC">
              <w:rPr>
                <w:sz w:val="24"/>
                <w:szCs w:val="24"/>
              </w:rPr>
              <w:t>120/60</w:t>
            </w:r>
          </w:p>
        </w:tc>
        <w:tc>
          <w:tcPr>
            <w:tcW w:w="1210" w:type="dxa"/>
          </w:tcPr>
          <w:p w14:paraId="18567AC5" w14:textId="77777777" w:rsidR="001542AC" w:rsidRPr="001542AC" w:rsidRDefault="001542AC" w:rsidP="001542AC">
            <w:pPr>
              <w:tabs>
                <w:tab w:val="left" w:pos="-1440"/>
              </w:tabs>
              <w:jc w:val="center"/>
              <w:rPr>
                <w:sz w:val="24"/>
                <w:szCs w:val="24"/>
              </w:rPr>
            </w:pPr>
            <w:r w:rsidRPr="001542AC">
              <w:rPr>
                <w:sz w:val="24"/>
                <w:szCs w:val="24"/>
              </w:rPr>
              <w:t>240</w:t>
            </w:r>
          </w:p>
        </w:tc>
      </w:tr>
      <w:tr w:rsidR="001542AC" w:rsidRPr="001542AC" w14:paraId="24BDC862" w14:textId="77777777" w:rsidTr="000A4D46">
        <w:trPr>
          <w:cantSplit/>
          <w:trHeight w:val="350"/>
        </w:trPr>
        <w:tc>
          <w:tcPr>
            <w:tcW w:w="8140" w:type="dxa"/>
            <w:gridSpan w:val="5"/>
            <w:vAlign w:val="center"/>
          </w:tcPr>
          <w:p w14:paraId="37B07838" w14:textId="77777777" w:rsidR="001542AC" w:rsidRPr="001542AC" w:rsidRDefault="001542AC" w:rsidP="001542AC">
            <w:pPr>
              <w:tabs>
                <w:tab w:val="left" w:pos="-1440"/>
              </w:tabs>
              <w:jc w:val="right"/>
              <w:rPr>
                <w:sz w:val="24"/>
                <w:szCs w:val="24"/>
              </w:rPr>
            </w:pPr>
            <w:r w:rsidRPr="001542AC">
              <w:rPr>
                <w:sz w:val="24"/>
                <w:szCs w:val="24"/>
              </w:rPr>
              <w:t>Total estimated annualized burden hours to respondents</w:t>
            </w:r>
          </w:p>
        </w:tc>
        <w:tc>
          <w:tcPr>
            <w:tcW w:w="1210" w:type="dxa"/>
          </w:tcPr>
          <w:p w14:paraId="0800E0D4" w14:textId="77777777" w:rsidR="001542AC" w:rsidRPr="001542AC" w:rsidRDefault="001542AC" w:rsidP="001542AC">
            <w:pPr>
              <w:tabs>
                <w:tab w:val="left" w:pos="-1440"/>
              </w:tabs>
              <w:jc w:val="center"/>
              <w:rPr>
                <w:sz w:val="24"/>
                <w:szCs w:val="24"/>
              </w:rPr>
            </w:pPr>
            <w:r w:rsidRPr="001542AC">
              <w:rPr>
                <w:sz w:val="24"/>
                <w:szCs w:val="24"/>
              </w:rPr>
              <w:t>280</w:t>
            </w:r>
          </w:p>
        </w:tc>
      </w:tr>
    </w:tbl>
    <w:p w14:paraId="1FBD2741" w14:textId="77777777" w:rsidR="001542AC" w:rsidRPr="001542AC" w:rsidRDefault="001542AC" w:rsidP="001542AC">
      <w:pPr>
        <w:rPr>
          <w:rFonts w:ascii="Times New Roman" w:eastAsia="Times New Roman" w:hAnsi="Times New Roman" w:cs="Times New Roman"/>
          <w:sz w:val="24"/>
          <w:szCs w:val="24"/>
        </w:rPr>
      </w:pPr>
    </w:p>
    <w:p w14:paraId="60CD484E" w14:textId="77777777" w:rsidR="001542AC" w:rsidRDefault="001542AC" w:rsidP="001542AC">
      <w:pPr>
        <w:autoSpaceDE w:val="0"/>
        <w:autoSpaceDN w:val="0"/>
        <w:adjustRightInd w:val="0"/>
        <w:rPr>
          <w:rFonts w:ascii="Times New Roman" w:eastAsia="Times New Roman" w:hAnsi="Times New Roman" w:cs="Times New Roman"/>
          <w:color w:val="000000"/>
          <w:sz w:val="24"/>
          <w:szCs w:val="24"/>
        </w:rPr>
      </w:pPr>
      <w:bookmarkStart w:id="6" w:name="_Toc295819852"/>
      <w:bookmarkStart w:id="7" w:name="_Toc299968006"/>
      <w:bookmarkStart w:id="8" w:name="_Toc331406346"/>
      <w:bookmarkStart w:id="9" w:name="_Toc423590894"/>
    </w:p>
    <w:p w14:paraId="03A1F91C" w14:textId="77777777" w:rsidR="001542AC" w:rsidRPr="001542AC" w:rsidRDefault="001542AC" w:rsidP="001542AC">
      <w:pPr>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lastRenderedPageBreak/>
        <w:t xml:space="preserve">It is estimated that information collection activities will total 280 burden hours per year, at an annualized cost to respondents of </w:t>
      </w:r>
      <w:r w:rsidRPr="001542AC">
        <w:rPr>
          <w:rFonts w:ascii="Times New Roman" w:eastAsia="Times New Roman" w:hAnsi="Times New Roman" w:cs="Times New Roman"/>
          <w:color w:val="000000"/>
          <w:sz w:val="24"/>
          <w:szCs w:val="24"/>
        </w:rPr>
        <w:t>$6,358.80</w:t>
      </w:r>
      <w:r w:rsidRPr="001542AC">
        <w:rPr>
          <w:rFonts w:ascii="Times New Roman" w:eastAsia="Times New Roman" w:hAnsi="Times New Roman" w:cs="Times New Roman"/>
          <w:sz w:val="24"/>
          <w:szCs w:val="24"/>
        </w:rPr>
        <w:t>.</w:t>
      </w:r>
    </w:p>
    <w:p w14:paraId="77DE6296" w14:textId="77777777" w:rsidR="001542AC" w:rsidRPr="001542AC" w:rsidRDefault="001542AC" w:rsidP="001542AC">
      <w:pPr>
        <w:rPr>
          <w:rFonts w:ascii="Times New Roman" w:eastAsia="Times New Roman" w:hAnsi="Times New Roman" w:cs="Times New Roman"/>
          <w:color w:val="000000"/>
          <w:sz w:val="24"/>
          <w:szCs w:val="24"/>
        </w:rPr>
      </w:pPr>
    </w:p>
    <w:p w14:paraId="647AE5D3" w14:textId="77777777" w:rsidR="001542AC" w:rsidRPr="001542AC" w:rsidRDefault="001542AC" w:rsidP="001542AC">
      <w:pPr>
        <w:keepNext/>
        <w:keepLines/>
        <w:spacing w:before="200"/>
        <w:outlineLvl w:val="1"/>
        <w:rPr>
          <w:rFonts w:ascii="Times New Roman" w:eastAsia="Times New Roman" w:hAnsi="Times New Roman" w:cs="Times New Roman"/>
          <w:bCs/>
          <w:sz w:val="24"/>
          <w:szCs w:val="24"/>
        </w:rPr>
      </w:pPr>
      <w:r w:rsidRPr="001542AC">
        <w:rPr>
          <w:rFonts w:ascii="Times New Roman" w:eastAsia="Times New Roman" w:hAnsi="Times New Roman" w:cs="Times New Roman"/>
          <w:bCs/>
          <w:sz w:val="24"/>
          <w:szCs w:val="24"/>
        </w:rPr>
        <w:t xml:space="preserve">Table A. </w:t>
      </w:r>
      <w:r>
        <w:rPr>
          <w:rFonts w:ascii="Times New Roman" w:eastAsia="Times New Roman" w:hAnsi="Times New Roman" w:cs="Times New Roman"/>
          <w:bCs/>
          <w:sz w:val="24"/>
          <w:szCs w:val="24"/>
        </w:rPr>
        <w:t>1</w:t>
      </w:r>
      <w:r w:rsidRPr="001542AC">
        <w:rPr>
          <w:rFonts w:ascii="Times New Roman" w:eastAsia="Times New Roman" w:hAnsi="Times New Roman" w:cs="Times New Roman"/>
          <w:bCs/>
          <w:sz w:val="24"/>
          <w:szCs w:val="24"/>
        </w:rPr>
        <w:t xml:space="preserve">2-B: Estimated Annualized Cost to Respondents </w:t>
      </w:r>
    </w:p>
    <w:tbl>
      <w:tblPr>
        <w:tblStyle w:val="TableGrid2"/>
        <w:tblW w:w="9558" w:type="dxa"/>
        <w:tblLook w:val="01E0" w:firstRow="1" w:lastRow="1" w:firstColumn="1" w:lastColumn="1" w:noHBand="0" w:noVBand="0"/>
      </w:tblPr>
      <w:tblGrid>
        <w:gridCol w:w="1738"/>
        <w:gridCol w:w="2240"/>
        <w:gridCol w:w="1620"/>
        <w:gridCol w:w="2520"/>
        <w:gridCol w:w="1440"/>
      </w:tblGrid>
      <w:tr w:rsidR="001542AC" w:rsidRPr="001542AC" w14:paraId="11C2FA3E" w14:textId="77777777" w:rsidTr="000A4D46">
        <w:trPr>
          <w:cantSplit/>
          <w:trHeight w:val="683"/>
          <w:tblHeader/>
        </w:trPr>
        <w:tc>
          <w:tcPr>
            <w:tcW w:w="0" w:type="auto"/>
            <w:vAlign w:val="center"/>
          </w:tcPr>
          <w:p w14:paraId="59CFBF72" w14:textId="77777777" w:rsidR="001542AC" w:rsidRPr="001542AC" w:rsidRDefault="001542AC" w:rsidP="000A4D46">
            <w:pPr>
              <w:jc w:val="center"/>
              <w:rPr>
                <w:b/>
                <w:bCs/>
                <w:sz w:val="24"/>
                <w:szCs w:val="24"/>
              </w:rPr>
            </w:pPr>
            <w:r w:rsidRPr="001542AC">
              <w:rPr>
                <w:b/>
                <w:sz w:val="24"/>
                <w:szCs w:val="24"/>
              </w:rPr>
              <w:t>Type of Respondent</w:t>
            </w:r>
          </w:p>
        </w:tc>
        <w:tc>
          <w:tcPr>
            <w:tcW w:w="2240" w:type="dxa"/>
            <w:vAlign w:val="center"/>
          </w:tcPr>
          <w:p w14:paraId="11F0528E" w14:textId="77777777" w:rsidR="001542AC" w:rsidRPr="001542AC" w:rsidRDefault="001542AC" w:rsidP="000A4D46">
            <w:pPr>
              <w:jc w:val="center"/>
              <w:rPr>
                <w:b/>
                <w:bCs/>
                <w:sz w:val="24"/>
                <w:szCs w:val="24"/>
              </w:rPr>
            </w:pPr>
            <w:r w:rsidRPr="001542AC">
              <w:rPr>
                <w:b/>
                <w:bCs/>
                <w:sz w:val="24"/>
                <w:szCs w:val="24"/>
              </w:rPr>
              <w:t>Form Name</w:t>
            </w:r>
          </w:p>
        </w:tc>
        <w:tc>
          <w:tcPr>
            <w:tcW w:w="1620" w:type="dxa"/>
            <w:vAlign w:val="center"/>
          </w:tcPr>
          <w:p w14:paraId="4B9BD8C4" w14:textId="77777777" w:rsidR="001542AC" w:rsidRPr="001542AC" w:rsidRDefault="001542AC" w:rsidP="000A4D46">
            <w:pPr>
              <w:jc w:val="center"/>
              <w:rPr>
                <w:b/>
                <w:bCs/>
                <w:sz w:val="24"/>
                <w:szCs w:val="24"/>
              </w:rPr>
            </w:pPr>
            <w:r w:rsidRPr="001542AC">
              <w:rPr>
                <w:b/>
                <w:bCs/>
                <w:sz w:val="24"/>
                <w:szCs w:val="24"/>
              </w:rPr>
              <w:t>Total Burden Hours</w:t>
            </w:r>
          </w:p>
        </w:tc>
        <w:tc>
          <w:tcPr>
            <w:tcW w:w="2520" w:type="dxa"/>
            <w:vAlign w:val="center"/>
          </w:tcPr>
          <w:p w14:paraId="34D7C679" w14:textId="77777777" w:rsidR="001542AC" w:rsidRPr="001542AC" w:rsidRDefault="001542AC" w:rsidP="000A4D46">
            <w:pPr>
              <w:jc w:val="center"/>
              <w:rPr>
                <w:b/>
                <w:bCs/>
                <w:sz w:val="24"/>
                <w:szCs w:val="24"/>
              </w:rPr>
            </w:pPr>
            <w:r w:rsidRPr="001542AC">
              <w:rPr>
                <w:b/>
                <w:bCs/>
                <w:sz w:val="24"/>
                <w:szCs w:val="24"/>
              </w:rPr>
              <w:t>Hourly Wage Rate</w:t>
            </w:r>
          </w:p>
        </w:tc>
        <w:tc>
          <w:tcPr>
            <w:tcW w:w="1440" w:type="dxa"/>
            <w:vAlign w:val="center"/>
          </w:tcPr>
          <w:p w14:paraId="54E5DFAE" w14:textId="77777777" w:rsidR="001542AC" w:rsidRPr="001542AC" w:rsidRDefault="001542AC" w:rsidP="000A4D46">
            <w:pPr>
              <w:jc w:val="center"/>
              <w:rPr>
                <w:b/>
                <w:bCs/>
                <w:sz w:val="24"/>
                <w:szCs w:val="24"/>
              </w:rPr>
            </w:pPr>
            <w:r w:rsidRPr="001542AC">
              <w:rPr>
                <w:b/>
                <w:bCs/>
                <w:sz w:val="24"/>
                <w:szCs w:val="24"/>
              </w:rPr>
              <w:t>Total Respondent Costs</w:t>
            </w:r>
          </w:p>
        </w:tc>
      </w:tr>
      <w:tr w:rsidR="001542AC" w:rsidRPr="001542AC" w14:paraId="26BD66A0" w14:textId="77777777" w:rsidTr="000A4D46">
        <w:trPr>
          <w:cantSplit/>
          <w:trHeight w:val="434"/>
        </w:trPr>
        <w:tc>
          <w:tcPr>
            <w:tcW w:w="1738" w:type="dxa"/>
          </w:tcPr>
          <w:p w14:paraId="0006E2CF" w14:textId="77777777" w:rsidR="001542AC" w:rsidRPr="001542AC" w:rsidRDefault="001542AC" w:rsidP="000A4D46">
            <w:pPr>
              <w:tabs>
                <w:tab w:val="left" w:pos="-1440"/>
              </w:tabs>
              <w:jc w:val="center"/>
              <w:rPr>
                <w:color w:val="000000"/>
                <w:sz w:val="24"/>
                <w:szCs w:val="24"/>
              </w:rPr>
            </w:pPr>
            <w:r w:rsidRPr="001542AC">
              <w:rPr>
                <w:color w:val="000000"/>
                <w:sz w:val="24"/>
                <w:szCs w:val="24"/>
              </w:rPr>
              <w:t>Mexican-born living in the U.S-Mexico border region</w:t>
            </w:r>
          </w:p>
        </w:tc>
        <w:tc>
          <w:tcPr>
            <w:tcW w:w="2240" w:type="dxa"/>
          </w:tcPr>
          <w:p w14:paraId="2337E137" w14:textId="77777777" w:rsidR="001542AC" w:rsidRPr="001542AC" w:rsidRDefault="001542AC" w:rsidP="000A4D46">
            <w:pPr>
              <w:tabs>
                <w:tab w:val="left" w:pos="-1440"/>
              </w:tabs>
              <w:jc w:val="center"/>
              <w:rPr>
                <w:color w:val="000000"/>
                <w:sz w:val="24"/>
                <w:szCs w:val="24"/>
              </w:rPr>
            </w:pPr>
            <w:r w:rsidRPr="001542AC">
              <w:rPr>
                <w:sz w:val="24"/>
                <w:szCs w:val="24"/>
              </w:rPr>
              <w:t>Participant Screener</w:t>
            </w:r>
          </w:p>
        </w:tc>
        <w:tc>
          <w:tcPr>
            <w:tcW w:w="1620" w:type="dxa"/>
          </w:tcPr>
          <w:p w14:paraId="31C7AF6F" w14:textId="77777777" w:rsidR="001542AC" w:rsidRPr="001542AC" w:rsidRDefault="001542AC" w:rsidP="000A4D46">
            <w:pPr>
              <w:tabs>
                <w:tab w:val="left" w:pos="-1440"/>
              </w:tabs>
              <w:jc w:val="center"/>
              <w:rPr>
                <w:color w:val="000000"/>
                <w:sz w:val="24"/>
                <w:szCs w:val="24"/>
              </w:rPr>
            </w:pPr>
            <w:r w:rsidRPr="001542AC">
              <w:rPr>
                <w:sz w:val="24"/>
                <w:szCs w:val="24"/>
              </w:rPr>
              <w:t>40</w:t>
            </w:r>
          </w:p>
        </w:tc>
        <w:tc>
          <w:tcPr>
            <w:tcW w:w="2520" w:type="dxa"/>
          </w:tcPr>
          <w:p w14:paraId="54A1FC21" w14:textId="77777777" w:rsidR="001542AC" w:rsidRPr="001542AC" w:rsidRDefault="001542AC" w:rsidP="000A4D46">
            <w:pPr>
              <w:tabs>
                <w:tab w:val="left" w:pos="-1440"/>
              </w:tabs>
              <w:jc w:val="center"/>
              <w:rPr>
                <w:color w:val="000000"/>
                <w:sz w:val="24"/>
                <w:szCs w:val="24"/>
              </w:rPr>
            </w:pPr>
            <w:r w:rsidRPr="001542AC">
              <w:rPr>
                <w:color w:val="000000"/>
                <w:sz w:val="24"/>
                <w:szCs w:val="24"/>
              </w:rPr>
              <w:t>$22.71</w:t>
            </w:r>
          </w:p>
        </w:tc>
        <w:tc>
          <w:tcPr>
            <w:tcW w:w="1440" w:type="dxa"/>
          </w:tcPr>
          <w:p w14:paraId="655270C7" w14:textId="77777777" w:rsidR="001542AC" w:rsidRPr="001542AC" w:rsidRDefault="001542AC" w:rsidP="000A4D46">
            <w:pPr>
              <w:tabs>
                <w:tab w:val="left" w:pos="-1440"/>
              </w:tabs>
              <w:rPr>
                <w:color w:val="000000"/>
                <w:sz w:val="24"/>
                <w:szCs w:val="24"/>
              </w:rPr>
            </w:pPr>
            <w:r w:rsidRPr="001542AC">
              <w:rPr>
                <w:color w:val="000000"/>
                <w:sz w:val="24"/>
                <w:szCs w:val="24"/>
              </w:rPr>
              <w:t>$</w:t>
            </w:r>
            <w:r w:rsidRPr="001542AC">
              <w:rPr>
                <w:sz w:val="24"/>
                <w:szCs w:val="24"/>
              </w:rPr>
              <w:t>908.40</w:t>
            </w:r>
          </w:p>
        </w:tc>
      </w:tr>
      <w:tr w:rsidR="001542AC" w:rsidRPr="001542AC" w14:paraId="0679CB6F" w14:textId="77777777" w:rsidTr="000A4D46">
        <w:trPr>
          <w:cantSplit/>
          <w:trHeight w:val="434"/>
        </w:trPr>
        <w:tc>
          <w:tcPr>
            <w:tcW w:w="1738" w:type="dxa"/>
          </w:tcPr>
          <w:p w14:paraId="4B16C3EB" w14:textId="77777777" w:rsidR="001542AC" w:rsidRPr="001542AC" w:rsidRDefault="001542AC" w:rsidP="000A4D46">
            <w:pPr>
              <w:tabs>
                <w:tab w:val="left" w:pos="-1440"/>
              </w:tabs>
              <w:jc w:val="center"/>
              <w:rPr>
                <w:color w:val="000000"/>
                <w:sz w:val="24"/>
                <w:szCs w:val="24"/>
              </w:rPr>
            </w:pPr>
            <w:r w:rsidRPr="001542AC">
              <w:rPr>
                <w:color w:val="000000"/>
                <w:sz w:val="24"/>
                <w:szCs w:val="24"/>
              </w:rPr>
              <w:t>Mexican-born living in the U.S-Mexico border region</w:t>
            </w:r>
          </w:p>
        </w:tc>
        <w:tc>
          <w:tcPr>
            <w:tcW w:w="2240" w:type="dxa"/>
          </w:tcPr>
          <w:p w14:paraId="4366E643" w14:textId="77777777" w:rsidR="001542AC" w:rsidRPr="001542AC" w:rsidRDefault="001542AC" w:rsidP="000A4D46">
            <w:pPr>
              <w:tabs>
                <w:tab w:val="left" w:pos="-1440"/>
              </w:tabs>
              <w:rPr>
                <w:sz w:val="24"/>
                <w:szCs w:val="24"/>
              </w:rPr>
            </w:pPr>
            <w:r w:rsidRPr="001542AC">
              <w:rPr>
                <w:sz w:val="24"/>
                <w:szCs w:val="24"/>
              </w:rPr>
              <w:t xml:space="preserve">Focus  Group Discussion Guide </w:t>
            </w:r>
          </w:p>
        </w:tc>
        <w:tc>
          <w:tcPr>
            <w:tcW w:w="1620" w:type="dxa"/>
          </w:tcPr>
          <w:p w14:paraId="5D9C74A6" w14:textId="77777777" w:rsidR="001542AC" w:rsidRPr="001542AC" w:rsidRDefault="001542AC" w:rsidP="000A4D46">
            <w:pPr>
              <w:tabs>
                <w:tab w:val="left" w:pos="-1440"/>
              </w:tabs>
              <w:jc w:val="center"/>
              <w:rPr>
                <w:sz w:val="24"/>
                <w:szCs w:val="24"/>
              </w:rPr>
            </w:pPr>
            <w:r w:rsidRPr="001542AC">
              <w:rPr>
                <w:sz w:val="24"/>
                <w:szCs w:val="24"/>
              </w:rPr>
              <w:t>240</w:t>
            </w:r>
          </w:p>
        </w:tc>
        <w:tc>
          <w:tcPr>
            <w:tcW w:w="2520" w:type="dxa"/>
          </w:tcPr>
          <w:p w14:paraId="5633FC1D" w14:textId="77777777" w:rsidR="001542AC" w:rsidRPr="001542AC" w:rsidRDefault="001542AC" w:rsidP="000A4D46">
            <w:pPr>
              <w:tabs>
                <w:tab w:val="left" w:pos="-1440"/>
              </w:tabs>
              <w:jc w:val="center"/>
              <w:rPr>
                <w:color w:val="000000"/>
                <w:sz w:val="24"/>
                <w:szCs w:val="24"/>
              </w:rPr>
            </w:pPr>
            <w:r w:rsidRPr="001542AC">
              <w:rPr>
                <w:color w:val="000000"/>
                <w:sz w:val="24"/>
                <w:szCs w:val="24"/>
              </w:rPr>
              <w:t>$22.71</w:t>
            </w:r>
          </w:p>
        </w:tc>
        <w:tc>
          <w:tcPr>
            <w:tcW w:w="1440" w:type="dxa"/>
          </w:tcPr>
          <w:p w14:paraId="235BCF63" w14:textId="77777777" w:rsidR="001542AC" w:rsidRPr="001542AC" w:rsidRDefault="001542AC" w:rsidP="000A4D46">
            <w:pPr>
              <w:tabs>
                <w:tab w:val="left" w:pos="-1440"/>
              </w:tabs>
              <w:rPr>
                <w:sz w:val="24"/>
                <w:szCs w:val="24"/>
              </w:rPr>
            </w:pPr>
            <w:r w:rsidRPr="001542AC">
              <w:rPr>
                <w:color w:val="000000"/>
                <w:sz w:val="24"/>
                <w:szCs w:val="24"/>
              </w:rPr>
              <w:t>$</w:t>
            </w:r>
            <w:r w:rsidRPr="001542AC">
              <w:rPr>
                <w:sz w:val="24"/>
                <w:szCs w:val="24"/>
              </w:rPr>
              <w:t xml:space="preserve"> 5,450.40</w:t>
            </w:r>
          </w:p>
          <w:p w14:paraId="142FBD31" w14:textId="77777777" w:rsidR="001542AC" w:rsidRPr="001542AC" w:rsidRDefault="001542AC" w:rsidP="000A4D46">
            <w:pPr>
              <w:tabs>
                <w:tab w:val="left" w:pos="-1440"/>
              </w:tabs>
              <w:rPr>
                <w:color w:val="000000"/>
                <w:sz w:val="24"/>
                <w:szCs w:val="24"/>
              </w:rPr>
            </w:pPr>
          </w:p>
        </w:tc>
      </w:tr>
      <w:tr w:rsidR="001542AC" w:rsidRPr="001542AC" w14:paraId="710707A4" w14:textId="77777777" w:rsidTr="000A4D46">
        <w:trPr>
          <w:cantSplit/>
          <w:trHeight w:val="434"/>
        </w:trPr>
        <w:tc>
          <w:tcPr>
            <w:tcW w:w="8118" w:type="dxa"/>
            <w:gridSpan w:val="4"/>
            <w:vAlign w:val="center"/>
          </w:tcPr>
          <w:p w14:paraId="097E1182" w14:textId="77777777" w:rsidR="001542AC" w:rsidRPr="001542AC" w:rsidRDefault="001542AC" w:rsidP="000A4D46">
            <w:pPr>
              <w:tabs>
                <w:tab w:val="left" w:pos="-1440"/>
              </w:tabs>
              <w:jc w:val="right"/>
              <w:rPr>
                <w:color w:val="000000"/>
                <w:sz w:val="24"/>
                <w:szCs w:val="24"/>
              </w:rPr>
            </w:pPr>
            <w:r w:rsidRPr="001542AC">
              <w:rPr>
                <w:color w:val="000000"/>
                <w:sz w:val="24"/>
                <w:szCs w:val="24"/>
              </w:rPr>
              <w:t>Total estimated annualized cost to respondents</w:t>
            </w:r>
          </w:p>
        </w:tc>
        <w:tc>
          <w:tcPr>
            <w:tcW w:w="1440" w:type="dxa"/>
          </w:tcPr>
          <w:p w14:paraId="447253D6" w14:textId="77777777" w:rsidR="001542AC" w:rsidRPr="001542AC" w:rsidRDefault="001542AC" w:rsidP="000A4D46">
            <w:pPr>
              <w:tabs>
                <w:tab w:val="left" w:pos="-1440"/>
              </w:tabs>
              <w:rPr>
                <w:color w:val="000000"/>
                <w:sz w:val="24"/>
                <w:szCs w:val="24"/>
              </w:rPr>
            </w:pPr>
            <w:r w:rsidRPr="001542AC">
              <w:rPr>
                <w:color w:val="000000"/>
                <w:sz w:val="24"/>
                <w:szCs w:val="24"/>
              </w:rPr>
              <w:t>$6,358.80</w:t>
            </w:r>
          </w:p>
        </w:tc>
      </w:tr>
    </w:tbl>
    <w:p w14:paraId="35BD02AF" w14:textId="77777777" w:rsidR="001542AC" w:rsidRPr="001542AC" w:rsidRDefault="001542AC" w:rsidP="001542AC">
      <w:pPr>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 xml:space="preserve">*Public wages from </w:t>
      </w:r>
      <w:hyperlink r:id="rId10" w:anchor="00-0000" w:history="1">
        <w:r w:rsidRPr="001542AC">
          <w:rPr>
            <w:rFonts w:ascii="Times New Roman" w:eastAsia="Times New Roman" w:hAnsi="Times New Roman" w:cs="Times New Roman"/>
            <w:color w:val="0000FF"/>
            <w:sz w:val="24"/>
            <w:szCs w:val="24"/>
            <w:u w:val="single"/>
          </w:rPr>
          <w:t>http://www.bls.gov/oes/current/oes_nat.htm#00-0000</w:t>
        </w:r>
      </w:hyperlink>
    </w:p>
    <w:p w14:paraId="62859DC4" w14:textId="77777777" w:rsidR="001542AC" w:rsidRDefault="001542AC" w:rsidP="001542AC">
      <w:pPr>
        <w:autoSpaceDE w:val="0"/>
        <w:autoSpaceDN w:val="0"/>
        <w:adjustRightInd w:val="0"/>
        <w:rPr>
          <w:rFonts w:ascii="Times New Roman" w:eastAsia="Times New Roman" w:hAnsi="Times New Roman" w:cs="Times New Roman"/>
          <w:b/>
          <w:color w:val="000000"/>
          <w:sz w:val="24"/>
          <w:szCs w:val="24"/>
        </w:rPr>
      </w:pPr>
    </w:p>
    <w:p w14:paraId="3B025B72" w14:textId="77777777" w:rsidR="001542AC" w:rsidRDefault="001542AC" w:rsidP="001542AC">
      <w:pPr>
        <w:autoSpaceDE w:val="0"/>
        <w:autoSpaceDN w:val="0"/>
        <w:adjustRightInd w:val="0"/>
        <w:rPr>
          <w:rFonts w:ascii="Times New Roman" w:eastAsia="Times New Roman" w:hAnsi="Times New Roman" w:cs="Times New Roman"/>
          <w:b/>
          <w:color w:val="000000"/>
          <w:sz w:val="24"/>
          <w:szCs w:val="24"/>
        </w:rPr>
      </w:pPr>
    </w:p>
    <w:p w14:paraId="297224E2" w14:textId="256C83A7" w:rsidR="00171BAE" w:rsidRPr="00171BAE" w:rsidRDefault="00171BAE" w:rsidP="00171BAE">
      <w:pPr>
        <w:autoSpaceDE w:val="0"/>
        <w:autoSpaceDN w:val="0"/>
        <w:adjustRightInd w:val="0"/>
        <w:rPr>
          <w:rFonts w:ascii="Times New Roman" w:eastAsia="Times New Roman" w:hAnsi="Times New Roman" w:cs="Times New Roman"/>
          <w:b/>
          <w:color w:val="000000"/>
          <w:sz w:val="24"/>
          <w:szCs w:val="24"/>
        </w:rPr>
      </w:pPr>
      <w:r w:rsidRPr="00171BAE">
        <w:rPr>
          <w:rFonts w:ascii="Times New Roman" w:eastAsia="Times New Roman" w:hAnsi="Times New Roman" w:cs="Times New Roman"/>
          <w:b/>
          <w:color w:val="000000"/>
          <w:sz w:val="24"/>
          <w:szCs w:val="24"/>
        </w:rPr>
        <w:t>13. Estimates of Other Total Annual Cost Burden to Respondents or Record Keepers</w:t>
      </w:r>
    </w:p>
    <w:p w14:paraId="1AFDA954" w14:textId="77777777" w:rsidR="00171BAE" w:rsidRPr="00171BAE" w:rsidRDefault="00171BAE" w:rsidP="00171BAE">
      <w:pPr>
        <w:autoSpaceDE w:val="0"/>
        <w:autoSpaceDN w:val="0"/>
        <w:adjustRightInd w:val="0"/>
        <w:rPr>
          <w:rFonts w:ascii="Times New Roman" w:eastAsia="Times New Roman" w:hAnsi="Times New Roman" w:cs="Times New Roman"/>
          <w:b/>
          <w:color w:val="000000"/>
          <w:sz w:val="24"/>
          <w:szCs w:val="24"/>
        </w:rPr>
      </w:pPr>
    </w:p>
    <w:p w14:paraId="77EC4E73" w14:textId="1055A9F9" w:rsidR="00171BAE" w:rsidRPr="00171BAE" w:rsidRDefault="00171BAE" w:rsidP="00171BAE">
      <w:pPr>
        <w:autoSpaceDE w:val="0"/>
        <w:autoSpaceDN w:val="0"/>
        <w:adjustRightInd w:val="0"/>
        <w:rPr>
          <w:rFonts w:ascii="Times New Roman" w:eastAsia="Times New Roman" w:hAnsi="Times New Roman" w:cs="Times New Roman"/>
          <w:color w:val="000000"/>
          <w:sz w:val="24"/>
          <w:szCs w:val="24"/>
        </w:rPr>
      </w:pPr>
      <w:r w:rsidRPr="00171BAE">
        <w:rPr>
          <w:rFonts w:ascii="Times New Roman" w:eastAsia="Times New Roman" w:hAnsi="Times New Roman" w:cs="Times New Roman"/>
          <w:color w:val="000000"/>
          <w:sz w:val="24"/>
          <w:szCs w:val="24"/>
        </w:rPr>
        <w:t xml:space="preserve">There are no costs to respondents other than their time.  </w:t>
      </w:r>
    </w:p>
    <w:p w14:paraId="3F8A9068" w14:textId="77777777" w:rsidR="00171BAE" w:rsidRDefault="00171BAE" w:rsidP="001542AC">
      <w:pPr>
        <w:autoSpaceDE w:val="0"/>
        <w:autoSpaceDN w:val="0"/>
        <w:adjustRightInd w:val="0"/>
        <w:rPr>
          <w:rFonts w:ascii="Times New Roman" w:eastAsia="Times New Roman" w:hAnsi="Times New Roman" w:cs="Times New Roman"/>
          <w:b/>
          <w:color w:val="000000"/>
          <w:sz w:val="24"/>
          <w:szCs w:val="24"/>
        </w:rPr>
      </w:pPr>
    </w:p>
    <w:p w14:paraId="61B1F8C8" w14:textId="50970438" w:rsidR="001542AC" w:rsidRDefault="004D5EA4" w:rsidP="001542AC">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14</w:t>
      </w:r>
      <w:r w:rsidR="001542AC" w:rsidRPr="001542AC">
        <w:rPr>
          <w:rFonts w:ascii="Times New Roman" w:eastAsia="Times New Roman" w:hAnsi="Times New Roman" w:cs="Times New Roman"/>
          <w:b/>
          <w:color w:val="000000"/>
          <w:sz w:val="24"/>
          <w:szCs w:val="24"/>
        </w:rPr>
        <w:t xml:space="preserve">. </w:t>
      </w:r>
      <w:r w:rsidR="001542AC" w:rsidRPr="001542AC">
        <w:rPr>
          <w:rFonts w:ascii="Times New Roman" w:eastAsia="Times New Roman" w:hAnsi="Times New Roman" w:cs="Times New Roman"/>
          <w:b/>
          <w:bCs/>
          <w:sz w:val="24"/>
          <w:szCs w:val="24"/>
        </w:rPr>
        <w:t>Cost to the Federal Government</w:t>
      </w:r>
    </w:p>
    <w:p w14:paraId="71C78A77" w14:textId="77777777" w:rsidR="001542AC" w:rsidRPr="001542AC" w:rsidRDefault="001542AC" w:rsidP="001542AC">
      <w:pPr>
        <w:autoSpaceDE w:val="0"/>
        <w:autoSpaceDN w:val="0"/>
        <w:adjustRightInd w:val="0"/>
        <w:rPr>
          <w:rFonts w:ascii="Times New Roman" w:eastAsia="Times New Roman" w:hAnsi="Times New Roman" w:cs="Times New Roman"/>
          <w:color w:val="000000"/>
          <w:sz w:val="24"/>
          <w:szCs w:val="24"/>
        </w:rPr>
      </w:pPr>
      <w:r w:rsidRPr="001542AC">
        <w:rPr>
          <w:rFonts w:ascii="Times New Roman" w:eastAsia="Times New Roman" w:hAnsi="Times New Roman" w:cs="Times New Roman"/>
          <w:color w:val="000000"/>
          <w:sz w:val="24"/>
          <w:szCs w:val="24"/>
        </w:rPr>
        <w:t>The cost to the federal government for the proposed information collection activities is $149,920. This figure encompasses 2% FTE of two GS-13 employees and information collection contract costs. The average hourly rate was obtained from the Office of Personnel Management’s website (</w:t>
      </w:r>
      <w:hyperlink r:id="rId11" w:history="1">
        <w:r w:rsidRPr="001542AC">
          <w:rPr>
            <w:rFonts w:ascii="Times New Roman" w:eastAsia="Times New Roman" w:hAnsi="Times New Roman" w:cs="Times New Roman"/>
            <w:color w:val="0000FF"/>
            <w:sz w:val="24"/>
            <w:szCs w:val="24"/>
            <w:u w:val="single"/>
          </w:rPr>
          <w:t>http://www.opm.gov/oca/09tables/html/atl_h.asp</w:t>
        </w:r>
      </w:hyperlink>
      <w:r w:rsidRPr="001542AC">
        <w:rPr>
          <w:rFonts w:ascii="Times New Roman" w:eastAsia="Times New Roman" w:hAnsi="Times New Roman" w:cs="Times New Roman"/>
          <w:color w:val="000000"/>
          <w:sz w:val="24"/>
          <w:szCs w:val="24"/>
        </w:rPr>
        <w:t xml:space="preserve">). The hourly rate for a GS-13 in the San Diego area is $42.65 per hour, which is about $89,000 per year.  The contractual cost for an information collection (e.g. the development of a screener and instrument, participant recruitment, incentive payments, facility rental (when applicable), transcriptions, translation services and final reports) is estimated at $149,920. </w:t>
      </w:r>
    </w:p>
    <w:p w14:paraId="0F17DF3C" w14:textId="77777777" w:rsidR="001542AC" w:rsidRPr="001542AC" w:rsidRDefault="001542AC" w:rsidP="001542AC">
      <w:pPr>
        <w:rPr>
          <w:rFonts w:ascii="Times New Roman" w:eastAsia="Times New Roman" w:hAnsi="Times New Roman" w:cs="Times New Roman"/>
          <w:sz w:val="24"/>
          <w:szCs w:val="24"/>
        </w:rPr>
      </w:pPr>
    </w:p>
    <w:p w14:paraId="5778757F" w14:textId="7B702403" w:rsidR="00171BAE" w:rsidRPr="001542AC" w:rsidRDefault="00171BAE" w:rsidP="00171BAE">
      <w:pPr>
        <w:keepNext/>
        <w:keepLines/>
        <w:spacing w:before="200"/>
        <w:outlineLvl w:val="1"/>
        <w:rPr>
          <w:rFonts w:ascii="Times New Roman" w:eastAsia="Times New Roman" w:hAnsi="Times New Roman" w:cs="Times New Roman"/>
          <w:bCs/>
          <w:sz w:val="24"/>
          <w:szCs w:val="24"/>
        </w:rPr>
      </w:pPr>
      <w:r w:rsidRPr="001542AC">
        <w:rPr>
          <w:rFonts w:ascii="Times New Roman" w:eastAsia="Times New Roman" w:hAnsi="Times New Roman" w:cs="Times New Roman"/>
          <w:bCs/>
          <w:sz w:val="24"/>
          <w:szCs w:val="24"/>
        </w:rPr>
        <w:t>Table A.</w:t>
      </w:r>
      <w:r>
        <w:rPr>
          <w:rFonts w:ascii="Times New Roman" w:eastAsia="Times New Roman" w:hAnsi="Times New Roman" w:cs="Times New Roman"/>
          <w:bCs/>
          <w:sz w:val="24"/>
          <w:szCs w:val="24"/>
        </w:rPr>
        <w:t>1</w:t>
      </w:r>
      <w:r w:rsidRPr="001542AC">
        <w:rPr>
          <w:rFonts w:ascii="Times New Roman" w:eastAsia="Times New Roman" w:hAnsi="Times New Roman" w:cs="Times New Roman"/>
          <w:bCs/>
          <w:sz w:val="24"/>
          <w:szCs w:val="24"/>
        </w:rPr>
        <w:t>3: Estimated Annualized Cost to the Government per Activity and Total</w:t>
      </w:r>
    </w:p>
    <w:tbl>
      <w:tblPr>
        <w:tblStyle w:val="TableGrid2"/>
        <w:tblW w:w="0" w:type="auto"/>
        <w:tblInd w:w="288" w:type="dxa"/>
        <w:tblLook w:val="01E0" w:firstRow="1" w:lastRow="1" w:firstColumn="1" w:lastColumn="1" w:noHBand="0" w:noVBand="0"/>
      </w:tblPr>
      <w:tblGrid>
        <w:gridCol w:w="5481"/>
        <w:gridCol w:w="3132"/>
      </w:tblGrid>
      <w:tr w:rsidR="00171BAE" w:rsidRPr="001542AC" w14:paraId="39392FC8" w14:textId="77777777" w:rsidTr="000A4D46">
        <w:trPr>
          <w:trHeight w:val="389"/>
        </w:trPr>
        <w:tc>
          <w:tcPr>
            <w:tcW w:w="5481" w:type="dxa"/>
          </w:tcPr>
          <w:p w14:paraId="434079E8" w14:textId="77777777" w:rsidR="00171BAE" w:rsidRPr="001542AC" w:rsidRDefault="00171BAE" w:rsidP="000A4D46">
            <w:pPr>
              <w:spacing w:before="60" w:after="60"/>
              <w:jc w:val="center"/>
              <w:rPr>
                <w:b/>
                <w:color w:val="000000"/>
                <w:sz w:val="24"/>
                <w:szCs w:val="24"/>
              </w:rPr>
            </w:pPr>
            <w:r w:rsidRPr="001542AC">
              <w:rPr>
                <w:b/>
                <w:color w:val="000000"/>
                <w:sz w:val="24"/>
                <w:szCs w:val="24"/>
              </w:rPr>
              <w:t>Cost Category</w:t>
            </w:r>
          </w:p>
        </w:tc>
        <w:tc>
          <w:tcPr>
            <w:tcW w:w="3132" w:type="dxa"/>
          </w:tcPr>
          <w:p w14:paraId="1B9188C8" w14:textId="77777777" w:rsidR="00171BAE" w:rsidRPr="001542AC" w:rsidRDefault="00171BAE" w:rsidP="000A4D46">
            <w:pPr>
              <w:spacing w:before="60" w:after="60"/>
              <w:jc w:val="center"/>
              <w:rPr>
                <w:b/>
                <w:color w:val="000000"/>
                <w:sz w:val="24"/>
                <w:szCs w:val="24"/>
              </w:rPr>
            </w:pPr>
            <w:r w:rsidRPr="001542AC">
              <w:rPr>
                <w:b/>
                <w:color w:val="000000"/>
                <w:sz w:val="24"/>
                <w:szCs w:val="24"/>
              </w:rPr>
              <w:t>Estimated Annualized Cost</w:t>
            </w:r>
          </w:p>
        </w:tc>
      </w:tr>
      <w:tr w:rsidR="00171BAE" w:rsidRPr="001542AC" w14:paraId="7D0ACB15" w14:textId="77777777" w:rsidTr="000A4D46">
        <w:trPr>
          <w:trHeight w:val="972"/>
        </w:trPr>
        <w:tc>
          <w:tcPr>
            <w:tcW w:w="5481" w:type="dxa"/>
          </w:tcPr>
          <w:p w14:paraId="61EADE4D" w14:textId="77777777" w:rsidR="00171BAE" w:rsidRPr="001542AC" w:rsidRDefault="00171BAE" w:rsidP="000A4D46">
            <w:pPr>
              <w:spacing w:before="60" w:after="60"/>
              <w:rPr>
                <w:color w:val="000000"/>
                <w:sz w:val="24"/>
                <w:szCs w:val="24"/>
              </w:rPr>
            </w:pPr>
            <w:r w:rsidRPr="001542AC">
              <w:rPr>
                <w:color w:val="000000"/>
                <w:sz w:val="24"/>
                <w:szCs w:val="24"/>
              </w:rPr>
              <w:t>Federal employee costs for information collection (2% FTE of two GS-13 at $89,000/year)</w:t>
            </w:r>
          </w:p>
        </w:tc>
        <w:tc>
          <w:tcPr>
            <w:tcW w:w="3132" w:type="dxa"/>
          </w:tcPr>
          <w:p w14:paraId="0A5F173A" w14:textId="77777777" w:rsidR="00171BAE" w:rsidRPr="001542AC" w:rsidRDefault="00171BAE" w:rsidP="000A4D46">
            <w:pPr>
              <w:spacing w:before="60" w:after="60"/>
              <w:jc w:val="right"/>
              <w:rPr>
                <w:color w:val="000000"/>
                <w:sz w:val="24"/>
                <w:szCs w:val="24"/>
              </w:rPr>
            </w:pPr>
            <w:r w:rsidRPr="001542AC">
              <w:rPr>
                <w:color w:val="000000"/>
                <w:sz w:val="24"/>
                <w:szCs w:val="24"/>
              </w:rPr>
              <w:t>$7,120</w:t>
            </w:r>
          </w:p>
        </w:tc>
      </w:tr>
      <w:tr w:rsidR="00171BAE" w:rsidRPr="001542AC" w14:paraId="643B4713" w14:textId="77777777" w:rsidTr="000A4D46">
        <w:trPr>
          <w:trHeight w:val="1340"/>
        </w:trPr>
        <w:tc>
          <w:tcPr>
            <w:tcW w:w="5481" w:type="dxa"/>
          </w:tcPr>
          <w:p w14:paraId="221DDB9E" w14:textId="77777777" w:rsidR="00171BAE" w:rsidRPr="001542AC" w:rsidRDefault="00171BAE" w:rsidP="000A4D46">
            <w:pPr>
              <w:spacing w:before="60" w:after="60"/>
              <w:rPr>
                <w:color w:val="000000"/>
                <w:sz w:val="24"/>
                <w:szCs w:val="24"/>
              </w:rPr>
            </w:pPr>
            <w:r w:rsidRPr="001542AC">
              <w:rPr>
                <w:color w:val="000000"/>
                <w:sz w:val="24"/>
                <w:szCs w:val="24"/>
              </w:rPr>
              <w:t>Contractual costs for an information collection:</w:t>
            </w:r>
          </w:p>
          <w:p w14:paraId="6E7F00F5" w14:textId="2ADFFBF6" w:rsidR="00171BAE" w:rsidRPr="001542AC" w:rsidRDefault="00171BAE" w:rsidP="000A4D46">
            <w:pPr>
              <w:numPr>
                <w:ilvl w:val="0"/>
                <w:numId w:val="26"/>
              </w:numPr>
              <w:spacing w:before="60" w:after="60"/>
              <w:contextualSpacing/>
              <w:rPr>
                <w:color w:val="000000"/>
                <w:sz w:val="24"/>
                <w:szCs w:val="24"/>
              </w:rPr>
            </w:pPr>
            <w:r w:rsidRPr="001542AC">
              <w:rPr>
                <w:color w:val="000000"/>
                <w:sz w:val="24"/>
                <w:szCs w:val="24"/>
              </w:rPr>
              <w:t>Focus groups (e.g. facility rental, moderator, participant recruitment, translations, transcriptions</w:t>
            </w:r>
            <w:r w:rsidR="006459BF">
              <w:rPr>
                <w:color w:val="000000"/>
                <w:sz w:val="24"/>
                <w:szCs w:val="24"/>
              </w:rPr>
              <w:t>, incentive payments</w:t>
            </w:r>
            <w:r w:rsidRPr="001542AC">
              <w:rPr>
                <w:color w:val="000000"/>
                <w:sz w:val="24"/>
                <w:szCs w:val="24"/>
              </w:rPr>
              <w:t xml:space="preserve"> and final reports)</w:t>
            </w:r>
          </w:p>
        </w:tc>
        <w:tc>
          <w:tcPr>
            <w:tcW w:w="3132" w:type="dxa"/>
          </w:tcPr>
          <w:p w14:paraId="19549890" w14:textId="77777777" w:rsidR="00171BAE" w:rsidRPr="001542AC" w:rsidRDefault="00171BAE" w:rsidP="000A4D46">
            <w:pPr>
              <w:spacing w:before="60" w:after="60"/>
              <w:jc w:val="right"/>
              <w:rPr>
                <w:color w:val="000000"/>
                <w:sz w:val="24"/>
                <w:szCs w:val="24"/>
              </w:rPr>
            </w:pPr>
          </w:p>
          <w:p w14:paraId="5D6D92F8" w14:textId="77777777" w:rsidR="00171BAE" w:rsidRPr="001542AC" w:rsidRDefault="00171BAE" w:rsidP="000A4D46">
            <w:pPr>
              <w:spacing w:before="60" w:after="60"/>
              <w:jc w:val="right"/>
              <w:rPr>
                <w:color w:val="000000"/>
                <w:sz w:val="24"/>
                <w:szCs w:val="24"/>
              </w:rPr>
            </w:pPr>
            <w:r w:rsidRPr="001542AC">
              <w:rPr>
                <w:color w:val="000000"/>
                <w:sz w:val="24"/>
                <w:szCs w:val="24"/>
              </w:rPr>
              <w:t xml:space="preserve">(10 focus groups @$14,280) = 142,800 </w:t>
            </w:r>
          </w:p>
          <w:p w14:paraId="4FAC18F2" w14:textId="77777777" w:rsidR="00171BAE" w:rsidRPr="001542AC" w:rsidRDefault="00171BAE" w:rsidP="000A4D46">
            <w:pPr>
              <w:spacing w:before="60" w:after="60"/>
              <w:rPr>
                <w:color w:val="000000"/>
                <w:sz w:val="24"/>
                <w:szCs w:val="24"/>
              </w:rPr>
            </w:pPr>
          </w:p>
          <w:p w14:paraId="1845E87D" w14:textId="77777777" w:rsidR="00171BAE" w:rsidRPr="001542AC" w:rsidRDefault="00171BAE" w:rsidP="000A4D46">
            <w:pPr>
              <w:spacing w:before="60" w:after="60"/>
              <w:rPr>
                <w:color w:val="000000"/>
                <w:sz w:val="24"/>
                <w:szCs w:val="24"/>
              </w:rPr>
            </w:pPr>
          </w:p>
          <w:p w14:paraId="4CF4BE74" w14:textId="77777777" w:rsidR="00171BAE" w:rsidRPr="001542AC" w:rsidRDefault="00171BAE" w:rsidP="000A4D46">
            <w:pPr>
              <w:spacing w:before="60" w:after="60"/>
              <w:rPr>
                <w:color w:val="000000"/>
                <w:sz w:val="24"/>
                <w:szCs w:val="24"/>
              </w:rPr>
            </w:pPr>
          </w:p>
        </w:tc>
      </w:tr>
      <w:tr w:rsidR="00171BAE" w:rsidRPr="001542AC" w14:paraId="1D07EB4B" w14:textId="77777777" w:rsidTr="000A4D46">
        <w:trPr>
          <w:trHeight w:val="408"/>
        </w:trPr>
        <w:tc>
          <w:tcPr>
            <w:tcW w:w="5481" w:type="dxa"/>
          </w:tcPr>
          <w:p w14:paraId="51228310" w14:textId="77777777" w:rsidR="00171BAE" w:rsidRPr="001542AC" w:rsidRDefault="00171BAE" w:rsidP="000A4D46">
            <w:pPr>
              <w:spacing w:after="200" w:line="276" w:lineRule="auto"/>
              <w:rPr>
                <w:b/>
                <w:color w:val="000000"/>
                <w:sz w:val="24"/>
                <w:szCs w:val="24"/>
              </w:rPr>
            </w:pPr>
            <w:r w:rsidRPr="001542AC">
              <w:rPr>
                <w:b/>
                <w:sz w:val="24"/>
                <w:szCs w:val="24"/>
              </w:rPr>
              <w:lastRenderedPageBreak/>
              <w:t>Total</w:t>
            </w:r>
            <w:r w:rsidRPr="001542AC">
              <w:rPr>
                <w:b/>
                <w:color w:val="000000"/>
                <w:sz w:val="24"/>
                <w:szCs w:val="24"/>
              </w:rPr>
              <w:t xml:space="preserve"> cost of  information collections/year</w:t>
            </w:r>
          </w:p>
        </w:tc>
        <w:tc>
          <w:tcPr>
            <w:tcW w:w="3132" w:type="dxa"/>
          </w:tcPr>
          <w:p w14:paraId="340ACA84" w14:textId="77777777" w:rsidR="00171BAE" w:rsidRPr="001542AC" w:rsidRDefault="00171BAE" w:rsidP="000A4D46">
            <w:pPr>
              <w:spacing w:before="60" w:after="60"/>
              <w:jc w:val="right"/>
              <w:rPr>
                <w:color w:val="000000"/>
                <w:sz w:val="24"/>
                <w:szCs w:val="24"/>
              </w:rPr>
            </w:pPr>
            <w:r w:rsidRPr="001542AC">
              <w:rPr>
                <w:color w:val="000000"/>
                <w:sz w:val="24"/>
                <w:szCs w:val="24"/>
              </w:rPr>
              <w:t>$149,920</w:t>
            </w:r>
          </w:p>
        </w:tc>
      </w:tr>
    </w:tbl>
    <w:p w14:paraId="53DA5EB5" w14:textId="77777777" w:rsidR="00171BAE" w:rsidRPr="001542AC" w:rsidRDefault="00171BAE" w:rsidP="00171BAE">
      <w:pPr>
        <w:keepNext/>
        <w:keepLines/>
        <w:spacing w:before="480"/>
        <w:outlineLvl w:val="0"/>
        <w:rPr>
          <w:rFonts w:ascii="Times New Roman" w:eastAsia="Times New Roman" w:hAnsi="Times New Roman" w:cs="Times New Roman"/>
          <w:b/>
          <w:bCs/>
          <w:sz w:val="24"/>
          <w:szCs w:val="24"/>
        </w:rPr>
      </w:pPr>
      <w:r w:rsidRPr="001542AC">
        <w:rPr>
          <w:rFonts w:ascii="Times New Roman" w:eastAsia="Times New Roman" w:hAnsi="Times New Roman" w:cs="Times New Roman"/>
          <w:b/>
          <w:bCs/>
          <w:sz w:val="24"/>
          <w:szCs w:val="24"/>
        </w:rPr>
        <w:t>15. Explanation for Program Changes or Adjustments</w:t>
      </w:r>
    </w:p>
    <w:p w14:paraId="5A6E6725" w14:textId="77777777" w:rsidR="001542AC" w:rsidRPr="001542AC" w:rsidRDefault="001542AC" w:rsidP="001542AC">
      <w:pPr>
        <w:rPr>
          <w:rFonts w:ascii="Times New Roman" w:eastAsia="Times New Roman" w:hAnsi="Times New Roman" w:cs="Times New Roman"/>
          <w:sz w:val="24"/>
          <w:szCs w:val="24"/>
        </w:rPr>
      </w:pPr>
      <w:bookmarkStart w:id="10" w:name="_Toc423590897"/>
      <w:bookmarkStart w:id="11" w:name="_Toc331406354"/>
      <w:bookmarkEnd w:id="6"/>
      <w:bookmarkEnd w:id="7"/>
      <w:bookmarkEnd w:id="8"/>
      <w:bookmarkEnd w:id="9"/>
    </w:p>
    <w:p w14:paraId="5877DDD7" w14:textId="083CF281" w:rsidR="001542AC" w:rsidRPr="001542AC" w:rsidRDefault="001542AC" w:rsidP="001542AC">
      <w:pPr>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 xml:space="preserve">This is a new </w:t>
      </w:r>
      <w:r w:rsidR="00C77C4A">
        <w:rPr>
          <w:rFonts w:ascii="Times New Roman" w:eastAsia="Times New Roman" w:hAnsi="Times New Roman" w:cs="Times New Roman"/>
          <w:sz w:val="24"/>
          <w:szCs w:val="24"/>
        </w:rPr>
        <w:t>information collection.</w:t>
      </w:r>
    </w:p>
    <w:p w14:paraId="0986746C" w14:textId="180CF21E" w:rsidR="001542AC" w:rsidRPr="001542AC" w:rsidRDefault="001542AC" w:rsidP="001542AC">
      <w:pPr>
        <w:keepNext/>
        <w:keepLines/>
        <w:spacing w:before="480"/>
        <w:outlineLvl w:val="0"/>
        <w:rPr>
          <w:rFonts w:ascii="Times New Roman" w:eastAsia="Times New Roman" w:hAnsi="Times New Roman" w:cs="Times New Roman"/>
          <w:b/>
          <w:bCs/>
          <w:sz w:val="24"/>
          <w:szCs w:val="24"/>
        </w:rPr>
      </w:pPr>
      <w:r w:rsidRPr="001542AC">
        <w:rPr>
          <w:rFonts w:ascii="Times New Roman" w:eastAsia="Times New Roman" w:hAnsi="Times New Roman" w:cs="Times New Roman"/>
          <w:b/>
          <w:bCs/>
          <w:sz w:val="24"/>
          <w:szCs w:val="24"/>
        </w:rPr>
        <w:t>16</w:t>
      </w:r>
      <w:r w:rsidR="004D5EA4">
        <w:rPr>
          <w:rFonts w:ascii="Times New Roman" w:eastAsia="Times New Roman" w:hAnsi="Times New Roman" w:cs="Times New Roman"/>
          <w:b/>
          <w:bCs/>
          <w:sz w:val="24"/>
          <w:szCs w:val="24"/>
        </w:rPr>
        <w:t>.</w:t>
      </w:r>
      <w:r w:rsidRPr="001542AC">
        <w:rPr>
          <w:rFonts w:ascii="Times New Roman" w:eastAsia="Times New Roman" w:hAnsi="Times New Roman" w:cs="Times New Roman"/>
          <w:b/>
          <w:bCs/>
          <w:sz w:val="24"/>
          <w:szCs w:val="24"/>
        </w:rPr>
        <w:t xml:space="preserve"> Plans for Tabulation and Publication and Project Time </w:t>
      </w:r>
      <w:bookmarkEnd w:id="10"/>
      <w:r w:rsidRPr="001542AC">
        <w:rPr>
          <w:rFonts w:ascii="Times New Roman" w:eastAsia="Times New Roman" w:hAnsi="Times New Roman" w:cs="Times New Roman"/>
          <w:b/>
          <w:bCs/>
          <w:sz w:val="24"/>
          <w:szCs w:val="24"/>
        </w:rPr>
        <w:t xml:space="preserve">Schedule </w:t>
      </w:r>
    </w:p>
    <w:p w14:paraId="062D1B9E" w14:textId="77777777" w:rsidR="001542AC" w:rsidRPr="001542AC" w:rsidRDefault="001542AC" w:rsidP="001542AC">
      <w:pPr>
        <w:rPr>
          <w:rFonts w:ascii="Times New Roman" w:eastAsia="Times New Roman" w:hAnsi="Times New Roman" w:cs="Times New Roman"/>
          <w:b/>
          <w:sz w:val="24"/>
          <w:szCs w:val="24"/>
        </w:rPr>
      </w:pPr>
    </w:p>
    <w:p w14:paraId="66995DEC" w14:textId="77777777" w:rsidR="004D5EA4" w:rsidRDefault="004D5EA4" w:rsidP="001542AC">
      <w:pPr>
        <w:keepNext/>
        <w:keepLines/>
        <w:outlineLvl w:val="0"/>
        <w:rPr>
          <w:rFonts w:ascii="Times New Roman" w:eastAsia="Times New Roman" w:hAnsi="Times New Roman" w:cs="Times New Roman"/>
          <w:bCs/>
          <w:sz w:val="24"/>
          <w:szCs w:val="24"/>
        </w:rPr>
      </w:pPr>
      <w:bookmarkStart w:id="12" w:name="_Toc423590898"/>
      <w:r>
        <w:rPr>
          <w:rFonts w:ascii="Times New Roman" w:eastAsia="Times New Roman" w:hAnsi="Times New Roman" w:cs="Times New Roman"/>
          <w:bCs/>
          <w:sz w:val="24"/>
          <w:szCs w:val="24"/>
        </w:rPr>
        <w:t xml:space="preserve">Subject to contingencies outside the control of the CDC project team, the </w:t>
      </w:r>
      <w:r w:rsidRPr="004D5EA4">
        <w:rPr>
          <w:rFonts w:ascii="Times New Roman" w:eastAsia="Times New Roman" w:hAnsi="Times New Roman" w:cs="Times New Roman"/>
          <w:bCs/>
          <w:sz w:val="24"/>
          <w:szCs w:val="24"/>
        </w:rPr>
        <w:t xml:space="preserve">Plans for Tabulation and Publication and Project Time Schedule </w:t>
      </w:r>
      <w:r>
        <w:rPr>
          <w:rFonts w:ascii="Times New Roman" w:eastAsia="Times New Roman" w:hAnsi="Times New Roman" w:cs="Times New Roman"/>
          <w:bCs/>
          <w:sz w:val="24"/>
          <w:szCs w:val="24"/>
        </w:rPr>
        <w:t>are as follows:</w:t>
      </w:r>
    </w:p>
    <w:p w14:paraId="0B8941B6" w14:textId="24B50273" w:rsidR="001542AC" w:rsidRPr="004D5EA4" w:rsidRDefault="001542AC" w:rsidP="004D5EA4">
      <w:pPr>
        <w:pStyle w:val="ListParagraph"/>
        <w:keepNext/>
        <w:keepLines/>
        <w:numPr>
          <w:ilvl w:val="0"/>
          <w:numId w:val="29"/>
        </w:numPr>
        <w:outlineLvl w:val="0"/>
        <w:rPr>
          <w:rFonts w:ascii="Times New Roman" w:eastAsia="Times New Roman" w:hAnsi="Times New Roman" w:cs="Times New Roman"/>
          <w:bCs/>
          <w:sz w:val="24"/>
          <w:szCs w:val="24"/>
        </w:rPr>
      </w:pPr>
      <w:r w:rsidRPr="004D5EA4">
        <w:rPr>
          <w:rFonts w:ascii="Times New Roman" w:eastAsia="Times New Roman" w:hAnsi="Times New Roman" w:cs="Times New Roman"/>
          <w:b/>
          <w:bCs/>
          <w:sz w:val="24"/>
          <w:szCs w:val="24"/>
        </w:rPr>
        <w:t>July 2015</w:t>
      </w:r>
      <w:r w:rsidRPr="004D5EA4">
        <w:rPr>
          <w:rFonts w:ascii="Times New Roman" w:eastAsia="Times New Roman" w:hAnsi="Times New Roman" w:cs="Times New Roman"/>
          <w:bCs/>
          <w:sz w:val="24"/>
          <w:szCs w:val="24"/>
        </w:rPr>
        <w:t>: Initiate OMB process and seek IRB exemption</w:t>
      </w:r>
      <w:bookmarkEnd w:id="12"/>
    </w:p>
    <w:p w14:paraId="2BAA9745" w14:textId="77777777" w:rsidR="001542AC" w:rsidRPr="004D5EA4" w:rsidRDefault="001542AC" w:rsidP="004D5EA4">
      <w:pPr>
        <w:pStyle w:val="ListParagraph"/>
        <w:numPr>
          <w:ilvl w:val="0"/>
          <w:numId w:val="29"/>
        </w:numPr>
        <w:rPr>
          <w:rFonts w:ascii="Times New Roman" w:eastAsia="Times New Roman" w:hAnsi="Times New Roman" w:cs="Times New Roman"/>
          <w:sz w:val="24"/>
          <w:szCs w:val="24"/>
        </w:rPr>
      </w:pPr>
      <w:r w:rsidRPr="004D5EA4">
        <w:rPr>
          <w:rFonts w:ascii="Times New Roman" w:eastAsia="Times New Roman" w:hAnsi="Times New Roman" w:cs="Times New Roman"/>
          <w:b/>
          <w:sz w:val="24"/>
          <w:szCs w:val="24"/>
        </w:rPr>
        <w:t>August 2015</w:t>
      </w:r>
      <w:r w:rsidRPr="004D5EA4">
        <w:rPr>
          <w:rFonts w:ascii="Times New Roman" w:eastAsia="Times New Roman" w:hAnsi="Times New Roman" w:cs="Times New Roman"/>
          <w:sz w:val="24"/>
          <w:szCs w:val="24"/>
        </w:rPr>
        <w:t>: Partner local health departments and community based organizations recruit focus group participants</w:t>
      </w:r>
    </w:p>
    <w:p w14:paraId="4A79F5BA" w14:textId="77777777" w:rsidR="001542AC" w:rsidRPr="004D5EA4" w:rsidRDefault="001542AC" w:rsidP="004D5EA4">
      <w:pPr>
        <w:pStyle w:val="ListParagraph"/>
        <w:numPr>
          <w:ilvl w:val="0"/>
          <w:numId w:val="29"/>
        </w:numPr>
        <w:rPr>
          <w:rFonts w:ascii="Times New Roman" w:eastAsia="Times New Roman" w:hAnsi="Times New Roman" w:cs="Times New Roman"/>
          <w:sz w:val="24"/>
          <w:szCs w:val="24"/>
        </w:rPr>
      </w:pPr>
      <w:r w:rsidRPr="004D5EA4">
        <w:rPr>
          <w:rFonts w:ascii="Times New Roman" w:eastAsia="Times New Roman" w:hAnsi="Times New Roman" w:cs="Times New Roman"/>
          <w:b/>
          <w:sz w:val="24"/>
          <w:szCs w:val="24"/>
        </w:rPr>
        <w:t>September 2015</w:t>
      </w:r>
      <w:r w:rsidRPr="004D5EA4">
        <w:rPr>
          <w:rFonts w:ascii="Times New Roman" w:eastAsia="Times New Roman" w:hAnsi="Times New Roman" w:cs="Times New Roman"/>
          <w:sz w:val="24"/>
          <w:szCs w:val="24"/>
        </w:rPr>
        <w:t>: Conduct focus groups</w:t>
      </w:r>
    </w:p>
    <w:p w14:paraId="43D4BB3C" w14:textId="77777777" w:rsidR="001542AC" w:rsidRPr="004D5EA4" w:rsidRDefault="001542AC" w:rsidP="004D5EA4">
      <w:pPr>
        <w:pStyle w:val="ListParagraph"/>
        <w:numPr>
          <w:ilvl w:val="0"/>
          <w:numId w:val="29"/>
        </w:numPr>
        <w:rPr>
          <w:rFonts w:ascii="Times New Roman" w:eastAsia="Times New Roman" w:hAnsi="Times New Roman" w:cs="Times New Roman"/>
          <w:sz w:val="24"/>
          <w:szCs w:val="24"/>
        </w:rPr>
      </w:pPr>
      <w:r w:rsidRPr="004D5EA4">
        <w:rPr>
          <w:rFonts w:ascii="Times New Roman" w:eastAsia="Times New Roman" w:hAnsi="Times New Roman" w:cs="Times New Roman"/>
          <w:b/>
          <w:sz w:val="24"/>
          <w:szCs w:val="24"/>
        </w:rPr>
        <w:t>October-December 2015</w:t>
      </w:r>
      <w:r w:rsidRPr="004D5EA4">
        <w:rPr>
          <w:rFonts w:ascii="Times New Roman" w:eastAsia="Times New Roman" w:hAnsi="Times New Roman" w:cs="Times New Roman"/>
          <w:sz w:val="24"/>
          <w:szCs w:val="24"/>
        </w:rPr>
        <w:t>: Analyze data</w:t>
      </w:r>
    </w:p>
    <w:p w14:paraId="531FBE65" w14:textId="77777777" w:rsidR="001542AC" w:rsidRPr="004D5EA4" w:rsidRDefault="001542AC" w:rsidP="004D5EA4">
      <w:pPr>
        <w:pStyle w:val="ListParagraph"/>
        <w:numPr>
          <w:ilvl w:val="0"/>
          <w:numId w:val="29"/>
        </w:numPr>
        <w:rPr>
          <w:rFonts w:ascii="Times New Roman" w:eastAsia="Times New Roman" w:hAnsi="Times New Roman" w:cs="Times New Roman"/>
          <w:sz w:val="24"/>
          <w:szCs w:val="24"/>
        </w:rPr>
      </w:pPr>
      <w:r w:rsidRPr="004D5EA4">
        <w:rPr>
          <w:rFonts w:ascii="Times New Roman" w:eastAsia="Times New Roman" w:hAnsi="Times New Roman" w:cs="Times New Roman"/>
          <w:b/>
          <w:sz w:val="24"/>
          <w:szCs w:val="24"/>
        </w:rPr>
        <w:t>February 2016</w:t>
      </w:r>
      <w:r w:rsidRPr="004D5EA4">
        <w:rPr>
          <w:rFonts w:ascii="Times New Roman" w:eastAsia="Times New Roman" w:hAnsi="Times New Roman" w:cs="Times New Roman"/>
          <w:sz w:val="24"/>
          <w:szCs w:val="24"/>
        </w:rPr>
        <w:t>: Finalize project report</w:t>
      </w:r>
    </w:p>
    <w:p w14:paraId="03D7FB1E" w14:textId="77777777" w:rsidR="001542AC" w:rsidRPr="001542AC" w:rsidRDefault="001542AC" w:rsidP="001542AC">
      <w:pPr>
        <w:rPr>
          <w:rFonts w:ascii="Times New Roman" w:eastAsia="Times New Roman" w:hAnsi="Times New Roman" w:cs="Times New Roman"/>
          <w:sz w:val="24"/>
          <w:szCs w:val="24"/>
        </w:rPr>
      </w:pPr>
      <w:bookmarkStart w:id="13" w:name="_Toc423590899"/>
    </w:p>
    <w:p w14:paraId="0FC959E2" w14:textId="77777777" w:rsidR="001542AC" w:rsidRPr="001542AC" w:rsidRDefault="001542AC" w:rsidP="001542AC">
      <w:pPr>
        <w:rPr>
          <w:rFonts w:ascii="Times New Roman" w:eastAsia="Times New Roman" w:hAnsi="Times New Roman" w:cs="Times New Roman"/>
          <w:sz w:val="24"/>
          <w:szCs w:val="24"/>
        </w:rPr>
      </w:pPr>
    </w:p>
    <w:p w14:paraId="3A89FE7B" w14:textId="77777777" w:rsidR="001542AC" w:rsidRPr="001542AC" w:rsidRDefault="001542AC" w:rsidP="001542AC">
      <w:pPr>
        <w:rPr>
          <w:rFonts w:ascii="Times New Roman" w:eastAsia="Times New Roman" w:hAnsi="Times New Roman" w:cs="Times New Roman"/>
          <w:sz w:val="24"/>
          <w:szCs w:val="24"/>
        </w:rPr>
      </w:pPr>
    </w:p>
    <w:p w14:paraId="5AF4842E" w14:textId="77777777" w:rsidR="001542AC" w:rsidRPr="001542AC" w:rsidRDefault="001542AC" w:rsidP="001542AC">
      <w:pPr>
        <w:rPr>
          <w:rFonts w:ascii="Times New Roman" w:eastAsia="Times New Roman" w:hAnsi="Times New Roman" w:cs="Times New Roman"/>
          <w:b/>
          <w:sz w:val="24"/>
          <w:szCs w:val="24"/>
        </w:rPr>
      </w:pPr>
      <w:r w:rsidRPr="001542AC">
        <w:rPr>
          <w:rFonts w:ascii="Times New Roman" w:eastAsia="Times New Roman" w:hAnsi="Times New Roman" w:cs="Times New Roman"/>
          <w:b/>
          <w:sz w:val="24"/>
          <w:szCs w:val="24"/>
        </w:rPr>
        <w:t>17. Reason(s) Display of OMB Expiration Date is Inappropriate</w:t>
      </w:r>
    </w:p>
    <w:p w14:paraId="717FCE32" w14:textId="77777777" w:rsidR="001542AC" w:rsidRPr="001542AC" w:rsidRDefault="001542AC" w:rsidP="001542AC">
      <w:pPr>
        <w:rPr>
          <w:rFonts w:ascii="Times New Roman" w:eastAsia="Times New Roman" w:hAnsi="Times New Roman" w:cs="Times New Roman"/>
          <w:sz w:val="24"/>
          <w:szCs w:val="24"/>
        </w:rPr>
      </w:pPr>
    </w:p>
    <w:p w14:paraId="4F164D2C" w14:textId="0E78FA71" w:rsidR="001542AC" w:rsidRPr="001542AC" w:rsidRDefault="001542AC" w:rsidP="001542AC">
      <w:pPr>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The display of the OMB expiration date is not</w:t>
      </w:r>
      <w:r w:rsidR="003138B9">
        <w:rPr>
          <w:rFonts w:ascii="Times New Roman" w:eastAsia="Times New Roman" w:hAnsi="Times New Roman" w:cs="Times New Roman"/>
          <w:sz w:val="24"/>
          <w:szCs w:val="24"/>
        </w:rPr>
        <w:t xml:space="preserve"> inappropriate, CDC request no exemption.</w:t>
      </w:r>
    </w:p>
    <w:p w14:paraId="259B7850" w14:textId="77777777" w:rsidR="001542AC" w:rsidRPr="001542AC" w:rsidRDefault="001542AC" w:rsidP="001542AC">
      <w:pPr>
        <w:rPr>
          <w:rFonts w:ascii="Times New Roman" w:eastAsia="Times New Roman" w:hAnsi="Times New Roman" w:cs="Times New Roman"/>
          <w:sz w:val="24"/>
          <w:szCs w:val="24"/>
        </w:rPr>
      </w:pPr>
    </w:p>
    <w:p w14:paraId="58635B0B" w14:textId="77777777" w:rsidR="001542AC" w:rsidRPr="001542AC" w:rsidRDefault="001542AC" w:rsidP="001542AC">
      <w:pPr>
        <w:rPr>
          <w:rFonts w:ascii="Times New Roman" w:eastAsia="Times New Roman" w:hAnsi="Times New Roman" w:cs="Times New Roman"/>
          <w:b/>
          <w:sz w:val="24"/>
          <w:szCs w:val="24"/>
        </w:rPr>
      </w:pPr>
      <w:r w:rsidRPr="001542AC">
        <w:rPr>
          <w:rFonts w:ascii="Times New Roman" w:eastAsia="Times New Roman" w:hAnsi="Times New Roman" w:cs="Times New Roman"/>
          <w:b/>
          <w:sz w:val="24"/>
          <w:szCs w:val="24"/>
        </w:rPr>
        <w:t>18. Exceptions to Certification for Paperwork Reduction Act Submission</w:t>
      </w:r>
    </w:p>
    <w:p w14:paraId="76A8A7DC" w14:textId="77777777" w:rsidR="001542AC" w:rsidRPr="001542AC" w:rsidRDefault="001542AC" w:rsidP="001542AC">
      <w:pPr>
        <w:rPr>
          <w:rFonts w:ascii="Times New Roman" w:eastAsia="Times New Roman" w:hAnsi="Times New Roman" w:cs="Times New Roman"/>
          <w:sz w:val="24"/>
          <w:szCs w:val="24"/>
        </w:rPr>
      </w:pPr>
    </w:p>
    <w:p w14:paraId="3F3C8E38" w14:textId="77777777" w:rsidR="001542AC" w:rsidRPr="001542AC" w:rsidRDefault="001542AC" w:rsidP="001542AC">
      <w:pPr>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There are no exceptions to the certification.</w:t>
      </w:r>
    </w:p>
    <w:p w14:paraId="1128D862" w14:textId="77777777" w:rsidR="001542AC" w:rsidRPr="001542AC" w:rsidRDefault="001542AC" w:rsidP="001542AC">
      <w:pPr>
        <w:rPr>
          <w:rFonts w:ascii="Times New Roman" w:eastAsia="Times New Roman" w:hAnsi="Times New Roman" w:cs="Times New Roman"/>
          <w:sz w:val="24"/>
          <w:szCs w:val="24"/>
        </w:rPr>
      </w:pPr>
    </w:p>
    <w:p w14:paraId="6701D980" w14:textId="06FD492B" w:rsidR="00271474" w:rsidRDefault="002714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End w:id="13"/>
    <w:p w14:paraId="6FF2A238" w14:textId="77777777" w:rsidR="00016AA8" w:rsidRPr="001542AC" w:rsidRDefault="00016AA8" w:rsidP="00016AA8">
      <w:pPr>
        <w:keepNext/>
        <w:keepLines/>
        <w:spacing w:before="480"/>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w:t>
      </w:r>
      <w:r w:rsidRPr="001542AC">
        <w:rPr>
          <w:rFonts w:ascii="Times New Roman" w:eastAsia="Times New Roman" w:hAnsi="Times New Roman" w:cs="Times New Roman"/>
          <w:b/>
          <w:bCs/>
          <w:sz w:val="24"/>
          <w:szCs w:val="24"/>
        </w:rPr>
        <w:t>ist of Attachments</w:t>
      </w:r>
    </w:p>
    <w:p w14:paraId="4A464092" w14:textId="77777777" w:rsidR="00016AA8" w:rsidRPr="001542AC" w:rsidRDefault="00016AA8" w:rsidP="00016AA8">
      <w:pPr>
        <w:rPr>
          <w:rFonts w:ascii="Times New Roman" w:eastAsia="Times New Roman" w:hAnsi="Times New Roman" w:cs="Times New Roman"/>
          <w:sz w:val="24"/>
          <w:szCs w:val="24"/>
        </w:rPr>
      </w:pPr>
      <w:r w:rsidRPr="001542AC">
        <w:rPr>
          <w:rFonts w:ascii="Times New Roman" w:eastAsia="Times New Roman" w:hAnsi="Times New Roman" w:cs="Arial"/>
          <w:sz w:val="24"/>
          <w:szCs w:val="24"/>
        </w:rPr>
        <w:t>Attachment A -</w:t>
      </w:r>
      <w:r w:rsidRPr="001542AC">
        <w:rPr>
          <w:rFonts w:ascii="Times New Roman" w:eastAsia="Times New Roman" w:hAnsi="Times New Roman" w:cs="Arial"/>
          <w:b/>
          <w:sz w:val="24"/>
          <w:szCs w:val="24"/>
        </w:rPr>
        <w:t xml:space="preserve"> </w:t>
      </w:r>
      <w:r w:rsidRPr="001542AC">
        <w:rPr>
          <w:rFonts w:ascii="Times New Roman" w:eastAsia="Times New Roman" w:hAnsi="Times New Roman" w:cs="Arial"/>
          <w:sz w:val="24"/>
          <w:szCs w:val="24"/>
        </w:rPr>
        <w:t xml:space="preserve">42 USC 264 </w:t>
      </w:r>
    </w:p>
    <w:p w14:paraId="0427EF31" w14:textId="77777777" w:rsidR="00016AA8" w:rsidRDefault="00016AA8" w:rsidP="00016AA8">
      <w:pPr>
        <w:rPr>
          <w:rFonts w:ascii="Times New Roman" w:eastAsia="Times New Roman" w:hAnsi="Times New Roman" w:cs="Arial"/>
          <w:sz w:val="24"/>
          <w:szCs w:val="24"/>
        </w:rPr>
      </w:pPr>
      <w:r>
        <w:rPr>
          <w:rFonts w:ascii="Times New Roman" w:eastAsia="Times New Roman" w:hAnsi="Times New Roman" w:cs="Arial"/>
          <w:sz w:val="24"/>
          <w:szCs w:val="24"/>
        </w:rPr>
        <w:t>Attachment B – 60 day Federal Register Notice</w:t>
      </w:r>
    </w:p>
    <w:p w14:paraId="0B0FEF97" w14:textId="77777777" w:rsidR="00016AA8" w:rsidRPr="001542AC" w:rsidRDefault="00016AA8" w:rsidP="00016AA8">
      <w:pPr>
        <w:rPr>
          <w:rFonts w:ascii="Times New Roman" w:eastAsia="Times New Roman" w:hAnsi="Times New Roman" w:cs="Arial"/>
          <w:sz w:val="24"/>
          <w:szCs w:val="24"/>
        </w:rPr>
      </w:pPr>
      <w:r w:rsidRPr="001542AC">
        <w:rPr>
          <w:rFonts w:ascii="Times New Roman" w:eastAsia="Times New Roman" w:hAnsi="Times New Roman" w:cs="Arial"/>
          <w:sz w:val="24"/>
          <w:szCs w:val="24"/>
        </w:rPr>
        <w:t>Attachment C - 42 CFR Part 70</w:t>
      </w:r>
    </w:p>
    <w:p w14:paraId="7D671D96" w14:textId="77777777" w:rsidR="00016AA8" w:rsidRPr="001542AC" w:rsidRDefault="00016AA8" w:rsidP="00016AA8">
      <w:pPr>
        <w:rPr>
          <w:rFonts w:ascii="Times New Roman" w:eastAsia="Times New Roman" w:hAnsi="Times New Roman" w:cs="Arial"/>
          <w:sz w:val="24"/>
          <w:szCs w:val="24"/>
        </w:rPr>
      </w:pPr>
      <w:r w:rsidRPr="001542AC">
        <w:rPr>
          <w:rFonts w:ascii="Times New Roman" w:eastAsia="Times New Roman" w:hAnsi="Times New Roman" w:cs="Arial"/>
          <w:sz w:val="24"/>
          <w:szCs w:val="24"/>
        </w:rPr>
        <w:t>Attachment D - 42 CFR Part 71</w:t>
      </w:r>
    </w:p>
    <w:p w14:paraId="77E70A5C" w14:textId="77777777" w:rsidR="00016AA8" w:rsidRPr="001542AC" w:rsidRDefault="00016AA8" w:rsidP="00016AA8">
      <w:pPr>
        <w:rPr>
          <w:rFonts w:ascii="Times New Roman" w:eastAsia="Times New Roman" w:hAnsi="Times New Roman" w:cs="Times New Roman"/>
          <w:sz w:val="24"/>
          <w:szCs w:val="24"/>
        </w:rPr>
      </w:pPr>
      <w:r w:rsidRPr="001542AC">
        <w:rPr>
          <w:rFonts w:ascii="Times New Roman" w:eastAsia="Times New Roman" w:hAnsi="Times New Roman" w:cs="Arial"/>
          <w:sz w:val="24"/>
          <w:szCs w:val="24"/>
        </w:rPr>
        <w:t>Attachment E -</w:t>
      </w:r>
      <w:r w:rsidRPr="001542AC">
        <w:rPr>
          <w:rFonts w:ascii="Times New Roman" w:eastAsia="Times New Roman" w:hAnsi="Times New Roman" w:cs="Arial"/>
          <w:b/>
          <w:sz w:val="24"/>
          <w:szCs w:val="24"/>
        </w:rPr>
        <w:t xml:space="preserve"> </w:t>
      </w:r>
      <w:r w:rsidRPr="001542AC">
        <w:rPr>
          <w:rFonts w:ascii="Times New Roman" w:eastAsia="Calibri" w:hAnsi="Times New Roman" w:cs="Times New Roman"/>
          <w:sz w:val="24"/>
          <w:szCs w:val="24"/>
        </w:rPr>
        <w:t xml:space="preserve">8 U.S.C. § 1182(a)(1)(A) </w:t>
      </w:r>
    </w:p>
    <w:p w14:paraId="758569D3" w14:textId="77777777" w:rsidR="00016AA8" w:rsidRPr="001542AC" w:rsidRDefault="00016AA8" w:rsidP="00016AA8">
      <w:pPr>
        <w:rPr>
          <w:rFonts w:ascii="Times New Roman" w:eastAsia="Times New Roman" w:hAnsi="Times New Roman" w:cs="Times New Roman"/>
          <w:sz w:val="24"/>
          <w:szCs w:val="24"/>
        </w:rPr>
      </w:pPr>
      <w:r w:rsidRPr="001542AC">
        <w:rPr>
          <w:rFonts w:ascii="Times New Roman" w:eastAsia="Times New Roman" w:hAnsi="Times New Roman" w:cs="Arial"/>
          <w:sz w:val="24"/>
          <w:szCs w:val="24"/>
        </w:rPr>
        <w:t xml:space="preserve">Attachment F - </w:t>
      </w:r>
      <w:r w:rsidRPr="001542AC">
        <w:rPr>
          <w:rFonts w:ascii="Times New Roman" w:eastAsia="Calibri" w:hAnsi="Times New Roman" w:cs="Times New Roman"/>
          <w:sz w:val="24"/>
          <w:szCs w:val="24"/>
        </w:rPr>
        <w:t>42 U.S.C §</w:t>
      </w:r>
      <w:r w:rsidRPr="001542AC">
        <w:rPr>
          <w:rFonts w:ascii="Times New Roman" w:eastAsia="Times New Roman" w:hAnsi="Times New Roman" w:cs="Arial"/>
          <w:sz w:val="24"/>
          <w:szCs w:val="24"/>
        </w:rPr>
        <w:t xml:space="preserve"> 252</w:t>
      </w:r>
    </w:p>
    <w:p w14:paraId="1A39ADFA" w14:textId="77777777" w:rsidR="00016AA8" w:rsidRPr="001542AC" w:rsidRDefault="00016AA8" w:rsidP="00016AA8">
      <w:pPr>
        <w:rPr>
          <w:rFonts w:ascii="Times New Roman" w:eastAsia="Times New Roman" w:hAnsi="Times New Roman" w:cs="Times New Roman"/>
          <w:sz w:val="24"/>
          <w:szCs w:val="24"/>
        </w:rPr>
      </w:pPr>
      <w:r w:rsidRPr="001542AC">
        <w:rPr>
          <w:rFonts w:ascii="Times New Roman" w:eastAsia="Calibri" w:hAnsi="Times New Roman" w:cs="Times New Roman"/>
          <w:sz w:val="24"/>
          <w:szCs w:val="24"/>
        </w:rPr>
        <w:t>Attachment G - 42 CFR Part 34</w:t>
      </w:r>
    </w:p>
    <w:p w14:paraId="31D42012" w14:textId="77777777" w:rsidR="00016AA8" w:rsidRDefault="00016AA8" w:rsidP="00016AA8">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H: 42 U.S.C. </w:t>
      </w:r>
      <w:r w:rsidRPr="001542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241</w:t>
      </w:r>
    </w:p>
    <w:p w14:paraId="31DF1A9F" w14:textId="77777777" w:rsidR="00016AA8" w:rsidRPr="001542AC" w:rsidRDefault="00016AA8" w:rsidP="00016AA8">
      <w:pPr>
        <w:spacing w:after="120"/>
        <w:contextualSpacing/>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I</w:t>
      </w:r>
      <w:r w:rsidRPr="001542AC">
        <w:rPr>
          <w:rFonts w:ascii="Times New Roman" w:eastAsia="Times New Roman" w:hAnsi="Times New Roman" w:cs="Times New Roman"/>
          <w:sz w:val="24"/>
          <w:szCs w:val="24"/>
        </w:rPr>
        <w:t xml:space="preserve">: Focus Group Discussion Guide </w:t>
      </w:r>
    </w:p>
    <w:p w14:paraId="570D158F" w14:textId="77777777" w:rsidR="00016AA8" w:rsidRPr="001542AC" w:rsidRDefault="00016AA8" w:rsidP="00016AA8">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J</w:t>
      </w:r>
      <w:r w:rsidRPr="001542AC">
        <w:rPr>
          <w:rFonts w:ascii="Times New Roman" w:eastAsia="Times New Roman" w:hAnsi="Times New Roman" w:cs="Times New Roman"/>
          <w:sz w:val="24"/>
          <w:szCs w:val="24"/>
        </w:rPr>
        <w:t xml:space="preserve">: Participant Screener </w:t>
      </w:r>
    </w:p>
    <w:p w14:paraId="2C00F9F3" w14:textId="77777777" w:rsidR="00016AA8" w:rsidRPr="001542AC" w:rsidRDefault="00016AA8" w:rsidP="00016AA8">
      <w:pPr>
        <w:spacing w:after="120"/>
        <w:contextualSpacing/>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K</w:t>
      </w:r>
      <w:r w:rsidRPr="001542AC">
        <w:rPr>
          <w:rFonts w:ascii="Times New Roman" w:eastAsia="Times New Roman" w:hAnsi="Times New Roman" w:cs="Times New Roman"/>
          <w:sz w:val="24"/>
          <w:szCs w:val="24"/>
        </w:rPr>
        <w:t>: Participant Information Sheet</w:t>
      </w:r>
    </w:p>
    <w:p w14:paraId="3C81A171" w14:textId="77777777" w:rsidR="00016AA8" w:rsidRPr="001542AC" w:rsidRDefault="00016AA8" w:rsidP="00016AA8">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L</w:t>
      </w:r>
      <w:r w:rsidRPr="001542AC">
        <w:rPr>
          <w:rFonts w:ascii="Times New Roman" w:eastAsia="Times New Roman" w:hAnsi="Times New Roman" w:cs="Times New Roman"/>
          <w:sz w:val="24"/>
          <w:szCs w:val="24"/>
        </w:rPr>
        <w:t>: Chikungunya and Dengue Messages</w:t>
      </w:r>
    </w:p>
    <w:p w14:paraId="541B2E70" w14:textId="22B643CC" w:rsidR="00016AA8" w:rsidRPr="001542AC" w:rsidRDefault="00016AA8" w:rsidP="00016AA8">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M</w:t>
      </w:r>
      <w:r w:rsidRPr="001542AC">
        <w:rPr>
          <w:rFonts w:ascii="Times New Roman" w:eastAsia="Times New Roman" w:hAnsi="Times New Roman" w:cs="Times New Roman"/>
          <w:sz w:val="24"/>
          <w:szCs w:val="24"/>
        </w:rPr>
        <w:t xml:space="preserve">: </w:t>
      </w:r>
    </w:p>
    <w:p w14:paraId="7543A874" w14:textId="77777777" w:rsidR="006D0A15" w:rsidRDefault="00016AA8" w:rsidP="00016AA8">
      <w:pPr>
        <w:spacing w:after="120"/>
        <w:contextualSpacing/>
        <w:rPr>
          <w:rFonts w:ascii="Times New Roman" w:eastAsia="Times New Roman" w:hAnsi="Times New Roman" w:cs="Times New Roman"/>
          <w:sz w:val="24"/>
          <w:szCs w:val="24"/>
        </w:rPr>
      </w:pPr>
      <w:r w:rsidRPr="001542AC">
        <w:rPr>
          <w:rFonts w:ascii="Times New Roman" w:eastAsia="Times New Roman" w:hAnsi="Times New Roman" w:cs="Times New Roman"/>
          <w:sz w:val="24"/>
          <w:szCs w:val="24"/>
        </w:rPr>
        <w:t xml:space="preserve">Attachment </w:t>
      </w:r>
      <w:r>
        <w:rPr>
          <w:rFonts w:ascii="Times New Roman" w:eastAsia="Times New Roman" w:hAnsi="Times New Roman" w:cs="Times New Roman"/>
          <w:sz w:val="24"/>
          <w:szCs w:val="24"/>
        </w:rPr>
        <w:t>N</w:t>
      </w:r>
      <w:r w:rsidRPr="001542AC">
        <w:rPr>
          <w:rFonts w:ascii="Times New Roman" w:eastAsia="Times New Roman" w:hAnsi="Times New Roman" w:cs="Times New Roman"/>
          <w:sz w:val="24"/>
          <w:szCs w:val="24"/>
        </w:rPr>
        <w:t xml:space="preserve">: </w:t>
      </w:r>
      <w:r w:rsidR="006D0A15" w:rsidRPr="001542AC">
        <w:rPr>
          <w:rFonts w:ascii="Times New Roman" w:eastAsia="Times New Roman" w:hAnsi="Times New Roman" w:cs="Times New Roman"/>
          <w:sz w:val="24"/>
          <w:szCs w:val="24"/>
        </w:rPr>
        <w:t xml:space="preserve">IRB Research Protocol </w:t>
      </w:r>
    </w:p>
    <w:p w14:paraId="31D155FB" w14:textId="534415D2" w:rsidR="00016AA8" w:rsidRPr="001542AC" w:rsidRDefault="006D0A15" w:rsidP="00016AA8">
      <w:pPr>
        <w:spacing w:after="1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O: </w:t>
      </w:r>
      <w:r w:rsidR="00016AA8" w:rsidRPr="001542AC">
        <w:rPr>
          <w:rFonts w:ascii="Times New Roman" w:eastAsia="Times New Roman" w:hAnsi="Times New Roman" w:cs="Times New Roman"/>
          <w:sz w:val="24"/>
          <w:szCs w:val="24"/>
        </w:rPr>
        <w:t>IRB Non-Research Determination</w:t>
      </w:r>
    </w:p>
    <w:p w14:paraId="3DFA3022" w14:textId="77777777" w:rsidR="001542AC" w:rsidRPr="001542AC" w:rsidRDefault="001542AC" w:rsidP="001542AC">
      <w:pPr>
        <w:rPr>
          <w:rFonts w:ascii="Times New Roman" w:eastAsia="Times New Roman" w:hAnsi="Times New Roman" w:cs="Times New Roman"/>
          <w:sz w:val="24"/>
          <w:szCs w:val="24"/>
        </w:rPr>
      </w:pPr>
    </w:p>
    <w:p w14:paraId="63FFFC1D" w14:textId="77777777" w:rsidR="003138B9" w:rsidRDefault="003138B9">
      <w:pPr>
        <w:rPr>
          <w:rFonts w:ascii="Times New Roman" w:eastAsia="Times New Roman" w:hAnsi="Times New Roman" w:cs="Times New Roman"/>
          <w:b/>
          <w:bCs/>
          <w:sz w:val="24"/>
          <w:szCs w:val="24"/>
        </w:rPr>
      </w:pPr>
      <w:bookmarkStart w:id="14" w:name="_Toc423590900"/>
      <w:bookmarkEnd w:id="11"/>
      <w:r>
        <w:rPr>
          <w:rFonts w:ascii="Times New Roman" w:eastAsia="Times New Roman" w:hAnsi="Times New Roman" w:cs="Times New Roman"/>
          <w:b/>
          <w:bCs/>
          <w:sz w:val="24"/>
          <w:szCs w:val="24"/>
        </w:rPr>
        <w:br w:type="page"/>
      </w:r>
    </w:p>
    <w:p w14:paraId="421551DC" w14:textId="418D4795" w:rsidR="001542AC" w:rsidRPr="001542AC" w:rsidRDefault="001542AC" w:rsidP="001542AC">
      <w:pPr>
        <w:keepNext/>
        <w:keepLines/>
        <w:spacing w:before="480"/>
        <w:outlineLvl w:val="0"/>
        <w:rPr>
          <w:rFonts w:ascii="Times New Roman" w:eastAsia="Times New Roman" w:hAnsi="Times New Roman" w:cs="Times New Roman"/>
          <w:b/>
          <w:bCs/>
          <w:sz w:val="24"/>
          <w:szCs w:val="24"/>
        </w:rPr>
      </w:pPr>
      <w:r w:rsidRPr="001542AC">
        <w:rPr>
          <w:rFonts w:ascii="Times New Roman" w:eastAsia="Times New Roman" w:hAnsi="Times New Roman" w:cs="Times New Roman"/>
          <w:b/>
          <w:bCs/>
          <w:sz w:val="24"/>
          <w:szCs w:val="24"/>
        </w:rPr>
        <w:lastRenderedPageBreak/>
        <w:t>References</w:t>
      </w:r>
      <w:bookmarkEnd w:id="14"/>
    </w:p>
    <w:p w14:paraId="46F22B21" w14:textId="77777777" w:rsidR="001542AC" w:rsidRPr="001542AC" w:rsidRDefault="001542AC" w:rsidP="001542AC">
      <w:pPr>
        <w:ind w:left="720" w:hanging="720"/>
        <w:rPr>
          <w:rFonts w:ascii="Times New Roman" w:eastAsia="Times New Roman" w:hAnsi="Times New Roman" w:cs="Times New Roman"/>
          <w:noProof/>
          <w:sz w:val="24"/>
          <w:szCs w:val="24"/>
        </w:rPr>
      </w:pPr>
      <w:r w:rsidRPr="001542AC">
        <w:rPr>
          <w:rFonts w:ascii="Times New Roman" w:eastAsia="Times New Roman" w:hAnsi="Times New Roman" w:cs="Times New Roman"/>
          <w:sz w:val="24"/>
          <w:szCs w:val="24"/>
        </w:rPr>
        <w:fldChar w:fldCharType="begin"/>
      </w:r>
      <w:r w:rsidRPr="001542AC">
        <w:rPr>
          <w:rFonts w:ascii="Times New Roman" w:eastAsia="Times New Roman" w:hAnsi="Times New Roman" w:cs="Times New Roman"/>
          <w:sz w:val="24"/>
          <w:szCs w:val="24"/>
        </w:rPr>
        <w:instrText xml:space="preserve"> ADDIN EN.REFLIST </w:instrText>
      </w:r>
      <w:r w:rsidRPr="001542AC">
        <w:rPr>
          <w:rFonts w:ascii="Times New Roman" w:eastAsia="Times New Roman" w:hAnsi="Times New Roman" w:cs="Times New Roman"/>
          <w:sz w:val="24"/>
          <w:szCs w:val="24"/>
        </w:rPr>
        <w:fldChar w:fldCharType="separate"/>
      </w:r>
      <w:bookmarkStart w:id="15" w:name="_ENREF_1"/>
      <w:r w:rsidRPr="001542AC">
        <w:rPr>
          <w:rFonts w:ascii="Times New Roman" w:eastAsia="Times New Roman" w:hAnsi="Times New Roman" w:cs="Times New Roman"/>
          <w:noProof/>
          <w:sz w:val="24"/>
          <w:szCs w:val="24"/>
        </w:rPr>
        <w:t>1.</w:t>
      </w:r>
      <w:r w:rsidRPr="001542AC">
        <w:rPr>
          <w:rFonts w:ascii="Times New Roman" w:eastAsia="Times New Roman" w:hAnsi="Times New Roman" w:cs="Times New Roman"/>
          <w:noProof/>
          <w:sz w:val="24"/>
          <w:szCs w:val="24"/>
        </w:rPr>
        <w:tab/>
        <w:t xml:space="preserve">Kissam, E., </w:t>
      </w:r>
      <w:r w:rsidRPr="001542AC">
        <w:rPr>
          <w:rFonts w:ascii="Times New Roman" w:eastAsia="Times New Roman" w:hAnsi="Times New Roman" w:cs="Times New Roman"/>
          <w:i/>
          <w:noProof/>
          <w:sz w:val="24"/>
          <w:szCs w:val="24"/>
        </w:rPr>
        <w:t>2010 Census Enumeration of Immigrant Communities in Rural California: Dramatic Improvements but Challenges Remain</w:t>
      </w:r>
      <w:r w:rsidRPr="001542AC">
        <w:rPr>
          <w:rFonts w:ascii="Times New Roman" w:eastAsia="Times New Roman" w:hAnsi="Times New Roman" w:cs="Times New Roman"/>
          <w:noProof/>
          <w:sz w:val="24"/>
          <w:szCs w:val="24"/>
        </w:rPr>
        <w:t>, 2010, JBS International: Burlingame, California.</w:t>
      </w:r>
      <w:bookmarkEnd w:id="15"/>
    </w:p>
    <w:p w14:paraId="536D7265"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16" w:name="_ENREF_2"/>
      <w:r w:rsidRPr="001542AC">
        <w:rPr>
          <w:rFonts w:ascii="Times New Roman" w:eastAsia="Times New Roman" w:hAnsi="Times New Roman" w:cs="Times New Roman"/>
          <w:noProof/>
          <w:sz w:val="24"/>
          <w:szCs w:val="24"/>
        </w:rPr>
        <w:t>2.</w:t>
      </w:r>
      <w:r w:rsidRPr="001542AC">
        <w:rPr>
          <w:rFonts w:ascii="Times New Roman" w:eastAsia="Times New Roman" w:hAnsi="Times New Roman" w:cs="Times New Roman"/>
          <w:noProof/>
          <w:sz w:val="24"/>
          <w:szCs w:val="24"/>
        </w:rPr>
        <w:tab/>
        <w:t xml:space="preserve">Deren, S., et al., </w:t>
      </w:r>
      <w:r w:rsidRPr="001542AC">
        <w:rPr>
          <w:rFonts w:ascii="Times New Roman" w:eastAsia="Times New Roman" w:hAnsi="Times New Roman" w:cs="Times New Roman"/>
          <w:i/>
          <w:noProof/>
          <w:sz w:val="24"/>
          <w:szCs w:val="24"/>
        </w:rPr>
        <w:t>Research challenges to the study of HIV/AIDS among migrant and immigrant hispanic populations in the united states.</w:t>
      </w:r>
      <w:r w:rsidRPr="001542AC">
        <w:rPr>
          <w:rFonts w:ascii="Times New Roman" w:eastAsia="Times New Roman" w:hAnsi="Times New Roman" w:cs="Times New Roman"/>
          <w:noProof/>
          <w:sz w:val="24"/>
          <w:szCs w:val="24"/>
        </w:rPr>
        <w:t xml:space="preserve"> Journal of Urban Health, 2005. </w:t>
      </w:r>
      <w:r w:rsidRPr="001542AC">
        <w:rPr>
          <w:rFonts w:ascii="Times New Roman" w:eastAsia="Times New Roman" w:hAnsi="Times New Roman" w:cs="Times New Roman"/>
          <w:b/>
          <w:noProof/>
          <w:sz w:val="24"/>
          <w:szCs w:val="24"/>
        </w:rPr>
        <w:t>82</w:t>
      </w:r>
      <w:r w:rsidRPr="001542AC">
        <w:rPr>
          <w:rFonts w:ascii="Times New Roman" w:eastAsia="Times New Roman" w:hAnsi="Times New Roman" w:cs="Times New Roman"/>
          <w:noProof/>
          <w:sz w:val="24"/>
          <w:szCs w:val="24"/>
        </w:rPr>
        <w:t>(0): p. iii13-iii25.</w:t>
      </w:r>
      <w:bookmarkEnd w:id="16"/>
    </w:p>
    <w:p w14:paraId="28CA6BA1"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17" w:name="_ENREF_3"/>
      <w:r w:rsidRPr="001542AC">
        <w:rPr>
          <w:rFonts w:ascii="Times New Roman" w:eastAsia="Times New Roman" w:hAnsi="Times New Roman" w:cs="Times New Roman"/>
          <w:noProof/>
          <w:sz w:val="24"/>
          <w:szCs w:val="24"/>
        </w:rPr>
        <w:t>3.</w:t>
      </w:r>
      <w:r w:rsidRPr="001542AC">
        <w:rPr>
          <w:rFonts w:ascii="Times New Roman" w:eastAsia="Times New Roman" w:hAnsi="Times New Roman" w:cs="Times New Roman"/>
          <w:noProof/>
          <w:sz w:val="24"/>
          <w:szCs w:val="24"/>
        </w:rPr>
        <w:tab/>
        <w:t xml:space="preserve">Shedlin, M., et al., </w:t>
      </w:r>
      <w:r w:rsidRPr="001542AC">
        <w:rPr>
          <w:rFonts w:ascii="Times New Roman" w:eastAsia="Times New Roman" w:hAnsi="Times New Roman" w:cs="Times New Roman"/>
          <w:i/>
          <w:noProof/>
          <w:sz w:val="24"/>
          <w:szCs w:val="24"/>
        </w:rPr>
        <w:t>Research Participant Recruitment in Hispanic Communities: Lessons Learned.</w:t>
      </w:r>
      <w:r w:rsidRPr="001542AC">
        <w:rPr>
          <w:rFonts w:ascii="Times New Roman" w:eastAsia="Times New Roman" w:hAnsi="Times New Roman" w:cs="Times New Roman"/>
          <w:noProof/>
          <w:sz w:val="24"/>
          <w:szCs w:val="24"/>
        </w:rPr>
        <w:t xml:space="preserve"> Journal of Immigrant and Minority Health, 2011. </w:t>
      </w:r>
      <w:r w:rsidRPr="001542AC">
        <w:rPr>
          <w:rFonts w:ascii="Times New Roman" w:eastAsia="Times New Roman" w:hAnsi="Times New Roman" w:cs="Times New Roman"/>
          <w:b/>
          <w:noProof/>
          <w:sz w:val="24"/>
          <w:szCs w:val="24"/>
        </w:rPr>
        <w:t>13</w:t>
      </w:r>
      <w:r w:rsidRPr="001542AC">
        <w:rPr>
          <w:rFonts w:ascii="Times New Roman" w:eastAsia="Times New Roman" w:hAnsi="Times New Roman" w:cs="Times New Roman"/>
          <w:noProof/>
          <w:sz w:val="24"/>
          <w:szCs w:val="24"/>
        </w:rPr>
        <w:t>(2): p. 352-360.</w:t>
      </w:r>
      <w:bookmarkEnd w:id="17"/>
    </w:p>
    <w:p w14:paraId="788FB848"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18" w:name="_ENREF_4"/>
      <w:r w:rsidRPr="001542AC">
        <w:rPr>
          <w:rFonts w:ascii="Times New Roman" w:eastAsia="Times New Roman" w:hAnsi="Times New Roman" w:cs="Times New Roman"/>
          <w:noProof/>
          <w:sz w:val="24"/>
          <w:szCs w:val="24"/>
        </w:rPr>
        <w:t>4.</w:t>
      </w:r>
      <w:r w:rsidRPr="001542AC">
        <w:rPr>
          <w:rFonts w:ascii="Times New Roman" w:eastAsia="Times New Roman" w:hAnsi="Times New Roman" w:cs="Times New Roman"/>
          <w:noProof/>
          <w:sz w:val="24"/>
          <w:szCs w:val="24"/>
        </w:rPr>
        <w:tab/>
        <w:t xml:space="preserve">Villarejo, D., et al., </w:t>
      </w:r>
      <w:r w:rsidRPr="001542AC">
        <w:rPr>
          <w:rFonts w:ascii="Times New Roman" w:eastAsia="Times New Roman" w:hAnsi="Times New Roman" w:cs="Times New Roman"/>
          <w:i/>
          <w:noProof/>
          <w:sz w:val="24"/>
          <w:szCs w:val="24"/>
        </w:rPr>
        <w:t>The health of California's immigrant hired farmworkers.</w:t>
      </w:r>
      <w:r w:rsidRPr="001542AC">
        <w:rPr>
          <w:rFonts w:ascii="Times New Roman" w:eastAsia="Times New Roman" w:hAnsi="Times New Roman" w:cs="Times New Roman"/>
          <w:noProof/>
          <w:sz w:val="24"/>
          <w:szCs w:val="24"/>
        </w:rPr>
        <w:t xml:space="preserve"> American Journal of Industrial Medicine, 2010. </w:t>
      </w:r>
      <w:r w:rsidRPr="001542AC">
        <w:rPr>
          <w:rFonts w:ascii="Times New Roman" w:eastAsia="Times New Roman" w:hAnsi="Times New Roman" w:cs="Times New Roman"/>
          <w:b/>
          <w:noProof/>
          <w:sz w:val="24"/>
          <w:szCs w:val="24"/>
        </w:rPr>
        <w:t>53</w:t>
      </w:r>
      <w:r w:rsidRPr="001542AC">
        <w:rPr>
          <w:rFonts w:ascii="Times New Roman" w:eastAsia="Times New Roman" w:hAnsi="Times New Roman" w:cs="Times New Roman"/>
          <w:noProof/>
          <w:sz w:val="24"/>
          <w:szCs w:val="24"/>
        </w:rPr>
        <w:t>(4): p. 387-397.</w:t>
      </w:r>
      <w:bookmarkEnd w:id="18"/>
    </w:p>
    <w:p w14:paraId="3C9D9639"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19" w:name="_ENREF_5"/>
      <w:r w:rsidRPr="001542AC">
        <w:rPr>
          <w:rFonts w:ascii="Times New Roman" w:eastAsia="Times New Roman" w:hAnsi="Times New Roman" w:cs="Times New Roman"/>
          <w:noProof/>
          <w:sz w:val="24"/>
          <w:szCs w:val="24"/>
        </w:rPr>
        <w:t>5.</w:t>
      </w:r>
      <w:r w:rsidRPr="001542AC">
        <w:rPr>
          <w:rFonts w:ascii="Times New Roman" w:eastAsia="Times New Roman" w:hAnsi="Times New Roman" w:cs="Times New Roman"/>
          <w:noProof/>
          <w:sz w:val="24"/>
          <w:szCs w:val="24"/>
        </w:rPr>
        <w:tab/>
        <w:t xml:space="preserve">Clingerman, E.M., </w:t>
      </w:r>
      <w:r w:rsidRPr="001542AC">
        <w:rPr>
          <w:rFonts w:ascii="Times New Roman" w:eastAsia="Times New Roman" w:hAnsi="Times New Roman" w:cs="Times New Roman"/>
          <w:i/>
          <w:noProof/>
          <w:sz w:val="24"/>
          <w:szCs w:val="24"/>
        </w:rPr>
        <w:t>Conceptualizations of Health Among Mexican and Mexican American Women Employed in Migrant Farm Work.</w:t>
      </w:r>
      <w:r w:rsidRPr="001542AC">
        <w:rPr>
          <w:rFonts w:ascii="Times New Roman" w:eastAsia="Times New Roman" w:hAnsi="Times New Roman" w:cs="Times New Roman"/>
          <w:noProof/>
          <w:sz w:val="24"/>
          <w:szCs w:val="24"/>
        </w:rPr>
        <w:t xml:space="preserve"> Hispanic Health Care International, 2006. </w:t>
      </w:r>
      <w:r w:rsidRPr="001542AC">
        <w:rPr>
          <w:rFonts w:ascii="Times New Roman" w:eastAsia="Times New Roman" w:hAnsi="Times New Roman" w:cs="Times New Roman"/>
          <w:b/>
          <w:noProof/>
          <w:sz w:val="24"/>
          <w:szCs w:val="24"/>
        </w:rPr>
        <w:t>4</w:t>
      </w:r>
      <w:r w:rsidRPr="001542AC">
        <w:rPr>
          <w:rFonts w:ascii="Times New Roman" w:eastAsia="Times New Roman" w:hAnsi="Times New Roman" w:cs="Times New Roman"/>
          <w:noProof/>
          <w:sz w:val="24"/>
          <w:szCs w:val="24"/>
        </w:rPr>
        <w:t>(1): p. 45-55.</w:t>
      </w:r>
      <w:bookmarkEnd w:id="19"/>
    </w:p>
    <w:p w14:paraId="0498CA20"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20" w:name="_ENREF_6"/>
      <w:r w:rsidRPr="001542AC">
        <w:rPr>
          <w:rFonts w:ascii="Times New Roman" w:eastAsia="Times New Roman" w:hAnsi="Times New Roman" w:cs="Times New Roman"/>
          <w:noProof/>
          <w:sz w:val="24"/>
          <w:szCs w:val="24"/>
        </w:rPr>
        <w:t>6.</w:t>
      </w:r>
      <w:r w:rsidRPr="001542AC">
        <w:rPr>
          <w:rFonts w:ascii="Times New Roman" w:eastAsia="Times New Roman" w:hAnsi="Times New Roman" w:cs="Times New Roman"/>
          <w:noProof/>
          <w:sz w:val="24"/>
          <w:szCs w:val="24"/>
        </w:rPr>
        <w:tab/>
        <w:t xml:space="preserve">Rodríguez-Reimann, D.I., et al., </w:t>
      </w:r>
      <w:r w:rsidRPr="001542AC">
        <w:rPr>
          <w:rFonts w:ascii="Times New Roman" w:eastAsia="Times New Roman" w:hAnsi="Times New Roman" w:cs="Times New Roman"/>
          <w:i/>
          <w:noProof/>
          <w:sz w:val="24"/>
          <w:szCs w:val="24"/>
        </w:rPr>
        <w:t>Acculturation and Health Beliefs of Mexican Americans Regarding Tuberculosis Prevention.</w:t>
      </w:r>
      <w:r w:rsidRPr="001542AC">
        <w:rPr>
          <w:rFonts w:ascii="Times New Roman" w:eastAsia="Times New Roman" w:hAnsi="Times New Roman" w:cs="Times New Roman"/>
          <w:noProof/>
          <w:sz w:val="24"/>
          <w:szCs w:val="24"/>
        </w:rPr>
        <w:t xml:space="preserve"> Journal of Immigrant Health, 2004. </w:t>
      </w:r>
      <w:r w:rsidRPr="001542AC">
        <w:rPr>
          <w:rFonts w:ascii="Times New Roman" w:eastAsia="Times New Roman" w:hAnsi="Times New Roman" w:cs="Times New Roman"/>
          <w:b/>
          <w:noProof/>
          <w:sz w:val="24"/>
          <w:szCs w:val="24"/>
        </w:rPr>
        <w:t>6</w:t>
      </w:r>
      <w:r w:rsidRPr="001542AC">
        <w:rPr>
          <w:rFonts w:ascii="Times New Roman" w:eastAsia="Times New Roman" w:hAnsi="Times New Roman" w:cs="Times New Roman"/>
          <w:noProof/>
          <w:sz w:val="24"/>
          <w:szCs w:val="24"/>
        </w:rPr>
        <w:t>(2): p. 51-62.</w:t>
      </w:r>
      <w:bookmarkEnd w:id="20"/>
    </w:p>
    <w:p w14:paraId="748ED0B0"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21" w:name="_ENREF_7"/>
      <w:r w:rsidRPr="001542AC">
        <w:rPr>
          <w:rFonts w:ascii="Times New Roman" w:eastAsia="Times New Roman" w:hAnsi="Times New Roman" w:cs="Times New Roman"/>
          <w:noProof/>
          <w:sz w:val="24"/>
          <w:szCs w:val="24"/>
        </w:rPr>
        <w:t>7.</w:t>
      </w:r>
      <w:r w:rsidRPr="001542AC">
        <w:rPr>
          <w:rFonts w:ascii="Times New Roman" w:eastAsia="Times New Roman" w:hAnsi="Times New Roman" w:cs="Times New Roman"/>
          <w:noProof/>
          <w:sz w:val="24"/>
          <w:szCs w:val="24"/>
        </w:rPr>
        <w:tab/>
        <w:t xml:space="preserve">Livingston, G., S. Minushkin, and D.V. Cohn, </w:t>
      </w:r>
      <w:r w:rsidRPr="001542AC">
        <w:rPr>
          <w:rFonts w:ascii="Times New Roman" w:eastAsia="Times New Roman" w:hAnsi="Times New Roman" w:cs="Times New Roman"/>
          <w:i/>
          <w:noProof/>
          <w:sz w:val="24"/>
          <w:szCs w:val="24"/>
        </w:rPr>
        <w:t>Hispanics and Health Care in the United States: Access, Information and Knowledge</w:t>
      </w:r>
      <w:r w:rsidRPr="001542AC">
        <w:rPr>
          <w:rFonts w:ascii="Times New Roman" w:eastAsia="Times New Roman" w:hAnsi="Times New Roman" w:cs="Times New Roman"/>
          <w:noProof/>
          <w:sz w:val="24"/>
          <w:szCs w:val="24"/>
        </w:rPr>
        <w:t>, 2009, Pew Hispanic Center, Robert Wood Johnson Foundation.</w:t>
      </w:r>
      <w:bookmarkEnd w:id="21"/>
    </w:p>
    <w:p w14:paraId="25E8F071" w14:textId="77777777" w:rsidR="001542AC" w:rsidRPr="001542AC" w:rsidRDefault="001542AC" w:rsidP="001542AC">
      <w:pPr>
        <w:ind w:left="720" w:hanging="720"/>
        <w:rPr>
          <w:rFonts w:ascii="Times New Roman" w:eastAsia="Times New Roman" w:hAnsi="Times New Roman" w:cs="Times New Roman"/>
          <w:noProof/>
          <w:sz w:val="24"/>
          <w:szCs w:val="24"/>
        </w:rPr>
      </w:pPr>
      <w:bookmarkStart w:id="22" w:name="_ENREF_8"/>
      <w:r w:rsidRPr="001542AC">
        <w:rPr>
          <w:rFonts w:ascii="Times New Roman" w:eastAsia="Times New Roman" w:hAnsi="Times New Roman" w:cs="Times New Roman"/>
          <w:noProof/>
          <w:sz w:val="24"/>
          <w:szCs w:val="24"/>
        </w:rPr>
        <w:t>8.</w:t>
      </w:r>
      <w:r w:rsidRPr="001542AC">
        <w:rPr>
          <w:rFonts w:ascii="Times New Roman" w:eastAsia="Times New Roman" w:hAnsi="Times New Roman" w:cs="Times New Roman"/>
          <w:noProof/>
          <w:sz w:val="24"/>
          <w:szCs w:val="24"/>
        </w:rPr>
        <w:tab/>
        <w:t xml:space="preserve">Painter, T., </w:t>
      </w:r>
      <w:r w:rsidRPr="001542AC">
        <w:rPr>
          <w:rFonts w:ascii="Times New Roman" w:eastAsia="Times New Roman" w:hAnsi="Times New Roman" w:cs="Times New Roman"/>
          <w:i/>
          <w:noProof/>
          <w:sz w:val="24"/>
          <w:szCs w:val="24"/>
        </w:rPr>
        <w:t>Connecting The Dots: When the Risks of HIV/STD Infection Appear High But the Burden of Infection Is Not Known—The Case of Male Latino Migrants in the Southern United States.</w:t>
      </w:r>
      <w:r w:rsidRPr="001542AC">
        <w:rPr>
          <w:rFonts w:ascii="Times New Roman" w:eastAsia="Times New Roman" w:hAnsi="Times New Roman" w:cs="Times New Roman"/>
          <w:noProof/>
          <w:sz w:val="24"/>
          <w:szCs w:val="24"/>
        </w:rPr>
        <w:t xml:space="preserve"> AIDS and Behavior, 2008. </w:t>
      </w:r>
      <w:r w:rsidRPr="001542AC">
        <w:rPr>
          <w:rFonts w:ascii="Times New Roman" w:eastAsia="Times New Roman" w:hAnsi="Times New Roman" w:cs="Times New Roman"/>
          <w:b/>
          <w:noProof/>
          <w:sz w:val="24"/>
          <w:szCs w:val="24"/>
        </w:rPr>
        <w:t>12</w:t>
      </w:r>
      <w:r w:rsidRPr="001542AC">
        <w:rPr>
          <w:rFonts w:ascii="Times New Roman" w:eastAsia="Times New Roman" w:hAnsi="Times New Roman" w:cs="Times New Roman"/>
          <w:noProof/>
          <w:sz w:val="24"/>
          <w:szCs w:val="24"/>
        </w:rPr>
        <w:t>(2): p. 213-226.</w:t>
      </w:r>
      <w:bookmarkEnd w:id="22"/>
    </w:p>
    <w:p w14:paraId="745CE64E" w14:textId="77777777" w:rsidR="001542AC" w:rsidRPr="001542AC" w:rsidRDefault="001542AC" w:rsidP="001542AC">
      <w:pPr>
        <w:shd w:val="clear" w:color="auto" w:fill="FFFFFF"/>
        <w:spacing w:after="200"/>
        <w:ind w:left="720" w:hanging="720"/>
        <w:rPr>
          <w:rFonts w:ascii="Times New Roman" w:eastAsia="Times New Roman" w:hAnsi="Times New Roman" w:cs="Times New Roman"/>
          <w:bCs/>
          <w:kern w:val="36"/>
          <w:sz w:val="24"/>
          <w:szCs w:val="24"/>
        </w:rPr>
      </w:pPr>
    </w:p>
    <w:p w14:paraId="2AFC3493" w14:textId="77777777" w:rsidR="001542AC" w:rsidRPr="001542AC" w:rsidRDefault="001542AC" w:rsidP="001542AC">
      <w:pPr>
        <w:ind w:left="720" w:hanging="720"/>
        <w:rPr>
          <w:rFonts w:ascii="Times New Roman" w:eastAsia="Times New Roman" w:hAnsi="Times New Roman" w:cs="Times New Roman"/>
          <w:noProof/>
          <w:sz w:val="24"/>
          <w:szCs w:val="24"/>
        </w:rPr>
      </w:pPr>
    </w:p>
    <w:p w14:paraId="2879B728" w14:textId="77777777" w:rsidR="001542AC" w:rsidRPr="001542AC" w:rsidRDefault="001542AC" w:rsidP="001542AC">
      <w:pPr>
        <w:ind w:left="720" w:hanging="720"/>
        <w:rPr>
          <w:rFonts w:ascii="Times New Roman" w:eastAsia="Times New Roman" w:hAnsi="Times New Roman" w:cs="Times New Roman"/>
          <w:noProof/>
          <w:sz w:val="24"/>
          <w:szCs w:val="24"/>
        </w:rPr>
      </w:pPr>
    </w:p>
    <w:p w14:paraId="60744582" w14:textId="77777777" w:rsidR="001542AC" w:rsidRPr="001542AC" w:rsidRDefault="001542AC" w:rsidP="001542AC">
      <w:pPr>
        <w:rPr>
          <w:rFonts w:ascii="Times New Roman" w:eastAsia="Times New Roman" w:hAnsi="Times New Roman" w:cs="Times New Roman"/>
          <w:color w:val="000000"/>
          <w:sz w:val="24"/>
          <w:szCs w:val="24"/>
        </w:rPr>
      </w:pPr>
      <w:r w:rsidRPr="001542AC">
        <w:rPr>
          <w:rFonts w:ascii="Times New Roman" w:eastAsia="Times New Roman" w:hAnsi="Times New Roman" w:cs="Times New Roman"/>
          <w:sz w:val="24"/>
          <w:szCs w:val="24"/>
        </w:rPr>
        <w:fldChar w:fldCharType="end"/>
      </w:r>
    </w:p>
    <w:p w14:paraId="002C11DE" w14:textId="036129CD" w:rsidR="006215CC" w:rsidRDefault="006215CC">
      <w:pPr>
        <w:rPr>
          <w:rStyle w:val="Heading2Char"/>
        </w:rPr>
      </w:pPr>
    </w:p>
    <w:sectPr w:rsidR="006215CC" w:rsidSect="009D253D">
      <w:footerReference w:type="default" r:id="rId12"/>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2130F" w14:textId="77777777" w:rsidR="000A4D46" w:rsidRDefault="000A4D46" w:rsidP="00AB37D7">
      <w:r>
        <w:separator/>
      </w:r>
    </w:p>
  </w:endnote>
  <w:endnote w:type="continuationSeparator" w:id="0">
    <w:p w14:paraId="7CC88A58" w14:textId="77777777" w:rsidR="000A4D46" w:rsidRDefault="000A4D46" w:rsidP="00AB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C172" w14:textId="77777777" w:rsidR="000A4D46" w:rsidRDefault="000A4D46">
    <w:pPr>
      <w:pStyle w:val="Footer"/>
      <w:jc w:val="center"/>
    </w:pPr>
  </w:p>
  <w:p w14:paraId="0E822309" w14:textId="77777777" w:rsidR="000A4D46" w:rsidRDefault="000A4D46" w:rsidP="009D253D">
    <w:pPr>
      <w:pStyle w:val="Footer"/>
      <w:tabs>
        <w:tab w:val="clear" w:pos="4680"/>
        <w:tab w:val="clear" w:pos="9360"/>
        <w:tab w:val="left" w:pos="3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555888"/>
      <w:docPartObj>
        <w:docPartGallery w:val="Page Numbers (Bottom of Page)"/>
        <w:docPartUnique/>
      </w:docPartObj>
    </w:sdtPr>
    <w:sdtEndPr>
      <w:rPr>
        <w:noProof/>
      </w:rPr>
    </w:sdtEndPr>
    <w:sdtContent>
      <w:p w14:paraId="1A18E7AC" w14:textId="77777777" w:rsidR="000A4D46" w:rsidRDefault="000A4D46">
        <w:pPr>
          <w:pStyle w:val="Footer"/>
          <w:jc w:val="center"/>
        </w:pPr>
        <w:r>
          <w:fldChar w:fldCharType="begin"/>
        </w:r>
        <w:r>
          <w:instrText xml:space="preserve"> PAGE   \* MERGEFORMAT </w:instrText>
        </w:r>
        <w:r>
          <w:fldChar w:fldCharType="separate"/>
        </w:r>
        <w:r w:rsidR="009635AC">
          <w:rPr>
            <w:noProof/>
          </w:rPr>
          <w:t>5</w:t>
        </w:r>
        <w:r>
          <w:rPr>
            <w:noProof/>
          </w:rPr>
          <w:fldChar w:fldCharType="end"/>
        </w:r>
      </w:p>
    </w:sdtContent>
  </w:sdt>
  <w:p w14:paraId="487C7E83" w14:textId="77777777" w:rsidR="000A4D46" w:rsidRDefault="000A4D46" w:rsidP="009D253D">
    <w:pPr>
      <w:pStyle w:val="Footer"/>
      <w:tabs>
        <w:tab w:val="clear" w:pos="4680"/>
        <w:tab w:val="clear" w:pos="9360"/>
        <w:tab w:val="left" w:pos="3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F1149" w14:textId="77777777" w:rsidR="000A4D46" w:rsidRDefault="000A4D46" w:rsidP="00AB37D7">
      <w:r>
        <w:separator/>
      </w:r>
    </w:p>
  </w:footnote>
  <w:footnote w:type="continuationSeparator" w:id="0">
    <w:p w14:paraId="50C131F5" w14:textId="77777777" w:rsidR="000A4D46" w:rsidRDefault="000A4D46" w:rsidP="00AB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3B20"/>
    <w:multiLevelType w:val="hybridMultilevel"/>
    <w:tmpl w:val="11C2ACA0"/>
    <w:lvl w:ilvl="0" w:tplc="9E5493AE">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577A8E"/>
    <w:multiLevelType w:val="hybridMultilevel"/>
    <w:tmpl w:val="F6E8B9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735EA"/>
    <w:multiLevelType w:val="hybridMultilevel"/>
    <w:tmpl w:val="2C3E9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783B"/>
    <w:multiLevelType w:val="multilevel"/>
    <w:tmpl w:val="90A47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83540F"/>
    <w:multiLevelType w:val="hybridMultilevel"/>
    <w:tmpl w:val="FEB89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6CAF"/>
    <w:multiLevelType w:val="hybridMultilevel"/>
    <w:tmpl w:val="7D3A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B1BAD"/>
    <w:multiLevelType w:val="hybridMultilevel"/>
    <w:tmpl w:val="5DE8E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E1997"/>
    <w:multiLevelType w:val="hybridMultilevel"/>
    <w:tmpl w:val="19C89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419A6"/>
    <w:multiLevelType w:val="multilevel"/>
    <w:tmpl w:val="3432BB5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D04B2"/>
    <w:multiLevelType w:val="hybridMultilevel"/>
    <w:tmpl w:val="DCE4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44EEB"/>
    <w:multiLevelType w:val="hybridMultilevel"/>
    <w:tmpl w:val="998C27E4"/>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D1E08"/>
    <w:multiLevelType w:val="multilevel"/>
    <w:tmpl w:val="F258B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7C55D6"/>
    <w:multiLevelType w:val="hybridMultilevel"/>
    <w:tmpl w:val="5A864E42"/>
    <w:lvl w:ilvl="0" w:tplc="AA00560C">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054A3"/>
    <w:multiLevelType w:val="multilevel"/>
    <w:tmpl w:val="2752EFD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714020"/>
    <w:multiLevelType w:val="hybridMultilevel"/>
    <w:tmpl w:val="8638A2BA"/>
    <w:lvl w:ilvl="0" w:tplc="8158863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C1C24"/>
    <w:multiLevelType w:val="hybridMultilevel"/>
    <w:tmpl w:val="1F44EF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E73E6E"/>
    <w:multiLevelType w:val="hybridMultilevel"/>
    <w:tmpl w:val="71DEC3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04D67"/>
    <w:multiLevelType w:val="hybridMultilevel"/>
    <w:tmpl w:val="417C9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D6226"/>
    <w:multiLevelType w:val="hybridMultilevel"/>
    <w:tmpl w:val="4A448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B5AEB"/>
    <w:multiLevelType w:val="hybridMultilevel"/>
    <w:tmpl w:val="4B8A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E7AF8"/>
    <w:multiLevelType w:val="hybridMultilevel"/>
    <w:tmpl w:val="E770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27554"/>
    <w:multiLevelType w:val="hybridMultilevel"/>
    <w:tmpl w:val="E81C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903D5D"/>
    <w:multiLevelType w:val="hybridMultilevel"/>
    <w:tmpl w:val="20AE1E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C22E2"/>
    <w:multiLevelType w:val="hybridMultilevel"/>
    <w:tmpl w:val="878C94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BB1322"/>
    <w:multiLevelType w:val="multilevel"/>
    <w:tmpl w:val="62BC59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786918"/>
    <w:multiLevelType w:val="multilevel"/>
    <w:tmpl w:val="C73CBD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7"/>
  </w:num>
  <w:num w:numId="3">
    <w:abstractNumId w:val="16"/>
  </w:num>
  <w:num w:numId="4">
    <w:abstractNumId w:val="3"/>
  </w:num>
  <w:num w:numId="5">
    <w:abstractNumId w:val="15"/>
  </w:num>
  <w:num w:numId="6">
    <w:abstractNumId w:val="23"/>
  </w:num>
  <w:num w:numId="7">
    <w:abstractNumId w:val="6"/>
  </w:num>
  <w:num w:numId="8">
    <w:abstractNumId w:val="9"/>
  </w:num>
  <w:num w:numId="9">
    <w:abstractNumId w:val="5"/>
  </w:num>
  <w:num w:numId="10">
    <w:abstractNumId w:val="1"/>
  </w:num>
  <w:num w:numId="11">
    <w:abstractNumId w:val="19"/>
  </w:num>
  <w:num w:numId="12">
    <w:abstractNumId w:val="18"/>
  </w:num>
  <w:num w:numId="13">
    <w:abstractNumId w:val="28"/>
  </w:num>
  <w:num w:numId="14">
    <w:abstractNumId w:val="2"/>
  </w:num>
  <w:num w:numId="15">
    <w:abstractNumId w:val="13"/>
  </w:num>
  <w:num w:numId="16">
    <w:abstractNumId w:val="11"/>
  </w:num>
  <w:num w:numId="17">
    <w:abstractNumId w:val="7"/>
  </w:num>
  <w:num w:numId="18">
    <w:abstractNumId w:val="22"/>
  </w:num>
  <w:num w:numId="19">
    <w:abstractNumId w:val="12"/>
  </w:num>
  <w:num w:numId="20">
    <w:abstractNumId w:val="8"/>
  </w:num>
  <w:num w:numId="21">
    <w:abstractNumId w:val="14"/>
  </w:num>
  <w:num w:numId="22">
    <w:abstractNumId w:val="4"/>
  </w:num>
  <w:num w:numId="23">
    <w:abstractNumId w:val="20"/>
  </w:num>
  <w:num w:numId="24">
    <w:abstractNumId w:val="24"/>
  </w:num>
  <w:num w:numId="25">
    <w:abstractNumId w:val="17"/>
  </w:num>
  <w:num w:numId="26">
    <w:abstractNumId w:val="10"/>
  </w:num>
  <w:num w:numId="27">
    <w:abstractNumId w:val="0"/>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AC1"/>
    <w:rsid w:val="0000356C"/>
    <w:rsid w:val="0001490F"/>
    <w:rsid w:val="00016AA8"/>
    <w:rsid w:val="0001701B"/>
    <w:rsid w:val="00031570"/>
    <w:rsid w:val="00047310"/>
    <w:rsid w:val="00052E0B"/>
    <w:rsid w:val="00053190"/>
    <w:rsid w:val="000536E5"/>
    <w:rsid w:val="00057B00"/>
    <w:rsid w:val="00062C7D"/>
    <w:rsid w:val="00067707"/>
    <w:rsid w:val="000718C0"/>
    <w:rsid w:val="0007218E"/>
    <w:rsid w:val="00072DBB"/>
    <w:rsid w:val="000776EB"/>
    <w:rsid w:val="00094C1D"/>
    <w:rsid w:val="000A4D46"/>
    <w:rsid w:val="000A67F8"/>
    <w:rsid w:val="000B4B25"/>
    <w:rsid w:val="000C551E"/>
    <w:rsid w:val="000D17EE"/>
    <w:rsid w:val="000D24A8"/>
    <w:rsid w:val="000D565C"/>
    <w:rsid w:val="000D7A08"/>
    <w:rsid w:val="000F7C99"/>
    <w:rsid w:val="00104AF7"/>
    <w:rsid w:val="001146E6"/>
    <w:rsid w:val="001169E6"/>
    <w:rsid w:val="001237FE"/>
    <w:rsid w:val="001303DD"/>
    <w:rsid w:val="00135D11"/>
    <w:rsid w:val="0014215A"/>
    <w:rsid w:val="0014540C"/>
    <w:rsid w:val="00151A9B"/>
    <w:rsid w:val="001527A6"/>
    <w:rsid w:val="001542AC"/>
    <w:rsid w:val="00161738"/>
    <w:rsid w:val="00164023"/>
    <w:rsid w:val="00171BAE"/>
    <w:rsid w:val="00171BCA"/>
    <w:rsid w:val="00174A8D"/>
    <w:rsid w:val="00187BC0"/>
    <w:rsid w:val="0019333D"/>
    <w:rsid w:val="001953D4"/>
    <w:rsid w:val="00195F37"/>
    <w:rsid w:val="001961AF"/>
    <w:rsid w:val="001A1524"/>
    <w:rsid w:val="001A4AC1"/>
    <w:rsid w:val="001A59DA"/>
    <w:rsid w:val="001B64B1"/>
    <w:rsid w:val="001C25A9"/>
    <w:rsid w:val="001C27B3"/>
    <w:rsid w:val="001C7C16"/>
    <w:rsid w:val="001E29BF"/>
    <w:rsid w:val="001E4743"/>
    <w:rsid w:val="001F5303"/>
    <w:rsid w:val="00210CBC"/>
    <w:rsid w:val="0021312B"/>
    <w:rsid w:val="002143CD"/>
    <w:rsid w:val="00216B54"/>
    <w:rsid w:val="00221E8F"/>
    <w:rsid w:val="00222F03"/>
    <w:rsid w:val="00224A8D"/>
    <w:rsid w:val="00225AB2"/>
    <w:rsid w:val="002306B4"/>
    <w:rsid w:val="00250B9C"/>
    <w:rsid w:val="002524E5"/>
    <w:rsid w:val="00271432"/>
    <w:rsid w:val="00271474"/>
    <w:rsid w:val="002723F0"/>
    <w:rsid w:val="00287EA5"/>
    <w:rsid w:val="00295BA7"/>
    <w:rsid w:val="002B02D2"/>
    <w:rsid w:val="002B6C88"/>
    <w:rsid w:val="002B6ED9"/>
    <w:rsid w:val="002C12B9"/>
    <w:rsid w:val="002C160D"/>
    <w:rsid w:val="002C1C19"/>
    <w:rsid w:val="002C4B56"/>
    <w:rsid w:val="002C73AD"/>
    <w:rsid w:val="002E1ACD"/>
    <w:rsid w:val="002E70AC"/>
    <w:rsid w:val="002F3BB0"/>
    <w:rsid w:val="002F3C94"/>
    <w:rsid w:val="002F56A4"/>
    <w:rsid w:val="00300139"/>
    <w:rsid w:val="0030057C"/>
    <w:rsid w:val="003011EB"/>
    <w:rsid w:val="0030569C"/>
    <w:rsid w:val="003138B9"/>
    <w:rsid w:val="003148AC"/>
    <w:rsid w:val="003308FE"/>
    <w:rsid w:val="003345EB"/>
    <w:rsid w:val="00345545"/>
    <w:rsid w:val="0036026F"/>
    <w:rsid w:val="0036518F"/>
    <w:rsid w:val="003713F2"/>
    <w:rsid w:val="0038212C"/>
    <w:rsid w:val="00382D81"/>
    <w:rsid w:val="00382EAD"/>
    <w:rsid w:val="00382F8A"/>
    <w:rsid w:val="003835AD"/>
    <w:rsid w:val="00383786"/>
    <w:rsid w:val="00394BC8"/>
    <w:rsid w:val="003970BE"/>
    <w:rsid w:val="003A75E9"/>
    <w:rsid w:val="003B0E11"/>
    <w:rsid w:val="003B0FED"/>
    <w:rsid w:val="003C0313"/>
    <w:rsid w:val="003C68FA"/>
    <w:rsid w:val="003C7ACA"/>
    <w:rsid w:val="003D1501"/>
    <w:rsid w:val="003D1E03"/>
    <w:rsid w:val="003D38B6"/>
    <w:rsid w:val="003D65B4"/>
    <w:rsid w:val="003D6EE6"/>
    <w:rsid w:val="003E1135"/>
    <w:rsid w:val="003E4CA4"/>
    <w:rsid w:val="003E7697"/>
    <w:rsid w:val="003F3831"/>
    <w:rsid w:val="003F3B69"/>
    <w:rsid w:val="004054A9"/>
    <w:rsid w:val="0041385E"/>
    <w:rsid w:val="00413C72"/>
    <w:rsid w:val="00427F80"/>
    <w:rsid w:val="00431B2D"/>
    <w:rsid w:val="00431E21"/>
    <w:rsid w:val="00437D22"/>
    <w:rsid w:val="00443529"/>
    <w:rsid w:val="0044596D"/>
    <w:rsid w:val="00447518"/>
    <w:rsid w:val="0045623C"/>
    <w:rsid w:val="00456D14"/>
    <w:rsid w:val="00460F51"/>
    <w:rsid w:val="004645A5"/>
    <w:rsid w:val="00464A01"/>
    <w:rsid w:val="004672AB"/>
    <w:rsid w:val="00467558"/>
    <w:rsid w:val="00474707"/>
    <w:rsid w:val="004750B5"/>
    <w:rsid w:val="00475EA4"/>
    <w:rsid w:val="004779BC"/>
    <w:rsid w:val="004969F5"/>
    <w:rsid w:val="004A161B"/>
    <w:rsid w:val="004A437B"/>
    <w:rsid w:val="004A449D"/>
    <w:rsid w:val="004C072D"/>
    <w:rsid w:val="004C2681"/>
    <w:rsid w:val="004C3B5E"/>
    <w:rsid w:val="004C4C31"/>
    <w:rsid w:val="004C4E49"/>
    <w:rsid w:val="004D5EA4"/>
    <w:rsid w:val="004E06B2"/>
    <w:rsid w:val="004E6C43"/>
    <w:rsid w:val="004F0619"/>
    <w:rsid w:val="004F0A44"/>
    <w:rsid w:val="004F2F2D"/>
    <w:rsid w:val="004F6285"/>
    <w:rsid w:val="00514F07"/>
    <w:rsid w:val="00521567"/>
    <w:rsid w:val="00524BA9"/>
    <w:rsid w:val="005309F9"/>
    <w:rsid w:val="00533604"/>
    <w:rsid w:val="00534B59"/>
    <w:rsid w:val="005612FA"/>
    <w:rsid w:val="00564924"/>
    <w:rsid w:val="00567B8F"/>
    <w:rsid w:val="00570F91"/>
    <w:rsid w:val="005818EE"/>
    <w:rsid w:val="0059517A"/>
    <w:rsid w:val="005A3B34"/>
    <w:rsid w:val="005A6E45"/>
    <w:rsid w:val="005B3A2C"/>
    <w:rsid w:val="005C5976"/>
    <w:rsid w:val="005D0678"/>
    <w:rsid w:val="005D2544"/>
    <w:rsid w:val="005D666A"/>
    <w:rsid w:val="005E1789"/>
    <w:rsid w:val="005F35CC"/>
    <w:rsid w:val="006007A1"/>
    <w:rsid w:val="006046B7"/>
    <w:rsid w:val="00607CC0"/>
    <w:rsid w:val="006149B6"/>
    <w:rsid w:val="0061545F"/>
    <w:rsid w:val="00615C9C"/>
    <w:rsid w:val="0061698D"/>
    <w:rsid w:val="0061723B"/>
    <w:rsid w:val="00620023"/>
    <w:rsid w:val="006215CC"/>
    <w:rsid w:val="006218BE"/>
    <w:rsid w:val="006263C6"/>
    <w:rsid w:val="006268D8"/>
    <w:rsid w:val="00632765"/>
    <w:rsid w:val="006459BF"/>
    <w:rsid w:val="0065421E"/>
    <w:rsid w:val="00662B0D"/>
    <w:rsid w:val="00671DE4"/>
    <w:rsid w:val="00675811"/>
    <w:rsid w:val="00680DD0"/>
    <w:rsid w:val="00683802"/>
    <w:rsid w:val="00684059"/>
    <w:rsid w:val="00685523"/>
    <w:rsid w:val="006865D8"/>
    <w:rsid w:val="00687512"/>
    <w:rsid w:val="006922CE"/>
    <w:rsid w:val="006A63C0"/>
    <w:rsid w:val="006C015C"/>
    <w:rsid w:val="006C2FDB"/>
    <w:rsid w:val="006C5BE4"/>
    <w:rsid w:val="006D0A15"/>
    <w:rsid w:val="006D2D4C"/>
    <w:rsid w:val="006F16EF"/>
    <w:rsid w:val="006F4F21"/>
    <w:rsid w:val="006F505B"/>
    <w:rsid w:val="00702C40"/>
    <w:rsid w:val="0070436C"/>
    <w:rsid w:val="00705483"/>
    <w:rsid w:val="00705908"/>
    <w:rsid w:val="00714407"/>
    <w:rsid w:val="00717CA2"/>
    <w:rsid w:val="00722FB9"/>
    <w:rsid w:val="00733DB7"/>
    <w:rsid w:val="00750E89"/>
    <w:rsid w:val="00756917"/>
    <w:rsid w:val="00770515"/>
    <w:rsid w:val="00771CD5"/>
    <w:rsid w:val="0077589C"/>
    <w:rsid w:val="00775D50"/>
    <w:rsid w:val="00785221"/>
    <w:rsid w:val="007866D5"/>
    <w:rsid w:val="0079366B"/>
    <w:rsid w:val="007A2257"/>
    <w:rsid w:val="007A3638"/>
    <w:rsid w:val="007B3C29"/>
    <w:rsid w:val="007B4B30"/>
    <w:rsid w:val="007C28B6"/>
    <w:rsid w:val="007C7633"/>
    <w:rsid w:val="007E11AC"/>
    <w:rsid w:val="007E2462"/>
    <w:rsid w:val="007E3377"/>
    <w:rsid w:val="007E5DDD"/>
    <w:rsid w:val="007E705A"/>
    <w:rsid w:val="00807696"/>
    <w:rsid w:val="00810949"/>
    <w:rsid w:val="0081331A"/>
    <w:rsid w:val="00823C52"/>
    <w:rsid w:val="00824976"/>
    <w:rsid w:val="008252BA"/>
    <w:rsid w:val="008314AC"/>
    <w:rsid w:val="00841EA7"/>
    <w:rsid w:val="0085075D"/>
    <w:rsid w:val="008606F3"/>
    <w:rsid w:val="00863D9D"/>
    <w:rsid w:val="00885689"/>
    <w:rsid w:val="008867D6"/>
    <w:rsid w:val="00886AA5"/>
    <w:rsid w:val="008927C2"/>
    <w:rsid w:val="0089496E"/>
    <w:rsid w:val="00896D7B"/>
    <w:rsid w:val="008B094E"/>
    <w:rsid w:val="008B7784"/>
    <w:rsid w:val="008C01D6"/>
    <w:rsid w:val="008C6894"/>
    <w:rsid w:val="008D6D4A"/>
    <w:rsid w:val="008E28B0"/>
    <w:rsid w:val="008E3A63"/>
    <w:rsid w:val="008E453E"/>
    <w:rsid w:val="008E7746"/>
    <w:rsid w:val="008F2620"/>
    <w:rsid w:val="008F4FD4"/>
    <w:rsid w:val="008F6A22"/>
    <w:rsid w:val="0090021D"/>
    <w:rsid w:val="00915911"/>
    <w:rsid w:val="00920A44"/>
    <w:rsid w:val="00932F27"/>
    <w:rsid w:val="00950870"/>
    <w:rsid w:val="00953B03"/>
    <w:rsid w:val="00953D46"/>
    <w:rsid w:val="009635AC"/>
    <w:rsid w:val="009749D9"/>
    <w:rsid w:val="00980ED2"/>
    <w:rsid w:val="00981237"/>
    <w:rsid w:val="00990100"/>
    <w:rsid w:val="00991752"/>
    <w:rsid w:val="00994F86"/>
    <w:rsid w:val="009A37CA"/>
    <w:rsid w:val="009B2BBA"/>
    <w:rsid w:val="009B3AEA"/>
    <w:rsid w:val="009C1AC4"/>
    <w:rsid w:val="009D021F"/>
    <w:rsid w:val="009D253D"/>
    <w:rsid w:val="009E299E"/>
    <w:rsid w:val="009E3782"/>
    <w:rsid w:val="009E4A29"/>
    <w:rsid w:val="009E5766"/>
    <w:rsid w:val="009F1594"/>
    <w:rsid w:val="009F3DBC"/>
    <w:rsid w:val="00A03567"/>
    <w:rsid w:val="00A049E4"/>
    <w:rsid w:val="00A10113"/>
    <w:rsid w:val="00A1438C"/>
    <w:rsid w:val="00A1561B"/>
    <w:rsid w:val="00A33606"/>
    <w:rsid w:val="00A33DEB"/>
    <w:rsid w:val="00A45161"/>
    <w:rsid w:val="00A70522"/>
    <w:rsid w:val="00A70CD1"/>
    <w:rsid w:val="00A717C1"/>
    <w:rsid w:val="00A75F2C"/>
    <w:rsid w:val="00A82828"/>
    <w:rsid w:val="00A84014"/>
    <w:rsid w:val="00AA5F53"/>
    <w:rsid w:val="00AB37D7"/>
    <w:rsid w:val="00AB3D8D"/>
    <w:rsid w:val="00AC0AD7"/>
    <w:rsid w:val="00AC1D4B"/>
    <w:rsid w:val="00AD27AB"/>
    <w:rsid w:val="00AD6256"/>
    <w:rsid w:val="00AE0147"/>
    <w:rsid w:val="00AE62A6"/>
    <w:rsid w:val="00AE7E09"/>
    <w:rsid w:val="00AF03BF"/>
    <w:rsid w:val="00B02A01"/>
    <w:rsid w:val="00B05440"/>
    <w:rsid w:val="00B2681D"/>
    <w:rsid w:val="00B32414"/>
    <w:rsid w:val="00B429F8"/>
    <w:rsid w:val="00B44A5F"/>
    <w:rsid w:val="00B4685C"/>
    <w:rsid w:val="00B85EA7"/>
    <w:rsid w:val="00B87377"/>
    <w:rsid w:val="00BB1D8F"/>
    <w:rsid w:val="00BC00AA"/>
    <w:rsid w:val="00BD10CD"/>
    <w:rsid w:val="00BE4553"/>
    <w:rsid w:val="00BF099E"/>
    <w:rsid w:val="00BF1018"/>
    <w:rsid w:val="00BF3D91"/>
    <w:rsid w:val="00BF7BD5"/>
    <w:rsid w:val="00C12EE6"/>
    <w:rsid w:val="00C1528E"/>
    <w:rsid w:val="00C20589"/>
    <w:rsid w:val="00C31ACB"/>
    <w:rsid w:val="00C546F1"/>
    <w:rsid w:val="00C56374"/>
    <w:rsid w:val="00C62D61"/>
    <w:rsid w:val="00C6701E"/>
    <w:rsid w:val="00C7691A"/>
    <w:rsid w:val="00C77C4A"/>
    <w:rsid w:val="00C91E80"/>
    <w:rsid w:val="00C93781"/>
    <w:rsid w:val="00CA6328"/>
    <w:rsid w:val="00CB1BCE"/>
    <w:rsid w:val="00D06D5C"/>
    <w:rsid w:val="00D17DE9"/>
    <w:rsid w:val="00D20BA2"/>
    <w:rsid w:val="00D229E3"/>
    <w:rsid w:val="00D355ED"/>
    <w:rsid w:val="00D36062"/>
    <w:rsid w:val="00D3630F"/>
    <w:rsid w:val="00D40C83"/>
    <w:rsid w:val="00D42011"/>
    <w:rsid w:val="00D435DC"/>
    <w:rsid w:val="00D501A9"/>
    <w:rsid w:val="00D57392"/>
    <w:rsid w:val="00D67B0D"/>
    <w:rsid w:val="00D67DED"/>
    <w:rsid w:val="00D70722"/>
    <w:rsid w:val="00D82655"/>
    <w:rsid w:val="00D8659D"/>
    <w:rsid w:val="00D93863"/>
    <w:rsid w:val="00D94F77"/>
    <w:rsid w:val="00DA0C4E"/>
    <w:rsid w:val="00DA1455"/>
    <w:rsid w:val="00DA2C90"/>
    <w:rsid w:val="00DB05B2"/>
    <w:rsid w:val="00DB0D48"/>
    <w:rsid w:val="00DB3BD9"/>
    <w:rsid w:val="00DC263C"/>
    <w:rsid w:val="00DC4D79"/>
    <w:rsid w:val="00DD1EE3"/>
    <w:rsid w:val="00DD6E2D"/>
    <w:rsid w:val="00DE793F"/>
    <w:rsid w:val="00DE798A"/>
    <w:rsid w:val="00DF0510"/>
    <w:rsid w:val="00DF611C"/>
    <w:rsid w:val="00E074C9"/>
    <w:rsid w:val="00E1245D"/>
    <w:rsid w:val="00E166E3"/>
    <w:rsid w:val="00E22802"/>
    <w:rsid w:val="00E4625E"/>
    <w:rsid w:val="00E6064D"/>
    <w:rsid w:val="00E633A6"/>
    <w:rsid w:val="00E6546E"/>
    <w:rsid w:val="00E72028"/>
    <w:rsid w:val="00E749DB"/>
    <w:rsid w:val="00E75F80"/>
    <w:rsid w:val="00E7709B"/>
    <w:rsid w:val="00E86ADA"/>
    <w:rsid w:val="00E91D1A"/>
    <w:rsid w:val="00EA77B8"/>
    <w:rsid w:val="00EB6332"/>
    <w:rsid w:val="00EC42C0"/>
    <w:rsid w:val="00EC7205"/>
    <w:rsid w:val="00EC7BFC"/>
    <w:rsid w:val="00ED2810"/>
    <w:rsid w:val="00EE0DE5"/>
    <w:rsid w:val="00EE7EA1"/>
    <w:rsid w:val="00EF014C"/>
    <w:rsid w:val="00F00C50"/>
    <w:rsid w:val="00F029F1"/>
    <w:rsid w:val="00F122B7"/>
    <w:rsid w:val="00F27FDC"/>
    <w:rsid w:val="00F338B1"/>
    <w:rsid w:val="00F370F0"/>
    <w:rsid w:val="00F41D7E"/>
    <w:rsid w:val="00F44177"/>
    <w:rsid w:val="00F5111B"/>
    <w:rsid w:val="00F76397"/>
    <w:rsid w:val="00FA156E"/>
    <w:rsid w:val="00FB7DC1"/>
    <w:rsid w:val="00FC3AB7"/>
    <w:rsid w:val="00FC4147"/>
    <w:rsid w:val="00FD1783"/>
    <w:rsid w:val="00FF34B7"/>
    <w:rsid w:val="00FF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F99300"/>
  <w15:docId w15:val="{359666F2-ACBF-462F-9118-90B766A2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0B"/>
  </w:style>
  <w:style w:type="paragraph" w:styleId="Heading1">
    <w:name w:val="heading 1"/>
    <w:basedOn w:val="Normal"/>
    <w:next w:val="Normal"/>
    <w:link w:val="Heading1Char"/>
    <w:uiPriority w:val="9"/>
    <w:qFormat/>
    <w:rsid w:val="00AB3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56374"/>
    <w:pPr>
      <w:spacing w:before="480" w:after="240" w:line="276" w:lineRule="auto"/>
      <w:outlineLvl w:val="1"/>
    </w:pPr>
    <w:rPr>
      <w:rFonts w:ascii="Times New Roman" w:eastAsiaTheme="minorEastAsia" w:hAnsi="Times New Roman" w:cs="Times New Roman"/>
      <w:b/>
      <w:sz w:val="24"/>
      <w:szCs w:val="24"/>
    </w:rPr>
  </w:style>
  <w:style w:type="paragraph" w:styleId="Heading3">
    <w:name w:val="heading 3"/>
    <w:basedOn w:val="Normal"/>
    <w:next w:val="Normal"/>
    <w:link w:val="Heading3Char"/>
    <w:uiPriority w:val="9"/>
    <w:unhideWhenUsed/>
    <w:qFormat/>
    <w:rsid w:val="007852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7D7"/>
    <w:rPr>
      <w:color w:val="0000FF" w:themeColor="hyperlink"/>
      <w:u w:val="single"/>
    </w:rPr>
  </w:style>
  <w:style w:type="character" w:customStyle="1" w:styleId="Heading1Char">
    <w:name w:val="Heading 1 Char"/>
    <w:basedOn w:val="DefaultParagraphFont"/>
    <w:link w:val="Heading1"/>
    <w:uiPriority w:val="9"/>
    <w:rsid w:val="00AB37D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B37D7"/>
    <w:pPr>
      <w:spacing w:line="276" w:lineRule="auto"/>
      <w:outlineLvl w:val="9"/>
    </w:pPr>
  </w:style>
  <w:style w:type="paragraph" w:styleId="TOC1">
    <w:name w:val="toc 1"/>
    <w:basedOn w:val="Normal"/>
    <w:next w:val="Normal"/>
    <w:autoRedefine/>
    <w:uiPriority w:val="39"/>
    <w:unhideWhenUsed/>
    <w:qFormat/>
    <w:rsid w:val="00AB37D7"/>
    <w:pPr>
      <w:tabs>
        <w:tab w:val="right" w:leader="dot" w:pos="9350"/>
      </w:tabs>
      <w:spacing w:after="100"/>
      <w:ind w:left="450" w:hanging="45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7D7"/>
    <w:rPr>
      <w:rFonts w:ascii="Tahoma" w:hAnsi="Tahoma" w:cs="Tahoma"/>
      <w:sz w:val="16"/>
      <w:szCs w:val="16"/>
    </w:rPr>
  </w:style>
  <w:style w:type="character" w:customStyle="1" w:styleId="BalloonTextChar">
    <w:name w:val="Balloon Text Char"/>
    <w:basedOn w:val="DefaultParagraphFont"/>
    <w:link w:val="BalloonText"/>
    <w:uiPriority w:val="99"/>
    <w:semiHidden/>
    <w:rsid w:val="00AB37D7"/>
    <w:rPr>
      <w:rFonts w:ascii="Tahoma" w:hAnsi="Tahoma" w:cs="Tahoma"/>
      <w:sz w:val="16"/>
      <w:szCs w:val="16"/>
    </w:rPr>
  </w:style>
  <w:style w:type="character" w:styleId="CommentReference">
    <w:name w:val="annotation reference"/>
    <w:basedOn w:val="DefaultParagraphFont"/>
    <w:uiPriority w:val="99"/>
    <w:semiHidden/>
    <w:unhideWhenUsed/>
    <w:rsid w:val="00AB37D7"/>
    <w:rPr>
      <w:sz w:val="16"/>
      <w:szCs w:val="16"/>
    </w:rPr>
  </w:style>
  <w:style w:type="paragraph" w:customStyle="1" w:styleId="CommentText1">
    <w:name w:val="Comment Text1"/>
    <w:basedOn w:val="Normal"/>
    <w:next w:val="CommentText"/>
    <w:link w:val="CommentTextChar"/>
    <w:uiPriority w:val="99"/>
    <w:unhideWhenUsed/>
    <w:rsid w:val="00AB37D7"/>
    <w:pPr>
      <w:spacing w:after="200"/>
    </w:pPr>
    <w:rPr>
      <w:sz w:val="20"/>
      <w:szCs w:val="20"/>
    </w:rPr>
  </w:style>
  <w:style w:type="character" w:customStyle="1" w:styleId="CommentTextChar">
    <w:name w:val="Comment Text Char"/>
    <w:basedOn w:val="DefaultParagraphFont"/>
    <w:link w:val="CommentText1"/>
    <w:uiPriority w:val="99"/>
    <w:rsid w:val="00AB37D7"/>
    <w:rPr>
      <w:sz w:val="20"/>
      <w:szCs w:val="20"/>
    </w:rPr>
  </w:style>
  <w:style w:type="paragraph" w:styleId="CommentText">
    <w:name w:val="annotation text"/>
    <w:basedOn w:val="Normal"/>
    <w:link w:val="CommentTextChar1"/>
    <w:uiPriority w:val="99"/>
    <w:unhideWhenUsed/>
    <w:rsid w:val="00AB37D7"/>
    <w:rPr>
      <w:sz w:val="20"/>
      <w:szCs w:val="20"/>
    </w:rPr>
  </w:style>
  <w:style w:type="character" w:customStyle="1" w:styleId="CommentTextChar1">
    <w:name w:val="Comment Text Char1"/>
    <w:basedOn w:val="DefaultParagraphFont"/>
    <w:link w:val="CommentText"/>
    <w:uiPriority w:val="99"/>
    <w:semiHidden/>
    <w:rsid w:val="00AB37D7"/>
    <w:rPr>
      <w:sz w:val="20"/>
      <w:szCs w:val="20"/>
    </w:rPr>
  </w:style>
  <w:style w:type="paragraph" w:styleId="Header">
    <w:name w:val="header"/>
    <w:basedOn w:val="Normal"/>
    <w:link w:val="HeaderChar"/>
    <w:uiPriority w:val="99"/>
    <w:unhideWhenUsed/>
    <w:rsid w:val="00AB37D7"/>
    <w:pPr>
      <w:tabs>
        <w:tab w:val="center" w:pos="4680"/>
        <w:tab w:val="right" w:pos="9360"/>
      </w:tabs>
    </w:pPr>
  </w:style>
  <w:style w:type="character" w:customStyle="1" w:styleId="HeaderChar">
    <w:name w:val="Header Char"/>
    <w:basedOn w:val="DefaultParagraphFont"/>
    <w:link w:val="Header"/>
    <w:uiPriority w:val="99"/>
    <w:rsid w:val="00AB37D7"/>
  </w:style>
  <w:style w:type="paragraph" w:styleId="Footer">
    <w:name w:val="footer"/>
    <w:basedOn w:val="Normal"/>
    <w:link w:val="FooterChar"/>
    <w:uiPriority w:val="99"/>
    <w:unhideWhenUsed/>
    <w:rsid w:val="00AB37D7"/>
    <w:pPr>
      <w:tabs>
        <w:tab w:val="center" w:pos="4680"/>
        <w:tab w:val="right" w:pos="9360"/>
      </w:tabs>
    </w:pPr>
  </w:style>
  <w:style w:type="character" w:customStyle="1" w:styleId="FooterChar">
    <w:name w:val="Footer Char"/>
    <w:basedOn w:val="DefaultParagraphFont"/>
    <w:link w:val="Footer"/>
    <w:uiPriority w:val="99"/>
    <w:rsid w:val="00AB37D7"/>
  </w:style>
  <w:style w:type="character" w:customStyle="1" w:styleId="Heading2Char">
    <w:name w:val="Heading 2 Char"/>
    <w:basedOn w:val="DefaultParagraphFont"/>
    <w:link w:val="Heading2"/>
    <w:rsid w:val="00C56374"/>
    <w:rPr>
      <w:rFonts w:ascii="Times New Roman" w:eastAsiaTheme="minorEastAsia" w:hAnsi="Times New Roman" w:cs="Times New Roman"/>
      <w:b/>
      <w:sz w:val="24"/>
      <w:szCs w:val="24"/>
    </w:rPr>
  </w:style>
  <w:style w:type="paragraph" w:styleId="ListParagraph">
    <w:name w:val="List Paragraph"/>
    <w:basedOn w:val="Normal"/>
    <w:uiPriority w:val="34"/>
    <w:qFormat/>
    <w:rsid w:val="00C56374"/>
    <w:pPr>
      <w:spacing w:after="200" w:line="276" w:lineRule="auto"/>
      <w:ind w:left="720"/>
      <w:contextualSpacing/>
    </w:pPr>
    <w:rPr>
      <w:rFonts w:eastAsiaTheme="minorEastAsia"/>
    </w:rPr>
  </w:style>
  <w:style w:type="paragraph" w:styleId="CommentSubject">
    <w:name w:val="annotation subject"/>
    <w:basedOn w:val="CommentText"/>
    <w:next w:val="CommentText"/>
    <w:link w:val="CommentSubjectChar"/>
    <w:uiPriority w:val="99"/>
    <w:semiHidden/>
    <w:unhideWhenUsed/>
    <w:rsid w:val="00A33606"/>
    <w:rPr>
      <w:b/>
      <w:bCs/>
    </w:rPr>
  </w:style>
  <w:style w:type="character" w:customStyle="1" w:styleId="CommentSubjectChar">
    <w:name w:val="Comment Subject Char"/>
    <w:basedOn w:val="CommentTextChar1"/>
    <w:link w:val="CommentSubject"/>
    <w:uiPriority w:val="99"/>
    <w:semiHidden/>
    <w:rsid w:val="00A33606"/>
    <w:rPr>
      <w:b/>
      <w:bCs/>
      <w:sz w:val="20"/>
      <w:szCs w:val="20"/>
    </w:rPr>
  </w:style>
  <w:style w:type="paragraph" w:styleId="NoSpacing">
    <w:name w:val="No Spacing"/>
    <w:uiPriority w:val="1"/>
    <w:qFormat/>
    <w:rsid w:val="009B3AEA"/>
    <w:rPr>
      <w:rFonts w:ascii="Calibri" w:eastAsia="Calibri" w:hAnsi="Calibri" w:cs="Times New Roman"/>
    </w:rPr>
  </w:style>
  <w:style w:type="character" w:customStyle="1" w:styleId="Heading3Char">
    <w:name w:val="Heading 3 Char"/>
    <w:basedOn w:val="DefaultParagraphFont"/>
    <w:link w:val="Heading3"/>
    <w:rsid w:val="00785221"/>
    <w:rPr>
      <w:rFonts w:asciiTheme="majorHAnsi" w:eastAsiaTheme="majorEastAsia" w:hAnsiTheme="majorHAnsi" w:cstheme="majorBidi"/>
      <w:b/>
      <w:bCs/>
      <w:color w:val="4F81BD" w:themeColor="accent1"/>
    </w:rPr>
  </w:style>
  <w:style w:type="paragraph" w:styleId="PlainText">
    <w:name w:val="Plain Text"/>
    <w:basedOn w:val="Normal"/>
    <w:link w:val="PlainTextChar"/>
    <w:rsid w:val="00785221"/>
    <w:pPr>
      <w:widowControl w:val="0"/>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785221"/>
    <w:rPr>
      <w:rFonts w:ascii="Courier New" w:eastAsia="Times New Roman" w:hAnsi="Courier New" w:cs="Times New Roman"/>
      <w:snapToGrid w:val="0"/>
      <w:sz w:val="20"/>
      <w:szCs w:val="20"/>
    </w:rPr>
  </w:style>
  <w:style w:type="character" w:styleId="Strong">
    <w:name w:val="Strong"/>
    <w:basedOn w:val="DefaultParagraphFont"/>
    <w:qFormat/>
    <w:rsid w:val="00785221"/>
    <w:rPr>
      <w:b/>
      <w:bCs/>
    </w:rPr>
  </w:style>
  <w:style w:type="table" w:styleId="TableGrid">
    <w:name w:val="Table Grid"/>
    <w:basedOn w:val="TableNormal"/>
    <w:rsid w:val="006007A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9">
    <w:name w:val="CM89"/>
    <w:basedOn w:val="Normal"/>
    <w:next w:val="Normal"/>
    <w:uiPriority w:val="99"/>
    <w:rsid w:val="008F2620"/>
    <w:pPr>
      <w:autoSpaceDE w:val="0"/>
      <w:autoSpaceDN w:val="0"/>
      <w:adjustRightInd w:val="0"/>
    </w:pPr>
    <w:rPr>
      <w:rFonts w:ascii="Arial" w:eastAsia="Times New Roman" w:hAnsi="Arial" w:cs="Arial"/>
      <w:sz w:val="24"/>
      <w:szCs w:val="24"/>
    </w:rPr>
  </w:style>
  <w:style w:type="table" w:customStyle="1" w:styleId="TableGrid1">
    <w:name w:val="Table Grid1"/>
    <w:basedOn w:val="TableNormal"/>
    <w:next w:val="TableGrid"/>
    <w:uiPriority w:val="59"/>
    <w:rsid w:val="0022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518F"/>
  </w:style>
  <w:style w:type="character" w:styleId="FollowedHyperlink">
    <w:name w:val="FollowedHyperlink"/>
    <w:basedOn w:val="DefaultParagraphFont"/>
    <w:uiPriority w:val="99"/>
    <w:semiHidden/>
    <w:unhideWhenUsed/>
    <w:rsid w:val="000B4B25"/>
    <w:rPr>
      <w:color w:val="800080" w:themeColor="followedHyperlink"/>
      <w:u w:val="single"/>
    </w:rPr>
  </w:style>
  <w:style w:type="table" w:customStyle="1" w:styleId="TableGrid2">
    <w:name w:val="Table Grid2"/>
    <w:basedOn w:val="TableNormal"/>
    <w:next w:val="TableGrid"/>
    <w:uiPriority w:val="59"/>
    <w:rsid w:val="001542AC"/>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09tables/html/atl_h.asp" TargetMode="Externa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588BE-E18B-4237-A125-50FEC57D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4816</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3</cp:revision>
  <cp:lastPrinted>2015-06-04T16:54:00Z</cp:lastPrinted>
  <dcterms:created xsi:type="dcterms:W3CDTF">2015-08-13T18:16:00Z</dcterms:created>
  <dcterms:modified xsi:type="dcterms:W3CDTF">2015-08-13T18:18:00Z</dcterms:modified>
</cp:coreProperties>
</file>