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612" w:rsidRDefault="00203B93" w:rsidP="00934612">
      <w:pPr>
        <w:jc w:val="center"/>
        <w:rPr>
          <w:b/>
          <w:bCs/>
        </w:rPr>
      </w:pPr>
      <w:r>
        <w:rPr>
          <w:b/>
          <w:bCs/>
        </w:rPr>
        <w:t>Qualitative</w:t>
      </w:r>
      <w:r w:rsidR="00934612">
        <w:rPr>
          <w:b/>
          <w:bCs/>
        </w:rPr>
        <w:t xml:space="preserve"> Information Collection on emerging diseases among the foreign-born</w:t>
      </w:r>
      <w:r w:rsidR="00934612" w:rsidRPr="004F2BE5">
        <w:rPr>
          <w:b/>
          <w:bCs/>
        </w:rPr>
        <w:t xml:space="preserve"> </w:t>
      </w:r>
      <w:r w:rsidR="00934612">
        <w:rPr>
          <w:b/>
          <w:bCs/>
        </w:rPr>
        <w:t>in the United States</w:t>
      </w:r>
    </w:p>
    <w:p w:rsidR="008F2673" w:rsidRDefault="008F2673" w:rsidP="008F2673">
      <w:pPr>
        <w:jc w:val="center"/>
        <w:rPr>
          <w:b/>
          <w:bCs/>
        </w:rPr>
      </w:pPr>
    </w:p>
    <w:p w:rsidR="008F2673" w:rsidRDefault="008F2673" w:rsidP="008F2673">
      <w:pPr>
        <w:jc w:val="center"/>
        <w:rPr>
          <w:b/>
          <w:bCs/>
        </w:rPr>
      </w:pPr>
    </w:p>
    <w:p w:rsidR="008F2673" w:rsidRDefault="008F2673" w:rsidP="008F2673">
      <w:pPr>
        <w:jc w:val="center"/>
        <w:rPr>
          <w:b/>
          <w:bCs/>
        </w:rPr>
      </w:pPr>
      <w:r>
        <w:rPr>
          <w:b/>
          <w:bCs/>
        </w:rPr>
        <w:t>Request for OMB Approval of a “Generic Clearance” Data Collection</w:t>
      </w:r>
    </w:p>
    <w:p w:rsidR="008F2673" w:rsidRDefault="008F2673" w:rsidP="008F2673">
      <w:pPr>
        <w:jc w:val="center"/>
        <w:rPr>
          <w:b/>
        </w:rPr>
      </w:pPr>
    </w:p>
    <w:p w:rsidR="008F2673" w:rsidRDefault="008F2673" w:rsidP="008F2673">
      <w:pPr>
        <w:jc w:val="center"/>
        <w:rPr>
          <w:b/>
        </w:rPr>
      </w:pPr>
      <w:r>
        <w:rPr>
          <w:b/>
        </w:rPr>
        <w:t>Statement B</w:t>
      </w:r>
    </w:p>
    <w:p w:rsidR="008F2673" w:rsidRDefault="008F2673" w:rsidP="008F2673">
      <w:pPr>
        <w:spacing w:after="200"/>
        <w:rPr>
          <w:b/>
          <w:bCs/>
          <w:color w:val="000000"/>
        </w:rPr>
      </w:pPr>
    </w:p>
    <w:p w:rsidR="008F2673" w:rsidRDefault="002B77C4" w:rsidP="00934612">
      <w:pPr>
        <w:spacing w:after="200"/>
        <w:jc w:val="center"/>
        <w:rPr>
          <w:b/>
          <w:bCs/>
          <w:color w:val="000000"/>
        </w:rPr>
      </w:pPr>
      <w:r>
        <w:rPr>
          <w:b/>
          <w:bCs/>
          <w:color w:val="000000"/>
        </w:rPr>
        <w:t xml:space="preserve">July </w:t>
      </w:r>
      <w:r w:rsidR="00935991">
        <w:rPr>
          <w:b/>
          <w:bCs/>
          <w:color w:val="000000"/>
        </w:rPr>
        <w:t>10</w:t>
      </w:r>
      <w:r w:rsidR="00934612">
        <w:rPr>
          <w:b/>
          <w:bCs/>
          <w:color w:val="000000"/>
        </w:rPr>
        <w:t>, 2013</w:t>
      </w: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spacing w:after="200"/>
        <w:rPr>
          <w:b/>
          <w:bCs/>
          <w:color w:val="000000"/>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Default="008F2673" w:rsidP="008F2673">
      <w:pPr>
        <w:rPr>
          <w:b/>
        </w:rPr>
      </w:pPr>
    </w:p>
    <w:p w:rsidR="008F2673" w:rsidRPr="008C27C2" w:rsidRDefault="008F2673" w:rsidP="008F2673">
      <w:pPr>
        <w:rPr>
          <w:b/>
        </w:rPr>
      </w:pPr>
      <w:r w:rsidRPr="008C27C2">
        <w:rPr>
          <w:b/>
        </w:rPr>
        <w:t>Contact:</w:t>
      </w:r>
    </w:p>
    <w:p w:rsidR="008F2673" w:rsidRPr="009C153C" w:rsidRDefault="008F2673" w:rsidP="008F2673">
      <w:pPr>
        <w:outlineLvl w:val="0"/>
        <w:rPr>
          <w:b/>
        </w:rPr>
      </w:pPr>
      <w:r w:rsidRPr="009C153C">
        <w:rPr>
          <w:b/>
        </w:rPr>
        <w:t>Amy McMillen</w:t>
      </w:r>
    </w:p>
    <w:p w:rsidR="008F2673" w:rsidRPr="009C153C" w:rsidRDefault="008F2673" w:rsidP="008F2673">
      <w:pPr>
        <w:outlineLvl w:val="0"/>
        <w:rPr>
          <w:b/>
        </w:rPr>
      </w:pPr>
      <w:r w:rsidRPr="009C153C">
        <w:rPr>
          <w:b/>
        </w:rPr>
        <w:t>Office of Policy and Planning</w:t>
      </w:r>
    </w:p>
    <w:p w:rsidR="008F2673" w:rsidRPr="009C153C" w:rsidRDefault="008F2673" w:rsidP="008F2673">
      <w:pPr>
        <w:outlineLvl w:val="0"/>
        <w:rPr>
          <w:b/>
        </w:rPr>
      </w:pPr>
      <w:r w:rsidRPr="009C153C">
        <w:rPr>
          <w:b/>
        </w:rPr>
        <w:t>National Center for Emerging and Zoonotic Infectious Diseases</w:t>
      </w:r>
    </w:p>
    <w:p w:rsidR="008F2673" w:rsidRPr="009C153C" w:rsidRDefault="008F2673" w:rsidP="008F2673">
      <w:pPr>
        <w:outlineLvl w:val="0"/>
        <w:rPr>
          <w:b/>
        </w:rPr>
      </w:pPr>
      <w:r w:rsidRPr="009C153C">
        <w:rPr>
          <w:b/>
        </w:rPr>
        <w:t>Centers for Disease Control and Prevention</w:t>
      </w:r>
    </w:p>
    <w:p w:rsidR="008F2673" w:rsidRPr="009C153C" w:rsidRDefault="008F2673" w:rsidP="008F2673">
      <w:pPr>
        <w:outlineLvl w:val="0"/>
        <w:rPr>
          <w:b/>
        </w:rPr>
      </w:pPr>
      <w:r w:rsidRPr="009C153C">
        <w:rPr>
          <w:b/>
        </w:rPr>
        <w:t>1600 Clifton Road, N.E., MS C-12</w:t>
      </w:r>
    </w:p>
    <w:p w:rsidR="008F2673" w:rsidRPr="009C153C" w:rsidRDefault="008F2673" w:rsidP="008F2673">
      <w:pPr>
        <w:outlineLvl w:val="0"/>
        <w:rPr>
          <w:b/>
        </w:rPr>
      </w:pPr>
      <w:r w:rsidRPr="009C153C">
        <w:rPr>
          <w:b/>
        </w:rPr>
        <w:t>Atlanta, Georgia 30333</w:t>
      </w:r>
    </w:p>
    <w:p w:rsidR="008F2673" w:rsidRPr="009C153C" w:rsidRDefault="008F2673" w:rsidP="008F2673">
      <w:pPr>
        <w:outlineLvl w:val="0"/>
        <w:rPr>
          <w:b/>
        </w:rPr>
      </w:pPr>
      <w:r w:rsidRPr="009C153C">
        <w:rPr>
          <w:b/>
        </w:rPr>
        <w:t>Phone: (404) 639-1045</w:t>
      </w:r>
    </w:p>
    <w:p w:rsidR="008F2673" w:rsidRPr="009C153C" w:rsidRDefault="008F2673" w:rsidP="008F2673">
      <w:pPr>
        <w:rPr>
          <w:rFonts w:ascii="Comic Sans MS" w:hAnsi="Comic Sans MS"/>
          <w:noProof/>
          <w:color w:val="403152"/>
          <w:sz w:val="20"/>
          <w:szCs w:val="20"/>
        </w:rPr>
      </w:pPr>
      <w:r w:rsidRPr="009C153C">
        <w:rPr>
          <w:b/>
        </w:rPr>
        <w:t>Fax: (404) 248-4146</w:t>
      </w:r>
    </w:p>
    <w:p w:rsidR="008F2673" w:rsidRPr="009C153C" w:rsidRDefault="008F2673" w:rsidP="008F2673">
      <w:pPr>
        <w:outlineLvl w:val="0"/>
      </w:pPr>
      <w:r w:rsidRPr="009C153C">
        <w:rPr>
          <w:b/>
        </w:rPr>
        <w:t>Email: auh1@cdc.gov</w:t>
      </w:r>
    </w:p>
    <w:p w:rsidR="008F2673" w:rsidRDefault="008F2673" w:rsidP="008F2673">
      <w:pPr>
        <w:spacing w:after="200"/>
        <w:rPr>
          <w:b/>
          <w:bCs/>
          <w:color w:val="000000"/>
        </w:rPr>
      </w:pPr>
      <w:r>
        <w:rPr>
          <w:b/>
          <w:bCs/>
          <w:color w:val="000000"/>
        </w:rPr>
        <w:br w:type="page"/>
      </w:r>
    </w:p>
    <w:sdt>
      <w:sdtPr>
        <w:rPr>
          <w:b/>
          <w:bCs/>
        </w:rPr>
        <w:id w:val="1910043563"/>
        <w:docPartObj>
          <w:docPartGallery w:val="Table of Contents"/>
          <w:docPartUnique/>
        </w:docPartObj>
      </w:sdtPr>
      <w:sdtEndPr>
        <w:rPr>
          <w:b w:val="0"/>
          <w:bCs w:val="0"/>
        </w:rPr>
      </w:sdtEndPr>
      <w:sdtContent>
        <w:p w:rsidR="008F2673" w:rsidRPr="0074782B" w:rsidRDefault="008F2673" w:rsidP="008F2673">
          <w:pPr>
            <w:spacing w:after="200"/>
            <w:rPr>
              <w:b/>
              <w:bCs/>
            </w:rPr>
          </w:pPr>
          <w:r>
            <w:rPr>
              <w:b/>
              <w:bCs/>
            </w:rPr>
            <w:t>TABLE OF CONTENTS</w:t>
          </w:r>
        </w:p>
        <w:p w:rsidR="008F2673" w:rsidRDefault="00A505AD" w:rsidP="008F2673">
          <w:pPr>
            <w:pStyle w:val="TOC1"/>
            <w:rPr>
              <w:rFonts w:asciiTheme="minorHAnsi" w:eastAsiaTheme="minorEastAsia" w:hAnsiTheme="minorHAnsi" w:cstheme="minorBidi"/>
              <w:noProof/>
              <w:sz w:val="22"/>
              <w:szCs w:val="22"/>
            </w:rPr>
          </w:pPr>
          <w:r>
            <w:fldChar w:fldCharType="begin"/>
          </w:r>
          <w:r w:rsidR="008F2673">
            <w:instrText xml:space="preserve"> TOC \o "1-3" \h \z \u </w:instrText>
          </w:r>
          <w:r>
            <w:fldChar w:fldCharType="separate"/>
          </w:r>
        </w:p>
        <w:p w:rsidR="008F2673" w:rsidRDefault="00082876" w:rsidP="008F2673">
          <w:pPr>
            <w:pStyle w:val="TOC1"/>
            <w:rPr>
              <w:rFonts w:asciiTheme="minorHAnsi" w:eastAsiaTheme="minorEastAsia" w:hAnsiTheme="minorHAnsi" w:cstheme="minorBidi"/>
              <w:noProof/>
              <w:sz w:val="22"/>
              <w:szCs w:val="22"/>
            </w:rPr>
          </w:pPr>
          <w:hyperlink w:anchor="_Toc296520120" w:history="1">
            <w:r w:rsidR="008F2673" w:rsidRPr="00E16D06">
              <w:rPr>
                <w:rStyle w:val="Hyperlink"/>
                <w:b/>
                <w:bCs/>
                <w:iCs/>
                <w:noProof/>
              </w:rPr>
              <w:t>PART B. COLLECTION OF INFORMATION EMPLOYING STATISTICAL METHODS</w:t>
            </w:r>
            <w:r w:rsidR="008F2673">
              <w:rPr>
                <w:noProof/>
                <w:webHidden/>
              </w:rPr>
              <w:tab/>
            </w:r>
            <w:r w:rsidR="00A505AD">
              <w:rPr>
                <w:noProof/>
                <w:webHidden/>
              </w:rPr>
              <w:fldChar w:fldCharType="begin"/>
            </w:r>
            <w:r w:rsidR="008F2673">
              <w:rPr>
                <w:noProof/>
                <w:webHidden/>
              </w:rPr>
              <w:instrText xml:space="preserve"> PAGEREF _Toc296520120 \h </w:instrText>
            </w:r>
            <w:r w:rsidR="00A505AD">
              <w:rPr>
                <w:noProof/>
                <w:webHidden/>
              </w:rPr>
            </w:r>
            <w:r w:rsidR="00A505AD">
              <w:rPr>
                <w:noProof/>
                <w:webHidden/>
              </w:rPr>
              <w:fldChar w:fldCharType="separate"/>
            </w:r>
            <w:r w:rsidR="0069579C">
              <w:rPr>
                <w:noProof/>
                <w:webHidden/>
              </w:rPr>
              <w:t>3</w:t>
            </w:r>
            <w:r w:rsidR="00A505AD">
              <w:rPr>
                <w:noProof/>
                <w:webHidden/>
              </w:rPr>
              <w:fldChar w:fldCharType="end"/>
            </w:r>
          </w:hyperlink>
        </w:p>
        <w:p w:rsidR="008F2673" w:rsidRPr="00AF0A5C" w:rsidRDefault="00082876" w:rsidP="008F2673">
          <w:pPr>
            <w:pStyle w:val="TOC1"/>
            <w:ind w:left="900"/>
            <w:rPr>
              <w:rFonts w:asciiTheme="minorHAnsi" w:eastAsiaTheme="minorEastAsia" w:hAnsiTheme="minorHAnsi" w:cstheme="minorBidi"/>
              <w:noProof/>
              <w:sz w:val="22"/>
              <w:szCs w:val="22"/>
            </w:rPr>
          </w:pPr>
          <w:hyperlink w:anchor="_Toc296520121" w:history="1">
            <w:r w:rsidR="008F2673" w:rsidRPr="00AF0A5C">
              <w:rPr>
                <w:rStyle w:val="Hyperlink"/>
                <w:bCs/>
                <w:iCs/>
                <w:noProof/>
              </w:rPr>
              <w:t>B.1. Respondent Universe and Sampling Methods</w:t>
            </w:r>
            <w:r w:rsidR="008F2673" w:rsidRPr="00AF0A5C">
              <w:rPr>
                <w:noProof/>
                <w:webHidden/>
              </w:rPr>
              <w:tab/>
            </w:r>
            <w:r w:rsidR="00A505AD" w:rsidRPr="00AF0A5C">
              <w:rPr>
                <w:noProof/>
                <w:webHidden/>
              </w:rPr>
              <w:fldChar w:fldCharType="begin"/>
            </w:r>
            <w:r w:rsidR="008F2673" w:rsidRPr="00AF0A5C">
              <w:rPr>
                <w:noProof/>
                <w:webHidden/>
              </w:rPr>
              <w:instrText xml:space="preserve"> PAGEREF _Toc296520121 \h </w:instrText>
            </w:r>
            <w:r w:rsidR="00A505AD" w:rsidRPr="00AF0A5C">
              <w:rPr>
                <w:noProof/>
                <w:webHidden/>
              </w:rPr>
            </w:r>
            <w:r w:rsidR="00A505AD" w:rsidRPr="00AF0A5C">
              <w:rPr>
                <w:noProof/>
                <w:webHidden/>
              </w:rPr>
              <w:fldChar w:fldCharType="separate"/>
            </w:r>
            <w:r w:rsidR="0069579C">
              <w:rPr>
                <w:noProof/>
                <w:webHidden/>
              </w:rPr>
              <w:t>3</w:t>
            </w:r>
            <w:r w:rsidR="00A505AD" w:rsidRPr="00AF0A5C">
              <w:rPr>
                <w:noProof/>
                <w:webHidden/>
              </w:rPr>
              <w:fldChar w:fldCharType="end"/>
            </w:r>
          </w:hyperlink>
        </w:p>
        <w:p w:rsidR="008F2673" w:rsidRPr="00AF0A5C" w:rsidRDefault="00082876" w:rsidP="008F2673">
          <w:pPr>
            <w:pStyle w:val="TOC1"/>
            <w:ind w:left="900"/>
            <w:rPr>
              <w:rFonts w:asciiTheme="minorHAnsi" w:eastAsiaTheme="minorEastAsia" w:hAnsiTheme="minorHAnsi" w:cstheme="minorBidi"/>
              <w:noProof/>
              <w:sz w:val="22"/>
              <w:szCs w:val="22"/>
            </w:rPr>
          </w:pPr>
          <w:hyperlink w:anchor="_Toc296520122" w:history="1">
            <w:r w:rsidR="008F2673" w:rsidRPr="00AF0A5C">
              <w:rPr>
                <w:rStyle w:val="Hyperlink"/>
                <w:bCs/>
                <w:iCs/>
                <w:noProof/>
              </w:rPr>
              <w:t>B.2. Procedures for the Collection of Information</w:t>
            </w:r>
            <w:r w:rsidR="008F2673" w:rsidRPr="00AF0A5C">
              <w:rPr>
                <w:noProof/>
                <w:webHidden/>
              </w:rPr>
              <w:tab/>
            </w:r>
            <w:r w:rsidR="00A505AD" w:rsidRPr="00AF0A5C">
              <w:rPr>
                <w:noProof/>
                <w:webHidden/>
              </w:rPr>
              <w:fldChar w:fldCharType="begin"/>
            </w:r>
            <w:r w:rsidR="008F2673" w:rsidRPr="00AF0A5C">
              <w:rPr>
                <w:noProof/>
                <w:webHidden/>
              </w:rPr>
              <w:instrText xml:space="preserve"> PAGEREF _Toc296520122 \h </w:instrText>
            </w:r>
            <w:r w:rsidR="00A505AD" w:rsidRPr="00AF0A5C">
              <w:rPr>
                <w:noProof/>
                <w:webHidden/>
              </w:rPr>
            </w:r>
            <w:r w:rsidR="00A505AD" w:rsidRPr="00AF0A5C">
              <w:rPr>
                <w:noProof/>
                <w:webHidden/>
              </w:rPr>
              <w:fldChar w:fldCharType="separate"/>
            </w:r>
            <w:r w:rsidR="0069579C">
              <w:rPr>
                <w:noProof/>
                <w:webHidden/>
              </w:rPr>
              <w:t>3</w:t>
            </w:r>
            <w:r w:rsidR="00A505AD" w:rsidRPr="00AF0A5C">
              <w:rPr>
                <w:noProof/>
                <w:webHidden/>
              </w:rPr>
              <w:fldChar w:fldCharType="end"/>
            </w:r>
          </w:hyperlink>
        </w:p>
        <w:p w:rsidR="008F2673" w:rsidRPr="00AF0A5C" w:rsidRDefault="00082876" w:rsidP="008F2673">
          <w:pPr>
            <w:pStyle w:val="TOC1"/>
            <w:ind w:left="900"/>
            <w:rPr>
              <w:rFonts w:asciiTheme="minorHAnsi" w:eastAsiaTheme="minorEastAsia" w:hAnsiTheme="minorHAnsi" w:cstheme="minorBidi"/>
              <w:noProof/>
              <w:sz w:val="22"/>
              <w:szCs w:val="22"/>
            </w:rPr>
          </w:pPr>
          <w:hyperlink w:anchor="_Toc296520123" w:history="1">
            <w:r w:rsidR="008F2673" w:rsidRPr="00AF0A5C">
              <w:rPr>
                <w:rStyle w:val="Hyperlink"/>
                <w:bCs/>
                <w:iCs/>
                <w:noProof/>
              </w:rPr>
              <w:t>B.3. Methods to Maximize Response Rates and Deal with Non-response</w:t>
            </w:r>
            <w:r w:rsidR="008F2673" w:rsidRPr="00AF0A5C">
              <w:rPr>
                <w:noProof/>
                <w:webHidden/>
              </w:rPr>
              <w:tab/>
            </w:r>
            <w:r w:rsidR="00A505AD" w:rsidRPr="00AF0A5C">
              <w:rPr>
                <w:noProof/>
                <w:webHidden/>
              </w:rPr>
              <w:fldChar w:fldCharType="begin"/>
            </w:r>
            <w:r w:rsidR="008F2673" w:rsidRPr="00AF0A5C">
              <w:rPr>
                <w:noProof/>
                <w:webHidden/>
              </w:rPr>
              <w:instrText xml:space="preserve"> PAGEREF _Toc296520123 \h </w:instrText>
            </w:r>
            <w:r w:rsidR="00A505AD" w:rsidRPr="00AF0A5C">
              <w:rPr>
                <w:noProof/>
                <w:webHidden/>
              </w:rPr>
            </w:r>
            <w:r w:rsidR="00A505AD" w:rsidRPr="00AF0A5C">
              <w:rPr>
                <w:noProof/>
                <w:webHidden/>
              </w:rPr>
              <w:fldChar w:fldCharType="separate"/>
            </w:r>
            <w:r w:rsidR="0069579C">
              <w:rPr>
                <w:noProof/>
                <w:webHidden/>
              </w:rPr>
              <w:t>4</w:t>
            </w:r>
            <w:r w:rsidR="00A505AD" w:rsidRPr="00AF0A5C">
              <w:rPr>
                <w:noProof/>
                <w:webHidden/>
              </w:rPr>
              <w:fldChar w:fldCharType="end"/>
            </w:r>
          </w:hyperlink>
        </w:p>
        <w:p w:rsidR="008F2673" w:rsidRPr="00AF0A5C" w:rsidRDefault="00082876" w:rsidP="008F2673">
          <w:pPr>
            <w:pStyle w:val="TOC1"/>
            <w:ind w:left="900"/>
            <w:rPr>
              <w:rFonts w:asciiTheme="minorHAnsi" w:eastAsiaTheme="minorEastAsia" w:hAnsiTheme="minorHAnsi" w:cstheme="minorBidi"/>
              <w:noProof/>
              <w:sz w:val="22"/>
              <w:szCs w:val="22"/>
            </w:rPr>
          </w:pPr>
          <w:hyperlink w:anchor="_Toc296520124" w:history="1">
            <w:r w:rsidR="008F2673" w:rsidRPr="00AF0A5C">
              <w:rPr>
                <w:rStyle w:val="Hyperlink"/>
                <w:bCs/>
                <w:iCs/>
                <w:noProof/>
              </w:rPr>
              <w:t>B.4. Test of Procedures or Methods to be Undertaken</w:t>
            </w:r>
            <w:r w:rsidR="008F2673" w:rsidRPr="00AF0A5C">
              <w:rPr>
                <w:noProof/>
                <w:webHidden/>
              </w:rPr>
              <w:tab/>
            </w:r>
            <w:r w:rsidR="00A505AD" w:rsidRPr="00AF0A5C">
              <w:rPr>
                <w:noProof/>
                <w:webHidden/>
              </w:rPr>
              <w:fldChar w:fldCharType="begin"/>
            </w:r>
            <w:r w:rsidR="008F2673" w:rsidRPr="00AF0A5C">
              <w:rPr>
                <w:noProof/>
                <w:webHidden/>
              </w:rPr>
              <w:instrText xml:space="preserve"> PAGEREF _Toc296520124 \h </w:instrText>
            </w:r>
            <w:r w:rsidR="00A505AD" w:rsidRPr="00AF0A5C">
              <w:rPr>
                <w:noProof/>
                <w:webHidden/>
              </w:rPr>
            </w:r>
            <w:r w:rsidR="00A505AD" w:rsidRPr="00AF0A5C">
              <w:rPr>
                <w:noProof/>
                <w:webHidden/>
              </w:rPr>
              <w:fldChar w:fldCharType="separate"/>
            </w:r>
            <w:r w:rsidR="0069579C">
              <w:rPr>
                <w:noProof/>
                <w:webHidden/>
              </w:rPr>
              <w:t>5</w:t>
            </w:r>
            <w:r w:rsidR="00A505AD" w:rsidRPr="00AF0A5C">
              <w:rPr>
                <w:noProof/>
                <w:webHidden/>
              </w:rPr>
              <w:fldChar w:fldCharType="end"/>
            </w:r>
          </w:hyperlink>
        </w:p>
        <w:p w:rsidR="008F2673" w:rsidRPr="00AF0A5C" w:rsidRDefault="00082876" w:rsidP="008F2673">
          <w:pPr>
            <w:pStyle w:val="TOC1"/>
            <w:ind w:left="900"/>
            <w:rPr>
              <w:rFonts w:asciiTheme="minorHAnsi" w:eastAsiaTheme="minorEastAsia" w:hAnsiTheme="minorHAnsi" w:cstheme="minorBidi"/>
              <w:noProof/>
              <w:sz w:val="22"/>
              <w:szCs w:val="22"/>
            </w:rPr>
          </w:pPr>
          <w:hyperlink w:anchor="_Toc296520125" w:history="1">
            <w:r w:rsidR="008F2673" w:rsidRPr="00AF0A5C">
              <w:rPr>
                <w:rStyle w:val="Hyperlink"/>
                <w:bCs/>
                <w:iCs/>
                <w:noProof/>
              </w:rPr>
              <w:t>B.5. Individuals Consulted on Statistical Aspects and Individuals Collecting and/or Analyzing Data</w:t>
            </w:r>
            <w:r w:rsidR="008F2673" w:rsidRPr="00AF0A5C">
              <w:rPr>
                <w:noProof/>
                <w:webHidden/>
              </w:rPr>
              <w:tab/>
            </w:r>
            <w:r w:rsidR="00A505AD" w:rsidRPr="00AF0A5C">
              <w:rPr>
                <w:noProof/>
                <w:webHidden/>
              </w:rPr>
              <w:fldChar w:fldCharType="begin"/>
            </w:r>
            <w:r w:rsidR="008F2673" w:rsidRPr="00AF0A5C">
              <w:rPr>
                <w:noProof/>
                <w:webHidden/>
              </w:rPr>
              <w:instrText xml:space="preserve"> PAGEREF _Toc296520125 \h </w:instrText>
            </w:r>
            <w:r w:rsidR="00A505AD" w:rsidRPr="00AF0A5C">
              <w:rPr>
                <w:noProof/>
                <w:webHidden/>
              </w:rPr>
            </w:r>
            <w:r w:rsidR="00A505AD" w:rsidRPr="00AF0A5C">
              <w:rPr>
                <w:noProof/>
                <w:webHidden/>
              </w:rPr>
              <w:fldChar w:fldCharType="separate"/>
            </w:r>
            <w:r w:rsidR="0069579C">
              <w:rPr>
                <w:noProof/>
                <w:webHidden/>
              </w:rPr>
              <w:t>5</w:t>
            </w:r>
            <w:r w:rsidR="00A505AD" w:rsidRPr="00AF0A5C">
              <w:rPr>
                <w:noProof/>
                <w:webHidden/>
              </w:rPr>
              <w:fldChar w:fldCharType="end"/>
            </w:r>
          </w:hyperlink>
        </w:p>
        <w:p w:rsidR="008F2673" w:rsidRDefault="00082876" w:rsidP="008F2673">
          <w:pPr>
            <w:pStyle w:val="TOC1"/>
            <w:rPr>
              <w:rFonts w:asciiTheme="minorHAnsi" w:eastAsiaTheme="minorEastAsia" w:hAnsiTheme="minorHAnsi" w:cstheme="minorBidi"/>
              <w:noProof/>
              <w:sz w:val="22"/>
              <w:szCs w:val="22"/>
            </w:rPr>
          </w:pPr>
          <w:hyperlink w:anchor="_Toc296520126" w:history="1">
            <w:r w:rsidR="008F2673" w:rsidRPr="00E16D06">
              <w:rPr>
                <w:rStyle w:val="Hyperlink"/>
                <w:b/>
                <w:bCs/>
                <w:iCs/>
                <w:noProof/>
              </w:rPr>
              <w:t>REFERENCES</w:t>
            </w:r>
            <w:r w:rsidR="008F2673">
              <w:rPr>
                <w:noProof/>
                <w:webHidden/>
              </w:rPr>
              <w:tab/>
            </w:r>
            <w:r w:rsidR="00A505AD">
              <w:rPr>
                <w:noProof/>
                <w:webHidden/>
              </w:rPr>
              <w:fldChar w:fldCharType="begin"/>
            </w:r>
            <w:r w:rsidR="008F2673">
              <w:rPr>
                <w:noProof/>
                <w:webHidden/>
              </w:rPr>
              <w:instrText xml:space="preserve"> PAGEREF _Toc296520126 \h </w:instrText>
            </w:r>
            <w:r w:rsidR="00A505AD">
              <w:rPr>
                <w:noProof/>
                <w:webHidden/>
              </w:rPr>
            </w:r>
            <w:r w:rsidR="00A505AD">
              <w:rPr>
                <w:noProof/>
                <w:webHidden/>
              </w:rPr>
              <w:fldChar w:fldCharType="separate"/>
            </w:r>
            <w:r w:rsidR="0069579C">
              <w:rPr>
                <w:noProof/>
                <w:webHidden/>
              </w:rPr>
              <w:t>7</w:t>
            </w:r>
            <w:r w:rsidR="00A505AD">
              <w:rPr>
                <w:noProof/>
                <w:webHidden/>
              </w:rPr>
              <w:fldChar w:fldCharType="end"/>
            </w:r>
          </w:hyperlink>
        </w:p>
        <w:p w:rsidR="008F2673" w:rsidRPr="00C16160" w:rsidRDefault="00A505AD" w:rsidP="008F2673">
          <w:pPr>
            <w:pStyle w:val="TOC1"/>
            <w:rPr>
              <w:rFonts w:asciiTheme="minorHAnsi" w:eastAsiaTheme="minorEastAsia" w:hAnsiTheme="minorHAnsi" w:cstheme="minorBidi"/>
              <w:noProof/>
              <w:sz w:val="22"/>
              <w:szCs w:val="22"/>
            </w:rPr>
          </w:pPr>
          <w:r>
            <w:fldChar w:fldCharType="end"/>
          </w:r>
        </w:p>
      </w:sdtContent>
    </w:sdt>
    <w:p w:rsidR="008F2673" w:rsidRDefault="008F2673" w:rsidP="008F2673">
      <w:pPr>
        <w:rPr>
          <w:b/>
          <w:bCs/>
        </w:rPr>
      </w:pPr>
    </w:p>
    <w:p w:rsidR="008F2673" w:rsidRDefault="008F2673" w:rsidP="008F2673">
      <w:pPr>
        <w:rPr>
          <w:bCs/>
        </w:rPr>
      </w:pPr>
    </w:p>
    <w:p w:rsidR="008F2673" w:rsidRPr="00E96FE7" w:rsidRDefault="008F2673" w:rsidP="008F2673">
      <w:pPr>
        <w:tabs>
          <w:tab w:val="left" w:pos="648"/>
          <w:tab w:val="left" w:pos="1335"/>
        </w:tabs>
        <w:rPr>
          <w:color w:val="000000"/>
        </w:rPr>
      </w:pPr>
      <w:r w:rsidRPr="00E96FE7">
        <w:rPr>
          <w:color w:val="000000"/>
        </w:rPr>
        <w:tab/>
      </w:r>
      <w:r>
        <w:rPr>
          <w:color w:val="000000"/>
        </w:rPr>
        <w:tab/>
      </w:r>
    </w:p>
    <w:p w:rsidR="008F2673" w:rsidRDefault="008F2673" w:rsidP="008F2673">
      <w:pPr>
        <w:spacing w:after="200" w:line="276" w:lineRule="auto"/>
        <w:rPr>
          <w:bCs/>
        </w:rPr>
      </w:pPr>
      <w:r>
        <w:rPr>
          <w:bCs/>
        </w:rPr>
        <w:br w:type="page"/>
      </w:r>
    </w:p>
    <w:p w:rsidR="005327EA" w:rsidRDefault="00F13209" w:rsidP="005327EA">
      <w:pPr>
        <w:jc w:val="center"/>
        <w:rPr>
          <w:b/>
          <w:bCs/>
        </w:rPr>
      </w:pPr>
      <w:r>
        <w:rPr>
          <w:b/>
          <w:bCs/>
        </w:rPr>
        <w:lastRenderedPageBreak/>
        <w:t>Qualitative</w:t>
      </w:r>
      <w:r w:rsidR="005327EA">
        <w:rPr>
          <w:b/>
          <w:bCs/>
        </w:rPr>
        <w:t xml:space="preserve"> Information Collection on emerging diseases among the foreign-born</w:t>
      </w:r>
      <w:r w:rsidR="005327EA" w:rsidRPr="004F2BE5">
        <w:rPr>
          <w:b/>
          <w:bCs/>
        </w:rPr>
        <w:t xml:space="preserve"> </w:t>
      </w:r>
      <w:r w:rsidR="005327EA">
        <w:rPr>
          <w:b/>
          <w:bCs/>
        </w:rPr>
        <w:t>in the United States</w:t>
      </w:r>
    </w:p>
    <w:p w:rsidR="002C744C" w:rsidRDefault="002C744C" w:rsidP="008F2673">
      <w:pPr>
        <w:jc w:val="center"/>
        <w:rPr>
          <w:b/>
          <w:bCs/>
        </w:rPr>
      </w:pPr>
    </w:p>
    <w:p w:rsidR="008F2673" w:rsidRDefault="008F2673" w:rsidP="008F2673">
      <w:pPr>
        <w:jc w:val="center"/>
        <w:rPr>
          <w:b/>
          <w:bCs/>
        </w:rPr>
      </w:pPr>
      <w:r>
        <w:rPr>
          <w:b/>
          <w:bCs/>
        </w:rPr>
        <w:t xml:space="preserve">Request for OMB Approval of a Generic Clearance </w:t>
      </w:r>
      <w:r w:rsidR="00872DB2">
        <w:rPr>
          <w:b/>
          <w:bCs/>
        </w:rPr>
        <w:t xml:space="preserve">for </w:t>
      </w:r>
      <w:r>
        <w:rPr>
          <w:b/>
          <w:bCs/>
        </w:rPr>
        <w:t>Data Collection</w:t>
      </w:r>
    </w:p>
    <w:p w:rsidR="008F2673" w:rsidRDefault="008F2673" w:rsidP="008F2673">
      <w:pPr>
        <w:jc w:val="center"/>
        <w:rPr>
          <w:b/>
          <w:color w:val="000000"/>
        </w:rPr>
      </w:pPr>
    </w:p>
    <w:p w:rsidR="008F2673" w:rsidRDefault="008F2673" w:rsidP="008F2673">
      <w:pPr>
        <w:outlineLvl w:val="0"/>
        <w:rPr>
          <w:b/>
          <w:color w:val="000000"/>
        </w:rPr>
      </w:pPr>
    </w:p>
    <w:p w:rsidR="008F2673" w:rsidRDefault="008F2673" w:rsidP="008F2673">
      <w:pPr>
        <w:outlineLvl w:val="0"/>
        <w:rPr>
          <w:b/>
          <w:bCs/>
          <w:iCs/>
          <w:color w:val="000000"/>
        </w:rPr>
      </w:pPr>
      <w:bookmarkStart w:id="0" w:name="_Toc296520120"/>
      <w:r w:rsidRPr="006D325F">
        <w:rPr>
          <w:b/>
          <w:bCs/>
          <w:iCs/>
          <w:color w:val="000000"/>
        </w:rPr>
        <w:t>PART B. COLLECTION OF INFORMATION EMPLOYING STATISTICAL METHODS</w:t>
      </w:r>
      <w:bookmarkEnd w:id="0"/>
    </w:p>
    <w:p w:rsidR="008F2673" w:rsidRDefault="008F2673" w:rsidP="008F2673">
      <w:pPr>
        <w:outlineLvl w:val="0"/>
        <w:rPr>
          <w:b/>
          <w:bCs/>
          <w:iCs/>
          <w:color w:val="000000"/>
        </w:rPr>
      </w:pPr>
    </w:p>
    <w:p w:rsidR="008F2673" w:rsidRPr="006D325F" w:rsidRDefault="008F2673" w:rsidP="008F2673">
      <w:pPr>
        <w:outlineLvl w:val="0"/>
        <w:rPr>
          <w:b/>
          <w:bCs/>
          <w:iCs/>
          <w:color w:val="000000"/>
        </w:rPr>
      </w:pPr>
    </w:p>
    <w:p w:rsidR="008F2673" w:rsidRPr="00C16160" w:rsidRDefault="008F2673" w:rsidP="008F2673">
      <w:pPr>
        <w:outlineLvl w:val="0"/>
        <w:rPr>
          <w:b/>
          <w:bCs/>
          <w:iCs/>
          <w:color w:val="000000"/>
        </w:rPr>
      </w:pPr>
      <w:bookmarkStart w:id="1" w:name="_Toc296520121"/>
      <w:r w:rsidRPr="00C16160">
        <w:rPr>
          <w:b/>
          <w:bCs/>
          <w:iCs/>
          <w:color w:val="000000"/>
        </w:rPr>
        <w:t>B.1. Respondent Universe and Sampling Methods</w:t>
      </w:r>
      <w:bookmarkEnd w:id="1"/>
    </w:p>
    <w:p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611B" w:rsidRDefault="00F250BF" w:rsidP="00D0611B">
      <w:r>
        <w:t xml:space="preserve">The respondent universe </w:t>
      </w:r>
      <w:r w:rsidR="00D0611B">
        <w:t>consist</w:t>
      </w:r>
      <w:r>
        <w:t>s</w:t>
      </w:r>
      <w:r w:rsidR="00D0611B">
        <w:t xml:space="preserve"> of</w:t>
      </w:r>
      <w:r w:rsidR="008F2673">
        <w:t xml:space="preserve"> </w:t>
      </w:r>
      <w:r w:rsidR="00D854D8">
        <w:rPr>
          <w:color w:val="000000"/>
        </w:rPr>
        <w:t xml:space="preserve">foreign-born </w:t>
      </w:r>
      <w:r w:rsidR="00D854D8" w:rsidRPr="00F23F1D">
        <w:rPr>
          <w:bCs/>
        </w:rPr>
        <w:t xml:space="preserve">individuals in </w:t>
      </w:r>
      <w:r>
        <w:rPr>
          <w:bCs/>
        </w:rPr>
        <w:t xml:space="preserve">specific geographic areas (e.g., neighborhoods, cities, counties) in </w:t>
      </w:r>
      <w:r w:rsidR="00D854D8" w:rsidRPr="00F23F1D">
        <w:rPr>
          <w:bCs/>
        </w:rPr>
        <w:t>the United States</w:t>
      </w:r>
      <w:r w:rsidR="00D854D8">
        <w:rPr>
          <w:bCs/>
        </w:rPr>
        <w:t xml:space="preserve">.  </w:t>
      </w:r>
      <w:r w:rsidRPr="00F250BF">
        <w:rPr>
          <w:color w:val="000000"/>
        </w:rPr>
        <w:t>Foreign-born individuals include temporary and permanent im</w:t>
      </w:r>
      <w:r>
        <w:rPr>
          <w:color w:val="000000"/>
        </w:rPr>
        <w:t>migrants, international travelers</w:t>
      </w:r>
      <w:r w:rsidRPr="00F250BF">
        <w:rPr>
          <w:color w:val="000000"/>
        </w:rPr>
        <w:t xml:space="preserve">, and refugees settled in the United States. </w:t>
      </w:r>
      <w:r w:rsidRPr="00F250BF">
        <w:t xml:space="preserve"> </w:t>
      </w:r>
      <w:r w:rsidR="00FA1A16">
        <w:t>In 2011 th</w:t>
      </w:r>
      <w:r w:rsidR="00A95733" w:rsidRPr="0047777A">
        <w:t xml:space="preserve">ere </w:t>
      </w:r>
      <w:r w:rsidR="00FA1A16">
        <w:t>we</w:t>
      </w:r>
      <w:r w:rsidR="00A95733" w:rsidRPr="0047777A">
        <w:t xml:space="preserve">re approximately </w:t>
      </w:r>
      <w:r w:rsidR="00A95733">
        <w:t>40</w:t>
      </w:r>
      <w:r w:rsidR="00FA1A16">
        <w:t>.3</w:t>
      </w:r>
      <w:r w:rsidR="00A95733">
        <w:t xml:space="preserve"> million foreign-born people residing </w:t>
      </w:r>
      <w:r w:rsidR="00A95733" w:rsidRPr="0047777A">
        <w:t xml:space="preserve">in the </w:t>
      </w:r>
      <w:r w:rsidR="00FA1A16">
        <w:t xml:space="preserve">United States </w:t>
      </w:r>
      <w:r w:rsidR="00A95733">
        <w:t>[1].</w:t>
      </w:r>
      <w:r w:rsidR="00FA1A16">
        <w:t xml:space="preserve"> </w:t>
      </w:r>
      <w:r w:rsidR="00D0611B">
        <w:t xml:space="preserve">Each </w:t>
      </w:r>
      <w:r w:rsidR="002C744C">
        <w:t>information</w:t>
      </w:r>
      <w:r w:rsidR="00904B94">
        <w:t xml:space="preserve"> collection </w:t>
      </w:r>
      <w:r w:rsidR="00D0611B">
        <w:t xml:space="preserve">will </w:t>
      </w:r>
      <w:r w:rsidR="000C192E">
        <w:t xml:space="preserve">only </w:t>
      </w:r>
      <w:r w:rsidR="00D0611B">
        <w:t xml:space="preserve">target </w:t>
      </w:r>
      <w:r w:rsidR="00FA1A16">
        <w:t xml:space="preserve">foreign-born </w:t>
      </w:r>
      <w:r w:rsidR="00904B94">
        <w:t xml:space="preserve">individuals from a specific country(ies) of birth (e.g., Mexican-born) </w:t>
      </w:r>
      <w:r w:rsidR="00D0611B">
        <w:t>and within defined geographic areas</w:t>
      </w:r>
      <w:r w:rsidR="00990B11">
        <w:t xml:space="preserve"> (e.g., </w:t>
      </w:r>
      <w:r w:rsidR="00CB0054">
        <w:t xml:space="preserve">city of </w:t>
      </w:r>
      <w:r w:rsidR="00904B94">
        <w:t xml:space="preserve">San Diego </w:t>
      </w:r>
      <w:r w:rsidR="008853CC">
        <w:t xml:space="preserve">CA </w:t>
      </w:r>
      <w:r w:rsidR="00904B94">
        <w:t xml:space="preserve">or </w:t>
      </w:r>
      <w:r w:rsidR="008853CC">
        <w:t>DeKalb</w:t>
      </w:r>
      <w:r w:rsidR="00904B94">
        <w:t xml:space="preserve"> County GA</w:t>
      </w:r>
      <w:r w:rsidR="00990B11">
        <w:t>)</w:t>
      </w:r>
      <w:r w:rsidR="00D0611B">
        <w:t xml:space="preserve">. </w:t>
      </w:r>
    </w:p>
    <w:p w:rsidR="00854951" w:rsidRDefault="00854951"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54885" w:rsidRDefault="008853CC" w:rsidP="00B54885">
      <w:pPr>
        <w:spacing w:before="120" w:after="120"/>
        <w:rPr>
          <w:color w:val="000000"/>
        </w:rPr>
      </w:pPr>
      <w:r w:rsidRPr="00F13209">
        <w:t>For focus groups</w:t>
      </w:r>
      <w:r w:rsidR="00FA1A16" w:rsidRPr="00F13209">
        <w:t xml:space="preserve"> and key informant interviews</w:t>
      </w:r>
      <w:r w:rsidRPr="00F13209">
        <w:t>,</w:t>
      </w:r>
      <w:r>
        <w:t xml:space="preserve"> </w:t>
      </w:r>
      <w:r w:rsidR="00236835">
        <w:t>purposive</w:t>
      </w:r>
      <w:r w:rsidR="00236835" w:rsidRPr="0047777A">
        <w:t xml:space="preserve"> </w:t>
      </w:r>
      <w:r w:rsidR="00236835">
        <w:t xml:space="preserve">non-probability </w:t>
      </w:r>
      <w:r w:rsidR="00236835" w:rsidRPr="0047777A">
        <w:t>sampling</w:t>
      </w:r>
      <w:r w:rsidR="00236835">
        <w:t xml:space="preserve"> </w:t>
      </w:r>
      <w:r w:rsidR="004D7359" w:rsidRPr="006E1718">
        <w:rPr>
          <w:color w:val="000000"/>
        </w:rPr>
        <w:t>will be</w:t>
      </w:r>
      <w:r w:rsidR="00236835">
        <w:rPr>
          <w:color w:val="000000"/>
        </w:rPr>
        <w:t xml:space="preserve"> used to identify and recruit</w:t>
      </w:r>
      <w:r w:rsidR="00236835" w:rsidRPr="00236835">
        <w:t xml:space="preserve"> </w:t>
      </w:r>
      <w:r w:rsidR="00236835">
        <w:t>p</w:t>
      </w:r>
      <w:r w:rsidR="00236835" w:rsidRPr="006E1718">
        <w:rPr>
          <w:color w:val="000000"/>
        </w:rPr>
        <w:t>articipants</w:t>
      </w:r>
      <w:r w:rsidR="004D7359" w:rsidRPr="006E1718">
        <w:rPr>
          <w:color w:val="000000"/>
        </w:rPr>
        <w:t xml:space="preserve"> in accordance with the s</w:t>
      </w:r>
      <w:r w:rsidR="004D7359">
        <w:rPr>
          <w:color w:val="000000"/>
        </w:rPr>
        <w:t xml:space="preserve">pecific target population </w:t>
      </w:r>
      <w:r w:rsidR="003D75CC">
        <w:t xml:space="preserve">(e.g., country of birth, </w:t>
      </w:r>
      <w:r w:rsidR="003D75CC" w:rsidRPr="006E1718">
        <w:t>a</w:t>
      </w:r>
      <w:r w:rsidR="003D75CC">
        <w:t xml:space="preserve">ge, gender, ethnic group, language ability, </w:t>
      </w:r>
      <w:r w:rsidR="00FA1A16">
        <w:t xml:space="preserve">occupation, </w:t>
      </w:r>
      <w:r w:rsidR="003D75CC">
        <w:t>education level)</w:t>
      </w:r>
      <w:r w:rsidR="003D75CC" w:rsidRPr="006E1718">
        <w:t xml:space="preserve"> </w:t>
      </w:r>
      <w:r w:rsidR="004D7359">
        <w:rPr>
          <w:color w:val="000000"/>
        </w:rPr>
        <w:t>and purpose of the project</w:t>
      </w:r>
      <w:r w:rsidR="004D7359" w:rsidRPr="006E1718">
        <w:rPr>
          <w:color w:val="000000"/>
        </w:rPr>
        <w:t>.</w:t>
      </w:r>
      <w:r w:rsidR="004D7359" w:rsidRPr="004D7359">
        <w:t xml:space="preserve"> </w:t>
      </w:r>
      <w:r w:rsidR="00B54885" w:rsidRPr="006E1718">
        <w:rPr>
          <w:color w:val="000000"/>
        </w:rPr>
        <w:t>Eligibility criteria will be established for all focus group participants, and potential participants w</w:t>
      </w:r>
      <w:r w:rsidR="00B54885">
        <w:rPr>
          <w:color w:val="000000"/>
        </w:rPr>
        <w:t>ill be screened using a standard</w:t>
      </w:r>
      <w:r w:rsidR="00B54885" w:rsidRPr="006E1718">
        <w:rPr>
          <w:color w:val="000000"/>
        </w:rPr>
        <w:t xml:space="preserve"> screening form. </w:t>
      </w:r>
      <w:r w:rsidR="00B54885">
        <w:t>Focus group p</w:t>
      </w:r>
      <w:r w:rsidR="00236835">
        <w:t xml:space="preserve">articipants’ recruitment will take place through collaboration with </w:t>
      </w:r>
      <w:r w:rsidR="00436168">
        <w:rPr>
          <w:color w:val="000000"/>
        </w:rPr>
        <w:t>community-based organizations and other groups/methods including but not limited to:  state and local health departments, on-site recruitment at various points of interest such as</w:t>
      </w:r>
      <w:r w:rsidR="003D75CC">
        <w:rPr>
          <w:color w:val="000000"/>
        </w:rPr>
        <w:t xml:space="preserve"> international </w:t>
      </w:r>
      <w:r w:rsidR="00436168">
        <w:rPr>
          <w:color w:val="000000"/>
        </w:rPr>
        <w:t xml:space="preserve">ports of entry and ethnic events, and cultural and faith-based </w:t>
      </w:r>
      <w:r w:rsidR="00114D5D">
        <w:rPr>
          <w:color w:val="000000"/>
        </w:rPr>
        <w:t xml:space="preserve">community </w:t>
      </w:r>
      <w:r w:rsidR="00436168">
        <w:rPr>
          <w:color w:val="000000"/>
        </w:rPr>
        <w:t xml:space="preserve">organizations. </w:t>
      </w:r>
      <w:r w:rsidR="00B54885">
        <w:rPr>
          <w:color w:val="000000"/>
        </w:rPr>
        <w:t xml:space="preserve">Participants will be recruited among target community leaders and individuals working in organizations serving those communities and are familiar with community members’ knowledge, practices, and beliefs about communicable diseases. Community members will also be recruited to participate in key informant interviews as experts on this subject matter. DGMQ local partners will be consulted to identify potential participants and participants will be contacted directly by DGMQ to set up the interviews. </w:t>
      </w:r>
    </w:p>
    <w:p w:rsidR="004D7359" w:rsidRDefault="004D7359" w:rsidP="004D73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6E1718">
        <w:rPr>
          <w:color w:val="000000"/>
        </w:rPr>
        <w:t xml:space="preserve">As </w:t>
      </w:r>
      <w:r>
        <w:rPr>
          <w:color w:val="000000"/>
        </w:rPr>
        <w:t>many as 3</w:t>
      </w:r>
      <w:r w:rsidR="00B60F68">
        <w:rPr>
          <w:color w:val="000000"/>
        </w:rPr>
        <w:t>00</w:t>
      </w:r>
      <w:r w:rsidRPr="006E1718">
        <w:rPr>
          <w:color w:val="000000"/>
        </w:rPr>
        <w:t xml:space="preserve"> </w:t>
      </w:r>
      <w:r w:rsidR="00FA1A16">
        <w:rPr>
          <w:color w:val="000000"/>
        </w:rPr>
        <w:t xml:space="preserve">and 125 </w:t>
      </w:r>
      <w:r w:rsidRPr="006E1718">
        <w:rPr>
          <w:color w:val="000000"/>
        </w:rPr>
        <w:t xml:space="preserve">respondents are anticipated to take part in focus groups </w:t>
      </w:r>
      <w:r w:rsidR="00FA1A16">
        <w:rPr>
          <w:color w:val="000000"/>
        </w:rPr>
        <w:t xml:space="preserve">and key informant interviews, respectively, </w:t>
      </w:r>
      <w:r w:rsidRPr="006E1718">
        <w:rPr>
          <w:color w:val="000000"/>
        </w:rPr>
        <w:t xml:space="preserve">each year. </w:t>
      </w:r>
    </w:p>
    <w:p w:rsidR="004D7359" w:rsidRDefault="004D7359" w:rsidP="00436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436168" w:rsidRPr="006E1718" w:rsidRDefault="00436168" w:rsidP="00436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rPr>
          <w:color w:val="000000"/>
        </w:rPr>
        <w:t>Each proposed activity will submit an application for IRB review and approval, which will outline the procedure</w:t>
      </w:r>
      <w:r w:rsidR="00437637">
        <w:rPr>
          <w:color w:val="000000"/>
        </w:rPr>
        <w:t>s</w:t>
      </w:r>
      <w:r w:rsidRPr="006E1718">
        <w:rPr>
          <w:color w:val="000000"/>
        </w:rPr>
        <w:t xml:space="preserve"> for participant </w:t>
      </w:r>
      <w:r>
        <w:rPr>
          <w:color w:val="000000"/>
        </w:rPr>
        <w:t xml:space="preserve">selection and </w:t>
      </w:r>
      <w:r w:rsidRPr="006E1718">
        <w:rPr>
          <w:color w:val="000000"/>
        </w:rPr>
        <w:t>consent.</w:t>
      </w:r>
    </w:p>
    <w:p w:rsidR="008F2673" w:rsidRDefault="008F2673" w:rsidP="008F2673">
      <w:pPr>
        <w:outlineLvl w:val="0"/>
        <w:rPr>
          <w:b/>
          <w:bCs/>
          <w:iCs/>
          <w:color w:val="000000"/>
        </w:rPr>
      </w:pPr>
    </w:p>
    <w:p w:rsidR="00436168" w:rsidRDefault="00436168" w:rsidP="008F2673">
      <w:pPr>
        <w:outlineLvl w:val="0"/>
        <w:rPr>
          <w:b/>
          <w:bCs/>
          <w:iCs/>
          <w:color w:val="000000"/>
        </w:rPr>
      </w:pPr>
    </w:p>
    <w:p w:rsidR="008F2673" w:rsidRPr="00C16160" w:rsidRDefault="008F2673" w:rsidP="008F2673">
      <w:pPr>
        <w:outlineLvl w:val="0"/>
        <w:rPr>
          <w:b/>
          <w:bCs/>
          <w:iCs/>
          <w:color w:val="000000"/>
        </w:rPr>
      </w:pPr>
      <w:bookmarkStart w:id="2" w:name="_Toc296520122"/>
      <w:r w:rsidRPr="00C16160">
        <w:rPr>
          <w:b/>
          <w:bCs/>
          <w:iCs/>
          <w:color w:val="000000"/>
        </w:rPr>
        <w:t>B.2. Procedures for the Collection of Information</w:t>
      </w:r>
      <w:bookmarkEnd w:id="2"/>
    </w:p>
    <w:p w:rsidR="008C0C2A" w:rsidRDefault="008C0C2A" w:rsidP="008C0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36835" w:rsidRPr="00236835" w:rsidRDefault="00F13209" w:rsidP="00236835">
      <w:pPr>
        <w:spacing w:after="120"/>
        <w:contextualSpacing/>
      </w:pPr>
      <w:r>
        <w:t xml:space="preserve">Data collection will take place through focus group discussions and key informant interviews. </w:t>
      </w:r>
      <w:r w:rsidR="00534DEC" w:rsidRPr="00AE400A">
        <w:t xml:space="preserve">All questions </w:t>
      </w:r>
      <w:r>
        <w:t>will be</w:t>
      </w:r>
      <w:r w:rsidR="00534DEC">
        <w:t xml:space="preserve"> semi-structured and</w:t>
      </w:r>
      <w:r w:rsidR="00534DEC" w:rsidRPr="00AE400A">
        <w:t xml:space="preserve"> open-ended</w:t>
      </w:r>
      <w:r w:rsidR="00534DEC">
        <w:t>.</w:t>
      </w:r>
      <w:r w:rsidR="00534DEC" w:rsidRPr="00B81B05">
        <w:rPr>
          <w:bCs/>
          <w:iCs/>
        </w:rPr>
        <w:t xml:space="preserve"> </w:t>
      </w:r>
      <w:r>
        <w:rPr>
          <w:bCs/>
          <w:iCs/>
        </w:rPr>
        <w:t xml:space="preserve">Data collection </w:t>
      </w:r>
      <w:r w:rsidR="008F2673" w:rsidRPr="006E1718">
        <w:rPr>
          <w:color w:val="000000"/>
        </w:rPr>
        <w:t>will occur under the direction of a trained moderator</w:t>
      </w:r>
      <w:r w:rsidR="008C0C2A">
        <w:rPr>
          <w:color w:val="000000"/>
        </w:rPr>
        <w:t xml:space="preserve"> or interviewer</w:t>
      </w:r>
      <w:r w:rsidR="00E62B6C">
        <w:rPr>
          <w:color w:val="000000"/>
        </w:rPr>
        <w:t xml:space="preserve"> and with the assistance of </w:t>
      </w:r>
      <w:r w:rsidR="00236835">
        <w:rPr>
          <w:color w:val="000000"/>
        </w:rPr>
        <w:t>an interpreter</w:t>
      </w:r>
      <w:r w:rsidR="00E62B6C">
        <w:rPr>
          <w:color w:val="000000"/>
        </w:rPr>
        <w:t xml:space="preserve">, as </w:t>
      </w:r>
      <w:r w:rsidR="00E62B6C">
        <w:rPr>
          <w:color w:val="000000"/>
        </w:rPr>
        <w:lastRenderedPageBreak/>
        <w:t>needed</w:t>
      </w:r>
      <w:r w:rsidR="008F2673" w:rsidRPr="006E1718">
        <w:rPr>
          <w:color w:val="000000"/>
        </w:rPr>
        <w:t xml:space="preserve"> </w:t>
      </w:r>
      <w:r w:rsidR="00567279">
        <w:rPr>
          <w:color w:val="000000"/>
        </w:rPr>
        <w:t>(</w:t>
      </w:r>
      <w:r w:rsidR="008F2673">
        <w:t xml:space="preserve">See </w:t>
      </w:r>
      <w:r w:rsidR="00734185">
        <w:t>Attachment</w:t>
      </w:r>
      <w:r w:rsidR="002B77C4">
        <w:t xml:space="preserve"> </w:t>
      </w:r>
      <w:r w:rsidR="00917D58">
        <w:t xml:space="preserve">F and G </w:t>
      </w:r>
      <w:r w:rsidR="008F2673">
        <w:t xml:space="preserve">for a Sample Focus Group </w:t>
      </w:r>
      <w:r w:rsidR="008F2673" w:rsidRPr="00236835">
        <w:t xml:space="preserve">Discussion </w:t>
      </w:r>
      <w:r w:rsidR="00567279">
        <w:t xml:space="preserve">and Interview </w:t>
      </w:r>
      <w:r w:rsidR="008F2673" w:rsidRPr="00236835">
        <w:t>Guide)</w:t>
      </w:r>
      <w:r w:rsidR="002B77C4">
        <w:t>.</w:t>
      </w:r>
      <w:r w:rsidR="008F2673" w:rsidRPr="00236835">
        <w:t xml:space="preserve"> These discussions </w:t>
      </w:r>
      <w:r w:rsidR="008C0C2A">
        <w:t xml:space="preserve">and interviews </w:t>
      </w:r>
      <w:r w:rsidR="008F2673" w:rsidRPr="00236835">
        <w:t>may take place in-person, through web-interface</w:t>
      </w:r>
      <w:r w:rsidR="00114D5D">
        <w:t>,</w:t>
      </w:r>
      <w:r w:rsidR="008F2673" w:rsidRPr="00236835">
        <w:t xml:space="preserve"> or by telephone. </w:t>
      </w:r>
      <w:r w:rsidR="00567279">
        <w:t xml:space="preserve">The discussions </w:t>
      </w:r>
      <w:r w:rsidR="00114D5D">
        <w:t xml:space="preserve">and interviews </w:t>
      </w:r>
      <w:r w:rsidR="00567279">
        <w:t>may</w:t>
      </w:r>
      <w:r w:rsidR="00236835" w:rsidRPr="00236835">
        <w:t xml:space="preserve"> be audio-recorded and transcripts will be prepared from these recordings. Notes will also be taken during the discussions</w:t>
      </w:r>
      <w:r w:rsidR="00114D5D">
        <w:t xml:space="preserve"> and interviews</w:t>
      </w:r>
      <w:r w:rsidR="00236835" w:rsidRPr="00236835">
        <w:t xml:space="preserve"> to ensure that records of the </w:t>
      </w:r>
      <w:r w:rsidR="00114D5D">
        <w:t>data collected</w:t>
      </w:r>
      <w:r w:rsidR="00236835" w:rsidRPr="00236835">
        <w:t xml:space="preserve"> exist in the case of audio equipment malfunction.</w:t>
      </w:r>
    </w:p>
    <w:p w:rsidR="008C0C2A" w:rsidRDefault="008C0C2A" w:rsidP="00436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36168" w:rsidRDefault="00436168" w:rsidP="004361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Each proposed project </w:t>
      </w:r>
      <w:r w:rsidRPr="000C3C1F">
        <w:rPr>
          <w:color w:val="000000"/>
        </w:rPr>
        <w:t xml:space="preserve">will submit </w:t>
      </w:r>
      <w:r>
        <w:rPr>
          <w:color w:val="000000"/>
        </w:rPr>
        <w:t>culturally and linguistically appropriate</w:t>
      </w:r>
      <w:r w:rsidRPr="000C3C1F">
        <w:rPr>
          <w:color w:val="000000"/>
        </w:rPr>
        <w:t xml:space="preserve"> tools for </w:t>
      </w:r>
      <w:r>
        <w:rPr>
          <w:color w:val="000000"/>
        </w:rPr>
        <w:t>data collection</w:t>
      </w:r>
      <w:r w:rsidRPr="000C3C1F">
        <w:rPr>
          <w:color w:val="000000"/>
        </w:rPr>
        <w:t xml:space="preserve"> </w:t>
      </w:r>
      <w:r>
        <w:rPr>
          <w:color w:val="000000"/>
        </w:rPr>
        <w:t>(</w:t>
      </w:r>
      <w:r w:rsidR="00F13209">
        <w:rPr>
          <w:color w:val="000000"/>
        </w:rPr>
        <w:t xml:space="preserve">i.e., </w:t>
      </w:r>
      <w:r>
        <w:rPr>
          <w:color w:val="000000"/>
        </w:rPr>
        <w:t xml:space="preserve">focus group </w:t>
      </w:r>
      <w:r w:rsidR="00F13209">
        <w:rPr>
          <w:color w:val="000000"/>
        </w:rPr>
        <w:t xml:space="preserve">and interview </w:t>
      </w:r>
      <w:r>
        <w:rPr>
          <w:color w:val="000000"/>
        </w:rPr>
        <w:t>guides</w:t>
      </w:r>
      <w:r w:rsidR="00F13209">
        <w:rPr>
          <w:color w:val="000000"/>
        </w:rPr>
        <w:t xml:space="preserve">) </w:t>
      </w:r>
      <w:r>
        <w:t xml:space="preserve">in the statement </w:t>
      </w:r>
      <w:r w:rsidRPr="000C3C1F">
        <w:t>provided to OMB</w:t>
      </w:r>
      <w:r w:rsidRPr="000C3C1F">
        <w:rPr>
          <w:color w:val="000000"/>
        </w:rPr>
        <w:t>.</w:t>
      </w:r>
      <w:r w:rsidR="005A14BB">
        <w:rPr>
          <w:color w:val="000000"/>
        </w:rPr>
        <w:t xml:space="preserve"> </w:t>
      </w:r>
      <w:r w:rsidR="008C0C2A">
        <w:rPr>
          <w:bCs/>
          <w:iCs/>
        </w:rPr>
        <w:t xml:space="preserve">Discussion </w:t>
      </w:r>
      <w:r w:rsidR="00567279">
        <w:rPr>
          <w:bCs/>
          <w:iCs/>
        </w:rPr>
        <w:t xml:space="preserve">and interview </w:t>
      </w:r>
      <w:r w:rsidR="008C0C2A">
        <w:rPr>
          <w:bCs/>
          <w:iCs/>
        </w:rPr>
        <w:t>guides</w:t>
      </w:r>
      <w:r w:rsidR="008C0C2A" w:rsidRPr="00B81B05">
        <w:rPr>
          <w:bCs/>
          <w:iCs/>
        </w:rPr>
        <w:t xml:space="preserve"> will be piloted with less than nine people before </w:t>
      </w:r>
      <w:r w:rsidR="00177216">
        <w:rPr>
          <w:bCs/>
          <w:iCs/>
        </w:rPr>
        <w:t xml:space="preserve">approval from OMB is sought and </w:t>
      </w:r>
      <w:r w:rsidR="008C0C2A" w:rsidRPr="00B81B05">
        <w:rPr>
          <w:bCs/>
          <w:iCs/>
        </w:rPr>
        <w:t xml:space="preserve">focus groups are conducted to ensure appropriateness in generating the desired data. If needed, changes will be made to the guides. </w:t>
      </w:r>
      <w:r w:rsidR="005A14BB">
        <w:t>As many as 300 respondents in total may take part in one of the 30 focus groups per year for which we are requesting approval.</w:t>
      </w:r>
      <w:r w:rsidR="00567279">
        <w:t xml:space="preserve"> Likewise, as many as 125 respondents may participate in key informant interviews per year.</w:t>
      </w:r>
    </w:p>
    <w:p w:rsidR="008F2673" w:rsidRPr="006E171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Pr="00DD2717" w:rsidRDefault="008F2673" w:rsidP="008F2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Unusual problems requiring specialized sampling procedures</w:t>
      </w:r>
    </w:p>
    <w:p w:rsidR="008F2673" w:rsidRPr="006E1718" w:rsidRDefault="008F2673" w:rsidP="008F2673">
      <w:pPr>
        <w:pStyle w:val="CommentText"/>
        <w:rPr>
          <w:sz w:val="24"/>
          <w:szCs w:val="24"/>
        </w:rPr>
      </w:pPr>
      <w:r w:rsidRPr="006E1718">
        <w:rPr>
          <w:sz w:val="24"/>
          <w:szCs w:val="24"/>
        </w:rPr>
        <w:t>Unusual problems requiring specialized sampling are expected to be rare and will be disclosed in individual requests under this generic clearance.</w:t>
      </w:r>
    </w:p>
    <w:p w:rsidR="008F2673" w:rsidRPr="006E1718" w:rsidRDefault="008F2673" w:rsidP="008F2673">
      <w:pPr>
        <w:pStyle w:val="CommentText"/>
        <w:rPr>
          <w:sz w:val="24"/>
          <w:szCs w:val="24"/>
        </w:rPr>
      </w:pPr>
    </w:p>
    <w:p w:rsidR="008F2673" w:rsidRPr="00DD2717" w:rsidRDefault="008F2673" w:rsidP="008F267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i/>
        </w:rPr>
      </w:pPr>
      <w:r w:rsidRPr="00DD2717">
        <w:rPr>
          <w:i/>
        </w:rPr>
        <w:t>Any use of periodic (less frequent than annual) data collection cycles to reduce burden</w:t>
      </w:r>
      <w:r w:rsidR="002B77C4">
        <w:rPr>
          <w:i/>
        </w:rPr>
        <w:t>?</w:t>
      </w:r>
    </w:p>
    <w:p w:rsidR="008F2673" w:rsidRPr="006E1718" w:rsidRDefault="008F2673" w:rsidP="008F2673">
      <w:pPr>
        <w:pStyle w:val="CommentText"/>
        <w:rPr>
          <w:sz w:val="24"/>
          <w:szCs w:val="24"/>
        </w:rPr>
      </w:pPr>
      <w:r w:rsidRPr="006E1718">
        <w:rPr>
          <w:sz w:val="24"/>
          <w:szCs w:val="24"/>
        </w:rPr>
        <w:t>Use of per</w:t>
      </w:r>
      <w:r w:rsidR="006F157F">
        <w:rPr>
          <w:sz w:val="24"/>
          <w:szCs w:val="24"/>
        </w:rPr>
        <w:t>iodic</w:t>
      </w:r>
      <w:r w:rsidR="006F157F" w:rsidRPr="006F157F">
        <w:rPr>
          <w:sz w:val="24"/>
          <w:szCs w:val="24"/>
        </w:rPr>
        <w:t xml:space="preserve"> </w:t>
      </w:r>
      <w:r w:rsidR="006F157F" w:rsidRPr="006E1718">
        <w:rPr>
          <w:sz w:val="24"/>
          <w:szCs w:val="24"/>
        </w:rPr>
        <w:t>data collection</w:t>
      </w:r>
      <w:r w:rsidR="008422B8">
        <w:rPr>
          <w:sz w:val="24"/>
          <w:szCs w:val="24"/>
        </w:rPr>
        <w:t xml:space="preserve"> cycles</w:t>
      </w:r>
      <w:r w:rsidR="006F157F">
        <w:rPr>
          <w:sz w:val="24"/>
          <w:szCs w:val="24"/>
        </w:rPr>
        <w:t xml:space="preserve">, e.g. </w:t>
      </w:r>
      <w:r w:rsidR="003177CF">
        <w:rPr>
          <w:sz w:val="24"/>
          <w:szCs w:val="24"/>
        </w:rPr>
        <w:t>once over t</w:t>
      </w:r>
      <w:r w:rsidR="00673365">
        <w:rPr>
          <w:sz w:val="24"/>
          <w:szCs w:val="24"/>
        </w:rPr>
        <w:t>he approval term of the generic</w:t>
      </w:r>
      <w:r w:rsidR="003177CF">
        <w:rPr>
          <w:sz w:val="24"/>
          <w:szCs w:val="24"/>
        </w:rPr>
        <w:t>,</w:t>
      </w:r>
      <w:r w:rsidR="008422B8">
        <w:rPr>
          <w:sz w:val="24"/>
          <w:szCs w:val="24"/>
        </w:rPr>
        <w:t xml:space="preserve"> for specific target sub-populations (e.g., </w:t>
      </w:r>
      <w:r w:rsidR="00673365">
        <w:rPr>
          <w:sz w:val="24"/>
          <w:szCs w:val="24"/>
        </w:rPr>
        <w:t>Mexican-born</w:t>
      </w:r>
      <w:r w:rsidR="008422B8">
        <w:rPr>
          <w:sz w:val="24"/>
          <w:szCs w:val="24"/>
        </w:rPr>
        <w:t>) and geographic location</w:t>
      </w:r>
      <w:r w:rsidR="00193D58">
        <w:rPr>
          <w:sz w:val="24"/>
          <w:szCs w:val="24"/>
        </w:rPr>
        <w:t>s</w:t>
      </w:r>
      <w:r w:rsidR="008422B8">
        <w:rPr>
          <w:sz w:val="24"/>
          <w:szCs w:val="24"/>
        </w:rPr>
        <w:t xml:space="preserve"> </w:t>
      </w:r>
      <w:r>
        <w:rPr>
          <w:sz w:val="24"/>
          <w:szCs w:val="24"/>
        </w:rPr>
        <w:t>is likely for most information</w:t>
      </w:r>
      <w:r w:rsidRPr="006E1718">
        <w:rPr>
          <w:sz w:val="24"/>
          <w:szCs w:val="24"/>
        </w:rPr>
        <w:t xml:space="preserve"> collection</w:t>
      </w:r>
      <w:r>
        <w:rPr>
          <w:sz w:val="24"/>
          <w:szCs w:val="24"/>
        </w:rPr>
        <w:t>s</w:t>
      </w:r>
      <w:r w:rsidRPr="006E1718">
        <w:rPr>
          <w:sz w:val="24"/>
          <w:szCs w:val="24"/>
        </w:rPr>
        <w:t xml:space="preserve"> as part of this generic clearance. </w:t>
      </w:r>
      <w:r w:rsidR="00673365">
        <w:rPr>
          <w:sz w:val="24"/>
          <w:szCs w:val="24"/>
        </w:rPr>
        <w:t>The p</w:t>
      </w:r>
      <w:r w:rsidRPr="006E1718">
        <w:rPr>
          <w:sz w:val="24"/>
          <w:szCs w:val="24"/>
        </w:rPr>
        <w:t>eriodic</w:t>
      </w:r>
      <w:r w:rsidR="00673365">
        <w:rPr>
          <w:sz w:val="24"/>
          <w:szCs w:val="24"/>
        </w:rPr>
        <w:t>ity of</w:t>
      </w:r>
      <w:r w:rsidRPr="006E1718">
        <w:rPr>
          <w:sz w:val="24"/>
          <w:szCs w:val="24"/>
        </w:rPr>
        <w:t xml:space="preserve"> data collection will be </w:t>
      </w:r>
      <w:r>
        <w:rPr>
          <w:sz w:val="24"/>
          <w:szCs w:val="24"/>
        </w:rPr>
        <w:t xml:space="preserve">described in each proposed project. Justification and description for more frequent data collection will be provided if it applies to the proposed project. </w:t>
      </w:r>
      <w:r w:rsidR="006F157F">
        <w:rPr>
          <w:sz w:val="24"/>
          <w:szCs w:val="24"/>
        </w:rPr>
        <w:t xml:space="preserve"> </w:t>
      </w:r>
    </w:p>
    <w:p w:rsidR="008F2673" w:rsidRDefault="008F2673" w:rsidP="008F2673">
      <w:pPr>
        <w:outlineLvl w:val="0"/>
        <w:rPr>
          <w:b/>
          <w:bCs/>
          <w:iCs/>
          <w:color w:val="000000"/>
        </w:rPr>
      </w:pPr>
    </w:p>
    <w:p w:rsidR="008F2673" w:rsidRDefault="008F2673" w:rsidP="008F2673">
      <w:pPr>
        <w:outlineLvl w:val="0"/>
        <w:rPr>
          <w:b/>
          <w:bCs/>
          <w:iCs/>
          <w:color w:val="000000"/>
        </w:rPr>
      </w:pPr>
    </w:p>
    <w:p w:rsidR="008F2673" w:rsidRPr="00C16160" w:rsidRDefault="008F2673" w:rsidP="008F2673">
      <w:pPr>
        <w:outlineLvl w:val="0"/>
        <w:rPr>
          <w:b/>
          <w:bCs/>
          <w:iCs/>
          <w:color w:val="000000"/>
        </w:rPr>
      </w:pPr>
      <w:bookmarkStart w:id="3" w:name="_Toc296520123"/>
      <w:r w:rsidRPr="00C16160">
        <w:rPr>
          <w:b/>
          <w:bCs/>
          <w:iCs/>
          <w:color w:val="000000"/>
        </w:rPr>
        <w:t>B.3. Methods to Maximize Response Rates and Deal with Non-response</w:t>
      </w:r>
      <w:bookmarkEnd w:id="3"/>
    </w:p>
    <w:p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 xml:space="preserve">The following are the examples of the procedures that have proven effective in previous studies and will be used when possible to </w:t>
      </w:r>
      <w:r>
        <w:t xml:space="preserve">obtain </w:t>
      </w:r>
      <w:r w:rsidR="00AD3C5A">
        <w:t xml:space="preserve">an adequate </w:t>
      </w:r>
      <w:r w:rsidR="00F13209">
        <w:t>participation</w:t>
      </w:r>
      <w:r w:rsidRPr="006E1718">
        <w:t>:</w:t>
      </w:r>
    </w:p>
    <w:p w:rsidR="008F2673" w:rsidRPr="006E171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Informing respondents of what the project is asking, why it is being asked, who will see the results, and how the results will be used, as well as discussing how respondents will benefit from the results and how the findings will be put into action</w:t>
      </w:r>
      <w:r>
        <w:t xml:space="preserve"> (Attachment </w:t>
      </w:r>
      <w:r w:rsidR="00082876">
        <w:t>H</w:t>
      </w:r>
      <w:bookmarkStart w:id="4" w:name="_GoBack"/>
      <w:bookmarkEnd w:id="4"/>
      <w:r>
        <w:t>)</w:t>
      </w:r>
      <w:r w:rsidRPr="002306F6">
        <w:t>.</w:t>
      </w:r>
    </w:p>
    <w:p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Using bilingual and bicultural interviewers and culturally and linguistically appropriate data collection instruments.</w:t>
      </w:r>
    </w:p>
    <w:p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 xml:space="preserve">A token of appreciation for a respondent’s time and interest </w:t>
      </w:r>
      <w:r>
        <w:t>will</w:t>
      </w:r>
      <w:r w:rsidRPr="002306F6">
        <w:t xml:space="preserve"> be given to participants</w:t>
      </w:r>
      <w:r>
        <w:t xml:space="preserve"> through the community based organizations in the form of </w:t>
      </w:r>
      <w:r w:rsidR="00F13209">
        <w:t xml:space="preserve">a transportation or food token, child care assistance and/or </w:t>
      </w:r>
      <w:r>
        <w:t>a gift card</w:t>
      </w:r>
      <w:r w:rsidRPr="002306F6">
        <w:t>.</w:t>
      </w:r>
    </w:p>
    <w:p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 xml:space="preserve">Addressing data security and </w:t>
      </w:r>
      <w:r>
        <w:t>confidentiality</w:t>
      </w:r>
      <w:r w:rsidRPr="002306F6">
        <w:t xml:space="preserve"> with respondents</w:t>
      </w:r>
      <w:r>
        <w:t>,</w:t>
      </w:r>
      <w:r w:rsidRPr="002306F6">
        <w:t xml:space="preserve"> </w:t>
      </w:r>
      <w:r>
        <w:t>s</w:t>
      </w:r>
      <w:r w:rsidRPr="002306F6">
        <w:t>ince respondents who know their answers will not be linked to them in any way will be more likely to respond and more likely to provide truthful responses</w:t>
      </w:r>
    </w:p>
    <w:p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 xml:space="preserve">Minimizing the time needed for participation in the project. </w:t>
      </w:r>
    </w:p>
    <w:p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lastRenderedPageBreak/>
        <w:t>Informing respondents how much time the project will take so that they know what to expect.</w:t>
      </w:r>
    </w:p>
    <w:p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Utilizing deadlines, and follow-up</w:t>
      </w:r>
      <w:r w:rsidR="00272D26">
        <w:t xml:space="preserve"> calls or emails</w:t>
      </w:r>
      <w:r w:rsidRPr="002306F6">
        <w:t xml:space="preserve"> to remind respondents</w:t>
      </w:r>
      <w:r>
        <w:t xml:space="preserve"> about the focus groups</w:t>
      </w:r>
      <w:r w:rsidRPr="002306F6">
        <w:t xml:space="preserve"> and encourage participation.</w:t>
      </w:r>
    </w:p>
    <w:p w:rsidR="006D1647" w:rsidRPr="002306F6" w:rsidRDefault="006D1647" w:rsidP="006D1647">
      <w:pPr>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after="120"/>
        <w:textAlignment w:val="baseline"/>
      </w:pPr>
      <w:r w:rsidRPr="002306F6">
        <w:t>Potential respondents will be informed about the importance of th</w:t>
      </w:r>
      <w:r>
        <w:t>is</w:t>
      </w:r>
      <w:r w:rsidRPr="002306F6">
        <w:t xml:space="preserve"> project </w:t>
      </w:r>
    </w:p>
    <w:p w:rsidR="008F2673"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Collaborating to collect information with community-based, faith-based, and cultural organizations that serve the target populations.</w:t>
      </w:r>
    </w:p>
    <w:p w:rsidR="008F2673" w:rsidRPr="006E1718"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 xml:space="preserve">Obtaining support for information collections from trusted community leaders </w:t>
      </w:r>
      <w:r w:rsidR="00324AE0">
        <w:rPr>
          <w:rFonts w:ascii="Times New Roman" w:hAnsi="Times New Roman"/>
        </w:rPr>
        <w:t xml:space="preserve">ad gatekeepers in </w:t>
      </w:r>
      <w:r>
        <w:rPr>
          <w:rFonts w:ascii="Times New Roman" w:hAnsi="Times New Roman"/>
        </w:rPr>
        <w:t>the target populations.</w:t>
      </w:r>
    </w:p>
    <w:p w:rsidR="008F2673" w:rsidRDefault="008F2673" w:rsidP="008F2673">
      <w:pPr>
        <w:outlineLvl w:val="0"/>
        <w:rPr>
          <w:b/>
          <w:bCs/>
          <w:iCs/>
          <w:color w:val="000000"/>
        </w:rPr>
      </w:pPr>
    </w:p>
    <w:p w:rsidR="00193D58" w:rsidRDefault="00193D58" w:rsidP="008F2673">
      <w:pPr>
        <w:outlineLvl w:val="0"/>
        <w:rPr>
          <w:b/>
          <w:bCs/>
          <w:iCs/>
          <w:color w:val="000000"/>
        </w:rPr>
      </w:pPr>
    </w:p>
    <w:p w:rsidR="008F2673" w:rsidRDefault="008F2673" w:rsidP="008F2673">
      <w:pPr>
        <w:outlineLvl w:val="0"/>
        <w:rPr>
          <w:b/>
          <w:bCs/>
          <w:iCs/>
          <w:color w:val="000000"/>
        </w:rPr>
      </w:pPr>
      <w:bookmarkStart w:id="5" w:name="_Toc296520124"/>
      <w:r w:rsidRPr="00C16160">
        <w:rPr>
          <w:b/>
          <w:bCs/>
          <w:iCs/>
          <w:color w:val="000000"/>
        </w:rPr>
        <w:t>B.4. Test of Procedures or Methods to be Undertaken</w:t>
      </w:r>
      <w:bookmarkEnd w:id="5"/>
    </w:p>
    <w:p w:rsidR="008F2673" w:rsidRDefault="008F2673" w:rsidP="008F2673">
      <w:pPr>
        <w:outlineLvl w:val="0"/>
        <w:rPr>
          <w:bCs/>
          <w:iCs/>
          <w:color w:val="000000"/>
        </w:rPr>
      </w:pPr>
    </w:p>
    <w:p w:rsidR="00534DEC" w:rsidRDefault="008F2673" w:rsidP="00534DE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t>DGMQ will implement strategies</w:t>
      </w:r>
      <w:r w:rsidR="003B757F">
        <w:t>, e.g.</w:t>
      </w:r>
      <w:r w:rsidR="00534DEC">
        <w:t xml:space="preserve"> use of validated instruments and</w:t>
      </w:r>
      <w:r w:rsidR="003B757F">
        <w:t xml:space="preserve"> pilot testing</w:t>
      </w:r>
      <w:r w:rsidR="00534DEC">
        <w:t>,</w:t>
      </w:r>
      <w:r>
        <w:t xml:space="preserve"> to ensure that all information collection instruments and tools are linguistically and culturally appropriate for the populations targeted in each proposed project. </w:t>
      </w:r>
      <w:r w:rsidR="00534DEC">
        <w:t xml:space="preserve">The importance of utilizing culturally and linguistically appropriate instruments and procedures is well-documented and is an important aspect of designing and implementing DGMQ’s activities and programs </w:t>
      </w:r>
      <w:r w:rsidR="00A505AD">
        <w:fldChar w:fldCharType="begin">
          <w:fldData xml:space="preserve">PEVuZE5vdGU+PENpdGU+PEF1dGhvcj5PZ2lsdmllPC9BdXRob3I+PFllYXI+MjAwODwvWWVhcj48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</w:fldData>
        </w:fldChar>
      </w:r>
      <w:r w:rsidR="00534DEC">
        <w:instrText xml:space="preserve"> ADDIN EN.CITE </w:instrText>
      </w:r>
      <w:r w:rsidR="00A505AD">
        <w:fldChar w:fldCharType="begin">
          <w:fldData xml:space="preserve">PEVuZE5vdGU+PENpdGU+PEF1dGhvcj5PZ2lsdmllPC9BdXRob3I+PFllYXI+MjAwODwvWWVhcj48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</w:fldData>
        </w:fldChar>
      </w:r>
      <w:r w:rsidR="00534DEC">
        <w:instrText xml:space="preserve"> ADDIN EN.CITE.DATA </w:instrText>
      </w:r>
      <w:r w:rsidR="00A505AD">
        <w:fldChar w:fldCharType="end"/>
      </w:r>
      <w:r w:rsidR="00A505AD">
        <w:fldChar w:fldCharType="separate"/>
      </w:r>
      <w:r w:rsidR="00534DEC">
        <w:rPr>
          <w:noProof/>
        </w:rPr>
        <w:t>[</w:t>
      </w:r>
      <w:hyperlink w:anchor="_ENREF_1" w:tooltip="Ogilvie, 2008 #171" w:history="1">
        <w:r w:rsidR="00AA68F1">
          <w:rPr>
            <w:noProof/>
          </w:rPr>
          <w:t>2</w:t>
        </w:r>
        <w:r w:rsidR="00534DEC">
          <w:rPr>
            <w:noProof/>
          </w:rPr>
          <w:t>-</w:t>
        </w:r>
      </w:hyperlink>
      <w:r w:rsidR="00AA68F1">
        <w:rPr>
          <w:noProof/>
        </w:rPr>
        <w:t>6</w:t>
      </w:r>
      <w:r w:rsidR="00534DEC">
        <w:rPr>
          <w:noProof/>
        </w:rPr>
        <w:t>]</w:t>
      </w:r>
      <w:r w:rsidR="00A505AD">
        <w:fldChar w:fldCharType="end"/>
      </w:r>
      <w:r w:rsidR="00534DEC">
        <w:t xml:space="preserve">. </w:t>
      </w:r>
    </w:p>
    <w:p w:rsidR="00534DEC" w:rsidRDefault="00534DEC" w:rsidP="00534DE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r>
        <w:t>The use of previously validated focus group guides and information collection instruments will be encouraged, as appropriate. If previously validated instruments are not available or appropriate for a proposed project, then the instruments and</w:t>
      </w:r>
      <w:r w:rsidRPr="006E1718">
        <w:t xml:space="preserve"> method</w:t>
      </w:r>
      <w:r>
        <w:t>s</w:t>
      </w:r>
      <w:r w:rsidRPr="006E1718">
        <w:t xml:space="preserve"> of data collection</w:t>
      </w:r>
      <w:r>
        <w:t xml:space="preserve"> will be piloted </w:t>
      </w:r>
      <w:r w:rsidRPr="00B81B05">
        <w:rPr>
          <w:bCs/>
          <w:iCs/>
        </w:rPr>
        <w:t>with less than nine people before focus groups are conducted to ensure its appropriateness</w:t>
      </w:r>
      <w:r>
        <w:rPr>
          <w:bCs/>
          <w:iCs/>
        </w:rPr>
        <w:t xml:space="preserve"> in generating the desired data</w:t>
      </w:r>
      <w:r>
        <w:t xml:space="preserve">. </w:t>
      </w:r>
      <w:r w:rsidRPr="00B81B05">
        <w:rPr>
          <w:bCs/>
          <w:iCs/>
        </w:rPr>
        <w:t>If needed, minimal changes will be made to the guides. However, if significant changes are needed, OMB will be notified</w:t>
      </w:r>
      <w:r>
        <w:rPr>
          <w:bCs/>
          <w:iCs/>
        </w:rPr>
        <w:t xml:space="preserve"> before data collection begins. </w:t>
      </w:r>
    </w:p>
    <w:p w:rsidR="00A95733" w:rsidRDefault="00A95733" w:rsidP="008F2673">
      <w:pPr>
        <w:ind w:left="720"/>
      </w:pPr>
    </w:p>
    <w:p w:rsidR="008F2673" w:rsidRPr="006E1718" w:rsidRDefault="008F2673" w:rsidP="00177216"/>
    <w:p w:rsidR="008F2673" w:rsidRPr="00C16160" w:rsidRDefault="008F2673" w:rsidP="008F2673">
      <w:pPr>
        <w:outlineLvl w:val="0"/>
        <w:rPr>
          <w:b/>
          <w:bCs/>
          <w:iCs/>
          <w:color w:val="000000"/>
        </w:rPr>
      </w:pPr>
      <w:bookmarkStart w:id="6" w:name="_Toc296520125"/>
      <w:r w:rsidRPr="00C16160">
        <w:rPr>
          <w:b/>
          <w:bCs/>
          <w:iCs/>
          <w:color w:val="000000"/>
        </w:rPr>
        <w:t>B.5. Individuals Consulted on Statistical Aspects and Individuals Collecting and/or Analyzing Data</w:t>
      </w:r>
      <w:bookmarkEnd w:id="6"/>
    </w:p>
    <w:p w:rsidR="008F2673" w:rsidRPr="006E171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E1718">
        <w:t>The foll</w:t>
      </w:r>
      <w:r>
        <w:t>owing individuals,</w:t>
      </w:r>
      <w:r w:rsidRPr="006E1718">
        <w:t xml:space="preserve"> including contractors, who may be chosen to pre-test</w:t>
      </w:r>
      <w:r w:rsidR="00D9578A">
        <w:t xml:space="preserve"> [review?]</w:t>
      </w:r>
      <w:r w:rsidRPr="006E1718">
        <w:t xml:space="preserve"> </w:t>
      </w:r>
      <w:r>
        <w:t xml:space="preserve">information collection instruments and tools </w:t>
      </w:r>
      <w:r w:rsidRPr="006E1718">
        <w:t>and conduct information collections, will be available to provide advice about the design of statistical and sampling procedures undertaken as part of these data collection activities:</w:t>
      </w:r>
    </w:p>
    <w:p w:rsidR="008F2673" w:rsidRPr="006E1718"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Clive Brown, MBBS, Associate Director for Science, Division of Global Migration and Quarantine</w:t>
      </w:r>
    </w:p>
    <w:p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Nicole Cohen, MD, Associate Chief for Science, Quarantine and Border Health Services Branch</w:t>
      </w:r>
      <w:r>
        <w:rPr>
          <w:rFonts w:ascii="Times New Roman" w:hAnsi="Times New Roman"/>
        </w:rPr>
        <w:t>, Division of Global Migration and Quarantine</w:t>
      </w:r>
    </w:p>
    <w:p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Christine Prue, PhD, Health Communication Specialist</w:t>
      </w:r>
      <w:r>
        <w:rPr>
          <w:rFonts w:ascii="Times New Roman" w:hAnsi="Times New Roman"/>
        </w:rPr>
        <w:t>, Office of the Director, National Center for Emerging and Zoonotic Infectious Diseases</w:t>
      </w:r>
    </w:p>
    <w:p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lastRenderedPageBreak/>
        <w:t>Margaret Coleman, PhD, Economist</w:t>
      </w:r>
      <w:r>
        <w:rPr>
          <w:rFonts w:ascii="Times New Roman" w:hAnsi="Times New Roman"/>
        </w:rPr>
        <w:t>, Office of the Director, Division of Global Migration and Quarantine</w:t>
      </w:r>
    </w:p>
    <w:p w:rsidR="008F2673"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sidRPr="00721DCC">
        <w:rPr>
          <w:rFonts w:ascii="Times New Roman" w:hAnsi="Times New Roman"/>
        </w:rPr>
        <w:t>Jianrong Shi, Statistician</w:t>
      </w:r>
      <w:r>
        <w:rPr>
          <w:rFonts w:ascii="Times New Roman" w:hAnsi="Times New Roman"/>
        </w:rPr>
        <w:t>, Office of the Director, Division of Global Migration and Quarantine</w:t>
      </w:r>
    </w:p>
    <w:p w:rsidR="008F2673"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Mark Sotir, PhD, MPH, Lead, Surveillance and Epidemiology Team, Traveler’s Health Branch, Division of Global Migration and Quarantine</w:t>
      </w:r>
    </w:p>
    <w:p w:rsidR="008F2673" w:rsidRPr="00721DCC" w:rsidRDefault="008F2673" w:rsidP="008F2673">
      <w:pPr>
        <w:pStyle w:val="Level1"/>
        <w:widowControl w:val="0"/>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spacing w:before="120" w:after="120"/>
        <w:textAlignment w:val="baseline"/>
        <w:rPr>
          <w:rFonts w:ascii="Times New Roman" w:hAnsi="Times New Roman"/>
        </w:rPr>
      </w:pPr>
      <w:r>
        <w:rPr>
          <w:rFonts w:ascii="Times New Roman" w:hAnsi="Times New Roman"/>
        </w:rPr>
        <w:t>Hongjiang Gao, PhD, Statistician, Office of the Director, Division of Global Migration and Quarantine</w:t>
      </w:r>
    </w:p>
    <w:p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673" w:rsidRDefault="008F2673" w:rsidP="008F2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DGMQ</w:t>
      </w:r>
      <w:r w:rsidRPr="006E1718">
        <w:t xml:space="preserve"> will determine if additional consultation is required and will report any consultants, as well as any individuals collecting and/or analyzing the data</w:t>
      </w:r>
      <w:r>
        <w:t xml:space="preserve"> in the individual packages.</w:t>
      </w:r>
    </w:p>
    <w:p w:rsidR="008F2673" w:rsidRPr="006D325F" w:rsidRDefault="008F2673" w:rsidP="008F2673">
      <w:pPr>
        <w:outlineLvl w:val="0"/>
        <w:rPr>
          <w:b/>
          <w:bCs/>
          <w:iCs/>
          <w:color w:val="000000"/>
        </w:rPr>
      </w:pPr>
      <w:r w:rsidRPr="006E1718">
        <w:rPr>
          <w:color w:val="000000"/>
        </w:rPr>
        <w:br w:type="page"/>
      </w:r>
      <w:bookmarkStart w:id="7" w:name="_Toc296520126"/>
      <w:r>
        <w:rPr>
          <w:b/>
          <w:bCs/>
          <w:iCs/>
          <w:color w:val="000000"/>
        </w:rPr>
        <w:lastRenderedPageBreak/>
        <w:t>REFERENCES</w:t>
      </w:r>
      <w:bookmarkEnd w:id="7"/>
    </w:p>
    <w:p w:rsidR="008F2673" w:rsidRDefault="008F2673" w:rsidP="008F2673">
      <w:pPr>
        <w:spacing w:after="200"/>
        <w:rPr>
          <w:color w:val="000000"/>
        </w:rPr>
      </w:pPr>
    </w:p>
    <w:p w:rsidR="00AA68F1" w:rsidRPr="00AA68F1" w:rsidRDefault="00A505AD" w:rsidP="00AA68F1">
      <w:pPr>
        <w:pStyle w:val="Heading1"/>
        <w:ind w:left="720" w:hanging="720"/>
        <w:rPr>
          <w:b w:val="0"/>
        </w:rPr>
      </w:pPr>
      <w:r>
        <w:fldChar w:fldCharType="begin"/>
      </w:r>
      <w:r w:rsidR="008F2673">
        <w:instrText xml:space="preserve"> ADDIN EN.REFLIST </w:instrText>
      </w:r>
      <w:r>
        <w:fldChar w:fldCharType="separate"/>
      </w:r>
      <w:bookmarkStart w:id="8" w:name="_ENREF_1"/>
      <w:r w:rsidR="008F2673">
        <w:rPr>
          <w:noProof/>
        </w:rPr>
        <w:t>1.</w:t>
      </w:r>
      <w:r w:rsidR="008F2673">
        <w:rPr>
          <w:noProof/>
        </w:rPr>
        <w:tab/>
      </w:r>
      <w:r w:rsidR="00AA68F1">
        <w:rPr>
          <w:b w:val="0"/>
        </w:rPr>
        <w:t>US Census Bureau, 2011</w:t>
      </w:r>
      <w:r w:rsidR="00AA68F1" w:rsidRPr="0087527E">
        <w:rPr>
          <w:b w:val="0"/>
        </w:rPr>
        <w:t xml:space="preserve">. American Community Survey, </w:t>
      </w:r>
      <w:r w:rsidR="00AA68F1">
        <w:rPr>
          <w:b w:val="0"/>
        </w:rPr>
        <w:t xml:space="preserve">Selected population profile in the United States.  </w:t>
      </w:r>
      <w:hyperlink r:id="rId8" w:history="1">
        <w:r w:rsidR="00AA68F1" w:rsidRPr="00AA68F1">
          <w:rPr>
            <w:rStyle w:val="Hyperlink"/>
            <w:b w:val="0"/>
          </w:rPr>
          <w:t>http://factfinder2.census.gov/faces/tableservices/jsf/pages/productview.xhtml?pid=ACS_11_1YR_S0201&amp;prodType=table</w:t>
        </w:r>
      </w:hyperlink>
      <w:r w:rsidR="00AA68F1" w:rsidRPr="00AA68F1">
        <w:rPr>
          <w:b w:val="0"/>
        </w:rPr>
        <w:t xml:space="preserve"> (Retrieved 28 June 2013).</w:t>
      </w:r>
    </w:p>
    <w:p w:rsidR="008F2673" w:rsidRPr="00AA68F1" w:rsidRDefault="00AA68F1" w:rsidP="00AA68F1">
      <w:pPr>
        <w:pStyle w:val="Heading1"/>
        <w:ind w:left="720" w:hanging="720"/>
        <w:rPr>
          <w:b w:val="0"/>
          <w:noProof/>
        </w:rPr>
      </w:pPr>
      <w:r w:rsidRPr="00AA68F1">
        <w:rPr>
          <w:b w:val="0"/>
        </w:rPr>
        <w:t xml:space="preserve">2.         </w:t>
      </w:r>
      <w:r w:rsidR="008F2673" w:rsidRPr="00AA68F1">
        <w:rPr>
          <w:b w:val="0"/>
          <w:noProof/>
        </w:rPr>
        <w:t xml:space="preserve">Ogilvie, L.D., E. Burgess-Pinto, and C. Caufield, </w:t>
      </w:r>
      <w:r w:rsidR="008F2673" w:rsidRPr="00AA68F1">
        <w:rPr>
          <w:b w:val="0"/>
          <w:i/>
          <w:noProof/>
        </w:rPr>
        <w:t>Challenges and Approaches to Newcomer Health Research.</w:t>
      </w:r>
      <w:r w:rsidR="008F2673" w:rsidRPr="00AA68F1">
        <w:rPr>
          <w:b w:val="0"/>
          <w:noProof/>
        </w:rPr>
        <w:t xml:space="preserve"> Journal of Transcultural Nursing, 2008. 19(1): p. 64-73.</w:t>
      </w:r>
      <w:bookmarkEnd w:id="8"/>
    </w:p>
    <w:p w:rsidR="008F2673" w:rsidRDefault="00AA68F1" w:rsidP="008F2673">
      <w:pPr>
        <w:ind w:left="720" w:hanging="720"/>
        <w:rPr>
          <w:noProof/>
        </w:rPr>
      </w:pPr>
      <w:bookmarkStart w:id="9" w:name="_ENREF_2"/>
      <w:r>
        <w:rPr>
          <w:noProof/>
        </w:rPr>
        <w:t>3</w:t>
      </w:r>
      <w:r w:rsidR="008F2673">
        <w:rPr>
          <w:noProof/>
        </w:rPr>
        <w:t>.</w:t>
      </w:r>
      <w:r w:rsidR="008F2673">
        <w:rPr>
          <w:noProof/>
        </w:rPr>
        <w:tab/>
        <w:t xml:space="preserve">Merry, L., et al., </w:t>
      </w:r>
      <w:r w:rsidR="008F2673" w:rsidRPr="0061004B">
        <w:rPr>
          <w:i/>
          <w:noProof/>
        </w:rPr>
        <w:t>Cross-border movement and women's health: how to capture the data.</w:t>
      </w:r>
      <w:r w:rsidR="008F2673">
        <w:rPr>
          <w:noProof/>
        </w:rPr>
        <w:t xml:space="preserve"> International Journal for Equity in Health, 2011. </w:t>
      </w:r>
      <w:r w:rsidR="008F2673" w:rsidRPr="0061004B">
        <w:rPr>
          <w:b/>
          <w:noProof/>
        </w:rPr>
        <w:t>10</w:t>
      </w:r>
      <w:r w:rsidR="008F2673">
        <w:rPr>
          <w:noProof/>
        </w:rPr>
        <w:t>(1): p. 56.</w:t>
      </w:r>
      <w:bookmarkEnd w:id="9"/>
    </w:p>
    <w:p w:rsidR="008F2673" w:rsidRDefault="00AA68F1" w:rsidP="008F2673">
      <w:pPr>
        <w:ind w:left="720" w:hanging="720"/>
        <w:rPr>
          <w:noProof/>
        </w:rPr>
      </w:pPr>
      <w:bookmarkStart w:id="10" w:name="_ENREF_3"/>
      <w:r>
        <w:rPr>
          <w:noProof/>
        </w:rPr>
        <w:t>4</w:t>
      </w:r>
      <w:r w:rsidR="008F2673">
        <w:rPr>
          <w:noProof/>
        </w:rPr>
        <w:t>.</w:t>
      </w:r>
      <w:r w:rsidR="008F2673">
        <w:rPr>
          <w:noProof/>
        </w:rPr>
        <w:tab/>
        <w:t xml:space="preserve">Hendrickson, S.G., </w:t>
      </w:r>
      <w:r w:rsidR="008F2673" w:rsidRPr="0061004B">
        <w:rPr>
          <w:i/>
          <w:noProof/>
        </w:rPr>
        <w:t>Beyond Translation... Cultural Fit.</w:t>
      </w:r>
      <w:r w:rsidR="008F2673">
        <w:rPr>
          <w:noProof/>
        </w:rPr>
        <w:t xml:space="preserve"> Western Journal of Nursing Research, 2003. </w:t>
      </w:r>
      <w:r w:rsidR="008F2673" w:rsidRPr="0061004B">
        <w:rPr>
          <w:b/>
          <w:noProof/>
        </w:rPr>
        <w:t>25</w:t>
      </w:r>
      <w:r w:rsidR="008F2673">
        <w:rPr>
          <w:noProof/>
        </w:rPr>
        <w:t>(5): p. 593-608.</w:t>
      </w:r>
      <w:bookmarkEnd w:id="10"/>
    </w:p>
    <w:p w:rsidR="008F2673" w:rsidRDefault="00AA68F1" w:rsidP="008F2673">
      <w:pPr>
        <w:ind w:left="720" w:hanging="720"/>
        <w:rPr>
          <w:noProof/>
        </w:rPr>
      </w:pPr>
      <w:bookmarkStart w:id="11" w:name="_ENREF_4"/>
      <w:r>
        <w:rPr>
          <w:noProof/>
        </w:rPr>
        <w:t>5</w:t>
      </w:r>
      <w:r w:rsidR="008F2673">
        <w:rPr>
          <w:noProof/>
        </w:rPr>
        <w:t>.</w:t>
      </w:r>
      <w:r w:rsidR="008F2673">
        <w:rPr>
          <w:noProof/>
        </w:rPr>
        <w:tab/>
        <w:t xml:space="preserve">T. D'Alonzo, K., </w:t>
      </w:r>
      <w:r w:rsidR="008F2673" w:rsidRPr="0061004B">
        <w:rPr>
          <w:i/>
          <w:noProof/>
        </w:rPr>
        <w:t>Evaluation and revision of questionnaires for use among low-literacy immigrant Latinos.</w:t>
      </w:r>
      <w:r w:rsidR="008F2673">
        <w:rPr>
          <w:noProof/>
        </w:rPr>
        <w:t xml:space="preserve"> Revista Latino-Americana de Enfermagem, 2011. </w:t>
      </w:r>
      <w:r w:rsidR="008F2673" w:rsidRPr="0061004B">
        <w:rPr>
          <w:b/>
          <w:noProof/>
        </w:rPr>
        <w:t>19</w:t>
      </w:r>
      <w:r w:rsidR="008F2673">
        <w:rPr>
          <w:noProof/>
        </w:rPr>
        <w:t>: p. 1255-1264.</w:t>
      </w:r>
      <w:bookmarkEnd w:id="11"/>
    </w:p>
    <w:p w:rsidR="008F2673" w:rsidRDefault="00AA68F1" w:rsidP="008F2673">
      <w:pPr>
        <w:ind w:left="720" w:hanging="720"/>
        <w:rPr>
          <w:noProof/>
        </w:rPr>
      </w:pPr>
      <w:bookmarkStart w:id="12" w:name="_ENREF_5"/>
      <w:r>
        <w:rPr>
          <w:noProof/>
        </w:rPr>
        <w:t>6</w:t>
      </w:r>
      <w:r w:rsidR="008F2673">
        <w:rPr>
          <w:noProof/>
        </w:rPr>
        <w:t>.</w:t>
      </w:r>
      <w:r w:rsidR="008F2673">
        <w:rPr>
          <w:noProof/>
        </w:rPr>
        <w:tab/>
        <w:t xml:space="preserve">Kilanowski, J.F. and E.S. Trapl, </w:t>
      </w:r>
      <w:r w:rsidR="008F2673" w:rsidRPr="0061004B">
        <w:rPr>
          <w:i/>
          <w:noProof/>
        </w:rPr>
        <w:t>Evaluation of the use of audio-enhanced personal digital assistants to survey Latino migrant farmworkers.</w:t>
      </w:r>
      <w:r w:rsidR="008F2673">
        <w:rPr>
          <w:noProof/>
        </w:rPr>
        <w:t xml:space="preserve"> Research in Nursing &amp; Health, 2010. </w:t>
      </w:r>
      <w:r w:rsidR="008F2673" w:rsidRPr="0061004B">
        <w:rPr>
          <w:b/>
          <w:noProof/>
        </w:rPr>
        <w:t>33</w:t>
      </w:r>
      <w:r w:rsidR="008F2673">
        <w:rPr>
          <w:noProof/>
        </w:rPr>
        <w:t>(2): p. 156-163.</w:t>
      </w:r>
      <w:bookmarkEnd w:id="12"/>
    </w:p>
    <w:p w:rsidR="008F2673" w:rsidRDefault="008F2673" w:rsidP="008F2673">
      <w:pPr>
        <w:rPr>
          <w:noProof/>
        </w:rPr>
      </w:pPr>
    </w:p>
    <w:p w:rsidR="008F2673" w:rsidRPr="00CD3460" w:rsidRDefault="00A505AD" w:rsidP="008F2673">
      <w:pPr>
        <w:spacing w:after="200"/>
      </w:pPr>
      <w:r>
        <w:fldChar w:fldCharType="end"/>
      </w:r>
    </w:p>
    <w:p w:rsidR="008F23FC" w:rsidRDefault="008F23FC"/>
    <w:sectPr w:rsidR="008F23FC" w:rsidSect="00154F2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C2A" w:rsidRDefault="00BC6C2A" w:rsidP="00125CFA">
      <w:r>
        <w:separator/>
      </w:r>
    </w:p>
  </w:endnote>
  <w:endnote w:type="continuationSeparator" w:id="0">
    <w:p w:rsidR="00BC6C2A" w:rsidRDefault="00BC6C2A" w:rsidP="00125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10" w:rsidRDefault="000828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311969"/>
      <w:docPartObj>
        <w:docPartGallery w:val="Page Numbers (Bottom of Page)"/>
        <w:docPartUnique/>
      </w:docPartObj>
    </w:sdtPr>
    <w:sdtEndPr/>
    <w:sdtContent>
      <w:p w:rsidR="00C60110" w:rsidRDefault="00A505AD">
        <w:pPr>
          <w:pStyle w:val="Footer"/>
          <w:jc w:val="right"/>
        </w:pPr>
        <w:r>
          <w:fldChar w:fldCharType="begin"/>
        </w:r>
        <w:r w:rsidR="008F2673">
          <w:instrText xml:space="preserve"> PAGE   \* MERGEFORMAT </w:instrText>
        </w:r>
        <w:r>
          <w:fldChar w:fldCharType="separate"/>
        </w:r>
        <w:r w:rsidR="00082876">
          <w:rPr>
            <w:noProof/>
          </w:rPr>
          <w:t>4</w:t>
        </w:r>
        <w:r>
          <w:fldChar w:fldCharType="end"/>
        </w:r>
      </w:p>
    </w:sdtContent>
  </w:sdt>
  <w:p w:rsidR="00C60110" w:rsidRDefault="000828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10" w:rsidRDefault="000828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C2A" w:rsidRDefault="00BC6C2A" w:rsidP="00125CFA">
      <w:r>
        <w:separator/>
      </w:r>
    </w:p>
  </w:footnote>
  <w:footnote w:type="continuationSeparator" w:id="0">
    <w:p w:rsidR="00BC6C2A" w:rsidRDefault="00BC6C2A" w:rsidP="00125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10" w:rsidRDefault="000828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10" w:rsidRDefault="000828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110" w:rsidRDefault="000828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252C8"/>
    <w:multiLevelType w:val="hybridMultilevel"/>
    <w:tmpl w:val="4986E7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543626C"/>
    <w:multiLevelType w:val="hybridMultilevel"/>
    <w:tmpl w:val="4CCEE93A"/>
    <w:lvl w:ilvl="0" w:tplc="8EDCF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735F4A"/>
    <w:multiLevelType w:val="hybridMultilevel"/>
    <w:tmpl w:val="ED90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0B7FFD"/>
    <w:multiLevelType w:val="hybridMultilevel"/>
    <w:tmpl w:val="95D21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6A2116"/>
    <w:multiLevelType w:val="hybridMultilevel"/>
    <w:tmpl w:val="F6325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2C4E5D"/>
    <w:multiLevelType w:val="hybridMultilevel"/>
    <w:tmpl w:val="C4C2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673"/>
    <w:rsid w:val="00020741"/>
    <w:rsid w:val="00044078"/>
    <w:rsid w:val="00055877"/>
    <w:rsid w:val="00082876"/>
    <w:rsid w:val="000C192E"/>
    <w:rsid w:val="00113034"/>
    <w:rsid w:val="00114D5D"/>
    <w:rsid w:val="00125CFA"/>
    <w:rsid w:val="0017113E"/>
    <w:rsid w:val="00177216"/>
    <w:rsid w:val="00193D58"/>
    <w:rsid w:val="001D1118"/>
    <w:rsid w:val="001F642C"/>
    <w:rsid w:val="002014A1"/>
    <w:rsid w:val="00203B93"/>
    <w:rsid w:val="00236835"/>
    <w:rsid w:val="00264B98"/>
    <w:rsid w:val="00265E5E"/>
    <w:rsid w:val="00272D26"/>
    <w:rsid w:val="002816E1"/>
    <w:rsid w:val="002B77C4"/>
    <w:rsid w:val="002C744C"/>
    <w:rsid w:val="003177CF"/>
    <w:rsid w:val="00324AE0"/>
    <w:rsid w:val="003617ED"/>
    <w:rsid w:val="00365CAC"/>
    <w:rsid w:val="0037628E"/>
    <w:rsid w:val="00383E02"/>
    <w:rsid w:val="003B70E9"/>
    <w:rsid w:val="003B757F"/>
    <w:rsid w:val="003D1392"/>
    <w:rsid w:val="003D75CC"/>
    <w:rsid w:val="00406CA2"/>
    <w:rsid w:val="00412CF2"/>
    <w:rsid w:val="00436168"/>
    <w:rsid w:val="00437637"/>
    <w:rsid w:val="004B5BBE"/>
    <w:rsid w:val="004D7359"/>
    <w:rsid w:val="004D7BD5"/>
    <w:rsid w:val="004F6A65"/>
    <w:rsid w:val="005327EA"/>
    <w:rsid w:val="00534DEC"/>
    <w:rsid w:val="005558CF"/>
    <w:rsid w:val="00567279"/>
    <w:rsid w:val="005723C3"/>
    <w:rsid w:val="00582D80"/>
    <w:rsid w:val="005A07FD"/>
    <w:rsid w:val="005A14BB"/>
    <w:rsid w:val="005B1A1A"/>
    <w:rsid w:val="005C1DA9"/>
    <w:rsid w:val="005D26A7"/>
    <w:rsid w:val="00601A23"/>
    <w:rsid w:val="00637C99"/>
    <w:rsid w:val="0064552E"/>
    <w:rsid w:val="00661191"/>
    <w:rsid w:val="00672C55"/>
    <w:rsid w:val="00673365"/>
    <w:rsid w:val="00686890"/>
    <w:rsid w:val="00692A67"/>
    <w:rsid w:val="0069579C"/>
    <w:rsid w:val="006B3FDC"/>
    <w:rsid w:val="006C2AE2"/>
    <w:rsid w:val="006D1647"/>
    <w:rsid w:val="006F047E"/>
    <w:rsid w:val="006F157F"/>
    <w:rsid w:val="00734185"/>
    <w:rsid w:val="007345F9"/>
    <w:rsid w:val="00735132"/>
    <w:rsid w:val="007513AE"/>
    <w:rsid w:val="007B3B24"/>
    <w:rsid w:val="007B591E"/>
    <w:rsid w:val="007B78C2"/>
    <w:rsid w:val="007C5366"/>
    <w:rsid w:val="007D7726"/>
    <w:rsid w:val="008422B8"/>
    <w:rsid w:val="0085015F"/>
    <w:rsid w:val="00854951"/>
    <w:rsid w:val="008566D5"/>
    <w:rsid w:val="00872DB2"/>
    <w:rsid w:val="0087363D"/>
    <w:rsid w:val="008853CC"/>
    <w:rsid w:val="008C0C2A"/>
    <w:rsid w:val="008D4E36"/>
    <w:rsid w:val="008E472B"/>
    <w:rsid w:val="008F1E36"/>
    <w:rsid w:val="008F23FC"/>
    <w:rsid w:val="008F2673"/>
    <w:rsid w:val="008F5A4F"/>
    <w:rsid w:val="00902FCA"/>
    <w:rsid w:val="00904B94"/>
    <w:rsid w:val="0090709B"/>
    <w:rsid w:val="00917D58"/>
    <w:rsid w:val="00934612"/>
    <w:rsid w:val="00935991"/>
    <w:rsid w:val="00961CBA"/>
    <w:rsid w:val="00962104"/>
    <w:rsid w:val="00965BA6"/>
    <w:rsid w:val="00977C00"/>
    <w:rsid w:val="00985321"/>
    <w:rsid w:val="009903BB"/>
    <w:rsid w:val="00990B11"/>
    <w:rsid w:val="009B63AB"/>
    <w:rsid w:val="009D396F"/>
    <w:rsid w:val="009D6BDE"/>
    <w:rsid w:val="009F36A3"/>
    <w:rsid w:val="00A505AD"/>
    <w:rsid w:val="00A95733"/>
    <w:rsid w:val="00AA602C"/>
    <w:rsid w:val="00AA68F1"/>
    <w:rsid w:val="00AB0BED"/>
    <w:rsid w:val="00AD3C5A"/>
    <w:rsid w:val="00AF5810"/>
    <w:rsid w:val="00B54885"/>
    <w:rsid w:val="00B60F68"/>
    <w:rsid w:val="00BA02EF"/>
    <w:rsid w:val="00BC6C2A"/>
    <w:rsid w:val="00C1625E"/>
    <w:rsid w:val="00C37AD4"/>
    <w:rsid w:val="00C53E04"/>
    <w:rsid w:val="00C8551B"/>
    <w:rsid w:val="00CB0054"/>
    <w:rsid w:val="00CB6CB5"/>
    <w:rsid w:val="00CC2ECD"/>
    <w:rsid w:val="00CD0952"/>
    <w:rsid w:val="00CF6A65"/>
    <w:rsid w:val="00D00991"/>
    <w:rsid w:val="00D0611B"/>
    <w:rsid w:val="00D31239"/>
    <w:rsid w:val="00D854D8"/>
    <w:rsid w:val="00D9578A"/>
    <w:rsid w:val="00DA0CD3"/>
    <w:rsid w:val="00DE4C03"/>
    <w:rsid w:val="00E14506"/>
    <w:rsid w:val="00E32CF0"/>
    <w:rsid w:val="00E62B6C"/>
    <w:rsid w:val="00E70236"/>
    <w:rsid w:val="00E75DAA"/>
    <w:rsid w:val="00E83E2C"/>
    <w:rsid w:val="00EA53F9"/>
    <w:rsid w:val="00F034B3"/>
    <w:rsid w:val="00F13209"/>
    <w:rsid w:val="00F250BF"/>
    <w:rsid w:val="00F37F04"/>
    <w:rsid w:val="00F6111E"/>
    <w:rsid w:val="00FA1A16"/>
    <w:rsid w:val="00FA6F0E"/>
    <w:rsid w:val="00FF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95733"/>
    <w:pPr>
      <w:spacing w:after="200" w:line="276" w:lineRule="auto"/>
      <w:outlineLvl w:val="0"/>
    </w:pPr>
    <w:rPr>
      <w:b/>
      <w:bCs/>
      <w:iCs/>
      <w:color w:val="000000"/>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673"/>
    <w:pPr>
      <w:ind w:left="720"/>
      <w:contextualSpacing/>
    </w:pPr>
  </w:style>
  <w:style w:type="character" w:styleId="CommentReference">
    <w:name w:val="annotation reference"/>
    <w:basedOn w:val="DefaultParagraphFont"/>
    <w:uiPriority w:val="99"/>
    <w:semiHidden/>
    <w:unhideWhenUsed/>
    <w:rsid w:val="008F2673"/>
    <w:rPr>
      <w:sz w:val="16"/>
      <w:szCs w:val="16"/>
    </w:rPr>
  </w:style>
  <w:style w:type="paragraph" w:styleId="CommentText">
    <w:name w:val="annotation text"/>
    <w:basedOn w:val="Normal"/>
    <w:link w:val="CommentTextChar"/>
    <w:uiPriority w:val="99"/>
    <w:unhideWhenUsed/>
    <w:rsid w:val="008F2673"/>
    <w:rPr>
      <w:sz w:val="20"/>
      <w:szCs w:val="20"/>
    </w:rPr>
  </w:style>
  <w:style w:type="character" w:customStyle="1" w:styleId="CommentTextChar">
    <w:name w:val="Comment Text Char"/>
    <w:basedOn w:val="DefaultParagraphFont"/>
    <w:link w:val="CommentText"/>
    <w:uiPriority w:val="99"/>
    <w:rsid w:val="008F267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2673"/>
    <w:pPr>
      <w:tabs>
        <w:tab w:val="center" w:pos="4680"/>
        <w:tab w:val="right" w:pos="9360"/>
      </w:tabs>
    </w:pPr>
  </w:style>
  <w:style w:type="character" w:customStyle="1" w:styleId="FooterChar">
    <w:name w:val="Footer Char"/>
    <w:basedOn w:val="DefaultParagraphFont"/>
    <w:link w:val="Footer"/>
    <w:uiPriority w:val="99"/>
    <w:rsid w:val="008F2673"/>
    <w:rPr>
      <w:rFonts w:ascii="Times New Roman" w:eastAsia="Times New Roman" w:hAnsi="Times New Roman" w:cs="Times New Roman"/>
      <w:sz w:val="24"/>
      <w:szCs w:val="24"/>
    </w:rPr>
  </w:style>
  <w:style w:type="character" w:styleId="Hyperlink">
    <w:name w:val="Hyperlink"/>
    <w:basedOn w:val="DefaultParagraphFont"/>
    <w:uiPriority w:val="99"/>
    <w:rsid w:val="008F2673"/>
    <w:rPr>
      <w:color w:val="0000FF"/>
      <w:u w:val="single"/>
    </w:rPr>
  </w:style>
  <w:style w:type="paragraph" w:styleId="Header">
    <w:name w:val="header"/>
    <w:basedOn w:val="Normal"/>
    <w:link w:val="HeaderChar"/>
    <w:uiPriority w:val="99"/>
    <w:semiHidden/>
    <w:unhideWhenUsed/>
    <w:rsid w:val="008F2673"/>
    <w:pPr>
      <w:tabs>
        <w:tab w:val="center" w:pos="4680"/>
        <w:tab w:val="right" w:pos="9360"/>
      </w:tabs>
    </w:pPr>
  </w:style>
  <w:style w:type="character" w:customStyle="1" w:styleId="HeaderChar">
    <w:name w:val="Header Char"/>
    <w:basedOn w:val="DefaultParagraphFont"/>
    <w:link w:val="Header"/>
    <w:uiPriority w:val="99"/>
    <w:semiHidden/>
    <w:rsid w:val="008F2673"/>
    <w:rPr>
      <w:rFonts w:ascii="Times New Roman" w:eastAsia="Times New Roman" w:hAnsi="Times New Roman" w:cs="Times New Roman"/>
      <w:sz w:val="24"/>
      <w:szCs w:val="24"/>
    </w:rPr>
  </w:style>
  <w:style w:type="paragraph" w:customStyle="1" w:styleId="Level1">
    <w:name w:val="Level 1"/>
    <w:rsid w:val="008F2673"/>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8F2673"/>
    <w:pPr>
      <w:widowControl w:val="0"/>
      <w:overflowPunct w:val="0"/>
      <w:autoSpaceDE w:val="0"/>
      <w:autoSpaceDN w:val="0"/>
      <w:adjustRightInd w:val="0"/>
      <w:textAlignment w:val="baseline"/>
    </w:pPr>
    <w:rPr>
      <w:b/>
      <w:szCs w:val="20"/>
    </w:rPr>
  </w:style>
  <w:style w:type="paragraph" w:styleId="TOC1">
    <w:name w:val="toc 1"/>
    <w:basedOn w:val="Normal"/>
    <w:next w:val="Normal"/>
    <w:autoRedefine/>
    <w:uiPriority w:val="39"/>
    <w:unhideWhenUsed/>
    <w:qFormat/>
    <w:rsid w:val="008F2673"/>
    <w:pPr>
      <w:tabs>
        <w:tab w:val="right" w:leader="dot" w:pos="9350"/>
      </w:tabs>
      <w:spacing w:after="100"/>
      <w:ind w:left="450" w:hanging="450"/>
    </w:pPr>
  </w:style>
  <w:style w:type="paragraph" w:styleId="BalloonText">
    <w:name w:val="Balloon Text"/>
    <w:basedOn w:val="Normal"/>
    <w:link w:val="BalloonTextChar"/>
    <w:uiPriority w:val="99"/>
    <w:semiHidden/>
    <w:unhideWhenUsed/>
    <w:rsid w:val="008F2673"/>
    <w:rPr>
      <w:rFonts w:ascii="Tahoma" w:hAnsi="Tahoma" w:cs="Tahoma"/>
      <w:sz w:val="16"/>
      <w:szCs w:val="16"/>
    </w:rPr>
  </w:style>
  <w:style w:type="character" w:customStyle="1" w:styleId="BalloonTextChar">
    <w:name w:val="Balloon Text Char"/>
    <w:basedOn w:val="DefaultParagraphFont"/>
    <w:link w:val="BalloonText"/>
    <w:uiPriority w:val="99"/>
    <w:semiHidden/>
    <w:rsid w:val="008F26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F5810"/>
    <w:rPr>
      <w:b/>
      <w:bCs/>
    </w:rPr>
  </w:style>
  <w:style w:type="character" w:customStyle="1" w:styleId="CommentSubjectChar">
    <w:name w:val="Comment Subject Char"/>
    <w:basedOn w:val="CommentTextChar"/>
    <w:link w:val="CommentSubject"/>
    <w:uiPriority w:val="99"/>
    <w:semiHidden/>
    <w:rsid w:val="00AF5810"/>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95733"/>
    <w:rPr>
      <w:rFonts w:ascii="Times New Roman" w:eastAsia="Times New Roman" w:hAnsi="Times New Roman" w:cs="Times New Roman"/>
      <w:b/>
      <w:bCs/>
      <w:iCs/>
      <w:color w:val="000000"/>
      <w:kern w:val="36"/>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6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95733"/>
    <w:pPr>
      <w:spacing w:after="200" w:line="276" w:lineRule="auto"/>
      <w:outlineLvl w:val="0"/>
    </w:pPr>
    <w:rPr>
      <w:b/>
      <w:bCs/>
      <w:iCs/>
      <w:color w:val="000000"/>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673"/>
    <w:pPr>
      <w:ind w:left="720"/>
      <w:contextualSpacing/>
    </w:pPr>
  </w:style>
  <w:style w:type="character" w:styleId="CommentReference">
    <w:name w:val="annotation reference"/>
    <w:basedOn w:val="DefaultParagraphFont"/>
    <w:uiPriority w:val="99"/>
    <w:semiHidden/>
    <w:unhideWhenUsed/>
    <w:rsid w:val="008F2673"/>
    <w:rPr>
      <w:sz w:val="16"/>
      <w:szCs w:val="16"/>
    </w:rPr>
  </w:style>
  <w:style w:type="paragraph" w:styleId="CommentText">
    <w:name w:val="annotation text"/>
    <w:basedOn w:val="Normal"/>
    <w:link w:val="CommentTextChar"/>
    <w:uiPriority w:val="99"/>
    <w:unhideWhenUsed/>
    <w:rsid w:val="008F2673"/>
    <w:rPr>
      <w:sz w:val="20"/>
      <w:szCs w:val="20"/>
    </w:rPr>
  </w:style>
  <w:style w:type="character" w:customStyle="1" w:styleId="CommentTextChar">
    <w:name w:val="Comment Text Char"/>
    <w:basedOn w:val="DefaultParagraphFont"/>
    <w:link w:val="CommentText"/>
    <w:uiPriority w:val="99"/>
    <w:rsid w:val="008F267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F2673"/>
    <w:pPr>
      <w:tabs>
        <w:tab w:val="center" w:pos="4680"/>
        <w:tab w:val="right" w:pos="9360"/>
      </w:tabs>
    </w:pPr>
  </w:style>
  <w:style w:type="character" w:customStyle="1" w:styleId="FooterChar">
    <w:name w:val="Footer Char"/>
    <w:basedOn w:val="DefaultParagraphFont"/>
    <w:link w:val="Footer"/>
    <w:uiPriority w:val="99"/>
    <w:rsid w:val="008F2673"/>
    <w:rPr>
      <w:rFonts w:ascii="Times New Roman" w:eastAsia="Times New Roman" w:hAnsi="Times New Roman" w:cs="Times New Roman"/>
      <w:sz w:val="24"/>
      <w:szCs w:val="24"/>
    </w:rPr>
  </w:style>
  <w:style w:type="character" w:styleId="Hyperlink">
    <w:name w:val="Hyperlink"/>
    <w:basedOn w:val="DefaultParagraphFont"/>
    <w:uiPriority w:val="99"/>
    <w:rsid w:val="008F2673"/>
    <w:rPr>
      <w:color w:val="0000FF"/>
      <w:u w:val="single"/>
    </w:rPr>
  </w:style>
  <w:style w:type="paragraph" w:styleId="Header">
    <w:name w:val="header"/>
    <w:basedOn w:val="Normal"/>
    <w:link w:val="HeaderChar"/>
    <w:uiPriority w:val="99"/>
    <w:semiHidden/>
    <w:unhideWhenUsed/>
    <w:rsid w:val="008F2673"/>
    <w:pPr>
      <w:tabs>
        <w:tab w:val="center" w:pos="4680"/>
        <w:tab w:val="right" w:pos="9360"/>
      </w:tabs>
    </w:pPr>
  </w:style>
  <w:style w:type="character" w:customStyle="1" w:styleId="HeaderChar">
    <w:name w:val="Header Char"/>
    <w:basedOn w:val="DefaultParagraphFont"/>
    <w:link w:val="Header"/>
    <w:uiPriority w:val="99"/>
    <w:semiHidden/>
    <w:rsid w:val="008F2673"/>
    <w:rPr>
      <w:rFonts w:ascii="Times New Roman" w:eastAsia="Times New Roman" w:hAnsi="Times New Roman" w:cs="Times New Roman"/>
      <w:sz w:val="24"/>
      <w:szCs w:val="24"/>
    </w:rPr>
  </w:style>
  <w:style w:type="paragraph" w:customStyle="1" w:styleId="Level1">
    <w:name w:val="Level 1"/>
    <w:rsid w:val="008F2673"/>
    <w:pPr>
      <w:autoSpaceDE w:val="0"/>
      <w:autoSpaceDN w:val="0"/>
      <w:adjustRightInd w:val="0"/>
      <w:spacing w:after="0" w:line="240" w:lineRule="auto"/>
      <w:ind w:left="720"/>
    </w:pPr>
    <w:rPr>
      <w:rFonts w:ascii="Courier 10cpi" w:eastAsia="Times New Roman" w:hAnsi="Courier 10cpi" w:cs="Times New Roman"/>
      <w:sz w:val="24"/>
      <w:szCs w:val="24"/>
    </w:rPr>
  </w:style>
  <w:style w:type="paragraph" w:customStyle="1" w:styleId="H4">
    <w:name w:val="H4"/>
    <w:basedOn w:val="Normal"/>
    <w:uiPriority w:val="99"/>
    <w:rsid w:val="008F2673"/>
    <w:pPr>
      <w:widowControl w:val="0"/>
      <w:overflowPunct w:val="0"/>
      <w:autoSpaceDE w:val="0"/>
      <w:autoSpaceDN w:val="0"/>
      <w:adjustRightInd w:val="0"/>
      <w:textAlignment w:val="baseline"/>
    </w:pPr>
    <w:rPr>
      <w:b/>
      <w:szCs w:val="20"/>
    </w:rPr>
  </w:style>
  <w:style w:type="paragraph" w:styleId="TOC1">
    <w:name w:val="toc 1"/>
    <w:basedOn w:val="Normal"/>
    <w:next w:val="Normal"/>
    <w:autoRedefine/>
    <w:uiPriority w:val="39"/>
    <w:unhideWhenUsed/>
    <w:qFormat/>
    <w:rsid w:val="008F2673"/>
    <w:pPr>
      <w:tabs>
        <w:tab w:val="right" w:leader="dot" w:pos="9350"/>
      </w:tabs>
      <w:spacing w:after="100"/>
      <w:ind w:left="450" w:hanging="450"/>
    </w:pPr>
  </w:style>
  <w:style w:type="paragraph" w:styleId="BalloonText">
    <w:name w:val="Balloon Text"/>
    <w:basedOn w:val="Normal"/>
    <w:link w:val="BalloonTextChar"/>
    <w:uiPriority w:val="99"/>
    <w:semiHidden/>
    <w:unhideWhenUsed/>
    <w:rsid w:val="008F2673"/>
    <w:rPr>
      <w:rFonts w:ascii="Tahoma" w:hAnsi="Tahoma" w:cs="Tahoma"/>
      <w:sz w:val="16"/>
      <w:szCs w:val="16"/>
    </w:rPr>
  </w:style>
  <w:style w:type="character" w:customStyle="1" w:styleId="BalloonTextChar">
    <w:name w:val="Balloon Text Char"/>
    <w:basedOn w:val="DefaultParagraphFont"/>
    <w:link w:val="BalloonText"/>
    <w:uiPriority w:val="99"/>
    <w:semiHidden/>
    <w:rsid w:val="008F26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F5810"/>
    <w:rPr>
      <w:b/>
      <w:bCs/>
    </w:rPr>
  </w:style>
  <w:style w:type="character" w:customStyle="1" w:styleId="CommentSubjectChar">
    <w:name w:val="Comment Subject Char"/>
    <w:basedOn w:val="CommentTextChar"/>
    <w:link w:val="CommentSubject"/>
    <w:uiPriority w:val="99"/>
    <w:semiHidden/>
    <w:rsid w:val="00AF5810"/>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95733"/>
    <w:rPr>
      <w:rFonts w:ascii="Times New Roman" w:eastAsia="Times New Roman" w:hAnsi="Times New Roman" w:cs="Times New Roman"/>
      <w:b/>
      <w:bCs/>
      <w:iCs/>
      <w:color w:val="000000"/>
      <w:kern w:val="3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ctfinder2.census.gov/faces/tableservices/jsf/pages/productview.xhtml?pid=ACS_11_1YR_S0201&amp;prodType=tabl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kurnitm</dc:creator>
  <cp:lastModifiedBy>IJE7</cp:lastModifiedBy>
  <cp:revision>7</cp:revision>
  <cp:lastPrinted>2013-06-29T00:31:00Z</cp:lastPrinted>
  <dcterms:created xsi:type="dcterms:W3CDTF">2013-07-08T13:32:00Z</dcterms:created>
  <dcterms:modified xsi:type="dcterms:W3CDTF">2013-07-10T12:29:00Z</dcterms:modified>
</cp:coreProperties>
</file>