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ACE" w:rsidRPr="005A2446" w:rsidRDefault="00AC6ACE" w:rsidP="00423334">
      <w:pPr>
        <w:jc w:val="center"/>
        <w:rPr>
          <w:b/>
          <w:color w:val="000000"/>
        </w:rPr>
      </w:pPr>
      <w:bookmarkStart w:id="0" w:name="_Toc67387400"/>
    </w:p>
    <w:p w:rsidR="00B54361" w:rsidRDefault="00B54361" w:rsidP="00B54361">
      <w:pPr>
        <w:pStyle w:val="Cov-Date"/>
        <w:jc w:val="center"/>
        <w:rPr>
          <w:rFonts w:ascii="Times New Roman" w:hAnsi="Times New Roman"/>
        </w:rPr>
      </w:pPr>
      <w:r>
        <w:rPr>
          <w:rFonts w:ascii="Times New Roman" w:hAnsi="Times New Roman"/>
        </w:rPr>
        <w:t>Health Resources and Services Administration</w:t>
      </w:r>
    </w:p>
    <w:p w:rsidR="00B54361" w:rsidRDefault="00B54361" w:rsidP="00B54361">
      <w:pPr>
        <w:pStyle w:val="Cov-Date"/>
        <w:jc w:val="center"/>
        <w:rPr>
          <w:rFonts w:ascii="Times New Roman" w:hAnsi="Times New Roman"/>
        </w:rPr>
      </w:pPr>
      <w:r>
        <w:rPr>
          <w:rFonts w:ascii="Times New Roman" w:hAnsi="Times New Roman"/>
        </w:rPr>
        <w:t>Maternal and Child Health Bureau</w:t>
      </w:r>
    </w:p>
    <w:p w:rsidR="00B54361" w:rsidRDefault="00B54361" w:rsidP="00B54361">
      <w:pPr>
        <w:pStyle w:val="Cov-Date"/>
        <w:jc w:val="center"/>
        <w:rPr>
          <w:rFonts w:ascii="Times New Roman" w:hAnsi="Times New Roman"/>
        </w:rPr>
      </w:pPr>
    </w:p>
    <w:p w:rsidR="00B54361" w:rsidRDefault="00B54361" w:rsidP="00B54361">
      <w:pPr>
        <w:pStyle w:val="Cov-Title"/>
        <w:jc w:val="center"/>
        <w:rPr>
          <w:rFonts w:ascii="Times New Roman" w:hAnsi="Times New Roman"/>
          <w:b/>
          <w:sz w:val="28"/>
          <w:szCs w:val="28"/>
        </w:rPr>
      </w:pPr>
      <w:r>
        <w:rPr>
          <w:rFonts w:ascii="Times New Roman" w:hAnsi="Times New Roman"/>
          <w:b/>
          <w:sz w:val="28"/>
          <w:szCs w:val="28"/>
        </w:rPr>
        <w:t>Estimating the Gap Between the Needs of Children and Health Coverage and Benefits Through Implementation of the Affordable Care Act</w:t>
      </w:r>
    </w:p>
    <w:p w:rsidR="00AC6ACE" w:rsidRPr="005A2446" w:rsidRDefault="00AC6ACE" w:rsidP="00423334">
      <w:pPr>
        <w:jc w:val="center"/>
        <w:rPr>
          <w:b/>
          <w:color w:val="000000"/>
        </w:rPr>
      </w:pPr>
    </w:p>
    <w:p w:rsidR="00AC6ACE" w:rsidRPr="00755BE1" w:rsidRDefault="00B54361" w:rsidP="00423334">
      <w:pPr>
        <w:jc w:val="center"/>
        <w:rPr>
          <w:b/>
          <w:color w:val="000000"/>
          <w:sz w:val="28"/>
          <w:szCs w:val="28"/>
        </w:rPr>
      </w:pPr>
      <w:r w:rsidRPr="00755BE1">
        <w:rPr>
          <w:b/>
          <w:color w:val="000000"/>
          <w:sz w:val="28"/>
          <w:szCs w:val="28"/>
        </w:rPr>
        <w:t>Supporting Statement Part A</w:t>
      </w:r>
    </w:p>
    <w:p w:rsidR="00AC6ACE" w:rsidRPr="005A2446" w:rsidRDefault="00AC6ACE" w:rsidP="00423334">
      <w:pPr>
        <w:jc w:val="center"/>
        <w:rPr>
          <w:b/>
          <w:color w:val="000000"/>
        </w:rPr>
      </w:pPr>
    </w:p>
    <w:bookmarkEnd w:id="0"/>
    <w:p w:rsidR="00C65FD6" w:rsidRPr="005A2446" w:rsidRDefault="00C65FD6" w:rsidP="00F72F56">
      <w:pPr>
        <w:pStyle w:val="TOC0"/>
      </w:pPr>
      <w:r w:rsidRPr="005A2446">
        <w:rPr>
          <w:bCs/>
        </w:rPr>
        <w:t>TABLE OF CONTENTS</w:t>
      </w:r>
    </w:p>
    <w:p w:rsidR="00C65FD6" w:rsidRPr="005A2446" w:rsidRDefault="00AC6ACE" w:rsidP="00B75BB6">
      <w:pPr>
        <w:tabs>
          <w:tab w:val="right" w:pos="9360"/>
        </w:tabs>
        <w:ind w:right="720"/>
        <w:rPr>
          <w:color w:val="000000"/>
        </w:rPr>
      </w:pPr>
      <w:r w:rsidRPr="005A2446">
        <w:rPr>
          <w:b/>
          <w:color w:val="000000"/>
        </w:rPr>
        <w:t>Section</w:t>
      </w:r>
      <w:r w:rsidRPr="005A2446">
        <w:rPr>
          <w:color w:val="000000"/>
        </w:rPr>
        <w:tab/>
      </w:r>
      <w:r w:rsidRPr="005A2446">
        <w:rPr>
          <w:b/>
          <w:color w:val="000000"/>
        </w:rPr>
        <w:t>Page</w:t>
      </w:r>
    </w:p>
    <w:p w:rsidR="001C7CC4" w:rsidRDefault="00351A7E">
      <w:pPr>
        <w:pStyle w:val="TOC1"/>
        <w:rPr>
          <w:rFonts w:asciiTheme="minorHAnsi" w:eastAsiaTheme="minorEastAsia" w:hAnsiTheme="minorHAnsi" w:cstheme="minorBidi"/>
          <w:sz w:val="22"/>
          <w:szCs w:val="22"/>
        </w:rPr>
      </w:pPr>
      <w:r w:rsidRPr="00351A7E">
        <w:rPr>
          <w:b/>
          <w:bCs/>
          <w:caps/>
          <w:color w:val="000000"/>
        </w:rPr>
        <w:fldChar w:fldCharType="begin"/>
      </w:r>
      <w:r w:rsidR="00512F04" w:rsidRPr="005A2446">
        <w:rPr>
          <w:b/>
          <w:bCs/>
          <w:caps/>
          <w:color w:val="000000"/>
        </w:rPr>
        <w:instrText xml:space="preserve"> TOC \o "1-3" \h \z \u </w:instrText>
      </w:r>
      <w:r w:rsidRPr="00351A7E">
        <w:rPr>
          <w:b/>
          <w:bCs/>
          <w:caps/>
          <w:color w:val="000000"/>
        </w:rPr>
        <w:fldChar w:fldCharType="separate"/>
      </w:r>
      <w:hyperlink w:anchor="_Toc358887189" w:history="1">
        <w:r w:rsidR="001C7CC4" w:rsidRPr="00415157">
          <w:rPr>
            <w:rStyle w:val="Hyperlink"/>
          </w:rPr>
          <w:t>A.</w:t>
        </w:r>
        <w:r w:rsidR="001C7CC4">
          <w:rPr>
            <w:rFonts w:asciiTheme="minorHAnsi" w:eastAsiaTheme="minorEastAsia" w:hAnsiTheme="minorHAnsi" w:cstheme="minorBidi"/>
            <w:sz w:val="22"/>
            <w:szCs w:val="22"/>
          </w:rPr>
          <w:tab/>
        </w:r>
        <w:r w:rsidR="001C7CC4" w:rsidRPr="00415157">
          <w:rPr>
            <w:rStyle w:val="Hyperlink"/>
          </w:rPr>
          <w:t>Background</w:t>
        </w:r>
        <w:r w:rsidR="001C7CC4">
          <w:rPr>
            <w:webHidden/>
          </w:rPr>
          <w:tab/>
        </w:r>
        <w:r>
          <w:rPr>
            <w:webHidden/>
          </w:rPr>
          <w:fldChar w:fldCharType="begin"/>
        </w:r>
        <w:r w:rsidR="001C7CC4">
          <w:rPr>
            <w:webHidden/>
          </w:rPr>
          <w:instrText xml:space="preserve"> PAGEREF _Toc358887189 \h </w:instrText>
        </w:r>
        <w:r>
          <w:rPr>
            <w:webHidden/>
          </w:rPr>
        </w:r>
        <w:r>
          <w:rPr>
            <w:webHidden/>
          </w:rPr>
          <w:fldChar w:fldCharType="separate"/>
        </w:r>
        <w:r w:rsidR="00A9465E">
          <w:rPr>
            <w:webHidden/>
          </w:rPr>
          <w:t>2</w:t>
        </w:r>
        <w:r>
          <w:rPr>
            <w:webHidden/>
          </w:rPr>
          <w:fldChar w:fldCharType="end"/>
        </w:r>
      </w:hyperlink>
    </w:p>
    <w:p w:rsidR="001C7CC4" w:rsidRDefault="00351A7E">
      <w:pPr>
        <w:pStyle w:val="TOC1"/>
        <w:rPr>
          <w:rFonts w:asciiTheme="minorHAnsi" w:eastAsiaTheme="minorEastAsia" w:hAnsiTheme="minorHAnsi" w:cstheme="minorBidi"/>
          <w:sz w:val="22"/>
          <w:szCs w:val="22"/>
        </w:rPr>
      </w:pPr>
      <w:hyperlink w:anchor="_Toc358887190" w:history="1">
        <w:r w:rsidR="001C7CC4" w:rsidRPr="00415157">
          <w:rPr>
            <w:rStyle w:val="Hyperlink"/>
          </w:rPr>
          <w:t>B.</w:t>
        </w:r>
        <w:r w:rsidR="001C7CC4">
          <w:rPr>
            <w:rFonts w:asciiTheme="minorHAnsi" w:eastAsiaTheme="minorEastAsia" w:hAnsiTheme="minorHAnsi" w:cstheme="minorBidi"/>
            <w:sz w:val="22"/>
            <w:szCs w:val="22"/>
          </w:rPr>
          <w:tab/>
        </w:r>
        <w:r w:rsidR="001C7CC4" w:rsidRPr="00415157">
          <w:rPr>
            <w:rStyle w:val="Hyperlink"/>
          </w:rPr>
          <w:t>Justification</w:t>
        </w:r>
        <w:r w:rsidR="001C7CC4">
          <w:rPr>
            <w:webHidden/>
          </w:rPr>
          <w:tab/>
        </w:r>
        <w:r>
          <w:rPr>
            <w:webHidden/>
          </w:rPr>
          <w:fldChar w:fldCharType="begin"/>
        </w:r>
        <w:r w:rsidR="001C7CC4">
          <w:rPr>
            <w:webHidden/>
          </w:rPr>
          <w:instrText xml:space="preserve"> PAGEREF _Toc358887190 \h </w:instrText>
        </w:r>
        <w:r>
          <w:rPr>
            <w:webHidden/>
          </w:rPr>
        </w:r>
        <w:r>
          <w:rPr>
            <w:webHidden/>
          </w:rPr>
          <w:fldChar w:fldCharType="separate"/>
        </w:r>
        <w:r w:rsidR="00A9465E">
          <w:rPr>
            <w:webHidden/>
          </w:rPr>
          <w:t>4</w:t>
        </w:r>
        <w:r>
          <w:rPr>
            <w:webHidden/>
          </w:rPr>
          <w:fldChar w:fldCharType="end"/>
        </w:r>
      </w:hyperlink>
    </w:p>
    <w:p w:rsidR="001C7CC4" w:rsidRDefault="00351A7E">
      <w:pPr>
        <w:pStyle w:val="TOC2"/>
        <w:rPr>
          <w:rFonts w:asciiTheme="minorHAnsi" w:eastAsiaTheme="minorEastAsia" w:hAnsiTheme="minorHAnsi" w:cstheme="minorBidi"/>
          <w:sz w:val="22"/>
          <w:szCs w:val="22"/>
        </w:rPr>
      </w:pPr>
      <w:hyperlink w:anchor="_Toc358887191" w:history="1">
        <w:r w:rsidR="001C7CC4" w:rsidRPr="00415157">
          <w:rPr>
            <w:rStyle w:val="Hyperlink"/>
          </w:rPr>
          <w:t>B.1</w:t>
        </w:r>
        <w:r w:rsidR="001C7CC4">
          <w:rPr>
            <w:rFonts w:asciiTheme="minorHAnsi" w:eastAsiaTheme="minorEastAsia" w:hAnsiTheme="minorHAnsi" w:cstheme="minorBidi"/>
            <w:sz w:val="22"/>
            <w:szCs w:val="22"/>
          </w:rPr>
          <w:tab/>
        </w:r>
        <w:r w:rsidR="001C7CC4" w:rsidRPr="00415157">
          <w:rPr>
            <w:rStyle w:val="Hyperlink"/>
          </w:rPr>
          <w:t>Need and Legal Basis</w:t>
        </w:r>
        <w:r w:rsidR="001C7CC4">
          <w:rPr>
            <w:webHidden/>
          </w:rPr>
          <w:tab/>
        </w:r>
        <w:r>
          <w:rPr>
            <w:webHidden/>
          </w:rPr>
          <w:fldChar w:fldCharType="begin"/>
        </w:r>
        <w:r w:rsidR="001C7CC4">
          <w:rPr>
            <w:webHidden/>
          </w:rPr>
          <w:instrText xml:space="preserve"> PAGEREF _Toc358887191 \h </w:instrText>
        </w:r>
        <w:r>
          <w:rPr>
            <w:webHidden/>
          </w:rPr>
        </w:r>
        <w:r>
          <w:rPr>
            <w:webHidden/>
          </w:rPr>
          <w:fldChar w:fldCharType="separate"/>
        </w:r>
        <w:r w:rsidR="00A9465E">
          <w:rPr>
            <w:webHidden/>
          </w:rPr>
          <w:t>4</w:t>
        </w:r>
        <w:r>
          <w:rPr>
            <w:webHidden/>
          </w:rPr>
          <w:fldChar w:fldCharType="end"/>
        </w:r>
      </w:hyperlink>
    </w:p>
    <w:p w:rsidR="001C7CC4" w:rsidRDefault="00351A7E">
      <w:pPr>
        <w:pStyle w:val="TOC2"/>
        <w:rPr>
          <w:rFonts w:asciiTheme="minorHAnsi" w:eastAsiaTheme="minorEastAsia" w:hAnsiTheme="minorHAnsi" w:cstheme="minorBidi"/>
          <w:sz w:val="22"/>
          <w:szCs w:val="22"/>
        </w:rPr>
      </w:pPr>
      <w:hyperlink w:anchor="_Toc358887192" w:history="1">
        <w:r w:rsidR="001C7CC4" w:rsidRPr="00415157">
          <w:rPr>
            <w:rStyle w:val="Hyperlink"/>
          </w:rPr>
          <w:t>B.2</w:t>
        </w:r>
        <w:r w:rsidR="001C7CC4">
          <w:rPr>
            <w:rFonts w:asciiTheme="minorHAnsi" w:eastAsiaTheme="minorEastAsia" w:hAnsiTheme="minorHAnsi" w:cstheme="minorBidi"/>
            <w:sz w:val="22"/>
            <w:szCs w:val="22"/>
          </w:rPr>
          <w:tab/>
        </w:r>
        <w:r w:rsidR="001C7CC4" w:rsidRPr="00415157">
          <w:rPr>
            <w:rStyle w:val="Hyperlink"/>
          </w:rPr>
          <w:t>Information Users</w:t>
        </w:r>
        <w:r w:rsidR="001C7CC4">
          <w:rPr>
            <w:webHidden/>
          </w:rPr>
          <w:tab/>
        </w:r>
        <w:r>
          <w:rPr>
            <w:webHidden/>
          </w:rPr>
          <w:fldChar w:fldCharType="begin"/>
        </w:r>
        <w:r w:rsidR="001C7CC4">
          <w:rPr>
            <w:webHidden/>
          </w:rPr>
          <w:instrText xml:space="preserve"> PAGEREF _Toc358887192 \h </w:instrText>
        </w:r>
        <w:r>
          <w:rPr>
            <w:webHidden/>
          </w:rPr>
        </w:r>
        <w:r>
          <w:rPr>
            <w:webHidden/>
          </w:rPr>
          <w:fldChar w:fldCharType="separate"/>
        </w:r>
        <w:r w:rsidR="00A9465E">
          <w:rPr>
            <w:webHidden/>
          </w:rPr>
          <w:t>4</w:t>
        </w:r>
        <w:r>
          <w:rPr>
            <w:webHidden/>
          </w:rPr>
          <w:fldChar w:fldCharType="end"/>
        </w:r>
      </w:hyperlink>
    </w:p>
    <w:p w:rsidR="001C7CC4" w:rsidRDefault="00351A7E">
      <w:pPr>
        <w:pStyle w:val="TOC2"/>
        <w:rPr>
          <w:rFonts w:asciiTheme="minorHAnsi" w:eastAsiaTheme="minorEastAsia" w:hAnsiTheme="minorHAnsi" w:cstheme="minorBidi"/>
          <w:sz w:val="22"/>
          <w:szCs w:val="22"/>
        </w:rPr>
      </w:pPr>
      <w:hyperlink w:anchor="_Toc358887193" w:history="1">
        <w:r w:rsidR="001C7CC4" w:rsidRPr="00415157">
          <w:rPr>
            <w:rStyle w:val="Hyperlink"/>
          </w:rPr>
          <w:t>B.3</w:t>
        </w:r>
        <w:r w:rsidR="001C7CC4">
          <w:rPr>
            <w:rFonts w:asciiTheme="minorHAnsi" w:eastAsiaTheme="minorEastAsia" w:hAnsiTheme="minorHAnsi" w:cstheme="minorBidi"/>
            <w:sz w:val="22"/>
            <w:szCs w:val="22"/>
          </w:rPr>
          <w:tab/>
        </w:r>
        <w:r w:rsidR="001C7CC4" w:rsidRPr="00415157">
          <w:rPr>
            <w:rStyle w:val="Hyperlink"/>
          </w:rPr>
          <w:t>Use of Information Technology</w:t>
        </w:r>
        <w:r w:rsidR="001C7CC4">
          <w:rPr>
            <w:webHidden/>
          </w:rPr>
          <w:tab/>
        </w:r>
        <w:r>
          <w:rPr>
            <w:webHidden/>
          </w:rPr>
          <w:fldChar w:fldCharType="begin"/>
        </w:r>
        <w:r w:rsidR="001C7CC4">
          <w:rPr>
            <w:webHidden/>
          </w:rPr>
          <w:instrText xml:space="preserve"> PAGEREF _Toc358887193 \h </w:instrText>
        </w:r>
        <w:r>
          <w:rPr>
            <w:webHidden/>
          </w:rPr>
        </w:r>
        <w:r>
          <w:rPr>
            <w:webHidden/>
          </w:rPr>
          <w:fldChar w:fldCharType="separate"/>
        </w:r>
        <w:r w:rsidR="00A9465E">
          <w:rPr>
            <w:webHidden/>
          </w:rPr>
          <w:t>5</w:t>
        </w:r>
        <w:r>
          <w:rPr>
            <w:webHidden/>
          </w:rPr>
          <w:fldChar w:fldCharType="end"/>
        </w:r>
      </w:hyperlink>
    </w:p>
    <w:p w:rsidR="001C7CC4" w:rsidRDefault="00351A7E">
      <w:pPr>
        <w:pStyle w:val="TOC2"/>
        <w:rPr>
          <w:rFonts w:asciiTheme="minorHAnsi" w:eastAsiaTheme="minorEastAsia" w:hAnsiTheme="minorHAnsi" w:cstheme="minorBidi"/>
          <w:sz w:val="22"/>
          <w:szCs w:val="22"/>
        </w:rPr>
      </w:pPr>
      <w:hyperlink w:anchor="_Toc358887194" w:history="1">
        <w:r w:rsidR="001C7CC4" w:rsidRPr="00415157">
          <w:rPr>
            <w:rStyle w:val="Hyperlink"/>
          </w:rPr>
          <w:t>B.4</w:t>
        </w:r>
        <w:r w:rsidR="001C7CC4">
          <w:rPr>
            <w:rFonts w:asciiTheme="minorHAnsi" w:eastAsiaTheme="minorEastAsia" w:hAnsiTheme="minorHAnsi" w:cstheme="minorBidi"/>
            <w:sz w:val="22"/>
            <w:szCs w:val="22"/>
          </w:rPr>
          <w:tab/>
        </w:r>
        <w:r w:rsidR="001C7CC4" w:rsidRPr="00415157">
          <w:rPr>
            <w:rStyle w:val="Hyperlink"/>
          </w:rPr>
          <w:t>Duplication of Efforts</w:t>
        </w:r>
        <w:r w:rsidR="001C7CC4">
          <w:rPr>
            <w:webHidden/>
          </w:rPr>
          <w:tab/>
        </w:r>
        <w:r>
          <w:rPr>
            <w:webHidden/>
          </w:rPr>
          <w:fldChar w:fldCharType="begin"/>
        </w:r>
        <w:r w:rsidR="001C7CC4">
          <w:rPr>
            <w:webHidden/>
          </w:rPr>
          <w:instrText xml:space="preserve"> PAGEREF _Toc358887194 \h </w:instrText>
        </w:r>
        <w:r>
          <w:rPr>
            <w:webHidden/>
          </w:rPr>
        </w:r>
        <w:r>
          <w:rPr>
            <w:webHidden/>
          </w:rPr>
          <w:fldChar w:fldCharType="separate"/>
        </w:r>
        <w:r w:rsidR="00A9465E">
          <w:rPr>
            <w:webHidden/>
          </w:rPr>
          <w:t>5</w:t>
        </w:r>
        <w:r>
          <w:rPr>
            <w:webHidden/>
          </w:rPr>
          <w:fldChar w:fldCharType="end"/>
        </w:r>
      </w:hyperlink>
    </w:p>
    <w:p w:rsidR="001C7CC4" w:rsidRDefault="00351A7E">
      <w:pPr>
        <w:pStyle w:val="TOC2"/>
        <w:rPr>
          <w:rFonts w:asciiTheme="minorHAnsi" w:eastAsiaTheme="minorEastAsia" w:hAnsiTheme="minorHAnsi" w:cstheme="minorBidi"/>
          <w:sz w:val="22"/>
          <w:szCs w:val="22"/>
        </w:rPr>
      </w:pPr>
      <w:hyperlink w:anchor="_Toc358887195" w:history="1">
        <w:r w:rsidR="001C7CC4" w:rsidRPr="00415157">
          <w:rPr>
            <w:rStyle w:val="Hyperlink"/>
          </w:rPr>
          <w:t>B.5</w:t>
        </w:r>
        <w:r w:rsidR="001C7CC4">
          <w:rPr>
            <w:rFonts w:asciiTheme="minorHAnsi" w:eastAsiaTheme="minorEastAsia" w:hAnsiTheme="minorHAnsi" w:cstheme="minorBidi"/>
            <w:sz w:val="22"/>
            <w:szCs w:val="22"/>
          </w:rPr>
          <w:tab/>
        </w:r>
        <w:r w:rsidR="001C7CC4" w:rsidRPr="00415157">
          <w:rPr>
            <w:rStyle w:val="Hyperlink"/>
          </w:rPr>
          <w:t>Small Businesses</w:t>
        </w:r>
        <w:r w:rsidR="001C7CC4">
          <w:rPr>
            <w:webHidden/>
          </w:rPr>
          <w:tab/>
        </w:r>
        <w:r>
          <w:rPr>
            <w:webHidden/>
          </w:rPr>
          <w:fldChar w:fldCharType="begin"/>
        </w:r>
        <w:r w:rsidR="001C7CC4">
          <w:rPr>
            <w:webHidden/>
          </w:rPr>
          <w:instrText xml:space="preserve"> PAGEREF _Toc358887195 \h </w:instrText>
        </w:r>
        <w:r>
          <w:rPr>
            <w:webHidden/>
          </w:rPr>
        </w:r>
        <w:r>
          <w:rPr>
            <w:webHidden/>
          </w:rPr>
          <w:fldChar w:fldCharType="separate"/>
        </w:r>
        <w:r w:rsidR="00A9465E">
          <w:rPr>
            <w:webHidden/>
          </w:rPr>
          <w:t>6</w:t>
        </w:r>
        <w:r>
          <w:rPr>
            <w:webHidden/>
          </w:rPr>
          <w:fldChar w:fldCharType="end"/>
        </w:r>
      </w:hyperlink>
    </w:p>
    <w:p w:rsidR="001C7CC4" w:rsidRDefault="00351A7E">
      <w:pPr>
        <w:pStyle w:val="TOC2"/>
        <w:rPr>
          <w:rFonts w:asciiTheme="minorHAnsi" w:eastAsiaTheme="minorEastAsia" w:hAnsiTheme="minorHAnsi" w:cstheme="minorBidi"/>
          <w:sz w:val="22"/>
          <w:szCs w:val="22"/>
        </w:rPr>
      </w:pPr>
      <w:hyperlink w:anchor="_Toc358887196" w:history="1">
        <w:r w:rsidR="001C7CC4" w:rsidRPr="00415157">
          <w:rPr>
            <w:rStyle w:val="Hyperlink"/>
          </w:rPr>
          <w:t>B.6</w:t>
        </w:r>
        <w:r w:rsidR="001C7CC4">
          <w:rPr>
            <w:rFonts w:asciiTheme="minorHAnsi" w:eastAsiaTheme="minorEastAsia" w:hAnsiTheme="minorHAnsi" w:cstheme="minorBidi"/>
            <w:sz w:val="22"/>
            <w:szCs w:val="22"/>
          </w:rPr>
          <w:tab/>
        </w:r>
        <w:r w:rsidR="001C7CC4" w:rsidRPr="00415157">
          <w:rPr>
            <w:rStyle w:val="Hyperlink"/>
          </w:rPr>
          <w:t>Less Frequent Collection</w:t>
        </w:r>
        <w:r w:rsidR="001C7CC4">
          <w:rPr>
            <w:webHidden/>
          </w:rPr>
          <w:tab/>
        </w:r>
        <w:r>
          <w:rPr>
            <w:webHidden/>
          </w:rPr>
          <w:fldChar w:fldCharType="begin"/>
        </w:r>
        <w:r w:rsidR="001C7CC4">
          <w:rPr>
            <w:webHidden/>
          </w:rPr>
          <w:instrText xml:space="preserve"> PAGEREF _Toc358887196 \h </w:instrText>
        </w:r>
        <w:r>
          <w:rPr>
            <w:webHidden/>
          </w:rPr>
        </w:r>
        <w:r>
          <w:rPr>
            <w:webHidden/>
          </w:rPr>
          <w:fldChar w:fldCharType="separate"/>
        </w:r>
        <w:r w:rsidR="00A9465E">
          <w:rPr>
            <w:webHidden/>
          </w:rPr>
          <w:t>6</w:t>
        </w:r>
        <w:r>
          <w:rPr>
            <w:webHidden/>
          </w:rPr>
          <w:fldChar w:fldCharType="end"/>
        </w:r>
      </w:hyperlink>
    </w:p>
    <w:p w:rsidR="001C7CC4" w:rsidRDefault="00351A7E">
      <w:pPr>
        <w:pStyle w:val="TOC2"/>
        <w:rPr>
          <w:rFonts w:asciiTheme="minorHAnsi" w:eastAsiaTheme="minorEastAsia" w:hAnsiTheme="minorHAnsi" w:cstheme="minorBidi"/>
          <w:sz w:val="22"/>
          <w:szCs w:val="22"/>
        </w:rPr>
      </w:pPr>
      <w:hyperlink w:anchor="_Toc358887197" w:history="1">
        <w:r w:rsidR="001C7CC4" w:rsidRPr="00415157">
          <w:rPr>
            <w:rStyle w:val="Hyperlink"/>
          </w:rPr>
          <w:t>B.7</w:t>
        </w:r>
        <w:r w:rsidR="001C7CC4">
          <w:rPr>
            <w:rFonts w:asciiTheme="minorHAnsi" w:eastAsiaTheme="minorEastAsia" w:hAnsiTheme="minorHAnsi" w:cstheme="minorBidi"/>
            <w:sz w:val="22"/>
            <w:szCs w:val="22"/>
          </w:rPr>
          <w:tab/>
        </w:r>
        <w:r w:rsidR="001C7CC4" w:rsidRPr="00415157">
          <w:rPr>
            <w:rStyle w:val="Hyperlink"/>
          </w:rPr>
          <w:t>Special Circumstances</w:t>
        </w:r>
        <w:r w:rsidR="001C7CC4">
          <w:rPr>
            <w:webHidden/>
          </w:rPr>
          <w:tab/>
        </w:r>
        <w:r>
          <w:rPr>
            <w:webHidden/>
          </w:rPr>
          <w:fldChar w:fldCharType="begin"/>
        </w:r>
        <w:r w:rsidR="001C7CC4">
          <w:rPr>
            <w:webHidden/>
          </w:rPr>
          <w:instrText xml:space="preserve"> PAGEREF _Toc358887197 \h </w:instrText>
        </w:r>
        <w:r>
          <w:rPr>
            <w:webHidden/>
          </w:rPr>
        </w:r>
        <w:r>
          <w:rPr>
            <w:webHidden/>
          </w:rPr>
          <w:fldChar w:fldCharType="separate"/>
        </w:r>
        <w:r w:rsidR="00A9465E">
          <w:rPr>
            <w:webHidden/>
          </w:rPr>
          <w:t>6</w:t>
        </w:r>
        <w:r>
          <w:rPr>
            <w:webHidden/>
          </w:rPr>
          <w:fldChar w:fldCharType="end"/>
        </w:r>
      </w:hyperlink>
    </w:p>
    <w:p w:rsidR="001C7CC4" w:rsidRDefault="00351A7E">
      <w:pPr>
        <w:pStyle w:val="TOC2"/>
        <w:rPr>
          <w:rFonts w:asciiTheme="minorHAnsi" w:eastAsiaTheme="minorEastAsia" w:hAnsiTheme="minorHAnsi" w:cstheme="minorBidi"/>
          <w:sz w:val="22"/>
          <w:szCs w:val="22"/>
        </w:rPr>
      </w:pPr>
      <w:hyperlink w:anchor="_Toc358887198" w:history="1">
        <w:r w:rsidR="001C7CC4" w:rsidRPr="00415157">
          <w:rPr>
            <w:rStyle w:val="Hyperlink"/>
          </w:rPr>
          <w:t>B.8</w:t>
        </w:r>
        <w:r w:rsidR="001C7CC4">
          <w:rPr>
            <w:rFonts w:asciiTheme="minorHAnsi" w:eastAsiaTheme="minorEastAsia" w:hAnsiTheme="minorHAnsi" w:cstheme="minorBidi"/>
            <w:sz w:val="22"/>
            <w:szCs w:val="22"/>
          </w:rPr>
          <w:tab/>
        </w:r>
        <w:r w:rsidR="001C7CC4" w:rsidRPr="00415157">
          <w:rPr>
            <w:rStyle w:val="Hyperlink"/>
          </w:rPr>
          <w:t>Federal Register/Outside Consultation</w:t>
        </w:r>
        <w:r w:rsidR="001C7CC4">
          <w:rPr>
            <w:webHidden/>
          </w:rPr>
          <w:tab/>
        </w:r>
        <w:r>
          <w:rPr>
            <w:webHidden/>
          </w:rPr>
          <w:fldChar w:fldCharType="begin"/>
        </w:r>
        <w:r w:rsidR="001C7CC4">
          <w:rPr>
            <w:webHidden/>
          </w:rPr>
          <w:instrText xml:space="preserve"> PAGEREF _Toc358887198 \h </w:instrText>
        </w:r>
        <w:r>
          <w:rPr>
            <w:webHidden/>
          </w:rPr>
        </w:r>
        <w:r>
          <w:rPr>
            <w:webHidden/>
          </w:rPr>
          <w:fldChar w:fldCharType="separate"/>
        </w:r>
        <w:r w:rsidR="00A9465E">
          <w:rPr>
            <w:webHidden/>
          </w:rPr>
          <w:t>6</w:t>
        </w:r>
        <w:r>
          <w:rPr>
            <w:webHidden/>
          </w:rPr>
          <w:fldChar w:fldCharType="end"/>
        </w:r>
      </w:hyperlink>
    </w:p>
    <w:p w:rsidR="001C7CC4" w:rsidRDefault="00351A7E">
      <w:pPr>
        <w:pStyle w:val="TOC2"/>
        <w:rPr>
          <w:rFonts w:asciiTheme="minorHAnsi" w:eastAsiaTheme="minorEastAsia" w:hAnsiTheme="minorHAnsi" w:cstheme="minorBidi"/>
          <w:sz w:val="22"/>
          <w:szCs w:val="22"/>
        </w:rPr>
      </w:pPr>
      <w:hyperlink w:anchor="_Toc358887199" w:history="1">
        <w:r w:rsidR="001C7CC4" w:rsidRPr="00415157">
          <w:rPr>
            <w:rStyle w:val="Hyperlink"/>
          </w:rPr>
          <w:t>B.9</w:t>
        </w:r>
        <w:r w:rsidR="001C7CC4">
          <w:rPr>
            <w:rFonts w:asciiTheme="minorHAnsi" w:eastAsiaTheme="minorEastAsia" w:hAnsiTheme="minorHAnsi" w:cstheme="minorBidi"/>
            <w:sz w:val="22"/>
            <w:szCs w:val="22"/>
          </w:rPr>
          <w:tab/>
        </w:r>
        <w:r w:rsidR="001C7CC4" w:rsidRPr="00415157">
          <w:rPr>
            <w:rStyle w:val="Hyperlink"/>
          </w:rPr>
          <w:t>Payments/Gifts to Respondents</w:t>
        </w:r>
        <w:r w:rsidR="001C7CC4">
          <w:rPr>
            <w:webHidden/>
          </w:rPr>
          <w:tab/>
        </w:r>
        <w:r>
          <w:rPr>
            <w:webHidden/>
          </w:rPr>
          <w:fldChar w:fldCharType="begin"/>
        </w:r>
        <w:r w:rsidR="001C7CC4">
          <w:rPr>
            <w:webHidden/>
          </w:rPr>
          <w:instrText xml:space="preserve"> PAGEREF _Toc358887199 \h </w:instrText>
        </w:r>
        <w:r>
          <w:rPr>
            <w:webHidden/>
          </w:rPr>
        </w:r>
        <w:r>
          <w:rPr>
            <w:webHidden/>
          </w:rPr>
          <w:fldChar w:fldCharType="separate"/>
        </w:r>
        <w:r w:rsidR="00A9465E">
          <w:rPr>
            <w:webHidden/>
          </w:rPr>
          <w:t>7</w:t>
        </w:r>
        <w:r>
          <w:rPr>
            <w:webHidden/>
          </w:rPr>
          <w:fldChar w:fldCharType="end"/>
        </w:r>
      </w:hyperlink>
    </w:p>
    <w:p w:rsidR="001C7CC4" w:rsidRDefault="00351A7E">
      <w:pPr>
        <w:pStyle w:val="TOC2"/>
        <w:rPr>
          <w:rFonts w:asciiTheme="minorHAnsi" w:eastAsiaTheme="minorEastAsia" w:hAnsiTheme="minorHAnsi" w:cstheme="minorBidi"/>
          <w:sz w:val="22"/>
          <w:szCs w:val="22"/>
        </w:rPr>
      </w:pPr>
      <w:hyperlink w:anchor="_Toc358887200" w:history="1">
        <w:r w:rsidR="001C7CC4" w:rsidRPr="00415157">
          <w:rPr>
            <w:rStyle w:val="Hyperlink"/>
          </w:rPr>
          <w:t>B.10</w:t>
        </w:r>
        <w:r w:rsidR="001C7CC4">
          <w:rPr>
            <w:rFonts w:asciiTheme="minorHAnsi" w:eastAsiaTheme="minorEastAsia" w:hAnsiTheme="minorHAnsi" w:cstheme="minorBidi"/>
            <w:sz w:val="22"/>
            <w:szCs w:val="22"/>
          </w:rPr>
          <w:tab/>
        </w:r>
        <w:r w:rsidR="001C7CC4" w:rsidRPr="00415157">
          <w:rPr>
            <w:rStyle w:val="Hyperlink"/>
          </w:rPr>
          <w:t>Confidentiality</w:t>
        </w:r>
        <w:r w:rsidR="001C7CC4">
          <w:rPr>
            <w:webHidden/>
          </w:rPr>
          <w:tab/>
        </w:r>
        <w:r>
          <w:rPr>
            <w:webHidden/>
          </w:rPr>
          <w:fldChar w:fldCharType="begin"/>
        </w:r>
        <w:r w:rsidR="001C7CC4">
          <w:rPr>
            <w:webHidden/>
          </w:rPr>
          <w:instrText xml:space="preserve"> PAGEREF _Toc358887200 \h </w:instrText>
        </w:r>
        <w:r>
          <w:rPr>
            <w:webHidden/>
          </w:rPr>
        </w:r>
        <w:r>
          <w:rPr>
            <w:webHidden/>
          </w:rPr>
          <w:fldChar w:fldCharType="separate"/>
        </w:r>
        <w:r w:rsidR="00A9465E">
          <w:rPr>
            <w:webHidden/>
          </w:rPr>
          <w:t>7</w:t>
        </w:r>
        <w:r>
          <w:rPr>
            <w:webHidden/>
          </w:rPr>
          <w:fldChar w:fldCharType="end"/>
        </w:r>
      </w:hyperlink>
    </w:p>
    <w:p w:rsidR="001C7CC4" w:rsidRDefault="00351A7E">
      <w:pPr>
        <w:pStyle w:val="TOC2"/>
        <w:rPr>
          <w:rFonts w:asciiTheme="minorHAnsi" w:eastAsiaTheme="minorEastAsia" w:hAnsiTheme="minorHAnsi" w:cstheme="minorBidi"/>
          <w:sz w:val="22"/>
          <w:szCs w:val="22"/>
        </w:rPr>
      </w:pPr>
      <w:hyperlink w:anchor="_Toc358887201" w:history="1">
        <w:r w:rsidR="001C7CC4" w:rsidRPr="00415157">
          <w:rPr>
            <w:rStyle w:val="Hyperlink"/>
          </w:rPr>
          <w:t>B.11</w:t>
        </w:r>
        <w:r w:rsidR="001C7CC4">
          <w:rPr>
            <w:rFonts w:asciiTheme="minorHAnsi" w:eastAsiaTheme="minorEastAsia" w:hAnsiTheme="minorHAnsi" w:cstheme="minorBidi"/>
            <w:sz w:val="22"/>
            <w:szCs w:val="22"/>
          </w:rPr>
          <w:tab/>
        </w:r>
        <w:r w:rsidR="001C7CC4" w:rsidRPr="00415157">
          <w:rPr>
            <w:rStyle w:val="Hyperlink"/>
          </w:rPr>
          <w:t>Sensitive Questions</w:t>
        </w:r>
        <w:r w:rsidR="001C7CC4">
          <w:rPr>
            <w:webHidden/>
          </w:rPr>
          <w:tab/>
        </w:r>
        <w:r>
          <w:rPr>
            <w:webHidden/>
          </w:rPr>
          <w:fldChar w:fldCharType="begin"/>
        </w:r>
        <w:r w:rsidR="001C7CC4">
          <w:rPr>
            <w:webHidden/>
          </w:rPr>
          <w:instrText xml:space="preserve"> PAGEREF _Toc358887201 \h </w:instrText>
        </w:r>
        <w:r>
          <w:rPr>
            <w:webHidden/>
          </w:rPr>
        </w:r>
        <w:r>
          <w:rPr>
            <w:webHidden/>
          </w:rPr>
          <w:fldChar w:fldCharType="separate"/>
        </w:r>
        <w:r w:rsidR="00A9465E">
          <w:rPr>
            <w:webHidden/>
          </w:rPr>
          <w:t>8</w:t>
        </w:r>
        <w:r>
          <w:rPr>
            <w:webHidden/>
          </w:rPr>
          <w:fldChar w:fldCharType="end"/>
        </w:r>
      </w:hyperlink>
    </w:p>
    <w:p w:rsidR="001C7CC4" w:rsidRDefault="00351A7E">
      <w:pPr>
        <w:pStyle w:val="TOC2"/>
        <w:rPr>
          <w:rFonts w:asciiTheme="minorHAnsi" w:eastAsiaTheme="minorEastAsia" w:hAnsiTheme="minorHAnsi" w:cstheme="minorBidi"/>
          <w:sz w:val="22"/>
          <w:szCs w:val="22"/>
        </w:rPr>
      </w:pPr>
      <w:hyperlink w:anchor="_Toc358887202" w:history="1">
        <w:r w:rsidR="001C7CC4" w:rsidRPr="00415157">
          <w:rPr>
            <w:rStyle w:val="Hyperlink"/>
          </w:rPr>
          <w:t>B.12</w:t>
        </w:r>
        <w:r w:rsidR="001C7CC4">
          <w:rPr>
            <w:rFonts w:asciiTheme="minorHAnsi" w:eastAsiaTheme="minorEastAsia" w:hAnsiTheme="minorHAnsi" w:cstheme="minorBidi"/>
            <w:sz w:val="22"/>
            <w:szCs w:val="22"/>
          </w:rPr>
          <w:tab/>
        </w:r>
        <w:r w:rsidR="001C7CC4" w:rsidRPr="00415157">
          <w:rPr>
            <w:rStyle w:val="Hyperlink"/>
          </w:rPr>
          <w:t>Burden Estimates (Hours and Wages)</w:t>
        </w:r>
        <w:r w:rsidR="001C7CC4">
          <w:rPr>
            <w:webHidden/>
          </w:rPr>
          <w:tab/>
        </w:r>
        <w:r>
          <w:rPr>
            <w:webHidden/>
          </w:rPr>
          <w:fldChar w:fldCharType="begin"/>
        </w:r>
        <w:r w:rsidR="001C7CC4">
          <w:rPr>
            <w:webHidden/>
          </w:rPr>
          <w:instrText xml:space="preserve"> PAGEREF _Toc358887202 \h </w:instrText>
        </w:r>
        <w:r>
          <w:rPr>
            <w:webHidden/>
          </w:rPr>
        </w:r>
        <w:r>
          <w:rPr>
            <w:webHidden/>
          </w:rPr>
          <w:fldChar w:fldCharType="separate"/>
        </w:r>
        <w:r w:rsidR="00A9465E">
          <w:rPr>
            <w:webHidden/>
          </w:rPr>
          <w:t>8</w:t>
        </w:r>
        <w:r>
          <w:rPr>
            <w:webHidden/>
          </w:rPr>
          <w:fldChar w:fldCharType="end"/>
        </w:r>
      </w:hyperlink>
    </w:p>
    <w:p w:rsidR="001C7CC4" w:rsidRDefault="00351A7E">
      <w:pPr>
        <w:pStyle w:val="TOC2"/>
        <w:rPr>
          <w:rFonts w:asciiTheme="minorHAnsi" w:eastAsiaTheme="minorEastAsia" w:hAnsiTheme="minorHAnsi" w:cstheme="minorBidi"/>
          <w:sz w:val="22"/>
          <w:szCs w:val="22"/>
        </w:rPr>
      </w:pPr>
      <w:hyperlink w:anchor="_Toc358887203" w:history="1">
        <w:r w:rsidR="001C7CC4" w:rsidRPr="00415157">
          <w:rPr>
            <w:rStyle w:val="Hyperlink"/>
          </w:rPr>
          <w:t>B.13</w:t>
        </w:r>
        <w:r w:rsidR="001C7CC4">
          <w:rPr>
            <w:rFonts w:asciiTheme="minorHAnsi" w:eastAsiaTheme="minorEastAsia" w:hAnsiTheme="minorHAnsi" w:cstheme="minorBidi"/>
            <w:sz w:val="22"/>
            <w:szCs w:val="22"/>
          </w:rPr>
          <w:tab/>
        </w:r>
        <w:r w:rsidR="001C7CC4" w:rsidRPr="00415157">
          <w:rPr>
            <w:rStyle w:val="Hyperlink"/>
          </w:rPr>
          <w:t>Capital Costs</w:t>
        </w:r>
        <w:r w:rsidR="001C7CC4">
          <w:rPr>
            <w:webHidden/>
          </w:rPr>
          <w:tab/>
        </w:r>
        <w:r>
          <w:rPr>
            <w:webHidden/>
          </w:rPr>
          <w:fldChar w:fldCharType="begin"/>
        </w:r>
        <w:r w:rsidR="001C7CC4">
          <w:rPr>
            <w:webHidden/>
          </w:rPr>
          <w:instrText xml:space="preserve"> PAGEREF _Toc358887203 \h </w:instrText>
        </w:r>
        <w:r>
          <w:rPr>
            <w:webHidden/>
          </w:rPr>
        </w:r>
        <w:r>
          <w:rPr>
            <w:webHidden/>
          </w:rPr>
          <w:fldChar w:fldCharType="separate"/>
        </w:r>
        <w:r w:rsidR="00A9465E">
          <w:rPr>
            <w:webHidden/>
          </w:rPr>
          <w:t>10</w:t>
        </w:r>
        <w:r>
          <w:rPr>
            <w:webHidden/>
          </w:rPr>
          <w:fldChar w:fldCharType="end"/>
        </w:r>
      </w:hyperlink>
    </w:p>
    <w:p w:rsidR="001C7CC4" w:rsidRDefault="00351A7E">
      <w:pPr>
        <w:pStyle w:val="TOC2"/>
        <w:rPr>
          <w:rFonts w:asciiTheme="minorHAnsi" w:eastAsiaTheme="minorEastAsia" w:hAnsiTheme="minorHAnsi" w:cstheme="minorBidi"/>
          <w:sz w:val="22"/>
          <w:szCs w:val="22"/>
        </w:rPr>
      </w:pPr>
      <w:hyperlink w:anchor="_Toc358887204" w:history="1">
        <w:r w:rsidR="001C7CC4" w:rsidRPr="00415157">
          <w:rPr>
            <w:rStyle w:val="Hyperlink"/>
          </w:rPr>
          <w:t>B.14</w:t>
        </w:r>
        <w:r w:rsidR="001C7CC4">
          <w:rPr>
            <w:rFonts w:asciiTheme="minorHAnsi" w:eastAsiaTheme="minorEastAsia" w:hAnsiTheme="minorHAnsi" w:cstheme="minorBidi"/>
            <w:sz w:val="22"/>
            <w:szCs w:val="22"/>
          </w:rPr>
          <w:tab/>
        </w:r>
        <w:r w:rsidR="001C7CC4" w:rsidRPr="00415157">
          <w:rPr>
            <w:rStyle w:val="Hyperlink"/>
          </w:rPr>
          <w:t>Cost to Federal Government</w:t>
        </w:r>
        <w:r w:rsidR="001C7CC4">
          <w:rPr>
            <w:webHidden/>
          </w:rPr>
          <w:tab/>
        </w:r>
        <w:r>
          <w:rPr>
            <w:webHidden/>
          </w:rPr>
          <w:fldChar w:fldCharType="begin"/>
        </w:r>
        <w:r w:rsidR="001C7CC4">
          <w:rPr>
            <w:webHidden/>
          </w:rPr>
          <w:instrText xml:space="preserve"> PAGEREF _Toc358887204 \h </w:instrText>
        </w:r>
        <w:r>
          <w:rPr>
            <w:webHidden/>
          </w:rPr>
        </w:r>
        <w:r>
          <w:rPr>
            <w:webHidden/>
          </w:rPr>
          <w:fldChar w:fldCharType="separate"/>
        </w:r>
        <w:r w:rsidR="00A9465E">
          <w:rPr>
            <w:webHidden/>
          </w:rPr>
          <w:t>10</w:t>
        </w:r>
        <w:r>
          <w:rPr>
            <w:webHidden/>
          </w:rPr>
          <w:fldChar w:fldCharType="end"/>
        </w:r>
      </w:hyperlink>
    </w:p>
    <w:p w:rsidR="001C7CC4" w:rsidRDefault="00351A7E">
      <w:pPr>
        <w:pStyle w:val="TOC2"/>
        <w:rPr>
          <w:rFonts w:asciiTheme="minorHAnsi" w:eastAsiaTheme="minorEastAsia" w:hAnsiTheme="minorHAnsi" w:cstheme="minorBidi"/>
          <w:sz w:val="22"/>
          <w:szCs w:val="22"/>
        </w:rPr>
      </w:pPr>
      <w:hyperlink w:anchor="_Toc358887205" w:history="1">
        <w:r w:rsidR="001C7CC4" w:rsidRPr="00415157">
          <w:rPr>
            <w:rStyle w:val="Hyperlink"/>
          </w:rPr>
          <w:t>B.15</w:t>
        </w:r>
        <w:r w:rsidR="001C7CC4">
          <w:rPr>
            <w:rFonts w:asciiTheme="minorHAnsi" w:eastAsiaTheme="minorEastAsia" w:hAnsiTheme="minorHAnsi" w:cstheme="minorBidi"/>
            <w:sz w:val="22"/>
            <w:szCs w:val="22"/>
          </w:rPr>
          <w:tab/>
        </w:r>
        <w:r w:rsidR="001C7CC4" w:rsidRPr="00415157">
          <w:rPr>
            <w:rStyle w:val="Hyperlink"/>
          </w:rPr>
          <w:t>Changes to Burden</w:t>
        </w:r>
        <w:r w:rsidR="001C7CC4">
          <w:rPr>
            <w:webHidden/>
          </w:rPr>
          <w:tab/>
        </w:r>
        <w:r>
          <w:rPr>
            <w:webHidden/>
          </w:rPr>
          <w:fldChar w:fldCharType="begin"/>
        </w:r>
        <w:r w:rsidR="001C7CC4">
          <w:rPr>
            <w:webHidden/>
          </w:rPr>
          <w:instrText xml:space="preserve"> PAGEREF _Toc358887205 \h </w:instrText>
        </w:r>
        <w:r>
          <w:rPr>
            <w:webHidden/>
          </w:rPr>
        </w:r>
        <w:r>
          <w:rPr>
            <w:webHidden/>
          </w:rPr>
          <w:fldChar w:fldCharType="separate"/>
        </w:r>
        <w:r w:rsidR="00A9465E">
          <w:rPr>
            <w:webHidden/>
          </w:rPr>
          <w:t>11</w:t>
        </w:r>
        <w:r>
          <w:rPr>
            <w:webHidden/>
          </w:rPr>
          <w:fldChar w:fldCharType="end"/>
        </w:r>
      </w:hyperlink>
    </w:p>
    <w:p w:rsidR="001C7CC4" w:rsidRDefault="00351A7E">
      <w:pPr>
        <w:pStyle w:val="TOC2"/>
        <w:rPr>
          <w:rFonts w:asciiTheme="minorHAnsi" w:eastAsiaTheme="minorEastAsia" w:hAnsiTheme="minorHAnsi" w:cstheme="minorBidi"/>
          <w:sz w:val="22"/>
          <w:szCs w:val="22"/>
        </w:rPr>
      </w:pPr>
      <w:hyperlink w:anchor="_Toc358887206" w:history="1">
        <w:r w:rsidR="001C7CC4" w:rsidRPr="00415157">
          <w:rPr>
            <w:rStyle w:val="Hyperlink"/>
          </w:rPr>
          <w:t>B.16</w:t>
        </w:r>
        <w:r w:rsidR="001C7CC4">
          <w:rPr>
            <w:rFonts w:asciiTheme="minorHAnsi" w:eastAsiaTheme="minorEastAsia" w:hAnsiTheme="minorHAnsi" w:cstheme="minorBidi"/>
            <w:sz w:val="22"/>
            <w:szCs w:val="22"/>
          </w:rPr>
          <w:tab/>
        </w:r>
        <w:r w:rsidR="001C7CC4" w:rsidRPr="00415157">
          <w:rPr>
            <w:rStyle w:val="Hyperlink"/>
          </w:rPr>
          <w:t>Publication/Tabulation Dates</w:t>
        </w:r>
        <w:r w:rsidR="001C7CC4">
          <w:rPr>
            <w:webHidden/>
          </w:rPr>
          <w:tab/>
        </w:r>
        <w:r>
          <w:rPr>
            <w:webHidden/>
          </w:rPr>
          <w:fldChar w:fldCharType="begin"/>
        </w:r>
        <w:r w:rsidR="001C7CC4">
          <w:rPr>
            <w:webHidden/>
          </w:rPr>
          <w:instrText xml:space="preserve"> PAGEREF _Toc358887206 \h </w:instrText>
        </w:r>
        <w:r>
          <w:rPr>
            <w:webHidden/>
          </w:rPr>
        </w:r>
        <w:r>
          <w:rPr>
            <w:webHidden/>
          </w:rPr>
          <w:fldChar w:fldCharType="separate"/>
        </w:r>
        <w:r w:rsidR="00A9465E">
          <w:rPr>
            <w:webHidden/>
          </w:rPr>
          <w:t>11</w:t>
        </w:r>
        <w:r>
          <w:rPr>
            <w:webHidden/>
          </w:rPr>
          <w:fldChar w:fldCharType="end"/>
        </w:r>
      </w:hyperlink>
    </w:p>
    <w:p w:rsidR="001C7CC4" w:rsidRDefault="00351A7E">
      <w:pPr>
        <w:pStyle w:val="TOC2"/>
        <w:rPr>
          <w:rFonts w:asciiTheme="minorHAnsi" w:eastAsiaTheme="minorEastAsia" w:hAnsiTheme="minorHAnsi" w:cstheme="minorBidi"/>
          <w:sz w:val="22"/>
          <w:szCs w:val="22"/>
        </w:rPr>
      </w:pPr>
      <w:hyperlink w:anchor="_Toc358887207" w:history="1">
        <w:r w:rsidR="001C7CC4" w:rsidRPr="00415157">
          <w:rPr>
            <w:rStyle w:val="Hyperlink"/>
          </w:rPr>
          <w:t>B.17</w:t>
        </w:r>
        <w:r w:rsidR="001C7CC4">
          <w:rPr>
            <w:rFonts w:asciiTheme="minorHAnsi" w:eastAsiaTheme="minorEastAsia" w:hAnsiTheme="minorHAnsi" w:cstheme="minorBidi"/>
            <w:sz w:val="22"/>
            <w:szCs w:val="22"/>
          </w:rPr>
          <w:tab/>
        </w:r>
        <w:r w:rsidR="001C7CC4" w:rsidRPr="00415157">
          <w:rPr>
            <w:rStyle w:val="Hyperlink"/>
          </w:rPr>
          <w:t>Expiration Date</w:t>
        </w:r>
        <w:r w:rsidR="001C7CC4">
          <w:rPr>
            <w:webHidden/>
          </w:rPr>
          <w:tab/>
        </w:r>
        <w:r>
          <w:rPr>
            <w:webHidden/>
          </w:rPr>
          <w:fldChar w:fldCharType="begin"/>
        </w:r>
        <w:r w:rsidR="001C7CC4">
          <w:rPr>
            <w:webHidden/>
          </w:rPr>
          <w:instrText xml:space="preserve"> PAGEREF _Toc358887207 \h </w:instrText>
        </w:r>
        <w:r>
          <w:rPr>
            <w:webHidden/>
          </w:rPr>
        </w:r>
        <w:r>
          <w:rPr>
            <w:webHidden/>
          </w:rPr>
          <w:fldChar w:fldCharType="separate"/>
        </w:r>
        <w:r w:rsidR="00A9465E">
          <w:rPr>
            <w:webHidden/>
          </w:rPr>
          <w:t>11</w:t>
        </w:r>
        <w:r>
          <w:rPr>
            <w:webHidden/>
          </w:rPr>
          <w:fldChar w:fldCharType="end"/>
        </w:r>
      </w:hyperlink>
    </w:p>
    <w:p w:rsidR="001C7CC4" w:rsidRDefault="00351A7E">
      <w:pPr>
        <w:pStyle w:val="TOC2"/>
        <w:rPr>
          <w:rFonts w:asciiTheme="minorHAnsi" w:eastAsiaTheme="minorEastAsia" w:hAnsiTheme="minorHAnsi" w:cstheme="minorBidi"/>
          <w:sz w:val="22"/>
          <w:szCs w:val="22"/>
        </w:rPr>
      </w:pPr>
      <w:hyperlink w:anchor="_Toc358887208" w:history="1">
        <w:r w:rsidR="001C7CC4" w:rsidRPr="00415157">
          <w:rPr>
            <w:rStyle w:val="Hyperlink"/>
          </w:rPr>
          <w:t>B.18</w:t>
        </w:r>
        <w:r w:rsidR="001C7CC4">
          <w:rPr>
            <w:rFonts w:asciiTheme="minorHAnsi" w:eastAsiaTheme="minorEastAsia" w:hAnsiTheme="minorHAnsi" w:cstheme="minorBidi"/>
            <w:sz w:val="22"/>
            <w:szCs w:val="22"/>
          </w:rPr>
          <w:tab/>
        </w:r>
        <w:r w:rsidR="001C7CC4" w:rsidRPr="00415157">
          <w:rPr>
            <w:rStyle w:val="Hyperlink"/>
          </w:rPr>
          <w:t>Certification Statement</w:t>
        </w:r>
        <w:r w:rsidR="001C7CC4">
          <w:rPr>
            <w:webHidden/>
          </w:rPr>
          <w:tab/>
        </w:r>
        <w:r>
          <w:rPr>
            <w:webHidden/>
          </w:rPr>
          <w:fldChar w:fldCharType="begin"/>
        </w:r>
        <w:r w:rsidR="001C7CC4">
          <w:rPr>
            <w:webHidden/>
          </w:rPr>
          <w:instrText xml:space="preserve"> PAGEREF _Toc358887208 \h </w:instrText>
        </w:r>
        <w:r>
          <w:rPr>
            <w:webHidden/>
          </w:rPr>
        </w:r>
        <w:r>
          <w:rPr>
            <w:webHidden/>
          </w:rPr>
          <w:fldChar w:fldCharType="separate"/>
        </w:r>
        <w:r w:rsidR="00A9465E">
          <w:rPr>
            <w:webHidden/>
          </w:rPr>
          <w:t>11</w:t>
        </w:r>
        <w:r>
          <w:rPr>
            <w:webHidden/>
          </w:rPr>
          <w:fldChar w:fldCharType="end"/>
        </w:r>
      </w:hyperlink>
    </w:p>
    <w:p w:rsidR="001C7CC4" w:rsidRDefault="00351A7E">
      <w:pPr>
        <w:pStyle w:val="TOC1"/>
        <w:rPr>
          <w:rFonts w:asciiTheme="minorHAnsi" w:eastAsiaTheme="minorEastAsia" w:hAnsiTheme="minorHAnsi" w:cstheme="minorBidi"/>
          <w:sz w:val="22"/>
          <w:szCs w:val="22"/>
        </w:rPr>
      </w:pPr>
      <w:hyperlink w:anchor="_Toc358887209" w:history="1">
        <w:r w:rsidR="001C7CC4" w:rsidRPr="00415157">
          <w:rPr>
            <w:rStyle w:val="Hyperlink"/>
          </w:rPr>
          <w:t>References</w:t>
        </w:r>
        <w:r w:rsidR="001C7CC4">
          <w:rPr>
            <w:webHidden/>
          </w:rPr>
          <w:tab/>
        </w:r>
        <w:r>
          <w:rPr>
            <w:webHidden/>
          </w:rPr>
          <w:fldChar w:fldCharType="begin"/>
        </w:r>
        <w:r w:rsidR="001C7CC4">
          <w:rPr>
            <w:webHidden/>
          </w:rPr>
          <w:instrText xml:space="preserve"> PAGEREF _Toc358887209 \h </w:instrText>
        </w:r>
        <w:r>
          <w:rPr>
            <w:webHidden/>
          </w:rPr>
        </w:r>
        <w:r>
          <w:rPr>
            <w:webHidden/>
          </w:rPr>
          <w:fldChar w:fldCharType="separate"/>
        </w:r>
        <w:r w:rsidR="00A9465E">
          <w:rPr>
            <w:webHidden/>
          </w:rPr>
          <w:t>12</w:t>
        </w:r>
        <w:r>
          <w:rPr>
            <w:webHidden/>
          </w:rPr>
          <w:fldChar w:fldCharType="end"/>
        </w:r>
      </w:hyperlink>
    </w:p>
    <w:p w:rsidR="00EC74F3" w:rsidRDefault="00351A7E" w:rsidP="00E945A5">
      <w:pPr>
        <w:pStyle w:val="TOC0"/>
        <w:keepNext/>
        <w:rPr>
          <w:noProof/>
        </w:rPr>
      </w:pPr>
      <w:r w:rsidRPr="005A2446">
        <w:rPr>
          <w:noProof/>
        </w:rPr>
        <w:lastRenderedPageBreak/>
        <w:fldChar w:fldCharType="end"/>
      </w:r>
      <w:bookmarkStart w:id="1" w:name="_Toc79980788"/>
    </w:p>
    <w:p w:rsidR="00E945A5" w:rsidRPr="005A2446" w:rsidRDefault="00E945A5" w:rsidP="00E945A5">
      <w:pPr>
        <w:pStyle w:val="TOC0"/>
        <w:keepNext/>
        <w:rPr>
          <w:noProof/>
        </w:rPr>
      </w:pPr>
      <w:r w:rsidRPr="005A2446">
        <w:rPr>
          <w:noProof/>
        </w:rPr>
        <w:t>Tables</w:t>
      </w:r>
    </w:p>
    <w:p w:rsidR="00E945A5" w:rsidRPr="005A2446" w:rsidRDefault="00E945A5" w:rsidP="00E945A5">
      <w:pPr>
        <w:tabs>
          <w:tab w:val="right" w:pos="9630"/>
        </w:tabs>
        <w:spacing w:before="120" w:after="240"/>
        <w:rPr>
          <w:color w:val="000000"/>
        </w:rPr>
      </w:pPr>
      <w:r w:rsidRPr="005A2446">
        <w:rPr>
          <w:b/>
          <w:color w:val="000000"/>
        </w:rPr>
        <w:t>Number</w:t>
      </w:r>
      <w:r w:rsidRPr="005A2446">
        <w:rPr>
          <w:color w:val="000000"/>
        </w:rPr>
        <w:tab/>
      </w:r>
      <w:r w:rsidRPr="005A2446">
        <w:rPr>
          <w:b/>
          <w:color w:val="000000"/>
        </w:rPr>
        <w:t>Page</w:t>
      </w:r>
    </w:p>
    <w:p w:rsidR="00E945A5" w:rsidRDefault="00E945A5" w:rsidP="00E945A5">
      <w:pPr>
        <w:pStyle w:val="TableofFigures"/>
        <w:tabs>
          <w:tab w:val="left" w:pos="1350"/>
        </w:tabs>
      </w:pPr>
      <w:r>
        <w:t>1</w:t>
      </w:r>
      <w:r w:rsidRPr="005D53FC">
        <w:t>.</w:t>
      </w:r>
      <w:r w:rsidRPr="005D53FC">
        <w:rPr>
          <w:rFonts w:eastAsiaTheme="minorEastAsia"/>
        </w:rPr>
        <w:tab/>
      </w:r>
      <w:r>
        <w:t>Pretest Survey Respondents</w:t>
      </w:r>
      <w:r w:rsidRPr="005D53FC">
        <w:rPr>
          <w:webHidden/>
        </w:rPr>
        <w:tab/>
      </w:r>
      <w:r w:rsidR="00D906CD">
        <w:rPr>
          <w:webHidden/>
        </w:rPr>
        <w:t>7</w:t>
      </w:r>
    </w:p>
    <w:p w:rsidR="00E945A5" w:rsidRDefault="00351A7E" w:rsidP="00E945A5">
      <w:pPr>
        <w:pStyle w:val="TableofFigures"/>
        <w:tabs>
          <w:tab w:val="left" w:pos="1350"/>
        </w:tabs>
        <w:rPr>
          <w:rFonts w:asciiTheme="minorHAnsi" w:eastAsiaTheme="minorEastAsia" w:hAnsiTheme="minorHAnsi" w:cstheme="minorBidi"/>
          <w:sz w:val="22"/>
          <w:szCs w:val="22"/>
        </w:rPr>
      </w:pPr>
      <w:r w:rsidRPr="00351A7E">
        <w:fldChar w:fldCharType="begin"/>
      </w:r>
      <w:r w:rsidR="00E945A5">
        <w:instrText xml:space="preserve"> TOC \h \z \t "Table Title" \c </w:instrText>
      </w:r>
      <w:r w:rsidRPr="00351A7E">
        <w:fldChar w:fldCharType="separate"/>
      </w:r>
      <w:hyperlink w:anchor="_Toc354391752" w:history="1">
        <w:r w:rsidR="00E945A5">
          <w:rPr>
            <w:rStyle w:val="Hyperlink"/>
          </w:rPr>
          <w:t>2</w:t>
        </w:r>
        <w:r w:rsidR="00E945A5" w:rsidRPr="004C06E9">
          <w:rPr>
            <w:rStyle w:val="Hyperlink"/>
          </w:rPr>
          <w:t>.</w:t>
        </w:r>
        <w:r w:rsidR="00E945A5">
          <w:rPr>
            <w:rFonts w:asciiTheme="minorHAnsi" w:eastAsiaTheme="minorEastAsia" w:hAnsiTheme="minorHAnsi" w:cstheme="minorBidi"/>
            <w:sz w:val="22"/>
            <w:szCs w:val="22"/>
          </w:rPr>
          <w:tab/>
        </w:r>
        <w:r w:rsidR="00E945A5" w:rsidRPr="004C06E9">
          <w:rPr>
            <w:rStyle w:val="Hyperlink"/>
          </w:rPr>
          <w:t>Estimated Response Burden Table (Hours)</w:t>
        </w:r>
        <w:r w:rsidR="00E945A5">
          <w:rPr>
            <w:webHidden/>
          </w:rPr>
          <w:tab/>
        </w:r>
      </w:hyperlink>
      <w:r w:rsidR="00D906CD">
        <w:t>8</w:t>
      </w:r>
    </w:p>
    <w:p w:rsidR="00E945A5" w:rsidRDefault="00351A7E" w:rsidP="00E945A5">
      <w:pPr>
        <w:pStyle w:val="TableofFigures"/>
        <w:tabs>
          <w:tab w:val="left" w:pos="1350"/>
        </w:tabs>
        <w:rPr>
          <w:rFonts w:asciiTheme="minorHAnsi" w:eastAsiaTheme="minorEastAsia" w:hAnsiTheme="minorHAnsi" w:cstheme="minorBidi"/>
          <w:sz w:val="22"/>
          <w:szCs w:val="22"/>
        </w:rPr>
      </w:pPr>
      <w:hyperlink w:anchor="_Toc354391753" w:history="1">
        <w:r w:rsidR="00E945A5">
          <w:rPr>
            <w:rStyle w:val="Hyperlink"/>
          </w:rPr>
          <w:t>3</w:t>
        </w:r>
        <w:r w:rsidR="00E945A5" w:rsidRPr="004C06E9">
          <w:rPr>
            <w:rStyle w:val="Hyperlink"/>
          </w:rPr>
          <w:t>.</w:t>
        </w:r>
        <w:r w:rsidR="00E945A5">
          <w:rPr>
            <w:rFonts w:asciiTheme="minorHAnsi" w:eastAsiaTheme="minorEastAsia" w:hAnsiTheme="minorHAnsi" w:cstheme="minorBidi"/>
            <w:sz w:val="22"/>
            <w:szCs w:val="22"/>
          </w:rPr>
          <w:tab/>
        </w:r>
        <w:r w:rsidR="00E945A5" w:rsidRPr="004C06E9">
          <w:rPr>
            <w:rStyle w:val="Hyperlink"/>
          </w:rPr>
          <w:t>Estimated Response Burden Table (Annualized Wages)</w:t>
        </w:r>
        <w:r w:rsidR="00E945A5">
          <w:rPr>
            <w:webHidden/>
          </w:rPr>
          <w:tab/>
        </w:r>
        <w:r>
          <w:rPr>
            <w:webHidden/>
          </w:rPr>
          <w:fldChar w:fldCharType="begin"/>
        </w:r>
        <w:r w:rsidR="00E945A5">
          <w:rPr>
            <w:webHidden/>
          </w:rPr>
          <w:instrText xml:space="preserve"> PAGEREF _Toc354391753 \h </w:instrText>
        </w:r>
        <w:r>
          <w:rPr>
            <w:webHidden/>
          </w:rPr>
        </w:r>
        <w:r>
          <w:rPr>
            <w:webHidden/>
          </w:rPr>
          <w:fldChar w:fldCharType="separate"/>
        </w:r>
        <w:r w:rsidR="00A9465E">
          <w:rPr>
            <w:webHidden/>
          </w:rPr>
          <w:t>9</w:t>
        </w:r>
        <w:r>
          <w:rPr>
            <w:webHidden/>
          </w:rPr>
          <w:fldChar w:fldCharType="end"/>
        </w:r>
      </w:hyperlink>
    </w:p>
    <w:p w:rsidR="00E945A5" w:rsidRDefault="00351A7E" w:rsidP="00E945A5">
      <w:pPr>
        <w:pStyle w:val="TableofFigures"/>
        <w:tabs>
          <w:tab w:val="left" w:pos="1350"/>
        </w:tabs>
        <w:rPr>
          <w:rFonts w:asciiTheme="minorHAnsi" w:eastAsiaTheme="minorEastAsia" w:hAnsiTheme="minorHAnsi" w:cstheme="minorBidi"/>
          <w:sz w:val="22"/>
          <w:szCs w:val="22"/>
        </w:rPr>
      </w:pPr>
      <w:hyperlink w:anchor="_Toc354391759" w:history="1">
        <w:r w:rsidR="00E945A5">
          <w:rPr>
            <w:rStyle w:val="Hyperlink"/>
          </w:rPr>
          <w:t>4</w:t>
        </w:r>
        <w:r w:rsidR="00E945A5" w:rsidRPr="004C06E9">
          <w:rPr>
            <w:rStyle w:val="Hyperlink"/>
          </w:rPr>
          <w:t>.</w:t>
        </w:r>
        <w:r w:rsidR="00E945A5">
          <w:rPr>
            <w:rFonts w:asciiTheme="minorHAnsi" w:eastAsiaTheme="minorEastAsia" w:hAnsiTheme="minorHAnsi" w:cstheme="minorBidi"/>
            <w:sz w:val="22"/>
            <w:szCs w:val="22"/>
          </w:rPr>
          <w:tab/>
        </w:r>
        <w:r w:rsidR="00E945A5" w:rsidRPr="004C06E9">
          <w:rPr>
            <w:rStyle w:val="Hyperlink"/>
          </w:rPr>
          <w:t xml:space="preserve">Costs to the Federal Government: </w:t>
        </w:r>
        <w:r w:rsidR="00E945A5">
          <w:rPr>
            <w:rStyle w:val="Hyperlink"/>
          </w:rPr>
          <w:t>HRSA</w:t>
        </w:r>
        <w:r w:rsidR="00E945A5">
          <w:rPr>
            <w:webHidden/>
          </w:rPr>
          <w:tab/>
        </w:r>
      </w:hyperlink>
      <w:r w:rsidR="00D906CD">
        <w:t>10</w:t>
      </w:r>
    </w:p>
    <w:p w:rsidR="00E945A5" w:rsidRDefault="00351A7E" w:rsidP="00E945A5">
      <w:pPr>
        <w:pStyle w:val="TableofFigures"/>
        <w:tabs>
          <w:tab w:val="left" w:pos="1350"/>
        </w:tabs>
        <w:rPr>
          <w:rFonts w:asciiTheme="minorHAnsi" w:eastAsiaTheme="minorEastAsia" w:hAnsiTheme="minorHAnsi" w:cstheme="minorBidi"/>
          <w:sz w:val="22"/>
          <w:szCs w:val="22"/>
        </w:rPr>
      </w:pPr>
      <w:hyperlink w:anchor="_Toc354391761" w:history="1">
        <w:r w:rsidR="00E945A5">
          <w:rPr>
            <w:rStyle w:val="Hyperlink"/>
          </w:rPr>
          <w:t>5</w:t>
        </w:r>
        <w:r w:rsidR="00E945A5" w:rsidRPr="004C06E9">
          <w:rPr>
            <w:rStyle w:val="Hyperlink"/>
          </w:rPr>
          <w:t>.</w:t>
        </w:r>
        <w:r w:rsidR="00E945A5">
          <w:rPr>
            <w:rFonts w:asciiTheme="minorHAnsi" w:eastAsiaTheme="minorEastAsia" w:hAnsiTheme="minorHAnsi" w:cstheme="minorBidi"/>
            <w:sz w:val="22"/>
            <w:szCs w:val="22"/>
          </w:rPr>
          <w:tab/>
        </w:r>
        <w:r w:rsidR="00E945A5" w:rsidRPr="004C06E9">
          <w:rPr>
            <w:rStyle w:val="Hyperlink"/>
          </w:rPr>
          <w:t>Costs to the Federal Government: Contractor</w:t>
        </w:r>
        <w:r w:rsidR="00E945A5">
          <w:rPr>
            <w:webHidden/>
          </w:rPr>
          <w:tab/>
        </w:r>
      </w:hyperlink>
      <w:r w:rsidR="00D906CD">
        <w:t>11</w:t>
      </w:r>
    </w:p>
    <w:p w:rsidR="00551574" w:rsidRDefault="00351A7E" w:rsidP="00551574">
      <w:pPr>
        <w:pStyle w:val="TOC0"/>
        <w:keepNext/>
      </w:pPr>
      <w:r>
        <w:fldChar w:fldCharType="end"/>
      </w:r>
    </w:p>
    <w:p w:rsidR="00551574" w:rsidRDefault="00551574" w:rsidP="00551574">
      <w:pPr>
        <w:pStyle w:val="TOC0"/>
        <w:keepNext/>
      </w:pPr>
    </w:p>
    <w:p w:rsidR="00EC74F3" w:rsidRDefault="00EC74F3" w:rsidP="00551574">
      <w:pPr>
        <w:pStyle w:val="TOC0"/>
      </w:pPr>
    </w:p>
    <w:p w:rsidR="00551574" w:rsidRPr="005A2446" w:rsidRDefault="00551574" w:rsidP="00551574">
      <w:pPr>
        <w:pStyle w:val="TOC0"/>
      </w:pPr>
      <w:r w:rsidRPr="005A2446">
        <w:t>LIST OF ATTACHMENTS</w:t>
      </w:r>
    </w:p>
    <w:p w:rsidR="00677296" w:rsidRDefault="00677296" w:rsidP="00551574">
      <w:pPr>
        <w:ind w:left="1620" w:hanging="1620"/>
      </w:pPr>
      <w:r>
        <w:t xml:space="preserve">Attachment 1:    </w:t>
      </w:r>
      <w:r w:rsidR="00ED467C">
        <w:rPr>
          <w:color w:val="000000"/>
        </w:rPr>
        <w:t>Section 501 of Title V of the Social Security Act</w:t>
      </w:r>
    </w:p>
    <w:p w:rsidR="00551574" w:rsidRDefault="00551574" w:rsidP="00551574">
      <w:pPr>
        <w:ind w:left="1620" w:hanging="1620"/>
      </w:pPr>
      <w:r>
        <w:t xml:space="preserve">Attachment </w:t>
      </w:r>
      <w:r w:rsidR="00677296">
        <w:t>2</w:t>
      </w:r>
      <w:r>
        <w:t>.</w:t>
      </w:r>
      <w:r>
        <w:tab/>
        <w:t>Summary of Federal Register Notice Comments and Responses to the Comments</w:t>
      </w:r>
    </w:p>
    <w:p w:rsidR="00551574" w:rsidRDefault="00551574" w:rsidP="00551574">
      <w:pPr>
        <w:ind w:left="1620" w:hanging="1620"/>
      </w:pPr>
      <w:r>
        <w:t xml:space="preserve">Attachment 3. </w:t>
      </w:r>
      <w:r>
        <w:tab/>
        <w:t>Summary of Comments from Pretest States and Responses</w:t>
      </w:r>
    </w:p>
    <w:p w:rsidR="00551574" w:rsidRDefault="00551574" w:rsidP="00551574">
      <w:pPr>
        <w:ind w:left="1620" w:hanging="1620"/>
      </w:pPr>
      <w:r>
        <w:t>Attachment 4.</w:t>
      </w:r>
      <w:r>
        <w:tab/>
        <w:t>Human Subjects Research Determination</w:t>
      </w:r>
    </w:p>
    <w:p w:rsidR="00551574" w:rsidRPr="00B779D4" w:rsidRDefault="00551574" w:rsidP="00551574">
      <w:pPr>
        <w:ind w:left="1620" w:hanging="1620"/>
      </w:pPr>
      <w:r>
        <w:t>Attachment 5.</w:t>
      </w:r>
      <w:r>
        <w:tab/>
        <w:t>Title V Maternal and Child Health State Formula Block Grant Services</w:t>
      </w:r>
      <w:r w:rsidRPr="00B779D4">
        <w:t xml:space="preserve"> Survey Materials</w:t>
      </w:r>
    </w:p>
    <w:p w:rsidR="00551574" w:rsidRDefault="009C08F0" w:rsidP="00551574">
      <w:pPr>
        <w:ind w:left="1620"/>
      </w:pPr>
      <w:r>
        <w:t>5</w:t>
      </w:r>
      <w:r w:rsidR="00551574" w:rsidRPr="00B779D4">
        <w:t>.</w:t>
      </w:r>
      <w:r w:rsidR="00551574">
        <w:t>a</w:t>
      </w:r>
      <w:r w:rsidR="00551574" w:rsidRPr="00B779D4">
        <w:t xml:space="preserve">. </w:t>
      </w:r>
      <w:r w:rsidR="00551574">
        <w:t>Prenotification e-mail</w:t>
      </w:r>
    </w:p>
    <w:p w:rsidR="00551574" w:rsidRDefault="009C08F0" w:rsidP="00551574">
      <w:pPr>
        <w:ind w:left="1620"/>
      </w:pPr>
      <w:r>
        <w:t>5</w:t>
      </w:r>
      <w:r w:rsidR="00551574">
        <w:t xml:space="preserve">.b. </w:t>
      </w:r>
      <w:r w:rsidR="00551574" w:rsidRPr="00B779D4">
        <w:t xml:space="preserve">Cover </w:t>
      </w:r>
      <w:r w:rsidR="00551574">
        <w:t>e-mail</w:t>
      </w:r>
    </w:p>
    <w:p w:rsidR="00551574" w:rsidRPr="00B779D4" w:rsidRDefault="009C08F0" w:rsidP="00551574">
      <w:pPr>
        <w:ind w:left="1620"/>
      </w:pPr>
      <w:r>
        <w:t>5</w:t>
      </w:r>
      <w:r w:rsidR="00551574">
        <w:t>.c. Survey</w:t>
      </w:r>
    </w:p>
    <w:p w:rsidR="00551574" w:rsidRPr="00B779D4" w:rsidRDefault="009C08F0" w:rsidP="00551574">
      <w:pPr>
        <w:ind w:left="1620"/>
      </w:pPr>
      <w:r>
        <w:t>5</w:t>
      </w:r>
      <w:r w:rsidR="00551574" w:rsidRPr="00B779D4">
        <w:t>.</w:t>
      </w:r>
      <w:r w:rsidR="00551574">
        <w:t>d</w:t>
      </w:r>
      <w:r w:rsidR="00551574" w:rsidRPr="00B779D4">
        <w:t xml:space="preserve">. </w:t>
      </w:r>
      <w:r w:rsidR="00551574" w:rsidRPr="003C6283">
        <w:t>Frequently asked questions document</w:t>
      </w:r>
    </w:p>
    <w:p w:rsidR="00551574" w:rsidRPr="00B779D4" w:rsidRDefault="009C08F0" w:rsidP="00551574">
      <w:pPr>
        <w:ind w:left="1620"/>
      </w:pPr>
      <w:r>
        <w:t>5</w:t>
      </w:r>
      <w:r w:rsidR="00551574" w:rsidRPr="00B779D4">
        <w:t>.</w:t>
      </w:r>
      <w:r w:rsidR="00551574">
        <w:t>e</w:t>
      </w:r>
      <w:r w:rsidR="00551574" w:rsidRPr="00B779D4">
        <w:t xml:space="preserve">. </w:t>
      </w:r>
      <w:r w:rsidR="00551574">
        <w:t>Reminder e-mail</w:t>
      </w:r>
    </w:p>
    <w:p w:rsidR="001A3FF9" w:rsidRDefault="00551574" w:rsidP="00551574">
      <w:pPr>
        <w:pStyle w:val="TOC0"/>
        <w:keepNext/>
        <w:rPr>
          <w:b w:val="0"/>
          <w:caps w:val="0"/>
          <w:noProof/>
        </w:rPr>
      </w:pPr>
      <w:r w:rsidRPr="005A2446" w:rsidDel="00551574">
        <w:rPr>
          <w:noProof/>
        </w:rPr>
        <w:t xml:space="preserve"> </w:t>
      </w:r>
    </w:p>
    <w:p w:rsidR="00557E34" w:rsidRDefault="00557E34" w:rsidP="000D1A66">
      <w:pPr>
        <w:pStyle w:val="Heading1"/>
        <w:numPr>
          <w:ilvl w:val="0"/>
          <w:numId w:val="37"/>
        </w:numPr>
      </w:pPr>
      <w:bookmarkStart w:id="2" w:name="_Toc343103418"/>
      <w:bookmarkStart w:id="3" w:name="_Toc358887189"/>
      <w:r w:rsidRPr="005A2446">
        <w:t>Background</w:t>
      </w:r>
      <w:bookmarkEnd w:id="2"/>
      <w:bookmarkEnd w:id="3"/>
    </w:p>
    <w:p w:rsidR="005D478A" w:rsidRPr="005D478A" w:rsidRDefault="005D478A" w:rsidP="005D478A"/>
    <w:p w:rsidR="0054178D" w:rsidRDefault="000D1A66" w:rsidP="0054178D">
      <w:pPr>
        <w:autoSpaceDE w:val="0"/>
        <w:autoSpaceDN w:val="0"/>
        <w:adjustRightInd w:val="0"/>
        <w:spacing w:line="360" w:lineRule="auto"/>
      </w:pPr>
      <w:r>
        <w:t xml:space="preserve">The Health Resources and Services Administration’s (HRSA) Maternal and Child Health Bureau (MCHB) is requesting Office of </w:t>
      </w:r>
      <w:r w:rsidR="00C17785">
        <w:t>M</w:t>
      </w:r>
      <w:r>
        <w:t xml:space="preserve">anagement and Budget (OMB) approval to collect information from 50 States and 2 jurisdictions </w:t>
      </w:r>
      <w:r w:rsidR="00C17785">
        <w:t xml:space="preserve">receiving </w:t>
      </w:r>
      <w:r w:rsidR="005D478A">
        <w:rPr>
          <w:color w:val="000000"/>
        </w:rPr>
        <w:t xml:space="preserve">State formula grants under the Maternal and Child </w:t>
      </w:r>
      <w:r w:rsidR="002F0E2A">
        <w:rPr>
          <w:color w:val="000000"/>
        </w:rPr>
        <w:t>Health (</w:t>
      </w:r>
      <w:r w:rsidR="005D478A">
        <w:rPr>
          <w:color w:val="000000"/>
        </w:rPr>
        <w:t xml:space="preserve">MCH) Services Block Grant, authorized by Section 501 of Title V of the Social Security </w:t>
      </w:r>
      <w:r w:rsidR="002F0E2A">
        <w:rPr>
          <w:color w:val="000000"/>
        </w:rPr>
        <w:t>Act (</w:t>
      </w:r>
      <w:r w:rsidR="005D478A" w:rsidRPr="005D478A">
        <w:rPr>
          <w:color w:val="000000"/>
        </w:rPr>
        <w:t>the Act),</w:t>
      </w:r>
      <w:r w:rsidR="005D478A">
        <w:rPr>
          <w:color w:val="000000"/>
        </w:rPr>
        <w:t xml:space="preserve"> PL 101-239 (see Attachment 1).  </w:t>
      </w:r>
      <w:r>
        <w:t xml:space="preserve"> The purpose of this information collection </w:t>
      </w:r>
      <w:r w:rsidR="00FF6256">
        <w:t xml:space="preserve">is to </w:t>
      </w:r>
    </w:p>
    <w:p w:rsidR="00633A43" w:rsidRDefault="00F4448A" w:rsidP="00F4448A">
      <w:pPr>
        <w:autoSpaceDE w:val="0"/>
        <w:autoSpaceDN w:val="0"/>
        <w:adjustRightInd w:val="0"/>
        <w:spacing w:line="360" w:lineRule="auto"/>
      </w:pPr>
      <w:r>
        <w:t>characterize possible changes</w:t>
      </w:r>
      <w:r w:rsidR="00FF6256">
        <w:t xml:space="preserve"> </w:t>
      </w:r>
      <w:r>
        <w:t xml:space="preserve">in </w:t>
      </w:r>
      <w:r w:rsidR="00FF6256">
        <w:t>the f</w:t>
      </w:r>
      <w:r w:rsidR="00FF6256" w:rsidRPr="002C53C1">
        <w:t xml:space="preserve">ederal investment </w:t>
      </w:r>
      <w:r w:rsidR="00D064B9">
        <w:t xml:space="preserve">of </w:t>
      </w:r>
      <w:r w:rsidR="00FF6256">
        <w:t xml:space="preserve">funds provided via the Title V MCH block grant </w:t>
      </w:r>
      <w:r>
        <w:t xml:space="preserve">as </w:t>
      </w:r>
      <w:r w:rsidR="00FF6256">
        <w:t xml:space="preserve">children shift between </w:t>
      </w:r>
      <w:r w:rsidR="00D064B9">
        <w:t>coverage</w:t>
      </w:r>
      <w:r w:rsidR="00FF6256">
        <w:t xml:space="preserve"> categories as a result of implementation of the </w:t>
      </w:r>
      <w:r w:rsidR="00FF6256">
        <w:lastRenderedPageBreak/>
        <w:t xml:space="preserve">Affordable Care Act (ACA).  </w:t>
      </w:r>
      <w:r w:rsidR="00CF292A">
        <w:t xml:space="preserve">The </w:t>
      </w:r>
      <w:r w:rsidR="00633A43" w:rsidRPr="002C53C1">
        <w:t>Title V</w:t>
      </w:r>
      <w:r w:rsidR="00CF292A">
        <w:t xml:space="preserve"> program</w:t>
      </w:r>
      <w:r w:rsidR="00633A43" w:rsidRPr="002C53C1">
        <w:t xml:space="preserve"> operates </w:t>
      </w:r>
      <w:r w:rsidR="00C00BD0">
        <w:t>as a federal-state partnership</w:t>
      </w:r>
      <w:r w:rsidR="00CF292A">
        <w:t>,</w:t>
      </w:r>
      <w:r w:rsidR="00C00BD0">
        <w:t xml:space="preserve"> </w:t>
      </w:r>
      <w:r w:rsidR="00633A43" w:rsidRPr="002C53C1">
        <w:t xml:space="preserve">with </w:t>
      </w:r>
      <w:r w:rsidR="00C00BD0">
        <w:t xml:space="preserve">all 50 </w:t>
      </w:r>
      <w:r w:rsidR="00633A43" w:rsidRPr="002C53C1">
        <w:t>states</w:t>
      </w:r>
      <w:r w:rsidR="00C00BD0">
        <w:t>, the District of Columbia, and U.S. territories (hereafter referred to collectively as states)</w:t>
      </w:r>
      <w:r w:rsidR="00633A43" w:rsidRPr="002C53C1">
        <w:t xml:space="preserve"> applying annually for an allocation of federal funds, known as the Maternal and Child Health</w:t>
      </w:r>
      <w:r w:rsidR="007E28B2">
        <w:t xml:space="preserve"> (MCH)</w:t>
      </w:r>
      <w:r w:rsidR="00633A43" w:rsidRPr="002C53C1">
        <w:t xml:space="preserve"> Services Title V Block Grant</w:t>
      </w:r>
      <w:r w:rsidR="00633A43">
        <w:t>,</w:t>
      </w:r>
      <w:r w:rsidR="00633A43" w:rsidRPr="002C53C1">
        <w:t xml:space="preserve"> which are distributed by the </w:t>
      </w:r>
      <w:r w:rsidR="000D1A66">
        <w:t xml:space="preserve">HRSA’s MCHB. </w:t>
      </w:r>
      <w:r w:rsidR="00633A43" w:rsidRPr="002C53C1">
        <w:t>As a block grant program, states are given wide latitude in how they u</w:t>
      </w:r>
      <w:r w:rsidR="00534ED8">
        <w:t>s</w:t>
      </w:r>
      <w:r w:rsidR="00633A43" w:rsidRPr="002C53C1">
        <w:t xml:space="preserve">e </w:t>
      </w:r>
      <w:r w:rsidR="00534ED8">
        <w:t>f</w:t>
      </w:r>
      <w:r w:rsidR="00534ED8" w:rsidRPr="002C53C1">
        <w:t xml:space="preserve">ederal </w:t>
      </w:r>
      <w:r w:rsidR="00633A43" w:rsidRPr="002C53C1">
        <w:t xml:space="preserve">Title V funds to implement a variety of MCH and </w:t>
      </w:r>
      <w:r w:rsidR="007E28B2">
        <w:t xml:space="preserve">Children with Special </w:t>
      </w:r>
      <w:r w:rsidR="00350B6D">
        <w:t>Health</w:t>
      </w:r>
      <w:r w:rsidR="007E28B2">
        <w:t xml:space="preserve"> Care Needs (</w:t>
      </w:r>
      <w:r w:rsidR="00633A43" w:rsidRPr="002C53C1">
        <w:t>CSHCN</w:t>
      </w:r>
      <w:r w:rsidR="007E28B2">
        <w:t>)</w:t>
      </w:r>
      <w:r w:rsidR="00633A43" w:rsidRPr="002C53C1">
        <w:t xml:space="preserve"> programs and activities. </w:t>
      </w:r>
      <w:r w:rsidR="001B3BC2">
        <w:t>In general, though, s</w:t>
      </w:r>
      <w:r w:rsidR="00633A43" w:rsidRPr="002C53C1">
        <w:t>tates use Title V funds to provide</w:t>
      </w:r>
      <w:r w:rsidR="00CB5301">
        <w:t xml:space="preserve"> women and children</w:t>
      </w:r>
      <w:r w:rsidR="00633A43" w:rsidRPr="002C53C1">
        <w:t xml:space="preserve"> </w:t>
      </w:r>
      <w:r w:rsidR="00422DB0">
        <w:t xml:space="preserve">with </w:t>
      </w:r>
      <w:r w:rsidR="00633A43" w:rsidRPr="002C53C1">
        <w:t xml:space="preserve">four broad categories of services as stipulated under the </w:t>
      </w:r>
      <w:r w:rsidR="00FD6829">
        <w:t>b</w:t>
      </w:r>
      <w:r w:rsidR="00FD6829" w:rsidRPr="002C53C1">
        <w:t xml:space="preserve">lock </w:t>
      </w:r>
      <w:r w:rsidR="00FD6829">
        <w:t>g</w:t>
      </w:r>
      <w:r w:rsidR="00FD6829" w:rsidRPr="002C53C1">
        <w:t>rant</w:t>
      </w:r>
      <w:r w:rsidR="00534ED8">
        <w:t xml:space="preserve">: </w:t>
      </w:r>
      <w:r w:rsidR="00633A43" w:rsidRPr="002C53C1">
        <w:t>infrastructure-building, population-based</w:t>
      </w:r>
      <w:r w:rsidR="00CF292A">
        <w:t>, enabling, and direct services</w:t>
      </w:r>
      <w:r w:rsidR="00633A43" w:rsidRPr="002C53C1">
        <w:t>.</w:t>
      </w:r>
      <w:r w:rsidR="00CB5301">
        <w:t xml:space="preserve"> For this information collection, </w:t>
      </w:r>
      <w:r w:rsidR="00DE16F5">
        <w:t xml:space="preserve">HRSA is particularly interested in direct services (hereafter referred to as services), i.e., medical, allied health, and support </w:t>
      </w:r>
      <w:r w:rsidR="00DE16F5" w:rsidRPr="002504DB">
        <w:t>services</w:t>
      </w:r>
      <w:r w:rsidR="00DE16F5">
        <w:t>; medical equipment; and supplies</w:t>
      </w:r>
      <w:r w:rsidR="00DE16F5" w:rsidRPr="002504DB">
        <w:t xml:space="preserve"> </w:t>
      </w:r>
      <w:r w:rsidR="00422DB0">
        <w:t xml:space="preserve">that are </w:t>
      </w:r>
      <w:r w:rsidR="00DE16F5" w:rsidRPr="002504DB">
        <w:t>typically reimbursed by public</w:t>
      </w:r>
      <w:r w:rsidR="001B3BC2">
        <w:t xml:space="preserve"> </w:t>
      </w:r>
      <w:r w:rsidR="00DE16F5" w:rsidRPr="002504DB">
        <w:t>and</w:t>
      </w:r>
      <w:r w:rsidR="001B3BC2">
        <w:t>/</w:t>
      </w:r>
      <w:r w:rsidR="00DE16F5" w:rsidRPr="002504DB">
        <w:t xml:space="preserve">or private insurance and that </w:t>
      </w:r>
      <w:r w:rsidR="00DE16F5">
        <w:t xml:space="preserve">may be </w:t>
      </w:r>
      <w:r w:rsidR="00DE16F5" w:rsidRPr="002504DB">
        <w:t xml:space="preserve">reimbursed by </w:t>
      </w:r>
      <w:r w:rsidR="00DE16F5">
        <w:t xml:space="preserve">a Title V </w:t>
      </w:r>
      <w:r w:rsidR="00DE16F5" w:rsidRPr="002504DB">
        <w:t xml:space="preserve">program using </w:t>
      </w:r>
      <w:r w:rsidR="00FD6829">
        <w:t xml:space="preserve">federal </w:t>
      </w:r>
      <w:r w:rsidR="00CB5301">
        <w:t xml:space="preserve">MCH Services Title V </w:t>
      </w:r>
      <w:r w:rsidR="00881578">
        <w:t>b</w:t>
      </w:r>
      <w:r w:rsidR="00DE16F5">
        <w:t xml:space="preserve">lock </w:t>
      </w:r>
      <w:r w:rsidR="00881578">
        <w:t>g</w:t>
      </w:r>
      <w:r w:rsidR="00DE16F5">
        <w:t xml:space="preserve">rant funds. </w:t>
      </w:r>
      <w:r w:rsidR="00633A43" w:rsidRPr="002C53C1">
        <w:t>Services are provided to women and children who are uninsured and who are publicly or privately insured.</w:t>
      </w:r>
    </w:p>
    <w:p w:rsidR="00633A43" w:rsidRPr="00873EF7" w:rsidRDefault="00590DEB" w:rsidP="00873EF7">
      <w:pPr>
        <w:pStyle w:val="BodyText1"/>
      </w:pPr>
      <w:r>
        <w:t xml:space="preserve">The ACA </w:t>
      </w:r>
      <w:r w:rsidR="00873EF7">
        <w:t xml:space="preserve">has </w:t>
      </w:r>
      <w:r w:rsidRPr="00873EF7">
        <w:t>the potential to lower the uninsured rate for children nationally</w:t>
      </w:r>
      <w:r w:rsidR="00873EF7">
        <w:t xml:space="preserve"> through several mechanisms, including the ex</w:t>
      </w:r>
      <w:r w:rsidR="00B97190">
        <w:t>pansion of Medicaid at state option and access to qualified health plans through the health insurance exchanges</w:t>
      </w:r>
      <w:r w:rsidRPr="00873EF7">
        <w:t xml:space="preserve">. </w:t>
      </w:r>
      <w:r w:rsidR="00F4448A" w:rsidDel="00F4448A">
        <w:t xml:space="preserve"> </w:t>
      </w:r>
      <w:r w:rsidR="00F4448A">
        <w:t>I</w:t>
      </w:r>
      <w:r w:rsidRPr="00873EF7">
        <w:t>mplementation of ACA will result in shifts in coverage for many children</w:t>
      </w:r>
      <w:r w:rsidR="001B3BC2">
        <w:t xml:space="preserve"> and women</w:t>
      </w:r>
      <w:r w:rsidR="00F4448A">
        <w:t xml:space="preserve"> although these shifts</w:t>
      </w:r>
      <w:r w:rsidR="00F4448A" w:rsidRPr="00873EF7">
        <w:t xml:space="preserve"> </w:t>
      </w:r>
      <w:r w:rsidR="00F4448A">
        <w:t>in</w:t>
      </w:r>
      <w:r w:rsidR="00F4448A" w:rsidRPr="00873EF7">
        <w:t xml:space="preserve"> coverage are likely to vary across states</w:t>
      </w:r>
      <w:r w:rsidRPr="00873EF7">
        <w:t xml:space="preserve">. </w:t>
      </w:r>
      <w:r w:rsidR="00B97190">
        <w:t xml:space="preserve">Furthermore, these </w:t>
      </w:r>
      <w:r w:rsidR="00873EF7" w:rsidRPr="00873EF7">
        <w:t xml:space="preserve">ACA-related coverage shifts will </w:t>
      </w:r>
      <w:r w:rsidR="00534ED8">
        <w:t>affect</w:t>
      </w:r>
      <w:r w:rsidR="00873EF7" w:rsidRPr="00873EF7">
        <w:t xml:space="preserve"> the benefits to which children </w:t>
      </w:r>
      <w:r w:rsidR="001B3BC2">
        <w:t xml:space="preserve">and women </w:t>
      </w:r>
      <w:r w:rsidR="00873EF7" w:rsidRPr="00873EF7">
        <w:t>are entitled</w:t>
      </w:r>
      <w:r w:rsidR="00B97190">
        <w:t>.</w:t>
      </w:r>
      <w:r w:rsidR="00786B91">
        <w:t xml:space="preserve"> For example, </w:t>
      </w:r>
      <w:r w:rsidR="00C70791">
        <w:t xml:space="preserve">whereas </w:t>
      </w:r>
      <w:r w:rsidR="00786B91">
        <w:t xml:space="preserve">Medicaid and </w:t>
      </w:r>
      <w:r w:rsidR="00053211">
        <w:t xml:space="preserve">the </w:t>
      </w:r>
      <w:r w:rsidR="00CE10A8">
        <w:t>Children’s Health Insurance Plan (</w:t>
      </w:r>
      <w:r w:rsidR="00786B91">
        <w:t>CHIP</w:t>
      </w:r>
      <w:r w:rsidR="00CE10A8">
        <w:t>)</w:t>
      </w:r>
      <w:r w:rsidR="00786B91">
        <w:t xml:space="preserve"> have comprehensive benefit packages, qualifying health plans offered through the exchanges will be based on employer-sponsored coverage, for which the benefits may be more narrowly defined and may not adequately address the needs of children, particularly CSHCN.</w:t>
      </w:r>
    </w:p>
    <w:p w:rsidR="00633A43" w:rsidRPr="00633A43" w:rsidRDefault="00633A43" w:rsidP="00633A43">
      <w:pPr>
        <w:pStyle w:val="BodyText1"/>
      </w:pPr>
      <w:r w:rsidRPr="002C53C1">
        <w:t xml:space="preserve">As children shift between coverage categories as a result of implementation of the ACA (e.g., uninsured to Medicaid or CHIP, uninsured to health plans in the health insurance exchange, </w:t>
      </w:r>
      <w:r w:rsidR="00053211">
        <w:t xml:space="preserve">or </w:t>
      </w:r>
      <w:r w:rsidRPr="002C53C1">
        <w:t xml:space="preserve">CHIP to Medicaid), HRSA would like to </w:t>
      </w:r>
      <w:r w:rsidR="00F4448A">
        <w:t>evaluate the outcome of</w:t>
      </w:r>
      <w:r w:rsidRPr="002C53C1">
        <w:t xml:space="preserve"> these shifts on the </w:t>
      </w:r>
      <w:r w:rsidR="00534ED8">
        <w:t>f</w:t>
      </w:r>
      <w:r w:rsidR="00534ED8" w:rsidRPr="002C53C1">
        <w:t xml:space="preserve">ederal </w:t>
      </w:r>
      <w:r w:rsidRPr="002C53C1">
        <w:t>investment in Title V funding</w:t>
      </w:r>
      <w:r w:rsidR="00DE16F5">
        <w:t xml:space="preserve"> specifically through the </w:t>
      </w:r>
      <w:r w:rsidR="00534ED8">
        <w:t xml:space="preserve">federal </w:t>
      </w:r>
      <w:r w:rsidR="00DE16F5">
        <w:t xml:space="preserve">funds provided via the Title V MCH </w:t>
      </w:r>
      <w:r w:rsidR="00FD6829">
        <w:t>block grant</w:t>
      </w:r>
      <w:r w:rsidRPr="002C53C1">
        <w:t>.</w:t>
      </w:r>
      <w:r w:rsidR="00945FF1">
        <w:t xml:space="preserve"> To do this, HRSA will need to survey states to collect information on whether states use </w:t>
      </w:r>
      <w:r w:rsidR="00FD6829">
        <w:t xml:space="preserve">federal </w:t>
      </w:r>
      <w:r w:rsidR="00945FF1" w:rsidRPr="00AA69C0">
        <w:rPr>
          <w:szCs w:val="24"/>
          <w:lang w:val="en-CA"/>
        </w:rPr>
        <w:t>Title V MCH block grant</w:t>
      </w:r>
      <w:r w:rsidR="00945FF1">
        <w:t xml:space="preserve"> </w:t>
      </w:r>
      <w:r w:rsidR="00945FF1">
        <w:rPr>
          <w:lang w:val="en-CA"/>
        </w:rPr>
        <w:t>funds to reimburse health care practitioners who provide services to children and pregnant women</w:t>
      </w:r>
      <w:r w:rsidR="00534ED8">
        <w:rPr>
          <w:lang w:val="en-CA"/>
        </w:rPr>
        <w:t>.</w:t>
      </w:r>
      <w:r w:rsidR="00C70791">
        <w:rPr>
          <w:lang w:val="en-CA"/>
        </w:rPr>
        <w:t xml:space="preserve"> </w:t>
      </w:r>
      <w:r w:rsidR="00534ED8">
        <w:rPr>
          <w:lang w:val="en-CA"/>
        </w:rPr>
        <w:t>I</w:t>
      </w:r>
      <w:r w:rsidR="00945FF1">
        <w:rPr>
          <w:lang w:val="en-CA"/>
        </w:rPr>
        <w:t>f states do</w:t>
      </w:r>
      <w:r w:rsidR="00534ED8">
        <w:rPr>
          <w:lang w:val="en-CA"/>
        </w:rPr>
        <w:t xml:space="preserve"> use these monies</w:t>
      </w:r>
      <w:r w:rsidR="00945FF1">
        <w:rPr>
          <w:lang w:val="en-CA"/>
        </w:rPr>
        <w:t xml:space="preserve">, how much of the </w:t>
      </w:r>
      <w:r w:rsidR="00534ED8">
        <w:rPr>
          <w:lang w:val="en-CA"/>
        </w:rPr>
        <w:lastRenderedPageBreak/>
        <w:t xml:space="preserve">federal </w:t>
      </w:r>
      <w:r w:rsidR="00945FF1">
        <w:rPr>
          <w:lang w:val="en-CA"/>
        </w:rPr>
        <w:t xml:space="preserve">Title V MCH block grant funds are used for this purpose and </w:t>
      </w:r>
      <w:r w:rsidR="0025460A">
        <w:rPr>
          <w:lang w:val="en-CA"/>
        </w:rPr>
        <w:t xml:space="preserve">how many </w:t>
      </w:r>
      <w:r w:rsidR="00945FF1">
        <w:rPr>
          <w:lang w:val="en-CA"/>
        </w:rPr>
        <w:t xml:space="preserve">children and pregnant women receive services reimbursed using </w:t>
      </w:r>
      <w:r w:rsidR="001B3BC2">
        <w:rPr>
          <w:lang w:val="en-CA"/>
        </w:rPr>
        <w:t xml:space="preserve">this particular </w:t>
      </w:r>
      <w:r w:rsidR="00534ED8">
        <w:rPr>
          <w:lang w:val="en-CA"/>
        </w:rPr>
        <w:t xml:space="preserve">federal </w:t>
      </w:r>
      <w:r w:rsidR="001B3BC2">
        <w:rPr>
          <w:lang w:val="en-CA"/>
        </w:rPr>
        <w:t>funding stream</w:t>
      </w:r>
      <w:r w:rsidR="00534ED8">
        <w:t xml:space="preserve">? </w:t>
      </w:r>
      <w:r w:rsidR="0025460A">
        <w:t>HRSA proposes to collect this information through the Title V Maternal and Child Health State Formula Block Grant Services Survey (referred to hereafter as the Title V Block Grant Survey).</w:t>
      </w:r>
    </w:p>
    <w:p w:rsidR="00557E34" w:rsidRPr="00FC53A3" w:rsidRDefault="00557E34" w:rsidP="00B76985">
      <w:pPr>
        <w:pStyle w:val="Heading1"/>
      </w:pPr>
      <w:bookmarkStart w:id="4" w:name="_Toc343103419"/>
      <w:bookmarkStart w:id="5" w:name="_Toc358887190"/>
      <w:bookmarkStart w:id="6" w:name="_Toc88033459"/>
      <w:bookmarkEnd w:id="1"/>
      <w:r w:rsidRPr="005A2446">
        <w:rPr>
          <w:rFonts w:ascii="Times New Roman" w:hAnsi="Times New Roman"/>
        </w:rPr>
        <w:t>B.</w:t>
      </w:r>
      <w:r w:rsidRPr="005A2446">
        <w:rPr>
          <w:rFonts w:ascii="Times New Roman" w:hAnsi="Times New Roman"/>
        </w:rPr>
        <w:tab/>
      </w:r>
      <w:r w:rsidRPr="00FC53A3">
        <w:t>Justification</w:t>
      </w:r>
      <w:bookmarkEnd w:id="4"/>
      <w:bookmarkEnd w:id="5"/>
    </w:p>
    <w:p w:rsidR="00557E34" w:rsidRPr="005A2446" w:rsidRDefault="00557E34" w:rsidP="00557E34">
      <w:pPr>
        <w:pStyle w:val="Heading2"/>
      </w:pPr>
      <w:bookmarkStart w:id="7" w:name="_Toc343103420"/>
      <w:bookmarkStart w:id="8" w:name="_Toc358887191"/>
      <w:r w:rsidRPr="005A2446">
        <w:t>B.1</w:t>
      </w:r>
      <w:r w:rsidRPr="005A2446">
        <w:tab/>
        <w:t>Need and Legal Basis</w:t>
      </w:r>
      <w:bookmarkEnd w:id="7"/>
      <w:bookmarkEnd w:id="8"/>
    </w:p>
    <w:p w:rsidR="00633A43" w:rsidRPr="00EF0E9D" w:rsidRDefault="00590DEB" w:rsidP="00633A43">
      <w:pPr>
        <w:pStyle w:val="BodyText1"/>
      </w:pPr>
      <w:r>
        <w:t>The ACA</w:t>
      </w:r>
      <w:r w:rsidR="00633A43" w:rsidRPr="00EF0E9D">
        <w:t xml:space="preserve"> has the potential to lower the uninsured rate </w:t>
      </w:r>
      <w:r w:rsidR="007E28B2">
        <w:t>for children</w:t>
      </w:r>
      <w:r w:rsidR="001B3BC2">
        <w:t xml:space="preserve"> and women, including pregnant women</w:t>
      </w:r>
      <w:r w:rsidR="00633A43" w:rsidRPr="00EF0E9D">
        <w:t>.</w:t>
      </w:r>
      <w:r w:rsidR="00633A43">
        <w:t xml:space="preserve"> </w:t>
      </w:r>
      <w:r w:rsidR="00633A43" w:rsidRPr="00EF0E9D">
        <w:t>It can also improve continuity in children’s coverage and expand the scope of services offered to children through private insurance.</w:t>
      </w:r>
      <w:r w:rsidR="00633A43">
        <w:t xml:space="preserve"> </w:t>
      </w:r>
      <w:r w:rsidR="00633A43" w:rsidRPr="00EF0E9D">
        <w:t>However, many discontinuities in coverage and benefit gaps may persist</w:t>
      </w:r>
      <w:r w:rsidR="00633A43">
        <w:t>,</w:t>
      </w:r>
      <w:r w:rsidR="00633A43" w:rsidRPr="00EF0E9D">
        <w:t xml:space="preserve"> and the reform law generates new challenges through complex coverage situations. Title V often plays a critical role in filling the coverage and benefit gaps from other pub</w:t>
      </w:r>
      <w:r w:rsidR="00881578">
        <w:t>l</w:t>
      </w:r>
      <w:r w:rsidR="00633A43" w:rsidRPr="00EF0E9D">
        <w:t>ic programs and private insurance.</w:t>
      </w:r>
      <w:r w:rsidR="00633A43">
        <w:t xml:space="preserve"> </w:t>
      </w:r>
      <w:r w:rsidR="00633A43" w:rsidRPr="00EF0E9D">
        <w:t xml:space="preserve">The implementation of ACA will have significant effects on the use of </w:t>
      </w:r>
      <w:r w:rsidR="00470365">
        <w:t xml:space="preserve">MCH </w:t>
      </w:r>
      <w:r w:rsidR="00470365" w:rsidRPr="00A52D0E">
        <w:t>block</w:t>
      </w:r>
      <w:r w:rsidR="00633A43" w:rsidRPr="00EF0E9D">
        <w:t xml:space="preserve"> grant funds </w:t>
      </w:r>
      <w:r w:rsidR="001033B9">
        <w:t>to reimburse health care practitioners for providing services to children and pregnant women</w:t>
      </w:r>
      <w:r w:rsidR="00633A43" w:rsidRPr="00EF0E9D">
        <w:t>.</w:t>
      </w:r>
      <w:r w:rsidR="00633A43">
        <w:t xml:space="preserve"> HRSA must understand</w:t>
      </w:r>
      <w:r w:rsidR="00633A43" w:rsidRPr="00EF0E9D">
        <w:t xml:space="preserve"> the nature and magnitude of </w:t>
      </w:r>
      <w:r w:rsidR="002C63F3">
        <w:t xml:space="preserve">how MCH </w:t>
      </w:r>
      <w:r w:rsidR="002C63F3" w:rsidRPr="00A52D0E">
        <w:t>block</w:t>
      </w:r>
      <w:r w:rsidR="002C63F3" w:rsidRPr="00EF0E9D">
        <w:t xml:space="preserve"> grant funds</w:t>
      </w:r>
      <w:r w:rsidR="002C63F3">
        <w:t xml:space="preserve"> are used to reimburse for services </w:t>
      </w:r>
      <w:r w:rsidR="00633A43" w:rsidRPr="00EF0E9D">
        <w:t>to effectively plan and budget for the post-ACA era.</w:t>
      </w:r>
    </w:p>
    <w:p w:rsidR="00633A43" w:rsidRPr="005A2446" w:rsidRDefault="000C0864" w:rsidP="00633A43">
      <w:pPr>
        <w:pStyle w:val="BodyText1"/>
      </w:pPr>
      <w:r>
        <w:rPr>
          <w:szCs w:val="24"/>
          <w:lang w:val="en-CA"/>
        </w:rPr>
        <w:t xml:space="preserve">In order to assess the need for </w:t>
      </w:r>
      <w:r w:rsidR="00FB5FB2">
        <w:rPr>
          <w:szCs w:val="24"/>
          <w:lang w:val="en-CA"/>
        </w:rPr>
        <w:t xml:space="preserve">current and </w:t>
      </w:r>
      <w:r w:rsidR="006E5DE6">
        <w:rPr>
          <w:szCs w:val="24"/>
          <w:lang w:val="en-CA"/>
        </w:rPr>
        <w:t xml:space="preserve">future </w:t>
      </w:r>
      <w:r>
        <w:rPr>
          <w:szCs w:val="24"/>
          <w:lang w:val="en-CA"/>
        </w:rPr>
        <w:t>Title V block grant services</w:t>
      </w:r>
      <w:r w:rsidR="00F4448A">
        <w:rPr>
          <w:szCs w:val="24"/>
          <w:lang w:val="en-CA"/>
        </w:rPr>
        <w:t xml:space="preserve"> and funds</w:t>
      </w:r>
      <w:r>
        <w:rPr>
          <w:szCs w:val="24"/>
          <w:lang w:val="en-CA"/>
        </w:rPr>
        <w:t xml:space="preserve">, </w:t>
      </w:r>
      <w:r w:rsidR="00633A43" w:rsidRPr="00AA69C0">
        <w:rPr>
          <w:szCs w:val="24"/>
          <w:lang w:val="en-CA"/>
        </w:rPr>
        <w:t xml:space="preserve">HRSA </w:t>
      </w:r>
      <w:r w:rsidR="00633A43">
        <w:rPr>
          <w:szCs w:val="24"/>
          <w:lang w:val="en-CA"/>
        </w:rPr>
        <w:t>needs to</w:t>
      </w:r>
      <w:r w:rsidR="00633A43" w:rsidRPr="00AA69C0">
        <w:rPr>
          <w:szCs w:val="24"/>
          <w:lang w:val="en-CA"/>
        </w:rPr>
        <w:t xml:space="preserve"> </w:t>
      </w:r>
      <w:r w:rsidR="00F4448A">
        <w:rPr>
          <w:szCs w:val="24"/>
          <w:lang w:val="en-CA"/>
        </w:rPr>
        <w:t xml:space="preserve">evaluate how the ACA may influence </w:t>
      </w:r>
      <w:r w:rsidR="00633A43" w:rsidRPr="00AA69C0">
        <w:rPr>
          <w:szCs w:val="24"/>
          <w:lang w:val="en-CA"/>
        </w:rPr>
        <w:t>children’s health coverage</w:t>
      </w:r>
      <w:r w:rsidR="00F4448A">
        <w:rPr>
          <w:szCs w:val="24"/>
          <w:lang w:val="en-CA"/>
        </w:rPr>
        <w:t xml:space="preserve">, including </w:t>
      </w:r>
      <w:r w:rsidR="00633A43" w:rsidRPr="00AA69C0">
        <w:rPr>
          <w:szCs w:val="24"/>
          <w:lang w:val="en-CA"/>
        </w:rPr>
        <w:t>expanded coverage, discontinuities in coverage, and gaps in covered benefits</w:t>
      </w:r>
      <w:r w:rsidR="006E5DE6">
        <w:rPr>
          <w:szCs w:val="24"/>
          <w:lang w:val="en-CA"/>
        </w:rPr>
        <w:t>.</w:t>
      </w:r>
      <w:r w:rsidR="00633A43" w:rsidRPr="00AA69C0">
        <w:rPr>
          <w:szCs w:val="24"/>
          <w:lang w:val="en-CA"/>
        </w:rPr>
        <w:t xml:space="preserve"> </w:t>
      </w:r>
      <w:r w:rsidR="00633A43">
        <w:rPr>
          <w:szCs w:val="24"/>
          <w:lang w:val="en-CA"/>
        </w:rPr>
        <w:t xml:space="preserve">Of particular interest </w:t>
      </w:r>
      <w:r w:rsidR="00C70791">
        <w:rPr>
          <w:szCs w:val="24"/>
          <w:lang w:val="en-CA"/>
        </w:rPr>
        <w:t xml:space="preserve">are </w:t>
      </w:r>
      <w:r w:rsidR="008B138B">
        <w:rPr>
          <w:szCs w:val="24"/>
          <w:lang w:val="en-CA"/>
        </w:rPr>
        <w:t>(</w:t>
      </w:r>
      <w:r w:rsidR="00BB623E">
        <w:rPr>
          <w:szCs w:val="24"/>
          <w:lang w:val="en-CA"/>
        </w:rPr>
        <w:t xml:space="preserve">1) </w:t>
      </w:r>
      <w:r w:rsidR="008B138B">
        <w:rPr>
          <w:szCs w:val="24"/>
          <w:lang w:val="en-CA"/>
        </w:rPr>
        <w:t xml:space="preserve">the need to </w:t>
      </w:r>
      <w:r w:rsidR="00633A43">
        <w:rPr>
          <w:szCs w:val="24"/>
          <w:lang w:val="en-CA"/>
        </w:rPr>
        <w:t>e</w:t>
      </w:r>
      <w:r w:rsidR="00633A43" w:rsidRPr="00AA69C0">
        <w:rPr>
          <w:lang w:val="en-CA"/>
        </w:rPr>
        <w:t>stimate</w:t>
      </w:r>
      <w:r w:rsidR="00633A43">
        <w:rPr>
          <w:lang w:val="en-CA"/>
        </w:rPr>
        <w:t xml:space="preserve"> </w:t>
      </w:r>
      <w:r w:rsidR="00633A43" w:rsidRPr="00AA69C0">
        <w:rPr>
          <w:lang w:val="en-CA"/>
        </w:rPr>
        <w:t xml:space="preserve">the proportion </w:t>
      </w:r>
      <w:r w:rsidR="00A05A2E" w:rsidRPr="00AA69C0">
        <w:rPr>
          <w:lang w:val="en-CA"/>
        </w:rPr>
        <w:t xml:space="preserve">of </w:t>
      </w:r>
      <w:r w:rsidR="00EE5137">
        <w:rPr>
          <w:lang w:val="en-CA"/>
        </w:rPr>
        <w:t>f</w:t>
      </w:r>
      <w:r w:rsidR="00A05A2E">
        <w:rPr>
          <w:lang w:val="en-CA"/>
        </w:rPr>
        <w:t>ederal</w:t>
      </w:r>
      <w:r w:rsidR="00BB623E">
        <w:rPr>
          <w:lang w:val="en-CA"/>
        </w:rPr>
        <w:t xml:space="preserve"> </w:t>
      </w:r>
      <w:r w:rsidR="001B3BC2">
        <w:rPr>
          <w:lang w:val="en-CA"/>
        </w:rPr>
        <w:t xml:space="preserve">Title V </w:t>
      </w:r>
      <w:r w:rsidR="00633A43" w:rsidRPr="00AA69C0">
        <w:rPr>
          <w:lang w:val="en-CA"/>
        </w:rPr>
        <w:t>dollars spent on services prior to implementation of the ACA</w:t>
      </w:r>
      <w:r w:rsidR="00633A43">
        <w:rPr>
          <w:lang w:val="en-CA"/>
        </w:rPr>
        <w:t xml:space="preserve"> and</w:t>
      </w:r>
      <w:r w:rsidR="00633A43" w:rsidRPr="00AA69C0">
        <w:rPr>
          <w:lang w:val="en-CA"/>
        </w:rPr>
        <w:t xml:space="preserve"> </w:t>
      </w:r>
      <w:r w:rsidR="008B138B">
        <w:rPr>
          <w:lang w:val="en-CA"/>
        </w:rPr>
        <w:t>(</w:t>
      </w:r>
      <w:r w:rsidR="00BB623E">
        <w:rPr>
          <w:lang w:val="en-CA"/>
        </w:rPr>
        <w:t xml:space="preserve">2) </w:t>
      </w:r>
      <w:r w:rsidR="00633A43" w:rsidRPr="00AA69C0">
        <w:rPr>
          <w:lang w:val="en-CA"/>
        </w:rPr>
        <w:t xml:space="preserve">the expected proportion </w:t>
      </w:r>
      <w:r w:rsidR="001B3BC2">
        <w:rPr>
          <w:lang w:val="en-CA"/>
        </w:rPr>
        <w:t>after ACA implementation</w:t>
      </w:r>
      <w:r w:rsidR="00633A43" w:rsidRPr="00AA69C0">
        <w:rPr>
          <w:lang w:val="en-CA"/>
        </w:rPr>
        <w:t xml:space="preserve"> as a result of additional coverage, transitions in coverage, and changes in benefit gaps</w:t>
      </w:r>
      <w:r w:rsidR="00633A43">
        <w:rPr>
          <w:lang w:val="en-CA"/>
        </w:rPr>
        <w:t>.</w:t>
      </w:r>
      <w:r w:rsidR="00BB623E">
        <w:rPr>
          <w:lang w:val="en-CA"/>
        </w:rPr>
        <w:t xml:space="preserve"> To </w:t>
      </w:r>
      <w:r w:rsidR="00306B6A">
        <w:rPr>
          <w:lang w:val="en-CA"/>
        </w:rPr>
        <w:t xml:space="preserve">collect the data needed to undertake </w:t>
      </w:r>
      <w:r w:rsidR="001C0F3A">
        <w:rPr>
          <w:lang w:val="en-CA"/>
        </w:rPr>
        <w:t>this assessment</w:t>
      </w:r>
      <w:r w:rsidR="001B3BC2">
        <w:rPr>
          <w:lang w:val="en-CA"/>
        </w:rPr>
        <w:t xml:space="preserve">, </w:t>
      </w:r>
      <w:r w:rsidR="00BB623E">
        <w:rPr>
          <w:lang w:val="en-CA"/>
        </w:rPr>
        <w:t xml:space="preserve">HRSA will field the </w:t>
      </w:r>
      <w:r w:rsidR="00BB623E">
        <w:t>Title V Block Grant Survey among all 50 states, the District of Columbia, and Puerto Rico.</w:t>
      </w:r>
    </w:p>
    <w:p w:rsidR="00557E34" w:rsidRPr="005A2446" w:rsidRDefault="00557E34" w:rsidP="00557E34">
      <w:pPr>
        <w:pStyle w:val="Heading2"/>
      </w:pPr>
      <w:bookmarkStart w:id="9" w:name="_Toc343103421"/>
      <w:bookmarkStart w:id="10" w:name="_Toc358887192"/>
      <w:r w:rsidRPr="005A2446">
        <w:t>B.2</w:t>
      </w:r>
      <w:r w:rsidRPr="005A2446">
        <w:tab/>
        <w:t>Information Users</w:t>
      </w:r>
      <w:bookmarkEnd w:id="9"/>
      <w:bookmarkEnd w:id="10"/>
    </w:p>
    <w:p w:rsidR="00557E34" w:rsidRPr="005A2446" w:rsidRDefault="00676737" w:rsidP="00557E34">
      <w:pPr>
        <w:pStyle w:val="BodyText1"/>
      </w:pPr>
      <w:r>
        <w:t xml:space="preserve">The Title V Block Grant Survey is </w:t>
      </w:r>
      <w:r w:rsidR="009E4B79">
        <w:t xml:space="preserve">a new information collection. A </w:t>
      </w:r>
      <w:r w:rsidR="003F4482">
        <w:t xml:space="preserve">HRSA </w:t>
      </w:r>
      <w:r w:rsidR="009E4B79">
        <w:t xml:space="preserve">contractor will </w:t>
      </w:r>
      <w:r>
        <w:t>collect</w:t>
      </w:r>
      <w:r w:rsidR="009E4B79">
        <w:t xml:space="preserve"> and use the data to </w:t>
      </w:r>
      <w:r w:rsidR="009E4B79">
        <w:rPr>
          <w:lang w:val="en-CA"/>
        </w:rPr>
        <w:t xml:space="preserve">estimate </w:t>
      </w:r>
      <w:r w:rsidR="009E4B79" w:rsidRPr="00AA69C0">
        <w:rPr>
          <w:lang w:val="en-CA"/>
        </w:rPr>
        <w:t xml:space="preserve">the proportion </w:t>
      </w:r>
      <w:r w:rsidR="00A05A2E" w:rsidRPr="00AA69C0">
        <w:rPr>
          <w:lang w:val="en-CA"/>
        </w:rPr>
        <w:t xml:space="preserve">of </w:t>
      </w:r>
      <w:r w:rsidR="00EE5137">
        <w:rPr>
          <w:lang w:val="en-CA"/>
        </w:rPr>
        <w:t xml:space="preserve">federal </w:t>
      </w:r>
      <w:r w:rsidR="009E4B79" w:rsidRPr="00AA69C0">
        <w:rPr>
          <w:lang w:val="en-CA"/>
        </w:rPr>
        <w:t>Title V dollars spent on services prior to implementation of the ACA</w:t>
      </w:r>
      <w:r w:rsidR="009E4B79">
        <w:rPr>
          <w:lang w:val="en-CA"/>
        </w:rPr>
        <w:t xml:space="preserve">. HRSA will also use this information to better understand the types of </w:t>
      </w:r>
      <w:r w:rsidR="00375064">
        <w:rPr>
          <w:lang w:val="en-CA"/>
        </w:rPr>
        <w:t>services</w:t>
      </w:r>
      <w:r w:rsidR="009E4B79">
        <w:rPr>
          <w:lang w:val="en-CA"/>
        </w:rPr>
        <w:t xml:space="preserve"> </w:t>
      </w:r>
      <w:r w:rsidR="00EE5137">
        <w:rPr>
          <w:lang w:val="en-CA"/>
        </w:rPr>
        <w:t xml:space="preserve">Title V MCH programs </w:t>
      </w:r>
      <w:r w:rsidR="009E4B79">
        <w:rPr>
          <w:lang w:val="en-CA"/>
        </w:rPr>
        <w:t xml:space="preserve">currently provide </w:t>
      </w:r>
      <w:r>
        <w:rPr>
          <w:lang w:val="en-CA"/>
        </w:rPr>
        <w:t>in each state</w:t>
      </w:r>
      <w:r w:rsidR="00375064">
        <w:rPr>
          <w:lang w:val="en-CA"/>
        </w:rPr>
        <w:t xml:space="preserve">, </w:t>
      </w:r>
      <w:r w:rsidR="009E4B79">
        <w:rPr>
          <w:lang w:val="en-CA"/>
        </w:rPr>
        <w:t xml:space="preserve">the </w:t>
      </w:r>
      <w:r w:rsidR="00375064">
        <w:rPr>
          <w:lang w:val="en-CA"/>
        </w:rPr>
        <w:t>amount</w:t>
      </w:r>
      <w:r>
        <w:rPr>
          <w:lang w:val="en-CA"/>
        </w:rPr>
        <w:t xml:space="preserve"> of</w:t>
      </w:r>
      <w:r w:rsidR="00375064">
        <w:rPr>
          <w:lang w:val="en-CA"/>
        </w:rPr>
        <w:t xml:space="preserve"> </w:t>
      </w:r>
      <w:r w:rsidR="00EE5137">
        <w:rPr>
          <w:lang w:val="en-CA"/>
        </w:rPr>
        <w:lastRenderedPageBreak/>
        <w:t xml:space="preserve">federal </w:t>
      </w:r>
      <w:r>
        <w:rPr>
          <w:lang w:val="en-CA"/>
        </w:rPr>
        <w:t xml:space="preserve">Title V dollars used </w:t>
      </w:r>
      <w:r w:rsidR="009E4B79">
        <w:rPr>
          <w:lang w:val="en-CA"/>
        </w:rPr>
        <w:t>to provide these services</w:t>
      </w:r>
      <w:r w:rsidR="00375064">
        <w:rPr>
          <w:lang w:val="en-CA"/>
        </w:rPr>
        <w:t>,</w:t>
      </w:r>
      <w:r w:rsidR="009E4B79">
        <w:rPr>
          <w:lang w:val="en-CA"/>
        </w:rPr>
        <w:t xml:space="preserve"> and the number of children and pregnant women who receive these services.</w:t>
      </w:r>
    </w:p>
    <w:p w:rsidR="00557E34" w:rsidRPr="005A2446" w:rsidRDefault="00557E34" w:rsidP="006C462C">
      <w:pPr>
        <w:pStyle w:val="Heading2"/>
      </w:pPr>
      <w:bookmarkStart w:id="11" w:name="_Toc343103422"/>
      <w:bookmarkStart w:id="12" w:name="_Toc358887193"/>
      <w:r w:rsidRPr="005A2446">
        <w:t>B.3</w:t>
      </w:r>
      <w:r w:rsidRPr="005A2446">
        <w:tab/>
        <w:t>Use of Information Technology</w:t>
      </w:r>
      <w:bookmarkEnd w:id="11"/>
      <w:bookmarkEnd w:id="12"/>
    </w:p>
    <w:p w:rsidR="00291575" w:rsidRPr="005A2446" w:rsidRDefault="00557E34" w:rsidP="00557E34">
      <w:pPr>
        <w:pStyle w:val="BodyText1"/>
      </w:pPr>
      <w:r w:rsidRPr="005A2446">
        <w:t>The data will be collected</w:t>
      </w:r>
      <w:r w:rsidR="0024648E">
        <w:t xml:space="preserve"> through</w:t>
      </w:r>
      <w:r w:rsidRPr="005A2446">
        <w:t xml:space="preserve"> </w:t>
      </w:r>
      <w:r w:rsidR="00676737">
        <w:t>the</w:t>
      </w:r>
      <w:r w:rsidR="00CE3C84">
        <w:t xml:space="preserve"> Title V Block Grant Survey</w:t>
      </w:r>
      <w:r w:rsidR="008B138B">
        <w:t>,</w:t>
      </w:r>
      <w:r w:rsidR="00CE3C84">
        <w:t xml:space="preserve"> </w:t>
      </w:r>
      <w:r w:rsidR="00AA721E">
        <w:t>which will be e</w:t>
      </w:r>
      <w:r w:rsidR="001C7CC4">
        <w:noBreakHyphen/>
      </w:r>
      <w:r w:rsidR="00AA721E">
        <w:t>mailed to Title V MCH directors in all 50 states</w:t>
      </w:r>
      <w:r w:rsidR="00676737">
        <w:t>, the District of Columbia, and Puerto Rico</w:t>
      </w:r>
      <w:r w:rsidRPr="005A2446">
        <w:t>.</w:t>
      </w:r>
      <w:r w:rsidR="0024648E">
        <w:t xml:space="preserve"> Respondents will be asked to return the </w:t>
      </w:r>
      <w:r w:rsidR="00F4448A">
        <w:t xml:space="preserve">Microsoft Word </w:t>
      </w:r>
      <w:r w:rsidR="0024648E">
        <w:t>survey via e</w:t>
      </w:r>
      <w:r w:rsidR="008B138B">
        <w:t>-</w:t>
      </w:r>
      <w:r w:rsidR="0024648E">
        <w:t>mail. This collection does not require any signatures from respondents.</w:t>
      </w:r>
      <w:r w:rsidR="007D1C74">
        <w:t xml:space="preserve"> </w:t>
      </w:r>
    </w:p>
    <w:p w:rsidR="00557E34" w:rsidRPr="005A2446" w:rsidRDefault="00557E34" w:rsidP="00557E34">
      <w:pPr>
        <w:pStyle w:val="Heading2"/>
      </w:pPr>
      <w:bookmarkStart w:id="13" w:name="_Toc343103423"/>
      <w:bookmarkStart w:id="14" w:name="_Toc358887194"/>
      <w:r w:rsidRPr="005A2446">
        <w:t>B.4</w:t>
      </w:r>
      <w:r w:rsidRPr="005A2446">
        <w:tab/>
        <w:t>Duplication of Efforts</w:t>
      </w:r>
      <w:bookmarkEnd w:id="13"/>
      <w:bookmarkEnd w:id="14"/>
    </w:p>
    <w:p w:rsidR="007D1C74" w:rsidRPr="002C53C1" w:rsidRDefault="000F04C9" w:rsidP="007D1C74">
      <w:pPr>
        <w:pStyle w:val="BodyText1"/>
      </w:pPr>
      <w:r>
        <w:t>T</w:t>
      </w:r>
      <w:r w:rsidRPr="00EE414C">
        <w:t xml:space="preserve">his </w:t>
      </w:r>
      <w:r>
        <w:t xml:space="preserve">information collection </w:t>
      </w:r>
      <w:r w:rsidRPr="00EE414C">
        <w:t>does not duplicate any other effort</w:t>
      </w:r>
      <w:r w:rsidR="007D1C74">
        <w:t>,</w:t>
      </w:r>
      <w:r w:rsidRPr="00EE414C">
        <w:t xml:space="preserve"> and the information cannot be obtained from any other source</w:t>
      </w:r>
      <w:r>
        <w:t xml:space="preserve">. </w:t>
      </w:r>
      <w:r w:rsidR="007D1C74" w:rsidRPr="002C53C1">
        <w:t xml:space="preserve">As a </w:t>
      </w:r>
      <w:r w:rsidR="007D1C74" w:rsidRPr="00265DB9">
        <w:t>condition</w:t>
      </w:r>
      <w:r w:rsidR="007D1C74" w:rsidRPr="002C53C1">
        <w:t xml:space="preserve"> of receiving federal Title V funds, states are required to report financial, enrollment, and program performance data </w:t>
      </w:r>
      <w:r w:rsidR="007D1C74">
        <w:t xml:space="preserve">annually </w:t>
      </w:r>
      <w:r w:rsidR="007D1C74" w:rsidRPr="002C53C1">
        <w:t>to MCHB using the Title V Information System (</w:t>
      </w:r>
      <w:r w:rsidR="007D1C74" w:rsidRPr="00A52D0E">
        <w:t>TVIS</w:t>
      </w:r>
      <w:r w:rsidR="007D1C74" w:rsidRPr="002C53C1">
        <w:t>)</w:t>
      </w:r>
      <w:r w:rsidR="00C96CD4">
        <w:t xml:space="preserve"> (0915-</w:t>
      </w:r>
      <w:r w:rsidR="002F1B9C">
        <w:t>0172</w:t>
      </w:r>
      <w:r w:rsidR="00C96CD4">
        <w:t>)</w:t>
      </w:r>
      <w:r w:rsidR="007D1C74" w:rsidRPr="002C53C1">
        <w:t>.</w:t>
      </w:r>
      <w:r w:rsidR="007D1C74">
        <w:t xml:space="preserve"> </w:t>
      </w:r>
      <w:r w:rsidR="007D1C74" w:rsidRPr="002C53C1">
        <w:t>TVIS captures key data</w:t>
      </w:r>
      <w:r w:rsidR="007D1C74">
        <w:t>,</w:t>
      </w:r>
      <w:r w:rsidR="007D1C74" w:rsidRPr="002C53C1">
        <w:t xml:space="preserve"> including</w:t>
      </w:r>
      <w:r w:rsidR="007D1C74">
        <w:t xml:space="preserve"> the following:</w:t>
      </w:r>
    </w:p>
    <w:p w:rsidR="007D1C74" w:rsidRPr="002C53C1" w:rsidRDefault="007D1C74" w:rsidP="007D1C74">
      <w:pPr>
        <w:pStyle w:val="bullets"/>
        <w:numPr>
          <w:ilvl w:val="0"/>
          <w:numId w:val="36"/>
        </w:numPr>
        <w:tabs>
          <w:tab w:val="clear" w:pos="1440"/>
          <w:tab w:val="num" w:pos="1080"/>
        </w:tabs>
        <w:ind w:left="1080"/>
      </w:pPr>
      <w:r>
        <w:t xml:space="preserve">Total </w:t>
      </w:r>
      <w:r w:rsidRPr="002C53C1">
        <w:t xml:space="preserve">Title V expenditures by source of funding (e.g., federal, state, </w:t>
      </w:r>
      <w:r w:rsidR="008B138B">
        <w:t xml:space="preserve">and </w:t>
      </w:r>
      <w:r w:rsidRPr="002C53C1">
        <w:t>local jurisdiction funds)</w:t>
      </w:r>
      <w:r>
        <w:t>;</w:t>
      </w:r>
    </w:p>
    <w:p w:rsidR="007D1C74" w:rsidRPr="002C53C1" w:rsidRDefault="007D1C74" w:rsidP="007D1C74">
      <w:pPr>
        <w:pStyle w:val="bullets"/>
        <w:numPr>
          <w:ilvl w:val="0"/>
          <w:numId w:val="36"/>
        </w:numPr>
        <w:tabs>
          <w:tab w:val="clear" w:pos="1440"/>
          <w:tab w:val="num" w:pos="1080"/>
        </w:tabs>
        <w:ind w:left="1080"/>
      </w:pPr>
      <w:r w:rsidRPr="002C53C1">
        <w:t>Total (federal and nonfederal) Title V expenditures by category of service (direct, enabling, population-based, and infrastructure-building services)</w:t>
      </w:r>
      <w:r>
        <w:t>;</w:t>
      </w:r>
    </w:p>
    <w:p w:rsidR="007D1C74" w:rsidRPr="002C53C1" w:rsidRDefault="007D1C74" w:rsidP="007D1C74">
      <w:pPr>
        <w:pStyle w:val="bullets"/>
        <w:numPr>
          <w:ilvl w:val="0"/>
          <w:numId w:val="36"/>
        </w:numPr>
        <w:tabs>
          <w:tab w:val="clear" w:pos="1440"/>
          <w:tab w:val="num" w:pos="1080"/>
        </w:tabs>
        <w:ind w:left="1080"/>
      </w:pPr>
      <w:r w:rsidRPr="002C53C1">
        <w:t xml:space="preserve">Number of individuals served by Title V in total and by key subgroups, pregnant women, infants, children </w:t>
      </w:r>
      <w:r w:rsidR="008B138B">
        <w:t xml:space="preserve">aged </w:t>
      </w:r>
      <w:r w:rsidRPr="002C53C1">
        <w:t>1–22, CSHCN, and other individuals</w:t>
      </w:r>
      <w:r>
        <w:t>; and</w:t>
      </w:r>
    </w:p>
    <w:p w:rsidR="007D1C74" w:rsidRPr="002C53C1" w:rsidRDefault="007D1C74" w:rsidP="007D1C74">
      <w:pPr>
        <w:pStyle w:val="bullets"/>
        <w:numPr>
          <w:ilvl w:val="0"/>
          <w:numId w:val="36"/>
        </w:numPr>
        <w:tabs>
          <w:tab w:val="clear" w:pos="1440"/>
          <w:tab w:val="num" w:pos="1080"/>
        </w:tabs>
        <w:ind w:left="1080"/>
      </w:pPr>
      <w:r w:rsidRPr="002C53C1">
        <w:t>The percent</w:t>
      </w:r>
      <w:r>
        <w:t>age</w:t>
      </w:r>
      <w:r w:rsidRPr="002C53C1">
        <w:t xml:space="preserve"> of individuals served by insurance coverage </w:t>
      </w:r>
      <w:r>
        <w:t>(</w:t>
      </w:r>
      <w:r w:rsidRPr="002C53C1">
        <w:t>i.e., Medicaid, CHIP, private</w:t>
      </w:r>
      <w:r w:rsidR="008B138B">
        <w:t xml:space="preserve"> or </w:t>
      </w:r>
      <w:r w:rsidRPr="002C53C1">
        <w:t>other coverage, uninsured, or unknown coverage</w:t>
      </w:r>
      <w:r>
        <w:t>).</w:t>
      </w:r>
    </w:p>
    <w:p w:rsidR="00557E34" w:rsidRPr="005A2446" w:rsidRDefault="00EE5137" w:rsidP="00557E34">
      <w:pPr>
        <w:pStyle w:val="BodyText1"/>
      </w:pPr>
      <w:r>
        <w:t>Although</w:t>
      </w:r>
      <w:r w:rsidRPr="002C53C1">
        <w:t xml:space="preserve"> </w:t>
      </w:r>
      <w:r w:rsidR="007D1C74" w:rsidRPr="002C53C1">
        <w:t xml:space="preserve">TVIS provides a wealth of information, certain </w:t>
      </w:r>
      <w:r w:rsidR="00676737">
        <w:t>data needed for budgeting and planning after ACA implementation</w:t>
      </w:r>
      <w:r w:rsidR="007D1C74" w:rsidRPr="002C53C1">
        <w:t xml:space="preserve"> are not captured. For example, TVIS does not capture expenditures made within each of the four categories of service by source of funding (e.g., what percent</w:t>
      </w:r>
      <w:r w:rsidR="007D1C74">
        <w:t>age</w:t>
      </w:r>
      <w:r w:rsidR="007D1C74" w:rsidRPr="002C53C1">
        <w:t xml:space="preserve"> of expenditures for direct services are made using federal </w:t>
      </w:r>
      <w:r w:rsidR="007D1C74">
        <w:t>MCH</w:t>
      </w:r>
      <w:r>
        <w:t xml:space="preserve"> formula block grant </w:t>
      </w:r>
      <w:r w:rsidR="007D1C74">
        <w:t>funds</w:t>
      </w:r>
      <w:r w:rsidR="007D1C74" w:rsidRPr="002C53C1">
        <w:t>), nor does it capture the types of services states provide in each of the four categories of service.</w:t>
      </w:r>
      <w:r w:rsidR="007D1C74">
        <w:t xml:space="preserve"> It also does not capture </w:t>
      </w:r>
      <w:r w:rsidR="007D1C74">
        <w:rPr>
          <w:szCs w:val="24"/>
        </w:rPr>
        <w:t xml:space="preserve">counts of individuals served using </w:t>
      </w:r>
      <w:r w:rsidR="007D1C74" w:rsidRPr="002C53C1">
        <w:t xml:space="preserve">federal </w:t>
      </w:r>
      <w:r w:rsidR="007D1C74">
        <w:t xml:space="preserve">MCH </w:t>
      </w:r>
      <w:r>
        <w:t>formula block grant fu</w:t>
      </w:r>
      <w:r w:rsidR="00A71033">
        <w:t>nds</w:t>
      </w:r>
      <w:r w:rsidR="00573CE1">
        <w:t xml:space="preserve"> nor does it disaggregate f</w:t>
      </w:r>
      <w:r w:rsidR="00A71033">
        <w:t xml:space="preserve">ederal/state funds.  </w:t>
      </w:r>
    </w:p>
    <w:p w:rsidR="00557E34" w:rsidRPr="005A2446" w:rsidRDefault="00557E34" w:rsidP="00557E34">
      <w:pPr>
        <w:pStyle w:val="Heading2"/>
      </w:pPr>
      <w:bookmarkStart w:id="15" w:name="_Toc343103424"/>
      <w:bookmarkStart w:id="16" w:name="_Toc358887195"/>
      <w:r w:rsidRPr="005A2446">
        <w:lastRenderedPageBreak/>
        <w:t>B.5</w:t>
      </w:r>
      <w:r w:rsidRPr="005A2446">
        <w:tab/>
        <w:t>Small Businesses</w:t>
      </w:r>
      <w:bookmarkEnd w:id="15"/>
      <w:bookmarkEnd w:id="16"/>
    </w:p>
    <w:p w:rsidR="00291575" w:rsidRPr="005A2446" w:rsidRDefault="008D1008" w:rsidP="00C1003B">
      <w:pPr>
        <w:pStyle w:val="BodyText1"/>
      </w:pPr>
      <w:r>
        <w:t xml:space="preserve">No small businesses will be involved in this </w:t>
      </w:r>
      <w:r w:rsidR="00676737">
        <w:t>data collection</w:t>
      </w:r>
      <w:r>
        <w:t>.</w:t>
      </w:r>
    </w:p>
    <w:p w:rsidR="00557E34" w:rsidRPr="005A2446" w:rsidRDefault="00557E34" w:rsidP="00557E34">
      <w:pPr>
        <w:pStyle w:val="Heading2"/>
      </w:pPr>
      <w:bookmarkStart w:id="17" w:name="_Toc343103425"/>
      <w:bookmarkStart w:id="18" w:name="_Toc358887196"/>
      <w:r w:rsidRPr="005A2446">
        <w:t>B.6</w:t>
      </w:r>
      <w:r w:rsidRPr="005A2446">
        <w:tab/>
        <w:t>Less Frequent Collection</w:t>
      </w:r>
      <w:bookmarkEnd w:id="17"/>
      <w:bookmarkEnd w:id="18"/>
    </w:p>
    <w:p w:rsidR="00291575" w:rsidRPr="005A2446" w:rsidRDefault="000F04C9" w:rsidP="000F04C9">
      <w:pPr>
        <w:pStyle w:val="BodyText1"/>
      </w:pPr>
      <w:r>
        <w:t xml:space="preserve">If the information collection is not conducted, </w:t>
      </w:r>
      <w:r w:rsidR="00261FF7">
        <w:t>HRSA</w:t>
      </w:r>
      <w:r>
        <w:t xml:space="preserve"> will not have the information necessary to </w:t>
      </w:r>
      <w:r w:rsidR="00261FF7">
        <w:t xml:space="preserve">better understand how implementation of the ACA in 2014 </w:t>
      </w:r>
      <w:r w:rsidR="00F4448A">
        <w:t>may change</w:t>
      </w:r>
      <w:r w:rsidR="00261FF7">
        <w:t xml:space="preserve"> the need for and use of Title V Block Grant funds and services. Because the Title V Block Grant </w:t>
      </w:r>
      <w:r w:rsidR="00676737">
        <w:t xml:space="preserve">Survey </w:t>
      </w:r>
      <w:r w:rsidR="00676737" w:rsidRPr="005A2446">
        <w:t>will</w:t>
      </w:r>
      <w:r w:rsidR="00557E34" w:rsidRPr="005A2446">
        <w:t xml:space="preserve"> be implemented only once, it is not possible to reduce the frequency of data collection.</w:t>
      </w:r>
    </w:p>
    <w:p w:rsidR="00557E34" w:rsidRPr="005A2446" w:rsidRDefault="00557E34" w:rsidP="00557E34">
      <w:pPr>
        <w:pStyle w:val="Heading2"/>
      </w:pPr>
      <w:bookmarkStart w:id="19" w:name="_Toc343103426"/>
      <w:bookmarkStart w:id="20" w:name="_Toc358887197"/>
      <w:r w:rsidRPr="005A2446">
        <w:t>B.7</w:t>
      </w:r>
      <w:r w:rsidRPr="005A2446">
        <w:tab/>
        <w:t>Special Circumstances</w:t>
      </w:r>
      <w:bookmarkEnd w:id="19"/>
      <w:bookmarkEnd w:id="20"/>
    </w:p>
    <w:p w:rsidR="00557E34" w:rsidRPr="005A2446" w:rsidRDefault="00557E34" w:rsidP="00557E34">
      <w:pPr>
        <w:pStyle w:val="BodyText1"/>
      </w:pPr>
      <w:r w:rsidRPr="005A2446">
        <w:t>There are no special circumstances.</w:t>
      </w:r>
      <w:r w:rsidR="00676737">
        <w:t xml:space="preserve"> The information collection complies with </w:t>
      </w:r>
      <w:r w:rsidR="000B5429">
        <w:t>the U.S. Code of Federal Regulations (</w:t>
      </w:r>
      <w:r w:rsidR="00676737">
        <w:t>4 CFR 1320.5</w:t>
      </w:r>
      <w:r w:rsidR="000B5429">
        <w:t>)</w:t>
      </w:r>
      <w:r w:rsidR="00676737">
        <w:t>.</w:t>
      </w:r>
    </w:p>
    <w:p w:rsidR="00036716" w:rsidRDefault="00557E34" w:rsidP="00036716">
      <w:pPr>
        <w:pStyle w:val="Heading2"/>
      </w:pPr>
      <w:bookmarkStart w:id="21" w:name="_Toc343103427"/>
      <w:bookmarkStart w:id="22" w:name="_Toc358887198"/>
      <w:r w:rsidRPr="005A2446">
        <w:t>B.8</w:t>
      </w:r>
      <w:r w:rsidRPr="005A2446">
        <w:tab/>
        <w:t>Federal Register/Outside Consultation</w:t>
      </w:r>
      <w:bookmarkEnd w:id="21"/>
      <w:bookmarkEnd w:id="22"/>
    </w:p>
    <w:p w:rsidR="00BB6998" w:rsidRDefault="004D7E5A" w:rsidP="0018392E">
      <w:pPr>
        <w:pStyle w:val="BodyText1"/>
      </w:pPr>
      <w:r w:rsidRPr="0018392E">
        <w:t xml:space="preserve">The 60-day </w:t>
      </w:r>
      <w:r w:rsidR="00763A5B">
        <w:t>n</w:t>
      </w:r>
      <w:r w:rsidRPr="0018392E">
        <w:t xml:space="preserve">otice </w:t>
      </w:r>
      <w:r w:rsidR="0018392E" w:rsidRPr="0018392E">
        <w:t xml:space="preserve">was published in the </w:t>
      </w:r>
      <w:r w:rsidR="0018392E" w:rsidRPr="00763A5B">
        <w:rPr>
          <w:i/>
        </w:rPr>
        <w:t>Federal Register</w:t>
      </w:r>
      <w:r w:rsidR="0018392E" w:rsidRPr="0018392E">
        <w:t xml:space="preserve"> on </w:t>
      </w:r>
      <w:r w:rsidR="0018392E">
        <w:t>January 7, 2013, vol. 78, No</w:t>
      </w:r>
      <w:r w:rsidR="00036716">
        <w:t>. 4; pp.954</w:t>
      </w:r>
      <w:r w:rsidR="00763A5B">
        <w:t>.</w:t>
      </w:r>
      <w:r w:rsidR="00036716">
        <w:t xml:space="preserve"> </w:t>
      </w:r>
      <w:r w:rsidR="00763A5B">
        <w:t xml:space="preserve">  </w:t>
      </w:r>
      <w:r w:rsidR="00036716">
        <w:t>A summary of the comments</w:t>
      </w:r>
      <w:r w:rsidR="00A22E24">
        <w:t xml:space="preserve"> related to this notice</w:t>
      </w:r>
      <w:r w:rsidR="00036716">
        <w:t xml:space="preserve"> and responses to these comments can be found in Attachment 2.</w:t>
      </w:r>
      <w:r w:rsidR="00A22E24">
        <w:t xml:space="preserve"> </w:t>
      </w:r>
    </w:p>
    <w:p w:rsidR="00676737" w:rsidRDefault="00BA3259" w:rsidP="0018392E">
      <w:pPr>
        <w:pStyle w:val="BodyText1"/>
      </w:pPr>
      <w:r>
        <w:t>In addition to the public comments received in conjunction with the notice, t</w:t>
      </w:r>
      <w:r w:rsidR="00A22E24">
        <w:t>he Title V Block Grant Survey was</w:t>
      </w:r>
      <w:r>
        <w:t xml:space="preserve"> also </w:t>
      </w:r>
      <w:r w:rsidR="00A22E24">
        <w:t xml:space="preserve">pretested with </w:t>
      </w:r>
      <w:r w:rsidR="008B138B">
        <w:t xml:space="preserve">six </w:t>
      </w:r>
      <w:r w:rsidR="00A22E24">
        <w:t>state Title V programs</w:t>
      </w:r>
      <w:r w:rsidR="00BB6998">
        <w:t xml:space="preserve"> from April 30, 2013</w:t>
      </w:r>
      <w:r w:rsidR="008B138B">
        <w:t>,</w:t>
      </w:r>
      <w:r w:rsidR="00BB6998">
        <w:t xml:space="preserve"> to May 20, 2013.</w:t>
      </w:r>
      <w:r w:rsidR="00A22E24">
        <w:t xml:space="preserve"> Either the </w:t>
      </w:r>
      <w:r w:rsidR="00EE5137">
        <w:t xml:space="preserve">state </w:t>
      </w:r>
      <w:r w:rsidR="00A22E24">
        <w:t xml:space="preserve">Title V program director </w:t>
      </w:r>
      <w:r w:rsidR="00676737">
        <w:t xml:space="preserve">or </w:t>
      </w:r>
      <w:r w:rsidR="00A22E24">
        <w:t xml:space="preserve">the </w:t>
      </w:r>
      <w:r w:rsidR="00EE5137">
        <w:t xml:space="preserve">state </w:t>
      </w:r>
      <w:r w:rsidR="00676737">
        <w:t>CSHCN</w:t>
      </w:r>
      <w:r w:rsidR="00A22E24">
        <w:t xml:space="preserve"> program director completed the survey.</w:t>
      </w:r>
      <w:r w:rsidR="00BB6998">
        <w:t xml:space="preserve"> </w:t>
      </w:r>
      <w:r w:rsidR="006854B5">
        <w:t>Table 1 describes the survey respondents.</w:t>
      </w:r>
    </w:p>
    <w:p w:rsidR="006E3B65" w:rsidRPr="006E3B65" w:rsidRDefault="00676737" w:rsidP="00486590">
      <w:r>
        <w:br w:type="page"/>
      </w:r>
      <w:r w:rsidR="006E3B65" w:rsidRPr="006E3B65">
        <w:lastRenderedPageBreak/>
        <w:t>Table 1.</w:t>
      </w:r>
      <w:r w:rsidR="00422DB0">
        <w:tab/>
      </w:r>
      <w:r w:rsidR="006E3B65" w:rsidRPr="006E3B65">
        <w:t>Pre</w:t>
      </w:r>
      <w:r w:rsidR="00EE5137">
        <w:t>t</w:t>
      </w:r>
      <w:r w:rsidR="006E3B65" w:rsidRPr="006E3B65">
        <w:t>est Survey Respondents</w:t>
      </w:r>
    </w:p>
    <w:tbl>
      <w:tblPr>
        <w:tblStyle w:val="TableGrid"/>
        <w:tblW w:w="0" w:type="auto"/>
        <w:tblLook w:val="04A0"/>
      </w:tblPr>
      <w:tblGrid>
        <w:gridCol w:w="1458"/>
        <w:gridCol w:w="2070"/>
        <w:gridCol w:w="2217"/>
        <w:gridCol w:w="3670"/>
      </w:tblGrid>
      <w:tr w:rsidR="006854B5" w:rsidTr="006854B5">
        <w:tc>
          <w:tcPr>
            <w:tcW w:w="1458" w:type="dxa"/>
            <w:vAlign w:val="center"/>
          </w:tcPr>
          <w:p w:rsidR="006854B5" w:rsidRPr="006854B5" w:rsidRDefault="006854B5" w:rsidP="006854B5">
            <w:pPr>
              <w:pStyle w:val="BodyText1"/>
              <w:spacing w:after="0" w:line="240" w:lineRule="auto"/>
              <w:ind w:firstLine="0"/>
              <w:jc w:val="center"/>
              <w:rPr>
                <w:b/>
              </w:rPr>
            </w:pPr>
            <w:r w:rsidRPr="006854B5">
              <w:rPr>
                <w:b/>
              </w:rPr>
              <w:t>State</w:t>
            </w:r>
          </w:p>
        </w:tc>
        <w:tc>
          <w:tcPr>
            <w:tcW w:w="2070" w:type="dxa"/>
            <w:vAlign w:val="center"/>
          </w:tcPr>
          <w:p w:rsidR="006854B5" w:rsidRPr="006854B5" w:rsidRDefault="006854B5" w:rsidP="006854B5">
            <w:pPr>
              <w:pStyle w:val="BodyText1"/>
              <w:spacing w:after="0" w:line="240" w:lineRule="auto"/>
              <w:ind w:firstLine="0"/>
              <w:jc w:val="center"/>
              <w:rPr>
                <w:b/>
              </w:rPr>
            </w:pPr>
            <w:r w:rsidRPr="006854B5">
              <w:rPr>
                <w:b/>
              </w:rPr>
              <w:t>Respondent</w:t>
            </w:r>
          </w:p>
        </w:tc>
        <w:tc>
          <w:tcPr>
            <w:tcW w:w="2217" w:type="dxa"/>
            <w:vAlign w:val="center"/>
          </w:tcPr>
          <w:p w:rsidR="006854B5" w:rsidRPr="006854B5" w:rsidRDefault="00676737" w:rsidP="006854B5">
            <w:pPr>
              <w:pStyle w:val="BodyText1"/>
              <w:spacing w:after="0" w:line="240" w:lineRule="auto"/>
              <w:ind w:firstLine="0"/>
              <w:jc w:val="center"/>
              <w:rPr>
                <w:b/>
              </w:rPr>
            </w:pPr>
            <w:r w:rsidRPr="006854B5">
              <w:rPr>
                <w:b/>
              </w:rPr>
              <w:t>Title</w:t>
            </w:r>
          </w:p>
        </w:tc>
        <w:tc>
          <w:tcPr>
            <w:tcW w:w="3670" w:type="dxa"/>
            <w:vAlign w:val="center"/>
          </w:tcPr>
          <w:p w:rsidR="006854B5" w:rsidRPr="006854B5" w:rsidRDefault="006854B5" w:rsidP="006854B5">
            <w:pPr>
              <w:pStyle w:val="BodyText1"/>
              <w:spacing w:after="0" w:line="240" w:lineRule="auto"/>
              <w:ind w:firstLine="0"/>
              <w:jc w:val="center"/>
              <w:rPr>
                <w:b/>
              </w:rPr>
            </w:pPr>
            <w:r w:rsidRPr="006854B5">
              <w:rPr>
                <w:b/>
              </w:rPr>
              <w:t>Telephone Number and E</w:t>
            </w:r>
            <w:r w:rsidR="003B4ED5">
              <w:rPr>
                <w:b/>
              </w:rPr>
              <w:t>-</w:t>
            </w:r>
            <w:r w:rsidRPr="006854B5">
              <w:rPr>
                <w:b/>
              </w:rPr>
              <w:t>mail</w:t>
            </w:r>
          </w:p>
        </w:tc>
      </w:tr>
      <w:tr w:rsidR="006854B5" w:rsidTr="006854B5">
        <w:tc>
          <w:tcPr>
            <w:tcW w:w="1458" w:type="dxa"/>
          </w:tcPr>
          <w:p w:rsidR="006854B5" w:rsidRDefault="006854B5" w:rsidP="006854B5">
            <w:pPr>
              <w:pStyle w:val="BodyText1"/>
              <w:spacing w:after="0" w:line="240" w:lineRule="auto"/>
              <w:ind w:firstLine="0"/>
            </w:pPr>
            <w:r>
              <w:t>Alabama</w:t>
            </w:r>
          </w:p>
        </w:tc>
        <w:tc>
          <w:tcPr>
            <w:tcW w:w="2070" w:type="dxa"/>
          </w:tcPr>
          <w:p w:rsidR="006854B5" w:rsidRDefault="006854B5" w:rsidP="006854B5">
            <w:pPr>
              <w:pStyle w:val="BodyText1"/>
              <w:spacing w:after="0" w:line="240" w:lineRule="auto"/>
              <w:ind w:firstLine="0"/>
            </w:pPr>
            <w:r>
              <w:t>Melinda Davis</w:t>
            </w:r>
          </w:p>
        </w:tc>
        <w:tc>
          <w:tcPr>
            <w:tcW w:w="2217" w:type="dxa"/>
          </w:tcPr>
          <w:p w:rsidR="006854B5" w:rsidRDefault="006854B5" w:rsidP="006854B5">
            <w:pPr>
              <w:pStyle w:val="BodyText1"/>
              <w:spacing w:after="0" w:line="240" w:lineRule="auto"/>
              <w:ind w:firstLine="0"/>
            </w:pPr>
            <w:r w:rsidRPr="006854B5">
              <w:t>Director, Children's Rehabilitation Service</w:t>
            </w:r>
          </w:p>
        </w:tc>
        <w:tc>
          <w:tcPr>
            <w:tcW w:w="3670" w:type="dxa"/>
          </w:tcPr>
          <w:p w:rsidR="006854B5" w:rsidRPr="006854B5" w:rsidRDefault="006854B5" w:rsidP="006854B5">
            <w:pPr>
              <w:rPr>
                <w:rFonts w:eastAsia="MS Mincho"/>
                <w:szCs w:val="20"/>
              </w:rPr>
            </w:pPr>
            <w:r w:rsidRPr="006854B5">
              <w:rPr>
                <w:rFonts w:eastAsia="MS Mincho"/>
                <w:szCs w:val="20"/>
              </w:rPr>
              <w:t>334</w:t>
            </w:r>
            <w:r>
              <w:rPr>
                <w:rFonts w:eastAsia="MS Mincho"/>
                <w:szCs w:val="20"/>
              </w:rPr>
              <w:t>-</w:t>
            </w:r>
            <w:r w:rsidRPr="006854B5">
              <w:rPr>
                <w:rFonts w:eastAsia="MS Mincho"/>
                <w:szCs w:val="20"/>
              </w:rPr>
              <w:t>293-7049</w:t>
            </w:r>
          </w:p>
          <w:p w:rsidR="006854B5" w:rsidRDefault="00351A7E" w:rsidP="008B138B">
            <w:pPr>
              <w:pStyle w:val="BodyText1"/>
              <w:spacing w:after="0" w:line="240" w:lineRule="auto"/>
              <w:ind w:firstLine="0"/>
            </w:pPr>
            <w:hyperlink r:id="rId8" w:history="1">
              <w:r w:rsidR="008B138B" w:rsidRPr="00E5509A">
                <w:rPr>
                  <w:rStyle w:val="Hyperlink"/>
                </w:rPr>
                <w:t>Melinda.Davis@rehab.alabama.gov</w:t>
              </w:r>
            </w:hyperlink>
          </w:p>
        </w:tc>
      </w:tr>
      <w:tr w:rsidR="006854B5" w:rsidTr="006854B5">
        <w:tc>
          <w:tcPr>
            <w:tcW w:w="1458" w:type="dxa"/>
          </w:tcPr>
          <w:p w:rsidR="006854B5" w:rsidRDefault="006854B5" w:rsidP="006854B5">
            <w:pPr>
              <w:pStyle w:val="BodyText1"/>
              <w:spacing w:after="0" w:line="240" w:lineRule="auto"/>
              <w:ind w:firstLine="0"/>
            </w:pPr>
            <w:r>
              <w:t>Arkansas</w:t>
            </w:r>
          </w:p>
        </w:tc>
        <w:tc>
          <w:tcPr>
            <w:tcW w:w="2070" w:type="dxa"/>
          </w:tcPr>
          <w:p w:rsidR="006854B5" w:rsidRDefault="006854B5" w:rsidP="006854B5">
            <w:pPr>
              <w:pStyle w:val="BodyText1"/>
              <w:spacing w:after="0" w:line="240" w:lineRule="auto"/>
              <w:ind w:firstLine="0"/>
            </w:pPr>
            <w:r>
              <w:t>Nancy Holder</w:t>
            </w:r>
          </w:p>
        </w:tc>
        <w:tc>
          <w:tcPr>
            <w:tcW w:w="2217" w:type="dxa"/>
          </w:tcPr>
          <w:p w:rsidR="006854B5" w:rsidRDefault="006854B5" w:rsidP="006854B5">
            <w:pPr>
              <w:pStyle w:val="BodyText1"/>
              <w:spacing w:after="0" w:line="240" w:lineRule="auto"/>
              <w:ind w:firstLine="0"/>
            </w:pPr>
            <w:r w:rsidRPr="006854B5">
              <w:t>Program Administrator</w:t>
            </w:r>
            <w:r>
              <w:t>, DDS Children’s Services</w:t>
            </w:r>
          </w:p>
        </w:tc>
        <w:tc>
          <w:tcPr>
            <w:tcW w:w="3670" w:type="dxa"/>
          </w:tcPr>
          <w:p w:rsidR="006854B5" w:rsidRDefault="006854B5" w:rsidP="006854B5">
            <w:pPr>
              <w:pStyle w:val="BodyText1"/>
              <w:spacing w:after="0" w:line="240" w:lineRule="auto"/>
              <w:ind w:firstLine="0"/>
            </w:pPr>
            <w:r w:rsidRPr="006854B5">
              <w:t>501-682-1464</w:t>
            </w:r>
          </w:p>
          <w:p w:rsidR="006854B5" w:rsidRDefault="00351A7E" w:rsidP="006854B5">
            <w:pPr>
              <w:pStyle w:val="BodyText1"/>
              <w:spacing w:after="0" w:line="240" w:lineRule="auto"/>
              <w:ind w:firstLine="0"/>
            </w:pPr>
            <w:hyperlink r:id="rId9" w:history="1">
              <w:r w:rsidR="00EC38C4" w:rsidRPr="00B73245">
                <w:rPr>
                  <w:rStyle w:val="Hyperlink"/>
                </w:rPr>
                <w:t>Nancy.Holder@arkansas.gov</w:t>
              </w:r>
            </w:hyperlink>
          </w:p>
        </w:tc>
      </w:tr>
      <w:tr w:rsidR="006854B5" w:rsidTr="006854B5">
        <w:tc>
          <w:tcPr>
            <w:tcW w:w="1458" w:type="dxa"/>
          </w:tcPr>
          <w:p w:rsidR="006854B5" w:rsidRDefault="006854B5" w:rsidP="006854B5">
            <w:pPr>
              <w:pStyle w:val="BodyText1"/>
              <w:spacing w:after="0" w:line="240" w:lineRule="auto"/>
              <w:ind w:firstLine="0"/>
            </w:pPr>
            <w:r>
              <w:t>Kansas</w:t>
            </w:r>
          </w:p>
        </w:tc>
        <w:tc>
          <w:tcPr>
            <w:tcW w:w="2070" w:type="dxa"/>
          </w:tcPr>
          <w:p w:rsidR="006854B5" w:rsidRDefault="006854B5" w:rsidP="006854B5">
            <w:pPr>
              <w:pStyle w:val="BodyText1"/>
              <w:spacing w:after="0" w:line="240" w:lineRule="auto"/>
              <w:ind w:firstLine="0"/>
            </w:pPr>
            <w:r>
              <w:t>Rachel Berroth</w:t>
            </w:r>
          </w:p>
        </w:tc>
        <w:tc>
          <w:tcPr>
            <w:tcW w:w="2217" w:type="dxa"/>
          </w:tcPr>
          <w:p w:rsidR="006854B5" w:rsidRDefault="006854B5" w:rsidP="006854B5">
            <w:pPr>
              <w:pStyle w:val="BodyText1"/>
              <w:spacing w:after="0" w:line="240" w:lineRule="auto"/>
              <w:ind w:firstLine="0"/>
            </w:pPr>
            <w:r w:rsidRPr="006854B5">
              <w:t>Director, Bureau of Family Health</w:t>
            </w:r>
          </w:p>
        </w:tc>
        <w:tc>
          <w:tcPr>
            <w:tcW w:w="3670" w:type="dxa"/>
          </w:tcPr>
          <w:p w:rsidR="006854B5" w:rsidRPr="006854B5" w:rsidRDefault="006854B5" w:rsidP="006854B5">
            <w:pPr>
              <w:pStyle w:val="BodyText1"/>
              <w:spacing w:after="0" w:line="240" w:lineRule="auto"/>
              <w:ind w:firstLine="0"/>
            </w:pPr>
            <w:r w:rsidRPr="006854B5">
              <w:t>785-296-1310</w:t>
            </w:r>
          </w:p>
          <w:p w:rsidR="006854B5" w:rsidRDefault="00351A7E" w:rsidP="006854B5">
            <w:pPr>
              <w:pStyle w:val="BodyText1"/>
              <w:spacing w:after="0" w:line="240" w:lineRule="auto"/>
              <w:ind w:firstLine="0"/>
            </w:pPr>
            <w:hyperlink r:id="rId10" w:history="1">
              <w:r w:rsidR="00EC38C4" w:rsidRPr="00B73245">
                <w:rPr>
                  <w:rStyle w:val="Hyperlink"/>
                </w:rPr>
                <w:t>rberroth@kdheks.gov</w:t>
              </w:r>
            </w:hyperlink>
          </w:p>
        </w:tc>
      </w:tr>
      <w:tr w:rsidR="006854B5" w:rsidTr="006854B5">
        <w:tc>
          <w:tcPr>
            <w:tcW w:w="1458" w:type="dxa"/>
          </w:tcPr>
          <w:p w:rsidR="006854B5" w:rsidRDefault="006854B5" w:rsidP="006854B5">
            <w:pPr>
              <w:pStyle w:val="BodyText1"/>
              <w:spacing w:after="0" w:line="240" w:lineRule="auto"/>
              <w:ind w:firstLine="0"/>
            </w:pPr>
            <w:r>
              <w:t>Minnesota</w:t>
            </w:r>
          </w:p>
        </w:tc>
        <w:tc>
          <w:tcPr>
            <w:tcW w:w="2070" w:type="dxa"/>
          </w:tcPr>
          <w:p w:rsidR="006854B5" w:rsidRDefault="006854B5" w:rsidP="006854B5">
            <w:pPr>
              <w:pStyle w:val="BodyText1"/>
              <w:spacing w:after="0" w:line="240" w:lineRule="auto"/>
              <w:ind w:firstLine="0"/>
            </w:pPr>
            <w:r>
              <w:t>Susan Castellano</w:t>
            </w:r>
          </w:p>
        </w:tc>
        <w:tc>
          <w:tcPr>
            <w:tcW w:w="2217" w:type="dxa"/>
          </w:tcPr>
          <w:p w:rsidR="006854B5" w:rsidRDefault="006854B5" w:rsidP="006854B5">
            <w:pPr>
              <w:pStyle w:val="BodyText1"/>
              <w:spacing w:after="0" w:line="240" w:lineRule="auto"/>
              <w:ind w:firstLine="0"/>
            </w:pPr>
            <w:r>
              <w:t>MCH Director</w:t>
            </w:r>
          </w:p>
        </w:tc>
        <w:tc>
          <w:tcPr>
            <w:tcW w:w="3670" w:type="dxa"/>
          </w:tcPr>
          <w:p w:rsidR="006854B5" w:rsidRDefault="006854B5" w:rsidP="006854B5">
            <w:pPr>
              <w:pStyle w:val="BodyText1"/>
              <w:spacing w:after="0" w:line="240" w:lineRule="auto"/>
              <w:ind w:firstLine="0"/>
            </w:pPr>
            <w:r w:rsidRPr="006854B5">
              <w:t>651-201-2872</w:t>
            </w:r>
          </w:p>
          <w:p w:rsidR="006854B5" w:rsidRPr="006854B5" w:rsidRDefault="00351A7E" w:rsidP="006854B5">
            <w:pPr>
              <w:pStyle w:val="BodyText1"/>
              <w:spacing w:after="0" w:line="240" w:lineRule="auto"/>
              <w:ind w:firstLine="0"/>
              <w:rPr>
                <w:b/>
              </w:rPr>
            </w:pPr>
            <w:hyperlink r:id="rId11" w:history="1">
              <w:r w:rsidR="00EC38C4" w:rsidRPr="00B73245">
                <w:rPr>
                  <w:rStyle w:val="Hyperlink"/>
                </w:rPr>
                <w:t>susan.castellano@state.mn.us</w:t>
              </w:r>
            </w:hyperlink>
          </w:p>
        </w:tc>
      </w:tr>
      <w:tr w:rsidR="006854B5" w:rsidTr="006854B5">
        <w:tc>
          <w:tcPr>
            <w:tcW w:w="1458" w:type="dxa"/>
          </w:tcPr>
          <w:p w:rsidR="006854B5" w:rsidRDefault="006854B5" w:rsidP="006854B5">
            <w:pPr>
              <w:pStyle w:val="BodyText1"/>
              <w:spacing w:after="0" w:line="240" w:lineRule="auto"/>
              <w:ind w:firstLine="0"/>
            </w:pPr>
            <w:r>
              <w:t>Texas</w:t>
            </w:r>
          </w:p>
        </w:tc>
        <w:tc>
          <w:tcPr>
            <w:tcW w:w="2070" w:type="dxa"/>
          </w:tcPr>
          <w:p w:rsidR="006854B5" w:rsidRDefault="006854B5" w:rsidP="006854B5">
            <w:pPr>
              <w:pStyle w:val="BodyText1"/>
              <w:spacing w:after="0" w:line="240" w:lineRule="auto"/>
              <w:ind w:firstLine="0"/>
            </w:pPr>
            <w:r>
              <w:t>Sam Cooper</w:t>
            </w:r>
          </w:p>
        </w:tc>
        <w:tc>
          <w:tcPr>
            <w:tcW w:w="2217" w:type="dxa"/>
          </w:tcPr>
          <w:p w:rsidR="006854B5" w:rsidRDefault="006854B5" w:rsidP="006854B5">
            <w:pPr>
              <w:pStyle w:val="BodyText1"/>
              <w:spacing w:after="0" w:line="240" w:lineRule="auto"/>
              <w:ind w:firstLine="0"/>
            </w:pPr>
            <w:r>
              <w:t>MCH Director</w:t>
            </w:r>
          </w:p>
        </w:tc>
        <w:tc>
          <w:tcPr>
            <w:tcW w:w="3670" w:type="dxa"/>
          </w:tcPr>
          <w:p w:rsidR="006854B5" w:rsidRDefault="006854B5" w:rsidP="006854B5">
            <w:pPr>
              <w:pStyle w:val="BodyText1"/>
              <w:spacing w:after="0" w:line="240" w:lineRule="auto"/>
              <w:ind w:firstLine="0"/>
            </w:pPr>
            <w:r w:rsidRPr="006854B5">
              <w:t>512</w:t>
            </w:r>
            <w:r>
              <w:t>-</w:t>
            </w:r>
            <w:r w:rsidRPr="006854B5">
              <w:t>776-7373</w:t>
            </w:r>
          </w:p>
          <w:p w:rsidR="006854B5" w:rsidRDefault="00351A7E" w:rsidP="006854B5">
            <w:pPr>
              <w:pStyle w:val="BodyText1"/>
              <w:spacing w:after="0" w:line="240" w:lineRule="auto"/>
              <w:ind w:firstLine="0"/>
            </w:pPr>
            <w:hyperlink r:id="rId12" w:history="1">
              <w:r w:rsidR="00EC38C4" w:rsidRPr="00B73245">
                <w:rPr>
                  <w:rStyle w:val="Hyperlink"/>
                </w:rPr>
                <w:t>sam.cooper@dshs.state.tx.us</w:t>
              </w:r>
            </w:hyperlink>
          </w:p>
        </w:tc>
      </w:tr>
      <w:tr w:rsidR="006854B5" w:rsidTr="006854B5">
        <w:tc>
          <w:tcPr>
            <w:tcW w:w="1458" w:type="dxa"/>
          </w:tcPr>
          <w:p w:rsidR="006854B5" w:rsidRDefault="006854B5" w:rsidP="006854B5">
            <w:pPr>
              <w:pStyle w:val="BodyText1"/>
              <w:spacing w:after="0" w:line="240" w:lineRule="auto"/>
              <w:ind w:firstLine="0"/>
            </w:pPr>
            <w:r>
              <w:t>New York</w:t>
            </w:r>
          </w:p>
        </w:tc>
        <w:tc>
          <w:tcPr>
            <w:tcW w:w="2070" w:type="dxa"/>
          </w:tcPr>
          <w:p w:rsidR="006854B5" w:rsidRDefault="006854B5" w:rsidP="006854B5">
            <w:pPr>
              <w:pStyle w:val="BodyText1"/>
              <w:spacing w:after="0" w:line="240" w:lineRule="auto"/>
              <w:ind w:firstLine="0"/>
            </w:pPr>
            <w:r>
              <w:t>Rachel DeLong</w:t>
            </w:r>
          </w:p>
        </w:tc>
        <w:tc>
          <w:tcPr>
            <w:tcW w:w="2217" w:type="dxa"/>
          </w:tcPr>
          <w:p w:rsidR="006854B5" w:rsidRDefault="006854B5" w:rsidP="006854B5">
            <w:pPr>
              <w:pStyle w:val="BodyText1"/>
              <w:spacing w:after="0" w:line="240" w:lineRule="auto"/>
              <w:ind w:firstLine="0"/>
            </w:pPr>
            <w:r w:rsidRPr="00486590">
              <w:t>Family Health</w:t>
            </w:r>
            <w:r w:rsidRPr="006854B5">
              <w:t xml:space="preserve"> Section Chief</w:t>
            </w:r>
          </w:p>
        </w:tc>
        <w:tc>
          <w:tcPr>
            <w:tcW w:w="3670" w:type="dxa"/>
          </w:tcPr>
          <w:p w:rsidR="006854B5" w:rsidRDefault="006854B5" w:rsidP="006854B5">
            <w:pPr>
              <w:pStyle w:val="BodyText1"/>
              <w:spacing w:after="0" w:line="240" w:lineRule="auto"/>
              <w:ind w:firstLine="0"/>
            </w:pPr>
            <w:r w:rsidRPr="006854B5">
              <w:t>518-473-7922</w:t>
            </w:r>
          </w:p>
          <w:p w:rsidR="006854B5" w:rsidRDefault="00351A7E" w:rsidP="006854B5">
            <w:pPr>
              <w:pStyle w:val="BodyText1"/>
              <w:spacing w:after="0" w:line="240" w:lineRule="auto"/>
              <w:ind w:firstLine="0"/>
            </w:pPr>
            <w:hyperlink r:id="rId13" w:history="1">
              <w:r w:rsidR="00EC38C4" w:rsidRPr="00B73245">
                <w:rPr>
                  <w:rStyle w:val="Hyperlink"/>
                </w:rPr>
                <w:t>rmd07@health.state.ny.us</w:t>
              </w:r>
            </w:hyperlink>
          </w:p>
        </w:tc>
      </w:tr>
    </w:tbl>
    <w:p w:rsidR="007B09AB" w:rsidRDefault="007B09AB" w:rsidP="0018392E">
      <w:pPr>
        <w:pStyle w:val="BodyText1"/>
      </w:pPr>
    </w:p>
    <w:p w:rsidR="00BB6998" w:rsidRPr="006C462C" w:rsidRDefault="00BB6998" w:rsidP="0018392E">
      <w:pPr>
        <w:pStyle w:val="BodyText1"/>
      </w:pPr>
      <w:r>
        <w:t xml:space="preserve">All states responded to the survey; </w:t>
      </w:r>
      <w:r w:rsidR="00486590">
        <w:t xml:space="preserve">no issues arose </w:t>
      </w:r>
      <w:r>
        <w:t>that could not be resolved during consultation. A summary of the comments received through the pretest can be found in Attachment 3.</w:t>
      </w:r>
    </w:p>
    <w:p w:rsidR="00557E34" w:rsidRPr="005A2446" w:rsidRDefault="00557E34" w:rsidP="00557E34">
      <w:pPr>
        <w:pStyle w:val="Heading2"/>
      </w:pPr>
      <w:bookmarkStart w:id="23" w:name="_Toc343103428"/>
      <w:bookmarkStart w:id="24" w:name="_Toc358887199"/>
      <w:r w:rsidRPr="005A2446">
        <w:t>B.9</w:t>
      </w:r>
      <w:r w:rsidRPr="005A2446">
        <w:tab/>
        <w:t>Payments/Gifts to Respondents</w:t>
      </w:r>
      <w:bookmarkEnd w:id="23"/>
      <w:bookmarkEnd w:id="24"/>
    </w:p>
    <w:p w:rsidR="00291575" w:rsidRPr="005A2446" w:rsidRDefault="008B61C2" w:rsidP="00C1003B">
      <w:pPr>
        <w:pStyle w:val="BodyText1"/>
      </w:pPr>
      <w:r>
        <w:t>No payments or gifts will be provided to respondents.</w:t>
      </w:r>
    </w:p>
    <w:p w:rsidR="00557E34" w:rsidRPr="003E3837" w:rsidRDefault="00557E34" w:rsidP="00557E34">
      <w:pPr>
        <w:pStyle w:val="Heading2"/>
      </w:pPr>
      <w:bookmarkStart w:id="25" w:name="_Toc343103429"/>
      <w:bookmarkStart w:id="26" w:name="_Toc358887200"/>
      <w:r w:rsidRPr="003E3837">
        <w:t>B.10</w:t>
      </w:r>
      <w:r w:rsidRPr="003E3837">
        <w:tab/>
        <w:t>Confidentiality</w:t>
      </w:r>
      <w:bookmarkEnd w:id="25"/>
      <w:bookmarkEnd w:id="26"/>
    </w:p>
    <w:p w:rsidR="00557E34" w:rsidRPr="005A2446" w:rsidRDefault="00676737" w:rsidP="00106EEE">
      <w:pPr>
        <w:pStyle w:val="BodyText1"/>
      </w:pPr>
      <w:r w:rsidRPr="003E3837">
        <w:t>HRSA’s contractor</w:t>
      </w:r>
      <w:r w:rsidR="0002616C" w:rsidRPr="003E3837">
        <w:t xml:space="preserve">, RTI International, </w:t>
      </w:r>
      <w:r w:rsidRPr="003E3837">
        <w:t>will collect and store the information provided by</w:t>
      </w:r>
      <w:r>
        <w:t xml:space="preserve"> states through the Title V Block Grant Survey. </w:t>
      </w:r>
      <w:r w:rsidR="00557E34" w:rsidRPr="00FD7F13">
        <w:t xml:space="preserve">All electronic project files at RTI </w:t>
      </w:r>
      <w:r w:rsidR="001E5F51">
        <w:t>will be</w:t>
      </w:r>
      <w:r w:rsidR="00557E34" w:rsidRPr="00FD7F13">
        <w:t xml:space="preserve"> stored on a limited-access project shared drive on RTI</w:t>
      </w:r>
      <w:r w:rsidR="00291575" w:rsidRPr="00FD7F13">
        <w:t>’</w:t>
      </w:r>
      <w:r w:rsidR="00557E34" w:rsidRPr="00FD7F13">
        <w:t xml:space="preserve">s secure network servers; only project </w:t>
      </w:r>
      <w:r w:rsidR="00013B28" w:rsidRPr="00FD7F13">
        <w:t xml:space="preserve">staff </w:t>
      </w:r>
      <w:r w:rsidR="00013B28">
        <w:t>that</w:t>
      </w:r>
      <w:r w:rsidR="00013B28" w:rsidRPr="00FD7F13">
        <w:t xml:space="preserve"> has</w:t>
      </w:r>
      <w:r w:rsidR="00557E34" w:rsidRPr="00FD7F13">
        <w:t xml:space="preserve"> been authorized by the project director can access the shared drive. After project completion, all electronic files (e.g., notes, documents, </w:t>
      </w:r>
      <w:r w:rsidR="008B138B">
        <w:t xml:space="preserve">and </w:t>
      </w:r>
      <w:r w:rsidR="00557E34" w:rsidRPr="00FD7F13">
        <w:t>reports) will be archived on RTI</w:t>
      </w:r>
      <w:r w:rsidR="00291575" w:rsidRPr="00FD7F13">
        <w:t>’</w:t>
      </w:r>
      <w:r w:rsidR="00557E34" w:rsidRPr="00FD7F13">
        <w:t>s project shared drive.</w:t>
      </w:r>
      <w:r w:rsidR="00E81518" w:rsidRPr="00FD7F13">
        <w:t xml:space="preserve"> </w:t>
      </w:r>
      <w:r w:rsidR="00557E34" w:rsidRPr="00FD7F13">
        <w:t xml:space="preserve">All RTI employees and contractors working on the project who have access to project data are required to </w:t>
      </w:r>
      <w:r w:rsidR="007F1B5A" w:rsidRPr="00FD7F13">
        <w:t xml:space="preserve">sign a code of conduct that outlines how project </w:t>
      </w:r>
      <w:r w:rsidR="00003576" w:rsidRPr="00FD7F13">
        <w:t>staff</w:t>
      </w:r>
      <w:r w:rsidR="007F1B5A" w:rsidRPr="00FD7F13">
        <w:t xml:space="preserve"> should conduct research with human subjects which includes ensuring privacy and confidentiality</w:t>
      </w:r>
      <w:r w:rsidR="008D3BE9" w:rsidRPr="00FD7F13">
        <w:t>.</w:t>
      </w:r>
      <w:r w:rsidR="00557E34" w:rsidRPr="00FD7F13">
        <w:t xml:space="preserve"> </w:t>
      </w:r>
      <w:r w:rsidR="00BB00EA" w:rsidRPr="003E3837">
        <w:t>`</w:t>
      </w:r>
      <w:r w:rsidR="006925AD" w:rsidRPr="003E3837">
        <w:t>In the notification e</w:t>
      </w:r>
      <w:r w:rsidR="008B138B" w:rsidRPr="003E3837">
        <w:t>-</w:t>
      </w:r>
      <w:r w:rsidR="006925AD" w:rsidRPr="003E3837">
        <w:t>mail accompanying the survey (Attachment</w:t>
      </w:r>
      <w:r w:rsidR="00D13996" w:rsidRPr="003E3837">
        <w:t xml:space="preserve"> 5b</w:t>
      </w:r>
      <w:r w:rsidR="006925AD" w:rsidRPr="003E3837">
        <w:t>), p</w:t>
      </w:r>
      <w:r w:rsidR="00271BE9" w:rsidRPr="003E3837">
        <w:t xml:space="preserve">otential respondents will be informed </w:t>
      </w:r>
      <w:r w:rsidR="00271BE9" w:rsidRPr="003E3837">
        <w:rPr>
          <w:color w:val="000000"/>
        </w:rPr>
        <w:t xml:space="preserve">that their participation in completing this survey is voluntary and </w:t>
      </w:r>
      <w:r w:rsidR="00856F21" w:rsidRPr="003E3837">
        <w:rPr>
          <w:szCs w:val="24"/>
        </w:rPr>
        <w:t>responses will not affect participation in the Title V MCH Services Block Grant Program</w:t>
      </w:r>
      <w:r w:rsidR="00E857B5">
        <w:rPr>
          <w:szCs w:val="24"/>
        </w:rPr>
        <w:t xml:space="preserve">. </w:t>
      </w:r>
      <w:r>
        <w:t>T</w:t>
      </w:r>
      <w:r w:rsidR="008F3515">
        <w:t xml:space="preserve">he purpose of this </w:t>
      </w:r>
      <w:r>
        <w:t>information</w:t>
      </w:r>
      <w:r w:rsidR="008F3515">
        <w:t xml:space="preserve"> collection </w:t>
      </w:r>
      <w:r w:rsidR="008F3515">
        <w:lastRenderedPageBreak/>
        <w:t>effort was reviewed with RTI’s Institutional Review Board (IRB), and the IRB determined that this project does not involve research with human subjects as defined by 45 CFR 46.102</w:t>
      </w:r>
      <w:r w:rsidR="000B5429">
        <w:t>,</w:t>
      </w:r>
      <w:r w:rsidR="008F3515">
        <w:t xml:space="preserve"> because these </w:t>
      </w:r>
      <w:r>
        <w:t xml:space="preserve">information collection </w:t>
      </w:r>
      <w:r w:rsidR="008F3515">
        <w:t xml:space="preserve">activities would not be considered “research” as defined by that code nor are human subjects involved. The data from the Title V Block Grant Survey will be used to evaluate the Title V program and are not intended to contribute to generalizable knowledge. Further, each state’s MCH program director or </w:t>
      </w:r>
      <w:r>
        <w:t xml:space="preserve">CSHCN </w:t>
      </w:r>
      <w:r w:rsidR="008F3515">
        <w:t xml:space="preserve">program director </w:t>
      </w:r>
      <w:r>
        <w:t>is</w:t>
      </w:r>
      <w:r w:rsidR="0016316B">
        <w:t xml:space="preserve"> providing data about</w:t>
      </w:r>
      <w:r>
        <w:t xml:space="preserve"> the state’s expenditures, </w:t>
      </w:r>
      <w:r w:rsidR="0016316B">
        <w:t xml:space="preserve">not information about the individual respondent. RTI’s IRB’s determination can be found in Attachment </w:t>
      </w:r>
      <w:r w:rsidR="004B3FA6">
        <w:t>4</w:t>
      </w:r>
      <w:r w:rsidR="0016316B">
        <w:t>.</w:t>
      </w:r>
    </w:p>
    <w:p w:rsidR="00557E34" w:rsidRPr="005A2446" w:rsidRDefault="00557E34" w:rsidP="00557E34">
      <w:pPr>
        <w:pStyle w:val="Heading2"/>
      </w:pPr>
      <w:bookmarkStart w:id="27" w:name="_Toc343103430"/>
      <w:bookmarkStart w:id="28" w:name="_Toc358887201"/>
      <w:r w:rsidRPr="005A2446">
        <w:t>B.11</w:t>
      </w:r>
      <w:r w:rsidRPr="005A2446">
        <w:tab/>
        <w:t>Sensitive Questions</w:t>
      </w:r>
      <w:bookmarkEnd w:id="27"/>
      <w:bookmarkEnd w:id="28"/>
    </w:p>
    <w:p w:rsidR="00557E34" w:rsidRPr="005A2446" w:rsidRDefault="0014155D" w:rsidP="00A07E4B">
      <w:pPr>
        <w:pStyle w:val="BodyText1"/>
      </w:pPr>
      <w:r>
        <w:t>No information of a sensitive nature will be collected.</w:t>
      </w:r>
    </w:p>
    <w:p w:rsidR="00557E34" w:rsidRPr="00B404DB" w:rsidRDefault="00557E34" w:rsidP="00557E34">
      <w:pPr>
        <w:pStyle w:val="Heading2"/>
      </w:pPr>
      <w:bookmarkStart w:id="29" w:name="_Toc343103431"/>
      <w:bookmarkStart w:id="30" w:name="_Toc358887202"/>
      <w:r w:rsidRPr="00B404DB">
        <w:t>B.12</w:t>
      </w:r>
      <w:r w:rsidRPr="00B404DB">
        <w:tab/>
        <w:t xml:space="preserve">Burden Estimates (Hours </w:t>
      </w:r>
      <w:r w:rsidR="00D5579D" w:rsidRPr="00B404DB">
        <w:t xml:space="preserve">and </w:t>
      </w:r>
      <w:r w:rsidRPr="00B404DB">
        <w:t>Wages)</w:t>
      </w:r>
      <w:bookmarkEnd w:id="29"/>
      <w:bookmarkEnd w:id="30"/>
    </w:p>
    <w:p w:rsidR="00557E34" w:rsidRDefault="00557E34" w:rsidP="0085708E">
      <w:pPr>
        <w:pStyle w:val="BodyText1"/>
      </w:pPr>
      <w:r w:rsidRPr="00B404DB">
        <w:t>Table</w:t>
      </w:r>
      <w:r w:rsidR="00F84ED9" w:rsidRPr="00B404DB">
        <w:t> </w:t>
      </w:r>
      <w:r w:rsidR="00676737">
        <w:t>2</w:t>
      </w:r>
      <w:r w:rsidRPr="00B404DB">
        <w:t xml:space="preserve"> provide</w:t>
      </w:r>
      <w:r w:rsidR="00E857B5">
        <w:t>s</w:t>
      </w:r>
      <w:r w:rsidRPr="00B404DB">
        <w:t xml:space="preserve"> the burden estimate in hours for </w:t>
      </w:r>
      <w:r w:rsidR="0014155D">
        <w:t xml:space="preserve">the data collection form. </w:t>
      </w:r>
      <w:r w:rsidRPr="00B404DB">
        <w:t xml:space="preserve">The annualized wages presented in </w:t>
      </w:r>
      <w:r w:rsidR="00B404DB" w:rsidRPr="00B404DB">
        <w:t xml:space="preserve">Table </w:t>
      </w:r>
      <w:r w:rsidR="00676737">
        <w:t>3</w:t>
      </w:r>
      <w:r w:rsidR="00B404DB" w:rsidRPr="00B404DB">
        <w:t xml:space="preserve"> </w:t>
      </w:r>
      <w:r w:rsidRPr="00B404DB">
        <w:t xml:space="preserve">are based </w:t>
      </w:r>
      <w:r w:rsidR="00965295">
        <w:t xml:space="preserve">on </w:t>
      </w:r>
      <w:r w:rsidRPr="00B404DB">
        <w:t>data from the United States Department of Labor, Bureau of Labor Statistics (May, 2011</w:t>
      </w:r>
      <w:r w:rsidR="00351A7E" w:rsidRPr="00B404DB">
        <w:fldChar w:fldCharType="begin"/>
      </w:r>
      <w:r w:rsidR="00907967" w:rsidRPr="00B404DB">
        <w:instrText xml:space="preserve"> XE "U.S. BLS, 2011" </w:instrText>
      </w:r>
      <w:r w:rsidR="00351A7E" w:rsidRPr="00B404DB">
        <w:fldChar w:fldCharType="end"/>
      </w:r>
      <w:r w:rsidRPr="00B404DB">
        <w:t xml:space="preserve">) for state, local, and private industry earning and assumes an average hourly wage rate for respondents </w:t>
      </w:r>
      <w:r w:rsidR="00D5579D" w:rsidRPr="00B404DB">
        <w:t xml:space="preserve">who </w:t>
      </w:r>
      <w:r w:rsidRPr="00B404DB">
        <w:t>work an estimated 40-hour work week. There are no direct costs to respondents associated with this information collection.</w:t>
      </w:r>
      <w:r w:rsidR="0014155D">
        <w:t xml:space="preserve"> F</w:t>
      </w:r>
      <w:r w:rsidR="0044156A">
        <w:t xml:space="preserve">igures in the tables are rounded </w:t>
      </w:r>
      <w:r w:rsidR="00B76985">
        <w:t xml:space="preserve">to the nearest dollar </w:t>
      </w:r>
      <w:r w:rsidR="0085708E">
        <w:t>for the total calculation</w:t>
      </w:r>
      <w:r w:rsidR="0044156A">
        <w:t xml:space="preserve">.  </w:t>
      </w:r>
    </w:p>
    <w:p w:rsidR="0008130B" w:rsidRPr="005A2446" w:rsidRDefault="0008130B" w:rsidP="0008130B">
      <w:pPr>
        <w:pStyle w:val="TableTitle"/>
      </w:pPr>
      <w:bookmarkStart w:id="31" w:name="_Toc354391752"/>
      <w:r w:rsidRPr="005A2446">
        <w:t xml:space="preserve">Table </w:t>
      </w:r>
      <w:r w:rsidR="00676737">
        <w:t>2</w:t>
      </w:r>
      <w:r w:rsidRPr="005A2446">
        <w:t>.</w:t>
      </w:r>
      <w:r w:rsidRPr="005A2446">
        <w:tab/>
        <w:t>Estimated Response Burden Table (Hours)</w:t>
      </w:r>
      <w:bookmarkEnd w:id="31"/>
    </w:p>
    <w:tbl>
      <w:tblPr>
        <w:tblStyle w:val="TableGrid"/>
        <w:tblW w:w="4846" w:type="pct"/>
        <w:tblBorders>
          <w:top w:val="single" w:sz="12" w:space="0" w:color="auto"/>
          <w:left w:val="none" w:sz="0" w:space="0" w:color="auto"/>
          <w:bottom w:val="single" w:sz="12" w:space="0" w:color="auto"/>
          <w:right w:val="none" w:sz="0" w:space="0" w:color="auto"/>
          <w:insideH w:val="single" w:sz="6" w:space="0" w:color="auto"/>
          <w:insideV w:val="none" w:sz="0" w:space="0" w:color="auto"/>
        </w:tblBorders>
        <w:tblCellMar>
          <w:left w:w="115" w:type="dxa"/>
          <w:right w:w="115" w:type="dxa"/>
        </w:tblCellMar>
        <w:tblLook w:val="04A0"/>
      </w:tblPr>
      <w:tblGrid>
        <w:gridCol w:w="1293"/>
        <w:gridCol w:w="1415"/>
        <w:gridCol w:w="1376"/>
        <w:gridCol w:w="1340"/>
        <w:gridCol w:w="1153"/>
        <w:gridCol w:w="1277"/>
        <w:gridCol w:w="1441"/>
      </w:tblGrid>
      <w:tr w:rsidR="00EE370B" w:rsidRPr="00FD40D0" w:rsidTr="00EE370B">
        <w:trPr>
          <w:cantSplit/>
          <w:trHeight w:val="987"/>
          <w:tblHeader/>
        </w:trPr>
        <w:tc>
          <w:tcPr>
            <w:tcW w:w="696" w:type="pct"/>
            <w:vAlign w:val="bottom"/>
          </w:tcPr>
          <w:p w:rsidR="00EE370B" w:rsidRPr="00422DB0" w:rsidRDefault="00EE370B" w:rsidP="00F04B61">
            <w:pPr>
              <w:pStyle w:val="TableHeaders"/>
              <w:rPr>
                <w:rFonts w:ascii="Times New Roman" w:hAnsi="Times New Roman"/>
                <w:szCs w:val="21"/>
              </w:rPr>
            </w:pPr>
            <w:r w:rsidRPr="00422DB0">
              <w:rPr>
                <w:rFonts w:ascii="Times New Roman" w:hAnsi="Times New Roman"/>
                <w:szCs w:val="21"/>
              </w:rPr>
              <w:t>Type of Respondent</w:t>
            </w:r>
          </w:p>
        </w:tc>
        <w:tc>
          <w:tcPr>
            <w:tcW w:w="761" w:type="pct"/>
            <w:vAlign w:val="bottom"/>
          </w:tcPr>
          <w:p w:rsidR="00EE370B" w:rsidRPr="00422DB0" w:rsidRDefault="00EE370B" w:rsidP="00F04B61">
            <w:pPr>
              <w:pStyle w:val="TableHeaders"/>
              <w:rPr>
                <w:rFonts w:ascii="Times New Roman" w:hAnsi="Times New Roman"/>
                <w:szCs w:val="21"/>
              </w:rPr>
            </w:pPr>
            <w:r w:rsidRPr="00422DB0">
              <w:rPr>
                <w:rFonts w:ascii="Times New Roman" w:hAnsi="Times New Roman"/>
                <w:szCs w:val="21"/>
              </w:rPr>
              <w:t>Form Name</w:t>
            </w:r>
          </w:p>
        </w:tc>
        <w:tc>
          <w:tcPr>
            <w:tcW w:w="740" w:type="pct"/>
            <w:vAlign w:val="bottom"/>
          </w:tcPr>
          <w:p w:rsidR="00EE370B" w:rsidRPr="00422DB0" w:rsidRDefault="00EE370B" w:rsidP="00F04B61">
            <w:pPr>
              <w:pStyle w:val="TableHeaders"/>
              <w:rPr>
                <w:rFonts w:ascii="Times New Roman" w:hAnsi="Times New Roman"/>
                <w:szCs w:val="21"/>
              </w:rPr>
            </w:pPr>
            <w:r w:rsidRPr="00422DB0">
              <w:rPr>
                <w:rFonts w:ascii="Times New Roman" w:hAnsi="Times New Roman"/>
                <w:szCs w:val="21"/>
              </w:rPr>
              <w:t>Number of Respondents</w:t>
            </w:r>
          </w:p>
        </w:tc>
        <w:tc>
          <w:tcPr>
            <w:tcW w:w="721" w:type="pct"/>
            <w:vAlign w:val="bottom"/>
          </w:tcPr>
          <w:p w:rsidR="00EE370B" w:rsidRPr="00422DB0" w:rsidRDefault="00EE370B" w:rsidP="00F04B61">
            <w:pPr>
              <w:pStyle w:val="TableHeaders"/>
              <w:rPr>
                <w:rFonts w:ascii="Times New Roman" w:hAnsi="Times New Roman"/>
                <w:szCs w:val="21"/>
              </w:rPr>
            </w:pPr>
            <w:r w:rsidRPr="00422DB0">
              <w:rPr>
                <w:rFonts w:ascii="Times New Roman" w:hAnsi="Times New Roman"/>
                <w:szCs w:val="21"/>
              </w:rPr>
              <w:t>Number of Responses per Respondent</w:t>
            </w:r>
          </w:p>
        </w:tc>
        <w:tc>
          <w:tcPr>
            <w:tcW w:w="620" w:type="pct"/>
            <w:vAlign w:val="center"/>
          </w:tcPr>
          <w:p w:rsidR="00EE370B" w:rsidRPr="00422DB0" w:rsidRDefault="00EE370B" w:rsidP="00EE370B">
            <w:pPr>
              <w:pStyle w:val="TableHeaders"/>
              <w:rPr>
                <w:rFonts w:ascii="Times New Roman" w:hAnsi="Times New Roman"/>
                <w:szCs w:val="21"/>
              </w:rPr>
            </w:pPr>
            <w:r>
              <w:rPr>
                <w:rFonts w:ascii="Times New Roman" w:hAnsi="Times New Roman"/>
                <w:szCs w:val="21"/>
              </w:rPr>
              <w:t>Total Responses</w:t>
            </w:r>
          </w:p>
        </w:tc>
        <w:tc>
          <w:tcPr>
            <w:tcW w:w="687" w:type="pct"/>
            <w:vAlign w:val="bottom"/>
          </w:tcPr>
          <w:p w:rsidR="00EE370B" w:rsidRPr="00422DB0" w:rsidRDefault="00EE370B" w:rsidP="00F04B61">
            <w:pPr>
              <w:pStyle w:val="TableHeaders"/>
              <w:rPr>
                <w:rFonts w:ascii="Times New Roman" w:hAnsi="Times New Roman"/>
                <w:szCs w:val="21"/>
              </w:rPr>
            </w:pPr>
            <w:r w:rsidRPr="00422DB0">
              <w:rPr>
                <w:rFonts w:ascii="Times New Roman" w:hAnsi="Times New Roman"/>
                <w:szCs w:val="21"/>
              </w:rPr>
              <w:t>Average Burden per Response (in hours)</w:t>
            </w:r>
          </w:p>
        </w:tc>
        <w:tc>
          <w:tcPr>
            <w:tcW w:w="775" w:type="pct"/>
            <w:vAlign w:val="bottom"/>
          </w:tcPr>
          <w:p w:rsidR="00EE370B" w:rsidRPr="00422DB0" w:rsidRDefault="00EE370B" w:rsidP="00F04B61">
            <w:pPr>
              <w:pStyle w:val="TableHeaders"/>
              <w:rPr>
                <w:rFonts w:ascii="Times New Roman" w:hAnsi="Times New Roman"/>
                <w:szCs w:val="21"/>
              </w:rPr>
            </w:pPr>
            <w:r w:rsidRPr="00422DB0">
              <w:rPr>
                <w:rFonts w:ascii="Times New Roman" w:hAnsi="Times New Roman"/>
                <w:szCs w:val="21"/>
              </w:rPr>
              <w:t>Total Burden (in hours)</w:t>
            </w:r>
          </w:p>
        </w:tc>
      </w:tr>
      <w:tr w:rsidR="00EE370B" w:rsidRPr="003F0BD5" w:rsidTr="00EE370B">
        <w:trPr>
          <w:cantSplit/>
        </w:trPr>
        <w:tc>
          <w:tcPr>
            <w:tcW w:w="696" w:type="pct"/>
          </w:tcPr>
          <w:p w:rsidR="00EE370B" w:rsidRPr="00422DB0" w:rsidRDefault="00EE370B" w:rsidP="00F04B61">
            <w:pPr>
              <w:pStyle w:val="TableText"/>
              <w:keepNext/>
              <w:rPr>
                <w:szCs w:val="21"/>
              </w:rPr>
            </w:pPr>
            <w:r w:rsidRPr="00422DB0">
              <w:rPr>
                <w:szCs w:val="21"/>
              </w:rPr>
              <w:t>Title V Program Director</w:t>
            </w:r>
          </w:p>
        </w:tc>
        <w:tc>
          <w:tcPr>
            <w:tcW w:w="761" w:type="pct"/>
          </w:tcPr>
          <w:p w:rsidR="00EE370B" w:rsidRPr="00422DB0" w:rsidRDefault="00EE370B" w:rsidP="00C70791">
            <w:pPr>
              <w:pStyle w:val="TableText"/>
              <w:keepNext/>
              <w:rPr>
                <w:szCs w:val="21"/>
              </w:rPr>
            </w:pPr>
            <w:r w:rsidRPr="00422DB0">
              <w:rPr>
                <w:szCs w:val="21"/>
              </w:rPr>
              <w:t>Title V Block Grant Survey</w:t>
            </w:r>
          </w:p>
        </w:tc>
        <w:tc>
          <w:tcPr>
            <w:tcW w:w="740" w:type="pct"/>
          </w:tcPr>
          <w:p w:rsidR="00EE370B" w:rsidRPr="00422DB0" w:rsidRDefault="00EE370B" w:rsidP="000B5429">
            <w:pPr>
              <w:pStyle w:val="TableText"/>
              <w:keepNext/>
              <w:jc w:val="center"/>
              <w:rPr>
                <w:szCs w:val="21"/>
              </w:rPr>
            </w:pPr>
            <w:r>
              <w:rPr>
                <w:szCs w:val="21"/>
              </w:rPr>
              <w:t>52</w:t>
            </w:r>
          </w:p>
        </w:tc>
        <w:tc>
          <w:tcPr>
            <w:tcW w:w="721" w:type="pct"/>
          </w:tcPr>
          <w:p w:rsidR="00EE370B" w:rsidRPr="00422DB0" w:rsidRDefault="00EE370B" w:rsidP="000B5429">
            <w:pPr>
              <w:pStyle w:val="TableText"/>
              <w:keepNext/>
              <w:jc w:val="center"/>
              <w:rPr>
                <w:szCs w:val="21"/>
              </w:rPr>
            </w:pPr>
            <w:r w:rsidRPr="00422DB0">
              <w:rPr>
                <w:szCs w:val="21"/>
              </w:rPr>
              <w:t>1</w:t>
            </w:r>
          </w:p>
        </w:tc>
        <w:tc>
          <w:tcPr>
            <w:tcW w:w="620" w:type="pct"/>
          </w:tcPr>
          <w:p w:rsidR="00EE370B" w:rsidRDefault="00EE370B" w:rsidP="000B5429">
            <w:pPr>
              <w:pStyle w:val="TableText"/>
              <w:keepNext/>
              <w:jc w:val="center"/>
              <w:rPr>
                <w:szCs w:val="21"/>
              </w:rPr>
            </w:pPr>
            <w:r>
              <w:rPr>
                <w:szCs w:val="21"/>
              </w:rPr>
              <w:t>52</w:t>
            </w:r>
          </w:p>
        </w:tc>
        <w:tc>
          <w:tcPr>
            <w:tcW w:w="687" w:type="pct"/>
          </w:tcPr>
          <w:p w:rsidR="00EE370B" w:rsidRPr="00422DB0" w:rsidRDefault="00EE370B" w:rsidP="000B5429">
            <w:pPr>
              <w:pStyle w:val="TableText"/>
              <w:keepNext/>
              <w:jc w:val="center"/>
              <w:rPr>
                <w:szCs w:val="21"/>
              </w:rPr>
            </w:pPr>
            <w:r>
              <w:rPr>
                <w:szCs w:val="21"/>
              </w:rPr>
              <w:t>36</w:t>
            </w:r>
          </w:p>
        </w:tc>
        <w:tc>
          <w:tcPr>
            <w:tcW w:w="775" w:type="pct"/>
          </w:tcPr>
          <w:p w:rsidR="00EE370B" w:rsidRPr="00422DB0" w:rsidRDefault="00EE370B" w:rsidP="000B5429">
            <w:pPr>
              <w:pStyle w:val="TableText"/>
              <w:keepNext/>
              <w:tabs>
                <w:tab w:val="decimal" w:pos="605"/>
              </w:tabs>
              <w:jc w:val="center"/>
              <w:rPr>
                <w:szCs w:val="21"/>
              </w:rPr>
            </w:pPr>
            <w:r>
              <w:rPr>
                <w:szCs w:val="21"/>
              </w:rPr>
              <w:t>1,872</w:t>
            </w:r>
          </w:p>
        </w:tc>
      </w:tr>
      <w:tr w:rsidR="00EE370B" w:rsidRPr="0008130B" w:rsidTr="00EE370B">
        <w:trPr>
          <w:cantSplit/>
        </w:trPr>
        <w:tc>
          <w:tcPr>
            <w:tcW w:w="696" w:type="pct"/>
            <w:shd w:val="clear" w:color="auto" w:fill="D9D9D9" w:themeFill="background1" w:themeFillShade="D9"/>
          </w:tcPr>
          <w:p w:rsidR="00EE370B" w:rsidRPr="00422DB0" w:rsidRDefault="00EE370B" w:rsidP="00F04B61">
            <w:pPr>
              <w:pStyle w:val="TableText"/>
              <w:keepNext/>
              <w:rPr>
                <w:b/>
                <w:bCs/>
                <w:szCs w:val="21"/>
              </w:rPr>
            </w:pPr>
            <w:r w:rsidRPr="00422DB0">
              <w:rPr>
                <w:b/>
                <w:bCs/>
                <w:szCs w:val="21"/>
              </w:rPr>
              <w:t>Total</w:t>
            </w:r>
          </w:p>
        </w:tc>
        <w:tc>
          <w:tcPr>
            <w:tcW w:w="761" w:type="pct"/>
            <w:shd w:val="clear" w:color="auto" w:fill="D9D9D9" w:themeFill="background1" w:themeFillShade="D9"/>
          </w:tcPr>
          <w:p w:rsidR="00EE370B" w:rsidRPr="00422DB0" w:rsidRDefault="00EE370B" w:rsidP="000B5429">
            <w:pPr>
              <w:pStyle w:val="TableText"/>
              <w:keepNext/>
              <w:rPr>
                <w:szCs w:val="21"/>
              </w:rPr>
            </w:pPr>
          </w:p>
        </w:tc>
        <w:tc>
          <w:tcPr>
            <w:tcW w:w="740" w:type="pct"/>
            <w:shd w:val="clear" w:color="auto" w:fill="D9D9D9" w:themeFill="background1" w:themeFillShade="D9"/>
          </w:tcPr>
          <w:p w:rsidR="00EE370B" w:rsidRPr="00422DB0" w:rsidRDefault="00EE370B" w:rsidP="000B5429">
            <w:pPr>
              <w:pStyle w:val="TableText"/>
              <w:keepNext/>
              <w:tabs>
                <w:tab w:val="decimal" w:pos="785"/>
              </w:tabs>
              <w:rPr>
                <w:szCs w:val="21"/>
              </w:rPr>
            </w:pPr>
            <w:r>
              <w:rPr>
                <w:szCs w:val="21"/>
              </w:rPr>
              <w:t>52</w:t>
            </w:r>
          </w:p>
        </w:tc>
        <w:tc>
          <w:tcPr>
            <w:tcW w:w="721" w:type="pct"/>
            <w:shd w:val="clear" w:color="auto" w:fill="D9D9D9" w:themeFill="background1" w:themeFillShade="D9"/>
          </w:tcPr>
          <w:p w:rsidR="00EE370B" w:rsidRPr="00422DB0" w:rsidRDefault="00EE370B" w:rsidP="000B5429">
            <w:pPr>
              <w:pStyle w:val="TableText"/>
              <w:keepNext/>
              <w:jc w:val="center"/>
              <w:rPr>
                <w:szCs w:val="21"/>
              </w:rPr>
            </w:pPr>
          </w:p>
        </w:tc>
        <w:tc>
          <w:tcPr>
            <w:tcW w:w="620" w:type="pct"/>
            <w:shd w:val="clear" w:color="auto" w:fill="D9D9D9" w:themeFill="background1" w:themeFillShade="D9"/>
          </w:tcPr>
          <w:p w:rsidR="00EE370B" w:rsidRDefault="00EE370B" w:rsidP="00452930">
            <w:pPr>
              <w:pStyle w:val="TableText"/>
              <w:keepNext/>
              <w:jc w:val="center"/>
              <w:rPr>
                <w:szCs w:val="21"/>
              </w:rPr>
            </w:pPr>
          </w:p>
        </w:tc>
        <w:tc>
          <w:tcPr>
            <w:tcW w:w="687" w:type="pct"/>
            <w:shd w:val="clear" w:color="auto" w:fill="D9D9D9" w:themeFill="background1" w:themeFillShade="D9"/>
          </w:tcPr>
          <w:p w:rsidR="00EE370B" w:rsidRPr="00422DB0" w:rsidRDefault="00EE370B" w:rsidP="00452930">
            <w:pPr>
              <w:pStyle w:val="TableText"/>
              <w:keepNext/>
              <w:jc w:val="center"/>
              <w:rPr>
                <w:szCs w:val="21"/>
              </w:rPr>
            </w:pPr>
            <w:r>
              <w:rPr>
                <w:szCs w:val="21"/>
              </w:rPr>
              <w:t>36</w:t>
            </w:r>
          </w:p>
        </w:tc>
        <w:tc>
          <w:tcPr>
            <w:tcW w:w="775" w:type="pct"/>
            <w:shd w:val="clear" w:color="auto" w:fill="D9D9D9" w:themeFill="background1" w:themeFillShade="D9"/>
          </w:tcPr>
          <w:p w:rsidR="00EE370B" w:rsidRPr="00422DB0" w:rsidRDefault="00EE370B" w:rsidP="006230B2">
            <w:pPr>
              <w:pStyle w:val="TableText"/>
              <w:keepNext/>
              <w:tabs>
                <w:tab w:val="decimal" w:pos="605"/>
              </w:tabs>
              <w:jc w:val="center"/>
              <w:rPr>
                <w:szCs w:val="21"/>
              </w:rPr>
            </w:pPr>
            <w:r>
              <w:rPr>
                <w:szCs w:val="21"/>
              </w:rPr>
              <w:t>1,872</w:t>
            </w:r>
          </w:p>
        </w:tc>
      </w:tr>
    </w:tbl>
    <w:p w:rsidR="0008130B" w:rsidRPr="0008130B" w:rsidRDefault="0008130B">
      <w:pPr>
        <w:rPr>
          <w:b/>
          <w:sz w:val="21"/>
          <w:szCs w:val="21"/>
        </w:rPr>
      </w:pPr>
      <w:bookmarkStart w:id="32" w:name="_Toc343159672"/>
    </w:p>
    <w:p w:rsidR="0008130B" w:rsidRPr="00FD40D0" w:rsidRDefault="0008130B" w:rsidP="0008130B">
      <w:pPr>
        <w:pStyle w:val="TableTitle"/>
      </w:pPr>
      <w:bookmarkStart w:id="33" w:name="_Toc343159671"/>
      <w:bookmarkStart w:id="34" w:name="_Toc354391753"/>
      <w:r w:rsidRPr="00FD40D0">
        <w:lastRenderedPageBreak/>
        <w:t>Table</w:t>
      </w:r>
      <w:r>
        <w:t xml:space="preserve"> </w:t>
      </w:r>
      <w:r w:rsidR="00676737">
        <w:t>3</w:t>
      </w:r>
      <w:r w:rsidRPr="00FD40D0">
        <w:t>.</w:t>
      </w:r>
      <w:r w:rsidRPr="00FD40D0">
        <w:tab/>
        <w:t>Estimated Response Burden Table (Annualized Wages)</w:t>
      </w:r>
      <w:bookmarkEnd w:id="33"/>
      <w:bookmarkEnd w:id="34"/>
    </w:p>
    <w:tbl>
      <w:tblPr>
        <w:tblStyle w:val="TableGrid"/>
        <w:tblW w:w="9332" w:type="dxa"/>
        <w:tblInd w:w="86" w:type="dxa"/>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tblPr>
      <w:tblGrid>
        <w:gridCol w:w="1411"/>
        <w:gridCol w:w="1891"/>
        <w:gridCol w:w="1529"/>
        <w:gridCol w:w="1260"/>
        <w:gridCol w:w="1256"/>
        <w:gridCol w:w="1174"/>
        <w:gridCol w:w="811"/>
      </w:tblGrid>
      <w:tr w:rsidR="0008130B" w:rsidRPr="0008130B" w:rsidTr="00422DB0">
        <w:trPr>
          <w:cantSplit/>
          <w:tblHeader/>
        </w:trPr>
        <w:tc>
          <w:tcPr>
            <w:tcW w:w="1411" w:type="dxa"/>
            <w:vAlign w:val="bottom"/>
          </w:tcPr>
          <w:p w:rsidR="0008130B" w:rsidRPr="00422DB0" w:rsidRDefault="0008130B" w:rsidP="00F04B61">
            <w:pPr>
              <w:pStyle w:val="TableHeaders"/>
              <w:spacing w:before="60" w:after="60"/>
              <w:rPr>
                <w:rFonts w:ascii="Times New Roman" w:hAnsi="Times New Roman"/>
                <w:szCs w:val="21"/>
              </w:rPr>
            </w:pPr>
            <w:r w:rsidRPr="00422DB0">
              <w:rPr>
                <w:rFonts w:ascii="Times New Roman" w:hAnsi="Times New Roman"/>
                <w:szCs w:val="21"/>
              </w:rPr>
              <w:t>Type of Respondent</w:t>
            </w:r>
          </w:p>
        </w:tc>
        <w:tc>
          <w:tcPr>
            <w:tcW w:w="1891" w:type="dxa"/>
            <w:vAlign w:val="bottom"/>
          </w:tcPr>
          <w:p w:rsidR="0008130B" w:rsidRPr="00422DB0" w:rsidRDefault="0008130B" w:rsidP="00F04B61">
            <w:pPr>
              <w:pStyle w:val="TableHeaders"/>
              <w:spacing w:before="60" w:after="60"/>
              <w:rPr>
                <w:rFonts w:ascii="Times New Roman" w:hAnsi="Times New Roman"/>
                <w:szCs w:val="21"/>
              </w:rPr>
            </w:pPr>
            <w:r w:rsidRPr="00422DB0">
              <w:rPr>
                <w:rFonts w:ascii="Times New Roman" w:hAnsi="Times New Roman"/>
                <w:szCs w:val="21"/>
              </w:rPr>
              <w:t>Form Name</w:t>
            </w:r>
          </w:p>
        </w:tc>
        <w:tc>
          <w:tcPr>
            <w:tcW w:w="1529" w:type="dxa"/>
            <w:vAlign w:val="bottom"/>
          </w:tcPr>
          <w:p w:rsidR="0008130B" w:rsidRPr="00422DB0" w:rsidRDefault="0008130B" w:rsidP="00F04B61">
            <w:pPr>
              <w:pStyle w:val="TableHeaders"/>
              <w:spacing w:before="60" w:after="60"/>
              <w:rPr>
                <w:rFonts w:ascii="Times New Roman" w:hAnsi="Times New Roman"/>
                <w:szCs w:val="21"/>
              </w:rPr>
            </w:pPr>
            <w:r w:rsidRPr="00422DB0">
              <w:rPr>
                <w:rFonts w:ascii="Times New Roman" w:hAnsi="Times New Roman"/>
                <w:szCs w:val="21"/>
              </w:rPr>
              <w:t>Number of Respondents</w:t>
            </w:r>
          </w:p>
        </w:tc>
        <w:tc>
          <w:tcPr>
            <w:tcW w:w="1260" w:type="dxa"/>
            <w:vAlign w:val="bottom"/>
          </w:tcPr>
          <w:p w:rsidR="0008130B" w:rsidRPr="00422DB0" w:rsidRDefault="0008130B" w:rsidP="00F04B61">
            <w:pPr>
              <w:pStyle w:val="TableHeaders"/>
              <w:spacing w:before="60" w:after="60"/>
              <w:rPr>
                <w:rFonts w:ascii="Times New Roman" w:hAnsi="Times New Roman"/>
                <w:szCs w:val="21"/>
              </w:rPr>
            </w:pPr>
            <w:r w:rsidRPr="00422DB0">
              <w:rPr>
                <w:rFonts w:ascii="Times New Roman" w:hAnsi="Times New Roman"/>
                <w:szCs w:val="21"/>
              </w:rPr>
              <w:t>Number of Responses per Respondent</w:t>
            </w:r>
          </w:p>
        </w:tc>
        <w:tc>
          <w:tcPr>
            <w:tcW w:w="1256" w:type="dxa"/>
            <w:vAlign w:val="bottom"/>
          </w:tcPr>
          <w:p w:rsidR="0008130B" w:rsidRPr="00422DB0" w:rsidRDefault="0008130B" w:rsidP="00F04B61">
            <w:pPr>
              <w:pStyle w:val="TableHeaders"/>
              <w:spacing w:before="60" w:after="60"/>
              <w:rPr>
                <w:rFonts w:ascii="Times New Roman" w:hAnsi="Times New Roman"/>
                <w:szCs w:val="21"/>
              </w:rPr>
            </w:pPr>
            <w:r w:rsidRPr="00422DB0">
              <w:rPr>
                <w:rFonts w:ascii="Times New Roman" w:hAnsi="Times New Roman"/>
                <w:szCs w:val="21"/>
              </w:rPr>
              <w:t>Average Burden per Response (in hours)</w:t>
            </w:r>
          </w:p>
        </w:tc>
        <w:tc>
          <w:tcPr>
            <w:tcW w:w="1174" w:type="dxa"/>
            <w:vAlign w:val="bottom"/>
          </w:tcPr>
          <w:p w:rsidR="0008130B" w:rsidRPr="00422DB0" w:rsidRDefault="0008130B" w:rsidP="00F04B61">
            <w:pPr>
              <w:pStyle w:val="TableHeaders"/>
              <w:spacing w:before="60" w:after="60"/>
              <w:rPr>
                <w:rFonts w:ascii="Times New Roman" w:hAnsi="Times New Roman"/>
                <w:szCs w:val="21"/>
              </w:rPr>
            </w:pPr>
            <w:r w:rsidRPr="00422DB0">
              <w:rPr>
                <w:rFonts w:ascii="Times New Roman" w:hAnsi="Times New Roman"/>
                <w:szCs w:val="21"/>
              </w:rPr>
              <w:t>Average Hourly Wage Rate</w:t>
            </w:r>
          </w:p>
        </w:tc>
        <w:tc>
          <w:tcPr>
            <w:tcW w:w="811" w:type="dxa"/>
            <w:vAlign w:val="bottom"/>
          </w:tcPr>
          <w:p w:rsidR="0008130B" w:rsidRPr="00422DB0" w:rsidRDefault="0008130B" w:rsidP="00F04B61">
            <w:pPr>
              <w:pStyle w:val="TableHeaders"/>
              <w:spacing w:before="60" w:after="60"/>
              <w:rPr>
                <w:rFonts w:ascii="Times New Roman" w:hAnsi="Times New Roman"/>
                <w:szCs w:val="21"/>
              </w:rPr>
            </w:pPr>
            <w:r w:rsidRPr="00422DB0">
              <w:rPr>
                <w:rFonts w:ascii="Times New Roman" w:hAnsi="Times New Roman"/>
                <w:szCs w:val="21"/>
              </w:rPr>
              <w:t>Total Cost</w:t>
            </w:r>
          </w:p>
        </w:tc>
      </w:tr>
      <w:tr w:rsidR="0082773F" w:rsidRPr="003F0BD5" w:rsidTr="00422DB0">
        <w:trPr>
          <w:cantSplit/>
        </w:trPr>
        <w:tc>
          <w:tcPr>
            <w:tcW w:w="1411" w:type="dxa"/>
          </w:tcPr>
          <w:p w:rsidR="0082773F" w:rsidRPr="00422DB0" w:rsidRDefault="0082773F" w:rsidP="00676737">
            <w:pPr>
              <w:pStyle w:val="TableText"/>
              <w:keepNext/>
              <w:rPr>
                <w:szCs w:val="21"/>
              </w:rPr>
            </w:pPr>
            <w:r w:rsidRPr="00422DB0">
              <w:rPr>
                <w:szCs w:val="21"/>
              </w:rPr>
              <w:t>Title V Program Director</w:t>
            </w:r>
          </w:p>
        </w:tc>
        <w:tc>
          <w:tcPr>
            <w:tcW w:w="1891" w:type="dxa"/>
          </w:tcPr>
          <w:p w:rsidR="0082773F" w:rsidRPr="00422DB0" w:rsidRDefault="0082773F" w:rsidP="000B5429">
            <w:pPr>
              <w:pStyle w:val="TableText"/>
              <w:keepNext/>
              <w:rPr>
                <w:szCs w:val="21"/>
              </w:rPr>
            </w:pPr>
            <w:r w:rsidRPr="00422DB0">
              <w:rPr>
                <w:szCs w:val="21"/>
              </w:rPr>
              <w:t>Title V Block Grant Survey</w:t>
            </w:r>
          </w:p>
        </w:tc>
        <w:tc>
          <w:tcPr>
            <w:tcW w:w="1529" w:type="dxa"/>
          </w:tcPr>
          <w:p w:rsidR="0082773F" w:rsidRPr="00422DB0" w:rsidRDefault="007E724D" w:rsidP="000B5429">
            <w:pPr>
              <w:pStyle w:val="TableText"/>
              <w:keepNext/>
              <w:jc w:val="center"/>
              <w:rPr>
                <w:szCs w:val="21"/>
              </w:rPr>
            </w:pPr>
            <w:r>
              <w:rPr>
                <w:szCs w:val="21"/>
              </w:rPr>
              <w:t>52</w:t>
            </w:r>
          </w:p>
        </w:tc>
        <w:tc>
          <w:tcPr>
            <w:tcW w:w="1260" w:type="dxa"/>
          </w:tcPr>
          <w:p w:rsidR="0082773F" w:rsidRPr="00422DB0" w:rsidRDefault="0082773F" w:rsidP="000B5429">
            <w:pPr>
              <w:pStyle w:val="TableText"/>
              <w:keepNext/>
              <w:jc w:val="center"/>
              <w:rPr>
                <w:szCs w:val="21"/>
              </w:rPr>
            </w:pPr>
            <w:r w:rsidRPr="00422DB0">
              <w:rPr>
                <w:szCs w:val="21"/>
              </w:rPr>
              <w:t>1</w:t>
            </w:r>
          </w:p>
        </w:tc>
        <w:tc>
          <w:tcPr>
            <w:tcW w:w="1256" w:type="dxa"/>
          </w:tcPr>
          <w:p w:rsidR="0082773F" w:rsidRPr="00422DB0" w:rsidRDefault="00452930" w:rsidP="000B5429">
            <w:pPr>
              <w:pStyle w:val="TableText"/>
              <w:keepNext/>
              <w:jc w:val="center"/>
              <w:rPr>
                <w:szCs w:val="21"/>
              </w:rPr>
            </w:pPr>
            <w:r>
              <w:rPr>
                <w:szCs w:val="21"/>
              </w:rPr>
              <w:t>36</w:t>
            </w:r>
          </w:p>
        </w:tc>
        <w:tc>
          <w:tcPr>
            <w:tcW w:w="1174" w:type="dxa"/>
          </w:tcPr>
          <w:p w:rsidR="0082773F" w:rsidRPr="00422DB0" w:rsidRDefault="0082773F" w:rsidP="000B5429">
            <w:pPr>
              <w:pStyle w:val="TableText"/>
              <w:jc w:val="center"/>
              <w:rPr>
                <w:szCs w:val="21"/>
              </w:rPr>
            </w:pPr>
            <w:r w:rsidRPr="00422DB0">
              <w:rPr>
                <w:szCs w:val="21"/>
              </w:rPr>
              <w:t>42.80</w:t>
            </w:r>
          </w:p>
        </w:tc>
        <w:tc>
          <w:tcPr>
            <w:tcW w:w="811" w:type="dxa"/>
          </w:tcPr>
          <w:p w:rsidR="0082773F" w:rsidRPr="00422DB0" w:rsidRDefault="0082773F" w:rsidP="007E724D">
            <w:pPr>
              <w:pStyle w:val="TableText"/>
              <w:jc w:val="center"/>
              <w:rPr>
                <w:szCs w:val="21"/>
              </w:rPr>
            </w:pPr>
            <w:r w:rsidRPr="00422DB0">
              <w:rPr>
                <w:szCs w:val="21"/>
              </w:rPr>
              <w:t>$</w:t>
            </w:r>
            <w:r w:rsidR="007E724D">
              <w:rPr>
                <w:szCs w:val="21"/>
              </w:rPr>
              <w:t>80,122</w:t>
            </w:r>
          </w:p>
        </w:tc>
      </w:tr>
      <w:tr w:rsidR="0082773F" w:rsidRPr="0008130B" w:rsidTr="00422DB0">
        <w:trPr>
          <w:cantSplit/>
        </w:trPr>
        <w:tc>
          <w:tcPr>
            <w:tcW w:w="1411" w:type="dxa"/>
            <w:shd w:val="clear" w:color="auto" w:fill="D9D9D9" w:themeFill="background1" w:themeFillShade="D9"/>
          </w:tcPr>
          <w:p w:rsidR="0082773F" w:rsidRPr="00422DB0" w:rsidRDefault="0082773F" w:rsidP="00F04B61">
            <w:pPr>
              <w:pStyle w:val="TableText"/>
              <w:rPr>
                <w:b/>
                <w:bCs/>
                <w:szCs w:val="21"/>
              </w:rPr>
            </w:pPr>
            <w:r w:rsidRPr="00422DB0">
              <w:rPr>
                <w:b/>
                <w:bCs/>
                <w:szCs w:val="21"/>
              </w:rPr>
              <w:t>Total</w:t>
            </w:r>
          </w:p>
        </w:tc>
        <w:tc>
          <w:tcPr>
            <w:tcW w:w="1891" w:type="dxa"/>
            <w:shd w:val="clear" w:color="auto" w:fill="D9D9D9" w:themeFill="background1" w:themeFillShade="D9"/>
          </w:tcPr>
          <w:p w:rsidR="0082773F" w:rsidRPr="00422DB0" w:rsidRDefault="0082773F" w:rsidP="000B5429">
            <w:pPr>
              <w:pStyle w:val="TableText"/>
              <w:rPr>
                <w:szCs w:val="21"/>
              </w:rPr>
            </w:pPr>
            <w:r w:rsidRPr="00422DB0">
              <w:rPr>
                <w:szCs w:val="21"/>
              </w:rPr>
              <w:t>—</w:t>
            </w:r>
          </w:p>
        </w:tc>
        <w:tc>
          <w:tcPr>
            <w:tcW w:w="1529" w:type="dxa"/>
            <w:shd w:val="clear" w:color="auto" w:fill="D9D9D9" w:themeFill="background1" w:themeFillShade="D9"/>
          </w:tcPr>
          <w:p w:rsidR="0082773F" w:rsidRPr="00422DB0" w:rsidRDefault="0082773F" w:rsidP="000B5429">
            <w:pPr>
              <w:pStyle w:val="TableText"/>
              <w:tabs>
                <w:tab w:val="decimal" w:pos="752"/>
              </w:tabs>
              <w:rPr>
                <w:szCs w:val="21"/>
              </w:rPr>
            </w:pPr>
            <w:r w:rsidRPr="00422DB0">
              <w:rPr>
                <w:szCs w:val="21"/>
              </w:rPr>
              <w:t>—</w:t>
            </w:r>
            <w:r w:rsidR="007E724D">
              <w:rPr>
                <w:szCs w:val="21"/>
              </w:rPr>
              <w:t>52</w:t>
            </w:r>
          </w:p>
        </w:tc>
        <w:tc>
          <w:tcPr>
            <w:tcW w:w="1260" w:type="dxa"/>
            <w:shd w:val="clear" w:color="auto" w:fill="D9D9D9" w:themeFill="background1" w:themeFillShade="D9"/>
          </w:tcPr>
          <w:p w:rsidR="0082773F" w:rsidRPr="00422DB0" w:rsidRDefault="0082773F" w:rsidP="000B5429">
            <w:pPr>
              <w:pStyle w:val="TableText"/>
              <w:jc w:val="center"/>
              <w:rPr>
                <w:szCs w:val="21"/>
              </w:rPr>
            </w:pPr>
          </w:p>
        </w:tc>
        <w:tc>
          <w:tcPr>
            <w:tcW w:w="1256" w:type="dxa"/>
            <w:shd w:val="clear" w:color="auto" w:fill="D9D9D9" w:themeFill="background1" w:themeFillShade="D9"/>
          </w:tcPr>
          <w:p w:rsidR="0082773F" w:rsidRPr="00422DB0" w:rsidRDefault="0082773F" w:rsidP="007E724D">
            <w:pPr>
              <w:pStyle w:val="TableText"/>
              <w:jc w:val="center"/>
              <w:rPr>
                <w:szCs w:val="21"/>
              </w:rPr>
            </w:pPr>
          </w:p>
        </w:tc>
        <w:tc>
          <w:tcPr>
            <w:tcW w:w="1174" w:type="dxa"/>
            <w:shd w:val="clear" w:color="auto" w:fill="D9D9D9" w:themeFill="background1" w:themeFillShade="D9"/>
          </w:tcPr>
          <w:p w:rsidR="0082773F" w:rsidRPr="00422DB0" w:rsidRDefault="0082773F" w:rsidP="000B5429">
            <w:pPr>
              <w:pStyle w:val="TableText"/>
              <w:jc w:val="center"/>
              <w:rPr>
                <w:szCs w:val="21"/>
              </w:rPr>
            </w:pPr>
          </w:p>
        </w:tc>
        <w:tc>
          <w:tcPr>
            <w:tcW w:w="811" w:type="dxa"/>
            <w:shd w:val="clear" w:color="auto" w:fill="D9D9D9" w:themeFill="background1" w:themeFillShade="D9"/>
          </w:tcPr>
          <w:p w:rsidR="0082773F" w:rsidRPr="00422DB0" w:rsidRDefault="00156A5F" w:rsidP="007E724D">
            <w:pPr>
              <w:pStyle w:val="TableText"/>
              <w:jc w:val="center"/>
              <w:rPr>
                <w:szCs w:val="21"/>
              </w:rPr>
            </w:pPr>
            <w:r w:rsidRPr="00422DB0">
              <w:rPr>
                <w:szCs w:val="21"/>
              </w:rPr>
              <w:t>$</w:t>
            </w:r>
            <w:r w:rsidR="007E724D">
              <w:rPr>
                <w:szCs w:val="21"/>
              </w:rPr>
              <w:t>80,122</w:t>
            </w:r>
          </w:p>
        </w:tc>
      </w:tr>
      <w:bookmarkEnd w:id="32"/>
    </w:tbl>
    <w:p w:rsidR="00FA781F" w:rsidRPr="008E49DE" w:rsidRDefault="00FA781F" w:rsidP="007B7FDA">
      <w:pPr>
        <w:pStyle w:val="BodyText1"/>
        <w:rPr>
          <w:b/>
        </w:rPr>
      </w:pPr>
    </w:p>
    <w:p w:rsidR="00F517F3" w:rsidRDefault="00936399" w:rsidP="007B7FDA">
      <w:pPr>
        <w:pStyle w:val="BodyText1"/>
        <w:rPr>
          <w:szCs w:val="24"/>
        </w:rPr>
      </w:pPr>
      <w:r>
        <w:t>W</w:t>
      </w:r>
      <w:r w:rsidRPr="00FD40D0">
        <w:t xml:space="preserve">e estimate that </w:t>
      </w:r>
      <w:r>
        <w:t xml:space="preserve">all of the </w:t>
      </w:r>
      <w:r w:rsidR="008D11B7">
        <w:t>52 MCH</w:t>
      </w:r>
      <w:r>
        <w:t xml:space="preserve"> directors</w:t>
      </w:r>
      <w:r w:rsidRPr="00FD40D0">
        <w:t xml:space="preserve"> will complete the survey.</w:t>
      </w:r>
      <w:r>
        <w:t xml:space="preserve"> To help achieve this response rate, </w:t>
      </w:r>
      <w:r w:rsidR="008D11B7">
        <w:t>we will</w:t>
      </w:r>
      <w:r w:rsidR="00483E53" w:rsidRPr="00E4301E">
        <w:t xml:space="preserve"> send </w:t>
      </w:r>
      <w:r w:rsidR="00FA781F" w:rsidRPr="00E4301E">
        <w:t xml:space="preserve">notification to </w:t>
      </w:r>
      <w:r>
        <w:t xml:space="preserve">the </w:t>
      </w:r>
      <w:r w:rsidR="00FA781F" w:rsidRPr="00E4301E">
        <w:t>5</w:t>
      </w:r>
      <w:r w:rsidR="0082773F" w:rsidRPr="00E4301E">
        <w:t>2</w:t>
      </w:r>
      <w:r w:rsidR="00FA781F" w:rsidRPr="00E4301E">
        <w:t xml:space="preserve"> MCH directors in each</w:t>
      </w:r>
      <w:r w:rsidR="001B20D4" w:rsidRPr="00E4301E">
        <w:t xml:space="preserve"> of the</w:t>
      </w:r>
      <w:r w:rsidR="00FA781F" w:rsidRPr="00E4301E">
        <w:t xml:space="preserve"> </w:t>
      </w:r>
      <w:r w:rsidR="001B20D4" w:rsidRPr="00E4301E">
        <w:t xml:space="preserve">50 states, the District of Columbia, and Puerto </w:t>
      </w:r>
      <w:r w:rsidR="002C33F4" w:rsidRPr="00E4301E">
        <w:t>Rico (</w:t>
      </w:r>
      <w:r w:rsidR="00F469AC" w:rsidRPr="00E4301E">
        <w:t xml:space="preserve">see Attachment </w:t>
      </w:r>
      <w:r w:rsidR="002B7342" w:rsidRPr="00E4301E">
        <w:t>5</w:t>
      </w:r>
      <w:r w:rsidR="00F469AC" w:rsidRPr="00E4301E">
        <w:t>.a.)</w:t>
      </w:r>
      <w:r w:rsidR="00483E53" w:rsidRPr="00E4301E">
        <w:t xml:space="preserve">. </w:t>
      </w:r>
      <w:r>
        <w:t xml:space="preserve"> The notification e-mail will be followed by an e-mail containing </w:t>
      </w:r>
      <w:r w:rsidR="0019120F">
        <w:t>the</w:t>
      </w:r>
      <w:r w:rsidR="00483E53" w:rsidRPr="00E4301E">
        <w:t xml:space="preserve"> survey</w:t>
      </w:r>
      <w:r w:rsidR="00CF292A" w:rsidRPr="00E4301E">
        <w:t xml:space="preserve"> and a frequently asked questions document</w:t>
      </w:r>
      <w:r w:rsidR="00483E53" w:rsidRPr="00E4301E">
        <w:t xml:space="preserve"> to </w:t>
      </w:r>
      <w:r w:rsidR="00FA781F" w:rsidRPr="00E4301E">
        <w:t>5</w:t>
      </w:r>
      <w:r w:rsidR="0082773F" w:rsidRPr="00E4301E">
        <w:t>2</w:t>
      </w:r>
      <w:r w:rsidR="00483E53" w:rsidRPr="00E4301E">
        <w:t xml:space="preserve"> participants</w:t>
      </w:r>
      <w:r w:rsidR="002B7342">
        <w:t xml:space="preserve"> (see Attachment 5.b. for the</w:t>
      </w:r>
      <w:r w:rsidR="00AC7E0D">
        <w:t xml:space="preserve"> cover e</w:t>
      </w:r>
      <w:r w:rsidR="000B5429">
        <w:t>-</w:t>
      </w:r>
      <w:r w:rsidR="00AC7E0D">
        <w:t xml:space="preserve">mail, </w:t>
      </w:r>
      <w:r w:rsidR="002B7342">
        <w:t>Attachment 5.c. for the survey</w:t>
      </w:r>
      <w:r w:rsidR="00CF292A">
        <w:t>, and Attachment 5.d. for the frequently asked questions document</w:t>
      </w:r>
      <w:r w:rsidR="002B7342">
        <w:t>)</w:t>
      </w:r>
      <w:r w:rsidR="00483E53" w:rsidRPr="00FD40D0">
        <w:t xml:space="preserve">. We will </w:t>
      </w:r>
      <w:r>
        <w:t xml:space="preserve">then </w:t>
      </w:r>
      <w:r w:rsidR="00483E53" w:rsidRPr="00FD40D0">
        <w:t xml:space="preserve">send a </w:t>
      </w:r>
      <w:r w:rsidR="00FA781F">
        <w:t>reminder</w:t>
      </w:r>
      <w:r w:rsidR="002B7342">
        <w:t xml:space="preserve"> e</w:t>
      </w:r>
      <w:r w:rsidR="000B5429">
        <w:t>-</w:t>
      </w:r>
      <w:r w:rsidR="002B7342">
        <w:t>mail</w:t>
      </w:r>
      <w:r w:rsidR="00FA781F">
        <w:t xml:space="preserve"> to </w:t>
      </w:r>
      <w:r w:rsidR="0082773F">
        <w:t xml:space="preserve">the </w:t>
      </w:r>
      <w:r w:rsidR="00FA781F">
        <w:t>remaining</w:t>
      </w:r>
      <w:r>
        <w:t xml:space="preserve"> directors that</w:t>
      </w:r>
      <w:r w:rsidR="0019120F">
        <w:t xml:space="preserve"> </w:t>
      </w:r>
      <w:r w:rsidR="00FA781F">
        <w:t>did not respond initially</w:t>
      </w:r>
      <w:r w:rsidR="00F469AC">
        <w:t xml:space="preserve"> (see Attachment </w:t>
      </w:r>
      <w:r w:rsidR="002B7342">
        <w:t>5.</w:t>
      </w:r>
      <w:r w:rsidR="00AC7E0D">
        <w:t>e</w:t>
      </w:r>
      <w:r w:rsidR="002B7342">
        <w:t>.</w:t>
      </w:r>
      <w:r w:rsidR="00F469AC">
        <w:t xml:space="preserve"> for the </w:t>
      </w:r>
      <w:r w:rsidR="002B7342">
        <w:t>r</w:t>
      </w:r>
      <w:r w:rsidR="00F469AC">
        <w:t xml:space="preserve">eminder </w:t>
      </w:r>
      <w:r w:rsidR="00FA781F">
        <w:t>e</w:t>
      </w:r>
      <w:r w:rsidR="000B5429">
        <w:t>-</w:t>
      </w:r>
      <w:r w:rsidR="00FA781F">
        <w:t>mail</w:t>
      </w:r>
      <w:r w:rsidR="00F469AC">
        <w:t>)</w:t>
      </w:r>
      <w:r w:rsidR="00483E53" w:rsidRPr="00FD40D0">
        <w:t xml:space="preserve">. </w:t>
      </w:r>
      <w:r w:rsidR="003F3F3D">
        <w:t xml:space="preserve">Based on states’ policies regarding the reimbursement of services provided to children and pregnant women, some states will not have to complete the entire survey, and their estimated burden to provide the requested information will be minimal. </w:t>
      </w:r>
      <w:r w:rsidR="002B7342">
        <w:t>T</w:t>
      </w:r>
      <w:r w:rsidR="00483E53" w:rsidRPr="00FD40D0">
        <w:t xml:space="preserve">he </w:t>
      </w:r>
      <w:r w:rsidR="004E2FC0">
        <w:t xml:space="preserve">survey took </w:t>
      </w:r>
      <w:r w:rsidR="00EB0311">
        <w:t>f</w:t>
      </w:r>
      <w:r w:rsidR="004E2FC0">
        <w:t xml:space="preserve">rom less than </w:t>
      </w:r>
      <w:r w:rsidR="000B5429">
        <w:t xml:space="preserve">1 </w:t>
      </w:r>
      <w:r w:rsidR="004E2FC0">
        <w:t>hou</w:t>
      </w:r>
      <w:r w:rsidR="002B7342">
        <w:t>r to complete to an estimated 61</w:t>
      </w:r>
      <w:r w:rsidR="004E2FC0">
        <w:t xml:space="preserve"> hours to complete depending </w:t>
      </w:r>
      <w:r w:rsidR="002B7342">
        <w:t xml:space="preserve">on states’ policies regarding the use of </w:t>
      </w:r>
      <w:r w:rsidR="00E67CC5">
        <w:t xml:space="preserve">federal </w:t>
      </w:r>
      <w:r w:rsidR="0082773F">
        <w:t xml:space="preserve">MCH </w:t>
      </w:r>
      <w:r w:rsidR="00E67CC5">
        <w:t>formula block grant</w:t>
      </w:r>
      <w:r w:rsidR="0082773F">
        <w:t xml:space="preserve"> funds to reimburse for services</w:t>
      </w:r>
      <w:r w:rsidR="002B7342">
        <w:t xml:space="preserve">, </w:t>
      </w:r>
      <w:r w:rsidR="0082773F">
        <w:t xml:space="preserve">the </w:t>
      </w:r>
      <w:r w:rsidR="002B7342">
        <w:t xml:space="preserve">financial </w:t>
      </w:r>
      <w:r w:rsidR="0082773F">
        <w:t>data systems in place</w:t>
      </w:r>
      <w:r w:rsidR="002B7342">
        <w:t>,</w:t>
      </w:r>
      <w:r w:rsidR="0082773F">
        <w:t xml:space="preserve"> and the ease with which the necessary data could be accessed </w:t>
      </w:r>
      <w:r w:rsidR="002B7342">
        <w:t xml:space="preserve">in these data systems </w:t>
      </w:r>
      <w:r w:rsidR="0082773F">
        <w:t>to complete the survey</w:t>
      </w:r>
      <w:r w:rsidR="00483E53" w:rsidRPr="00FD40D0">
        <w:t>.</w:t>
      </w:r>
      <w:r w:rsidR="00156A5F">
        <w:t xml:space="preserve"> </w:t>
      </w:r>
      <w:r w:rsidR="002B7342">
        <w:t>Two states reported estimated hours to complete the survey</w:t>
      </w:r>
      <w:r w:rsidR="00456201">
        <w:t xml:space="preserve"> (61 hours and 32 hours reported)</w:t>
      </w:r>
      <w:r w:rsidR="002B7342">
        <w:t xml:space="preserve">, and </w:t>
      </w:r>
      <w:r w:rsidR="0068405A">
        <w:t xml:space="preserve">two </w:t>
      </w:r>
      <w:r w:rsidR="002B7342">
        <w:t xml:space="preserve">states did not have to complete the </w:t>
      </w:r>
      <w:r w:rsidR="006230B2">
        <w:t xml:space="preserve">entire </w:t>
      </w:r>
      <w:r w:rsidR="002B7342">
        <w:t xml:space="preserve">survey because they do not use </w:t>
      </w:r>
      <w:r w:rsidR="00E67CC5">
        <w:t xml:space="preserve">federal </w:t>
      </w:r>
      <w:r w:rsidR="002B7342">
        <w:t xml:space="preserve">MCH </w:t>
      </w:r>
      <w:r w:rsidR="00E67CC5">
        <w:t>formula block gran</w:t>
      </w:r>
      <w:r w:rsidR="002B7342">
        <w:t xml:space="preserve">t funds to reimburse for services. Therefore, </w:t>
      </w:r>
      <w:r w:rsidR="006230B2">
        <w:t xml:space="preserve">we estimate </w:t>
      </w:r>
      <w:r w:rsidR="002B7342">
        <w:t>their time to completion would have</w:t>
      </w:r>
      <w:r w:rsidR="006230B2">
        <w:t xml:space="preserve"> been</w:t>
      </w:r>
      <w:r w:rsidR="002B7342">
        <w:t xml:space="preserve"> </w:t>
      </w:r>
      <w:r w:rsidR="006230B2">
        <w:t>1 hour, accounting for the time to complete part of the survey and verify their survey responses with their management</w:t>
      </w:r>
      <w:r w:rsidR="002B7342">
        <w:t xml:space="preserve">. </w:t>
      </w:r>
      <w:r w:rsidR="0044412E">
        <w:t xml:space="preserve">The </w:t>
      </w:r>
      <w:r w:rsidR="0068405A">
        <w:t xml:space="preserve">two </w:t>
      </w:r>
      <w:r w:rsidR="0044412E">
        <w:t xml:space="preserve">remaining states did not relay their time to survey completion. </w:t>
      </w:r>
      <w:r w:rsidR="004E2FC0">
        <w:t>Considering the experience of the pretest</w:t>
      </w:r>
      <w:r w:rsidR="0044412E">
        <w:t xml:space="preserve"> states</w:t>
      </w:r>
      <w:r w:rsidR="004E2FC0">
        <w:t xml:space="preserve">, we estimate </w:t>
      </w:r>
      <w:r w:rsidR="006230B2">
        <w:t>3</w:t>
      </w:r>
      <w:r w:rsidR="00452930">
        <w:t>6</w:t>
      </w:r>
      <w:r w:rsidR="006230B2">
        <w:rPr>
          <w:szCs w:val="24"/>
        </w:rPr>
        <w:t xml:space="preserve"> hours per response.</w:t>
      </w:r>
      <w:r w:rsidR="00456201">
        <w:rPr>
          <w:szCs w:val="24"/>
        </w:rPr>
        <w:t xml:space="preserve"> We estimated that 25% of states would not have to report any data, so their estimated burden is 1 hour. We then averaged the time to completion for the two states that completed the entire survey and reported an </w:t>
      </w:r>
      <w:r w:rsidR="00456201">
        <w:rPr>
          <w:szCs w:val="24"/>
        </w:rPr>
        <w:lastRenderedPageBreak/>
        <w:t>estimated burden, and this average, 47 hours, was applied to the remaining states. The resulting average across all states was 3</w:t>
      </w:r>
      <w:r w:rsidR="00CC3645">
        <w:rPr>
          <w:szCs w:val="24"/>
        </w:rPr>
        <w:t>6</w:t>
      </w:r>
      <w:r w:rsidR="00456201">
        <w:rPr>
          <w:szCs w:val="24"/>
        </w:rPr>
        <w:t xml:space="preserve"> hours per respondent. </w:t>
      </w:r>
      <w:r w:rsidR="006230B2">
        <w:rPr>
          <w:szCs w:val="24"/>
        </w:rPr>
        <w:t xml:space="preserve"> </w:t>
      </w:r>
    </w:p>
    <w:p w:rsidR="00483E53" w:rsidRPr="00FD40D0" w:rsidRDefault="002B7342" w:rsidP="007B7FDA">
      <w:pPr>
        <w:pStyle w:val="BodyText1"/>
      </w:pPr>
      <w:r>
        <w:rPr>
          <w:szCs w:val="24"/>
        </w:rPr>
        <w:t>The a</w:t>
      </w:r>
      <w:r w:rsidR="00483E53" w:rsidRPr="00FD40D0">
        <w:t xml:space="preserve">verage hourly wage rate for </w:t>
      </w:r>
      <w:r w:rsidR="00156A5F">
        <w:t>respondents</w:t>
      </w:r>
      <w:r w:rsidR="00483E53" w:rsidRPr="00FD40D0">
        <w:t xml:space="preserve"> was calculated using an estimated 40-hour work week and </w:t>
      </w:r>
      <w:r w:rsidR="0008703C">
        <w:t>average</w:t>
      </w:r>
      <w:r w:rsidR="00483E53" w:rsidRPr="00FD40D0">
        <w:t xml:space="preserve"> hourly earnings of $</w:t>
      </w:r>
      <w:r w:rsidR="00156A5F">
        <w:t>42.80</w:t>
      </w:r>
      <w:r w:rsidR="0068405A">
        <w:t>.</w:t>
      </w:r>
      <w:r w:rsidR="00483E53" w:rsidRPr="00FD40D0">
        <w:rPr>
          <w:rStyle w:val="FootnoteReference"/>
          <w:rFonts w:asciiTheme="majorBidi" w:hAnsiTheme="majorBidi" w:cstheme="majorBidi"/>
          <w:szCs w:val="22"/>
        </w:rPr>
        <w:footnoteReference w:id="1"/>
      </w:r>
      <w:r w:rsidR="00483E53" w:rsidRPr="00FD40D0">
        <w:t xml:space="preserve"> The total estimated annualized cost to respondents is $</w:t>
      </w:r>
      <w:r w:rsidR="00EB0311">
        <w:t>80</w:t>
      </w:r>
      <w:r w:rsidR="0077347B">
        <w:t>,</w:t>
      </w:r>
      <w:r w:rsidR="00EB0311">
        <w:t>122</w:t>
      </w:r>
      <w:r w:rsidR="00A063B4">
        <w:t>as summarized in Table </w:t>
      </w:r>
      <w:r>
        <w:t>3</w:t>
      </w:r>
      <w:r w:rsidR="00A063B4">
        <w:t>.</w:t>
      </w:r>
    </w:p>
    <w:p w:rsidR="00557E34" w:rsidRPr="00FD40D0" w:rsidRDefault="00557E34" w:rsidP="00557E34">
      <w:pPr>
        <w:pStyle w:val="Heading2"/>
      </w:pPr>
      <w:bookmarkStart w:id="35" w:name="_Toc343103432"/>
      <w:bookmarkStart w:id="36" w:name="_Toc358887203"/>
      <w:r w:rsidRPr="00FD40D0">
        <w:t>B.13</w:t>
      </w:r>
      <w:r w:rsidRPr="00FD40D0">
        <w:tab/>
        <w:t>Capital Costs</w:t>
      </w:r>
      <w:bookmarkEnd w:id="35"/>
      <w:bookmarkEnd w:id="36"/>
    </w:p>
    <w:p w:rsidR="00291575" w:rsidRPr="00FD40D0" w:rsidRDefault="00557E34" w:rsidP="00557E34">
      <w:pPr>
        <w:pStyle w:val="BodyText1"/>
      </w:pPr>
      <w:r w:rsidRPr="00FD40D0">
        <w:t>Respondents will incur no capital or maintenance costs to complete this data collection.</w:t>
      </w:r>
    </w:p>
    <w:p w:rsidR="008E6732" w:rsidRDefault="00557E34" w:rsidP="008E6732">
      <w:pPr>
        <w:pStyle w:val="Heading2"/>
      </w:pPr>
      <w:bookmarkStart w:id="37" w:name="_Toc343103433"/>
      <w:bookmarkStart w:id="38" w:name="_Toc358887204"/>
      <w:r w:rsidRPr="00FD40D0">
        <w:t>B.14</w:t>
      </w:r>
      <w:r w:rsidRPr="00FD40D0">
        <w:tab/>
      </w:r>
      <w:bookmarkStart w:id="39" w:name="_Toc343103434"/>
      <w:bookmarkEnd w:id="37"/>
      <w:r w:rsidR="008E6732" w:rsidRPr="00FD40D0">
        <w:t>Cost to Federal Government</w:t>
      </w:r>
      <w:bookmarkEnd w:id="38"/>
    </w:p>
    <w:p w:rsidR="00F517F3" w:rsidRDefault="00F517F3" w:rsidP="00AC7E0D">
      <w:pPr>
        <w:pStyle w:val="BodyText1"/>
      </w:pPr>
      <w:r w:rsidRPr="00B404DB">
        <w:t>Tables </w:t>
      </w:r>
      <w:r>
        <w:t>4</w:t>
      </w:r>
      <w:r w:rsidRPr="00B404DB">
        <w:t xml:space="preserve"> </w:t>
      </w:r>
      <w:r w:rsidR="0068405A">
        <w:t>and</w:t>
      </w:r>
      <w:r w:rsidR="0068405A" w:rsidRPr="00B404DB">
        <w:t xml:space="preserve"> </w:t>
      </w:r>
      <w:r>
        <w:t>5</w:t>
      </w:r>
      <w:r w:rsidRPr="00B404DB">
        <w:t xml:space="preserve"> provide the </w:t>
      </w:r>
      <w:r>
        <w:t xml:space="preserve">costs to the </w:t>
      </w:r>
      <w:r w:rsidR="00E67CC5">
        <w:t xml:space="preserve">federal </w:t>
      </w:r>
      <w:r>
        <w:t>government</w:t>
      </w:r>
      <w:r w:rsidRPr="00B404DB">
        <w:t xml:space="preserve"> for </w:t>
      </w:r>
      <w:r>
        <w:t xml:space="preserve">the data collection form. Table 4 summarizes start-up and reporting costs for HRSA, and Table 5 summarizes costs for </w:t>
      </w:r>
      <w:r w:rsidR="0077347B">
        <w:t xml:space="preserve">the </w:t>
      </w:r>
      <w:r>
        <w:t>HRSA contractor that will collect the data.</w:t>
      </w:r>
    </w:p>
    <w:p w:rsidR="008E6732" w:rsidRPr="00456201" w:rsidRDefault="008E6732" w:rsidP="00456201">
      <w:pPr>
        <w:pStyle w:val="TableTitle"/>
      </w:pPr>
      <w:bookmarkStart w:id="40" w:name="_Toc346023989"/>
      <w:bookmarkStart w:id="41" w:name="_Toc354391759"/>
      <w:r w:rsidRPr="00456201">
        <w:t xml:space="preserve">Table </w:t>
      </w:r>
      <w:r w:rsidR="0044412E" w:rsidRPr="00456201">
        <w:t>4</w:t>
      </w:r>
      <w:r w:rsidRPr="00456201">
        <w:t>.</w:t>
      </w:r>
      <w:r w:rsidRPr="00456201">
        <w:tab/>
        <w:t xml:space="preserve">Costs to the Federal Government: </w:t>
      </w:r>
      <w:bookmarkEnd w:id="40"/>
      <w:bookmarkEnd w:id="41"/>
      <w:r w:rsidR="00984E19" w:rsidRPr="00456201">
        <w:t>HRSA</w:t>
      </w:r>
    </w:p>
    <w:tbl>
      <w:tblPr>
        <w:tblStyle w:val="TableGrid"/>
        <w:tblW w:w="4900" w:type="pct"/>
        <w:jc w:val="center"/>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tblPr>
      <w:tblGrid>
        <w:gridCol w:w="775"/>
        <w:gridCol w:w="1439"/>
        <w:gridCol w:w="2340"/>
        <w:gridCol w:w="899"/>
        <w:gridCol w:w="901"/>
        <w:gridCol w:w="722"/>
        <w:gridCol w:w="992"/>
        <w:gridCol w:w="1218"/>
      </w:tblGrid>
      <w:tr w:rsidR="0089599B" w:rsidRPr="00270A42" w:rsidTr="00F37477">
        <w:trPr>
          <w:cantSplit/>
          <w:tblHeader/>
          <w:jc w:val="center"/>
        </w:trPr>
        <w:tc>
          <w:tcPr>
            <w:tcW w:w="417" w:type="pct"/>
            <w:vAlign w:val="bottom"/>
          </w:tcPr>
          <w:p w:rsidR="008E6732" w:rsidRPr="00270A42" w:rsidRDefault="008E6732" w:rsidP="004E15F9">
            <w:pPr>
              <w:pStyle w:val="TableHeaders"/>
              <w:keepNext w:val="0"/>
              <w:spacing w:before="20" w:after="20"/>
              <w:rPr>
                <w:sz w:val="20"/>
                <w:szCs w:val="20"/>
              </w:rPr>
            </w:pPr>
            <w:r w:rsidRPr="00270A42">
              <w:rPr>
                <w:sz w:val="20"/>
                <w:szCs w:val="20"/>
              </w:rPr>
              <w:t>Agency</w:t>
            </w:r>
          </w:p>
        </w:tc>
        <w:tc>
          <w:tcPr>
            <w:tcW w:w="775" w:type="pct"/>
            <w:vAlign w:val="bottom"/>
          </w:tcPr>
          <w:p w:rsidR="008E6732" w:rsidRPr="00270A42" w:rsidRDefault="008E6732" w:rsidP="004E15F9">
            <w:pPr>
              <w:pStyle w:val="TableHeaders"/>
              <w:keepNext w:val="0"/>
              <w:spacing w:before="20" w:after="20"/>
              <w:rPr>
                <w:sz w:val="20"/>
                <w:szCs w:val="20"/>
              </w:rPr>
            </w:pPr>
            <w:r w:rsidRPr="00270A42">
              <w:rPr>
                <w:sz w:val="20"/>
                <w:szCs w:val="20"/>
              </w:rPr>
              <w:t>Information Collection Form</w:t>
            </w:r>
          </w:p>
        </w:tc>
        <w:tc>
          <w:tcPr>
            <w:tcW w:w="1260" w:type="pct"/>
            <w:vAlign w:val="bottom"/>
          </w:tcPr>
          <w:p w:rsidR="008E6732" w:rsidRPr="00270A42" w:rsidRDefault="008E6732" w:rsidP="004E15F9">
            <w:pPr>
              <w:pStyle w:val="TableHeaders"/>
              <w:keepNext w:val="0"/>
              <w:spacing w:before="20" w:after="20"/>
              <w:rPr>
                <w:sz w:val="20"/>
                <w:szCs w:val="20"/>
              </w:rPr>
            </w:pPr>
            <w:r w:rsidRPr="00270A42">
              <w:rPr>
                <w:sz w:val="20"/>
                <w:szCs w:val="20"/>
              </w:rPr>
              <w:t>Action</w:t>
            </w:r>
          </w:p>
        </w:tc>
        <w:tc>
          <w:tcPr>
            <w:tcW w:w="484" w:type="pct"/>
            <w:vAlign w:val="bottom"/>
          </w:tcPr>
          <w:p w:rsidR="008E6732" w:rsidRPr="00270A42" w:rsidRDefault="008E6732" w:rsidP="004E15F9">
            <w:pPr>
              <w:pStyle w:val="TableHeaders"/>
              <w:keepNext w:val="0"/>
              <w:spacing w:before="20" w:after="20"/>
              <w:rPr>
                <w:sz w:val="20"/>
                <w:szCs w:val="20"/>
              </w:rPr>
            </w:pPr>
            <w:r w:rsidRPr="00270A42">
              <w:rPr>
                <w:sz w:val="20"/>
                <w:szCs w:val="20"/>
              </w:rPr>
              <w:t>Total Hours per Staff</w:t>
            </w:r>
          </w:p>
        </w:tc>
        <w:tc>
          <w:tcPr>
            <w:tcW w:w="485" w:type="pct"/>
            <w:vAlign w:val="bottom"/>
          </w:tcPr>
          <w:p w:rsidR="008E6732" w:rsidRPr="00270A42" w:rsidRDefault="008E6732" w:rsidP="004E15F9">
            <w:pPr>
              <w:pStyle w:val="TableHeaders"/>
              <w:keepNext w:val="0"/>
              <w:spacing w:before="20" w:after="20"/>
              <w:rPr>
                <w:sz w:val="20"/>
                <w:szCs w:val="20"/>
              </w:rPr>
            </w:pPr>
            <w:r w:rsidRPr="00270A42">
              <w:rPr>
                <w:sz w:val="20"/>
                <w:szCs w:val="20"/>
              </w:rPr>
              <w:t>Number of Staff</w:t>
            </w:r>
          </w:p>
        </w:tc>
        <w:tc>
          <w:tcPr>
            <w:tcW w:w="389" w:type="pct"/>
            <w:vAlign w:val="bottom"/>
          </w:tcPr>
          <w:p w:rsidR="008E6732" w:rsidRPr="00270A42" w:rsidRDefault="008E6732" w:rsidP="004E15F9">
            <w:pPr>
              <w:pStyle w:val="TableHeaders"/>
              <w:keepNext w:val="0"/>
              <w:spacing w:before="20" w:after="20"/>
              <w:rPr>
                <w:sz w:val="20"/>
                <w:szCs w:val="20"/>
              </w:rPr>
            </w:pPr>
            <w:r w:rsidRPr="00270A42">
              <w:rPr>
                <w:sz w:val="20"/>
                <w:szCs w:val="20"/>
              </w:rPr>
              <w:t>Total Hours</w:t>
            </w:r>
          </w:p>
        </w:tc>
        <w:tc>
          <w:tcPr>
            <w:tcW w:w="534" w:type="pct"/>
            <w:vAlign w:val="bottom"/>
          </w:tcPr>
          <w:p w:rsidR="008E6732" w:rsidRPr="00270A42" w:rsidRDefault="008E6732" w:rsidP="004E15F9">
            <w:pPr>
              <w:pStyle w:val="TableHeaders"/>
              <w:keepNext w:val="0"/>
              <w:spacing w:before="20" w:after="20"/>
              <w:rPr>
                <w:sz w:val="20"/>
                <w:szCs w:val="20"/>
              </w:rPr>
            </w:pPr>
            <w:r w:rsidRPr="00270A42">
              <w:rPr>
                <w:sz w:val="20"/>
                <w:szCs w:val="20"/>
              </w:rPr>
              <w:t>Total Cost</w:t>
            </w:r>
          </w:p>
        </w:tc>
        <w:tc>
          <w:tcPr>
            <w:tcW w:w="656" w:type="pct"/>
            <w:vAlign w:val="bottom"/>
          </w:tcPr>
          <w:p w:rsidR="008E6732" w:rsidRPr="00270A42" w:rsidRDefault="008E6732" w:rsidP="004E15F9">
            <w:pPr>
              <w:pStyle w:val="TableHeaders"/>
              <w:keepNext w:val="0"/>
              <w:spacing w:before="20" w:after="20"/>
              <w:rPr>
                <w:sz w:val="20"/>
                <w:szCs w:val="20"/>
              </w:rPr>
            </w:pPr>
            <w:r w:rsidRPr="00270A42">
              <w:rPr>
                <w:sz w:val="20"/>
                <w:szCs w:val="20"/>
              </w:rPr>
              <w:t>Cost Description</w:t>
            </w:r>
          </w:p>
        </w:tc>
      </w:tr>
      <w:tr w:rsidR="0089599B" w:rsidRPr="00270A42" w:rsidTr="00F37477">
        <w:trPr>
          <w:cantSplit/>
          <w:jc w:val="center"/>
        </w:trPr>
        <w:tc>
          <w:tcPr>
            <w:tcW w:w="417" w:type="pct"/>
          </w:tcPr>
          <w:p w:rsidR="008E6732" w:rsidRPr="00270A42" w:rsidRDefault="007B690A" w:rsidP="004E15F9">
            <w:pPr>
              <w:pStyle w:val="TableText"/>
              <w:spacing w:before="20" w:after="20"/>
              <w:rPr>
                <w:b/>
                <w:sz w:val="20"/>
              </w:rPr>
            </w:pPr>
            <w:r w:rsidRPr="00270A42">
              <w:rPr>
                <w:b/>
                <w:sz w:val="20"/>
              </w:rPr>
              <w:t>HRSA</w:t>
            </w:r>
          </w:p>
        </w:tc>
        <w:tc>
          <w:tcPr>
            <w:tcW w:w="775" w:type="pct"/>
          </w:tcPr>
          <w:p w:rsidR="008E6732" w:rsidRPr="00270A42" w:rsidRDefault="007B690A" w:rsidP="004E15F9">
            <w:pPr>
              <w:pStyle w:val="TableText"/>
              <w:spacing w:before="20" w:after="20"/>
              <w:rPr>
                <w:b/>
                <w:sz w:val="20"/>
              </w:rPr>
            </w:pPr>
            <w:r w:rsidRPr="00270A42">
              <w:rPr>
                <w:b/>
                <w:sz w:val="20"/>
              </w:rPr>
              <w:t>Title V Block Grant Survey</w:t>
            </w:r>
          </w:p>
        </w:tc>
        <w:tc>
          <w:tcPr>
            <w:tcW w:w="1260" w:type="pct"/>
          </w:tcPr>
          <w:p w:rsidR="008E6732" w:rsidRPr="00270A42" w:rsidRDefault="008E6732" w:rsidP="007D32C8">
            <w:pPr>
              <w:pStyle w:val="TableText"/>
              <w:spacing w:before="20" w:after="20"/>
              <w:ind w:left="152" w:hanging="152"/>
              <w:rPr>
                <w:b/>
                <w:bCs/>
                <w:sz w:val="20"/>
                <w:u w:val="single"/>
              </w:rPr>
            </w:pPr>
            <w:r w:rsidRPr="00270A42">
              <w:rPr>
                <w:b/>
                <w:bCs/>
                <w:sz w:val="20"/>
                <w:u w:val="single"/>
              </w:rPr>
              <w:t>Start-Up Costs:</w:t>
            </w:r>
          </w:p>
          <w:p w:rsidR="008E6732" w:rsidRPr="00270A42" w:rsidRDefault="008E6732" w:rsidP="007D32C8">
            <w:pPr>
              <w:pStyle w:val="TableText"/>
              <w:numPr>
                <w:ilvl w:val="0"/>
                <w:numId w:val="17"/>
              </w:numPr>
              <w:spacing w:before="20" w:after="20"/>
              <w:ind w:left="152" w:hanging="152"/>
              <w:rPr>
                <w:sz w:val="20"/>
              </w:rPr>
            </w:pPr>
            <w:r w:rsidRPr="00270A42">
              <w:rPr>
                <w:sz w:val="20"/>
              </w:rPr>
              <w:t xml:space="preserve">Review survey </w:t>
            </w:r>
          </w:p>
          <w:p w:rsidR="008E6732" w:rsidRPr="00270A42" w:rsidRDefault="008E6732" w:rsidP="007B690A">
            <w:pPr>
              <w:pStyle w:val="TableText"/>
              <w:numPr>
                <w:ilvl w:val="0"/>
                <w:numId w:val="17"/>
              </w:numPr>
              <w:spacing w:before="20" w:after="20"/>
              <w:ind w:left="152" w:hanging="152"/>
              <w:rPr>
                <w:sz w:val="20"/>
              </w:rPr>
            </w:pPr>
            <w:r w:rsidRPr="00270A42">
              <w:rPr>
                <w:sz w:val="20"/>
              </w:rPr>
              <w:t xml:space="preserve">Provide comments on survey </w:t>
            </w:r>
          </w:p>
        </w:tc>
        <w:tc>
          <w:tcPr>
            <w:tcW w:w="484" w:type="pct"/>
          </w:tcPr>
          <w:p w:rsidR="008E6732" w:rsidRPr="00270A42" w:rsidRDefault="007B690A" w:rsidP="004E15F9">
            <w:pPr>
              <w:pStyle w:val="TableText"/>
              <w:spacing w:before="20" w:after="20"/>
              <w:jc w:val="center"/>
              <w:rPr>
                <w:b/>
                <w:bCs/>
                <w:sz w:val="20"/>
              </w:rPr>
            </w:pPr>
            <w:r w:rsidRPr="00270A42">
              <w:rPr>
                <w:b/>
                <w:bCs/>
                <w:sz w:val="20"/>
              </w:rPr>
              <w:t>9</w:t>
            </w:r>
          </w:p>
          <w:p w:rsidR="008E6732" w:rsidRPr="00270A42" w:rsidRDefault="008E6732" w:rsidP="004E15F9">
            <w:pPr>
              <w:pStyle w:val="TableText"/>
              <w:spacing w:before="20" w:after="20"/>
              <w:jc w:val="center"/>
              <w:rPr>
                <w:sz w:val="20"/>
              </w:rPr>
            </w:pPr>
            <w:r w:rsidRPr="00270A42">
              <w:rPr>
                <w:sz w:val="20"/>
              </w:rPr>
              <w:t>6</w:t>
            </w:r>
          </w:p>
          <w:p w:rsidR="008E6732" w:rsidRPr="00270A42" w:rsidRDefault="008E6732" w:rsidP="007B690A">
            <w:pPr>
              <w:pStyle w:val="TableText"/>
              <w:spacing w:before="20" w:after="20"/>
              <w:jc w:val="center"/>
              <w:rPr>
                <w:sz w:val="20"/>
              </w:rPr>
            </w:pPr>
            <w:r w:rsidRPr="00270A42">
              <w:rPr>
                <w:sz w:val="20"/>
              </w:rPr>
              <w:t>3</w:t>
            </w:r>
          </w:p>
        </w:tc>
        <w:tc>
          <w:tcPr>
            <w:tcW w:w="485" w:type="pct"/>
          </w:tcPr>
          <w:p w:rsidR="008E6732" w:rsidRPr="00270A42" w:rsidRDefault="007B690A" w:rsidP="004E15F9">
            <w:pPr>
              <w:pStyle w:val="TableText"/>
              <w:spacing w:before="20" w:after="20"/>
              <w:jc w:val="center"/>
              <w:rPr>
                <w:b/>
                <w:bCs/>
                <w:sz w:val="20"/>
              </w:rPr>
            </w:pPr>
            <w:r w:rsidRPr="00270A42">
              <w:rPr>
                <w:b/>
                <w:bCs/>
                <w:sz w:val="20"/>
              </w:rPr>
              <w:t>2</w:t>
            </w:r>
          </w:p>
          <w:p w:rsidR="008E6732" w:rsidRPr="00270A42" w:rsidRDefault="008E6732" w:rsidP="004E15F9">
            <w:pPr>
              <w:pStyle w:val="TableText"/>
              <w:spacing w:before="20" w:after="20"/>
              <w:jc w:val="center"/>
              <w:rPr>
                <w:sz w:val="20"/>
              </w:rPr>
            </w:pPr>
            <w:r w:rsidRPr="00270A42">
              <w:rPr>
                <w:sz w:val="20"/>
              </w:rPr>
              <w:t>2</w:t>
            </w:r>
          </w:p>
          <w:p w:rsidR="008E6732" w:rsidRPr="00270A42" w:rsidRDefault="008E6732" w:rsidP="007B690A">
            <w:pPr>
              <w:pStyle w:val="TableText"/>
              <w:spacing w:before="20" w:after="20"/>
              <w:jc w:val="center"/>
              <w:rPr>
                <w:sz w:val="20"/>
              </w:rPr>
            </w:pPr>
            <w:r w:rsidRPr="00270A42">
              <w:rPr>
                <w:sz w:val="20"/>
              </w:rPr>
              <w:t>2</w:t>
            </w:r>
          </w:p>
        </w:tc>
        <w:tc>
          <w:tcPr>
            <w:tcW w:w="389" w:type="pct"/>
          </w:tcPr>
          <w:p w:rsidR="008E6732" w:rsidRPr="00270A42" w:rsidRDefault="007B690A" w:rsidP="004E15F9">
            <w:pPr>
              <w:pStyle w:val="TableText"/>
              <w:spacing w:before="20" w:after="20"/>
              <w:jc w:val="center"/>
              <w:rPr>
                <w:b/>
                <w:bCs/>
                <w:sz w:val="20"/>
              </w:rPr>
            </w:pPr>
            <w:r w:rsidRPr="00270A42">
              <w:rPr>
                <w:b/>
                <w:bCs/>
                <w:sz w:val="20"/>
              </w:rPr>
              <w:t>18</w:t>
            </w:r>
          </w:p>
          <w:p w:rsidR="008E6732" w:rsidRPr="00270A42" w:rsidRDefault="008E6732" w:rsidP="004E15F9">
            <w:pPr>
              <w:pStyle w:val="TableText"/>
              <w:spacing w:before="20" w:after="20"/>
              <w:jc w:val="center"/>
              <w:rPr>
                <w:sz w:val="20"/>
              </w:rPr>
            </w:pPr>
            <w:r w:rsidRPr="00270A42">
              <w:rPr>
                <w:sz w:val="20"/>
              </w:rPr>
              <w:t>12</w:t>
            </w:r>
          </w:p>
          <w:p w:rsidR="008E6732" w:rsidRPr="00270A42" w:rsidRDefault="008E6732" w:rsidP="007B690A">
            <w:pPr>
              <w:pStyle w:val="TableText"/>
              <w:spacing w:before="20" w:after="20"/>
              <w:jc w:val="center"/>
              <w:rPr>
                <w:sz w:val="20"/>
              </w:rPr>
            </w:pPr>
            <w:r w:rsidRPr="00270A42">
              <w:rPr>
                <w:sz w:val="20"/>
              </w:rPr>
              <w:t>6</w:t>
            </w:r>
          </w:p>
        </w:tc>
        <w:tc>
          <w:tcPr>
            <w:tcW w:w="534" w:type="pct"/>
          </w:tcPr>
          <w:p w:rsidR="008E6732" w:rsidRPr="00270A42" w:rsidRDefault="008E6732" w:rsidP="00B67737">
            <w:pPr>
              <w:pStyle w:val="TableText"/>
              <w:spacing w:before="20" w:after="20"/>
              <w:jc w:val="center"/>
              <w:rPr>
                <w:b/>
                <w:bCs/>
                <w:sz w:val="20"/>
              </w:rPr>
            </w:pPr>
            <w:r w:rsidRPr="00270A42">
              <w:rPr>
                <w:b/>
                <w:bCs/>
                <w:sz w:val="20"/>
              </w:rPr>
              <w:t>$</w:t>
            </w:r>
            <w:r w:rsidR="007B690A" w:rsidRPr="00270A42">
              <w:rPr>
                <w:b/>
                <w:bCs/>
                <w:sz w:val="20"/>
              </w:rPr>
              <w:t>1,032</w:t>
            </w:r>
          </w:p>
          <w:p w:rsidR="008E6732" w:rsidRPr="00270A42" w:rsidRDefault="007B690A" w:rsidP="004E15F9">
            <w:pPr>
              <w:pStyle w:val="TableText"/>
              <w:spacing w:before="20" w:after="20"/>
              <w:jc w:val="center"/>
              <w:rPr>
                <w:sz w:val="20"/>
              </w:rPr>
            </w:pPr>
            <w:r w:rsidRPr="00270A42">
              <w:rPr>
                <w:sz w:val="20"/>
              </w:rPr>
              <w:t>$688</w:t>
            </w:r>
          </w:p>
          <w:p w:rsidR="008E6732" w:rsidRPr="00270A42" w:rsidRDefault="007B690A" w:rsidP="007B690A">
            <w:pPr>
              <w:pStyle w:val="TableText"/>
              <w:spacing w:before="20" w:after="20"/>
              <w:jc w:val="center"/>
              <w:rPr>
                <w:sz w:val="20"/>
              </w:rPr>
            </w:pPr>
            <w:r w:rsidRPr="00270A42">
              <w:rPr>
                <w:sz w:val="20"/>
              </w:rPr>
              <w:t>$344</w:t>
            </w:r>
          </w:p>
        </w:tc>
        <w:tc>
          <w:tcPr>
            <w:tcW w:w="656" w:type="pct"/>
          </w:tcPr>
          <w:p w:rsidR="008E6732" w:rsidRPr="00270A42" w:rsidRDefault="008E6732" w:rsidP="004E15F9">
            <w:pPr>
              <w:pStyle w:val="TableText"/>
              <w:spacing w:before="20" w:after="20"/>
              <w:jc w:val="center"/>
              <w:rPr>
                <w:sz w:val="20"/>
              </w:rPr>
            </w:pPr>
            <w:r w:rsidRPr="00270A42">
              <w:rPr>
                <w:sz w:val="20"/>
              </w:rPr>
              <w:t>GS-14 staff:1</w:t>
            </w:r>
            <w:r w:rsidR="007B690A" w:rsidRPr="00270A42">
              <w:rPr>
                <w:sz w:val="20"/>
              </w:rPr>
              <w:t>8</w:t>
            </w:r>
            <w:r w:rsidRPr="00270A42">
              <w:rPr>
                <w:sz w:val="20"/>
              </w:rPr>
              <w:t xml:space="preserve"> h</w:t>
            </w:r>
            <w:r w:rsidR="0089599B" w:rsidRPr="00270A42">
              <w:rPr>
                <w:sz w:val="20"/>
              </w:rPr>
              <w:t>ou</w:t>
            </w:r>
            <w:r w:rsidRPr="00270A42">
              <w:rPr>
                <w:sz w:val="20"/>
              </w:rPr>
              <w:t>rs x</w:t>
            </w:r>
            <w:r w:rsidR="00C70791">
              <w:rPr>
                <w:sz w:val="20"/>
              </w:rPr>
              <w:t xml:space="preserve"> </w:t>
            </w:r>
            <w:r w:rsidRPr="00270A42">
              <w:rPr>
                <w:sz w:val="20"/>
              </w:rPr>
              <w:t>$57.33</w:t>
            </w:r>
            <w:r w:rsidR="009121D0" w:rsidRPr="00270A42">
              <w:rPr>
                <w:rStyle w:val="FootnoteReference"/>
                <w:rFonts w:eastAsia="Times New Roman"/>
                <w:sz w:val="20"/>
              </w:rPr>
              <w:t>1</w:t>
            </w:r>
          </w:p>
          <w:p w:rsidR="008E6732" w:rsidRPr="00270A42" w:rsidRDefault="008E6732" w:rsidP="004E15F9">
            <w:pPr>
              <w:pStyle w:val="TableText"/>
              <w:spacing w:before="20" w:after="20"/>
              <w:jc w:val="center"/>
              <w:rPr>
                <w:sz w:val="20"/>
              </w:rPr>
            </w:pPr>
          </w:p>
        </w:tc>
      </w:tr>
      <w:tr w:rsidR="0089599B" w:rsidRPr="00270A42" w:rsidTr="00F37477">
        <w:trPr>
          <w:cantSplit/>
          <w:jc w:val="center"/>
        </w:trPr>
        <w:tc>
          <w:tcPr>
            <w:tcW w:w="417" w:type="pct"/>
          </w:tcPr>
          <w:p w:rsidR="008E49DE" w:rsidRPr="00270A42" w:rsidRDefault="008E49DE" w:rsidP="004E15F9">
            <w:pPr>
              <w:pStyle w:val="TableText"/>
              <w:spacing w:before="20" w:after="20"/>
              <w:rPr>
                <w:b/>
                <w:sz w:val="20"/>
              </w:rPr>
            </w:pPr>
            <w:r w:rsidRPr="00270A42">
              <w:rPr>
                <w:b/>
                <w:sz w:val="20"/>
              </w:rPr>
              <w:t>HRSA</w:t>
            </w:r>
          </w:p>
        </w:tc>
        <w:tc>
          <w:tcPr>
            <w:tcW w:w="775" w:type="pct"/>
          </w:tcPr>
          <w:p w:rsidR="008E49DE" w:rsidRPr="00270A42" w:rsidRDefault="008E49DE" w:rsidP="00676737">
            <w:pPr>
              <w:pStyle w:val="TableText"/>
              <w:spacing w:before="20" w:after="20"/>
              <w:rPr>
                <w:b/>
                <w:sz w:val="20"/>
              </w:rPr>
            </w:pPr>
            <w:r w:rsidRPr="00270A42">
              <w:rPr>
                <w:b/>
                <w:sz w:val="20"/>
              </w:rPr>
              <w:t>Title V Block Grant Survey</w:t>
            </w:r>
          </w:p>
        </w:tc>
        <w:tc>
          <w:tcPr>
            <w:tcW w:w="1260" w:type="pct"/>
          </w:tcPr>
          <w:p w:rsidR="008E49DE" w:rsidRPr="00270A42" w:rsidRDefault="008E49DE" w:rsidP="007D32C8">
            <w:pPr>
              <w:pStyle w:val="TableText"/>
              <w:spacing w:before="20" w:after="20"/>
              <w:ind w:left="152" w:hanging="152"/>
              <w:rPr>
                <w:b/>
                <w:bCs/>
                <w:sz w:val="20"/>
                <w:u w:val="single"/>
              </w:rPr>
            </w:pPr>
            <w:r w:rsidRPr="00270A42">
              <w:rPr>
                <w:b/>
                <w:bCs/>
                <w:sz w:val="20"/>
                <w:u w:val="single"/>
              </w:rPr>
              <w:t>Reporting Costs:</w:t>
            </w:r>
          </w:p>
          <w:p w:rsidR="008E49DE" w:rsidRPr="00270A42" w:rsidRDefault="008E49DE" w:rsidP="007D32C8">
            <w:pPr>
              <w:pStyle w:val="TableText"/>
              <w:numPr>
                <w:ilvl w:val="0"/>
                <w:numId w:val="17"/>
              </w:numPr>
              <w:spacing w:before="20" w:after="20"/>
              <w:ind w:left="152" w:hanging="152"/>
              <w:rPr>
                <w:sz w:val="20"/>
              </w:rPr>
            </w:pPr>
            <w:r w:rsidRPr="00270A42">
              <w:rPr>
                <w:sz w:val="20"/>
              </w:rPr>
              <w:t>Review of initial findings and discussion of analysis</w:t>
            </w:r>
          </w:p>
          <w:p w:rsidR="008E49DE" w:rsidRPr="00270A42" w:rsidRDefault="008E49DE" w:rsidP="007D32C8">
            <w:pPr>
              <w:pStyle w:val="TableText"/>
              <w:numPr>
                <w:ilvl w:val="0"/>
                <w:numId w:val="17"/>
              </w:numPr>
              <w:spacing w:before="20" w:after="20"/>
              <w:ind w:left="152" w:hanging="152"/>
              <w:rPr>
                <w:sz w:val="20"/>
              </w:rPr>
            </w:pPr>
            <w:r w:rsidRPr="00270A42">
              <w:rPr>
                <w:sz w:val="20"/>
              </w:rPr>
              <w:t>Review of reports</w:t>
            </w:r>
          </w:p>
        </w:tc>
        <w:tc>
          <w:tcPr>
            <w:tcW w:w="484" w:type="pct"/>
          </w:tcPr>
          <w:p w:rsidR="008E49DE" w:rsidRPr="00270A42" w:rsidRDefault="008E49DE" w:rsidP="004E15F9">
            <w:pPr>
              <w:pStyle w:val="TableText"/>
              <w:spacing w:before="20" w:after="20"/>
              <w:jc w:val="center"/>
              <w:rPr>
                <w:b/>
                <w:bCs/>
                <w:sz w:val="20"/>
              </w:rPr>
            </w:pPr>
            <w:r w:rsidRPr="00270A42">
              <w:rPr>
                <w:b/>
                <w:bCs/>
                <w:sz w:val="20"/>
              </w:rPr>
              <w:t>16</w:t>
            </w:r>
          </w:p>
          <w:p w:rsidR="008E49DE" w:rsidRPr="00270A42" w:rsidRDefault="008E49DE" w:rsidP="004E15F9">
            <w:pPr>
              <w:pStyle w:val="TableText"/>
              <w:spacing w:before="20" w:after="20"/>
              <w:jc w:val="center"/>
              <w:rPr>
                <w:sz w:val="20"/>
              </w:rPr>
            </w:pPr>
            <w:r w:rsidRPr="00270A42">
              <w:rPr>
                <w:sz w:val="20"/>
              </w:rPr>
              <w:t>8</w:t>
            </w:r>
          </w:p>
          <w:p w:rsidR="008E49DE" w:rsidRPr="00270A42" w:rsidRDefault="008E49DE" w:rsidP="004E15F9">
            <w:pPr>
              <w:pStyle w:val="TableText"/>
              <w:spacing w:before="20" w:after="20"/>
              <w:jc w:val="center"/>
              <w:rPr>
                <w:sz w:val="20"/>
              </w:rPr>
            </w:pPr>
          </w:p>
          <w:p w:rsidR="008E49DE" w:rsidRPr="00270A42" w:rsidRDefault="008E49DE" w:rsidP="004E15F9">
            <w:pPr>
              <w:pStyle w:val="TableText"/>
              <w:spacing w:before="20" w:after="20"/>
              <w:jc w:val="center"/>
              <w:rPr>
                <w:sz w:val="20"/>
              </w:rPr>
            </w:pPr>
            <w:r w:rsidRPr="00270A42">
              <w:rPr>
                <w:sz w:val="20"/>
              </w:rPr>
              <w:t>8</w:t>
            </w:r>
          </w:p>
        </w:tc>
        <w:tc>
          <w:tcPr>
            <w:tcW w:w="485" w:type="pct"/>
          </w:tcPr>
          <w:p w:rsidR="008E49DE" w:rsidRPr="00270A42" w:rsidRDefault="008E49DE" w:rsidP="004E15F9">
            <w:pPr>
              <w:pStyle w:val="TableText"/>
              <w:spacing w:before="20" w:after="20"/>
              <w:jc w:val="center"/>
              <w:rPr>
                <w:b/>
                <w:bCs/>
                <w:sz w:val="20"/>
              </w:rPr>
            </w:pPr>
            <w:r w:rsidRPr="00270A42">
              <w:rPr>
                <w:b/>
                <w:bCs/>
                <w:sz w:val="20"/>
              </w:rPr>
              <w:t>2</w:t>
            </w:r>
          </w:p>
          <w:p w:rsidR="008E49DE" w:rsidRPr="00270A42" w:rsidRDefault="008E49DE" w:rsidP="004E15F9">
            <w:pPr>
              <w:pStyle w:val="TableText"/>
              <w:spacing w:before="20" w:after="20"/>
              <w:jc w:val="center"/>
              <w:rPr>
                <w:sz w:val="20"/>
              </w:rPr>
            </w:pPr>
            <w:r w:rsidRPr="00270A42">
              <w:rPr>
                <w:sz w:val="20"/>
              </w:rPr>
              <w:t>2</w:t>
            </w:r>
          </w:p>
          <w:p w:rsidR="008E49DE" w:rsidRPr="00270A42" w:rsidRDefault="008E49DE" w:rsidP="004E15F9">
            <w:pPr>
              <w:pStyle w:val="TableText"/>
              <w:spacing w:before="20" w:after="20"/>
              <w:jc w:val="center"/>
              <w:rPr>
                <w:sz w:val="20"/>
              </w:rPr>
            </w:pPr>
          </w:p>
          <w:p w:rsidR="008E49DE" w:rsidRPr="00270A42" w:rsidRDefault="008E49DE" w:rsidP="004E15F9">
            <w:pPr>
              <w:pStyle w:val="TableText"/>
              <w:spacing w:before="20" w:after="20"/>
              <w:jc w:val="center"/>
              <w:rPr>
                <w:sz w:val="20"/>
              </w:rPr>
            </w:pPr>
            <w:r w:rsidRPr="00270A42">
              <w:rPr>
                <w:sz w:val="20"/>
              </w:rPr>
              <w:t>2</w:t>
            </w:r>
          </w:p>
        </w:tc>
        <w:tc>
          <w:tcPr>
            <w:tcW w:w="389" w:type="pct"/>
          </w:tcPr>
          <w:p w:rsidR="008E49DE" w:rsidRPr="00270A42" w:rsidRDefault="008E49DE" w:rsidP="004E15F9">
            <w:pPr>
              <w:pStyle w:val="TableText"/>
              <w:spacing w:before="20" w:after="20"/>
              <w:jc w:val="center"/>
              <w:rPr>
                <w:b/>
                <w:bCs/>
                <w:sz w:val="20"/>
              </w:rPr>
            </w:pPr>
            <w:r w:rsidRPr="00270A42">
              <w:rPr>
                <w:b/>
                <w:bCs/>
                <w:sz w:val="20"/>
              </w:rPr>
              <w:t>32</w:t>
            </w:r>
          </w:p>
          <w:p w:rsidR="008E49DE" w:rsidRPr="00270A42" w:rsidRDefault="008E49DE" w:rsidP="004E15F9">
            <w:pPr>
              <w:pStyle w:val="TableText"/>
              <w:spacing w:before="20" w:after="20"/>
              <w:jc w:val="center"/>
              <w:rPr>
                <w:sz w:val="20"/>
              </w:rPr>
            </w:pPr>
            <w:r w:rsidRPr="00270A42">
              <w:rPr>
                <w:sz w:val="20"/>
              </w:rPr>
              <w:t>16</w:t>
            </w:r>
          </w:p>
          <w:p w:rsidR="008E49DE" w:rsidRPr="00270A42" w:rsidRDefault="008E49DE" w:rsidP="004E15F9">
            <w:pPr>
              <w:pStyle w:val="TableText"/>
              <w:spacing w:before="20" w:after="20"/>
              <w:jc w:val="center"/>
              <w:rPr>
                <w:sz w:val="20"/>
              </w:rPr>
            </w:pPr>
          </w:p>
          <w:p w:rsidR="008E49DE" w:rsidRPr="00270A42" w:rsidRDefault="008E49DE" w:rsidP="004E15F9">
            <w:pPr>
              <w:pStyle w:val="TableText"/>
              <w:spacing w:before="20" w:after="20"/>
              <w:jc w:val="center"/>
              <w:rPr>
                <w:sz w:val="20"/>
              </w:rPr>
            </w:pPr>
            <w:r w:rsidRPr="00270A42">
              <w:rPr>
                <w:sz w:val="20"/>
              </w:rPr>
              <w:t>16</w:t>
            </w:r>
          </w:p>
        </w:tc>
        <w:tc>
          <w:tcPr>
            <w:tcW w:w="534" w:type="pct"/>
          </w:tcPr>
          <w:p w:rsidR="008E49DE" w:rsidRPr="00270A42" w:rsidRDefault="008E49DE" w:rsidP="004E15F9">
            <w:pPr>
              <w:pStyle w:val="TableText"/>
              <w:spacing w:before="20" w:after="20"/>
              <w:jc w:val="center"/>
              <w:rPr>
                <w:b/>
                <w:bCs/>
                <w:sz w:val="20"/>
              </w:rPr>
            </w:pPr>
            <w:r w:rsidRPr="00270A42">
              <w:rPr>
                <w:b/>
                <w:bCs/>
                <w:sz w:val="20"/>
              </w:rPr>
              <w:t>$1,835</w:t>
            </w:r>
          </w:p>
          <w:p w:rsidR="008E49DE" w:rsidRPr="00270A42" w:rsidRDefault="008E49DE" w:rsidP="008E49DE">
            <w:pPr>
              <w:pStyle w:val="TableText"/>
              <w:spacing w:before="20" w:after="20"/>
              <w:jc w:val="center"/>
              <w:rPr>
                <w:sz w:val="20"/>
              </w:rPr>
            </w:pPr>
            <w:r w:rsidRPr="00270A42">
              <w:rPr>
                <w:sz w:val="20"/>
              </w:rPr>
              <w:t>$917</w:t>
            </w:r>
          </w:p>
          <w:p w:rsidR="008E49DE" w:rsidRPr="00270A42" w:rsidRDefault="008E49DE" w:rsidP="008E49DE">
            <w:pPr>
              <w:pStyle w:val="TableText"/>
              <w:spacing w:before="20" w:after="20"/>
              <w:jc w:val="center"/>
              <w:rPr>
                <w:sz w:val="20"/>
              </w:rPr>
            </w:pPr>
          </w:p>
          <w:p w:rsidR="008E49DE" w:rsidRPr="00270A42" w:rsidRDefault="008E49DE" w:rsidP="008E49DE">
            <w:pPr>
              <w:pStyle w:val="TableText"/>
              <w:spacing w:before="20" w:after="20"/>
              <w:jc w:val="center"/>
              <w:rPr>
                <w:sz w:val="20"/>
              </w:rPr>
            </w:pPr>
            <w:r w:rsidRPr="00270A42">
              <w:rPr>
                <w:sz w:val="20"/>
              </w:rPr>
              <w:t>$917</w:t>
            </w:r>
          </w:p>
        </w:tc>
        <w:tc>
          <w:tcPr>
            <w:tcW w:w="656" w:type="pct"/>
          </w:tcPr>
          <w:p w:rsidR="008E49DE" w:rsidRPr="00270A42" w:rsidRDefault="008E49DE" w:rsidP="00676737">
            <w:pPr>
              <w:pStyle w:val="TableText"/>
              <w:spacing w:before="20" w:after="20"/>
              <w:jc w:val="center"/>
              <w:rPr>
                <w:sz w:val="20"/>
              </w:rPr>
            </w:pPr>
            <w:r w:rsidRPr="00270A42">
              <w:rPr>
                <w:sz w:val="20"/>
              </w:rPr>
              <w:t>GS-14 staff:18 h</w:t>
            </w:r>
            <w:r w:rsidR="0089599B" w:rsidRPr="00270A42">
              <w:rPr>
                <w:sz w:val="20"/>
              </w:rPr>
              <w:t>ou</w:t>
            </w:r>
            <w:r w:rsidRPr="00270A42">
              <w:rPr>
                <w:sz w:val="20"/>
              </w:rPr>
              <w:t>rs x</w:t>
            </w:r>
            <w:r w:rsidR="0089599B" w:rsidRPr="00270A42">
              <w:rPr>
                <w:sz w:val="20"/>
              </w:rPr>
              <w:t xml:space="preserve"> </w:t>
            </w:r>
            <w:r w:rsidRPr="00270A42">
              <w:rPr>
                <w:sz w:val="20"/>
              </w:rPr>
              <w:t>$57.33</w:t>
            </w:r>
          </w:p>
          <w:p w:rsidR="008E49DE" w:rsidRPr="00270A42" w:rsidRDefault="008E49DE" w:rsidP="00676737">
            <w:pPr>
              <w:pStyle w:val="TableText"/>
              <w:spacing w:before="20" w:after="20"/>
              <w:jc w:val="center"/>
              <w:rPr>
                <w:sz w:val="20"/>
              </w:rPr>
            </w:pPr>
          </w:p>
        </w:tc>
      </w:tr>
      <w:tr w:rsidR="0089599B" w:rsidRPr="00270A42" w:rsidTr="00F37477">
        <w:trPr>
          <w:cantSplit/>
          <w:jc w:val="center"/>
        </w:trPr>
        <w:tc>
          <w:tcPr>
            <w:tcW w:w="417" w:type="pct"/>
          </w:tcPr>
          <w:p w:rsidR="008E49DE" w:rsidRPr="00270A42" w:rsidRDefault="008E49DE" w:rsidP="004E15F9">
            <w:pPr>
              <w:pStyle w:val="TableText"/>
              <w:spacing w:before="20" w:after="20"/>
              <w:rPr>
                <w:b/>
                <w:sz w:val="20"/>
              </w:rPr>
            </w:pPr>
            <w:r w:rsidRPr="00270A42">
              <w:rPr>
                <w:b/>
                <w:sz w:val="20"/>
              </w:rPr>
              <w:t>Total</w:t>
            </w:r>
          </w:p>
        </w:tc>
        <w:tc>
          <w:tcPr>
            <w:tcW w:w="775" w:type="pct"/>
          </w:tcPr>
          <w:p w:rsidR="008E49DE" w:rsidRPr="00270A42" w:rsidRDefault="008E49DE" w:rsidP="00676737">
            <w:pPr>
              <w:pStyle w:val="TableText"/>
              <w:spacing w:before="20" w:after="20"/>
              <w:rPr>
                <w:b/>
                <w:sz w:val="20"/>
              </w:rPr>
            </w:pPr>
            <w:r w:rsidRPr="00270A42">
              <w:rPr>
                <w:b/>
                <w:sz w:val="20"/>
              </w:rPr>
              <w:t>—</w:t>
            </w:r>
          </w:p>
        </w:tc>
        <w:tc>
          <w:tcPr>
            <w:tcW w:w="1260" w:type="pct"/>
          </w:tcPr>
          <w:p w:rsidR="008E49DE" w:rsidRPr="00270A42" w:rsidRDefault="008E49DE" w:rsidP="007D32C8">
            <w:pPr>
              <w:pStyle w:val="TableText"/>
              <w:spacing w:before="20" w:after="20"/>
              <w:ind w:left="152" w:hanging="152"/>
              <w:rPr>
                <w:b/>
                <w:bCs/>
                <w:sz w:val="20"/>
                <w:u w:val="single"/>
              </w:rPr>
            </w:pPr>
            <w:r w:rsidRPr="00270A42">
              <w:rPr>
                <w:b/>
                <w:sz w:val="20"/>
              </w:rPr>
              <w:t>—</w:t>
            </w:r>
          </w:p>
        </w:tc>
        <w:tc>
          <w:tcPr>
            <w:tcW w:w="484" w:type="pct"/>
          </w:tcPr>
          <w:p w:rsidR="008E49DE" w:rsidRPr="00270A42" w:rsidRDefault="008E49DE" w:rsidP="004E15F9">
            <w:pPr>
              <w:pStyle w:val="TableText"/>
              <w:spacing w:before="20" w:after="20"/>
              <w:jc w:val="center"/>
              <w:rPr>
                <w:b/>
                <w:bCs/>
                <w:sz w:val="20"/>
              </w:rPr>
            </w:pPr>
            <w:r w:rsidRPr="00270A42">
              <w:rPr>
                <w:b/>
                <w:bCs/>
                <w:sz w:val="20"/>
              </w:rPr>
              <w:t>25</w:t>
            </w:r>
          </w:p>
        </w:tc>
        <w:tc>
          <w:tcPr>
            <w:tcW w:w="485" w:type="pct"/>
          </w:tcPr>
          <w:p w:rsidR="008E49DE" w:rsidRPr="00270A42" w:rsidRDefault="008E49DE" w:rsidP="004E15F9">
            <w:pPr>
              <w:pStyle w:val="TableText"/>
              <w:spacing w:before="20" w:after="20"/>
              <w:jc w:val="center"/>
              <w:rPr>
                <w:b/>
                <w:bCs/>
                <w:sz w:val="20"/>
              </w:rPr>
            </w:pPr>
            <w:r w:rsidRPr="00270A42">
              <w:rPr>
                <w:b/>
                <w:bCs/>
                <w:sz w:val="20"/>
              </w:rPr>
              <w:t>2</w:t>
            </w:r>
          </w:p>
        </w:tc>
        <w:tc>
          <w:tcPr>
            <w:tcW w:w="389" w:type="pct"/>
          </w:tcPr>
          <w:p w:rsidR="008E49DE" w:rsidRPr="00270A42" w:rsidRDefault="008E49DE" w:rsidP="004E15F9">
            <w:pPr>
              <w:pStyle w:val="TableText"/>
              <w:spacing w:before="20" w:after="20"/>
              <w:jc w:val="center"/>
              <w:rPr>
                <w:b/>
                <w:bCs/>
                <w:sz w:val="20"/>
              </w:rPr>
            </w:pPr>
            <w:r w:rsidRPr="00270A42">
              <w:rPr>
                <w:b/>
                <w:bCs/>
                <w:sz w:val="20"/>
              </w:rPr>
              <w:t>50</w:t>
            </w:r>
          </w:p>
        </w:tc>
        <w:tc>
          <w:tcPr>
            <w:tcW w:w="534" w:type="pct"/>
          </w:tcPr>
          <w:p w:rsidR="008E49DE" w:rsidRPr="00270A42" w:rsidRDefault="008E49DE" w:rsidP="004E15F9">
            <w:pPr>
              <w:pStyle w:val="TableText"/>
              <w:spacing w:before="20" w:after="20"/>
              <w:jc w:val="center"/>
              <w:rPr>
                <w:b/>
                <w:bCs/>
                <w:sz w:val="20"/>
              </w:rPr>
            </w:pPr>
            <w:r w:rsidRPr="00270A42">
              <w:rPr>
                <w:b/>
                <w:bCs/>
                <w:sz w:val="20"/>
              </w:rPr>
              <w:t>$2,867</w:t>
            </w:r>
          </w:p>
        </w:tc>
        <w:tc>
          <w:tcPr>
            <w:tcW w:w="656" w:type="pct"/>
          </w:tcPr>
          <w:p w:rsidR="008E49DE" w:rsidRPr="00270A42" w:rsidRDefault="008E49DE" w:rsidP="00676737">
            <w:pPr>
              <w:pStyle w:val="TableText"/>
              <w:spacing w:before="20" w:after="20"/>
              <w:jc w:val="center"/>
              <w:rPr>
                <w:sz w:val="20"/>
              </w:rPr>
            </w:pPr>
            <w:r w:rsidRPr="00270A42">
              <w:rPr>
                <w:b/>
                <w:sz w:val="20"/>
              </w:rPr>
              <w:t>—</w:t>
            </w:r>
          </w:p>
        </w:tc>
      </w:tr>
    </w:tbl>
    <w:p w:rsidR="007D32C8" w:rsidRPr="009121D0" w:rsidRDefault="009121D0" w:rsidP="009121D0">
      <w:pPr>
        <w:pStyle w:val="TableText"/>
        <w:rPr>
          <w:sz w:val="18"/>
          <w:szCs w:val="18"/>
        </w:rPr>
      </w:pPr>
      <w:r w:rsidRPr="009121D0">
        <w:rPr>
          <w:rFonts w:asciiTheme="majorBidi" w:hAnsiTheme="majorBidi" w:cstheme="majorBidi"/>
          <w:sz w:val="18"/>
          <w:szCs w:val="18"/>
          <w:vertAlign w:val="superscript"/>
        </w:rPr>
        <w:t>1</w:t>
      </w:r>
      <w:r>
        <w:rPr>
          <w:rFonts w:asciiTheme="majorBidi" w:hAnsiTheme="majorBidi" w:cstheme="majorBidi"/>
          <w:sz w:val="18"/>
          <w:szCs w:val="18"/>
        </w:rPr>
        <w:t xml:space="preserve"> </w:t>
      </w:r>
      <w:r w:rsidRPr="009121D0">
        <w:rPr>
          <w:rFonts w:asciiTheme="majorBidi" w:hAnsiTheme="majorBidi" w:cstheme="majorBidi"/>
          <w:sz w:val="18"/>
          <w:szCs w:val="18"/>
        </w:rPr>
        <w:t xml:space="preserve">The U.S. Office of Personnel Management </w:t>
      </w:r>
      <w:r w:rsidR="00C70791">
        <w:rPr>
          <w:rFonts w:asciiTheme="majorBidi" w:hAnsiTheme="majorBidi" w:cstheme="majorBidi"/>
          <w:sz w:val="18"/>
          <w:szCs w:val="18"/>
        </w:rPr>
        <w:t>(</w:t>
      </w:r>
      <w:hyperlink r:id="rId14" w:history="1">
        <w:r w:rsidR="00C70791" w:rsidRPr="009121D0">
          <w:rPr>
            <w:rStyle w:val="Hyperlink"/>
            <w:rFonts w:asciiTheme="majorBidi" w:hAnsiTheme="majorBidi" w:cstheme="majorBidi"/>
            <w:sz w:val="18"/>
            <w:szCs w:val="18"/>
          </w:rPr>
          <w:t>http://www.opm.gov/oca/12tables/GSCalc.asp</w:t>
        </w:r>
      </w:hyperlink>
      <w:r w:rsidR="00C70791">
        <w:rPr>
          <w:rStyle w:val="Hyperlink"/>
          <w:rFonts w:asciiTheme="majorBidi" w:hAnsiTheme="majorBidi" w:cstheme="majorBidi"/>
          <w:sz w:val="18"/>
          <w:szCs w:val="18"/>
        </w:rPr>
        <w:t xml:space="preserve">) </w:t>
      </w:r>
      <w:r w:rsidRPr="009121D0">
        <w:rPr>
          <w:rFonts w:asciiTheme="majorBidi" w:hAnsiTheme="majorBidi" w:cstheme="majorBidi"/>
          <w:sz w:val="18"/>
          <w:szCs w:val="18"/>
        </w:rPr>
        <w:t>indicates that the annual salary for a GS-14, Step 5 employee in the Washington/Baltimore/Northern Virginia locality is $119,238, which when divided by 2,080 hours is $57.33 an hour.</w:t>
      </w:r>
      <w:r w:rsidRPr="009121D0">
        <w:rPr>
          <w:sz w:val="18"/>
          <w:szCs w:val="18"/>
        </w:rPr>
        <w:t xml:space="preserve">  </w:t>
      </w:r>
    </w:p>
    <w:p w:rsidR="00A93046" w:rsidRPr="00A93046" w:rsidRDefault="00A93046" w:rsidP="00A93046">
      <w:pPr>
        <w:pStyle w:val="TableText"/>
        <w:jc w:val="right"/>
        <w:rPr>
          <w:sz w:val="20"/>
        </w:rPr>
      </w:pPr>
    </w:p>
    <w:p w:rsidR="008E6732" w:rsidRPr="00FD40D0" w:rsidRDefault="0044412E" w:rsidP="00106EEE">
      <w:pPr>
        <w:pStyle w:val="TableTitle"/>
      </w:pPr>
      <w:bookmarkStart w:id="42" w:name="_Toc346023991"/>
      <w:bookmarkStart w:id="43" w:name="_Toc354391761"/>
      <w:r w:rsidRPr="002D281C">
        <w:lastRenderedPageBreak/>
        <w:t>Table 5</w:t>
      </w:r>
      <w:r w:rsidR="008E6732" w:rsidRPr="002D281C">
        <w:t>.</w:t>
      </w:r>
      <w:r w:rsidR="008E6732" w:rsidRPr="002D281C">
        <w:tab/>
        <w:t xml:space="preserve">Costs to the Federal Government: </w:t>
      </w:r>
      <w:bookmarkEnd w:id="42"/>
      <w:r w:rsidR="00106EEE" w:rsidRPr="002D281C">
        <w:t>Contractor</w:t>
      </w:r>
      <w:bookmarkEnd w:id="43"/>
      <w:r w:rsidR="001A6917">
        <w:t xml:space="preserve">  </w:t>
      </w:r>
    </w:p>
    <w:tbl>
      <w:tblPr>
        <w:tblW w:w="9150" w:type="dxa"/>
        <w:tblInd w:w="93" w:type="dxa"/>
        <w:tblLook w:val="04A0"/>
      </w:tblPr>
      <w:tblGrid>
        <w:gridCol w:w="2355"/>
        <w:gridCol w:w="4680"/>
        <w:gridCol w:w="2115"/>
      </w:tblGrid>
      <w:tr w:rsidR="008E6732" w:rsidRPr="00FD40D0" w:rsidTr="005F591D">
        <w:trPr>
          <w:cantSplit/>
          <w:tblHeader/>
        </w:trPr>
        <w:tc>
          <w:tcPr>
            <w:tcW w:w="2355" w:type="dxa"/>
            <w:tcBorders>
              <w:top w:val="single" w:sz="12" w:space="0" w:color="auto"/>
              <w:left w:val="nil"/>
              <w:bottom w:val="single" w:sz="8" w:space="0" w:color="auto"/>
              <w:right w:val="nil"/>
            </w:tcBorders>
            <w:shd w:val="clear" w:color="auto" w:fill="auto"/>
            <w:vAlign w:val="bottom"/>
            <w:hideMark/>
          </w:tcPr>
          <w:p w:rsidR="008E6732" w:rsidRPr="00FD40D0" w:rsidRDefault="008E6732" w:rsidP="005F591D">
            <w:pPr>
              <w:pStyle w:val="TableHeaders"/>
            </w:pPr>
            <w:r w:rsidRPr="00FD40D0">
              <w:t>Agency</w:t>
            </w:r>
          </w:p>
        </w:tc>
        <w:tc>
          <w:tcPr>
            <w:tcW w:w="4680" w:type="dxa"/>
            <w:tcBorders>
              <w:top w:val="single" w:sz="12" w:space="0" w:color="auto"/>
              <w:left w:val="nil"/>
              <w:bottom w:val="single" w:sz="8" w:space="0" w:color="auto"/>
              <w:right w:val="nil"/>
            </w:tcBorders>
            <w:shd w:val="clear" w:color="auto" w:fill="auto"/>
            <w:vAlign w:val="bottom"/>
            <w:hideMark/>
          </w:tcPr>
          <w:p w:rsidR="008E6732" w:rsidRPr="00FD40D0" w:rsidRDefault="008E6732" w:rsidP="005F591D">
            <w:pPr>
              <w:pStyle w:val="TableHeaders"/>
            </w:pPr>
            <w:r w:rsidRPr="00FD40D0">
              <w:t>Task</w:t>
            </w:r>
          </w:p>
        </w:tc>
        <w:tc>
          <w:tcPr>
            <w:tcW w:w="2115" w:type="dxa"/>
            <w:tcBorders>
              <w:top w:val="single" w:sz="12" w:space="0" w:color="auto"/>
              <w:left w:val="nil"/>
              <w:bottom w:val="single" w:sz="8" w:space="0" w:color="auto"/>
              <w:right w:val="nil"/>
            </w:tcBorders>
            <w:shd w:val="clear" w:color="auto" w:fill="auto"/>
            <w:vAlign w:val="bottom"/>
            <w:hideMark/>
          </w:tcPr>
          <w:p w:rsidR="008E6732" w:rsidRPr="00FD40D0" w:rsidRDefault="008E6732" w:rsidP="005F591D">
            <w:pPr>
              <w:pStyle w:val="TableHeaders"/>
            </w:pPr>
            <w:r w:rsidRPr="00FD40D0">
              <w:t>Total Cost Amount</w:t>
            </w:r>
          </w:p>
        </w:tc>
      </w:tr>
      <w:tr w:rsidR="008E6732" w:rsidRPr="00FD40D0" w:rsidTr="005F591D">
        <w:trPr>
          <w:cantSplit/>
        </w:trPr>
        <w:tc>
          <w:tcPr>
            <w:tcW w:w="2355" w:type="dxa"/>
            <w:tcBorders>
              <w:top w:val="single" w:sz="8" w:space="0" w:color="auto"/>
              <w:left w:val="nil"/>
              <w:bottom w:val="single" w:sz="8" w:space="0" w:color="000000"/>
              <w:right w:val="nil"/>
            </w:tcBorders>
            <w:shd w:val="clear" w:color="auto" w:fill="auto"/>
            <w:vAlign w:val="center"/>
            <w:hideMark/>
          </w:tcPr>
          <w:p w:rsidR="008E6732" w:rsidRPr="00FD40D0" w:rsidRDefault="008E6732" w:rsidP="009121D0">
            <w:pPr>
              <w:pStyle w:val="TableText"/>
            </w:pPr>
            <w:r w:rsidRPr="00FD40D0">
              <w:t>Contractor</w:t>
            </w:r>
            <w:r w:rsidR="009121D0">
              <w:rPr>
                <w:rStyle w:val="FootnoteReference"/>
                <w:bCs/>
                <w:color w:val="000000"/>
              </w:rPr>
              <w:t>1</w:t>
            </w:r>
            <w:r w:rsidR="009121D0">
              <w:rPr>
                <w:vertAlign w:val="superscript"/>
              </w:rPr>
              <w:t>, 2</w:t>
            </w:r>
          </w:p>
        </w:tc>
        <w:tc>
          <w:tcPr>
            <w:tcW w:w="4680" w:type="dxa"/>
            <w:tcBorders>
              <w:top w:val="nil"/>
              <w:left w:val="nil"/>
              <w:bottom w:val="single" w:sz="8" w:space="0" w:color="auto"/>
              <w:right w:val="nil"/>
            </w:tcBorders>
            <w:shd w:val="clear" w:color="auto" w:fill="auto"/>
            <w:vAlign w:val="center"/>
            <w:hideMark/>
          </w:tcPr>
          <w:p w:rsidR="008E6732" w:rsidRPr="00FD40D0" w:rsidRDefault="008E49DE" w:rsidP="005F591D">
            <w:pPr>
              <w:pStyle w:val="TableText"/>
            </w:pPr>
            <w:r>
              <w:t xml:space="preserve">Data </w:t>
            </w:r>
            <w:r w:rsidR="00C70791">
              <w:t>collection activities, data processing and analysis, reporting results, and project management</w:t>
            </w:r>
          </w:p>
        </w:tc>
        <w:tc>
          <w:tcPr>
            <w:tcW w:w="2115" w:type="dxa"/>
            <w:tcBorders>
              <w:top w:val="nil"/>
              <w:left w:val="nil"/>
              <w:bottom w:val="single" w:sz="8" w:space="0" w:color="auto"/>
              <w:right w:val="nil"/>
            </w:tcBorders>
            <w:shd w:val="clear" w:color="auto" w:fill="auto"/>
            <w:vAlign w:val="center"/>
            <w:hideMark/>
          </w:tcPr>
          <w:p w:rsidR="008E6732" w:rsidRPr="00FD40D0" w:rsidRDefault="008E6732" w:rsidP="00F13719">
            <w:pPr>
              <w:pStyle w:val="TableText"/>
              <w:tabs>
                <w:tab w:val="decimal" w:pos="1332"/>
              </w:tabs>
            </w:pPr>
            <w:r w:rsidRPr="00FD40D0">
              <w:t>$</w:t>
            </w:r>
            <w:r w:rsidR="008E49DE">
              <w:t>47,0</w:t>
            </w:r>
            <w:r w:rsidR="00F13719">
              <w:t>22</w:t>
            </w:r>
            <w:r w:rsidRPr="00FD40D0">
              <w:t xml:space="preserve"> </w:t>
            </w:r>
          </w:p>
        </w:tc>
      </w:tr>
      <w:tr w:rsidR="008E6732" w:rsidRPr="00FD40D0" w:rsidTr="005F591D">
        <w:trPr>
          <w:cantSplit/>
        </w:trPr>
        <w:tc>
          <w:tcPr>
            <w:tcW w:w="2355" w:type="dxa"/>
            <w:tcBorders>
              <w:top w:val="single" w:sz="8" w:space="0" w:color="000000"/>
              <w:left w:val="nil"/>
              <w:bottom w:val="single" w:sz="12" w:space="0" w:color="000000"/>
              <w:right w:val="nil"/>
            </w:tcBorders>
            <w:shd w:val="clear" w:color="auto" w:fill="auto"/>
            <w:vAlign w:val="center"/>
            <w:hideMark/>
          </w:tcPr>
          <w:p w:rsidR="008E6732" w:rsidRPr="00FD40D0" w:rsidRDefault="005F591D" w:rsidP="00106EEE">
            <w:pPr>
              <w:pStyle w:val="TableText"/>
              <w:rPr>
                <w:b/>
              </w:rPr>
            </w:pPr>
            <w:r w:rsidRPr="00FD40D0">
              <w:t xml:space="preserve">Contractor </w:t>
            </w:r>
          </w:p>
        </w:tc>
        <w:tc>
          <w:tcPr>
            <w:tcW w:w="4680" w:type="dxa"/>
            <w:tcBorders>
              <w:top w:val="nil"/>
              <w:left w:val="nil"/>
              <w:bottom w:val="single" w:sz="12" w:space="0" w:color="auto"/>
              <w:right w:val="nil"/>
            </w:tcBorders>
            <w:shd w:val="clear" w:color="auto" w:fill="auto"/>
            <w:vAlign w:val="center"/>
            <w:hideMark/>
          </w:tcPr>
          <w:p w:rsidR="008E6732" w:rsidRPr="00FD40D0" w:rsidRDefault="008E6732" w:rsidP="005F591D">
            <w:pPr>
              <w:pStyle w:val="TableText"/>
              <w:rPr>
                <w:b/>
              </w:rPr>
            </w:pPr>
            <w:r w:rsidRPr="00FD40D0">
              <w:rPr>
                <w:b/>
              </w:rPr>
              <w:t>TOTAL</w:t>
            </w:r>
          </w:p>
        </w:tc>
        <w:tc>
          <w:tcPr>
            <w:tcW w:w="2115" w:type="dxa"/>
            <w:tcBorders>
              <w:top w:val="nil"/>
              <w:left w:val="nil"/>
              <w:bottom w:val="single" w:sz="12" w:space="0" w:color="auto"/>
              <w:right w:val="nil"/>
            </w:tcBorders>
            <w:shd w:val="clear" w:color="auto" w:fill="auto"/>
            <w:vAlign w:val="center"/>
            <w:hideMark/>
          </w:tcPr>
          <w:p w:rsidR="008E6732" w:rsidRPr="00FD40D0" w:rsidRDefault="008E6732" w:rsidP="00F13719">
            <w:pPr>
              <w:pStyle w:val="TableText"/>
              <w:tabs>
                <w:tab w:val="decimal" w:pos="1332"/>
              </w:tabs>
              <w:rPr>
                <w:b/>
                <w:sz w:val="22"/>
                <w:szCs w:val="22"/>
              </w:rPr>
            </w:pPr>
            <w:r w:rsidRPr="00FD40D0">
              <w:rPr>
                <w:b/>
                <w:sz w:val="22"/>
                <w:szCs w:val="22"/>
              </w:rPr>
              <w:t>$</w:t>
            </w:r>
            <w:r w:rsidR="008E49DE">
              <w:rPr>
                <w:b/>
                <w:sz w:val="22"/>
                <w:szCs w:val="22"/>
              </w:rPr>
              <w:t>4</w:t>
            </w:r>
            <w:r w:rsidR="00F13719">
              <w:rPr>
                <w:b/>
                <w:sz w:val="22"/>
                <w:szCs w:val="22"/>
              </w:rPr>
              <w:t>7,022</w:t>
            </w:r>
            <w:r w:rsidRPr="00FD40D0">
              <w:rPr>
                <w:b/>
                <w:sz w:val="22"/>
                <w:szCs w:val="22"/>
              </w:rPr>
              <w:t xml:space="preserve"> </w:t>
            </w:r>
          </w:p>
        </w:tc>
      </w:tr>
    </w:tbl>
    <w:p w:rsidR="005F591D" w:rsidRPr="009121D0" w:rsidRDefault="009121D0" w:rsidP="009121D0">
      <w:pPr>
        <w:pStyle w:val="FootnoteText"/>
        <w:rPr>
          <w:sz w:val="21"/>
          <w:szCs w:val="21"/>
        </w:rPr>
      </w:pPr>
      <w:r w:rsidRPr="009121D0">
        <w:rPr>
          <w:sz w:val="21"/>
          <w:szCs w:val="21"/>
          <w:vertAlign w:val="superscript"/>
        </w:rPr>
        <w:t>1</w:t>
      </w:r>
      <w:r w:rsidRPr="009121D0">
        <w:rPr>
          <w:sz w:val="21"/>
          <w:szCs w:val="21"/>
        </w:rPr>
        <w:t xml:space="preserve"> Overhead is included in all costs listed.</w:t>
      </w:r>
    </w:p>
    <w:p w:rsidR="009121D0" w:rsidRPr="009121D0" w:rsidRDefault="009121D0" w:rsidP="009121D0">
      <w:pPr>
        <w:pStyle w:val="FootnoteText"/>
        <w:rPr>
          <w:sz w:val="21"/>
          <w:szCs w:val="21"/>
        </w:rPr>
      </w:pPr>
      <w:r w:rsidRPr="009121D0">
        <w:rPr>
          <w:sz w:val="21"/>
          <w:szCs w:val="21"/>
          <w:vertAlign w:val="superscript"/>
        </w:rPr>
        <w:t>2</w:t>
      </w:r>
      <w:r w:rsidRPr="009121D0">
        <w:rPr>
          <w:sz w:val="21"/>
          <w:szCs w:val="21"/>
        </w:rPr>
        <w:t xml:space="preserve"> Cost estimates taken from contract budget.</w:t>
      </w:r>
    </w:p>
    <w:p w:rsidR="00557E34" w:rsidRPr="00FD40D0" w:rsidRDefault="00557E34" w:rsidP="00557E34">
      <w:pPr>
        <w:pStyle w:val="Heading2"/>
      </w:pPr>
      <w:bookmarkStart w:id="44" w:name="_Toc358887205"/>
      <w:r w:rsidRPr="00FD40D0">
        <w:t>B.15</w:t>
      </w:r>
      <w:r w:rsidRPr="00FD40D0">
        <w:tab/>
        <w:t>Changes to Burden</w:t>
      </w:r>
      <w:bookmarkEnd w:id="39"/>
      <w:bookmarkEnd w:id="44"/>
    </w:p>
    <w:p w:rsidR="00557E34" w:rsidRPr="00FD40D0" w:rsidRDefault="00557E34" w:rsidP="00557E34">
      <w:pPr>
        <w:pStyle w:val="BodyText1"/>
      </w:pPr>
      <w:r w:rsidRPr="00FD40D0">
        <w:t>This is a new data collection.</w:t>
      </w:r>
    </w:p>
    <w:p w:rsidR="00557E34" w:rsidRPr="00FD40D0" w:rsidRDefault="00557E34" w:rsidP="00557E34">
      <w:pPr>
        <w:pStyle w:val="Heading2"/>
      </w:pPr>
      <w:bookmarkStart w:id="45" w:name="_Toc343103435"/>
      <w:bookmarkStart w:id="46" w:name="_Toc358887206"/>
      <w:r w:rsidRPr="00FD40D0">
        <w:t>B.16</w:t>
      </w:r>
      <w:r w:rsidRPr="00FD40D0">
        <w:tab/>
        <w:t>Publication/Tabulation Dates</w:t>
      </w:r>
      <w:bookmarkEnd w:id="45"/>
      <w:bookmarkEnd w:id="46"/>
    </w:p>
    <w:p w:rsidR="003362FC" w:rsidRDefault="003362FC" w:rsidP="00557E34">
      <w:pPr>
        <w:pStyle w:val="BodyText1"/>
      </w:pPr>
      <w:r>
        <w:t xml:space="preserve">The collection of information will begin after completion of the </w:t>
      </w:r>
      <w:r w:rsidR="00D500C3">
        <w:t>O</w:t>
      </w:r>
      <w:r w:rsidR="00641DD0">
        <w:t xml:space="preserve">MB review and approval process.  </w:t>
      </w:r>
      <w:r>
        <w:t xml:space="preserve">This is </w:t>
      </w:r>
      <w:r w:rsidR="0006466A">
        <w:t xml:space="preserve">a </w:t>
      </w:r>
      <w:r>
        <w:t>one</w:t>
      </w:r>
      <w:r w:rsidR="0006466A">
        <w:t>-</w:t>
      </w:r>
      <w:r>
        <w:t>time data collection effort; there is no schedule for continued collection of these data.</w:t>
      </w:r>
    </w:p>
    <w:p w:rsidR="003362FC" w:rsidRDefault="00984E19" w:rsidP="003362FC">
      <w:pPr>
        <w:pStyle w:val="BodyText1"/>
      </w:pPr>
      <w:r>
        <w:t>This data collection is meant to support policy analysis conducted by HRSA, and H</w:t>
      </w:r>
      <w:r w:rsidR="003362FC">
        <w:t xml:space="preserve">RSA </w:t>
      </w:r>
      <w:r>
        <w:t xml:space="preserve">does not anticipate </w:t>
      </w:r>
      <w:r w:rsidR="00557E34" w:rsidRPr="00FD40D0">
        <w:t xml:space="preserve">disseminating the results </w:t>
      </w:r>
      <w:r w:rsidR="00FE6B45">
        <w:t>outside the Federal government</w:t>
      </w:r>
      <w:r w:rsidR="00557E34" w:rsidRPr="005A2446">
        <w:t>.</w:t>
      </w:r>
      <w:r>
        <w:t xml:space="preserve"> </w:t>
      </w:r>
    </w:p>
    <w:p w:rsidR="00557E34" w:rsidRPr="005A2446" w:rsidRDefault="003362FC" w:rsidP="003362FC">
      <w:pPr>
        <w:pStyle w:val="BodyText1"/>
      </w:pPr>
      <w:r>
        <w:t xml:space="preserve">Information gathered through this </w:t>
      </w:r>
      <w:r w:rsidR="00C50942">
        <w:t xml:space="preserve">data </w:t>
      </w:r>
      <w:r>
        <w:t>collect</w:t>
      </w:r>
      <w:r w:rsidR="00C50942">
        <w:t>ion</w:t>
      </w:r>
      <w:r>
        <w:t xml:space="preserve"> will be aggregated and analyzed using summary statistics (e.g., summation, averages, medians, </w:t>
      </w:r>
      <w:r w:rsidR="00D500C3">
        <w:t xml:space="preserve">and </w:t>
      </w:r>
      <w:r>
        <w:t>percentages</w:t>
      </w:r>
      <w:r w:rsidR="00AB0549">
        <w:t>).</w:t>
      </w:r>
      <w:r w:rsidR="00D42935">
        <w:t xml:space="preserve">  See Part B of the supporting statement.  </w:t>
      </w:r>
    </w:p>
    <w:p w:rsidR="00557E34" w:rsidRPr="005A2446" w:rsidRDefault="00557E34" w:rsidP="00557E34">
      <w:pPr>
        <w:pStyle w:val="Heading2"/>
      </w:pPr>
      <w:bookmarkStart w:id="47" w:name="_Toc343103436"/>
      <w:bookmarkStart w:id="48" w:name="_Toc358887207"/>
      <w:r w:rsidRPr="005A2446">
        <w:t>B.17</w:t>
      </w:r>
      <w:r w:rsidRPr="005A2446">
        <w:tab/>
        <w:t>Expiration Date</w:t>
      </w:r>
      <w:bookmarkEnd w:id="47"/>
      <w:bookmarkEnd w:id="48"/>
    </w:p>
    <w:p w:rsidR="00557E34" w:rsidRPr="005A2446" w:rsidRDefault="003362FC" w:rsidP="00B67737">
      <w:pPr>
        <w:pStyle w:val="BodyText1"/>
      </w:pPr>
      <w:r>
        <w:t xml:space="preserve">The </w:t>
      </w:r>
      <w:r w:rsidRPr="003362FC">
        <w:t xml:space="preserve">Title V Block Grant Survey </w:t>
      </w:r>
      <w:r w:rsidR="00557E34" w:rsidRPr="005A2446">
        <w:t>wil</w:t>
      </w:r>
      <w:r>
        <w:t xml:space="preserve">l be implemented one time only. </w:t>
      </w:r>
      <w:r w:rsidR="00557E34" w:rsidRPr="005A2446">
        <w:t xml:space="preserve">The </w:t>
      </w:r>
      <w:r w:rsidR="000F113C">
        <w:t xml:space="preserve">OMB </w:t>
      </w:r>
      <w:r w:rsidR="00557E34" w:rsidRPr="005A2446">
        <w:t>expiration date will be displayed on all information collection instruments.</w:t>
      </w:r>
    </w:p>
    <w:p w:rsidR="003362FC" w:rsidRDefault="003362FC" w:rsidP="003362FC">
      <w:pPr>
        <w:pStyle w:val="Heading2"/>
      </w:pPr>
      <w:bookmarkStart w:id="49" w:name="_Toc358887208"/>
      <w:r w:rsidRPr="005A2446">
        <w:t>B.1</w:t>
      </w:r>
      <w:r w:rsidR="002765D9">
        <w:t>8</w:t>
      </w:r>
      <w:r w:rsidRPr="005A2446">
        <w:tab/>
      </w:r>
      <w:r>
        <w:t>Certification Statement</w:t>
      </w:r>
      <w:bookmarkEnd w:id="49"/>
    </w:p>
    <w:p w:rsidR="003362FC" w:rsidRPr="003362FC" w:rsidRDefault="003362FC" w:rsidP="003362FC">
      <w:r>
        <w:tab/>
        <w:t>There are no exceptions to the certification.</w:t>
      </w:r>
    </w:p>
    <w:p w:rsidR="00A60206" w:rsidRDefault="00A60206">
      <w:pPr>
        <w:rPr>
          <w:rFonts w:eastAsia="MS Mincho"/>
          <w:szCs w:val="20"/>
        </w:rPr>
      </w:pPr>
      <w:r>
        <w:br w:type="page"/>
      </w:r>
    </w:p>
    <w:p w:rsidR="00291575" w:rsidRPr="005A2446" w:rsidRDefault="00291575" w:rsidP="00291575">
      <w:pPr>
        <w:pStyle w:val="Heading1"/>
      </w:pPr>
      <w:bookmarkStart w:id="50" w:name="_Toc88033509"/>
      <w:bookmarkStart w:id="51" w:name="_Toc88277988"/>
      <w:bookmarkStart w:id="52" w:name="_Toc358887209"/>
      <w:bookmarkEnd w:id="6"/>
      <w:r w:rsidRPr="005A2446">
        <w:lastRenderedPageBreak/>
        <w:t>References</w:t>
      </w:r>
      <w:bookmarkEnd w:id="50"/>
      <w:bookmarkEnd w:id="51"/>
      <w:bookmarkEnd w:id="52"/>
    </w:p>
    <w:p w:rsidR="00A60206" w:rsidRPr="005A2446" w:rsidRDefault="00A60206" w:rsidP="00B75BB6">
      <w:pPr>
        <w:pStyle w:val="biblio"/>
      </w:pPr>
      <w:r w:rsidRPr="005A2446">
        <w:rPr>
          <w:noProof/>
        </w:rPr>
        <w:t xml:space="preserve">U.S. Department of Labor, Bureau of Labor Statistics. (2011). </w:t>
      </w:r>
      <w:r w:rsidR="00FE6B45" w:rsidRPr="00FE6B45">
        <w:rPr>
          <w:i/>
          <w:noProof/>
        </w:rPr>
        <w:t>National Compensation Survey: Occupational Earnings in the United States, 2010</w:t>
      </w:r>
      <w:r w:rsidRPr="005A2446">
        <w:rPr>
          <w:noProof/>
        </w:rPr>
        <w:t xml:space="preserve">. Washington, DC: U.S. Department of Labor. </w:t>
      </w:r>
      <w:hyperlink r:id="rId15" w:history="1">
        <w:r w:rsidRPr="005A2446">
          <w:rPr>
            <w:rStyle w:val="Hyperlink"/>
          </w:rPr>
          <w:t>http://www.bls.gov/oes/current/oes_nat.htm</w:t>
        </w:r>
      </w:hyperlink>
      <w:r w:rsidRPr="005A2446">
        <w:rPr>
          <w:rStyle w:val="Hyperlink"/>
        </w:rPr>
        <w:t xml:space="preserve">. </w:t>
      </w:r>
      <w:r w:rsidRPr="005A2446">
        <w:t xml:space="preserve">Last updated on </w:t>
      </w:r>
      <w:r w:rsidR="00FE6B45">
        <w:t>May 2011</w:t>
      </w:r>
      <w:r w:rsidRPr="005A2446">
        <w:t>.</w:t>
      </w:r>
    </w:p>
    <w:p w:rsidR="005A2446" w:rsidRPr="005A2446" w:rsidRDefault="005A2446" w:rsidP="00557E34">
      <w:pPr>
        <w:pStyle w:val="biblio"/>
        <w:rPr>
          <w:color w:val="000000"/>
        </w:rPr>
      </w:pPr>
    </w:p>
    <w:sectPr w:rsidR="005A2446" w:rsidRPr="005A2446" w:rsidSect="00E67EB8">
      <w:footerReference w:type="default" r:id="rId16"/>
      <w:footerReference w:type="first" r:id="rId17"/>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63D" w:rsidRDefault="005E563D">
      <w:r>
        <w:separator/>
      </w:r>
    </w:p>
  </w:endnote>
  <w:endnote w:type="continuationSeparator" w:id="0">
    <w:p w:rsidR="005E563D" w:rsidRDefault="005E56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09B" w:rsidRPr="00906F6F" w:rsidRDefault="00351A7E" w:rsidP="00924407">
    <w:pPr>
      <w:pStyle w:val="Footer"/>
      <w:jc w:val="center"/>
    </w:pPr>
    <w:r>
      <w:rPr>
        <w:rStyle w:val="PageNumber"/>
      </w:rPr>
      <w:fldChar w:fldCharType="begin"/>
    </w:r>
    <w:r w:rsidR="00D9409B">
      <w:rPr>
        <w:rStyle w:val="PageNumber"/>
      </w:rPr>
      <w:instrText xml:space="preserve"> PAGE </w:instrText>
    </w:r>
    <w:r>
      <w:rPr>
        <w:rStyle w:val="PageNumber"/>
      </w:rPr>
      <w:fldChar w:fldCharType="separate"/>
    </w:r>
    <w:r w:rsidR="00A9465E">
      <w:rPr>
        <w:rStyle w:val="PageNumber"/>
        <w:noProof/>
      </w:rPr>
      <w:t>5</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09B" w:rsidRDefault="00351A7E" w:rsidP="00906F6F">
    <w:pPr>
      <w:pStyle w:val="Footer"/>
      <w:jc w:val="center"/>
    </w:pPr>
    <w:r>
      <w:rPr>
        <w:rStyle w:val="PageNumber"/>
      </w:rPr>
      <w:fldChar w:fldCharType="begin"/>
    </w:r>
    <w:r w:rsidR="00D9409B">
      <w:rPr>
        <w:rStyle w:val="PageNumber"/>
      </w:rPr>
      <w:instrText xml:space="preserve"> PAGE </w:instrText>
    </w:r>
    <w:r>
      <w:rPr>
        <w:rStyle w:val="PageNumber"/>
      </w:rPr>
      <w:fldChar w:fldCharType="separate"/>
    </w:r>
    <w:r w:rsidR="00A9465E">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63D" w:rsidRDefault="005E563D">
      <w:r>
        <w:separator/>
      </w:r>
    </w:p>
  </w:footnote>
  <w:footnote w:type="continuationSeparator" w:id="0">
    <w:p w:rsidR="005E563D" w:rsidRDefault="005E563D">
      <w:r>
        <w:continuationSeparator/>
      </w:r>
    </w:p>
  </w:footnote>
  <w:footnote w:id="1">
    <w:p w:rsidR="00D9409B" w:rsidRDefault="00D9409B" w:rsidP="00483E53">
      <w:pPr>
        <w:pStyle w:val="FootnoteText"/>
        <w:rPr>
          <w:rFonts w:asciiTheme="majorBidi" w:hAnsiTheme="majorBidi" w:cstheme="majorBidi"/>
        </w:rPr>
      </w:pPr>
      <w:r w:rsidRPr="009A6B4F">
        <w:rPr>
          <w:rStyle w:val="FootnoteReference"/>
          <w:rFonts w:asciiTheme="majorBidi" w:hAnsiTheme="majorBidi" w:cstheme="majorBidi"/>
          <w:szCs w:val="22"/>
        </w:rPr>
        <w:footnoteRef/>
      </w:r>
      <w:r w:rsidRPr="009A6B4F">
        <w:rPr>
          <w:rStyle w:val="FootnoteReference"/>
          <w:rFonts w:asciiTheme="majorBidi" w:hAnsiTheme="majorBidi" w:cstheme="majorBidi"/>
          <w:szCs w:val="22"/>
        </w:rPr>
        <w:t xml:space="preserve"> </w:t>
      </w:r>
      <w:r w:rsidRPr="00A21E56">
        <w:rPr>
          <w:rFonts w:asciiTheme="majorBidi" w:hAnsiTheme="majorBidi" w:cstheme="majorBidi"/>
        </w:rPr>
        <w:t xml:space="preserve">The Bureau of Labor Statistics </w:t>
      </w:r>
      <w:r>
        <w:rPr>
          <w:rFonts w:asciiTheme="majorBidi" w:hAnsiTheme="majorBidi" w:cstheme="majorBidi"/>
        </w:rPr>
        <w:t>(</w:t>
      </w:r>
      <w:hyperlink r:id="rId1" w:history="1">
        <w:r w:rsidRPr="0048136F">
          <w:rPr>
            <w:rStyle w:val="Hyperlink"/>
            <w:rFonts w:asciiTheme="majorBidi" w:hAnsiTheme="majorBidi" w:cstheme="majorBidi"/>
          </w:rPr>
          <w:t>http://www.bls.gov/ncs/ncswage2010.htm</w:t>
        </w:r>
      </w:hyperlink>
      <w:r>
        <w:rPr>
          <w:rStyle w:val="Hyperlink"/>
          <w:rFonts w:asciiTheme="majorBidi" w:hAnsiTheme="majorBidi" w:cstheme="majorBidi"/>
        </w:rPr>
        <w:t xml:space="preserve">) </w:t>
      </w:r>
      <w:r w:rsidRPr="00A21E56">
        <w:rPr>
          <w:rFonts w:asciiTheme="majorBidi" w:hAnsiTheme="majorBidi" w:cstheme="majorBidi"/>
        </w:rPr>
        <w:t>estimates that</w:t>
      </w:r>
      <w:r>
        <w:rPr>
          <w:rFonts w:asciiTheme="majorBidi" w:hAnsiTheme="majorBidi" w:cstheme="majorBidi"/>
        </w:rPr>
        <w:t xml:space="preserve"> the average hourly rate for full-time state or local government workers was $26.75 in 2010</w:t>
      </w:r>
      <w:r w:rsidRPr="00A21E56">
        <w:rPr>
          <w:rFonts w:asciiTheme="majorBidi" w:hAnsiTheme="majorBidi" w:cstheme="majorBidi"/>
        </w:rPr>
        <w:t>. The figure is updated to $</w:t>
      </w:r>
      <w:r>
        <w:rPr>
          <w:rFonts w:asciiTheme="majorBidi" w:hAnsiTheme="majorBidi" w:cstheme="majorBidi"/>
        </w:rPr>
        <w:t>28.53</w:t>
      </w:r>
      <w:r w:rsidRPr="00A21E56">
        <w:rPr>
          <w:rFonts w:asciiTheme="majorBidi" w:hAnsiTheme="majorBidi" w:cstheme="majorBidi"/>
        </w:rPr>
        <w:t xml:space="preserve"> in 201</w:t>
      </w:r>
      <w:r>
        <w:rPr>
          <w:rFonts w:asciiTheme="majorBidi" w:hAnsiTheme="majorBidi" w:cstheme="majorBidi"/>
        </w:rPr>
        <w:t>3 dollars using the CPI</w:t>
      </w:r>
      <w:r w:rsidRPr="00A21E56">
        <w:rPr>
          <w:rFonts w:asciiTheme="majorBidi" w:hAnsiTheme="majorBidi" w:cstheme="majorBidi"/>
        </w:rPr>
        <w:t>.</w:t>
      </w:r>
      <w:r>
        <w:rPr>
          <w:rFonts w:asciiTheme="majorBidi" w:hAnsiTheme="majorBidi" w:cstheme="majorBidi"/>
        </w:rPr>
        <w:t xml:space="preserve"> Overhead was also considered at a rate of 1.50 for a total hourly wage of $42.80 ($28.53 x 1.50).</w:t>
      </w:r>
      <w:r w:rsidRPr="00A21E56">
        <w:rPr>
          <w:rFonts w:asciiTheme="majorBidi" w:hAnsiTheme="majorBidi" w:cstheme="majorBidi"/>
        </w:rPr>
        <w:t xml:space="preserve"> </w:t>
      </w:r>
      <w:r>
        <w:rPr>
          <w:rFonts w:asciiTheme="majorBidi" w:hAnsiTheme="majorBidi" w:cstheme="majorBidi"/>
        </w:rPr>
        <w:t xml:space="preserve"> </w:t>
      </w:r>
    </w:p>
    <w:p w:rsidR="00D9409B" w:rsidRPr="009A6B4F" w:rsidRDefault="00D9409B" w:rsidP="00483E53">
      <w:pPr>
        <w:pStyle w:val="FootnoteText"/>
        <w:rPr>
          <w:rStyle w:val="FootnoteReference"/>
          <w:rFonts w:asciiTheme="majorBidi" w:hAnsiTheme="majorBidi" w:cstheme="majorBidi"/>
          <w:szCs w:val="2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5338DC"/>
    <w:multiLevelType w:val="hybridMultilevel"/>
    <w:tmpl w:val="C06EC12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B4105F02"/>
    <w:lvl w:ilvl="0">
      <w:start w:val="1"/>
      <w:numFmt w:val="decimal"/>
      <w:lvlText w:val="%1."/>
      <w:lvlJc w:val="left"/>
      <w:pPr>
        <w:tabs>
          <w:tab w:val="num" w:pos="1800"/>
        </w:tabs>
        <w:ind w:left="1800" w:hanging="360"/>
      </w:pPr>
    </w:lvl>
  </w:abstractNum>
  <w:abstractNum w:abstractNumId="2">
    <w:nsid w:val="FFFFFF7D"/>
    <w:multiLevelType w:val="singleLevel"/>
    <w:tmpl w:val="0DD8805A"/>
    <w:lvl w:ilvl="0">
      <w:start w:val="1"/>
      <w:numFmt w:val="decimal"/>
      <w:lvlText w:val="%1."/>
      <w:lvlJc w:val="left"/>
      <w:pPr>
        <w:tabs>
          <w:tab w:val="num" w:pos="1440"/>
        </w:tabs>
        <w:ind w:left="1440" w:hanging="360"/>
      </w:pPr>
    </w:lvl>
  </w:abstractNum>
  <w:abstractNum w:abstractNumId="3">
    <w:nsid w:val="FFFFFF7E"/>
    <w:multiLevelType w:val="singleLevel"/>
    <w:tmpl w:val="C8F4E08C"/>
    <w:lvl w:ilvl="0">
      <w:start w:val="1"/>
      <w:numFmt w:val="decimal"/>
      <w:lvlText w:val="%1."/>
      <w:lvlJc w:val="left"/>
      <w:pPr>
        <w:tabs>
          <w:tab w:val="num" w:pos="1080"/>
        </w:tabs>
        <w:ind w:left="1080" w:hanging="360"/>
      </w:pPr>
    </w:lvl>
  </w:abstractNum>
  <w:abstractNum w:abstractNumId="4">
    <w:nsid w:val="FFFFFF7F"/>
    <w:multiLevelType w:val="singleLevel"/>
    <w:tmpl w:val="27AC5948"/>
    <w:lvl w:ilvl="0">
      <w:start w:val="1"/>
      <w:numFmt w:val="decimal"/>
      <w:lvlText w:val="%1."/>
      <w:lvlJc w:val="left"/>
      <w:pPr>
        <w:tabs>
          <w:tab w:val="num" w:pos="720"/>
        </w:tabs>
        <w:ind w:left="720" w:hanging="360"/>
      </w:pPr>
    </w:lvl>
  </w:abstractNum>
  <w:abstractNum w:abstractNumId="5">
    <w:nsid w:val="FFFFFF80"/>
    <w:multiLevelType w:val="singleLevel"/>
    <w:tmpl w:val="C27A490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FD8449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364B89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F1E590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40CEF62"/>
    <w:lvl w:ilvl="0">
      <w:start w:val="1"/>
      <w:numFmt w:val="decimal"/>
      <w:lvlText w:val="%1."/>
      <w:lvlJc w:val="left"/>
      <w:pPr>
        <w:tabs>
          <w:tab w:val="num" w:pos="360"/>
        </w:tabs>
        <w:ind w:left="360" w:hanging="360"/>
      </w:pPr>
    </w:lvl>
  </w:abstractNum>
  <w:abstractNum w:abstractNumId="10">
    <w:nsid w:val="FFFFFF89"/>
    <w:multiLevelType w:val="singleLevel"/>
    <w:tmpl w:val="7DD00A92"/>
    <w:lvl w:ilvl="0">
      <w:start w:val="1"/>
      <w:numFmt w:val="bullet"/>
      <w:pStyle w:val="ListBullet"/>
      <w:lvlText w:val="•"/>
      <w:lvlJc w:val="left"/>
      <w:pPr>
        <w:ind w:left="720" w:hanging="360"/>
      </w:pPr>
      <w:rPr>
        <w:rFonts w:ascii="Arial" w:hAnsi="Arial" w:hint="default"/>
        <w:sz w:val="24"/>
        <w:szCs w:val="24"/>
      </w:rPr>
    </w:lvl>
  </w:abstractNum>
  <w:abstractNum w:abstractNumId="11">
    <w:nsid w:val="0D302500"/>
    <w:multiLevelType w:val="hybridMultilevel"/>
    <w:tmpl w:val="65DAFC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738689C"/>
    <w:multiLevelType w:val="hybridMultilevel"/>
    <w:tmpl w:val="7536FE94"/>
    <w:lvl w:ilvl="0" w:tplc="1BB2E02A">
      <w:start w:val="1"/>
      <w:numFmt w:val="bullet"/>
      <w:lvlText w:val=""/>
      <w:lvlJc w:val="left"/>
      <w:pPr>
        <w:tabs>
          <w:tab w:val="num" w:pos="1440"/>
        </w:tabs>
        <w:ind w:left="1440" w:hanging="360"/>
      </w:pPr>
      <w:rPr>
        <w:rFonts w:ascii="Wingdings" w:hAnsi="Wingdings"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89C44D4"/>
    <w:multiLevelType w:val="hybridMultilevel"/>
    <w:tmpl w:val="6706BC2E"/>
    <w:lvl w:ilvl="0" w:tplc="FFFFFFFF">
      <w:start w:val="1"/>
      <w:numFmt w:val="bulle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nsid w:val="1F510B1A"/>
    <w:multiLevelType w:val="hybridMultilevel"/>
    <w:tmpl w:val="B532B0D0"/>
    <w:lvl w:ilvl="0" w:tplc="90F47EF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1FB80384"/>
    <w:multiLevelType w:val="hybridMultilevel"/>
    <w:tmpl w:val="E88AAA56"/>
    <w:lvl w:ilvl="0" w:tplc="5D4478F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E52BD2"/>
    <w:multiLevelType w:val="hybridMultilevel"/>
    <w:tmpl w:val="8BE438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3F3574D"/>
    <w:multiLevelType w:val="hybridMultilevel"/>
    <w:tmpl w:val="E5EC1826"/>
    <w:lvl w:ilvl="0" w:tplc="04090001">
      <w:start w:val="1"/>
      <w:numFmt w:val="bullet"/>
      <w:lvlText w:val=""/>
      <w:lvlJc w:val="left"/>
      <w:pPr>
        <w:ind w:left="720" w:hanging="360"/>
      </w:pPr>
      <w:rPr>
        <w:rFonts w:ascii="Symbol" w:hAnsi="Symbol" w:hint="default"/>
      </w:rPr>
    </w:lvl>
    <w:lvl w:ilvl="1" w:tplc="210404C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A44240"/>
    <w:multiLevelType w:val="hybridMultilevel"/>
    <w:tmpl w:val="C3563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E233C4"/>
    <w:multiLevelType w:val="hybridMultilevel"/>
    <w:tmpl w:val="75A8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CE234E"/>
    <w:multiLevelType w:val="hybridMultilevel"/>
    <w:tmpl w:val="F1AE3F92"/>
    <w:lvl w:ilvl="0" w:tplc="347CD2E0">
      <w:start w:val="1"/>
      <w:numFmt w:val="bullet"/>
      <w:pStyle w:val="Tablebullet1"/>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765A5A"/>
    <w:multiLevelType w:val="hybridMultilevel"/>
    <w:tmpl w:val="D8023BE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537B6DE0"/>
    <w:multiLevelType w:val="hybridMultilevel"/>
    <w:tmpl w:val="E2E8A038"/>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53B92F17"/>
    <w:multiLevelType w:val="hybridMultilevel"/>
    <w:tmpl w:val="5BA8923E"/>
    <w:lvl w:ilvl="0" w:tplc="DEE6D06A">
      <w:start w:val="1"/>
      <w:numFmt w:val="bullet"/>
      <w:pStyle w:val="bullets"/>
      <w:lvlText w:val=""/>
      <w:lvlJc w:val="left"/>
      <w:pPr>
        <w:tabs>
          <w:tab w:val="num" w:pos="360"/>
        </w:tabs>
        <w:ind w:left="360" w:hanging="360"/>
      </w:pPr>
      <w:rPr>
        <w:rFonts w:ascii="Wingdings" w:hAnsi="Wingdings" w:hint="default"/>
      </w:rPr>
    </w:lvl>
    <w:lvl w:ilvl="1" w:tplc="13A64626">
      <w:start w:val="1"/>
      <w:numFmt w:val="bullet"/>
      <w:lvlText w:val="–"/>
      <w:lvlJc w:val="left"/>
      <w:pPr>
        <w:tabs>
          <w:tab w:val="num" w:pos="1440"/>
        </w:tabs>
        <w:ind w:left="144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4A05607"/>
    <w:multiLevelType w:val="hybridMultilevel"/>
    <w:tmpl w:val="2972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042D11"/>
    <w:multiLevelType w:val="hybridMultilevel"/>
    <w:tmpl w:val="37120AF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5C7C5721"/>
    <w:multiLevelType w:val="hybridMultilevel"/>
    <w:tmpl w:val="C15ED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nsid w:val="62A77369"/>
    <w:multiLevelType w:val="hybridMultilevel"/>
    <w:tmpl w:val="A51C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6A6866"/>
    <w:multiLevelType w:val="hybridMultilevel"/>
    <w:tmpl w:val="C18A8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3B3FDA"/>
    <w:multiLevelType w:val="hybridMultilevel"/>
    <w:tmpl w:val="AFE21E14"/>
    <w:lvl w:ilvl="0" w:tplc="7A602396">
      <w:start w:val="1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3"/>
  </w:num>
  <w:num w:numId="2">
    <w:abstractNumId w:val="27"/>
  </w:num>
  <w:num w:numId="3">
    <w:abstractNumId w:val="23"/>
  </w:num>
  <w:num w:numId="4">
    <w:abstractNumId w:val="30"/>
  </w:num>
  <w:num w:numId="5">
    <w:abstractNumId w:val="26"/>
  </w:num>
  <w:num w:numId="6">
    <w:abstractNumId w:val="17"/>
  </w:num>
  <w:num w:numId="7">
    <w:abstractNumId w:val="28"/>
  </w:num>
  <w:num w:numId="8">
    <w:abstractNumId w:val="25"/>
  </w:num>
  <w:num w:numId="9">
    <w:abstractNumId w:val="29"/>
  </w:num>
  <w:num w:numId="10">
    <w:abstractNumId w:val="14"/>
  </w:num>
  <w:num w:numId="11">
    <w:abstractNumId w:val="22"/>
  </w:num>
  <w:num w:numId="12">
    <w:abstractNumId w:val="16"/>
  </w:num>
  <w:num w:numId="13">
    <w:abstractNumId w:val="11"/>
  </w:num>
  <w:num w:numId="14">
    <w:abstractNumId w:val="0"/>
  </w:num>
  <w:num w:numId="15">
    <w:abstractNumId w:val="21"/>
  </w:num>
  <w:num w:numId="16">
    <w:abstractNumId w:val="18"/>
  </w:num>
  <w:num w:numId="17">
    <w:abstractNumId w:val="24"/>
  </w:num>
  <w:num w:numId="18">
    <w:abstractNumId w:val="10"/>
  </w:num>
  <w:num w:numId="19">
    <w:abstractNumId w:val="8"/>
  </w:num>
  <w:num w:numId="20">
    <w:abstractNumId w:val="7"/>
  </w:num>
  <w:num w:numId="21">
    <w:abstractNumId w:val="6"/>
  </w:num>
  <w:num w:numId="22">
    <w:abstractNumId w:val="5"/>
  </w:num>
  <w:num w:numId="23">
    <w:abstractNumId w:val="9"/>
  </w:num>
  <w:num w:numId="24">
    <w:abstractNumId w:val="4"/>
  </w:num>
  <w:num w:numId="25">
    <w:abstractNumId w:val="3"/>
  </w:num>
  <w:num w:numId="26">
    <w:abstractNumId w:val="2"/>
  </w:num>
  <w:num w:numId="27">
    <w:abstractNumId w:val="1"/>
  </w:num>
  <w:num w:numId="28">
    <w:abstractNumId w:val="10"/>
  </w:num>
  <w:num w:numId="29">
    <w:abstractNumId w:val="19"/>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12"/>
  </w:num>
  <w:num w:numId="37">
    <w:abstractNumId w:val="1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DateAndTime/>
  <w:embedSystemFonts/>
  <w:activeWritingStyle w:appName="MSWord" w:lang="en-US" w:vendorID="64" w:dllVersion="131078" w:nlCheck="1" w:checkStyle="1"/>
  <w:activeWritingStyle w:appName="MSWord" w:lang="en-CA" w:vendorID="64" w:dllVersion="131078" w:nlCheck="1" w:checkStyle="1"/>
  <w:proofState w:spelling="clean" w:grammar="clean"/>
  <w:stylePaneFormatFilter w:val="0004"/>
  <w:stylePaneSortMethod w:val="0000"/>
  <w:doNotTrackFormatting/>
  <w:defaultTabStop w:val="720"/>
  <w:noPunctuationKerning/>
  <w:characterSpacingControl w:val="doNotCompress"/>
  <w:hdrShapeDefaults>
    <o:shapedefaults v:ext="edit" spidmax="49154"/>
  </w:hdrShapeDefaults>
  <w:footnotePr>
    <w:footnote w:id="-1"/>
    <w:footnote w:id="0"/>
  </w:footnotePr>
  <w:endnotePr>
    <w:endnote w:id="-1"/>
    <w:endnote w:id="0"/>
  </w:endnotePr>
  <w:compat/>
  <w:rsids>
    <w:rsidRoot w:val="00244715"/>
    <w:rsid w:val="00000DEE"/>
    <w:rsid w:val="00003019"/>
    <w:rsid w:val="00003576"/>
    <w:rsid w:val="00010285"/>
    <w:rsid w:val="0001325F"/>
    <w:rsid w:val="00013B28"/>
    <w:rsid w:val="00016E5D"/>
    <w:rsid w:val="0001715E"/>
    <w:rsid w:val="00020BF6"/>
    <w:rsid w:val="00021B81"/>
    <w:rsid w:val="00024B92"/>
    <w:rsid w:val="0002616C"/>
    <w:rsid w:val="00035749"/>
    <w:rsid w:val="000358FA"/>
    <w:rsid w:val="0003609F"/>
    <w:rsid w:val="00036716"/>
    <w:rsid w:val="000376D7"/>
    <w:rsid w:val="00050C20"/>
    <w:rsid w:val="00053211"/>
    <w:rsid w:val="00053D33"/>
    <w:rsid w:val="00055BD4"/>
    <w:rsid w:val="00056850"/>
    <w:rsid w:val="000569A3"/>
    <w:rsid w:val="0006128E"/>
    <w:rsid w:val="0006466A"/>
    <w:rsid w:val="000701BE"/>
    <w:rsid w:val="000707CE"/>
    <w:rsid w:val="00072C63"/>
    <w:rsid w:val="00072E0D"/>
    <w:rsid w:val="00073C0A"/>
    <w:rsid w:val="000753C5"/>
    <w:rsid w:val="00076442"/>
    <w:rsid w:val="00076C81"/>
    <w:rsid w:val="0008130B"/>
    <w:rsid w:val="0008703C"/>
    <w:rsid w:val="00095B10"/>
    <w:rsid w:val="000965F4"/>
    <w:rsid w:val="000968D1"/>
    <w:rsid w:val="000A1BC4"/>
    <w:rsid w:val="000A3D71"/>
    <w:rsid w:val="000A4422"/>
    <w:rsid w:val="000A609C"/>
    <w:rsid w:val="000B3A9A"/>
    <w:rsid w:val="000B5429"/>
    <w:rsid w:val="000B5B19"/>
    <w:rsid w:val="000C0864"/>
    <w:rsid w:val="000C0BF4"/>
    <w:rsid w:val="000C61C0"/>
    <w:rsid w:val="000C78BA"/>
    <w:rsid w:val="000D1A66"/>
    <w:rsid w:val="000D3413"/>
    <w:rsid w:val="000D3BBE"/>
    <w:rsid w:val="000D6C12"/>
    <w:rsid w:val="000E395A"/>
    <w:rsid w:val="000E6546"/>
    <w:rsid w:val="000F04C9"/>
    <w:rsid w:val="000F113C"/>
    <w:rsid w:val="000F3D28"/>
    <w:rsid w:val="000F4DAF"/>
    <w:rsid w:val="000F564C"/>
    <w:rsid w:val="001033B9"/>
    <w:rsid w:val="00106EEE"/>
    <w:rsid w:val="0011036E"/>
    <w:rsid w:val="00112C2B"/>
    <w:rsid w:val="00112DA0"/>
    <w:rsid w:val="0011387B"/>
    <w:rsid w:val="0011486A"/>
    <w:rsid w:val="00120A7E"/>
    <w:rsid w:val="001264DC"/>
    <w:rsid w:val="001302E1"/>
    <w:rsid w:val="0014155D"/>
    <w:rsid w:val="00151039"/>
    <w:rsid w:val="00151395"/>
    <w:rsid w:val="00152DFC"/>
    <w:rsid w:val="00155573"/>
    <w:rsid w:val="00156A5F"/>
    <w:rsid w:val="001572A1"/>
    <w:rsid w:val="00162E9D"/>
    <w:rsid w:val="0016316B"/>
    <w:rsid w:val="0017124A"/>
    <w:rsid w:val="00171303"/>
    <w:rsid w:val="00175EE3"/>
    <w:rsid w:val="00177239"/>
    <w:rsid w:val="00180162"/>
    <w:rsid w:val="001817D1"/>
    <w:rsid w:val="00182BF0"/>
    <w:rsid w:val="00182ED7"/>
    <w:rsid w:val="00182F58"/>
    <w:rsid w:val="001832DE"/>
    <w:rsid w:val="0018392E"/>
    <w:rsid w:val="0018563E"/>
    <w:rsid w:val="0019120F"/>
    <w:rsid w:val="00194A21"/>
    <w:rsid w:val="00196926"/>
    <w:rsid w:val="001A1A89"/>
    <w:rsid w:val="001A3FF9"/>
    <w:rsid w:val="001A58B3"/>
    <w:rsid w:val="001A6917"/>
    <w:rsid w:val="001B20D4"/>
    <w:rsid w:val="001B2F93"/>
    <w:rsid w:val="001B3BC2"/>
    <w:rsid w:val="001B6122"/>
    <w:rsid w:val="001B78C1"/>
    <w:rsid w:val="001C0F3A"/>
    <w:rsid w:val="001C2925"/>
    <w:rsid w:val="001C4E6E"/>
    <w:rsid w:val="001C7CC4"/>
    <w:rsid w:val="001D33C9"/>
    <w:rsid w:val="001D3937"/>
    <w:rsid w:val="001D3F98"/>
    <w:rsid w:val="001D3FED"/>
    <w:rsid w:val="001D4F15"/>
    <w:rsid w:val="001D5EC8"/>
    <w:rsid w:val="001E17A0"/>
    <w:rsid w:val="001E2C0E"/>
    <w:rsid w:val="001E5F51"/>
    <w:rsid w:val="001E63EF"/>
    <w:rsid w:val="001E736B"/>
    <w:rsid w:val="001E7737"/>
    <w:rsid w:val="001F4A7B"/>
    <w:rsid w:val="001F7839"/>
    <w:rsid w:val="00203021"/>
    <w:rsid w:val="002037BC"/>
    <w:rsid w:val="002072CD"/>
    <w:rsid w:val="00207E8F"/>
    <w:rsid w:val="00212362"/>
    <w:rsid w:val="00213567"/>
    <w:rsid w:val="00216A29"/>
    <w:rsid w:val="002179E0"/>
    <w:rsid w:val="00220610"/>
    <w:rsid w:val="00221D72"/>
    <w:rsid w:val="002220C3"/>
    <w:rsid w:val="00223327"/>
    <w:rsid w:val="00223CDD"/>
    <w:rsid w:val="00225B8B"/>
    <w:rsid w:val="002309D2"/>
    <w:rsid w:val="00236BC0"/>
    <w:rsid w:val="00237321"/>
    <w:rsid w:val="00237667"/>
    <w:rsid w:val="00242D2C"/>
    <w:rsid w:val="00244715"/>
    <w:rsid w:val="0024648E"/>
    <w:rsid w:val="00246CCD"/>
    <w:rsid w:val="0025209F"/>
    <w:rsid w:val="0025460A"/>
    <w:rsid w:val="002605AE"/>
    <w:rsid w:val="00260A49"/>
    <w:rsid w:val="00261FF7"/>
    <w:rsid w:val="002641BE"/>
    <w:rsid w:val="002677ED"/>
    <w:rsid w:val="00270A42"/>
    <w:rsid w:val="00271BE9"/>
    <w:rsid w:val="0027437B"/>
    <w:rsid w:val="00274C42"/>
    <w:rsid w:val="00275EBA"/>
    <w:rsid w:val="002765D9"/>
    <w:rsid w:val="002772A2"/>
    <w:rsid w:val="002818DC"/>
    <w:rsid w:val="00282C0D"/>
    <w:rsid w:val="00290539"/>
    <w:rsid w:val="00291575"/>
    <w:rsid w:val="0029307A"/>
    <w:rsid w:val="002965C9"/>
    <w:rsid w:val="002A1235"/>
    <w:rsid w:val="002A1ED8"/>
    <w:rsid w:val="002A38E7"/>
    <w:rsid w:val="002B25B4"/>
    <w:rsid w:val="002B7151"/>
    <w:rsid w:val="002B7342"/>
    <w:rsid w:val="002C0769"/>
    <w:rsid w:val="002C0E68"/>
    <w:rsid w:val="002C33F4"/>
    <w:rsid w:val="002C3412"/>
    <w:rsid w:val="002C60A4"/>
    <w:rsid w:val="002C63F3"/>
    <w:rsid w:val="002C6B6D"/>
    <w:rsid w:val="002C78C3"/>
    <w:rsid w:val="002D0697"/>
    <w:rsid w:val="002D281C"/>
    <w:rsid w:val="002E39B8"/>
    <w:rsid w:val="002E7E82"/>
    <w:rsid w:val="002F0E2A"/>
    <w:rsid w:val="002F13DB"/>
    <w:rsid w:val="002F1B9C"/>
    <w:rsid w:val="002F1C41"/>
    <w:rsid w:val="002F3B3B"/>
    <w:rsid w:val="002F48EC"/>
    <w:rsid w:val="002F6523"/>
    <w:rsid w:val="00301077"/>
    <w:rsid w:val="00302FC2"/>
    <w:rsid w:val="0030433C"/>
    <w:rsid w:val="00305805"/>
    <w:rsid w:val="00306B6A"/>
    <w:rsid w:val="003127E2"/>
    <w:rsid w:val="00324452"/>
    <w:rsid w:val="00325C08"/>
    <w:rsid w:val="00326460"/>
    <w:rsid w:val="003267D3"/>
    <w:rsid w:val="003270D3"/>
    <w:rsid w:val="00327FF0"/>
    <w:rsid w:val="0033071D"/>
    <w:rsid w:val="00331E3B"/>
    <w:rsid w:val="00334B7A"/>
    <w:rsid w:val="003362FC"/>
    <w:rsid w:val="003378A5"/>
    <w:rsid w:val="00343192"/>
    <w:rsid w:val="0034438A"/>
    <w:rsid w:val="00347889"/>
    <w:rsid w:val="00347EBC"/>
    <w:rsid w:val="003506F4"/>
    <w:rsid w:val="00350B6D"/>
    <w:rsid w:val="00351A7E"/>
    <w:rsid w:val="00353D07"/>
    <w:rsid w:val="003540A9"/>
    <w:rsid w:val="00354255"/>
    <w:rsid w:val="00354793"/>
    <w:rsid w:val="00357746"/>
    <w:rsid w:val="00357AF0"/>
    <w:rsid w:val="00363D83"/>
    <w:rsid w:val="0037320E"/>
    <w:rsid w:val="00375064"/>
    <w:rsid w:val="00393402"/>
    <w:rsid w:val="0039796A"/>
    <w:rsid w:val="003A2645"/>
    <w:rsid w:val="003A2FF0"/>
    <w:rsid w:val="003A41A7"/>
    <w:rsid w:val="003A554D"/>
    <w:rsid w:val="003A6EC6"/>
    <w:rsid w:val="003B2FB9"/>
    <w:rsid w:val="003B4C9B"/>
    <w:rsid w:val="003B4ED5"/>
    <w:rsid w:val="003C1E33"/>
    <w:rsid w:val="003C6283"/>
    <w:rsid w:val="003D39A3"/>
    <w:rsid w:val="003D5F0F"/>
    <w:rsid w:val="003D6EC3"/>
    <w:rsid w:val="003E0A59"/>
    <w:rsid w:val="003E3837"/>
    <w:rsid w:val="003E5576"/>
    <w:rsid w:val="003F02AD"/>
    <w:rsid w:val="003F0BD5"/>
    <w:rsid w:val="003F0D55"/>
    <w:rsid w:val="003F2543"/>
    <w:rsid w:val="003F3C7A"/>
    <w:rsid w:val="003F3F3D"/>
    <w:rsid w:val="003F4482"/>
    <w:rsid w:val="003F7882"/>
    <w:rsid w:val="00400488"/>
    <w:rsid w:val="004027B1"/>
    <w:rsid w:val="00402BAD"/>
    <w:rsid w:val="004059D1"/>
    <w:rsid w:val="004073F9"/>
    <w:rsid w:val="0041209B"/>
    <w:rsid w:val="0041691A"/>
    <w:rsid w:val="00422DB0"/>
    <w:rsid w:val="00423334"/>
    <w:rsid w:val="004239D8"/>
    <w:rsid w:val="00423D75"/>
    <w:rsid w:val="00427554"/>
    <w:rsid w:val="004316FE"/>
    <w:rsid w:val="00434BC5"/>
    <w:rsid w:val="00434DFE"/>
    <w:rsid w:val="004351B2"/>
    <w:rsid w:val="0044156A"/>
    <w:rsid w:val="0044412E"/>
    <w:rsid w:val="00451757"/>
    <w:rsid w:val="00452930"/>
    <w:rsid w:val="00453377"/>
    <w:rsid w:val="0045406A"/>
    <w:rsid w:val="00456201"/>
    <w:rsid w:val="0045679F"/>
    <w:rsid w:val="00457C4D"/>
    <w:rsid w:val="00461E2F"/>
    <w:rsid w:val="00463AEE"/>
    <w:rsid w:val="00463DD1"/>
    <w:rsid w:val="004657C8"/>
    <w:rsid w:val="00466BA2"/>
    <w:rsid w:val="00466CA9"/>
    <w:rsid w:val="00470365"/>
    <w:rsid w:val="0047358D"/>
    <w:rsid w:val="00475CDB"/>
    <w:rsid w:val="00475E78"/>
    <w:rsid w:val="0047674A"/>
    <w:rsid w:val="00483E53"/>
    <w:rsid w:val="00486590"/>
    <w:rsid w:val="004920B6"/>
    <w:rsid w:val="00492F67"/>
    <w:rsid w:val="00495ADF"/>
    <w:rsid w:val="004A0690"/>
    <w:rsid w:val="004A2778"/>
    <w:rsid w:val="004A5BA6"/>
    <w:rsid w:val="004B0176"/>
    <w:rsid w:val="004B3E35"/>
    <w:rsid w:val="004B3FA6"/>
    <w:rsid w:val="004B6346"/>
    <w:rsid w:val="004C0743"/>
    <w:rsid w:val="004C0E0E"/>
    <w:rsid w:val="004C143D"/>
    <w:rsid w:val="004C439D"/>
    <w:rsid w:val="004C56A3"/>
    <w:rsid w:val="004D0161"/>
    <w:rsid w:val="004D3C37"/>
    <w:rsid w:val="004D7E5A"/>
    <w:rsid w:val="004E0E8D"/>
    <w:rsid w:val="004E12AE"/>
    <w:rsid w:val="004E1536"/>
    <w:rsid w:val="004E15F9"/>
    <w:rsid w:val="004E1CBD"/>
    <w:rsid w:val="004E2FC0"/>
    <w:rsid w:val="004E330F"/>
    <w:rsid w:val="004F167F"/>
    <w:rsid w:val="004F4E25"/>
    <w:rsid w:val="004F5B8E"/>
    <w:rsid w:val="004F6A33"/>
    <w:rsid w:val="004F7C87"/>
    <w:rsid w:val="0050115D"/>
    <w:rsid w:val="005026D6"/>
    <w:rsid w:val="00504DCF"/>
    <w:rsid w:val="00511375"/>
    <w:rsid w:val="00511B17"/>
    <w:rsid w:val="00512F04"/>
    <w:rsid w:val="0051357E"/>
    <w:rsid w:val="00513E02"/>
    <w:rsid w:val="0051577F"/>
    <w:rsid w:val="00516D68"/>
    <w:rsid w:val="00517264"/>
    <w:rsid w:val="005217EF"/>
    <w:rsid w:val="0053096E"/>
    <w:rsid w:val="00531587"/>
    <w:rsid w:val="00534DAB"/>
    <w:rsid w:val="00534ED8"/>
    <w:rsid w:val="005375D0"/>
    <w:rsid w:val="0054178D"/>
    <w:rsid w:val="00541CA2"/>
    <w:rsid w:val="005453DD"/>
    <w:rsid w:val="00546209"/>
    <w:rsid w:val="00547F2C"/>
    <w:rsid w:val="0055084F"/>
    <w:rsid w:val="00551574"/>
    <w:rsid w:val="00551F4D"/>
    <w:rsid w:val="00557329"/>
    <w:rsid w:val="0055752E"/>
    <w:rsid w:val="00557E34"/>
    <w:rsid w:val="00563AD2"/>
    <w:rsid w:val="0056677A"/>
    <w:rsid w:val="00573CE1"/>
    <w:rsid w:val="005749DD"/>
    <w:rsid w:val="00576E3E"/>
    <w:rsid w:val="0057707D"/>
    <w:rsid w:val="0058360B"/>
    <w:rsid w:val="00583707"/>
    <w:rsid w:val="005838B6"/>
    <w:rsid w:val="005909A3"/>
    <w:rsid w:val="00590C43"/>
    <w:rsid w:val="00590DEB"/>
    <w:rsid w:val="00597CA8"/>
    <w:rsid w:val="005A2446"/>
    <w:rsid w:val="005A29CE"/>
    <w:rsid w:val="005A5882"/>
    <w:rsid w:val="005A7F97"/>
    <w:rsid w:val="005B0B7A"/>
    <w:rsid w:val="005B21C5"/>
    <w:rsid w:val="005B3297"/>
    <w:rsid w:val="005B4154"/>
    <w:rsid w:val="005C240B"/>
    <w:rsid w:val="005C255F"/>
    <w:rsid w:val="005C5A44"/>
    <w:rsid w:val="005D0B6A"/>
    <w:rsid w:val="005D478A"/>
    <w:rsid w:val="005D5073"/>
    <w:rsid w:val="005D53FC"/>
    <w:rsid w:val="005E1462"/>
    <w:rsid w:val="005E217C"/>
    <w:rsid w:val="005E563D"/>
    <w:rsid w:val="005E62F2"/>
    <w:rsid w:val="005E633F"/>
    <w:rsid w:val="005F14CF"/>
    <w:rsid w:val="005F3E92"/>
    <w:rsid w:val="005F591D"/>
    <w:rsid w:val="006040A6"/>
    <w:rsid w:val="006048A8"/>
    <w:rsid w:val="00604E49"/>
    <w:rsid w:val="00605B8B"/>
    <w:rsid w:val="00613A18"/>
    <w:rsid w:val="00616000"/>
    <w:rsid w:val="00622A6F"/>
    <w:rsid w:val="006230B2"/>
    <w:rsid w:val="006269EB"/>
    <w:rsid w:val="00626DBA"/>
    <w:rsid w:val="00632AAE"/>
    <w:rsid w:val="00633A43"/>
    <w:rsid w:val="00635CB0"/>
    <w:rsid w:val="00641DD0"/>
    <w:rsid w:val="006520FA"/>
    <w:rsid w:val="00657935"/>
    <w:rsid w:val="0065799B"/>
    <w:rsid w:val="00662032"/>
    <w:rsid w:val="00662BD9"/>
    <w:rsid w:val="00663D09"/>
    <w:rsid w:val="006652C0"/>
    <w:rsid w:val="006713F3"/>
    <w:rsid w:val="006763FF"/>
    <w:rsid w:val="00676737"/>
    <w:rsid w:val="00677296"/>
    <w:rsid w:val="00677507"/>
    <w:rsid w:val="0068405A"/>
    <w:rsid w:val="006854B5"/>
    <w:rsid w:val="006910A7"/>
    <w:rsid w:val="006925AD"/>
    <w:rsid w:val="006A084F"/>
    <w:rsid w:val="006A10BF"/>
    <w:rsid w:val="006A2387"/>
    <w:rsid w:val="006A604F"/>
    <w:rsid w:val="006B14CF"/>
    <w:rsid w:val="006B3CB0"/>
    <w:rsid w:val="006B4955"/>
    <w:rsid w:val="006C462C"/>
    <w:rsid w:val="006D3678"/>
    <w:rsid w:val="006D4600"/>
    <w:rsid w:val="006E2440"/>
    <w:rsid w:val="006E3B65"/>
    <w:rsid w:val="006E5049"/>
    <w:rsid w:val="006E5DE6"/>
    <w:rsid w:val="006F7A89"/>
    <w:rsid w:val="00702CB6"/>
    <w:rsid w:val="00703CD1"/>
    <w:rsid w:val="00706653"/>
    <w:rsid w:val="00707527"/>
    <w:rsid w:val="00707F96"/>
    <w:rsid w:val="00712259"/>
    <w:rsid w:val="007128AF"/>
    <w:rsid w:val="0071443E"/>
    <w:rsid w:val="00717571"/>
    <w:rsid w:val="00720E5F"/>
    <w:rsid w:val="00722078"/>
    <w:rsid w:val="00726255"/>
    <w:rsid w:val="0073259F"/>
    <w:rsid w:val="0073382D"/>
    <w:rsid w:val="00734634"/>
    <w:rsid w:val="00736695"/>
    <w:rsid w:val="00737857"/>
    <w:rsid w:val="00737A31"/>
    <w:rsid w:val="00742A9C"/>
    <w:rsid w:val="00747F72"/>
    <w:rsid w:val="00750FE6"/>
    <w:rsid w:val="0075331E"/>
    <w:rsid w:val="00755297"/>
    <w:rsid w:val="00755BE1"/>
    <w:rsid w:val="00763A5B"/>
    <w:rsid w:val="0076448A"/>
    <w:rsid w:val="00764529"/>
    <w:rsid w:val="00764AFE"/>
    <w:rsid w:val="0077347B"/>
    <w:rsid w:val="00773689"/>
    <w:rsid w:val="00775802"/>
    <w:rsid w:val="00782650"/>
    <w:rsid w:val="007838EC"/>
    <w:rsid w:val="00786B91"/>
    <w:rsid w:val="00786C85"/>
    <w:rsid w:val="00787D03"/>
    <w:rsid w:val="007A0462"/>
    <w:rsid w:val="007A1718"/>
    <w:rsid w:val="007A77F2"/>
    <w:rsid w:val="007B09AB"/>
    <w:rsid w:val="007B18BA"/>
    <w:rsid w:val="007B21C2"/>
    <w:rsid w:val="007B2769"/>
    <w:rsid w:val="007B43AC"/>
    <w:rsid w:val="007B5258"/>
    <w:rsid w:val="007B690A"/>
    <w:rsid w:val="007B7FDA"/>
    <w:rsid w:val="007C3C05"/>
    <w:rsid w:val="007C47F1"/>
    <w:rsid w:val="007C4A4E"/>
    <w:rsid w:val="007C5DCF"/>
    <w:rsid w:val="007C616D"/>
    <w:rsid w:val="007C6975"/>
    <w:rsid w:val="007C7074"/>
    <w:rsid w:val="007D0F9A"/>
    <w:rsid w:val="007D1C74"/>
    <w:rsid w:val="007D3125"/>
    <w:rsid w:val="007D32C8"/>
    <w:rsid w:val="007D7217"/>
    <w:rsid w:val="007D73AC"/>
    <w:rsid w:val="007E15BB"/>
    <w:rsid w:val="007E16F1"/>
    <w:rsid w:val="007E28B2"/>
    <w:rsid w:val="007E4A5C"/>
    <w:rsid w:val="007E6753"/>
    <w:rsid w:val="007E724D"/>
    <w:rsid w:val="007F1B5A"/>
    <w:rsid w:val="007F227C"/>
    <w:rsid w:val="007F293F"/>
    <w:rsid w:val="007F358D"/>
    <w:rsid w:val="007F50C9"/>
    <w:rsid w:val="007F576C"/>
    <w:rsid w:val="007F7D99"/>
    <w:rsid w:val="00804E98"/>
    <w:rsid w:val="00807E0E"/>
    <w:rsid w:val="00810192"/>
    <w:rsid w:val="0081184E"/>
    <w:rsid w:val="00815E24"/>
    <w:rsid w:val="00816045"/>
    <w:rsid w:val="0081656F"/>
    <w:rsid w:val="00823242"/>
    <w:rsid w:val="008241F7"/>
    <w:rsid w:val="00824DBB"/>
    <w:rsid w:val="0082773F"/>
    <w:rsid w:val="0083170A"/>
    <w:rsid w:val="00832BA3"/>
    <w:rsid w:val="008357CC"/>
    <w:rsid w:val="008359E6"/>
    <w:rsid w:val="008423C2"/>
    <w:rsid w:val="00842D4E"/>
    <w:rsid w:val="00847929"/>
    <w:rsid w:val="00856CF5"/>
    <w:rsid w:val="00856F21"/>
    <w:rsid w:val="0085708E"/>
    <w:rsid w:val="0085768B"/>
    <w:rsid w:val="00857C68"/>
    <w:rsid w:val="0086043F"/>
    <w:rsid w:val="00867B07"/>
    <w:rsid w:val="00870307"/>
    <w:rsid w:val="00873EF7"/>
    <w:rsid w:val="0087417D"/>
    <w:rsid w:val="00880719"/>
    <w:rsid w:val="008807B7"/>
    <w:rsid w:val="008808FA"/>
    <w:rsid w:val="00881316"/>
    <w:rsid w:val="00881578"/>
    <w:rsid w:val="008815DF"/>
    <w:rsid w:val="008845C3"/>
    <w:rsid w:val="00885943"/>
    <w:rsid w:val="00891558"/>
    <w:rsid w:val="0089599B"/>
    <w:rsid w:val="008A0231"/>
    <w:rsid w:val="008A0A0F"/>
    <w:rsid w:val="008A35A8"/>
    <w:rsid w:val="008A3CF6"/>
    <w:rsid w:val="008A4C91"/>
    <w:rsid w:val="008B138B"/>
    <w:rsid w:val="008B3BC8"/>
    <w:rsid w:val="008B48A1"/>
    <w:rsid w:val="008B61A1"/>
    <w:rsid w:val="008B61C2"/>
    <w:rsid w:val="008B79CD"/>
    <w:rsid w:val="008C17D2"/>
    <w:rsid w:val="008C3FC1"/>
    <w:rsid w:val="008C4B8F"/>
    <w:rsid w:val="008C6CA3"/>
    <w:rsid w:val="008D0635"/>
    <w:rsid w:val="008D1008"/>
    <w:rsid w:val="008D1165"/>
    <w:rsid w:val="008D11B7"/>
    <w:rsid w:val="008D33E4"/>
    <w:rsid w:val="008D3BE9"/>
    <w:rsid w:val="008D43BE"/>
    <w:rsid w:val="008D6420"/>
    <w:rsid w:val="008E0EF2"/>
    <w:rsid w:val="008E3D8F"/>
    <w:rsid w:val="008E49DE"/>
    <w:rsid w:val="008E4DB7"/>
    <w:rsid w:val="008E6732"/>
    <w:rsid w:val="008E7D6E"/>
    <w:rsid w:val="008F0833"/>
    <w:rsid w:val="008F3515"/>
    <w:rsid w:val="008F5037"/>
    <w:rsid w:val="008F55FE"/>
    <w:rsid w:val="008F79D5"/>
    <w:rsid w:val="00900586"/>
    <w:rsid w:val="00905F8E"/>
    <w:rsid w:val="00906F6F"/>
    <w:rsid w:val="00907967"/>
    <w:rsid w:val="009121D0"/>
    <w:rsid w:val="00912998"/>
    <w:rsid w:val="00912AA3"/>
    <w:rsid w:val="009164CC"/>
    <w:rsid w:val="0092164B"/>
    <w:rsid w:val="00922046"/>
    <w:rsid w:val="00924407"/>
    <w:rsid w:val="00925B21"/>
    <w:rsid w:val="00926D45"/>
    <w:rsid w:val="00932612"/>
    <w:rsid w:val="00932B36"/>
    <w:rsid w:val="00936399"/>
    <w:rsid w:val="00937302"/>
    <w:rsid w:val="00941C49"/>
    <w:rsid w:val="00944BB4"/>
    <w:rsid w:val="00945FF1"/>
    <w:rsid w:val="00946D72"/>
    <w:rsid w:val="00947647"/>
    <w:rsid w:val="00947A84"/>
    <w:rsid w:val="00950643"/>
    <w:rsid w:val="009560E8"/>
    <w:rsid w:val="00956A09"/>
    <w:rsid w:val="009650B0"/>
    <w:rsid w:val="00965295"/>
    <w:rsid w:val="009673F6"/>
    <w:rsid w:val="009752B7"/>
    <w:rsid w:val="00975B68"/>
    <w:rsid w:val="00981374"/>
    <w:rsid w:val="00984E19"/>
    <w:rsid w:val="00987364"/>
    <w:rsid w:val="009875AE"/>
    <w:rsid w:val="00997B58"/>
    <w:rsid w:val="009A230F"/>
    <w:rsid w:val="009A41A4"/>
    <w:rsid w:val="009A5D09"/>
    <w:rsid w:val="009A6B4F"/>
    <w:rsid w:val="009A703B"/>
    <w:rsid w:val="009A7DB5"/>
    <w:rsid w:val="009B57B9"/>
    <w:rsid w:val="009B66BB"/>
    <w:rsid w:val="009C08F0"/>
    <w:rsid w:val="009C12EB"/>
    <w:rsid w:val="009C2EB5"/>
    <w:rsid w:val="009C6EA2"/>
    <w:rsid w:val="009D0E6A"/>
    <w:rsid w:val="009E0FB3"/>
    <w:rsid w:val="009E4B79"/>
    <w:rsid w:val="009E4DC5"/>
    <w:rsid w:val="009F1137"/>
    <w:rsid w:val="009F1792"/>
    <w:rsid w:val="009F28E2"/>
    <w:rsid w:val="009F3CFD"/>
    <w:rsid w:val="009F448A"/>
    <w:rsid w:val="009F60CD"/>
    <w:rsid w:val="009F6C56"/>
    <w:rsid w:val="00A00226"/>
    <w:rsid w:val="00A00CAE"/>
    <w:rsid w:val="00A05A2E"/>
    <w:rsid w:val="00A063B4"/>
    <w:rsid w:val="00A06BE0"/>
    <w:rsid w:val="00A07E4B"/>
    <w:rsid w:val="00A11B83"/>
    <w:rsid w:val="00A14087"/>
    <w:rsid w:val="00A15F7A"/>
    <w:rsid w:val="00A21A5E"/>
    <w:rsid w:val="00A21E1B"/>
    <w:rsid w:val="00A21E56"/>
    <w:rsid w:val="00A22E24"/>
    <w:rsid w:val="00A234D4"/>
    <w:rsid w:val="00A2391C"/>
    <w:rsid w:val="00A24170"/>
    <w:rsid w:val="00A309C6"/>
    <w:rsid w:val="00A32B08"/>
    <w:rsid w:val="00A33A1C"/>
    <w:rsid w:val="00A40208"/>
    <w:rsid w:val="00A41A42"/>
    <w:rsid w:val="00A41B07"/>
    <w:rsid w:val="00A4310A"/>
    <w:rsid w:val="00A45B43"/>
    <w:rsid w:val="00A531F7"/>
    <w:rsid w:val="00A53954"/>
    <w:rsid w:val="00A60206"/>
    <w:rsid w:val="00A61241"/>
    <w:rsid w:val="00A651C3"/>
    <w:rsid w:val="00A65419"/>
    <w:rsid w:val="00A65837"/>
    <w:rsid w:val="00A67978"/>
    <w:rsid w:val="00A71033"/>
    <w:rsid w:val="00A77392"/>
    <w:rsid w:val="00A82526"/>
    <w:rsid w:val="00A861AA"/>
    <w:rsid w:val="00A86AB6"/>
    <w:rsid w:val="00A8793C"/>
    <w:rsid w:val="00A9000D"/>
    <w:rsid w:val="00A93046"/>
    <w:rsid w:val="00A935D1"/>
    <w:rsid w:val="00A9465E"/>
    <w:rsid w:val="00A95E62"/>
    <w:rsid w:val="00AA01BC"/>
    <w:rsid w:val="00AA021C"/>
    <w:rsid w:val="00AA295A"/>
    <w:rsid w:val="00AA573E"/>
    <w:rsid w:val="00AA721E"/>
    <w:rsid w:val="00AB0549"/>
    <w:rsid w:val="00AB26EE"/>
    <w:rsid w:val="00AB3D04"/>
    <w:rsid w:val="00AB6592"/>
    <w:rsid w:val="00AB6D73"/>
    <w:rsid w:val="00AC3AD2"/>
    <w:rsid w:val="00AC6ACE"/>
    <w:rsid w:val="00AC7E0D"/>
    <w:rsid w:val="00AD50F9"/>
    <w:rsid w:val="00AE3766"/>
    <w:rsid w:val="00AE5483"/>
    <w:rsid w:val="00AE6202"/>
    <w:rsid w:val="00AF13A4"/>
    <w:rsid w:val="00AF33EE"/>
    <w:rsid w:val="00AF376C"/>
    <w:rsid w:val="00B0128A"/>
    <w:rsid w:val="00B04A85"/>
    <w:rsid w:val="00B13F21"/>
    <w:rsid w:val="00B14DA8"/>
    <w:rsid w:val="00B20569"/>
    <w:rsid w:val="00B231F5"/>
    <w:rsid w:val="00B234E3"/>
    <w:rsid w:val="00B26EC9"/>
    <w:rsid w:val="00B37A70"/>
    <w:rsid w:val="00B404DB"/>
    <w:rsid w:val="00B432D0"/>
    <w:rsid w:val="00B4410E"/>
    <w:rsid w:val="00B4452B"/>
    <w:rsid w:val="00B4616A"/>
    <w:rsid w:val="00B53E72"/>
    <w:rsid w:val="00B54361"/>
    <w:rsid w:val="00B54D0A"/>
    <w:rsid w:val="00B67737"/>
    <w:rsid w:val="00B728EB"/>
    <w:rsid w:val="00B74313"/>
    <w:rsid w:val="00B75BB6"/>
    <w:rsid w:val="00B76002"/>
    <w:rsid w:val="00B76985"/>
    <w:rsid w:val="00B779D4"/>
    <w:rsid w:val="00B77A91"/>
    <w:rsid w:val="00B80442"/>
    <w:rsid w:val="00B854D4"/>
    <w:rsid w:val="00B920FF"/>
    <w:rsid w:val="00B97190"/>
    <w:rsid w:val="00BA3259"/>
    <w:rsid w:val="00BA52EC"/>
    <w:rsid w:val="00BA6B26"/>
    <w:rsid w:val="00BB00EA"/>
    <w:rsid w:val="00BB1595"/>
    <w:rsid w:val="00BB408B"/>
    <w:rsid w:val="00BB623E"/>
    <w:rsid w:val="00BB6998"/>
    <w:rsid w:val="00BB7CFA"/>
    <w:rsid w:val="00BC27F0"/>
    <w:rsid w:val="00BC34A8"/>
    <w:rsid w:val="00BC378F"/>
    <w:rsid w:val="00BC5BFF"/>
    <w:rsid w:val="00BD0529"/>
    <w:rsid w:val="00BD60B3"/>
    <w:rsid w:val="00BD6918"/>
    <w:rsid w:val="00BE2D02"/>
    <w:rsid w:val="00BE4187"/>
    <w:rsid w:val="00BE4639"/>
    <w:rsid w:val="00BE54AB"/>
    <w:rsid w:val="00BF07ED"/>
    <w:rsid w:val="00C00BD0"/>
    <w:rsid w:val="00C02AAA"/>
    <w:rsid w:val="00C056FE"/>
    <w:rsid w:val="00C070A6"/>
    <w:rsid w:val="00C1003B"/>
    <w:rsid w:val="00C101CA"/>
    <w:rsid w:val="00C11D40"/>
    <w:rsid w:val="00C149ED"/>
    <w:rsid w:val="00C156AA"/>
    <w:rsid w:val="00C162E9"/>
    <w:rsid w:val="00C17785"/>
    <w:rsid w:val="00C207AD"/>
    <w:rsid w:val="00C31821"/>
    <w:rsid w:val="00C32C39"/>
    <w:rsid w:val="00C40D2F"/>
    <w:rsid w:val="00C50942"/>
    <w:rsid w:val="00C54030"/>
    <w:rsid w:val="00C55F2B"/>
    <w:rsid w:val="00C56316"/>
    <w:rsid w:val="00C57DB3"/>
    <w:rsid w:val="00C57DF3"/>
    <w:rsid w:val="00C606F0"/>
    <w:rsid w:val="00C62587"/>
    <w:rsid w:val="00C62900"/>
    <w:rsid w:val="00C65299"/>
    <w:rsid w:val="00C65FD6"/>
    <w:rsid w:val="00C70791"/>
    <w:rsid w:val="00C74528"/>
    <w:rsid w:val="00C75A23"/>
    <w:rsid w:val="00C764DD"/>
    <w:rsid w:val="00C807E5"/>
    <w:rsid w:val="00C81A36"/>
    <w:rsid w:val="00C82A4D"/>
    <w:rsid w:val="00C82B82"/>
    <w:rsid w:val="00C844D6"/>
    <w:rsid w:val="00C93F07"/>
    <w:rsid w:val="00C952F1"/>
    <w:rsid w:val="00C96CD4"/>
    <w:rsid w:val="00CA1153"/>
    <w:rsid w:val="00CA4F62"/>
    <w:rsid w:val="00CA6A7F"/>
    <w:rsid w:val="00CB0350"/>
    <w:rsid w:val="00CB2B43"/>
    <w:rsid w:val="00CB5301"/>
    <w:rsid w:val="00CB6FA9"/>
    <w:rsid w:val="00CC2139"/>
    <w:rsid w:val="00CC30B9"/>
    <w:rsid w:val="00CC3645"/>
    <w:rsid w:val="00CD0CA0"/>
    <w:rsid w:val="00CD0F37"/>
    <w:rsid w:val="00CD3575"/>
    <w:rsid w:val="00CD5B39"/>
    <w:rsid w:val="00CD6A6D"/>
    <w:rsid w:val="00CE10A8"/>
    <w:rsid w:val="00CE3C84"/>
    <w:rsid w:val="00CF22F5"/>
    <w:rsid w:val="00CF292A"/>
    <w:rsid w:val="00D01FD4"/>
    <w:rsid w:val="00D02306"/>
    <w:rsid w:val="00D03C09"/>
    <w:rsid w:val="00D064B9"/>
    <w:rsid w:val="00D13996"/>
    <w:rsid w:val="00D14227"/>
    <w:rsid w:val="00D145DB"/>
    <w:rsid w:val="00D239DC"/>
    <w:rsid w:val="00D30097"/>
    <w:rsid w:val="00D34D18"/>
    <w:rsid w:val="00D3559A"/>
    <w:rsid w:val="00D358C3"/>
    <w:rsid w:val="00D428B5"/>
    <w:rsid w:val="00D42935"/>
    <w:rsid w:val="00D42985"/>
    <w:rsid w:val="00D42C27"/>
    <w:rsid w:val="00D43F13"/>
    <w:rsid w:val="00D452F0"/>
    <w:rsid w:val="00D4534A"/>
    <w:rsid w:val="00D46A91"/>
    <w:rsid w:val="00D46D1A"/>
    <w:rsid w:val="00D47208"/>
    <w:rsid w:val="00D500C3"/>
    <w:rsid w:val="00D54E4F"/>
    <w:rsid w:val="00D5579D"/>
    <w:rsid w:val="00D557BC"/>
    <w:rsid w:val="00D64E30"/>
    <w:rsid w:val="00D6798C"/>
    <w:rsid w:val="00D70C31"/>
    <w:rsid w:val="00D70D55"/>
    <w:rsid w:val="00D72C2D"/>
    <w:rsid w:val="00D7688C"/>
    <w:rsid w:val="00D820DC"/>
    <w:rsid w:val="00D82FC2"/>
    <w:rsid w:val="00D901E3"/>
    <w:rsid w:val="00D906CD"/>
    <w:rsid w:val="00D924E3"/>
    <w:rsid w:val="00D9265D"/>
    <w:rsid w:val="00D9409B"/>
    <w:rsid w:val="00D946CC"/>
    <w:rsid w:val="00D96218"/>
    <w:rsid w:val="00DA0C0D"/>
    <w:rsid w:val="00DB5E1A"/>
    <w:rsid w:val="00DB754C"/>
    <w:rsid w:val="00DC304E"/>
    <w:rsid w:val="00DC48B8"/>
    <w:rsid w:val="00DC69D5"/>
    <w:rsid w:val="00DD248A"/>
    <w:rsid w:val="00DD2736"/>
    <w:rsid w:val="00DD549C"/>
    <w:rsid w:val="00DE0FB8"/>
    <w:rsid w:val="00DE16F5"/>
    <w:rsid w:val="00DE2328"/>
    <w:rsid w:val="00DE445B"/>
    <w:rsid w:val="00DE5245"/>
    <w:rsid w:val="00DF1017"/>
    <w:rsid w:val="00DF15E5"/>
    <w:rsid w:val="00DF4417"/>
    <w:rsid w:val="00DF5B43"/>
    <w:rsid w:val="00DF693C"/>
    <w:rsid w:val="00DF7E93"/>
    <w:rsid w:val="00E03E53"/>
    <w:rsid w:val="00E07659"/>
    <w:rsid w:val="00E1112C"/>
    <w:rsid w:val="00E1300D"/>
    <w:rsid w:val="00E1437B"/>
    <w:rsid w:val="00E15196"/>
    <w:rsid w:val="00E21FB5"/>
    <w:rsid w:val="00E22045"/>
    <w:rsid w:val="00E26CEB"/>
    <w:rsid w:val="00E32057"/>
    <w:rsid w:val="00E33F24"/>
    <w:rsid w:val="00E35C5F"/>
    <w:rsid w:val="00E41C8E"/>
    <w:rsid w:val="00E4301E"/>
    <w:rsid w:val="00E43926"/>
    <w:rsid w:val="00E448A6"/>
    <w:rsid w:val="00E46C2A"/>
    <w:rsid w:val="00E5341B"/>
    <w:rsid w:val="00E62A23"/>
    <w:rsid w:val="00E65D46"/>
    <w:rsid w:val="00E666E3"/>
    <w:rsid w:val="00E66F29"/>
    <w:rsid w:val="00E67CC5"/>
    <w:rsid w:val="00E67EB8"/>
    <w:rsid w:val="00E7023E"/>
    <w:rsid w:val="00E717B2"/>
    <w:rsid w:val="00E719CF"/>
    <w:rsid w:val="00E80239"/>
    <w:rsid w:val="00E805D4"/>
    <w:rsid w:val="00E81518"/>
    <w:rsid w:val="00E81C80"/>
    <w:rsid w:val="00E81EDA"/>
    <w:rsid w:val="00E8217C"/>
    <w:rsid w:val="00E82257"/>
    <w:rsid w:val="00E857B5"/>
    <w:rsid w:val="00E87A1C"/>
    <w:rsid w:val="00E90293"/>
    <w:rsid w:val="00E93544"/>
    <w:rsid w:val="00E94464"/>
    <w:rsid w:val="00E945A5"/>
    <w:rsid w:val="00E96025"/>
    <w:rsid w:val="00E97BAB"/>
    <w:rsid w:val="00EA5729"/>
    <w:rsid w:val="00EA6BB6"/>
    <w:rsid w:val="00EA7C52"/>
    <w:rsid w:val="00EB0311"/>
    <w:rsid w:val="00EB13F5"/>
    <w:rsid w:val="00EB3A20"/>
    <w:rsid w:val="00EB4CBA"/>
    <w:rsid w:val="00EC0969"/>
    <w:rsid w:val="00EC13CD"/>
    <w:rsid w:val="00EC2E8F"/>
    <w:rsid w:val="00EC314E"/>
    <w:rsid w:val="00EC38C4"/>
    <w:rsid w:val="00EC4C91"/>
    <w:rsid w:val="00EC74F3"/>
    <w:rsid w:val="00ED16CD"/>
    <w:rsid w:val="00ED467C"/>
    <w:rsid w:val="00ED579C"/>
    <w:rsid w:val="00ED69DB"/>
    <w:rsid w:val="00EE370B"/>
    <w:rsid w:val="00EE3E63"/>
    <w:rsid w:val="00EE42E3"/>
    <w:rsid w:val="00EE5137"/>
    <w:rsid w:val="00EE6EDC"/>
    <w:rsid w:val="00EE7763"/>
    <w:rsid w:val="00EF2984"/>
    <w:rsid w:val="00EF3F85"/>
    <w:rsid w:val="00F028EE"/>
    <w:rsid w:val="00F04B61"/>
    <w:rsid w:val="00F064B7"/>
    <w:rsid w:val="00F11F78"/>
    <w:rsid w:val="00F13719"/>
    <w:rsid w:val="00F1426D"/>
    <w:rsid w:val="00F177AE"/>
    <w:rsid w:val="00F17889"/>
    <w:rsid w:val="00F17979"/>
    <w:rsid w:val="00F17F4B"/>
    <w:rsid w:val="00F20A34"/>
    <w:rsid w:val="00F22932"/>
    <w:rsid w:val="00F26C05"/>
    <w:rsid w:val="00F30967"/>
    <w:rsid w:val="00F34137"/>
    <w:rsid w:val="00F35E39"/>
    <w:rsid w:val="00F37477"/>
    <w:rsid w:val="00F41479"/>
    <w:rsid w:val="00F430D3"/>
    <w:rsid w:val="00F4413C"/>
    <w:rsid w:val="00F4448A"/>
    <w:rsid w:val="00F469AC"/>
    <w:rsid w:val="00F47939"/>
    <w:rsid w:val="00F512D4"/>
    <w:rsid w:val="00F517F3"/>
    <w:rsid w:val="00F553C3"/>
    <w:rsid w:val="00F56216"/>
    <w:rsid w:val="00F563BE"/>
    <w:rsid w:val="00F617F4"/>
    <w:rsid w:val="00F64F20"/>
    <w:rsid w:val="00F66166"/>
    <w:rsid w:val="00F6655A"/>
    <w:rsid w:val="00F72F56"/>
    <w:rsid w:val="00F82D5A"/>
    <w:rsid w:val="00F84D13"/>
    <w:rsid w:val="00F84ED9"/>
    <w:rsid w:val="00F86544"/>
    <w:rsid w:val="00F87497"/>
    <w:rsid w:val="00F954A5"/>
    <w:rsid w:val="00F965F6"/>
    <w:rsid w:val="00F97687"/>
    <w:rsid w:val="00FA525B"/>
    <w:rsid w:val="00FA526A"/>
    <w:rsid w:val="00FA586D"/>
    <w:rsid w:val="00FA7085"/>
    <w:rsid w:val="00FA781F"/>
    <w:rsid w:val="00FB2E0C"/>
    <w:rsid w:val="00FB5FB2"/>
    <w:rsid w:val="00FC28BA"/>
    <w:rsid w:val="00FC2960"/>
    <w:rsid w:val="00FC42D1"/>
    <w:rsid w:val="00FC53A3"/>
    <w:rsid w:val="00FD40D0"/>
    <w:rsid w:val="00FD4747"/>
    <w:rsid w:val="00FD6829"/>
    <w:rsid w:val="00FD7883"/>
    <w:rsid w:val="00FD7F13"/>
    <w:rsid w:val="00FE3822"/>
    <w:rsid w:val="00FE3C52"/>
    <w:rsid w:val="00FE6B45"/>
    <w:rsid w:val="00FE75FE"/>
    <w:rsid w:val="00FF2C8F"/>
    <w:rsid w:val="00FF423C"/>
    <w:rsid w:val="00FF44CE"/>
    <w:rsid w:val="00FF62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annotation text" w:uiPriority="99"/>
    <w:lsdException w:name="caption" w:semiHidden="1" w:unhideWhenUsed="1"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1C0"/>
    <w:rPr>
      <w:sz w:val="24"/>
      <w:szCs w:val="24"/>
      <w:lang w:eastAsia="en-US"/>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C378F"/>
    <w:pPr>
      <w:keepNext/>
      <w:ind w:left="-90"/>
      <w:outlineLvl w:val="3"/>
    </w:pPr>
    <w:rPr>
      <w:rFonts w:ascii="Arial" w:hAnsi="Arial" w:cs="Arial"/>
      <w:b/>
      <w:bCs/>
      <w:sz w:val="22"/>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557E34"/>
    <w:pPr>
      <w:numPr>
        <w:numId w:val="3"/>
      </w:numPr>
      <w:tabs>
        <w:tab w:val="clear" w:pos="360"/>
      </w:tabs>
      <w:spacing w:after="240"/>
      <w:ind w:left="1080"/>
    </w:pPr>
    <w:rPr>
      <w:color w:val="000000"/>
    </w:rPr>
  </w:style>
  <w:style w:type="paragraph" w:styleId="Caption">
    <w:name w:val="caption"/>
    <w:basedOn w:val="Normal"/>
    <w:next w:val="Normal"/>
    <w:unhideWhenUsed/>
    <w:qFormat/>
    <w:rsid w:val="00F84ED9"/>
    <w:rPr>
      <w:b/>
      <w:bCs/>
      <w:sz w:val="20"/>
      <w:szCs w:val="20"/>
    </w:rPr>
  </w:style>
  <w:style w:type="numbering" w:customStyle="1" w:styleId="NoList1">
    <w:name w:val="No List1"/>
    <w:next w:val="NoList"/>
    <w:semiHidden/>
    <w:rsid w:val="00BC378F"/>
  </w:style>
  <w:style w:type="table" w:styleId="TableGrid">
    <w:name w:val="Table Grid"/>
    <w:basedOn w:val="TableNormal"/>
    <w:uiPriority w:val="5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Continued">
    <w:name w:val="Table Title Continued"/>
    <w:basedOn w:val="TableTitle"/>
    <w:qFormat/>
    <w:rsid w:val="00775802"/>
  </w:style>
  <w:style w:type="paragraph" w:styleId="TOCHeading">
    <w:name w:val="TOC Heading"/>
    <w:basedOn w:val="Heading1"/>
    <w:next w:val="Normal"/>
    <w:uiPriority w:val="39"/>
    <w:semiHidden/>
    <w:unhideWhenUsed/>
    <w:qFormat/>
    <w:rsid w:val="00557E34"/>
    <w:pPr>
      <w:spacing w:before="240" w:after="60"/>
      <w:outlineLvl w:val="9"/>
    </w:pPr>
    <w:rPr>
      <w:rFonts w:asciiTheme="majorHAnsi" w:eastAsiaTheme="majorEastAsia" w:hAnsiTheme="majorHAnsi" w:cstheme="majorBidi"/>
      <w:caps w:val="0"/>
      <w:kern w:val="32"/>
      <w:sz w:val="32"/>
      <w:szCs w:val="32"/>
    </w:rPr>
  </w:style>
  <w:style w:type="paragraph" w:customStyle="1" w:styleId="bullets-3rdlevel">
    <w:name w:val="bullets-3rd level"/>
    <w:basedOn w:val="Normal"/>
    <w:rsid w:val="00557E34"/>
    <w:pPr>
      <w:spacing w:after="120"/>
      <w:ind w:left="1440" w:hanging="360"/>
    </w:pPr>
    <w:rPr>
      <w:rFonts w:ascii="Verdana" w:eastAsia="MS Mincho" w:hAnsi="Verdana"/>
      <w:sz w:val="20"/>
      <w:szCs w:val="20"/>
    </w:rPr>
  </w:style>
  <w:style w:type="character" w:customStyle="1" w:styleId="bulletsChar">
    <w:name w:val="bullets Char"/>
    <w:aliases w:val="bu Char"/>
    <w:link w:val="bullets"/>
    <w:locked/>
    <w:rsid w:val="00557E34"/>
    <w:rPr>
      <w:color w:val="000000"/>
      <w:sz w:val="24"/>
      <w:szCs w:val="24"/>
      <w:lang w:eastAsia="en-US"/>
    </w:rPr>
  </w:style>
  <w:style w:type="paragraph" w:customStyle="1" w:styleId="paragraph">
    <w:name w:val="paragraph"/>
    <w:basedOn w:val="Normal"/>
    <w:rsid w:val="00BC378F"/>
    <w:pPr>
      <w:spacing w:before="200" w:line="320" w:lineRule="exact"/>
      <w:ind w:left="1440"/>
    </w:pPr>
  </w:style>
  <w:style w:type="character" w:customStyle="1" w:styleId="Heading1Char">
    <w:name w:val="Heading 1 Char"/>
    <w:link w:val="Heading1"/>
    <w:rsid w:val="00557E34"/>
    <w:rPr>
      <w:rFonts w:ascii="Times New Roman Bold" w:hAnsi="Times New Roman Bold"/>
      <w:b/>
      <w:bCs/>
      <w:caps/>
      <w:sz w:val="24"/>
      <w:szCs w:val="24"/>
      <w:lang w:eastAsia="en-US"/>
    </w:rPr>
  </w:style>
  <w:style w:type="paragraph" w:styleId="FootnoteText">
    <w:name w:val="footnote text"/>
    <w:basedOn w:val="Normal"/>
    <w:link w:val="FootnoteTextChar"/>
    <w:rsid w:val="000C61C0"/>
    <w:pPr>
      <w:ind w:left="270" w:hanging="270"/>
    </w:pPr>
    <w:rPr>
      <w:rFonts w:eastAsia="MS Mincho"/>
      <w:sz w:val="20"/>
      <w:szCs w:val="20"/>
    </w:rPr>
  </w:style>
  <w:style w:type="character" w:styleId="FootnoteReference">
    <w:name w:val="footnote reference"/>
    <w:basedOn w:val="DefaultParagraphFont"/>
    <w:rsid w:val="000C61C0"/>
    <w:rPr>
      <w:rFonts w:ascii="Times New Roman" w:hAnsi="Times New Roman"/>
      <w:spacing w:val="0"/>
      <w:w w:val="100"/>
      <w:kern w:val="0"/>
      <w:position w:val="0"/>
      <w:sz w:val="22"/>
      <w:vertAlign w:val="superscript"/>
    </w:rPr>
  </w:style>
  <w:style w:type="character" w:styleId="CommentReference">
    <w:name w:val="annotation reference"/>
    <w:uiPriority w:val="99"/>
    <w:rsid w:val="00557E34"/>
    <w:rPr>
      <w:sz w:val="16"/>
      <w:szCs w:val="16"/>
    </w:rPr>
  </w:style>
  <w:style w:type="paragraph" w:styleId="CommentText">
    <w:name w:val="annotation text"/>
    <w:basedOn w:val="Normal"/>
    <w:link w:val="CommentTextChar"/>
    <w:uiPriority w:val="99"/>
    <w:rsid w:val="00557E34"/>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557E34"/>
    <w:rPr>
      <w:lang w:eastAsia="en-US"/>
    </w:rPr>
  </w:style>
  <w:style w:type="paragraph" w:customStyle="1" w:styleId="heading10">
    <w:name w:val="heading1"/>
    <w:basedOn w:val="Normal"/>
    <w:next w:val="Normal"/>
    <w:semiHidden/>
    <w:rsid w:val="00BC378F"/>
    <w:pPr>
      <w:spacing w:before="120" w:after="120"/>
    </w:pPr>
    <w:rPr>
      <w:b/>
      <w:bCs/>
      <w:sz w:val="22"/>
      <w:szCs w:val="22"/>
    </w:rPr>
  </w:style>
  <w:style w:type="paragraph" w:styleId="CommentSubject">
    <w:name w:val="annotation subject"/>
    <w:basedOn w:val="CommentText"/>
    <w:next w:val="CommentText"/>
    <w:link w:val="CommentSubjectChar"/>
    <w:rsid w:val="00557E34"/>
    <w:rPr>
      <w:b/>
      <w:bCs/>
    </w:rPr>
  </w:style>
  <w:style w:type="paragraph" w:customStyle="1" w:styleId="heading20">
    <w:name w:val="heading2"/>
    <w:basedOn w:val="Heading3"/>
    <w:next w:val="Normal"/>
    <w:semiHidden/>
    <w:rsid w:val="00BC378F"/>
    <w:pPr>
      <w:spacing w:before="120"/>
    </w:pPr>
    <w:rPr>
      <w:rFonts w:cs="Times New Roman"/>
    </w:rPr>
  </w:style>
  <w:style w:type="character" w:customStyle="1" w:styleId="CommentSubjectChar">
    <w:name w:val="Comment Subject Char"/>
    <w:basedOn w:val="CommentTextChar"/>
    <w:link w:val="CommentSubject"/>
    <w:rsid w:val="00557E34"/>
    <w:rPr>
      <w:b/>
      <w:bCs/>
      <w:lang w:eastAsia="en-US"/>
    </w:rPr>
  </w:style>
  <w:style w:type="paragraph" w:styleId="BalloonText">
    <w:name w:val="Balloon Text"/>
    <w:basedOn w:val="Normal"/>
    <w:link w:val="BalloonTextChar"/>
    <w:rsid w:val="00BC378F"/>
    <w:pPr>
      <w:numPr>
        <w:numId w:val="2"/>
      </w:numPr>
      <w:tabs>
        <w:tab w:val="clear" w:pos="720"/>
        <w:tab w:val="num" w:pos="360"/>
      </w:tabs>
      <w:ind w:left="0" w:firstLine="0"/>
    </w:pPr>
    <w:rPr>
      <w:rFonts w:ascii="Tahoma" w:hAnsi="Tahoma" w:cs="Tahoma"/>
      <w:sz w:val="16"/>
      <w:szCs w:val="16"/>
    </w:rPr>
  </w:style>
  <w:style w:type="character" w:customStyle="1" w:styleId="BalloonTextChar">
    <w:name w:val="Balloon Text Char"/>
    <w:link w:val="BalloonText"/>
    <w:rsid w:val="00557E34"/>
    <w:rPr>
      <w:rFonts w:ascii="Tahoma" w:hAnsi="Tahoma" w:cs="Tahoma"/>
      <w:sz w:val="16"/>
      <w:szCs w:val="16"/>
      <w:lang w:eastAsia="en-US"/>
    </w:rPr>
  </w:style>
  <w:style w:type="paragraph" w:customStyle="1" w:styleId="BodyText1">
    <w:name w:val="Body Text1"/>
    <w:basedOn w:val="Normal"/>
    <w:link w:val="bodytextChar"/>
    <w:rsid w:val="00557E34"/>
    <w:pPr>
      <w:spacing w:after="120" w:line="360" w:lineRule="auto"/>
      <w:ind w:firstLine="720"/>
    </w:pPr>
    <w:rPr>
      <w:rFonts w:eastAsia="MS Mincho"/>
      <w:szCs w:val="20"/>
    </w:rPr>
  </w:style>
  <w:style w:type="character" w:customStyle="1" w:styleId="bodytextChar">
    <w:name w:val="body text Char"/>
    <w:link w:val="BodyText1"/>
    <w:rsid w:val="00557E34"/>
    <w:rPr>
      <w:rFonts w:eastAsia="MS Mincho"/>
      <w:sz w:val="24"/>
      <w:lang w:eastAsia="en-US"/>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customStyle="1" w:styleId="HeaderChar">
    <w:name w:val="Header Char"/>
    <w:link w:val="Header"/>
    <w:rsid w:val="00557E34"/>
    <w:rPr>
      <w:lang w:eastAsia="en-US"/>
    </w:rPr>
  </w:style>
  <w:style w:type="character" w:customStyle="1" w:styleId="FooterChar">
    <w:name w:val="Footer Char"/>
    <w:link w:val="Footer"/>
    <w:rsid w:val="00557E34"/>
    <w:rPr>
      <w:lang w:eastAsia="en-US"/>
    </w:rPr>
  </w:style>
  <w:style w:type="paragraph" w:styleId="ListParagraph">
    <w:name w:val="List Paragraph"/>
    <w:basedOn w:val="Normal"/>
    <w:uiPriority w:val="34"/>
    <w:qFormat/>
    <w:rsid w:val="00557E34"/>
    <w:pPr>
      <w:widowControl w:val="0"/>
      <w:autoSpaceDE w:val="0"/>
      <w:autoSpaceDN w:val="0"/>
      <w:adjustRightInd w:val="0"/>
      <w:ind w:left="720"/>
      <w:contextualSpacing/>
    </w:pPr>
    <w:rPr>
      <w:sz w:val="20"/>
    </w:rPr>
  </w:style>
  <w:style w:type="paragraph" w:customStyle="1" w:styleId="Source1">
    <w:name w:val="Source1"/>
    <w:basedOn w:val="Normal"/>
    <w:rsid w:val="00C82A4D"/>
    <w:pPr>
      <w:keepLines/>
      <w:spacing w:before="120" w:after="400"/>
      <w:ind w:left="187" w:hanging="187"/>
    </w:pPr>
    <w:rPr>
      <w:rFonts w:eastAsia="MS Mincho"/>
      <w:sz w:val="20"/>
      <w:szCs w:val="20"/>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TableHeaders">
    <w:name w:val="Table Headers"/>
    <w:basedOn w:val="Normal"/>
    <w:qFormat/>
    <w:rsid w:val="000C61C0"/>
    <w:pPr>
      <w:keepNext/>
      <w:spacing w:before="80" w:after="80"/>
      <w:jc w:val="center"/>
    </w:pPr>
    <w:rPr>
      <w:rFonts w:ascii="Times New Roman Bold" w:hAnsi="Times New Roman Bold"/>
      <w:b/>
      <w:sz w:val="21"/>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BC378F"/>
    <w:rPr>
      <w:color w:val="0000FF"/>
      <w:u w:val="single"/>
    </w:rPr>
  </w:style>
  <w:style w:type="paragraph" w:customStyle="1" w:styleId="TableText">
    <w:name w:val="Table Text"/>
    <w:basedOn w:val="Normal"/>
    <w:qFormat/>
    <w:rsid w:val="000C61C0"/>
    <w:pPr>
      <w:spacing w:before="60" w:after="60"/>
    </w:pPr>
    <w:rPr>
      <w:rFonts w:eastAsia="MS Mincho"/>
      <w:sz w:val="21"/>
      <w:szCs w:val="20"/>
    </w:rPr>
  </w:style>
  <w:style w:type="paragraph" w:styleId="TableofFigures">
    <w:name w:val="table of figures"/>
    <w:basedOn w:val="Normal"/>
    <w:next w:val="Normal"/>
    <w:autoRedefine/>
    <w:uiPriority w:val="99"/>
    <w:rsid w:val="00B75BB6"/>
    <w:pPr>
      <w:tabs>
        <w:tab w:val="right" w:leader="dot" w:pos="9630"/>
      </w:tabs>
      <w:ind w:left="720" w:right="576" w:hanging="720"/>
    </w:pPr>
    <w:rPr>
      <w:noProof/>
    </w:rPr>
  </w:style>
  <w:style w:type="paragraph" w:customStyle="1" w:styleId="Default">
    <w:name w:val="Default"/>
    <w:basedOn w:val="Normal"/>
    <w:rsid w:val="00557E34"/>
    <w:pPr>
      <w:autoSpaceDE w:val="0"/>
      <w:autoSpaceDN w:val="0"/>
    </w:pPr>
    <w:rPr>
      <w:rFonts w:eastAsia="Calibri"/>
      <w:color w:val="000000"/>
    </w:rPr>
  </w:style>
  <w:style w:type="character" w:customStyle="1" w:styleId="HTMLPreformattedChar">
    <w:name w:val="HTML Preformatted Char"/>
    <w:link w:val="HTMLPreformatted"/>
    <w:uiPriority w:val="99"/>
    <w:rsid w:val="00557E34"/>
    <w:rPr>
      <w:rFonts w:ascii="Courier New" w:hAnsi="Courier New" w:cs="Courier New"/>
      <w:lang w:eastAsia="en-US"/>
    </w:rPr>
  </w:style>
  <w:style w:type="character" w:styleId="FollowedHyperlink">
    <w:name w:val="FollowedHyperlink"/>
    <w:rsid w:val="00557E34"/>
    <w:rPr>
      <w:color w:val="800080"/>
      <w:u w:val="single"/>
    </w:rPr>
  </w:style>
  <w:style w:type="paragraph" w:customStyle="1" w:styleId="bibliogrpahy">
    <w:name w:val="bibliogrpahy"/>
    <w:rsid w:val="00BC378F"/>
    <w:pPr>
      <w:spacing w:after="110"/>
      <w:ind w:left="720" w:hanging="720"/>
    </w:pPr>
    <w:rPr>
      <w:sz w:val="24"/>
      <w:szCs w:val="24"/>
      <w:lang w:eastAsia="en-US"/>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rPr>
      <w:lang w:eastAsia="en-US"/>
    </w:r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BC378F"/>
    <w:rPr>
      <w:b/>
      <w:bCs/>
    </w:rPr>
  </w:style>
  <w:style w:type="character" w:styleId="Emphasis">
    <w:name w:val="Emphasis"/>
    <w:qFormat/>
    <w:rsid w:val="00BC378F"/>
    <w:rPr>
      <w:i/>
      <w:iCs/>
    </w:rPr>
  </w:style>
  <w:style w:type="paragraph" w:styleId="HTMLPreformatted">
    <w:name w:val="HTML Preformatted"/>
    <w:basedOn w:val="Normal"/>
    <w:link w:val="HTMLPreformattedChar"/>
    <w:uiPriority w:val="99"/>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75BB6"/>
    <w:pPr>
      <w:tabs>
        <w:tab w:val="left" w:pos="1350"/>
        <w:tab w:val="right" w:leader="dot" w:pos="9360"/>
      </w:tabs>
      <w:spacing w:before="240" w:after="120"/>
      <w:ind w:left="720" w:right="720" w:hanging="360"/>
    </w:pPr>
    <w:rPr>
      <w:noProof/>
    </w:rPr>
  </w:style>
  <w:style w:type="paragraph" w:styleId="TOC2">
    <w:name w:val="toc 2"/>
    <w:basedOn w:val="Normal"/>
    <w:next w:val="Normal"/>
    <w:autoRedefine/>
    <w:uiPriority w:val="39"/>
    <w:rsid w:val="00B75BB6"/>
    <w:pPr>
      <w:tabs>
        <w:tab w:val="left" w:pos="1350"/>
        <w:tab w:val="right" w:leader="dot" w:pos="9360"/>
      </w:tabs>
      <w:spacing w:before="120" w:after="120"/>
      <w:ind w:left="1350" w:right="720" w:hanging="630"/>
    </w:pPr>
    <w:rPr>
      <w:noProof/>
    </w:rPr>
  </w:style>
  <w:style w:type="character" w:customStyle="1" w:styleId="TomMitchell">
    <w:name w:val="Tom Mitchell"/>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lang w:eastAsia="en-US"/>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tabs>
        <w:tab w:val="left" w:pos="720"/>
      </w:tabs>
      <w:ind w:left="720" w:hanging="360"/>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TableTitle">
    <w:name w:val="Table Title"/>
    <w:basedOn w:val="Caption"/>
    <w:rsid w:val="000C61C0"/>
    <w:pPr>
      <w:keepNext/>
      <w:keepLines/>
      <w:spacing w:before="240" w:after="240"/>
      <w:ind w:left="1080" w:hanging="1080"/>
    </w:pPr>
    <w:rPr>
      <w:bCs w:val="0"/>
      <w:sz w:val="24"/>
    </w:rPr>
  </w:style>
  <w:style w:type="character" w:customStyle="1" w:styleId="FootnoteTextChar">
    <w:name w:val="Footnote Text Char"/>
    <w:basedOn w:val="DefaultParagraphFont"/>
    <w:link w:val="FootnoteText"/>
    <w:rsid w:val="000C61C0"/>
    <w:rPr>
      <w:rFonts w:eastAsia="MS Mincho"/>
      <w:lang w:eastAsia="en-US"/>
    </w:rPr>
  </w:style>
  <w:style w:type="paragraph" w:customStyle="1" w:styleId="Tablebullet1">
    <w:name w:val="Table bullet1"/>
    <w:basedOn w:val="ListBullet"/>
    <w:qFormat/>
    <w:rsid w:val="008C17D2"/>
    <w:pPr>
      <w:numPr>
        <w:numId w:val="30"/>
      </w:numPr>
      <w:spacing w:before="40" w:after="40"/>
      <w:contextualSpacing w:val="0"/>
    </w:pPr>
    <w:rPr>
      <w:rFonts w:eastAsia="Calibri"/>
      <w:sz w:val="20"/>
      <w:szCs w:val="22"/>
    </w:rPr>
  </w:style>
  <w:style w:type="paragraph" w:styleId="ListBullet">
    <w:name w:val="List Bullet"/>
    <w:basedOn w:val="Normal"/>
    <w:rsid w:val="008C17D2"/>
    <w:pPr>
      <w:numPr>
        <w:numId w:val="28"/>
      </w:numPr>
      <w:contextualSpacing/>
    </w:pPr>
  </w:style>
  <w:style w:type="paragraph" w:styleId="Revision">
    <w:name w:val="Revision"/>
    <w:hidden/>
    <w:uiPriority w:val="99"/>
    <w:semiHidden/>
    <w:rsid w:val="00BD0529"/>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annotation text" w:uiPriority="99"/>
    <w:lsdException w:name="caption" w:semiHidden="1" w:unhideWhenUsed="1"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1C0"/>
    <w:rPr>
      <w:sz w:val="24"/>
      <w:szCs w:val="24"/>
      <w:lang w:eastAsia="en-US"/>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C378F"/>
    <w:pPr>
      <w:keepNext/>
      <w:ind w:left="-90"/>
      <w:outlineLvl w:val="3"/>
    </w:pPr>
    <w:rPr>
      <w:rFonts w:ascii="Arial" w:hAnsi="Arial" w:cs="Arial"/>
      <w:b/>
      <w:bCs/>
      <w:sz w:val="22"/>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557E34"/>
    <w:pPr>
      <w:numPr>
        <w:numId w:val="3"/>
      </w:numPr>
      <w:tabs>
        <w:tab w:val="clear" w:pos="360"/>
      </w:tabs>
      <w:spacing w:after="240"/>
      <w:ind w:left="1080"/>
    </w:pPr>
    <w:rPr>
      <w:color w:val="000000"/>
    </w:rPr>
  </w:style>
  <w:style w:type="paragraph" w:styleId="Caption">
    <w:name w:val="caption"/>
    <w:basedOn w:val="Normal"/>
    <w:next w:val="Normal"/>
    <w:unhideWhenUsed/>
    <w:qFormat/>
    <w:rsid w:val="00F84ED9"/>
    <w:rPr>
      <w:b/>
      <w:bCs/>
      <w:sz w:val="20"/>
      <w:szCs w:val="20"/>
    </w:rPr>
  </w:style>
  <w:style w:type="numbering" w:customStyle="1" w:styleId="NoList1">
    <w:name w:val="No List1"/>
    <w:next w:val="NoList"/>
    <w:semiHidden/>
    <w:rsid w:val="00BC378F"/>
  </w:style>
  <w:style w:type="table" w:styleId="TableGrid">
    <w:name w:val="Table Grid"/>
    <w:basedOn w:val="TableNormal"/>
    <w:uiPriority w:val="5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Continued">
    <w:name w:val="Table Title Continued"/>
    <w:basedOn w:val="TableTitle"/>
    <w:qFormat/>
    <w:rsid w:val="00775802"/>
  </w:style>
  <w:style w:type="paragraph" w:styleId="TOCHeading">
    <w:name w:val="TOC Heading"/>
    <w:basedOn w:val="Heading1"/>
    <w:next w:val="Normal"/>
    <w:uiPriority w:val="39"/>
    <w:semiHidden/>
    <w:unhideWhenUsed/>
    <w:qFormat/>
    <w:rsid w:val="00557E34"/>
    <w:pPr>
      <w:spacing w:before="240" w:after="60"/>
      <w:outlineLvl w:val="9"/>
    </w:pPr>
    <w:rPr>
      <w:rFonts w:asciiTheme="majorHAnsi" w:eastAsiaTheme="majorEastAsia" w:hAnsiTheme="majorHAnsi" w:cstheme="majorBidi"/>
      <w:caps w:val="0"/>
      <w:kern w:val="32"/>
      <w:sz w:val="32"/>
      <w:szCs w:val="32"/>
    </w:rPr>
  </w:style>
  <w:style w:type="paragraph" w:customStyle="1" w:styleId="bullets-3rdlevel">
    <w:name w:val="bullets-3rd level"/>
    <w:basedOn w:val="Normal"/>
    <w:rsid w:val="00557E34"/>
    <w:pPr>
      <w:spacing w:after="120"/>
      <w:ind w:left="1440" w:hanging="360"/>
    </w:pPr>
    <w:rPr>
      <w:rFonts w:ascii="Verdana" w:eastAsia="MS Mincho" w:hAnsi="Verdana"/>
      <w:sz w:val="20"/>
      <w:szCs w:val="20"/>
    </w:rPr>
  </w:style>
  <w:style w:type="character" w:customStyle="1" w:styleId="bulletsChar">
    <w:name w:val="bullets Char"/>
    <w:aliases w:val="bu Char"/>
    <w:link w:val="bullets"/>
    <w:locked/>
    <w:rsid w:val="00557E34"/>
    <w:rPr>
      <w:color w:val="000000"/>
      <w:sz w:val="24"/>
      <w:szCs w:val="24"/>
      <w:lang w:eastAsia="en-US"/>
    </w:rPr>
  </w:style>
  <w:style w:type="paragraph" w:customStyle="1" w:styleId="paragraph">
    <w:name w:val="paragraph"/>
    <w:basedOn w:val="Normal"/>
    <w:rsid w:val="00BC378F"/>
    <w:pPr>
      <w:spacing w:before="200" w:line="320" w:lineRule="exact"/>
      <w:ind w:left="1440"/>
    </w:pPr>
  </w:style>
  <w:style w:type="character" w:customStyle="1" w:styleId="Heading1Char">
    <w:name w:val="Heading 1 Char"/>
    <w:link w:val="Heading1"/>
    <w:rsid w:val="00557E34"/>
    <w:rPr>
      <w:rFonts w:ascii="Times New Roman Bold" w:hAnsi="Times New Roman Bold"/>
      <w:b/>
      <w:bCs/>
      <w:caps/>
      <w:sz w:val="24"/>
      <w:szCs w:val="24"/>
      <w:lang w:eastAsia="en-US"/>
    </w:rPr>
  </w:style>
  <w:style w:type="paragraph" w:styleId="FootnoteText">
    <w:name w:val="footnote text"/>
    <w:basedOn w:val="Normal"/>
    <w:link w:val="FootnoteTextChar"/>
    <w:rsid w:val="000C61C0"/>
    <w:pPr>
      <w:ind w:left="270" w:hanging="270"/>
    </w:pPr>
    <w:rPr>
      <w:rFonts w:eastAsia="MS Mincho"/>
      <w:sz w:val="20"/>
      <w:szCs w:val="20"/>
    </w:rPr>
  </w:style>
  <w:style w:type="character" w:styleId="FootnoteReference">
    <w:name w:val="footnote reference"/>
    <w:basedOn w:val="DefaultParagraphFont"/>
    <w:rsid w:val="000C61C0"/>
    <w:rPr>
      <w:rFonts w:ascii="Times New Roman" w:hAnsi="Times New Roman"/>
      <w:spacing w:val="0"/>
      <w:w w:val="100"/>
      <w:kern w:val="0"/>
      <w:position w:val="0"/>
      <w:sz w:val="22"/>
      <w:vertAlign w:val="superscript"/>
    </w:rPr>
  </w:style>
  <w:style w:type="character" w:styleId="CommentReference">
    <w:name w:val="annotation reference"/>
    <w:uiPriority w:val="99"/>
    <w:rsid w:val="00557E34"/>
    <w:rPr>
      <w:sz w:val="16"/>
      <w:szCs w:val="16"/>
    </w:rPr>
  </w:style>
  <w:style w:type="paragraph" w:styleId="CommentText">
    <w:name w:val="annotation text"/>
    <w:basedOn w:val="Normal"/>
    <w:link w:val="CommentTextChar"/>
    <w:uiPriority w:val="99"/>
    <w:rsid w:val="00557E34"/>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557E34"/>
    <w:rPr>
      <w:lang w:eastAsia="en-US"/>
    </w:rPr>
  </w:style>
  <w:style w:type="paragraph" w:customStyle="1" w:styleId="heading10">
    <w:name w:val="heading1"/>
    <w:basedOn w:val="Normal"/>
    <w:next w:val="Normal"/>
    <w:semiHidden/>
    <w:rsid w:val="00BC378F"/>
    <w:pPr>
      <w:spacing w:before="120" w:after="120"/>
    </w:pPr>
    <w:rPr>
      <w:b/>
      <w:bCs/>
      <w:sz w:val="22"/>
      <w:szCs w:val="22"/>
    </w:rPr>
  </w:style>
  <w:style w:type="paragraph" w:styleId="CommentSubject">
    <w:name w:val="annotation subject"/>
    <w:basedOn w:val="CommentText"/>
    <w:next w:val="CommentText"/>
    <w:link w:val="CommentSubjectChar"/>
    <w:rsid w:val="00557E34"/>
    <w:rPr>
      <w:b/>
      <w:bCs/>
    </w:rPr>
  </w:style>
  <w:style w:type="paragraph" w:customStyle="1" w:styleId="heading20">
    <w:name w:val="heading2"/>
    <w:basedOn w:val="Heading3"/>
    <w:next w:val="Normal"/>
    <w:semiHidden/>
    <w:rsid w:val="00BC378F"/>
    <w:pPr>
      <w:spacing w:before="120"/>
    </w:pPr>
    <w:rPr>
      <w:rFonts w:cs="Times New Roman"/>
    </w:rPr>
  </w:style>
  <w:style w:type="character" w:customStyle="1" w:styleId="CommentSubjectChar">
    <w:name w:val="Comment Subject Char"/>
    <w:basedOn w:val="CommentTextChar"/>
    <w:link w:val="CommentSubject"/>
    <w:rsid w:val="00557E34"/>
    <w:rPr>
      <w:b/>
      <w:bCs/>
      <w:lang w:eastAsia="en-US"/>
    </w:rPr>
  </w:style>
  <w:style w:type="paragraph" w:styleId="BalloonText">
    <w:name w:val="Balloon Text"/>
    <w:basedOn w:val="Normal"/>
    <w:link w:val="BalloonTextChar"/>
    <w:rsid w:val="00BC378F"/>
    <w:pPr>
      <w:numPr>
        <w:numId w:val="2"/>
      </w:numPr>
      <w:tabs>
        <w:tab w:val="clear" w:pos="720"/>
        <w:tab w:val="num" w:pos="360"/>
      </w:tabs>
      <w:ind w:left="0" w:firstLine="0"/>
    </w:pPr>
    <w:rPr>
      <w:rFonts w:ascii="Tahoma" w:hAnsi="Tahoma" w:cs="Tahoma"/>
      <w:sz w:val="16"/>
      <w:szCs w:val="16"/>
    </w:rPr>
  </w:style>
  <w:style w:type="character" w:customStyle="1" w:styleId="BalloonTextChar">
    <w:name w:val="Balloon Text Char"/>
    <w:link w:val="BalloonText"/>
    <w:rsid w:val="00557E34"/>
    <w:rPr>
      <w:rFonts w:ascii="Tahoma" w:hAnsi="Tahoma" w:cs="Tahoma"/>
      <w:sz w:val="16"/>
      <w:szCs w:val="16"/>
      <w:lang w:eastAsia="en-US"/>
    </w:rPr>
  </w:style>
  <w:style w:type="paragraph" w:customStyle="1" w:styleId="BodyText1">
    <w:name w:val="Body Text1"/>
    <w:basedOn w:val="Normal"/>
    <w:link w:val="bodytextChar"/>
    <w:rsid w:val="00557E34"/>
    <w:pPr>
      <w:spacing w:after="120" w:line="360" w:lineRule="auto"/>
      <w:ind w:firstLine="720"/>
    </w:pPr>
    <w:rPr>
      <w:rFonts w:eastAsia="MS Mincho"/>
      <w:szCs w:val="20"/>
    </w:rPr>
  </w:style>
  <w:style w:type="character" w:customStyle="1" w:styleId="bodytextChar">
    <w:name w:val="body text Char"/>
    <w:link w:val="BodyText1"/>
    <w:rsid w:val="00557E34"/>
    <w:rPr>
      <w:rFonts w:eastAsia="MS Mincho"/>
      <w:sz w:val="24"/>
      <w:lang w:eastAsia="en-US"/>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customStyle="1" w:styleId="HeaderChar">
    <w:name w:val="Header Char"/>
    <w:link w:val="Header"/>
    <w:rsid w:val="00557E34"/>
    <w:rPr>
      <w:lang w:eastAsia="en-US"/>
    </w:rPr>
  </w:style>
  <w:style w:type="character" w:customStyle="1" w:styleId="FooterChar">
    <w:name w:val="Footer Char"/>
    <w:link w:val="Footer"/>
    <w:rsid w:val="00557E34"/>
    <w:rPr>
      <w:lang w:eastAsia="en-US"/>
    </w:rPr>
  </w:style>
  <w:style w:type="paragraph" w:styleId="ListParagraph">
    <w:name w:val="List Paragraph"/>
    <w:basedOn w:val="Normal"/>
    <w:uiPriority w:val="34"/>
    <w:qFormat/>
    <w:rsid w:val="00557E34"/>
    <w:pPr>
      <w:widowControl w:val="0"/>
      <w:autoSpaceDE w:val="0"/>
      <w:autoSpaceDN w:val="0"/>
      <w:adjustRightInd w:val="0"/>
      <w:ind w:left="720"/>
      <w:contextualSpacing/>
    </w:pPr>
    <w:rPr>
      <w:sz w:val="20"/>
    </w:rPr>
  </w:style>
  <w:style w:type="paragraph" w:customStyle="1" w:styleId="Source1">
    <w:name w:val="Source1"/>
    <w:basedOn w:val="Normal"/>
    <w:rsid w:val="00C82A4D"/>
    <w:pPr>
      <w:keepLines/>
      <w:spacing w:before="120" w:after="400"/>
      <w:ind w:left="187" w:hanging="187"/>
    </w:pPr>
    <w:rPr>
      <w:rFonts w:eastAsia="MS Mincho"/>
      <w:sz w:val="20"/>
      <w:szCs w:val="20"/>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TableHeaders">
    <w:name w:val="Table Headers"/>
    <w:basedOn w:val="Normal"/>
    <w:qFormat/>
    <w:rsid w:val="000C61C0"/>
    <w:pPr>
      <w:keepNext/>
      <w:spacing w:before="80" w:after="80"/>
      <w:jc w:val="center"/>
    </w:pPr>
    <w:rPr>
      <w:rFonts w:ascii="Times New Roman Bold" w:hAnsi="Times New Roman Bold"/>
      <w:b/>
      <w:sz w:val="21"/>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BC378F"/>
    <w:rPr>
      <w:color w:val="0000FF"/>
      <w:u w:val="single"/>
    </w:rPr>
  </w:style>
  <w:style w:type="paragraph" w:customStyle="1" w:styleId="TableText">
    <w:name w:val="Table Text"/>
    <w:basedOn w:val="Normal"/>
    <w:qFormat/>
    <w:rsid w:val="000C61C0"/>
    <w:pPr>
      <w:spacing w:before="60" w:after="60"/>
    </w:pPr>
    <w:rPr>
      <w:rFonts w:eastAsia="MS Mincho"/>
      <w:sz w:val="21"/>
      <w:szCs w:val="20"/>
    </w:rPr>
  </w:style>
  <w:style w:type="paragraph" w:styleId="TableofFigures">
    <w:name w:val="table of figures"/>
    <w:basedOn w:val="Normal"/>
    <w:next w:val="Normal"/>
    <w:autoRedefine/>
    <w:uiPriority w:val="99"/>
    <w:rsid w:val="00B75BB6"/>
    <w:pPr>
      <w:tabs>
        <w:tab w:val="right" w:leader="dot" w:pos="9630"/>
      </w:tabs>
      <w:ind w:left="720" w:right="576" w:hanging="720"/>
    </w:pPr>
    <w:rPr>
      <w:noProof/>
    </w:rPr>
  </w:style>
  <w:style w:type="paragraph" w:customStyle="1" w:styleId="Default">
    <w:name w:val="Default"/>
    <w:basedOn w:val="Normal"/>
    <w:rsid w:val="00557E34"/>
    <w:pPr>
      <w:autoSpaceDE w:val="0"/>
      <w:autoSpaceDN w:val="0"/>
    </w:pPr>
    <w:rPr>
      <w:rFonts w:eastAsia="Calibri"/>
      <w:color w:val="000000"/>
    </w:rPr>
  </w:style>
  <w:style w:type="character" w:customStyle="1" w:styleId="HTMLPreformattedChar">
    <w:name w:val="HTML Preformatted Char"/>
    <w:link w:val="HTMLPreformatted"/>
    <w:uiPriority w:val="99"/>
    <w:rsid w:val="00557E34"/>
    <w:rPr>
      <w:rFonts w:ascii="Courier New" w:hAnsi="Courier New" w:cs="Courier New"/>
      <w:lang w:eastAsia="en-US"/>
    </w:rPr>
  </w:style>
  <w:style w:type="character" w:styleId="FollowedHyperlink">
    <w:name w:val="FollowedHyperlink"/>
    <w:rsid w:val="00557E34"/>
    <w:rPr>
      <w:color w:val="800080"/>
      <w:u w:val="single"/>
    </w:rPr>
  </w:style>
  <w:style w:type="paragraph" w:customStyle="1" w:styleId="bibliogrpahy">
    <w:name w:val="bibliogrpahy"/>
    <w:rsid w:val="00BC378F"/>
    <w:pPr>
      <w:spacing w:after="110"/>
      <w:ind w:left="720" w:hanging="720"/>
    </w:pPr>
    <w:rPr>
      <w:sz w:val="24"/>
      <w:szCs w:val="24"/>
      <w:lang w:eastAsia="en-US"/>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rPr>
      <w:lang w:eastAsia="en-US"/>
    </w:r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BC378F"/>
    <w:rPr>
      <w:b/>
      <w:bCs/>
    </w:rPr>
  </w:style>
  <w:style w:type="character" w:styleId="Emphasis">
    <w:name w:val="Emphasis"/>
    <w:qFormat/>
    <w:rsid w:val="00BC378F"/>
    <w:rPr>
      <w:i/>
      <w:iCs/>
    </w:rPr>
  </w:style>
  <w:style w:type="paragraph" w:styleId="HTMLPreformatted">
    <w:name w:val="HTML Preformatted"/>
    <w:basedOn w:val="Normal"/>
    <w:link w:val="HTMLPreformattedChar"/>
    <w:uiPriority w:val="99"/>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75BB6"/>
    <w:pPr>
      <w:tabs>
        <w:tab w:val="left" w:pos="1350"/>
        <w:tab w:val="right" w:leader="dot" w:pos="9360"/>
      </w:tabs>
      <w:spacing w:before="240" w:after="120"/>
      <w:ind w:left="720" w:right="720" w:hanging="360"/>
    </w:pPr>
    <w:rPr>
      <w:noProof/>
    </w:rPr>
  </w:style>
  <w:style w:type="paragraph" w:styleId="TOC2">
    <w:name w:val="toc 2"/>
    <w:basedOn w:val="Normal"/>
    <w:next w:val="Normal"/>
    <w:autoRedefine/>
    <w:uiPriority w:val="39"/>
    <w:rsid w:val="00B75BB6"/>
    <w:pPr>
      <w:tabs>
        <w:tab w:val="left" w:pos="1350"/>
        <w:tab w:val="right" w:leader="dot" w:pos="9360"/>
      </w:tabs>
      <w:spacing w:before="120" w:after="120"/>
      <w:ind w:left="1350" w:right="720" w:hanging="630"/>
    </w:pPr>
    <w:rPr>
      <w:noProof/>
    </w:rPr>
  </w:style>
  <w:style w:type="character" w:customStyle="1" w:styleId="TomMitchell">
    <w:name w:val="Tom Mitchell"/>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lang w:eastAsia="en-US"/>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tabs>
        <w:tab w:val="left" w:pos="720"/>
      </w:tabs>
      <w:ind w:left="720" w:hanging="360"/>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TableTitle">
    <w:name w:val="Table Title"/>
    <w:basedOn w:val="Caption"/>
    <w:rsid w:val="000C61C0"/>
    <w:pPr>
      <w:keepNext/>
      <w:keepLines/>
      <w:spacing w:before="240" w:after="240"/>
      <w:ind w:left="1080" w:hanging="1080"/>
    </w:pPr>
    <w:rPr>
      <w:bCs w:val="0"/>
      <w:sz w:val="24"/>
    </w:rPr>
  </w:style>
  <w:style w:type="character" w:customStyle="1" w:styleId="FootnoteTextChar">
    <w:name w:val="Footnote Text Char"/>
    <w:basedOn w:val="DefaultParagraphFont"/>
    <w:link w:val="FootnoteText"/>
    <w:rsid w:val="000C61C0"/>
    <w:rPr>
      <w:rFonts w:eastAsia="MS Mincho"/>
      <w:lang w:eastAsia="en-US"/>
    </w:rPr>
  </w:style>
  <w:style w:type="paragraph" w:customStyle="1" w:styleId="Tablebullet1">
    <w:name w:val="Table bullet1"/>
    <w:basedOn w:val="ListBullet"/>
    <w:qFormat/>
    <w:rsid w:val="008C17D2"/>
    <w:pPr>
      <w:numPr>
        <w:numId w:val="30"/>
      </w:numPr>
      <w:spacing w:before="40" w:after="40"/>
      <w:contextualSpacing w:val="0"/>
    </w:pPr>
    <w:rPr>
      <w:rFonts w:eastAsia="Calibri"/>
      <w:sz w:val="20"/>
      <w:szCs w:val="22"/>
    </w:rPr>
  </w:style>
  <w:style w:type="paragraph" w:styleId="ListBullet">
    <w:name w:val="List Bullet"/>
    <w:basedOn w:val="Normal"/>
    <w:rsid w:val="008C17D2"/>
    <w:pPr>
      <w:numPr>
        <w:numId w:val="28"/>
      </w:numPr>
      <w:contextualSpacing/>
    </w:pPr>
  </w:style>
  <w:style w:type="paragraph" w:styleId="Revision">
    <w:name w:val="Revision"/>
    <w:hidden/>
    <w:uiPriority w:val="99"/>
    <w:semiHidden/>
    <w:rsid w:val="00BD0529"/>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54545167">
      <w:bodyDiv w:val="1"/>
      <w:marLeft w:val="0"/>
      <w:marRight w:val="0"/>
      <w:marTop w:val="0"/>
      <w:marBottom w:val="0"/>
      <w:divBdr>
        <w:top w:val="none" w:sz="0" w:space="0" w:color="auto"/>
        <w:left w:val="none" w:sz="0" w:space="0" w:color="auto"/>
        <w:bottom w:val="none" w:sz="0" w:space="0" w:color="auto"/>
        <w:right w:val="none" w:sz="0" w:space="0" w:color="auto"/>
      </w:divBdr>
    </w:div>
    <w:div w:id="89129846">
      <w:bodyDiv w:val="1"/>
      <w:marLeft w:val="0"/>
      <w:marRight w:val="0"/>
      <w:marTop w:val="0"/>
      <w:marBottom w:val="0"/>
      <w:divBdr>
        <w:top w:val="none" w:sz="0" w:space="0" w:color="auto"/>
        <w:left w:val="none" w:sz="0" w:space="0" w:color="auto"/>
        <w:bottom w:val="none" w:sz="0" w:space="0" w:color="auto"/>
        <w:right w:val="none" w:sz="0" w:space="0" w:color="auto"/>
      </w:divBdr>
      <w:divsChild>
        <w:div w:id="697582473">
          <w:marLeft w:val="0"/>
          <w:marRight w:val="0"/>
          <w:marTop w:val="0"/>
          <w:marBottom w:val="0"/>
          <w:divBdr>
            <w:top w:val="none" w:sz="0" w:space="0" w:color="auto"/>
            <w:left w:val="none" w:sz="0" w:space="0" w:color="auto"/>
            <w:bottom w:val="none" w:sz="0" w:space="0" w:color="auto"/>
            <w:right w:val="none" w:sz="0" w:space="0" w:color="auto"/>
          </w:divBdr>
          <w:divsChild>
            <w:div w:id="1109206603">
              <w:marLeft w:val="0"/>
              <w:marRight w:val="0"/>
              <w:marTop w:val="0"/>
              <w:marBottom w:val="0"/>
              <w:divBdr>
                <w:top w:val="none" w:sz="0" w:space="0" w:color="auto"/>
                <w:left w:val="single" w:sz="6" w:space="0" w:color="E2E2E2"/>
                <w:bottom w:val="none" w:sz="0" w:space="0" w:color="auto"/>
                <w:right w:val="single" w:sz="6" w:space="0" w:color="E2E2E2"/>
              </w:divBdr>
              <w:divsChild>
                <w:div w:id="2085830168">
                  <w:marLeft w:val="0"/>
                  <w:marRight w:val="0"/>
                  <w:marTop w:val="0"/>
                  <w:marBottom w:val="0"/>
                  <w:divBdr>
                    <w:top w:val="none" w:sz="0" w:space="0" w:color="auto"/>
                    <w:left w:val="none" w:sz="0" w:space="0" w:color="auto"/>
                    <w:bottom w:val="none" w:sz="0" w:space="0" w:color="auto"/>
                    <w:right w:val="none" w:sz="0" w:space="0" w:color="auto"/>
                  </w:divBdr>
                  <w:divsChild>
                    <w:div w:id="1629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0773">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555899378">
      <w:bodyDiv w:val="1"/>
      <w:marLeft w:val="0"/>
      <w:marRight w:val="0"/>
      <w:marTop w:val="0"/>
      <w:marBottom w:val="0"/>
      <w:divBdr>
        <w:top w:val="none" w:sz="0" w:space="0" w:color="auto"/>
        <w:left w:val="none" w:sz="0" w:space="0" w:color="auto"/>
        <w:bottom w:val="none" w:sz="0" w:space="0" w:color="auto"/>
        <w:right w:val="none" w:sz="0" w:space="0" w:color="auto"/>
      </w:divBdr>
      <w:divsChild>
        <w:div w:id="1412267848">
          <w:marLeft w:val="0"/>
          <w:marRight w:val="0"/>
          <w:marTop w:val="0"/>
          <w:marBottom w:val="0"/>
          <w:divBdr>
            <w:top w:val="none" w:sz="0" w:space="0" w:color="auto"/>
            <w:left w:val="none" w:sz="0" w:space="0" w:color="auto"/>
            <w:bottom w:val="none" w:sz="0" w:space="0" w:color="auto"/>
            <w:right w:val="none" w:sz="0" w:space="0" w:color="auto"/>
          </w:divBdr>
          <w:divsChild>
            <w:div w:id="1431312615">
              <w:marLeft w:val="0"/>
              <w:marRight w:val="0"/>
              <w:marTop w:val="0"/>
              <w:marBottom w:val="0"/>
              <w:divBdr>
                <w:top w:val="none" w:sz="0" w:space="0" w:color="auto"/>
                <w:left w:val="single" w:sz="6" w:space="0" w:color="E2E2E2"/>
                <w:bottom w:val="none" w:sz="0" w:space="0" w:color="auto"/>
                <w:right w:val="single" w:sz="6" w:space="0" w:color="E2E2E2"/>
              </w:divBdr>
              <w:divsChild>
                <w:div w:id="1480918606">
                  <w:marLeft w:val="0"/>
                  <w:marRight w:val="0"/>
                  <w:marTop w:val="0"/>
                  <w:marBottom w:val="0"/>
                  <w:divBdr>
                    <w:top w:val="none" w:sz="0" w:space="0" w:color="auto"/>
                    <w:left w:val="none" w:sz="0" w:space="0" w:color="auto"/>
                    <w:bottom w:val="none" w:sz="0" w:space="0" w:color="auto"/>
                    <w:right w:val="none" w:sz="0" w:space="0" w:color="auto"/>
                  </w:divBdr>
                  <w:divsChild>
                    <w:div w:id="10091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761924">
      <w:bodyDiv w:val="1"/>
      <w:marLeft w:val="0"/>
      <w:marRight w:val="0"/>
      <w:marTop w:val="0"/>
      <w:marBottom w:val="0"/>
      <w:divBdr>
        <w:top w:val="none" w:sz="0" w:space="0" w:color="auto"/>
        <w:left w:val="none" w:sz="0" w:space="0" w:color="auto"/>
        <w:bottom w:val="none" w:sz="0" w:space="0" w:color="auto"/>
        <w:right w:val="none" w:sz="0" w:space="0" w:color="auto"/>
      </w:divBdr>
    </w:div>
    <w:div w:id="626162727">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002508425">
      <w:bodyDiv w:val="1"/>
      <w:marLeft w:val="0"/>
      <w:marRight w:val="0"/>
      <w:marTop w:val="0"/>
      <w:marBottom w:val="0"/>
      <w:divBdr>
        <w:top w:val="none" w:sz="0" w:space="0" w:color="auto"/>
        <w:left w:val="none" w:sz="0" w:space="0" w:color="auto"/>
        <w:bottom w:val="none" w:sz="0" w:space="0" w:color="auto"/>
        <w:right w:val="none" w:sz="0" w:space="0" w:color="auto"/>
      </w:divBdr>
    </w:div>
    <w:div w:id="1067536991">
      <w:bodyDiv w:val="1"/>
      <w:marLeft w:val="0"/>
      <w:marRight w:val="0"/>
      <w:marTop w:val="0"/>
      <w:marBottom w:val="0"/>
      <w:divBdr>
        <w:top w:val="none" w:sz="0" w:space="0" w:color="auto"/>
        <w:left w:val="none" w:sz="0" w:space="0" w:color="auto"/>
        <w:bottom w:val="none" w:sz="0" w:space="0" w:color="auto"/>
        <w:right w:val="none" w:sz="0" w:space="0" w:color="auto"/>
      </w:divBdr>
    </w:div>
    <w:div w:id="1250771372">
      <w:bodyDiv w:val="1"/>
      <w:marLeft w:val="0"/>
      <w:marRight w:val="0"/>
      <w:marTop w:val="0"/>
      <w:marBottom w:val="0"/>
      <w:divBdr>
        <w:top w:val="none" w:sz="0" w:space="0" w:color="auto"/>
        <w:left w:val="none" w:sz="0" w:space="0" w:color="auto"/>
        <w:bottom w:val="none" w:sz="0" w:space="0" w:color="auto"/>
        <w:right w:val="none" w:sz="0" w:space="0" w:color="auto"/>
      </w:divBdr>
    </w:div>
    <w:div w:id="1322347479">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58650">
      <w:bodyDiv w:val="1"/>
      <w:marLeft w:val="0"/>
      <w:marRight w:val="0"/>
      <w:marTop w:val="0"/>
      <w:marBottom w:val="0"/>
      <w:divBdr>
        <w:top w:val="none" w:sz="0" w:space="0" w:color="auto"/>
        <w:left w:val="none" w:sz="0" w:space="0" w:color="auto"/>
        <w:bottom w:val="none" w:sz="0" w:space="0" w:color="auto"/>
        <w:right w:val="none" w:sz="0" w:space="0" w:color="auto"/>
      </w:divBdr>
    </w:div>
    <w:div w:id="1693725883">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53427214">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199159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nda.Davis@rehab.alabama.gov" TargetMode="External"/><Relationship Id="rId13" Type="http://schemas.openxmlformats.org/officeDocument/2006/relationships/hyperlink" Target="mailto:rmd07@health.state.ny.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m.cooper@dshs.state.tx.u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castellano@state.mn.us" TargetMode="External"/><Relationship Id="rId5" Type="http://schemas.openxmlformats.org/officeDocument/2006/relationships/webSettings" Target="webSettings.xml"/><Relationship Id="rId15" Type="http://schemas.openxmlformats.org/officeDocument/2006/relationships/hyperlink" Target="http://www.bls.gov/oes/current/oes_nat.htm" TargetMode="External"/><Relationship Id="rId10" Type="http://schemas.openxmlformats.org/officeDocument/2006/relationships/hyperlink" Target="mailto:rberroth@kdhek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ncy.Holder@arkansas.gov" TargetMode="External"/><Relationship Id="rId14" Type="http://schemas.openxmlformats.org/officeDocument/2006/relationships/hyperlink" Target="http://www.opm.gov/oca/12tables/GSCalc.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ncswage20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90824-BD2D-49CD-A9E9-7F56F5B45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3249</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21726</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rp</dc:creator>
  <cp:lastModifiedBy>lwright-solomon</cp:lastModifiedBy>
  <cp:revision>9</cp:revision>
  <cp:lastPrinted>2013-07-25T13:08:00Z</cp:lastPrinted>
  <dcterms:created xsi:type="dcterms:W3CDTF">2013-07-25T12:12:00Z</dcterms:created>
  <dcterms:modified xsi:type="dcterms:W3CDTF">2013-07-25T13:12:00Z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