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E67DC" w14:textId="77777777" w:rsidR="005E0A0F" w:rsidRDefault="00F92ACC" w:rsidP="005E0A0F">
      <w:pPr>
        <w:pStyle w:val="NormalWeb"/>
        <w:spacing w:line="288" w:lineRule="atLeast"/>
        <w:ind w:firstLine="480"/>
        <w:jc w:val="center"/>
        <w:rPr>
          <w:u w:val="single"/>
        </w:rPr>
      </w:pPr>
      <w:bookmarkStart w:id="0" w:name="cs31d"/>
      <w:bookmarkStart w:id="1" w:name="_GoBack"/>
      <w:bookmarkEnd w:id="1"/>
      <w:r>
        <w:rPr>
          <w:u w:val="single"/>
        </w:rPr>
        <w:t>SUPPORTING STATEMENT</w:t>
      </w:r>
      <w:r w:rsidR="006F3F40">
        <w:rPr>
          <w:u w:val="single"/>
        </w:rPr>
        <w:t xml:space="preserve"> – PART B</w:t>
      </w:r>
    </w:p>
    <w:p w14:paraId="65732023" w14:textId="77777777" w:rsidR="00A93CBF" w:rsidRDefault="005E0A0F" w:rsidP="002D0DC0">
      <w:pPr>
        <w:pStyle w:val="NormalWeb"/>
        <w:spacing w:line="288" w:lineRule="atLeast"/>
        <w:ind w:firstLine="480"/>
      </w:pPr>
      <w:bookmarkStart w:id="2" w:name="cs32"/>
      <w:bookmarkEnd w:id="0"/>
      <w:r>
        <w:t xml:space="preserve">B.  </w:t>
      </w:r>
      <w:r>
        <w:rPr>
          <w:u w:val="single"/>
        </w:rPr>
        <w:t>COLLECTIONS OF INFORMATION EMPLOYING STATISTICAL METHODS</w:t>
      </w:r>
      <w:bookmarkEnd w:id="2"/>
    </w:p>
    <w:p w14:paraId="0CA4C7EB" w14:textId="77777777" w:rsidR="005E0A0F" w:rsidRDefault="005E0A0F" w:rsidP="005E0A0F">
      <w:pPr>
        <w:pStyle w:val="NormalWeb"/>
        <w:spacing w:line="288" w:lineRule="atLeast"/>
        <w:ind w:firstLine="900"/>
      </w:pPr>
      <w:r>
        <w:t xml:space="preserve">1.  </w:t>
      </w:r>
      <w:r>
        <w:rPr>
          <w:u w:val="single"/>
        </w:rPr>
        <w:t>Description of the Activity</w:t>
      </w:r>
    </w:p>
    <w:p w14:paraId="289636BF" w14:textId="77777777" w:rsidR="00164DD3" w:rsidRPr="004A67D1" w:rsidRDefault="00577458" w:rsidP="004A67D1">
      <w:pPr>
        <w:pStyle w:val="NormalWeb"/>
        <w:spacing w:line="288" w:lineRule="atLeast"/>
      </w:pPr>
      <w:r>
        <w:t>The ChalleNGe Program currently has 34 programs in 2</w:t>
      </w:r>
      <w:r w:rsidR="001A783C">
        <w:t>9</w:t>
      </w:r>
      <w:r>
        <w:t xml:space="preserve"> states (plus </w:t>
      </w:r>
      <w:r w:rsidR="001A783C">
        <w:t xml:space="preserve">the District of Columbia and </w:t>
      </w:r>
      <w:r>
        <w:t xml:space="preserve">Puerto Rico).  The study involves the administration of an online survey to all of the classroom teachers at all 34 programs. </w:t>
      </w:r>
      <w:r w:rsidR="00164DD3">
        <w:t xml:space="preserve"> Each program has approximately 5</w:t>
      </w:r>
      <w:r w:rsidR="00015CB6">
        <w:t xml:space="preserve"> to 6</w:t>
      </w:r>
      <w:r w:rsidR="00164DD3">
        <w:t xml:space="preserve"> classroom teachers.  </w:t>
      </w:r>
      <w:r>
        <w:t xml:space="preserve">Accordingly, the potential respondent universe </w:t>
      </w:r>
      <w:r w:rsidR="00164DD3">
        <w:t>includes</w:t>
      </w:r>
      <w:r>
        <w:t xml:space="preserve"> approximately 190 (the number of teachers can fluctuate due to position vacancies).  No sampling methods will be used </w:t>
      </w:r>
      <w:r w:rsidRPr="004A67D1">
        <w:t>to select respondents; all teachers w</w:t>
      </w:r>
      <w:r w:rsidR="007D57CF" w:rsidRPr="004A67D1">
        <w:t xml:space="preserve">ill be invited to participate. </w:t>
      </w:r>
    </w:p>
    <w:p w14:paraId="25BF15F4" w14:textId="77777777" w:rsidR="00164DD3" w:rsidRPr="004A67D1" w:rsidRDefault="003446F5" w:rsidP="00164DD3">
      <w:pPr>
        <w:outlineLvl w:val="0"/>
        <w:rPr>
          <w:rFonts w:eastAsia="Arial Unicode MS"/>
          <w:color w:val="000000"/>
          <w:u w:color="000000"/>
        </w:rPr>
      </w:pPr>
      <w:r w:rsidRPr="004A67D1">
        <w:rPr>
          <w:rFonts w:eastAsia="Arial Unicode MS"/>
          <w:color w:val="000000"/>
          <w:u w:color="000000"/>
        </w:rPr>
        <w:t>Table 1.  Potential respondents</w:t>
      </w:r>
    </w:p>
    <w:tbl>
      <w:tblPr>
        <w:tblW w:w="9468" w:type="dxa"/>
        <w:tblInd w:w="5" w:type="dxa"/>
        <w:shd w:val="clear" w:color="auto" w:fill="FFFFFF"/>
        <w:tblLayout w:type="fixed"/>
        <w:tblLook w:val="0000" w:firstRow="0" w:lastRow="0" w:firstColumn="0" w:lastColumn="0" w:noHBand="0" w:noVBand="0"/>
      </w:tblPr>
      <w:tblGrid>
        <w:gridCol w:w="1536"/>
        <w:gridCol w:w="1863"/>
        <w:gridCol w:w="1783"/>
        <w:gridCol w:w="2139"/>
        <w:gridCol w:w="2147"/>
      </w:tblGrid>
      <w:tr w:rsidR="000A5298" w:rsidRPr="004A67D1" w14:paraId="3B1CC14A" w14:textId="77777777" w:rsidTr="002F2B3C">
        <w:trPr>
          <w:cantSplit/>
          <w:trHeight w:val="350"/>
        </w:trPr>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EB9FFF1" w14:textId="77777777" w:rsidR="000A5298" w:rsidRPr="004A67D1" w:rsidRDefault="000A5298" w:rsidP="009940AB">
            <w:pPr>
              <w:pStyle w:val="Body1"/>
              <w:outlineLvl w:val="9"/>
              <w:rPr>
                <w:i/>
                <w:szCs w:val="24"/>
              </w:rPr>
            </w:pPr>
            <w:r w:rsidRPr="004A67D1">
              <w:rPr>
                <w:i/>
                <w:szCs w:val="24"/>
              </w:rPr>
              <w:t>Program(s):</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09C9346" w14:textId="77777777" w:rsidR="000A5298" w:rsidRPr="004A67D1" w:rsidRDefault="000A5298" w:rsidP="009940AB">
            <w:pPr>
              <w:pStyle w:val="Body1"/>
              <w:jc w:val="center"/>
              <w:outlineLvl w:val="9"/>
              <w:rPr>
                <w:i/>
                <w:szCs w:val="24"/>
              </w:rPr>
            </w:pPr>
            <w:r w:rsidRPr="004A67D1">
              <w:rPr>
                <w:i/>
                <w:szCs w:val="24"/>
              </w:rPr>
              <w:t>Total Programs</w:t>
            </w:r>
          </w:p>
        </w:tc>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CAAC4A" w14:textId="77777777" w:rsidR="000A5298" w:rsidRPr="004A67D1" w:rsidRDefault="000A5298" w:rsidP="009940AB">
            <w:pPr>
              <w:pStyle w:val="Body1"/>
              <w:jc w:val="center"/>
              <w:outlineLvl w:val="9"/>
              <w:rPr>
                <w:i/>
                <w:szCs w:val="24"/>
              </w:rPr>
            </w:pPr>
            <w:r w:rsidRPr="004A67D1">
              <w:rPr>
                <w:i/>
                <w:szCs w:val="24"/>
              </w:rPr>
              <w:t>Total Teachers</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7404DC6" w14:textId="77777777" w:rsidR="000A5298" w:rsidRPr="004A67D1" w:rsidRDefault="000A5298" w:rsidP="009940AB">
            <w:pPr>
              <w:pStyle w:val="Body1"/>
              <w:jc w:val="center"/>
              <w:outlineLvl w:val="9"/>
              <w:rPr>
                <w:i/>
                <w:szCs w:val="24"/>
              </w:rPr>
            </w:pPr>
            <w:r w:rsidRPr="004A67D1">
              <w:rPr>
                <w:i/>
                <w:szCs w:val="24"/>
              </w:rPr>
              <w:t>Likely responders if 80% response rate</w:t>
            </w:r>
          </w:p>
        </w:tc>
        <w:tc>
          <w:tcPr>
            <w:tcW w:w="21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8F49C4B" w14:textId="77777777" w:rsidR="000A5298" w:rsidRPr="004A67D1" w:rsidRDefault="000A5298" w:rsidP="009940AB">
            <w:pPr>
              <w:pStyle w:val="Body1"/>
              <w:jc w:val="center"/>
              <w:outlineLvl w:val="9"/>
              <w:rPr>
                <w:i/>
                <w:szCs w:val="24"/>
              </w:rPr>
            </w:pPr>
            <w:r w:rsidRPr="004A67D1">
              <w:rPr>
                <w:i/>
                <w:szCs w:val="24"/>
              </w:rPr>
              <w:t>Likely responders if 90% response rate</w:t>
            </w:r>
          </w:p>
        </w:tc>
      </w:tr>
      <w:tr w:rsidR="000A5298" w:rsidRPr="004A67D1" w14:paraId="28A2D18F" w14:textId="77777777" w:rsidTr="002F2B3C">
        <w:trPr>
          <w:cantSplit/>
          <w:trHeight w:val="350"/>
        </w:trPr>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2FF7C4" w14:textId="77777777" w:rsidR="000A5298" w:rsidRPr="004A67D1" w:rsidRDefault="000A5298" w:rsidP="009940AB">
            <w:pPr>
              <w:pStyle w:val="Body1"/>
              <w:outlineLvl w:val="9"/>
              <w:rPr>
                <w:i/>
                <w:szCs w:val="24"/>
              </w:rPr>
            </w:pPr>
            <w:r w:rsidRPr="004A67D1">
              <w:rPr>
                <w:i/>
                <w:szCs w:val="24"/>
              </w:rPr>
              <w:t>All</w:t>
            </w:r>
            <w:r w:rsidR="002F2B3C" w:rsidRPr="004A67D1">
              <w:rPr>
                <w:i/>
                <w:szCs w:val="24"/>
              </w:rPr>
              <w:t xml:space="preserve"> </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4109C6" w14:textId="77777777" w:rsidR="000A5298" w:rsidRPr="004A67D1" w:rsidRDefault="002F2B3C" w:rsidP="009940AB">
            <w:pPr>
              <w:pStyle w:val="Body1"/>
              <w:jc w:val="center"/>
              <w:outlineLvl w:val="9"/>
              <w:rPr>
                <w:i/>
                <w:szCs w:val="24"/>
              </w:rPr>
            </w:pPr>
            <w:r w:rsidRPr="004A67D1">
              <w:rPr>
                <w:i/>
                <w:szCs w:val="24"/>
              </w:rPr>
              <w:t>34</w:t>
            </w:r>
          </w:p>
        </w:tc>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20B629" w14:textId="77777777" w:rsidR="000A5298" w:rsidRPr="004A67D1" w:rsidRDefault="004A67D1" w:rsidP="004A67D1">
            <w:pPr>
              <w:pStyle w:val="Body1"/>
              <w:jc w:val="center"/>
              <w:outlineLvl w:val="9"/>
              <w:rPr>
                <w:i/>
                <w:szCs w:val="24"/>
                <w:shd w:val="clear" w:color="auto" w:fill="FFFF00"/>
              </w:rPr>
            </w:pPr>
            <w:r>
              <w:rPr>
                <w:i/>
                <w:szCs w:val="24"/>
              </w:rPr>
              <w:t>190</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F93CCD" w14:textId="77777777" w:rsidR="000A5298" w:rsidRPr="004A67D1" w:rsidRDefault="004A67D1" w:rsidP="009940AB">
            <w:pPr>
              <w:pStyle w:val="Body1"/>
              <w:jc w:val="center"/>
              <w:outlineLvl w:val="9"/>
              <w:rPr>
                <w:i/>
                <w:szCs w:val="24"/>
                <w:shd w:val="clear" w:color="auto" w:fill="FFFF00"/>
              </w:rPr>
            </w:pPr>
            <w:r>
              <w:rPr>
                <w:i/>
                <w:szCs w:val="24"/>
              </w:rPr>
              <w:t>152</w:t>
            </w:r>
          </w:p>
        </w:tc>
        <w:tc>
          <w:tcPr>
            <w:tcW w:w="21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9E72B2" w14:textId="77777777" w:rsidR="000A5298" w:rsidRPr="004A67D1" w:rsidRDefault="004A67D1" w:rsidP="004A67D1">
            <w:pPr>
              <w:pStyle w:val="Body1"/>
              <w:jc w:val="center"/>
              <w:outlineLvl w:val="9"/>
              <w:rPr>
                <w:i/>
                <w:szCs w:val="24"/>
                <w:shd w:val="clear" w:color="auto" w:fill="FFFF00"/>
              </w:rPr>
            </w:pPr>
            <w:r>
              <w:rPr>
                <w:i/>
                <w:szCs w:val="24"/>
              </w:rPr>
              <w:t>171</w:t>
            </w:r>
          </w:p>
        </w:tc>
      </w:tr>
      <w:tr w:rsidR="000A5298" w:rsidRPr="004A67D1" w14:paraId="35B0550E" w14:textId="77777777" w:rsidTr="002F2B3C">
        <w:trPr>
          <w:cantSplit/>
          <w:trHeight w:val="350"/>
        </w:trPr>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94E2BF3" w14:textId="77777777" w:rsidR="000A5298" w:rsidRPr="004A67D1" w:rsidRDefault="002F2B3C" w:rsidP="009940AB">
            <w:pPr>
              <w:pStyle w:val="Body1"/>
              <w:outlineLvl w:val="9"/>
              <w:rPr>
                <w:i/>
                <w:szCs w:val="24"/>
              </w:rPr>
            </w:pPr>
            <w:r w:rsidRPr="004A67D1">
              <w:rPr>
                <w:i/>
                <w:szCs w:val="24"/>
              </w:rPr>
              <w:t>GED only</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6F8CA51" w14:textId="77777777" w:rsidR="000A5298" w:rsidRPr="004A67D1" w:rsidRDefault="002F2B3C" w:rsidP="009940AB">
            <w:pPr>
              <w:pStyle w:val="Body1"/>
              <w:jc w:val="center"/>
              <w:outlineLvl w:val="9"/>
              <w:rPr>
                <w:i/>
                <w:szCs w:val="24"/>
              </w:rPr>
            </w:pPr>
            <w:r w:rsidRPr="004A67D1">
              <w:rPr>
                <w:i/>
                <w:szCs w:val="24"/>
              </w:rPr>
              <w:t>18</w:t>
            </w:r>
          </w:p>
        </w:tc>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1765260" w14:textId="77777777" w:rsidR="000A5298" w:rsidRPr="004A67D1" w:rsidRDefault="000A5298" w:rsidP="007C36C7">
            <w:pPr>
              <w:pStyle w:val="Body1"/>
              <w:jc w:val="center"/>
              <w:outlineLvl w:val="9"/>
              <w:rPr>
                <w:i/>
                <w:szCs w:val="24"/>
              </w:rPr>
            </w:pPr>
            <w:r w:rsidRPr="004A67D1">
              <w:rPr>
                <w:i/>
                <w:szCs w:val="24"/>
              </w:rPr>
              <w:t>~</w:t>
            </w:r>
            <w:r w:rsidR="007C36C7" w:rsidRPr="004A67D1">
              <w:rPr>
                <w:i/>
                <w:szCs w:val="24"/>
              </w:rPr>
              <w:t>1</w:t>
            </w:r>
            <w:r w:rsidR="008168B6" w:rsidRPr="004A67D1">
              <w:rPr>
                <w:i/>
                <w:szCs w:val="24"/>
              </w:rPr>
              <w:t>01</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3431B9F" w14:textId="77777777" w:rsidR="000A5298" w:rsidRPr="004A67D1" w:rsidRDefault="00EE187B" w:rsidP="009940AB">
            <w:pPr>
              <w:pStyle w:val="Body1"/>
              <w:jc w:val="center"/>
              <w:outlineLvl w:val="9"/>
              <w:rPr>
                <w:i/>
                <w:szCs w:val="24"/>
              </w:rPr>
            </w:pPr>
            <w:r w:rsidRPr="004A67D1">
              <w:rPr>
                <w:i/>
                <w:szCs w:val="24"/>
              </w:rPr>
              <w:t>~80</w:t>
            </w:r>
          </w:p>
        </w:tc>
        <w:tc>
          <w:tcPr>
            <w:tcW w:w="21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0876813" w14:textId="77777777" w:rsidR="000A5298" w:rsidRPr="004A67D1" w:rsidRDefault="00EE187B" w:rsidP="009940AB">
            <w:pPr>
              <w:pStyle w:val="Body1"/>
              <w:jc w:val="center"/>
              <w:outlineLvl w:val="9"/>
              <w:rPr>
                <w:i/>
                <w:szCs w:val="24"/>
              </w:rPr>
            </w:pPr>
            <w:r w:rsidRPr="004A67D1">
              <w:rPr>
                <w:i/>
                <w:szCs w:val="24"/>
              </w:rPr>
              <w:t>~91</w:t>
            </w:r>
          </w:p>
        </w:tc>
      </w:tr>
      <w:tr w:rsidR="000A5298" w:rsidRPr="004A67D1" w14:paraId="24B9D72F" w14:textId="77777777" w:rsidTr="002F2B3C">
        <w:trPr>
          <w:cantSplit/>
          <w:trHeight w:val="350"/>
        </w:trPr>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8BBBDBF" w14:textId="77777777" w:rsidR="000A5298" w:rsidRPr="004A67D1" w:rsidRDefault="002F2B3C" w:rsidP="009940AB">
            <w:pPr>
              <w:pStyle w:val="Body1"/>
              <w:outlineLvl w:val="9"/>
              <w:rPr>
                <w:i/>
                <w:szCs w:val="24"/>
              </w:rPr>
            </w:pPr>
            <w:r w:rsidRPr="004A67D1">
              <w:rPr>
                <w:i/>
                <w:szCs w:val="24"/>
              </w:rPr>
              <w:t>Non-GED</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56B230C" w14:textId="77777777" w:rsidR="000A5298" w:rsidRPr="004A67D1" w:rsidRDefault="002F2B3C" w:rsidP="009940AB">
            <w:pPr>
              <w:pStyle w:val="Body1"/>
              <w:jc w:val="center"/>
              <w:outlineLvl w:val="9"/>
              <w:rPr>
                <w:i/>
                <w:szCs w:val="24"/>
              </w:rPr>
            </w:pPr>
            <w:r w:rsidRPr="004A67D1">
              <w:rPr>
                <w:i/>
                <w:szCs w:val="24"/>
              </w:rPr>
              <w:t>16</w:t>
            </w:r>
          </w:p>
        </w:tc>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A2C7B51" w14:textId="77777777" w:rsidR="000A5298" w:rsidRPr="004A67D1" w:rsidRDefault="008168B6" w:rsidP="009940AB">
            <w:pPr>
              <w:pStyle w:val="Body1"/>
              <w:jc w:val="center"/>
              <w:outlineLvl w:val="9"/>
              <w:rPr>
                <w:i/>
                <w:szCs w:val="24"/>
              </w:rPr>
            </w:pPr>
            <w:r w:rsidRPr="004A67D1">
              <w:rPr>
                <w:i/>
                <w:szCs w:val="24"/>
              </w:rPr>
              <w:t>~89</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783CB35" w14:textId="77777777" w:rsidR="000A5298" w:rsidRPr="004A67D1" w:rsidRDefault="00EE187B" w:rsidP="009940AB">
            <w:pPr>
              <w:pStyle w:val="Body1"/>
              <w:jc w:val="center"/>
              <w:outlineLvl w:val="9"/>
              <w:rPr>
                <w:i/>
                <w:szCs w:val="24"/>
              </w:rPr>
            </w:pPr>
            <w:r w:rsidRPr="004A67D1">
              <w:rPr>
                <w:i/>
                <w:szCs w:val="24"/>
              </w:rPr>
              <w:t>~72</w:t>
            </w:r>
          </w:p>
        </w:tc>
        <w:tc>
          <w:tcPr>
            <w:tcW w:w="21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617A8F7" w14:textId="77777777" w:rsidR="000A5298" w:rsidRPr="004A67D1" w:rsidRDefault="00EE187B" w:rsidP="009940AB">
            <w:pPr>
              <w:pStyle w:val="Body1"/>
              <w:jc w:val="center"/>
              <w:outlineLvl w:val="9"/>
              <w:rPr>
                <w:i/>
                <w:szCs w:val="24"/>
              </w:rPr>
            </w:pPr>
            <w:r w:rsidRPr="004A67D1">
              <w:rPr>
                <w:i/>
                <w:szCs w:val="24"/>
              </w:rPr>
              <w:t>~80</w:t>
            </w:r>
          </w:p>
        </w:tc>
      </w:tr>
    </w:tbl>
    <w:p w14:paraId="0880FC8C" w14:textId="77777777" w:rsidR="000A5298" w:rsidRPr="004A67D1" w:rsidRDefault="000A5298" w:rsidP="00164DD3">
      <w:pPr>
        <w:outlineLvl w:val="0"/>
        <w:rPr>
          <w:rFonts w:eastAsia="Arial Unicode MS"/>
          <w:color w:val="000000"/>
          <w:u w:color="000000"/>
        </w:rPr>
      </w:pPr>
    </w:p>
    <w:p w14:paraId="57652B80" w14:textId="77777777" w:rsidR="007D57CF" w:rsidRPr="004A67D1" w:rsidRDefault="007D57CF" w:rsidP="00164DD3">
      <w:pPr>
        <w:outlineLvl w:val="0"/>
        <w:rPr>
          <w:rFonts w:eastAsia="Arial Unicode MS"/>
          <w:color w:val="000000"/>
          <w:u w:color="000000"/>
        </w:rPr>
      </w:pPr>
    </w:p>
    <w:p w14:paraId="5F42A085" w14:textId="77777777" w:rsidR="007D57CF" w:rsidRPr="00556529" w:rsidRDefault="007D57CF" w:rsidP="007D57CF">
      <w:pPr>
        <w:outlineLvl w:val="0"/>
        <w:rPr>
          <w:rFonts w:eastAsia="Arial Unicode MS"/>
          <w:color w:val="000000"/>
          <w:u w:color="000000"/>
        </w:rPr>
      </w:pPr>
      <w:r w:rsidRPr="004A67D1">
        <w:rPr>
          <w:rFonts w:eastAsia="Arial Unicode MS"/>
          <w:color w:val="000000"/>
          <w:u w:color="000000"/>
        </w:rPr>
        <w:t>Based on an expected response rate of 80 percent, we estimate that our sample will include about</w:t>
      </w:r>
      <w:r w:rsidRPr="00556529">
        <w:rPr>
          <w:rFonts w:eastAsia="Arial Unicode MS"/>
          <w:color w:val="000000"/>
          <w:u w:color="000000"/>
        </w:rPr>
        <w:t xml:space="preserve"> </w:t>
      </w:r>
      <w:r w:rsidR="00B53421">
        <w:rPr>
          <w:rFonts w:eastAsia="Arial Unicode MS"/>
          <w:color w:val="000000"/>
          <w:u w:color="000000"/>
        </w:rPr>
        <w:t>152</w:t>
      </w:r>
      <w:r>
        <w:rPr>
          <w:rFonts w:eastAsia="Arial Unicode MS"/>
          <w:color w:val="000000"/>
          <w:u w:color="000000"/>
        </w:rPr>
        <w:t xml:space="preserve"> teachers</w:t>
      </w:r>
      <w:r w:rsidRPr="00556529">
        <w:rPr>
          <w:rFonts w:eastAsia="Arial Unicode MS"/>
          <w:color w:val="000000"/>
          <w:u w:color="000000"/>
        </w:rPr>
        <w:t xml:space="preserve">. </w:t>
      </w:r>
      <w:r>
        <w:rPr>
          <w:rFonts w:eastAsia="Arial Unicode MS"/>
          <w:color w:val="000000"/>
          <w:u w:color="000000"/>
        </w:rPr>
        <w:t xml:space="preserve"> </w:t>
      </w:r>
      <w:r w:rsidR="00C160AC">
        <w:rPr>
          <w:rFonts w:eastAsia="Arial Unicode MS"/>
          <w:color w:val="000000"/>
          <w:u w:color="000000"/>
        </w:rPr>
        <w:t>This</w:t>
      </w:r>
      <w:r w:rsidRPr="00556529">
        <w:rPr>
          <w:rFonts w:eastAsia="Arial Unicode MS"/>
          <w:color w:val="000000"/>
          <w:u w:color="000000"/>
        </w:rPr>
        <w:t xml:space="preserve"> will provide us with sufficient power to discern differences in r</w:t>
      </w:r>
      <w:r>
        <w:rPr>
          <w:rFonts w:eastAsia="Arial Unicode MS"/>
          <w:color w:val="000000"/>
          <w:u w:color="000000"/>
        </w:rPr>
        <w:t>esponses to our survey measures.</w:t>
      </w:r>
      <w:r w:rsidR="00857544">
        <w:rPr>
          <w:rFonts w:eastAsia="Arial Unicode MS"/>
          <w:color w:val="000000"/>
          <w:u w:color="000000"/>
        </w:rPr>
        <w:t xml:space="preserve"> In the event that we are able to get a higher response rate, say, around 90%, we expect to have about 171 responses total. In either case, we </w:t>
      </w:r>
      <w:r w:rsidR="004A67D1">
        <w:rPr>
          <w:rFonts w:eastAsia="Arial Unicode MS"/>
          <w:color w:val="000000"/>
          <w:u w:color="000000"/>
        </w:rPr>
        <w:t xml:space="preserve">plan to </w:t>
      </w:r>
      <w:r w:rsidR="00857544">
        <w:rPr>
          <w:rFonts w:eastAsia="Arial Unicode MS"/>
          <w:color w:val="000000"/>
          <w:u w:color="000000"/>
        </w:rPr>
        <w:t>break down some of the answers based on the type of program (GED vs. Credit Recovery / Diploma), in which case we expect to get 80-91 responses in the first group, and 72-80 responses in the second group, depending on their respective response rates.</w:t>
      </w:r>
    </w:p>
    <w:p w14:paraId="1A14F20C" w14:textId="77777777" w:rsidR="007D57CF" w:rsidRPr="00556529" w:rsidRDefault="007D57CF" w:rsidP="007D57CF">
      <w:pPr>
        <w:outlineLvl w:val="0"/>
        <w:rPr>
          <w:rFonts w:eastAsia="Arial Unicode MS"/>
          <w:color w:val="000000"/>
          <w:u w:color="000000"/>
        </w:rPr>
      </w:pPr>
    </w:p>
    <w:p w14:paraId="30968722" w14:textId="77777777" w:rsidR="00164DD3" w:rsidRDefault="007D57CF" w:rsidP="007D57CF">
      <w:pPr>
        <w:outlineLvl w:val="0"/>
        <w:rPr>
          <w:rFonts w:eastAsia="Arial Unicode MS"/>
          <w:color w:val="000000"/>
          <w:u w:color="000000"/>
        </w:rPr>
      </w:pPr>
      <w:r w:rsidRPr="00556529">
        <w:rPr>
          <w:rFonts w:eastAsia="Arial Unicode MS"/>
          <w:color w:val="000000"/>
          <w:u w:color="000000"/>
        </w:rPr>
        <w:t>Based on conversations with Program Directors</w:t>
      </w:r>
      <w:r>
        <w:rPr>
          <w:rFonts w:eastAsia="Arial Unicode MS"/>
          <w:color w:val="000000"/>
          <w:u w:color="000000"/>
        </w:rPr>
        <w:t xml:space="preserve"> and the steps we plan to take to maximize our response rate (see below)</w:t>
      </w:r>
      <w:r w:rsidRPr="00556529">
        <w:rPr>
          <w:rFonts w:eastAsia="Arial Unicode MS"/>
          <w:color w:val="000000"/>
          <w:u w:color="000000"/>
        </w:rPr>
        <w:t>, we believe our estimated response rate of 80</w:t>
      </w:r>
      <w:r>
        <w:rPr>
          <w:rFonts w:eastAsia="Arial Unicode MS"/>
          <w:color w:val="000000"/>
          <w:u w:color="000000"/>
        </w:rPr>
        <w:t xml:space="preserve"> percent</w:t>
      </w:r>
      <w:r w:rsidRPr="00556529">
        <w:rPr>
          <w:rFonts w:eastAsia="Arial Unicode MS"/>
          <w:color w:val="000000"/>
          <w:u w:color="000000"/>
        </w:rPr>
        <w:t xml:space="preserve"> is conservative and we are likely to achieve a higher rate, but we have no previous data collection and so no prior response rate for comparison.</w:t>
      </w:r>
    </w:p>
    <w:p w14:paraId="19CAF5DA" w14:textId="77777777" w:rsidR="005501B5" w:rsidRDefault="005501B5" w:rsidP="007D57CF">
      <w:pPr>
        <w:outlineLvl w:val="0"/>
        <w:rPr>
          <w:rFonts w:eastAsia="Arial Unicode MS"/>
          <w:color w:val="000000"/>
          <w:u w:color="000000"/>
        </w:rPr>
      </w:pPr>
    </w:p>
    <w:p w14:paraId="1A465F26" w14:textId="77777777" w:rsidR="005501B5" w:rsidRDefault="005501B5" w:rsidP="007D57CF">
      <w:pPr>
        <w:outlineLvl w:val="0"/>
        <w:rPr>
          <w:rFonts w:eastAsia="Arial Unicode MS"/>
          <w:color w:val="000000"/>
          <w:u w:color="000000"/>
        </w:rPr>
      </w:pPr>
      <w:r>
        <w:rPr>
          <w:rFonts w:eastAsia="Arial Unicode MS"/>
          <w:color w:val="000000"/>
          <w:u w:color="000000"/>
        </w:rPr>
        <w:t>Table 2 presents power analysis for determining differences on categorical variables between the groups of GED and Non-GED programs.</w:t>
      </w:r>
      <w:r w:rsidR="000E1462">
        <w:rPr>
          <w:rFonts w:eastAsia="Arial Unicode MS"/>
          <w:color w:val="000000"/>
          <w:u w:color="000000"/>
        </w:rPr>
        <w:t xml:space="preserve"> Naturally, our ability to discern differences increases with the response rate and effect size. If the response rate is around 80% for both groups, we expect to have reasonable power to detect only large differences between groups (effect size .5 and higher), whereas in the event that all participants respond, we should be able to detect smaller differences in effect size, between .3 and .4.</w:t>
      </w:r>
    </w:p>
    <w:p w14:paraId="18BCFC10" w14:textId="77777777" w:rsidR="005501B5" w:rsidRPr="007D57CF" w:rsidRDefault="005501B5" w:rsidP="007D57CF">
      <w:pPr>
        <w:outlineLvl w:val="0"/>
        <w:rPr>
          <w:rFonts w:eastAsia="Arial Unicode MS"/>
          <w:color w:val="000000"/>
          <w:u w:color="000000"/>
        </w:rPr>
      </w:pPr>
    </w:p>
    <w:p w14:paraId="251EC1B0" w14:textId="77777777" w:rsidR="005E0A0F" w:rsidRDefault="00577458" w:rsidP="00577458">
      <w:pPr>
        <w:pStyle w:val="NormalWeb"/>
        <w:spacing w:line="288" w:lineRule="atLeast"/>
        <w:ind w:firstLine="720"/>
      </w:pPr>
      <w:r>
        <w:t xml:space="preserve">   </w:t>
      </w:r>
      <w:r w:rsidR="005E0A0F">
        <w:t xml:space="preserve">2.  </w:t>
      </w:r>
      <w:r w:rsidR="005E0A0F">
        <w:rPr>
          <w:u w:val="single"/>
        </w:rPr>
        <w:t>Procedures for the Collection of Information</w:t>
      </w:r>
    </w:p>
    <w:p w14:paraId="27F9488B" w14:textId="77777777" w:rsidR="00BD3876" w:rsidRDefault="0093033C" w:rsidP="004A67D1">
      <w:pPr>
        <w:pStyle w:val="NormalWeb"/>
        <w:spacing w:line="288" w:lineRule="atLeast"/>
      </w:pPr>
      <w:r w:rsidRPr="0093033C">
        <w:lastRenderedPageBreak/>
        <w:t>The</w:t>
      </w:r>
      <w:r>
        <w:t xml:space="preserve"> survey will be fielded on-line.  ChalleNGe staff will be providing the study team with the names and email addresses of all of the teachers.  Unique user ID numbers and passwords will be generated for each potential respondent.  Each teacher w</w:t>
      </w:r>
      <w:r w:rsidR="00BD3876">
        <w:t>ill be sent an email using a prepared text that contains a description of the study, invites them to assist with the data collection by completing the survey, and directs them (via URL or link to click) to the survey should they choose to participate.  They will be provided with the user ID number and password to use to complete the survey.</w:t>
      </w:r>
    </w:p>
    <w:p w14:paraId="2160BA8A" w14:textId="77777777" w:rsidR="005501B5" w:rsidRDefault="005501B5" w:rsidP="004A67D1">
      <w:pPr>
        <w:outlineLvl w:val="0"/>
        <w:rPr>
          <w:rFonts w:eastAsia="Arial Unicode MS"/>
          <w:color w:val="000000"/>
          <w:u w:color="000000"/>
        </w:rPr>
      </w:pPr>
      <w:r>
        <w:rPr>
          <w:rFonts w:eastAsia="Arial Unicode MS"/>
          <w:color w:val="000000"/>
          <w:u w:color="000000"/>
        </w:rPr>
        <w:t>Table 2. Power Analysis</w:t>
      </w:r>
      <w:r w:rsidR="000E1462">
        <w:rPr>
          <w:rFonts w:eastAsia="Arial Unicode MS"/>
          <w:color w:val="000000"/>
          <w:u w:color="000000"/>
        </w:rPr>
        <w:br/>
      </w:r>
    </w:p>
    <w:tbl>
      <w:tblPr>
        <w:tblStyle w:val="TableGrid"/>
        <w:tblW w:w="9445" w:type="dxa"/>
        <w:jc w:val="center"/>
        <w:tblLook w:val="04A0" w:firstRow="1" w:lastRow="0" w:firstColumn="1" w:lastColumn="0" w:noHBand="0" w:noVBand="1"/>
      </w:tblPr>
      <w:tblGrid>
        <w:gridCol w:w="1396"/>
        <w:gridCol w:w="2643"/>
        <w:gridCol w:w="2643"/>
        <w:gridCol w:w="2763"/>
      </w:tblGrid>
      <w:tr w:rsidR="005501B5" w:rsidRPr="005501B5" w14:paraId="79AA9454" w14:textId="77777777" w:rsidTr="000E1462">
        <w:trPr>
          <w:trHeight w:val="300"/>
          <w:jc w:val="center"/>
        </w:trPr>
        <w:tc>
          <w:tcPr>
            <w:tcW w:w="1396" w:type="dxa"/>
            <w:noWrap/>
            <w:hideMark/>
          </w:tcPr>
          <w:p w14:paraId="16E102E6" w14:textId="77777777" w:rsidR="005501B5" w:rsidRPr="005501B5" w:rsidRDefault="005501B5" w:rsidP="000E1462">
            <w:pPr>
              <w:jc w:val="center"/>
              <w:rPr>
                <w:color w:val="000000"/>
              </w:rPr>
            </w:pPr>
            <w:r w:rsidRPr="005501B5">
              <w:rPr>
                <w:color w:val="000000"/>
              </w:rPr>
              <w:t>Effect Size</w:t>
            </w:r>
          </w:p>
        </w:tc>
        <w:tc>
          <w:tcPr>
            <w:tcW w:w="2643" w:type="dxa"/>
            <w:noWrap/>
            <w:hideMark/>
          </w:tcPr>
          <w:p w14:paraId="5138DEF6" w14:textId="77777777" w:rsidR="005501B5" w:rsidRPr="005501B5" w:rsidRDefault="005501B5" w:rsidP="000E1462">
            <w:pPr>
              <w:jc w:val="center"/>
              <w:rPr>
                <w:color w:val="000000"/>
              </w:rPr>
            </w:pPr>
            <w:r w:rsidRPr="005501B5">
              <w:rPr>
                <w:color w:val="000000"/>
              </w:rPr>
              <w:t>Power at 80% response</w:t>
            </w:r>
          </w:p>
        </w:tc>
        <w:tc>
          <w:tcPr>
            <w:tcW w:w="2643" w:type="dxa"/>
            <w:noWrap/>
            <w:hideMark/>
          </w:tcPr>
          <w:p w14:paraId="0DCE600F" w14:textId="77777777" w:rsidR="005501B5" w:rsidRPr="005501B5" w:rsidRDefault="005501B5" w:rsidP="000E1462">
            <w:pPr>
              <w:jc w:val="center"/>
              <w:rPr>
                <w:color w:val="000000"/>
              </w:rPr>
            </w:pPr>
            <w:r w:rsidRPr="005501B5">
              <w:rPr>
                <w:color w:val="000000"/>
              </w:rPr>
              <w:t>Power at 90% response</w:t>
            </w:r>
          </w:p>
        </w:tc>
        <w:tc>
          <w:tcPr>
            <w:tcW w:w="2763" w:type="dxa"/>
            <w:noWrap/>
            <w:hideMark/>
          </w:tcPr>
          <w:p w14:paraId="4147C703" w14:textId="77777777" w:rsidR="005501B5" w:rsidRPr="005501B5" w:rsidRDefault="005501B5" w:rsidP="000E1462">
            <w:pPr>
              <w:jc w:val="center"/>
              <w:rPr>
                <w:color w:val="000000"/>
              </w:rPr>
            </w:pPr>
            <w:r w:rsidRPr="005501B5">
              <w:rPr>
                <w:color w:val="000000"/>
              </w:rPr>
              <w:t>Power at 100% response</w:t>
            </w:r>
          </w:p>
        </w:tc>
      </w:tr>
      <w:tr w:rsidR="005501B5" w:rsidRPr="005501B5" w14:paraId="6D0D793C" w14:textId="77777777" w:rsidTr="000E1462">
        <w:trPr>
          <w:trHeight w:val="300"/>
          <w:jc w:val="center"/>
        </w:trPr>
        <w:tc>
          <w:tcPr>
            <w:tcW w:w="1396" w:type="dxa"/>
            <w:noWrap/>
            <w:hideMark/>
          </w:tcPr>
          <w:p w14:paraId="20095D58" w14:textId="77777777" w:rsidR="005501B5" w:rsidRPr="005501B5" w:rsidRDefault="005501B5" w:rsidP="000E1462">
            <w:pPr>
              <w:jc w:val="center"/>
              <w:rPr>
                <w:color w:val="000000"/>
              </w:rPr>
            </w:pPr>
            <w:r w:rsidRPr="005501B5">
              <w:rPr>
                <w:color w:val="000000"/>
              </w:rPr>
              <w:t>0.1</w:t>
            </w:r>
          </w:p>
        </w:tc>
        <w:tc>
          <w:tcPr>
            <w:tcW w:w="2643" w:type="dxa"/>
            <w:noWrap/>
            <w:hideMark/>
          </w:tcPr>
          <w:p w14:paraId="224EB224" w14:textId="77777777" w:rsidR="005501B5" w:rsidRPr="005501B5" w:rsidRDefault="005501B5" w:rsidP="000E1462">
            <w:pPr>
              <w:jc w:val="center"/>
              <w:rPr>
                <w:color w:val="000000"/>
              </w:rPr>
            </w:pPr>
            <w:r w:rsidRPr="005501B5">
              <w:rPr>
                <w:color w:val="000000"/>
              </w:rPr>
              <w:t>3%</w:t>
            </w:r>
          </w:p>
        </w:tc>
        <w:tc>
          <w:tcPr>
            <w:tcW w:w="2643" w:type="dxa"/>
            <w:noWrap/>
            <w:hideMark/>
          </w:tcPr>
          <w:p w14:paraId="4014D942" w14:textId="77777777" w:rsidR="005501B5" w:rsidRPr="005501B5" w:rsidRDefault="005501B5" w:rsidP="000E1462">
            <w:pPr>
              <w:jc w:val="center"/>
              <w:rPr>
                <w:color w:val="000000"/>
              </w:rPr>
            </w:pPr>
            <w:r w:rsidRPr="005501B5">
              <w:rPr>
                <w:color w:val="000000"/>
              </w:rPr>
              <w:t>3%</w:t>
            </w:r>
          </w:p>
        </w:tc>
        <w:tc>
          <w:tcPr>
            <w:tcW w:w="2763" w:type="dxa"/>
            <w:noWrap/>
            <w:hideMark/>
          </w:tcPr>
          <w:p w14:paraId="7ADF8C12" w14:textId="77777777" w:rsidR="005501B5" w:rsidRPr="005501B5" w:rsidRDefault="005501B5" w:rsidP="000E1462">
            <w:pPr>
              <w:jc w:val="center"/>
              <w:rPr>
                <w:color w:val="000000"/>
              </w:rPr>
            </w:pPr>
            <w:r w:rsidRPr="005501B5">
              <w:rPr>
                <w:color w:val="000000"/>
              </w:rPr>
              <w:t>5%</w:t>
            </w:r>
          </w:p>
        </w:tc>
      </w:tr>
      <w:tr w:rsidR="005501B5" w:rsidRPr="005501B5" w14:paraId="6387F108" w14:textId="77777777" w:rsidTr="000E1462">
        <w:trPr>
          <w:trHeight w:val="300"/>
          <w:jc w:val="center"/>
        </w:trPr>
        <w:tc>
          <w:tcPr>
            <w:tcW w:w="1396" w:type="dxa"/>
            <w:noWrap/>
            <w:hideMark/>
          </w:tcPr>
          <w:p w14:paraId="38F0E5D0" w14:textId="77777777" w:rsidR="005501B5" w:rsidRPr="005501B5" w:rsidRDefault="005501B5" w:rsidP="000E1462">
            <w:pPr>
              <w:jc w:val="center"/>
              <w:rPr>
                <w:color w:val="000000"/>
              </w:rPr>
            </w:pPr>
            <w:r w:rsidRPr="005501B5">
              <w:rPr>
                <w:color w:val="000000"/>
              </w:rPr>
              <w:t>0.2</w:t>
            </w:r>
          </w:p>
        </w:tc>
        <w:tc>
          <w:tcPr>
            <w:tcW w:w="2643" w:type="dxa"/>
            <w:noWrap/>
            <w:hideMark/>
          </w:tcPr>
          <w:p w14:paraId="0CAD2F83" w14:textId="77777777" w:rsidR="005501B5" w:rsidRPr="005501B5" w:rsidRDefault="005501B5" w:rsidP="000E1462">
            <w:pPr>
              <w:jc w:val="center"/>
              <w:rPr>
                <w:color w:val="000000"/>
              </w:rPr>
            </w:pPr>
            <w:r w:rsidRPr="005501B5">
              <w:rPr>
                <w:color w:val="000000"/>
              </w:rPr>
              <w:t>9%</w:t>
            </w:r>
          </w:p>
        </w:tc>
        <w:tc>
          <w:tcPr>
            <w:tcW w:w="2643" w:type="dxa"/>
            <w:noWrap/>
            <w:hideMark/>
          </w:tcPr>
          <w:p w14:paraId="6B046AFC" w14:textId="77777777" w:rsidR="005501B5" w:rsidRPr="005501B5" w:rsidRDefault="005501B5" w:rsidP="000E1462">
            <w:pPr>
              <w:jc w:val="center"/>
              <w:rPr>
                <w:color w:val="000000"/>
              </w:rPr>
            </w:pPr>
            <w:r w:rsidRPr="005501B5">
              <w:rPr>
                <w:color w:val="000000"/>
              </w:rPr>
              <w:t>10%</w:t>
            </w:r>
          </w:p>
        </w:tc>
        <w:tc>
          <w:tcPr>
            <w:tcW w:w="2763" w:type="dxa"/>
            <w:noWrap/>
            <w:hideMark/>
          </w:tcPr>
          <w:p w14:paraId="238940CE" w14:textId="77777777" w:rsidR="005501B5" w:rsidRPr="005501B5" w:rsidRDefault="005501B5" w:rsidP="000E1462">
            <w:pPr>
              <w:jc w:val="center"/>
              <w:rPr>
                <w:color w:val="000000"/>
              </w:rPr>
            </w:pPr>
            <w:r w:rsidRPr="005501B5">
              <w:rPr>
                <w:color w:val="000000"/>
              </w:rPr>
              <w:t>22%</w:t>
            </w:r>
          </w:p>
        </w:tc>
      </w:tr>
      <w:tr w:rsidR="005501B5" w:rsidRPr="005501B5" w14:paraId="64F9FA99" w14:textId="77777777" w:rsidTr="000E1462">
        <w:trPr>
          <w:trHeight w:val="300"/>
          <w:jc w:val="center"/>
        </w:trPr>
        <w:tc>
          <w:tcPr>
            <w:tcW w:w="1396" w:type="dxa"/>
            <w:noWrap/>
            <w:hideMark/>
          </w:tcPr>
          <w:p w14:paraId="7136A3B5" w14:textId="77777777" w:rsidR="005501B5" w:rsidRPr="005501B5" w:rsidRDefault="005501B5" w:rsidP="000E1462">
            <w:pPr>
              <w:jc w:val="center"/>
              <w:rPr>
                <w:color w:val="000000"/>
              </w:rPr>
            </w:pPr>
            <w:r w:rsidRPr="005501B5">
              <w:rPr>
                <w:color w:val="000000"/>
              </w:rPr>
              <w:t>0.3</w:t>
            </w:r>
          </w:p>
        </w:tc>
        <w:tc>
          <w:tcPr>
            <w:tcW w:w="2643" w:type="dxa"/>
            <w:noWrap/>
            <w:hideMark/>
          </w:tcPr>
          <w:p w14:paraId="583354DB" w14:textId="77777777" w:rsidR="005501B5" w:rsidRPr="005501B5" w:rsidRDefault="005501B5" w:rsidP="000E1462">
            <w:pPr>
              <w:jc w:val="center"/>
              <w:rPr>
                <w:color w:val="000000"/>
              </w:rPr>
            </w:pPr>
            <w:r w:rsidRPr="005501B5">
              <w:rPr>
                <w:color w:val="000000"/>
              </w:rPr>
              <w:t>23%</w:t>
            </w:r>
          </w:p>
        </w:tc>
        <w:tc>
          <w:tcPr>
            <w:tcW w:w="2643" w:type="dxa"/>
            <w:noWrap/>
            <w:hideMark/>
          </w:tcPr>
          <w:p w14:paraId="444B4A5F" w14:textId="77777777" w:rsidR="005501B5" w:rsidRPr="005501B5" w:rsidRDefault="005501B5" w:rsidP="000E1462">
            <w:pPr>
              <w:jc w:val="center"/>
              <w:rPr>
                <w:color w:val="000000"/>
              </w:rPr>
            </w:pPr>
            <w:r w:rsidRPr="005501B5">
              <w:rPr>
                <w:color w:val="000000"/>
              </w:rPr>
              <w:t>27%</w:t>
            </w:r>
          </w:p>
        </w:tc>
        <w:tc>
          <w:tcPr>
            <w:tcW w:w="2763" w:type="dxa"/>
            <w:noWrap/>
            <w:hideMark/>
          </w:tcPr>
          <w:p w14:paraId="1770FF2C" w14:textId="77777777" w:rsidR="005501B5" w:rsidRPr="005501B5" w:rsidRDefault="005501B5" w:rsidP="000E1462">
            <w:pPr>
              <w:jc w:val="center"/>
              <w:rPr>
                <w:color w:val="000000"/>
              </w:rPr>
            </w:pPr>
            <w:r w:rsidRPr="005501B5">
              <w:rPr>
                <w:color w:val="000000"/>
              </w:rPr>
              <w:t>55%</w:t>
            </w:r>
          </w:p>
        </w:tc>
      </w:tr>
      <w:tr w:rsidR="005501B5" w:rsidRPr="005501B5" w14:paraId="3EC6B717" w14:textId="77777777" w:rsidTr="000E1462">
        <w:trPr>
          <w:trHeight w:val="300"/>
          <w:jc w:val="center"/>
        </w:trPr>
        <w:tc>
          <w:tcPr>
            <w:tcW w:w="1396" w:type="dxa"/>
            <w:noWrap/>
            <w:hideMark/>
          </w:tcPr>
          <w:p w14:paraId="650FA196" w14:textId="77777777" w:rsidR="005501B5" w:rsidRPr="005501B5" w:rsidRDefault="005501B5" w:rsidP="000E1462">
            <w:pPr>
              <w:jc w:val="center"/>
              <w:rPr>
                <w:color w:val="000000"/>
              </w:rPr>
            </w:pPr>
            <w:r w:rsidRPr="005501B5">
              <w:rPr>
                <w:color w:val="000000"/>
              </w:rPr>
              <w:t>0.4</w:t>
            </w:r>
          </w:p>
        </w:tc>
        <w:tc>
          <w:tcPr>
            <w:tcW w:w="2643" w:type="dxa"/>
            <w:noWrap/>
            <w:hideMark/>
          </w:tcPr>
          <w:p w14:paraId="23B6E7D0" w14:textId="77777777" w:rsidR="005501B5" w:rsidRPr="005501B5" w:rsidRDefault="005501B5" w:rsidP="000E1462">
            <w:pPr>
              <w:jc w:val="center"/>
              <w:rPr>
                <w:color w:val="000000"/>
              </w:rPr>
            </w:pPr>
            <w:r w:rsidRPr="005501B5">
              <w:rPr>
                <w:color w:val="000000"/>
              </w:rPr>
              <w:t>45%</w:t>
            </w:r>
          </w:p>
        </w:tc>
        <w:tc>
          <w:tcPr>
            <w:tcW w:w="2643" w:type="dxa"/>
            <w:noWrap/>
            <w:hideMark/>
          </w:tcPr>
          <w:p w14:paraId="3AE7D4C1" w14:textId="77777777" w:rsidR="005501B5" w:rsidRPr="005501B5" w:rsidRDefault="005501B5" w:rsidP="000E1462">
            <w:pPr>
              <w:jc w:val="center"/>
              <w:rPr>
                <w:color w:val="000000"/>
              </w:rPr>
            </w:pPr>
            <w:r w:rsidRPr="005501B5">
              <w:rPr>
                <w:color w:val="000000"/>
              </w:rPr>
              <w:t>51%</w:t>
            </w:r>
          </w:p>
        </w:tc>
        <w:tc>
          <w:tcPr>
            <w:tcW w:w="2763" w:type="dxa"/>
            <w:noWrap/>
            <w:hideMark/>
          </w:tcPr>
          <w:p w14:paraId="6AD9C0CF" w14:textId="77777777" w:rsidR="005501B5" w:rsidRPr="005501B5" w:rsidRDefault="005501B5" w:rsidP="000E1462">
            <w:pPr>
              <w:jc w:val="center"/>
              <w:rPr>
                <w:color w:val="000000"/>
              </w:rPr>
            </w:pPr>
            <w:r w:rsidRPr="005501B5">
              <w:rPr>
                <w:color w:val="000000"/>
              </w:rPr>
              <w:t>84%</w:t>
            </w:r>
          </w:p>
        </w:tc>
      </w:tr>
      <w:tr w:rsidR="005501B5" w:rsidRPr="005501B5" w14:paraId="430E6E3B" w14:textId="77777777" w:rsidTr="000E1462">
        <w:trPr>
          <w:trHeight w:val="300"/>
          <w:jc w:val="center"/>
        </w:trPr>
        <w:tc>
          <w:tcPr>
            <w:tcW w:w="1396" w:type="dxa"/>
            <w:noWrap/>
            <w:hideMark/>
          </w:tcPr>
          <w:p w14:paraId="686ACACA" w14:textId="77777777" w:rsidR="005501B5" w:rsidRPr="005501B5" w:rsidRDefault="005501B5" w:rsidP="000E1462">
            <w:pPr>
              <w:jc w:val="center"/>
              <w:rPr>
                <w:color w:val="000000"/>
              </w:rPr>
            </w:pPr>
            <w:r w:rsidRPr="005501B5">
              <w:rPr>
                <w:color w:val="000000"/>
              </w:rPr>
              <w:t>0.5</w:t>
            </w:r>
          </w:p>
        </w:tc>
        <w:tc>
          <w:tcPr>
            <w:tcW w:w="2643" w:type="dxa"/>
            <w:noWrap/>
            <w:hideMark/>
          </w:tcPr>
          <w:p w14:paraId="63F294A0" w14:textId="77777777" w:rsidR="005501B5" w:rsidRPr="005501B5" w:rsidRDefault="005501B5" w:rsidP="000E1462">
            <w:pPr>
              <w:jc w:val="center"/>
              <w:rPr>
                <w:color w:val="000000"/>
              </w:rPr>
            </w:pPr>
            <w:r w:rsidRPr="005501B5">
              <w:rPr>
                <w:color w:val="000000"/>
              </w:rPr>
              <w:t>69%</w:t>
            </w:r>
          </w:p>
        </w:tc>
        <w:tc>
          <w:tcPr>
            <w:tcW w:w="2643" w:type="dxa"/>
            <w:noWrap/>
            <w:hideMark/>
          </w:tcPr>
          <w:p w14:paraId="6C3CB7E2" w14:textId="77777777" w:rsidR="005501B5" w:rsidRPr="005501B5" w:rsidRDefault="005501B5" w:rsidP="000E1462">
            <w:pPr>
              <w:jc w:val="center"/>
              <w:rPr>
                <w:color w:val="000000"/>
              </w:rPr>
            </w:pPr>
            <w:r w:rsidRPr="005501B5">
              <w:rPr>
                <w:color w:val="000000"/>
              </w:rPr>
              <w:t>75%</w:t>
            </w:r>
          </w:p>
        </w:tc>
        <w:tc>
          <w:tcPr>
            <w:tcW w:w="2763" w:type="dxa"/>
            <w:noWrap/>
            <w:hideMark/>
          </w:tcPr>
          <w:p w14:paraId="7067394F" w14:textId="77777777" w:rsidR="005501B5" w:rsidRPr="005501B5" w:rsidRDefault="005501B5" w:rsidP="000E1462">
            <w:pPr>
              <w:jc w:val="center"/>
              <w:rPr>
                <w:color w:val="000000"/>
              </w:rPr>
            </w:pPr>
            <w:r w:rsidRPr="005501B5">
              <w:rPr>
                <w:color w:val="000000"/>
              </w:rPr>
              <w:t>97%</w:t>
            </w:r>
          </w:p>
        </w:tc>
      </w:tr>
      <w:tr w:rsidR="005501B5" w:rsidRPr="005501B5" w14:paraId="67047647" w14:textId="77777777" w:rsidTr="000E1462">
        <w:trPr>
          <w:trHeight w:val="300"/>
          <w:jc w:val="center"/>
        </w:trPr>
        <w:tc>
          <w:tcPr>
            <w:tcW w:w="1396" w:type="dxa"/>
            <w:noWrap/>
            <w:hideMark/>
          </w:tcPr>
          <w:p w14:paraId="1BA7A1E1" w14:textId="77777777" w:rsidR="005501B5" w:rsidRPr="005501B5" w:rsidRDefault="005501B5" w:rsidP="000E1462">
            <w:pPr>
              <w:jc w:val="center"/>
              <w:rPr>
                <w:color w:val="000000"/>
              </w:rPr>
            </w:pPr>
            <w:r w:rsidRPr="005501B5">
              <w:rPr>
                <w:color w:val="000000"/>
              </w:rPr>
              <w:t>0.6</w:t>
            </w:r>
          </w:p>
        </w:tc>
        <w:tc>
          <w:tcPr>
            <w:tcW w:w="2643" w:type="dxa"/>
            <w:noWrap/>
            <w:hideMark/>
          </w:tcPr>
          <w:p w14:paraId="08FA036B" w14:textId="77777777" w:rsidR="005501B5" w:rsidRPr="005501B5" w:rsidRDefault="005501B5" w:rsidP="000E1462">
            <w:pPr>
              <w:jc w:val="center"/>
              <w:rPr>
                <w:color w:val="000000"/>
              </w:rPr>
            </w:pPr>
            <w:r w:rsidRPr="005501B5">
              <w:rPr>
                <w:color w:val="000000"/>
              </w:rPr>
              <w:t>87%</w:t>
            </w:r>
          </w:p>
        </w:tc>
        <w:tc>
          <w:tcPr>
            <w:tcW w:w="2643" w:type="dxa"/>
            <w:noWrap/>
            <w:hideMark/>
          </w:tcPr>
          <w:p w14:paraId="7A61C8B4" w14:textId="77777777" w:rsidR="005501B5" w:rsidRPr="005501B5" w:rsidRDefault="005501B5" w:rsidP="000E1462">
            <w:pPr>
              <w:jc w:val="center"/>
              <w:rPr>
                <w:color w:val="000000"/>
              </w:rPr>
            </w:pPr>
            <w:r w:rsidRPr="005501B5">
              <w:rPr>
                <w:color w:val="000000"/>
              </w:rPr>
              <w:t>91%</w:t>
            </w:r>
          </w:p>
        </w:tc>
        <w:tc>
          <w:tcPr>
            <w:tcW w:w="2763" w:type="dxa"/>
            <w:noWrap/>
            <w:hideMark/>
          </w:tcPr>
          <w:p w14:paraId="145DA15F" w14:textId="77777777" w:rsidR="005501B5" w:rsidRPr="005501B5" w:rsidRDefault="005501B5" w:rsidP="000E1462">
            <w:pPr>
              <w:jc w:val="center"/>
              <w:rPr>
                <w:color w:val="000000"/>
              </w:rPr>
            </w:pPr>
            <w:r w:rsidRPr="005501B5">
              <w:rPr>
                <w:color w:val="000000"/>
              </w:rPr>
              <w:t>100%</w:t>
            </w:r>
          </w:p>
        </w:tc>
      </w:tr>
    </w:tbl>
    <w:p w14:paraId="313A678C" w14:textId="77777777" w:rsidR="005501B5" w:rsidRDefault="005501B5" w:rsidP="000E1462">
      <w:pPr>
        <w:jc w:val="center"/>
        <w:outlineLvl w:val="0"/>
        <w:rPr>
          <w:rFonts w:eastAsia="Arial Unicode MS"/>
          <w:color w:val="000000"/>
          <w:u w:color="000000"/>
        </w:rPr>
      </w:pPr>
    </w:p>
    <w:p w14:paraId="28A332F6" w14:textId="77777777" w:rsidR="00BA7031" w:rsidRDefault="00A81625" w:rsidP="004A67D1">
      <w:pPr>
        <w:outlineLvl w:val="0"/>
        <w:rPr>
          <w:rFonts w:eastAsia="Arial Unicode MS"/>
          <w:color w:val="000000"/>
          <w:u w:color="000000"/>
        </w:rPr>
      </w:pPr>
      <w:r>
        <w:rPr>
          <w:rFonts w:eastAsia="Arial Unicode MS"/>
          <w:color w:val="000000"/>
          <w:u w:color="000000"/>
        </w:rPr>
        <w:t>Because our survey is designed as a census, we plan to</w:t>
      </w:r>
      <w:r w:rsidRPr="00556529">
        <w:rPr>
          <w:rFonts w:eastAsia="Arial Unicode MS"/>
          <w:color w:val="000000"/>
          <w:u w:color="000000"/>
        </w:rPr>
        <w:t xml:space="preserve"> achieve variation in terms </w:t>
      </w:r>
      <w:r>
        <w:rPr>
          <w:rFonts w:eastAsia="Arial Unicode MS"/>
          <w:color w:val="000000"/>
          <w:u w:color="000000"/>
        </w:rPr>
        <w:t>programs</w:t>
      </w:r>
      <w:r w:rsidRPr="00556529">
        <w:rPr>
          <w:rFonts w:eastAsia="Arial Unicode MS"/>
          <w:color w:val="000000"/>
          <w:u w:color="000000"/>
        </w:rPr>
        <w:t xml:space="preserve"> and geographic location, and to produce expected sample sizes large enough to be able to discern differences on our surveyed measures </w:t>
      </w:r>
      <w:r>
        <w:rPr>
          <w:rFonts w:eastAsia="Arial Unicode MS"/>
          <w:color w:val="000000"/>
          <w:u w:color="000000"/>
        </w:rPr>
        <w:t>between various categories. We are using no sampling</w:t>
      </w:r>
      <w:r w:rsidRPr="00556529">
        <w:rPr>
          <w:rFonts w:eastAsia="Arial Unicode MS"/>
          <w:color w:val="000000"/>
          <w:u w:color="000000"/>
        </w:rPr>
        <w:t xml:space="preserve"> procedures; </w:t>
      </w:r>
      <w:r>
        <w:rPr>
          <w:rFonts w:eastAsia="Arial Unicode MS"/>
          <w:color w:val="000000"/>
          <w:u w:color="000000"/>
        </w:rPr>
        <w:t xml:space="preserve">instead, </w:t>
      </w:r>
      <w:r w:rsidRPr="00556529">
        <w:rPr>
          <w:rFonts w:eastAsia="Arial Unicode MS"/>
          <w:color w:val="000000"/>
          <w:u w:color="000000"/>
        </w:rPr>
        <w:t xml:space="preserve">we are surveying all </w:t>
      </w:r>
      <w:r>
        <w:rPr>
          <w:rFonts w:eastAsia="Arial Unicode MS"/>
          <w:color w:val="000000"/>
          <w:u w:color="000000"/>
        </w:rPr>
        <w:t>teachers at each of the</w:t>
      </w:r>
      <w:r w:rsidRPr="00556529">
        <w:rPr>
          <w:rFonts w:eastAsia="Arial Unicode MS"/>
          <w:color w:val="000000"/>
          <w:u w:color="000000"/>
        </w:rPr>
        <w:t xml:space="preserve"> sites. </w:t>
      </w:r>
      <w:r w:rsidR="00BA7031">
        <w:rPr>
          <w:rFonts w:eastAsia="Arial Unicode MS"/>
          <w:color w:val="000000"/>
          <w:u w:color="000000"/>
        </w:rPr>
        <w:t>Below, we discuss measures of statistical accuracy based on t</w:t>
      </w:r>
      <w:r w:rsidRPr="00556529">
        <w:rPr>
          <w:rFonts w:eastAsia="Arial Unicode MS"/>
          <w:color w:val="000000"/>
          <w:u w:color="000000"/>
        </w:rPr>
        <w:t xml:space="preserve">he sampling plan outlined in </w:t>
      </w:r>
      <w:r w:rsidR="004A67D1">
        <w:rPr>
          <w:rFonts w:eastAsia="Arial Unicode MS"/>
          <w:color w:val="000000"/>
          <w:u w:color="000000"/>
        </w:rPr>
        <w:t>T</w:t>
      </w:r>
      <w:r w:rsidR="00BA7031">
        <w:rPr>
          <w:rFonts w:eastAsia="Arial Unicode MS"/>
          <w:color w:val="000000"/>
          <w:u w:color="000000"/>
        </w:rPr>
        <w:t>able 1, which informs our potential sample sizes</w:t>
      </w:r>
      <w:r w:rsidRPr="00556529">
        <w:rPr>
          <w:rFonts w:eastAsia="Arial Unicode MS"/>
          <w:color w:val="000000"/>
          <w:u w:color="000000"/>
        </w:rPr>
        <w:t xml:space="preserve">. </w:t>
      </w:r>
    </w:p>
    <w:p w14:paraId="17E6DDB0" w14:textId="77777777" w:rsidR="00BA7031" w:rsidRDefault="00BA7031" w:rsidP="00A81625">
      <w:pPr>
        <w:outlineLvl w:val="0"/>
        <w:rPr>
          <w:rFonts w:eastAsia="Arial Unicode MS"/>
          <w:color w:val="000000"/>
          <w:u w:color="000000"/>
        </w:rPr>
      </w:pPr>
    </w:p>
    <w:p w14:paraId="0ED36602" w14:textId="77777777" w:rsidR="00B23A26" w:rsidRDefault="00BA7031" w:rsidP="00A81625">
      <w:pPr>
        <w:outlineLvl w:val="0"/>
        <w:rPr>
          <w:rFonts w:eastAsia="Arial Unicode MS"/>
          <w:color w:val="000000"/>
          <w:u w:color="000000"/>
        </w:rPr>
      </w:pPr>
      <w:r>
        <w:rPr>
          <w:rFonts w:eastAsia="Arial Unicode MS"/>
          <w:color w:val="000000"/>
          <w:u w:color="000000"/>
        </w:rPr>
        <w:t xml:space="preserve">Table </w:t>
      </w:r>
      <w:r w:rsidR="005501B5">
        <w:rPr>
          <w:rFonts w:eastAsia="Arial Unicode MS"/>
          <w:color w:val="000000"/>
          <w:u w:color="000000"/>
        </w:rPr>
        <w:t>3</w:t>
      </w:r>
      <w:r w:rsidR="00B23A26">
        <w:rPr>
          <w:rFonts w:eastAsia="Arial Unicode MS"/>
          <w:color w:val="000000"/>
          <w:u w:color="000000"/>
        </w:rPr>
        <w:t xml:space="preserve"> provides the statistical measures of precision that we plan to achieve, broken down by potential response rates and confidence levels. Note that these estimates are conservative (based on a .5 proportion of ‘yes’ answers to all questions</w:t>
      </w:r>
      <w:r w:rsidR="009940AB">
        <w:rPr>
          <w:rFonts w:eastAsia="Arial Unicode MS"/>
          <w:color w:val="000000"/>
          <w:u w:color="000000"/>
        </w:rPr>
        <w:t>)</w:t>
      </w:r>
      <w:r w:rsidR="00B23A26">
        <w:rPr>
          <w:rFonts w:eastAsia="Arial Unicode MS"/>
          <w:color w:val="000000"/>
          <w:u w:color="000000"/>
        </w:rPr>
        <w:t xml:space="preserve">. In reality, as proportions of responses deviate from .5, our margins of errors will shrink. </w:t>
      </w:r>
      <w:r w:rsidR="00EE0928">
        <w:rPr>
          <w:rFonts w:eastAsia="Arial Unicode MS"/>
          <w:color w:val="000000"/>
          <w:u w:color="000000"/>
        </w:rPr>
        <w:t>The calculations in the table are based on formulae for margin of error in a z-test for population proportions.</w:t>
      </w:r>
    </w:p>
    <w:p w14:paraId="5EFD0FA0" w14:textId="77777777" w:rsidR="00B23A26" w:rsidRDefault="00B23A26" w:rsidP="00A81625">
      <w:pPr>
        <w:outlineLvl w:val="0"/>
        <w:rPr>
          <w:rFonts w:eastAsia="Arial Unicode MS"/>
          <w:color w:val="000000"/>
          <w:u w:color="000000"/>
        </w:rPr>
      </w:pPr>
    </w:p>
    <w:p w14:paraId="2D4D501B" w14:textId="77777777" w:rsidR="00B23A26" w:rsidRDefault="00B23A26" w:rsidP="00A81625">
      <w:pPr>
        <w:outlineLvl w:val="0"/>
        <w:rPr>
          <w:rFonts w:eastAsia="Arial Unicode MS"/>
          <w:color w:val="000000"/>
          <w:u w:color="000000"/>
        </w:rPr>
      </w:pPr>
      <w:r>
        <w:rPr>
          <w:rFonts w:eastAsia="Arial Unicode MS"/>
          <w:color w:val="000000"/>
          <w:u w:color="000000"/>
        </w:rPr>
        <w:t xml:space="preserve">Table </w:t>
      </w:r>
      <w:r w:rsidR="005501B5">
        <w:rPr>
          <w:rFonts w:eastAsia="Arial Unicode MS"/>
          <w:color w:val="000000"/>
          <w:u w:color="000000"/>
        </w:rPr>
        <w:t>3</w:t>
      </w:r>
      <w:r>
        <w:rPr>
          <w:rFonts w:eastAsia="Arial Unicode MS"/>
          <w:color w:val="000000"/>
          <w:u w:color="000000"/>
        </w:rPr>
        <w:t>. Conservative expected margins of error</w:t>
      </w:r>
    </w:p>
    <w:p w14:paraId="0A06F3A1" w14:textId="77777777" w:rsidR="00B23A26" w:rsidRDefault="00B23A26" w:rsidP="00A81625">
      <w:pPr>
        <w:outlineLvl w:val="0"/>
        <w:rPr>
          <w:rFonts w:eastAsia="Arial Unicode MS"/>
          <w:color w:val="000000"/>
          <w:u w:color="000000"/>
        </w:rPr>
      </w:pPr>
    </w:p>
    <w:tbl>
      <w:tblPr>
        <w:tblW w:w="9302" w:type="dxa"/>
        <w:tblInd w:w="93" w:type="dxa"/>
        <w:tblLook w:val="04A0" w:firstRow="1" w:lastRow="0" w:firstColumn="1" w:lastColumn="0" w:noHBand="0" w:noVBand="1"/>
      </w:tblPr>
      <w:tblGrid>
        <w:gridCol w:w="1280"/>
        <w:gridCol w:w="2087"/>
        <w:gridCol w:w="1924"/>
        <w:gridCol w:w="2087"/>
        <w:gridCol w:w="1924"/>
      </w:tblGrid>
      <w:tr w:rsidR="00A27B67" w:rsidRPr="00F1396C" w14:paraId="01A1EE43" w14:textId="77777777" w:rsidTr="009940AB">
        <w:trPr>
          <w:trHeight w:val="315"/>
        </w:trPr>
        <w:tc>
          <w:tcPr>
            <w:tcW w:w="1280" w:type="dxa"/>
            <w:tcBorders>
              <w:top w:val="nil"/>
              <w:left w:val="nil"/>
              <w:bottom w:val="double" w:sz="6" w:space="0" w:color="auto"/>
              <w:right w:val="nil"/>
            </w:tcBorders>
            <w:shd w:val="clear" w:color="auto" w:fill="auto"/>
            <w:noWrap/>
            <w:vAlign w:val="bottom"/>
            <w:hideMark/>
          </w:tcPr>
          <w:p w14:paraId="47BD1678" w14:textId="77777777" w:rsidR="00A27B67" w:rsidRPr="00F1396C" w:rsidRDefault="00A27B67" w:rsidP="00F1396C">
            <w:pPr>
              <w:rPr>
                <w:i/>
                <w:iCs/>
                <w:color w:val="000000"/>
              </w:rPr>
            </w:pPr>
            <w:r w:rsidRPr="00F1396C">
              <w:rPr>
                <w:i/>
                <w:iCs/>
                <w:color w:val="000000"/>
              </w:rPr>
              <w:t>Program</w:t>
            </w:r>
          </w:p>
        </w:tc>
        <w:tc>
          <w:tcPr>
            <w:tcW w:w="4011" w:type="dxa"/>
            <w:gridSpan w:val="2"/>
            <w:tcBorders>
              <w:top w:val="nil"/>
              <w:left w:val="nil"/>
              <w:bottom w:val="double" w:sz="6" w:space="0" w:color="auto"/>
              <w:right w:val="nil"/>
            </w:tcBorders>
            <w:shd w:val="clear" w:color="auto" w:fill="auto"/>
            <w:noWrap/>
            <w:vAlign w:val="bottom"/>
            <w:hideMark/>
          </w:tcPr>
          <w:p w14:paraId="3C13CF2A" w14:textId="77777777" w:rsidR="00A27B67" w:rsidRPr="00F1396C" w:rsidRDefault="00A27B67" w:rsidP="00A27B67">
            <w:pPr>
              <w:jc w:val="center"/>
              <w:rPr>
                <w:i/>
                <w:iCs/>
                <w:color w:val="000000"/>
              </w:rPr>
            </w:pPr>
            <w:r w:rsidRPr="00F1396C">
              <w:rPr>
                <w:i/>
                <w:iCs/>
                <w:color w:val="000000"/>
              </w:rPr>
              <w:t>80% response rate </w:t>
            </w:r>
          </w:p>
        </w:tc>
        <w:tc>
          <w:tcPr>
            <w:tcW w:w="4011" w:type="dxa"/>
            <w:gridSpan w:val="2"/>
            <w:tcBorders>
              <w:top w:val="nil"/>
              <w:left w:val="nil"/>
              <w:bottom w:val="double" w:sz="6" w:space="0" w:color="auto"/>
              <w:right w:val="nil"/>
            </w:tcBorders>
            <w:shd w:val="clear" w:color="auto" w:fill="auto"/>
            <w:noWrap/>
            <w:vAlign w:val="bottom"/>
            <w:hideMark/>
          </w:tcPr>
          <w:p w14:paraId="5EFF425E" w14:textId="77777777" w:rsidR="00A27B67" w:rsidRPr="00F1396C" w:rsidRDefault="00A27B67" w:rsidP="00A27B67">
            <w:pPr>
              <w:jc w:val="center"/>
              <w:rPr>
                <w:i/>
                <w:iCs/>
                <w:color w:val="000000"/>
              </w:rPr>
            </w:pPr>
            <w:r w:rsidRPr="00F1396C">
              <w:rPr>
                <w:i/>
                <w:iCs/>
                <w:color w:val="000000"/>
              </w:rPr>
              <w:t>90% response rate</w:t>
            </w:r>
          </w:p>
        </w:tc>
      </w:tr>
      <w:tr w:rsidR="00F1396C" w:rsidRPr="00F1396C" w14:paraId="6F6C29C7" w14:textId="77777777" w:rsidTr="00F1396C">
        <w:trPr>
          <w:trHeight w:val="315"/>
        </w:trPr>
        <w:tc>
          <w:tcPr>
            <w:tcW w:w="1280" w:type="dxa"/>
            <w:tcBorders>
              <w:top w:val="nil"/>
              <w:left w:val="nil"/>
              <w:bottom w:val="nil"/>
              <w:right w:val="nil"/>
            </w:tcBorders>
            <w:shd w:val="clear" w:color="auto" w:fill="auto"/>
            <w:noWrap/>
            <w:vAlign w:val="bottom"/>
            <w:hideMark/>
          </w:tcPr>
          <w:p w14:paraId="3C3E3936" w14:textId="77777777" w:rsidR="00F1396C" w:rsidRPr="00F1396C" w:rsidRDefault="00F1396C" w:rsidP="00F1396C">
            <w:pPr>
              <w:jc w:val="center"/>
              <w:rPr>
                <w:color w:val="000000"/>
              </w:rPr>
            </w:pPr>
          </w:p>
        </w:tc>
        <w:tc>
          <w:tcPr>
            <w:tcW w:w="2087" w:type="dxa"/>
            <w:tcBorders>
              <w:top w:val="nil"/>
              <w:left w:val="nil"/>
              <w:bottom w:val="single" w:sz="4" w:space="0" w:color="auto"/>
              <w:right w:val="nil"/>
            </w:tcBorders>
            <w:shd w:val="clear" w:color="auto" w:fill="auto"/>
            <w:noWrap/>
            <w:vAlign w:val="bottom"/>
            <w:hideMark/>
          </w:tcPr>
          <w:p w14:paraId="3A25A14A" w14:textId="77777777" w:rsidR="00F1396C" w:rsidRPr="00F1396C" w:rsidRDefault="00F1396C" w:rsidP="00F1396C">
            <w:pPr>
              <w:jc w:val="center"/>
              <w:rPr>
                <w:b/>
                <w:bCs/>
                <w:color w:val="000000"/>
              </w:rPr>
            </w:pPr>
            <w:r w:rsidRPr="00F1396C">
              <w:rPr>
                <w:b/>
                <w:bCs/>
                <w:color w:val="000000"/>
              </w:rPr>
              <w:t>90% confidence</w:t>
            </w:r>
          </w:p>
        </w:tc>
        <w:tc>
          <w:tcPr>
            <w:tcW w:w="1924" w:type="dxa"/>
            <w:tcBorders>
              <w:top w:val="nil"/>
              <w:left w:val="nil"/>
              <w:bottom w:val="single" w:sz="4" w:space="0" w:color="auto"/>
              <w:right w:val="nil"/>
            </w:tcBorders>
            <w:shd w:val="clear" w:color="auto" w:fill="auto"/>
            <w:noWrap/>
            <w:vAlign w:val="bottom"/>
            <w:hideMark/>
          </w:tcPr>
          <w:p w14:paraId="50A95C90" w14:textId="77777777" w:rsidR="00F1396C" w:rsidRPr="00F1396C" w:rsidRDefault="00F1396C" w:rsidP="00F1396C">
            <w:pPr>
              <w:jc w:val="center"/>
              <w:rPr>
                <w:b/>
                <w:bCs/>
                <w:color w:val="000000"/>
              </w:rPr>
            </w:pPr>
            <w:r w:rsidRPr="00F1396C">
              <w:rPr>
                <w:b/>
                <w:bCs/>
                <w:color w:val="000000"/>
              </w:rPr>
              <w:t>95% confidence</w:t>
            </w:r>
          </w:p>
        </w:tc>
        <w:tc>
          <w:tcPr>
            <w:tcW w:w="2087" w:type="dxa"/>
            <w:tcBorders>
              <w:top w:val="nil"/>
              <w:left w:val="nil"/>
              <w:bottom w:val="single" w:sz="4" w:space="0" w:color="auto"/>
              <w:right w:val="nil"/>
            </w:tcBorders>
            <w:shd w:val="clear" w:color="auto" w:fill="auto"/>
            <w:noWrap/>
            <w:vAlign w:val="bottom"/>
            <w:hideMark/>
          </w:tcPr>
          <w:p w14:paraId="0C50E17F" w14:textId="77777777" w:rsidR="00F1396C" w:rsidRPr="00F1396C" w:rsidRDefault="00F1396C" w:rsidP="00F1396C">
            <w:pPr>
              <w:jc w:val="center"/>
              <w:rPr>
                <w:b/>
                <w:bCs/>
                <w:color w:val="000000"/>
              </w:rPr>
            </w:pPr>
            <w:r w:rsidRPr="00F1396C">
              <w:rPr>
                <w:b/>
                <w:bCs/>
                <w:color w:val="000000"/>
              </w:rPr>
              <w:t>90% confidence</w:t>
            </w:r>
          </w:p>
        </w:tc>
        <w:tc>
          <w:tcPr>
            <w:tcW w:w="1924" w:type="dxa"/>
            <w:tcBorders>
              <w:top w:val="nil"/>
              <w:left w:val="nil"/>
              <w:bottom w:val="single" w:sz="4" w:space="0" w:color="auto"/>
              <w:right w:val="nil"/>
            </w:tcBorders>
            <w:shd w:val="clear" w:color="auto" w:fill="auto"/>
            <w:noWrap/>
            <w:vAlign w:val="bottom"/>
            <w:hideMark/>
          </w:tcPr>
          <w:p w14:paraId="15E78F2B" w14:textId="77777777" w:rsidR="00F1396C" w:rsidRPr="00F1396C" w:rsidRDefault="00F1396C" w:rsidP="00F1396C">
            <w:pPr>
              <w:jc w:val="center"/>
              <w:rPr>
                <w:b/>
                <w:bCs/>
                <w:color w:val="000000"/>
              </w:rPr>
            </w:pPr>
            <w:r w:rsidRPr="00F1396C">
              <w:rPr>
                <w:b/>
                <w:bCs/>
                <w:color w:val="000000"/>
              </w:rPr>
              <w:t>95% confidence</w:t>
            </w:r>
          </w:p>
        </w:tc>
      </w:tr>
      <w:tr w:rsidR="00F1396C" w:rsidRPr="00F1396C" w14:paraId="565585E0" w14:textId="77777777" w:rsidTr="00F1396C">
        <w:trPr>
          <w:trHeight w:val="300"/>
        </w:trPr>
        <w:tc>
          <w:tcPr>
            <w:tcW w:w="1280" w:type="dxa"/>
            <w:tcBorders>
              <w:top w:val="nil"/>
              <w:left w:val="nil"/>
              <w:bottom w:val="nil"/>
              <w:right w:val="nil"/>
            </w:tcBorders>
            <w:shd w:val="clear" w:color="auto" w:fill="auto"/>
            <w:noWrap/>
            <w:vAlign w:val="bottom"/>
            <w:hideMark/>
          </w:tcPr>
          <w:p w14:paraId="238BAA3C" w14:textId="77777777" w:rsidR="00F1396C" w:rsidRPr="00F1396C" w:rsidRDefault="00F1396C" w:rsidP="00F1396C">
            <w:pPr>
              <w:jc w:val="center"/>
              <w:rPr>
                <w:b/>
                <w:bCs/>
                <w:color w:val="000000"/>
              </w:rPr>
            </w:pPr>
            <w:r w:rsidRPr="00F1396C">
              <w:rPr>
                <w:b/>
                <w:bCs/>
                <w:color w:val="000000"/>
              </w:rPr>
              <w:t>GED</w:t>
            </w:r>
          </w:p>
        </w:tc>
        <w:tc>
          <w:tcPr>
            <w:tcW w:w="2087" w:type="dxa"/>
            <w:tcBorders>
              <w:top w:val="nil"/>
              <w:left w:val="nil"/>
              <w:bottom w:val="nil"/>
              <w:right w:val="nil"/>
            </w:tcBorders>
            <w:shd w:val="clear" w:color="auto" w:fill="auto"/>
            <w:noWrap/>
            <w:vAlign w:val="bottom"/>
            <w:hideMark/>
          </w:tcPr>
          <w:p w14:paraId="400E8BD9" w14:textId="77777777" w:rsidR="00F1396C" w:rsidRPr="00F1396C" w:rsidRDefault="00F1396C" w:rsidP="00F1396C">
            <w:pPr>
              <w:jc w:val="center"/>
              <w:rPr>
                <w:color w:val="000000"/>
              </w:rPr>
            </w:pPr>
            <w:r w:rsidRPr="00F1396C">
              <w:rPr>
                <w:color w:val="000000"/>
              </w:rPr>
              <w:t>0.09</w:t>
            </w:r>
          </w:p>
        </w:tc>
        <w:tc>
          <w:tcPr>
            <w:tcW w:w="1924" w:type="dxa"/>
            <w:tcBorders>
              <w:top w:val="nil"/>
              <w:left w:val="nil"/>
              <w:bottom w:val="nil"/>
              <w:right w:val="nil"/>
            </w:tcBorders>
            <w:shd w:val="clear" w:color="auto" w:fill="auto"/>
            <w:noWrap/>
            <w:vAlign w:val="bottom"/>
            <w:hideMark/>
          </w:tcPr>
          <w:p w14:paraId="0917EBB0" w14:textId="77777777" w:rsidR="00F1396C" w:rsidRPr="00F1396C" w:rsidRDefault="00F1396C" w:rsidP="00F1396C">
            <w:pPr>
              <w:jc w:val="center"/>
              <w:rPr>
                <w:color w:val="000000"/>
              </w:rPr>
            </w:pPr>
            <w:r w:rsidRPr="00F1396C">
              <w:rPr>
                <w:color w:val="000000"/>
              </w:rPr>
              <w:t>0.11</w:t>
            </w:r>
          </w:p>
        </w:tc>
        <w:tc>
          <w:tcPr>
            <w:tcW w:w="2087" w:type="dxa"/>
            <w:tcBorders>
              <w:top w:val="nil"/>
              <w:left w:val="nil"/>
              <w:bottom w:val="nil"/>
              <w:right w:val="nil"/>
            </w:tcBorders>
            <w:shd w:val="clear" w:color="auto" w:fill="auto"/>
            <w:noWrap/>
            <w:vAlign w:val="bottom"/>
            <w:hideMark/>
          </w:tcPr>
          <w:p w14:paraId="75B968F8" w14:textId="77777777" w:rsidR="00F1396C" w:rsidRPr="00F1396C" w:rsidRDefault="00F1396C" w:rsidP="00F1396C">
            <w:pPr>
              <w:jc w:val="center"/>
              <w:rPr>
                <w:color w:val="000000"/>
              </w:rPr>
            </w:pPr>
            <w:r w:rsidRPr="00F1396C">
              <w:rPr>
                <w:color w:val="000000"/>
              </w:rPr>
              <w:t>0.09</w:t>
            </w:r>
          </w:p>
        </w:tc>
        <w:tc>
          <w:tcPr>
            <w:tcW w:w="1924" w:type="dxa"/>
            <w:tcBorders>
              <w:top w:val="nil"/>
              <w:left w:val="nil"/>
              <w:bottom w:val="nil"/>
              <w:right w:val="nil"/>
            </w:tcBorders>
            <w:shd w:val="clear" w:color="auto" w:fill="auto"/>
            <w:noWrap/>
            <w:vAlign w:val="bottom"/>
            <w:hideMark/>
          </w:tcPr>
          <w:p w14:paraId="64FCEE79" w14:textId="77777777" w:rsidR="00F1396C" w:rsidRPr="00F1396C" w:rsidRDefault="00F1396C" w:rsidP="00F1396C">
            <w:pPr>
              <w:jc w:val="center"/>
              <w:rPr>
                <w:color w:val="000000"/>
              </w:rPr>
            </w:pPr>
            <w:r w:rsidRPr="00F1396C">
              <w:rPr>
                <w:color w:val="000000"/>
              </w:rPr>
              <w:t>0.10</w:t>
            </w:r>
          </w:p>
        </w:tc>
      </w:tr>
      <w:tr w:rsidR="00F1396C" w:rsidRPr="00F1396C" w14:paraId="0F560E91" w14:textId="77777777" w:rsidTr="00F1396C">
        <w:trPr>
          <w:trHeight w:val="300"/>
        </w:trPr>
        <w:tc>
          <w:tcPr>
            <w:tcW w:w="1280" w:type="dxa"/>
            <w:tcBorders>
              <w:top w:val="nil"/>
              <w:left w:val="nil"/>
              <w:bottom w:val="nil"/>
              <w:right w:val="nil"/>
            </w:tcBorders>
            <w:shd w:val="clear" w:color="auto" w:fill="auto"/>
            <w:noWrap/>
            <w:vAlign w:val="bottom"/>
            <w:hideMark/>
          </w:tcPr>
          <w:p w14:paraId="29FDCE20" w14:textId="77777777" w:rsidR="00F1396C" w:rsidRPr="00F1396C" w:rsidRDefault="00F1396C" w:rsidP="00F1396C">
            <w:pPr>
              <w:jc w:val="center"/>
              <w:rPr>
                <w:b/>
                <w:bCs/>
                <w:color w:val="000000"/>
              </w:rPr>
            </w:pPr>
            <w:r w:rsidRPr="00F1396C">
              <w:rPr>
                <w:b/>
                <w:bCs/>
                <w:color w:val="000000"/>
              </w:rPr>
              <w:t>Non-GED</w:t>
            </w:r>
          </w:p>
        </w:tc>
        <w:tc>
          <w:tcPr>
            <w:tcW w:w="2087" w:type="dxa"/>
            <w:tcBorders>
              <w:top w:val="nil"/>
              <w:left w:val="nil"/>
              <w:bottom w:val="nil"/>
              <w:right w:val="nil"/>
            </w:tcBorders>
            <w:shd w:val="clear" w:color="auto" w:fill="auto"/>
            <w:noWrap/>
            <w:vAlign w:val="bottom"/>
            <w:hideMark/>
          </w:tcPr>
          <w:p w14:paraId="08D95CBF" w14:textId="77777777" w:rsidR="00F1396C" w:rsidRPr="00F1396C" w:rsidRDefault="00F1396C" w:rsidP="00F1396C">
            <w:pPr>
              <w:jc w:val="center"/>
              <w:rPr>
                <w:color w:val="000000"/>
              </w:rPr>
            </w:pPr>
            <w:r w:rsidRPr="00F1396C">
              <w:rPr>
                <w:color w:val="000000"/>
              </w:rPr>
              <w:t>0.10</w:t>
            </w:r>
          </w:p>
        </w:tc>
        <w:tc>
          <w:tcPr>
            <w:tcW w:w="1924" w:type="dxa"/>
            <w:tcBorders>
              <w:top w:val="nil"/>
              <w:left w:val="nil"/>
              <w:bottom w:val="nil"/>
              <w:right w:val="nil"/>
            </w:tcBorders>
            <w:shd w:val="clear" w:color="auto" w:fill="auto"/>
            <w:noWrap/>
            <w:vAlign w:val="bottom"/>
            <w:hideMark/>
          </w:tcPr>
          <w:p w14:paraId="15C7CAEE" w14:textId="77777777" w:rsidR="00F1396C" w:rsidRPr="00F1396C" w:rsidRDefault="00F1396C" w:rsidP="00F1396C">
            <w:pPr>
              <w:jc w:val="center"/>
              <w:rPr>
                <w:color w:val="000000"/>
              </w:rPr>
            </w:pPr>
            <w:r w:rsidRPr="00F1396C">
              <w:rPr>
                <w:color w:val="000000"/>
              </w:rPr>
              <w:t>0.12</w:t>
            </w:r>
          </w:p>
        </w:tc>
        <w:tc>
          <w:tcPr>
            <w:tcW w:w="2087" w:type="dxa"/>
            <w:tcBorders>
              <w:top w:val="nil"/>
              <w:left w:val="nil"/>
              <w:bottom w:val="nil"/>
              <w:right w:val="nil"/>
            </w:tcBorders>
            <w:shd w:val="clear" w:color="auto" w:fill="auto"/>
            <w:noWrap/>
            <w:vAlign w:val="bottom"/>
            <w:hideMark/>
          </w:tcPr>
          <w:p w14:paraId="2CC0C123" w14:textId="77777777" w:rsidR="00F1396C" w:rsidRPr="00F1396C" w:rsidRDefault="00F1396C" w:rsidP="00F1396C">
            <w:pPr>
              <w:jc w:val="center"/>
              <w:rPr>
                <w:color w:val="000000"/>
              </w:rPr>
            </w:pPr>
            <w:r w:rsidRPr="00F1396C">
              <w:rPr>
                <w:color w:val="000000"/>
              </w:rPr>
              <w:t>0.09</w:t>
            </w:r>
          </w:p>
        </w:tc>
        <w:tc>
          <w:tcPr>
            <w:tcW w:w="1924" w:type="dxa"/>
            <w:tcBorders>
              <w:top w:val="nil"/>
              <w:left w:val="nil"/>
              <w:bottom w:val="nil"/>
              <w:right w:val="nil"/>
            </w:tcBorders>
            <w:shd w:val="clear" w:color="auto" w:fill="auto"/>
            <w:noWrap/>
            <w:vAlign w:val="bottom"/>
            <w:hideMark/>
          </w:tcPr>
          <w:p w14:paraId="79BE29C9" w14:textId="77777777" w:rsidR="00F1396C" w:rsidRPr="00F1396C" w:rsidRDefault="00F1396C" w:rsidP="00F1396C">
            <w:pPr>
              <w:jc w:val="center"/>
              <w:rPr>
                <w:color w:val="000000"/>
              </w:rPr>
            </w:pPr>
            <w:r w:rsidRPr="00F1396C">
              <w:rPr>
                <w:color w:val="000000"/>
              </w:rPr>
              <w:t>0.11</w:t>
            </w:r>
          </w:p>
        </w:tc>
      </w:tr>
      <w:tr w:rsidR="00F1396C" w:rsidRPr="00F1396C" w14:paraId="4DDA9A08" w14:textId="77777777" w:rsidTr="00F1396C">
        <w:trPr>
          <w:trHeight w:val="315"/>
        </w:trPr>
        <w:tc>
          <w:tcPr>
            <w:tcW w:w="1280" w:type="dxa"/>
            <w:tcBorders>
              <w:top w:val="single" w:sz="4" w:space="0" w:color="auto"/>
              <w:left w:val="nil"/>
              <w:bottom w:val="double" w:sz="6" w:space="0" w:color="auto"/>
              <w:right w:val="nil"/>
            </w:tcBorders>
            <w:shd w:val="clear" w:color="auto" w:fill="auto"/>
            <w:noWrap/>
            <w:vAlign w:val="bottom"/>
            <w:hideMark/>
          </w:tcPr>
          <w:p w14:paraId="73797E9B" w14:textId="77777777" w:rsidR="00F1396C" w:rsidRPr="00F1396C" w:rsidRDefault="00F1396C" w:rsidP="00F1396C">
            <w:pPr>
              <w:jc w:val="center"/>
              <w:rPr>
                <w:b/>
                <w:bCs/>
                <w:color w:val="000000"/>
              </w:rPr>
            </w:pPr>
            <w:r w:rsidRPr="00F1396C">
              <w:rPr>
                <w:b/>
                <w:bCs/>
                <w:color w:val="000000"/>
              </w:rPr>
              <w:t>Total</w:t>
            </w:r>
          </w:p>
        </w:tc>
        <w:tc>
          <w:tcPr>
            <w:tcW w:w="2087" w:type="dxa"/>
            <w:tcBorders>
              <w:top w:val="single" w:sz="4" w:space="0" w:color="auto"/>
              <w:left w:val="nil"/>
              <w:bottom w:val="double" w:sz="6" w:space="0" w:color="auto"/>
              <w:right w:val="nil"/>
            </w:tcBorders>
            <w:shd w:val="clear" w:color="auto" w:fill="auto"/>
            <w:noWrap/>
            <w:vAlign w:val="bottom"/>
            <w:hideMark/>
          </w:tcPr>
          <w:p w14:paraId="16FAE76A" w14:textId="77777777" w:rsidR="00F1396C" w:rsidRPr="00F1396C" w:rsidRDefault="00A27B67" w:rsidP="00F1396C">
            <w:pPr>
              <w:jc w:val="center"/>
              <w:rPr>
                <w:color w:val="000000"/>
              </w:rPr>
            </w:pPr>
            <w:r>
              <w:rPr>
                <w:color w:val="000000"/>
              </w:rPr>
              <w:t>0.07</w:t>
            </w:r>
          </w:p>
        </w:tc>
        <w:tc>
          <w:tcPr>
            <w:tcW w:w="1924" w:type="dxa"/>
            <w:tcBorders>
              <w:top w:val="single" w:sz="4" w:space="0" w:color="auto"/>
              <w:left w:val="nil"/>
              <w:bottom w:val="double" w:sz="6" w:space="0" w:color="auto"/>
              <w:right w:val="nil"/>
            </w:tcBorders>
            <w:shd w:val="clear" w:color="auto" w:fill="auto"/>
            <w:noWrap/>
            <w:vAlign w:val="bottom"/>
            <w:hideMark/>
          </w:tcPr>
          <w:p w14:paraId="328C7E96" w14:textId="77777777" w:rsidR="00F1396C" w:rsidRPr="00F1396C" w:rsidRDefault="00F1396C" w:rsidP="00A27B67">
            <w:pPr>
              <w:jc w:val="center"/>
              <w:rPr>
                <w:color w:val="000000"/>
              </w:rPr>
            </w:pPr>
            <w:r w:rsidRPr="00F1396C">
              <w:rPr>
                <w:color w:val="000000"/>
              </w:rPr>
              <w:t>0.0</w:t>
            </w:r>
            <w:r w:rsidR="00A27B67">
              <w:rPr>
                <w:color w:val="000000"/>
              </w:rPr>
              <w:t>8</w:t>
            </w:r>
          </w:p>
        </w:tc>
        <w:tc>
          <w:tcPr>
            <w:tcW w:w="2087" w:type="dxa"/>
            <w:tcBorders>
              <w:top w:val="single" w:sz="4" w:space="0" w:color="auto"/>
              <w:left w:val="nil"/>
              <w:bottom w:val="double" w:sz="6" w:space="0" w:color="auto"/>
              <w:right w:val="nil"/>
            </w:tcBorders>
            <w:shd w:val="clear" w:color="auto" w:fill="auto"/>
            <w:noWrap/>
            <w:vAlign w:val="bottom"/>
            <w:hideMark/>
          </w:tcPr>
          <w:p w14:paraId="52E1195B" w14:textId="77777777" w:rsidR="00F1396C" w:rsidRPr="00F1396C" w:rsidRDefault="00F1396C" w:rsidP="00A27B67">
            <w:pPr>
              <w:jc w:val="center"/>
              <w:rPr>
                <w:color w:val="000000"/>
              </w:rPr>
            </w:pPr>
            <w:r w:rsidRPr="00F1396C">
              <w:rPr>
                <w:color w:val="000000"/>
              </w:rPr>
              <w:t>0.06</w:t>
            </w:r>
          </w:p>
        </w:tc>
        <w:tc>
          <w:tcPr>
            <w:tcW w:w="1924" w:type="dxa"/>
            <w:tcBorders>
              <w:top w:val="single" w:sz="4" w:space="0" w:color="auto"/>
              <w:left w:val="nil"/>
              <w:bottom w:val="double" w:sz="6" w:space="0" w:color="auto"/>
              <w:right w:val="nil"/>
            </w:tcBorders>
            <w:shd w:val="clear" w:color="auto" w:fill="auto"/>
            <w:noWrap/>
            <w:vAlign w:val="bottom"/>
            <w:hideMark/>
          </w:tcPr>
          <w:p w14:paraId="2096A23C" w14:textId="77777777" w:rsidR="00F1396C" w:rsidRPr="00F1396C" w:rsidRDefault="00F1396C" w:rsidP="00A27B67">
            <w:pPr>
              <w:jc w:val="center"/>
              <w:rPr>
                <w:color w:val="000000"/>
              </w:rPr>
            </w:pPr>
            <w:r w:rsidRPr="00F1396C">
              <w:rPr>
                <w:color w:val="000000"/>
              </w:rPr>
              <w:t>0.07</w:t>
            </w:r>
          </w:p>
        </w:tc>
      </w:tr>
    </w:tbl>
    <w:p w14:paraId="565414A0" w14:textId="77777777" w:rsidR="00F1396C" w:rsidRDefault="00F1396C" w:rsidP="00A81625">
      <w:pPr>
        <w:outlineLvl w:val="0"/>
        <w:rPr>
          <w:rFonts w:eastAsia="Arial Unicode MS"/>
          <w:color w:val="000000"/>
          <w:u w:color="000000"/>
        </w:rPr>
      </w:pPr>
    </w:p>
    <w:p w14:paraId="72A8114B" w14:textId="77777777" w:rsidR="00122EAA" w:rsidRDefault="00A81625" w:rsidP="00A81625">
      <w:pPr>
        <w:outlineLvl w:val="0"/>
        <w:rPr>
          <w:rFonts w:eastAsia="Arial Unicode MS"/>
          <w:color w:val="000000"/>
          <w:u w:color="000000"/>
        </w:rPr>
      </w:pPr>
      <w:r w:rsidRPr="00556529">
        <w:rPr>
          <w:rFonts w:eastAsia="Arial Unicode MS"/>
          <w:color w:val="000000"/>
          <w:u w:color="000000"/>
        </w:rPr>
        <w:t>Assuming an 80</w:t>
      </w:r>
      <w:r>
        <w:rPr>
          <w:rFonts w:eastAsia="Arial Unicode MS"/>
          <w:color w:val="000000"/>
          <w:u w:color="000000"/>
        </w:rPr>
        <w:t>-</w:t>
      </w:r>
      <w:r w:rsidRPr="00556529">
        <w:rPr>
          <w:rFonts w:eastAsia="Arial Unicode MS"/>
          <w:color w:val="000000"/>
          <w:u w:color="000000"/>
        </w:rPr>
        <w:t xml:space="preserve">percent response rate, </w:t>
      </w:r>
      <w:r w:rsidR="00122EAA">
        <w:rPr>
          <w:rFonts w:eastAsia="Arial Unicode MS"/>
          <w:color w:val="000000"/>
          <w:u w:color="000000"/>
        </w:rPr>
        <w:t>our margin of error for each question for all teachers</w:t>
      </w:r>
      <w:r>
        <w:rPr>
          <w:rFonts w:eastAsia="Arial Unicode MS"/>
          <w:color w:val="000000"/>
          <w:u w:color="000000"/>
        </w:rPr>
        <w:t xml:space="preserve"> </w:t>
      </w:r>
      <w:r w:rsidR="00122EAA">
        <w:rPr>
          <w:rFonts w:eastAsia="Arial Unicode MS"/>
          <w:color w:val="000000"/>
          <w:u w:color="000000"/>
        </w:rPr>
        <w:t xml:space="preserve">is at most 7%, meaning that our confidence interval for each question will be at most 14% wide. Our 95% confidence intervals will be at most 16% wide under the same response rate. Once the population of teachers is broken down into those who teach in GED vs. non-GED programs, the sample size decreases and so the confidence intervals become wider, as shown in table 2. </w:t>
      </w:r>
      <w:r w:rsidR="00122EAA">
        <w:rPr>
          <w:rFonts w:eastAsia="Arial Unicode MS"/>
          <w:color w:val="000000"/>
          <w:u w:color="000000"/>
        </w:rPr>
        <w:lastRenderedPageBreak/>
        <w:t>Assuming a 90% response rate, we expect our confidence intervals to be slightly narrower, around 12 percentage points for 90% confidence, and 14 percentage points for 95% confidence in our estimates. Again, we expect actual intervals to be even narrower that these bounds; these calculations present a worst-case scenario.</w:t>
      </w:r>
    </w:p>
    <w:p w14:paraId="34AC5BEA" w14:textId="77777777" w:rsidR="00122EAA" w:rsidRDefault="00122EAA" w:rsidP="00A81625">
      <w:pPr>
        <w:outlineLvl w:val="0"/>
        <w:rPr>
          <w:rFonts w:eastAsia="Arial Unicode MS"/>
          <w:color w:val="000000"/>
          <w:u w:color="000000"/>
        </w:rPr>
      </w:pPr>
    </w:p>
    <w:p w14:paraId="534EE89D" w14:textId="77777777" w:rsidR="00A81625" w:rsidRPr="00556529" w:rsidRDefault="00A81625" w:rsidP="00A81625">
      <w:pPr>
        <w:outlineLvl w:val="0"/>
        <w:rPr>
          <w:rFonts w:eastAsia="Arial Unicode MS"/>
          <w:color w:val="000000"/>
          <w:u w:color="000000"/>
        </w:rPr>
      </w:pPr>
      <w:r w:rsidRPr="00556529">
        <w:rPr>
          <w:rFonts w:eastAsia="Arial Unicode MS"/>
          <w:color w:val="000000"/>
          <w:u w:color="000000"/>
        </w:rPr>
        <w:t>We do not foresee any unusual problems and do not plan to implemen</w:t>
      </w:r>
      <w:r>
        <w:rPr>
          <w:rFonts w:eastAsia="Arial Unicode MS"/>
          <w:color w:val="000000"/>
          <w:u w:color="000000"/>
        </w:rPr>
        <w:t xml:space="preserve">t special sampling procedures. </w:t>
      </w:r>
      <w:r w:rsidRPr="00556529">
        <w:rPr>
          <w:rFonts w:eastAsia="Arial Unicode MS"/>
          <w:color w:val="000000"/>
          <w:u w:color="000000"/>
        </w:rPr>
        <w:t xml:space="preserve">We have chosen to reduce respondent burden by </w:t>
      </w:r>
      <w:r>
        <w:rPr>
          <w:rFonts w:eastAsia="Arial Unicode MS"/>
          <w:color w:val="000000"/>
          <w:u w:color="000000"/>
        </w:rPr>
        <w:t>using a short survey that</w:t>
      </w:r>
      <w:r w:rsidRPr="00556529">
        <w:rPr>
          <w:rFonts w:eastAsia="Arial Unicode MS"/>
          <w:color w:val="000000"/>
          <w:u w:color="000000"/>
        </w:rPr>
        <w:t xml:space="preserve"> we expect to take </w:t>
      </w:r>
      <w:r w:rsidR="00936F57">
        <w:rPr>
          <w:rFonts w:eastAsia="Arial Unicode MS"/>
          <w:color w:val="000000"/>
          <w:u w:color="000000"/>
        </w:rPr>
        <w:t>at most 2</w:t>
      </w:r>
      <w:r w:rsidRPr="00556529">
        <w:rPr>
          <w:rFonts w:eastAsia="Arial Unicode MS"/>
          <w:color w:val="000000"/>
          <w:u w:color="000000"/>
        </w:rPr>
        <w:t>0 minutes to complete.</w:t>
      </w:r>
    </w:p>
    <w:p w14:paraId="153EA940" w14:textId="77777777" w:rsidR="005E0A0F" w:rsidRDefault="005E0A0F" w:rsidP="005E0A0F">
      <w:pPr>
        <w:pStyle w:val="NormalWeb"/>
        <w:spacing w:line="288" w:lineRule="atLeast"/>
        <w:ind w:firstLine="900"/>
      </w:pPr>
      <w:r>
        <w:t xml:space="preserve">3.  </w:t>
      </w:r>
      <w:r>
        <w:rPr>
          <w:u w:val="single"/>
        </w:rPr>
        <w:t>Maximization of Response Rates, Non-response, and Reliability</w:t>
      </w:r>
    </w:p>
    <w:p w14:paraId="1FEFCA67" w14:textId="44A7F0EC" w:rsidR="004A67D1" w:rsidRDefault="00BD56B5" w:rsidP="004A67D1">
      <w:pPr>
        <w:pStyle w:val="NormalWeb"/>
        <w:spacing w:line="288" w:lineRule="atLeast"/>
      </w:pPr>
      <w:r>
        <w:t xml:space="preserve">We will take several steps to maximize our response rate.  First, </w:t>
      </w:r>
      <w:r w:rsidR="009940AB">
        <w:t>each program director will be sent a letter signed by the DASD</w:t>
      </w:r>
      <w:r w:rsidR="004A6C05">
        <w:t xml:space="preserve"> </w:t>
      </w:r>
      <w:r w:rsidR="009940AB">
        <w:t xml:space="preserve">(RA-Resources) </w:t>
      </w:r>
      <w:r w:rsidR="004A6C05">
        <w:t xml:space="preserve">that </w:t>
      </w:r>
      <w:r w:rsidR="004D7ABF">
        <w:t>will describe</w:t>
      </w:r>
      <w:r w:rsidR="004A6C05">
        <w:t xml:space="preserve"> the study and it</w:t>
      </w:r>
      <w:r w:rsidR="009940AB">
        <w:t xml:space="preserve">s importance to </w:t>
      </w:r>
      <w:r w:rsidR="004D7ABF">
        <w:t>the ChalleNGe program, and urge</w:t>
      </w:r>
      <w:r w:rsidR="009940AB">
        <w:t xml:space="preserve"> staff to consider participating in the survey.  Directors will be asked to distribute the letter to all teaching staff.</w:t>
      </w:r>
      <w:r w:rsidR="004A6C05">
        <w:t xml:space="preserve">  Second, </w:t>
      </w:r>
      <w:r w:rsidR="004D7ABF">
        <w:t>the researchers</w:t>
      </w:r>
      <w:r>
        <w:t xml:space="preserve"> will notify the director of each program when the emails have been sent</w:t>
      </w:r>
      <w:r w:rsidR="004A6C05">
        <w:t xml:space="preserve"> to each teacher</w:t>
      </w:r>
      <w:r>
        <w:t xml:space="preserve">.  The directors will </w:t>
      </w:r>
      <w:r w:rsidR="004A6C05">
        <w:t>be asked to</w:t>
      </w:r>
      <w:r>
        <w:t xml:space="preserve"> alert their staff that the survey invitations have been sent and provide them with contact information should they have questions</w:t>
      </w:r>
      <w:r w:rsidR="004D7ABF">
        <w:t xml:space="preserve"> or in the event they did not receive an email invitation to participate</w:t>
      </w:r>
      <w:r>
        <w:t xml:space="preserve">.  </w:t>
      </w:r>
      <w:r w:rsidR="007166DB">
        <w:t xml:space="preserve">Staff size at each program is quite small, so we expect the directors will likely do this in person at a staff meeting or otherwise.  </w:t>
      </w:r>
      <w:r w:rsidR="004A6C05">
        <w:t>Third</w:t>
      </w:r>
      <w:r>
        <w:t xml:space="preserve">, emails will be sent to non-respondents one week and two weeks after the initial email.  </w:t>
      </w:r>
      <w:r w:rsidR="004D7ABF">
        <w:t>The text of those emails reminds</w:t>
      </w:r>
      <w:r>
        <w:t xml:space="preserve"> the potential respondent about the survey and how to go about completing it should they choose to do so.</w:t>
      </w:r>
      <w:r w:rsidR="005E2360">
        <w:t xml:space="preserve">  </w:t>
      </w:r>
      <w:r w:rsidR="004A6C05">
        <w:t xml:space="preserve">Finally, </w:t>
      </w:r>
      <w:r w:rsidR="004D7ABF">
        <w:t xml:space="preserve">one week after the second email reminder </w:t>
      </w:r>
      <w:r w:rsidR="004A6C05">
        <w:t xml:space="preserve">a letter will be sent to each teacher that has not responded letting them know how to get their log-in information if they have not received it or have misplaced it and when the survey will be closed.  </w:t>
      </w:r>
      <w:r w:rsidR="005E2360">
        <w:t>No other actions will be taken to deal with instances of non-response.</w:t>
      </w:r>
      <w:r w:rsidR="00936F57">
        <w:t xml:space="preserve"> </w:t>
      </w:r>
    </w:p>
    <w:p w14:paraId="4D349634" w14:textId="77777777" w:rsidR="00747D47" w:rsidRDefault="00936F57" w:rsidP="004A67D1">
      <w:pPr>
        <w:pStyle w:val="NormalWeb"/>
        <w:spacing w:line="288" w:lineRule="atLeast"/>
      </w:pPr>
      <w:r>
        <w:t xml:space="preserve">Because there are no benefits to those who complete the survey and no costs to those who don’t, and because the survey does not ask polarizing questions, we expect no selection bias in those who choose to participate and that the </w:t>
      </w:r>
      <w:r w:rsidR="00E333EB">
        <w:t xml:space="preserve">study conclusions will be generalizable to the population of teachers who chose not to take the survey. Additionally, there is no disclosure risk: the email of each respondent is not recorded. Rather, each respondent is given a code identifier. </w:t>
      </w:r>
      <w:r w:rsidR="00747D47">
        <w:t>E</w:t>
      </w:r>
      <w:r w:rsidR="00E333EB">
        <w:t>ach survey taker is required to check off the box that informs them of thi</w:t>
      </w:r>
      <w:r w:rsidR="00747D47">
        <w:t>s lack of disclosure risk, so they are likely to answer the questions honestly.</w:t>
      </w:r>
    </w:p>
    <w:p w14:paraId="757318FC" w14:textId="77777777" w:rsidR="00747D47" w:rsidRDefault="00747D47" w:rsidP="004A67D1">
      <w:pPr>
        <w:pStyle w:val="NormalWeb"/>
        <w:spacing w:line="288" w:lineRule="atLeast"/>
      </w:pPr>
      <w:r>
        <w:t>We ensure accuracy and reliability of responses in the following ways:</w:t>
      </w:r>
    </w:p>
    <w:p w14:paraId="5B92826B" w14:textId="77777777" w:rsidR="00936F57" w:rsidRDefault="00747D47" w:rsidP="004A67D1">
      <w:pPr>
        <w:pStyle w:val="NormalWeb"/>
        <w:numPr>
          <w:ilvl w:val="0"/>
          <w:numId w:val="2"/>
        </w:numPr>
        <w:spacing w:line="288" w:lineRule="atLeast"/>
        <w:ind w:left="1080" w:hanging="540"/>
      </w:pPr>
      <w:r>
        <w:t>Most of the survey questions are multiple-choice, so there</w:t>
      </w:r>
      <w:r w:rsidR="004A67D1">
        <w:t xml:space="preserve"> is</w:t>
      </w:r>
      <w:r>
        <w:t xml:space="preserve"> little chance of the respondent misunderstanding a question</w:t>
      </w:r>
      <w:r w:rsidR="00A11387">
        <w:t>.</w:t>
      </w:r>
    </w:p>
    <w:p w14:paraId="1EA21AEA" w14:textId="77777777" w:rsidR="00747D47" w:rsidRDefault="00747D47" w:rsidP="004A67D1">
      <w:pPr>
        <w:pStyle w:val="NormalWeb"/>
        <w:numPr>
          <w:ilvl w:val="0"/>
          <w:numId w:val="2"/>
        </w:numPr>
        <w:spacing w:line="288" w:lineRule="atLeast"/>
        <w:ind w:left="1080" w:hanging="540"/>
      </w:pPr>
      <w:r>
        <w:t xml:space="preserve">Respondents are allowed to skip any question(s), thus, they have no motivation to give inaccurate answers. Respondents are required to check off the box </w:t>
      </w:r>
      <w:r w:rsidR="004A67D1">
        <w:t>informing them that they are permitted to skip</w:t>
      </w:r>
      <w:r>
        <w:t xml:space="preserve"> questions at the beginning of the survey</w:t>
      </w:r>
      <w:r w:rsidR="00A11387">
        <w:t>.</w:t>
      </w:r>
    </w:p>
    <w:p w14:paraId="4BEF46E4" w14:textId="77777777" w:rsidR="00747D47" w:rsidRDefault="00A11387" w:rsidP="004A67D1">
      <w:pPr>
        <w:pStyle w:val="NormalWeb"/>
        <w:numPr>
          <w:ilvl w:val="0"/>
          <w:numId w:val="2"/>
        </w:numPr>
        <w:spacing w:line="288" w:lineRule="atLeast"/>
        <w:ind w:left="1080" w:hanging="540"/>
      </w:pPr>
      <w:r>
        <w:t>Respondents are pr</w:t>
      </w:r>
      <w:r w:rsidR="004A67D1">
        <w:t>ovided with contact information for</w:t>
      </w:r>
      <w:r>
        <w:t xml:space="preserve"> survey administrators so that they can clarify any questions they find ambiguous.</w:t>
      </w:r>
    </w:p>
    <w:p w14:paraId="357F8866" w14:textId="77777777" w:rsidR="00A11387" w:rsidRDefault="00A11387" w:rsidP="004A67D1">
      <w:pPr>
        <w:pStyle w:val="NormalWeb"/>
        <w:numPr>
          <w:ilvl w:val="0"/>
          <w:numId w:val="2"/>
        </w:numPr>
        <w:spacing w:line="288" w:lineRule="atLeast"/>
        <w:ind w:left="1080" w:hanging="540"/>
      </w:pPr>
      <w:r>
        <w:lastRenderedPageBreak/>
        <w:t>Where possible, we’ve provided boxes for respondents to write in free-form answers to the questions, in case they don’t find our multiple choices sufficient.</w:t>
      </w:r>
    </w:p>
    <w:p w14:paraId="78A07649" w14:textId="77777777" w:rsidR="005E0A0F" w:rsidRDefault="005E0A0F" w:rsidP="005E0A0F">
      <w:pPr>
        <w:pStyle w:val="NormalWeb"/>
        <w:spacing w:line="288" w:lineRule="atLeast"/>
        <w:ind w:firstLine="900"/>
      </w:pPr>
      <w:r>
        <w:t xml:space="preserve">4.  </w:t>
      </w:r>
      <w:r>
        <w:rPr>
          <w:u w:val="single"/>
        </w:rPr>
        <w:t>Tests of Procedures</w:t>
      </w:r>
    </w:p>
    <w:p w14:paraId="3EE6C86E" w14:textId="77777777" w:rsidR="00A64A61" w:rsidRDefault="00A64A61" w:rsidP="004A67D1">
      <w:pPr>
        <w:outlineLvl w:val="0"/>
        <w:rPr>
          <w:rFonts w:eastAsia="Arial Unicode MS"/>
          <w:color w:val="000000"/>
          <w:u w:color="000000"/>
        </w:rPr>
      </w:pPr>
      <w:r>
        <w:rPr>
          <w:rFonts w:eastAsia="Arial Unicode MS"/>
          <w:color w:val="000000"/>
          <w:u w:color="000000"/>
        </w:rPr>
        <w:t>We tested the survey on teachers to increase the chances that our population of interest would find it easy to understand and complete.  It</w:t>
      </w:r>
      <w:r w:rsidR="00577458">
        <w:rPr>
          <w:rFonts w:eastAsia="Arial Unicode MS"/>
          <w:color w:val="000000"/>
          <w:u w:color="000000"/>
        </w:rPr>
        <w:t xml:space="preserve"> was tested twice. </w:t>
      </w:r>
      <w:r>
        <w:rPr>
          <w:rFonts w:eastAsia="Arial Unicode MS"/>
          <w:color w:val="000000"/>
          <w:u w:color="000000"/>
        </w:rPr>
        <w:t xml:space="preserve"> </w:t>
      </w:r>
      <w:r w:rsidR="00577458" w:rsidRPr="004D4BB3">
        <w:rPr>
          <w:rFonts w:eastAsia="Arial Unicode MS"/>
          <w:color w:val="000000"/>
          <w:u w:color="000000"/>
        </w:rPr>
        <w:t>First it was tested on three teachers at t</w:t>
      </w:r>
      <w:r w:rsidR="00577458">
        <w:rPr>
          <w:rFonts w:eastAsia="Arial Unicode MS"/>
          <w:color w:val="000000"/>
          <w:u w:color="000000"/>
        </w:rPr>
        <w:t>he Fort Gordon ChalleNGe site.  Feedback was solicited from the respondents on the ease of completing the survey; difficulties in understanding the questions; and suggestions for alternate wording or additional questions.  Based on this feedback, revisions were made to the survey.  It was then tested a second time</w:t>
      </w:r>
      <w:r w:rsidR="00577458" w:rsidRPr="004D4BB3">
        <w:rPr>
          <w:rFonts w:eastAsia="Arial Unicode MS"/>
          <w:color w:val="000000"/>
          <w:u w:color="000000"/>
        </w:rPr>
        <w:t xml:space="preserve"> on</w:t>
      </w:r>
      <w:r w:rsidR="00577458">
        <w:rPr>
          <w:rFonts w:eastAsia="Arial Unicode MS"/>
          <w:color w:val="000000"/>
          <w:u w:color="000000"/>
        </w:rPr>
        <w:t xml:space="preserve"> three </w:t>
      </w:r>
      <w:r w:rsidR="00577458" w:rsidRPr="004D4BB3">
        <w:rPr>
          <w:rFonts w:eastAsia="Arial Unicode MS"/>
          <w:color w:val="000000"/>
          <w:u w:color="000000"/>
        </w:rPr>
        <w:t>teachers at the Wa</w:t>
      </w:r>
      <w:r w:rsidR="00577458">
        <w:rPr>
          <w:rFonts w:eastAsia="Arial Unicode MS"/>
          <w:color w:val="000000"/>
          <w:u w:color="000000"/>
        </w:rPr>
        <w:t xml:space="preserve">shington State ChalleNGe site.  Feedback was once again solicited and </w:t>
      </w:r>
      <w:r>
        <w:rPr>
          <w:rFonts w:eastAsia="Arial Unicode MS"/>
          <w:color w:val="000000"/>
          <w:u w:color="000000"/>
        </w:rPr>
        <w:t>n</w:t>
      </w:r>
      <w:r w:rsidRPr="00556529">
        <w:rPr>
          <w:rFonts w:eastAsia="Arial Unicode MS"/>
          <w:color w:val="000000"/>
          <w:u w:color="000000"/>
        </w:rPr>
        <w:t>o additional substantive comments or concerns were raised.</w:t>
      </w:r>
    </w:p>
    <w:p w14:paraId="36A3EBD1" w14:textId="77777777" w:rsidR="00A64A61" w:rsidRDefault="00A64A61" w:rsidP="00A64A61">
      <w:pPr>
        <w:outlineLvl w:val="0"/>
        <w:rPr>
          <w:rFonts w:eastAsia="Arial Unicode MS"/>
          <w:color w:val="000000"/>
          <w:u w:color="000000"/>
        </w:rPr>
      </w:pPr>
    </w:p>
    <w:p w14:paraId="499A922F" w14:textId="77777777" w:rsidR="005E0A0F" w:rsidRPr="00A64A61" w:rsidRDefault="00A64A61" w:rsidP="00A64A61">
      <w:pPr>
        <w:ind w:firstLine="720"/>
        <w:outlineLvl w:val="0"/>
        <w:rPr>
          <w:rFonts w:eastAsia="Arial Unicode MS"/>
          <w:color w:val="000000"/>
          <w:u w:color="000000"/>
        </w:rPr>
      </w:pPr>
      <w:r>
        <w:rPr>
          <w:rFonts w:eastAsia="Arial Unicode MS"/>
          <w:color w:val="000000"/>
          <w:u w:color="000000"/>
        </w:rPr>
        <w:t xml:space="preserve">   </w:t>
      </w:r>
      <w:r w:rsidR="005E0A0F">
        <w:t xml:space="preserve">5.  </w:t>
      </w:r>
      <w:r w:rsidR="005E0A0F">
        <w:rPr>
          <w:u w:val="single"/>
        </w:rPr>
        <w:t>Statistical Consultation and Information Analysis</w:t>
      </w:r>
    </w:p>
    <w:p w14:paraId="49E6E612" w14:textId="77777777" w:rsidR="005E0A0F" w:rsidRDefault="005E0A0F" w:rsidP="005E0A0F">
      <w:pPr>
        <w:pStyle w:val="NormalWeb"/>
        <w:spacing w:line="288" w:lineRule="atLeast"/>
        <w:ind w:firstLine="1260"/>
      </w:pPr>
      <w:r>
        <w:t xml:space="preserve">a.  </w:t>
      </w:r>
      <w:r w:rsidR="003446F5" w:rsidRPr="00556529">
        <w:rPr>
          <w:rFonts w:eastAsia="Arial Unicode MS"/>
          <w:color w:val="000000"/>
          <w:u w:color="000000"/>
        </w:rPr>
        <w:t xml:space="preserve">Dr. </w:t>
      </w:r>
      <w:proofErr w:type="spellStart"/>
      <w:r w:rsidR="003446F5" w:rsidRPr="00556529">
        <w:rPr>
          <w:rFonts w:eastAsia="Arial Unicode MS"/>
          <w:color w:val="000000"/>
          <w:u w:color="000000"/>
        </w:rPr>
        <w:t>Yevgeniya</w:t>
      </w:r>
      <w:proofErr w:type="spellEnd"/>
      <w:r w:rsidR="003446F5" w:rsidRPr="00556529">
        <w:rPr>
          <w:rFonts w:eastAsia="Arial Unicode MS"/>
          <w:color w:val="000000"/>
          <w:u w:color="000000"/>
        </w:rPr>
        <w:t xml:space="preserve"> (Jane) </w:t>
      </w:r>
      <w:proofErr w:type="spellStart"/>
      <w:r w:rsidR="003446F5" w:rsidRPr="00556529">
        <w:rPr>
          <w:rFonts w:eastAsia="Arial Unicode MS"/>
          <w:color w:val="000000"/>
          <w:u w:color="000000"/>
        </w:rPr>
        <w:t>Pinelis</w:t>
      </w:r>
      <w:proofErr w:type="spellEnd"/>
      <w:r w:rsidR="003446F5" w:rsidRPr="00556529">
        <w:rPr>
          <w:rFonts w:eastAsia="Arial Unicode MS"/>
          <w:color w:val="000000"/>
          <w:u w:color="000000"/>
        </w:rPr>
        <w:t xml:space="preserve"> at CNA was consulted on statistical aspects of the study design</w:t>
      </w:r>
      <w:r w:rsidR="003446F5">
        <w:rPr>
          <w:rFonts w:eastAsia="Arial Unicode MS"/>
          <w:color w:val="000000"/>
          <w:u w:color="000000"/>
        </w:rPr>
        <w:t xml:space="preserve">. </w:t>
      </w:r>
      <w:r w:rsidR="003446F5" w:rsidRPr="00651562">
        <w:rPr>
          <w:rFonts w:eastAsia="Arial Unicode MS"/>
          <w:color w:val="000000"/>
          <w:u w:color="000000"/>
        </w:rPr>
        <w:t>Dr.</w:t>
      </w:r>
      <w:r w:rsidR="003446F5" w:rsidRPr="00556529">
        <w:rPr>
          <w:rFonts w:eastAsia="Arial Unicode MS"/>
          <w:color w:val="000000"/>
          <w:u w:color="000000"/>
        </w:rPr>
        <w:t xml:space="preserve"> </w:t>
      </w:r>
      <w:proofErr w:type="spellStart"/>
      <w:r w:rsidR="003446F5" w:rsidRPr="00556529">
        <w:rPr>
          <w:rFonts w:eastAsia="Arial Unicode MS"/>
          <w:color w:val="000000"/>
          <w:u w:color="000000"/>
        </w:rPr>
        <w:t>Pinelis</w:t>
      </w:r>
      <w:proofErr w:type="spellEnd"/>
      <w:r w:rsidR="003446F5" w:rsidRPr="00556529">
        <w:rPr>
          <w:rFonts w:eastAsia="Arial Unicode MS"/>
          <w:color w:val="000000"/>
          <w:u w:color="000000"/>
        </w:rPr>
        <w:t xml:space="preserve"> can be reached at (703) 824-2052</w:t>
      </w:r>
      <w:r w:rsidR="003446F5">
        <w:rPr>
          <w:rFonts w:eastAsia="Arial Unicode MS"/>
          <w:color w:val="000000"/>
          <w:u w:color="000000"/>
        </w:rPr>
        <w:t>.</w:t>
      </w:r>
    </w:p>
    <w:p w14:paraId="3A1527F1" w14:textId="77777777" w:rsidR="00F1447C" w:rsidRPr="00F92085" w:rsidRDefault="002D0DC0" w:rsidP="002D0DC0">
      <w:pPr>
        <w:ind w:firstLine="720"/>
      </w:pPr>
      <w:r>
        <w:t xml:space="preserve">         </w:t>
      </w:r>
      <w:r w:rsidR="005E0A0F">
        <w:t xml:space="preserve">b.  </w:t>
      </w:r>
      <w:r w:rsidR="003446F5">
        <w:t xml:space="preserve">Dr. Lauren Malone at CNA </w:t>
      </w:r>
      <w:r w:rsidR="003446F5" w:rsidRPr="00556529">
        <w:rPr>
          <w:rFonts w:eastAsia="Arial Unicode MS"/>
          <w:color w:val="000000"/>
          <w:u w:color="000000"/>
        </w:rPr>
        <w:t>will be responsible for the collection and analysis of the data</w:t>
      </w:r>
      <w:r w:rsidR="003446F5">
        <w:rPr>
          <w:rFonts w:eastAsia="Arial Unicode MS"/>
          <w:color w:val="000000"/>
          <w:u w:color="000000"/>
        </w:rPr>
        <w:t xml:space="preserve">. </w:t>
      </w:r>
      <w:r w:rsidR="003446F5" w:rsidRPr="00556529">
        <w:rPr>
          <w:rFonts w:eastAsia="Arial Unicode MS"/>
          <w:color w:val="000000"/>
          <w:u w:color="000000"/>
        </w:rPr>
        <w:t>She can be reached at (</w:t>
      </w:r>
      <w:r w:rsidR="003446F5">
        <w:rPr>
          <w:rFonts w:eastAsia="Arial Unicode MS"/>
          <w:color w:val="000000"/>
          <w:u w:color="000000"/>
        </w:rPr>
        <w:t>703) 824-2741</w:t>
      </w:r>
      <w:r w:rsidR="003446F5" w:rsidRPr="009E098D">
        <w:rPr>
          <w:rFonts w:eastAsia="Arial Unicode MS"/>
          <w:color w:val="000000"/>
          <w:u w:color="000000"/>
        </w:rPr>
        <w:t>.</w:t>
      </w:r>
    </w:p>
    <w:sectPr w:rsidR="00F1447C" w:rsidRPr="00F92085"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FEADF" w14:textId="77777777" w:rsidR="009940AB" w:rsidRDefault="009940AB" w:rsidP="00977A74">
      <w:r>
        <w:separator/>
      </w:r>
    </w:p>
  </w:endnote>
  <w:endnote w:type="continuationSeparator" w:id="0">
    <w:p w14:paraId="6C648971" w14:textId="77777777" w:rsidR="009940AB" w:rsidRDefault="009940AB"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86016" w14:textId="77777777" w:rsidR="009940AB" w:rsidRDefault="009940AB">
    <w:pPr>
      <w:pStyle w:val="Footer"/>
      <w:jc w:val="center"/>
    </w:pPr>
    <w:r>
      <w:fldChar w:fldCharType="begin"/>
    </w:r>
    <w:r>
      <w:instrText xml:space="preserve"> PAGE   \* MERGEFORMAT </w:instrText>
    </w:r>
    <w:r>
      <w:fldChar w:fldCharType="separate"/>
    </w:r>
    <w:r w:rsidR="004567A0">
      <w:rPr>
        <w:noProof/>
      </w:rPr>
      <w:t>1</w:t>
    </w:r>
    <w:r>
      <w:fldChar w:fldCharType="end"/>
    </w:r>
  </w:p>
  <w:p w14:paraId="6F3B1DBB" w14:textId="77777777" w:rsidR="009940AB" w:rsidRDefault="00994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A1580" w14:textId="77777777" w:rsidR="009940AB" w:rsidRDefault="009940AB" w:rsidP="00977A74">
      <w:r>
        <w:separator/>
      </w:r>
    </w:p>
  </w:footnote>
  <w:footnote w:type="continuationSeparator" w:id="0">
    <w:p w14:paraId="141A3C33" w14:textId="77777777" w:rsidR="009940AB" w:rsidRDefault="009940AB" w:rsidP="00977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4C76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295C47"/>
    <w:multiLevelType w:val="hybridMultilevel"/>
    <w:tmpl w:val="8E9692A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1977"/>
    <w:rsid w:val="00015CB6"/>
    <w:rsid w:val="0004478F"/>
    <w:rsid w:val="00063FA5"/>
    <w:rsid w:val="000A5298"/>
    <w:rsid w:val="000E1462"/>
    <w:rsid w:val="0011279F"/>
    <w:rsid w:val="00122EAA"/>
    <w:rsid w:val="00164DD3"/>
    <w:rsid w:val="00193198"/>
    <w:rsid w:val="001A783C"/>
    <w:rsid w:val="002D0DC0"/>
    <w:rsid w:val="002F2B3C"/>
    <w:rsid w:val="0030008B"/>
    <w:rsid w:val="00340844"/>
    <w:rsid w:val="003446F5"/>
    <w:rsid w:val="00405396"/>
    <w:rsid w:val="00420EC2"/>
    <w:rsid w:val="004567A0"/>
    <w:rsid w:val="004720A0"/>
    <w:rsid w:val="004A67D1"/>
    <w:rsid w:val="004A6C05"/>
    <w:rsid w:val="004D7ABF"/>
    <w:rsid w:val="005501B5"/>
    <w:rsid w:val="00577458"/>
    <w:rsid w:val="005E0A0F"/>
    <w:rsid w:val="005E2360"/>
    <w:rsid w:val="00622138"/>
    <w:rsid w:val="006A4D1A"/>
    <w:rsid w:val="006B2B17"/>
    <w:rsid w:val="006F3F40"/>
    <w:rsid w:val="007166DB"/>
    <w:rsid w:val="00747D47"/>
    <w:rsid w:val="007C36C7"/>
    <w:rsid w:val="007D57CF"/>
    <w:rsid w:val="008168B6"/>
    <w:rsid w:val="008560C9"/>
    <w:rsid w:val="00857544"/>
    <w:rsid w:val="0093033C"/>
    <w:rsid w:val="00936F57"/>
    <w:rsid w:val="00955078"/>
    <w:rsid w:val="00977A74"/>
    <w:rsid w:val="009940AB"/>
    <w:rsid w:val="009F0B30"/>
    <w:rsid w:val="00A11387"/>
    <w:rsid w:val="00A27B67"/>
    <w:rsid w:val="00A64A61"/>
    <w:rsid w:val="00A81625"/>
    <w:rsid w:val="00A93CBF"/>
    <w:rsid w:val="00AC6EB1"/>
    <w:rsid w:val="00B23A26"/>
    <w:rsid w:val="00B33389"/>
    <w:rsid w:val="00B53421"/>
    <w:rsid w:val="00B9749E"/>
    <w:rsid w:val="00BA7031"/>
    <w:rsid w:val="00BD3876"/>
    <w:rsid w:val="00BD56B5"/>
    <w:rsid w:val="00C160AC"/>
    <w:rsid w:val="00C34D08"/>
    <w:rsid w:val="00C53FA6"/>
    <w:rsid w:val="00C66D8C"/>
    <w:rsid w:val="00C823F0"/>
    <w:rsid w:val="00D46148"/>
    <w:rsid w:val="00E333EB"/>
    <w:rsid w:val="00EE0928"/>
    <w:rsid w:val="00EE187B"/>
    <w:rsid w:val="00F1396C"/>
    <w:rsid w:val="00F1447C"/>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4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customStyle="1" w:styleId="Body1">
    <w:name w:val="Body 1"/>
    <w:rsid w:val="00164DD3"/>
    <w:pPr>
      <w:outlineLvl w:val="0"/>
    </w:pPr>
    <w:rPr>
      <w:rFonts w:ascii="Times New Roman" w:eastAsia="Arial Unicode MS" w:hAnsi="Times New Roman"/>
      <w:color w:val="000000"/>
      <w:sz w:val="24"/>
      <w:u w:color="000000"/>
      <w:lang w:eastAsia="zh-CN"/>
    </w:rPr>
  </w:style>
  <w:style w:type="table" w:styleId="TableGrid">
    <w:name w:val="Table Grid"/>
    <w:basedOn w:val="TableNormal"/>
    <w:uiPriority w:val="59"/>
    <w:rsid w:val="007D5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67A0"/>
    <w:rPr>
      <w:rFonts w:ascii="Tahoma" w:hAnsi="Tahoma" w:cs="Tahoma"/>
      <w:sz w:val="16"/>
      <w:szCs w:val="16"/>
    </w:rPr>
  </w:style>
  <w:style w:type="character" w:customStyle="1" w:styleId="BalloonTextChar">
    <w:name w:val="Balloon Text Char"/>
    <w:basedOn w:val="DefaultParagraphFont"/>
    <w:link w:val="BalloonText"/>
    <w:uiPriority w:val="99"/>
    <w:semiHidden/>
    <w:rsid w:val="004567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customStyle="1" w:styleId="Body1">
    <w:name w:val="Body 1"/>
    <w:rsid w:val="00164DD3"/>
    <w:pPr>
      <w:outlineLvl w:val="0"/>
    </w:pPr>
    <w:rPr>
      <w:rFonts w:ascii="Times New Roman" w:eastAsia="Arial Unicode MS" w:hAnsi="Times New Roman"/>
      <w:color w:val="000000"/>
      <w:sz w:val="24"/>
      <w:u w:color="000000"/>
      <w:lang w:eastAsia="zh-CN"/>
    </w:rPr>
  </w:style>
  <w:style w:type="table" w:styleId="TableGrid">
    <w:name w:val="Table Grid"/>
    <w:basedOn w:val="TableNormal"/>
    <w:uiPriority w:val="59"/>
    <w:rsid w:val="007D5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67A0"/>
    <w:rPr>
      <w:rFonts w:ascii="Tahoma" w:hAnsi="Tahoma" w:cs="Tahoma"/>
      <w:sz w:val="16"/>
      <w:szCs w:val="16"/>
    </w:rPr>
  </w:style>
  <w:style w:type="character" w:customStyle="1" w:styleId="BalloonTextChar">
    <w:name w:val="Balloon Text Char"/>
    <w:basedOn w:val="DefaultParagraphFont"/>
    <w:link w:val="BalloonText"/>
    <w:uiPriority w:val="99"/>
    <w:semiHidden/>
    <w:rsid w:val="004567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91307">
      <w:bodyDiv w:val="1"/>
      <w:marLeft w:val="0"/>
      <w:marRight w:val="0"/>
      <w:marTop w:val="0"/>
      <w:marBottom w:val="0"/>
      <w:divBdr>
        <w:top w:val="none" w:sz="0" w:space="0" w:color="auto"/>
        <w:left w:val="none" w:sz="0" w:space="0" w:color="auto"/>
        <w:bottom w:val="none" w:sz="0" w:space="0" w:color="auto"/>
        <w:right w:val="none" w:sz="0" w:space="0" w:color="auto"/>
      </w:divBdr>
    </w:div>
    <w:div w:id="1344746210">
      <w:bodyDiv w:val="1"/>
      <w:marLeft w:val="0"/>
      <w:marRight w:val="0"/>
      <w:marTop w:val="0"/>
      <w:marBottom w:val="0"/>
      <w:divBdr>
        <w:top w:val="none" w:sz="0" w:space="0" w:color="auto"/>
        <w:left w:val="none" w:sz="0" w:space="0" w:color="auto"/>
        <w:bottom w:val="none" w:sz="0" w:space="0" w:color="auto"/>
        <w:right w:val="none" w:sz="0" w:space="0" w:color="auto"/>
      </w:divBdr>
    </w:div>
    <w:div w:id="1619529523">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7856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Frederick Licari</cp:lastModifiedBy>
  <cp:revision>2</cp:revision>
  <cp:lastPrinted>2013-11-26T19:37:00Z</cp:lastPrinted>
  <dcterms:created xsi:type="dcterms:W3CDTF">2013-11-26T19:39:00Z</dcterms:created>
  <dcterms:modified xsi:type="dcterms:W3CDTF">2013-11-26T19:39:00Z</dcterms:modified>
</cp:coreProperties>
</file>