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1F003" w14:textId="77777777" w:rsidR="00992158" w:rsidRDefault="00992158"/>
    <w:p w14:paraId="6F615D02" w14:textId="77777777" w:rsidR="00992158" w:rsidRDefault="00992158" w:rsidP="00992158">
      <w:pPr>
        <w:jc w:val="center"/>
        <w:rPr>
          <w:b/>
        </w:rPr>
      </w:pPr>
    </w:p>
    <w:p w14:paraId="0539FF3B" w14:textId="77777777" w:rsidR="00992158" w:rsidRDefault="00992158" w:rsidP="00992158">
      <w:pPr>
        <w:jc w:val="center"/>
      </w:pPr>
      <w:r>
        <w:rPr>
          <w:b/>
        </w:rPr>
        <w:t>SUPPORTING STATEMENT</w:t>
      </w:r>
    </w:p>
    <w:p w14:paraId="1D012452" w14:textId="77777777" w:rsidR="00992158" w:rsidRDefault="00992158" w:rsidP="00992158"/>
    <w:p w14:paraId="4FDB25DF" w14:textId="77777777" w:rsidR="00992158" w:rsidRDefault="00992158" w:rsidP="00992158">
      <w:r>
        <w:rPr>
          <w:b/>
        </w:rPr>
        <w:t xml:space="preserve">A.  </w:t>
      </w:r>
      <w:r>
        <w:rPr>
          <w:b/>
          <w:u w:val="single"/>
        </w:rPr>
        <w:t>Justification</w:t>
      </w:r>
      <w:r>
        <w:rPr>
          <w:b/>
        </w:rPr>
        <w:t>:</w:t>
      </w:r>
    </w:p>
    <w:p w14:paraId="2548ABD0" w14:textId="77777777" w:rsidR="00992158" w:rsidRDefault="00992158" w:rsidP="00992158"/>
    <w:p w14:paraId="6FF40F32" w14:textId="77777777" w:rsidR="00992158" w:rsidRDefault="00992158" w:rsidP="00992158">
      <w:r>
        <w:t>1.  The Federal Communications Commission (Commission) updates the above-referenced information collection, Regulations Applicable to Common Carrier and Aeronautical Radio Licensees Under Section 310(b)(4) of the Communications Act of 1934, as Amended (the Act) which the Office of Management and Budget (OMB) pre-approved on December 6, 2011 (OMB Control Number 3060-1163).</w:t>
      </w:r>
    </w:p>
    <w:p w14:paraId="00F7D9B1" w14:textId="77777777" w:rsidR="00992158" w:rsidRDefault="00992158" w:rsidP="00992158"/>
    <w:p w14:paraId="3F671DC3" w14:textId="4063683B" w:rsidR="00992158" w:rsidRDefault="00992158" w:rsidP="00992158">
      <w:pPr>
        <w:rPr>
          <w:szCs w:val="22"/>
        </w:rPr>
      </w:pPr>
      <w:r>
        <w:t xml:space="preserve">On April 18, 2013, the Commission adopted final rules in </w:t>
      </w:r>
      <w:r w:rsidRPr="000043E8">
        <w:rPr>
          <w:i/>
        </w:rPr>
        <w:t>Review of Foreign Ownership Policies for Common Carrier and Aeronautical Radio Licensees under Section 310(b)(4) of the Communications Act of 1934, as Amended</w:t>
      </w:r>
      <w:r>
        <w:t>,</w:t>
      </w:r>
      <w:r w:rsidRPr="00BF612D">
        <w:t xml:space="preserve"> </w:t>
      </w:r>
      <w:r w:rsidRPr="00BF612D">
        <w:rPr>
          <w:szCs w:val="22"/>
        </w:rPr>
        <w:t xml:space="preserve">IB Docket No. </w:t>
      </w:r>
      <w:r>
        <w:rPr>
          <w:szCs w:val="22"/>
        </w:rPr>
        <w:t>11</w:t>
      </w:r>
      <w:r w:rsidRPr="00BF612D">
        <w:rPr>
          <w:szCs w:val="22"/>
        </w:rPr>
        <w:t>-1</w:t>
      </w:r>
      <w:r>
        <w:rPr>
          <w:szCs w:val="22"/>
        </w:rPr>
        <w:t>33, Second Report and Order, FCC 13-50</w:t>
      </w:r>
      <w:r w:rsidRPr="00BF612D">
        <w:rPr>
          <w:szCs w:val="22"/>
        </w:rPr>
        <w:t xml:space="preserve"> (rel.</w:t>
      </w:r>
      <w:r>
        <w:rPr>
          <w:szCs w:val="22"/>
        </w:rPr>
        <w:t xml:space="preserve"> Apr. 18</w:t>
      </w:r>
      <w:r w:rsidRPr="00BF612D">
        <w:rPr>
          <w:szCs w:val="22"/>
        </w:rPr>
        <w:t>, 2013)</w:t>
      </w:r>
      <w:r>
        <w:rPr>
          <w:szCs w:val="22"/>
        </w:rPr>
        <w:t xml:space="preserve"> (Second Report and Order).  The Commission did not adopt all of the requirements that were pre-approved, but the requirements that were adopted in the Second Report and Order were adopted as proposed in the Notice of Proposed Rulemaking (NPRM) with some minor non-substantive changes.  These changes and the agency’s revised hour burden and cost estimates are explained below and in response to Questions 12-14.</w:t>
      </w:r>
      <w:r w:rsidR="009D3EFC">
        <w:rPr>
          <w:szCs w:val="22"/>
        </w:rPr>
        <w:t xml:space="preserve">  </w:t>
      </w:r>
      <w:r w:rsidR="002C7C9A" w:rsidRPr="000A7FCF">
        <w:rPr>
          <w:szCs w:val="22"/>
        </w:rPr>
        <w:t>Therefore, the Commission is simply seeking OMB final approval for this collection.</w:t>
      </w:r>
      <w:r w:rsidR="002C7C9A">
        <w:rPr>
          <w:szCs w:val="22"/>
        </w:rPr>
        <w:t xml:space="preserve"> </w:t>
      </w:r>
    </w:p>
    <w:p w14:paraId="71EDA019" w14:textId="77777777" w:rsidR="00992158" w:rsidRDefault="00992158" w:rsidP="00992158">
      <w:pPr>
        <w:rPr>
          <w:szCs w:val="22"/>
        </w:rPr>
      </w:pPr>
    </w:p>
    <w:p w14:paraId="4423D7B7" w14:textId="73434C63" w:rsidR="00992158" w:rsidRDefault="00992158" w:rsidP="00992158">
      <w:pPr>
        <w:rPr>
          <w:szCs w:val="22"/>
        </w:rPr>
      </w:pPr>
      <w:r>
        <w:rPr>
          <w:szCs w:val="22"/>
        </w:rPr>
        <w:t xml:space="preserve">The purpose of this proceeding has been to reduce the information collection and other compliance burdens associated with the filing of petitions to obtain Commission approval for foreign ownership in common carrier and certain aeronautical radio station licensees. At the NPRM stage of this proceeding, the Commission estimated the hour burdens and costs likely to be associated with the proposals and other options raised in the NPRM, but based the estimates on the assumption that certain of the proposed streamlining steps might not be adopted.  The Commission undertook in </w:t>
      </w:r>
      <w:r w:rsidR="00DF1C1C">
        <w:rPr>
          <w:szCs w:val="22"/>
        </w:rPr>
        <w:t>its</w:t>
      </w:r>
      <w:r>
        <w:rPr>
          <w:szCs w:val="22"/>
        </w:rPr>
        <w:t xml:space="preserve"> submission to reque</w:t>
      </w:r>
      <w:r w:rsidR="00DF1C1C">
        <w:rPr>
          <w:szCs w:val="22"/>
        </w:rPr>
        <w:t xml:space="preserve">st further OMB approval for any </w:t>
      </w:r>
      <w:r>
        <w:rPr>
          <w:szCs w:val="22"/>
        </w:rPr>
        <w:t>changes that further reduced those hour burdens and costs once the agency promulgated the final rules.</w:t>
      </w:r>
    </w:p>
    <w:p w14:paraId="2E177268" w14:textId="77777777" w:rsidR="00992158" w:rsidRDefault="00992158" w:rsidP="00992158">
      <w:pPr>
        <w:rPr>
          <w:szCs w:val="22"/>
        </w:rPr>
      </w:pPr>
    </w:p>
    <w:p w14:paraId="548CBAF9" w14:textId="77777777" w:rsidR="00992158" w:rsidRDefault="00992158" w:rsidP="00992158">
      <w:pPr>
        <w:rPr>
          <w:szCs w:val="22"/>
        </w:rPr>
      </w:pPr>
      <w:r>
        <w:rPr>
          <w:szCs w:val="22"/>
        </w:rPr>
        <w:t xml:space="preserve">The final rules adopt a number of these additional streamlining proposals, and adopt others in slightly modified form.  The anticipated effects of the final rules on the information collection </w:t>
      </w:r>
      <w:r w:rsidR="005F6666">
        <w:rPr>
          <w:szCs w:val="22"/>
        </w:rPr>
        <w:t xml:space="preserve">submitted to OMB </w:t>
      </w:r>
      <w:r>
        <w:rPr>
          <w:szCs w:val="22"/>
        </w:rPr>
        <w:t>are as follows:</w:t>
      </w:r>
    </w:p>
    <w:p w14:paraId="35EDCF54" w14:textId="77777777" w:rsidR="00992158" w:rsidRDefault="00992158" w:rsidP="00992158">
      <w:pPr>
        <w:rPr>
          <w:szCs w:val="22"/>
        </w:rPr>
      </w:pPr>
    </w:p>
    <w:p w14:paraId="7F37A06E" w14:textId="77777777" w:rsidR="00992158" w:rsidRDefault="00992158" w:rsidP="00992158">
      <w:pPr>
        <w:numPr>
          <w:ilvl w:val="0"/>
          <w:numId w:val="12"/>
        </w:numPr>
        <w:rPr>
          <w:szCs w:val="22"/>
        </w:rPr>
      </w:pPr>
      <w:r>
        <w:rPr>
          <w:szCs w:val="22"/>
        </w:rPr>
        <w:t xml:space="preserve">The proposed rules addressed the streamlining of requirements for petitions for Commission approval of foreign ownership in a licensee’s </w:t>
      </w:r>
      <w:r w:rsidRPr="000069A3">
        <w:rPr>
          <w:i/>
          <w:szCs w:val="22"/>
        </w:rPr>
        <w:t>controlling</w:t>
      </w:r>
      <w:r>
        <w:rPr>
          <w:szCs w:val="22"/>
        </w:rPr>
        <w:t xml:space="preserve"> U.S.-organized parent.  The final rules extend these same streamlined policies and procedures to permit licensees to seek Commission approval of foreign ownership held in a licensee’s </w:t>
      </w:r>
      <w:r w:rsidRPr="000069A3">
        <w:rPr>
          <w:i/>
          <w:szCs w:val="22"/>
        </w:rPr>
        <w:t>non-controlling</w:t>
      </w:r>
      <w:r>
        <w:rPr>
          <w:szCs w:val="22"/>
        </w:rPr>
        <w:t xml:space="preserve"> U.S.-organized investors as well.  This change is not likely to alter the number of petitions that are anticipated to be filed, or the burden associated with them.</w:t>
      </w:r>
    </w:p>
    <w:p w14:paraId="141290C7" w14:textId="77777777" w:rsidR="00992158" w:rsidRDefault="00992158" w:rsidP="00992158">
      <w:pPr>
        <w:numPr>
          <w:ilvl w:val="0"/>
          <w:numId w:val="12"/>
        </w:numPr>
        <w:rPr>
          <w:szCs w:val="22"/>
        </w:rPr>
      </w:pPr>
      <w:r>
        <w:rPr>
          <w:szCs w:val="22"/>
        </w:rPr>
        <w:lastRenderedPageBreak/>
        <w:t>The final rules eliminate the current need for licensees that have received a foreign ownership ruling to return to the Commission for approval of increased interests by previously approved foreign investors, of foreign ownership in subsidiaries or affiliates, or of new services or new geographic service areas.  In addition, the final rules eliminate the current need for approval of certain corporate reorganizations, subject only to a post-closing notification.  Based on our revised predictions about the annual number of, and burden associated with, filings to modify foreign ownership rulings issued under the final rules, we anticipate that the annual number and burden of these filings will be minimally reduced from the estimates included in our previous OMB submission.</w:t>
      </w:r>
    </w:p>
    <w:p w14:paraId="64DB2843" w14:textId="77777777" w:rsidR="009D3EFC" w:rsidRDefault="005F6666" w:rsidP="005F6666">
      <w:pPr>
        <w:numPr>
          <w:ilvl w:val="0"/>
          <w:numId w:val="12"/>
        </w:numPr>
        <w:rPr>
          <w:szCs w:val="22"/>
        </w:rPr>
      </w:pPr>
      <w:r>
        <w:rPr>
          <w:szCs w:val="22"/>
        </w:rPr>
        <w:t>The prior OMB submission included a proposed requirement for licensees to recertify to compliance with the terms</w:t>
      </w:r>
      <w:r w:rsidR="00160828">
        <w:rPr>
          <w:szCs w:val="22"/>
        </w:rPr>
        <w:t xml:space="preserve"> of any foreign ownership ruling</w:t>
      </w:r>
      <w:r>
        <w:rPr>
          <w:szCs w:val="22"/>
        </w:rPr>
        <w:t xml:space="preserve"> issued under the final rules every four years.  The final rules eliminate this proposed requirement.  Existing application forms already requ</w:t>
      </w:r>
      <w:r w:rsidR="00160828">
        <w:rPr>
          <w:szCs w:val="22"/>
        </w:rPr>
        <w:t xml:space="preserve">ire applicants to identify any such foreign ownership </w:t>
      </w:r>
      <w:r>
        <w:rPr>
          <w:szCs w:val="22"/>
        </w:rPr>
        <w:t>rulings</w:t>
      </w:r>
      <w:r w:rsidR="00160828">
        <w:rPr>
          <w:szCs w:val="22"/>
        </w:rPr>
        <w:t xml:space="preserve"> (which require on-going compliance by the licensee) </w:t>
      </w:r>
      <w:r>
        <w:rPr>
          <w:szCs w:val="22"/>
        </w:rPr>
        <w:t xml:space="preserve">and </w:t>
      </w:r>
      <w:r w:rsidR="00160828">
        <w:rPr>
          <w:szCs w:val="22"/>
        </w:rPr>
        <w:t>to certify to the info</w:t>
      </w:r>
      <w:r>
        <w:rPr>
          <w:szCs w:val="22"/>
        </w:rPr>
        <w:t>rmation contained in the application.</w:t>
      </w:r>
      <w:r w:rsidR="009D3EFC">
        <w:rPr>
          <w:szCs w:val="22"/>
        </w:rPr>
        <w:t xml:space="preserve">  The Commission is currently evaluating whether it is necessary to update such forms to reflect the new rules, and whether, if so, a new Paperwork Reduction Act approval will be required for any such update to these forms.</w:t>
      </w:r>
    </w:p>
    <w:p w14:paraId="2748DCAA" w14:textId="2B3C2FDE" w:rsidR="00992158" w:rsidRDefault="009D3EFC" w:rsidP="005F6666">
      <w:pPr>
        <w:numPr>
          <w:ilvl w:val="0"/>
          <w:numId w:val="12"/>
        </w:numPr>
        <w:rPr>
          <w:szCs w:val="22"/>
        </w:rPr>
      </w:pPr>
      <w:r>
        <w:rPr>
          <w:szCs w:val="22"/>
        </w:rPr>
        <w:t xml:space="preserve">The prior OMB submission included a proposed requirement that licensees notify the Commission </w:t>
      </w:r>
      <w:r w:rsidR="008673C3">
        <w:rPr>
          <w:szCs w:val="22"/>
        </w:rPr>
        <w:t xml:space="preserve">of </w:t>
      </w:r>
      <w:r>
        <w:rPr>
          <w:szCs w:val="22"/>
        </w:rPr>
        <w:t>a successor-in-interest to the licensee’s controlling U.S.-organized parent, if any.  The final rules eliminate this proposed requirement</w:t>
      </w:r>
      <w:r w:rsidR="008673C3">
        <w:rPr>
          <w:szCs w:val="22"/>
        </w:rPr>
        <w:t>.  Under the final rules, the Commission will continue to issue foreign ownership rulings in the name of the licensee, rather than its controlling U.S. parent, thus eliminating the need for the proposed notification.  This change minimally reduces the burden estimate included in our previous OMB submission</w:t>
      </w:r>
      <w:r>
        <w:rPr>
          <w:szCs w:val="22"/>
        </w:rPr>
        <w:t xml:space="preserve"> </w:t>
      </w:r>
      <w:r w:rsidR="005F6666">
        <w:rPr>
          <w:szCs w:val="22"/>
        </w:rPr>
        <w:t xml:space="preserve"> </w:t>
      </w:r>
    </w:p>
    <w:p w14:paraId="75BA7D79" w14:textId="77777777" w:rsidR="00992158" w:rsidRDefault="00992158" w:rsidP="00992158">
      <w:pPr>
        <w:rPr>
          <w:szCs w:val="22"/>
        </w:rPr>
      </w:pPr>
    </w:p>
    <w:p w14:paraId="0B93ED7B" w14:textId="39868048" w:rsidR="00992158" w:rsidRDefault="008673C3" w:rsidP="00093A13">
      <w:pPr>
        <w:rPr>
          <w:b/>
        </w:rPr>
      </w:pPr>
      <w:r>
        <w:rPr>
          <w:szCs w:val="22"/>
        </w:rPr>
        <w:t>This in</w:t>
      </w:r>
      <w:r w:rsidR="00992158">
        <w:t>formation collection will not replace the existing information collection for section 310(b) of the Act</w:t>
      </w:r>
      <w:r>
        <w:t xml:space="preserve"> (OMB Control Number 3060-0686)</w:t>
      </w:r>
      <w:r w:rsidR="00992158">
        <w:t>.  Licensees that received foreign ownership rulings prior to the effective date of the new rules will continue to be subject to the Commission’s foreign ownership policies and procedures within the parameters of their rulings, until they seek and obtain a new ruling under the new rules.  The Commission determined in the Second Report and Order that it would permit such licensees to file a new petition for declaratory ruling under the new rules, but would not require them to do so.</w:t>
      </w:r>
      <w:r>
        <w:t xml:space="preserve">  The burdens associated with </w:t>
      </w:r>
      <w:r w:rsidR="00E7741C">
        <w:t>new petitions filed by licensees that received a ruling prior to the effective date of the final rules were included in our previous OMB submission.</w:t>
      </w:r>
    </w:p>
    <w:p w14:paraId="77F41E26" w14:textId="77777777" w:rsidR="00093A13" w:rsidRDefault="00093A13" w:rsidP="00992158">
      <w:pPr>
        <w:rPr>
          <w:b/>
        </w:rPr>
      </w:pPr>
    </w:p>
    <w:p w14:paraId="450A3025" w14:textId="77777777" w:rsidR="00992158" w:rsidRDefault="00992158" w:rsidP="00992158">
      <w:pPr>
        <w:rPr>
          <w:b/>
        </w:rPr>
      </w:pPr>
      <w:r>
        <w:rPr>
          <w:b/>
        </w:rPr>
        <w:t>Authority for the proposed information collection requirements:</w:t>
      </w:r>
    </w:p>
    <w:p w14:paraId="32E5D894" w14:textId="77777777" w:rsidR="00992158" w:rsidRDefault="00992158" w:rsidP="00992158">
      <w:pPr>
        <w:rPr>
          <w:b/>
        </w:rPr>
      </w:pPr>
    </w:p>
    <w:p w14:paraId="36B27723" w14:textId="77777777" w:rsidR="00992158" w:rsidRDefault="00992158" w:rsidP="00992158">
      <w:r>
        <w:t xml:space="preserve">The Commission has authority for this information collection under </w:t>
      </w:r>
      <w:r>
        <w:rPr>
          <w:szCs w:val="22"/>
        </w:rPr>
        <w:t>Sections 1, 2, 4(</w:t>
      </w:r>
      <w:proofErr w:type="spellStart"/>
      <w:r>
        <w:rPr>
          <w:szCs w:val="22"/>
        </w:rPr>
        <w:t>i</w:t>
      </w:r>
      <w:proofErr w:type="spellEnd"/>
      <w:r>
        <w:rPr>
          <w:szCs w:val="22"/>
        </w:rPr>
        <w:t>), 4(j), 10, 303(r), 309, 310 and 403 of the Communications Act of 1934, as amended, 47 U.S.C. §§ 151, 152, 154(</w:t>
      </w:r>
      <w:proofErr w:type="spellStart"/>
      <w:r>
        <w:rPr>
          <w:szCs w:val="22"/>
        </w:rPr>
        <w:t>i</w:t>
      </w:r>
      <w:proofErr w:type="spellEnd"/>
      <w:r>
        <w:rPr>
          <w:szCs w:val="22"/>
        </w:rPr>
        <w:t>), 154(j), 160, 303(r), 309, 310, 403.</w:t>
      </w:r>
    </w:p>
    <w:p w14:paraId="77915D97" w14:textId="77777777" w:rsidR="00992158" w:rsidRDefault="00992158" w:rsidP="00992158">
      <w:pPr>
        <w:rPr>
          <w:szCs w:val="22"/>
        </w:rPr>
      </w:pPr>
    </w:p>
    <w:p w14:paraId="1EC06EEE" w14:textId="77777777" w:rsidR="00992158" w:rsidRPr="008517E0" w:rsidRDefault="00992158" w:rsidP="00992158">
      <w:pPr>
        <w:rPr>
          <w:szCs w:val="22"/>
        </w:rPr>
      </w:pPr>
      <w:r w:rsidRPr="008517E0">
        <w:rPr>
          <w:szCs w:val="22"/>
        </w:rPr>
        <w:t xml:space="preserve">This information collection </w:t>
      </w:r>
      <w:r>
        <w:rPr>
          <w:szCs w:val="22"/>
        </w:rPr>
        <w:t xml:space="preserve">does not raise any issues </w:t>
      </w:r>
      <w:r w:rsidRPr="008517E0">
        <w:rPr>
          <w:szCs w:val="22"/>
        </w:rPr>
        <w:t>under the Privacy Act.</w:t>
      </w:r>
    </w:p>
    <w:p w14:paraId="7546C88B" w14:textId="182BF5A8" w:rsidR="00992158" w:rsidRDefault="00992158" w:rsidP="00992158">
      <w:pPr>
        <w:rPr>
          <w:szCs w:val="22"/>
        </w:rPr>
      </w:pPr>
      <w:r w:rsidRPr="008517E0">
        <w:rPr>
          <w:szCs w:val="22"/>
        </w:rPr>
        <w:lastRenderedPageBreak/>
        <w:t xml:space="preserve">2.  </w:t>
      </w:r>
      <w:r>
        <w:rPr>
          <w:szCs w:val="22"/>
        </w:rPr>
        <w:t>Section 310(b</w:t>
      </w:r>
      <w:proofErr w:type="gramStart"/>
      <w:r>
        <w:rPr>
          <w:szCs w:val="22"/>
        </w:rPr>
        <w:t>)(</w:t>
      </w:r>
      <w:proofErr w:type="gramEnd"/>
      <w:r>
        <w:rPr>
          <w:szCs w:val="22"/>
        </w:rPr>
        <w:t>4) of the Act requires that t</w:t>
      </w:r>
      <w:r w:rsidRPr="008517E0">
        <w:rPr>
          <w:szCs w:val="22"/>
        </w:rPr>
        <w:t>he Commission</w:t>
      </w:r>
      <w:r>
        <w:rPr>
          <w:szCs w:val="22"/>
        </w:rPr>
        <w:t xml:space="preserve"> pass upon the propriety of foreign ownership of U.S. parent companies that control common carrier and aeronautical radio licensees before such ownership exceeds 25 percent.  The Commission’s section 310(b</w:t>
      </w:r>
      <w:proofErr w:type="gramStart"/>
      <w:r>
        <w:rPr>
          <w:szCs w:val="22"/>
        </w:rPr>
        <w:t>)(</w:t>
      </w:r>
      <w:proofErr w:type="gramEnd"/>
      <w:r>
        <w:rPr>
          <w:szCs w:val="22"/>
        </w:rPr>
        <w:t>3) forbearance approach</w:t>
      </w:r>
      <w:r w:rsidR="00E7741C">
        <w:rPr>
          <w:szCs w:val="22"/>
        </w:rPr>
        <w:t>, adopted in the First Report and Order in this proceeding,</w:t>
      </w:r>
      <w:r>
        <w:rPr>
          <w:szCs w:val="22"/>
        </w:rPr>
        <w:t xml:space="preserve"> requires that t</w:t>
      </w:r>
      <w:r w:rsidRPr="008517E0">
        <w:rPr>
          <w:szCs w:val="22"/>
        </w:rPr>
        <w:t>he Commission</w:t>
      </w:r>
      <w:r>
        <w:rPr>
          <w:szCs w:val="22"/>
        </w:rPr>
        <w:t xml:space="preserve"> pass upon the propriety of foreign ownership of common carrier radio licensees before such ownership exceeds 20 percent.  The Commission will use the information collected under the final rules to make the required public interest findings.  The information collection will preserve the Commission’s ability to disallow foreign investment that may pose a risk of harm to competition or national security, law enforcement, foreign policy, or trade policy.  As explained in response to Question 1, the collection would not replace the existing approved information</w:t>
      </w:r>
      <w:r w:rsidR="00E7741C">
        <w:rPr>
          <w:szCs w:val="22"/>
        </w:rPr>
        <w:t xml:space="preserve"> collection for section 310(b) (OMB Control No. 3060-0686)</w:t>
      </w:r>
      <w:r>
        <w:rPr>
          <w:szCs w:val="22"/>
        </w:rPr>
        <w:t xml:space="preserve">.  The final rules will apply to licensees that seek and obtain a foreign ownership ruling under the new rules, which are intended to reduce the current burdens and costs associated with filing and processing section 310(b) petitions for declaratory ruling and on-going carrier compliance with their foreign ownership rulings.  </w:t>
      </w:r>
    </w:p>
    <w:p w14:paraId="37886313" w14:textId="77777777" w:rsidR="00992158" w:rsidRDefault="00992158" w:rsidP="00992158">
      <w:pPr>
        <w:rPr>
          <w:szCs w:val="22"/>
        </w:rPr>
      </w:pPr>
    </w:p>
    <w:p w14:paraId="064D9D02" w14:textId="77777777" w:rsidR="00992158" w:rsidRDefault="00992158" w:rsidP="00992158">
      <w:pPr>
        <w:pStyle w:val="ParaNum"/>
        <w:numPr>
          <w:ilvl w:val="0"/>
          <w:numId w:val="0"/>
        </w:numPr>
        <w:tabs>
          <w:tab w:val="left" w:pos="720"/>
        </w:tabs>
        <w:jc w:val="left"/>
        <w:rPr>
          <w:b/>
          <w:sz w:val="24"/>
          <w:szCs w:val="24"/>
        </w:rPr>
      </w:pPr>
      <w:r w:rsidRPr="00B05DCB">
        <w:rPr>
          <w:sz w:val="24"/>
          <w:szCs w:val="24"/>
        </w:rPr>
        <w:t>3.</w:t>
      </w:r>
      <w:r>
        <w:rPr>
          <w:sz w:val="24"/>
          <w:szCs w:val="24"/>
        </w:rPr>
        <w:t xml:space="preserve">  </w:t>
      </w:r>
      <w:r w:rsidRPr="004142C6">
        <w:rPr>
          <w:sz w:val="24"/>
          <w:szCs w:val="24"/>
        </w:rPr>
        <w:t xml:space="preserve">The </w:t>
      </w:r>
      <w:r>
        <w:rPr>
          <w:sz w:val="24"/>
          <w:szCs w:val="24"/>
        </w:rPr>
        <w:t xml:space="preserve">final rules require that </w:t>
      </w:r>
      <w:r w:rsidRPr="004142C6">
        <w:rPr>
          <w:sz w:val="24"/>
          <w:szCs w:val="24"/>
        </w:rPr>
        <w:t>filing entities file their information</w:t>
      </w:r>
      <w:r>
        <w:rPr>
          <w:sz w:val="24"/>
          <w:szCs w:val="24"/>
        </w:rPr>
        <w:t xml:space="preserve"> electronically via the internet using the International Bureau Filing System (IBFS).  The International Bureau assigns an IBFS File No. to the petition, and the petition is publicly available via the internet in IBFS.</w:t>
      </w:r>
    </w:p>
    <w:p w14:paraId="6A8D05AE" w14:textId="77777777" w:rsidR="00992158" w:rsidRPr="00216A2B" w:rsidRDefault="00992158" w:rsidP="00992158">
      <w:pPr>
        <w:pStyle w:val="ParaNum"/>
        <w:numPr>
          <w:ilvl w:val="0"/>
          <w:numId w:val="0"/>
        </w:numPr>
        <w:tabs>
          <w:tab w:val="left" w:pos="720"/>
        </w:tabs>
        <w:jc w:val="left"/>
        <w:rPr>
          <w:sz w:val="24"/>
          <w:szCs w:val="24"/>
        </w:rPr>
      </w:pPr>
      <w:r w:rsidRPr="00216A2B">
        <w:rPr>
          <w:spacing w:val="-3"/>
          <w:sz w:val="24"/>
          <w:szCs w:val="24"/>
        </w:rPr>
        <w:t>4.  T</w:t>
      </w:r>
      <w:r w:rsidRPr="00216A2B">
        <w:rPr>
          <w:sz w:val="24"/>
          <w:szCs w:val="24"/>
        </w:rPr>
        <w:t>his information collection requirement is not duplicated elsewhere in the Commission’s rules.</w:t>
      </w:r>
    </w:p>
    <w:p w14:paraId="3F1FC7A4" w14:textId="77777777" w:rsidR="00992158" w:rsidRDefault="00992158" w:rsidP="00992158">
      <w:pPr>
        <w:suppressAutoHyphens/>
        <w:spacing w:line="240" w:lineRule="atLeast"/>
        <w:rPr>
          <w:spacing w:val="-3"/>
        </w:rPr>
      </w:pPr>
      <w:r>
        <w:t xml:space="preserve">5.  </w:t>
      </w:r>
      <w:r w:rsidRPr="003A63F3">
        <w:t>Th</w:t>
      </w:r>
      <w:r>
        <w:t xml:space="preserve">e final rules are intended to </w:t>
      </w:r>
      <w:r>
        <w:rPr>
          <w:spacing w:val="-3"/>
        </w:rPr>
        <w:t>minimize the economic impact on small entities to the greatest extent possible, while ensuring that the Commission gets the complete information it needs to discharge its regulatory obligations.</w:t>
      </w:r>
    </w:p>
    <w:p w14:paraId="413AB9D7" w14:textId="77777777" w:rsidR="00992158" w:rsidRDefault="00992158" w:rsidP="00992158">
      <w:pPr>
        <w:suppressAutoHyphens/>
        <w:spacing w:line="240" w:lineRule="atLeast"/>
        <w:rPr>
          <w:spacing w:val="-3"/>
        </w:rPr>
      </w:pPr>
    </w:p>
    <w:p w14:paraId="04F85017" w14:textId="77777777" w:rsidR="00992158" w:rsidRDefault="00992158" w:rsidP="00992158">
      <w:pPr>
        <w:suppressAutoHyphens/>
        <w:spacing w:line="240" w:lineRule="atLeast"/>
        <w:rPr>
          <w:spacing w:val="-3"/>
        </w:rPr>
      </w:pPr>
      <w:r>
        <w:rPr>
          <w:spacing w:val="-3"/>
        </w:rPr>
        <w:t xml:space="preserve">6.   If the information collection were not conducted or were conducted less frequently than proposed, the Commission would not be able to carry out its statutory mandate under section 310(b) of the Act, and its section 310(b)(3) forbearance policy, to disallow foreign investment that the Commission finds would be contrary to the U.S. public interest.  In particular, the Commission would lack the </w:t>
      </w:r>
      <w:r>
        <w:rPr>
          <w:szCs w:val="22"/>
        </w:rPr>
        <w:t xml:space="preserve">information it needs to determine whether proposed foreign investment in U.S. common carrier and aeronautical radio licensees may pose a risk of harm to competition or national security, law enforcement, foreign policy, or trade policy.  </w:t>
      </w:r>
      <w:r>
        <w:rPr>
          <w:spacing w:val="-3"/>
        </w:rPr>
        <w:tab/>
      </w:r>
    </w:p>
    <w:p w14:paraId="452533CF" w14:textId="77777777" w:rsidR="00992158" w:rsidRDefault="00992158" w:rsidP="00992158">
      <w:pPr>
        <w:suppressAutoHyphens/>
        <w:spacing w:line="240" w:lineRule="atLeast"/>
        <w:rPr>
          <w:spacing w:val="-3"/>
        </w:rPr>
      </w:pPr>
    </w:p>
    <w:p w14:paraId="3F41618B" w14:textId="77777777" w:rsidR="00992158" w:rsidRDefault="00992158" w:rsidP="00992158">
      <w:pPr>
        <w:suppressAutoHyphens/>
        <w:spacing w:line="240" w:lineRule="atLeast"/>
        <w:ind w:right="540"/>
        <w:rPr>
          <w:spacing w:val="-3"/>
        </w:rPr>
      </w:pPr>
      <w:r>
        <w:rPr>
          <w:spacing w:val="-3"/>
        </w:rPr>
        <w:t>7.   There are no special circumstances that would prevent the Commission from following all guidelines regarding the information collection.</w:t>
      </w:r>
    </w:p>
    <w:p w14:paraId="4A47E710" w14:textId="77777777" w:rsidR="00992158" w:rsidRDefault="00992158" w:rsidP="00992158">
      <w:pPr>
        <w:suppressAutoHyphens/>
        <w:spacing w:line="240" w:lineRule="atLeast"/>
        <w:rPr>
          <w:spacing w:val="-3"/>
        </w:rPr>
      </w:pPr>
    </w:p>
    <w:p w14:paraId="43783B49" w14:textId="30B0BB88" w:rsidR="00992158" w:rsidRPr="00A32CF2" w:rsidRDefault="00992158" w:rsidP="00992158">
      <w:pPr>
        <w:rPr>
          <w:rFonts w:ascii="Arial" w:hAnsi="Arial" w:cs="Arial"/>
          <w:sz w:val="20"/>
        </w:rPr>
      </w:pPr>
      <w:r w:rsidRPr="008D6A05">
        <w:rPr>
          <w:spacing w:val="-3"/>
        </w:rPr>
        <w:t>8.</w:t>
      </w:r>
      <w:r>
        <w:rPr>
          <w:spacing w:val="-3"/>
        </w:rPr>
        <w:t xml:space="preserve">   </w:t>
      </w:r>
      <w:r w:rsidRPr="00364487">
        <w:t xml:space="preserve">The Commission placed a 60 day notice in the </w:t>
      </w:r>
      <w:r w:rsidRPr="00364487">
        <w:rPr>
          <w:i/>
          <w:iCs/>
        </w:rPr>
        <w:t>Federal Register</w:t>
      </w:r>
      <w:r w:rsidRPr="00364487">
        <w:t xml:space="preserve"> pursuant to 5 CFR § 1320.8(d).  </w:t>
      </w:r>
      <w:r w:rsidRPr="00364487">
        <w:rPr>
          <w:i/>
          <w:iCs/>
        </w:rPr>
        <w:t>See</w:t>
      </w:r>
      <w:r w:rsidRPr="00364487">
        <w:t xml:space="preserve"> </w:t>
      </w:r>
      <w:r w:rsidRPr="004C6825">
        <w:rPr>
          <w:b/>
        </w:rPr>
        <w:t>76 FR 65472</w:t>
      </w:r>
      <w:r w:rsidRPr="00364487">
        <w:t xml:space="preserve">, dated </w:t>
      </w:r>
      <w:r w:rsidRPr="002C4158">
        <w:rPr>
          <w:b/>
        </w:rPr>
        <w:t xml:space="preserve">October </w:t>
      </w:r>
      <w:r>
        <w:rPr>
          <w:b/>
        </w:rPr>
        <w:t>21</w:t>
      </w:r>
      <w:r w:rsidRPr="002C4158">
        <w:rPr>
          <w:b/>
        </w:rPr>
        <w:t>, 2011</w:t>
      </w:r>
      <w:r w:rsidRPr="00364487">
        <w:t xml:space="preserve">, seeking comments from the public on the information collection requirements contained in this supporting statement. </w:t>
      </w:r>
      <w:r>
        <w:t>N</w:t>
      </w:r>
      <w:r w:rsidRPr="00E81B22">
        <w:t xml:space="preserve">o comments </w:t>
      </w:r>
      <w:r w:rsidR="00E7741C">
        <w:t xml:space="preserve">were </w:t>
      </w:r>
      <w:r w:rsidRPr="00E81B22">
        <w:t>received from the public</w:t>
      </w:r>
      <w:r w:rsidRPr="00364487">
        <w:t>.</w:t>
      </w:r>
    </w:p>
    <w:p w14:paraId="3D5428B9" w14:textId="77777777" w:rsidR="00992158" w:rsidRDefault="00992158" w:rsidP="00992158">
      <w:pPr>
        <w:suppressAutoHyphens/>
        <w:spacing w:line="240" w:lineRule="atLeast"/>
        <w:rPr>
          <w:spacing w:val="-3"/>
        </w:rPr>
      </w:pPr>
      <w:r>
        <w:rPr>
          <w:spacing w:val="-3"/>
        </w:rPr>
        <w:lastRenderedPageBreak/>
        <w:t>9.   The Commission will not provide any payment or gift to respondents.</w:t>
      </w:r>
    </w:p>
    <w:p w14:paraId="60AB15F3" w14:textId="77777777" w:rsidR="00992158" w:rsidRDefault="00992158" w:rsidP="00992158">
      <w:pPr>
        <w:suppressAutoHyphens/>
        <w:spacing w:line="240" w:lineRule="atLeast"/>
        <w:rPr>
          <w:spacing w:val="-3"/>
        </w:rPr>
      </w:pPr>
    </w:p>
    <w:p w14:paraId="1E75F5D4" w14:textId="77777777" w:rsidR="00992158" w:rsidRDefault="00992158" w:rsidP="00992158">
      <w:pPr>
        <w:suppressAutoHyphens/>
        <w:spacing w:line="240" w:lineRule="atLeast"/>
      </w:pPr>
      <w:r>
        <w:rPr>
          <w:spacing w:val="-3"/>
        </w:rPr>
        <w:t xml:space="preserve">10.  </w:t>
      </w:r>
      <w:r w:rsidRPr="00CC2B85">
        <w:rPr>
          <w:spacing w:val="-3"/>
        </w:rPr>
        <w:t>T</w:t>
      </w:r>
      <w:r w:rsidRPr="00CC2B85">
        <w:t xml:space="preserve">he Commission has </w:t>
      </w:r>
      <w:r>
        <w:t xml:space="preserve">not proposed to grant assurances of confidentiality to those parties submitting the information.  Petitioners </w:t>
      </w:r>
      <w:r w:rsidRPr="00224189">
        <w:t xml:space="preserve">that seek to protect the confidentiality of particular </w:t>
      </w:r>
      <w:r>
        <w:t xml:space="preserve">information </w:t>
      </w:r>
      <w:r w:rsidRPr="00224189">
        <w:t>may request such treatment under section 0.459 of the Commission’s rules</w:t>
      </w:r>
      <w:r>
        <w:t>, 47 C.F.R. § 0.459</w:t>
      </w:r>
      <w:r w:rsidRPr="00224189">
        <w:t xml:space="preserve">.  </w:t>
      </w:r>
      <w:r>
        <w:t xml:space="preserve">Under section 0.459, the petitioner would be required to </w:t>
      </w:r>
      <w:r w:rsidRPr="00224189">
        <w:t xml:space="preserve">justify fully its request for confidentiality by providing enough information for the Commission to determine the need for confidential treatment.  The rule requires a </w:t>
      </w:r>
      <w:r>
        <w:t xml:space="preserve">party </w:t>
      </w:r>
      <w:r w:rsidRPr="00224189">
        <w:t xml:space="preserve">requesting confidentiality to submit an </w:t>
      </w:r>
      <w:proofErr w:type="spellStart"/>
      <w:r w:rsidRPr="00224189">
        <w:t>unredacted</w:t>
      </w:r>
      <w:proofErr w:type="spellEnd"/>
      <w:r w:rsidRPr="00224189">
        <w:t xml:space="preserve"> version of its</w:t>
      </w:r>
      <w:r>
        <w:t xml:space="preserve"> information</w:t>
      </w:r>
      <w:r w:rsidRPr="00224189">
        <w:t>, as well as a redacted version to be made publicly available.  Should the Commission decide to grant a request for confidential treatment of information that does not fall within a specific exemption pursuant to the Freedom of Information Act (FOIA), that Act requires the Commission to disclose publicly the information upon an</w:t>
      </w:r>
      <w:r>
        <w:t xml:space="preserve"> a</w:t>
      </w:r>
      <w:r w:rsidRPr="00224189">
        <w:t xml:space="preserve">ppropriate </w:t>
      </w:r>
      <w:proofErr w:type="gramStart"/>
      <w:r w:rsidRPr="00224189">
        <w:t>request.</w:t>
      </w:r>
      <w:proofErr w:type="gramEnd"/>
      <w:r w:rsidRPr="00224189">
        <w:t xml:space="preserve">  The Commission may grant requests for confidential treatment either conditionally or unconditionally.  </w:t>
      </w:r>
      <w:r>
        <w:t>T</w:t>
      </w:r>
      <w:r w:rsidRPr="00224189">
        <w:t>he Commission has the discretion to release on public interest grounds information that fall</w:t>
      </w:r>
      <w:r>
        <w:t>s w</w:t>
      </w:r>
      <w:r w:rsidRPr="00224189">
        <w:t>ithin the scope of a FOIA exemption.</w:t>
      </w:r>
      <w:r>
        <w:t xml:space="preserve">  </w:t>
      </w:r>
    </w:p>
    <w:p w14:paraId="2E6484BB" w14:textId="77777777" w:rsidR="00992158" w:rsidRDefault="00992158" w:rsidP="00992158">
      <w:pPr>
        <w:suppressAutoHyphens/>
        <w:spacing w:line="240" w:lineRule="atLeast"/>
        <w:ind w:left="360"/>
      </w:pPr>
    </w:p>
    <w:p w14:paraId="6144D50B" w14:textId="77777777" w:rsidR="00992158" w:rsidRDefault="00992158" w:rsidP="00992158">
      <w:pPr>
        <w:pStyle w:val="ParaNum"/>
        <w:numPr>
          <w:ilvl w:val="0"/>
          <w:numId w:val="0"/>
        </w:numPr>
        <w:tabs>
          <w:tab w:val="left" w:pos="720"/>
        </w:tabs>
        <w:jc w:val="left"/>
        <w:rPr>
          <w:sz w:val="24"/>
          <w:szCs w:val="24"/>
        </w:rPr>
      </w:pPr>
      <w:r>
        <w:rPr>
          <w:sz w:val="24"/>
          <w:szCs w:val="24"/>
        </w:rPr>
        <w:t xml:space="preserve">11.   This collection does not include any questions of a </w:t>
      </w:r>
      <w:r w:rsidRPr="00224189">
        <w:rPr>
          <w:sz w:val="24"/>
          <w:szCs w:val="24"/>
        </w:rPr>
        <w:t>sensitive nature</w:t>
      </w:r>
      <w:r>
        <w:rPr>
          <w:sz w:val="24"/>
          <w:szCs w:val="24"/>
        </w:rPr>
        <w:t>.</w:t>
      </w:r>
    </w:p>
    <w:p w14:paraId="27C6BEC0" w14:textId="77777777" w:rsidR="003D113D" w:rsidRDefault="003D113D" w:rsidP="00992158">
      <w:pPr>
        <w:pStyle w:val="ParaNum"/>
        <w:numPr>
          <w:ilvl w:val="0"/>
          <w:numId w:val="0"/>
        </w:numPr>
        <w:tabs>
          <w:tab w:val="left" w:pos="720"/>
        </w:tabs>
        <w:jc w:val="left"/>
        <w:rPr>
          <w:sz w:val="24"/>
          <w:szCs w:val="24"/>
        </w:rPr>
      </w:pPr>
    </w:p>
    <w:p w14:paraId="0E909A6E" w14:textId="77777777" w:rsidR="003D113D" w:rsidRDefault="003D113D" w:rsidP="00992158">
      <w:pPr>
        <w:pStyle w:val="ParaNum"/>
        <w:numPr>
          <w:ilvl w:val="0"/>
          <w:numId w:val="0"/>
        </w:numPr>
        <w:tabs>
          <w:tab w:val="left" w:pos="720"/>
        </w:tabs>
        <w:jc w:val="left"/>
        <w:rPr>
          <w:sz w:val="24"/>
          <w:szCs w:val="24"/>
        </w:rPr>
      </w:pPr>
    </w:p>
    <w:p w14:paraId="5C8116CC" w14:textId="77777777" w:rsidR="003D113D" w:rsidRDefault="003D113D" w:rsidP="00992158">
      <w:pPr>
        <w:pStyle w:val="ParaNum"/>
        <w:numPr>
          <w:ilvl w:val="0"/>
          <w:numId w:val="0"/>
        </w:numPr>
        <w:tabs>
          <w:tab w:val="left" w:pos="720"/>
        </w:tabs>
        <w:jc w:val="left"/>
        <w:rPr>
          <w:sz w:val="24"/>
          <w:szCs w:val="24"/>
        </w:rPr>
      </w:pPr>
    </w:p>
    <w:p w14:paraId="5F5469B9" w14:textId="77777777" w:rsidR="003D113D" w:rsidRDefault="003D113D" w:rsidP="00992158">
      <w:pPr>
        <w:pStyle w:val="ParaNum"/>
        <w:numPr>
          <w:ilvl w:val="0"/>
          <w:numId w:val="0"/>
        </w:numPr>
        <w:tabs>
          <w:tab w:val="left" w:pos="720"/>
        </w:tabs>
        <w:jc w:val="left"/>
        <w:rPr>
          <w:sz w:val="24"/>
          <w:szCs w:val="24"/>
        </w:rPr>
      </w:pPr>
    </w:p>
    <w:p w14:paraId="4468C156" w14:textId="77777777" w:rsidR="003D113D" w:rsidRDefault="003D113D" w:rsidP="00992158">
      <w:pPr>
        <w:pStyle w:val="ParaNum"/>
        <w:numPr>
          <w:ilvl w:val="0"/>
          <w:numId w:val="0"/>
        </w:numPr>
        <w:tabs>
          <w:tab w:val="left" w:pos="720"/>
        </w:tabs>
        <w:jc w:val="left"/>
        <w:rPr>
          <w:sz w:val="24"/>
          <w:szCs w:val="24"/>
        </w:rPr>
      </w:pPr>
    </w:p>
    <w:p w14:paraId="01CDE600" w14:textId="77777777" w:rsidR="003D113D" w:rsidRDefault="003D113D" w:rsidP="00992158">
      <w:pPr>
        <w:pStyle w:val="ParaNum"/>
        <w:numPr>
          <w:ilvl w:val="0"/>
          <w:numId w:val="0"/>
        </w:numPr>
        <w:tabs>
          <w:tab w:val="left" w:pos="720"/>
        </w:tabs>
        <w:jc w:val="left"/>
        <w:rPr>
          <w:sz w:val="24"/>
          <w:szCs w:val="24"/>
        </w:rPr>
      </w:pPr>
    </w:p>
    <w:p w14:paraId="52FD34BD" w14:textId="77777777" w:rsidR="003D113D" w:rsidRDefault="003D113D" w:rsidP="00992158">
      <w:pPr>
        <w:pStyle w:val="ParaNum"/>
        <w:numPr>
          <w:ilvl w:val="0"/>
          <w:numId w:val="0"/>
        </w:numPr>
        <w:tabs>
          <w:tab w:val="left" w:pos="720"/>
        </w:tabs>
        <w:jc w:val="left"/>
        <w:rPr>
          <w:sz w:val="24"/>
          <w:szCs w:val="24"/>
        </w:rPr>
      </w:pPr>
    </w:p>
    <w:p w14:paraId="56DD0CFB" w14:textId="77777777" w:rsidR="003D113D" w:rsidRDefault="003D113D" w:rsidP="00992158">
      <w:pPr>
        <w:pStyle w:val="ParaNum"/>
        <w:numPr>
          <w:ilvl w:val="0"/>
          <w:numId w:val="0"/>
        </w:numPr>
        <w:tabs>
          <w:tab w:val="left" w:pos="720"/>
        </w:tabs>
        <w:jc w:val="left"/>
        <w:rPr>
          <w:sz w:val="24"/>
          <w:szCs w:val="24"/>
        </w:rPr>
      </w:pPr>
    </w:p>
    <w:p w14:paraId="7947CD40" w14:textId="77777777" w:rsidR="003D113D" w:rsidRDefault="003D113D" w:rsidP="00992158">
      <w:pPr>
        <w:pStyle w:val="ParaNum"/>
        <w:numPr>
          <w:ilvl w:val="0"/>
          <w:numId w:val="0"/>
        </w:numPr>
        <w:tabs>
          <w:tab w:val="left" w:pos="720"/>
        </w:tabs>
        <w:jc w:val="left"/>
        <w:rPr>
          <w:sz w:val="24"/>
          <w:szCs w:val="24"/>
        </w:rPr>
      </w:pPr>
    </w:p>
    <w:p w14:paraId="529A08CF" w14:textId="77777777" w:rsidR="003D113D" w:rsidRDefault="003D113D" w:rsidP="00992158">
      <w:pPr>
        <w:pStyle w:val="ParaNum"/>
        <w:numPr>
          <w:ilvl w:val="0"/>
          <w:numId w:val="0"/>
        </w:numPr>
        <w:tabs>
          <w:tab w:val="left" w:pos="720"/>
        </w:tabs>
        <w:jc w:val="left"/>
        <w:rPr>
          <w:sz w:val="24"/>
          <w:szCs w:val="24"/>
        </w:rPr>
      </w:pPr>
    </w:p>
    <w:p w14:paraId="7A50D113" w14:textId="77777777" w:rsidR="003D113D" w:rsidRDefault="003D113D" w:rsidP="00992158">
      <w:pPr>
        <w:pStyle w:val="ParaNum"/>
        <w:numPr>
          <w:ilvl w:val="0"/>
          <w:numId w:val="0"/>
        </w:numPr>
        <w:tabs>
          <w:tab w:val="left" w:pos="720"/>
        </w:tabs>
        <w:jc w:val="left"/>
        <w:rPr>
          <w:sz w:val="24"/>
          <w:szCs w:val="24"/>
        </w:rPr>
      </w:pPr>
    </w:p>
    <w:p w14:paraId="0971CAFB" w14:textId="77777777" w:rsidR="003D113D" w:rsidRDefault="003D113D" w:rsidP="00992158">
      <w:pPr>
        <w:pStyle w:val="ParaNum"/>
        <w:numPr>
          <w:ilvl w:val="0"/>
          <w:numId w:val="0"/>
        </w:numPr>
        <w:tabs>
          <w:tab w:val="left" w:pos="720"/>
        </w:tabs>
        <w:jc w:val="left"/>
        <w:rPr>
          <w:sz w:val="24"/>
          <w:szCs w:val="24"/>
        </w:rPr>
      </w:pPr>
    </w:p>
    <w:p w14:paraId="351B5388" w14:textId="77777777" w:rsidR="00EE2918" w:rsidRDefault="00EE2918" w:rsidP="00992158">
      <w:pPr>
        <w:pStyle w:val="ParaNum"/>
        <w:numPr>
          <w:ilvl w:val="0"/>
          <w:numId w:val="0"/>
        </w:numPr>
        <w:tabs>
          <w:tab w:val="left" w:pos="720"/>
        </w:tabs>
        <w:jc w:val="left"/>
        <w:rPr>
          <w:sz w:val="24"/>
          <w:szCs w:val="24"/>
        </w:rPr>
      </w:pPr>
    </w:p>
    <w:p w14:paraId="74604E03" w14:textId="77777777" w:rsidR="00EE2918" w:rsidRDefault="00EE2918" w:rsidP="00992158">
      <w:pPr>
        <w:pStyle w:val="ParaNum"/>
        <w:numPr>
          <w:ilvl w:val="0"/>
          <w:numId w:val="0"/>
        </w:numPr>
        <w:tabs>
          <w:tab w:val="left" w:pos="720"/>
        </w:tabs>
        <w:jc w:val="left"/>
        <w:rPr>
          <w:sz w:val="24"/>
          <w:szCs w:val="24"/>
        </w:rPr>
      </w:pPr>
    </w:p>
    <w:p w14:paraId="6D84A312" w14:textId="77777777" w:rsidR="003D113D" w:rsidRDefault="003D113D" w:rsidP="00992158">
      <w:pPr>
        <w:pStyle w:val="ParaNum"/>
        <w:numPr>
          <w:ilvl w:val="0"/>
          <w:numId w:val="0"/>
        </w:numPr>
        <w:tabs>
          <w:tab w:val="left" w:pos="720"/>
        </w:tabs>
        <w:jc w:val="left"/>
        <w:rPr>
          <w:sz w:val="24"/>
          <w:szCs w:val="24"/>
        </w:rPr>
      </w:pPr>
    </w:p>
    <w:p w14:paraId="28AE0268" w14:textId="77777777" w:rsidR="00992158" w:rsidRPr="009A0153" w:rsidRDefault="00992158" w:rsidP="00992158">
      <w:pPr>
        <w:pStyle w:val="ParaNum"/>
        <w:numPr>
          <w:ilvl w:val="0"/>
          <w:numId w:val="0"/>
        </w:numPr>
        <w:tabs>
          <w:tab w:val="left" w:pos="720"/>
        </w:tabs>
        <w:jc w:val="left"/>
        <w:rPr>
          <w:sz w:val="24"/>
          <w:szCs w:val="24"/>
        </w:rPr>
      </w:pPr>
      <w:r w:rsidRPr="009A0153">
        <w:rPr>
          <w:sz w:val="24"/>
          <w:szCs w:val="24"/>
        </w:rPr>
        <w:lastRenderedPageBreak/>
        <w:t xml:space="preserve">12.  </w:t>
      </w:r>
      <w:r w:rsidRPr="009A0153">
        <w:rPr>
          <w:b/>
          <w:sz w:val="24"/>
          <w:szCs w:val="24"/>
        </w:rPr>
        <w:t xml:space="preserve"> Estimate of Burden Hours for Information Collection:</w:t>
      </w:r>
      <w:r w:rsidRPr="009A0153">
        <w:rPr>
          <w:sz w:val="24"/>
          <w:szCs w:val="24"/>
        </w:rPr>
        <w:t xml:space="preserve">  </w:t>
      </w:r>
    </w:p>
    <w:p w14:paraId="3BFE6611" w14:textId="54725C9E" w:rsidR="005C09C5" w:rsidRDefault="00992158" w:rsidP="002B6D62">
      <w:pPr>
        <w:pStyle w:val="ParaNum"/>
        <w:numPr>
          <w:ilvl w:val="0"/>
          <w:numId w:val="0"/>
        </w:numPr>
        <w:tabs>
          <w:tab w:val="left" w:pos="720"/>
        </w:tabs>
        <w:jc w:val="left"/>
        <w:rPr>
          <w:spacing w:val="-3"/>
          <w:sz w:val="24"/>
          <w:szCs w:val="24"/>
        </w:rPr>
      </w:pPr>
      <w:r w:rsidRPr="009A0153">
        <w:rPr>
          <w:spacing w:val="-3"/>
          <w:sz w:val="24"/>
          <w:szCs w:val="24"/>
        </w:rPr>
        <w:t xml:space="preserve">The </w:t>
      </w:r>
      <w:r w:rsidR="00EC0C30" w:rsidRPr="009A0153">
        <w:rPr>
          <w:spacing w:val="-3"/>
          <w:sz w:val="24"/>
          <w:szCs w:val="24"/>
        </w:rPr>
        <w:t xml:space="preserve">Commission estimates </w:t>
      </w:r>
      <w:r w:rsidR="008E667F">
        <w:rPr>
          <w:spacing w:val="-3"/>
          <w:sz w:val="24"/>
          <w:szCs w:val="24"/>
        </w:rPr>
        <w:t>the final burden estimates for this collection as follows:</w:t>
      </w:r>
      <w:r w:rsidR="005C09C5" w:rsidRPr="000A7FCF">
        <w:rPr>
          <w:rStyle w:val="FootnoteReference"/>
          <w:spacing w:val="-3"/>
          <w:sz w:val="24"/>
          <w:szCs w:val="24"/>
        </w:rPr>
        <w:footnoteReference w:id="1"/>
      </w:r>
      <w:r w:rsidR="005C09C5">
        <w:rPr>
          <w:spacing w:val="-3"/>
          <w:sz w:val="24"/>
          <w:szCs w:val="24"/>
        </w:rPr>
        <w:t xml:space="preserve">  </w:t>
      </w:r>
    </w:p>
    <w:p w14:paraId="6F4CDB5C" w14:textId="77777777" w:rsidR="005C09C5" w:rsidRPr="005C09C5" w:rsidRDefault="005C09C5" w:rsidP="005C09C5">
      <w:pPr>
        <w:suppressAutoHyphens/>
        <w:spacing w:line="240" w:lineRule="atLeast"/>
      </w:pPr>
    </w:p>
    <w:tbl>
      <w:tblPr>
        <w:tblW w:w="4643"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522"/>
        <w:gridCol w:w="1440"/>
        <w:gridCol w:w="1440"/>
        <w:gridCol w:w="1369"/>
      </w:tblGrid>
      <w:tr w:rsidR="005C09C5" w:rsidRPr="005C09C5" w14:paraId="39A1D04C" w14:textId="77777777" w:rsidTr="00EB0AA7">
        <w:trPr>
          <w:trHeight w:val="2"/>
        </w:trPr>
        <w:tc>
          <w:tcPr>
            <w:tcW w:w="6855" w:type="dxa"/>
            <w:gridSpan w:val="4"/>
            <w:shd w:val="clear" w:color="auto" w:fill="auto"/>
            <w:noWrap/>
          </w:tcPr>
          <w:p w14:paraId="72885327" w14:textId="77777777" w:rsidR="005C09C5" w:rsidRPr="005C09C5" w:rsidRDefault="005C09C5" w:rsidP="005C09C5">
            <w:pPr>
              <w:rPr>
                <w:bCs/>
              </w:rPr>
            </w:pPr>
            <w:r w:rsidRPr="005C09C5">
              <w:br w:type="page"/>
            </w:r>
            <w:r w:rsidRPr="005C09C5">
              <w:br w:type="page"/>
            </w:r>
            <w:r w:rsidRPr="005C09C5">
              <w:rPr>
                <w:spacing w:val="-3"/>
              </w:rPr>
              <w:br w:type="page"/>
            </w:r>
            <w:r w:rsidRPr="005C09C5">
              <w:rPr>
                <w:b/>
                <w:bCs/>
              </w:rPr>
              <w:t>Estimate of Burden Hours:</w:t>
            </w:r>
          </w:p>
        </w:tc>
        <w:tc>
          <w:tcPr>
            <w:tcW w:w="1369" w:type="dxa"/>
            <w:shd w:val="clear" w:color="auto" w:fill="auto"/>
            <w:noWrap/>
            <w:vAlign w:val="bottom"/>
          </w:tcPr>
          <w:p w14:paraId="72EAED62" w14:textId="77777777" w:rsidR="005C09C5" w:rsidRPr="005C09C5" w:rsidRDefault="005C09C5" w:rsidP="005C09C5">
            <w:pPr>
              <w:rPr>
                <w:rFonts w:ascii="Arial" w:hAnsi="Arial" w:cs="Arial"/>
                <w:sz w:val="20"/>
              </w:rPr>
            </w:pPr>
          </w:p>
        </w:tc>
      </w:tr>
      <w:tr w:rsidR="005C09C5" w:rsidRPr="005C09C5" w14:paraId="0594C09C" w14:textId="77777777" w:rsidTr="00EB0AA7">
        <w:trPr>
          <w:trHeight w:val="2"/>
        </w:trPr>
        <w:tc>
          <w:tcPr>
            <w:tcW w:w="2453" w:type="dxa"/>
            <w:shd w:val="clear" w:color="auto" w:fill="auto"/>
            <w:noWrap/>
            <w:vAlign w:val="bottom"/>
          </w:tcPr>
          <w:p w14:paraId="0FC0CBA7" w14:textId="77777777" w:rsidR="005C09C5" w:rsidRPr="005C09C5" w:rsidRDefault="005C09C5" w:rsidP="005C09C5">
            <w:pPr>
              <w:tabs>
                <w:tab w:val="left" w:pos="2127"/>
              </w:tabs>
              <w:jc w:val="center"/>
              <w:rPr>
                <w:b/>
                <w:bCs/>
              </w:rPr>
            </w:pPr>
            <w:r w:rsidRPr="005C09C5">
              <w:rPr>
                <w:b/>
                <w:bCs/>
              </w:rPr>
              <w:t>Explanation</w:t>
            </w:r>
          </w:p>
        </w:tc>
        <w:tc>
          <w:tcPr>
            <w:tcW w:w="1522" w:type="dxa"/>
            <w:shd w:val="clear" w:color="auto" w:fill="auto"/>
            <w:vAlign w:val="bottom"/>
          </w:tcPr>
          <w:p w14:paraId="7251898D" w14:textId="77777777" w:rsidR="005C09C5" w:rsidRPr="005C09C5" w:rsidRDefault="005C09C5" w:rsidP="005C09C5">
            <w:pPr>
              <w:tabs>
                <w:tab w:val="left" w:pos="2127"/>
              </w:tabs>
              <w:jc w:val="center"/>
              <w:rPr>
                <w:b/>
                <w:bCs/>
              </w:rPr>
            </w:pPr>
            <w:r w:rsidRPr="005C09C5">
              <w:rPr>
                <w:b/>
                <w:bCs/>
              </w:rPr>
              <w:t>Number</w:t>
            </w:r>
          </w:p>
        </w:tc>
        <w:tc>
          <w:tcPr>
            <w:tcW w:w="1440" w:type="dxa"/>
            <w:shd w:val="clear" w:color="auto" w:fill="auto"/>
            <w:noWrap/>
            <w:vAlign w:val="bottom"/>
          </w:tcPr>
          <w:p w14:paraId="3D16D5CB" w14:textId="77777777" w:rsidR="005C09C5" w:rsidRPr="005C09C5" w:rsidRDefault="005C09C5" w:rsidP="005C09C5">
            <w:pPr>
              <w:jc w:val="center"/>
              <w:rPr>
                <w:b/>
                <w:bCs/>
              </w:rPr>
            </w:pPr>
            <w:r w:rsidRPr="005C09C5">
              <w:rPr>
                <w:b/>
                <w:bCs/>
              </w:rPr>
              <w:t xml:space="preserve">Frequency </w:t>
            </w:r>
          </w:p>
        </w:tc>
        <w:tc>
          <w:tcPr>
            <w:tcW w:w="1440" w:type="dxa"/>
            <w:shd w:val="clear" w:color="auto" w:fill="auto"/>
            <w:noWrap/>
            <w:vAlign w:val="bottom"/>
          </w:tcPr>
          <w:p w14:paraId="3014920E" w14:textId="77777777" w:rsidR="005C09C5" w:rsidRPr="005C09C5" w:rsidRDefault="005C09C5" w:rsidP="005C09C5">
            <w:pPr>
              <w:jc w:val="center"/>
              <w:rPr>
                <w:b/>
                <w:bCs/>
              </w:rPr>
            </w:pPr>
            <w:r w:rsidRPr="005C09C5">
              <w:rPr>
                <w:b/>
                <w:bCs/>
              </w:rPr>
              <w:t>Time</w:t>
            </w:r>
          </w:p>
        </w:tc>
        <w:tc>
          <w:tcPr>
            <w:tcW w:w="1369" w:type="dxa"/>
            <w:shd w:val="clear" w:color="auto" w:fill="auto"/>
            <w:noWrap/>
            <w:vAlign w:val="bottom"/>
          </w:tcPr>
          <w:p w14:paraId="2033FD9A" w14:textId="77777777" w:rsidR="005C09C5" w:rsidRPr="005C09C5" w:rsidRDefault="005C09C5" w:rsidP="005C09C5">
            <w:pPr>
              <w:jc w:val="center"/>
              <w:rPr>
                <w:b/>
                <w:bCs/>
              </w:rPr>
            </w:pPr>
            <w:r w:rsidRPr="005C09C5">
              <w:rPr>
                <w:b/>
                <w:bCs/>
              </w:rPr>
              <w:t>Annual</w:t>
            </w:r>
          </w:p>
        </w:tc>
      </w:tr>
      <w:tr w:rsidR="005C09C5" w:rsidRPr="005C09C5" w14:paraId="184E244F" w14:textId="77777777" w:rsidTr="00EB0AA7">
        <w:trPr>
          <w:trHeight w:val="2"/>
        </w:trPr>
        <w:tc>
          <w:tcPr>
            <w:tcW w:w="2453" w:type="dxa"/>
            <w:shd w:val="clear" w:color="auto" w:fill="auto"/>
            <w:noWrap/>
            <w:vAlign w:val="bottom"/>
          </w:tcPr>
          <w:p w14:paraId="36ADD4F9" w14:textId="77777777" w:rsidR="005C09C5" w:rsidRPr="005C09C5" w:rsidRDefault="005C09C5" w:rsidP="005C09C5">
            <w:pPr>
              <w:jc w:val="center"/>
              <w:rPr>
                <w:b/>
                <w:bCs/>
              </w:rPr>
            </w:pPr>
            <w:r w:rsidRPr="005C09C5">
              <w:rPr>
                <w:b/>
                <w:bCs/>
              </w:rPr>
              <w:t>of Burden Estimate</w:t>
            </w:r>
          </w:p>
        </w:tc>
        <w:tc>
          <w:tcPr>
            <w:tcW w:w="1522" w:type="dxa"/>
            <w:shd w:val="clear" w:color="auto" w:fill="auto"/>
            <w:vAlign w:val="bottom"/>
          </w:tcPr>
          <w:p w14:paraId="45D0260E" w14:textId="77777777" w:rsidR="005C09C5" w:rsidRPr="005C09C5" w:rsidRDefault="005C09C5" w:rsidP="005C09C5">
            <w:pPr>
              <w:jc w:val="center"/>
              <w:rPr>
                <w:b/>
                <w:bCs/>
              </w:rPr>
            </w:pPr>
            <w:r w:rsidRPr="005C09C5">
              <w:rPr>
                <w:b/>
                <w:bCs/>
              </w:rPr>
              <w:t>Of Responses</w:t>
            </w:r>
          </w:p>
        </w:tc>
        <w:tc>
          <w:tcPr>
            <w:tcW w:w="1440" w:type="dxa"/>
            <w:shd w:val="clear" w:color="auto" w:fill="auto"/>
            <w:noWrap/>
            <w:vAlign w:val="bottom"/>
          </w:tcPr>
          <w:p w14:paraId="5D50B981" w14:textId="77777777" w:rsidR="005C09C5" w:rsidRPr="005C09C5" w:rsidRDefault="005C09C5" w:rsidP="005C09C5">
            <w:pPr>
              <w:jc w:val="center"/>
              <w:rPr>
                <w:b/>
                <w:bCs/>
              </w:rPr>
            </w:pPr>
            <w:r w:rsidRPr="005C09C5">
              <w:rPr>
                <w:b/>
                <w:bCs/>
              </w:rPr>
              <w:t>of Responses</w:t>
            </w:r>
          </w:p>
        </w:tc>
        <w:tc>
          <w:tcPr>
            <w:tcW w:w="1440" w:type="dxa"/>
            <w:shd w:val="clear" w:color="auto" w:fill="auto"/>
            <w:noWrap/>
            <w:vAlign w:val="bottom"/>
          </w:tcPr>
          <w:p w14:paraId="7CE98292" w14:textId="77777777" w:rsidR="005C09C5" w:rsidRPr="005C09C5" w:rsidRDefault="005C09C5" w:rsidP="005C09C5">
            <w:pPr>
              <w:jc w:val="center"/>
              <w:rPr>
                <w:b/>
                <w:bCs/>
              </w:rPr>
            </w:pPr>
            <w:r w:rsidRPr="005C09C5">
              <w:rPr>
                <w:b/>
                <w:bCs/>
              </w:rPr>
              <w:t>Per Response</w:t>
            </w:r>
          </w:p>
        </w:tc>
        <w:tc>
          <w:tcPr>
            <w:tcW w:w="1369" w:type="dxa"/>
            <w:shd w:val="clear" w:color="auto" w:fill="auto"/>
            <w:noWrap/>
            <w:vAlign w:val="bottom"/>
          </w:tcPr>
          <w:p w14:paraId="25430CC8" w14:textId="77777777" w:rsidR="005C09C5" w:rsidRPr="005C09C5" w:rsidRDefault="005C09C5" w:rsidP="005C09C5">
            <w:pPr>
              <w:jc w:val="center"/>
              <w:rPr>
                <w:b/>
                <w:bCs/>
              </w:rPr>
            </w:pPr>
            <w:r w:rsidRPr="005C09C5">
              <w:rPr>
                <w:b/>
                <w:bCs/>
              </w:rPr>
              <w:t>Burden  Hours</w:t>
            </w:r>
          </w:p>
        </w:tc>
      </w:tr>
      <w:tr w:rsidR="005C09C5" w:rsidRPr="005C09C5" w14:paraId="0A31ADA5" w14:textId="77777777" w:rsidTr="00EB0AA7">
        <w:trPr>
          <w:trHeight w:val="2"/>
        </w:trPr>
        <w:tc>
          <w:tcPr>
            <w:tcW w:w="2453" w:type="dxa"/>
            <w:shd w:val="clear" w:color="auto" w:fill="auto"/>
            <w:noWrap/>
            <w:vAlign w:val="bottom"/>
          </w:tcPr>
          <w:p w14:paraId="08D3A167" w14:textId="77777777" w:rsidR="005C09C5" w:rsidRPr="005C09C5" w:rsidRDefault="005C09C5" w:rsidP="005C09C5"/>
        </w:tc>
        <w:tc>
          <w:tcPr>
            <w:tcW w:w="1522" w:type="dxa"/>
            <w:shd w:val="clear" w:color="auto" w:fill="auto"/>
            <w:vAlign w:val="bottom"/>
          </w:tcPr>
          <w:p w14:paraId="39E39076" w14:textId="77777777" w:rsidR="005C09C5" w:rsidRPr="005C09C5" w:rsidRDefault="005C09C5" w:rsidP="005C09C5"/>
        </w:tc>
        <w:tc>
          <w:tcPr>
            <w:tcW w:w="1440" w:type="dxa"/>
            <w:shd w:val="clear" w:color="auto" w:fill="auto"/>
            <w:noWrap/>
            <w:vAlign w:val="bottom"/>
          </w:tcPr>
          <w:p w14:paraId="6A29C081" w14:textId="77777777" w:rsidR="005C09C5" w:rsidRPr="005C09C5" w:rsidRDefault="005C09C5" w:rsidP="005C09C5"/>
        </w:tc>
        <w:tc>
          <w:tcPr>
            <w:tcW w:w="1440" w:type="dxa"/>
            <w:shd w:val="clear" w:color="auto" w:fill="auto"/>
            <w:noWrap/>
            <w:vAlign w:val="bottom"/>
          </w:tcPr>
          <w:p w14:paraId="5ECAF332" w14:textId="77777777" w:rsidR="005C09C5" w:rsidRPr="005C09C5" w:rsidRDefault="005C09C5" w:rsidP="005C09C5"/>
        </w:tc>
        <w:tc>
          <w:tcPr>
            <w:tcW w:w="1369" w:type="dxa"/>
            <w:shd w:val="clear" w:color="auto" w:fill="auto"/>
            <w:noWrap/>
            <w:vAlign w:val="bottom"/>
          </w:tcPr>
          <w:p w14:paraId="2AE0B94E" w14:textId="77777777" w:rsidR="005C09C5" w:rsidRPr="005C09C5" w:rsidRDefault="005C09C5" w:rsidP="005C09C5"/>
        </w:tc>
      </w:tr>
      <w:tr w:rsidR="005C09C5" w:rsidRPr="005C09C5" w14:paraId="157890D3" w14:textId="77777777" w:rsidTr="00EB0AA7">
        <w:trPr>
          <w:trHeight w:val="1088"/>
        </w:trPr>
        <w:tc>
          <w:tcPr>
            <w:tcW w:w="2453" w:type="dxa"/>
            <w:vMerge w:val="restart"/>
            <w:shd w:val="clear" w:color="auto" w:fill="auto"/>
            <w:noWrap/>
          </w:tcPr>
          <w:p w14:paraId="2EDF5148" w14:textId="1119F6B6" w:rsidR="005C09C5" w:rsidRPr="006C1A2D" w:rsidRDefault="005C09C5" w:rsidP="002E2291">
            <w:pPr>
              <w:jc w:val="center"/>
              <w:rPr>
                <w:b/>
                <w:bCs/>
                <w:color w:val="000000"/>
              </w:rPr>
            </w:pPr>
            <w:r w:rsidRPr="006C1A2D">
              <w:rPr>
                <w:b/>
                <w:bCs/>
                <w:color w:val="000000"/>
              </w:rPr>
              <w:t xml:space="preserve">Rule Sections </w:t>
            </w:r>
            <w:r w:rsidRPr="006C1A2D">
              <w:rPr>
                <w:b/>
              </w:rPr>
              <w:t>1.990, 1.991(a)-(</w:t>
            </w:r>
            <w:r w:rsidR="002E2291" w:rsidRPr="006C1A2D">
              <w:rPr>
                <w:b/>
              </w:rPr>
              <w:t>k), 1.994(a),</w:t>
            </w:r>
            <w:r w:rsidR="009C009C" w:rsidRPr="006C1A2D">
              <w:rPr>
                <w:b/>
              </w:rPr>
              <w:t xml:space="preserve"> 1.994(d)</w:t>
            </w:r>
            <w:r w:rsidR="009C009C" w:rsidRPr="006C1A2D">
              <w:t>,</w:t>
            </w:r>
            <w:r w:rsidR="002E2291" w:rsidRPr="006C1A2D">
              <w:rPr>
                <w:b/>
              </w:rPr>
              <w:t xml:space="preserve">  1.994(e</w:t>
            </w:r>
            <w:r w:rsidRPr="006C1A2D">
              <w:rPr>
                <w:b/>
              </w:rPr>
              <w:t>)</w:t>
            </w:r>
            <w:r w:rsidR="002E2291" w:rsidRPr="006C1A2D">
              <w:rPr>
                <w:rStyle w:val="FootnoteReference"/>
                <w:b/>
              </w:rPr>
              <w:footnoteReference w:id="2"/>
            </w:r>
            <w:r w:rsidRPr="006C1A2D">
              <w:t xml:space="preserve">  </w:t>
            </w:r>
          </w:p>
        </w:tc>
        <w:tc>
          <w:tcPr>
            <w:tcW w:w="1522" w:type="dxa"/>
            <w:shd w:val="clear" w:color="auto" w:fill="auto"/>
          </w:tcPr>
          <w:p w14:paraId="483E15CA" w14:textId="66818275" w:rsidR="005C09C5" w:rsidRPr="005C09C5" w:rsidRDefault="005C09C5" w:rsidP="005C09C5">
            <w:pPr>
              <w:rPr>
                <w:bCs/>
                <w:color w:val="000000"/>
              </w:rPr>
            </w:pPr>
            <w:r w:rsidRPr="005C09C5">
              <w:rPr>
                <w:bCs/>
                <w:color w:val="000000"/>
              </w:rPr>
              <w:t>7 “Initial Petitions”</w:t>
            </w:r>
          </w:p>
          <w:p w14:paraId="10D6D009" w14:textId="77777777" w:rsidR="005C09C5" w:rsidRPr="005C09C5" w:rsidRDefault="005C09C5" w:rsidP="005C09C5">
            <w:pPr>
              <w:jc w:val="center"/>
              <w:rPr>
                <w:bCs/>
                <w:color w:val="000000"/>
              </w:rPr>
            </w:pPr>
          </w:p>
          <w:p w14:paraId="1BF7A118" w14:textId="77777777" w:rsidR="005C09C5" w:rsidRPr="005C09C5" w:rsidRDefault="005C09C5" w:rsidP="005C09C5">
            <w:pPr>
              <w:jc w:val="center"/>
            </w:pPr>
          </w:p>
        </w:tc>
        <w:tc>
          <w:tcPr>
            <w:tcW w:w="1440" w:type="dxa"/>
            <w:shd w:val="clear" w:color="auto" w:fill="auto"/>
          </w:tcPr>
          <w:p w14:paraId="05EBD590" w14:textId="77777777" w:rsidR="005C09C5" w:rsidRPr="005C09C5" w:rsidRDefault="005C09C5" w:rsidP="005C09C5">
            <w:r w:rsidRPr="005C09C5">
              <w:rPr>
                <w:spacing w:val="-3"/>
              </w:rPr>
              <w:t>On occasion</w:t>
            </w:r>
          </w:p>
        </w:tc>
        <w:tc>
          <w:tcPr>
            <w:tcW w:w="1440" w:type="dxa"/>
            <w:shd w:val="clear" w:color="auto" w:fill="auto"/>
          </w:tcPr>
          <w:p w14:paraId="436C9F7F" w14:textId="77777777" w:rsidR="005C09C5" w:rsidRPr="005C09C5" w:rsidRDefault="005C09C5" w:rsidP="005C09C5">
            <w:pPr>
              <w:jc w:val="center"/>
            </w:pPr>
            <w:r w:rsidRPr="005C09C5">
              <w:t>46 Hours</w:t>
            </w:r>
          </w:p>
          <w:p w14:paraId="392FAF18" w14:textId="77777777" w:rsidR="005C09C5" w:rsidRPr="005C09C5" w:rsidRDefault="005C09C5" w:rsidP="005C09C5">
            <w:pPr>
              <w:jc w:val="center"/>
            </w:pPr>
          </w:p>
          <w:p w14:paraId="755CEB08" w14:textId="77777777" w:rsidR="005C09C5" w:rsidRPr="005C09C5" w:rsidRDefault="005C09C5" w:rsidP="005C09C5">
            <w:pPr>
              <w:jc w:val="center"/>
            </w:pPr>
          </w:p>
        </w:tc>
        <w:tc>
          <w:tcPr>
            <w:tcW w:w="1369" w:type="dxa"/>
            <w:shd w:val="clear" w:color="auto" w:fill="auto"/>
          </w:tcPr>
          <w:p w14:paraId="08B17E68" w14:textId="77777777" w:rsidR="005C09C5" w:rsidRPr="005C09C5" w:rsidRDefault="005C09C5" w:rsidP="005C09C5">
            <w:pPr>
              <w:jc w:val="center"/>
              <w:rPr>
                <w:b/>
              </w:rPr>
            </w:pPr>
            <w:r w:rsidRPr="005C09C5">
              <w:rPr>
                <w:b/>
              </w:rPr>
              <w:t>322 Hours</w:t>
            </w:r>
          </w:p>
          <w:p w14:paraId="1C4B0FDC" w14:textId="77777777" w:rsidR="005C09C5" w:rsidRPr="005C09C5" w:rsidRDefault="005C09C5" w:rsidP="005C09C5">
            <w:pPr>
              <w:jc w:val="center"/>
              <w:rPr>
                <w:b/>
              </w:rPr>
            </w:pPr>
          </w:p>
          <w:p w14:paraId="06AC279E" w14:textId="77777777" w:rsidR="005C09C5" w:rsidRPr="005C09C5" w:rsidRDefault="005C09C5" w:rsidP="005C09C5">
            <w:pPr>
              <w:jc w:val="center"/>
              <w:rPr>
                <w:b/>
              </w:rPr>
            </w:pPr>
          </w:p>
        </w:tc>
      </w:tr>
      <w:tr w:rsidR="005C09C5" w:rsidRPr="005C09C5" w14:paraId="2DB2FAF5" w14:textId="77777777" w:rsidTr="00EB0AA7">
        <w:trPr>
          <w:trHeight w:val="1241"/>
        </w:trPr>
        <w:tc>
          <w:tcPr>
            <w:tcW w:w="2453" w:type="dxa"/>
            <w:vMerge/>
            <w:shd w:val="clear" w:color="auto" w:fill="auto"/>
            <w:noWrap/>
          </w:tcPr>
          <w:p w14:paraId="4D589983" w14:textId="77777777" w:rsidR="005C09C5" w:rsidRPr="006C1A2D" w:rsidRDefault="005C09C5" w:rsidP="005C09C5">
            <w:pPr>
              <w:jc w:val="center"/>
              <w:rPr>
                <w:b/>
                <w:bCs/>
                <w:color w:val="000000"/>
              </w:rPr>
            </w:pPr>
          </w:p>
        </w:tc>
        <w:tc>
          <w:tcPr>
            <w:tcW w:w="1522" w:type="dxa"/>
            <w:shd w:val="clear" w:color="auto" w:fill="auto"/>
          </w:tcPr>
          <w:p w14:paraId="5B060C88" w14:textId="275AEEA2" w:rsidR="005C09C5" w:rsidRPr="005C09C5" w:rsidRDefault="005C09C5" w:rsidP="005C09C5">
            <w:pPr>
              <w:jc w:val="center"/>
              <w:rPr>
                <w:bCs/>
                <w:color w:val="000000"/>
              </w:rPr>
            </w:pPr>
            <w:r w:rsidRPr="005C09C5">
              <w:rPr>
                <w:bCs/>
                <w:color w:val="000000"/>
              </w:rPr>
              <w:t>18 “Petitions to Extend Existing Ruling”</w:t>
            </w:r>
          </w:p>
          <w:p w14:paraId="121BA45C" w14:textId="77777777" w:rsidR="005C09C5" w:rsidRPr="005C09C5" w:rsidRDefault="005C09C5" w:rsidP="005C09C5">
            <w:pPr>
              <w:rPr>
                <w:bCs/>
                <w:color w:val="000000"/>
              </w:rPr>
            </w:pPr>
          </w:p>
        </w:tc>
        <w:tc>
          <w:tcPr>
            <w:tcW w:w="1440" w:type="dxa"/>
            <w:shd w:val="clear" w:color="auto" w:fill="auto"/>
          </w:tcPr>
          <w:p w14:paraId="497D26ED" w14:textId="77777777" w:rsidR="005C09C5" w:rsidRPr="005C09C5" w:rsidRDefault="005C09C5" w:rsidP="005C09C5">
            <w:pPr>
              <w:rPr>
                <w:bCs/>
                <w:color w:val="000000"/>
              </w:rPr>
            </w:pPr>
            <w:r w:rsidRPr="005C09C5">
              <w:rPr>
                <w:spacing w:val="-3"/>
              </w:rPr>
              <w:t>On occasion</w:t>
            </w:r>
          </w:p>
        </w:tc>
        <w:tc>
          <w:tcPr>
            <w:tcW w:w="1440" w:type="dxa"/>
            <w:shd w:val="clear" w:color="auto" w:fill="auto"/>
          </w:tcPr>
          <w:p w14:paraId="614B3334" w14:textId="77777777" w:rsidR="005C09C5" w:rsidRPr="005C09C5" w:rsidRDefault="005C09C5" w:rsidP="005C09C5">
            <w:pPr>
              <w:jc w:val="center"/>
              <w:rPr>
                <w:bCs/>
              </w:rPr>
            </w:pPr>
            <w:r w:rsidRPr="005C09C5">
              <w:t>12 Hours</w:t>
            </w:r>
          </w:p>
        </w:tc>
        <w:tc>
          <w:tcPr>
            <w:tcW w:w="1369" w:type="dxa"/>
            <w:shd w:val="clear" w:color="auto" w:fill="auto"/>
          </w:tcPr>
          <w:p w14:paraId="1CF83B51" w14:textId="77777777" w:rsidR="005C09C5" w:rsidRPr="005C09C5" w:rsidRDefault="005C09C5" w:rsidP="005C09C5">
            <w:pPr>
              <w:jc w:val="center"/>
              <w:rPr>
                <w:b/>
              </w:rPr>
            </w:pPr>
            <w:r w:rsidRPr="005C09C5">
              <w:rPr>
                <w:b/>
              </w:rPr>
              <w:t>216</w:t>
            </w:r>
          </w:p>
          <w:p w14:paraId="7A085BB4" w14:textId="77777777" w:rsidR="005C09C5" w:rsidRPr="005C09C5" w:rsidRDefault="005C09C5" w:rsidP="005C09C5">
            <w:pPr>
              <w:jc w:val="center"/>
              <w:rPr>
                <w:bCs/>
                <w:color w:val="000000"/>
              </w:rPr>
            </w:pPr>
            <w:r w:rsidRPr="005C09C5">
              <w:rPr>
                <w:b/>
              </w:rPr>
              <w:t>Hours</w:t>
            </w:r>
          </w:p>
        </w:tc>
      </w:tr>
      <w:tr w:rsidR="005C09C5" w:rsidRPr="005C09C5" w14:paraId="77E805E2" w14:textId="77777777" w:rsidTr="00EB0AA7">
        <w:trPr>
          <w:trHeight w:val="70"/>
        </w:trPr>
        <w:tc>
          <w:tcPr>
            <w:tcW w:w="2453" w:type="dxa"/>
            <w:shd w:val="clear" w:color="auto" w:fill="auto"/>
            <w:noWrap/>
          </w:tcPr>
          <w:p w14:paraId="46525881" w14:textId="77777777" w:rsidR="005C09C5" w:rsidRPr="006C1A2D" w:rsidRDefault="005C09C5" w:rsidP="005C09C5">
            <w:pPr>
              <w:jc w:val="center"/>
              <w:rPr>
                <w:b/>
                <w:bCs/>
                <w:color w:val="000000"/>
              </w:rPr>
            </w:pPr>
          </w:p>
        </w:tc>
        <w:tc>
          <w:tcPr>
            <w:tcW w:w="1522" w:type="dxa"/>
            <w:shd w:val="clear" w:color="auto" w:fill="auto"/>
          </w:tcPr>
          <w:p w14:paraId="601A1BFC" w14:textId="77777777" w:rsidR="005C09C5" w:rsidRPr="005C09C5" w:rsidRDefault="005C09C5" w:rsidP="005C09C5">
            <w:pPr>
              <w:jc w:val="center"/>
              <w:rPr>
                <w:color w:val="000000"/>
              </w:rPr>
            </w:pPr>
          </w:p>
        </w:tc>
        <w:tc>
          <w:tcPr>
            <w:tcW w:w="1440" w:type="dxa"/>
            <w:shd w:val="clear" w:color="auto" w:fill="auto"/>
            <w:noWrap/>
          </w:tcPr>
          <w:p w14:paraId="64B08B8E" w14:textId="77777777" w:rsidR="005C09C5" w:rsidRPr="005C09C5" w:rsidRDefault="005C09C5" w:rsidP="005C09C5">
            <w:pPr>
              <w:jc w:val="center"/>
            </w:pPr>
          </w:p>
        </w:tc>
        <w:tc>
          <w:tcPr>
            <w:tcW w:w="1440" w:type="dxa"/>
            <w:shd w:val="clear" w:color="auto" w:fill="auto"/>
            <w:noWrap/>
          </w:tcPr>
          <w:p w14:paraId="63E6ADD6" w14:textId="77777777" w:rsidR="005C09C5" w:rsidRPr="005C09C5" w:rsidRDefault="005C09C5" w:rsidP="005C09C5"/>
        </w:tc>
        <w:tc>
          <w:tcPr>
            <w:tcW w:w="1369" w:type="dxa"/>
            <w:shd w:val="clear" w:color="auto" w:fill="auto"/>
            <w:noWrap/>
          </w:tcPr>
          <w:p w14:paraId="23A7D01F" w14:textId="77777777" w:rsidR="005C09C5" w:rsidRPr="005C09C5" w:rsidRDefault="005C09C5" w:rsidP="005C09C5"/>
        </w:tc>
      </w:tr>
      <w:tr w:rsidR="005C09C5" w:rsidRPr="005C09C5" w14:paraId="65C886A0" w14:textId="77777777" w:rsidTr="00EB0AA7">
        <w:trPr>
          <w:trHeight w:val="370"/>
        </w:trPr>
        <w:tc>
          <w:tcPr>
            <w:tcW w:w="2453" w:type="dxa"/>
            <w:shd w:val="clear" w:color="auto" w:fill="auto"/>
            <w:noWrap/>
          </w:tcPr>
          <w:p w14:paraId="55DE239F" w14:textId="27CD32CA" w:rsidR="005C09C5" w:rsidRPr="006C1A2D" w:rsidRDefault="005C09C5" w:rsidP="005C09C5">
            <w:pPr>
              <w:jc w:val="center"/>
              <w:rPr>
                <w:b/>
                <w:bCs/>
                <w:color w:val="000000"/>
              </w:rPr>
            </w:pPr>
            <w:r w:rsidRPr="006C1A2D">
              <w:rPr>
                <w:b/>
                <w:bCs/>
                <w:color w:val="000000"/>
              </w:rPr>
              <w:t>Rule Section</w:t>
            </w:r>
          </w:p>
          <w:p w14:paraId="27DF171E" w14:textId="0F68CB64" w:rsidR="005C09C5" w:rsidRPr="006C1A2D" w:rsidRDefault="000A7FCF" w:rsidP="005C09C5">
            <w:pPr>
              <w:jc w:val="center"/>
              <w:rPr>
                <w:b/>
                <w:bCs/>
                <w:color w:val="000000"/>
              </w:rPr>
            </w:pPr>
            <w:r w:rsidRPr="006C1A2D">
              <w:rPr>
                <w:b/>
                <w:bCs/>
                <w:color w:val="000000"/>
              </w:rPr>
              <w:t>1.994 (f)(1</w:t>
            </w:r>
            <w:r w:rsidR="005C09C5" w:rsidRPr="006C1A2D">
              <w:rPr>
                <w:b/>
                <w:bCs/>
                <w:color w:val="000000"/>
              </w:rPr>
              <w:t>)</w:t>
            </w:r>
            <w:r w:rsidRPr="006C1A2D">
              <w:rPr>
                <w:rStyle w:val="FootnoteReference"/>
                <w:b/>
                <w:bCs/>
                <w:color w:val="000000"/>
              </w:rPr>
              <w:footnoteReference w:id="3"/>
            </w:r>
          </w:p>
          <w:p w14:paraId="46096952" w14:textId="66D04A5C" w:rsidR="005559AF" w:rsidRPr="006C1A2D" w:rsidRDefault="005559AF" w:rsidP="005C09C5">
            <w:pPr>
              <w:jc w:val="center"/>
              <w:rPr>
                <w:spacing w:val="-3"/>
              </w:rPr>
            </w:pPr>
          </w:p>
        </w:tc>
        <w:tc>
          <w:tcPr>
            <w:tcW w:w="1522" w:type="dxa"/>
            <w:shd w:val="clear" w:color="auto" w:fill="auto"/>
          </w:tcPr>
          <w:p w14:paraId="721A5178" w14:textId="77777777" w:rsidR="005C09C5" w:rsidRPr="005C09C5" w:rsidRDefault="005C09C5" w:rsidP="005C09C5">
            <w:pPr>
              <w:suppressAutoHyphens/>
              <w:spacing w:line="240" w:lineRule="atLeast"/>
              <w:jc w:val="center"/>
              <w:rPr>
                <w:spacing w:val="-3"/>
              </w:rPr>
            </w:pPr>
            <w:r w:rsidRPr="005C09C5">
              <w:rPr>
                <w:spacing w:val="-3"/>
              </w:rPr>
              <w:t>2</w:t>
            </w:r>
          </w:p>
        </w:tc>
        <w:tc>
          <w:tcPr>
            <w:tcW w:w="1440" w:type="dxa"/>
            <w:shd w:val="clear" w:color="auto" w:fill="auto"/>
            <w:noWrap/>
          </w:tcPr>
          <w:p w14:paraId="76B44AE6" w14:textId="77777777" w:rsidR="005C09C5" w:rsidRPr="005C09C5" w:rsidRDefault="005C09C5" w:rsidP="005C09C5">
            <w:pPr>
              <w:suppressAutoHyphens/>
              <w:spacing w:line="240" w:lineRule="atLeast"/>
              <w:jc w:val="center"/>
              <w:rPr>
                <w:spacing w:val="-3"/>
              </w:rPr>
            </w:pPr>
            <w:r w:rsidRPr="005C09C5">
              <w:rPr>
                <w:spacing w:val="-3"/>
              </w:rPr>
              <w:t>On occasion</w:t>
            </w:r>
          </w:p>
        </w:tc>
        <w:tc>
          <w:tcPr>
            <w:tcW w:w="1440" w:type="dxa"/>
            <w:shd w:val="clear" w:color="auto" w:fill="auto"/>
            <w:noWrap/>
          </w:tcPr>
          <w:p w14:paraId="7DAA3F61" w14:textId="77777777" w:rsidR="005C09C5" w:rsidRPr="005C09C5" w:rsidRDefault="005C09C5" w:rsidP="005C09C5">
            <w:pPr>
              <w:suppressAutoHyphens/>
              <w:spacing w:line="240" w:lineRule="atLeast"/>
              <w:jc w:val="center"/>
              <w:rPr>
                <w:spacing w:val="-3"/>
              </w:rPr>
            </w:pPr>
            <w:r w:rsidRPr="005C09C5">
              <w:rPr>
                <w:spacing w:val="-3"/>
              </w:rPr>
              <w:t>1 Hour</w:t>
            </w:r>
          </w:p>
        </w:tc>
        <w:tc>
          <w:tcPr>
            <w:tcW w:w="1369" w:type="dxa"/>
            <w:shd w:val="clear" w:color="auto" w:fill="auto"/>
            <w:noWrap/>
          </w:tcPr>
          <w:p w14:paraId="074E66C0" w14:textId="77777777" w:rsidR="005C09C5" w:rsidRPr="005C09C5" w:rsidRDefault="005C09C5" w:rsidP="005C09C5">
            <w:pPr>
              <w:suppressAutoHyphens/>
              <w:spacing w:line="240" w:lineRule="atLeast"/>
              <w:jc w:val="center"/>
              <w:rPr>
                <w:b/>
                <w:spacing w:val="-3"/>
              </w:rPr>
            </w:pPr>
            <w:r w:rsidRPr="005C09C5">
              <w:rPr>
                <w:b/>
                <w:spacing w:val="-3"/>
              </w:rPr>
              <w:t>2 Hours</w:t>
            </w:r>
          </w:p>
        </w:tc>
      </w:tr>
      <w:tr w:rsidR="005C09C5" w:rsidRPr="005C09C5" w14:paraId="2AC35BAD" w14:textId="77777777" w:rsidTr="00EB0AA7">
        <w:trPr>
          <w:trHeight w:val="269"/>
        </w:trPr>
        <w:tc>
          <w:tcPr>
            <w:tcW w:w="2453" w:type="dxa"/>
            <w:shd w:val="clear" w:color="auto" w:fill="auto"/>
            <w:noWrap/>
          </w:tcPr>
          <w:p w14:paraId="58E18EC7" w14:textId="77777777" w:rsidR="005C09C5" w:rsidRPr="005C09C5" w:rsidRDefault="005C09C5" w:rsidP="005C09C5">
            <w:pPr>
              <w:jc w:val="center"/>
              <w:rPr>
                <w:b/>
                <w:bCs/>
                <w:color w:val="000000"/>
              </w:rPr>
            </w:pPr>
          </w:p>
        </w:tc>
        <w:tc>
          <w:tcPr>
            <w:tcW w:w="1522" w:type="dxa"/>
            <w:shd w:val="clear" w:color="auto" w:fill="auto"/>
          </w:tcPr>
          <w:p w14:paraId="602F3C49" w14:textId="77777777" w:rsidR="005C09C5" w:rsidRPr="005C09C5" w:rsidRDefault="005C09C5" w:rsidP="005C09C5">
            <w:pPr>
              <w:jc w:val="center"/>
              <w:rPr>
                <w:bCs/>
                <w:color w:val="000000"/>
              </w:rPr>
            </w:pPr>
          </w:p>
        </w:tc>
        <w:tc>
          <w:tcPr>
            <w:tcW w:w="1440" w:type="dxa"/>
            <w:shd w:val="clear" w:color="auto" w:fill="auto"/>
            <w:noWrap/>
          </w:tcPr>
          <w:p w14:paraId="0F28AE1D" w14:textId="77777777" w:rsidR="005C09C5" w:rsidRPr="005C09C5" w:rsidRDefault="005C09C5" w:rsidP="005C09C5">
            <w:pPr>
              <w:jc w:val="center"/>
            </w:pPr>
          </w:p>
        </w:tc>
        <w:tc>
          <w:tcPr>
            <w:tcW w:w="1440" w:type="dxa"/>
            <w:shd w:val="clear" w:color="auto" w:fill="auto"/>
            <w:noWrap/>
          </w:tcPr>
          <w:p w14:paraId="26AC5019" w14:textId="77777777" w:rsidR="005C09C5" w:rsidRPr="005C09C5" w:rsidRDefault="005C09C5" w:rsidP="005C09C5"/>
        </w:tc>
        <w:tc>
          <w:tcPr>
            <w:tcW w:w="1369" w:type="dxa"/>
            <w:shd w:val="clear" w:color="auto" w:fill="auto"/>
            <w:noWrap/>
          </w:tcPr>
          <w:p w14:paraId="3B89A673" w14:textId="77777777" w:rsidR="005C09C5" w:rsidRPr="005C09C5" w:rsidRDefault="005C09C5" w:rsidP="005C09C5">
            <w:pPr>
              <w:jc w:val="center"/>
              <w:rPr>
                <w:b/>
              </w:rPr>
            </w:pPr>
          </w:p>
        </w:tc>
      </w:tr>
      <w:tr w:rsidR="005C09C5" w:rsidRPr="005C09C5" w14:paraId="1E80CB48" w14:textId="77777777" w:rsidTr="00EB0AA7">
        <w:trPr>
          <w:trHeight w:val="835"/>
        </w:trPr>
        <w:tc>
          <w:tcPr>
            <w:tcW w:w="2453" w:type="dxa"/>
            <w:shd w:val="clear" w:color="auto" w:fill="auto"/>
            <w:noWrap/>
          </w:tcPr>
          <w:p w14:paraId="23A0C3C8" w14:textId="77777777" w:rsidR="005C09C5" w:rsidRPr="005C09C5" w:rsidRDefault="005C09C5" w:rsidP="005C09C5">
            <w:pPr>
              <w:jc w:val="center"/>
              <w:rPr>
                <w:b/>
                <w:bCs/>
                <w:color w:val="000000"/>
              </w:rPr>
            </w:pPr>
            <w:r w:rsidRPr="005C09C5">
              <w:rPr>
                <w:b/>
                <w:bCs/>
                <w:color w:val="000000"/>
              </w:rPr>
              <w:t>Transition Filings</w:t>
            </w:r>
          </w:p>
          <w:p w14:paraId="69839184" w14:textId="44E450AB" w:rsidR="005C09C5" w:rsidRPr="005C09C5" w:rsidRDefault="005C09C5" w:rsidP="005C09C5">
            <w:pPr>
              <w:jc w:val="center"/>
              <w:rPr>
                <w:b/>
                <w:bCs/>
                <w:color w:val="000000"/>
              </w:rPr>
            </w:pPr>
          </w:p>
        </w:tc>
        <w:tc>
          <w:tcPr>
            <w:tcW w:w="1522" w:type="dxa"/>
            <w:shd w:val="clear" w:color="auto" w:fill="auto"/>
          </w:tcPr>
          <w:p w14:paraId="77726831" w14:textId="319E8095" w:rsidR="005C09C5" w:rsidRPr="005C09C5" w:rsidRDefault="005C09C5" w:rsidP="005C09C5">
            <w:pPr>
              <w:jc w:val="center"/>
              <w:rPr>
                <w:bCs/>
                <w:color w:val="000000"/>
              </w:rPr>
            </w:pPr>
            <w:r w:rsidRPr="005C09C5">
              <w:rPr>
                <w:bCs/>
                <w:color w:val="000000"/>
              </w:rPr>
              <w:t>20</w:t>
            </w:r>
          </w:p>
        </w:tc>
        <w:tc>
          <w:tcPr>
            <w:tcW w:w="1440" w:type="dxa"/>
            <w:shd w:val="clear" w:color="auto" w:fill="auto"/>
            <w:noWrap/>
          </w:tcPr>
          <w:p w14:paraId="7B140793" w14:textId="77777777" w:rsidR="005C09C5" w:rsidRPr="005C09C5" w:rsidRDefault="005C09C5" w:rsidP="005C09C5">
            <w:pPr>
              <w:jc w:val="center"/>
            </w:pPr>
            <w:r w:rsidRPr="005C09C5">
              <w:t xml:space="preserve">One-time filing </w:t>
            </w:r>
          </w:p>
        </w:tc>
        <w:tc>
          <w:tcPr>
            <w:tcW w:w="1440" w:type="dxa"/>
            <w:shd w:val="clear" w:color="auto" w:fill="auto"/>
            <w:noWrap/>
          </w:tcPr>
          <w:p w14:paraId="4A738245" w14:textId="77777777" w:rsidR="005C09C5" w:rsidRPr="005C09C5" w:rsidRDefault="005C09C5" w:rsidP="005C09C5">
            <w:pPr>
              <w:jc w:val="center"/>
            </w:pPr>
            <w:r w:rsidRPr="005C09C5">
              <w:t>6 Hours</w:t>
            </w:r>
          </w:p>
        </w:tc>
        <w:tc>
          <w:tcPr>
            <w:tcW w:w="1369" w:type="dxa"/>
            <w:shd w:val="clear" w:color="auto" w:fill="auto"/>
            <w:noWrap/>
          </w:tcPr>
          <w:p w14:paraId="4C59723F" w14:textId="77777777" w:rsidR="005C09C5" w:rsidRPr="005C09C5" w:rsidRDefault="005C09C5" w:rsidP="005C09C5">
            <w:pPr>
              <w:jc w:val="center"/>
              <w:rPr>
                <w:b/>
              </w:rPr>
            </w:pPr>
            <w:r w:rsidRPr="005C09C5">
              <w:rPr>
                <w:b/>
              </w:rPr>
              <w:t>120 Hours</w:t>
            </w:r>
          </w:p>
        </w:tc>
      </w:tr>
      <w:tr w:rsidR="005C09C5" w:rsidRPr="005C09C5" w14:paraId="7B8A26CA" w14:textId="77777777" w:rsidTr="00EB0AA7">
        <w:trPr>
          <w:trHeight w:val="835"/>
        </w:trPr>
        <w:tc>
          <w:tcPr>
            <w:tcW w:w="2453" w:type="dxa"/>
            <w:shd w:val="clear" w:color="auto" w:fill="auto"/>
            <w:noWrap/>
          </w:tcPr>
          <w:p w14:paraId="4E034E51" w14:textId="77777777" w:rsidR="005C09C5" w:rsidRPr="005C09C5" w:rsidRDefault="005C09C5" w:rsidP="005C09C5">
            <w:pPr>
              <w:jc w:val="center"/>
              <w:rPr>
                <w:b/>
                <w:bCs/>
                <w:color w:val="000000"/>
              </w:rPr>
            </w:pPr>
            <w:r w:rsidRPr="005C09C5">
              <w:rPr>
                <w:b/>
                <w:bCs/>
                <w:color w:val="000000"/>
              </w:rPr>
              <w:t>Totals</w:t>
            </w:r>
          </w:p>
        </w:tc>
        <w:tc>
          <w:tcPr>
            <w:tcW w:w="1522" w:type="dxa"/>
            <w:shd w:val="clear" w:color="auto" w:fill="auto"/>
          </w:tcPr>
          <w:p w14:paraId="6FE04600" w14:textId="651A7560" w:rsidR="005C09C5" w:rsidRPr="005C09C5" w:rsidRDefault="005C09C5" w:rsidP="005C09C5">
            <w:pPr>
              <w:suppressAutoHyphens/>
              <w:spacing w:line="240" w:lineRule="atLeast"/>
              <w:jc w:val="center"/>
              <w:rPr>
                <w:b/>
                <w:bCs/>
                <w:spacing w:val="-3"/>
              </w:rPr>
            </w:pPr>
            <w:r>
              <w:rPr>
                <w:b/>
                <w:bCs/>
                <w:spacing w:val="-3"/>
              </w:rPr>
              <w:t>47</w:t>
            </w:r>
          </w:p>
        </w:tc>
        <w:tc>
          <w:tcPr>
            <w:tcW w:w="1440" w:type="dxa"/>
            <w:shd w:val="clear" w:color="auto" w:fill="auto"/>
            <w:noWrap/>
          </w:tcPr>
          <w:p w14:paraId="09EA6045" w14:textId="77777777" w:rsidR="005C09C5" w:rsidRPr="005C09C5" w:rsidRDefault="005C09C5" w:rsidP="005C09C5">
            <w:pPr>
              <w:suppressAutoHyphens/>
              <w:spacing w:line="240" w:lineRule="atLeast"/>
              <w:jc w:val="center"/>
              <w:rPr>
                <w:b/>
                <w:bCs/>
                <w:spacing w:val="-3"/>
              </w:rPr>
            </w:pPr>
          </w:p>
        </w:tc>
        <w:tc>
          <w:tcPr>
            <w:tcW w:w="1440" w:type="dxa"/>
            <w:shd w:val="clear" w:color="auto" w:fill="auto"/>
            <w:noWrap/>
          </w:tcPr>
          <w:p w14:paraId="7F7BEAB0" w14:textId="77777777" w:rsidR="005C09C5" w:rsidRPr="005C09C5" w:rsidRDefault="005C09C5" w:rsidP="005C09C5">
            <w:pPr>
              <w:suppressAutoHyphens/>
              <w:spacing w:line="240" w:lineRule="atLeast"/>
              <w:jc w:val="center"/>
              <w:rPr>
                <w:bCs/>
                <w:spacing w:val="-3"/>
              </w:rPr>
            </w:pPr>
          </w:p>
        </w:tc>
        <w:tc>
          <w:tcPr>
            <w:tcW w:w="1369" w:type="dxa"/>
            <w:shd w:val="clear" w:color="auto" w:fill="auto"/>
            <w:noWrap/>
          </w:tcPr>
          <w:p w14:paraId="4FE767E9" w14:textId="4F4058AE" w:rsidR="005C09C5" w:rsidRPr="005C09C5" w:rsidRDefault="005C09C5" w:rsidP="005C09C5">
            <w:pPr>
              <w:suppressAutoHyphens/>
              <w:spacing w:line="240" w:lineRule="atLeast"/>
              <w:jc w:val="center"/>
              <w:rPr>
                <w:b/>
                <w:bCs/>
                <w:spacing w:val="-3"/>
              </w:rPr>
            </w:pPr>
            <w:r>
              <w:rPr>
                <w:b/>
                <w:bCs/>
                <w:spacing w:val="-3"/>
              </w:rPr>
              <w:t>660</w:t>
            </w:r>
            <w:r w:rsidRPr="005C09C5">
              <w:rPr>
                <w:b/>
                <w:bCs/>
                <w:spacing w:val="-3"/>
              </w:rPr>
              <w:t xml:space="preserve"> Hours</w:t>
            </w:r>
          </w:p>
        </w:tc>
      </w:tr>
    </w:tbl>
    <w:p w14:paraId="2789186E" w14:textId="77777777" w:rsidR="005559AF" w:rsidRDefault="005559AF" w:rsidP="00992158">
      <w:pPr>
        <w:suppressAutoHyphens/>
        <w:spacing w:line="240" w:lineRule="atLeast"/>
      </w:pPr>
    </w:p>
    <w:p w14:paraId="517B094E" w14:textId="77777777" w:rsidR="005559AF" w:rsidRDefault="005559AF" w:rsidP="00992158">
      <w:pPr>
        <w:suppressAutoHyphens/>
        <w:spacing w:line="240" w:lineRule="atLeast"/>
      </w:pPr>
    </w:p>
    <w:p w14:paraId="0BF46749" w14:textId="77777777" w:rsidR="006C1A2D" w:rsidRDefault="006C1A2D" w:rsidP="00992158">
      <w:pPr>
        <w:suppressAutoHyphens/>
        <w:spacing w:line="240" w:lineRule="atLeast"/>
      </w:pPr>
    </w:p>
    <w:p w14:paraId="3A2AFFEF" w14:textId="77777777" w:rsidR="006C1A2D" w:rsidRDefault="006C1A2D" w:rsidP="00992158">
      <w:pPr>
        <w:suppressAutoHyphens/>
        <w:spacing w:line="240" w:lineRule="atLeast"/>
      </w:pPr>
    </w:p>
    <w:p w14:paraId="1EA9584E" w14:textId="77777777" w:rsidR="006C1A2D" w:rsidRDefault="006C1A2D" w:rsidP="00992158">
      <w:pPr>
        <w:suppressAutoHyphens/>
        <w:spacing w:line="240" w:lineRule="atLeast"/>
      </w:pPr>
    </w:p>
    <w:p w14:paraId="6B0F6943" w14:textId="77777777" w:rsidR="00093A13" w:rsidRDefault="00992158" w:rsidP="00992158">
      <w:pPr>
        <w:suppressAutoHyphens/>
        <w:spacing w:line="240" w:lineRule="atLeast"/>
      </w:pPr>
      <w:r w:rsidRPr="00202183">
        <w:rPr>
          <w:b/>
        </w:rPr>
        <w:lastRenderedPageBreak/>
        <w:t>In-House Cost</w:t>
      </w:r>
      <w:r>
        <w:rPr>
          <w:b/>
        </w:rPr>
        <w:t>s</w:t>
      </w:r>
      <w:r>
        <w:t xml:space="preserve">:  We estimate that in-house staff equivalent to a GS-11/Step 5 ($33.92/hour) will fulfill </w:t>
      </w:r>
      <w:r w:rsidR="003D113D">
        <w:t xml:space="preserve">a portion </w:t>
      </w:r>
      <w:r>
        <w:t xml:space="preserve">of the hourly requirements and that in-house staff equivalent to a GS-15/Step 5 ($67.21/hour) will fulfill the remaining hourly </w:t>
      </w:r>
    </w:p>
    <w:p w14:paraId="7F74A28E" w14:textId="494621D4" w:rsidR="00992158" w:rsidRDefault="00992158" w:rsidP="00992158">
      <w:pPr>
        <w:suppressAutoHyphens/>
        <w:spacing w:line="240" w:lineRule="atLeast"/>
      </w:pPr>
      <w:proofErr w:type="gramStart"/>
      <w:r>
        <w:t>requirements</w:t>
      </w:r>
      <w:proofErr w:type="gramEnd"/>
      <w:r>
        <w:t>.  Ther</w:t>
      </w:r>
      <w:r w:rsidR="00284C13">
        <w:t>efore, the in-house costs total $</w:t>
      </w:r>
      <w:r w:rsidR="00284C13">
        <w:rPr>
          <w:b/>
          <w:u w:val="single"/>
        </w:rPr>
        <w:t>26,781.48</w:t>
      </w:r>
      <w:r>
        <w:t xml:space="preserve"> as follows:  </w:t>
      </w:r>
    </w:p>
    <w:p w14:paraId="388D161A" w14:textId="77777777" w:rsidR="00992158" w:rsidRDefault="00992158" w:rsidP="00992158">
      <w:pPr>
        <w:suppressAutoHyphens/>
        <w:spacing w:line="240" w:lineRule="atLeast"/>
      </w:pPr>
    </w:p>
    <w:p w14:paraId="1795A84F" w14:textId="75B061D6" w:rsidR="00992158" w:rsidRPr="00093A13" w:rsidRDefault="00284C13" w:rsidP="00992158">
      <w:pPr>
        <w:suppressAutoHyphens/>
        <w:spacing w:line="240" w:lineRule="atLeast"/>
      </w:pPr>
      <w:r w:rsidRPr="00093A13">
        <w:t xml:space="preserve">528 </w:t>
      </w:r>
      <w:r w:rsidR="00992158" w:rsidRPr="00093A13">
        <w:t>hours x $33.92/hour = $</w:t>
      </w:r>
      <w:r w:rsidRPr="00093A13">
        <w:t>17,909.76</w:t>
      </w:r>
    </w:p>
    <w:p w14:paraId="63668F67" w14:textId="33ADE7DF" w:rsidR="00992158" w:rsidRPr="00093A13" w:rsidRDefault="00284C13" w:rsidP="003D113D">
      <w:pPr>
        <w:suppressAutoHyphens/>
        <w:spacing w:line="240" w:lineRule="atLeast"/>
      </w:pPr>
      <w:r w:rsidRPr="00093A13">
        <w:t xml:space="preserve">132 hours x $67.21 </w:t>
      </w:r>
      <w:r w:rsidR="003D113D" w:rsidRPr="00093A13">
        <w:t xml:space="preserve">        </w:t>
      </w:r>
      <w:r w:rsidRPr="00093A13">
        <w:t xml:space="preserve">= </w:t>
      </w:r>
      <w:proofErr w:type="gramStart"/>
      <w:r w:rsidRPr="00093A13">
        <w:rPr>
          <w:u w:val="single"/>
        </w:rPr>
        <w:t>$</w:t>
      </w:r>
      <w:r w:rsidR="003D113D" w:rsidRPr="00093A13">
        <w:rPr>
          <w:u w:val="single"/>
        </w:rPr>
        <w:t xml:space="preserve">  </w:t>
      </w:r>
      <w:r w:rsidRPr="00093A13">
        <w:rPr>
          <w:u w:val="single"/>
        </w:rPr>
        <w:t>8,871.72</w:t>
      </w:r>
      <w:proofErr w:type="gramEnd"/>
      <w:r w:rsidR="00992158" w:rsidRPr="00093A13">
        <w:t xml:space="preserve"> </w:t>
      </w:r>
    </w:p>
    <w:p w14:paraId="3C1A7435" w14:textId="528AE4DF" w:rsidR="00992158" w:rsidRPr="008E667F" w:rsidRDefault="00992158" w:rsidP="00992158">
      <w:pPr>
        <w:suppressAutoHyphens/>
        <w:spacing w:line="240" w:lineRule="atLeast"/>
        <w:rPr>
          <w:b/>
        </w:rPr>
      </w:pPr>
      <w:r w:rsidRPr="00093A13">
        <w:t xml:space="preserve"> </w:t>
      </w:r>
      <w:r w:rsidR="003D113D" w:rsidRPr="00093A13">
        <w:t xml:space="preserve">                                          </w:t>
      </w:r>
      <w:r w:rsidRPr="00093A13">
        <w:rPr>
          <w:b/>
        </w:rPr>
        <w:t>$</w:t>
      </w:r>
      <w:r w:rsidR="00284C13" w:rsidRPr="00093A13">
        <w:rPr>
          <w:b/>
        </w:rPr>
        <w:t>26,781.4</w:t>
      </w:r>
      <w:r w:rsidR="002B6D62" w:rsidRPr="00093A13">
        <w:rPr>
          <w:b/>
        </w:rPr>
        <w:t>8</w:t>
      </w:r>
    </w:p>
    <w:p w14:paraId="5DE8DF0F" w14:textId="77777777" w:rsidR="00992158" w:rsidRDefault="00992158" w:rsidP="00992158">
      <w:pPr>
        <w:suppressAutoHyphens/>
        <w:spacing w:line="240" w:lineRule="atLeast"/>
        <w:rPr>
          <w:spacing w:val="-3"/>
        </w:rPr>
      </w:pPr>
    </w:p>
    <w:p w14:paraId="49C21911" w14:textId="77777777" w:rsidR="00992158" w:rsidRDefault="00992158" w:rsidP="00992158">
      <w:pPr>
        <w:suppressAutoHyphens/>
        <w:spacing w:line="240" w:lineRule="atLeast"/>
        <w:rPr>
          <w:spacing w:val="-3"/>
        </w:rPr>
      </w:pPr>
      <w:r>
        <w:rPr>
          <w:spacing w:val="-3"/>
        </w:rPr>
        <w:t xml:space="preserve">13. </w:t>
      </w:r>
      <w:r w:rsidRPr="009A2D28">
        <w:rPr>
          <w:b/>
          <w:spacing w:val="-3"/>
        </w:rPr>
        <w:t>Estimated Annual Cost Burden to Respondents to Comply with Information Collection</w:t>
      </w:r>
      <w:r>
        <w:rPr>
          <w:b/>
          <w:spacing w:val="-3"/>
        </w:rPr>
        <w:t xml:space="preserve"> is as follows</w:t>
      </w:r>
      <w:r w:rsidRPr="009A2D28">
        <w:rPr>
          <w:b/>
          <w:spacing w:val="-3"/>
        </w:rPr>
        <w:t>:</w:t>
      </w:r>
    </w:p>
    <w:p w14:paraId="36487A1E" w14:textId="77777777" w:rsidR="00992158" w:rsidRDefault="00992158" w:rsidP="00992158">
      <w:pPr>
        <w:suppressAutoHyphens/>
        <w:spacing w:line="240" w:lineRule="atLeast"/>
        <w:rPr>
          <w:spacing w:val="-3"/>
        </w:rPr>
      </w:pPr>
    </w:p>
    <w:p w14:paraId="15819BAE" w14:textId="77777777" w:rsidR="00992158" w:rsidRPr="009E5094" w:rsidRDefault="00992158" w:rsidP="00992158">
      <w:pPr>
        <w:suppressAutoHyphens/>
        <w:spacing w:line="240" w:lineRule="atLeast"/>
        <w:rPr>
          <w:b/>
          <w:spacing w:val="-3"/>
        </w:rPr>
      </w:pPr>
      <w:r>
        <w:rPr>
          <w:spacing w:val="-3"/>
        </w:rPr>
        <w:t xml:space="preserve">(a)  Total Capital and Start-up Costs:  </w:t>
      </w:r>
      <w:r w:rsidRPr="009E5094">
        <w:rPr>
          <w:b/>
          <w:spacing w:val="-3"/>
        </w:rPr>
        <w:t>Zero</w:t>
      </w:r>
    </w:p>
    <w:p w14:paraId="283E2054" w14:textId="77777777" w:rsidR="00992158" w:rsidRDefault="00992158" w:rsidP="00992158">
      <w:pPr>
        <w:suppressAutoHyphens/>
        <w:spacing w:line="240" w:lineRule="atLeast"/>
        <w:rPr>
          <w:spacing w:val="-3"/>
        </w:rPr>
      </w:pPr>
    </w:p>
    <w:p w14:paraId="726B003E" w14:textId="5B29C1FE" w:rsidR="00992158" w:rsidRDefault="00992158" w:rsidP="00992158">
      <w:pPr>
        <w:suppressAutoHyphens/>
        <w:spacing w:line="240" w:lineRule="atLeast"/>
        <w:rPr>
          <w:spacing w:val="-3"/>
        </w:rPr>
      </w:pPr>
      <w:r>
        <w:rPr>
          <w:spacing w:val="-3"/>
        </w:rPr>
        <w:t xml:space="preserve">(b)  Total Operation and Maintenance and Purchase of Services:  </w:t>
      </w:r>
      <w:r>
        <w:rPr>
          <w:b/>
          <w:spacing w:val="-3"/>
        </w:rPr>
        <w:t>$</w:t>
      </w:r>
      <w:r w:rsidR="00284C13">
        <w:rPr>
          <w:b/>
          <w:spacing w:val="-3"/>
        </w:rPr>
        <w:t>198,</w:t>
      </w:r>
      <w:r w:rsidRPr="005C1C6D">
        <w:rPr>
          <w:b/>
          <w:spacing w:val="-3"/>
        </w:rPr>
        <w:t>00</w:t>
      </w:r>
      <w:r w:rsidR="00284C13">
        <w:rPr>
          <w:b/>
          <w:spacing w:val="-3"/>
        </w:rPr>
        <w:t>0</w:t>
      </w:r>
    </w:p>
    <w:p w14:paraId="0DF5408A" w14:textId="77777777" w:rsidR="00992158" w:rsidRDefault="00992158" w:rsidP="00992158">
      <w:pPr>
        <w:suppressAutoHyphens/>
        <w:spacing w:line="240" w:lineRule="atLeast"/>
        <w:rPr>
          <w:spacing w:val="-3"/>
        </w:rPr>
      </w:pPr>
    </w:p>
    <w:p w14:paraId="14B9A4E9" w14:textId="524BC4E5" w:rsidR="00992158" w:rsidRDefault="00992158" w:rsidP="00992158">
      <w:pPr>
        <w:suppressAutoHyphens/>
        <w:spacing w:line="240" w:lineRule="atLeast"/>
        <w:rPr>
          <w:spacing w:val="-3"/>
        </w:rPr>
      </w:pPr>
      <w:r>
        <w:rPr>
          <w:spacing w:val="-3"/>
        </w:rPr>
        <w:t xml:space="preserve">Compliance with </w:t>
      </w:r>
      <w:r w:rsidR="008E667F">
        <w:rPr>
          <w:spacing w:val="-3"/>
        </w:rPr>
        <w:t>S</w:t>
      </w:r>
      <w:r>
        <w:rPr>
          <w:spacing w:val="-3"/>
        </w:rPr>
        <w:t xml:space="preserve">ection 310(b)(4) rules will not require respondents to maintain any special equipment.  Compliance may require respondents to hire outside attorneys and/or consultants.   </w:t>
      </w:r>
      <w:r w:rsidRPr="00A92ADF">
        <w:rPr>
          <w:spacing w:val="-3"/>
        </w:rPr>
        <w:t xml:space="preserve">The estimate below assumes that respondents will also contract with outside counsel/consultants and it will also take </w:t>
      </w:r>
      <w:r w:rsidR="00284C13">
        <w:rPr>
          <w:spacing w:val="-3"/>
        </w:rPr>
        <w:t>these consultants a total of 660</w:t>
      </w:r>
      <w:r w:rsidRPr="00A92ADF">
        <w:rPr>
          <w:spacing w:val="-3"/>
        </w:rPr>
        <w:t xml:space="preserve"> burden hours to fulfill the requirements on beha</w:t>
      </w:r>
      <w:r w:rsidR="00284C13">
        <w:rPr>
          <w:spacing w:val="-3"/>
        </w:rPr>
        <w:t>lf of the respondents for all 47</w:t>
      </w:r>
      <w:r w:rsidRPr="00A92ADF">
        <w:rPr>
          <w:spacing w:val="-3"/>
        </w:rPr>
        <w:t xml:space="preserve"> responses.</w:t>
      </w:r>
      <w:r w:rsidRPr="00A92ADF">
        <w:rPr>
          <w:rStyle w:val="FootnoteReference"/>
          <w:spacing w:val="-3"/>
        </w:rPr>
        <w:footnoteReference w:id="4"/>
      </w:r>
      <w:r w:rsidRPr="00A92ADF">
        <w:rPr>
          <w:spacing w:val="-3"/>
        </w:rPr>
        <w:t xml:space="preserve"> Therefore, the total annual cost burden to the respondents is as follows:</w:t>
      </w:r>
      <w:r>
        <w:rPr>
          <w:spacing w:val="-3"/>
        </w:rPr>
        <w:t xml:space="preserve">  </w:t>
      </w:r>
    </w:p>
    <w:p w14:paraId="1B6C9138" w14:textId="77777777" w:rsidR="006D7497" w:rsidRDefault="006D7497" w:rsidP="00992158">
      <w:pPr>
        <w:suppressAutoHyphens/>
        <w:spacing w:line="240" w:lineRule="atLeast"/>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1720"/>
        <w:gridCol w:w="1633"/>
        <w:gridCol w:w="1750"/>
      </w:tblGrid>
      <w:tr w:rsidR="00992158" w:rsidRPr="003563F1" w14:paraId="31EF5883" w14:textId="77777777">
        <w:tc>
          <w:tcPr>
            <w:tcW w:w="2359" w:type="dxa"/>
            <w:shd w:val="clear" w:color="auto" w:fill="E6E6E6"/>
          </w:tcPr>
          <w:p w14:paraId="3B62CF8C"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14:paraId="58C10C91"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14:paraId="010C074C"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14:paraId="4580A24F"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r w:rsidRPr="003563F1">
              <w:rPr>
                <w:b/>
                <w:spacing w:val="-3"/>
              </w:rPr>
              <w:t>Description</w:t>
            </w:r>
          </w:p>
        </w:tc>
        <w:tc>
          <w:tcPr>
            <w:tcW w:w="1720" w:type="dxa"/>
            <w:shd w:val="clear" w:color="auto" w:fill="E6E6E6"/>
          </w:tcPr>
          <w:p w14:paraId="72DF9746"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14:paraId="06BB574A"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14:paraId="5C1052ED"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r w:rsidRPr="003563F1">
              <w:rPr>
                <w:b/>
                <w:spacing w:val="-3"/>
              </w:rPr>
              <w:t>Costs per Hour</w:t>
            </w:r>
          </w:p>
        </w:tc>
        <w:tc>
          <w:tcPr>
            <w:tcW w:w="1633" w:type="dxa"/>
            <w:shd w:val="clear" w:color="auto" w:fill="E6E6E6"/>
          </w:tcPr>
          <w:p w14:paraId="794A2BE8"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r w:rsidRPr="003563F1">
              <w:rPr>
                <w:b/>
                <w:spacing w:val="-3"/>
              </w:rPr>
              <w:t xml:space="preserve">Total Annual Hours for Outside Consultants </w:t>
            </w:r>
          </w:p>
        </w:tc>
        <w:tc>
          <w:tcPr>
            <w:tcW w:w="1750" w:type="dxa"/>
            <w:shd w:val="clear" w:color="auto" w:fill="E6E6E6"/>
          </w:tcPr>
          <w:p w14:paraId="2D834D02"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14:paraId="212E0498"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14:paraId="7D72FDE7"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14:paraId="3F837A15"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r w:rsidRPr="003563F1">
              <w:rPr>
                <w:b/>
                <w:spacing w:val="-3"/>
              </w:rPr>
              <w:t>Total Costs</w:t>
            </w:r>
          </w:p>
        </w:tc>
      </w:tr>
      <w:tr w:rsidR="00992158" w:rsidRPr="003563F1" w14:paraId="0F1EA1E4" w14:textId="77777777">
        <w:tc>
          <w:tcPr>
            <w:tcW w:w="2359" w:type="dxa"/>
            <w:shd w:val="clear" w:color="auto" w:fill="auto"/>
          </w:tcPr>
          <w:p w14:paraId="46236E1C" w14:textId="77777777" w:rsidR="00992158" w:rsidRPr="003563F1" w:rsidRDefault="00992158" w:rsidP="00992158">
            <w:pPr>
              <w:widowControl w:val="0"/>
              <w:suppressAutoHyphens/>
              <w:overflowPunct w:val="0"/>
              <w:autoSpaceDE w:val="0"/>
              <w:autoSpaceDN w:val="0"/>
              <w:adjustRightInd w:val="0"/>
              <w:spacing w:line="240" w:lineRule="atLeast"/>
              <w:textAlignment w:val="baseline"/>
              <w:rPr>
                <w:spacing w:val="-3"/>
              </w:rPr>
            </w:pPr>
            <w:r w:rsidRPr="003563F1">
              <w:rPr>
                <w:spacing w:val="-3"/>
              </w:rPr>
              <w:t xml:space="preserve">Outside Legal Counsel </w:t>
            </w:r>
          </w:p>
          <w:p w14:paraId="5843FDD0" w14:textId="77777777" w:rsidR="00992158" w:rsidRPr="003563F1" w:rsidRDefault="00992158" w:rsidP="00992158">
            <w:pPr>
              <w:widowControl w:val="0"/>
              <w:suppressAutoHyphens/>
              <w:overflowPunct w:val="0"/>
              <w:autoSpaceDE w:val="0"/>
              <w:autoSpaceDN w:val="0"/>
              <w:adjustRightInd w:val="0"/>
              <w:spacing w:line="240" w:lineRule="atLeast"/>
              <w:textAlignment w:val="baseline"/>
              <w:rPr>
                <w:spacing w:val="-3"/>
              </w:rPr>
            </w:pPr>
          </w:p>
        </w:tc>
        <w:tc>
          <w:tcPr>
            <w:tcW w:w="1720" w:type="dxa"/>
            <w:shd w:val="clear" w:color="auto" w:fill="auto"/>
          </w:tcPr>
          <w:p w14:paraId="436D0601"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spacing w:val="-3"/>
              </w:rPr>
            </w:pPr>
            <w:r w:rsidRPr="003563F1">
              <w:rPr>
                <w:spacing w:val="-3"/>
              </w:rPr>
              <w:t>$300 per Hour</w:t>
            </w:r>
          </w:p>
          <w:p w14:paraId="488C2E5A"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spacing w:val="-3"/>
              </w:rPr>
            </w:pPr>
          </w:p>
        </w:tc>
        <w:tc>
          <w:tcPr>
            <w:tcW w:w="1633" w:type="dxa"/>
            <w:shd w:val="clear" w:color="auto" w:fill="auto"/>
          </w:tcPr>
          <w:p w14:paraId="44DB124E" w14:textId="242DC05C" w:rsidR="00992158" w:rsidRPr="003563F1" w:rsidRDefault="002B6D62" w:rsidP="00992158">
            <w:pPr>
              <w:widowControl w:val="0"/>
              <w:suppressAutoHyphens/>
              <w:overflowPunct w:val="0"/>
              <w:autoSpaceDE w:val="0"/>
              <w:autoSpaceDN w:val="0"/>
              <w:adjustRightInd w:val="0"/>
              <w:spacing w:line="240" w:lineRule="atLeast"/>
              <w:jc w:val="center"/>
              <w:textAlignment w:val="baseline"/>
              <w:rPr>
                <w:spacing w:val="-3"/>
              </w:rPr>
            </w:pPr>
            <w:r>
              <w:rPr>
                <w:spacing w:val="-3"/>
              </w:rPr>
              <w:t>660</w:t>
            </w:r>
            <w:r w:rsidR="00992158" w:rsidRPr="005C1C6D">
              <w:rPr>
                <w:spacing w:val="-3"/>
              </w:rPr>
              <w:t xml:space="preserve"> </w:t>
            </w:r>
            <w:r w:rsidR="00992158" w:rsidRPr="003563F1">
              <w:rPr>
                <w:spacing w:val="-3"/>
              </w:rPr>
              <w:t>Hours</w:t>
            </w:r>
          </w:p>
        </w:tc>
        <w:tc>
          <w:tcPr>
            <w:tcW w:w="1750" w:type="dxa"/>
            <w:shd w:val="clear" w:color="auto" w:fill="auto"/>
          </w:tcPr>
          <w:p w14:paraId="235A0B7C" w14:textId="1F8DDA86"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r w:rsidRPr="003563F1">
              <w:rPr>
                <w:b/>
                <w:spacing w:val="-3"/>
              </w:rPr>
              <w:t>$</w:t>
            </w:r>
            <w:r w:rsidR="00284C13">
              <w:rPr>
                <w:b/>
                <w:spacing w:val="-3"/>
              </w:rPr>
              <w:t>198,</w:t>
            </w:r>
            <w:r w:rsidR="00284C13" w:rsidRPr="005C1C6D">
              <w:rPr>
                <w:b/>
                <w:spacing w:val="-3"/>
              </w:rPr>
              <w:t>00</w:t>
            </w:r>
            <w:r w:rsidR="00284C13">
              <w:rPr>
                <w:b/>
                <w:spacing w:val="-3"/>
              </w:rPr>
              <w:t>0</w:t>
            </w:r>
          </w:p>
          <w:p w14:paraId="50776305"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spacing w:val="-3"/>
              </w:rPr>
            </w:pPr>
            <w:r w:rsidRPr="003563F1">
              <w:rPr>
                <w:spacing w:val="-3"/>
              </w:rPr>
              <w:t>(O&amp;M)</w:t>
            </w:r>
          </w:p>
        </w:tc>
      </w:tr>
    </w:tbl>
    <w:p w14:paraId="253570F6" w14:textId="77777777" w:rsidR="00992158" w:rsidRDefault="00992158" w:rsidP="00992158">
      <w:pPr>
        <w:suppressAutoHyphens/>
        <w:spacing w:line="240" w:lineRule="atLeast"/>
        <w:rPr>
          <w:b/>
          <w:spacing w:val="-3"/>
        </w:rPr>
      </w:pPr>
    </w:p>
    <w:p w14:paraId="0E3B4BA3" w14:textId="170DBCD6" w:rsidR="00992158" w:rsidRDefault="00992158" w:rsidP="00992158">
      <w:pPr>
        <w:suppressAutoHyphens/>
        <w:spacing w:line="240" w:lineRule="atLeast"/>
        <w:rPr>
          <w:b/>
          <w:spacing w:val="-3"/>
        </w:rPr>
      </w:pPr>
      <w:r>
        <w:rPr>
          <w:b/>
          <w:spacing w:val="-3"/>
        </w:rPr>
        <w:t>(c)  Total Annual Costs:  $</w:t>
      </w:r>
      <w:r w:rsidR="002B6D62">
        <w:rPr>
          <w:b/>
          <w:spacing w:val="-3"/>
        </w:rPr>
        <w:t>198,0</w:t>
      </w:r>
      <w:r w:rsidRPr="005C1C6D">
        <w:rPr>
          <w:b/>
          <w:spacing w:val="-3"/>
        </w:rPr>
        <w:t>00</w:t>
      </w:r>
    </w:p>
    <w:p w14:paraId="7820CAE7" w14:textId="77777777" w:rsidR="005559AF" w:rsidRDefault="005559AF" w:rsidP="00992158">
      <w:pPr>
        <w:suppressAutoHyphens/>
        <w:spacing w:line="240" w:lineRule="atLeast"/>
        <w:rPr>
          <w:b/>
          <w:spacing w:val="-3"/>
        </w:rPr>
      </w:pPr>
    </w:p>
    <w:p w14:paraId="1D14EA65" w14:textId="77777777" w:rsidR="005559AF" w:rsidRDefault="005559AF" w:rsidP="00992158">
      <w:pPr>
        <w:suppressAutoHyphens/>
        <w:spacing w:line="240" w:lineRule="atLeast"/>
        <w:rPr>
          <w:b/>
          <w:spacing w:val="-3"/>
        </w:rPr>
      </w:pPr>
    </w:p>
    <w:p w14:paraId="4670DC83" w14:textId="77777777" w:rsidR="005559AF" w:rsidRDefault="005559AF" w:rsidP="00992158">
      <w:pPr>
        <w:suppressAutoHyphens/>
        <w:spacing w:line="240" w:lineRule="atLeast"/>
        <w:rPr>
          <w:b/>
          <w:spacing w:val="-3"/>
        </w:rPr>
      </w:pPr>
    </w:p>
    <w:p w14:paraId="72C873CA" w14:textId="77777777" w:rsidR="005559AF" w:rsidRDefault="005559AF" w:rsidP="00992158">
      <w:pPr>
        <w:suppressAutoHyphens/>
        <w:spacing w:line="240" w:lineRule="atLeast"/>
        <w:rPr>
          <w:b/>
          <w:spacing w:val="-3"/>
        </w:rPr>
      </w:pPr>
    </w:p>
    <w:p w14:paraId="0F0F034C" w14:textId="77777777" w:rsidR="005559AF" w:rsidRDefault="005559AF" w:rsidP="00992158">
      <w:pPr>
        <w:suppressAutoHyphens/>
        <w:spacing w:line="240" w:lineRule="atLeast"/>
        <w:rPr>
          <w:b/>
          <w:spacing w:val="-3"/>
        </w:rPr>
      </w:pPr>
    </w:p>
    <w:p w14:paraId="4DFE3846" w14:textId="77777777" w:rsidR="005559AF" w:rsidRDefault="005559AF" w:rsidP="00992158">
      <w:pPr>
        <w:suppressAutoHyphens/>
        <w:spacing w:line="240" w:lineRule="atLeast"/>
        <w:rPr>
          <w:b/>
          <w:spacing w:val="-3"/>
        </w:rPr>
      </w:pPr>
    </w:p>
    <w:p w14:paraId="2CC1C214" w14:textId="77777777" w:rsidR="005559AF" w:rsidRDefault="005559AF" w:rsidP="00992158">
      <w:pPr>
        <w:suppressAutoHyphens/>
        <w:spacing w:line="240" w:lineRule="atLeast"/>
        <w:rPr>
          <w:b/>
          <w:spacing w:val="-3"/>
        </w:rPr>
      </w:pPr>
    </w:p>
    <w:p w14:paraId="203F3B48" w14:textId="77777777" w:rsidR="005559AF" w:rsidRDefault="005559AF" w:rsidP="00992158">
      <w:pPr>
        <w:suppressAutoHyphens/>
        <w:spacing w:line="240" w:lineRule="atLeast"/>
        <w:rPr>
          <w:b/>
          <w:spacing w:val="-3"/>
        </w:rPr>
      </w:pPr>
    </w:p>
    <w:p w14:paraId="34D1ED9B" w14:textId="77777777" w:rsidR="005559AF" w:rsidRDefault="005559AF" w:rsidP="00992158">
      <w:pPr>
        <w:suppressAutoHyphens/>
        <w:spacing w:line="240" w:lineRule="atLeast"/>
        <w:rPr>
          <w:b/>
          <w:spacing w:val="-3"/>
        </w:rPr>
      </w:pPr>
    </w:p>
    <w:p w14:paraId="749532D7" w14:textId="77777777" w:rsidR="005559AF" w:rsidRDefault="005559AF" w:rsidP="00992158">
      <w:pPr>
        <w:suppressAutoHyphens/>
        <w:spacing w:line="240" w:lineRule="atLeast"/>
        <w:rPr>
          <w:b/>
          <w:spacing w:val="-3"/>
        </w:rPr>
      </w:pPr>
    </w:p>
    <w:p w14:paraId="1ACC52A6" w14:textId="77777777" w:rsidR="005559AF" w:rsidRDefault="005559AF" w:rsidP="00992158">
      <w:pPr>
        <w:suppressAutoHyphens/>
        <w:spacing w:line="240" w:lineRule="atLeast"/>
        <w:rPr>
          <w:b/>
          <w:spacing w:val="-3"/>
        </w:rPr>
      </w:pPr>
    </w:p>
    <w:p w14:paraId="13D15D85" w14:textId="77777777" w:rsidR="00992158" w:rsidRDefault="00992158" w:rsidP="00992158">
      <w:pPr>
        <w:suppressAutoHyphens/>
        <w:spacing w:line="240" w:lineRule="atLeast"/>
        <w:rPr>
          <w:spacing w:val="-3"/>
        </w:rPr>
      </w:pPr>
    </w:p>
    <w:p w14:paraId="79C2F639" w14:textId="4066F174" w:rsidR="008E667F" w:rsidRDefault="00093A13" w:rsidP="00F17842">
      <w:pPr>
        <w:pStyle w:val="ParaNum"/>
        <w:numPr>
          <w:ilvl w:val="0"/>
          <w:numId w:val="0"/>
        </w:numPr>
        <w:tabs>
          <w:tab w:val="left" w:pos="720"/>
        </w:tabs>
        <w:rPr>
          <w:spacing w:val="-3"/>
        </w:rPr>
      </w:pPr>
      <w:r>
        <w:rPr>
          <w:spacing w:val="-3"/>
          <w:sz w:val="24"/>
        </w:rPr>
        <w:lastRenderedPageBreak/>
        <w:t xml:space="preserve">14.  </w:t>
      </w:r>
      <w:r w:rsidR="008E667F" w:rsidRPr="008E667F">
        <w:rPr>
          <w:spacing w:val="-3"/>
        </w:rPr>
        <w:t>Estimated Annual Costs to the Federal Government for the information collection requirements are as follows:</w:t>
      </w:r>
      <w:r w:rsidR="003E2CAB">
        <w:rPr>
          <w:rStyle w:val="FootnoteReference"/>
          <w:spacing w:val="-3"/>
        </w:rPr>
        <w:footnoteReference w:id="5"/>
      </w:r>
    </w:p>
    <w:p w14:paraId="4849B80C" w14:textId="77777777" w:rsidR="00F17842" w:rsidRPr="008E667F" w:rsidRDefault="00F17842" w:rsidP="00F17842">
      <w:pPr>
        <w:pStyle w:val="ParaNum"/>
        <w:numPr>
          <w:ilvl w:val="0"/>
          <w:numId w:val="0"/>
        </w:numPr>
        <w:tabs>
          <w:tab w:val="left" w:pos="720"/>
        </w:tabs>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3777"/>
        <w:gridCol w:w="1701"/>
      </w:tblGrid>
      <w:tr w:rsidR="008E667F" w:rsidRPr="008E667F" w14:paraId="5DAD10D3" w14:textId="77777777" w:rsidTr="00EB0AA7">
        <w:tc>
          <w:tcPr>
            <w:tcW w:w="3270" w:type="dxa"/>
            <w:shd w:val="clear" w:color="auto" w:fill="CCCCCC"/>
          </w:tcPr>
          <w:p w14:paraId="476CD02F"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b/>
                <w:spacing w:val="-3"/>
              </w:rPr>
            </w:pPr>
            <w:r w:rsidRPr="008E667F">
              <w:rPr>
                <w:b/>
                <w:spacing w:val="-3"/>
              </w:rPr>
              <w:t xml:space="preserve">Government </w:t>
            </w:r>
          </w:p>
          <w:p w14:paraId="347B6F12"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b/>
                <w:spacing w:val="-3"/>
              </w:rPr>
            </w:pPr>
            <w:r w:rsidRPr="008E667F">
              <w:rPr>
                <w:b/>
                <w:spacing w:val="-3"/>
              </w:rPr>
              <w:t>Staff</w:t>
            </w:r>
          </w:p>
        </w:tc>
        <w:tc>
          <w:tcPr>
            <w:tcW w:w="3777" w:type="dxa"/>
            <w:shd w:val="clear" w:color="auto" w:fill="CCCCCC"/>
          </w:tcPr>
          <w:p w14:paraId="7E60D0C3"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b/>
                <w:spacing w:val="-3"/>
              </w:rPr>
            </w:pPr>
            <w:r w:rsidRPr="008E667F">
              <w:rPr>
                <w:b/>
                <w:spacing w:val="-3"/>
              </w:rPr>
              <w:t xml:space="preserve">Annual Burden </w:t>
            </w:r>
          </w:p>
          <w:p w14:paraId="6335D720"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b/>
                <w:spacing w:val="-3"/>
              </w:rPr>
            </w:pPr>
            <w:r w:rsidRPr="008E667F">
              <w:rPr>
                <w:b/>
                <w:spacing w:val="-3"/>
              </w:rPr>
              <w:t>Hours</w:t>
            </w:r>
          </w:p>
        </w:tc>
        <w:tc>
          <w:tcPr>
            <w:tcW w:w="1701" w:type="dxa"/>
            <w:shd w:val="clear" w:color="auto" w:fill="CCCCCC"/>
          </w:tcPr>
          <w:p w14:paraId="238AE46F"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b/>
                <w:spacing w:val="-3"/>
              </w:rPr>
            </w:pPr>
          </w:p>
          <w:p w14:paraId="226A28D4"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b/>
                <w:spacing w:val="-3"/>
              </w:rPr>
            </w:pPr>
            <w:r w:rsidRPr="008E667F">
              <w:rPr>
                <w:b/>
                <w:spacing w:val="-3"/>
              </w:rPr>
              <w:t>Costs</w:t>
            </w:r>
          </w:p>
        </w:tc>
      </w:tr>
      <w:tr w:rsidR="008E667F" w:rsidRPr="008E667F" w14:paraId="797BCE01" w14:textId="77777777" w:rsidTr="00EB0AA7">
        <w:tc>
          <w:tcPr>
            <w:tcW w:w="3270" w:type="dxa"/>
            <w:shd w:val="clear" w:color="auto" w:fill="auto"/>
          </w:tcPr>
          <w:p w14:paraId="536B5740" w14:textId="2007F20B" w:rsidR="008E667F" w:rsidRPr="008E667F" w:rsidRDefault="008E667F" w:rsidP="006C1A2D">
            <w:pPr>
              <w:widowControl w:val="0"/>
              <w:suppressAutoHyphens/>
              <w:overflowPunct w:val="0"/>
              <w:autoSpaceDE w:val="0"/>
              <w:autoSpaceDN w:val="0"/>
              <w:adjustRightInd w:val="0"/>
              <w:spacing w:line="240" w:lineRule="atLeast"/>
              <w:textAlignment w:val="baseline"/>
              <w:rPr>
                <w:b/>
                <w:spacing w:val="-3"/>
              </w:rPr>
            </w:pPr>
            <w:r w:rsidRPr="008E667F">
              <w:rPr>
                <w:b/>
                <w:bCs/>
                <w:color w:val="000000"/>
              </w:rPr>
              <w:t xml:space="preserve">Sections </w:t>
            </w:r>
            <w:r w:rsidRPr="008E667F">
              <w:rPr>
                <w:b/>
              </w:rPr>
              <w:t>1.990, 1.991(a</w:t>
            </w:r>
            <w:r w:rsidRPr="00A343D0">
              <w:rPr>
                <w:b/>
              </w:rPr>
              <w:t>)-(</w:t>
            </w:r>
            <w:r w:rsidR="006C1A2D" w:rsidRPr="00A343D0">
              <w:rPr>
                <w:b/>
              </w:rPr>
              <w:t>k</w:t>
            </w:r>
            <w:r w:rsidRPr="00A343D0">
              <w:rPr>
                <w:b/>
              </w:rPr>
              <w:t>), 1.994(a),  1.994(</w:t>
            </w:r>
            <w:r w:rsidR="006C1A2D" w:rsidRPr="00A343D0">
              <w:rPr>
                <w:b/>
              </w:rPr>
              <w:t>d</w:t>
            </w:r>
            <w:r w:rsidRPr="00A343D0">
              <w:rPr>
                <w:b/>
              </w:rPr>
              <w:t>), 1.994(</w:t>
            </w:r>
            <w:r w:rsidR="006C1A2D" w:rsidRPr="00A343D0">
              <w:rPr>
                <w:b/>
              </w:rPr>
              <w:t>e</w:t>
            </w:r>
            <w:r w:rsidRPr="00A343D0">
              <w:rPr>
                <w:b/>
              </w:rPr>
              <w:t>)</w:t>
            </w:r>
            <w:r w:rsidR="004C6825" w:rsidRPr="00A343D0">
              <w:rPr>
                <w:b/>
                <w:vertAlign w:val="superscript"/>
              </w:rPr>
              <w:t xml:space="preserve"> </w:t>
            </w:r>
            <w:r w:rsidR="004C6825" w:rsidRPr="00A343D0">
              <w:rPr>
                <w:b/>
                <w:vertAlign w:val="superscript"/>
              </w:rPr>
              <w:footnoteReference w:id="6"/>
            </w:r>
            <w:bookmarkStart w:id="0" w:name="_GoBack"/>
            <w:bookmarkEnd w:id="0"/>
          </w:p>
        </w:tc>
        <w:tc>
          <w:tcPr>
            <w:tcW w:w="3777" w:type="dxa"/>
            <w:shd w:val="clear" w:color="auto" w:fill="auto"/>
          </w:tcPr>
          <w:p w14:paraId="57FF21F8"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p>
        </w:tc>
        <w:tc>
          <w:tcPr>
            <w:tcW w:w="1701" w:type="dxa"/>
            <w:shd w:val="clear" w:color="auto" w:fill="auto"/>
          </w:tcPr>
          <w:p w14:paraId="71C6FA43"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tc>
      </w:tr>
      <w:tr w:rsidR="008E667F" w:rsidRPr="008E667F" w14:paraId="736A6963" w14:textId="77777777" w:rsidTr="00EB0AA7">
        <w:tc>
          <w:tcPr>
            <w:tcW w:w="3270" w:type="dxa"/>
            <w:shd w:val="clear" w:color="auto" w:fill="auto"/>
          </w:tcPr>
          <w:p w14:paraId="1D9AEB56"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p>
          <w:p w14:paraId="5B42F62B"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r w:rsidRPr="008E667F">
              <w:rPr>
                <w:spacing w:val="-3"/>
              </w:rPr>
              <w:t>GS-15/Step 5</w:t>
            </w:r>
          </w:p>
          <w:p w14:paraId="32EAA4BE"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r w:rsidRPr="008E667F">
              <w:rPr>
                <w:spacing w:val="-3"/>
              </w:rPr>
              <w:t>Hourly Rate: $67.21</w:t>
            </w:r>
          </w:p>
        </w:tc>
        <w:tc>
          <w:tcPr>
            <w:tcW w:w="3777" w:type="dxa"/>
            <w:shd w:val="clear" w:color="auto" w:fill="auto"/>
          </w:tcPr>
          <w:p w14:paraId="6EBECDAF"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r w:rsidRPr="008E667F">
              <w:rPr>
                <w:spacing w:val="-3"/>
              </w:rPr>
              <w:t>Review and Process  100% of the “Initial Petitions” = 7 petitions (@ 30 hrs. for 3 of the petitions; 80 hrs. for 4 of the petitions) = 410 hours for staff</w:t>
            </w:r>
          </w:p>
          <w:p w14:paraId="28E5A96A"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p>
          <w:p w14:paraId="0DA0FE49"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r w:rsidRPr="008E667F">
              <w:rPr>
                <w:spacing w:val="-3"/>
              </w:rPr>
              <w:t>Review and Process 100 % of the “Petitions to Extend Existing Ruling” = 18 petitions (@ 8 hrs./petition) = 144 hours for staff</w:t>
            </w:r>
          </w:p>
          <w:p w14:paraId="7447E187"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p>
        </w:tc>
        <w:tc>
          <w:tcPr>
            <w:tcW w:w="1701" w:type="dxa"/>
            <w:shd w:val="clear" w:color="auto" w:fill="auto"/>
          </w:tcPr>
          <w:p w14:paraId="04A3DBED"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1D38CB85"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b/>
                <w:spacing w:val="-3"/>
              </w:rPr>
            </w:pPr>
            <w:r w:rsidRPr="008E667F">
              <w:rPr>
                <w:b/>
                <w:spacing w:val="-3"/>
              </w:rPr>
              <w:t>$27,556.10</w:t>
            </w:r>
          </w:p>
          <w:p w14:paraId="26E47E8A"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26D74A14"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2C41A1DB"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6CEB1810"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1206FEEC"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316E66CC"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b/>
                <w:spacing w:val="-3"/>
              </w:rPr>
            </w:pPr>
            <w:r w:rsidRPr="008E667F">
              <w:rPr>
                <w:b/>
                <w:spacing w:val="-3"/>
              </w:rPr>
              <w:t>$9,678.24</w:t>
            </w:r>
          </w:p>
        </w:tc>
      </w:tr>
      <w:tr w:rsidR="008E667F" w:rsidRPr="008E667F" w14:paraId="1853D80B" w14:textId="77777777" w:rsidTr="00EB0AA7">
        <w:tc>
          <w:tcPr>
            <w:tcW w:w="3270" w:type="dxa"/>
            <w:shd w:val="clear" w:color="auto" w:fill="auto"/>
          </w:tcPr>
          <w:p w14:paraId="0117D1D7"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p>
          <w:p w14:paraId="09D9E672" w14:textId="6A01192F" w:rsidR="008E667F" w:rsidRPr="008E667F" w:rsidRDefault="003232E4" w:rsidP="008E667F">
            <w:pPr>
              <w:widowControl w:val="0"/>
              <w:suppressAutoHyphens/>
              <w:overflowPunct w:val="0"/>
              <w:autoSpaceDE w:val="0"/>
              <w:autoSpaceDN w:val="0"/>
              <w:adjustRightInd w:val="0"/>
              <w:spacing w:line="240" w:lineRule="atLeast"/>
              <w:textAlignment w:val="baseline"/>
              <w:rPr>
                <w:b/>
                <w:spacing w:val="-3"/>
              </w:rPr>
            </w:pPr>
            <w:r w:rsidRPr="006C1A2D">
              <w:rPr>
                <w:b/>
                <w:spacing w:val="-3"/>
              </w:rPr>
              <w:t>Section 1.994(f)(1</w:t>
            </w:r>
            <w:r w:rsidR="008E667F" w:rsidRPr="006C1A2D">
              <w:rPr>
                <w:b/>
                <w:spacing w:val="-3"/>
              </w:rPr>
              <w:t>)</w:t>
            </w:r>
            <w:r w:rsidRPr="006C1A2D">
              <w:rPr>
                <w:rStyle w:val="FootnoteReference"/>
                <w:b/>
                <w:spacing w:val="-3"/>
              </w:rPr>
              <w:footnoteReference w:id="7"/>
            </w:r>
          </w:p>
          <w:p w14:paraId="4730011B" w14:textId="77777777" w:rsidR="003232E4" w:rsidRDefault="003232E4" w:rsidP="008E667F">
            <w:pPr>
              <w:widowControl w:val="0"/>
              <w:suppressAutoHyphens/>
              <w:overflowPunct w:val="0"/>
              <w:autoSpaceDE w:val="0"/>
              <w:autoSpaceDN w:val="0"/>
              <w:adjustRightInd w:val="0"/>
              <w:spacing w:line="240" w:lineRule="atLeast"/>
              <w:textAlignment w:val="baseline"/>
              <w:rPr>
                <w:spacing w:val="-3"/>
              </w:rPr>
            </w:pPr>
          </w:p>
          <w:p w14:paraId="17D32C24"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r w:rsidRPr="008E667F">
              <w:rPr>
                <w:spacing w:val="-3"/>
              </w:rPr>
              <w:t>GS-15/Step 5</w:t>
            </w:r>
          </w:p>
          <w:p w14:paraId="1B51102C"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r w:rsidRPr="008E667F">
              <w:rPr>
                <w:spacing w:val="-3"/>
              </w:rPr>
              <w:t>Hourly Rate: $67.21</w:t>
            </w:r>
          </w:p>
          <w:p w14:paraId="0FE634D4"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p>
          <w:p w14:paraId="0D8553C4"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p>
          <w:p w14:paraId="4EEB3E83"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b/>
                <w:spacing w:val="-3"/>
              </w:rPr>
            </w:pPr>
            <w:r w:rsidRPr="008E667F">
              <w:rPr>
                <w:b/>
                <w:spacing w:val="-3"/>
              </w:rPr>
              <w:t>Transition Filings</w:t>
            </w:r>
          </w:p>
          <w:p w14:paraId="6CFAF103"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p>
          <w:p w14:paraId="11059E89" w14:textId="77777777" w:rsidR="007530D0" w:rsidRDefault="007530D0" w:rsidP="008E667F">
            <w:pPr>
              <w:widowControl w:val="0"/>
              <w:suppressAutoHyphens/>
              <w:overflowPunct w:val="0"/>
              <w:autoSpaceDE w:val="0"/>
              <w:autoSpaceDN w:val="0"/>
              <w:adjustRightInd w:val="0"/>
              <w:spacing w:line="240" w:lineRule="atLeast"/>
              <w:textAlignment w:val="baseline"/>
              <w:rPr>
                <w:spacing w:val="-3"/>
              </w:rPr>
            </w:pPr>
          </w:p>
          <w:p w14:paraId="71FCDFFF"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r w:rsidRPr="008E667F">
              <w:rPr>
                <w:spacing w:val="-3"/>
              </w:rPr>
              <w:t>GS-15/Step 5</w:t>
            </w:r>
          </w:p>
          <w:p w14:paraId="0D2A26A9"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r w:rsidRPr="008E667F">
              <w:rPr>
                <w:spacing w:val="-3"/>
              </w:rPr>
              <w:t>Hourly Rate: $67.21</w:t>
            </w:r>
          </w:p>
          <w:p w14:paraId="2519DFF6"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p>
          <w:p w14:paraId="6CB1AD8A"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p>
        </w:tc>
        <w:tc>
          <w:tcPr>
            <w:tcW w:w="3777" w:type="dxa"/>
            <w:shd w:val="clear" w:color="auto" w:fill="auto"/>
          </w:tcPr>
          <w:p w14:paraId="17703451" w14:textId="78C1D866" w:rsidR="008E667F" w:rsidRPr="008E667F" w:rsidRDefault="008E667F" w:rsidP="003E2CAB">
            <w:pPr>
              <w:widowControl w:val="0"/>
              <w:suppressAutoHyphens/>
              <w:overflowPunct w:val="0"/>
              <w:autoSpaceDE w:val="0"/>
              <w:autoSpaceDN w:val="0"/>
              <w:adjustRightInd w:val="0"/>
              <w:spacing w:line="240" w:lineRule="atLeast"/>
              <w:textAlignment w:val="baseline"/>
              <w:rPr>
                <w:spacing w:val="-3"/>
              </w:rPr>
            </w:pPr>
          </w:p>
          <w:p w14:paraId="4693C35E"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2DBAD2FA"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65D800A2" w14:textId="5E81D280" w:rsidR="003232E4" w:rsidRPr="008E667F" w:rsidRDefault="003232E4" w:rsidP="003232E4">
            <w:pPr>
              <w:widowControl w:val="0"/>
              <w:suppressAutoHyphens/>
              <w:overflowPunct w:val="0"/>
              <w:autoSpaceDE w:val="0"/>
              <w:autoSpaceDN w:val="0"/>
              <w:adjustRightInd w:val="0"/>
              <w:spacing w:line="240" w:lineRule="atLeast"/>
              <w:textAlignment w:val="baseline"/>
              <w:rPr>
                <w:spacing w:val="-3"/>
              </w:rPr>
            </w:pPr>
            <w:r w:rsidRPr="00093A13">
              <w:rPr>
                <w:spacing w:val="-3"/>
              </w:rPr>
              <w:t>Review and Process 100% of the filings = 2 filings (@ 1 hr./filing) = 2 hours for staff</w:t>
            </w:r>
          </w:p>
          <w:p w14:paraId="733C94E3" w14:textId="77777777" w:rsidR="008E667F" w:rsidRPr="008E667F" w:rsidRDefault="008E667F" w:rsidP="003232E4">
            <w:pPr>
              <w:widowControl w:val="0"/>
              <w:suppressAutoHyphens/>
              <w:overflowPunct w:val="0"/>
              <w:autoSpaceDE w:val="0"/>
              <w:autoSpaceDN w:val="0"/>
              <w:adjustRightInd w:val="0"/>
              <w:spacing w:line="240" w:lineRule="atLeast"/>
              <w:jc w:val="right"/>
              <w:textAlignment w:val="baseline"/>
              <w:rPr>
                <w:spacing w:val="-3"/>
              </w:rPr>
            </w:pPr>
          </w:p>
          <w:p w14:paraId="08911406"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p>
          <w:p w14:paraId="40B9D9C2"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p>
          <w:p w14:paraId="34E3CE6E"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p>
          <w:p w14:paraId="22731B78"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r w:rsidRPr="008E667F">
              <w:rPr>
                <w:spacing w:val="-3"/>
              </w:rPr>
              <w:t>Review and Process  100% of the “Transition Filings” = 20 filings (@ 4 hrs. for 14 of the filings; 25 hrs. for 6 of the filings) = 206 hours for staff</w:t>
            </w:r>
          </w:p>
          <w:p w14:paraId="34F18557"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p>
          <w:p w14:paraId="30951DAB"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639FF266"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tc>
        <w:tc>
          <w:tcPr>
            <w:tcW w:w="1701" w:type="dxa"/>
            <w:shd w:val="clear" w:color="auto" w:fill="auto"/>
          </w:tcPr>
          <w:p w14:paraId="0A2325A0" w14:textId="45C3166C"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b/>
                <w:spacing w:val="-3"/>
              </w:rPr>
            </w:pPr>
          </w:p>
          <w:p w14:paraId="01671431"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6A7E3D97"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7154C03B" w14:textId="77777777" w:rsidR="003232E4" w:rsidRPr="008E667F" w:rsidRDefault="003232E4" w:rsidP="003232E4">
            <w:pPr>
              <w:widowControl w:val="0"/>
              <w:suppressAutoHyphens/>
              <w:overflowPunct w:val="0"/>
              <w:autoSpaceDE w:val="0"/>
              <w:autoSpaceDN w:val="0"/>
              <w:adjustRightInd w:val="0"/>
              <w:spacing w:line="240" w:lineRule="atLeast"/>
              <w:jc w:val="center"/>
              <w:textAlignment w:val="baseline"/>
              <w:rPr>
                <w:b/>
                <w:spacing w:val="-3"/>
              </w:rPr>
            </w:pPr>
            <w:r w:rsidRPr="008E667F">
              <w:rPr>
                <w:b/>
                <w:spacing w:val="-3"/>
              </w:rPr>
              <w:t>$134.42</w:t>
            </w:r>
          </w:p>
          <w:p w14:paraId="080DC6FE"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1397A3E4" w14:textId="25C948CE"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b/>
                <w:spacing w:val="-3"/>
              </w:rPr>
            </w:pPr>
          </w:p>
          <w:p w14:paraId="3B771C59"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638756D9"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5A1BBED6"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7575092E"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25EE2A11"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759CED99"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2054091C"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52EE3AD5"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b/>
                <w:spacing w:val="-3"/>
              </w:rPr>
            </w:pPr>
            <w:r w:rsidRPr="008E667F">
              <w:rPr>
                <w:b/>
                <w:spacing w:val="-3"/>
              </w:rPr>
              <w:t>$13,845.26</w:t>
            </w:r>
          </w:p>
        </w:tc>
      </w:tr>
      <w:tr w:rsidR="008E667F" w:rsidRPr="008E667F" w14:paraId="117C33F9" w14:textId="77777777" w:rsidTr="00EB0AA7">
        <w:tc>
          <w:tcPr>
            <w:tcW w:w="3270" w:type="dxa"/>
            <w:shd w:val="clear" w:color="auto" w:fill="auto"/>
          </w:tcPr>
          <w:p w14:paraId="6393EF97"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r w:rsidRPr="008E667F">
              <w:rPr>
                <w:b/>
                <w:spacing w:val="-3"/>
              </w:rPr>
              <w:t>Total Costs to the Federal Government</w:t>
            </w:r>
            <w:r w:rsidRPr="008E667F">
              <w:rPr>
                <w:spacing w:val="-3"/>
              </w:rPr>
              <w:t>:</w:t>
            </w:r>
          </w:p>
        </w:tc>
        <w:tc>
          <w:tcPr>
            <w:tcW w:w="3777" w:type="dxa"/>
            <w:shd w:val="clear" w:color="auto" w:fill="auto"/>
          </w:tcPr>
          <w:p w14:paraId="3D5B6CA4"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tc>
        <w:tc>
          <w:tcPr>
            <w:tcW w:w="1701" w:type="dxa"/>
            <w:shd w:val="clear" w:color="auto" w:fill="auto"/>
          </w:tcPr>
          <w:p w14:paraId="7763A1EC"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4447CC7A" w14:textId="5F3AC76D" w:rsidR="008E667F" w:rsidRPr="008E667F" w:rsidRDefault="008E667F" w:rsidP="003E2CAB">
            <w:pPr>
              <w:widowControl w:val="0"/>
              <w:suppressAutoHyphens/>
              <w:overflowPunct w:val="0"/>
              <w:autoSpaceDE w:val="0"/>
              <w:autoSpaceDN w:val="0"/>
              <w:adjustRightInd w:val="0"/>
              <w:spacing w:line="240" w:lineRule="atLeast"/>
              <w:jc w:val="center"/>
              <w:textAlignment w:val="baseline"/>
              <w:rPr>
                <w:b/>
                <w:spacing w:val="-3"/>
              </w:rPr>
            </w:pPr>
            <w:r w:rsidRPr="008E667F">
              <w:rPr>
                <w:b/>
                <w:spacing w:val="-3"/>
              </w:rPr>
              <w:t>$</w:t>
            </w:r>
            <w:r w:rsidR="003E2CAB">
              <w:rPr>
                <w:b/>
                <w:spacing w:val="-3"/>
              </w:rPr>
              <w:t>51,214.02</w:t>
            </w:r>
          </w:p>
        </w:tc>
      </w:tr>
    </w:tbl>
    <w:p w14:paraId="2CA9F152" w14:textId="77777777" w:rsidR="00992158" w:rsidRDefault="00992158" w:rsidP="00992158">
      <w:pPr>
        <w:suppressAutoHyphens/>
        <w:spacing w:line="240" w:lineRule="atLeast"/>
        <w:rPr>
          <w:spacing w:val="-3"/>
        </w:rPr>
      </w:pPr>
      <w:r>
        <w:rPr>
          <w:spacing w:val="-3"/>
        </w:rPr>
        <w:lastRenderedPageBreak/>
        <w:t>15</w:t>
      </w:r>
      <w:r w:rsidRPr="008517E0">
        <w:rPr>
          <w:spacing w:val="-3"/>
        </w:rPr>
        <w:t>.   This is a new information collection.</w:t>
      </w:r>
    </w:p>
    <w:p w14:paraId="0E9B9761" w14:textId="77777777" w:rsidR="00992158" w:rsidRDefault="00992158" w:rsidP="00992158">
      <w:pPr>
        <w:suppressAutoHyphens/>
        <w:spacing w:line="240" w:lineRule="atLeast"/>
        <w:rPr>
          <w:spacing w:val="-3"/>
        </w:rPr>
      </w:pPr>
    </w:p>
    <w:p w14:paraId="020B2DBF" w14:textId="77777777" w:rsidR="00992158" w:rsidRDefault="00992158" w:rsidP="00992158">
      <w:pPr>
        <w:suppressAutoHyphens/>
        <w:spacing w:line="240" w:lineRule="atLeast"/>
        <w:rPr>
          <w:spacing w:val="-3"/>
        </w:rPr>
      </w:pPr>
      <w:r>
        <w:rPr>
          <w:spacing w:val="-3"/>
        </w:rPr>
        <w:t xml:space="preserve">16.   The FCC </w:t>
      </w:r>
      <w:r w:rsidRPr="00E81B22">
        <w:rPr>
          <w:spacing w:val="-3"/>
        </w:rPr>
        <w:t>has not proposed</w:t>
      </w:r>
      <w:r>
        <w:rPr>
          <w:spacing w:val="-3"/>
        </w:rPr>
        <w:t xml:space="preserve"> to publish the information that will be collected.</w:t>
      </w:r>
    </w:p>
    <w:p w14:paraId="01E6B322" w14:textId="77777777" w:rsidR="00992158" w:rsidRDefault="00992158" w:rsidP="00992158">
      <w:pPr>
        <w:suppressAutoHyphens/>
        <w:spacing w:line="240" w:lineRule="atLeast"/>
        <w:rPr>
          <w:spacing w:val="-3"/>
        </w:rPr>
      </w:pPr>
    </w:p>
    <w:p w14:paraId="0A72E26B" w14:textId="77777777" w:rsidR="00992158" w:rsidRDefault="00992158" w:rsidP="00992158">
      <w:pPr>
        <w:suppressAutoHyphens/>
        <w:spacing w:line="240" w:lineRule="atLeast"/>
        <w:rPr>
          <w:spacing w:val="-3"/>
        </w:rPr>
      </w:pPr>
      <w:r>
        <w:rPr>
          <w:spacing w:val="-3"/>
        </w:rPr>
        <w:t xml:space="preserve">17.  All OMB-approved information collections </w:t>
      </w:r>
      <w:r w:rsidRPr="00E81B22">
        <w:rPr>
          <w:spacing w:val="-3"/>
        </w:rPr>
        <w:t>(including this one)</w:t>
      </w:r>
      <w:r>
        <w:rPr>
          <w:spacing w:val="-3"/>
        </w:rPr>
        <w:t xml:space="preserve"> will be published in 47 CFR 0.408, which “displays” the title, OMB control number and OMB expiration date.  The FCC </w:t>
      </w:r>
      <w:r w:rsidRPr="00E81B22">
        <w:rPr>
          <w:spacing w:val="-3"/>
        </w:rPr>
        <w:t>has not proposed to issue an FCC Form specifically</w:t>
      </w:r>
      <w:r>
        <w:rPr>
          <w:spacing w:val="-3"/>
        </w:rPr>
        <w:t xml:space="preserve"> for the purpose of this collection.</w:t>
      </w:r>
    </w:p>
    <w:p w14:paraId="7464DCC8" w14:textId="77777777" w:rsidR="00992158" w:rsidRDefault="00992158" w:rsidP="00992158">
      <w:pPr>
        <w:suppressAutoHyphens/>
        <w:spacing w:line="240" w:lineRule="atLeast"/>
        <w:rPr>
          <w:spacing w:val="-3"/>
        </w:rPr>
      </w:pPr>
    </w:p>
    <w:p w14:paraId="5C76ECE5" w14:textId="567D711B" w:rsidR="00992158" w:rsidRDefault="00992158" w:rsidP="00992158">
      <w:pPr>
        <w:suppressAutoHyphens/>
        <w:spacing w:line="240" w:lineRule="atLeast"/>
      </w:pPr>
      <w:r>
        <w:t xml:space="preserve">18.   </w:t>
      </w:r>
      <w:r w:rsidR="00751398" w:rsidRPr="003232E4">
        <w:t xml:space="preserve">Due to the Commission updating this collection in order to receive OMB final approval, the following figures were amended </w:t>
      </w:r>
      <w:r w:rsidR="00F65E36" w:rsidRPr="003232E4">
        <w:t xml:space="preserve">in the collection </w:t>
      </w:r>
      <w:r w:rsidR="00751398" w:rsidRPr="003232E4">
        <w:t>since the Commission sought public comments on the information collection requirements:  the number of responses is 47, the annual burden hours are 660</w:t>
      </w:r>
      <w:r w:rsidR="002C7C9A" w:rsidRPr="003232E4">
        <w:t xml:space="preserve"> </w:t>
      </w:r>
      <w:r w:rsidR="00751398" w:rsidRPr="003232E4">
        <w:t xml:space="preserve">and the total annual cost burden is $198,000.  </w:t>
      </w:r>
      <w:r w:rsidRPr="003232E4">
        <w:t xml:space="preserve">There are </w:t>
      </w:r>
      <w:r w:rsidR="00751398" w:rsidRPr="003232E4">
        <w:t xml:space="preserve">no other </w:t>
      </w:r>
      <w:r w:rsidRPr="003232E4">
        <w:t>exceptions to the Certification Statement.</w:t>
      </w:r>
      <w:r>
        <w:t xml:space="preserve"> </w:t>
      </w:r>
    </w:p>
    <w:p w14:paraId="596AE7C7" w14:textId="77777777" w:rsidR="00992158" w:rsidRDefault="00992158"/>
    <w:sectPr w:rsidR="00992158" w:rsidSect="00992158">
      <w:headerReference w:type="default" r:id="rId9"/>
      <w:footerReference w:type="even" r:id="rId10"/>
      <w:footerReference w:type="default" r:id="rId11"/>
      <w:head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CE59F" w14:textId="77777777" w:rsidR="00E32782" w:rsidRDefault="00E32782">
      <w:r>
        <w:separator/>
      </w:r>
    </w:p>
  </w:endnote>
  <w:endnote w:type="continuationSeparator" w:id="0">
    <w:p w14:paraId="460B368E" w14:textId="77777777" w:rsidR="00E32782" w:rsidRDefault="00E3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A6DF8" w14:textId="77777777" w:rsidR="00E56B16" w:rsidRDefault="00E56B16" w:rsidP="009921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D9A28D" w14:textId="77777777" w:rsidR="00E56B16" w:rsidRDefault="00E56B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F3D53" w14:textId="77777777" w:rsidR="00E56B16" w:rsidRDefault="00E56B16" w:rsidP="009921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43D0">
      <w:rPr>
        <w:rStyle w:val="PageNumber"/>
        <w:noProof/>
      </w:rPr>
      <w:t>8</w:t>
    </w:r>
    <w:r>
      <w:rPr>
        <w:rStyle w:val="PageNumber"/>
      </w:rPr>
      <w:fldChar w:fldCharType="end"/>
    </w:r>
  </w:p>
  <w:p w14:paraId="2160837A" w14:textId="77777777" w:rsidR="00E56B16" w:rsidRDefault="00E56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F1B5C" w14:textId="77777777" w:rsidR="00E32782" w:rsidRDefault="00E32782">
      <w:r>
        <w:separator/>
      </w:r>
    </w:p>
  </w:footnote>
  <w:footnote w:type="continuationSeparator" w:id="0">
    <w:p w14:paraId="21733788" w14:textId="77777777" w:rsidR="00E32782" w:rsidRDefault="00E32782">
      <w:r>
        <w:continuationSeparator/>
      </w:r>
    </w:p>
  </w:footnote>
  <w:footnote w:id="1">
    <w:p w14:paraId="18290443" w14:textId="5E943EAB" w:rsidR="005C09C5" w:rsidRPr="002E2291" w:rsidRDefault="005C09C5">
      <w:pPr>
        <w:pStyle w:val="FootnoteText"/>
        <w:rPr>
          <w:rFonts w:ascii="Times New Roman" w:hAnsi="Times New Roman"/>
          <w:sz w:val="20"/>
        </w:rPr>
      </w:pPr>
      <w:r w:rsidRPr="003D113D">
        <w:rPr>
          <w:rStyle w:val="FootnoteReference"/>
          <w:rFonts w:ascii="Times New Roman" w:hAnsi="Times New Roman"/>
          <w:sz w:val="20"/>
        </w:rPr>
        <w:footnoteRef/>
      </w:r>
      <w:r w:rsidRPr="003D113D">
        <w:rPr>
          <w:rFonts w:ascii="Times New Roman" w:hAnsi="Times New Roman"/>
          <w:sz w:val="20"/>
        </w:rPr>
        <w:t xml:space="preserve"> </w:t>
      </w:r>
      <w:r w:rsidR="003D113D" w:rsidRPr="003D113D">
        <w:rPr>
          <w:rFonts w:ascii="Times New Roman" w:hAnsi="Times New Roman"/>
          <w:sz w:val="20"/>
        </w:rPr>
        <w:t>Th</w:t>
      </w:r>
      <w:r w:rsidR="003D113D">
        <w:rPr>
          <w:rFonts w:ascii="Times New Roman" w:hAnsi="Times New Roman"/>
          <w:sz w:val="20"/>
        </w:rPr>
        <w:t>e</w:t>
      </w:r>
      <w:r w:rsidR="003D113D" w:rsidRPr="003D113D">
        <w:rPr>
          <w:rFonts w:ascii="Times New Roman" w:hAnsi="Times New Roman"/>
          <w:sz w:val="20"/>
        </w:rPr>
        <w:t xml:space="preserve"> amended burden for this collection </w:t>
      </w:r>
      <w:r w:rsidR="003D113D">
        <w:rPr>
          <w:rFonts w:ascii="Times New Roman" w:hAnsi="Times New Roman"/>
          <w:sz w:val="20"/>
        </w:rPr>
        <w:t>take</w:t>
      </w:r>
      <w:r w:rsidR="008E667F">
        <w:rPr>
          <w:rFonts w:ascii="Times New Roman" w:hAnsi="Times New Roman"/>
          <w:sz w:val="20"/>
        </w:rPr>
        <w:t>s</w:t>
      </w:r>
      <w:r w:rsidR="003D113D">
        <w:rPr>
          <w:rFonts w:ascii="Times New Roman" w:hAnsi="Times New Roman"/>
          <w:sz w:val="20"/>
        </w:rPr>
        <w:t xml:space="preserve"> into account the </w:t>
      </w:r>
      <w:r w:rsidR="003D113D" w:rsidRPr="003D113D">
        <w:rPr>
          <w:rFonts w:ascii="Times New Roman" w:hAnsi="Times New Roman"/>
          <w:sz w:val="20"/>
        </w:rPr>
        <w:t xml:space="preserve">requirements </w:t>
      </w:r>
      <w:r w:rsidR="003D113D">
        <w:rPr>
          <w:rFonts w:ascii="Times New Roman" w:hAnsi="Times New Roman"/>
          <w:sz w:val="20"/>
        </w:rPr>
        <w:t xml:space="preserve">that were </w:t>
      </w:r>
      <w:r w:rsidR="003D113D" w:rsidRPr="003D113D">
        <w:rPr>
          <w:rFonts w:ascii="Times New Roman" w:hAnsi="Times New Roman"/>
          <w:sz w:val="20"/>
        </w:rPr>
        <w:t>eliminated from this information collection from the NPRM stage to the final rulemaking stage (final approval).</w:t>
      </w:r>
      <w:r w:rsidR="008E667F">
        <w:rPr>
          <w:rFonts w:ascii="Times New Roman" w:hAnsi="Times New Roman"/>
          <w:sz w:val="20"/>
        </w:rPr>
        <w:t xml:space="preserve">  The </w:t>
      </w:r>
      <w:r w:rsidR="008E667F" w:rsidRPr="002E2291">
        <w:rPr>
          <w:rFonts w:ascii="Times New Roman" w:hAnsi="Times New Roman"/>
          <w:sz w:val="20"/>
        </w:rPr>
        <w:t>Commission is now seeking OMB final approval for the collection.</w:t>
      </w:r>
    </w:p>
  </w:footnote>
  <w:footnote w:id="2">
    <w:p w14:paraId="25E3C4EA" w14:textId="597EE806" w:rsidR="002E2291" w:rsidRPr="006C1A2D" w:rsidRDefault="002E2291">
      <w:pPr>
        <w:pStyle w:val="FootnoteText"/>
        <w:rPr>
          <w:rFonts w:ascii="Times New Roman" w:hAnsi="Times New Roman"/>
          <w:sz w:val="20"/>
        </w:rPr>
      </w:pPr>
      <w:r w:rsidRPr="006C1A2D">
        <w:rPr>
          <w:rStyle w:val="FootnoteReference"/>
          <w:rFonts w:ascii="Times New Roman" w:hAnsi="Times New Roman"/>
          <w:sz w:val="20"/>
        </w:rPr>
        <w:footnoteRef/>
      </w:r>
      <w:r w:rsidRPr="006C1A2D">
        <w:rPr>
          <w:rFonts w:ascii="Times New Roman" w:hAnsi="Times New Roman"/>
          <w:sz w:val="20"/>
        </w:rPr>
        <w:t xml:space="preserve"> </w:t>
      </w:r>
      <w:r w:rsidR="00A37EB3" w:rsidRPr="006C1A2D">
        <w:rPr>
          <w:rFonts w:ascii="Times New Roman" w:hAnsi="Times New Roman"/>
          <w:sz w:val="20"/>
        </w:rPr>
        <w:t>Sections 1.991(a)-(k) were numbered 1.991(a)-(</w:t>
      </w:r>
      <w:proofErr w:type="spellStart"/>
      <w:r w:rsidR="00A37EB3" w:rsidRPr="006C1A2D">
        <w:rPr>
          <w:rFonts w:ascii="Times New Roman" w:hAnsi="Times New Roman"/>
          <w:sz w:val="20"/>
        </w:rPr>
        <w:t>i</w:t>
      </w:r>
      <w:proofErr w:type="spellEnd"/>
      <w:r w:rsidR="00A37EB3" w:rsidRPr="006C1A2D">
        <w:rPr>
          <w:rFonts w:ascii="Times New Roman" w:hAnsi="Times New Roman"/>
          <w:sz w:val="20"/>
        </w:rPr>
        <w:t>) in the proposed rules</w:t>
      </w:r>
      <w:r w:rsidR="009C009C" w:rsidRPr="006C1A2D">
        <w:rPr>
          <w:rFonts w:ascii="Times New Roman" w:hAnsi="Times New Roman"/>
          <w:sz w:val="20"/>
        </w:rPr>
        <w:t xml:space="preserve">.  </w:t>
      </w:r>
      <w:r w:rsidR="008D3B88" w:rsidRPr="006C1A2D">
        <w:rPr>
          <w:rFonts w:ascii="Times New Roman" w:hAnsi="Times New Roman"/>
          <w:sz w:val="20"/>
        </w:rPr>
        <w:t>Section 1.994(d) covers post-closing notifications of certain corporate reorganizations</w:t>
      </w:r>
      <w:r w:rsidR="00093A13" w:rsidRPr="006C1A2D">
        <w:rPr>
          <w:rFonts w:ascii="Times New Roman" w:hAnsi="Times New Roman"/>
          <w:sz w:val="20"/>
        </w:rPr>
        <w:t xml:space="preserve"> (see response to question 1</w:t>
      </w:r>
      <w:r w:rsidR="00E2598E" w:rsidRPr="006C1A2D">
        <w:rPr>
          <w:rFonts w:ascii="Times New Roman" w:hAnsi="Times New Roman"/>
          <w:sz w:val="20"/>
        </w:rPr>
        <w:t>)</w:t>
      </w:r>
      <w:r w:rsidR="008D3B88" w:rsidRPr="006C1A2D">
        <w:rPr>
          <w:rFonts w:ascii="Times New Roman" w:hAnsi="Times New Roman"/>
          <w:sz w:val="20"/>
        </w:rPr>
        <w:t xml:space="preserve">.  </w:t>
      </w:r>
      <w:r w:rsidR="00A778D8" w:rsidRPr="006C1A2D">
        <w:rPr>
          <w:rFonts w:ascii="Times New Roman" w:hAnsi="Times New Roman"/>
          <w:sz w:val="20"/>
        </w:rPr>
        <w:t>The final rules will permit a</w:t>
      </w:r>
      <w:r w:rsidR="00E2598E" w:rsidRPr="006C1A2D">
        <w:rPr>
          <w:rFonts w:ascii="Times New Roman" w:hAnsi="Times New Roman"/>
          <w:sz w:val="20"/>
        </w:rPr>
        <w:t xml:space="preserve"> licensee </w:t>
      </w:r>
      <w:r w:rsidR="00A778D8" w:rsidRPr="006C1A2D">
        <w:rPr>
          <w:rFonts w:ascii="Times New Roman" w:hAnsi="Times New Roman"/>
          <w:sz w:val="20"/>
        </w:rPr>
        <w:t xml:space="preserve">to </w:t>
      </w:r>
      <w:r w:rsidR="00E2598E" w:rsidRPr="006C1A2D">
        <w:rPr>
          <w:rFonts w:ascii="Times New Roman" w:hAnsi="Times New Roman"/>
          <w:sz w:val="20"/>
        </w:rPr>
        <w:t xml:space="preserve">file a </w:t>
      </w:r>
      <w:r w:rsidR="00A778D8" w:rsidRPr="006C1A2D">
        <w:rPr>
          <w:rFonts w:ascii="Times New Roman" w:hAnsi="Times New Roman"/>
          <w:sz w:val="20"/>
        </w:rPr>
        <w:t xml:space="preserve">post-closing </w:t>
      </w:r>
      <w:r w:rsidR="00E2598E" w:rsidRPr="006C1A2D">
        <w:rPr>
          <w:rFonts w:ascii="Times New Roman" w:hAnsi="Times New Roman"/>
          <w:sz w:val="20"/>
        </w:rPr>
        <w:t xml:space="preserve">notification </w:t>
      </w:r>
      <w:r w:rsidR="00A778D8" w:rsidRPr="006C1A2D">
        <w:rPr>
          <w:rFonts w:ascii="Times New Roman" w:hAnsi="Times New Roman"/>
          <w:sz w:val="20"/>
        </w:rPr>
        <w:t xml:space="preserve">letter </w:t>
      </w:r>
      <w:r w:rsidR="00E2598E" w:rsidRPr="006C1A2D">
        <w:rPr>
          <w:rFonts w:ascii="Times New Roman" w:hAnsi="Times New Roman"/>
          <w:sz w:val="20"/>
        </w:rPr>
        <w:t xml:space="preserve">rather than </w:t>
      </w:r>
      <w:r w:rsidR="00A778D8" w:rsidRPr="006C1A2D">
        <w:rPr>
          <w:rFonts w:ascii="Times New Roman" w:hAnsi="Times New Roman"/>
          <w:sz w:val="20"/>
        </w:rPr>
        <w:t>filing a petition for pre-approval of the reorganization</w:t>
      </w:r>
      <w:r w:rsidR="00E2598E" w:rsidRPr="006C1A2D">
        <w:rPr>
          <w:rFonts w:ascii="Times New Roman" w:hAnsi="Times New Roman"/>
          <w:sz w:val="20"/>
        </w:rPr>
        <w:t>.</w:t>
      </w:r>
      <w:r w:rsidR="00974253" w:rsidRPr="006C1A2D">
        <w:rPr>
          <w:rFonts w:ascii="Times New Roman" w:hAnsi="Times New Roman"/>
          <w:sz w:val="20"/>
        </w:rPr>
        <w:t xml:space="preserve"> </w:t>
      </w:r>
    </w:p>
  </w:footnote>
  <w:footnote w:id="3">
    <w:p w14:paraId="424F783F" w14:textId="74981833" w:rsidR="000A7FCF" w:rsidRDefault="000A7FCF">
      <w:pPr>
        <w:pStyle w:val="FootnoteText"/>
      </w:pPr>
      <w:r w:rsidRPr="006C1A2D">
        <w:rPr>
          <w:rStyle w:val="FootnoteReference"/>
          <w:rFonts w:ascii="Times New Roman" w:hAnsi="Times New Roman"/>
          <w:sz w:val="20"/>
        </w:rPr>
        <w:footnoteRef/>
      </w:r>
      <w:r w:rsidR="002E2291" w:rsidRPr="006C1A2D">
        <w:rPr>
          <w:rFonts w:ascii="Times New Roman" w:hAnsi="Times New Roman"/>
          <w:sz w:val="20"/>
        </w:rPr>
        <w:t xml:space="preserve"> Section 1.994(f)(1) was numbered 1.994(g)(</w:t>
      </w:r>
      <w:r w:rsidR="00A37EB3" w:rsidRPr="006C1A2D">
        <w:rPr>
          <w:rFonts w:ascii="Times New Roman" w:hAnsi="Times New Roman"/>
          <w:sz w:val="20"/>
        </w:rPr>
        <w:t>2</w:t>
      </w:r>
      <w:r w:rsidR="002E2291" w:rsidRPr="006C1A2D">
        <w:rPr>
          <w:rFonts w:ascii="Times New Roman" w:hAnsi="Times New Roman"/>
          <w:sz w:val="20"/>
        </w:rPr>
        <w:t>) in the proposed rules</w:t>
      </w:r>
      <w:r w:rsidR="00A37EB3" w:rsidRPr="006C1A2D">
        <w:rPr>
          <w:rFonts w:ascii="Times New Roman" w:hAnsi="Times New Roman"/>
          <w:sz w:val="20"/>
        </w:rPr>
        <w:t>.</w:t>
      </w:r>
      <w:r>
        <w:t xml:space="preserve"> </w:t>
      </w:r>
    </w:p>
  </w:footnote>
  <w:footnote w:id="4">
    <w:p w14:paraId="3C04E324" w14:textId="77777777" w:rsidR="00E56B16" w:rsidRPr="005C1C6D" w:rsidRDefault="00E56B16">
      <w:pPr>
        <w:pStyle w:val="FootnoteText"/>
        <w:rPr>
          <w:rFonts w:ascii="Times New Roman" w:hAnsi="Times New Roman"/>
          <w:sz w:val="20"/>
        </w:rPr>
      </w:pPr>
      <w:r w:rsidRPr="005C1C6D">
        <w:rPr>
          <w:rStyle w:val="FootnoteReference"/>
          <w:sz w:val="20"/>
        </w:rPr>
        <w:footnoteRef/>
      </w:r>
      <w:r w:rsidRPr="005C1C6D">
        <w:rPr>
          <w:rFonts w:ascii="Times New Roman" w:hAnsi="Times New Roman"/>
          <w:sz w:val="20"/>
        </w:rPr>
        <w:t xml:space="preserve"> </w:t>
      </w:r>
      <w:r w:rsidRPr="005C1C6D">
        <w:rPr>
          <w:rFonts w:ascii="Times New Roman" w:hAnsi="Times New Roman"/>
          <w:i/>
          <w:sz w:val="20"/>
        </w:rPr>
        <w:t>See</w:t>
      </w:r>
      <w:r w:rsidRPr="005C1C6D">
        <w:rPr>
          <w:rFonts w:ascii="Times New Roman" w:hAnsi="Times New Roman"/>
          <w:sz w:val="20"/>
        </w:rPr>
        <w:t xml:space="preserve"> question 12 for the respondent’s burden.</w:t>
      </w:r>
    </w:p>
  </w:footnote>
  <w:footnote w:id="5">
    <w:p w14:paraId="64CF114C" w14:textId="78EA8A93" w:rsidR="003E2CAB" w:rsidRPr="007530D0" w:rsidRDefault="003E2CAB">
      <w:pPr>
        <w:pStyle w:val="FootnoteText"/>
        <w:rPr>
          <w:rFonts w:ascii="Times New Roman" w:hAnsi="Times New Roman"/>
          <w:sz w:val="20"/>
        </w:rPr>
      </w:pPr>
      <w:r w:rsidRPr="007530D0">
        <w:rPr>
          <w:rStyle w:val="FootnoteReference"/>
          <w:rFonts w:ascii="Times New Roman" w:hAnsi="Times New Roman"/>
          <w:sz w:val="20"/>
        </w:rPr>
        <w:footnoteRef/>
      </w:r>
      <w:r w:rsidR="007530D0">
        <w:rPr>
          <w:rFonts w:ascii="Times New Roman" w:hAnsi="Times New Roman"/>
          <w:sz w:val="20"/>
        </w:rPr>
        <w:t xml:space="preserve"> </w:t>
      </w:r>
      <w:r w:rsidR="007530D0" w:rsidRPr="007530D0">
        <w:rPr>
          <w:rFonts w:ascii="Times New Roman" w:hAnsi="Times New Roman"/>
          <w:sz w:val="20"/>
        </w:rPr>
        <w:t>Th</w:t>
      </w:r>
      <w:r w:rsidR="007530D0">
        <w:rPr>
          <w:rFonts w:ascii="Times New Roman" w:hAnsi="Times New Roman"/>
          <w:sz w:val="20"/>
        </w:rPr>
        <w:t>e</w:t>
      </w:r>
      <w:r w:rsidR="007530D0" w:rsidRPr="007530D0">
        <w:rPr>
          <w:rFonts w:ascii="Times New Roman" w:hAnsi="Times New Roman"/>
          <w:sz w:val="20"/>
        </w:rPr>
        <w:t xml:space="preserve"> amended </w:t>
      </w:r>
      <w:r w:rsidR="007530D0">
        <w:rPr>
          <w:rFonts w:ascii="Times New Roman" w:hAnsi="Times New Roman"/>
          <w:sz w:val="20"/>
        </w:rPr>
        <w:t>cost</w:t>
      </w:r>
      <w:r w:rsidR="007530D0" w:rsidRPr="007530D0">
        <w:rPr>
          <w:rFonts w:ascii="Times New Roman" w:hAnsi="Times New Roman"/>
          <w:sz w:val="20"/>
        </w:rPr>
        <w:t xml:space="preserve"> for this collection takes into account the requirements that were eliminated from this information collection from the NPRM stage to the final rulemaking stage (final approval).  The Commission is now seeking OMB final approval for the collection.</w:t>
      </w:r>
      <w:r w:rsidRPr="007530D0">
        <w:rPr>
          <w:rFonts w:ascii="Times New Roman" w:hAnsi="Times New Roman"/>
          <w:sz w:val="20"/>
        </w:rPr>
        <w:t xml:space="preserve"> </w:t>
      </w:r>
    </w:p>
  </w:footnote>
  <w:footnote w:id="6">
    <w:p w14:paraId="44C04AF2" w14:textId="77777777" w:rsidR="004C6825" w:rsidRPr="006C1A2D" w:rsidRDefault="004C6825" w:rsidP="004C6825">
      <w:pPr>
        <w:pStyle w:val="FootnoteText"/>
        <w:rPr>
          <w:rFonts w:ascii="Times New Roman" w:hAnsi="Times New Roman"/>
          <w:sz w:val="20"/>
        </w:rPr>
      </w:pPr>
      <w:r w:rsidRPr="006C1A2D">
        <w:rPr>
          <w:rStyle w:val="FootnoteReference"/>
          <w:rFonts w:ascii="Times New Roman" w:hAnsi="Times New Roman"/>
          <w:sz w:val="20"/>
        </w:rPr>
        <w:footnoteRef/>
      </w:r>
      <w:r w:rsidRPr="006C1A2D">
        <w:rPr>
          <w:rFonts w:ascii="Times New Roman" w:hAnsi="Times New Roman"/>
          <w:sz w:val="20"/>
        </w:rPr>
        <w:t xml:space="preserve"> Sections 1.991(a)-(k) were numbered 1.991(a)-(</w:t>
      </w:r>
      <w:proofErr w:type="spellStart"/>
      <w:r w:rsidRPr="006C1A2D">
        <w:rPr>
          <w:rFonts w:ascii="Times New Roman" w:hAnsi="Times New Roman"/>
          <w:sz w:val="20"/>
        </w:rPr>
        <w:t>i</w:t>
      </w:r>
      <w:proofErr w:type="spellEnd"/>
      <w:r w:rsidRPr="006C1A2D">
        <w:rPr>
          <w:rFonts w:ascii="Times New Roman" w:hAnsi="Times New Roman"/>
          <w:sz w:val="20"/>
        </w:rPr>
        <w:t xml:space="preserve">) in the proposed rules.  Section 1.994(d) covers post-closing notifications of certain corporate reorganizations (see response to question 1).  The final rules will permit a licensee to file a post-closing notification letter rather than filing a petition for pre-approval of the reorganization. </w:t>
      </w:r>
    </w:p>
  </w:footnote>
  <w:footnote w:id="7">
    <w:p w14:paraId="3192C0CF" w14:textId="09E55D8F" w:rsidR="003232E4" w:rsidRPr="00093A13" w:rsidRDefault="003232E4">
      <w:pPr>
        <w:pStyle w:val="FootnoteText"/>
        <w:rPr>
          <w:rFonts w:ascii="Times New Roman" w:hAnsi="Times New Roman"/>
          <w:sz w:val="20"/>
        </w:rPr>
      </w:pPr>
      <w:r w:rsidRPr="00093A13">
        <w:rPr>
          <w:rStyle w:val="FootnoteReference"/>
          <w:rFonts w:ascii="Times New Roman" w:hAnsi="Times New Roman"/>
          <w:sz w:val="20"/>
        </w:rPr>
        <w:footnoteRef/>
      </w:r>
      <w:r w:rsidRPr="00093A13">
        <w:rPr>
          <w:rFonts w:ascii="Times New Roman" w:hAnsi="Times New Roman"/>
          <w:sz w:val="20"/>
        </w:rPr>
        <w:t xml:space="preserve"> </w:t>
      </w:r>
      <w:r w:rsidRPr="004C6825">
        <w:rPr>
          <w:rFonts w:ascii="Times New Roman" w:hAnsi="Times New Roman"/>
          <w:sz w:val="20"/>
        </w:rPr>
        <w:t>Section 1.994(f</w:t>
      </w:r>
      <w:proofErr w:type="gramStart"/>
      <w:r w:rsidRPr="004C6825">
        <w:rPr>
          <w:rFonts w:ascii="Times New Roman" w:hAnsi="Times New Roman"/>
          <w:sz w:val="20"/>
        </w:rPr>
        <w:t>)(</w:t>
      </w:r>
      <w:proofErr w:type="gramEnd"/>
      <w:r w:rsidRPr="004C6825">
        <w:rPr>
          <w:rFonts w:ascii="Times New Roman" w:hAnsi="Times New Roman"/>
          <w:sz w:val="20"/>
        </w:rPr>
        <w:t>1) was numbered 1.994(g)(2) in the proposed rules.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38070" w14:textId="33C45196" w:rsidR="00E56B16" w:rsidRPr="008517E0" w:rsidRDefault="00E56B16">
    <w:pPr>
      <w:pStyle w:val="Header"/>
      <w:rPr>
        <w:b/>
      </w:rPr>
    </w:pPr>
    <w:r w:rsidRPr="008517E0">
      <w:rPr>
        <w:b/>
      </w:rPr>
      <w:t>OMB Control Number:  3060-</w:t>
    </w:r>
    <w:r w:rsidR="00E31537" w:rsidRPr="006C1A2D">
      <w:rPr>
        <w:b/>
      </w:rPr>
      <w:t>1163</w:t>
    </w:r>
    <w:r w:rsidRPr="008517E0">
      <w:rPr>
        <w:b/>
      </w:rPr>
      <w:tab/>
    </w:r>
    <w:r w:rsidRPr="008517E0">
      <w:rPr>
        <w:b/>
      </w:rPr>
      <w:tab/>
    </w:r>
    <w:r>
      <w:rPr>
        <w:b/>
      </w:rPr>
      <w:t>October</w:t>
    </w:r>
    <w:r w:rsidRPr="008517E0">
      <w:rPr>
        <w:b/>
      </w:rPr>
      <w:t xml:space="preserve"> 2011</w:t>
    </w:r>
  </w:p>
  <w:p w14:paraId="28E315DE" w14:textId="77777777" w:rsidR="00E56B16" w:rsidRPr="008517E0" w:rsidRDefault="00E56B16" w:rsidP="00992158">
    <w:pPr>
      <w:pStyle w:val="Header"/>
      <w:rPr>
        <w:b/>
      </w:rPr>
    </w:pPr>
    <w:r w:rsidRPr="008517E0">
      <w:rPr>
        <w:b/>
      </w:rPr>
      <w:t xml:space="preserve">Title: </w:t>
    </w:r>
    <w:r>
      <w:rPr>
        <w:b/>
      </w:rPr>
      <w:t>Regulations Applicable to Common Carrier and Aeronautical Radio Licensees Under Section 310(b)(4) of the Communications Act of 1934, as amended</w:t>
    </w:r>
    <w:r w:rsidRPr="008517E0">
      <w:rPr>
        <w:b/>
      </w:rPr>
      <w:t xml:space="preserve"> </w:t>
    </w:r>
  </w:p>
  <w:p w14:paraId="2ACA9C93" w14:textId="77777777" w:rsidR="00E56B16" w:rsidRPr="00E105A4" w:rsidRDefault="00E56B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C3C1F" w14:textId="77777777" w:rsidR="00E56B16" w:rsidRPr="008517E0" w:rsidRDefault="00E56B16" w:rsidP="00992158">
    <w:pPr>
      <w:pStyle w:val="Header"/>
      <w:rPr>
        <w:b/>
      </w:rPr>
    </w:pPr>
    <w:r w:rsidRPr="008517E0">
      <w:rPr>
        <w:b/>
      </w:rPr>
      <w:t>OMB Control Number:  3060-</w:t>
    </w:r>
    <w:r>
      <w:rPr>
        <w:b/>
      </w:rPr>
      <w:t>1163</w:t>
    </w:r>
    <w:r w:rsidRPr="008517E0">
      <w:rPr>
        <w:b/>
      </w:rPr>
      <w:tab/>
    </w:r>
    <w:r w:rsidRPr="008517E0">
      <w:rPr>
        <w:b/>
      </w:rPr>
      <w:tab/>
    </w:r>
    <w:r>
      <w:rPr>
        <w:b/>
      </w:rPr>
      <w:t>June 2013</w:t>
    </w:r>
  </w:p>
  <w:p w14:paraId="4A1B410F" w14:textId="77777777" w:rsidR="00E56B16" w:rsidRPr="008517E0" w:rsidRDefault="00E56B16" w:rsidP="00992158">
    <w:pPr>
      <w:pStyle w:val="Header"/>
      <w:rPr>
        <w:b/>
      </w:rPr>
    </w:pPr>
    <w:r w:rsidRPr="008517E0">
      <w:rPr>
        <w:b/>
      </w:rPr>
      <w:t xml:space="preserve">Title: </w:t>
    </w:r>
    <w:r>
      <w:rPr>
        <w:b/>
      </w:rPr>
      <w:t>Regulations Applicable to Common Carrier and Aeronautical Radio Licensees Under Section 310(b)(4) of the Communications Act of 1934, as amended</w:t>
    </w:r>
    <w:r w:rsidRPr="008517E0">
      <w:rPr>
        <w:b/>
      </w:rPr>
      <w:t xml:space="preserve"> </w:t>
    </w:r>
  </w:p>
  <w:p w14:paraId="129BC773" w14:textId="77777777" w:rsidR="00E56B16" w:rsidRDefault="00E56B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2615"/>
    <w:multiLevelType w:val="hybridMultilevel"/>
    <w:tmpl w:val="78ACC6C2"/>
    <w:lvl w:ilvl="0" w:tplc="076C1A7C">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AE7E2D"/>
    <w:multiLevelType w:val="hybridMultilevel"/>
    <w:tmpl w:val="7B84E990"/>
    <w:lvl w:ilvl="0" w:tplc="04090001">
      <w:start w:val="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5C4798"/>
    <w:multiLevelType w:val="hybridMultilevel"/>
    <w:tmpl w:val="607869AE"/>
    <w:lvl w:ilvl="0" w:tplc="761EDF92">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3E626F4D"/>
    <w:multiLevelType w:val="hybridMultilevel"/>
    <w:tmpl w:val="5366FB48"/>
    <w:lvl w:ilvl="0" w:tplc="04090001">
      <w:start w:val="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4310CA"/>
    <w:multiLevelType w:val="hybridMultilevel"/>
    <w:tmpl w:val="ACE08B92"/>
    <w:lvl w:ilvl="0" w:tplc="AA528396">
      <w:start w:val="2"/>
      <w:numFmt w:val="decimal"/>
      <w:lvlText w:val="(%1)"/>
      <w:lvlJc w:val="left"/>
      <w:pPr>
        <w:tabs>
          <w:tab w:val="num" w:pos="750"/>
        </w:tabs>
        <w:ind w:left="750" w:hanging="39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F483185"/>
    <w:multiLevelType w:val="hybridMultilevel"/>
    <w:tmpl w:val="7A72DF72"/>
    <w:lvl w:ilvl="0" w:tplc="DC5689D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AE3A16"/>
    <w:multiLevelType w:val="hybridMultilevel"/>
    <w:tmpl w:val="D5662660"/>
    <w:lvl w:ilvl="0" w:tplc="5A0C11A2">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E860DBB"/>
    <w:multiLevelType w:val="hybridMultilevel"/>
    <w:tmpl w:val="7F066D8C"/>
    <w:lvl w:ilvl="0" w:tplc="C598DE44">
      <w:start w:val="3"/>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FF7804"/>
    <w:multiLevelType w:val="hybridMultilevel"/>
    <w:tmpl w:val="965EF89A"/>
    <w:lvl w:ilvl="0" w:tplc="04090001">
      <w:start w:val="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29599B"/>
    <w:multiLevelType w:val="hybridMultilevel"/>
    <w:tmpl w:val="5AFE1526"/>
    <w:lvl w:ilvl="0" w:tplc="0EF8B9FA">
      <w:start w:val="1"/>
      <w:numFmt w:val="lowerLetter"/>
      <w:lvlText w:val="(%1)"/>
      <w:lvlJc w:val="left"/>
      <w:pPr>
        <w:tabs>
          <w:tab w:val="num" w:pos="735"/>
        </w:tabs>
        <w:ind w:left="735" w:hanging="375"/>
      </w:pPr>
      <w:rPr>
        <w:rFonts w:hint="default"/>
      </w:rPr>
    </w:lvl>
    <w:lvl w:ilvl="1" w:tplc="55809E02" w:tentative="1">
      <w:start w:val="1"/>
      <w:numFmt w:val="lowerLetter"/>
      <w:lvlText w:val="%2."/>
      <w:lvlJc w:val="left"/>
      <w:pPr>
        <w:tabs>
          <w:tab w:val="num" w:pos="1440"/>
        </w:tabs>
        <w:ind w:left="1440" w:hanging="360"/>
      </w:pPr>
    </w:lvl>
    <w:lvl w:ilvl="2" w:tplc="48AC5BBA" w:tentative="1">
      <w:start w:val="1"/>
      <w:numFmt w:val="lowerRoman"/>
      <w:lvlText w:val="%3."/>
      <w:lvlJc w:val="right"/>
      <w:pPr>
        <w:tabs>
          <w:tab w:val="num" w:pos="2160"/>
        </w:tabs>
        <w:ind w:left="2160" w:hanging="180"/>
      </w:pPr>
    </w:lvl>
    <w:lvl w:ilvl="3" w:tplc="539CFF82" w:tentative="1">
      <w:start w:val="1"/>
      <w:numFmt w:val="decimal"/>
      <w:lvlText w:val="%4."/>
      <w:lvlJc w:val="left"/>
      <w:pPr>
        <w:tabs>
          <w:tab w:val="num" w:pos="2880"/>
        </w:tabs>
        <w:ind w:left="2880" w:hanging="360"/>
      </w:pPr>
    </w:lvl>
    <w:lvl w:ilvl="4" w:tplc="E2927EE2" w:tentative="1">
      <w:start w:val="1"/>
      <w:numFmt w:val="lowerLetter"/>
      <w:lvlText w:val="%5."/>
      <w:lvlJc w:val="left"/>
      <w:pPr>
        <w:tabs>
          <w:tab w:val="num" w:pos="3600"/>
        </w:tabs>
        <w:ind w:left="3600" w:hanging="360"/>
      </w:pPr>
    </w:lvl>
    <w:lvl w:ilvl="5" w:tplc="2098BC06" w:tentative="1">
      <w:start w:val="1"/>
      <w:numFmt w:val="lowerRoman"/>
      <w:lvlText w:val="%6."/>
      <w:lvlJc w:val="right"/>
      <w:pPr>
        <w:tabs>
          <w:tab w:val="num" w:pos="4320"/>
        </w:tabs>
        <w:ind w:left="4320" w:hanging="180"/>
      </w:pPr>
    </w:lvl>
    <w:lvl w:ilvl="6" w:tplc="B17C98FC" w:tentative="1">
      <w:start w:val="1"/>
      <w:numFmt w:val="decimal"/>
      <w:lvlText w:val="%7."/>
      <w:lvlJc w:val="left"/>
      <w:pPr>
        <w:tabs>
          <w:tab w:val="num" w:pos="5040"/>
        </w:tabs>
        <w:ind w:left="5040" w:hanging="360"/>
      </w:pPr>
    </w:lvl>
    <w:lvl w:ilvl="7" w:tplc="88FCA57E" w:tentative="1">
      <w:start w:val="1"/>
      <w:numFmt w:val="lowerLetter"/>
      <w:lvlText w:val="%8."/>
      <w:lvlJc w:val="left"/>
      <w:pPr>
        <w:tabs>
          <w:tab w:val="num" w:pos="5760"/>
        </w:tabs>
        <w:ind w:left="5760" w:hanging="360"/>
      </w:pPr>
    </w:lvl>
    <w:lvl w:ilvl="8" w:tplc="509A99CA" w:tentative="1">
      <w:start w:val="1"/>
      <w:numFmt w:val="lowerRoman"/>
      <w:lvlText w:val="%9."/>
      <w:lvlJc w:val="right"/>
      <w:pPr>
        <w:tabs>
          <w:tab w:val="num" w:pos="6480"/>
        </w:tabs>
        <w:ind w:left="6480" w:hanging="180"/>
      </w:pPr>
    </w:lvl>
  </w:abstractNum>
  <w:abstractNum w:abstractNumId="11">
    <w:nsid w:val="6F24090E"/>
    <w:multiLevelType w:val="hybridMultilevel"/>
    <w:tmpl w:val="E3942250"/>
    <w:lvl w:ilvl="0" w:tplc="364EA38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Aria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728358C5"/>
    <w:multiLevelType w:val="hybridMultilevel"/>
    <w:tmpl w:val="A25AE0EA"/>
    <w:lvl w:ilvl="0" w:tplc="04090001">
      <w:start w:val="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F87C48"/>
    <w:multiLevelType w:val="hybridMultilevel"/>
    <w:tmpl w:val="376A686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76112D44"/>
    <w:multiLevelType w:val="hybridMultilevel"/>
    <w:tmpl w:val="642EA4EE"/>
    <w:lvl w:ilvl="0" w:tplc="6DD4FF30">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89835AC"/>
    <w:multiLevelType w:val="hybridMultilevel"/>
    <w:tmpl w:val="F11A1060"/>
    <w:lvl w:ilvl="0" w:tplc="761EDF92">
      <w:start w:val="1"/>
      <w:numFmt w:val="bullet"/>
      <w:lvlText w:val="-"/>
      <w:lvlJc w:val="left"/>
      <w:pPr>
        <w:tabs>
          <w:tab w:val="num" w:pos="720"/>
        </w:tabs>
        <w:ind w:left="720"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3"/>
  </w:num>
  <w:num w:numId="4">
    <w:abstractNumId w:val="8"/>
  </w:num>
  <w:num w:numId="5">
    <w:abstractNumId w:val="11"/>
  </w:num>
  <w:num w:numId="6">
    <w:abstractNumId w:val="7"/>
  </w:num>
  <w:num w:numId="7">
    <w:abstractNumId w:val="13"/>
  </w:num>
  <w:num w:numId="8">
    <w:abstractNumId w:val="5"/>
  </w:num>
  <w:num w:numId="9">
    <w:abstractNumId w:val="14"/>
  </w:num>
  <w:num w:numId="10">
    <w:abstractNumId w:val="0"/>
  </w:num>
  <w:num w:numId="11">
    <w:abstractNumId w:val="15"/>
  </w:num>
  <w:num w:numId="12">
    <w:abstractNumId w:val="2"/>
  </w:num>
  <w:num w:numId="13">
    <w:abstractNumId w:val="9"/>
  </w:num>
  <w:num w:numId="14">
    <w:abstractNumId w:val="4"/>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86"/>
    <w:rsid w:val="00091213"/>
    <w:rsid w:val="00093A13"/>
    <w:rsid w:val="000A7FCF"/>
    <w:rsid w:val="00160828"/>
    <w:rsid w:val="001D16EA"/>
    <w:rsid w:val="00271F52"/>
    <w:rsid w:val="00280CFD"/>
    <w:rsid w:val="00284C13"/>
    <w:rsid w:val="002B6D62"/>
    <w:rsid w:val="002C7C9A"/>
    <w:rsid w:val="002E2291"/>
    <w:rsid w:val="003232E4"/>
    <w:rsid w:val="00352D96"/>
    <w:rsid w:val="003627D7"/>
    <w:rsid w:val="003D113D"/>
    <w:rsid w:val="003E2CAB"/>
    <w:rsid w:val="00451438"/>
    <w:rsid w:val="004C6825"/>
    <w:rsid w:val="005559AF"/>
    <w:rsid w:val="005C09C5"/>
    <w:rsid w:val="005F6666"/>
    <w:rsid w:val="006C1A2D"/>
    <w:rsid w:val="006D7497"/>
    <w:rsid w:val="00751398"/>
    <w:rsid w:val="007530D0"/>
    <w:rsid w:val="008673C3"/>
    <w:rsid w:val="008D3B88"/>
    <w:rsid w:val="008E667F"/>
    <w:rsid w:val="00974253"/>
    <w:rsid w:val="00992158"/>
    <w:rsid w:val="009A0153"/>
    <w:rsid w:val="009C009C"/>
    <w:rsid w:val="009D3EFC"/>
    <w:rsid w:val="00A343D0"/>
    <w:rsid w:val="00A37EB3"/>
    <w:rsid w:val="00A778D8"/>
    <w:rsid w:val="00AB3E82"/>
    <w:rsid w:val="00B447E7"/>
    <w:rsid w:val="00BE2886"/>
    <w:rsid w:val="00CF5E43"/>
    <w:rsid w:val="00D65001"/>
    <w:rsid w:val="00D8316E"/>
    <w:rsid w:val="00DF1C1C"/>
    <w:rsid w:val="00E2598E"/>
    <w:rsid w:val="00E31537"/>
    <w:rsid w:val="00E32782"/>
    <w:rsid w:val="00E56B16"/>
    <w:rsid w:val="00E7741C"/>
    <w:rsid w:val="00E82D0E"/>
    <w:rsid w:val="00EC0C30"/>
    <w:rsid w:val="00EE2918"/>
    <w:rsid w:val="00F17842"/>
    <w:rsid w:val="00F65E36"/>
    <w:rsid w:val="00FD2B82"/>
    <w:rsid w:val="00FF6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3DF2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93A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2886"/>
    <w:pPr>
      <w:tabs>
        <w:tab w:val="center" w:pos="4320"/>
        <w:tab w:val="right" w:pos="8640"/>
      </w:tabs>
    </w:pPr>
  </w:style>
  <w:style w:type="paragraph" w:styleId="Footer">
    <w:name w:val="footer"/>
    <w:basedOn w:val="Normal"/>
    <w:rsid w:val="00BE2886"/>
    <w:pPr>
      <w:tabs>
        <w:tab w:val="center" w:pos="4320"/>
        <w:tab w:val="right" w:pos="8640"/>
      </w:tabs>
    </w:pPr>
  </w:style>
  <w:style w:type="paragraph" w:styleId="BodyText2">
    <w:name w:val="Body Text 2"/>
    <w:basedOn w:val="Normal"/>
    <w:rsid w:val="004E522C"/>
    <w:pPr>
      <w:widowControl w:val="0"/>
      <w:suppressAutoHyphens/>
      <w:overflowPunct w:val="0"/>
      <w:autoSpaceDE w:val="0"/>
      <w:autoSpaceDN w:val="0"/>
      <w:adjustRightInd w:val="0"/>
      <w:spacing w:line="240" w:lineRule="atLeast"/>
      <w:jc w:val="both"/>
      <w:textAlignment w:val="baseline"/>
    </w:pPr>
    <w:rPr>
      <w:b/>
      <w:spacing w:val="-3"/>
      <w:szCs w:val="20"/>
    </w:rPr>
  </w:style>
  <w:style w:type="paragraph" w:customStyle="1" w:styleId="ParaNum">
    <w:name w:val="ParaNum"/>
    <w:basedOn w:val="Normal"/>
    <w:link w:val="ParaNumChar2"/>
    <w:rsid w:val="004E522C"/>
    <w:pPr>
      <w:widowControl w:val="0"/>
      <w:numPr>
        <w:numId w:val="3"/>
      </w:numPr>
      <w:tabs>
        <w:tab w:val="clear" w:pos="1080"/>
        <w:tab w:val="left" w:pos="1440"/>
      </w:tabs>
      <w:spacing w:after="220"/>
      <w:jc w:val="both"/>
    </w:pPr>
    <w:rPr>
      <w:sz w:val="22"/>
      <w:szCs w:val="20"/>
    </w:rPr>
  </w:style>
  <w:style w:type="character" w:styleId="FootnoteReference">
    <w:name w:val="footnote reference"/>
    <w:aliases w:val="Style 12,(NECG) Footnote Reference,Style 13,Appel note de bas de p,Style 124,fr,o,Style 3,FR,Style 17,Footnote Reference/,Style 6"/>
    <w:semiHidden/>
    <w:rsid w:val="008E3C0F"/>
    <w:rPr>
      <w:vertAlign w:val="superscript"/>
    </w:rPr>
  </w:style>
  <w:style w:type="character" w:customStyle="1" w:styleId="ParaNumChar2">
    <w:name w:val="ParaNum Char2"/>
    <w:link w:val="ParaNum"/>
    <w:rsid w:val="008E3C0F"/>
    <w:rPr>
      <w:sz w:val="22"/>
      <w:lang w:val="en-US" w:eastAsia="en-US" w:bidi="ar-SA"/>
    </w:rPr>
  </w:style>
  <w:style w:type="paragraph" w:styleId="FootnoteText">
    <w:name w:val="footnote text"/>
    <w:aliases w:val="ALTS FOOTNOTE,fn,Footnote Text Char,Footnote Text Char2 Char2,Footnote Text Char Char1 Char,Footnote Text Char2 Char2 Char Char,Footnote Text Char Char1 Char Char Char,Footnote Text Char1 Char1 Char Char Char Char,fn Char1"/>
    <w:basedOn w:val="Normal"/>
    <w:link w:val="FootnoteTextChar1"/>
    <w:semiHidden/>
    <w:rsid w:val="008E4EA6"/>
    <w:pPr>
      <w:widowControl w:val="0"/>
      <w:overflowPunct w:val="0"/>
      <w:autoSpaceDE w:val="0"/>
      <w:autoSpaceDN w:val="0"/>
      <w:adjustRightInd w:val="0"/>
      <w:textAlignment w:val="baseline"/>
    </w:pPr>
    <w:rPr>
      <w:rFonts w:ascii="Courier New" w:hAnsi="Courier New"/>
      <w:szCs w:val="20"/>
    </w:rPr>
  </w:style>
  <w:style w:type="table" w:styleId="TableGrid">
    <w:name w:val="Table Grid"/>
    <w:basedOn w:val="TableNormal"/>
    <w:rsid w:val="008E4EA6"/>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ALTS FOOTNOTE Char,fn Char,Footnote Text Char Char,Footnote Text Char2 Char2 Char,Footnote Text Char Char1 Char Char,Footnote Text Char2 Char2 Char Char Char,Footnote Text Char Char1 Char Char Char Char,fn Char1 Char"/>
    <w:link w:val="FootnoteText"/>
    <w:rsid w:val="008E4EA6"/>
    <w:rPr>
      <w:rFonts w:ascii="Courier New" w:hAnsi="Courier New"/>
      <w:sz w:val="24"/>
      <w:lang w:val="en-US" w:eastAsia="en-US" w:bidi="ar-SA"/>
    </w:rPr>
  </w:style>
  <w:style w:type="paragraph" w:styleId="BalloonText">
    <w:name w:val="Balloon Text"/>
    <w:basedOn w:val="Normal"/>
    <w:semiHidden/>
    <w:rsid w:val="001B5641"/>
    <w:rPr>
      <w:rFonts w:ascii="Tahoma" w:hAnsi="Tahoma" w:cs="Tahoma"/>
      <w:sz w:val="16"/>
      <w:szCs w:val="16"/>
    </w:rPr>
  </w:style>
  <w:style w:type="character" w:styleId="PageNumber">
    <w:name w:val="page number"/>
    <w:basedOn w:val="DefaultParagraphFont"/>
    <w:rsid w:val="00875540"/>
  </w:style>
  <w:style w:type="paragraph" w:styleId="ListParagraph">
    <w:name w:val="List Paragraph"/>
    <w:basedOn w:val="Normal"/>
    <w:uiPriority w:val="34"/>
    <w:qFormat/>
    <w:rsid w:val="000A7FCF"/>
    <w:pPr>
      <w:ind w:left="720"/>
      <w:contextualSpacing/>
    </w:pPr>
  </w:style>
  <w:style w:type="character" w:customStyle="1" w:styleId="Heading1Char">
    <w:name w:val="Heading 1 Char"/>
    <w:basedOn w:val="DefaultParagraphFont"/>
    <w:link w:val="Heading1"/>
    <w:uiPriority w:val="9"/>
    <w:rsid w:val="00093A13"/>
    <w:rPr>
      <w:rFonts w:asciiTheme="majorHAnsi" w:eastAsiaTheme="majorEastAsia" w:hAnsiTheme="majorHAnsi" w:cstheme="majorBidi"/>
      <w:b/>
      <w:bCs/>
      <w:color w:val="345A8A" w:themeColor="accent1" w:themeShade="B5"/>
      <w:sz w:val="32"/>
      <w:szCs w:val="32"/>
    </w:rPr>
  </w:style>
  <w:style w:type="character" w:customStyle="1" w:styleId="HeaderChar">
    <w:name w:val="Header Char"/>
    <w:basedOn w:val="DefaultParagraphFont"/>
    <w:link w:val="Header"/>
    <w:uiPriority w:val="99"/>
    <w:rsid w:val="00093A1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93A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2886"/>
    <w:pPr>
      <w:tabs>
        <w:tab w:val="center" w:pos="4320"/>
        <w:tab w:val="right" w:pos="8640"/>
      </w:tabs>
    </w:pPr>
  </w:style>
  <w:style w:type="paragraph" w:styleId="Footer">
    <w:name w:val="footer"/>
    <w:basedOn w:val="Normal"/>
    <w:rsid w:val="00BE2886"/>
    <w:pPr>
      <w:tabs>
        <w:tab w:val="center" w:pos="4320"/>
        <w:tab w:val="right" w:pos="8640"/>
      </w:tabs>
    </w:pPr>
  </w:style>
  <w:style w:type="paragraph" w:styleId="BodyText2">
    <w:name w:val="Body Text 2"/>
    <w:basedOn w:val="Normal"/>
    <w:rsid w:val="004E522C"/>
    <w:pPr>
      <w:widowControl w:val="0"/>
      <w:suppressAutoHyphens/>
      <w:overflowPunct w:val="0"/>
      <w:autoSpaceDE w:val="0"/>
      <w:autoSpaceDN w:val="0"/>
      <w:adjustRightInd w:val="0"/>
      <w:spacing w:line="240" w:lineRule="atLeast"/>
      <w:jc w:val="both"/>
      <w:textAlignment w:val="baseline"/>
    </w:pPr>
    <w:rPr>
      <w:b/>
      <w:spacing w:val="-3"/>
      <w:szCs w:val="20"/>
    </w:rPr>
  </w:style>
  <w:style w:type="paragraph" w:customStyle="1" w:styleId="ParaNum">
    <w:name w:val="ParaNum"/>
    <w:basedOn w:val="Normal"/>
    <w:link w:val="ParaNumChar2"/>
    <w:rsid w:val="004E522C"/>
    <w:pPr>
      <w:widowControl w:val="0"/>
      <w:numPr>
        <w:numId w:val="3"/>
      </w:numPr>
      <w:tabs>
        <w:tab w:val="clear" w:pos="1080"/>
        <w:tab w:val="left" w:pos="1440"/>
      </w:tabs>
      <w:spacing w:after="220"/>
      <w:jc w:val="both"/>
    </w:pPr>
    <w:rPr>
      <w:sz w:val="22"/>
      <w:szCs w:val="20"/>
    </w:rPr>
  </w:style>
  <w:style w:type="character" w:styleId="FootnoteReference">
    <w:name w:val="footnote reference"/>
    <w:aliases w:val="Style 12,(NECG) Footnote Reference,Style 13,Appel note de bas de p,Style 124,fr,o,Style 3,FR,Style 17,Footnote Reference/,Style 6"/>
    <w:semiHidden/>
    <w:rsid w:val="008E3C0F"/>
    <w:rPr>
      <w:vertAlign w:val="superscript"/>
    </w:rPr>
  </w:style>
  <w:style w:type="character" w:customStyle="1" w:styleId="ParaNumChar2">
    <w:name w:val="ParaNum Char2"/>
    <w:link w:val="ParaNum"/>
    <w:rsid w:val="008E3C0F"/>
    <w:rPr>
      <w:sz w:val="22"/>
      <w:lang w:val="en-US" w:eastAsia="en-US" w:bidi="ar-SA"/>
    </w:rPr>
  </w:style>
  <w:style w:type="paragraph" w:styleId="FootnoteText">
    <w:name w:val="footnote text"/>
    <w:aliases w:val="ALTS FOOTNOTE,fn,Footnote Text Char,Footnote Text Char2 Char2,Footnote Text Char Char1 Char,Footnote Text Char2 Char2 Char Char,Footnote Text Char Char1 Char Char Char,Footnote Text Char1 Char1 Char Char Char Char,fn Char1"/>
    <w:basedOn w:val="Normal"/>
    <w:link w:val="FootnoteTextChar1"/>
    <w:semiHidden/>
    <w:rsid w:val="008E4EA6"/>
    <w:pPr>
      <w:widowControl w:val="0"/>
      <w:overflowPunct w:val="0"/>
      <w:autoSpaceDE w:val="0"/>
      <w:autoSpaceDN w:val="0"/>
      <w:adjustRightInd w:val="0"/>
      <w:textAlignment w:val="baseline"/>
    </w:pPr>
    <w:rPr>
      <w:rFonts w:ascii="Courier New" w:hAnsi="Courier New"/>
      <w:szCs w:val="20"/>
    </w:rPr>
  </w:style>
  <w:style w:type="table" w:styleId="TableGrid">
    <w:name w:val="Table Grid"/>
    <w:basedOn w:val="TableNormal"/>
    <w:rsid w:val="008E4EA6"/>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ALTS FOOTNOTE Char,fn Char,Footnote Text Char Char,Footnote Text Char2 Char2 Char,Footnote Text Char Char1 Char Char,Footnote Text Char2 Char2 Char Char Char,Footnote Text Char Char1 Char Char Char Char,fn Char1 Char"/>
    <w:link w:val="FootnoteText"/>
    <w:rsid w:val="008E4EA6"/>
    <w:rPr>
      <w:rFonts w:ascii="Courier New" w:hAnsi="Courier New"/>
      <w:sz w:val="24"/>
      <w:lang w:val="en-US" w:eastAsia="en-US" w:bidi="ar-SA"/>
    </w:rPr>
  </w:style>
  <w:style w:type="paragraph" w:styleId="BalloonText">
    <w:name w:val="Balloon Text"/>
    <w:basedOn w:val="Normal"/>
    <w:semiHidden/>
    <w:rsid w:val="001B5641"/>
    <w:rPr>
      <w:rFonts w:ascii="Tahoma" w:hAnsi="Tahoma" w:cs="Tahoma"/>
      <w:sz w:val="16"/>
      <w:szCs w:val="16"/>
    </w:rPr>
  </w:style>
  <w:style w:type="character" w:styleId="PageNumber">
    <w:name w:val="page number"/>
    <w:basedOn w:val="DefaultParagraphFont"/>
    <w:rsid w:val="00875540"/>
  </w:style>
  <w:style w:type="paragraph" w:styleId="ListParagraph">
    <w:name w:val="List Paragraph"/>
    <w:basedOn w:val="Normal"/>
    <w:uiPriority w:val="34"/>
    <w:qFormat/>
    <w:rsid w:val="000A7FCF"/>
    <w:pPr>
      <w:ind w:left="720"/>
      <w:contextualSpacing/>
    </w:pPr>
  </w:style>
  <w:style w:type="character" w:customStyle="1" w:styleId="Heading1Char">
    <w:name w:val="Heading 1 Char"/>
    <w:basedOn w:val="DefaultParagraphFont"/>
    <w:link w:val="Heading1"/>
    <w:uiPriority w:val="9"/>
    <w:rsid w:val="00093A13"/>
    <w:rPr>
      <w:rFonts w:asciiTheme="majorHAnsi" w:eastAsiaTheme="majorEastAsia" w:hAnsiTheme="majorHAnsi" w:cstheme="majorBidi"/>
      <w:b/>
      <w:bCs/>
      <w:color w:val="345A8A" w:themeColor="accent1" w:themeShade="B5"/>
      <w:sz w:val="32"/>
      <w:szCs w:val="32"/>
    </w:rPr>
  </w:style>
  <w:style w:type="character" w:customStyle="1" w:styleId="HeaderChar">
    <w:name w:val="Header Char"/>
    <w:basedOn w:val="DefaultParagraphFont"/>
    <w:link w:val="Header"/>
    <w:uiPriority w:val="99"/>
    <w:rsid w:val="00093A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B9A28-EDB6-4209-9946-083716473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2114</Words>
  <Characters>12053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john frederick copes</dc:creator>
  <cp:lastModifiedBy>Cathy Williams</cp:lastModifiedBy>
  <cp:revision>5</cp:revision>
  <cp:lastPrinted>2013-06-05T12:59:00Z</cp:lastPrinted>
  <dcterms:created xsi:type="dcterms:W3CDTF">2013-06-05T13:06:00Z</dcterms:created>
  <dcterms:modified xsi:type="dcterms:W3CDTF">2013-06-05T17:51:00Z</dcterms:modified>
</cp:coreProperties>
</file>