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A4E14" w14:textId="77777777" w:rsidR="00157815" w:rsidRDefault="00157815" w:rsidP="00157815">
      <w:pPr>
        <w:jc w:val="center"/>
      </w:pPr>
      <w:r>
        <w:t>SUPPORTING STATEMENT FOR THE</w:t>
      </w:r>
    </w:p>
    <w:p w14:paraId="4E321448" w14:textId="77777777" w:rsidR="00157815" w:rsidRDefault="00157815" w:rsidP="00157815">
      <w:pPr>
        <w:jc w:val="center"/>
      </w:pPr>
      <w:r>
        <w:t>RENEWABLE FUELSTANDARD (RFS2) PROGRAM</w:t>
      </w:r>
    </w:p>
    <w:p w14:paraId="7240DEC7" w14:textId="77777777" w:rsidR="008B6BB0" w:rsidRDefault="008B6BB0" w:rsidP="00CF2BEB"/>
    <w:p w14:paraId="3DAF6337" w14:textId="77777777" w:rsidR="00CF2BEB" w:rsidRDefault="00CF2BEB" w:rsidP="00CF2BEB">
      <w:r>
        <w:t>A.</w:t>
      </w:r>
      <w:r>
        <w:tab/>
        <w:t>JUSTIFICATION</w:t>
      </w:r>
    </w:p>
    <w:p w14:paraId="0C7E169E" w14:textId="77777777" w:rsidR="00CF2BEB" w:rsidRDefault="00CF2BEB" w:rsidP="00CF2BEB"/>
    <w:p w14:paraId="5C365282" w14:textId="77777777" w:rsidR="00CF2BEB" w:rsidRDefault="00CF2BEB" w:rsidP="00CF2BEB">
      <w:pPr>
        <w:outlineLvl w:val="0"/>
      </w:pPr>
      <w:r>
        <w:t>1.</w:t>
      </w:r>
      <w:r>
        <w:tab/>
      </w:r>
      <w:r>
        <w:rPr>
          <w:u w:val="single"/>
        </w:rPr>
        <w:t>Identification of the Information Collection</w:t>
      </w:r>
    </w:p>
    <w:p w14:paraId="2B083E63" w14:textId="77777777" w:rsidR="00CF2BEB" w:rsidRDefault="00CF2BEB" w:rsidP="00CF2BEB"/>
    <w:p w14:paraId="764E2AC9" w14:textId="77777777" w:rsidR="00CF2BEB" w:rsidRDefault="00CF2BEB" w:rsidP="00CF2BEB">
      <w:r>
        <w:t>a.</w:t>
      </w:r>
      <w:r>
        <w:tab/>
        <w:t xml:space="preserve">Title:  </w:t>
      </w:r>
      <w:bookmarkStart w:id="0" w:name="_GoBack"/>
      <w:r>
        <w:t>Renewable Fuel Standard (RFS2) Program</w:t>
      </w:r>
      <w:bookmarkEnd w:id="0"/>
      <w:r>
        <w:t>, EPA ICR No. 2333.</w:t>
      </w:r>
      <w:r w:rsidR="0031763D">
        <w:t>03</w:t>
      </w:r>
      <w:r>
        <w:t>, OMB Control Number 2060-</w:t>
      </w:r>
      <w:r w:rsidR="00400CE8">
        <w:t>0640</w:t>
      </w:r>
      <w:r>
        <w:t>.</w:t>
      </w:r>
    </w:p>
    <w:p w14:paraId="2FCC6485" w14:textId="77777777" w:rsidR="00CF2BEB" w:rsidRDefault="00CF2BEB" w:rsidP="00CF2BEB">
      <w:r>
        <w:t xml:space="preserve"> </w:t>
      </w:r>
    </w:p>
    <w:p w14:paraId="4F3913C3" w14:textId="77777777" w:rsidR="00CF2BEB" w:rsidRDefault="00CF2BEB" w:rsidP="00CF2BEB">
      <w:r>
        <w:t xml:space="preserve">b. </w:t>
      </w:r>
      <w:r>
        <w:tab/>
        <w:t>Short characterization:</w:t>
      </w:r>
    </w:p>
    <w:p w14:paraId="5BB80AB0" w14:textId="77777777" w:rsidR="00CF2BEB" w:rsidRDefault="00CF2BEB" w:rsidP="00CF2BEB"/>
    <w:p w14:paraId="3E7EDC87" w14:textId="77777777" w:rsidR="00CF2BEB" w:rsidRDefault="00CF2BEB" w:rsidP="00CF2BEB">
      <w:r>
        <w:tab/>
        <w:t xml:space="preserve">The Energy Policy Act (EPAct) of 2005 amended the Clean Air Act, section 211(o), and required the </w:t>
      </w:r>
      <w:r w:rsidR="00CC0792">
        <w:t xml:space="preserve">initial </w:t>
      </w:r>
      <w:r>
        <w:t>RFS program</w:t>
      </w:r>
      <w:r w:rsidR="009506E9">
        <w:t>,</w:t>
      </w:r>
      <w:r>
        <w:t xml:space="preserve"> referred to in this supporting statement as "RFS1". The RFS1 program started in 2006 and was covered by EPA ICR No. 2242.02, OMB Control Number 2060-0600. Please refer to “Regulation of Fuels and Fuel Additives: Renewable Fuel Standard Program – Notice of Proposed Rulemaking” and “Regulation of Fuels and Fuel Additives: Renewable Fuel Standard Program – Final Rule” (both available in docket number EPA-HQ-OAR-2005-0161) for a detailed discussion of the RFS1 program. </w:t>
      </w:r>
    </w:p>
    <w:p w14:paraId="23DEF1AC" w14:textId="77777777" w:rsidR="00CF2BEB" w:rsidRDefault="00CF2BEB" w:rsidP="00CF2BEB"/>
    <w:p w14:paraId="3AEA2A07" w14:textId="77777777" w:rsidR="00CF2BEB" w:rsidRDefault="00CF2BEB" w:rsidP="000C0288">
      <w:pPr>
        <w:tabs>
          <w:tab w:val="left" w:pos="-720"/>
          <w:tab w:val="left" w:pos="0"/>
          <w:tab w:val="left" w:pos="720"/>
          <w:tab w:val="left" w:pos="1440"/>
          <w:tab w:val="left" w:pos="2160"/>
          <w:tab w:val="left" w:pos="2880"/>
          <w:tab w:val="left" w:pos="3600"/>
          <w:tab w:val="left" w:pos="4320"/>
        </w:tabs>
        <w:autoSpaceDE w:val="0"/>
        <w:autoSpaceDN w:val="0"/>
        <w:adjustRightInd w:val="0"/>
      </w:pPr>
      <w:r>
        <w:tab/>
        <w:t>The Energy Independence and Security Act (EISA) of 2007 further amend</w:t>
      </w:r>
      <w:r w:rsidR="001814A9">
        <w:t>ed</w:t>
      </w:r>
      <w:r>
        <w:t xml:space="preserve"> the Clean Air Act, section 211(o), and required EPA to propose new regulations for renewable fuels.  The </w:t>
      </w:r>
      <w:r w:rsidR="001814A9">
        <w:t xml:space="preserve">current </w:t>
      </w:r>
      <w:r>
        <w:t xml:space="preserve">RFS program is referred to in this supporting statement as "RFS2."  Under RFS2, the volume requirement and types of renewable fuels </w:t>
      </w:r>
      <w:r w:rsidR="000A66E7">
        <w:t xml:space="preserve">are </w:t>
      </w:r>
      <w:r>
        <w:t xml:space="preserve">expanded; non-road uses are included (RFS1 only affected motor vehicle fuel); there are additional types of waivers and special provisions for renewable fuel types; and EPA </w:t>
      </w:r>
      <w:r w:rsidR="001814A9">
        <w:t xml:space="preserve">has </w:t>
      </w:r>
      <w:r>
        <w:t>implement</w:t>
      </w:r>
      <w:r w:rsidR="001814A9">
        <w:t>ed</w:t>
      </w:r>
      <w:r>
        <w:t xml:space="preserve"> an EPA-Moderating Tra</w:t>
      </w:r>
      <w:r w:rsidR="008D4887">
        <w:t>nsaction</w:t>
      </w:r>
      <w:r>
        <w:t xml:space="preserve"> System </w:t>
      </w:r>
      <w:r w:rsidR="008D4887">
        <w:t xml:space="preserve">(EMTS) </w:t>
      </w:r>
      <w:r>
        <w:t xml:space="preserve">for RINs.  Additional parties </w:t>
      </w:r>
      <w:r w:rsidR="001814A9">
        <w:t>are</w:t>
      </w:r>
      <w:r>
        <w:t xml:space="preserve"> required to register, keep records, and report.  Please refer to the </w:t>
      </w:r>
      <w:r w:rsidR="000A66E7">
        <w:t xml:space="preserve">Final Rule </w:t>
      </w:r>
      <w:r>
        <w:t>(available in docket number EPA-HQ-OAR-2005-0161)</w:t>
      </w:r>
      <w:r w:rsidR="000C0288">
        <w:t xml:space="preserve"> </w:t>
      </w:r>
      <w:r>
        <w:t xml:space="preserve">for a detailed discussion of the RFS2 program.   </w:t>
      </w:r>
    </w:p>
    <w:p w14:paraId="445B2084" w14:textId="77777777" w:rsidR="00CF2BEB" w:rsidRDefault="00CF2BEB" w:rsidP="00CF2BEB"/>
    <w:p w14:paraId="114FEE93" w14:textId="77777777" w:rsidR="0054172E" w:rsidRDefault="0054172E" w:rsidP="0054172E">
      <w:pPr>
        <w:ind w:firstLine="720"/>
      </w:pPr>
      <w:r>
        <w:t xml:space="preserve">For compliance purposes, under both RFS1 and RFS2, volumes of renewable fuel are identified through the use of renewable identification numbers (RINs) that are initially generated by the producer of the renewable fuel.  However, under RFS2, there are additional types of RINs </w:t>
      </w:r>
      <w:r w:rsidRPr="00CD787D">
        <w:t>and the volume of RINs traded is greater.</w:t>
      </w:r>
      <w:r>
        <w:t xml:space="preserve">  </w:t>
      </w:r>
    </w:p>
    <w:p w14:paraId="1E742D4D" w14:textId="77777777" w:rsidR="00CF2BEB" w:rsidRDefault="00CF2BEB" w:rsidP="00CF2BEB">
      <w:pPr>
        <w:ind w:firstLine="720"/>
      </w:pPr>
    </w:p>
    <w:p w14:paraId="69FAB039" w14:textId="77777777" w:rsidR="00CF2BEB" w:rsidRDefault="000A66E7" w:rsidP="00CF2BEB">
      <w:r>
        <w:tab/>
      </w:r>
      <w:r w:rsidR="00CF2BEB">
        <w:t>This supporting statement provides tables that break down reporting items by party (e.g. producer, importer, refiner, etc.)  Parties who are interested in recordkeeping and reporting burden will want to review the</w:t>
      </w:r>
      <w:r>
        <w:t xml:space="preserve"> </w:t>
      </w:r>
      <w:r w:rsidR="00CF2BEB">
        <w:t xml:space="preserve">tables </w:t>
      </w:r>
      <w:r>
        <w:t xml:space="preserve">containing our estimates </w:t>
      </w:r>
      <w:r w:rsidR="00CF2BEB">
        <w:t xml:space="preserve">carefully. </w:t>
      </w:r>
      <w:r w:rsidR="00CF2BEB">
        <w:tab/>
      </w:r>
    </w:p>
    <w:p w14:paraId="51475EF6" w14:textId="77777777" w:rsidR="00CF2BEB" w:rsidRDefault="00CF2BEB" w:rsidP="00CF2BEB"/>
    <w:p w14:paraId="3A12DE8E" w14:textId="77777777" w:rsidR="00281C9C" w:rsidRDefault="00281C9C" w:rsidP="00CF2BEB">
      <w:pPr>
        <w:outlineLvl w:val="0"/>
      </w:pPr>
    </w:p>
    <w:p w14:paraId="00F0C99A" w14:textId="77777777" w:rsidR="00CF2BEB" w:rsidRDefault="00CF2BEB" w:rsidP="00CF2BEB">
      <w:pPr>
        <w:outlineLvl w:val="0"/>
        <w:rPr>
          <w:u w:val="single"/>
        </w:rPr>
      </w:pPr>
      <w:r>
        <w:t xml:space="preserve">2.  </w:t>
      </w:r>
      <w:r>
        <w:rPr>
          <w:u w:val="single"/>
        </w:rPr>
        <w:t>Need For, and Use of, the Collection</w:t>
      </w:r>
    </w:p>
    <w:p w14:paraId="3072CE85" w14:textId="77777777" w:rsidR="00CF2BEB" w:rsidRDefault="00CF2BEB" w:rsidP="00CF2BEB">
      <w:pPr>
        <w:rPr>
          <w:u w:val="single"/>
        </w:rPr>
      </w:pPr>
    </w:p>
    <w:p w14:paraId="3F699949" w14:textId="77777777" w:rsidR="00CF2BEB" w:rsidRDefault="009E28D9" w:rsidP="00CF2BEB">
      <w:pPr>
        <w:numPr>
          <w:ilvl w:val="0"/>
          <w:numId w:val="2"/>
        </w:numPr>
      </w:pPr>
      <w:r>
        <w:t xml:space="preserve"> </w:t>
      </w:r>
      <w:r>
        <w:tab/>
      </w:r>
      <w:r w:rsidR="00CF2BEB">
        <w:t>Authority for the Collection</w:t>
      </w:r>
    </w:p>
    <w:p w14:paraId="512A6A1C" w14:textId="77777777" w:rsidR="00CF2BEB" w:rsidRDefault="00CF2BEB" w:rsidP="00CF2BEB">
      <w:pPr>
        <w:ind w:left="720"/>
      </w:pPr>
    </w:p>
    <w:p w14:paraId="63359B92" w14:textId="77777777" w:rsidR="00CF2BEB" w:rsidRDefault="00CF2BEB" w:rsidP="00CF2BEB">
      <w:pPr>
        <w:autoSpaceDE w:val="0"/>
        <w:autoSpaceDN w:val="0"/>
        <w:adjustRightInd w:val="0"/>
      </w:pPr>
      <w:r>
        <w:rPr>
          <w:lang w:val="en-CA"/>
        </w:rPr>
        <w:lastRenderedPageBreak/>
        <w:tab/>
      </w:r>
      <w:r>
        <w:rPr>
          <w:lang w:val="en-CA"/>
        </w:rPr>
        <w:fldChar w:fldCharType="begin"/>
      </w:r>
      <w:r>
        <w:rPr>
          <w:lang w:val="en-CA"/>
        </w:rPr>
        <w:instrText xml:space="preserve"> SEQ CHAPTER \h \r 1</w:instrText>
      </w:r>
      <w:r>
        <w:rPr>
          <w:lang w:val="en-CA"/>
        </w:rPr>
        <w:fldChar w:fldCharType="end"/>
      </w:r>
      <w:r>
        <w:t xml:space="preserve">Sections 114 and 208 of the Clean Air Act (CAA), 42 U.S.C. §§ 7414 and 7542, authorize EPA to require recordkeeping and reporting regarding enforcement of the provisions of Title II of the CAA.  </w:t>
      </w:r>
    </w:p>
    <w:p w14:paraId="1A9E235B" w14:textId="77777777" w:rsidR="00CF2BEB" w:rsidRDefault="00CF2BEB" w:rsidP="00CF2BEB">
      <w:r>
        <w:tab/>
      </w:r>
    </w:p>
    <w:p w14:paraId="3FBF2271" w14:textId="77777777" w:rsidR="00CF2BEB" w:rsidRDefault="00CF2BEB" w:rsidP="00CF2BEB">
      <w:r>
        <w:tab/>
        <w:t xml:space="preserve">b. </w:t>
      </w:r>
      <w:r>
        <w:tab/>
        <w:t>Practical Utility/Uses of the Data</w:t>
      </w:r>
    </w:p>
    <w:p w14:paraId="22990E5D" w14:textId="77777777" w:rsidR="00CF2BEB" w:rsidRDefault="00CF2BEB" w:rsidP="00CF2BEB"/>
    <w:p w14:paraId="64C8B9EF" w14:textId="77777777" w:rsidR="00CF2BEB" w:rsidRDefault="00CF2BEB" w:rsidP="00CF2BEB">
      <w:r>
        <w:tab/>
        <w:t>The reporting requirements of this regulation will allow EPA to monitor compliance with the RFS program.</w:t>
      </w:r>
    </w:p>
    <w:p w14:paraId="0391EFDA" w14:textId="77777777" w:rsidR="00CF2BEB" w:rsidRDefault="00CF2BEB" w:rsidP="00CF2BEB"/>
    <w:p w14:paraId="10AB3280" w14:textId="77777777" w:rsidR="00CF2BEB" w:rsidRDefault="00CF2BEB" w:rsidP="00CF2BEB">
      <w:pPr>
        <w:outlineLvl w:val="0"/>
        <w:rPr>
          <w:u w:val="single"/>
        </w:rPr>
      </w:pPr>
      <w:r>
        <w:t xml:space="preserve">3.  </w:t>
      </w:r>
      <w:r>
        <w:rPr>
          <w:u w:val="single"/>
        </w:rPr>
        <w:t>Non-duplication, Consultation, and other Collection Criteria</w:t>
      </w:r>
    </w:p>
    <w:p w14:paraId="12BD03BD" w14:textId="77777777" w:rsidR="00CF2BEB" w:rsidRDefault="00CF2BEB" w:rsidP="00CF2BEB">
      <w:pPr>
        <w:rPr>
          <w:u w:val="single"/>
        </w:rPr>
      </w:pPr>
    </w:p>
    <w:p w14:paraId="784515B7" w14:textId="77777777" w:rsidR="00CF2BEB" w:rsidRDefault="00CF2BEB" w:rsidP="00CF2BEB">
      <w:pPr>
        <w:outlineLvl w:val="0"/>
      </w:pPr>
      <w:r>
        <w:tab/>
        <w:t xml:space="preserve">a. </w:t>
      </w:r>
      <w:r>
        <w:tab/>
        <w:t>Non-duplication</w:t>
      </w:r>
    </w:p>
    <w:p w14:paraId="0D5F0632" w14:textId="77777777" w:rsidR="000E5862" w:rsidRDefault="000E5862" w:rsidP="00CF2BEB">
      <w:pPr>
        <w:outlineLvl w:val="0"/>
      </w:pPr>
    </w:p>
    <w:p w14:paraId="117D5142" w14:textId="77777777" w:rsidR="00CF2BEB" w:rsidRDefault="00CF2BEB" w:rsidP="00CF2BEB">
      <w:r>
        <w:tab/>
      </w:r>
      <w:r>
        <w:rPr>
          <w:lang w:val="en-CA"/>
        </w:rPr>
        <w:fldChar w:fldCharType="begin"/>
      </w:r>
      <w:r>
        <w:rPr>
          <w:lang w:val="en-CA"/>
        </w:rPr>
        <w:instrText xml:space="preserve"> SEQ CHAPTER \h \r 1</w:instrText>
      </w:r>
      <w:r>
        <w:rPr>
          <w:lang w:val="en-CA"/>
        </w:rPr>
        <w:fldChar w:fldCharType="end"/>
      </w:r>
      <w:r>
        <w:t xml:space="preserve">Efforts have been made to eliminate duplication in this information collection. </w:t>
      </w:r>
      <w:r w:rsidR="000E5862">
        <w:t>The information collected is considered CBI and unique to the closed DCFUEL database. EPA has provided instructions in PDF in which parties submit data in the Unified Report Form (XLS) to the Agency’s Central Data Exchange (CDX).  CDX allows for updating and corrections to individual accounts.  The data relates to individual fuel volume by facility and are not available from other sources.</w:t>
      </w:r>
    </w:p>
    <w:p w14:paraId="0FA30115" w14:textId="77777777" w:rsidR="00CF2BEB" w:rsidRDefault="00CF2BEB" w:rsidP="00CF2BEB">
      <w:pPr>
        <w:outlineLvl w:val="0"/>
      </w:pPr>
      <w:r>
        <w:tab/>
      </w:r>
    </w:p>
    <w:p w14:paraId="7B6D4DA1" w14:textId="77777777" w:rsidR="00CF2BEB" w:rsidRDefault="00CF2BEB" w:rsidP="00CF2BEB">
      <w:pPr>
        <w:ind w:firstLine="720"/>
        <w:outlineLvl w:val="0"/>
      </w:pPr>
      <w:r>
        <w:t xml:space="preserve">b. </w:t>
      </w:r>
      <w:r>
        <w:tab/>
        <w:t>Public Notice</w:t>
      </w:r>
    </w:p>
    <w:p w14:paraId="2B4812E0" w14:textId="77777777" w:rsidR="00CF2BEB" w:rsidRDefault="00CF2BEB" w:rsidP="00CF2BEB"/>
    <w:p w14:paraId="0708D8BF" w14:textId="3A230CD5" w:rsidR="00373DB3" w:rsidRDefault="00A665C4" w:rsidP="00CF2BEB">
      <w:r>
        <w:tab/>
      </w:r>
      <w:r w:rsidR="00373DB3">
        <w:t xml:space="preserve">EPA sought comment </w:t>
      </w:r>
      <w:r w:rsidR="00287BA7">
        <w:t xml:space="preserve">over 60 days </w:t>
      </w:r>
      <w:r w:rsidR="00373DB3">
        <w:t xml:space="preserve">on reporting requirements via the Federal Register Notice on </w:t>
      </w:r>
      <w:r w:rsidR="000E5862">
        <w:t xml:space="preserve">February 20, 2013 (78 FR 11870).  EPA </w:t>
      </w:r>
      <w:r w:rsidR="00373DB3">
        <w:t>received no public comments.</w:t>
      </w:r>
      <w:r w:rsidR="00E31683">
        <w:t xml:space="preserve">  EPA</w:t>
      </w:r>
      <w:r w:rsidR="00287BA7">
        <w:t xml:space="preserve"> also</w:t>
      </w:r>
      <w:r w:rsidR="00E31683">
        <w:t xml:space="preserve"> </w:t>
      </w:r>
      <w:r w:rsidR="00287BA7">
        <w:t>published a</w:t>
      </w:r>
      <w:r w:rsidR="006E09CB">
        <w:t xml:space="preserve"> </w:t>
      </w:r>
      <w:r w:rsidR="00287BA7">
        <w:t xml:space="preserve">Federal Register Notice </w:t>
      </w:r>
      <w:r w:rsidR="006E09CB">
        <w:t xml:space="preserve">with a 30-day comment period </w:t>
      </w:r>
      <w:r w:rsidR="00287BA7">
        <w:t xml:space="preserve">on July 7, 2013 (78 FR 45924) </w:t>
      </w:r>
      <w:r w:rsidR="006E09CB">
        <w:t xml:space="preserve">and requested that any </w:t>
      </w:r>
      <w:r w:rsidR="00287BA7">
        <w:t>comment</w:t>
      </w:r>
      <w:r w:rsidR="006E09CB">
        <w:t>s</w:t>
      </w:r>
      <w:r w:rsidR="00287BA7">
        <w:t xml:space="preserve"> </w:t>
      </w:r>
      <w:r w:rsidR="006E09CB">
        <w:t>to be sent to OMB</w:t>
      </w:r>
      <w:r w:rsidR="00287BA7">
        <w:t>.</w:t>
      </w:r>
      <w:r w:rsidR="0030440C">
        <w:t xml:space="preserve">  No comments were received during the 30-day comment period.</w:t>
      </w:r>
      <w:r w:rsidR="00287BA7">
        <w:t xml:space="preserve"> </w:t>
      </w:r>
      <w:r w:rsidR="00E31683">
        <w:t xml:space="preserve"> </w:t>
      </w:r>
    </w:p>
    <w:p w14:paraId="796FC1CB" w14:textId="77777777" w:rsidR="00CF2BEB" w:rsidRDefault="00CF2BEB" w:rsidP="00CF2BEB">
      <w:r>
        <w:tab/>
      </w:r>
    </w:p>
    <w:p w14:paraId="4F6A819B" w14:textId="77777777" w:rsidR="00E77792" w:rsidRDefault="00CF2BEB" w:rsidP="0073134A">
      <w:pPr>
        <w:outlineLvl w:val="0"/>
      </w:pPr>
      <w:r>
        <w:tab/>
        <w:t xml:space="preserve">c. </w:t>
      </w:r>
      <w:r>
        <w:tab/>
        <w:t>Consultations</w:t>
      </w:r>
    </w:p>
    <w:p w14:paraId="43FAF0B3" w14:textId="77777777" w:rsidR="0073134A" w:rsidRDefault="0073134A" w:rsidP="00CF2BEB">
      <w:pPr>
        <w:outlineLvl w:val="0"/>
      </w:pPr>
    </w:p>
    <w:p w14:paraId="0CF0D142" w14:textId="5A1ED20B" w:rsidR="00CF2BEB" w:rsidRDefault="0073134A" w:rsidP="00560F4A">
      <w:pPr>
        <w:outlineLvl w:val="0"/>
      </w:pPr>
      <w:r>
        <w:tab/>
        <w:t xml:space="preserve">EPA consulted with </w:t>
      </w:r>
      <w:r w:rsidR="00E77792">
        <w:t xml:space="preserve">Mr. </w:t>
      </w:r>
      <w:r>
        <w:t xml:space="preserve">Larry Schafer with the </w:t>
      </w:r>
      <w:r w:rsidR="00534B0F">
        <w:t xml:space="preserve">National </w:t>
      </w:r>
      <w:r>
        <w:t>Biodiesel Board</w:t>
      </w:r>
      <w:r w:rsidR="00534B0F">
        <w:t xml:space="preserve"> (NBB) </w:t>
      </w:r>
      <w:r w:rsidR="00E77792">
        <w:t xml:space="preserve">who </w:t>
      </w:r>
      <w:r>
        <w:t>commented on the</w:t>
      </w:r>
      <w:r w:rsidR="00534B0F">
        <w:t xml:space="preserve"> estimates</w:t>
      </w:r>
      <w:r>
        <w:t xml:space="preserve"> only.  His concern was weather the estimates reflect </w:t>
      </w:r>
      <w:r w:rsidR="00E77792">
        <w:t xml:space="preserve">that </w:t>
      </w:r>
      <w:r>
        <w:t xml:space="preserve">all the reports </w:t>
      </w:r>
      <w:r w:rsidR="00E77792">
        <w:t xml:space="preserve">were </w:t>
      </w:r>
      <w:r>
        <w:t>being address</w:t>
      </w:r>
      <w:r w:rsidR="00E77792">
        <w:t>ed</w:t>
      </w:r>
      <w:r>
        <w:t>.  The hours and cost seemed low for producer requirements when submitting petitions for new feedstock pathways</w:t>
      </w:r>
      <w:r w:rsidR="00E77792">
        <w:t>, new fuel/pathways</w:t>
      </w:r>
      <w:r w:rsidR="00534B0F">
        <w:t>,</w:t>
      </w:r>
      <w:r w:rsidR="00E77792">
        <w:t xml:space="preserve"> EMTS Reporting and attest engagement. We also contacted</w:t>
      </w:r>
      <w:r>
        <w:t xml:space="preserve"> </w:t>
      </w:r>
      <w:r w:rsidR="00534B0F">
        <w:t xml:space="preserve">the American Fuel and Petrochemical Manufactures who </w:t>
      </w:r>
      <w:r w:rsidR="00560F4A">
        <w:t>found a</w:t>
      </w:r>
      <w:r w:rsidR="009879E8">
        <w:t xml:space="preserve"> </w:t>
      </w:r>
      <w:r w:rsidR="00560F4A">
        <w:t>few small estimate errors</w:t>
      </w:r>
      <w:r w:rsidR="001C4BAC">
        <w:t xml:space="preserve"> in the tables </w:t>
      </w:r>
      <w:r w:rsidR="00560F4A">
        <w:t xml:space="preserve">which were </w:t>
      </w:r>
      <w:r w:rsidR="00A52DB9">
        <w:t>addressed to recalculate burden cost.</w:t>
      </w:r>
      <w:r w:rsidR="00560F4A">
        <w:t xml:space="preserve"> </w:t>
      </w:r>
    </w:p>
    <w:p w14:paraId="0D98765F" w14:textId="77777777" w:rsidR="00CF2BEB" w:rsidRDefault="00CF2BEB" w:rsidP="00CF2BEB">
      <w:pPr>
        <w:outlineLvl w:val="0"/>
      </w:pPr>
      <w:r>
        <w:tab/>
      </w:r>
    </w:p>
    <w:p w14:paraId="2D01C021" w14:textId="77777777" w:rsidR="00CF2BEB" w:rsidRDefault="00CF2BEB" w:rsidP="00CF2BEB">
      <w:pPr>
        <w:outlineLvl w:val="0"/>
      </w:pPr>
      <w:r>
        <w:tab/>
        <w:t xml:space="preserve">d. </w:t>
      </w:r>
      <w:r>
        <w:tab/>
        <w:t>Effects of Less Frequent Data Collection</w:t>
      </w:r>
    </w:p>
    <w:p w14:paraId="37346C82" w14:textId="77777777" w:rsidR="00CF2BEB" w:rsidRDefault="00CF2BEB" w:rsidP="00CF2BEB"/>
    <w:p w14:paraId="71338BBE" w14:textId="77777777" w:rsidR="00CF2BEB" w:rsidRDefault="00CF2BEB" w:rsidP="00CF2BEB">
      <w:r>
        <w:tab/>
        <w:t xml:space="preserve">We have designed the reporting schedule to coincide with existing reporting deadlines applicable to many of the same parties under such programs as RFG and anti-dumping and diesel fuel.  Less frequent collection of data would make it impossible to carry out the provisions of the CAA and EISA.    </w:t>
      </w:r>
    </w:p>
    <w:p w14:paraId="6184F407" w14:textId="77777777" w:rsidR="00CF2BEB" w:rsidRDefault="00CF2BEB" w:rsidP="00CF2BEB"/>
    <w:p w14:paraId="4492A20F" w14:textId="77777777" w:rsidR="00CF2BEB" w:rsidRPr="002C2611" w:rsidRDefault="00CF2BEB" w:rsidP="00CF2BEB">
      <w:pPr>
        <w:outlineLvl w:val="0"/>
      </w:pPr>
      <w:r>
        <w:tab/>
      </w:r>
      <w:r w:rsidRPr="002C2611">
        <w:t xml:space="preserve">e. </w:t>
      </w:r>
      <w:r w:rsidRPr="002C2611">
        <w:tab/>
        <w:t>General Guidelines</w:t>
      </w:r>
    </w:p>
    <w:p w14:paraId="485FFA68" w14:textId="77777777" w:rsidR="00CF2BEB" w:rsidRPr="002C2611" w:rsidRDefault="00CF2BEB" w:rsidP="00CF2BEB"/>
    <w:p w14:paraId="25164345" w14:textId="77777777" w:rsidR="00CF2BEB" w:rsidRDefault="00CF2BEB" w:rsidP="00CF2BEB">
      <w:pPr>
        <w:outlineLvl w:val="0"/>
      </w:pPr>
      <w:r w:rsidRPr="002C2611">
        <w:tab/>
        <w:t>This rule does not exceed any of the OMB guidelines.</w:t>
      </w:r>
    </w:p>
    <w:p w14:paraId="621F7F96" w14:textId="77777777" w:rsidR="00CF2BEB" w:rsidRDefault="00CF2BEB" w:rsidP="00CF2BEB"/>
    <w:p w14:paraId="6D6E8F4E" w14:textId="77777777" w:rsidR="00CF2BEB" w:rsidRDefault="00CF2BEB" w:rsidP="00CF2BEB">
      <w:pPr>
        <w:outlineLvl w:val="0"/>
      </w:pPr>
      <w:r>
        <w:tab/>
        <w:t xml:space="preserve">f. </w:t>
      </w:r>
      <w:r>
        <w:tab/>
        <w:t>Confidentiality</w:t>
      </w:r>
    </w:p>
    <w:p w14:paraId="457CA02B" w14:textId="77777777" w:rsidR="00CF2BEB" w:rsidRDefault="00CF2BEB" w:rsidP="00CF2BEB"/>
    <w:p w14:paraId="59195CC6" w14:textId="77777777" w:rsidR="00CF2BEB" w:rsidRDefault="00CF2BEB" w:rsidP="00CF2BEB">
      <w:r>
        <w:tab/>
        <w:t xml:space="preserve">We inform respondents that they may assert claims of business confidentiality (CBI) for information they submit. </w:t>
      </w:r>
      <w:r w:rsidR="00635498">
        <w:t xml:space="preserve">Under RFS2, </w:t>
      </w:r>
      <w:r>
        <w:t>actual RINs should not be treated as confidential business information, as they are necessary identifiers to accompany renewable fuels.  Any information claimed as confidential will be treated in accordance with 40 CFR Part 2 and established Agency procedures.  Information that is received without a claim of confidentiality may be made available to the public without further notice to the submitter under 40 CFR § 2.203.</w:t>
      </w:r>
    </w:p>
    <w:p w14:paraId="3D08F8E3" w14:textId="77777777" w:rsidR="00CF2BEB" w:rsidRDefault="00CF2BEB" w:rsidP="00CF2BEB"/>
    <w:p w14:paraId="1C40F7F4" w14:textId="77777777" w:rsidR="00CF2BEB" w:rsidRDefault="00CF2BEB" w:rsidP="00CF2BEB">
      <w:pPr>
        <w:ind w:firstLine="720"/>
        <w:outlineLvl w:val="0"/>
      </w:pPr>
      <w:r>
        <w:t xml:space="preserve">g. </w:t>
      </w:r>
      <w:r>
        <w:tab/>
        <w:t>Sensitive Information</w:t>
      </w:r>
    </w:p>
    <w:p w14:paraId="03751D2B" w14:textId="77777777" w:rsidR="00CF2BEB" w:rsidRDefault="00CF2BEB" w:rsidP="00CF2BEB">
      <w:r>
        <w:tab/>
      </w:r>
    </w:p>
    <w:p w14:paraId="3EEC9FB6" w14:textId="77777777" w:rsidR="00CF2BEB" w:rsidRDefault="00CF2BEB" w:rsidP="00CF2BEB">
      <w:r>
        <w:tab/>
        <w:t>This information collection does not require submission of any sensitive information.</w:t>
      </w:r>
    </w:p>
    <w:p w14:paraId="16B7DF96" w14:textId="77777777" w:rsidR="00CF2BEB" w:rsidRDefault="00CF2BEB" w:rsidP="00CF2BEB"/>
    <w:p w14:paraId="2709487F" w14:textId="77777777" w:rsidR="00CF2BEB" w:rsidRDefault="00CF2BEB" w:rsidP="00CF2BEB">
      <w:pPr>
        <w:outlineLvl w:val="0"/>
      </w:pPr>
      <w:r>
        <w:t>4.</w:t>
      </w:r>
      <w:r>
        <w:tab/>
        <w:t>The Respondents and the Information Requested</w:t>
      </w:r>
    </w:p>
    <w:p w14:paraId="2A2F0329" w14:textId="77777777" w:rsidR="00CF2BEB" w:rsidRDefault="00CF2BEB" w:rsidP="00CF2BEB"/>
    <w:p w14:paraId="6898F942" w14:textId="77777777" w:rsidR="00CF2BEB" w:rsidRDefault="00CF2BEB" w:rsidP="00CF2BEB">
      <w:pPr>
        <w:outlineLvl w:val="0"/>
      </w:pPr>
      <w:r>
        <w:tab/>
        <w:t>a.</w:t>
      </w:r>
      <w:r>
        <w:tab/>
        <w:t>Respondents/with NAICS and SIC Codes</w:t>
      </w:r>
    </w:p>
    <w:p w14:paraId="4F9F501D" w14:textId="77777777" w:rsidR="00CF2BEB" w:rsidRDefault="00CF2BEB" w:rsidP="00CF2BEB"/>
    <w:p w14:paraId="2DD13B08" w14:textId="77777777" w:rsidR="00CF2BEB" w:rsidRDefault="00CF2BEB" w:rsidP="00B760ED">
      <w:pPr>
        <w:autoSpaceDE w:val="0"/>
        <w:autoSpaceDN w:val="0"/>
        <w:adjustRightInd w:val="0"/>
        <w:ind w:firstLine="720"/>
      </w:pPr>
      <w:r>
        <w:rPr>
          <w:lang w:val="en-CA"/>
        </w:rPr>
        <w:fldChar w:fldCharType="begin"/>
      </w:r>
      <w:r>
        <w:rPr>
          <w:lang w:val="en-CA"/>
        </w:rPr>
        <w:instrText xml:space="preserve"> SEQ CHAPTER \h \r 1</w:instrText>
      </w:r>
      <w:r>
        <w:rPr>
          <w:lang w:val="en-CA"/>
        </w:rPr>
        <w:fldChar w:fldCharType="end"/>
      </w:r>
      <w:r>
        <w:t xml:space="preserve">The respondents to this information collection fall into the following general industry categories:  petroleum refineries (324110/2911), ethyl alcohol manufacturers (325193/2869), other basic organic chemical manufacturing (325110/2869), chemical and allied products merchant wholesalers (426990/5169), petroleum bulk stations and terminals (422710/5171), petroleum and petroleum products merchant wholesalers (422720/5172), and other fuel dealers (454319/5989).  </w:t>
      </w:r>
    </w:p>
    <w:p w14:paraId="4ED27B38" w14:textId="77777777" w:rsidR="00B760ED" w:rsidRDefault="00B760ED" w:rsidP="00B760ED">
      <w:pPr>
        <w:autoSpaceDE w:val="0"/>
        <w:autoSpaceDN w:val="0"/>
        <w:adjustRightInd w:val="0"/>
        <w:ind w:firstLine="720"/>
      </w:pPr>
    </w:p>
    <w:p w14:paraId="7BCE00F6" w14:textId="77777777" w:rsidR="00B760ED" w:rsidRDefault="00B760ED" w:rsidP="00B760ED">
      <w:pPr>
        <w:autoSpaceDE w:val="0"/>
        <w:autoSpaceDN w:val="0"/>
        <w:adjustRightInd w:val="0"/>
        <w:ind w:firstLine="720"/>
      </w:pPr>
      <w:r>
        <w:t>Using the terminology associated with the RFS2 Final Rule, we have assumed the following classes of party, with the number of each in parenthesis:</w:t>
      </w:r>
    </w:p>
    <w:p w14:paraId="2907D39B" w14:textId="77777777" w:rsidR="00B760ED" w:rsidRDefault="00B760ED" w:rsidP="00B760ED">
      <w:pPr>
        <w:autoSpaceDE w:val="0"/>
        <w:autoSpaceDN w:val="0"/>
        <w:adjustRightInd w:val="0"/>
        <w:ind w:firstLine="720"/>
      </w:pPr>
    </w:p>
    <w:p w14:paraId="2C4DAD10" w14:textId="77777777" w:rsidR="00B760ED" w:rsidRDefault="00B760ED" w:rsidP="00B760ED">
      <w:pPr>
        <w:numPr>
          <w:ilvl w:val="0"/>
          <w:numId w:val="19"/>
        </w:numPr>
        <w:autoSpaceDE w:val="0"/>
        <w:autoSpaceDN w:val="0"/>
        <w:adjustRightInd w:val="0"/>
      </w:pPr>
      <w:r>
        <w:t>Producers of renewable fuels (</w:t>
      </w:r>
      <w:r w:rsidR="00D1790C">
        <w:t>500</w:t>
      </w:r>
      <w:r w:rsidR="009E21BB">
        <w:t>, of which 3</w:t>
      </w:r>
      <w:r w:rsidR="00D1790C">
        <w:t>00</w:t>
      </w:r>
      <w:r w:rsidR="009E21BB">
        <w:t xml:space="preserve"> are biodiesel producers</w:t>
      </w:r>
      <w:r>
        <w:t>)</w:t>
      </w:r>
    </w:p>
    <w:p w14:paraId="3AF50ACA" w14:textId="77777777" w:rsidR="00B760ED" w:rsidRDefault="00B760ED" w:rsidP="00B760ED">
      <w:pPr>
        <w:numPr>
          <w:ilvl w:val="0"/>
          <w:numId w:val="19"/>
        </w:numPr>
        <w:autoSpaceDE w:val="0"/>
        <w:autoSpaceDN w:val="0"/>
        <w:adjustRightInd w:val="0"/>
      </w:pPr>
      <w:r>
        <w:t>Importers (</w:t>
      </w:r>
      <w:r w:rsidR="00D1790C">
        <w:t>75</w:t>
      </w:r>
      <w:r w:rsidR="0020691F">
        <w:t xml:space="preserve">, of which </w:t>
      </w:r>
      <w:r w:rsidR="0079316E">
        <w:t xml:space="preserve">20 </w:t>
      </w:r>
      <w:r w:rsidR="0020691F">
        <w:t>are biodiesel importers</w:t>
      </w:r>
      <w:r>
        <w:t>)</w:t>
      </w:r>
    </w:p>
    <w:p w14:paraId="65ABC843" w14:textId="77777777" w:rsidR="005A12DA" w:rsidRDefault="00B760ED" w:rsidP="00B760ED">
      <w:pPr>
        <w:numPr>
          <w:ilvl w:val="0"/>
          <w:numId w:val="19"/>
        </w:numPr>
        <w:autoSpaceDE w:val="0"/>
        <w:autoSpaceDN w:val="0"/>
        <w:adjustRightInd w:val="0"/>
      </w:pPr>
      <w:r>
        <w:t xml:space="preserve">Obligated Parties </w:t>
      </w:r>
      <w:r w:rsidR="000910DE">
        <w:t>(</w:t>
      </w:r>
      <w:r w:rsidR="00D1790C">
        <w:t>150</w:t>
      </w:r>
      <w:r w:rsidR="005A12DA">
        <w:t>)</w:t>
      </w:r>
    </w:p>
    <w:p w14:paraId="0A2EAD3A" w14:textId="77777777" w:rsidR="00B760ED" w:rsidRDefault="00B760ED" w:rsidP="00B760ED">
      <w:pPr>
        <w:numPr>
          <w:ilvl w:val="0"/>
          <w:numId w:val="19"/>
        </w:numPr>
        <w:autoSpaceDE w:val="0"/>
        <w:autoSpaceDN w:val="0"/>
        <w:adjustRightInd w:val="0"/>
      </w:pPr>
      <w:r>
        <w:t>Parties who own RINs (</w:t>
      </w:r>
      <w:r w:rsidR="00D1790C">
        <w:t xml:space="preserve"> 950</w:t>
      </w:r>
      <w:r w:rsidR="0031763D">
        <w:t>)</w:t>
      </w:r>
    </w:p>
    <w:p w14:paraId="3BB8395A" w14:textId="77777777" w:rsidR="00B760ED" w:rsidRDefault="00B760ED" w:rsidP="00B760ED">
      <w:pPr>
        <w:numPr>
          <w:ilvl w:val="0"/>
          <w:numId w:val="19"/>
        </w:numPr>
        <w:autoSpaceDE w:val="0"/>
        <w:autoSpaceDN w:val="0"/>
        <w:adjustRightInd w:val="0"/>
      </w:pPr>
      <w:r>
        <w:t>Foreign Refiners (10)</w:t>
      </w:r>
    </w:p>
    <w:p w14:paraId="257CFCC7" w14:textId="77777777" w:rsidR="00724B75" w:rsidRDefault="00724B75" w:rsidP="00634F3E">
      <w:pPr>
        <w:autoSpaceDE w:val="0"/>
        <w:autoSpaceDN w:val="0"/>
        <w:adjustRightInd w:val="0"/>
        <w:ind w:left="1080"/>
      </w:pPr>
    </w:p>
    <w:p w14:paraId="46FA11EB" w14:textId="77777777" w:rsidR="00B760ED" w:rsidRDefault="00B760ED" w:rsidP="00B760ED">
      <w:pPr>
        <w:autoSpaceDE w:val="0"/>
        <w:autoSpaceDN w:val="0"/>
        <w:adjustRightInd w:val="0"/>
        <w:ind w:left="720"/>
      </w:pPr>
      <w:r>
        <w:t>[Note:  The above estimates are derived from the number of registered parties as of</w:t>
      </w:r>
      <w:r w:rsidR="0020691F">
        <w:t xml:space="preserve"> December</w:t>
      </w:r>
      <w:r>
        <w:t xml:space="preserve">, </w:t>
      </w:r>
      <w:r w:rsidR="00ED693C">
        <w:t>2012</w:t>
      </w:r>
      <w:r>
        <w:t>,</w:t>
      </w:r>
      <w:r w:rsidR="00042EE3">
        <w:t xml:space="preserve"> </w:t>
      </w:r>
      <w:r>
        <w:t>rounded up.</w:t>
      </w:r>
      <w:r w:rsidR="009E21BB">
        <w:t xml:space="preserve">  The number of biodiesel producers is the number registered as of</w:t>
      </w:r>
      <w:r w:rsidR="00ED693C">
        <w:t xml:space="preserve"> </w:t>
      </w:r>
      <w:r w:rsidR="0020691F">
        <w:t>December</w:t>
      </w:r>
      <w:r w:rsidR="009E21BB">
        <w:t xml:space="preserve">, </w:t>
      </w:r>
      <w:r w:rsidR="00ED693C">
        <w:t>2012</w:t>
      </w:r>
      <w:r w:rsidR="009E21BB">
        <w:t>, rounded up.</w:t>
      </w:r>
      <w:r>
        <w:t>]</w:t>
      </w:r>
    </w:p>
    <w:p w14:paraId="028E43FC" w14:textId="77777777" w:rsidR="00090D2E" w:rsidRDefault="00090D2E" w:rsidP="00B760ED">
      <w:pPr>
        <w:autoSpaceDE w:val="0"/>
        <w:autoSpaceDN w:val="0"/>
        <w:adjustRightInd w:val="0"/>
        <w:ind w:left="720"/>
      </w:pPr>
    </w:p>
    <w:p w14:paraId="26D2C555" w14:textId="77777777" w:rsidR="00B760ED" w:rsidRDefault="00B760ED" w:rsidP="002F1EA0">
      <w:pPr>
        <w:autoSpaceDE w:val="0"/>
        <w:autoSpaceDN w:val="0"/>
        <w:adjustRightInd w:val="0"/>
        <w:ind w:firstLine="720"/>
      </w:pPr>
      <w:r>
        <w:t>For biofuel feedstock producers, we have assumed the following classes of party, with the number of each in parenthesis:</w:t>
      </w:r>
    </w:p>
    <w:p w14:paraId="7EE91CDA" w14:textId="77777777" w:rsidR="00B760ED" w:rsidRDefault="00B760ED" w:rsidP="00B760ED">
      <w:pPr>
        <w:autoSpaceDE w:val="0"/>
        <w:autoSpaceDN w:val="0"/>
        <w:adjustRightInd w:val="0"/>
        <w:ind w:left="720"/>
      </w:pPr>
    </w:p>
    <w:p w14:paraId="5004D945" w14:textId="77777777" w:rsidR="00B760ED" w:rsidRDefault="001D2515" w:rsidP="00B760ED">
      <w:pPr>
        <w:numPr>
          <w:ilvl w:val="0"/>
          <w:numId w:val="20"/>
        </w:numPr>
        <w:autoSpaceDE w:val="0"/>
        <w:autoSpaceDN w:val="0"/>
        <w:adjustRightInd w:val="0"/>
      </w:pPr>
      <w:r>
        <w:t xml:space="preserve">Domestic biofuel feedstock producers </w:t>
      </w:r>
      <w:r w:rsidR="00090D2E">
        <w:t>(</w:t>
      </w:r>
      <w:r w:rsidR="00B760ED">
        <w:t>1,000,000</w:t>
      </w:r>
      <w:r w:rsidR="00090D2E">
        <w:t>)</w:t>
      </w:r>
      <w:r w:rsidR="00B760ED">
        <w:t xml:space="preserve"> </w:t>
      </w:r>
      <w:r w:rsidR="00090D2E">
        <w:t xml:space="preserve"> </w:t>
      </w:r>
    </w:p>
    <w:p w14:paraId="6510127E" w14:textId="77777777" w:rsidR="00B760ED" w:rsidRDefault="001D2515" w:rsidP="00B760ED">
      <w:pPr>
        <w:numPr>
          <w:ilvl w:val="0"/>
          <w:numId w:val="20"/>
        </w:numPr>
        <w:autoSpaceDE w:val="0"/>
        <w:autoSpaceDN w:val="0"/>
        <w:adjustRightInd w:val="0"/>
      </w:pPr>
      <w:r>
        <w:lastRenderedPageBreak/>
        <w:t xml:space="preserve">Foreign biofuel feedstock producers </w:t>
      </w:r>
      <w:r w:rsidR="00090D2E">
        <w:t>(</w:t>
      </w:r>
      <w:r w:rsidR="00B760ED">
        <w:t>30,966</w:t>
      </w:r>
      <w:r w:rsidR="00090D2E">
        <w:t xml:space="preserve">) </w:t>
      </w:r>
    </w:p>
    <w:p w14:paraId="34A2513A" w14:textId="77777777" w:rsidR="00724B75" w:rsidRDefault="00724B75" w:rsidP="00634F3E">
      <w:pPr>
        <w:autoSpaceDE w:val="0"/>
        <w:autoSpaceDN w:val="0"/>
        <w:adjustRightInd w:val="0"/>
        <w:ind w:left="1080"/>
      </w:pPr>
    </w:p>
    <w:p w14:paraId="5212F5A9" w14:textId="77777777" w:rsidR="00724B75" w:rsidRDefault="00B760ED" w:rsidP="00724B75">
      <w:pPr>
        <w:autoSpaceDE w:val="0"/>
        <w:autoSpaceDN w:val="0"/>
        <w:adjustRightInd w:val="0"/>
        <w:ind w:left="720"/>
      </w:pPr>
      <w:r>
        <w:t xml:space="preserve">[Note:  The above estimates are derived from </w:t>
      </w:r>
      <w:r w:rsidR="00A32F06">
        <w:t xml:space="preserve">the following </w:t>
      </w:r>
      <w:r>
        <w:t>sources</w:t>
      </w:r>
      <w:r w:rsidR="00A32F06">
        <w:t>:</w:t>
      </w:r>
      <w:r>
        <w:t xml:space="preserve">  A presentation given by Brent Butler, United States Forest Service</w:t>
      </w:r>
      <w:r w:rsidR="00724B75">
        <w:t xml:space="preserve"> in conj</w:t>
      </w:r>
      <w:r w:rsidR="00042EE3">
        <w:t>un</w:t>
      </w:r>
      <w:r w:rsidR="00724B75">
        <w:t>ction with the U.S. Department of Agriculture</w:t>
      </w:r>
      <w:r>
        <w:t>, entitled “</w:t>
      </w:r>
      <w:r w:rsidR="00724B75">
        <w:t>Who Owns America’s Forest?</w:t>
      </w:r>
      <w:r>
        <w:t>,” dated</w:t>
      </w:r>
      <w:r w:rsidR="00042EE3">
        <w:t xml:space="preserve"> </w:t>
      </w:r>
      <w:r w:rsidR="00724B75">
        <w:t>May</w:t>
      </w:r>
      <w:r>
        <w:t xml:space="preserve">, </w:t>
      </w:r>
      <w:r w:rsidR="00724B75">
        <w:t xml:space="preserve">2008 </w:t>
      </w:r>
      <w:r>
        <w:t>estimates a 10,000,000 population of plantation and private forest owners.  We have a</w:t>
      </w:r>
      <w:r w:rsidR="00C8544B">
        <w:t>s</w:t>
      </w:r>
      <w:r>
        <w:t xml:space="preserve">sumed </w:t>
      </w:r>
      <w:r w:rsidR="00C8544B">
        <w:t xml:space="preserve">1 million owners or </w:t>
      </w:r>
      <w:r>
        <w:t>10%</w:t>
      </w:r>
      <w:r w:rsidR="00C8544B">
        <w:t xml:space="preserve"> to participate </w:t>
      </w:r>
      <w:r>
        <w:t>in RFS2.</w:t>
      </w:r>
      <w:r w:rsidR="002F1EA0">
        <w:t xml:space="preserve">  </w:t>
      </w:r>
      <w:r w:rsidR="00F81F51">
        <w:t>The Bu</w:t>
      </w:r>
      <w:r w:rsidR="00C8544B">
        <w:t>r</w:t>
      </w:r>
      <w:r w:rsidR="00F81F51">
        <w:t xml:space="preserve">eau of Labor Statistics, U.S. Department of Labor, Occupational Outlook Handbook, 2012-13 Edition, Farmers, Ranchers, and other Agricultural Managers, on the Internet at </w:t>
      </w:r>
      <w:hyperlink r:id="rId7" w:history="1">
        <w:r w:rsidR="00F81F51" w:rsidRPr="008A58BF">
          <w:rPr>
            <w:rStyle w:val="Hyperlink"/>
          </w:rPr>
          <w:t>http://www.bls.gov/ooh/management/farmers-ranchers-and -other agricultural-managers.htm</w:t>
        </w:r>
      </w:hyperlink>
      <w:r w:rsidR="00F81F51">
        <w:t xml:space="preserve"> </w:t>
      </w:r>
      <w:r w:rsidR="002F1EA0">
        <w:t>e</w:t>
      </w:r>
      <w:r w:rsidR="00F81F51">
        <w:t xml:space="preserve">stimated </w:t>
      </w:r>
      <w:r w:rsidR="00C8544B">
        <w:t xml:space="preserve">1,106,400  persons who claim farming as an occupation and </w:t>
      </w:r>
      <w:r w:rsidR="00F27D5C">
        <w:t xml:space="preserve">for our purposes can be </w:t>
      </w:r>
      <w:r w:rsidR="00C8544B">
        <w:t xml:space="preserve">possible producers of feedstock for producers of renewable fuel. </w:t>
      </w:r>
      <w:r w:rsidR="00157815">
        <w:t>Based on our experience with RFS2 registrations,</w:t>
      </w:r>
      <w:r w:rsidR="00D504D2">
        <w:t xml:space="preserve"> </w:t>
      </w:r>
      <w:r w:rsidR="00157815">
        <w:t xml:space="preserve">we </w:t>
      </w:r>
      <w:r>
        <w:t>estimated the number of foreign biofuel feedstock producers to be 30,</w:t>
      </w:r>
      <w:r w:rsidR="000D1849">
        <w:t>1</w:t>
      </w:r>
      <w:r w:rsidR="00B03C99">
        <w:t>92</w:t>
      </w:r>
      <w:r w:rsidR="000D1849">
        <w:t xml:space="preserve"> </w:t>
      </w:r>
      <w:r>
        <w:t>which is 3% of the total of domestic feedstock producers (i.e., 3% of 1,</w:t>
      </w:r>
      <w:r w:rsidR="00C8544B">
        <w:t>006</w:t>
      </w:r>
      <w:r>
        <w:t>,</w:t>
      </w:r>
      <w:r w:rsidR="00C8544B">
        <w:t>400</w:t>
      </w:r>
      <w:r>
        <w:t>.)]</w:t>
      </w:r>
    </w:p>
    <w:p w14:paraId="3C673B32" w14:textId="77777777" w:rsidR="00825991" w:rsidRDefault="00825991" w:rsidP="00724B75">
      <w:pPr>
        <w:autoSpaceDE w:val="0"/>
        <w:autoSpaceDN w:val="0"/>
        <w:adjustRightInd w:val="0"/>
        <w:ind w:left="720"/>
      </w:pPr>
    </w:p>
    <w:p w14:paraId="5F56CF18" w14:textId="77777777" w:rsidR="002C2611" w:rsidRDefault="002F1EA0" w:rsidP="002F1EA0">
      <w:pPr>
        <w:autoSpaceDE w:val="0"/>
        <w:autoSpaceDN w:val="0"/>
        <w:adjustRightInd w:val="0"/>
      </w:pPr>
      <w:r>
        <w:tab/>
      </w:r>
      <w:r w:rsidR="002C2611">
        <w:t xml:space="preserve">This supporting statement includes </w:t>
      </w:r>
      <w:r>
        <w:t xml:space="preserve">reporting </w:t>
      </w:r>
      <w:r w:rsidR="002C2611">
        <w:t xml:space="preserve">estimates </w:t>
      </w:r>
      <w:r w:rsidR="00452668">
        <w:t xml:space="preserve">involving </w:t>
      </w:r>
      <w:r w:rsidR="002C2611">
        <w:t>biofuel feedstock producers</w:t>
      </w:r>
      <w:r w:rsidR="0007782D">
        <w:t xml:space="preserve"> and plantation/private forest owners. These parties must </w:t>
      </w:r>
      <w:r w:rsidR="00452668">
        <w:t xml:space="preserve">provide certain information about their </w:t>
      </w:r>
      <w:r w:rsidR="0020691F">
        <w:t>feedstock</w:t>
      </w:r>
      <w:r w:rsidR="0007782D">
        <w:t xml:space="preserve"> and lumber byproducts re</w:t>
      </w:r>
      <w:r w:rsidR="00452668">
        <w:t>source</w:t>
      </w:r>
      <w:r w:rsidR="0007782D">
        <w:t>s</w:t>
      </w:r>
      <w:r w:rsidR="002C2611">
        <w:t xml:space="preserve"> to biofuel producers</w:t>
      </w:r>
      <w:r w:rsidR="00452668">
        <w:t xml:space="preserve"> and to EPA upon request</w:t>
      </w:r>
      <w:r w:rsidR="002C2611">
        <w:t xml:space="preserve">.  The RFS2 final rule contains provisions </w:t>
      </w:r>
      <w:r w:rsidR="00A32F06">
        <w:t xml:space="preserve">requiring recordkeeping/reporting and </w:t>
      </w:r>
      <w:r w:rsidR="002C2611">
        <w:t xml:space="preserve">the mapping of certain plots of land (e.g. generating a Google map or similar representation), based upon an aggregate baseline approach. </w:t>
      </w:r>
      <w:r w:rsidR="00CA5528">
        <w:t xml:space="preserve">At this stage in the program, this information is required for </w:t>
      </w:r>
      <w:r w:rsidR="0020691F">
        <w:t>foreign</w:t>
      </w:r>
      <w:r w:rsidR="00CA5528">
        <w:t xml:space="preserve"> biofuel feedstock producers</w:t>
      </w:r>
      <w:r w:rsidR="0007782D">
        <w:t>, domestic plantation/private forest owners and foreign plantation/private forest owners</w:t>
      </w:r>
      <w:r w:rsidR="00CA5528">
        <w:t xml:space="preserve">. </w:t>
      </w:r>
      <w:r w:rsidR="002C2611">
        <w:t xml:space="preserve"> Although we expect that this </w:t>
      </w:r>
      <w:r w:rsidR="009E21BB">
        <w:t xml:space="preserve">could </w:t>
      </w:r>
      <w:r w:rsidR="002C2611">
        <w:t>lead to future</w:t>
      </w:r>
      <w:r w:rsidR="00A665C4">
        <w:t xml:space="preserve"> burden on the part of certain biofuel producers who use croplands </w:t>
      </w:r>
      <w:r w:rsidR="0007782D">
        <w:t>and wood byproducts</w:t>
      </w:r>
      <w:r w:rsidR="00A665C4">
        <w:t>,</w:t>
      </w:r>
      <w:r w:rsidR="002C2611">
        <w:t xml:space="preserve"> we do not expect that </w:t>
      </w:r>
      <w:r w:rsidR="0007782D">
        <w:t xml:space="preserve">the domestic </w:t>
      </w:r>
      <w:r w:rsidR="008B6BB0">
        <w:t xml:space="preserve">biofuels feedstock producers </w:t>
      </w:r>
      <w:r w:rsidR="0007782D">
        <w:t xml:space="preserve">or </w:t>
      </w:r>
      <w:r w:rsidR="008B6BB0">
        <w:t xml:space="preserve">those from </w:t>
      </w:r>
      <w:smartTag w:uri="urn:schemas-microsoft-com:office:smarttags" w:element="place">
        <w:smartTag w:uri="urn:schemas-microsoft-com:office:smarttags" w:element="country-region">
          <w:r w:rsidR="0007782D">
            <w:t>Canada</w:t>
          </w:r>
        </w:smartTag>
      </w:smartTag>
      <w:r w:rsidR="0007782D">
        <w:t xml:space="preserve"> </w:t>
      </w:r>
      <w:r w:rsidR="000910DE">
        <w:t>will be required</w:t>
      </w:r>
      <w:r w:rsidR="0007782D">
        <w:t xml:space="preserve"> </w:t>
      </w:r>
      <w:r w:rsidR="002C2611">
        <w:t>to engage in recordkeeping and reporting activities under this provision</w:t>
      </w:r>
      <w:r w:rsidR="008B6BB0">
        <w:t xml:space="preserve"> at this time.</w:t>
      </w:r>
      <w:r w:rsidR="002C2611">
        <w:t xml:space="preserve"> Therefore, we </w:t>
      </w:r>
      <w:r w:rsidR="008B6BB0">
        <w:t xml:space="preserve">are </w:t>
      </w:r>
      <w:r w:rsidR="002C2611">
        <w:t>provid</w:t>
      </w:r>
      <w:r w:rsidR="008B6BB0">
        <w:t xml:space="preserve">ing </w:t>
      </w:r>
      <w:r w:rsidR="002C2611">
        <w:t>estimate</w:t>
      </w:r>
      <w:r w:rsidR="008B6BB0">
        <w:t>s</w:t>
      </w:r>
      <w:r w:rsidR="002C2611">
        <w:t xml:space="preserve"> related to this provision</w:t>
      </w:r>
      <w:r w:rsidR="00C274DF">
        <w:t xml:space="preserve"> for </w:t>
      </w:r>
      <w:r w:rsidR="00F27D5C">
        <w:t xml:space="preserve">the </w:t>
      </w:r>
      <w:r w:rsidR="008B6BB0">
        <w:t xml:space="preserve">above named biofuels feedstock </w:t>
      </w:r>
      <w:r w:rsidR="00C274DF">
        <w:t>producers</w:t>
      </w:r>
      <w:r w:rsidR="008B6BB0">
        <w:t>.</w:t>
      </w:r>
      <w:r w:rsidR="002C2611">
        <w:t xml:space="preserve"> </w:t>
      </w:r>
      <w:r w:rsidR="008B6BB0">
        <w:t>W</w:t>
      </w:r>
      <w:r w:rsidR="00C274DF">
        <w:t xml:space="preserve">e </w:t>
      </w:r>
      <w:r w:rsidR="002C2611">
        <w:t>expec</w:t>
      </w:r>
      <w:r w:rsidR="00C274DF">
        <w:t>t</w:t>
      </w:r>
      <w:r w:rsidR="002C2611">
        <w:t xml:space="preserve"> </w:t>
      </w:r>
      <w:r w:rsidR="008B6BB0">
        <w:t xml:space="preserve">this </w:t>
      </w:r>
      <w:r w:rsidR="002C2611">
        <w:t xml:space="preserve">to result in </w:t>
      </w:r>
      <w:r w:rsidR="00543911">
        <w:t xml:space="preserve">added </w:t>
      </w:r>
      <w:r w:rsidR="0020691F">
        <w:t>burden during the</w:t>
      </w:r>
      <w:r w:rsidR="002C2611">
        <w:t xml:space="preserve"> three year period covered by this ICR.  Estimates for future recordkeeping and reporting will be provided when the recordkeeping and reporting is expected to occur.  </w:t>
      </w:r>
      <w:r w:rsidR="00825991">
        <w:t>See Table Vl: Biofuels Feedstock Producers.</w:t>
      </w:r>
    </w:p>
    <w:p w14:paraId="2053B512" w14:textId="77777777" w:rsidR="00CF2BEB" w:rsidRDefault="00B760ED" w:rsidP="00825991">
      <w:pPr>
        <w:autoSpaceDE w:val="0"/>
        <w:autoSpaceDN w:val="0"/>
        <w:adjustRightInd w:val="0"/>
        <w:ind w:firstLine="720"/>
      </w:pPr>
      <w:r>
        <w:tab/>
      </w:r>
    </w:p>
    <w:p w14:paraId="465635DA" w14:textId="77777777" w:rsidR="00F27D5C" w:rsidRDefault="00CF2BEB" w:rsidP="00CF2BEB">
      <w:pPr>
        <w:outlineLvl w:val="0"/>
      </w:pPr>
      <w:r>
        <w:tab/>
      </w:r>
    </w:p>
    <w:p w14:paraId="745CBC84" w14:textId="77777777" w:rsidR="00273000" w:rsidRDefault="00273000" w:rsidP="00CF2BEB">
      <w:pPr>
        <w:outlineLvl w:val="0"/>
        <w:sectPr w:rsidR="00273000" w:rsidSect="000453F1">
          <w:footerReference w:type="even" r:id="rId8"/>
          <w:footerReference w:type="default" r:id="rId9"/>
          <w:pgSz w:w="12240" w:h="15840"/>
          <w:pgMar w:top="1440" w:right="1800" w:bottom="1440" w:left="1800" w:header="720" w:footer="720" w:gutter="0"/>
          <w:pgNumType w:fmt="numberInDash" w:start="18"/>
          <w:cols w:space="720"/>
        </w:sectPr>
      </w:pPr>
    </w:p>
    <w:tbl>
      <w:tblPr>
        <w:tblpPr w:leftFromText="180" w:rightFromText="180" w:horzAnchor="margin" w:tblpXSpec="center" w:tblpY="-1125"/>
        <w:tblW w:w="15110" w:type="dxa"/>
        <w:tblLook w:val="0000" w:firstRow="0" w:lastRow="0" w:firstColumn="0" w:lastColumn="0" w:noHBand="0" w:noVBand="0"/>
      </w:tblPr>
      <w:tblGrid>
        <w:gridCol w:w="5145"/>
        <w:gridCol w:w="1513"/>
        <w:gridCol w:w="1325"/>
        <w:gridCol w:w="1520"/>
        <w:gridCol w:w="1207"/>
        <w:gridCol w:w="1420"/>
        <w:gridCol w:w="1320"/>
        <w:gridCol w:w="1660"/>
      </w:tblGrid>
      <w:tr w:rsidR="002323DA" w:rsidRPr="002323DA" w14:paraId="69A926E6" w14:textId="77777777" w:rsidTr="00281C9C">
        <w:trPr>
          <w:trHeight w:val="430"/>
        </w:trPr>
        <w:tc>
          <w:tcPr>
            <w:tcW w:w="15110" w:type="dxa"/>
            <w:gridSpan w:val="8"/>
            <w:tcBorders>
              <w:top w:val="single" w:sz="8" w:space="0" w:color="auto"/>
              <w:left w:val="single" w:sz="8" w:space="0" w:color="auto"/>
              <w:bottom w:val="nil"/>
              <w:right w:val="single" w:sz="8" w:space="0" w:color="000000"/>
            </w:tcBorders>
            <w:shd w:val="clear" w:color="auto" w:fill="auto"/>
            <w:noWrap/>
            <w:vAlign w:val="bottom"/>
          </w:tcPr>
          <w:p w14:paraId="24B9095E" w14:textId="77777777" w:rsidR="002323DA" w:rsidRPr="002323DA" w:rsidRDefault="002323DA" w:rsidP="00281C9C">
            <w:pPr>
              <w:jc w:val="center"/>
              <w:rPr>
                <w:rFonts w:ascii="Arial" w:hAnsi="Arial" w:cs="Arial"/>
                <w:b/>
                <w:bCs/>
                <w:sz w:val="22"/>
                <w:szCs w:val="22"/>
              </w:rPr>
            </w:pPr>
            <w:r w:rsidRPr="002323DA">
              <w:rPr>
                <w:rFonts w:ascii="Arial" w:hAnsi="Arial" w:cs="Arial"/>
                <w:b/>
                <w:bCs/>
                <w:sz w:val="22"/>
                <w:szCs w:val="22"/>
              </w:rPr>
              <w:lastRenderedPageBreak/>
              <w:t>Information Collection Burden by Type of Party</w:t>
            </w:r>
          </w:p>
        </w:tc>
      </w:tr>
      <w:tr w:rsidR="002323DA" w:rsidRPr="002323DA" w14:paraId="35DB2D13" w14:textId="77777777" w:rsidTr="00281C9C">
        <w:trPr>
          <w:trHeight w:val="378"/>
        </w:trPr>
        <w:tc>
          <w:tcPr>
            <w:tcW w:w="15110" w:type="dxa"/>
            <w:gridSpan w:val="8"/>
            <w:tcBorders>
              <w:top w:val="nil"/>
              <w:left w:val="single" w:sz="8" w:space="0" w:color="auto"/>
              <w:bottom w:val="single" w:sz="8" w:space="0" w:color="auto"/>
              <w:right w:val="single" w:sz="8" w:space="0" w:color="000000"/>
            </w:tcBorders>
            <w:shd w:val="clear" w:color="auto" w:fill="auto"/>
            <w:noWrap/>
            <w:vAlign w:val="bottom"/>
          </w:tcPr>
          <w:p w14:paraId="194637E6" w14:textId="77777777" w:rsidR="002323DA" w:rsidRPr="002323DA" w:rsidRDefault="002323DA" w:rsidP="00281C9C">
            <w:pPr>
              <w:jc w:val="center"/>
              <w:rPr>
                <w:rFonts w:ascii="Arial" w:hAnsi="Arial" w:cs="Arial"/>
                <w:i/>
                <w:iCs/>
                <w:sz w:val="22"/>
                <w:szCs w:val="22"/>
              </w:rPr>
            </w:pPr>
            <w:r w:rsidRPr="002323DA">
              <w:rPr>
                <w:rFonts w:ascii="Arial" w:hAnsi="Arial" w:cs="Arial"/>
                <w:i/>
                <w:iCs/>
                <w:sz w:val="22"/>
                <w:szCs w:val="22"/>
              </w:rPr>
              <w:t>Table VI:  Biofuels Feedstock Producers</w:t>
            </w:r>
          </w:p>
        </w:tc>
      </w:tr>
      <w:tr w:rsidR="002323DA" w:rsidRPr="002323DA" w14:paraId="448E4115" w14:textId="77777777" w:rsidTr="00281C9C">
        <w:trPr>
          <w:trHeight w:val="975"/>
        </w:trPr>
        <w:tc>
          <w:tcPr>
            <w:tcW w:w="5145" w:type="dxa"/>
            <w:tcBorders>
              <w:top w:val="nil"/>
              <w:left w:val="single" w:sz="8" w:space="0" w:color="auto"/>
              <w:bottom w:val="single" w:sz="8" w:space="0" w:color="auto"/>
              <w:right w:val="single" w:sz="4" w:space="0" w:color="auto"/>
            </w:tcBorders>
            <w:shd w:val="clear" w:color="auto" w:fill="auto"/>
            <w:vAlign w:val="bottom"/>
          </w:tcPr>
          <w:p w14:paraId="345D066C"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Collection Activity</w:t>
            </w:r>
          </w:p>
        </w:tc>
        <w:tc>
          <w:tcPr>
            <w:tcW w:w="1513" w:type="dxa"/>
            <w:tcBorders>
              <w:top w:val="nil"/>
              <w:left w:val="nil"/>
              <w:bottom w:val="single" w:sz="8" w:space="0" w:color="auto"/>
              <w:right w:val="single" w:sz="4" w:space="0" w:color="auto"/>
            </w:tcBorders>
            <w:shd w:val="clear" w:color="auto" w:fill="auto"/>
            <w:vAlign w:val="bottom"/>
          </w:tcPr>
          <w:p w14:paraId="6FCC32E0"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Number of Respondents</w:t>
            </w:r>
          </w:p>
        </w:tc>
        <w:tc>
          <w:tcPr>
            <w:tcW w:w="1325" w:type="dxa"/>
            <w:tcBorders>
              <w:top w:val="nil"/>
              <w:left w:val="nil"/>
              <w:bottom w:val="single" w:sz="8" w:space="0" w:color="auto"/>
              <w:right w:val="single" w:sz="4" w:space="0" w:color="auto"/>
            </w:tcBorders>
            <w:shd w:val="clear" w:color="auto" w:fill="auto"/>
            <w:vAlign w:val="bottom"/>
          </w:tcPr>
          <w:p w14:paraId="07C8ACD2"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Number of Responses per Party</w:t>
            </w:r>
          </w:p>
        </w:tc>
        <w:tc>
          <w:tcPr>
            <w:tcW w:w="1520" w:type="dxa"/>
            <w:tcBorders>
              <w:top w:val="nil"/>
              <w:left w:val="nil"/>
              <w:bottom w:val="single" w:sz="8" w:space="0" w:color="auto"/>
              <w:right w:val="single" w:sz="4" w:space="0" w:color="auto"/>
            </w:tcBorders>
            <w:shd w:val="clear" w:color="auto" w:fill="auto"/>
            <w:vAlign w:val="bottom"/>
          </w:tcPr>
          <w:p w14:paraId="389AA811"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Total Number of Responses</w:t>
            </w:r>
          </w:p>
        </w:tc>
        <w:tc>
          <w:tcPr>
            <w:tcW w:w="1207" w:type="dxa"/>
            <w:tcBorders>
              <w:top w:val="nil"/>
              <w:left w:val="nil"/>
              <w:bottom w:val="single" w:sz="8" w:space="0" w:color="auto"/>
              <w:right w:val="single" w:sz="4" w:space="0" w:color="auto"/>
            </w:tcBorders>
            <w:shd w:val="clear" w:color="auto" w:fill="auto"/>
            <w:vAlign w:val="bottom"/>
          </w:tcPr>
          <w:p w14:paraId="202E5B5C"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Time per Response (hours)</w:t>
            </w:r>
          </w:p>
        </w:tc>
        <w:tc>
          <w:tcPr>
            <w:tcW w:w="1420" w:type="dxa"/>
            <w:tcBorders>
              <w:top w:val="nil"/>
              <w:left w:val="nil"/>
              <w:bottom w:val="single" w:sz="8" w:space="0" w:color="auto"/>
              <w:right w:val="single" w:sz="4" w:space="0" w:color="auto"/>
            </w:tcBorders>
            <w:shd w:val="clear" w:color="auto" w:fill="auto"/>
            <w:vAlign w:val="bottom"/>
          </w:tcPr>
          <w:p w14:paraId="2D73A154"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Cost per Response (Dollars)</w:t>
            </w:r>
          </w:p>
        </w:tc>
        <w:tc>
          <w:tcPr>
            <w:tcW w:w="1320" w:type="dxa"/>
            <w:tcBorders>
              <w:top w:val="nil"/>
              <w:left w:val="nil"/>
              <w:bottom w:val="single" w:sz="8" w:space="0" w:color="auto"/>
              <w:right w:val="single" w:sz="4" w:space="0" w:color="auto"/>
            </w:tcBorders>
            <w:shd w:val="clear" w:color="auto" w:fill="auto"/>
            <w:vAlign w:val="bottom"/>
          </w:tcPr>
          <w:p w14:paraId="4800E33D"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Total Hours</w:t>
            </w:r>
          </w:p>
        </w:tc>
        <w:tc>
          <w:tcPr>
            <w:tcW w:w="1660" w:type="dxa"/>
            <w:tcBorders>
              <w:top w:val="nil"/>
              <w:left w:val="nil"/>
              <w:bottom w:val="single" w:sz="8" w:space="0" w:color="auto"/>
              <w:right w:val="single" w:sz="8" w:space="0" w:color="auto"/>
            </w:tcBorders>
            <w:shd w:val="clear" w:color="auto" w:fill="auto"/>
            <w:vAlign w:val="bottom"/>
          </w:tcPr>
          <w:p w14:paraId="651A7F30"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Total Cost (Dollars)</w:t>
            </w:r>
          </w:p>
        </w:tc>
      </w:tr>
      <w:tr w:rsidR="002323DA" w:rsidRPr="002323DA" w14:paraId="4A153F69" w14:textId="77777777" w:rsidTr="00281C9C">
        <w:trPr>
          <w:trHeight w:val="358"/>
        </w:trPr>
        <w:tc>
          <w:tcPr>
            <w:tcW w:w="5145" w:type="dxa"/>
            <w:tcBorders>
              <w:top w:val="nil"/>
              <w:left w:val="single" w:sz="8" w:space="0" w:color="auto"/>
              <w:bottom w:val="single" w:sz="4" w:space="0" w:color="auto"/>
              <w:right w:val="single" w:sz="4" w:space="0" w:color="auto"/>
            </w:tcBorders>
            <w:shd w:val="clear" w:color="auto" w:fill="auto"/>
            <w:noWrap/>
            <w:vAlign w:val="bottom"/>
          </w:tcPr>
          <w:p w14:paraId="2063AB02" w14:textId="77777777" w:rsidR="002323DA" w:rsidRPr="002323DA" w:rsidRDefault="002323DA" w:rsidP="00281C9C">
            <w:pPr>
              <w:rPr>
                <w:rFonts w:ascii="Arial" w:hAnsi="Arial" w:cs="Arial"/>
                <w:b/>
                <w:bCs/>
                <w:sz w:val="22"/>
                <w:szCs w:val="22"/>
              </w:rPr>
            </w:pPr>
            <w:r w:rsidRPr="002323DA">
              <w:rPr>
                <w:rFonts w:ascii="Arial" w:hAnsi="Arial" w:cs="Arial"/>
                <w:b/>
                <w:bCs/>
                <w:sz w:val="22"/>
                <w:szCs w:val="22"/>
              </w:rPr>
              <w:t>Third Party Disclosure</w:t>
            </w:r>
          </w:p>
        </w:tc>
        <w:tc>
          <w:tcPr>
            <w:tcW w:w="1513" w:type="dxa"/>
            <w:tcBorders>
              <w:top w:val="nil"/>
              <w:left w:val="nil"/>
              <w:bottom w:val="single" w:sz="4" w:space="0" w:color="auto"/>
              <w:right w:val="single" w:sz="4" w:space="0" w:color="auto"/>
            </w:tcBorders>
            <w:shd w:val="clear" w:color="auto" w:fill="auto"/>
            <w:noWrap/>
            <w:vAlign w:val="bottom"/>
          </w:tcPr>
          <w:p w14:paraId="2AA4202E"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 </w:t>
            </w:r>
          </w:p>
        </w:tc>
        <w:tc>
          <w:tcPr>
            <w:tcW w:w="1325" w:type="dxa"/>
            <w:tcBorders>
              <w:top w:val="nil"/>
              <w:left w:val="nil"/>
              <w:bottom w:val="single" w:sz="4" w:space="0" w:color="auto"/>
              <w:right w:val="single" w:sz="4" w:space="0" w:color="auto"/>
            </w:tcBorders>
            <w:shd w:val="clear" w:color="auto" w:fill="auto"/>
            <w:noWrap/>
            <w:vAlign w:val="bottom"/>
          </w:tcPr>
          <w:p w14:paraId="75733DE1"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 </w:t>
            </w:r>
          </w:p>
        </w:tc>
        <w:tc>
          <w:tcPr>
            <w:tcW w:w="1520" w:type="dxa"/>
            <w:tcBorders>
              <w:top w:val="nil"/>
              <w:left w:val="nil"/>
              <w:bottom w:val="single" w:sz="4" w:space="0" w:color="auto"/>
              <w:right w:val="single" w:sz="4" w:space="0" w:color="auto"/>
            </w:tcBorders>
            <w:shd w:val="clear" w:color="auto" w:fill="auto"/>
            <w:noWrap/>
            <w:vAlign w:val="bottom"/>
          </w:tcPr>
          <w:p w14:paraId="6119D147"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 </w:t>
            </w:r>
          </w:p>
        </w:tc>
        <w:tc>
          <w:tcPr>
            <w:tcW w:w="1207" w:type="dxa"/>
            <w:tcBorders>
              <w:top w:val="nil"/>
              <w:left w:val="nil"/>
              <w:bottom w:val="single" w:sz="4" w:space="0" w:color="auto"/>
              <w:right w:val="single" w:sz="4" w:space="0" w:color="auto"/>
            </w:tcBorders>
            <w:shd w:val="clear" w:color="auto" w:fill="auto"/>
            <w:noWrap/>
            <w:vAlign w:val="bottom"/>
          </w:tcPr>
          <w:p w14:paraId="367E8A67"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 </w:t>
            </w:r>
          </w:p>
        </w:tc>
        <w:tc>
          <w:tcPr>
            <w:tcW w:w="1420" w:type="dxa"/>
            <w:tcBorders>
              <w:top w:val="nil"/>
              <w:left w:val="nil"/>
              <w:bottom w:val="single" w:sz="4" w:space="0" w:color="auto"/>
              <w:right w:val="single" w:sz="4" w:space="0" w:color="auto"/>
            </w:tcBorders>
            <w:shd w:val="clear" w:color="auto" w:fill="auto"/>
            <w:noWrap/>
            <w:vAlign w:val="bottom"/>
          </w:tcPr>
          <w:p w14:paraId="2F9063B1"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 </w:t>
            </w:r>
          </w:p>
        </w:tc>
        <w:tc>
          <w:tcPr>
            <w:tcW w:w="1320" w:type="dxa"/>
            <w:tcBorders>
              <w:top w:val="nil"/>
              <w:left w:val="nil"/>
              <w:bottom w:val="single" w:sz="4" w:space="0" w:color="auto"/>
              <w:right w:val="single" w:sz="4" w:space="0" w:color="auto"/>
            </w:tcBorders>
            <w:shd w:val="clear" w:color="auto" w:fill="auto"/>
            <w:noWrap/>
            <w:vAlign w:val="bottom"/>
          </w:tcPr>
          <w:p w14:paraId="514D41B6"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 </w:t>
            </w:r>
          </w:p>
        </w:tc>
        <w:tc>
          <w:tcPr>
            <w:tcW w:w="1660" w:type="dxa"/>
            <w:tcBorders>
              <w:top w:val="nil"/>
              <w:left w:val="nil"/>
              <w:bottom w:val="single" w:sz="4" w:space="0" w:color="auto"/>
              <w:right w:val="single" w:sz="8" w:space="0" w:color="auto"/>
            </w:tcBorders>
            <w:shd w:val="clear" w:color="auto" w:fill="auto"/>
            <w:noWrap/>
            <w:vAlign w:val="bottom"/>
          </w:tcPr>
          <w:p w14:paraId="1BDEB6BD"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 </w:t>
            </w:r>
          </w:p>
        </w:tc>
      </w:tr>
      <w:tr w:rsidR="002323DA" w:rsidRPr="002323DA" w14:paraId="572D7ED0" w14:textId="77777777" w:rsidTr="00281C9C">
        <w:trPr>
          <w:trHeight w:val="467"/>
        </w:trPr>
        <w:tc>
          <w:tcPr>
            <w:tcW w:w="5145" w:type="dxa"/>
            <w:tcBorders>
              <w:top w:val="nil"/>
              <w:left w:val="single" w:sz="8" w:space="0" w:color="auto"/>
              <w:bottom w:val="single" w:sz="4" w:space="0" w:color="auto"/>
              <w:right w:val="single" w:sz="4" w:space="0" w:color="auto"/>
            </w:tcBorders>
            <w:shd w:val="clear" w:color="auto" w:fill="auto"/>
            <w:vAlign w:val="center"/>
          </w:tcPr>
          <w:p w14:paraId="2C2E7550" w14:textId="77777777" w:rsidR="002323DA" w:rsidRPr="002323DA" w:rsidRDefault="002323DA" w:rsidP="00281C9C">
            <w:pPr>
              <w:ind w:firstLineChars="200" w:firstLine="440"/>
              <w:rPr>
                <w:rFonts w:ascii="Arial" w:hAnsi="Arial" w:cs="Arial"/>
                <w:sz w:val="22"/>
                <w:szCs w:val="22"/>
              </w:rPr>
            </w:pPr>
            <w:r w:rsidRPr="002323DA">
              <w:rPr>
                <w:rFonts w:ascii="Arial" w:hAnsi="Arial" w:cs="Arial"/>
                <w:sz w:val="22"/>
                <w:szCs w:val="22"/>
              </w:rPr>
              <w:t xml:space="preserve">Plantation/Private </w:t>
            </w:r>
            <w:smartTag w:uri="urn:schemas-microsoft-com:office:smarttags" w:element="place">
              <w:r w:rsidRPr="002323DA">
                <w:rPr>
                  <w:rFonts w:ascii="Arial" w:hAnsi="Arial" w:cs="Arial"/>
                  <w:sz w:val="22"/>
                  <w:szCs w:val="22"/>
                </w:rPr>
                <w:t>Forest</w:t>
              </w:r>
            </w:smartTag>
            <w:r w:rsidRPr="002323DA">
              <w:rPr>
                <w:rFonts w:ascii="Arial" w:hAnsi="Arial" w:cs="Arial"/>
                <w:sz w:val="22"/>
                <w:szCs w:val="22"/>
              </w:rPr>
              <w:t xml:space="preserve"> Owners </w:t>
            </w:r>
          </w:p>
        </w:tc>
        <w:tc>
          <w:tcPr>
            <w:tcW w:w="1513" w:type="dxa"/>
            <w:tcBorders>
              <w:top w:val="nil"/>
              <w:left w:val="nil"/>
              <w:bottom w:val="single" w:sz="4" w:space="0" w:color="auto"/>
              <w:right w:val="single" w:sz="4" w:space="0" w:color="auto"/>
            </w:tcBorders>
            <w:shd w:val="clear" w:color="auto" w:fill="auto"/>
            <w:noWrap/>
            <w:vAlign w:val="bottom"/>
          </w:tcPr>
          <w:p w14:paraId="0D57538F"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1,000,000</w:t>
            </w:r>
          </w:p>
        </w:tc>
        <w:tc>
          <w:tcPr>
            <w:tcW w:w="1325" w:type="dxa"/>
            <w:tcBorders>
              <w:top w:val="nil"/>
              <w:left w:val="nil"/>
              <w:bottom w:val="single" w:sz="4" w:space="0" w:color="auto"/>
              <w:right w:val="single" w:sz="4" w:space="0" w:color="auto"/>
            </w:tcBorders>
            <w:shd w:val="clear" w:color="auto" w:fill="auto"/>
            <w:noWrap/>
            <w:vAlign w:val="bottom"/>
          </w:tcPr>
          <w:p w14:paraId="6A2D5217"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1</w:t>
            </w:r>
          </w:p>
        </w:tc>
        <w:tc>
          <w:tcPr>
            <w:tcW w:w="1520" w:type="dxa"/>
            <w:tcBorders>
              <w:top w:val="nil"/>
              <w:left w:val="nil"/>
              <w:bottom w:val="single" w:sz="4" w:space="0" w:color="auto"/>
              <w:right w:val="single" w:sz="4" w:space="0" w:color="auto"/>
            </w:tcBorders>
            <w:shd w:val="clear" w:color="auto" w:fill="auto"/>
            <w:noWrap/>
            <w:vAlign w:val="bottom"/>
          </w:tcPr>
          <w:p w14:paraId="67B31E96"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1000000</w:t>
            </w:r>
          </w:p>
        </w:tc>
        <w:tc>
          <w:tcPr>
            <w:tcW w:w="1207" w:type="dxa"/>
            <w:tcBorders>
              <w:top w:val="nil"/>
              <w:left w:val="nil"/>
              <w:bottom w:val="single" w:sz="4" w:space="0" w:color="auto"/>
              <w:right w:val="single" w:sz="4" w:space="0" w:color="auto"/>
            </w:tcBorders>
            <w:shd w:val="clear" w:color="auto" w:fill="auto"/>
            <w:noWrap/>
            <w:vAlign w:val="bottom"/>
          </w:tcPr>
          <w:p w14:paraId="5DA93F5A"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0.25</w:t>
            </w:r>
          </w:p>
        </w:tc>
        <w:tc>
          <w:tcPr>
            <w:tcW w:w="1420" w:type="dxa"/>
            <w:tcBorders>
              <w:top w:val="nil"/>
              <w:left w:val="nil"/>
              <w:bottom w:val="single" w:sz="4" w:space="0" w:color="auto"/>
              <w:right w:val="single" w:sz="4" w:space="0" w:color="auto"/>
            </w:tcBorders>
            <w:shd w:val="clear" w:color="auto" w:fill="auto"/>
            <w:noWrap/>
            <w:vAlign w:val="bottom"/>
          </w:tcPr>
          <w:p w14:paraId="40F037E3"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$29</w:t>
            </w:r>
          </w:p>
        </w:tc>
        <w:tc>
          <w:tcPr>
            <w:tcW w:w="1320" w:type="dxa"/>
            <w:tcBorders>
              <w:top w:val="nil"/>
              <w:left w:val="nil"/>
              <w:bottom w:val="single" w:sz="4" w:space="0" w:color="auto"/>
              <w:right w:val="single" w:sz="4" w:space="0" w:color="auto"/>
            </w:tcBorders>
            <w:shd w:val="clear" w:color="auto" w:fill="auto"/>
            <w:noWrap/>
            <w:vAlign w:val="bottom"/>
          </w:tcPr>
          <w:p w14:paraId="5A9CD149"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250000</w:t>
            </w:r>
          </w:p>
        </w:tc>
        <w:tc>
          <w:tcPr>
            <w:tcW w:w="1660" w:type="dxa"/>
            <w:tcBorders>
              <w:top w:val="nil"/>
              <w:left w:val="nil"/>
              <w:bottom w:val="single" w:sz="4" w:space="0" w:color="auto"/>
              <w:right w:val="single" w:sz="8" w:space="0" w:color="auto"/>
            </w:tcBorders>
            <w:shd w:val="clear" w:color="auto" w:fill="auto"/>
            <w:noWrap/>
            <w:vAlign w:val="bottom"/>
          </w:tcPr>
          <w:p w14:paraId="4D15C4D8"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$28,500,000</w:t>
            </w:r>
          </w:p>
        </w:tc>
      </w:tr>
      <w:tr w:rsidR="002323DA" w:rsidRPr="002323DA" w14:paraId="4A5268AD" w14:textId="77777777" w:rsidTr="00281C9C">
        <w:trPr>
          <w:trHeight w:val="530"/>
        </w:trPr>
        <w:tc>
          <w:tcPr>
            <w:tcW w:w="5145" w:type="dxa"/>
            <w:tcBorders>
              <w:top w:val="nil"/>
              <w:left w:val="single" w:sz="8" w:space="0" w:color="auto"/>
              <w:bottom w:val="single" w:sz="4" w:space="0" w:color="auto"/>
              <w:right w:val="single" w:sz="4" w:space="0" w:color="auto"/>
            </w:tcBorders>
            <w:shd w:val="clear" w:color="auto" w:fill="auto"/>
            <w:vAlign w:val="center"/>
          </w:tcPr>
          <w:p w14:paraId="0766E46E" w14:textId="77777777" w:rsidR="002323DA" w:rsidRPr="002323DA" w:rsidRDefault="002323DA" w:rsidP="00281C9C">
            <w:pPr>
              <w:ind w:firstLineChars="200" w:firstLine="440"/>
              <w:rPr>
                <w:rFonts w:ascii="Arial" w:hAnsi="Arial" w:cs="Arial"/>
                <w:sz w:val="22"/>
                <w:szCs w:val="22"/>
              </w:rPr>
            </w:pPr>
            <w:r w:rsidRPr="002323DA">
              <w:rPr>
                <w:rFonts w:ascii="Arial" w:hAnsi="Arial" w:cs="Arial"/>
                <w:sz w:val="22"/>
                <w:szCs w:val="22"/>
              </w:rPr>
              <w:t>Domestic - Mapping of Plantation/Forest Land</w:t>
            </w:r>
          </w:p>
        </w:tc>
        <w:tc>
          <w:tcPr>
            <w:tcW w:w="1513" w:type="dxa"/>
            <w:tcBorders>
              <w:top w:val="nil"/>
              <w:left w:val="nil"/>
              <w:bottom w:val="single" w:sz="4" w:space="0" w:color="auto"/>
              <w:right w:val="single" w:sz="4" w:space="0" w:color="auto"/>
            </w:tcBorders>
            <w:shd w:val="clear" w:color="auto" w:fill="auto"/>
            <w:noWrap/>
            <w:vAlign w:val="bottom"/>
          </w:tcPr>
          <w:p w14:paraId="115614E6"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1,000,000</w:t>
            </w:r>
          </w:p>
        </w:tc>
        <w:tc>
          <w:tcPr>
            <w:tcW w:w="1325" w:type="dxa"/>
            <w:tcBorders>
              <w:top w:val="nil"/>
              <w:left w:val="nil"/>
              <w:bottom w:val="single" w:sz="4" w:space="0" w:color="auto"/>
              <w:right w:val="single" w:sz="4" w:space="0" w:color="auto"/>
            </w:tcBorders>
            <w:shd w:val="clear" w:color="auto" w:fill="auto"/>
            <w:noWrap/>
            <w:vAlign w:val="bottom"/>
          </w:tcPr>
          <w:p w14:paraId="2E6C733A"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1</w:t>
            </w:r>
          </w:p>
        </w:tc>
        <w:tc>
          <w:tcPr>
            <w:tcW w:w="1520" w:type="dxa"/>
            <w:tcBorders>
              <w:top w:val="nil"/>
              <w:left w:val="nil"/>
              <w:bottom w:val="single" w:sz="4" w:space="0" w:color="auto"/>
              <w:right w:val="single" w:sz="4" w:space="0" w:color="auto"/>
            </w:tcBorders>
            <w:shd w:val="clear" w:color="auto" w:fill="auto"/>
            <w:noWrap/>
            <w:vAlign w:val="bottom"/>
          </w:tcPr>
          <w:p w14:paraId="118D5057"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1000000</w:t>
            </w:r>
          </w:p>
        </w:tc>
        <w:tc>
          <w:tcPr>
            <w:tcW w:w="1207" w:type="dxa"/>
            <w:tcBorders>
              <w:top w:val="nil"/>
              <w:left w:val="nil"/>
              <w:bottom w:val="single" w:sz="4" w:space="0" w:color="auto"/>
              <w:right w:val="single" w:sz="4" w:space="0" w:color="auto"/>
            </w:tcBorders>
            <w:shd w:val="clear" w:color="auto" w:fill="auto"/>
            <w:noWrap/>
            <w:vAlign w:val="bottom"/>
          </w:tcPr>
          <w:p w14:paraId="754FCC07"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0.25</w:t>
            </w:r>
          </w:p>
        </w:tc>
        <w:tc>
          <w:tcPr>
            <w:tcW w:w="1420" w:type="dxa"/>
            <w:tcBorders>
              <w:top w:val="nil"/>
              <w:left w:val="nil"/>
              <w:bottom w:val="single" w:sz="4" w:space="0" w:color="auto"/>
              <w:right w:val="single" w:sz="4" w:space="0" w:color="auto"/>
            </w:tcBorders>
            <w:shd w:val="clear" w:color="auto" w:fill="auto"/>
            <w:noWrap/>
            <w:vAlign w:val="bottom"/>
          </w:tcPr>
          <w:p w14:paraId="1153321D"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$29</w:t>
            </w:r>
          </w:p>
        </w:tc>
        <w:tc>
          <w:tcPr>
            <w:tcW w:w="1320" w:type="dxa"/>
            <w:tcBorders>
              <w:top w:val="nil"/>
              <w:left w:val="nil"/>
              <w:bottom w:val="single" w:sz="4" w:space="0" w:color="auto"/>
              <w:right w:val="single" w:sz="4" w:space="0" w:color="auto"/>
            </w:tcBorders>
            <w:shd w:val="clear" w:color="auto" w:fill="auto"/>
            <w:noWrap/>
            <w:vAlign w:val="bottom"/>
          </w:tcPr>
          <w:p w14:paraId="3FB648E5"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250000</w:t>
            </w:r>
          </w:p>
        </w:tc>
        <w:tc>
          <w:tcPr>
            <w:tcW w:w="1660" w:type="dxa"/>
            <w:tcBorders>
              <w:top w:val="nil"/>
              <w:left w:val="nil"/>
              <w:bottom w:val="single" w:sz="4" w:space="0" w:color="auto"/>
              <w:right w:val="single" w:sz="8" w:space="0" w:color="auto"/>
            </w:tcBorders>
            <w:shd w:val="clear" w:color="auto" w:fill="auto"/>
            <w:noWrap/>
            <w:vAlign w:val="bottom"/>
          </w:tcPr>
          <w:p w14:paraId="4F17422C"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$28,500,000</w:t>
            </w:r>
          </w:p>
        </w:tc>
      </w:tr>
      <w:tr w:rsidR="002323DA" w:rsidRPr="002323DA" w14:paraId="01A3B6BD" w14:textId="77777777" w:rsidTr="00281C9C">
        <w:trPr>
          <w:trHeight w:val="440"/>
        </w:trPr>
        <w:tc>
          <w:tcPr>
            <w:tcW w:w="5145" w:type="dxa"/>
            <w:tcBorders>
              <w:top w:val="nil"/>
              <w:left w:val="single" w:sz="8" w:space="0" w:color="auto"/>
              <w:bottom w:val="single" w:sz="4" w:space="0" w:color="auto"/>
              <w:right w:val="single" w:sz="4" w:space="0" w:color="auto"/>
            </w:tcBorders>
            <w:shd w:val="clear" w:color="auto" w:fill="auto"/>
            <w:vAlign w:val="center"/>
          </w:tcPr>
          <w:p w14:paraId="568694C1" w14:textId="77777777" w:rsidR="002323DA" w:rsidRPr="002323DA" w:rsidRDefault="002323DA" w:rsidP="00281C9C">
            <w:pPr>
              <w:ind w:firstLineChars="200" w:firstLine="440"/>
              <w:rPr>
                <w:rFonts w:ascii="Arial" w:hAnsi="Arial" w:cs="Arial"/>
                <w:sz w:val="22"/>
                <w:szCs w:val="22"/>
              </w:rPr>
            </w:pPr>
            <w:r w:rsidRPr="002323DA">
              <w:rPr>
                <w:rFonts w:ascii="Arial" w:hAnsi="Arial" w:cs="Arial"/>
                <w:sz w:val="22"/>
                <w:szCs w:val="22"/>
              </w:rPr>
              <w:t>Foreign - Mapping of Plantation/Forest Land</w:t>
            </w:r>
          </w:p>
        </w:tc>
        <w:tc>
          <w:tcPr>
            <w:tcW w:w="1513" w:type="dxa"/>
            <w:tcBorders>
              <w:top w:val="nil"/>
              <w:left w:val="nil"/>
              <w:bottom w:val="single" w:sz="4" w:space="0" w:color="auto"/>
              <w:right w:val="single" w:sz="4" w:space="0" w:color="auto"/>
            </w:tcBorders>
            <w:shd w:val="clear" w:color="auto" w:fill="auto"/>
            <w:noWrap/>
            <w:vAlign w:val="bottom"/>
          </w:tcPr>
          <w:p w14:paraId="04059D23"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30,192</w:t>
            </w:r>
          </w:p>
        </w:tc>
        <w:tc>
          <w:tcPr>
            <w:tcW w:w="1325" w:type="dxa"/>
            <w:tcBorders>
              <w:top w:val="nil"/>
              <w:left w:val="nil"/>
              <w:bottom w:val="single" w:sz="4" w:space="0" w:color="auto"/>
              <w:right w:val="single" w:sz="4" w:space="0" w:color="auto"/>
            </w:tcBorders>
            <w:shd w:val="clear" w:color="auto" w:fill="auto"/>
            <w:noWrap/>
            <w:vAlign w:val="bottom"/>
          </w:tcPr>
          <w:p w14:paraId="666A0634"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1</w:t>
            </w:r>
          </w:p>
        </w:tc>
        <w:tc>
          <w:tcPr>
            <w:tcW w:w="1520" w:type="dxa"/>
            <w:tcBorders>
              <w:top w:val="nil"/>
              <w:left w:val="nil"/>
              <w:bottom w:val="single" w:sz="4" w:space="0" w:color="auto"/>
              <w:right w:val="single" w:sz="4" w:space="0" w:color="auto"/>
            </w:tcBorders>
            <w:shd w:val="clear" w:color="auto" w:fill="auto"/>
            <w:noWrap/>
            <w:vAlign w:val="bottom"/>
          </w:tcPr>
          <w:p w14:paraId="0C7CE577"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30192</w:t>
            </w:r>
          </w:p>
        </w:tc>
        <w:tc>
          <w:tcPr>
            <w:tcW w:w="1207" w:type="dxa"/>
            <w:tcBorders>
              <w:top w:val="nil"/>
              <w:left w:val="nil"/>
              <w:bottom w:val="single" w:sz="4" w:space="0" w:color="auto"/>
              <w:right w:val="single" w:sz="4" w:space="0" w:color="auto"/>
            </w:tcBorders>
            <w:shd w:val="clear" w:color="auto" w:fill="auto"/>
            <w:noWrap/>
            <w:vAlign w:val="bottom"/>
          </w:tcPr>
          <w:p w14:paraId="2E7BC146"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0.25</w:t>
            </w:r>
          </w:p>
        </w:tc>
        <w:tc>
          <w:tcPr>
            <w:tcW w:w="1420" w:type="dxa"/>
            <w:tcBorders>
              <w:top w:val="nil"/>
              <w:left w:val="nil"/>
              <w:bottom w:val="single" w:sz="4" w:space="0" w:color="auto"/>
              <w:right w:val="single" w:sz="4" w:space="0" w:color="auto"/>
            </w:tcBorders>
            <w:shd w:val="clear" w:color="auto" w:fill="auto"/>
            <w:noWrap/>
            <w:vAlign w:val="bottom"/>
          </w:tcPr>
          <w:p w14:paraId="5CB2795D"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$29</w:t>
            </w:r>
          </w:p>
        </w:tc>
        <w:tc>
          <w:tcPr>
            <w:tcW w:w="1320" w:type="dxa"/>
            <w:tcBorders>
              <w:top w:val="nil"/>
              <w:left w:val="nil"/>
              <w:bottom w:val="single" w:sz="4" w:space="0" w:color="auto"/>
              <w:right w:val="single" w:sz="4" w:space="0" w:color="auto"/>
            </w:tcBorders>
            <w:shd w:val="clear" w:color="auto" w:fill="auto"/>
            <w:noWrap/>
            <w:vAlign w:val="bottom"/>
          </w:tcPr>
          <w:p w14:paraId="45E6C3F2"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7548</w:t>
            </w:r>
          </w:p>
        </w:tc>
        <w:tc>
          <w:tcPr>
            <w:tcW w:w="1660" w:type="dxa"/>
            <w:tcBorders>
              <w:top w:val="nil"/>
              <w:left w:val="nil"/>
              <w:bottom w:val="single" w:sz="4" w:space="0" w:color="auto"/>
              <w:right w:val="single" w:sz="8" w:space="0" w:color="auto"/>
            </w:tcBorders>
            <w:shd w:val="clear" w:color="auto" w:fill="auto"/>
            <w:noWrap/>
            <w:vAlign w:val="bottom"/>
          </w:tcPr>
          <w:p w14:paraId="40F7E89D"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$860,472</w:t>
            </w:r>
          </w:p>
        </w:tc>
      </w:tr>
      <w:tr w:rsidR="002323DA" w:rsidRPr="002323DA" w14:paraId="1D4B36E1" w14:textId="77777777" w:rsidTr="00281C9C">
        <w:trPr>
          <w:trHeight w:val="440"/>
        </w:trPr>
        <w:tc>
          <w:tcPr>
            <w:tcW w:w="5145" w:type="dxa"/>
            <w:tcBorders>
              <w:top w:val="nil"/>
              <w:left w:val="single" w:sz="8" w:space="0" w:color="auto"/>
              <w:bottom w:val="single" w:sz="4" w:space="0" w:color="auto"/>
              <w:right w:val="single" w:sz="4" w:space="0" w:color="auto"/>
            </w:tcBorders>
            <w:shd w:val="clear" w:color="auto" w:fill="auto"/>
            <w:vAlign w:val="center"/>
          </w:tcPr>
          <w:p w14:paraId="00A63320" w14:textId="77777777" w:rsidR="002323DA" w:rsidRPr="002323DA" w:rsidRDefault="002323DA" w:rsidP="00281C9C">
            <w:pPr>
              <w:ind w:firstLineChars="200" w:firstLine="440"/>
              <w:rPr>
                <w:rFonts w:ascii="Arial" w:hAnsi="Arial" w:cs="Arial"/>
                <w:sz w:val="22"/>
                <w:szCs w:val="22"/>
              </w:rPr>
            </w:pPr>
            <w:r w:rsidRPr="002323DA">
              <w:rPr>
                <w:rFonts w:ascii="Arial" w:hAnsi="Arial" w:cs="Arial"/>
                <w:sz w:val="22"/>
                <w:szCs w:val="22"/>
              </w:rPr>
              <w:t>Foreign Biofuel Feedstock Producers</w:t>
            </w:r>
          </w:p>
        </w:tc>
        <w:tc>
          <w:tcPr>
            <w:tcW w:w="1513" w:type="dxa"/>
            <w:tcBorders>
              <w:top w:val="nil"/>
              <w:left w:val="nil"/>
              <w:bottom w:val="single" w:sz="4" w:space="0" w:color="auto"/>
              <w:right w:val="single" w:sz="4" w:space="0" w:color="auto"/>
            </w:tcBorders>
            <w:shd w:val="clear" w:color="auto" w:fill="auto"/>
            <w:noWrap/>
            <w:vAlign w:val="bottom"/>
          </w:tcPr>
          <w:p w14:paraId="03040A87"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30,192</w:t>
            </w:r>
          </w:p>
        </w:tc>
        <w:tc>
          <w:tcPr>
            <w:tcW w:w="1325" w:type="dxa"/>
            <w:tcBorders>
              <w:top w:val="nil"/>
              <w:left w:val="nil"/>
              <w:bottom w:val="single" w:sz="4" w:space="0" w:color="auto"/>
              <w:right w:val="single" w:sz="4" w:space="0" w:color="auto"/>
            </w:tcBorders>
            <w:shd w:val="clear" w:color="auto" w:fill="auto"/>
            <w:noWrap/>
            <w:vAlign w:val="bottom"/>
          </w:tcPr>
          <w:p w14:paraId="4D1488FC"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1</w:t>
            </w:r>
          </w:p>
        </w:tc>
        <w:tc>
          <w:tcPr>
            <w:tcW w:w="1520" w:type="dxa"/>
            <w:tcBorders>
              <w:top w:val="nil"/>
              <w:left w:val="nil"/>
              <w:bottom w:val="single" w:sz="4" w:space="0" w:color="auto"/>
              <w:right w:val="single" w:sz="4" w:space="0" w:color="auto"/>
            </w:tcBorders>
            <w:shd w:val="clear" w:color="auto" w:fill="auto"/>
            <w:noWrap/>
            <w:vAlign w:val="bottom"/>
          </w:tcPr>
          <w:p w14:paraId="27D815FE"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30192</w:t>
            </w:r>
          </w:p>
        </w:tc>
        <w:tc>
          <w:tcPr>
            <w:tcW w:w="1207" w:type="dxa"/>
            <w:tcBorders>
              <w:top w:val="nil"/>
              <w:left w:val="nil"/>
              <w:bottom w:val="single" w:sz="4" w:space="0" w:color="auto"/>
              <w:right w:val="single" w:sz="4" w:space="0" w:color="auto"/>
            </w:tcBorders>
            <w:shd w:val="clear" w:color="auto" w:fill="auto"/>
            <w:noWrap/>
            <w:vAlign w:val="bottom"/>
          </w:tcPr>
          <w:p w14:paraId="27D087F8"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0.25</w:t>
            </w:r>
          </w:p>
        </w:tc>
        <w:tc>
          <w:tcPr>
            <w:tcW w:w="1420" w:type="dxa"/>
            <w:tcBorders>
              <w:top w:val="nil"/>
              <w:left w:val="nil"/>
              <w:bottom w:val="single" w:sz="4" w:space="0" w:color="auto"/>
              <w:right w:val="single" w:sz="4" w:space="0" w:color="auto"/>
            </w:tcBorders>
            <w:shd w:val="clear" w:color="auto" w:fill="auto"/>
            <w:noWrap/>
            <w:vAlign w:val="bottom"/>
          </w:tcPr>
          <w:p w14:paraId="05FCEEA4"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$29</w:t>
            </w:r>
          </w:p>
        </w:tc>
        <w:tc>
          <w:tcPr>
            <w:tcW w:w="1320" w:type="dxa"/>
            <w:tcBorders>
              <w:top w:val="nil"/>
              <w:left w:val="nil"/>
              <w:bottom w:val="single" w:sz="4" w:space="0" w:color="auto"/>
              <w:right w:val="single" w:sz="4" w:space="0" w:color="auto"/>
            </w:tcBorders>
            <w:shd w:val="clear" w:color="auto" w:fill="auto"/>
            <w:noWrap/>
            <w:vAlign w:val="bottom"/>
          </w:tcPr>
          <w:p w14:paraId="535BD03C"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7548</w:t>
            </w:r>
          </w:p>
        </w:tc>
        <w:tc>
          <w:tcPr>
            <w:tcW w:w="1660" w:type="dxa"/>
            <w:tcBorders>
              <w:top w:val="nil"/>
              <w:left w:val="nil"/>
              <w:bottom w:val="single" w:sz="4" w:space="0" w:color="auto"/>
              <w:right w:val="single" w:sz="8" w:space="0" w:color="auto"/>
            </w:tcBorders>
            <w:shd w:val="clear" w:color="auto" w:fill="auto"/>
            <w:noWrap/>
            <w:vAlign w:val="bottom"/>
          </w:tcPr>
          <w:p w14:paraId="045072A8"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$860,472</w:t>
            </w:r>
          </w:p>
        </w:tc>
      </w:tr>
      <w:tr w:rsidR="002323DA" w:rsidRPr="002323DA" w14:paraId="0441A199" w14:textId="77777777" w:rsidTr="00281C9C">
        <w:trPr>
          <w:trHeight w:val="675"/>
        </w:trPr>
        <w:tc>
          <w:tcPr>
            <w:tcW w:w="5145" w:type="dxa"/>
            <w:tcBorders>
              <w:top w:val="nil"/>
              <w:left w:val="single" w:sz="8" w:space="0" w:color="auto"/>
              <w:bottom w:val="nil"/>
              <w:right w:val="single" w:sz="4" w:space="0" w:color="auto"/>
            </w:tcBorders>
            <w:shd w:val="clear" w:color="auto" w:fill="auto"/>
            <w:vAlign w:val="center"/>
          </w:tcPr>
          <w:p w14:paraId="698510C8" w14:textId="77777777" w:rsidR="002323DA" w:rsidRPr="002323DA" w:rsidRDefault="002323DA" w:rsidP="00281C9C">
            <w:pPr>
              <w:ind w:firstLineChars="200" w:firstLine="440"/>
              <w:rPr>
                <w:rFonts w:ascii="Arial" w:hAnsi="Arial" w:cs="Arial"/>
                <w:sz w:val="22"/>
                <w:szCs w:val="22"/>
              </w:rPr>
            </w:pPr>
            <w:r w:rsidRPr="002323DA">
              <w:rPr>
                <w:rFonts w:ascii="Arial" w:hAnsi="Arial" w:cs="Arial"/>
                <w:sz w:val="22"/>
                <w:szCs w:val="22"/>
              </w:rPr>
              <w:t xml:space="preserve">Foreign Biofuels Feedstock Producer - Mapping of Plots </w:t>
            </w:r>
          </w:p>
        </w:tc>
        <w:tc>
          <w:tcPr>
            <w:tcW w:w="1513" w:type="dxa"/>
            <w:tcBorders>
              <w:top w:val="nil"/>
              <w:left w:val="nil"/>
              <w:bottom w:val="nil"/>
              <w:right w:val="single" w:sz="4" w:space="0" w:color="auto"/>
            </w:tcBorders>
            <w:shd w:val="clear" w:color="auto" w:fill="auto"/>
            <w:noWrap/>
            <w:vAlign w:val="bottom"/>
          </w:tcPr>
          <w:p w14:paraId="30E1A797"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30,192</w:t>
            </w:r>
          </w:p>
        </w:tc>
        <w:tc>
          <w:tcPr>
            <w:tcW w:w="1325" w:type="dxa"/>
            <w:tcBorders>
              <w:top w:val="nil"/>
              <w:left w:val="nil"/>
              <w:bottom w:val="nil"/>
              <w:right w:val="single" w:sz="4" w:space="0" w:color="auto"/>
            </w:tcBorders>
            <w:shd w:val="clear" w:color="auto" w:fill="auto"/>
            <w:noWrap/>
            <w:vAlign w:val="bottom"/>
          </w:tcPr>
          <w:p w14:paraId="5BE72B03"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1</w:t>
            </w:r>
          </w:p>
        </w:tc>
        <w:tc>
          <w:tcPr>
            <w:tcW w:w="1520" w:type="dxa"/>
            <w:tcBorders>
              <w:top w:val="nil"/>
              <w:left w:val="nil"/>
              <w:bottom w:val="nil"/>
              <w:right w:val="single" w:sz="4" w:space="0" w:color="auto"/>
            </w:tcBorders>
            <w:shd w:val="clear" w:color="auto" w:fill="auto"/>
            <w:noWrap/>
            <w:vAlign w:val="bottom"/>
          </w:tcPr>
          <w:p w14:paraId="4E6A0627"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30192</w:t>
            </w:r>
          </w:p>
        </w:tc>
        <w:tc>
          <w:tcPr>
            <w:tcW w:w="1207" w:type="dxa"/>
            <w:tcBorders>
              <w:top w:val="nil"/>
              <w:left w:val="nil"/>
              <w:bottom w:val="nil"/>
              <w:right w:val="single" w:sz="4" w:space="0" w:color="auto"/>
            </w:tcBorders>
            <w:shd w:val="clear" w:color="auto" w:fill="auto"/>
            <w:noWrap/>
            <w:vAlign w:val="bottom"/>
          </w:tcPr>
          <w:p w14:paraId="547AEDDE"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1</w:t>
            </w:r>
          </w:p>
        </w:tc>
        <w:tc>
          <w:tcPr>
            <w:tcW w:w="1420" w:type="dxa"/>
            <w:tcBorders>
              <w:top w:val="nil"/>
              <w:left w:val="nil"/>
              <w:bottom w:val="nil"/>
              <w:right w:val="single" w:sz="4" w:space="0" w:color="auto"/>
            </w:tcBorders>
            <w:shd w:val="clear" w:color="auto" w:fill="auto"/>
            <w:noWrap/>
            <w:vAlign w:val="bottom"/>
          </w:tcPr>
          <w:p w14:paraId="0B04467A"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$114</w:t>
            </w:r>
          </w:p>
        </w:tc>
        <w:tc>
          <w:tcPr>
            <w:tcW w:w="1320" w:type="dxa"/>
            <w:tcBorders>
              <w:top w:val="nil"/>
              <w:left w:val="nil"/>
              <w:bottom w:val="nil"/>
              <w:right w:val="single" w:sz="4" w:space="0" w:color="auto"/>
            </w:tcBorders>
            <w:shd w:val="clear" w:color="auto" w:fill="auto"/>
            <w:noWrap/>
            <w:vAlign w:val="bottom"/>
          </w:tcPr>
          <w:p w14:paraId="3E106E38"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30192</w:t>
            </w:r>
          </w:p>
        </w:tc>
        <w:tc>
          <w:tcPr>
            <w:tcW w:w="1660" w:type="dxa"/>
            <w:tcBorders>
              <w:top w:val="nil"/>
              <w:left w:val="nil"/>
              <w:bottom w:val="single" w:sz="4" w:space="0" w:color="auto"/>
              <w:right w:val="single" w:sz="8" w:space="0" w:color="auto"/>
            </w:tcBorders>
            <w:shd w:val="clear" w:color="auto" w:fill="auto"/>
            <w:noWrap/>
            <w:vAlign w:val="bottom"/>
          </w:tcPr>
          <w:p w14:paraId="17612127" w14:textId="77777777" w:rsidR="002323DA" w:rsidRPr="002323DA" w:rsidRDefault="002323DA" w:rsidP="00281C9C">
            <w:pPr>
              <w:jc w:val="center"/>
              <w:rPr>
                <w:rFonts w:ascii="Arial" w:hAnsi="Arial" w:cs="Arial"/>
                <w:sz w:val="22"/>
                <w:szCs w:val="22"/>
              </w:rPr>
            </w:pPr>
            <w:r w:rsidRPr="002323DA">
              <w:rPr>
                <w:rFonts w:ascii="Arial" w:hAnsi="Arial" w:cs="Arial"/>
                <w:sz w:val="22"/>
                <w:szCs w:val="22"/>
              </w:rPr>
              <w:t>$3,441,888</w:t>
            </w:r>
          </w:p>
        </w:tc>
      </w:tr>
      <w:tr w:rsidR="002323DA" w:rsidRPr="002323DA" w14:paraId="6B4C4FC1" w14:textId="77777777" w:rsidTr="00281C9C">
        <w:trPr>
          <w:trHeight w:val="575"/>
        </w:trPr>
        <w:tc>
          <w:tcPr>
            <w:tcW w:w="5145" w:type="dxa"/>
            <w:tcBorders>
              <w:top w:val="single" w:sz="4" w:space="0" w:color="auto"/>
              <w:left w:val="single" w:sz="8" w:space="0" w:color="auto"/>
              <w:bottom w:val="single" w:sz="8" w:space="0" w:color="auto"/>
              <w:right w:val="single" w:sz="4" w:space="0" w:color="auto"/>
            </w:tcBorders>
            <w:shd w:val="clear" w:color="auto" w:fill="auto"/>
            <w:noWrap/>
            <w:vAlign w:val="bottom"/>
          </w:tcPr>
          <w:p w14:paraId="64E1288C" w14:textId="77777777" w:rsidR="002323DA" w:rsidRPr="002323DA" w:rsidRDefault="002323DA" w:rsidP="00281C9C">
            <w:pPr>
              <w:rPr>
                <w:rFonts w:ascii="Arial" w:hAnsi="Arial" w:cs="Arial"/>
                <w:b/>
                <w:bCs/>
                <w:sz w:val="22"/>
                <w:szCs w:val="22"/>
              </w:rPr>
            </w:pPr>
            <w:r w:rsidRPr="002323DA">
              <w:rPr>
                <w:rFonts w:ascii="Arial" w:hAnsi="Arial" w:cs="Arial"/>
                <w:b/>
                <w:bCs/>
                <w:sz w:val="22"/>
                <w:szCs w:val="22"/>
              </w:rPr>
              <w:t>TOTALS</w:t>
            </w:r>
          </w:p>
        </w:tc>
        <w:tc>
          <w:tcPr>
            <w:tcW w:w="1513" w:type="dxa"/>
            <w:tcBorders>
              <w:top w:val="single" w:sz="4" w:space="0" w:color="auto"/>
              <w:left w:val="nil"/>
              <w:bottom w:val="single" w:sz="8" w:space="0" w:color="auto"/>
              <w:right w:val="single" w:sz="4" w:space="0" w:color="auto"/>
            </w:tcBorders>
            <w:shd w:val="clear" w:color="auto" w:fill="auto"/>
            <w:noWrap/>
            <w:vAlign w:val="bottom"/>
          </w:tcPr>
          <w:p w14:paraId="2CDD6504" w14:textId="77777777" w:rsidR="002323DA" w:rsidRPr="002323DA" w:rsidRDefault="002323DA" w:rsidP="00281C9C">
            <w:pPr>
              <w:jc w:val="center"/>
              <w:rPr>
                <w:rFonts w:ascii="Arial" w:hAnsi="Arial" w:cs="Arial"/>
                <w:b/>
                <w:bCs/>
                <w:sz w:val="22"/>
                <w:szCs w:val="22"/>
              </w:rPr>
            </w:pPr>
            <w:r w:rsidRPr="002323DA">
              <w:rPr>
                <w:rFonts w:ascii="Arial" w:hAnsi="Arial" w:cs="Arial"/>
                <w:b/>
                <w:bCs/>
                <w:sz w:val="22"/>
                <w:szCs w:val="22"/>
              </w:rPr>
              <w:t>2090576</w:t>
            </w:r>
          </w:p>
        </w:tc>
        <w:tc>
          <w:tcPr>
            <w:tcW w:w="1325" w:type="dxa"/>
            <w:tcBorders>
              <w:top w:val="single" w:sz="4" w:space="0" w:color="auto"/>
              <w:left w:val="nil"/>
              <w:bottom w:val="single" w:sz="8" w:space="0" w:color="auto"/>
              <w:right w:val="single" w:sz="4" w:space="0" w:color="auto"/>
            </w:tcBorders>
            <w:shd w:val="clear" w:color="auto" w:fill="auto"/>
            <w:noWrap/>
            <w:vAlign w:val="bottom"/>
          </w:tcPr>
          <w:p w14:paraId="44792258" w14:textId="77777777" w:rsidR="002323DA" w:rsidRPr="002323DA" w:rsidRDefault="002323DA" w:rsidP="00281C9C">
            <w:pPr>
              <w:jc w:val="center"/>
              <w:rPr>
                <w:rFonts w:ascii="Arial" w:hAnsi="Arial" w:cs="Arial"/>
                <w:b/>
                <w:bCs/>
                <w:sz w:val="22"/>
                <w:szCs w:val="22"/>
              </w:rPr>
            </w:pPr>
            <w:r w:rsidRPr="002323DA">
              <w:rPr>
                <w:rFonts w:ascii="Arial" w:hAnsi="Arial" w:cs="Arial"/>
                <w:b/>
                <w:bCs/>
                <w:sz w:val="22"/>
                <w:szCs w:val="22"/>
              </w:rPr>
              <w:t> </w:t>
            </w:r>
          </w:p>
        </w:tc>
        <w:tc>
          <w:tcPr>
            <w:tcW w:w="1520" w:type="dxa"/>
            <w:tcBorders>
              <w:top w:val="single" w:sz="4" w:space="0" w:color="auto"/>
              <w:left w:val="nil"/>
              <w:bottom w:val="single" w:sz="8" w:space="0" w:color="auto"/>
              <w:right w:val="single" w:sz="4" w:space="0" w:color="auto"/>
            </w:tcBorders>
            <w:shd w:val="clear" w:color="auto" w:fill="auto"/>
            <w:noWrap/>
            <w:vAlign w:val="bottom"/>
          </w:tcPr>
          <w:p w14:paraId="76276647" w14:textId="77777777" w:rsidR="002323DA" w:rsidRPr="002323DA" w:rsidRDefault="002323DA" w:rsidP="00281C9C">
            <w:pPr>
              <w:jc w:val="center"/>
              <w:rPr>
                <w:rFonts w:ascii="Arial" w:hAnsi="Arial" w:cs="Arial"/>
                <w:b/>
                <w:bCs/>
                <w:sz w:val="22"/>
                <w:szCs w:val="22"/>
              </w:rPr>
            </w:pPr>
            <w:r w:rsidRPr="002323DA">
              <w:rPr>
                <w:rFonts w:ascii="Arial" w:hAnsi="Arial" w:cs="Arial"/>
                <w:b/>
                <w:bCs/>
                <w:sz w:val="22"/>
                <w:szCs w:val="22"/>
              </w:rPr>
              <w:t>2090576</w:t>
            </w:r>
          </w:p>
        </w:tc>
        <w:tc>
          <w:tcPr>
            <w:tcW w:w="1207" w:type="dxa"/>
            <w:tcBorders>
              <w:top w:val="single" w:sz="4" w:space="0" w:color="auto"/>
              <w:left w:val="nil"/>
              <w:bottom w:val="single" w:sz="8" w:space="0" w:color="auto"/>
              <w:right w:val="single" w:sz="4" w:space="0" w:color="auto"/>
            </w:tcBorders>
            <w:shd w:val="clear" w:color="auto" w:fill="auto"/>
            <w:noWrap/>
            <w:vAlign w:val="bottom"/>
          </w:tcPr>
          <w:p w14:paraId="608BA99A" w14:textId="77777777" w:rsidR="002323DA" w:rsidRPr="002323DA" w:rsidRDefault="002323DA" w:rsidP="00281C9C">
            <w:pPr>
              <w:jc w:val="center"/>
              <w:rPr>
                <w:rFonts w:ascii="Arial" w:hAnsi="Arial" w:cs="Arial"/>
                <w:b/>
                <w:bCs/>
                <w:sz w:val="22"/>
                <w:szCs w:val="22"/>
              </w:rPr>
            </w:pPr>
            <w:r w:rsidRPr="002323DA">
              <w:rPr>
                <w:rFonts w:ascii="Arial" w:hAnsi="Arial" w:cs="Arial"/>
                <w:b/>
                <w:bCs/>
                <w:sz w:val="22"/>
                <w:szCs w:val="22"/>
              </w:rPr>
              <w:t> </w:t>
            </w:r>
          </w:p>
        </w:tc>
        <w:tc>
          <w:tcPr>
            <w:tcW w:w="1420" w:type="dxa"/>
            <w:tcBorders>
              <w:top w:val="single" w:sz="4" w:space="0" w:color="auto"/>
              <w:left w:val="nil"/>
              <w:bottom w:val="single" w:sz="8" w:space="0" w:color="auto"/>
              <w:right w:val="single" w:sz="4" w:space="0" w:color="auto"/>
            </w:tcBorders>
            <w:shd w:val="clear" w:color="auto" w:fill="auto"/>
            <w:noWrap/>
            <w:vAlign w:val="bottom"/>
          </w:tcPr>
          <w:p w14:paraId="68F663DE" w14:textId="77777777" w:rsidR="002323DA" w:rsidRPr="002323DA" w:rsidRDefault="002323DA" w:rsidP="00281C9C">
            <w:pPr>
              <w:jc w:val="center"/>
              <w:rPr>
                <w:rFonts w:ascii="Arial" w:hAnsi="Arial" w:cs="Arial"/>
                <w:b/>
                <w:bCs/>
                <w:sz w:val="22"/>
                <w:szCs w:val="22"/>
              </w:rPr>
            </w:pPr>
            <w:r w:rsidRPr="002323DA">
              <w:rPr>
                <w:rFonts w:ascii="Arial" w:hAnsi="Arial" w:cs="Arial"/>
                <w:b/>
                <w:bCs/>
                <w:sz w:val="22"/>
                <w:szCs w:val="22"/>
              </w:rPr>
              <w:t> </w:t>
            </w:r>
          </w:p>
        </w:tc>
        <w:tc>
          <w:tcPr>
            <w:tcW w:w="1320" w:type="dxa"/>
            <w:tcBorders>
              <w:top w:val="single" w:sz="4" w:space="0" w:color="auto"/>
              <w:left w:val="nil"/>
              <w:bottom w:val="single" w:sz="8" w:space="0" w:color="auto"/>
              <w:right w:val="single" w:sz="4" w:space="0" w:color="auto"/>
            </w:tcBorders>
            <w:shd w:val="clear" w:color="auto" w:fill="auto"/>
            <w:noWrap/>
            <w:vAlign w:val="bottom"/>
          </w:tcPr>
          <w:p w14:paraId="4F621D34" w14:textId="77777777" w:rsidR="002323DA" w:rsidRPr="002323DA" w:rsidRDefault="002323DA" w:rsidP="00281C9C">
            <w:pPr>
              <w:jc w:val="center"/>
              <w:rPr>
                <w:rFonts w:ascii="Arial" w:hAnsi="Arial" w:cs="Arial"/>
                <w:b/>
                <w:bCs/>
                <w:sz w:val="22"/>
                <w:szCs w:val="22"/>
              </w:rPr>
            </w:pPr>
            <w:r w:rsidRPr="002323DA">
              <w:rPr>
                <w:rFonts w:ascii="Arial" w:hAnsi="Arial" w:cs="Arial"/>
                <w:b/>
                <w:bCs/>
                <w:sz w:val="22"/>
                <w:szCs w:val="22"/>
              </w:rPr>
              <w:t>545288</w:t>
            </w:r>
          </w:p>
        </w:tc>
        <w:tc>
          <w:tcPr>
            <w:tcW w:w="1660" w:type="dxa"/>
            <w:tcBorders>
              <w:top w:val="nil"/>
              <w:left w:val="nil"/>
              <w:bottom w:val="single" w:sz="8" w:space="0" w:color="auto"/>
              <w:right w:val="single" w:sz="8" w:space="0" w:color="auto"/>
            </w:tcBorders>
            <w:shd w:val="clear" w:color="auto" w:fill="auto"/>
            <w:noWrap/>
            <w:vAlign w:val="bottom"/>
          </w:tcPr>
          <w:p w14:paraId="020740C4" w14:textId="77777777" w:rsidR="002323DA" w:rsidRPr="002323DA" w:rsidRDefault="002323DA" w:rsidP="00281C9C">
            <w:pPr>
              <w:jc w:val="center"/>
              <w:rPr>
                <w:rFonts w:ascii="Arial" w:hAnsi="Arial" w:cs="Arial"/>
                <w:b/>
                <w:bCs/>
                <w:sz w:val="22"/>
                <w:szCs w:val="22"/>
              </w:rPr>
            </w:pPr>
            <w:r w:rsidRPr="002323DA">
              <w:rPr>
                <w:rFonts w:ascii="Arial" w:hAnsi="Arial" w:cs="Arial"/>
                <w:b/>
                <w:bCs/>
                <w:sz w:val="22"/>
                <w:szCs w:val="22"/>
              </w:rPr>
              <w:t>$62,162,832</w:t>
            </w:r>
          </w:p>
        </w:tc>
      </w:tr>
      <w:tr w:rsidR="002323DA" w:rsidRPr="002323DA" w14:paraId="3EC43C7D" w14:textId="77777777" w:rsidTr="00281C9C">
        <w:trPr>
          <w:trHeight w:val="340"/>
        </w:trPr>
        <w:tc>
          <w:tcPr>
            <w:tcW w:w="5145" w:type="dxa"/>
            <w:tcBorders>
              <w:top w:val="nil"/>
              <w:left w:val="nil"/>
              <w:bottom w:val="nil"/>
              <w:right w:val="nil"/>
            </w:tcBorders>
            <w:shd w:val="clear" w:color="auto" w:fill="auto"/>
            <w:noWrap/>
            <w:vAlign w:val="bottom"/>
          </w:tcPr>
          <w:p w14:paraId="699C93ED" w14:textId="77777777" w:rsidR="002323DA" w:rsidRPr="002323DA" w:rsidRDefault="002323DA" w:rsidP="00281C9C">
            <w:pPr>
              <w:rPr>
                <w:rFonts w:ascii="Arial" w:hAnsi="Arial" w:cs="Arial"/>
                <w:b/>
                <w:bCs/>
                <w:sz w:val="20"/>
                <w:u w:val="single"/>
              </w:rPr>
            </w:pPr>
            <w:r w:rsidRPr="002323DA">
              <w:rPr>
                <w:rFonts w:ascii="Arial" w:hAnsi="Arial" w:cs="Arial"/>
                <w:b/>
                <w:bCs/>
                <w:sz w:val="20"/>
                <w:u w:val="single"/>
              </w:rPr>
              <w:t>Assumptions:</w:t>
            </w:r>
          </w:p>
        </w:tc>
        <w:tc>
          <w:tcPr>
            <w:tcW w:w="1513" w:type="dxa"/>
            <w:tcBorders>
              <w:top w:val="nil"/>
              <w:left w:val="nil"/>
              <w:bottom w:val="nil"/>
              <w:right w:val="nil"/>
            </w:tcBorders>
            <w:shd w:val="clear" w:color="auto" w:fill="auto"/>
            <w:noWrap/>
            <w:vAlign w:val="bottom"/>
          </w:tcPr>
          <w:p w14:paraId="36E3E2C2" w14:textId="77777777" w:rsidR="002323DA" w:rsidRPr="002323DA" w:rsidRDefault="002323DA" w:rsidP="00281C9C">
            <w:pPr>
              <w:rPr>
                <w:rFonts w:ascii="Arial" w:hAnsi="Arial" w:cs="Arial"/>
                <w:sz w:val="20"/>
              </w:rPr>
            </w:pPr>
          </w:p>
        </w:tc>
        <w:tc>
          <w:tcPr>
            <w:tcW w:w="1325" w:type="dxa"/>
            <w:tcBorders>
              <w:top w:val="nil"/>
              <w:left w:val="nil"/>
              <w:bottom w:val="nil"/>
              <w:right w:val="nil"/>
            </w:tcBorders>
            <w:shd w:val="clear" w:color="auto" w:fill="auto"/>
            <w:noWrap/>
            <w:vAlign w:val="bottom"/>
          </w:tcPr>
          <w:p w14:paraId="5F7F0963" w14:textId="77777777" w:rsidR="002323DA" w:rsidRPr="002323DA" w:rsidRDefault="002323DA" w:rsidP="00281C9C">
            <w:pPr>
              <w:rPr>
                <w:rFonts w:ascii="Arial" w:hAnsi="Arial" w:cs="Arial"/>
                <w:sz w:val="20"/>
              </w:rPr>
            </w:pPr>
          </w:p>
        </w:tc>
        <w:tc>
          <w:tcPr>
            <w:tcW w:w="1520" w:type="dxa"/>
            <w:tcBorders>
              <w:top w:val="nil"/>
              <w:left w:val="nil"/>
              <w:bottom w:val="nil"/>
              <w:right w:val="nil"/>
            </w:tcBorders>
            <w:shd w:val="clear" w:color="auto" w:fill="auto"/>
            <w:noWrap/>
            <w:vAlign w:val="bottom"/>
          </w:tcPr>
          <w:p w14:paraId="2797FDCC" w14:textId="77777777" w:rsidR="002323DA" w:rsidRPr="002323DA" w:rsidRDefault="002323DA" w:rsidP="00281C9C">
            <w:pPr>
              <w:rPr>
                <w:rFonts w:ascii="Arial" w:hAnsi="Arial" w:cs="Arial"/>
                <w:sz w:val="20"/>
              </w:rPr>
            </w:pPr>
          </w:p>
        </w:tc>
        <w:tc>
          <w:tcPr>
            <w:tcW w:w="1207" w:type="dxa"/>
            <w:tcBorders>
              <w:top w:val="nil"/>
              <w:left w:val="nil"/>
              <w:bottom w:val="nil"/>
              <w:right w:val="nil"/>
            </w:tcBorders>
            <w:shd w:val="clear" w:color="auto" w:fill="auto"/>
            <w:noWrap/>
            <w:vAlign w:val="bottom"/>
          </w:tcPr>
          <w:p w14:paraId="0CF044FE" w14:textId="77777777" w:rsidR="002323DA" w:rsidRPr="002323DA" w:rsidRDefault="002323DA" w:rsidP="00281C9C">
            <w:pPr>
              <w:rPr>
                <w:rFonts w:ascii="Arial" w:hAnsi="Arial" w:cs="Arial"/>
                <w:sz w:val="20"/>
              </w:rPr>
            </w:pPr>
          </w:p>
        </w:tc>
        <w:tc>
          <w:tcPr>
            <w:tcW w:w="1420" w:type="dxa"/>
            <w:tcBorders>
              <w:top w:val="nil"/>
              <w:left w:val="nil"/>
              <w:bottom w:val="nil"/>
              <w:right w:val="nil"/>
            </w:tcBorders>
            <w:shd w:val="clear" w:color="auto" w:fill="auto"/>
            <w:noWrap/>
            <w:vAlign w:val="bottom"/>
          </w:tcPr>
          <w:p w14:paraId="78937B7E" w14:textId="77777777" w:rsidR="002323DA" w:rsidRPr="002323DA" w:rsidRDefault="002323DA" w:rsidP="00281C9C">
            <w:pPr>
              <w:rPr>
                <w:rFonts w:ascii="Arial" w:hAnsi="Arial" w:cs="Arial"/>
                <w:sz w:val="20"/>
              </w:rPr>
            </w:pPr>
          </w:p>
        </w:tc>
        <w:tc>
          <w:tcPr>
            <w:tcW w:w="1320" w:type="dxa"/>
            <w:tcBorders>
              <w:top w:val="nil"/>
              <w:left w:val="nil"/>
              <w:bottom w:val="nil"/>
              <w:right w:val="nil"/>
            </w:tcBorders>
            <w:shd w:val="clear" w:color="auto" w:fill="auto"/>
            <w:noWrap/>
            <w:vAlign w:val="bottom"/>
          </w:tcPr>
          <w:p w14:paraId="4CF58BF5" w14:textId="77777777" w:rsidR="002323DA" w:rsidRPr="002323DA" w:rsidRDefault="002323DA" w:rsidP="00281C9C">
            <w:pPr>
              <w:rPr>
                <w:rFonts w:ascii="Arial" w:hAnsi="Arial" w:cs="Arial"/>
                <w:sz w:val="20"/>
              </w:rPr>
            </w:pPr>
          </w:p>
        </w:tc>
        <w:tc>
          <w:tcPr>
            <w:tcW w:w="1660" w:type="dxa"/>
            <w:tcBorders>
              <w:top w:val="nil"/>
              <w:left w:val="nil"/>
              <w:bottom w:val="nil"/>
              <w:right w:val="nil"/>
            </w:tcBorders>
            <w:shd w:val="clear" w:color="auto" w:fill="auto"/>
            <w:noWrap/>
            <w:vAlign w:val="bottom"/>
          </w:tcPr>
          <w:p w14:paraId="03070129" w14:textId="77777777" w:rsidR="002323DA" w:rsidRPr="002323DA" w:rsidRDefault="002323DA" w:rsidP="00281C9C">
            <w:pPr>
              <w:rPr>
                <w:rFonts w:ascii="Arial" w:hAnsi="Arial" w:cs="Arial"/>
                <w:sz w:val="20"/>
              </w:rPr>
            </w:pPr>
          </w:p>
        </w:tc>
      </w:tr>
      <w:tr w:rsidR="002323DA" w:rsidRPr="002323DA" w14:paraId="124BFA15" w14:textId="77777777" w:rsidTr="00281C9C">
        <w:trPr>
          <w:trHeight w:val="510"/>
        </w:trPr>
        <w:tc>
          <w:tcPr>
            <w:tcW w:w="15110" w:type="dxa"/>
            <w:gridSpan w:val="8"/>
            <w:tcBorders>
              <w:top w:val="nil"/>
              <w:left w:val="nil"/>
              <w:bottom w:val="nil"/>
              <w:right w:val="nil"/>
            </w:tcBorders>
            <w:shd w:val="clear" w:color="auto" w:fill="auto"/>
            <w:noWrap/>
            <w:vAlign w:val="bottom"/>
          </w:tcPr>
          <w:p w14:paraId="095162E7" w14:textId="77777777" w:rsidR="002323DA" w:rsidRPr="002323DA" w:rsidRDefault="002323DA" w:rsidP="00281C9C">
            <w:pPr>
              <w:rPr>
                <w:rFonts w:ascii="Arial" w:hAnsi="Arial" w:cs="Arial"/>
                <w:sz w:val="20"/>
              </w:rPr>
            </w:pPr>
            <w:r w:rsidRPr="002323DA">
              <w:rPr>
                <w:rFonts w:ascii="Arial" w:hAnsi="Arial" w:cs="Arial"/>
                <w:sz w:val="20"/>
              </w:rPr>
              <w:t xml:space="preserve">1) Estimates a population of 10,000,000 plantation and private forest owners.  We have assumed 1 million owners or 10% to participate in RFS2.  </w:t>
            </w:r>
          </w:p>
        </w:tc>
      </w:tr>
      <w:tr w:rsidR="002323DA" w:rsidRPr="002323DA" w14:paraId="477E02BF" w14:textId="77777777" w:rsidTr="00281C9C">
        <w:trPr>
          <w:trHeight w:val="510"/>
        </w:trPr>
        <w:tc>
          <w:tcPr>
            <w:tcW w:w="15110" w:type="dxa"/>
            <w:gridSpan w:val="8"/>
            <w:tcBorders>
              <w:top w:val="nil"/>
              <w:left w:val="nil"/>
              <w:bottom w:val="nil"/>
              <w:right w:val="nil"/>
            </w:tcBorders>
            <w:shd w:val="clear" w:color="auto" w:fill="auto"/>
            <w:noWrap/>
            <w:vAlign w:val="bottom"/>
          </w:tcPr>
          <w:p w14:paraId="07C5BA05" w14:textId="77777777" w:rsidR="002323DA" w:rsidRPr="002323DA" w:rsidRDefault="002323DA" w:rsidP="00281C9C">
            <w:pPr>
              <w:rPr>
                <w:rFonts w:ascii="Arial" w:hAnsi="Arial" w:cs="Arial"/>
                <w:sz w:val="20"/>
              </w:rPr>
            </w:pPr>
            <w:r w:rsidRPr="002323DA">
              <w:rPr>
                <w:rFonts w:ascii="Arial" w:hAnsi="Arial" w:cs="Arial"/>
                <w:sz w:val="20"/>
              </w:rPr>
              <w:t xml:space="preserve">2) Estimated 1,106,400 persons who claim farming as an occupation and possible producers of feedstock for producers of renewable fuel.  We estimated </w:t>
            </w:r>
          </w:p>
        </w:tc>
      </w:tr>
      <w:tr w:rsidR="002323DA" w:rsidRPr="002323DA" w14:paraId="2074472C" w14:textId="77777777" w:rsidTr="00281C9C">
        <w:trPr>
          <w:trHeight w:val="510"/>
        </w:trPr>
        <w:tc>
          <w:tcPr>
            <w:tcW w:w="13450" w:type="dxa"/>
            <w:gridSpan w:val="7"/>
            <w:tcBorders>
              <w:top w:val="nil"/>
              <w:left w:val="nil"/>
              <w:bottom w:val="nil"/>
              <w:right w:val="nil"/>
            </w:tcBorders>
            <w:shd w:val="clear" w:color="auto" w:fill="auto"/>
            <w:noWrap/>
            <w:vAlign w:val="bottom"/>
          </w:tcPr>
          <w:p w14:paraId="483C2451" w14:textId="77777777" w:rsidR="002323DA" w:rsidRPr="002323DA" w:rsidRDefault="002323DA" w:rsidP="00281C9C">
            <w:pPr>
              <w:rPr>
                <w:rFonts w:ascii="Arial" w:hAnsi="Arial" w:cs="Arial"/>
                <w:sz w:val="20"/>
              </w:rPr>
            </w:pPr>
            <w:r w:rsidRPr="002323DA">
              <w:rPr>
                <w:rFonts w:ascii="Arial" w:hAnsi="Arial" w:cs="Arial"/>
                <w:sz w:val="20"/>
              </w:rPr>
              <w:t>the number of foreign biofuels feedstock producers to be 30,192 which is 3% of the total of domestic feedstock producers.</w:t>
            </w:r>
          </w:p>
        </w:tc>
        <w:tc>
          <w:tcPr>
            <w:tcW w:w="1660" w:type="dxa"/>
            <w:tcBorders>
              <w:top w:val="nil"/>
              <w:left w:val="nil"/>
              <w:bottom w:val="nil"/>
              <w:right w:val="nil"/>
            </w:tcBorders>
            <w:shd w:val="clear" w:color="auto" w:fill="auto"/>
            <w:noWrap/>
            <w:vAlign w:val="bottom"/>
          </w:tcPr>
          <w:p w14:paraId="464A037A" w14:textId="77777777" w:rsidR="002323DA" w:rsidRPr="002323DA" w:rsidRDefault="002323DA" w:rsidP="00281C9C">
            <w:pPr>
              <w:rPr>
                <w:rFonts w:ascii="Arial" w:hAnsi="Arial" w:cs="Arial"/>
                <w:sz w:val="20"/>
              </w:rPr>
            </w:pPr>
          </w:p>
        </w:tc>
      </w:tr>
      <w:tr w:rsidR="002323DA" w:rsidRPr="002323DA" w14:paraId="1F4F0C9F" w14:textId="77777777" w:rsidTr="00281C9C">
        <w:trPr>
          <w:trHeight w:val="510"/>
        </w:trPr>
        <w:tc>
          <w:tcPr>
            <w:tcW w:w="15110" w:type="dxa"/>
            <w:gridSpan w:val="8"/>
            <w:tcBorders>
              <w:top w:val="nil"/>
              <w:left w:val="nil"/>
              <w:bottom w:val="nil"/>
              <w:right w:val="nil"/>
            </w:tcBorders>
            <w:shd w:val="clear" w:color="auto" w:fill="auto"/>
            <w:noWrap/>
            <w:vAlign w:val="bottom"/>
          </w:tcPr>
          <w:p w14:paraId="27DB3362" w14:textId="77777777" w:rsidR="002323DA" w:rsidRPr="002323DA" w:rsidRDefault="002323DA" w:rsidP="00281C9C">
            <w:pPr>
              <w:rPr>
                <w:rFonts w:ascii="Arial" w:hAnsi="Arial" w:cs="Arial"/>
                <w:sz w:val="20"/>
              </w:rPr>
            </w:pPr>
            <w:r w:rsidRPr="002323DA">
              <w:rPr>
                <w:rFonts w:ascii="Arial" w:hAnsi="Arial" w:cs="Arial"/>
                <w:sz w:val="20"/>
              </w:rPr>
              <w:t>3) Foreign Biofuels Feedstock Producers (farmers) are required to provide information on the land used to provide feedstock to domestic fuel producers</w:t>
            </w:r>
          </w:p>
        </w:tc>
      </w:tr>
      <w:tr w:rsidR="002323DA" w:rsidRPr="002323DA" w14:paraId="4B53CA2C" w14:textId="77777777" w:rsidTr="00281C9C">
        <w:trPr>
          <w:trHeight w:val="510"/>
        </w:trPr>
        <w:tc>
          <w:tcPr>
            <w:tcW w:w="15110" w:type="dxa"/>
            <w:gridSpan w:val="8"/>
            <w:tcBorders>
              <w:top w:val="nil"/>
              <w:left w:val="nil"/>
              <w:bottom w:val="nil"/>
              <w:right w:val="nil"/>
            </w:tcBorders>
            <w:shd w:val="clear" w:color="auto" w:fill="auto"/>
            <w:noWrap/>
            <w:vAlign w:val="bottom"/>
          </w:tcPr>
          <w:p w14:paraId="36A3F752" w14:textId="77777777" w:rsidR="002323DA" w:rsidRPr="002323DA" w:rsidRDefault="002323DA" w:rsidP="00281C9C">
            <w:pPr>
              <w:rPr>
                <w:rFonts w:ascii="Arial" w:hAnsi="Arial" w:cs="Arial"/>
                <w:sz w:val="20"/>
              </w:rPr>
            </w:pPr>
            <w:r w:rsidRPr="002323DA">
              <w:rPr>
                <w:rFonts w:ascii="Arial" w:hAnsi="Arial" w:cs="Arial"/>
                <w:sz w:val="20"/>
              </w:rPr>
              <w:t>4) Plantation/Forest private landowners (both foreign and domestic) are required to map land that produces biodiesel fuel form timber resources</w:t>
            </w:r>
          </w:p>
        </w:tc>
      </w:tr>
    </w:tbl>
    <w:p w14:paraId="687FDB77" w14:textId="77777777" w:rsidR="00273000" w:rsidRDefault="00273000" w:rsidP="00CF2BEB">
      <w:pPr>
        <w:outlineLvl w:val="0"/>
        <w:sectPr w:rsidR="00273000" w:rsidSect="00273000">
          <w:pgSz w:w="15840" w:h="12240" w:orient="landscape"/>
          <w:pgMar w:top="1800" w:right="1440" w:bottom="1800" w:left="1440" w:header="720" w:footer="720" w:gutter="0"/>
          <w:pgNumType w:fmt="numberInDash" w:start="18"/>
          <w:cols w:space="720"/>
        </w:sectPr>
      </w:pPr>
    </w:p>
    <w:p w14:paraId="0C134A23" w14:textId="77777777" w:rsidR="00CF2BEB" w:rsidRDefault="00CF2BEB" w:rsidP="00CF2BEB">
      <w:pPr>
        <w:outlineLvl w:val="0"/>
      </w:pPr>
      <w:r>
        <w:lastRenderedPageBreak/>
        <w:t>b.</w:t>
      </w:r>
      <w:r>
        <w:tab/>
        <w:t>Information Requested</w:t>
      </w:r>
    </w:p>
    <w:p w14:paraId="5B0FD563" w14:textId="77777777" w:rsidR="00CF2BEB" w:rsidRDefault="00CF2BEB" w:rsidP="00CF2BEB">
      <w:r>
        <w:tab/>
      </w:r>
      <w:r>
        <w:tab/>
      </w:r>
    </w:p>
    <w:p w14:paraId="097A2B68" w14:textId="77777777" w:rsidR="00CF2BEB" w:rsidRDefault="00CF2BEB" w:rsidP="00CF2BEB">
      <w:r>
        <w:tab/>
        <w:t>A)</w:t>
      </w:r>
      <w:r>
        <w:tab/>
        <w:t>Reporting:  The individual reports required from regulated parties are described in the preamble</w:t>
      </w:r>
      <w:r w:rsidR="00263380">
        <w:t xml:space="preserve"> of the Final Rule</w:t>
      </w:r>
      <w:r>
        <w:t xml:space="preserve">. </w:t>
      </w:r>
      <w:r w:rsidR="00635498">
        <w:t xml:space="preserve"> The following reports are required by the Final Rule:  </w:t>
      </w:r>
      <w:r w:rsidR="00813BFF">
        <w:t>Bio</w:t>
      </w:r>
      <w:r w:rsidR="005A055E">
        <w:t>fuels Feedstock Producers</w:t>
      </w:r>
      <w:r w:rsidR="00635498">
        <w:t>,</w:t>
      </w:r>
      <w:r w:rsidR="00874748">
        <w:t xml:space="preserve"> required to provide information on the land used to provide feedstock to fuel producers</w:t>
      </w:r>
      <w:r w:rsidR="00594BA4">
        <w:t xml:space="preserve"> (see Table </w:t>
      </w:r>
      <w:r w:rsidR="00263380">
        <w:t>VI</w:t>
      </w:r>
      <w:r w:rsidR="00594BA4">
        <w:t>);</w:t>
      </w:r>
      <w:r w:rsidR="00874748">
        <w:t xml:space="preserve"> </w:t>
      </w:r>
      <w:r w:rsidR="00813BFF">
        <w:t xml:space="preserve">Quarterly Reports of Biofuels Party </w:t>
      </w:r>
      <w:r w:rsidR="002826CD">
        <w:t>require</w:t>
      </w:r>
      <w:r w:rsidR="00874748">
        <w:t>s</w:t>
      </w:r>
      <w:r w:rsidR="002826CD">
        <w:t xml:space="preserve"> the submission of </w:t>
      </w:r>
      <w:r w:rsidR="00635498">
        <w:t>quarterly reports regarding generation and assignment of RINs (producers and importers only)</w:t>
      </w:r>
      <w:r w:rsidR="00C14C4D" w:rsidRPr="00C14C4D">
        <w:t xml:space="preserve"> </w:t>
      </w:r>
      <w:r w:rsidR="00565217">
        <w:t>(s</w:t>
      </w:r>
      <w:r w:rsidR="00C14C4D">
        <w:t xml:space="preserve">ee Table </w:t>
      </w:r>
      <w:r w:rsidR="00263380">
        <w:t>VII</w:t>
      </w:r>
      <w:r w:rsidR="00565217">
        <w:t>)</w:t>
      </w:r>
      <w:r w:rsidR="00813BFF">
        <w:t>:</w:t>
      </w:r>
      <w:r w:rsidR="00635498">
        <w:t xml:space="preserve"> </w:t>
      </w:r>
      <w:r w:rsidR="002323DA">
        <w:t>Annual Compliance Reports (obligated parties only) (see Table VIII);</w:t>
      </w:r>
      <w:r w:rsidR="005A055E">
        <w:t xml:space="preserve">and </w:t>
      </w:r>
      <w:r w:rsidR="00813BFF">
        <w:t>Q</w:t>
      </w:r>
      <w:r w:rsidR="00635498">
        <w:t xml:space="preserve">uarterly RIN </w:t>
      </w:r>
      <w:r w:rsidR="00813BFF">
        <w:t xml:space="preserve">Reports </w:t>
      </w:r>
      <w:r w:rsidR="00635498">
        <w:t>summarizing transactions and activity, and “real time” RIN transactional activity reporting within EMTS</w:t>
      </w:r>
      <w:r w:rsidR="00C25B22">
        <w:t xml:space="preserve"> </w:t>
      </w:r>
      <w:r w:rsidR="00565217">
        <w:t>(</w:t>
      </w:r>
      <w:r w:rsidR="00C25B22">
        <w:t xml:space="preserve">see </w:t>
      </w:r>
      <w:r w:rsidR="00565217">
        <w:t>T</w:t>
      </w:r>
      <w:r w:rsidR="00C25B22">
        <w:t xml:space="preserve">able </w:t>
      </w:r>
      <w:r w:rsidR="00263380">
        <w:t>I</w:t>
      </w:r>
      <w:r w:rsidR="00565217">
        <w:t>X)</w:t>
      </w:r>
      <w:r w:rsidR="00635498">
        <w:t xml:space="preserve">.  </w:t>
      </w:r>
      <w:r>
        <w:t>Reporting items include registration of parties engaged in activities covered by the RFS2 regulation and reporting related to transactions involving RINs and associated volumes of fuel.</w:t>
      </w:r>
    </w:p>
    <w:p w14:paraId="2EDFF299" w14:textId="77777777" w:rsidR="00635498" w:rsidRDefault="00635498" w:rsidP="00CF2BEB"/>
    <w:p w14:paraId="606AABCD" w14:textId="77777777" w:rsidR="00CF2BEB" w:rsidRDefault="00CF2BEB" w:rsidP="00CF2BEB">
      <w:pPr>
        <w:ind w:firstLine="720"/>
      </w:pPr>
      <w:r>
        <w:t xml:space="preserve">The exact reports filed will depend upon the activity engaged in by the party. A party must file reports appropriate for each activity it engages in – for example, if a party is </w:t>
      </w:r>
      <w:r>
        <w:rPr>
          <w:i/>
        </w:rPr>
        <w:t>both</w:t>
      </w:r>
      <w:r>
        <w:t xml:space="preserve"> an exporter of renewable fuel </w:t>
      </w:r>
      <w:r>
        <w:rPr>
          <w:i/>
        </w:rPr>
        <w:t>and</w:t>
      </w:r>
      <w:r>
        <w:t xml:space="preserve"> a producer of renewable fuel, then that party must file the reports applicable to both activities.  </w:t>
      </w:r>
    </w:p>
    <w:p w14:paraId="774DB79A" w14:textId="77777777" w:rsidR="00CF2BEB" w:rsidRDefault="00CF2BEB" w:rsidP="00CF2BEB">
      <w:pPr>
        <w:ind w:firstLine="720"/>
      </w:pPr>
    </w:p>
    <w:p w14:paraId="7B8990DE" w14:textId="77777777" w:rsidR="00CF2BEB" w:rsidRDefault="005A12DA" w:rsidP="005A12DA">
      <w:r>
        <w:tab/>
      </w:r>
      <w:r w:rsidR="00CF2BEB">
        <w:t>In</w:t>
      </w:r>
      <w:r w:rsidR="00635498">
        <w:t xml:space="preserve"> the Final Rule</w:t>
      </w:r>
      <w:r w:rsidR="00CF2BEB">
        <w:t xml:space="preserve">, we </w:t>
      </w:r>
      <w:r w:rsidR="00635498">
        <w:t xml:space="preserve">establish </w:t>
      </w:r>
      <w:r w:rsidR="00BD03BB">
        <w:t>t</w:t>
      </w:r>
      <w:r w:rsidR="00CF2BEB">
        <w:t xml:space="preserve">hat “real time” reporting </w:t>
      </w:r>
      <w:r w:rsidR="00635498">
        <w:t xml:space="preserve">within EMTS will </w:t>
      </w:r>
      <w:r w:rsidR="00CF2BEB">
        <w:t xml:space="preserve">be construed as within </w:t>
      </w:r>
      <w:r w:rsidR="00635498">
        <w:t>five</w:t>
      </w:r>
      <w:r w:rsidR="00CF2BEB">
        <w:t xml:space="preserve"> (</w:t>
      </w:r>
      <w:r w:rsidR="00635498">
        <w:t>5</w:t>
      </w:r>
      <w:r w:rsidR="00CF2BEB">
        <w:t>) business days of a reportable event (e.g. generation and assignment of RINs, transfer of RINs).  This means that some parties may elect to “batch” real time reports, similar to how businesses batch credit card transactions at the end of the day.  We estimate that an average party would report</w:t>
      </w:r>
      <w:r w:rsidR="00635498">
        <w:t xml:space="preserve"> daily, resulting in 365 instances of reporting in EMTS per year</w:t>
      </w:r>
      <w:r w:rsidR="00CF2BEB">
        <w:t xml:space="preserve">.  </w:t>
      </w:r>
    </w:p>
    <w:p w14:paraId="678793A6" w14:textId="77777777" w:rsidR="00CF2BEB" w:rsidRDefault="00CF2BEB" w:rsidP="00CF2BEB"/>
    <w:p w14:paraId="57384303" w14:textId="77777777" w:rsidR="00CF2BEB" w:rsidRDefault="00CF2BEB" w:rsidP="00263380">
      <w:pPr>
        <w:ind w:firstLine="720"/>
      </w:pPr>
      <w:r>
        <w:t xml:space="preserve">Quarterly reports </w:t>
      </w:r>
      <w:r w:rsidR="00635498">
        <w:t xml:space="preserve">are </w:t>
      </w:r>
      <w:r>
        <w:t>due as follows:</w:t>
      </w:r>
    </w:p>
    <w:p w14:paraId="246F9FA9" w14:textId="77777777" w:rsidR="00CF2BEB" w:rsidRDefault="00CF2BEB" w:rsidP="00CF2BEB">
      <w:pPr>
        <w:jc w:val="center"/>
      </w:pPr>
    </w:p>
    <w:p w14:paraId="694CDA81" w14:textId="77777777" w:rsidR="00CF2BEB" w:rsidRDefault="00CF2BEB" w:rsidP="00CF2BEB">
      <w:pPr>
        <w:jc w:val="center"/>
        <w:rPr>
          <w:b/>
        </w:rPr>
      </w:pPr>
      <w:r>
        <w:t>Quarterly Reporting Schedule for RFS2 Program</w:t>
      </w:r>
    </w:p>
    <w:p w14:paraId="446764F9" w14:textId="77777777" w:rsidR="00CF2BEB" w:rsidRDefault="00CF2BEB" w:rsidP="00CF2B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CF2BEB" w14:paraId="50189AAC" w14:textId="77777777">
        <w:tc>
          <w:tcPr>
            <w:tcW w:w="4428" w:type="dxa"/>
          </w:tcPr>
          <w:p w14:paraId="4D9983B1" w14:textId="77777777" w:rsidR="00CF2BEB" w:rsidRDefault="00CF2BEB" w:rsidP="000453F1">
            <w:pPr>
              <w:rPr>
                <w:b/>
              </w:rPr>
            </w:pPr>
            <w:r>
              <w:rPr>
                <w:b/>
              </w:rPr>
              <w:t>Quarter Covered by Quarterly Report</w:t>
            </w:r>
          </w:p>
        </w:tc>
        <w:tc>
          <w:tcPr>
            <w:tcW w:w="4428" w:type="dxa"/>
          </w:tcPr>
          <w:p w14:paraId="155DF1F9" w14:textId="77777777" w:rsidR="00CF2BEB" w:rsidRDefault="00CF2BEB" w:rsidP="000453F1">
            <w:pPr>
              <w:rPr>
                <w:b/>
              </w:rPr>
            </w:pPr>
            <w:r>
              <w:rPr>
                <w:b/>
              </w:rPr>
              <w:t>Due Date for Quarterly Report</w:t>
            </w:r>
          </w:p>
        </w:tc>
      </w:tr>
      <w:tr w:rsidR="00CF2BEB" w14:paraId="6DA082A0" w14:textId="77777777">
        <w:tc>
          <w:tcPr>
            <w:tcW w:w="4428" w:type="dxa"/>
          </w:tcPr>
          <w:p w14:paraId="5AF2A1AF" w14:textId="77777777" w:rsidR="00CF2BEB" w:rsidRDefault="00CF2BEB" w:rsidP="000453F1">
            <w:r>
              <w:t>January - March</w:t>
            </w:r>
          </w:p>
        </w:tc>
        <w:tc>
          <w:tcPr>
            <w:tcW w:w="4428" w:type="dxa"/>
          </w:tcPr>
          <w:p w14:paraId="29319150" w14:textId="77777777" w:rsidR="00CF2BEB" w:rsidRDefault="00CF2BEB" w:rsidP="000453F1">
            <w:r>
              <w:t>May 31</w:t>
            </w:r>
          </w:p>
        </w:tc>
      </w:tr>
      <w:tr w:rsidR="00CF2BEB" w14:paraId="34B2D389" w14:textId="77777777">
        <w:tc>
          <w:tcPr>
            <w:tcW w:w="4428" w:type="dxa"/>
          </w:tcPr>
          <w:p w14:paraId="41C028CA" w14:textId="77777777" w:rsidR="00CF2BEB" w:rsidRDefault="00CF2BEB" w:rsidP="000453F1">
            <w:r>
              <w:t>April - June</w:t>
            </w:r>
          </w:p>
        </w:tc>
        <w:tc>
          <w:tcPr>
            <w:tcW w:w="4428" w:type="dxa"/>
          </w:tcPr>
          <w:p w14:paraId="03E9A02F" w14:textId="77777777" w:rsidR="00CF2BEB" w:rsidRDefault="00CF2BEB" w:rsidP="000453F1">
            <w:r>
              <w:t>August 31</w:t>
            </w:r>
          </w:p>
        </w:tc>
      </w:tr>
      <w:tr w:rsidR="00CF2BEB" w14:paraId="40EEAE8C" w14:textId="77777777">
        <w:tc>
          <w:tcPr>
            <w:tcW w:w="4428" w:type="dxa"/>
          </w:tcPr>
          <w:p w14:paraId="4B6A0BE8" w14:textId="77777777" w:rsidR="00CF2BEB" w:rsidRDefault="00CF2BEB" w:rsidP="000453F1">
            <w:r>
              <w:t>July - September</w:t>
            </w:r>
          </w:p>
        </w:tc>
        <w:tc>
          <w:tcPr>
            <w:tcW w:w="4428" w:type="dxa"/>
          </w:tcPr>
          <w:p w14:paraId="3E5794A7" w14:textId="77777777" w:rsidR="00CF2BEB" w:rsidRDefault="00CF2BEB" w:rsidP="000453F1">
            <w:r>
              <w:t>November 30</w:t>
            </w:r>
          </w:p>
        </w:tc>
      </w:tr>
      <w:tr w:rsidR="00CF2BEB" w14:paraId="7473FD4F" w14:textId="77777777">
        <w:tc>
          <w:tcPr>
            <w:tcW w:w="4428" w:type="dxa"/>
          </w:tcPr>
          <w:p w14:paraId="1FAB0F92" w14:textId="77777777" w:rsidR="00CF2BEB" w:rsidRDefault="00CF2BEB" w:rsidP="000453F1">
            <w:r>
              <w:t>October - December</w:t>
            </w:r>
          </w:p>
        </w:tc>
        <w:tc>
          <w:tcPr>
            <w:tcW w:w="4428" w:type="dxa"/>
          </w:tcPr>
          <w:p w14:paraId="00811E4C" w14:textId="77777777" w:rsidR="00CF2BEB" w:rsidRDefault="00CF2BEB" w:rsidP="000453F1">
            <w:r>
              <w:t>February 28</w:t>
            </w:r>
          </w:p>
        </w:tc>
      </w:tr>
    </w:tbl>
    <w:p w14:paraId="20C9A648" w14:textId="77777777" w:rsidR="00CF2BEB" w:rsidRDefault="00CF2BEB" w:rsidP="00CF2BEB">
      <w:r>
        <w:t xml:space="preserve">        </w:t>
      </w:r>
    </w:p>
    <w:p w14:paraId="72FCCA6E" w14:textId="77777777" w:rsidR="00CF2BEB" w:rsidRDefault="00CF2BEB" w:rsidP="00CF2BEB"/>
    <w:p w14:paraId="66EED997" w14:textId="77777777" w:rsidR="005974DF" w:rsidRDefault="00CF2BEB" w:rsidP="00A665C4">
      <w:pPr>
        <w:ind w:firstLine="720"/>
      </w:pPr>
      <w:r>
        <w:t xml:space="preserve">Annual reports </w:t>
      </w:r>
      <w:r w:rsidR="00635498">
        <w:t xml:space="preserve">are </w:t>
      </w:r>
      <w:r>
        <w:t xml:space="preserve">due on February 28 for the preceding year.  </w:t>
      </w:r>
    </w:p>
    <w:p w14:paraId="741E6AF7" w14:textId="77777777" w:rsidR="005974DF" w:rsidRDefault="005974DF" w:rsidP="00CF2BEB"/>
    <w:p w14:paraId="4DFA8243" w14:textId="77777777" w:rsidR="00BC1A1A" w:rsidRDefault="005974DF" w:rsidP="00263380">
      <w:pPr>
        <w:ind w:firstLine="720"/>
      </w:pPr>
      <w:r>
        <w:t xml:space="preserve">For some reports, </w:t>
      </w:r>
      <w:r w:rsidR="00263380">
        <w:t>for example</w:t>
      </w:r>
      <w:r>
        <w:t xml:space="preserve"> </w:t>
      </w:r>
      <w:r w:rsidR="00452668">
        <w:t>involving biofuel feedstock producers</w:t>
      </w:r>
      <w:r w:rsidR="00263380">
        <w:t>,</w:t>
      </w:r>
      <w:r w:rsidR="00452668">
        <w:t xml:space="preserve"> </w:t>
      </w:r>
      <w:r>
        <w:t xml:space="preserve">the frequency of reporting is “on occasion” (i.e., when a transaction requiring disclosure occurs).  </w:t>
      </w:r>
      <w:r w:rsidR="00635498">
        <w:t>As discussed above, for EMTS purpose</w:t>
      </w:r>
      <w:r w:rsidR="00263380">
        <w:t>s</w:t>
      </w:r>
      <w:r w:rsidR="00635498">
        <w:t>, we have assumed one instance of reporting per day for each day of the year</w:t>
      </w:r>
      <w:r w:rsidR="00813BFF">
        <w:t xml:space="preserve">, or </w:t>
      </w:r>
      <w:r w:rsidR="00635498">
        <w:t>365 instances of reporting).</w:t>
      </w:r>
      <w:r w:rsidR="00B11C89">
        <w:t xml:space="preserve">  </w:t>
      </w:r>
    </w:p>
    <w:p w14:paraId="1E6419FC" w14:textId="77777777" w:rsidR="00CF2BEB" w:rsidRDefault="00B11C89" w:rsidP="00CF2BEB">
      <w:r>
        <w:tab/>
      </w:r>
      <w:r w:rsidR="00CF2BEB">
        <w:t xml:space="preserve">     </w:t>
      </w:r>
    </w:p>
    <w:p w14:paraId="0145A3A1" w14:textId="77777777" w:rsidR="00E01F33" w:rsidRDefault="00CF2BEB" w:rsidP="00CF2BEB">
      <w:pPr>
        <w:ind w:firstLine="720"/>
      </w:pPr>
      <w:r>
        <w:t xml:space="preserve">Tables </w:t>
      </w:r>
      <w:r w:rsidR="002323DA">
        <w:t>V</w:t>
      </w:r>
      <w:r>
        <w:t xml:space="preserve">I - </w:t>
      </w:r>
      <w:r w:rsidR="002323DA">
        <w:t>IX</w:t>
      </w:r>
      <w:r>
        <w:t xml:space="preserve"> estimate the recordkeeping and reporting burden by party.  We will provide respondents the opportunity to engage in simplified, secure, electronic </w:t>
      </w:r>
    </w:p>
    <w:p w14:paraId="67A30B1D" w14:textId="77777777" w:rsidR="00E01F33" w:rsidRDefault="00E01F33" w:rsidP="00CF2BEB">
      <w:pPr>
        <w:ind w:firstLine="720"/>
        <w:sectPr w:rsidR="00E01F33" w:rsidSect="00E01F33">
          <w:pgSz w:w="12240" w:h="15840"/>
          <w:pgMar w:top="1440" w:right="1800" w:bottom="1440" w:left="1800" w:header="720" w:footer="720" w:gutter="0"/>
          <w:pgNumType w:fmt="numberInDash" w:start="18"/>
          <w:cols w:space="720"/>
        </w:sectPr>
      </w:pPr>
    </w:p>
    <w:tbl>
      <w:tblPr>
        <w:tblpPr w:leftFromText="180" w:rightFromText="180" w:horzAnchor="margin" w:tblpXSpec="center" w:tblpY="-510"/>
        <w:tblW w:w="15300" w:type="dxa"/>
        <w:tblLook w:val="0000" w:firstRow="0" w:lastRow="0" w:firstColumn="0" w:lastColumn="0" w:noHBand="0" w:noVBand="0"/>
      </w:tblPr>
      <w:tblGrid>
        <w:gridCol w:w="5490"/>
        <w:gridCol w:w="1662"/>
        <w:gridCol w:w="1308"/>
        <w:gridCol w:w="1620"/>
        <w:gridCol w:w="1172"/>
        <w:gridCol w:w="1528"/>
        <w:gridCol w:w="1170"/>
        <w:gridCol w:w="1350"/>
      </w:tblGrid>
      <w:tr w:rsidR="0036717C" w:rsidRPr="00281C9C" w14:paraId="71C6630D" w14:textId="77777777" w:rsidTr="00350007">
        <w:trPr>
          <w:trHeight w:val="510"/>
        </w:trPr>
        <w:tc>
          <w:tcPr>
            <w:tcW w:w="15300" w:type="dxa"/>
            <w:gridSpan w:val="8"/>
            <w:tcBorders>
              <w:top w:val="single" w:sz="8" w:space="0" w:color="auto"/>
              <w:left w:val="single" w:sz="8" w:space="0" w:color="auto"/>
              <w:bottom w:val="nil"/>
              <w:right w:val="single" w:sz="8" w:space="0" w:color="000000"/>
            </w:tcBorders>
            <w:shd w:val="clear" w:color="auto" w:fill="auto"/>
            <w:noWrap/>
            <w:vAlign w:val="bottom"/>
          </w:tcPr>
          <w:p w14:paraId="74EE3724" w14:textId="77777777" w:rsidR="0036717C" w:rsidRPr="00281C9C" w:rsidRDefault="0036717C" w:rsidP="00281C9C">
            <w:pPr>
              <w:jc w:val="center"/>
              <w:rPr>
                <w:rFonts w:ascii="Arial" w:hAnsi="Arial" w:cs="Arial"/>
                <w:b/>
                <w:bCs/>
                <w:sz w:val="20"/>
              </w:rPr>
            </w:pPr>
            <w:r w:rsidRPr="00281C9C">
              <w:rPr>
                <w:rFonts w:ascii="Arial" w:hAnsi="Arial" w:cs="Arial"/>
                <w:b/>
                <w:bCs/>
                <w:sz w:val="20"/>
              </w:rPr>
              <w:lastRenderedPageBreak/>
              <w:t>Information Collection Burden by Type of Party</w:t>
            </w:r>
          </w:p>
        </w:tc>
      </w:tr>
      <w:tr w:rsidR="0036717C" w:rsidRPr="00281C9C" w14:paraId="4D909B6F" w14:textId="77777777" w:rsidTr="00350007">
        <w:trPr>
          <w:trHeight w:val="525"/>
        </w:trPr>
        <w:tc>
          <w:tcPr>
            <w:tcW w:w="15300" w:type="dxa"/>
            <w:gridSpan w:val="8"/>
            <w:tcBorders>
              <w:top w:val="nil"/>
              <w:left w:val="single" w:sz="8" w:space="0" w:color="auto"/>
              <w:bottom w:val="single" w:sz="8" w:space="0" w:color="auto"/>
              <w:right w:val="single" w:sz="8" w:space="0" w:color="000000"/>
            </w:tcBorders>
            <w:shd w:val="clear" w:color="auto" w:fill="auto"/>
            <w:noWrap/>
            <w:vAlign w:val="bottom"/>
          </w:tcPr>
          <w:p w14:paraId="62D2D70B" w14:textId="77777777" w:rsidR="0036717C" w:rsidRPr="00281C9C" w:rsidRDefault="0036717C" w:rsidP="00281C9C">
            <w:pPr>
              <w:jc w:val="center"/>
              <w:rPr>
                <w:rFonts w:ascii="Arial" w:hAnsi="Arial" w:cs="Arial"/>
                <w:i/>
                <w:iCs/>
                <w:sz w:val="20"/>
              </w:rPr>
            </w:pPr>
            <w:r w:rsidRPr="00281C9C">
              <w:rPr>
                <w:rFonts w:ascii="Arial" w:hAnsi="Arial" w:cs="Arial"/>
                <w:i/>
                <w:iCs/>
                <w:sz w:val="20"/>
              </w:rPr>
              <w:t>Table VII- Quarterly Reports of Biofuels Party ( Producer and Importers)</w:t>
            </w:r>
          </w:p>
        </w:tc>
      </w:tr>
      <w:tr w:rsidR="0036717C" w:rsidRPr="00281C9C" w14:paraId="763962F8" w14:textId="77777777" w:rsidTr="00350007">
        <w:trPr>
          <w:trHeight w:val="1335"/>
        </w:trPr>
        <w:tc>
          <w:tcPr>
            <w:tcW w:w="5490" w:type="dxa"/>
            <w:tcBorders>
              <w:top w:val="nil"/>
              <w:left w:val="single" w:sz="8" w:space="0" w:color="auto"/>
              <w:bottom w:val="single" w:sz="8" w:space="0" w:color="auto"/>
              <w:right w:val="single" w:sz="4" w:space="0" w:color="auto"/>
            </w:tcBorders>
            <w:shd w:val="clear" w:color="auto" w:fill="auto"/>
            <w:vAlign w:val="bottom"/>
          </w:tcPr>
          <w:p w14:paraId="3FA7D461" w14:textId="77777777" w:rsidR="0036717C" w:rsidRPr="00281C9C" w:rsidRDefault="0036717C" w:rsidP="00281C9C">
            <w:pPr>
              <w:rPr>
                <w:rFonts w:ascii="Arial" w:hAnsi="Arial" w:cs="Arial"/>
                <w:b/>
                <w:bCs/>
                <w:color w:val="FF0000"/>
                <w:sz w:val="20"/>
              </w:rPr>
            </w:pPr>
            <w:r w:rsidRPr="00281C9C">
              <w:rPr>
                <w:rFonts w:ascii="Arial" w:hAnsi="Arial" w:cs="Arial"/>
                <w:b/>
                <w:bCs/>
                <w:color w:val="FF0000"/>
                <w:sz w:val="20"/>
              </w:rPr>
              <w:t>Collection Activity</w:t>
            </w:r>
          </w:p>
        </w:tc>
        <w:tc>
          <w:tcPr>
            <w:tcW w:w="1662" w:type="dxa"/>
            <w:tcBorders>
              <w:top w:val="nil"/>
              <w:left w:val="nil"/>
              <w:bottom w:val="single" w:sz="8" w:space="0" w:color="auto"/>
              <w:right w:val="single" w:sz="4" w:space="0" w:color="auto"/>
            </w:tcBorders>
            <w:shd w:val="clear" w:color="auto" w:fill="auto"/>
            <w:vAlign w:val="bottom"/>
          </w:tcPr>
          <w:p w14:paraId="248B6C06" w14:textId="77777777" w:rsidR="0036717C" w:rsidRPr="00281C9C" w:rsidRDefault="0036717C" w:rsidP="00281C9C">
            <w:pPr>
              <w:jc w:val="center"/>
              <w:rPr>
                <w:rFonts w:ascii="Arial" w:hAnsi="Arial" w:cs="Arial"/>
                <w:b/>
                <w:bCs/>
                <w:color w:val="FF0000"/>
                <w:sz w:val="20"/>
              </w:rPr>
            </w:pPr>
            <w:r w:rsidRPr="00281C9C">
              <w:rPr>
                <w:rFonts w:ascii="Arial" w:hAnsi="Arial" w:cs="Arial"/>
                <w:b/>
                <w:bCs/>
                <w:color w:val="FF0000"/>
                <w:sz w:val="20"/>
              </w:rPr>
              <w:t>Number of Respondents</w:t>
            </w:r>
          </w:p>
        </w:tc>
        <w:tc>
          <w:tcPr>
            <w:tcW w:w="1308" w:type="dxa"/>
            <w:tcBorders>
              <w:top w:val="nil"/>
              <w:left w:val="nil"/>
              <w:bottom w:val="single" w:sz="8" w:space="0" w:color="auto"/>
              <w:right w:val="single" w:sz="4" w:space="0" w:color="auto"/>
            </w:tcBorders>
            <w:shd w:val="clear" w:color="auto" w:fill="auto"/>
            <w:vAlign w:val="bottom"/>
          </w:tcPr>
          <w:p w14:paraId="13BBF368" w14:textId="77777777" w:rsidR="0036717C" w:rsidRPr="00281C9C" w:rsidRDefault="0036717C" w:rsidP="00281C9C">
            <w:pPr>
              <w:jc w:val="center"/>
              <w:rPr>
                <w:rFonts w:ascii="Arial" w:hAnsi="Arial" w:cs="Arial"/>
                <w:b/>
                <w:bCs/>
                <w:color w:val="FF0000"/>
                <w:sz w:val="20"/>
              </w:rPr>
            </w:pPr>
            <w:r w:rsidRPr="00281C9C">
              <w:rPr>
                <w:rFonts w:ascii="Arial" w:hAnsi="Arial" w:cs="Arial"/>
                <w:b/>
                <w:bCs/>
                <w:color w:val="FF0000"/>
                <w:sz w:val="20"/>
              </w:rPr>
              <w:t>Number of Responses per Party</w:t>
            </w:r>
          </w:p>
        </w:tc>
        <w:tc>
          <w:tcPr>
            <w:tcW w:w="1620" w:type="dxa"/>
            <w:tcBorders>
              <w:top w:val="nil"/>
              <w:left w:val="nil"/>
              <w:bottom w:val="single" w:sz="8" w:space="0" w:color="auto"/>
              <w:right w:val="single" w:sz="4" w:space="0" w:color="auto"/>
            </w:tcBorders>
            <w:shd w:val="clear" w:color="auto" w:fill="auto"/>
            <w:vAlign w:val="bottom"/>
          </w:tcPr>
          <w:p w14:paraId="2C758C5D" w14:textId="77777777" w:rsidR="0036717C" w:rsidRPr="00281C9C" w:rsidRDefault="0036717C" w:rsidP="00281C9C">
            <w:pPr>
              <w:jc w:val="center"/>
              <w:rPr>
                <w:rFonts w:ascii="Arial" w:hAnsi="Arial" w:cs="Arial"/>
                <w:b/>
                <w:bCs/>
                <w:color w:val="FF0000"/>
                <w:sz w:val="20"/>
              </w:rPr>
            </w:pPr>
            <w:r w:rsidRPr="00281C9C">
              <w:rPr>
                <w:rFonts w:ascii="Arial" w:hAnsi="Arial" w:cs="Arial"/>
                <w:b/>
                <w:bCs/>
                <w:color w:val="FF0000"/>
                <w:sz w:val="20"/>
              </w:rPr>
              <w:t>Total Number of Responses</w:t>
            </w:r>
          </w:p>
        </w:tc>
        <w:tc>
          <w:tcPr>
            <w:tcW w:w="1172" w:type="dxa"/>
            <w:tcBorders>
              <w:top w:val="nil"/>
              <w:left w:val="nil"/>
              <w:bottom w:val="single" w:sz="8" w:space="0" w:color="auto"/>
              <w:right w:val="single" w:sz="4" w:space="0" w:color="auto"/>
            </w:tcBorders>
            <w:shd w:val="clear" w:color="auto" w:fill="auto"/>
            <w:vAlign w:val="bottom"/>
          </w:tcPr>
          <w:p w14:paraId="34968C60" w14:textId="77777777" w:rsidR="0036717C" w:rsidRPr="00281C9C" w:rsidRDefault="0036717C" w:rsidP="00281C9C">
            <w:pPr>
              <w:jc w:val="center"/>
              <w:rPr>
                <w:rFonts w:ascii="Arial" w:hAnsi="Arial" w:cs="Arial"/>
                <w:b/>
                <w:bCs/>
                <w:color w:val="FF0000"/>
                <w:sz w:val="20"/>
              </w:rPr>
            </w:pPr>
            <w:r w:rsidRPr="00281C9C">
              <w:rPr>
                <w:rFonts w:ascii="Arial" w:hAnsi="Arial" w:cs="Arial"/>
                <w:b/>
                <w:bCs/>
                <w:color w:val="FF0000"/>
                <w:sz w:val="20"/>
              </w:rPr>
              <w:t>Time per Response (hours)</w:t>
            </w:r>
          </w:p>
        </w:tc>
        <w:tc>
          <w:tcPr>
            <w:tcW w:w="1528" w:type="dxa"/>
            <w:tcBorders>
              <w:top w:val="nil"/>
              <w:left w:val="nil"/>
              <w:bottom w:val="single" w:sz="8" w:space="0" w:color="auto"/>
              <w:right w:val="single" w:sz="4" w:space="0" w:color="auto"/>
            </w:tcBorders>
            <w:shd w:val="clear" w:color="auto" w:fill="auto"/>
            <w:vAlign w:val="bottom"/>
          </w:tcPr>
          <w:p w14:paraId="0E940862" w14:textId="77777777" w:rsidR="0036717C" w:rsidRPr="00281C9C" w:rsidRDefault="0036717C" w:rsidP="00281C9C">
            <w:pPr>
              <w:jc w:val="center"/>
              <w:rPr>
                <w:rFonts w:ascii="Arial" w:hAnsi="Arial" w:cs="Arial"/>
                <w:b/>
                <w:bCs/>
                <w:color w:val="FF0000"/>
                <w:sz w:val="20"/>
              </w:rPr>
            </w:pPr>
            <w:r w:rsidRPr="00281C9C">
              <w:rPr>
                <w:rFonts w:ascii="Arial" w:hAnsi="Arial" w:cs="Arial"/>
                <w:b/>
                <w:bCs/>
                <w:color w:val="FF0000"/>
                <w:sz w:val="20"/>
              </w:rPr>
              <w:t>Cost per Response (dollars)</w:t>
            </w:r>
          </w:p>
        </w:tc>
        <w:tc>
          <w:tcPr>
            <w:tcW w:w="1170" w:type="dxa"/>
            <w:tcBorders>
              <w:top w:val="nil"/>
              <w:left w:val="nil"/>
              <w:bottom w:val="single" w:sz="8" w:space="0" w:color="auto"/>
              <w:right w:val="single" w:sz="4" w:space="0" w:color="auto"/>
            </w:tcBorders>
            <w:shd w:val="clear" w:color="auto" w:fill="auto"/>
            <w:vAlign w:val="bottom"/>
          </w:tcPr>
          <w:p w14:paraId="60125258" w14:textId="77777777" w:rsidR="0036717C" w:rsidRPr="00281C9C" w:rsidRDefault="0036717C" w:rsidP="00281C9C">
            <w:pPr>
              <w:jc w:val="center"/>
              <w:rPr>
                <w:rFonts w:ascii="Arial" w:hAnsi="Arial" w:cs="Arial"/>
                <w:b/>
                <w:bCs/>
                <w:color w:val="FF0000"/>
                <w:sz w:val="20"/>
              </w:rPr>
            </w:pPr>
            <w:r w:rsidRPr="00281C9C">
              <w:rPr>
                <w:rFonts w:ascii="Arial" w:hAnsi="Arial" w:cs="Arial"/>
                <w:b/>
                <w:bCs/>
                <w:color w:val="FF0000"/>
                <w:sz w:val="20"/>
              </w:rPr>
              <w:t>Total Hours</w:t>
            </w:r>
          </w:p>
        </w:tc>
        <w:tc>
          <w:tcPr>
            <w:tcW w:w="1350" w:type="dxa"/>
            <w:tcBorders>
              <w:top w:val="nil"/>
              <w:left w:val="nil"/>
              <w:bottom w:val="single" w:sz="8" w:space="0" w:color="auto"/>
              <w:right w:val="single" w:sz="8" w:space="0" w:color="auto"/>
            </w:tcBorders>
            <w:shd w:val="clear" w:color="auto" w:fill="auto"/>
            <w:vAlign w:val="bottom"/>
          </w:tcPr>
          <w:p w14:paraId="39EDE365" w14:textId="77777777" w:rsidR="0036717C" w:rsidRPr="00281C9C" w:rsidRDefault="0036717C" w:rsidP="00281C9C">
            <w:pPr>
              <w:jc w:val="center"/>
              <w:rPr>
                <w:rFonts w:ascii="Arial" w:hAnsi="Arial" w:cs="Arial"/>
                <w:b/>
                <w:bCs/>
                <w:color w:val="FF0000"/>
                <w:sz w:val="20"/>
              </w:rPr>
            </w:pPr>
            <w:r w:rsidRPr="00281C9C">
              <w:rPr>
                <w:rFonts w:ascii="Arial" w:hAnsi="Arial" w:cs="Arial"/>
                <w:b/>
                <w:bCs/>
                <w:color w:val="FF0000"/>
                <w:sz w:val="20"/>
              </w:rPr>
              <w:t>Total Cost (dollars)</w:t>
            </w:r>
          </w:p>
        </w:tc>
      </w:tr>
      <w:tr w:rsidR="0036717C" w:rsidRPr="00281C9C" w14:paraId="46854658" w14:textId="77777777" w:rsidTr="00350007">
        <w:trPr>
          <w:trHeight w:val="735"/>
        </w:trPr>
        <w:tc>
          <w:tcPr>
            <w:tcW w:w="5490" w:type="dxa"/>
            <w:tcBorders>
              <w:top w:val="single" w:sz="4" w:space="0" w:color="auto"/>
              <w:left w:val="single" w:sz="8" w:space="0" w:color="auto"/>
              <w:bottom w:val="single" w:sz="4" w:space="0" w:color="auto"/>
              <w:right w:val="single" w:sz="4" w:space="0" w:color="auto"/>
            </w:tcBorders>
            <w:shd w:val="clear" w:color="auto" w:fill="auto"/>
            <w:vAlign w:val="center"/>
          </w:tcPr>
          <w:p w14:paraId="1296B6AA" w14:textId="77777777" w:rsidR="0036717C" w:rsidRPr="00281C9C" w:rsidRDefault="0036717C" w:rsidP="00281C9C">
            <w:pPr>
              <w:rPr>
                <w:rFonts w:ascii="Arial" w:hAnsi="Arial" w:cs="Arial"/>
                <w:sz w:val="20"/>
              </w:rPr>
            </w:pPr>
            <w:r w:rsidRPr="00281C9C">
              <w:rPr>
                <w:rFonts w:ascii="Arial" w:hAnsi="Arial" w:cs="Arial"/>
                <w:sz w:val="20"/>
              </w:rPr>
              <w:t>Quarterly Reports for Producers of Biofuels - Generation and Assignment of RINS</w:t>
            </w:r>
          </w:p>
        </w:tc>
        <w:tc>
          <w:tcPr>
            <w:tcW w:w="1662" w:type="dxa"/>
            <w:tcBorders>
              <w:top w:val="single" w:sz="4" w:space="0" w:color="auto"/>
              <w:left w:val="nil"/>
              <w:bottom w:val="single" w:sz="4" w:space="0" w:color="auto"/>
              <w:right w:val="single" w:sz="4" w:space="0" w:color="auto"/>
            </w:tcBorders>
            <w:shd w:val="clear" w:color="auto" w:fill="auto"/>
            <w:noWrap/>
            <w:vAlign w:val="center"/>
          </w:tcPr>
          <w:p w14:paraId="3AEA40E5" w14:textId="77777777" w:rsidR="0036717C" w:rsidRPr="00281C9C" w:rsidRDefault="0036717C" w:rsidP="00281C9C">
            <w:pPr>
              <w:jc w:val="center"/>
              <w:rPr>
                <w:rFonts w:ascii="Arial" w:hAnsi="Arial" w:cs="Arial"/>
                <w:sz w:val="20"/>
              </w:rPr>
            </w:pPr>
            <w:r w:rsidRPr="00281C9C">
              <w:rPr>
                <w:rFonts w:ascii="Arial" w:hAnsi="Arial" w:cs="Arial"/>
                <w:sz w:val="20"/>
              </w:rPr>
              <w:t>300</w:t>
            </w:r>
          </w:p>
        </w:tc>
        <w:tc>
          <w:tcPr>
            <w:tcW w:w="1308" w:type="dxa"/>
            <w:tcBorders>
              <w:top w:val="single" w:sz="4" w:space="0" w:color="auto"/>
              <w:left w:val="nil"/>
              <w:bottom w:val="single" w:sz="4" w:space="0" w:color="auto"/>
              <w:right w:val="single" w:sz="4" w:space="0" w:color="auto"/>
            </w:tcBorders>
            <w:shd w:val="clear" w:color="auto" w:fill="auto"/>
            <w:noWrap/>
            <w:vAlign w:val="center"/>
          </w:tcPr>
          <w:p w14:paraId="47C86051" w14:textId="77777777" w:rsidR="0036717C" w:rsidRPr="00281C9C" w:rsidRDefault="0036717C" w:rsidP="00281C9C">
            <w:pPr>
              <w:jc w:val="center"/>
              <w:rPr>
                <w:rFonts w:ascii="Arial" w:hAnsi="Arial" w:cs="Arial"/>
                <w:sz w:val="20"/>
              </w:rPr>
            </w:pPr>
            <w:r w:rsidRPr="00281C9C">
              <w:rPr>
                <w:rFonts w:ascii="Arial" w:hAnsi="Arial" w:cs="Arial"/>
                <w:sz w:val="20"/>
              </w:rPr>
              <w:t>4</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6D23D612" w14:textId="77777777" w:rsidR="0036717C" w:rsidRPr="00281C9C" w:rsidRDefault="0036717C" w:rsidP="00281C9C">
            <w:pPr>
              <w:jc w:val="center"/>
              <w:rPr>
                <w:rFonts w:ascii="Arial" w:hAnsi="Arial" w:cs="Arial"/>
                <w:sz w:val="20"/>
              </w:rPr>
            </w:pPr>
            <w:r w:rsidRPr="00281C9C">
              <w:rPr>
                <w:rFonts w:ascii="Arial" w:hAnsi="Arial" w:cs="Arial"/>
                <w:sz w:val="20"/>
              </w:rPr>
              <w:t>1200</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2D857CB" w14:textId="77777777" w:rsidR="0036717C" w:rsidRPr="00281C9C" w:rsidRDefault="0036717C" w:rsidP="00281C9C">
            <w:pPr>
              <w:jc w:val="center"/>
              <w:rPr>
                <w:rFonts w:ascii="Arial" w:hAnsi="Arial" w:cs="Arial"/>
                <w:sz w:val="20"/>
              </w:rPr>
            </w:pPr>
            <w:r w:rsidRPr="00281C9C">
              <w:rPr>
                <w:rFonts w:ascii="Arial" w:hAnsi="Arial" w:cs="Arial"/>
                <w:sz w:val="20"/>
              </w:rPr>
              <w:t>1</w:t>
            </w:r>
          </w:p>
        </w:tc>
        <w:tc>
          <w:tcPr>
            <w:tcW w:w="1528" w:type="dxa"/>
            <w:tcBorders>
              <w:top w:val="single" w:sz="4" w:space="0" w:color="auto"/>
              <w:left w:val="nil"/>
              <w:bottom w:val="single" w:sz="4" w:space="0" w:color="auto"/>
              <w:right w:val="single" w:sz="4" w:space="0" w:color="auto"/>
            </w:tcBorders>
            <w:shd w:val="clear" w:color="auto" w:fill="auto"/>
            <w:noWrap/>
            <w:vAlign w:val="center"/>
          </w:tcPr>
          <w:p w14:paraId="10ACC5EA" w14:textId="77777777" w:rsidR="0036717C" w:rsidRPr="00281C9C" w:rsidRDefault="0036717C" w:rsidP="00281C9C">
            <w:pPr>
              <w:jc w:val="center"/>
              <w:rPr>
                <w:rFonts w:ascii="Arial" w:hAnsi="Arial" w:cs="Arial"/>
                <w:sz w:val="20"/>
              </w:rPr>
            </w:pPr>
            <w:r w:rsidRPr="00281C9C">
              <w:rPr>
                <w:rFonts w:ascii="Arial" w:hAnsi="Arial" w:cs="Arial"/>
                <w:sz w:val="20"/>
              </w:rPr>
              <w:t>$114</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F315A34" w14:textId="77777777" w:rsidR="0036717C" w:rsidRPr="00281C9C" w:rsidRDefault="0036717C" w:rsidP="00281C9C">
            <w:pPr>
              <w:jc w:val="center"/>
              <w:rPr>
                <w:rFonts w:ascii="Arial" w:hAnsi="Arial" w:cs="Arial"/>
                <w:sz w:val="20"/>
              </w:rPr>
            </w:pPr>
            <w:r w:rsidRPr="00281C9C">
              <w:rPr>
                <w:rFonts w:ascii="Arial" w:hAnsi="Arial" w:cs="Arial"/>
                <w:sz w:val="20"/>
              </w:rPr>
              <w:t>1200</w:t>
            </w:r>
          </w:p>
        </w:tc>
        <w:tc>
          <w:tcPr>
            <w:tcW w:w="1350" w:type="dxa"/>
            <w:tcBorders>
              <w:top w:val="single" w:sz="4" w:space="0" w:color="auto"/>
              <w:left w:val="nil"/>
              <w:bottom w:val="single" w:sz="4" w:space="0" w:color="auto"/>
              <w:right w:val="single" w:sz="8" w:space="0" w:color="auto"/>
            </w:tcBorders>
            <w:shd w:val="clear" w:color="auto" w:fill="auto"/>
            <w:noWrap/>
            <w:vAlign w:val="center"/>
          </w:tcPr>
          <w:p w14:paraId="335E5F93" w14:textId="77777777" w:rsidR="0036717C" w:rsidRPr="00281C9C" w:rsidRDefault="0036717C" w:rsidP="00281C9C">
            <w:pPr>
              <w:jc w:val="center"/>
              <w:rPr>
                <w:rFonts w:ascii="Arial" w:hAnsi="Arial" w:cs="Arial"/>
                <w:sz w:val="20"/>
              </w:rPr>
            </w:pPr>
            <w:r w:rsidRPr="00281C9C">
              <w:rPr>
                <w:rFonts w:ascii="Arial" w:hAnsi="Arial" w:cs="Arial"/>
                <w:sz w:val="20"/>
              </w:rPr>
              <w:t>$136,800</w:t>
            </w:r>
          </w:p>
        </w:tc>
      </w:tr>
      <w:tr w:rsidR="0036717C" w:rsidRPr="00281C9C" w14:paraId="2A34AFD2" w14:textId="77777777" w:rsidTr="00350007">
        <w:trPr>
          <w:trHeight w:val="735"/>
        </w:trPr>
        <w:tc>
          <w:tcPr>
            <w:tcW w:w="5490" w:type="dxa"/>
            <w:tcBorders>
              <w:top w:val="nil"/>
              <w:left w:val="single" w:sz="8" w:space="0" w:color="auto"/>
              <w:bottom w:val="single" w:sz="4" w:space="0" w:color="auto"/>
              <w:right w:val="single" w:sz="4" w:space="0" w:color="auto"/>
            </w:tcBorders>
            <w:shd w:val="clear" w:color="auto" w:fill="auto"/>
            <w:vAlign w:val="center"/>
          </w:tcPr>
          <w:p w14:paraId="01E883CD" w14:textId="77777777" w:rsidR="0036717C" w:rsidRPr="00281C9C" w:rsidRDefault="0036717C" w:rsidP="00281C9C">
            <w:pPr>
              <w:rPr>
                <w:rFonts w:ascii="Arial" w:hAnsi="Arial" w:cs="Arial"/>
                <w:sz w:val="20"/>
              </w:rPr>
            </w:pPr>
            <w:r w:rsidRPr="00281C9C">
              <w:rPr>
                <w:rFonts w:ascii="Arial" w:hAnsi="Arial" w:cs="Arial"/>
                <w:sz w:val="20"/>
              </w:rPr>
              <w:t>Quarterly Reports for Importers of Biofuels -  Generation and assignment of RINS</w:t>
            </w:r>
          </w:p>
        </w:tc>
        <w:tc>
          <w:tcPr>
            <w:tcW w:w="1662" w:type="dxa"/>
            <w:tcBorders>
              <w:top w:val="nil"/>
              <w:left w:val="nil"/>
              <w:bottom w:val="single" w:sz="4" w:space="0" w:color="auto"/>
              <w:right w:val="single" w:sz="4" w:space="0" w:color="auto"/>
            </w:tcBorders>
            <w:shd w:val="clear" w:color="auto" w:fill="auto"/>
            <w:noWrap/>
            <w:vAlign w:val="center"/>
          </w:tcPr>
          <w:p w14:paraId="5014FD2E" w14:textId="77777777" w:rsidR="0036717C" w:rsidRPr="00281C9C" w:rsidRDefault="0036717C" w:rsidP="00281C9C">
            <w:pPr>
              <w:jc w:val="center"/>
              <w:rPr>
                <w:rFonts w:ascii="Arial" w:hAnsi="Arial" w:cs="Arial"/>
                <w:sz w:val="20"/>
              </w:rPr>
            </w:pPr>
            <w:r w:rsidRPr="00281C9C">
              <w:rPr>
                <w:rFonts w:ascii="Arial" w:hAnsi="Arial" w:cs="Arial"/>
                <w:sz w:val="20"/>
              </w:rPr>
              <w:t>20</w:t>
            </w:r>
          </w:p>
        </w:tc>
        <w:tc>
          <w:tcPr>
            <w:tcW w:w="1308" w:type="dxa"/>
            <w:tcBorders>
              <w:top w:val="nil"/>
              <w:left w:val="nil"/>
              <w:bottom w:val="single" w:sz="4" w:space="0" w:color="auto"/>
              <w:right w:val="single" w:sz="4" w:space="0" w:color="auto"/>
            </w:tcBorders>
            <w:shd w:val="clear" w:color="auto" w:fill="auto"/>
            <w:noWrap/>
            <w:vAlign w:val="center"/>
          </w:tcPr>
          <w:p w14:paraId="50419FE9" w14:textId="77777777" w:rsidR="0036717C" w:rsidRPr="00281C9C" w:rsidRDefault="0036717C" w:rsidP="00281C9C">
            <w:pPr>
              <w:jc w:val="center"/>
              <w:rPr>
                <w:rFonts w:ascii="Arial" w:hAnsi="Arial" w:cs="Arial"/>
                <w:sz w:val="20"/>
              </w:rPr>
            </w:pPr>
            <w:r w:rsidRPr="00281C9C">
              <w:rPr>
                <w:rFonts w:ascii="Arial" w:hAnsi="Arial" w:cs="Arial"/>
                <w:sz w:val="20"/>
              </w:rPr>
              <w:t>4</w:t>
            </w:r>
          </w:p>
        </w:tc>
        <w:tc>
          <w:tcPr>
            <w:tcW w:w="1620" w:type="dxa"/>
            <w:tcBorders>
              <w:top w:val="nil"/>
              <w:left w:val="nil"/>
              <w:bottom w:val="single" w:sz="4" w:space="0" w:color="auto"/>
              <w:right w:val="single" w:sz="4" w:space="0" w:color="auto"/>
            </w:tcBorders>
            <w:shd w:val="clear" w:color="auto" w:fill="auto"/>
            <w:noWrap/>
            <w:vAlign w:val="center"/>
          </w:tcPr>
          <w:p w14:paraId="00A08218" w14:textId="77777777" w:rsidR="0036717C" w:rsidRPr="00281C9C" w:rsidRDefault="0036717C" w:rsidP="00281C9C">
            <w:pPr>
              <w:jc w:val="center"/>
              <w:rPr>
                <w:rFonts w:ascii="Arial" w:hAnsi="Arial" w:cs="Arial"/>
                <w:sz w:val="20"/>
              </w:rPr>
            </w:pPr>
            <w:r w:rsidRPr="00281C9C">
              <w:rPr>
                <w:rFonts w:ascii="Arial" w:hAnsi="Arial" w:cs="Arial"/>
                <w:sz w:val="20"/>
              </w:rPr>
              <w:t>80</w:t>
            </w:r>
          </w:p>
        </w:tc>
        <w:tc>
          <w:tcPr>
            <w:tcW w:w="1172" w:type="dxa"/>
            <w:tcBorders>
              <w:top w:val="nil"/>
              <w:left w:val="nil"/>
              <w:bottom w:val="single" w:sz="4" w:space="0" w:color="auto"/>
              <w:right w:val="single" w:sz="4" w:space="0" w:color="auto"/>
            </w:tcBorders>
            <w:shd w:val="clear" w:color="auto" w:fill="auto"/>
            <w:noWrap/>
            <w:vAlign w:val="center"/>
          </w:tcPr>
          <w:p w14:paraId="28AB7B08" w14:textId="77777777" w:rsidR="0036717C" w:rsidRPr="00281C9C" w:rsidRDefault="0036717C" w:rsidP="00281C9C">
            <w:pPr>
              <w:jc w:val="center"/>
              <w:rPr>
                <w:rFonts w:ascii="Arial" w:hAnsi="Arial" w:cs="Arial"/>
                <w:sz w:val="20"/>
              </w:rPr>
            </w:pPr>
            <w:r w:rsidRPr="00281C9C">
              <w:rPr>
                <w:rFonts w:ascii="Arial" w:hAnsi="Arial" w:cs="Arial"/>
                <w:sz w:val="20"/>
              </w:rPr>
              <w:t>1</w:t>
            </w:r>
          </w:p>
        </w:tc>
        <w:tc>
          <w:tcPr>
            <w:tcW w:w="1528" w:type="dxa"/>
            <w:tcBorders>
              <w:top w:val="nil"/>
              <w:left w:val="nil"/>
              <w:bottom w:val="single" w:sz="4" w:space="0" w:color="auto"/>
              <w:right w:val="single" w:sz="4" w:space="0" w:color="auto"/>
            </w:tcBorders>
            <w:shd w:val="clear" w:color="auto" w:fill="auto"/>
            <w:noWrap/>
            <w:vAlign w:val="center"/>
          </w:tcPr>
          <w:p w14:paraId="559BB11B" w14:textId="77777777" w:rsidR="0036717C" w:rsidRPr="00281C9C" w:rsidRDefault="0036717C" w:rsidP="00281C9C">
            <w:pPr>
              <w:jc w:val="center"/>
              <w:rPr>
                <w:rFonts w:ascii="Arial" w:hAnsi="Arial" w:cs="Arial"/>
                <w:sz w:val="20"/>
              </w:rPr>
            </w:pPr>
            <w:r w:rsidRPr="00281C9C">
              <w:rPr>
                <w:rFonts w:ascii="Arial" w:hAnsi="Arial" w:cs="Arial"/>
                <w:sz w:val="20"/>
              </w:rPr>
              <w:t>$114</w:t>
            </w:r>
          </w:p>
        </w:tc>
        <w:tc>
          <w:tcPr>
            <w:tcW w:w="1170" w:type="dxa"/>
            <w:tcBorders>
              <w:top w:val="nil"/>
              <w:left w:val="nil"/>
              <w:bottom w:val="single" w:sz="4" w:space="0" w:color="auto"/>
              <w:right w:val="single" w:sz="4" w:space="0" w:color="auto"/>
            </w:tcBorders>
            <w:shd w:val="clear" w:color="auto" w:fill="auto"/>
            <w:noWrap/>
            <w:vAlign w:val="center"/>
          </w:tcPr>
          <w:p w14:paraId="50E63DEC" w14:textId="77777777" w:rsidR="0036717C" w:rsidRPr="00281C9C" w:rsidRDefault="0036717C" w:rsidP="00281C9C">
            <w:pPr>
              <w:jc w:val="center"/>
              <w:rPr>
                <w:rFonts w:ascii="Arial" w:hAnsi="Arial" w:cs="Arial"/>
                <w:sz w:val="20"/>
              </w:rPr>
            </w:pPr>
            <w:r w:rsidRPr="00281C9C">
              <w:rPr>
                <w:rFonts w:ascii="Arial" w:hAnsi="Arial" w:cs="Arial"/>
                <w:sz w:val="20"/>
              </w:rPr>
              <w:t>80</w:t>
            </w:r>
          </w:p>
        </w:tc>
        <w:tc>
          <w:tcPr>
            <w:tcW w:w="1350" w:type="dxa"/>
            <w:tcBorders>
              <w:top w:val="nil"/>
              <w:left w:val="nil"/>
              <w:bottom w:val="single" w:sz="4" w:space="0" w:color="auto"/>
              <w:right w:val="single" w:sz="8" w:space="0" w:color="auto"/>
            </w:tcBorders>
            <w:shd w:val="clear" w:color="auto" w:fill="auto"/>
            <w:noWrap/>
            <w:vAlign w:val="center"/>
          </w:tcPr>
          <w:p w14:paraId="2BE2787A" w14:textId="77777777" w:rsidR="0036717C" w:rsidRPr="00281C9C" w:rsidRDefault="0036717C" w:rsidP="00281C9C">
            <w:pPr>
              <w:jc w:val="center"/>
              <w:rPr>
                <w:rFonts w:ascii="Arial" w:hAnsi="Arial" w:cs="Arial"/>
                <w:sz w:val="20"/>
              </w:rPr>
            </w:pPr>
            <w:r w:rsidRPr="00281C9C">
              <w:rPr>
                <w:rFonts w:ascii="Arial" w:hAnsi="Arial" w:cs="Arial"/>
                <w:sz w:val="20"/>
              </w:rPr>
              <w:t>$9,120</w:t>
            </w:r>
          </w:p>
        </w:tc>
      </w:tr>
      <w:tr w:rsidR="0036717C" w:rsidRPr="00281C9C" w14:paraId="0D5980AA" w14:textId="77777777" w:rsidTr="00350007">
        <w:trPr>
          <w:trHeight w:val="482"/>
        </w:trPr>
        <w:tc>
          <w:tcPr>
            <w:tcW w:w="5490" w:type="dxa"/>
            <w:tcBorders>
              <w:top w:val="nil"/>
              <w:left w:val="single" w:sz="8" w:space="0" w:color="auto"/>
              <w:bottom w:val="single" w:sz="8" w:space="0" w:color="auto"/>
              <w:right w:val="single" w:sz="4" w:space="0" w:color="auto"/>
            </w:tcBorders>
            <w:shd w:val="clear" w:color="auto" w:fill="auto"/>
            <w:noWrap/>
            <w:vAlign w:val="bottom"/>
          </w:tcPr>
          <w:p w14:paraId="4249DA6A" w14:textId="77777777" w:rsidR="0036717C" w:rsidRPr="00281C9C" w:rsidRDefault="0036717C" w:rsidP="00281C9C">
            <w:pPr>
              <w:rPr>
                <w:rFonts w:ascii="Arial" w:hAnsi="Arial" w:cs="Arial"/>
                <w:b/>
                <w:bCs/>
                <w:color w:val="008000"/>
                <w:sz w:val="20"/>
              </w:rPr>
            </w:pPr>
            <w:r w:rsidRPr="00281C9C">
              <w:rPr>
                <w:rFonts w:ascii="Arial" w:hAnsi="Arial" w:cs="Arial"/>
                <w:b/>
                <w:bCs/>
                <w:color w:val="008000"/>
                <w:sz w:val="20"/>
              </w:rPr>
              <w:t>TOTAL</w:t>
            </w:r>
          </w:p>
        </w:tc>
        <w:tc>
          <w:tcPr>
            <w:tcW w:w="1662" w:type="dxa"/>
            <w:tcBorders>
              <w:top w:val="nil"/>
              <w:left w:val="nil"/>
              <w:bottom w:val="single" w:sz="8" w:space="0" w:color="auto"/>
              <w:right w:val="single" w:sz="4" w:space="0" w:color="auto"/>
            </w:tcBorders>
            <w:shd w:val="clear" w:color="auto" w:fill="auto"/>
            <w:noWrap/>
            <w:vAlign w:val="bottom"/>
          </w:tcPr>
          <w:p w14:paraId="264CE728" w14:textId="77777777" w:rsidR="0036717C" w:rsidRPr="00281C9C" w:rsidRDefault="0036717C" w:rsidP="00281C9C">
            <w:pPr>
              <w:jc w:val="center"/>
              <w:rPr>
                <w:rFonts w:ascii="Arial" w:hAnsi="Arial" w:cs="Arial"/>
                <w:b/>
                <w:bCs/>
                <w:color w:val="008000"/>
                <w:sz w:val="20"/>
              </w:rPr>
            </w:pPr>
            <w:r w:rsidRPr="00281C9C">
              <w:rPr>
                <w:rFonts w:ascii="Arial" w:hAnsi="Arial" w:cs="Arial"/>
                <w:b/>
                <w:bCs/>
                <w:color w:val="008000"/>
                <w:sz w:val="20"/>
              </w:rPr>
              <w:t>320</w:t>
            </w:r>
          </w:p>
        </w:tc>
        <w:tc>
          <w:tcPr>
            <w:tcW w:w="1308" w:type="dxa"/>
            <w:tcBorders>
              <w:top w:val="nil"/>
              <w:left w:val="nil"/>
              <w:bottom w:val="single" w:sz="8" w:space="0" w:color="auto"/>
              <w:right w:val="single" w:sz="4" w:space="0" w:color="auto"/>
            </w:tcBorders>
            <w:shd w:val="clear" w:color="auto" w:fill="auto"/>
            <w:noWrap/>
            <w:vAlign w:val="bottom"/>
          </w:tcPr>
          <w:p w14:paraId="6F4CAA6B" w14:textId="77777777" w:rsidR="0036717C" w:rsidRPr="00281C9C" w:rsidRDefault="0036717C" w:rsidP="00281C9C">
            <w:pPr>
              <w:jc w:val="center"/>
              <w:rPr>
                <w:rFonts w:ascii="Arial" w:hAnsi="Arial" w:cs="Arial"/>
                <w:b/>
                <w:bCs/>
                <w:color w:val="008000"/>
                <w:sz w:val="20"/>
              </w:rPr>
            </w:pPr>
            <w:r w:rsidRPr="00281C9C">
              <w:rPr>
                <w:rFonts w:ascii="Arial" w:hAnsi="Arial" w:cs="Arial"/>
                <w:b/>
                <w:bCs/>
                <w:color w:val="008000"/>
                <w:sz w:val="20"/>
              </w:rPr>
              <w:t> </w:t>
            </w:r>
          </w:p>
        </w:tc>
        <w:tc>
          <w:tcPr>
            <w:tcW w:w="1620" w:type="dxa"/>
            <w:tcBorders>
              <w:top w:val="nil"/>
              <w:left w:val="nil"/>
              <w:bottom w:val="single" w:sz="8" w:space="0" w:color="auto"/>
              <w:right w:val="single" w:sz="4" w:space="0" w:color="auto"/>
            </w:tcBorders>
            <w:shd w:val="clear" w:color="auto" w:fill="auto"/>
            <w:noWrap/>
            <w:vAlign w:val="bottom"/>
          </w:tcPr>
          <w:p w14:paraId="6B32B03F" w14:textId="77777777" w:rsidR="0036717C" w:rsidRPr="00281C9C" w:rsidRDefault="0036717C" w:rsidP="00281C9C">
            <w:pPr>
              <w:jc w:val="center"/>
              <w:rPr>
                <w:rFonts w:ascii="Arial" w:hAnsi="Arial" w:cs="Arial"/>
                <w:b/>
                <w:bCs/>
                <w:color w:val="008000"/>
                <w:sz w:val="20"/>
              </w:rPr>
            </w:pPr>
            <w:r w:rsidRPr="00281C9C">
              <w:rPr>
                <w:rFonts w:ascii="Arial" w:hAnsi="Arial" w:cs="Arial"/>
                <w:b/>
                <w:bCs/>
                <w:color w:val="008000"/>
                <w:sz w:val="20"/>
              </w:rPr>
              <w:t>1280</w:t>
            </w:r>
          </w:p>
        </w:tc>
        <w:tc>
          <w:tcPr>
            <w:tcW w:w="1172" w:type="dxa"/>
            <w:tcBorders>
              <w:top w:val="nil"/>
              <w:left w:val="nil"/>
              <w:bottom w:val="single" w:sz="8" w:space="0" w:color="auto"/>
              <w:right w:val="single" w:sz="4" w:space="0" w:color="auto"/>
            </w:tcBorders>
            <w:shd w:val="clear" w:color="auto" w:fill="auto"/>
            <w:noWrap/>
            <w:vAlign w:val="bottom"/>
          </w:tcPr>
          <w:p w14:paraId="12A057F3" w14:textId="77777777" w:rsidR="0036717C" w:rsidRPr="00281C9C" w:rsidRDefault="0036717C" w:rsidP="00281C9C">
            <w:pPr>
              <w:jc w:val="center"/>
              <w:rPr>
                <w:rFonts w:ascii="Arial" w:hAnsi="Arial" w:cs="Arial"/>
                <w:b/>
                <w:bCs/>
                <w:color w:val="008000"/>
                <w:sz w:val="20"/>
              </w:rPr>
            </w:pPr>
            <w:r w:rsidRPr="00281C9C">
              <w:rPr>
                <w:rFonts w:ascii="Arial" w:hAnsi="Arial" w:cs="Arial"/>
                <w:b/>
                <w:bCs/>
                <w:color w:val="008000"/>
                <w:sz w:val="20"/>
              </w:rPr>
              <w:t> </w:t>
            </w:r>
          </w:p>
        </w:tc>
        <w:tc>
          <w:tcPr>
            <w:tcW w:w="1528" w:type="dxa"/>
            <w:tcBorders>
              <w:top w:val="nil"/>
              <w:left w:val="nil"/>
              <w:bottom w:val="single" w:sz="8" w:space="0" w:color="auto"/>
              <w:right w:val="single" w:sz="4" w:space="0" w:color="auto"/>
            </w:tcBorders>
            <w:shd w:val="clear" w:color="auto" w:fill="auto"/>
            <w:noWrap/>
            <w:vAlign w:val="bottom"/>
          </w:tcPr>
          <w:p w14:paraId="2C5AD0E2" w14:textId="77777777" w:rsidR="0036717C" w:rsidRPr="00281C9C" w:rsidRDefault="0036717C" w:rsidP="00281C9C">
            <w:pPr>
              <w:jc w:val="center"/>
              <w:rPr>
                <w:rFonts w:ascii="Arial" w:hAnsi="Arial" w:cs="Arial"/>
                <w:b/>
                <w:bCs/>
                <w:color w:val="008000"/>
                <w:sz w:val="20"/>
              </w:rPr>
            </w:pPr>
            <w:r w:rsidRPr="00281C9C">
              <w:rPr>
                <w:rFonts w:ascii="Arial" w:hAnsi="Arial" w:cs="Arial"/>
                <w:b/>
                <w:bCs/>
                <w:color w:val="008000"/>
                <w:sz w:val="20"/>
              </w:rPr>
              <w:t> </w:t>
            </w:r>
          </w:p>
        </w:tc>
        <w:tc>
          <w:tcPr>
            <w:tcW w:w="1170" w:type="dxa"/>
            <w:tcBorders>
              <w:top w:val="nil"/>
              <w:left w:val="nil"/>
              <w:bottom w:val="single" w:sz="8" w:space="0" w:color="auto"/>
              <w:right w:val="single" w:sz="4" w:space="0" w:color="auto"/>
            </w:tcBorders>
            <w:shd w:val="clear" w:color="auto" w:fill="auto"/>
            <w:noWrap/>
            <w:vAlign w:val="bottom"/>
          </w:tcPr>
          <w:p w14:paraId="330C2C25" w14:textId="77777777" w:rsidR="0036717C" w:rsidRPr="00281C9C" w:rsidRDefault="0036717C" w:rsidP="00281C9C">
            <w:pPr>
              <w:jc w:val="center"/>
              <w:rPr>
                <w:rFonts w:ascii="Arial" w:hAnsi="Arial" w:cs="Arial"/>
                <w:b/>
                <w:bCs/>
                <w:color w:val="008000"/>
                <w:sz w:val="20"/>
              </w:rPr>
            </w:pPr>
            <w:r w:rsidRPr="00281C9C">
              <w:rPr>
                <w:rFonts w:ascii="Arial" w:hAnsi="Arial" w:cs="Arial"/>
                <w:b/>
                <w:bCs/>
                <w:color w:val="008000"/>
                <w:sz w:val="20"/>
              </w:rPr>
              <w:t>1280</w:t>
            </w:r>
          </w:p>
        </w:tc>
        <w:tc>
          <w:tcPr>
            <w:tcW w:w="1350" w:type="dxa"/>
            <w:tcBorders>
              <w:top w:val="nil"/>
              <w:left w:val="nil"/>
              <w:bottom w:val="single" w:sz="8" w:space="0" w:color="auto"/>
              <w:right w:val="single" w:sz="8" w:space="0" w:color="auto"/>
            </w:tcBorders>
            <w:shd w:val="clear" w:color="auto" w:fill="auto"/>
            <w:noWrap/>
            <w:vAlign w:val="bottom"/>
          </w:tcPr>
          <w:p w14:paraId="75064A33" w14:textId="77777777" w:rsidR="0036717C" w:rsidRPr="00281C9C" w:rsidRDefault="0036717C" w:rsidP="00281C9C">
            <w:pPr>
              <w:jc w:val="center"/>
              <w:rPr>
                <w:rFonts w:ascii="Arial" w:hAnsi="Arial" w:cs="Arial"/>
                <w:b/>
                <w:bCs/>
                <w:color w:val="008000"/>
                <w:sz w:val="20"/>
              </w:rPr>
            </w:pPr>
            <w:r w:rsidRPr="00281C9C">
              <w:rPr>
                <w:rFonts w:ascii="Arial" w:hAnsi="Arial" w:cs="Arial"/>
                <w:b/>
                <w:bCs/>
                <w:color w:val="008000"/>
                <w:sz w:val="20"/>
              </w:rPr>
              <w:t>$145,920</w:t>
            </w:r>
          </w:p>
        </w:tc>
      </w:tr>
    </w:tbl>
    <w:p w14:paraId="3DA9B03B" w14:textId="77777777" w:rsidR="00E714EB" w:rsidRDefault="00E01F33" w:rsidP="00CF2BEB">
      <w:pPr>
        <w:ind w:firstLine="720"/>
      </w:pPr>
      <w:r>
        <w:br w:type="page"/>
      </w:r>
    </w:p>
    <w:tbl>
      <w:tblPr>
        <w:tblW w:w="12680" w:type="dxa"/>
        <w:tblInd w:w="93" w:type="dxa"/>
        <w:tblLook w:val="0000" w:firstRow="0" w:lastRow="0" w:firstColumn="0" w:lastColumn="0" w:noHBand="0" w:noVBand="0"/>
      </w:tblPr>
      <w:tblGrid>
        <w:gridCol w:w="2500"/>
        <w:gridCol w:w="1820"/>
        <w:gridCol w:w="1540"/>
        <w:gridCol w:w="1760"/>
        <w:gridCol w:w="1400"/>
        <w:gridCol w:w="1360"/>
        <w:gridCol w:w="1000"/>
        <w:gridCol w:w="1300"/>
      </w:tblGrid>
      <w:tr w:rsidR="00E714EB" w:rsidRPr="00E714EB" w14:paraId="2BB7689C" w14:textId="77777777">
        <w:trPr>
          <w:trHeight w:val="510"/>
        </w:trPr>
        <w:tc>
          <w:tcPr>
            <w:tcW w:w="12680" w:type="dxa"/>
            <w:gridSpan w:val="8"/>
            <w:tcBorders>
              <w:top w:val="single" w:sz="8" w:space="0" w:color="auto"/>
              <w:left w:val="single" w:sz="8" w:space="0" w:color="auto"/>
              <w:bottom w:val="nil"/>
              <w:right w:val="single" w:sz="8" w:space="0" w:color="000000"/>
            </w:tcBorders>
            <w:shd w:val="clear" w:color="auto" w:fill="auto"/>
            <w:noWrap/>
            <w:vAlign w:val="bottom"/>
          </w:tcPr>
          <w:p w14:paraId="31DAA34C" w14:textId="77777777" w:rsidR="00E714EB" w:rsidRPr="00E714EB" w:rsidRDefault="00E714EB" w:rsidP="00E714EB">
            <w:pPr>
              <w:jc w:val="center"/>
              <w:rPr>
                <w:rFonts w:ascii="Arial" w:hAnsi="Arial" w:cs="Arial"/>
                <w:b/>
                <w:bCs/>
                <w:sz w:val="22"/>
                <w:szCs w:val="22"/>
              </w:rPr>
            </w:pPr>
            <w:r w:rsidRPr="00E714EB">
              <w:rPr>
                <w:rFonts w:ascii="Arial" w:hAnsi="Arial" w:cs="Arial"/>
                <w:b/>
                <w:bCs/>
                <w:sz w:val="22"/>
                <w:szCs w:val="22"/>
              </w:rPr>
              <w:lastRenderedPageBreak/>
              <w:t>Information Collection Burden by Type of Party</w:t>
            </w:r>
          </w:p>
        </w:tc>
      </w:tr>
      <w:tr w:rsidR="00E714EB" w:rsidRPr="00E714EB" w14:paraId="2B2F8772" w14:textId="77777777">
        <w:trPr>
          <w:trHeight w:val="525"/>
        </w:trPr>
        <w:tc>
          <w:tcPr>
            <w:tcW w:w="12680" w:type="dxa"/>
            <w:gridSpan w:val="8"/>
            <w:tcBorders>
              <w:top w:val="nil"/>
              <w:left w:val="single" w:sz="8" w:space="0" w:color="auto"/>
              <w:bottom w:val="single" w:sz="8" w:space="0" w:color="auto"/>
              <w:right w:val="single" w:sz="8" w:space="0" w:color="000000"/>
            </w:tcBorders>
            <w:shd w:val="clear" w:color="auto" w:fill="auto"/>
            <w:noWrap/>
            <w:vAlign w:val="bottom"/>
          </w:tcPr>
          <w:p w14:paraId="363505E2" w14:textId="77777777" w:rsidR="00E714EB" w:rsidRPr="00E714EB" w:rsidRDefault="00E714EB" w:rsidP="00E714EB">
            <w:pPr>
              <w:jc w:val="center"/>
              <w:rPr>
                <w:rFonts w:ascii="Arial" w:hAnsi="Arial" w:cs="Arial"/>
                <w:i/>
                <w:iCs/>
                <w:sz w:val="22"/>
                <w:szCs w:val="22"/>
              </w:rPr>
            </w:pPr>
            <w:r w:rsidRPr="00E714EB">
              <w:rPr>
                <w:rFonts w:ascii="Arial" w:hAnsi="Arial" w:cs="Arial"/>
                <w:i/>
                <w:iCs/>
                <w:sz w:val="22"/>
                <w:szCs w:val="22"/>
              </w:rPr>
              <w:t>Table VIIl - Annual Compliance Reports For Obligated Party</w:t>
            </w:r>
          </w:p>
        </w:tc>
      </w:tr>
      <w:tr w:rsidR="00E714EB" w:rsidRPr="00E714EB" w14:paraId="709250D7" w14:textId="77777777">
        <w:trPr>
          <w:trHeight w:val="1245"/>
        </w:trPr>
        <w:tc>
          <w:tcPr>
            <w:tcW w:w="2500" w:type="dxa"/>
            <w:tcBorders>
              <w:top w:val="nil"/>
              <w:left w:val="single" w:sz="8" w:space="0" w:color="auto"/>
              <w:bottom w:val="single" w:sz="8" w:space="0" w:color="auto"/>
              <w:right w:val="single" w:sz="4" w:space="0" w:color="auto"/>
            </w:tcBorders>
            <w:shd w:val="clear" w:color="auto" w:fill="auto"/>
            <w:vAlign w:val="bottom"/>
          </w:tcPr>
          <w:p w14:paraId="596BD9CF" w14:textId="77777777" w:rsidR="00E714EB" w:rsidRPr="00E714EB" w:rsidRDefault="00E714EB" w:rsidP="00E714EB">
            <w:pPr>
              <w:rPr>
                <w:rFonts w:ascii="Arial" w:hAnsi="Arial" w:cs="Arial"/>
                <w:b/>
                <w:bCs/>
                <w:color w:val="FF0000"/>
                <w:sz w:val="22"/>
                <w:szCs w:val="22"/>
              </w:rPr>
            </w:pPr>
            <w:r w:rsidRPr="00E714EB">
              <w:rPr>
                <w:rFonts w:ascii="Arial" w:hAnsi="Arial" w:cs="Arial"/>
                <w:b/>
                <w:bCs/>
                <w:color w:val="FF0000"/>
                <w:sz w:val="22"/>
                <w:szCs w:val="22"/>
              </w:rPr>
              <w:t>Collection Activity</w:t>
            </w:r>
          </w:p>
        </w:tc>
        <w:tc>
          <w:tcPr>
            <w:tcW w:w="1820" w:type="dxa"/>
            <w:tcBorders>
              <w:top w:val="nil"/>
              <w:left w:val="nil"/>
              <w:bottom w:val="single" w:sz="8" w:space="0" w:color="auto"/>
              <w:right w:val="single" w:sz="4" w:space="0" w:color="auto"/>
            </w:tcBorders>
            <w:shd w:val="clear" w:color="auto" w:fill="auto"/>
            <w:vAlign w:val="bottom"/>
          </w:tcPr>
          <w:p w14:paraId="198FB949" w14:textId="77777777" w:rsidR="00E714EB" w:rsidRPr="00E714EB" w:rsidRDefault="00E714EB" w:rsidP="00E714EB">
            <w:pPr>
              <w:jc w:val="center"/>
              <w:rPr>
                <w:rFonts w:ascii="Arial" w:hAnsi="Arial" w:cs="Arial"/>
                <w:b/>
                <w:bCs/>
                <w:color w:val="FF0000"/>
                <w:sz w:val="22"/>
                <w:szCs w:val="22"/>
              </w:rPr>
            </w:pPr>
            <w:r w:rsidRPr="00E714EB">
              <w:rPr>
                <w:rFonts w:ascii="Arial" w:hAnsi="Arial" w:cs="Arial"/>
                <w:b/>
                <w:bCs/>
                <w:color w:val="FF0000"/>
                <w:sz w:val="22"/>
                <w:szCs w:val="22"/>
              </w:rPr>
              <w:t>Number of Respondents</w:t>
            </w:r>
          </w:p>
        </w:tc>
        <w:tc>
          <w:tcPr>
            <w:tcW w:w="1540" w:type="dxa"/>
            <w:tcBorders>
              <w:top w:val="nil"/>
              <w:left w:val="nil"/>
              <w:bottom w:val="single" w:sz="8" w:space="0" w:color="auto"/>
              <w:right w:val="single" w:sz="4" w:space="0" w:color="auto"/>
            </w:tcBorders>
            <w:shd w:val="clear" w:color="auto" w:fill="auto"/>
            <w:vAlign w:val="bottom"/>
          </w:tcPr>
          <w:p w14:paraId="39C3EC41" w14:textId="77777777" w:rsidR="00E714EB" w:rsidRPr="00E714EB" w:rsidRDefault="00E714EB" w:rsidP="00E714EB">
            <w:pPr>
              <w:jc w:val="center"/>
              <w:rPr>
                <w:rFonts w:ascii="Arial" w:hAnsi="Arial" w:cs="Arial"/>
                <w:b/>
                <w:bCs/>
                <w:color w:val="FF0000"/>
                <w:sz w:val="22"/>
                <w:szCs w:val="22"/>
              </w:rPr>
            </w:pPr>
            <w:r w:rsidRPr="00E714EB">
              <w:rPr>
                <w:rFonts w:ascii="Arial" w:hAnsi="Arial" w:cs="Arial"/>
                <w:b/>
                <w:bCs/>
                <w:color w:val="FF0000"/>
                <w:sz w:val="22"/>
                <w:szCs w:val="22"/>
              </w:rPr>
              <w:t xml:space="preserve">Number of Responses </w:t>
            </w:r>
          </w:p>
        </w:tc>
        <w:tc>
          <w:tcPr>
            <w:tcW w:w="1760" w:type="dxa"/>
            <w:tcBorders>
              <w:top w:val="nil"/>
              <w:left w:val="nil"/>
              <w:bottom w:val="single" w:sz="8" w:space="0" w:color="auto"/>
              <w:right w:val="single" w:sz="4" w:space="0" w:color="auto"/>
            </w:tcBorders>
            <w:shd w:val="clear" w:color="auto" w:fill="auto"/>
            <w:vAlign w:val="bottom"/>
          </w:tcPr>
          <w:p w14:paraId="2C4B3F13" w14:textId="77777777" w:rsidR="00E714EB" w:rsidRPr="00E714EB" w:rsidRDefault="00E714EB" w:rsidP="00E714EB">
            <w:pPr>
              <w:jc w:val="center"/>
              <w:rPr>
                <w:rFonts w:ascii="Arial" w:hAnsi="Arial" w:cs="Arial"/>
                <w:b/>
                <w:bCs/>
                <w:color w:val="FF0000"/>
                <w:sz w:val="22"/>
                <w:szCs w:val="22"/>
              </w:rPr>
            </w:pPr>
            <w:r w:rsidRPr="00E714EB">
              <w:rPr>
                <w:rFonts w:ascii="Arial" w:hAnsi="Arial" w:cs="Arial"/>
                <w:b/>
                <w:bCs/>
                <w:color w:val="FF0000"/>
                <w:sz w:val="22"/>
                <w:szCs w:val="22"/>
              </w:rPr>
              <w:t>Total Number of Responses</w:t>
            </w:r>
          </w:p>
        </w:tc>
        <w:tc>
          <w:tcPr>
            <w:tcW w:w="1400" w:type="dxa"/>
            <w:tcBorders>
              <w:top w:val="nil"/>
              <w:left w:val="nil"/>
              <w:bottom w:val="single" w:sz="8" w:space="0" w:color="auto"/>
              <w:right w:val="single" w:sz="4" w:space="0" w:color="auto"/>
            </w:tcBorders>
            <w:shd w:val="clear" w:color="auto" w:fill="auto"/>
            <w:vAlign w:val="bottom"/>
          </w:tcPr>
          <w:p w14:paraId="5DBF7DFD" w14:textId="77777777" w:rsidR="00E714EB" w:rsidRPr="00E714EB" w:rsidRDefault="00E714EB" w:rsidP="00E714EB">
            <w:pPr>
              <w:jc w:val="center"/>
              <w:rPr>
                <w:rFonts w:ascii="Arial" w:hAnsi="Arial" w:cs="Arial"/>
                <w:b/>
                <w:bCs/>
                <w:color w:val="FF0000"/>
                <w:sz w:val="22"/>
                <w:szCs w:val="22"/>
              </w:rPr>
            </w:pPr>
            <w:r w:rsidRPr="00E714EB">
              <w:rPr>
                <w:rFonts w:ascii="Arial" w:hAnsi="Arial" w:cs="Arial"/>
                <w:b/>
                <w:bCs/>
                <w:color w:val="FF0000"/>
                <w:sz w:val="22"/>
                <w:szCs w:val="22"/>
              </w:rPr>
              <w:t>Time per Response (hours)</w:t>
            </w:r>
          </w:p>
        </w:tc>
        <w:tc>
          <w:tcPr>
            <w:tcW w:w="1360" w:type="dxa"/>
            <w:tcBorders>
              <w:top w:val="nil"/>
              <w:left w:val="nil"/>
              <w:bottom w:val="single" w:sz="8" w:space="0" w:color="auto"/>
              <w:right w:val="single" w:sz="4" w:space="0" w:color="auto"/>
            </w:tcBorders>
            <w:shd w:val="clear" w:color="auto" w:fill="auto"/>
            <w:vAlign w:val="bottom"/>
          </w:tcPr>
          <w:p w14:paraId="165134B2" w14:textId="77777777" w:rsidR="00E714EB" w:rsidRPr="00E714EB" w:rsidRDefault="00E714EB" w:rsidP="00E714EB">
            <w:pPr>
              <w:jc w:val="center"/>
              <w:rPr>
                <w:rFonts w:ascii="Arial" w:hAnsi="Arial" w:cs="Arial"/>
                <w:b/>
                <w:bCs/>
                <w:color w:val="FF0000"/>
                <w:sz w:val="22"/>
                <w:szCs w:val="22"/>
              </w:rPr>
            </w:pPr>
            <w:r w:rsidRPr="00E714EB">
              <w:rPr>
                <w:rFonts w:ascii="Arial" w:hAnsi="Arial" w:cs="Arial"/>
                <w:b/>
                <w:bCs/>
                <w:color w:val="FF0000"/>
                <w:sz w:val="22"/>
                <w:szCs w:val="22"/>
              </w:rPr>
              <w:t>Cost per Response (dollars)</w:t>
            </w:r>
          </w:p>
        </w:tc>
        <w:tc>
          <w:tcPr>
            <w:tcW w:w="1000" w:type="dxa"/>
            <w:tcBorders>
              <w:top w:val="nil"/>
              <w:left w:val="nil"/>
              <w:bottom w:val="single" w:sz="8" w:space="0" w:color="auto"/>
              <w:right w:val="single" w:sz="4" w:space="0" w:color="auto"/>
            </w:tcBorders>
            <w:shd w:val="clear" w:color="auto" w:fill="auto"/>
            <w:vAlign w:val="bottom"/>
          </w:tcPr>
          <w:p w14:paraId="445F45B7" w14:textId="77777777" w:rsidR="00E714EB" w:rsidRPr="00E714EB" w:rsidRDefault="00E714EB" w:rsidP="00E714EB">
            <w:pPr>
              <w:jc w:val="center"/>
              <w:rPr>
                <w:rFonts w:ascii="Arial" w:hAnsi="Arial" w:cs="Arial"/>
                <w:b/>
                <w:bCs/>
                <w:color w:val="FF0000"/>
                <w:sz w:val="22"/>
                <w:szCs w:val="22"/>
              </w:rPr>
            </w:pPr>
            <w:r w:rsidRPr="00E714EB">
              <w:rPr>
                <w:rFonts w:ascii="Arial" w:hAnsi="Arial" w:cs="Arial"/>
                <w:b/>
                <w:bCs/>
                <w:color w:val="FF0000"/>
                <w:sz w:val="22"/>
                <w:szCs w:val="22"/>
              </w:rPr>
              <w:t>Total Hours</w:t>
            </w:r>
          </w:p>
        </w:tc>
        <w:tc>
          <w:tcPr>
            <w:tcW w:w="1300" w:type="dxa"/>
            <w:tcBorders>
              <w:top w:val="nil"/>
              <w:left w:val="nil"/>
              <w:bottom w:val="single" w:sz="8" w:space="0" w:color="auto"/>
              <w:right w:val="single" w:sz="8" w:space="0" w:color="auto"/>
            </w:tcBorders>
            <w:shd w:val="clear" w:color="auto" w:fill="auto"/>
            <w:vAlign w:val="bottom"/>
          </w:tcPr>
          <w:p w14:paraId="16024809" w14:textId="77777777" w:rsidR="00E714EB" w:rsidRPr="00E714EB" w:rsidRDefault="00E714EB" w:rsidP="00E714EB">
            <w:pPr>
              <w:jc w:val="center"/>
              <w:rPr>
                <w:rFonts w:ascii="Arial" w:hAnsi="Arial" w:cs="Arial"/>
                <w:b/>
                <w:bCs/>
                <w:color w:val="FF0000"/>
                <w:sz w:val="22"/>
                <w:szCs w:val="22"/>
              </w:rPr>
            </w:pPr>
            <w:r w:rsidRPr="00E714EB">
              <w:rPr>
                <w:rFonts w:ascii="Arial" w:hAnsi="Arial" w:cs="Arial"/>
                <w:b/>
                <w:bCs/>
                <w:color w:val="FF0000"/>
                <w:sz w:val="22"/>
                <w:szCs w:val="22"/>
              </w:rPr>
              <w:t>Total Cost (dollars)</w:t>
            </w:r>
          </w:p>
        </w:tc>
      </w:tr>
      <w:tr w:rsidR="00E714EB" w:rsidRPr="00E714EB" w14:paraId="2150B124" w14:textId="77777777">
        <w:trPr>
          <w:trHeight w:val="1230"/>
        </w:trPr>
        <w:tc>
          <w:tcPr>
            <w:tcW w:w="2500" w:type="dxa"/>
            <w:tcBorders>
              <w:top w:val="single" w:sz="4" w:space="0" w:color="auto"/>
              <w:left w:val="single" w:sz="8" w:space="0" w:color="auto"/>
              <w:bottom w:val="single" w:sz="4" w:space="0" w:color="auto"/>
              <w:right w:val="single" w:sz="4" w:space="0" w:color="auto"/>
            </w:tcBorders>
            <w:shd w:val="clear" w:color="auto" w:fill="auto"/>
            <w:vAlign w:val="bottom"/>
          </w:tcPr>
          <w:p w14:paraId="38344490" w14:textId="77777777" w:rsidR="00E714EB" w:rsidRPr="00E714EB" w:rsidRDefault="00E714EB" w:rsidP="00E714EB">
            <w:pPr>
              <w:ind w:firstLineChars="200" w:firstLine="440"/>
              <w:rPr>
                <w:rFonts w:ascii="Arial" w:hAnsi="Arial" w:cs="Arial"/>
                <w:sz w:val="22"/>
                <w:szCs w:val="22"/>
              </w:rPr>
            </w:pPr>
            <w:r w:rsidRPr="00E714EB">
              <w:rPr>
                <w:rFonts w:ascii="Arial" w:hAnsi="Arial" w:cs="Arial"/>
                <w:sz w:val="22"/>
                <w:szCs w:val="22"/>
              </w:rPr>
              <w:t xml:space="preserve">Obligated Party </w:t>
            </w:r>
          </w:p>
        </w:tc>
        <w:tc>
          <w:tcPr>
            <w:tcW w:w="1820" w:type="dxa"/>
            <w:tcBorders>
              <w:top w:val="single" w:sz="4" w:space="0" w:color="auto"/>
              <w:left w:val="nil"/>
              <w:bottom w:val="single" w:sz="4" w:space="0" w:color="auto"/>
              <w:right w:val="single" w:sz="4" w:space="0" w:color="auto"/>
            </w:tcBorders>
            <w:shd w:val="clear" w:color="auto" w:fill="auto"/>
            <w:noWrap/>
            <w:vAlign w:val="bottom"/>
          </w:tcPr>
          <w:p w14:paraId="483716E9"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150</w:t>
            </w: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0476D73E"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1</w:t>
            </w:r>
          </w:p>
        </w:tc>
        <w:tc>
          <w:tcPr>
            <w:tcW w:w="1760" w:type="dxa"/>
            <w:tcBorders>
              <w:top w:val="single" w:sz="4" w:space="0" w:color="auto"/>
              <w:left w:val="nil"/>
              <w:bottom w:val="single" w:sz="4" w:space="0" w:color="auto"/>
              <w:right w:val="single" w:sz="4" w:space="0" w:color="auto"/>
            </w:tcBorders>
            <w:shd w:val="clear" w:color="auto" w:fill="auto"/>
            <w:noWrap/>
            <w:vAlign w:val="bottom"/>
          </w:tcPr>
          <w:p w14:paraId="5E2C1CE5"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150</w:t>
            </w: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5D5D5FF2"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1</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6236B030"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$114</w:t>
            </w:r>
          </w:p>
        </w:tc>
        <w:tc>
          <w:tcPr>
            <w:tcW w:w="1000" w:type="dxa"/>
            <w:tcBorders>
              <w:top w:val="single" w:sz="4" w:space="0" w:color="auto"/>
              <w:left w:val="nil"/>
              <w:bottom w:val="single" w:sz="4" w:space="0" w:color="auto"/>
              <w:right w:val="single" w:sz="4" w:space="0" w:color="auto"/>
            </w:tcBorders>
            <w:shd w:val="clear" w:color="auto" w:fill="auto"/>
            <w:noWrap/>
            <w:vAlign w:val="bottom"/>
          </w:tcPr>
          <w:p w14:paraId="67120324"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150</w:t>
            </w:r>
          </w:p>
        </w:tc>
        <w:tc>
          <w:tcPr>
            <w:tcW w:w="1300" w:type="dxa"/>
            <w:tcBorders>
              <w:top w:val="single" w:sz="4" w:space="0" w:color="auto"/>
              <w:left w:val="nil"/>
              <w:bottom w:val="single" w:sz="4" w:space="0" w:color="auto"/>
              <w:right w:val="single" w:sz="8" w:space="0" w:color="auto"/>
            </w:tcBorders>
            <w:shd w:val="clear" w:color="auto" w:fill="auto"/>
            <w:noWrap/>
            <w:vAlign w:val="bottom"/>
          </w:tcPr>
          <w:p w14:paraId="390F76E3"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$17,100</w:t>
            </w:r>
          </w:p>
        </w:tc>
      </w:tr>
      <w:tr w:rsidR="00E714EB" w:rsidRPr="00E714EB" w14:paraId="77931621" w14:textId="77777777">
        <w:trPr>
          <w:trHeight w:val="825"/>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2FA88147" w14:textId="77777777" w:rsidR="00E714EB" w:rsidRPr="00E714EB" w:rsidRDefault="00E714EB" w:rsidP="00E714EB">
            <w:pPr>
              <w:rPr>
                <w:rFonts w:ascii="Arial" w:hAnsi="Arial" w:cs="Arial"/>
                <w:b/>
                <w:bCs/>
                <w:color w:val="008000"/>
                <w:sz w:val="22"/>
                <w:szCs w:val="22"/>
              </w:rPr>
            </w:pPr>
            <w:r w:rsidRPr="00E714EB">
              <w:rPr>
                <w:rFonts w:ascii="Arial" w:hAnsi="Arial" w:cs="Arial"/>
                <w:b/>
                <w:bCs/>
                <w:color w:val="008000"/>
                <w:sz w:val="22"/>
                <w:szCs w:val="22"/>
              </w:rPr>
              <w:t>TOTAL</w:t>
            </w:r>
          </w:p>
        </w:tc>
        <w:tc>
          <w:tcPr>
            <w:tcW w:w="1820" w:type="dxa"/>
            <w:tcBorders>
              <w:top w:val="nil"/>
              <w:left w:val="nil"/>
              <w:bottom w:val="single" w:sz="8" w:space="0" w:color="auto"/>
              <w:right w:val="single" w:sz="4" w:space="0" w:color="auto"/>
            </w:tcBorders>
            <w:shd w:val="clear" w:color="auto" w:fill="auto"/>
            <w:noWrap/>
            <w:vAlign w:val="bottom"/>
          </w:tcPr>
          <w:p w14:paraId="6E745A68" w14:textId="77777777" w:rsidR="00E714EB" w:rsidRPr="00E714EB" w:rsidRDefault="00E714EB" w:rsidP="00E714EB">
            <w:pPr>
              <w:jc w:val="center"/>
              <w:rPr>
                <w:rFonts w:ascii="Arial" w:hAnsi="Arial" w:cs="Arial"/>
                <w:b/>
                <w:bCs/>
                <w:color w:val="008000"/>
                <w:sz w:val="22"/>
                <w:szCs w:val="22"/>
              </w:rPr>
            </w:pPr>
            <w:r w:rsidRPr="00E714EB">
              <w:rPr>
                <w:rFonts w:ascii="Arial" w:hAnsi="Arial" w:cs="Arial"/>
                <w:b/>
                <w:bCs/>
                <w:color w:val="008000"/>
                <w:sz w:val="22"/>
                <w:szCs w:val="22"/>
              </w:rPr>
              <w:t>150</w:t>
            </w:r>
          </w:p>
        </w:tc>
        <w:tc>
          <w:tcPr>
            <w:tcW w:w="1540" w:type="dxa"/>
            <w:tcBorders>
              <w:top w:val="nil"/>
              <w:left w:val="nil"/>
              <w:bottom w:val="single" w:sz="8" w:space="0" w:color="auto"/>
              <w:right w:val="single" w:sz="4" w:space="0" w:color="auto"/>
            </w:tcBorders>
            <w:shd w:val="clear" w:color="auto" w:fill="auto"/>
            <w:noWrap/>
            <w:vAlign w:val="bottom"/>
          </w:tcPr>
          <w:p w14:paraId="00BD2AEA" w14:textId="77777777" w:rsidR="00E714EB" w:rsidRPr="00E714EB" w:rsidRDefault="00E714EB" w:rsidP="00E714EB">
            <w:pPr>
              <w:jc w:val="center"/>
              <w:rPr>
                <w:rFonts w:ascii="Arial" w:hAnsi="Arial" w:cs="Arial"/>
                <w:b/>
                <w:bCs/>
                <w:color w:val="008000"/>
                <w:sz w:val="22"/>
                <w:szCs w:val="22"/>
              </w:rPr>
            </w:pPr>
            <w:r w:rsidRPr="00E714EB">
              <w:rPr>
                <w:rFonts w:ascii="Arial" w:hAnsi="Arial" w:cs="Arial"/>
                <w:b/>
                <w:bCs/>
                <w:color w:val="008000"/>
                <w:sz w:val="22"/>
                <w:szCs w:val="22"/>
              </w:rPr>
              <w:t> </w:t>
            </w:r>
          </w:p>
        </w:tc>
        <w:tc>
          <w:tcPr>
            <w:tcW w:w="1760" w:type="dxa"/>
            <w:tcBorders>
              <w:top w:val="nil"/>
              <w:left w:val="nil"/>
              <w:bottom w:val="single" w:sz="8" w:space="0" w:color="auto"/>
              <w:right w:val="single" w:sz="4" w:space="0" w:color="auto"/>
            </w:tcBorders>
            <w:shd w:val="clear" w:color="auto" w:fill="auto"/>
            <w:noWrap/>
            <w:vAlign w:val="bottom"/>
          </w:tcPr>
          <w:p w14:paraId="74241278" w14:textId="77777777" w:rsidR="00E714EB" w:rsidRPr="00E714EB" w:rsidRDefault="00E714EB" w:rsidP="00E714EB">
            <w:pPr>
              <w:jc w:val="center"/>
              <w:rPr>
                <w:rFonts w:ascii="Arial" w:hAnsi="Arial" w:cs="Arial"/>
                <w:b/>
                <w:bCs/>
                <w:color w:val="008000"/>
                <w:sz w:val="22"/>
                <w:szCs w:val="22"/>
              </w:rPr>
            </w:pPr>
            <w:r w:rsidRPr="00E714EB">
              <w:rPr>
                <w:rFonts w:ascii="Arial" w:hAnsi="Arial" w:cs="Arial"/>
                <w:b/>
                <w:bCs/>
                <w:color w:val="008000"/>
                <w:sz w:val="22"/>
                <w:szCs w:val="22"/>
              </w:rPr>
              <w:t>150</w:t>
            </w:r>
          </w:p>
        </w:tc>
        <w:tc>
          <w:tcPr>
            <w:tcW w:w="1400" w:type="dxa"/>
            <w:tcBorders>
              <w:top w:val="nil"/>
              <w:left w:val="nil"/>
              <w:bottom w:val="single" w:sz="8" w:space="0" w:color="auto"/>
              <w:right w:val="single" w:sz="4" w:space="0" w:color="auto"/>
            </w:tcBorders>
            <w:shd w:val="clear" w:color="auto" w:fill="auto"/>
            <w:noWrap/>
            <w:vAlign w:val="bottom"/>
          </w:tcPr>
          <w:p w14:paraId="26E58008" w14:textId="77777777" w:rsidR="00E714EB" w:rsidRPr="00E714EB" w:rsidRDefault="00E714EB" w:rsidP="00E714EB">
            <w:pPr>
              <w:jc w:val="center"/>
              <w:rPr>
                <w:rFonts w:ascii="Arial" w:hAnsi="Arial" w:cs="Arial"/>
                <w:b/>
                <w:bCs/>
                <w:color w:val="008000"/>
                <w:sz w:val="22"/>
                <w:szCs w:val="22"/>
              </w:rPr>
            </w:pPr>
            <w:r w:rsidRPr="00E714EB">
              <w:rPr>
                <w:rFonts w:ascii="Arial" w:hAnsi="Arial" w:cs="Arial"/>
                <w:b/>
                <w:bCs/>
                <w:color w:val="008000"/>
                <w:sz w:val="22"/>
                <w:szCs w:val="22"/>
              </w:rPr>
              <w:t> </w:t>
            </w:r>
          </w:p>
        </w:tc>
        <w:tc>
          <w:tcPr>
            <w:tcW w:w="1360" w:type="dxa"/>
            <w:tcBorders>
              <w:top w:val="nil"/>
              <w:left w:val="nil"/>
              <w:bottom w:val="single" w:sz="8" w:space="0" w:color="auto"/>
              <w:right w:val="single" w:sz="4" w:space="0" w:color="auto"/>
            </w:tcBorders>
            <w:shd w:val="clear" w:color="auto" w:fill="auto"/>
            <w:noWrap/>
            <w:vAlign w:val="bottom"/>
          </w:tcPr>
          <w:p w14:paraId="4D6D6A47" w14:textId="77777777" w:rsidR="00E714EB" w:rsidRPr="00E714EB" w:rsidRDefault="00E714EB" w:rsidP="00E714EB">
            <w:pPr>
              <w:jc w:val="center"/>
              <w:rPr>
                <w:rFonts w:ascii="Arial" w:hAnsi="Arial" w:cs="Arial"/>
                <w:b/>
                <w:bCs/>
                <w:color w:val="008000"/>
                <w:sz w:val="22"/>
                <w:szCs w:val="22"/>
              </w:rPr>
            </w:pPr>
            <w:r w:rsidRPr="00E714EB">
              <w:rPr>
                <w:rFonts w:ascii="Arial" w:hAnsi="Arial" w:cs="Arial"/>
                <w:b/>
                <w:bCs/>
                <w:color w:val="008000"/>
                <w:sz w:val="22"/>
                <w:szCs w:val="22"/>
              </w:rPr>
              <w:t> </w:t>
            </w:r>
          </w:p>
        </w:tc>
        <w:tc>
          <w:tcPr>
            <w:tcW w:w="1000" w:type="dxa"/>
            <w:tcBorders>
              <w:top w:val="nil"/>
              <w:left w:val="nil"/>
              <w:bottom w:val="single" w:sz="8" w:space="0" w:color="auto"/>
              <w:right w:val="single" w:sz="4" w:space="0" w:color="auto"/>
            </w:tcBorders>
            <w:shd w:val="clear" w:color="auto" w:fill="auto"/>
            <w:noWrap/>
            <w:vAlign w:val="bottom"/>
          </w:tcPr>
          <w:p w14:paraId="7993088C" w14:textId="77777777" w:rsidR="00E714EB" w:rsidRPr="00E714EB" w:rsidRDefault="00E714EB" w:rsidP="00E714EB">
            <w:pPr>
              <w:jc w:val="center"/>
              <w:rPr>
                <w:rFonts w:ascii="Arial" w:hAnsi="Arial" w:cs="Arial"/>
                <w:b/>
                <w:bCs/>
                <w:color w:val="008000"/>
                <w:sz w:val="22"/>
                <w:szCs w:val="22"/>
              </w:rPr>
            </w:pPr>
            <w:r w:rsidRPr="00E714EB">
              <w:rPr>
                <w:rFonts w:ascii="Arial" w:hAnsi="Arial" w:cs="Arial"/>
                <w:b/>
                <w:bCs/>
                <w:color w:val="008000"/>
                <w:sz w:val="22"/>
                <w:szCs w:val="22"/>
              </w:rPr>
              <w:t>150</w:t>
            </w:r>
          </w:p>
        </w:tc>
        <w:tc>
          <w:tcPr>
            <w:tcW w:w="1300" w:type="dxa"/>
            <w:tcBorders>
              <w:top w:val="nil"/>
              <w:left w:val="nil"/>
              <w:bottom w:val="single" w:sz="8" w:space="0" w:color="auto"/>
              <w:right w:val="single" w:sz="8" w:space="0" w:color="auto"/>
            </w:tcBorders>
            <w:shd w:val="clear" w:color="auto" w:fill="auto"/>
            <w:noWrap/>
            <w:vAlign w:val="bottom"/>
          </w:tcPr>
          <w:p w14:paraId="18BBCC23" w14:textId="77777777" w:rsidR="00E714EB" w:rsidRPr="00E714EB" w:rsidRDefault="00E714EB" w:rsidP="00E714EB">
            <w:pPr>
              <w:jc w:val="center"/>
              <w:rPr>
                <w:rFonts w:ascii="Arial" w:hAnsi="Arial" w:cs="Arial"/>
                <w:b/>
                <w:bCs/>
                <w:color w:val="008000"/>
                <w:sz w:val="22"/>
                <w:szCs w:val="22"/>
              </w:rPr>
            </w:pPr>
            <w:r w:rsidRPr="00E714EB">
              <w:rPr>
                <w:rFonts w:ascii="Arial" w:hAnsi="Arial" w:cs="Arial"/>
                <w:b/>
                <w:bCs/>
                <w:color w:val="008000"/>
                <w:sz w:val="22"/>
                <w:szCs w:val="22"/>
              </w:rPr>
              <w:t>$17,100</w:t>
            </w:r>
          </w:p>
        </w:tc>
      </w:tr>
    </w:tbl>
    <w:p w14:paraId="60C4F1C3" w14:textId="77777777" w:rsidR="00E714EB" w:rsidRDefault="00E01F33" w:rsidP="00CF2BEB">
      <w:pPr>
        <w:ind w:firstLine="720"/>
      </w:pPr>
      <w:r>
        <w:br w:type="page"/>
      </w:r>
    </w:p>
    <w:tbl>
      <w:tblPr>
        <w:tblW w:w="14955" w:type="dxa"/>
        <w:tblInd w:w="-990" w:type="dxa"/>
        <w:tblLook w:val="0000" w:firstRow="0" w:lastRow="0" w:firstColumn="0" w:lastColumn="0" w:noHBand="0" w:noVBand="0"/>
      </w:tblPr>
      <w:tblGrid>
        <w:gridCol w:w="4440"/>
        <w:gridCol w:w="1860"/>
        <w:gridCol w:w="1545"/>
        <w:gridCol w:w="295"/>
        <w:gridCol w:w="1505"/>
        <w:gridCol w:w="515"/>
        <w:gridCol w:w="835"/>
        <w:gridCol w:w="725"/>
        <w:gridCol w:w="543"/>
        <w:gridCol w:w="1162"/>
        <w:gridCol w:w="1530"/>
      </w:tblGrid>
      <w:tr w:rsidR="00E714EB" w:rsidRPr="00E714EB" w14:paraId="6B1F000C" w14:textId="77777777" w:rsidTr="00281C9C">
        <w:trPr>
          <w:trHeight w:val="510"/>
        </w:trPr>
        <w:tc>
          <w:tcPr>
            <w:tcW w:w="14955" w:type="dxa"/>
            <w:gridSpan w:val="11"/>
            <w:tcBorders>
              <w:top w:val="single" w:sz="8" w:space="0" w:color="auto"/>
              <w:left w:val="single" w:sz="8" w:space="0" w:color="auto"/>
              <w:bottom w:val="nil"/>
              <w:right w:val="single" w:sz="8" w:space="0" w:color="000000"/>
            </w:tcBorders>
            <w:shd w:val="clear" w:color="auto" w:fill="auto"/>
            <w:noWrap/>
            <w:vAlign w:val="bottom"/>
          </w:tcPr>
          <w:p w14:paraId="7E7BB6C1" w14:textId="77777777" w:rsidR="00E714EB" w:rsidRPr="00E714EB" w:rsidRDefault="00E714EB" w:rsidP="00E714EB">
            <w:pPr>
              <w:jc w:val="center"/>
              <w:rPr>
                <w:rFonts w:ascii="Arial" w:hAnsi="Arial" w:cs="Arial"/>
                <w:b/>
                <w:bCs/>
                <w:sz w:val="22"/>
                <w:szCs w:val="22"/>
              </w:rPr>
            </w:pPr>
            <w:r w:rsidRPr="00E714EB">
              <w:rPr>
                <w:rFonts w:ascii="Arial" w:hAnsi="Arial" w:cs="Arial"/>
                <w:b/>
                <w:bCs/>
                <w:sz w:val="22"/>
                <w:szCs w:val="22"/>
              </w:rPr>
              <w:lastRenderedPageBreak/>
              <w:t>Information Collection Burden by Type of Party</w:t>
            </w:r>
          </w:p>
        </w:tc>
      </w:tr>
      <w:tr w:rsidR="00E714EB" w:rsidRPr="00E714EB" w14:paraId="1F978845" w14:textId="77777777" w:rsidTr="00281C9C">
        <w:trPr>
          <w:trHeight w:val="750"/>
        </w:trPr>
        <w:tc>
          <w:tcPr>
            <w:tcW w:w="14955" w:type="dxa"/>
            <w:gridSpan w:val="11"/>
            <w:tcBorders>
              <w:top w:val="nil"/>
              <w:left w:val="single" w:sz="8" w:space="0" w:color="auto"/>
              <w:bottom w:val="single" w:sz="8" w:space="0" w:color="auto"/>
              <w:right w:val="single" w:sz="8" w:space="0" w:color="000000"/>
            </w:tcBorders>
            <w:shd w:val="clear" w:color="auto" w:fill="auto"/>
            <w:noWrap/>
            <w:vAlign w:val="bottom"/>
          </w:tcPr>
          <w:p w14:paraId="1F51C8F8" w14:textId="77777777" w:rsidR="00E714EB" w:rsidRPr="00E714EB" w:rsidRDefault="00E714EB" w:rsidP="00E714EB">
            <w:pPr>
              <w:jc w:val="center"/>
              <w:rPr>
                <w:rFonts w:ascii="Arial" w:hAnsi="Arial" w:cs="Arial"/>
                <w:i/>
                <w:iCs/>
                <w:sz w:val="22"/>
                <w:szCs w:val="22"/>
              </w:rPr>
            </w:pPr>
            <w:r w:rsidRPr="00E714EB">
              <w:rPr>
                <w:rFonts w:ascii="Arial" w:hAnsi="Arial" w:cs="Arial"/>
                <w:i/>
                <w:iCs/>
                <w:sz w:val="22"/>
                <w:szCs w:val="22"/>
              </w:rPr>
              <w:t>Table IX- Quarterly RIN Reports</w:t>
            </w:r>
          </w:p>
        </w:tc>
      </w:tr>
      <w:tr w:rsidR="00E714EB" w:rsidRPr="00E714EB" w14:paraId="7EF70886" w14:textId="77777777" w:rsidTr="00281C9C">
        <w:trPr>
          <w:trHeight w:val="1755"/>
        </w:trPr>
        <w:tc>
          <w:tcPr>
            <w:tcW w:w="4440" w:type="dxa"/>
            <w:tcBorders>
              <w:top w:val="nil"/>
              <w:left w:val="single" w:sz="8" w:space="0" w:color="auto"/>
              <w:bottom w:val="single" w:sz="8" w:space="0" w:color="auto"/>
              <w:right w:val="single" w:sz="4" w:space="0" w:color="auto"/>
            </w:tcBorders>
            <w:shd w:val="clear" w:color="auto" w:fill="auto"/>
            <w:vAlign w:val="bottom"/>
          </w:tcPr>
          <w:p w14:paraId="13537F0F" w14:textId="77777777" w:rsidR="00E714EB" w:rsidRPr="00E714EB" w:rsidRDefault="00E714EB" w:rsidP="00E714EB">
            <w:pPr>
              <w:rPr>
                <w:rFonts w:ascii="Arial" w:hAnsi="Arial" w:cs="Arial"/>
                <w:b/>
                <w:bCs/>
                <w:color w:val="FF0000"/>
                <w:sz w:val="22"/>
                <w:szCs w:val="22"/>
              </w:rPr>
            </w:pPr>
            <w:r w:rsidRPr="00E714EB">
              <w:rPr>
                <w:rFonts w:ascii="Arial" w:hAnsi="Arial" w:cs="Arial"/>
                <w:b/>
                <w:bCs/>
                <w:color w:val="FF0000"/>
                <w:sz w:val="22"/>
                <w:szCs w:val="22"/>
              </w:rPr>
              <w:t>Collection Activity</w:t>
            </w:r>
          </w:p>
        </w:tc>
        <w:tc>
          <w:tcPr>
            <w:tcW w:w="1860" w:type="dxa"/>
            <w:tcBorders>
              <w:top w:val="nil"/>
              <w:left w:val="nil"/>
              <w:bottom w:val="single" w:sz="8" w:space="0" w:color="auto"/>
              <w:right w:val="single" w:sz="4" w:space="0" w:color="auto"/>
            </w:tcBorders>
            <w:shd w:val="clear" w:color="auto" w:fill="auto"/>
            <w:vAlign w:val="bottom"/>
          </w:tcPr>
          <w:p w14:paraId="053E1A93" w14:textId="77777777" w:rsidR="00E714EB" w:rsidRPr="00E714EB" w:rsidRDefault="00E714EB" w:rsidP="00E714EB">
            <w:pPr>
              <w:jc w:val="center"/>
              <w:rPr>
                <w:rFonts w:ascii="Arial" w:hAnsi="Arial" w:cs="Arial"/>
                <w:b/>
                <w:bCs/>
                <w:color w:val="FF0000"/>
                <w:sz w:val="22"/>
                <w:szCs w:val="22"/>
              </w:rPr>
            </w:pPr>
            <w:r w:rsidRPr="00E714EB">
              <w:rPr>
                <w:rFonts w:ascii="Arial" w:hAnsi="Arial" w:cs="Arial"/>
                <w:b/>
                <w:bCs/>
                <w:color w:val="FF0000"/>
                <w:sz w:val="22"/>
                <w:szCs w:val="22"/>
              </w:rPr>
              <w:t>Number of Parties</w:t>
            </w:r>
          </w:p>
        </w:tc>
        <w:tc>
          <w:tcPr>
            <w:tcW w:w="1545" w:type="dxa"/>
            <w:tcBorders>
              <w:top w:val="nil"/>
              <w:left w:val="nil"/>
              <w:bottom w:val="single" w:sz="8" w:space="0" w:color="auto"/>
              <w:right w:val="single" w:sz="4" w:space="0" w:color="auto"/>
            </w:tcBorders>
            <w:shd w:val="clear" w:color="auto" w:fill="auto"/>
            <w:vAlign w:val="bottom"/>
          </w:tcPr>
          <w:p w14:paraId="3A8E2EC0" w14:textId="77777777" w:rsidR="00E714EB" w:rsidRPr="00E714EB" w:rsidRDefault="00E714EB" w:rsidP="00E714EB">
            <w:pPr>
              <w:jc w:val="center"/>
              <w:rPr>
                <w:rFonts w:ascii="Arial" w:hAnsi="Arial" w:cs="Arial"/>
                <w:b/>
                <w:bCs/>
                <w:color w:val="FF0000"/>
                <w:sz w:val="22"/>
                <w:szCs w:val="22"/>
              </w:rPr>
            </w:pPr>
            <w:r w:rsidRPr="00E714EB">
              <w:rPr>
                <w:rFonts w:ascii="Arial" w:hAnsi="Arial" w:cs="Arial"/>
                <w:b/>
                <w:bCs/>
                <w:color w:val="FF0000"/>
                <w:sz w:val="22"/>
                <w:szCs w:val="22"/>
              </w:rPr>
              <w:t>Number of Responses per Party</w:t>
            </w:r>
          </w:p>
        </w:tc>
        <w:tc>
          <w:tcPr>
            <w:tcW w:w="1800" w:type="dxa"/>
            <w:gridSpan w:val="2"/>
            <w:tcBorders>
              <w:top w:val="nil"/>
              <w:left w:val="nil"/>
              <w:bottom w:val="single" w:sz="8" w:space="0" w:color="auto"/>
              <w:right w:val="single" w:sz="4" w:space="0" w:color="auto"/>
            </w:tcBorders>
            <w:shd w:val="clear" w:color="auto" w:fill="auto"/>
            <w:vAlign w:val="bottom"/>
          </w:tcPr>
          <w:p w14:paraId="7BA4622C" w14:textId="77777777" w:rsidR="00E714EB" w:rsidRPr="00E714EB" w:rsidRDefault="00E714EB" w:rsidP="00E714EB">
            <w:pPr>
              <w:jc w:val="center"/>
              <w:rPr>
                <w:rFonts w:ascii="Arial" w:hAnsi="Arial" w:cs="Arial"/>
                <w:b/>
                <w:bCs/>
                <w:color w:val="FF0000"/>
                <w:sz w:val="22"/>
                <w:szCs w:val="22"/>
              </w:rPr>
            </w:pPr>
            <w:r w:rsidRPr="00E714EB">
              <w:rPr>
                <w:rFonts w:ascii="Arial" w:hAnsi="Arial" w:cs="Arial"/>
                <w:b/>
                <w:bCs/>
                <w:color w:val="FF0000"/>
                <w:sz w:val="22"/>
                <w:szCs w:val="22"/>
              </w:rPr>
              <w:t>Total Number of Responses</w:t>
            </w:r>
          </w:p>
        </w:tc>
        <w:tc>
          <w:tcPr>
            <w:tcW w:w="1350" w:type="dxa"/>
            <w:gridSpan w:val="2"/>
            <w:tcBorders>
              <w:top w:val="nil"/>
              <w:left w:val="nil"/>
              <w:bottom w:val="single" w:sz="8" w:space="0" w:color="auto"/>
              <w:right w:val="single" w:sz="4" w:space="0" w:color="auto"/>
            </w:tcBorders>
            <w:shd w:val="clear" w:color="auto" w:fill="auto"/>
            <w:vAlign w:val="bottom"/>
          </w:tcPr>
          <w:p w14:paraId="6C573DCC" w14:textId="77777777" w:rsidR="00E714EB" w:rsidRPr="00E714EB" w:rsidRDefault="00E714EB" w:rsidP="00E714EB">
            <w:pPr>
              <w:jc w:val="center"/>
              <w:rPr>
                <w:rFonts w:ascii="Arial" w:hAnsi="Arial" w:cs="Arial"/>
                <w:b/>
                <w:bCs/>
                <w:color w:val="FF0000"/>
                <w:sz w:val="22"/>
                <w:szCs w:val="22"/>
              </w:rPr>
            </w:pPr>
            <w:r w:rsidRPr="00E714EB">
              <w:rPr>
                <w:rFonts w:ascii="Arial" w:hAnsi="Arial" w:cs="Arial"/>
                <w:b/>
                <w:bCs/>
                <w:color w:val="FF0000"/>
                <w:sz w:val="22"/>
                <w:szCs w:val="22"/>
              </w:rPr>
              <w:t>Time per Response (hours)</w:t>
            </w:r>
          </w:p>
        </w:tc>
        <w:tc>
          <w:tcPr>
            <w:tcW w:w="1268" w:type="dxa"/>
            <w:gridSpan w:val="2"/>
            <w:tcBorders>
              <w:top w:val="nil"/>
              <w:left w:val="nil"/>
              <w:bottom w:val="single" w:sz="8" w:space="0" w:color="auto"/>
              <w:right w:val="single" w:sz="4" w:space="0" w:color="auto"/>
            </w:tcBorders>
            <w:shd w:val="clear" w:color="auto" w:fill="auto"/>
            <w:vAlign w:val="bottom"/>
          </w:tcPr>
          <w:p w14:paraId="69EAB936" w14:textId="77777777" w:rsidR="00E714EB" w:rsidRPr="00E714EB" w:rsidRDefault="00E714EB" w:rsidP="00E714EB">
            <w:pPr>
              <w:jc w:val="center"/>
              <w:rPr>
                <w:rFonts w:ascii="Arial" w:hAnsi="Arial" w:cs="Arial"/>
                <w:b/>
                <w:bCs/>
                <w:color w:val="FF0000"/>
                <w:sz w:val="22"/>
                <w:szCs w:val="22"/>
              </w:rPr>
            </w:pPr>
            <w:r w:rsidRPr="00E714EB">
              <w:rPr>
                <w:rFonts w:ascii="Arial" w:hAnsi="Arial" w:cs="Arial"/>
                <w:b/>
                <w:bCs/>
                <w:color w:val="FF0000"/>
                <w:sz w:val="22"/>
                <w:szCs w:val="22"/>
              </w:rPr>
              <w:t>Cost per Response (dollars)</w:t>
            </w:r>
          </w:p>
        </w:tc>
        <w:tc>
          <w:tcPr>
            <w:tcW w:w="1162" w:type="dxa"/>
            <w:tcBorders>
              <w:top w:val="nil"/>
              <w:left w:val="nil"/>
              <w:bottom w:val="single" w:sz="8" w:space="0" w:color="auto"/>
              <w:right w:val="single" w:sz="4" w:space="0" w:color="auto"/>
            </w:tcBorders>
            <w:shd w:val="clear" w:color="auto" w:fill="auto"/>
            <w:vAlign w:val="bottom"/>
          </w:tcPr>
          <w:p w14:paraId="6CD0416E" w14:textId="77777777" w:rsidR="00E714EB" w:rsidRPr="00E714EB" w:rsidRDefault="00E714EB" w:rsidP="00E714EB">
            <w:pPr>
              <w:jc w:val="center"/>
              <w:rPr>
                <w:rFonts w:ascii="Arial" w:hAnsi="Arial" w:cs="Arial"/>
                <w:b/>
                <w:bCs/>
                <w:color w:val="FF0000"/>
                <w:sz w:val="22"/>
                <w:szCs w:val="22"/>
              </w:rPr>
            </w:pPr>
            <w:r w:rsidRPr="00E714EB">
              <w:rPr>
                <w:rFonts w:ascii="Arial" w:hAnsi="Arial" w:cs="Arial"/>
                <w:b/>
                <w:bCs/>
                <w:color w:val="FF0000"/>
                <w:sz w:val="22"/>
                <w:szCs w:val="22"/>
              </w:rPr>
              <w:t>Total Hours</w:t>
            </w:r>
          </w:p>
        </w:tc>
        <w:tc>
          <w:tcPr>
            <w:tcW w:w="1530" w:type="dxa"/>
            <w:tcBorders>
              <w:top w:val="nil"/>
              <w:left w:val="nil"/>
              <w:bottom w:val="single" w:sz="8" w:space="0" w:color="auto"/>
              <w:right w:val="single" w:sz="8" w:space="0" w:color="auto"/>
            </w:tcBorders>
            <w:shd w:val="clear" w:color="auto" w:fill="auto"/>
            <w:vAlign w:val="bottom"/>
          </w:tcPr>
          <w:p w14:paraId="0C6AF99F" w14:textId="77777777" w:rsidR="00E714EB" w:rsidRPr="00E714EB" w:rsidRDefault="00E714EB" w:rsidP="00E714EB">
            <w:pPr>
              <w:jc w:val="center"/>
              <w:rPr>
                <w:rFonts w:ascii="Arial" w:hAnsi="Arial" w:cs="Arial"/>
                <w:b/>
                <w:bCs/>
                <w:color w:val="FF0000"/>
                <w:sz w:val="22"/>
                <w:szCs w:val="22"/>
              </w:rPr>
            </w:pPr>
            <w:r w:rsidRPr="00E714EB">
              <w:rPr>
                <w:rFonts w:ascii="Arial" w:hAnsi="Arial" w:cs="Arial"/>
                <w:b/>
                <w:bCs/>
                <w:color w:val="FF0000"/>
                <w:sz w:val="22"/>
                <w:szCs w:val="22"/>
              </w:rPr>
              <w:t>Total Cost (dollars)</w:t>
            </w:r>
          </w:p>
        </w:tc>
      </w:tr>
      <w:tr w:rsidR="00E714EB" w:rsidRPr="00E714EB" w14:paraId="7AC90E45" w14:textId="77777777" w:rsidTr="00281C9C">
        <w:trPr>
          <w:trHeight w:val="735"/>
        </w:trPr>
        <w:tc>
          <w:tcPr>
            <w:tcW w:w="4440" w:type="dxa"/>
            <w:tcBorders>
              <w:top w:val="nil"/>
              <w:left w:val="single" w:sz="8" w:space="0" w:color="auto"/>
              <w:bottom w:val="single" w:sz="4" w:space="0" w:color="auto"/>
              <w:right w:val="single" w:sz="4" w:space="0" w:color="auto"/>
            </w:tcBorders>
            <w:shd w:val="clear" w:color="auto" w:fill="auto"/>
            <w:noWrap/>
            <w:vAlign w:val="bottom"/>
          </w:tcPr>
          <w:p w14:paraId="660EEC9F" w14:textId="77777777" w:rsidR="00E714EB" w:rsidRPr="00E714EB" w:rsidRDefault="00E714EB" w:rsidP="00E714EB">
            <w:pPr>
              <w:rPr>
                <w:rFonts w:ascii="Arial" w:hAnsi="Arial" w:cs="Arial"/>
                <w:b/>
                <w:bCs/>
                <w:sz w:val="22"/>
                <w:szCs w:val="22"/>
              </w:rPr>
            </w:pPr>
            <w:r w:rsidRPr="00E714EB">
              <w:rPr>
                <w:rFonts w:ascii="Arial" w:hAnsi="Arial" w:cs="Arial"/>
                <w:b/>
                <w:bCs/>
                <w:sz w:val="22"/>
                <w:szCs w:val="22"/>
              </w:rPr>
              <w:t>Third Party Disclosure</w:t>
            </w:r>
          </w:p>
        </w:tc>
        <w:tc>
          <w:tcPr>
            <w:tcW w:w="1860" w:type="dxa"/>
            <w:tcBorders>
              <w:top w:val="nil"/>
              <w:left w:val="nil"/>
              <w:bottom w:val="single" w:sz="4" w:space="0" w:color="auto"/>
              <w:right w:val="single" w:sz="4" w:space="0" w:color="auto"/>
            </w:tcBorders>
            <w:shd w:val="clear" w:color="auto" w:fill="auto"/>
            <w:noWrap/>
            <w:vAlign w:val="bottom"/>
          </w:tcPr>
          <w:p w14:paraId="659877FC"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 </w:t>
            </w:r>
          </w:p>
        </w:tc>
        <w:tc>
          <w:tcPr>
            <w:tcW w:w="1545" w:type="dxa"/>
            <w:tcBorders>
              <w:top w:val="nil"/>
              <w:left w:val="nil"/>
              <w:bottom w:val="single" w:sz="4" w:space="0" w:color="auto"/>
              <w:right w:val="single" w:sz="4" w:space="0" w:color="auto"/>
            </w:tcBorders>
            <w:shd w:val="clear" w:color="auto" w:fill="auto"/>
            <w:noWrap/>
            <w:vAlign w:val="bottom"/>
          </w:tcPr>
          <w:p w14:paraId="253FF1CA"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 </w:t>
            </w:r>
          </w:p>
        </w:tc>
        <w:tc>
          <w:tcPr>
            <w:tcW w:w="1800" w:type="dxa"/>
            <w:gridSpan w:val="2"/>
            <w:tcBorders>
              <w:top w:val="nil"/>
              <w:left w:val="nil"/>
              <w:bottom w:val="single" w:sz="4" w:space="0" w:color="auto"/>
              <w:right w:val="single" w:sz="4" w:space="0" w:color="auto"/>
            </w:tcBorders>
            <w:shd w:val="clear" w:color="auto" w:fill="auto"/>
            <w:noWrap/>
            <w:vAlign w:val="bottom"/>
          </w:tcPr>
          <w:p w14:paraId="212B93CC"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 </w:t>
            </w:r>
          </w:p>
        </w:tc>
        <w:tc>
          <w:tcPr>
            <w:tcW w:w="1350" w:type="dxa"/>
            <w:gridSpan w:val="2"/>
            <w:tcBorders>
              <w:top w:val="nil"/>
              <w:left w:val="nil"/>
              <w:bottom w:val="single" w:sz="4" w:space="0" w:color="auto"/>
              <w:right w:val="single" w:sz="4" w:space="0" w:color="auto"/>
            </w:tcBorders>
            <w:shd w:val="clear" w:color="auto" w:fill="auto"/>
            <w:noWrap/>
            <w:vAlign w:val="bottom"/>
          </w:tcPr>
          <w:p w14:paraId="1FD1C28B"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 </w:t>
            </w:r>
          </w:p>
        </w:tc>
        <w:tc>
          <w:tcPr>
            <w:tcW w:w="1268" w:type="dxa"/>
            <w:gridSpan w:val="2"/>
            <w:tcBorders>
              <w:top w:val="nil"/>
              <w:left w:val="nil"/>
              <w:bottom w:val="single" w:sz="4" w:space="0" w:color="auto"/>
              <w:right w:val="single" w:sz="4" w:space="0" w:color="auto"/>
            </w:tcBorders>
            <w:shd w:val="clear" w:color="auto" w:fill="auto"/>
            <w:noWrap/>
            <w:vAlign w:val="bottom"/>
          </w:tcPr>
          <w:p w14:paraId="4D210245"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 </w:t>
            </w:r>
          </w:p>
        </w:tc>
        <w:tc>
          <w:tcPr>
            <w:tcW w:w="1162" w:type="dxa"/>
            <w:tcBorders>
              <w:top w:val="nil"/>
              <w:left w:val="nil"/>
              <w:bottom w:val="single" w:sz="4" w:space="0" w:color="auto"/>
              <w:right w:val="single" w:sz="4" w:space="0" w:color="auto"/>
            </w:tcBorders>
            <w:shd w:val="clear" w:color="auto" w:fill="auto"/>
            <w:noWrap/>
            <w:vAlign w:val="bottom"/>
          </w:tcPr>
          <w:p w14:paraId="0660FE9E"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 </w:t>
            </w:r>
          </w:p>
        </w:tc>
        <w:tc>
          <w:tcPr>
            <w:tcW w:w="1530" w:type="dxa"/>
            <w:tcBorders>
              <w:top w:val="nil"/>
              <w:left w:val="nil"/>
              <w:bottom w:val="single" w:sz="4" w:space="0" w:color="auto"/>
              <w:right w:val="single" w:sz="8" w:space="0" w:color="auto"/>
            </w:tcBorders>
            <w:shd w:val="clear" w:color="auto" w:fill="auto"/>
            <w:noWrap/>
            <w:vAlign w:val="bottom"/>
          </w:tcPr>
          <w:p w14:paraId="521495F1"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 </w:t>
            </w:r>
          </w:p>
        </w:tc>
      </w:tr>
      <w:tr w:rsidR="00E714EB" w:rsidRPr="00E714EB" w14:paraId="063D7640" w14:textId="77777777" w:rsidTr="00281C9C">
        <w:trPr>
          <w:trHeight w:val="510"/>
        </w:trPr>
        <w:tc>
          <w:tcPr>
            <w:tcW w:w="4440" w:type="dxa"/>
            <w:tcBorders>
              <w:top w:val="nil"/>
              <w:left w:val="single" w:sz="8" w:space="0" w:color="auto"/>
              <w:bottom w:val="single" w:sz="4" w:space="0" w:color="auto"/>
              <w:right w:val="single" w:sz="4" w:space="0" w:color="auto"/>
            </w:tcBorders>
            <w:shd w:val="clear" w:color="auto" w:fill="auto"/>
            <w:vAlign w:val="bottom"/>
          </w:tcPr>
          <w:p w14:paraId="0E357776" w14:textId="77777777" w:rsidR="00E714EB" w:rsidRPr="00E714EB" w:rsidRDefault="00E714EB" w:rsidP="00E714EB">
            <w:pPr>
              <w:ind w:firstLineChars="200" w:firstLine="440"/>
              <w:rPr>
                <w:rFonts w:ascii="Arial" w:hAnsi="Arial" w:cs="Arial"/>
                <w:sz w:val="22"/>
                <w:szCs w:val="22"/>
              </w:rPr>
            </w:pPr>
            <w:r w:rsidRPr="00E714EB">
              <w:rPr>
                <w:rFonts w:ascii="Arial" w:hAnsi="Arial" w:cs="Arial"/>
                <w:sz w:val="22"/>
                <w:szCs w:val="22"/>
              </w:rPr>
              <w:t>Producers</w:t>
            </w:r>
          </w:p>
        </w:tc>
        <w:tc>
          <w:tcPr>
            <w:tcW w:w="1860" w:type="dxa"/>
            <w:tcBorders>
              <w:top w:val="nil"/>
              <w:left w:val="nil"/>
              <w:bottom w:val="single" w:sz="4" w:space="0" w:color="auto"/>
              <w:right w:val="single" w:sz="4" w:space="0" w:color="auto"/>
            </w:tcBorders>
            <w:shd w:val="clear" w:color="auto" w:fill="auto"/>
            <w:noWrap/>
            <w:vAlign w:val="bottom"/>
          </w:tcPr>
          <w:p w14:paraId="3434B03A"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500</w:t>
            </w:r>
          </w:p>
        </w:tc>
        <w:tc>
          <w:tcPr>
            <w:tcW w:w="1545" w:type="dxa"/>
            <w:tcBorders>
              <w:top w:val="nil"/>
              <w:left w:val="nil"/>
              <w:bottom w:val="single" w:sz="4" w:space="0" w:color="auto"/>
              <w:right w:val="single" w:sz="4" w:space="0" w:color="auto"/>
            </w:tcBorders>
            <w:shd w:val="clear" w:color="auto" w:fill="FFFFFF"/>
            <w:noWrap/>
            <w:vAlign w:val="bottom"/>
          </w:tcPr>
          <w:p w14:paraId="64596A0C"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365</w:t>
            </w:r>
          </w:p>
        </w:tc>
        <w:tc>
          <w:tcPr>
            <w:tcW w:w="1800" w:type="dxa"/>
            <w:gridSpan w:val="2"/>
            <w:tcBorders>
              <w:top w:val="nil"/>
              <w:left w:val="nil"/>
              <w:bottom w:val="single" w:sz="4" w:space="0" w:color="auto"/>
              <w:right w:val="single" w:sz="4" w:space="0" w:color="auto"/>
            </w:tcBorders>
            <w:shd w:val="clear" w:color="auto" w:fill="auto"/>
            <w:noWrap/>
            <w:vAlign w:val="bottom"/>
          </w:tcPr>
          <w:p w14:paraId="55464B6A"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182500</w:t>
            </w:r>
          </w:p>
        </w:tc>
        <w:tc>
          <w:tcPr>
            <w:tcW w:w="1350" w:type="dxa"/>
            <w:gridSpan w:val="2"/>
            <w:tcBorders>
              <w:top w:val="nil"/>
              <w:left w:val="nil"/>
              <w:bottom w:val="single" w:sz="4" w:space="0" w:color="auto"/>
              <w:right w:val="single" w:sz="4" w:space="0" w:color="auto"/>
            </w:tcBorders>
            <w:shd w:val="clear" w:color="auto" w:fill="auto"/>
            <w:noWrap/>
            <w:vAlign w:val="bottom"/>
          </w:tcPr>
          <w:p w14:paraId="04C8016C"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0.1</w:t>
            </w:r>
          </w:p>
        </w:tc>
        <w:tc>
          <w:tcPr>
            <w:tcW w:w="1268" w:type="dxa"/>
            <w:gridSpan w:val="2"/>
            <w:tcBorders>
              <w:top w:val="nil"/>
              <w:left w:val="nil"/>
              <w:bottom w:val="single" w:sz="4" w:space="0" w:color="auto"/>
              <w:right w:val="single" w:sz="4" w:space="0" w:color="auto"/>
            </w:tcBorders>
            <w:shd w:val="clear" w:color="auto" w:fill="auto"/>
            <w:noWrap/>
            <w:vAlign w:val="bottom"/>
          </w:tcPr>
          <w:p w14:paraId="07EB2C88"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$11</w:t>
            </w:r>
          </w:p>
        </w:tc>
        <w:tc>
          <w:tcPr>
            <w:tcW w:w="1162" w:type="dxa"/>
            <w:tcBorders>
              <w:top w:val="nil"/>
              <w:left w:val="nil"/>
              <w:bottom w:val="single" w:sz="4" w:space="0" w:color="auto"/>
              <w:right w:val="single" w:sz="4" w:space="0" w:color="auto"/>
            </w:tcBorders>
            <w:shd w:val="clear" w:color="auto" w:fill="auto"/>
            <w:noWrap/>
            <w:vAlign w:val="bottom"/>
          </w:tcPr>
          <w:p w14:paraId="64181BE5"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18250</w:t>
            </w:r>
          </w:p>
        </w:tc>
        <w:tc>
          <w:tcPr>
            <w:tcW w:w="1530" w:type="dxa"/>
            <w:tcBorders>
              <w:top w:val="nil"/>
              <w:left w:val="nil"/>
              <w:bottom w:val="single" w:sz="4" w:space="0" w:color="auto"/>
              <w:right w:val="single" w:sz="8" w:space="0" w:color="auto"/>
            </w:tcBorders>
            <w:shd w:val="clear" w:color="auto" w:fill="auto"/>
            <w:noWrap/>
            <w:vAlign w:val="bottom"/>
          </w:tcPr>
          <w:p w14:paraId="0BF30CC4"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$2,080,500</w:t>
            </w:r>
          </w:p>
        </w:tc>
      </w:tr>
      <w:tr w:rsidR="00E714EB" w:rsidRPr="00E714EB" w14:paraId="51B2BBD5" w14:textId="77777777" w:rsidTr="00281C9C">
        <w:trPr>
          <w:trHeight w:val="510"/>
        </w:trPr>
        <w:tc>
          <w:tcPr>
            <w:tcW w:w="4440" w:type="dxa"/>
            <w:tcBorders>
              <w:top w:val="nil"/>
              <w:left w:val="single" w:sz="8" w:space="0" w:color="auto"/>
              <w:bottom w:val="single" w:sz="4" w:space="0" w:color="auto"/>
              <w:right w:val="single" w:sz="4" w:space="0" w:color="auto"/>
            </w:tcBorders>
            <w:shd w:val="clear" w:color="auto" w:fill="auto"/>
            <w:vAlign w:val="bottom"/>
          </w:tcPr>
          <w:p w14:paraId="7EEE2DD1" w14:textId="77777777" w:rsidR="00E714EB" w:rsidRPr="00E714EB" w:rsidRDefault="00E714EB" w:rsidP="00E714EB">
            <w:pPr>
              <w:ind w:firstLineChars="200" w:firstLine="440"/>
              <w:rPr>
                <w:rFonts w:ascii="Arial" w:hAnsi="Arial" w:cs="Arial"/>
                <w:sz w:val="22"/>
                <w:szCs w:val="22"/>
              </w:rPr>
            </w:pPr>
            <w:r w:rsidRPr="00E714EB">
              <w:rPr>
                <w:rFonts w:ascii="Arial" w:hAnsi="Arial" w:cs="Arial"/>
                <w:sz w:val="22"/>
                <w:szCs w:val="22"/>
              </w:rPr>
              <w:t>Importers</w:t>
            </w:r>
          </w:p>
        </w:tc>
        <w:tc>
          <w:tcPr>
            <w:tcW w:w="1860" w:type="dxa"/>
            <w:tcBorders>
              <w:top w:val="nil"/>
              <w:left w:val="nil"/>
              <w:bottom w:val="single" w:sz="4" w:space="0" w:color="auto"/>
              <w:right w:val="single" w:sz="4" w:space="0" w:color="auto"/>
            </w:tcBorders>
            <w:shd w:val="clear" w:color="auto" w:fill="auto"/>
            <w:noWrap/>
            <w:vAlign w:val="bottom"/>
          </w:tcPr>
          <w:p w14:paraId="1260B073"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75</w:t>
            </w:r>
          </w:p>
        </w:tc>
        <w:tc>
          <w:tcPr>
            <w:tcW w:w="1545" w:type="dxa"/>
            <w:tcBorders>
              <w:top w:val="nil"/>
              <w:left w:val="nil"/>
              <w:bottom w:val="single" w:sz="4" w:space="0" w:color="auto"/>
              <w:right w:val="single" w:sz="4" w:space="0" w:color="auto"/>
            </w:tcBorders>
            <w:shd w:val="clear" w:color="auto" w:fill="auto"/>
            <w:noWrap/>
            <w:vAlign w:val="bottom"/>
          </w:tcPr>
          <w:p w14:paraId="225DF9A1"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365</w:t>
            </w:r>
          </w:p>
        </w:tc>
        <w:tc>
          <w:tcPr>
            <w:tcW w:w="1800" w:type="dxa"/>
            <w:gridSpan w:val="2"/>
            <w:tcBorders>
              <w:top w:val="nil"/>
              <w:left w:val="nil"/>
              <w:bottom w:val="single" w:sz="4" w:space="0" w:color="auto"/>
              <w:right w:val="single" w:sz="4" w:space="0" w:color="auto"/>
            </w:tcBorders>
            <w:shd w:val="clear" w:color="auto" w:fill="auto"/>
            <w:noWrap/>
            <w:vAlign w:val="bottom"/>
          </w:tcPr>
          <w:p w14:paraId="0A3E64C4"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27375</w:t>
            </w:r>
          </w:p>
        </w:tc>
        <w:tc>
          <w:tcPr>
            <w:tcW w:w="1350" w:type="dxa"/>
            <w:gridSpan w:val="2"/>
            <w:tcBorders>
              <w:top w:val="nil"/>
              <w:left w:val="nil"/>
              <w:bottom w:val="single" w:sz="4" w:space="0" w:color="auto"/>
              <w:right w:val="single" w:sz="4" w:space="0" w:color="auto"/>
            </w:tcBorders>
            <w:shd w:val="clear" w:color="auto" w:fill="auto"/>
            <w:noWrap/>
            <w:vAlign w:val="bottom"/>
          </w:tcPr>
          <w:p w14:paraId="16AC6D6D"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0.1</w:t>
            </w:r>
          </w:p>
        </w:tc>
        <w:tc>
          <w:tcPr>
            <w:tcW w:w="1268" w:type="dxa"/>
            <w:gridSpan w:val="2"/>
            <w:tcBorders>
              <w:top w:val="nil"/>
              <w:left w:val="nil"/>
              <w:bottom w:val="single" w:sz="4" w:space="0" w:color="auto"/>
              <w:right w:val="single" w:sz="4" w:space="0" w:color="auto"/>
            </w:tcBorders>
            <w:shd w:val="clear" w:color="auto" w:fill="auto"/>
            <w:noWrap/>
            <w:vAlign w:val="bottom"/>
          </w:tcPr>
          <w:p w14:paraId="6FEEA73E"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$11</w:t>
            </w:r>
          </w:p>
        </w:tc>
        <w:tc>
          <w:tcPr>
            <w:tcW w:w="1162" w:type="dxa"/>
            <w:tcBorders>
              <w:top w:val="nil"/>
              <w:left w:val="nil"/>
              <w:bottom w:val="single" w:sz="4" w:space="0" w:color="auto"/>
              <w:right w:val="single" w:sz="4" w:space="0" w:color="auto"/>
            </w:tcBorders>
            <w:shd w:val="clear" w:color="auto" w:fill="auto"/>
            <w:noWrap/>
            <w:vAlign w:val="bottom"/>
          </w:tcPr>
          <w:p w14:paraId="3192DBA7"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2737.5</w:t>
            </w:r>
          </w:p>
        </w:tc>
        <w:tc>
          <w:tcPr>
            <w:tcW w:w="1530" w:type="dxa"/>
            <w:tcBorders>
              <w:top w:val="nil"/>
              <w:left w:val="nil"/>
              <w:bottom w:val="single" w:sz="4" w:space="0" w:color="auto"/>
              <w:right w:val="single" w:sz="8" w:space="0" w:color="auto"/>
            </w:tcBorders>
            <w:shd w:val="clear" w:color="auto" w:fill="auto"/>
            <w:noWrap/>
            <w:vAlign w:val="bottom"/>
          </w:tcPr>
          <w:p w14:paraId="6A015F52"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$312,075</w:t>
            </w:r>
          </w:p>
        </w:tc>
      </w:tr>
      <w:tr w:rsidR="00E714EB" w:rsidRPr="00E714EB" w14:paraId="43EF53D5" w14:textId="77777777" w:rsidTr="00281C9C">
        <w:trPr>
          <w:trHeight w:val="510"/>
        </w:trPr>
        <w:tc>
          <w:tcPr>
            <w:tcW w:w="4440" w:type="dxa"/>
            <w:tcBorders>
              <w:top w:val="nil"/>
              <w:left w:val="single" w:sz="8" w:space="0" w:color="auto"/>
              <w:bottom w:val="nil"/>
              <w:right w:val="single" w:sz="4" w:space="0" w:color="auto"/>
            </w:tcBorders>
            <w:shd w:val="clear" w:color="auto" w:fill="auto"/>
            <w:vAlign w:val="bottom"/>
          </w:tcPr>
          <w:p w14:paraId="50DCBB8F" w14:textId="77777777" w:rsidR="00E714EB" w:rsidRPr="00E714EB" w:rsidRDefault="00E714EB" w:rsidP="00E714EB">
            <w:pPr>
              <w:ind w:firstLineChars="200" w:firstLine="440"/>
              <w:rPr>
                <w:rFonts w:ascii="Arial" w:hAnsi="Arial" w:cs="Arial"/>
                <w:sz w:val="22"/>
                <w:szCs w:val="22"/>
              </w:rPr>
            </w:pPr>
            <w:r w:rsidRPr="00E714EB">
              <w:rPr>
                <w:rFonts w:ascii="Arial" w:hAnsi="Arial" w:cs="Arial"/>
                <w:sz w:val="22"/>
                <w:szCs w:val="22"/>
              </w:rPr>
              <w:t>Obligated Parties</w:t>
            </w:r>
          </w:p>
        </w:tc>
        <w:tc>
          <w:tcPr>
            <w:tcW w:w="1860" w:type="dxa"/>
            <w:tcBorders>
              <w:top w:val="nil"/>
              <w:left w:val="nil"/>
              <w:bottom w:val="nil"/>
              <w:right w:val="single" w:sz="4" w:space="0" w:color="auto"/>
            </w:tcBorders>
            <w:shd w:val="clear" w:color="auto" w:fill="auto"/>
            <w:noWrap/>
            <w:vAlign w:val="bottom"/>
          </w:tcPr>
          <w:p w14:paraId="3F144D58"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150</w:t>
            </w:r>
          </w:p>
        </w:tc>
        <w:tc>
          <w:tcPr>
            <w:tcW w:w="1545" w:type="dxa"/>
            <w:tcBorders>
              <w:top w:val="nil"/>
              <w:left w:val="nil"/>
              <w:bottom w:val="nil"/>
              <w:right w:val="single" w:sz="4" w:space="0" w:color="auto"/>
            </w:tcBorders>
            <w:shd w:val="clear" w:color="auto" w:fill="auto"/>
            <w:noWrap/>
            <w:vAlign w:val="bottom"/>
          </w:tcPr>
          <w:p w14:paraId="08E7EE22"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365</w:t>
            </w:r>
          </w:p>
        </w:tc>
        <w:tc>
          <w:tcPr>
            <w:tcW w:w="1800" w:type="dxa"/>
            <w:gridSpan w:val="2"/>
            <w:tcBorders>
              <w:top w:val="nil"/>
              <w:left w:val="nil"/>
              <w:bottom w:val="nil"/>
              <w:right w:val="single" w:sz="4" w:space="0" w:color="auto"/>
            </w:tcBorders>
            <w:shd w:val="clear" w:color="auto" w:fill="auto"/>
            <w:noWrap/>
            <w:vAlign w:val="bottom"/>
          </w:tcPr>
          <w:p w14:paraId="44A73491"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54750</w:t>
            </w:r>
          </w:p>
        </w:tc>
        <w:tc>
          <w:tcPr>
            <w:tcW w:w="1350" w:type="dxa"/>
            <w:gridSpan w:val="2"/>
            <w:tcBorders>
              <w:top w:val="nil"/>
              <w:left w:val="nil"/>
              <w:bottom w:val="nil"/>
              <w:right w:val="single" w:sz="4" w:space="0" w:color="auto"/>
            </w:tcBorders>
            <w:shd w:val="clear" w:color="auto" w:fill="auto"/>
            <w:noWrap/>
            <w:vAlign w:val="bottom"/>
          </w:tcPr>
          <w:p w14:paraId="5D986A94"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0.1</w:t>
            </w:r>
          </w:p>
        </w:tc>
        <w:tc>
          <w:tcPr>
            <w:tcW w:w="1268" w:type="dxa"/>
            <w:gridSpan w:val="2"/>
            <w:tcBorders>
              <w:top w:val="nil"/>
              <w:left w:val="nil"/>
              <w:bottom w:val="single" w:sz="4" w:space="0" w:color="auto"/>
              <w:right w:val="single" w:sz="4" w:space="0" w:color="auto"/>
            </w:tcBorders>
            <w:shd w:val="clear" w:color="auto" w:fill="auto"/>
            <w:noWrap/>
            <w:vAlign w:val="bottom"/>
          </w:tcPr>
          <w:p w14:paraId="3B3D89AE"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$11</w:t>
            </w:r>
          </w:p>
        </w:tc>
        <w:tc>
          <w:tcPr>
            <w:tcW w:w="1162" w:type="dxa"/>
            <w:tcBorders>
              <w:top w:val="nil"/>
              <w:left w:val="nil"/>
              <w:bottom w:val="nil"/>
              <w:right w:val="single" w:sz="4" w:space="0" w:color="auto"/>
            </w:tcBorders>
            <w:shd w:val="clear" w:color="auto" w:fill="auto"/>
            <w:noWrap/>
            <w:vAlign w:val="bottom"/>
          </w:tcPr>
          <w:p w14:paraId="42D7B0DA"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5475</w:t>
            </w:r>
          </w:p>
        </w:tc>
        <w:tc>
          <w:tcPr>
            <w:tcW w:w="1530" w:type="dxa"/>
            <w:tcBorders>
              <w:top w:val="nil"/>
              <w:left w:val="nil"/>
              <w:bottom w:val="single" w:sz="4" w:space="0" w:color="auto"/>
              <w:right w:val="single" w:sz="8" w:space="0" w:color="auto"/>
            </w:tcBorders>
            <w:shd w:val="clear" w:color="auto" w:fill="auto"/>
            <w:noWrap/>
            <w:vAlign w:val="bottom"/>
          </w:tcPr>
          <w:p w14:paraId="67A87076"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$624,150</w:t>
            </w:r>
          </w:p>
        </w:tc>
      </w:tr>
      <w:tr w:rsidR="00E714EB" w:rsidRPr="00E714EB" w14:paraId="638F7885" w14:textId="77777777" w:rsidTr="00281C9C">
        <w:trPr>
          <w:trHeight w:val="510"/>
        </w:trPr>
        <w:tc>
          <w:tcPr>
            <w:tcW w:w="4440" w:type="dxa"/>
            <w:tcBorders>
              <w:top w:val="single" w:sz="4" w:space="0" w:color="auto"/>
              <w:left w:val="single" w:sz="8" w:space="0" w:color="auto"/>
              <w:bottom w:val="nil"/>
              <w:right w:val="single" w:sz="4" w:space="0" w:color="auto"/>
            </w:tcBorders>
            <w:shd w:val="clear" w:color="auto" w:fill="auto"/>
            <w:vAlign w:val="bottom"/>
          </w:tcPr>
          <w:p w14:paraId="4F6FDA9C" w14:textId="77777777" w:rsidR="00E714EB" w:rsidRPr="00E714EB" w:rsidRDefault="00E714EB" w:rsidP="00E714EB">
            <w:pPr>
              <w:ind w:firstLineChars="200" w:firstLine="440"/>
              <w:rPr>
                <w:rFonts w:ascii="Arial" w:hAnsi="Arial" w:cs="Arial"/>
                <w:sz w:val="22"/>
                <w:szCs w:val="22"/>
              </w:rPr>
            </w:pPr>
            <w:r w:rsidRPr="00E714EB">
              <w:rPr>
                <w:rFonts w:ascii="Arial" w:hAnsi="Arial" w:cs="Arial"/>
                <w:sz w:val="22"/>
                <w:szCs w:val="22"/>
              </w:rPr>
              <w:t>Parties who Own RINS</w:t>
            </w:r>
          </w:p>
        </w:tc>
        <w:tc>
          <w:tcPr>
            <w:tcW w:w="1860" w:type="dxa"/>
            <w:tcBorders>
              <w:top w:val="single" w:sz="4" w:space="0" w:color="auto"/>
              <w:left w:val="nil"/>
              <w:bottom w:val="nil"/>
              <w:right w:val="single" w:sz="4" w:space="0" w:color="auto"/>
            </w:tcBorders>
            <w:shd w:val="clear" w:color="auto" w:fill="auto"/>
            <w:noWrap/>
            <w:vAlign w:val="bottom"/>
          </w:tcPr>
          <w:p w14:paraId="11227069"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950</w:t>
            </w:r>
          </w:p>
        </w:tc>
        <w:tc>
          <w:tcPr>
            <w:tcW w:w="1545" w:type="dxa"/>
            <w:tcBorders>
              <w:top w:val="single" w:sz="4" w:space="0" w:color="auto"/>
              <w:left w:val="nil"/>
              <w:bottom w:val="nil"/>
              <w:right w:val="single" w:sz="4" w:space="0" w:color="auto"/>
            </w:tcBorders>
            <w:shd w:val="clear" w:color="auto" w:fill="auto"/>
            <w:noWrap/>
            <w:vAlign w:val="bottom"/>
          </w:tcPr>
          <w:p w14:paraId="713F2889"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365</w:t>
            </w:r>
          </w:p>
        </w:tc>
        <w:tc>
          <w:tcPr>
            <w:tcW w:w="1800" w:type="dxa"/>
            <w:gridSpan w:val="2"/>
            <w:tcBorders>
              <w:top w:val="single" w:sz="4" w:space="0" w:color="auto"/>
              <w:left w:val="nil"/>
              <w:bottom w:val="nil"/>
              <w:right w:val="single" w:sz="4" w:space="0" w:color="auto"/>
            </w:tcBorders>
            <w:shd w:val="clear" w:color="auto" w:fill="auto"/>
            <w:noWrap/>
            <w:vAlign w:val="bottom"/>
          </w:tcPr>
          <w:p w14:paraId="1F02F90C"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346750</w:t>
            </w:r>
          </w:p>
        </w:tc>
        <w:tc>
          <w:tcPr>
            <w:tcW w:w="1350" w:type="dxa"/>
            <w:gridSpan w:val="2"/>
            <w:tcBorders>
              <w:top w:val="single" w:sz="4" w:space="0" w:color="auto"/>
              <w:left w:val="nil"/>
              <w:bottom w:val="nil"/>
              <w:right w:val="single" w:sz="4" w:space="0" w:color="auto"/>
            </w:tcBorders>
            <w:shd w:val="clear" w:color="auto" w:fill="auto"/>
            <w:noWrap/>
            <w:vAlign w:val="bottom"/>
          </w:tcPr>
          <w:p w14:paraId="5018FCC7"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0.1</w:t>
            </w:r>
          </w:p>
        </w:tc>
        <w:tc>
          <w:tcPr>
            <w:tcW w:w="1268" w:type="dxa"/>
            <w:gridSpan w:val="2"/>
            <w:tcBorders>
              <w:top w:val="nil"/>
              <w:left w:val="nil"/>
              <w:bottom w:val="single" w:sz="4" w:space="0" w:color="auto"/>
              <w:right w:val="single" w:sz="4" w:space="0" w:color="auto"/>
            </w:tcBorders>
            <w:shd w:val="clear" w:color="auto" w:fill="auto"/>
            <w:noWrap/>
            <w:vAlign w:val="bottom"/>
          </w:tcPr>
          <w:p w14:paraId="69A639B4"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$11</w:t>
            </w:r>
          </w:p>
        </w:tc>
        <w:tc>
          <w:tcPr>
            <w:tcW w:w="1162" w:type="dxa"/>
            <w:tcBorders>
              <w:top w:val="single" w:sz="4" w:space="0" w:color="auto"/>
              <w:left w:val="nil"/>
              <w:bottom w:val="nil"/>
              <w:right w:val="single" w:sz="4" w:space="0" w:color="auto"/>
            </w:tcBorders>
            <w:shd w:val="clear" w:color="auto" w:fill="auto"/>
            <w:noWrap/>
            <w:vAlign w:val="bottom"/>
          </w:tcPr>
          <w:p w14:paraId="29009F4F"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34675</w:t>
            </w:r>
          </w:p>
        </w:tc>
        <w:tc>
          <w:tcPr>
            <w:tcW w:w="1530" w:type="dxa"/>
            <w:tcBorders>
              <w:top w:val="nil"/>
              <w:left w:val="nil"/>
              <w:bottom w:val="single" w:sz="4" w:space="0" w:color="auto"/>
              <w:right w:val="single" w:sz="8" w:space="0" w:color="auto"/>
            </w:tcBorders>
            <w:shd w:val="clear" w:color="auto" w:fill="auto"/>
            <w:noWrap/>
            <w:vAlign w:val="bottom"/>
          </w:tcPr>
          <w:p w14:paraId="17EC6947"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$3,952,950</w:t>
            </w:r>
          </w:p>
        </w:tc>
      </w:tr>
      <w:tr w:rsidR="00E714EB" w:rsidRPr="00E714EB" w14:paraId="7B2530D0" w14:textId="77777777" w:rsidTr="00281C9C">
        <w:trPr>
          <w:trHeight w:val="510"/>
        </w:trPr>
        <w:tc>
          <w:tcPr>
            <w:tcW w:w="4440" w:type="dxa"/>
            <w:tcBorders>
              <w:top w:val="single" w:sz="4" w:space="0" w:color="auto"/>
              <w:left w:val="single" w:sz="8" w:space="0" w:color="auto"/>
              <w:bottom w:val="nil"/>
              <w:right w:val="single" w:sz="4" w:space="0" w:color="auto"/>
            </w:tcBorders>
            <w:shd w:val="clear" w:color="auto" w:fill="auto"/>
            <w:vAlign w:val="bottom"/>
          </w:tcPr>
          <w:p w14:paraId="120F7B35" w14:textId="77777777" w:rsidR="00E714EB" w:rsidRPr="00E714EB" w:rsidRDefault="00E714EB" w:rsidP="00E714EB">
            <w:pPr>
              <w:ind w:firstLineChars="200" w:firstLine="440"/>
              <w:rPr>
                <w:rFonts w:ascii="Arial" w:hAnsi="Arial" w:cs="Arial"/>
                <w:sz w:val="22"/>
                <w:szCs w:val="22"/>
              </w:rPr>
            </w:pPr>
            <w:r w:rsidRPr="00E714EB">
              <w:rPr>
                <w:rFonts w:ascii="Arial" w:hAnsi="Arial" w:cs="Arial"/>
                <w:sz w:val="22"/>
                <w:szCs w:val="22"/>
              </w:rPr>
              <w:t>Foreign Refiners</w:t>
            </w:r>
          </w:p>
        </w:tc>
        <w:tc>
          <w:tcPr>
            <w:tcW w:w="1860" w:type="dxa"/>
            <w:tcBorders>
              <w:top w:val="single" w:sz="4" w:space="0" w:color="auto"/>
              <w:left w:val="nil"/>
              <w:bottom w:val="nil"/>
              <w:right w:val="single" w:sz="4" w:space="0" w:color="auto"/>
            </w:tcBorders>
            <w:shd w:val="clear" w:color="auto" w:fill="auto"/>
            <w:noWrap/>
            <w:vAlign w:val="bottom"/>
          </w:tcPr>
          <w:p w14:paraId="76F66183"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10</w:t>
            </w:r>
          </w:p>
        </w:tc>
        <w:tc>
          <w:tcPr>
            <w:tcW w:w="1545" w:type="dxa"/>
            <w:tcBorders>
              <w:top w:val="single" w:sz="4" w:space="0" w:color="auto"/>
              <w:left w:val="nil"/>
              <w:bottom w:val="nil"/>
              <w:right w:val="single" w:sz="4" w:space="0" w:color="auto"/>
            </w:tcBorders>
            <w:shd w:val="clear" w:color="auto" w:fill="auto"/>
            <w:noWrap/>
            <w:vAlign w:val="bottom"/>
          </w:tcPr>
          <w:p w14:paraId="6507E6CF"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365</w:t>
            </w:r>
          </w:p>
        </w:tc>
        <w:tc>
          <w:tcPr>
            <w:tcW w:w="1800" w:type="dxa"/>
            <w:gridSpan w:val="2"/>
            <w:tcBorders>
              <w:top w:val="single" w:sz="4" w:space="0" w:color="auto"/>
              <w:left w:val="nil"/>
              <w:bottom w:val="nil"/>
              <w:right w:val="single" w:sz="4" w:space="0" w:color="auto"/>
            </w:tcBorders>
            <w:shd w:val="clear" w:color="auto" w:fill="auto"/>
            <w:noWrap/>
            <w:vAlign w:val="bottom"/>
          </w:tcPr>
          <w:p w14:paraId="7B2E75BA"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3650</w:t>
            </w:r>
          </w:p>
        </w:tc>
        <w:tc>
          <w:tcPr>
            <w:tcW w:w="1350" w:type="dxa"/>
            <w:gridSpan w:val="2"/>
            <w:tcBorders>
              <w:top w:val="single" w:sz="4" w:space="0" w:color="auto"/>
              <w:left w:val="nil"/>
              <w:bottom w:val="nil"/>
              <w:right w:val="single" w:sz="4" w:space="0" w:color="auto"/>
            </w:tcBorders>
            <w:shd w:val="clear" w:color="auto" w:fill="auto"/>
            <w:noWrap/>
            <w:vAlign w:val="bottom"/>
          </w:tcPr>
          <w:p w14:paraId="40675B4E"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0.1</w:t>
            </w:r>
          </w:p>
        </w:tc>
        <w:tc>
          <w:tcPr>
            <w:tcW w:w="1268" w:type="dxa"/>
            <w:gridSpan w:val="2"/>
            <w:tcBorders>
              <w:top w:val="nil"/>
              <w:left w:val="nil"/>
              <w:bottom w:val="single" w:sz="4" w:space="0" w:color="auto"/>
              <w:right w:val="single" w:sz="4" w:space="0" w:color="auto"/>
            </w:tcBorders>
            <w:shd w:val="clear" w:color="auto" w:fill="auto"/>
            <w:noWrap/>
            <w:vAlign w:val="bottom"/>
          </w:tcPr>
          <w:p w14:paraId="58268731"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$11</w:t>
            </w:r>
          </w:p>
        </w:tc>
        <w:tc>
          <w:tcPr>
            <w:tcW w:w="1162" w:type="dxa"/>
            <w:tcBorders>
              <w:top w:val="single" w:sz="4" w:space="0" w:color="auto"/>
              <w:left w:val="nil"/>
              <w:bottom w:val="nil"/>
              <w:right w:val="single" w:sz="4" w:space="0" w:color="auto"/>
            </w:tcBorders>
            <w:shd w:val="clear" w:color="auto" w:fill="auto"/>
            <w:noWrap/>
            <w:vAlign w:val="bottom"/>
          </w:tcPr>
          <w:p w14:paraId="591D440E"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365</w:t>
            </w:r>
          </w:p>
        </w:tc>
        <w:tc>
          <w:tcPr>
            <w:tcW w:w="1530" w:type="dxa"/>
            <w:tcBorders>
              <w:top w:val="nil"/>
              <w:left w:val="nil"/>
              <w:bottom w:val="single" w:sz="4" w:space="0" w:color="auto"/>
              <w:right w:val="single" w:sz="8" w:space="0" w:color="auto"/>
            </w:tcBorders>
            <w:shd w:val="clear" w:color="auto" w:fill="auto"/>
            <w:noWrap/>
            <w:vAlign w:val="bottom"/>
          </w:tcPr>
          <w:p w14:paraId="52C8C472" w14:textId="77777777" w:rsidR="00E714EB" w:rsidRPr="00E714EB" w:rsidRDefault="00E714EB" w:rsidP="00E714EB">
            <w:pPr>
              <w:jc w:val="center"/>
              <w:rPr>
                <w:rFonts w:ascii="Arial" w:hAnsi="Arial" w:cs="Arial"/>
                <w:sz w:val="22"/>
                <w:szCs w:val="22"/>
              </w:rPr>
            </w:pPr>
            <w:r w:rsidRPr="00E714EB">
              <w:rPr>
                <w:rFonts w:ascii="Arial" w:hAnsi="Arial" w:cs="Arial"/>
                <w:sz w:val="22"/>
                <w:szCs w:val="22"/>
              </w:rPr>
              <w:t>$41,610</w:t>
            </w:r>
          </w:p>
        </w:tc>
      </w:tr>
      <w:tr w:rsidR="00E714EB" w:rsidRPr="00E714EB" w14:paraId="7FFDE832" w14:textId="77777777" w:rsidTr="00281C9C">
        <w:trPr>
          <w:trHeight w:val="525"/>
        </w:trPr>
        <w:tc>
          <w:tcPr>
            <w:tcW w:w="444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CCE8EE0" w14:textId="77777777" w:rsidR="00E714EB" w:rsidRPr="00E714EB" w:rsidRDefault="00E714EB" w:rsidP="00E714EB">
            <w:pPr>
              <w:rPr>
                <w:rFonts w:ascii="Arial" w:hAnsi="Arial" w:cs="Arial"/>
                <w:b/>
                <w:bCs/>
                <w:color w:val="008000"/>
                <w:sz w:val="22"/>
                <w:szCs w:val="22"/>
              </w:rPr>
            </w:pPr>
            <w:r w:rsidRPr="00E714EB">
              <w:rPr>
                <w:rFonts w:ascii="Arial" w:hAnsi="Arial" w:cs="Arial"/>
                <w:b/>
                <w:bCs/>
                <w:color w:val="008000"/>
                <w:sz w:val="22"/>
                <w:szCs w:val="22"/>
              </w:rPr>
              <w:t>TOTAL</w:t>
            </w:r>
          </w:p>
        </w:tc>
        <w:tc>
          <w:tcPr>
            <w:tcW w:w="1860" w:type="dxa"/>
            <w:tcBorders>
              <w:top w:val="single" w:sz="4" w:space="0" w:color="auto"/>
              <w:left w:val="nil"/>
              <w:bottom w:val="single" w:sz="8" w:space="0" w:color="auto"/>
              <w:right w:val="single" w:sz="4" w:space="0" w:color="auto"/>
            </w:tcBorders>
            <w:shd w:val="clear" w:color="auto" w:fill="auto"/>
            <w:noWrap/>
            <w:vAlign w:val="bottom"/>
          </w:tcPr>
          <w:p w14:paraId="7B4C1631" w14:textId="77777777" w:rsidR="00E714EB" w:rsidRPr="00E714EB" w:rsidRDefault="00E714EB" w:rsidP="00E714EB">
            <w:pPr>
              <w:jc w:val="center"/>
              <w:rPr>
                <w:rFonts w:ascii="Arial" w:hAnsi="Arial" w:cs="Arial"/>
                <w:b/>
                <w:bCs/>
                <w:color w:val="008000"/>
                <w:sz w:val="22"/>
                <w:szCs w:val="22"/>
              </w:rPr>
            </w:pPr>
            <w:r w:rsidRPr="00E714EB">
              <w:rPr>
                <w:rFonts w:ascii="Arial" w:hAnsi="Arial" w:cs="Arial"/>
                <w:b/>
                <w:bCs/>
                <w:color w:val="008000"/>
                <w:sz w:val="22"/>
                <w:szCs w:val="22"/>
              </w:rPr>
              <w:t>1,685</w:t>
            </w:r>
          </w:p>
        </w:tc>
        <w:tc>
          <w:tcPr>
            <w:tcW w:w="1545" w:type="dxa"/>
            <w:tcBorders>
              <w:top w:val="single" w:sz="4" w:space="0" w:color="auto"/>
              <w:left w:val="nil"/>
              <w:bottom w:val="single" w:sz="8" w:space="0" w:color="auto"/>
              <w:right w:val="single" w:sz="4" w:space="0" w:color="auto"/>
            </w:tcBorders>
            <w:shd w:val="clear" w:color="auto" w:fill="auto"/>
            <w:noWrap/>
            <w:vAlign w:val="bottom"/>
          </w:tcPr>
          <w:p w14:paraId="30FC4871" w14:textId="77777777" w:rsidR="00E714EB" w:rsidRPr="00E714EB" w:rsidRDefault="00E714EB" w:rsidP="00E714EB">
            <w:pPr>
              <w:jc w:val="center"/>
              <w:rPr>
                <w:rFonts w:ascii="Arial" w:hAnsi="Arial" w:cs="Arial"/>
                <w:b/>
                <w:bCs/>
                <w:color w:val="008000"/>
                <w:sz w:val="22"/>
                <w:szCs w:val="22"/>
              </w:rPr>
            </w:pPr>
            <w:r w:rsidRPr="00E714EB">
              <w:rPr>
                <w:rFonts w:ascii="Arial" w:hAnsi="Arial" w:cs="Arial"/>
                <w:b/>
                <w:bCs/>
                <w:color w:val="008000"/>
                <w:sz w:val="22"/>
                <w:szCs w:val="22"/>
              </w:rPr>
              <w:t> </w:t>
            </w:r>
          </w:p>
        </w:tc>
        <w:tc>
          <w:tcPr>
            <w:tcW w:w="1800" w:type="dxa"/>
            <w:gridSpan w:val="2"/>
            <w:tcBorders>
              <w:top w:val="single" w:sz="4" w:space="0" w:color="auto"/>
              <w:left w:val="nil"/>
              <w:bottom w:val="single" w:sz="8" w:space="0" w:color="auto"/>
              <w:right w:val="single" w:sz="4" w:space="0" w:color="auto"/>
            </w:tcBorders>
            <w:shd w:val="clear" w:color="auto" w:fill="auto"/>
            <w:noWrap/>
            <w:vAlign w:val="bottom"/>
          </w:tcPr>
          <w:p w14:paraId="5973ED97" w14:textId="77777777" w:rsidR="00E714EB" w:rsidRPr="00E714EB" w:rsidRDefault="00E714EB" w:rsidP="00E714EB">
            <w:pPr>
              <w:jc w:val="center"/>
              <w:rPr>
                <w:rFonts w:ascii="Arial" w:hAnsi="Arial" w:cs="Arial"/>
                <w:b/>
                <w:bCs/>
                <w:color w:val="008000"/>
                <w:sz w:val="22"/>
                <w:szCs w:val="22"/>
              </w:rPr>
            </w:pPr>
            <w:r w:rsidRPr="00E714EB">
              <w:rPr>
                <w:rFonts w:ascii="Arial" w:hAnsi="Arial" w:cs="Arial"/>
                <w:b/>
                <w:bCs/>
                <w:color w:val="008000"/>
                <w:sz w:val="22"/>
                <w:szCs w:val="22"/>
              </w:rPr>
              <w:t>615025</w:t>
            </w:r>
          </w:p>
        </w:tc>
        <w:tc>
          <w:tcPr>
            <w:tcW w:w="1350" w:type="dxa"/>
            <w:gridSpan w:val="2"/>
            <w:tcBorders>
              <w:top w:val="single" w:sz="4" w:space="0" w:color="auto"/>
              <w:left w:val="nil"/>
              <w:bottom w:val="single" w:sz="8" w:space="0" w:color="auto"/>
              <w:right w:val="single" w:sz="4" w:space="0" w:color="auto"/>
            </w:tcBorders>
            <w:shd w:val="clear" w:color="auto" w:fill="auto"/>
            <w:noWrap/>
            <w:vAlign w:val="bottom"/>
          </w:tcPr>
          <w:p w14:paraId="4F6EB231" w14:textId="77777777" w:rsidR="00E714EB" w:rsidRPr="00E714EB" w:rsidRDefault="00E714EB" w:rsidP="00E714EB">
            <w:pPr>
              <w:jc w:val="center"/>
              <w:rPr>
                <w:rFonts w:ascii="Arial" w:hAnsi="Arial" w:cs="Arial"/>
                <w:b/>
                <w:bCs/>
                <w:color w:val="008000"/>
                <w:sz w:val="22"/>
                <w:szCs w:val="22"/>
              </w:rPr>
            </w:pPr>
            <w:r w:rsidRPr="00E714EB">
              <w:rPr>
                <w:rFonts w:ascii="Arial" w:hAnsi="Arial" w:cs="Arial"/>
                <w:b/>
                <w:bCs/>
                <w:color w:val="008000"/>
                <w:sz w:val="22"/>
                <w:szCs w:val="22"/>
              </w:rPr>
              <w:t> </w:t>
            </w:r>
          </w:p>
        </w:tc>
        <w:tc>
          <w:tcPr>
            <w:tcW w:w="1268" w:type="dxa"/>
            <w:gridSpan w:val="2"/>
            <w:tcBorders>
              <w:top w:val="nil"/>
              <w:left w:val="nil"/>
              <w:bottom w:val="single" w:sz="8" w:space="0" w:color="auto"/>
              <w:right w:val="single" w:sz="4" w:space="0" w:color="auto"/>
            </w:tcBorders>
            <w:shd w:val="clear" w:color="auto" w:fill="auto"/>
            <w:noWrap/>
            <w:vAlign w:val="bottom"/>
          </w:tcPr>
          <w:p w14:paraId="64B6D0B3" w14:textId="77777777" w:rsidR="00E714EB" w:rsidRPr="00E714EB" w:rsidRDefault="00E714EB" w:rsidP="00E714EB">
            <w:pPr>
              <w:jc w:val="center"/>
              <w:rPr>
                <w:rFonts w:ascii="Arial" w:hAnsi="Arial" w:cs="Arial"/>
                <w:b/>
                <w:bCs/>
                <w:color w:val="008000"/>
                <w:sz w:val="22"/>
                <w:szCs w:val="22"/>
              </w:rPr>
            </w:pPr>
            <w:r w:rsidRPr="00E714EB">
              <w:rPr>
                <w:rFonts w:ascii="Arial" w:hAnsi="Arial" w:cs="Arial"/>
                <w:b/>
                <w:bCs/>
                <w:color w:val="008000"/>
                <w:sz w:val="22"/>
                <w:szCs w:val="22"/>
              </w:rPr>
              <w:t> </w:t>
            </w:r>
          </w:p>
        </w:tc>
        <w:tc>
          <w:tcPr>
            <w:tcW w:w="1162" w:type="dxa"/>
            <w:tcBorders>
              <w:top w:val="single" w:sz="4" w:space="0" w:color="auto"/>
              <w:left w:val="nil"/>
              <w:bottom w:val="single" w:sz="8" w:space="0" w:color="auto"/>
              <w:right w:val="single" w:sz="4" w:space="0" w:color="auto"/>
            </w:tcBorders>
            <w:shd w:val="clear" w:color="auto" w:fill="auto"/>
            <w:noWrap/>
            <w:vAlign w:val="bottom"/>
          </w:tcPr>
          <w:p w14:paraId="54714721" w14:textId="77777777" w:rsidR="00E714EB" w:rsidRPr="00E714EB" w:rsidRDefault="00E714EB" w:rsidP="00E714EB">
            <w:pPr>
              <w:jc w:val="center"/>
              <w:rPr>
                <w:rFonts w:ascii="Arial" w:hAnsi="Arial" w:cs="Arial"/>
                <w:b/>
                <w:bCs/>
                <w:color w:val="008000"/>
                <w:sz w:val="22"/>
                <w:szCs w:val="22"/>
              </w:rPr>
            </w:pPr>
            <w:r w:rsidRPr="00E714EB">
              <w:rPr>
                <w:rFonts w:ascii="Arial" w:hAnsi="Arial" w:cs="Arial"/>
                <w:b/>
                <w:bCs/>
                <w:color w:val="008000"/>
                <w:sz w:val="22"/>
                <w:szCs w:val="22"/>
              </w:rPr>
              <w:t>61502.5</w:t>
            </w:r>
          </w:p>
        </w:tc>
        <w:tc>
          <w:tcPr>
            <w:tcW w:w="1530" w:type="dxa"/>
            <w:tcBorders>
              <w:top w:val="nil"/>
              <w:left w:val="nil"/>
              <w:bottom w:val="single" w:sz="8" w:space="0" w:color="auto"/>
              <w:right w:val="single" w:sz="8" w:space="0" w:color="auto"/>
            </w:tcBorders>
            <w:shd w:val="clear" w:color="auto" w:fill="auto"/>
            <w:noWrap/>
            <w:vAlign w:val="bottom"/>
          </w:tcPr>
          <w:p w14:paraId="18C2B09B" w14:textId="77777777" w:rsidR="00E714EB" w:rsidRPr="00E714EB" w:rsidRDefault="00E714EB" w:rsidP="00E714EB">
            <w:pPr>
              <w:jc w:val="center"/>
              <w:rPr>
                <w:rFonts w:ascii="Arial" w:hAnsi="Arial" w:cs="Arial"/>
                <w:b/>
                <w:bCs/>
                <w:color w:val="008000"/>
                <w:sz w:val="22"/>
                <w:szCs w:val="22"/>
              </w:rPr>
            </w:pPr>
            <w:r w:rsidRPr="00E714EB">
              <w:rPr>
                <w:rFonts w:ascii="Arial" w:hAnsi="Arial" w:cs="Arial"/>
                <w:b/>
                <w:bCs/>
                <w:color w:val="008000"/>
                <w:sz w:val="22"/>
                <w:szCs w:val="22"/>
              </w:rPr>
              <w:t>$7,011,285</w:t>
            </w:r>
          </w:p>
        </w:tc>
      </w:tr>
      <w:tr w:rsidR="00E714EB" w:rsidRPr="00E714EB" w14:paraId="400D98FA" w14:textId="77777777" w:rsidTr="00281C9C">
        <w:trPr>
          <w:trHeight w:val="510"/>
        </w:trPr>
        <w:tc>
          <w:tcPr>
            <w:tcW w:w="12263" w:type="dxa"/>
            <w:gridSpan w:val="9"/>
            <w:tcBorders>
              <w:top w:val="nil"/>
              <w:left w:val="nil"/>
              <w:bottom w:val="nil"/>
              <w:right w:val="nil"/>
            </w:tcBorders>
            <w:shd w:val="clear" w:color="auto" w:fill="auto"/>
            <w:noWrap/>
            <w:vAlign w:val="bottom"/>
          </w:tcPr>
          <w:p w14:paraId="4AC1C7B7" w14:textId="77777777" w:rsidR="00E714EB" w:rsidRPr="00E714EB" w:rsidRDefault="00E714EB" w:rsidP="00C7248D">
            <w:pPr>
              <w:rPr>
                <w:rFonts w:ascii="Arial" w:hAnsi="Arial" w:cs="Arial"/>
                <w:sz w:val="22"/>
                <w:szCs w:val="22"/>
              </w:rPr>
            </w:pPr>
            <w:r w:rsidRPr="00E714EB">
              <w:rPr>
                <w:rFonts w:ascii="Arial" w:hAnsi="Arial" w:cs="Arial"/>
                <w:sz w:val="22"/>
                <w:szCs w:val="22"/>
              </w:rPr>
              <w:t>NOTE - This table summ</w:t>
            </w:r>
            <w:r w:rsidR="00C7248D">
              <w:rPr>
                <w:rFonts w:ascii="Arial" w:hAnsi="Arial" w:cs="Arial"/>
                <w:sz w:val="22"/>
                <w:szCs w:val="22"/>
              </w:rPr>
              <w:t>a</w:t>
            </w:r>
            <w:r w:rsidRPr="00E714EB">
              <w:rPr>
                <w:rFonts w:ascii="Arial" w:hAnsi="Arial" w:cs="Arial"/>
                <w:sz w:val="22"/>
                <w:szCs w:val="22"/>
              </w:rPr>
              <w:t>rizes transactions and activity, and "real time" RIN transactional activity reporting within EMTS.</w:t>
            </w:r>
          </w:p>
        </w:tc>
        <w:tc>
          <w:tcPr>
            <w:tcW w:w="1162" w:type="dxa"/>
            <w:tcBorders>
              <w:top w:val="nil"/>
              <w:left w:val="nil"/>
              <w:bottom w:val="nil"/>
              <w:right w:val="nil"/>
            </w:tcBorders>
            <w:shd w:val="clear" w:color="auto" w:fill="auto"/>
            <w:noWrap/>
            <w:vAlign w:val="bottom"/>
          </w:tcPr>
          <w:p w14:paraId="07179392" w14:textId="77777777" w:rsidR="00E714EB" w:rsidRPr="00E714EB" w:rsidRDefault="00E714EB" w:rsidP="00E714EB">
            <w:pPr>
              <w:rPr>
                <w:rFonts w:ascii="Arial" w:hAnsi="Arial" w:cs="Arial"/>
                <w:sz w:val="22"/>
                <w:szCs w:val="22"/>
              </w:rPr>
            </w:pPr>
          </w:p>
        </w:tc>
        <w:tc>
          <w:tcPr>
            <w:tcW w:w="1530" w:type="dxa"/>
            <w:tcBorders>
              <w:top w:val="nil"/>
              <w:left w:val="nil"/>
              <w:bottom w:val="nil"/>
              <w:right w:val="nil"/>
            </w:tcBorders>
            <w:shd w:val="clear" w:color="auto" w:fill="auto"/>
            <w:noWrap/>
            <w:vAlign w:val="bottom"/>
          </w:tcPr>
          <w:p w14:paraId="2E850495" w14:textId="77777777" w:rsidR="00E714EB" w:rsidRPr="00E714EB" w:rsidRDefault="00E714EB" w:rsidP="00E714EB">
            <w:pPr>
              <w:rPr>
                <w:rFonts w:ascii="Arial" w:hAnsi="Arial" w:cs="Arial"/>
                <w:sz w:val="22"/>
                <w:szCs w:val="22"/>
              </w:rPr>
            </w:pPr>
          </w:p>
        </w:tc>
      </w:tr>
      <w:tr w:rsidR="00E714EB" w:rsidRPr="00E714EB" w14:paraId="54B0EFFA" w14:textId="77777777" w:rsidTr="00281C9C">
        <w:trPr>
          <w:trHeight w:val="510"/>
        </w:trPr>
        <w:tc>
          <w:tcPr>
            <w:tcW w:w="8140" w:type="dxa"/>
            <w:gridSpan w:val="4"/>
            <w:tcBorders>
              <w:top w:val="nil"/>
              <w:left w:val="nil"/>
              <w:bottom w:val="nil"/>
              <w:right w:val="nil"/>
            </w:tcBorders>
            <w:shd w:val="clear" w:color="auto" w:fill="auto"/>
            <w:noWrap/>
            <w:vAlign w:val="bottom"/>
          </w:tcPr>
          <w:p w14:paraId="64B28848" w14:textId="77777777" w:rsidR="00E714EB" w:rsidRPr="00E714EB" w:rsidRDefault="00E714EB" w:rsidP="00E714EB">
            <w:pPr>
              <w:rPr>
                <w:rFonts w:ascii="Arial" w:hAnsi="Arial" w:cs="Arial"/>
                <w:sz w:val="22"/>
                <w:szCs w:val="22"/>
              </w:rPr>
            </w:pPr>
            <w:r w:rsidRPr="00E714EB">
              <w:rPr>
                <w:rFonts w:ascii="Arial" w:hAnsi="Arial" w:cs="Arial"/>
                <w:sz w:val="22"/>
                <w:szCs w:val="22"/>
              </w:rPr>
              <w:t>Assumes it takes 10 minutes to complete a report per day at $17 per 10 minutes</w:t>
            </w:r>
          </w:p>
        </w:tc>
        <w:tc>
          <w:tcPr>
            <w:tcW w:w="2020" w:type="dxa"/>
            <w:gridSpan w:val="2"/>
            <w:tcBorders>
              <w:top w:val="nil"/>
              <w:left w:val="nil"/>
              <w:bottom w:val="nil"/>
              <w:right w:val="nil"/>
            </w:tcBorders>
            <w:shd w:val="clear" w:color="auto" w:fill="auto"/>
            <w:noWrap/>
            <w:vAlign w:val="bottom"/>
          </w:tcPr>
          <w:p w14:paraId="30232DB7" w14:textId="77777777" w:rsidR="00E714EB" w:rsidRPr="00E714EB" w:rsidRDefault="00E714EB" w:rsidP="00E714EB">
            <w:pPr>
              <w:rPr>
                <w:rFonts w:ascii="Arial" w:hAnsi="Arial" w:cs="Arial"/>
                <w:sz w:val="22"/>
                <w:szCs w:val="22"/>
              </w:rPr>
            </w:pPr>
          </w:p>
        </w:tc>
        <w:tc>
          <w:tcPr>
            <w:tcW w:w="1560" w:type="dxa"/>
            <w:gridSpan w:val="2"/>
            <w:tcBorders>
              <w:top w:val="nil"/>
              <w:left w:val="nil"/>
              <w:bottom w:val="nil"/>
              <w:right w:val="nil"/>
            </w:tcBorders>
            <w:shd w:val="clear" w:color="auto" w:fill="auto"/>
            <w:noWrap/>
            <w:vAlign w:val="bottom"/>
          </w:tcPr>
          <w:p w14:paraId="509D8D1C" w14:textId="77777777" w:rsidR="00E714EB" w:rsidRPr="00E714EB" w:rsidRDefault="00E714EB" w:rsidP="00E714EB">
            <w:pPr>
              <w:rPr>
                <w:rFonts w:ascii="Arial" w:hAnsi="Arial" w:cs="Arial"/>
                <w:sz w:val="22"/>
                <w:szCs w:val="22"/>
              </w:rPr>
            </w:pPr>
          </w:p>
        </w:tc>
        <w:tc>
          <w:tcPr>
            <w:tcW w:w="543" w:type="dxa"/>
            <w:tcBorders>
              <w:top w:val="nil"/>
              <w:left w:val="nil"/>
              <w:bottom w:val="nil"/>
              <w:right w:val="nil"/>
            </w:tcBorders>
            <w:shd w:val="clear" w:color="auto" w:fill="auto"/>
            <w:noWrap/>
            <w:vAlign w:val="bottom"/>
          </w:tcPr>
          <w:p w14:paraId="473B5DE3" w14:textId="77777777" w:rsidR="00E714EB" w:rsidRPr="00E714EB" w:rsidRDefault="00E714EB" w:rsidP="00E714EB">
            <w:pPr>
              <w:rPr>
                <w:rFonts w:ascii="Arial" w:hAnsi="Arial" w:cs="Arial"/>
                <w:sz w:val="22"/>
                <w:szCs w:val="22"/>
              </w:rPr>
            </w:pPr>
          </w:p>
        </w:tc>
        <w:tc>
          <w:tcPr>
            <w:tcW w:w="1162" w:type="dxa"/>
            <w:tcBorders>
              <w:top w:val="nil"/>
              <w:left w:val="nil"/>
              <w:bottom w:val="nil"/>
              <w:right w:val="nil"/>
            </w:tcBorders>
            <w:shd w:val="clear" w:color="auto" w:fill="auto"/>
            <w:noWrap/>
            <w:vAlign w:val="bottom"/>
          </w:tcPr>
          <w:p w14:paraId="4B8DAAD3" w14:textId="77777777" w:rsidR="00E714EB" w:rsidRPr="00E714EB" w:rsidRDefault="00E714EB" w:rsidP="00E714EB">
            <w:pPr>
              <w:rPr>
                <w:rFonts w:ascii="Arial" w:hAnsi="Arial" w:cs="Arial"/>
                <w:sz w:val="22"/>
                <w:szCs w:val="22"/>
              </w:rPr>
            </w:pPr>
          </w:p>
        </w:tc>
        <w:tc>
          <w:tcPr>
            <w:tcW w:w="1530" w:type="dxa"/>
            <w:tcBorders>
              <w:top w:val="nil"/>
              <w:left w:val="nil"/>
              <w:bottom w:val="nil"/>
              <w:right w:val="nil"/>
            </w:tcBorders>
            <w:shd w:val="clear" w:color="auto" w:fill="auto"/>
            <w:noWrap/>
            <w:vAlign w:val="bottom"/>
          </w:tcPr>
          <w:p w14:paraId="14DF46EF" w14:textId="77777777" w:rsidR="00E714EB" w:rsidRPr="00E714EB" w:rsidRDefault="00E714EB" w:rsidP="00E714EB">
            <w:pPr>
              <w:rPr>
                <w:rFonts w:ascii="Arial" w:hAnsi="Arial" w:cs="Arial"/>
                <w:sz w:val="22"/>
                <w:szCs w:val="22"/>
              </w:rPr>
            </w:pPr>
          </w:p>
        </w:tc>
      </w:tr>
    </w:tbl>
    <w:p w14:paraId="22F329A8" w14:textId="77777777" w:rsidR="00E01F33" w:rsidRDefault="00E01F33" w:rsidP="00CF2BEB">
      <w:pPr>
        <w:ind w:firstLine="720"/>
        <w:sectPr w:rsidR="00E01F33" w:rsidSect="00E01F33">
          <w:pgSz w:w="15840" w:h="12240" w:orient="landscape"/>
          <w:pgMar w:top="1800" w:right="1440" w:bottom="1800" w:left="1440" w:header="720" w:footer="720" w:gutter="0"/>
          <w:pgNumType w:fmt="numberInDash" w:start="18"/>
          <w:cols w:space="720"/>
        </w:sectPr>
      </w:pPr>
    </w:p>
    <w:p w14:paraId="6591D1B8" w14:textId="77777777" w:rsidR="00CF2BEB" w:rsidRDefault="00CF2BEB" w:rsidP="00E714EB">
      <w:r>
        <w:lastRenderedPageBreak/>
        <w:t xml:space="preserve">reporting via the Agency's Central Data Exchange (CDX) and its exchange network protocol.  An attachment explaining the exchange network protocol is provided with this supporting statement.  Respondents must keep copies of all reports filed for five </w:t>
      </w:r>
      <w:r w:rsidR="00635498">
        <w:t xml:space="preserve">(5) </w:t>
      </w:r>
      <w:r>
        <w:t>years.</w:t>
      </w:r>
    </w:p>
    <w:p w14:paraId="262768D2" w14:textId="77777777" w:rsidR="00CF2BEB" w:rsidRDefault="00CF2BEB" w:rsidP="00CF2BEB"/>
    <w:p w14:paraId="50ED061F" w14:textId="77777777" w:rsidR="005416AE" w:rsidRDefault="00CF2BEB" w:rsidP="00CF2BEB">
      <w:r>
        <w:tab/>
        <w:t>B)</w:t>
      </w:r>
      <w:r>
        <w:tab/>
        <w:t>Recordkeeping: Respondents must retain underlying records related to reports they file for five</w:t>
      </w:r>
      <w:r w:rsidR="00635498">
        <w:t xml:space="preserve"> (5)</w:t>
      </w:r>
      <w:r>
        <w:t xml:space="preserve"> years.  This period is consistent with other fuels programs and with customary business practices (CBP) for the industry.  Respondents must transfer volumes of fuel with product transfer documentation or bills of lading, which is already done in the course of business. </w:t>
      </w:r>
    </w:p>
    <w:p w14:paraId="3010B831" w14:textId="77777777" w:rsidR="005416AE" w:rsidRDefault="005416AE" w:rsidP="00CF2BEB"/>
    <w:p w14:paraId="0C76FCFB" w14:textId="77777777" w:rsidR="00CF2BEB" w:rsidRDefault="00CF2BEB" w:rsidP="00CF2BEB">
      <w:pPr>
        <w:outlineLvl w:val="0"/>
      </w:pPr>
      <w:r>
        <w:t xml:space="preserve">5. </w:t>
      </w:r>
      <w:r w:rsidR="00263380">
        <w:tab/>
      </w:r>
      <w:r>
        <w:t>The Information Collected, Agency Activities, Collection Methodology, and Information Management</w:t>
      </w:r>
    </w:p>
    <w:p w14:paraId="4BD3E01B" w14:textId="77777777" w:rsidR="00CF2BEB" w:rsidRDefault="00CF2BEB" w:rsidP="00CF2BEB"/>
    <w:p w14:paraId="1A494B1F" w14:textId="77777777" w:rsidR="00CF2BEB" w:rsidRDefault="00CF2BEB" w:rsidP="00CF2BEB">
      <w:pPr>
        <w:outlineLvl w:val="0"/>
      </w:pPr>
      <w:r>
        <w:t>a.</w:t>
      </w:r>
      <w:r>
        <w:tab/>
        <w:t>Agency Activities</w:t>
      </w:r>
    </w:p>
    <w:p w14:paraId="08D3998A" w14:textId="77777777" w:rsidR="00CF2BEB" w:rsidRDefault="00CF2BEB" w:rsidP="00CF2BEB"/>
    <w:p w14:paraId="38B5FC3B" w14:textId="77777777" w:rsidR="00CF2BEB" w:rsidRDefault="00CF2BEB" w:rsidP="00CF2BEB">
      <w:pPr>
        <w:numPr>
          <w:ilvl w:val="0"/>
          <w:numId w:val="1"/>
        </w:numPr>
        <w:tabs>
          <w:tab w:val="clear" w:pos="360"/>
          <w:tab w:val="num" w:pos="1080"/>
        </w:tabs>
        <w:ind w:left="1080"/>
      </w:pPr>
      <w:r>
        <w:t>All reports and registrations will be reviewed by EPA for completeness and for potential violations.</w:t>
      </w:r>
    </w:p>
    <w:p w14:paraId="389A26A5" w14:textId="77777777" w:rsidR="00CF2BEB" w:rsidRDefault="00CF2BEB" w:rsidP="00CF2BEB">
      <w:pPr>
        <w:numPr>
          <w:ilvl w:val="0"/>
          <w:numId w:val="1"/>
        </w:numPr>
        <w:tabs>
          <w:tab w:val="clear" w:pos="360"/>
          <w:tab w:val="num" w:pos="1080"/>
        </w:tabs>
        <w:ind w:left="1080"/>
      </w:pPr>
      <w:r>
        <w:t>Potential violations will be referred to enforcement personnel.</w:t>
      </w:r>
    </w:p>
    <w:p w14:paraId="0CC95F29" w14:textId="77777777" w:rsidR="00CF2BEB" w:rsidRDefault="00CF2BEB" w:rsidP="00CF2BEB">
      <w:pPr>
        <w:numPr>
          <w:ilvl w:val="0"/>
          <w:numId w:val="1"/>
        </w:numPr>
        <w:tabs>
          <w:tab w:val="clear" w:pos="360"/>
          <w:tab w:val="num" w:pos="1080"/>
        </w:tabs>
        <w:ind w:left="1080"/>
      </w:pPr>
      <w:r>
        <w:t xml:space="preserve">Registration numbers will be issued for new registrants. </w:t>
      </w:r>
    </w:p>
    <w:p w14:paraId="24546BDB" w14:textId="77777777" w:rsidR="00CF2BEB" w:rsidRDefault="00263380" w:rsidP="00CF2BEB">
      <w:pPr>
        <w:numPr>
          <w:ilvl w:val="0"/>
          <w:numId w:val="1"/>
        </w:numPr>
        <w:tabs>
          <w:tab w:val="clear" w:pos="360"/>
          <w:tab w:val="num" w:pos="1080"/>
        </w:tabs>
        <w:ind w:left="1080"/>
      </w:pPr>
      <w:r>
        <w:t>EPA will c</w:t>
      </w:r>
      <w:r w:rsidR="00CF2BEB">
        <w:t>ontact reporting parties if there is a problem with their submission.</w:t>
      </w:r>
    </w:p>
    <w:p w14:paraId="55BA80BB" w14:textId="77777777" w:rsidR="00CF2BEB" w:rsidRDefault="00CF2BEB" w:rsidP="00CF2BEB"/>
    <w:p w14:paraId="6EE96D68" w14:textId="77777777" w:rsidR="00CF2BEB" w:rsidRDefault="00CF2BEB" w:rsidP="00CF2BEB"/>
    <w:p w14:paraId="0C172911" w14:textId="77777777" w:rsidR="00CF2BEB" w:rsidRDefault="00CF2BEB" w:rsidP="00CF2BEB">
      <w:pPr>
        <w:outlineLvl w:val="0"/>
      </w:pPr>
      <w:r>
        <w:t xml:space="preserve">b. </w:t>
      </w:r>
      <w:r>
        <w:tab/>
        <w:t>Collection Methodology and Management</w:t>
      </w:r>
    </w:p>
    <w:p w14:paraId="6F8F356F" w14:textId="77777777" w:rsidR="00CF2BEB" w:rsidRDefault="00CF2BEB" w:rsidP="00CF2BEB"/>
    <w:p w14:paraId="6401CF5E" w14:textId="77777777" w:rsidR="00CF2BEB" w:rsidRDefault="00CF2BEB" w:rsidP="00CF2BEB">
      <w:r>
        <w:tab/>
        <w:t xml:space="preserve">We anticipate receiving data in a simplified and secure fashion via the Agency's </w:t>
      </w:r>
      <w:r w:rsidR="007D02C4">
        <w:t>CDX</w:t>
      </w:r>
      <w:r>
        <w:t>.  Information claimed as CBI will be stored in appropriately controlled areas.</w:t>
      </w:r>
    </w:p>
    <w:p w14:paraId="347D46A8" w14:textId="77777777" w:rsidR="00CF2BEB" w:rsidRDefault="00CF2BEB" w:rsidP="00CF2BEB"/>
    <w:p w14:paraId="450C5806" w14:textId="77777777" w:rsidR="00CF2BEB" w:rsidRDefault="00CF2BEB" w:rsidP="00CF2BEB">
      <w:pPr>
        <w:outlineLvl w:val="0"/>
      </w:pPr>
      <w:r>
        <w:t>c.</w:t>
      </w:r>
      <w:r>
        <w:tab/>
        <w:t>Small Entity Flexibility</w:t>
      </w:r>
    </w:p>
    <w:p w14:paraId="0599B27A" w14:textId="77777777" w:rsidR="00CF2BEB" w:rsidRDefault="00CF2BEB" w:rsidP="00CF2BEB"/>
    <w:p w14:paraId="7460B30E" w14:textId="77777777" w:rsidR="00CF2BEB" w:rsidRDefault="00CF2BEB" w:rsidP="00CF2BEB">
      <w:r>
        <w:tab/>
        <w:t xml:space="preserve">This collection will not adversely affect small entities.  The </w:t>
      </w:r>
      <w:r w:rsidR="00635498">
        <w:t>Final Rule</w:t>
      </w:r>
      <w:r>
        <w:t xml:space="preserve"> describes flexibility provisions available to small entities. </w:t>
      </w:r>
      <w:r w:rsidR="00FD3B85">
        <w:t xml:space="preserve">The flexibility provisions that are available to small entities are found in 40 CFR </w:t>
      </w:r>
      <w:r w:rsidR="00FD1677">
        <w:t>§</w:t>
      </w:r>
      <w:r w:rsidR="00FD3B85">
        <w:t xml:space="preserve"> 80.1441 and</w:t>
      </w:r>
      <w:r w:rsidR="00D504D2">
        <w:t xml:space="preserve"> </w:t>
      </w:r>
      <w:r w:rsidR="00FD1677">
        <w:t xml:space="preserve">§ </w:t>
      </w:r>
      <w:r w:rsidR="00FD3B85">
        <w:t>80.1442.  These refiners have less than 1,500 employees corporate-wide and corporate average crude oil capacity less than or equal to 155,000 barrels per calendar day.  There are only 6 refiners that meet this definition and are registered in DCFUEL under the RFS2 program.</w:t>
      </w:r>
    </w:p>
    <w:p w14:paraId="3CC21DE4" w14:textId="77777777" w:rsidR="00CF2BEB" w:rsidRDefault="00CF2BEB" w:rsidP="00CF2BEB"/>
    <w:p w14:paraId="7E018CC4" w14:textId="77777777" w:rsidR="00CF2BEB" w:rsidRDefault="00CF2BEB" w:rsidP="00CF2BEB">
      <w:pPr>
        <w:outlineLvl w:val="0"/>
      </w:pPr>
      <w:r>
        <w:t>d.</w:t>
      </w:r>
      <w:r>
        <w:tab/>
        <w:t>Collection Schedule</w:t>
      </w:r>
    </w:p>
    <w:p w14:paraId="1C822C59" w14:textId="77777777" w:rsidR="00CF2BEB" w:rsidRDefault="00CF2BEB" w:rsidP="00CF2BEB"/>
    <w:p w14:paraId="48EC1099" w14:textId="77777777" w:rsidR="00CF2BEB" w:rsidRDefault="00CF2BEB" w:rsidP="00CF2BEB">
      <w:r>
        <w:tab/>
        <w:t>Registrations are received on a rolling basis, as updates may be sent in at any time and new parties may enter the regulated industry at any time.   Reporting is as-needed, monthly, quarterly, and annual.</w:t>
      </w:r>
    </w:p>
    <w:p w14:paraId="23459540" w14:textId="77777777" w:rsidR="00CF2BEB" w:rsidRDefault="00CF2BEB" w:rsidP="00CF2BEB"/>
    <w:p w14:paraId="3F7B7FA8" w14:textId="77777777" w:rsidR="00CF2BEB" w:rsidRDefault="00CF2BEB" w:rsidP="00CF2BEB">
      <w:pPr>
        <w:outlineLvl w:val="0"/>
      </w:pPr>
      <w:r>
        <w:t>6.</w:t>
      </w:r>
      <w:r>
        <w:tab/>
      </w:r>
      <w:r>
        <w:rPr>
          <w:u w:val="single"/>
        </w:rPr>
        <w:t>Estimating the Burden and Cost of Collection</w:t>
      </w:r>
    </w:p>
    <w:p w14:paraId="7FDD2DD7" w14:textId="77777777" w:rsidR="00CF2BEB" w:rsidRDefault="00CF2BEB" w:rsidP="00CF2BEB"/>
    <w:p w14:paraId="63347AD4" w14:textId="77777777" w:rsidR="00CF2BEB" w:rsidRDefault="00CF2BEB" w:rsidP="00CF2BEB">
      <w:pPr>
        <w:ind w:firstLine="720"/>
        <w:outlineLvl w:val="0"/>
      </w:pPr>
      <w:r>
        <w:t>a.</w:t>
      </w:r>
      <w:r>
        <w:tab/>
        <w:t xml:space="preserve">Estimating the Respondent Universe </w:t>
      </w:r>
    </w:p>
    <w:p w14:paraId="6F58FC3E" w14:textId="77777777" w:rsidR="00CF2BEB" w:rsidRDefault="00CF2BEB" w:rsidP="00CF2BEB"/>
    <w:p w14:paraId="43D1BF93" w14:textId="77777777" w:rsidR="00CF2BEB" w:rsidRDefault="00CF2BEB" w:rsidP="00CF2BEB">
      <w:r>
        <w:tab/>
        <w:t xml:space="preserve">We drew upon </w:t>
      </w:r>
      <w:r w:rsidR="00E26AB1">
        <w:t xml:space="preserve">experience with the RFS2 program </w:t>
      </w:r>
      <w:r>
        <w:t>to develop estimates of the burden associated with this collection.</w:t>
      </w:r>
    </w:p>
    <w:p w14:paraId="60AF375A" w14:textId="77777777" w:rsidR="00CF2BEB" w:rsidRDefault="00CF2BEB" w:rsidP="00CF2BEB"/>
    <w:p w14:paraId="3CEB6671" w14:textId="77777777" w:rsidR="00CF2BEB" w:rsidRDefault="00CF2BEB" w:rsidP="00CF2BEB"/>
    <w:p w14:paraId="2DC5C25C" w14:textId="77777777" w:rsidR="00CF2BEB" w:rsidRDefault="00CF2BEB" w:rsidP="00CF2BEB">
      <w:pPr>
        <w:ind w:firstLine="720"/>
        <w:outlineLvl w:val="0"/>
      </w:pPr>
      <w:r>
        <w:t>b.</w:t>
      </w:r>
      <w:r>
        <w:tab/>
        <w:t>Estimating the Respondent Burden and Cost</w:t>
      </w:r>
    </w:p>
    <w:p w14:paraId="16BE1DF0" w14:textId="77777777" w:rsidR="00CF2BEB" w:rsidRDefault="00CF2BEB" w:rsidP="00CF2BEB"/>
    <w:p w14:paraId="168F43DA" w14:textId="77777777" w:rsidR="00503607" w:rsidRDefault="00CF2BEB" w:rsidP="00503607">
      <w:pPr>
        <w:pStyle w:val="Standard"/>
      </w:pPr>
      <w:r>
        <w:tab/>
      </w:r>
      <w:r w:rsidR="00503607">
        <w:t>Three labor categories are involved:  managerial (includes legal and professional review), technical, and clerical. The estimates used the Bureau of Labor Statistics figures from "National Industry-Specific Occupational Employment &amp; Wage Estimate “Petroleum and Coal Products Manufacturing” (May 2011), with a 3% annual inflation factor applied to bring the values to the present.  Using this method, the following wages and benefits apply by category:</w:t>
      </w:r>
    </w:p>
    <w:p w14:paraId="112AB680" w14:textId="77777777" w:rsidR="00503607" w:rsidRDefault="00503607" w:rsidP="00503607">
      <w:pPr>
        <w:pStyle w:val="Standard"/>
      </w:pPr>
    </w:p>
    <w:p w14:paraId="2EA7F7BC" w14:textId="77777777" w:rsidR="00503607" w:rsidRDefault="00503607" w:rsidP="00503607">
      <w:pPr>
        <w:pStyle w:val="Standard"/>
        <w:rPr>
          <w:u w:val="single"/>
        </w:rPr>
      </w:pPr>
    </w:p>
    <w:p w14:paraId="7CD7B9B7" w14:textId="77777777" w:rsidR="00503607" w:rsidRDefault="00503607" w:rsidP="00503607">
      <w:pPr>
        <w:pStyle w:val="Standard"/>
        <w:rPr>
          <w:u w:val="single"/>
        </w:rPr>
      </w:pPr>
      <w:r>
        <w:rPr>
          <w:u w:val="single"/>
        </w:rPr>
        <w:t>Wages and Benefits</w:t>
      </w:r>
    </w:p>
    <w:p w14:paraId="7AFC9A30" w14:textId="77777777" w:rsidR="00503607" w:rsidRDefault="00503607" w:rsidP="00503607">
      <w:pPr>
        <w:pStyle w:val="Standard"/>
        <w:rPr>
          <w:u w:val="single"/>
        </w:rPr>
      </w:pPr>
    </w:p>
    <w:p w14:paraId="47B41541" w14:textId="77777777" w:rsidR="00503607" w:rsidRDefault="00503607" w:rsidP="00503607">
      <w:pPr>
        <w:pStyle w:val="Standard"/>
      </w:pPr>
      <w:r>
        <w:t xml:space="preserve">Managerial    </w:t>
      </w:r>
      <w:r>
        <w:tab/>
      </w:r>
      <w:r>
        <w:tab/>
        <w:t>$67.44   per hour</w:t>
      </w:r>
    </w:p>
    <w:p w14:paraId="62A03527" w14:textId="77777777" w:rsidR="00503607" w:rsidRDefault="00503607" w:rsidP="00503607">
      <w:pPr>
        <w:pStyle w:val="Standard"/>
      </w:pPr>
      <w:r>
        <w:t>Technical</w:t>
      </w:r>
      <w:r>
        <w:tab/>
      </w:r>
      <w:r>
        <w:tab/>
        <w:t>$65.56</w:t>
      </w:r>
      <w:r w:rsidR="0031763D">
        <w:t xml:space="preserve"> </w:t>
      </w:r>
      <w:r>
        <w:t xml:space="preserve">  per hour</w:t>
      </w:r>
    </w:p>
    <w:p w14:paraId="37241181" w14:textId="77777777" w:rsidR="00503607" w:rsidRDefault="00503607" w:rsidP="00503607">
      <w:pPr>
        <w:pStyle w:val="Standard"/>
      </w:pPr>
      <w:r>
        <w:t>Clerical</w:t>
      </w:r>
      <w:r>
        <w:tab/>
      </w:r>
      <w:r>
        <w:tab/>
        <w:t xml:space="preserve">$22.17  </w:t>
      </w:r>
      <w:r w:rsidR="0031763D">
        <w:t xml:space="preserve"> </w:t>
      </w:r>
      <w:r>
        <w:t>per hour</w:t>
      </w:r>
    </w:p>
    <w:p w14:paraId="7DC050C2" w14:textId="77777777" w:rsidR="00503607" w:rsidRDefault="00503607" w:rsidP="00503607">
      <w:pPr>
        <w:pStyle w:val="Standard"/>
      </w:pPr>
    </w:p>
    <w:p w14:paraId="55E72CF1" w14:textId="77777777" w:rsidR="00503607" w:rsidRDefault="00503607" w:rsidP="00503607">
      <w:pPr>
        <w:pStyle w:val="Standard"/>
      </w:pPr>
      <w:r>
        <w:t>Doubling for company overhead beyond wages and benefits, and for convenience, rounding up to the dollar, gives the following rates for this ICR:</w:t>
      </w:r>
    </w:p>
    <w:p w14:paraId="20B40D2B" w14:textId="77777777" w:rsidR="00503607" w:rsidRDefault="00503607" w:rsidP="00503607">
      <w:pPr>
        <w:pStyle w:val="Standard"/>
      </w:pPr>
    </w:p>
    <w:p w14:paraId="3669E883" w14:textId="77777777" w:rsidR="00503607" w:rsidRDefault="00503607" w:rsidP="00503607">
      <w:pPr>
        <w:pStyle w:val="Standard"/>
        <w:rPr>
          <w:u w:val="single"/>
        </w:rPr>
      </w:pPr>
    </w:p>
    <w:p w14:paraId="1809C4C8" w14:textId="77777777" w:rsidR="00503607" w:rsidRDefault="00503607" w:rsidP="00503607">
      <w:pPr>
        <w:pStyle w:val="Standard"/>
        <w:rPr>
          <w:u w:val="single"/>
        </w:rPr>
      </w:pPr>
    </w:p>
    <w:p w14:paraId="49CEE24E" w14:textId="77777777" w:rsidR="00503607" w:rsidRDefault="00503607" w:rsidP="00503607">
      <w:pPr>
        <w:pStyle w:val="Standard"/>
        <w:rPr>
          <w:u w:val="single"/>
        </w:rPr>
      </w:pPr>
      <w:r>
        <w:rPr>
          <w:u w:val="single"/>
        </w:rPr>
        <w:t>Total Employer Cost</w:t>
      </w:r>
    </w:p>
    <w:p w14:paraId="20CCA646" w14:textId="77777777" w:rsidR="00503607" w:rsidRDefault="00503607" w:rsidP="00503607">
      <w:pPr>
        <w:pStyle w:val="Standard"/>
      </w:pPr>
    </w:p>
    <w:p w14:paraId="6613A065" w14:textId="77777777" w:rsidR="00503607" w:rsidRDefault="00503607" w:rsidP="00503607">
      <w:pPr>
        <w:pStyle w:val="Standard"/>
      </w:pPr>
      <w:r>
        <w:t>Managerial</w:t>
      </w:r>
      <w:r>
        <w:tab/>
      </w:r>
      <w:r>
        <w:tab/>
        <w:t>$135.00 per hour</w:t>
      </w:r>
    </w:p>
    <w:p w14:paraId="19FD4226" w14:textId="77777777" w:rsidR="00503607" w:rsidRDefault="00503607" w:rsidP="00503607">
      <w:pPr>
        <w:pStyle w:val="Standard"/>
      </w:pPr>
      <w:r>
        <w:t>Technical</w:t>
      </w:r>
      <w:r>
        <w:tab/>
      </w:r>
      <w:r>
        <w:tab/>
        <w:t>$131.00 per hour</w:t>
      </w:r>
    </w:p>
    <w:p w14:paraId="23DF5E29" w14:textId="77777777" w:rsidR="00503607" w:rsidRDefault="00503607" w:rsidP="00503607">
      <w:pPr>
        <w:pStyle w:val="Standard"/>
      </w:pPr>
      <w:r>
        <w:t>Clerical</w:t>
      </w:r>
      <w:r>
        <w:tab/>
      </w:r>
      <w:r>
        <w:tab/>
        <w:t>$  44.00 per hour</w:t>
      </w:r>
    </w:p>
    <w:p w14:paraId="4B2C00C5" w14:textId="77777777" w:rsidR="00503607" w:rsidRDefault="00503607" w:rsidP="00503607">
      <w:pPr>
        <w:pStyle w:val="Standard"/>
      </w:pPr>
    </w:p>
    <w:p w14:paraId="7226500B" w14:textId="77777777" w:rsidR="00503607" w:rsidRDefault="00503607" w:rsidP="00503607">
      <w:pPr>
        <w:pStyle w:val="Standard"/>
      </w:pPr>
      <w:r w:rsidRPr="008225B0">
        <w:t>It is assumed that for each hour of activity the mix will be about 0.1 hour managerial, 0.7 hour technical, and 0.2 hour clerical.  This gives an average labor cost of $</w:t>
      </w:r>
      <w:r w:rsidR="008225B0" w:rsidRPr="008225B0">
        <w:t xml:space="preserve">114 </w:t>
      </w:r>
      <w:r w:rsidRPr="008225B0">
        <w:t>per hour, which will be used in this ICR. For purchased services related to attest engagements and some items of registration, we have doubled this hourly cost to $</w:t>
      </w:r>
      <w:r w:rsidR="00E26AB1" w:rsidRPr="008225B0">
        <w:t>2</w:t>
      </w:r>
      <w:r w:rsidR="00E26AB1">
        <w:t>28</w:t>
      </w:r>
      <w:r w:rsidR="00E26AB1" w:rsidRPr="008225B0">
        <w:t xml:space="preserve"> </w:t>
      </w:r>
      <w:r w:rsidRPr="008225B0">
        <w:t>in order to more accurately reflect the cost of a certified public accountant (CPA) or licensed professional engineer's (PE) services</w:t>
      </w:r>
      <w:r>
        <w:t>.</w:t>
      </w:r>
    </w:p>
    <w:p w14:paraId="42D9A4F7" w14:textId="77777777" w:rsidR="00503607" w:rsidRDefault="00503607" w:rsidP="00503607">
      <w:pPr>
        <w:pStyle w:val="Standard"/>
      </w:pPr>
    </w:p>
    <w:p w14:paraId="329A7205" w14:textId="77777777" w:rsidR="000129CB" w:rsidRDefault="000129CB" w:rsidP="000129CB">
      <w:pPr>
        <w:pStyle w:val="Standard"/>
      </w:pPr>
      <w:r>
        <w:t xml:space="preserve">c.  </w:t>
      </w:r>
      <w:r>
        <w:tab/>
        <w:t xml:space="preserve">Estimating the Agency Burden and Cost  </w:t>
      </w:r>
    </w:p>
    <w:p w14:paraId="6A14FEEF" w14:textId="77777777" w:rsidR="000129CB" w:rsidRDefault="000129CB" w:rsidP="000129CB">
      <w:pPr>
        <w:pStyle w:val="Standard"/>
      </w:pPr>
    </w:p>
    <w:p w14:paraId="4284FDDA" w14:textId="77777777" w:rsidR="000129CB" w:rsidRDefault="000129CB" w:rsidP="000129CB">
      <w:pPr>
        <w:pStyle w:val="Standard"/>
      </w:pPr>
      <w:r>
        <w:tab/>
        <w:t xml:space="preserve">EPA must generate company and facility registration number(s) for new registrants and notify them of these numbers, which must appear on reports. Report formats and instructions/guidance must be prepared by Agency personnel.  Reports will be processed by contractors and must be reviewed by Agency personnel.  Reporting parties must be contacted if there is a problem with their submission. We have developed </w:t>
      </w:r>
      <w:r>
        <w:lastRenderedPageBreak/>
        <w:t>forms for RFS2 reporting to include four types, rather than one type, of RIN unlike the RFS1 templates. We have provided RFS2 reporting templates as an attachment to this document.</w:t>
      </w:r>
    </w:p>
    <w:p w14:paraId="030B64AC" w14:textId="77777777" w:rsidR="000129CB" w:rsidRDefault="000129CB" w:rsidP="000129CB">
      <w:pPr>
        <w:pStyle w:val="Standard"/>
      </w:pPr>
      <w:r>
        <w:t xml:space="preserve"> </w:t>
      </w:r>
    </w:p>
    <w:p w14:paraId="6721D11B" w14:textId="77777777" w:rsidR="000129CB" w:rsidRDefault="000129CB" w:rsidP="000129CB">
      <w:pPr>
        <w:pStyle w:val="Standard"/>
        <w:ind w:firstLine="720"/>
      </w:pPr>
      <w:r>
        <w:rPr>
          <w:i/>
        </w:rPr>
        <w:t>This supporting statement considers all Agency costs associated with accepting new registrants and new reports associated with RFS2, as expressed in EPA ICR Number 2333.02.</w:t>
      </w:r>
      <w:r>
        <w:t xml:space="preserve"> Using the </w:t>
      </w:r>
      <w:r w:rsidR="00221A34">
        <w:t>initial RFS2</w:t>
      </w:r>
      <w:r>
        <w:t>, the RFG and anti-dumping, and other recent fuels-related ICRs as a guide in developing these initial estimates for RFS, we anticipate that RFS2 may require the equivalent labor of one full time GS-13 technical employee for a total of $115,000, and labor costs of $54,875 in the clerical category and $19,438 in the management category.</w:t>
      </w:r>
      <w:r w:rsidRPr="00DE102F">
        <w:rPr>
          <w:rStyle w:val="FootnoteReference"/>
        </w:rPr>
        <w:footnoteReference w:id="1"/>
      </w:r>
      <w:r>
        <w:t xml:space="preserve">  Since we are using the CDX, some costs incurred by the Agency will be tied to the number of registrants who send us reports.  Specifically, there is an annual "subscription cost" associated with the use of CDX that is passed on to the EPA program office and we estimate that registrants due to RFS2 will cost our office approximately $200,000 per year in 2013, 2014 and 2015.  We anticipate $</w:t>
      </w:r>
      <w:r w:rsidR="00030452">
        <w:t>267</w:t>
      </w:r>
      <w:r>
        <w:t>,</w:t>
      </w:r>
      <w:r w:rsidR="00030452">
        <w:t>000</w:t>
      </w:r>
      <w:r>
        <w:t xml:space="preserve"> in annual contract costs related to registration and reporting activities.  We anticipate IT development and testing costs at $ 600,000 divided by three years to yield an annual cost of $200,000.  Adding the following values results in an annual estimated Agency burden as follows:</w:t>
      </w:r>
    </w:p>
    <w:p w14:paraId="175FE29D" w14:textId="77777777" w:rsidR="000129CB" w:rsidRDefault="000129CB" w:rsidP="000129CB">
      <w:pPr>
        <w:pStyle w:val="Standard"/>
        <w:ind w:firstLine="720"/>
      </w:pPr>
    </w:p>
    <w:p w14:paraId="5485576F" w14:textId="77777777" w:rsidR="000129CB" w:rsidRDefault="000129CB" w:rsidP="000129CB">
      <w:pPr>
        <w:pStyle w:val="Standard"/>
        <w:ind w:firstLine="720"/>
      </w:pPr>
      <w:r>
        <w:t xml:space="preserve">One GS-13 technical employee (full time) = </w:t>
      </w:r>
      <w:r>
        <w:tab/>
      </w:r>
      <w:r>
        <w:tab/>
        <w:t>$   1</w:t>
      </w:r>
      <w:r w:rsidR="00030452">
        <w:t>8</w:t>
      </w:r>
      <w:r>
        <w:t>5,000</w:t>
      </w:r>
    </w:p>
    <w:p w14:paraId="1A781238" w14:textId="77777777" w:rsidR="000129CB" w:rsidRDefault="000129CB" w:rsidP="000129CB">
      <w:pPr>
        <w:pStyle w:val="Standard"/>
        <w:ind w:firstLine="720"/>
      </w:pPr>
      <w:r>
        <w:t xml:space="preserve">One GS-7 clerical worker (full-time) </w:t>
      </w:r>
      <w:r>
        <w:tab/>
        <w:t xml:space="preserve"> = </w:t>
      </w:r>
      <w:r>
        <w:tab/>
        <w:t xml:space="preserve">      </w:t>
      </w:r>
      <w:r>
        <w:tab/>
        <w:t xml:space="preserve">       </w:t>
      </w:r>
      <w:r w:rsidR="00030452">
        <w:t>88,000</w:t>
      </w:r>
    </w:p>
    <w:p w14:paraId="0B5FC078" w14:textId="77777777" w:rsidR="000129CB" w:rsidRDefault="000129CB" w:rsidP="000129CB">
      <w:pPr>
        <w:pStyle w:val="Standard"/>
        <w:ind w:firstLine="720"/>
      </w:pPr>
      <w:r>
        <w:t xml:space="preserve">One GS-15 manager (1/8 time) </w:t>
      </w:r>
      <w:r>
        <w:tab/>
        <w:t xml:space="preserve"> = </w:t>
      </w:r>
      <w:r>
        <w:tab/>
      </w:r>
      <w:r>
        <w:tab/>
        <w:t xml:space="preserve">       </w:t>
      </w:r>
      <w:r w:rsidR="00030452">
        <w:t>31,000</w:t>
      </w:r>
    </w:p>
    <w:p w14:paraId="73677210" w14:textId="77777777" w:rsidR="000129CB" w:rsidRDefault="000129CB" w:rsidP="000129CB">
      <w:pPr>
        <w:pStyle w:val="Standard"/>
        <w:ind w:firstLine="720"/>
      </w:pPr>
      <w:r>
        <w:t xml:space="preserve">Annual CDX subscription fee = </w:t>
      </w:r>
      <w:r>
        <w:tab/>
      </w:r>
      <w:r>
        <w:tab/>
      </w:r>
      <w:r>
        <w:tab/>
        <w:t xml:space="preserve">     200,000</w:t>
      </w:r>
    </w:p>
    <w:p w14:paraId="628FD209" w14:textId="77777777" w:rsidR="000129CB" w:rsidRDefault="000129CB" w:rsidP="000129CB">
      <w:pPr>
        <w:pStyle w:val="Standard"/>
        <w:ind w:firstLine="720"/>
      </w:pPr>
      <w:r>
        <w:t xml:space="preserve">Annual contract costs = </w:t>
      </w:r>
      <w:r>
        <w:tab/>
      </w:r>
      <w:r>
        <w:tab/>
      </w:r>
      <w:r>
        <w:tab/>
      </w:r>
      <w:r>
        <w:tab/>
        <w:t xml:space="preserve">     </w:t>
      </w:r>
      <w:r w:rsidR="00030452">
        <w:t>267</w:t>
      </w:r>
      <w:r>
        <w:t>,</w:t>
      </w:r>
      <w:r w:rsidR="00030452">
        <w:t>000</w:t>
      </w:r>
    </w:p>
    <w:p w14:paraId="427997C8" w14:textId="77777777" w:rsidR="000129CB" w:rsidRDefault="000129CB" w:rsidP="000129CB">
      <w:pPr>
        <w:pStyle w:val="Standard"/>
        <w:ind w:firstLine="720"/>
      </w:pPr>
      <w:r>
        <w:t xml:space="preserve">Testing and development= </w:t>
      </w:r>
      <w:r>
        <w:tab/>
      </w:r>
      <w:r>
        <w:tab/>
      </w:r>
      <w:r>
        <w:tab/>
      </w:r>
      <w:r>
        <w:tab/>
        <w:t xml:space="preserve">     200,000</w:t>
      </w:r>
    </w:p>
    <w:p w14:paraId="4DC0BECE" w14:textId="77777777" w:rsidR="000129CB" w:rsidRDefault="000129CB" w:rsidP="000129CB">
      <w:pPr>
        <w:pStyle w:val="Standard"/>
        <w:ind w:firstLine="720"/>
        <w:rPr>
          <w:b/>
        </w:rPr>
      </w:pPr>
      <w:r>
        <w:rPr>
          <w:b/>
        </w:rPr>
        <w:t xml:space="preserve">TOTAL = </w:t>
      </w:r>
      <w:r>
        <w:rPr>
          <w:b/>
        </w:rPr>
        <w:tab/>
      </w:r>
      <w:r>
        <w:rPr>
          <w:b/>
        </w:rPr>
        <w:tab/>
      </w:r>
      <w:r>
        <w:rPr>
          <w:b/>
        </w:rPr>
        <w:tab/>
      </w:r>
      <w:r>
        <w:rPr>
          <w:b/>
        </w:rPr>
        <w:tab/>
      </w:r>
      <w:r>
        <w:rPr>
          <w:b/>
        </w:rPr>
        <w:tab/>
      </w:r>
      <w:r>
        <w:rPr>
          <w:b/>
        </w:rPr>
        <w:tab/>
        <w:t xml:space="preserve">   $</w:t>
      </w:r>
      <w:r w:rsidR="00030452">
        <w:rPr>
          <w:b/>
        </w:rPr>
        <w:t>971,000</w:t>
      </w:r>
    </w:p>
    <w:p w14:paraId="7664B4EE" w14:textId="77777777" w:rsidR="000129CB" w:rsidRDefault="000129CB" w:rsidP="000129CB">
      <w:pPr>
        <w:pStyle w:val="Standard"/>
        <w:ind w:firstLine="720"/>
      </w:pPr>
    </w:p>
    <w:p w14:paraId="107E1556" w14:textId="77777777" w:rsidR="000129CB" w:rsidRDefault="000129CB" w:rsidP="000129CB">
      <w:pPr>
        <w:pStyle w:val="Standard"/>
        <w:ind w:firstLine="720"/>
      </w:pPr>
      <w:r>
        <w:t xml:space="preserve">  As with all items in this supporting statement, we strongly encourage comment on the estimated Agency burden and on the Agency activities associated with this proposed information collection.    </w:t>
      </w:r>
    </w:p>
    <w:p w14:paraId="500535EB" w14:textId="77777777" w:rsidR="000129CB" w:rsidRDefault="000129CB" w:rsidP="000129CB">
      <w:pPr>
        <w:pStyle w:val="Standard"/>
      </w:pPr>
      <w:r>
        <w:tab/>
        <w:t xml:space="preserve">  </w:t>
      </w:r>
    </w:p>
    <w:p w14:paraId="72F2629E" w14:textId="77777777" w:rsidR="000129CB" w:rsidRDefault="000129CB" w:rsidP="000129CB">
      <w:pPr>
        <w:pStyle w:val="Standard"/>
      </w:pPr>
      <w:r>
        <w:t>d.</w:t>
      </w:r>
      <w:r>
        <w:tab/>
        <w:t>Estimating the Respondent Universe</w:t>
      </w:r>
    </w:p>
    <w:p w14:paraId="57BE36F7" w14:textId="77777777" w:rsidR="000129CB" w:rsidRDefault="000129CB" w:rsidP="000129CB">
      <w:pPr>
        <w:pStyle w:val="Standard"/>
      </w:pPr>
    </w:p>
    <w:p w14:paraId="374F8D67" w14:textId="77777777" w:rsidR="00CF2BEB" w:rsidRDefault="000129CB" w:rsidP="00CF2BEB">
      <w:r>
        <w:tab/>
        <w:t xml:space="preserve">We were able to estimate the number of regulated entities drawing upon experience regulating the same or similar entities.  </w:t>
      </w:r>
      <w:r w:rsidR="00CF2BEB">
        <w:t xml:space="preserve">We were able to estimate the number of regulated entities drawing upon experience regulating the same or similar entities.  </w:t>
      </w:r>
    </w:p>
    <w:p w14:paraId="01F082EF" w14:textId="77777777" w:rsidR="00CF2BEB" w:rsidRDefault="00CF2BEB" w:rsidP="00CF2BEB"/>
    <w:p w14:paraId="02DBCE7D" w14:textId="77777777" w:rsidR="005416AE" w:rsidRDefault="005416AE" w:rsidP="00CF2BEB"/>
    <w:p w14:paraId="458D45B6" w14:textId="77777777" w:rsidR="005416AE" w:rsidRDefault="005416AE" w:rsidP="00CF2BEB"/>
    <w:p w14:paraId="57B83FB6" w14:textId="77777777" w:rsidR="005416AE" w:rsidRDefault="005416AE" w:rsidP="00CF2BEB"/>
    <w:p w14:paraId="52711131" w14:textId="77777777" w:rsidR="005416AE" w:rsidRDefault="005416AE" w:rsidP="00CF2BEB"/>
    <w:p w14:paraId="56AD6A1A" w14:textId="77777777" w:rsidR="005416AE" w:rsidRDefault="005416AE" w:rsidP="00CF2BEB"/>
    <w:p w14:paraId="55CC5776" w14:textId="77777777" w:rsidR="00CF2BEB" w:rsidRDefault="00CF2BEB" w:rsidP="00CF2BEB">
      <w:r>
        <w:t>e.</w:t>
      </w:r>
      <w:r>
        <w:tab/>
        <w:t>Bottom Line Burden Hours and Costs</w:t>
      </w:r>
    </w:p>
    <w:p w14:paraId="1B4438EA" w14:textId="77777777" w:rsidR="00CF2BEB" w:rsidRDefault="00CF2BEB" w:rsidP="00CF2BEB"/>
    <w:p w14:paraId="234823D4" w14:textId="77777777" w:rsidR="00CF2BEB" w:rsidRDefault="00CF2BEB" w:rsidP="00CF2BEB">
      <w:r>
        <w:tab/>
        <w:t>From the tables, we estimate the following totals:</w:t>
      </w:r>
    </w:p>
    <w:p w14:paraId="2193460C" w14:textId="77777777" w:rsidR="005416AE" w:rsidRDefault="005416AE" w:rsidP="00CF2BEB"/>
    <w:p w14:paraId="29F2FF85" w14:textId="7AE08D2E" w:rsidR="00CF2BEB" w:rsidRPr="00B75590" w:rsidRDefault="00CF2BEB" w:rsidP="00CF2BEB">
      <w:pPr>
        <w:outlineLvl w:val="0"/>
        <w:rPr>
          <w:b/>
        </w:rPr>
      </w:pPr>
      <w:r w:rsidRPr="00B75590">
        <w:rPr>
          <w:b/>
        </w:rPr>
        <w:t xml:space="preserve">TOTAL NO. OF RESPONDENTS:  </w:t>
      </w:r>
      <w:r w:rsidR="00B75590" w:rsidRPr="00B75590">
        <w:rPr>
          <w:b/>
        </w:rPr>
        <w:t xml:space="preserve">  </w:t>
      </w:r>
      <w:r w:rsidR="00B75590" w:rsidRPr="00B75590">
        <w:rPr>
          <w:b/>
        </w:rPr>
        <w:tab/>
      </w:r>
      <w:r w:rsidR="00057B32">
        <w:rPr>
          <w:b/>
        </w:rPr>
        <w:t xml:space="preserve">    </w:t>
      </w:r>
      <w:r w:rsidR="00A325D7">
        <w:rPr>
          <w:b/>
        </w:rPr>
        <w:t>2,092,731</w:t>
      </w:r>
      <w:r w:rsidRPr="00B75590">
        <w:rPr>
          <w:b/>
        </w:rPr>
        <w:tab/>
        <w:t xml:space="preserve"> </w:t>
      </w:r>
    </w:p>
    <w:p w14:paraId="6A415DE4" w14:textId="48A19BBD" w:rsidR="006B30BE" w:rsidRDefault="006B30BE" w:rsidP="00CF2BEB">
      <w:pPr>
        <w:rPr>
          <w:b/>
        </w:rPr>
      </w:pPr>
      <w:r>
        <w:rPr>
          <w:b/>
        </w:rPr>
        <w:t>TOTAL NO. OF RESPONSES:</w:t>
      </w:r>
      <w:r w:rsidR="006A5630">
        <w:rPr>
          <w:b/>
        </w:rPr>
        <w:tab/>
      </w:r>
      <w:r w:rsidR="006A5630">
        <w:rPr>
          <w:b/>
        </w:rPr>
        <w:tab/>
      </w:r>
      <w:r w:rsidR="00057B32">
        <w:rPr>
          <w:b/>
        </w:rPr>
        <w:t xml:space="preserve">    </w:t>
      </w:r>
      <w:r w:rsidR="00A325D7">
        <w:rPr>
          <w:b/>
        </w:rPr>
        <w:t>2,70</w:t>
      </w:r>
      <w:r w:rsidR="00872463">
        <w:rPr>
          <w:b/>
        </w:rPr>
        <w:t>7</w:t>
      </w:r>
      <w:r w:rsidR="00A325D7">
        <w:rPr>
          <w:b/>
        </w:rPr>
        <w:t>,</w:t>
      </w:r>
      <w:r w:rsidR="00872463">
        <w:rPr>
          <w:b/>
        </w:rPr>
        <w:t>0</w:t>
      </w:r>
      <w:r w:rsidR="00A325D7">
        <w:rPr>
          <w:b/>
        </w:rPr>
        <w:t>31</w:t>
      </w:r>
    </w:p>
    <w:p w14:paraId="68BBE617" w14:textId="6B6CD12D" w:rsidR="00CF2BEB" w:rsidRPr="00B75590" w:rsidRDefault="00CF2BEB" w:rsidP="00CF2BEB">
      <w:pPr>
        <w:rPr>
          <w:b/>
        </w:rPr>
      </w:pPr>
      <w:r w:rsidRPr="00B75590">
        <w:rPr>
          <w:b/>
        </w:rPr>
        <w:t xml:space="preserve">TOTAL BURDEN HOURS:    </w:t>
      </w:r>
      <w:r w:rsidR="00B75590" w:rsidRPr="00B75590">
        <w:rPr>
          <w:b/>
        </w:rPr>
        <w:tab/>
        <w:t xml:space="preserve">    </w:t>
      </w:r>
      <w:r w:rsidR="00B75590" w:rsidRPr="00B75590">
        <w:rPr>
          <w:b/>
        </w:rPr>
        <w:tab/>
      </w:r>
      <w:r w:rsidR="00057B32">
        <w:rPr>
          <w:b/>
        </w:rPr>
        <w:t xml:space="preserve">        </w:t>
      </w:r>
      <w:r w:rsidR="00A325D7">
        <w:rPr>
          <w:b/>
        </w:rPr>
        <w:t>6</w:t>
      </w:r>
      <w:r w:rsidR="00872463">
        <w:rPr>
          <w:b/>
        </w:rPr>
        <w:t>08</w:t>
      </w:r>
      <w:r w:rsidR="00A325D7">
        <w:rPr>
          <w:b/>
        </w:rPr>
        <w:t>,2</w:t>
      </w:r>
      <w:r w:rsidR="00872463">
        <w:rPr>
          <w:b/>
        </w:rPr>
        <w:t>20</w:t>
      </w:r>
      <w:r w:rsidRPr="00B75590">
        <w:rPr>
          <w:b/>
        </w:rPr>
        <w:tab/>
      </w:r>
      <w:r w:rsidRPr="00B75590">
        <w:rPr>
          <w:b/>
        </w:rPr>
        <w:tab/>
        <w:t xml:space="preserve"> </w:t>
      </w:r>
    </w:p>
    <w:p w14:paraId="0B7700A3" w14:textId="77777777" w:rsidR="00CF2BEB" w:rsidRDefault="00CF2BEB" w:rsidP="00CF2BEB">
      <w:pPr>
        <w:outlineLvl w:val="0"/>
        <w:rPr>
          <w:b/>
        </w:rPr>
      </w:pPr>
      <w:r w:rsidRPr="00B75590">
        <w:rPr>
          <w:b/>
        </w:rPr>
        <w:t>TOTAL COST TO RESPO</w:t>
      </w:r>
      <w:r w:rsidR="00724675" w:rsidRPr="00B75590">
        <w:rPr>
          <w:b/>
        </w:rPr>
        <w:t>N</w:t>
      </w:r>
      <w:r w:rsidRPr="00B75590">
        <w:rPr>
          <w:b/>
        </w:rPr>
        <w:t xml:space="preserve">DENTS:  </w:t>
      </w:r>
      <w:r w:rsidRPr="00B75590">
        <w:rPr>
          <w:b/>
        </w:rPr>
        <w:tab/>
      </w:r>
      <w:r w:rsidR="00B75590" w:rsidRPr="00B75590">
        <w:rPr>
          <w:b/>
        </w:rPr>
        <w:t>$</w:t>
      </w:r>
      <w:r w:rsidR="006B30BE">
        <w:rPr>
          <w:b/>
        </w:rPr>
        <w:t xml:space="preserve"> </w:t>
      </w:r>
      <w:r w:rsidR="00A325D7">
        <w:rPr>
          <w:b/>
        </w:rPr>
        <w:t>6</w:t>
      </w:r>
      <w:r w:rsidR="00872463">
        <w:rPr>
          <w:b/>
        </w:rPr>
        <w:t>9</w:t>
      </w:r>
      <w:r w:rsidR="00A325D7">
        <w:rPr>
          <w:b/>
        </w:rPr>
        <w:t>,</w:t>
      </w:r>
      <w:r w:rsidR="00872463">
        <w:rPr>
          <w:b/>
        </w:rPr>
        <w:t>337</w:t>
      </w:r>
      <w:r w:rsidR="00A325D7">
        <w:rPr>
          <w:b/>
        </w:rPr>
        <w:t>,</w:t>
      </w:r>
      <w:r w:rsidR="00872463">
        <w:rPr>
          <w:b/>
        </w:rPr>
        <w:t>137</w:t>
      </w:r>
    </w:p>
    <w:p w14:paraId="6F601F7D" w14:textId="77777777" w:rsidR="00CF2BEB" w:rsidRDefault="00CF2BEB" w:rsidP="00CF2BEB"/>
    <w:p w14:paraId="55A4FA0A" w14:textId="77777777" w:rsidR="00B11C89" w:rsidRDefault="005402DE" w:rsidP="00CF2BEB">
      <w:r>
        <w:t>There are no capital or O&amp;M costs.</w:t>
      </w:r>
    </w:p>
    <w:p w14:paraId="351946BF" w14:textId="77777777" w:rsidR="00B11C89" w:rsidRDefault="00B11C89" w:rsidP="00CF2BEB"/>
    <w:p w14:paraId="25BBE38E" w14:textId="77777777" w:rsidR="00CF2BEB" w:rsidRDefault="00CF2BEB" w:rsidP="00CF2BEB">
      <w:r>
        <w:t>f.</w:t>
      </w:r>
      <w:r>
        <w:tab/>
        <w:t>Reason for Change in Burden</w:t>
      </w:r>
    </w:p>
    <w:p w14:paraId="34159415" w14:textId="77777777" w:rsidR="000239F0" w:rsidRDefault="000239F0" w:rsidP="00CF2BEB"/>
    <w:p w14:paraId="3ADEA6C5" w14:textId="5962AB5E" w:rsidR="00D52BD9" w:rsidRDefault="007D7EB3" w:rsidP="00D52BD9">
      <w:r>
        <w:tab/>
      </w:r>
      <w:r w:rsidR="00D52BD9">
        <w:t>At the onset of the RFS2 program, EMTS for RINs were not a feature of RFS1.  For the new EMTS system, all parties who owned RINs were required to re-submit their application, disclose feedstock sources, prepare quarterly reports on RIN activity and submit annual compliance reports (obligated party only).  Re-submittal provisions are no longer required which will cause a decrease in total responses for this ICR.</w:t>
      </w:r>
      <w:r w:rsidR="00694537" w:rsidRPr="00E83145">
        <w:rPr>
          <w:szCs w:val="24"/>
        </w:rPr>
        <w:t xml:space="preserve"> This one-time re</w:t>
      </w:r>
      <w:r w:rsidR="00694537">
        <w:rPr>
          <w:szCs w:val="24"/>
        </w:rPr>
        <w:t>-</w:t>
      </w:r>
      <w:r w:rsidR="00694537" w:rsidRPr="00E83145">
        <w:rPr>
          <w:szCs w:val="24"/>
        </w:rPr>
        <w:t>sub</w:t>
      </w:r>
      <w:r w:rsidR="00694537">
        <w:rPr>
          <w:szCs w:val="24"/>
        </w:rPr>
        <w:t>mission was done to make suitable</w:t>
      </w:r>
      <w:r w:rsidR="00694537" w:rsidRPr="00E83145">
        <w:rPr>
          <w:szCs w:val="24"/>
        </w:rPr>
        <w:t xml:space="preserve"> corrections, clarifications, and </w:t>
      </w:r>
      <w:r w:rsidR="00694537">
        <w:rPr>
          <w:szCs w:val="24"/>
        </w:rPr>
        <w:t>m</w:t>
      </w:r>
      <w:r w:rsidR="00694537" w:rsidRPr="00E83145">
        <w:rPr>
          <w:szCs w:val="24"/>
        </w:rPr>
        <w:t>odifications</w:t>
      </w:r>
      <w:r w:rsidR="00694537">
        <w:rPr>
          <w:szCs w:val="24"/>
        </w:rPr>
        <w:t xml:space="preserve"> in EMTS</w:t>
      </w:r>
      <w:r w:rsidR="00694537" w:rsidRPr="00E83145">
        <w:rPr>
          <w:szCs w:val="24"/>
        </w:rPr>
        <w:t>.</w:t>
      </w:r>
      <w:r w:rsidR="00694537">
        <w:rPr>
          <w:szCs w:val="24"/>
        </w:rPr>
        <w:t xml:space="preserve"> </w:t>
      </w:r>
      <w:r w:rsidR="00D52BD9">
        <w:t xml:space="preserve"> EMTS users will not be burdened to submit more reports in this information collection, unlike the previous.  The total responses for industry dropped from 4,525,625 to 2,092,731 a difference of 2,432</w:t>
      </w:r>
      <w:r w:rsidR="009F6045">
        <w:t>,</w:t>
      </w:r>
      <w:r w:rsidR="00D52BD9">
        <w:t>894, now that the final rule</w:t>
      </w:r>
      <w:r w:rsidR="0010352B">
        <w:t xml:space="preserve"> 75FR 26025</w:t>
      </w:r>
      <w:r w:rsidR="00D52BD9">
        <w:t xml:space="preserve"> is no longer requiring re-submissions or quarterly reports for certain party members.  To date, biofuels producers and importers are required to submit quarterly reports along with their third party disclosure on feedstock producers to EPA.  All users of the EMTS system are required to submit quarterly RIN reports. </w:t>
      </w:r>
    </w:p>
    <w:p w14:paraId="0AB0B5CD" w14:textId="77777777" w:rsidR="00D52BD9" w:rsidRDefault="00D52BD9" w:rsidP="00D52BD9">
      <w:r>
        <w:t xml:space="preserve"> </w:t>
      </w:r>
    </w:p>
    <w:p w14:paraId="383B31F8" w14:textId="77777777" w:rsidR="00D52BD9" w:rsidRDefault="00D52BD9" w:rsidP="00D52BD9">
      <w:r>
        <w:tab/>
        <w:t xml:space="preserve">The number of respondents or users of the EMTS system has more than doubled from 1,059,326 to 2,092,731 an increase of 1,639,992, caused by the additional response burden for mapping foreign and domestic plantation/forest land owners and foreign biofuels feedstock producers which was not reflected in the previous ICR reporting period.   With an increase of respondents, total burden hours have </w:t>
      </w:r>
      <w:r w:rsidR="00D7413E">
        <w:t xml:space="preserve">decreased from </w:t>
      </w:r>
      <w:r w:rsidR="00231208" w:rsidRPr="00231208">
        <w:t>1,421,133</w:t>
      </w:r>
      <w:r w:rsidR="00D7413E">
        <w:t xml:space="preserve"> to 608,220 hours, decreasing the </w:t>
      </w:r>
      <w:r>
        <w:t>cost</w:t>
      </w:r>
      <w:r w:rsidR="00D7413E">
        <w:t xml:space="preserve"> to</w:t>
      </w:r>
      <w:r>
        <w:t xml:space="preserve"> the industry </w:t>
      </w:r>
      <w:r w:rsidR="00D7413E">
        <w:t xml:space="preserve">from </w:t>
      </w:r>
      <w:r w:rsidRPr="00231208">
        <w:t>$</w:t>
      </w:r>
      <w:r w:rsidR="00231208" w:rsidRPr="00231208">
        <w:t>108,341,989</w:t>
      </w:r>
      <w:r>
        <w:t xml:space="preserve"> </w:t>
      </w:r>
      <w:r w:rsidR="00D7413E">
        <w:t xml:space="preserve">to $69,337,137, </w:t>
      </w:r>
      <w:r>
        <w:t xml:space="preserve">a </w:t>
      </w:r>
      <w:r w:rsidR="00D7413E">
        <w:t>reduction</w:t>
      </w:r>
      <w:r>
        <w:t xml:space="preserve"> of </w:t>
      </w:r>
      <w:r w:rsidRPr="000A2DAF">
        <w:t>$</w:t>
      </w:r>
      <w:r w:rsidR="00231208" w:rsidRPr="00231208">
        <w:t>39</w:t>
      </w:r>
      <w:r w:rsidR="00231208">
        <w:t>,</w:t>
      </w:r>
      <w:r w:rsidR="00231208" w:rsidRPr="00231208">
        <w:t>004</w:t>
      </w:r>
      <w:r w:rsidR="00231208">
        <w:t>,</w:t>
      </w:r>
      <w:r w:rsidR="00231208" w:rsidRPr="00231208">
        <w:t>852</w:t>
      </w:r>
      <w:r>
        <w:t xml:space="preserve">. The reduction in the total cost for this renewal is due to the fact that the EMTS system’s automation structure helps users to prepare reports instantly, lessening the amount of time and cost needed to respond, even with more than a million added users.  This notable factor </w:t>
      </w:r>
      <w:r w:rsidR="00231208">
        <w:t xml:space="preserve">decreased both </w:t>
      </w:r>
      <w:r>
        <w:t xml:space="preserve">the industry burden hours </w:t>
      </w:r>
      <w:r w:rsidR="00231208">
        <w:t xml:space="preserve">and </w:t>
      </w:r>
      <w:r>
        <w:t xml:space="preserve">the total cost of this information collection request if renewed. </w:t>
      </w:r>
    </w:p>
    <w:p w14:paraId="51F8CF49" w14:textId="77777777" w:rsidR="005518A2" w:rsidRDefault="00D0789A" w:rsidP="00D52BD9">
      <w:r>
        <w:t xml:space="preserve"> </w:t>
      </w:r>
    </w:p>
    <w:p w14:paraId="5134F557" w14:textId="77777777" w:rsidR="005518A2" w:rsidRDefault="005518A2" w:rsidP="00CF2BEB"/>
    <w:p w14:paraId="77B4F1EE" w14:textId="77777777" w:rsidR="00C7248D" w:rsidRDefault="00C7248D" w:rsidP="00CF2BEB"/>
    <w:p w14:paraId="73B223CE" w14:textId="77777777" w:rsidR="00C7248D" w:rsidRDefault="00C7248D" w:rsidP="00CF2BEB"/>
    <w:p w14:paraId="141488DB" w14:textId="77777777" w:rsidR="00CF2BEB" w:rsidRDefault="00CF2BEB" w:rsidP="00CF2BEB">
      <w:r>
        <w:t>g.</w:t>
      </w:r>
      <w:r>
        <w:tab/>
        <w:t xml:space="preserve">Burden Statement </w:t>
      </w:r>
    </w:p>
    <w:p w14:paraId="72D2E623" w14:textId="77777777" w:rsidR="00CF2BEB" w:rsidRDefault="00CF2BEB" w:rsidP="00CF2BEB"/>
    <w:p w14:paraId="1FD3CFD7" w14:textId="77777777" w:rsidR="00CF2BEB" w:rsidRDefault="00CF2BEB" w:rsidP="00CF2B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The annual public reporting and recordkeeping burden for this collection of information is estimated to be </w:t>
      </w:r>
      <w:r w:rsidR="00D02479">
        <w:t>less than one</w:t>
      </w:r>
      <w:r w:rsidR="00717FF9">
        <w:t xml:space="preserve"> </w:t>
      </w:r>
      <w:r w:rsidR="00D02479">
        <w:t>hour</w:t>
      </w:r>
      <w:r>
        <w:t xml:space="preserve"> per response</w:t>
      </w:r>
      <w:r w:rsidR="006B30BE">
        <w:t>.</w:t>
      </w:r>
      <w: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1BD94027" w14:textId="77777777" w:rsidR="00CF2BEB" w:rsidRDefault="00CF2BEB" w:rsidP="00CF2B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87ED1DC" w14:textId="77777777" w:rsidR="00CF2BEB" w:rsidRDefault="00CF2BEB" w:rsidP="00CF2B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EPA-HQ-OAR-2005-0161, which is available for online viewing at </w:t>
      </w:r>
      <w:hyperlink r:id="rId10" w:history="1">
        <w:r>
          <w:rPr>
            <w:rStyle w:val="Hyperlink"/>
            <w:color w:val="auto"/>
            <w:u w:val="none"/>
          </w:rPr>
          <w:t>www.regulations.gov</w:t>
        </w:r>
      </w:hyperlink>
      <w:r>
        <w:t xml:space="preserve">, or in person viewing at the Air Docket in the EPA Docket Center in Washington, DC (EPA/DC).  The docket is located in the </w:t>
      </w:r>
      <w:smartTag w:uri="urn:schemas-microsoft-com:office:smarttags" w:element="place">
        <w:smartTag w:uri="urn:schemas-microsoft-com:office:smarttags" w:element="PlaceName">
          <w:r>
            <w:t>EPA</w:t>
          </w:r>
        </w:smartTag>
        <w:r>
          <w:t xml:space="preserve"> </w:t>
        </w:r>
        <w:smartTag w:uri="urn:schemas-microsoft-com:office:smarttags" w:element="PlaceName">
          <w:r>
            <w:t>West</w:t>
          </w:r>
        </w:smartTag>
        <w:r>
          <w:t xml:space="preserve"> </w:t>
        </w:r>
        <w:smartTag w:uri="urn:schemas-microsoft-com:office:smarttags" w:element="PlaceType">
          <w:r>
            <w:t>Building</w:t>
          </w:r>
        </w:smartTag>
      </w:smartTag>
      <w:r>
        <w:t xml:space="preserve">, </w:t>
      </w:r>
      <w:smartTag w:uri="urn:schemas-microsoft-com:office:smarttags" w:element="Street">
        <w:smartTag w:uri="urn:schemas-microsoft-com:office:smarttags" w:element="address">
          <w:r>
            <w:t>1301 Constitution Avenue, NW</w:t>
          </w:r>
        </w:smartTag>
      </w:smartTag>
      <w:r>
        <w:t xml:space="preserve">, Room 3334, and is open from 8:30 a.m. to 4:30 p.m., Eastern Standard Time, Monday through Friday, excluding legal holidays.  The telephone number for the Reading Room is (202) 566-1744, and the telephone number for the Air Docket is (202) 566-1742. </w:t>
      </w:r>
    </w:p>
    <w:p w14:paraId="3445DFE1" w14:textId="77777777" w:rsidR="00CF2BEB" w:rsidRDefault="00CF2BEB" w:rsidP="00CF2B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r>
    </w:p>
    <w:p w14:paraId="77AA976C" w14:textId="77777777" w:rsidR="00CF2BEB" w:rsidRDefault="00CF2BEB" w:rsidP="00CF2B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r>
        <w:tab/>
        <w:t xml:space="preserve">You may use www.regulations.gov to submit or view public comments, access the index listing of the contents of the public docket, and to access those documents in the public docket that are available electronically.  When in the system, select “search,” then key in the Docket ID Number EPA-HQ-OAR-2005-0161.  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Attention: Desk Officer for EPA.  Please include the EPA Docket ID Number EPA-HQ-OAR-2005-0161 and OMB Control Number 2060-</w:t>
      </w:r>
      <w:r w:rsidR="004F7708">
        <w:t xml:space="preserve">0640 </w:t>
      </w:r>
      <w:r>
        <w:t>in any</w:t>
      </w:r>
      <w:r>
        <w:rPr>
          <w:color w:val="000000"/>
        </w:rPr>
        <w:t xml:space="preserve"> correspondence.</w:t>
      </w:r>
    </w:p>
    <w:p w14:paraId="667FFE85" w14:textId="77777777" w:rsidR="00091083" w:rsidRDefault="00D176EB" w:rsidP="00D176EB">
      <w:r>
        <w:rPr>
          <w:color w:val="000000"/>
        </w:rPr>
        <w:t xml:space="preserve">.      </w:t>
      </w:r>
    </w:p>
    <w:sectPr w:rsidR="00091083" w:rsidSect="000453F1">
      <w:pgSz w:w="12240" w:h="15840"/>
      <w:pgMar w:top="1440" w:right="1800" w:bottom="1440" w:left="1800" w:header="720" w:footer="720" w:gutter="0"/>
      <w:pgNumType w:fmt="numberInDash" w:start="1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16230" w14:textId="77777777" w:rsidR="00800258" w:rsidRDefault="00800258">
      <w:r>
        <w:separator/>
      </w:r>
    </w:p>
  </w:endnote>
  <w:endnote w:type="continuationSeparator" w:id="0">
    <w:p w14:paraId="629A52B1" w14:textId="77777777" w:rsidR="00800258" w:rsidRDefault="0080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FB71A" w14:textId="77777777" w:rsidR="006E09CB" w:rsidRDefault="006E09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20151F" w14:textId="77777777" w:rsidR="006E09CB" w:rsidRDefault="006E09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40B6C" w14:textId="77777777" w:rsidR="006E09CB" w:rsidRDefault="006E09CB">
    <w:pPr>
      <w:pStyle w:val="Footer"/>
      <w:framePr w:wrap="around" w:vAnchor="text" w:hAnchor="margin" w:xAlign="center" w:y="1"/>
      <w:rPr>
        <w:rStyle w:val="PageNumber"/>
      </w:rPr>
    </w:pPr>
  </w:p>
  <w:p w14:paraId="03A70288" w14:textId="77777777" w:rsidR="006E09CB" w:rsidRDefault="006E09C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65349" w14:textId="77777777" w:rsidR="00800258" w:rsidRDefault="00800258">
      <w:r>
        <w:separator/>
      </w:r>
    </w:p>
  </w:footnote>
  <w:footnote w:type="continuationSeparator" w:id="0">
    <w:p w14:paraId="5BDAAFFB" w14:textId="77777777" w:rsidR="00800258" w:rsidRDefault="00800258">
      <w:r>
        <w:continuationSeparator/>
      </w:r>
    </w:p>
  </w:footnote>
  <w:footnote w:id="1">
    <w:p w14:paraId="7E590CF7" w14:textId="77777777" w:rsidR="006E09CB" w:rsidRDefault="006E09CB" w:rsidP="000129CB">
      <w:pPr>
        <w:pStyle w:val="FootnoteText"/>
      </w:pPr>
      <w:r w:rsidRPr="00DE102F">
        <w:rPr>
          <w:rStyle w:val="FootnoteReference"/>
        </w:rPr>
        <w:footnoteRef/>
      </w:r>
      <w:r>
        <w:t xml:space="preserve"> These estimates are derived from "OPM Salary Table 2013-DCB," effective January 2013.  This table may be found at </w:t>
      </w:r>
      <w:r w:rsidRPr="00221A34">
        <w:t>http://www.opm.gov/policy-data-oversight/pay-leave/salaries-wages/2013/general-schedule/washington-baltimore-northern-virginia-dc-md-va-wv-pa-annual-rates-by-grade-and-step/</w:t>
      </w:r>
      <w:r>
        <w:t>.  The extreme of step 10 was assumed for all categories.  We have assumed a full-time GS-7 clerical worker, one full-time GS-13 technical worker, and a GS-15 manager working one-eighth of his/her time managing this project (0.125).  All values were multiplied by 1.6 (which is a common factor utilized in ICRs to account for overhead costs). We rounded the resulting dollar value to the nearest thousand.  This cost is per year.</w:t>
      </w:r>
    </w:p>
    <w:p w14:paraId="395349E8" w14:textId="77777777" w:rsidR="006E09CB" w:rsidRDefault="006E09CB" w:rsidP="000129CB">
      <w:pPr>
        <w:pStyle w:val="FootnoteText"/>
      </w:pPr>
    </w:p>
    <w:p w14:paraId="4B470B98" w14:textId="77777777" w:rsidR="006E09CB" w:rsidRDefault="006E09CB" w:rsidP="000129CB">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E3A95"/>
    <w:multiLevelType w:val="hybridMultilevel"/>
    <w:tmpl w:val="FA4CE6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C8755D0"/>
    <w:multiLevelType w:val="hybridMultilevel"/>
    <w:tmpl w:val="7826CEB4"/>
    <w:lvl w:ilvl="0" w:tplc="FFFFFFFF">
      <w:start w:val="1"/>
      <w:numFmt w:val="lowerLetter"/>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0814E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14C4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2E5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AC656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971BB1"/>
    <w:multiLevelType w:val="hybridMultilevel"/>
    <w:tmpl w:val="0908D2BA"/>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7B0455A"/>
    <w:multiLevelType w:val="hybridMultilevel"/>
    <w:tmpl w:val="9CFE5D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A553B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BCD0E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DE72311"/>
    <w:multiLevelType w:val="hybridMultilevel"/>
    <w:tmpl w:val="19CC30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E110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EF815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FBC0A25"/>
    <w:multiLevelType w:val="hybridMultilevel"/>
    <w:tmpl w:val="A85AF8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1624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2362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42771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DA0356E"/>
    <w:multiLevelType w:val="hybridMultilevel"/>
    <w:tmpl w:val="5C1CFA7E"/>
    <w:lvl w:ilvl="0" w:tplc="FFFFFFFF">
      <w:start w:val="1"/>
      <w:numFmt w:val="lowerLetter"/>
      <w:lvlText w:val="%1."/>
      <w:lvlJc w:val="left"/>
      <w:pPr>
        <w:tabs>
          <w:tab w:val="num" w:pos="1305"/>
        </w:tabs>
        <w:ind w:left="1305" w:hanging="58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9">
    <w:nsid w:val="7F7B545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8"/>
  </w:num>
  <w:num w:numId="3">
    <w:abstractNumId w:val="1"/>
  </w:num>
  <w:num w:numId="4">
    <w:abstractNumId w:val="6"/>
  </w:num>
  <w:num w:numId="5">
    <w:abstractNumId w:val="8"/>
  </w:num>
  <w:num w:numId="6">
    <w:abstractNumId w:val="9"/>
  </w:num>
  <w:num w:numId="7">
    <w:abstractNumId w:val="3"/>
  </w:num>
  <w:num w:numId="8">
    <w:abstractNumId w:val="5"/>
  </w:num>
  <w:num w:numId="9">
    <w:abstractNumId w:val="2"/>
  </w:num>
  <w:num w:numId="10">
    <w:abstractNumId w:val="14"/>
  </w:num>
  <w:num w:numId="11">
    <w:abstractNumId w:val="19"/>
  </w:num>
  <w:num w:numId="12">
    <w:abstractNumId w:val="11"/>
  </w:num>
  <w:num w:numId="13">
    <w:abstractNumId w:val="17"/>
  </w:num>
  <w:num w:numId="14">
    <w:abstractNumId w:val="4"/>
  </w:num>
  <w:num w:numId="15">
    <w:abstractNumId w:val="16"/>
  </w:num>
  <w:num w:numId="16">
    <w:abstractNumId w:val="12"/>
  </w:num>
  <w:num w:numId="17">
    <w:abstractNumId w:val="13"/>
  </w:num>
  <w:num w:numId="18">
    <w:abstractNumId w:val="7"/>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EB"/>
    <w:rsid w:val="000129CB"/>
    <w:rsid w:val="0001766E"/>
    <w:rsid w:val="00017FC0"/>
    <w:rsid w:val="000208F9"/>
    <w:rsid w:val="000239F0"/>
    <w:rsid w:val="00030452"/>
    <w:rsid w:val="00042EE3"/>
    <w:rsid w:val="000453F1"/>
    <w:rsid w:val="00057B32"/>
    <w:rsid w:val="00057CFF"/>
    <w:rsid w:val="0006392A"/>
    <w:rsid w:val="00066879"/>
    <w:rsid w:val="0007782D"/>
    <w:rsid w:val="00080959"/>
    <w:rsid w:val="00090D2E"/>
    <w:rsid w:val="00091083"/>
    <w:rsid w:val="000910DE"/>
    <w:rsid w:val="000A2DAF"/>
    <w:rsid w:val="000A66E7"/>
    <w:rsid w:val="000C0288"/>
    <w:rsid w:val="000D1849"/>
    <w:rsid w:val="000E5862"/>
    <w:rsid w:val="0010352B"/>
    <w:rsid w:val="0010667B"/>
    <w:rsid w:val="00121B64"/>
    <w:rsid w:val="00126FDF"/>
    <w:rsid w:val="00145E12"/>
    <w:rsid w:val="00151F3B"/>
    <w:rsid w:val="001550AD"/>
    <w:rsid w:val="00157815"/>
    <w:rsid w:val="001639EF"/>
    <w:rsid w:val="0016732E"/>
    <w:rsid w:val="00177632"/>
    <w:rsid w:val="001814A9"/>
    <w:rsid w:val="0018414E"/>
    <w:rsid w:val="00191CF6"/>
    <w:rsid w:val="001B5B1B"/>
    <w:rsid w:val="001C4BAC"/>
    <w:rsid w:val="001C72F0"/>
    <w:rsid w:val="001D2515"/>
    <w:rsid w:val="001E0B7D"/>
    <w:rsid w:val="001E65EA"/>
    <w:rsid w:val="0020691F"/>
    <w:rsid w:val="00210748"/>
    <w:rsid w:val="00221A34"/>
    <w:rsid w:val="00231208"/>
    <w:rsid w:val="002323DA"/>
    <w:rsid w:val="00241000"/>
    <w:rsid w:val="00263380"/>
    <w:rsid w:val="00267B10"/>
    <w:rsid w:val="00273000"/>
    <w:rsid w:val="00281C9C"/>
    <w:rsid w:val="002826CD"/>
    <w:rsid w:val="00287A40"/>
    <w:rsid w:val="00287BA7"/>
    <w:rsid w:val="00295FA7"/>
    <w:rsid w:val="002C2611"/>
    <w:rsid w:val="002C4304"/>
    <w:rsid w:val="002F1EA0"/>
    <w:rsid w:val="0030440C"/>
    <w:rsid w:val="0031468B"/>
    <w:rsid w:val="00316D1D"/>
    <w:rsid w:val="0031763D"/>
    <w:rsid w:val="003221F5"/>
    <w:rsid w:val="00326977"/>
    <w:rsid w:val="00334362"/>
    <w:rsid w:val="00340253"/>
    <w:rsid w:val="00350007"/>
    <w:rsid w:val="00363C09"/>
    <w:rsid w:val="0036717C"/>
    <w:rsid w:val="00372555"/>
    <w:rsid w:val="00373DB3"/>
    <w:rsid w:val="00386E78"/>
    <w:rsid w:val="003A2C43"/>
    <w:rsid w:val="003E65C6"/>
    <w:rsid w:val="00400CE8"/>
    <w:rsid w:val="00452668"/>
    <w:rsid w:val="00470763"/>
    <w:rsid w:val="00493570"/>
    <w:rsid w:val="004C70E9"/>
    <w:rsid w:val="004F7708"/>
    <w:rsid w:val="0050135E"/>
    <w:rsid w:val="00503607"/>
    <w:rsid w:val="00534B0F"/>
    <w:rsid w:val="005402DE"/>
    <w:rsid w:val="005416AE"/>
    <w:rsid w:val="0054172E"/>
    <w:rsid w:val="00543911"/>
    <w:rsid w:val="005518A2"/>
    <w:rsid w:val="00551AD1"/>
    <w:rsid w:val="00557E64"/>
    <w:rsid w:val="00560F4A"/>
    <w:rsid w:val="00561B46"/>
    <w:rsid w:val="00565217"/>
    <w:rsid w:val="0058082B"/>
    <w:rsid w:val="00583A25"/>
    <w:rsid w:val="00594BA4"/>
    <w:rsid w:val="005974DF"/>
    <w:rsid w:val="005A055E"/>
    <w:rsid w:val="005A12DA"/>
    <w:rsid w:val="005F0BAB"/>
    <w:rsid w:val="005F2EDB"/>
    <w:rsid w:val="00606043"/>
    <w:rsid w:val="00634F3E"/>
    <w:rsid w:val="00635498"/>
    <w:rsid w:val="00666918"/>
    <w:rsid w:val="0067329D"/>
    <w:rsid w:val="006767A9"/>
    <w:rsid w:val="00683ADE"/>
    <w:rsid w:val="00694537"/>
    <w:rsid w:val="006A420A"/>
    <w:rsid w:val="006A5630"/>
    <w:rsid w:val="006A7696"/>
    <w:rsid w:val="006B30BE"/>
    <w:rsid w:val="006B4705"/>
    <w:rsid w:val="006C1A34"/>
    <w:rsid w:val="006C744A"/>
    <w:rsid w:val="006D0001"/>
    <w:rsid w:val="006D1BDC"/>
    <w:rsid w:val="006E09CB"/>
    <w:rsid w:val="006E2E68"/>
    <w:rsid w:val="006F3755"/>
    <w:rsid w:val="007026BF"/>
    <w:rsid w:val="00707A60"/>
    <w:rsid w:val="00717FF9"/>
    <w:rsid w:val="00724675"/>
    <w:rsid w:val="00724B75"/>
    <w:rsid w:val="0073134A"/>
    <w:rsid w:val="007328C8"/>
    <w:rsid w:val="00746137"/>
    <w:rsid w:val="00773B2B"/>
    <w:rsid w:val="0078629F"/>
    <w:rsid w:val="0079316E"/>
    <w:rsid w:val="007D02C4"/>
    <w:rsid w:val="007D7EB3"/>
    <w:rsid w:val="007F78EB"/>
    <w:rsid w:val="00800258"/>
    <w:rsid w:val="00813BFF"/>
    <w:rsid w:val="008225B0"/>
    <w:rsid w:val="00825991"/>
    <w:rsid w:val="008314CF"/>
    <w:rsid w:val="00831807"/>
    <w:rsid w:val="00834C93"/>
    <w:rsid w:val="00835FB7"/>
    <w:rsid w:val="008360C0"/>
    <w:rsid w:val="008477E0"/>
    <w:rsid w:val="00852009"/>
    <w:rsid w:val="00862780"/>
    <w:rsid w:val="0086346D"/>
    <w:rsid w:val="00872463"/>
    <w:rsid w:val="00874748"/>
    <w:rsid w:val="008759A8"/>
    <w:rsid w:val="00885383"/>
    <w:rsid w:val="008B6BB0"/>
    <w:rsid w:val="008C105F"/>
    <w:rsid w:val="008C3DD2"/>
    <w:rsid w:val="008C6CD9"/>
    <w:rsid w:val="008D4887"/>
    <w:rsid w:val="008E302F"/>
    <w:rsid w:val="008E34BB"/>
    <w:rsid w:val="008F06E3"/>
    <w:rsid w:val="008F742C"/>
    <w:rsid w:val="009506E9"/>
    <w:rsid w:val="00953F46"/>
    <w:rsid w:val="00965D38"/>
    <w:rsid w:val="00974CDF"/>
    <w:rsid w:val="00976D2D"/>
    <w:rsid w:val="009879E8"/>
    <w:rsid w:val="009959F6"/>
    <w:rsid w:val="009C01B6"/>
    <w:rsid w:val="009D4E62"/>
    <w:rsid w:val="009D60DF"/>
    <w:rsid w:val="009E21BB"/>
    <w:rsid w:val="009E28D9"/>
    <w:rsid w:val="009E32B5"/>
    <w:rsid w:val="009F6045"/>
    <w:rsid w:val="00A26FCF"/>
    <w:rsid w:val="00A325D7"/>
    <w:rsid w:val="00A32F06"/>
    <w:rsid w:val="00A33775"/>
    <w:rsid w:val="00A52DB9"/>
    <w:rsid w:val="00A665C4"/>
    <w:rsid w:val="00A81633"/>
    <w:rsid w:val="00A92625"/>
    <w:rsid w:val="00A93D90"/>
    <w:rsid w:val="00AB2218"/>
    <w:rsid w:val="00AD4552"/>
    <w:rsid w:val="00AE14A3"/>
    <w:rsid w:val="00AF2DAB"/>
    <w:rsid w:val="00B03C99"/>
    <w:rsid w:val="00B11C89"/>
    <w:rsid w:val="00B16AD3"/>
    <w:rsid w:val="00B22AE1"/>
    <w:rsid w:val="00B31B27"/>
    <w:rsid w:val="00B61466"/>
    <w:rsid w:val="00B75590"/>
    <w:rsid w:val="00B760ED"/>
    <w:rsid w:val="00B87E3D"/>
    <w:rsid w:val="00BA153F"/>
    <w:rsid w:val="00BA51DF"/>
    <w:rsid w:val="00BB31EE"/>
    <w:rsid w:val="00BB35CF"/>
    <w:rsid w:val="00BB390F"/>
    <w:rsid w:val="00BC0340"/>
    <w:rsid w:val="00BC1A1A"/>
    <w:rsid w:val="00BD03BB"/>
    <w:rsid w:val="00BE3DFC"/>
    <w:rsid w:val="00BF0B35"/>
    <w:rsid w:val="00BF6E25"/>
    <w:rsid w:val="00C14C4D"/>
    <w:rsid w:val="00C25B22"/>
    <w:rsid w:val="00C26A93"/>
    <w:rsid w:val="00C274DF"/>
    <w:rsid w:val="00C3047B"/>
    <w:rsid w:val="00C5171B"/>
    <w:rsid w:val="00C60E76"/>
    <w:rsid w:val="00C625FA"/>
    <w:rsid w:val="00C720CF"/>
    <w:rsid w:val="00C7248D"/>
    <w:rsid w:val="00C8544B"/>
    <w:rsid w:val="00CA5528"/>
    <w:rsid w:val="00CC0792"/>
    <w:rsid w:val="00CC0F85"/>
    <w:rsid w:val="00CD787D"/>
    <w:rsid w:val="00CE0F07"/>
    <w:rsid w:val="00CE7EFD"/>
    <w:rsid w:val="00CF2BEB"/>
    <w:rsid w:val="00CF435D"/>
    <w:rsid w:val="00CF4881"/>
    <w:rsid w:val="00D02479"/>
    <w:rsid w:val="00D0539E"/>
    <w:rsid w:val="00D0789A"/>
    <w:rsid w:val="00D10E43"/>
    <w:rsid w:val="00D176EB"/>
    <w:rsid w:val="00D1790C"/>
    <w:rsid w:val="00D504D2"/>
    <w:rsid w:val="00D52BD9"/>
    <w:rsid w:val="00D7413E"/>
    <w:rsid w:val="00DB78FA"/>
    <w:rsid w:val="00DD7966"/>
    <w:rsid w:val="00DE3804"/>
    <w:rsid w:val="00DE69C4"/>
    <w:rsid w:val="00DF6CA2"/>
    <w:rsid w:val="00E01F33"/>
    <w:rsid w:val="00E05BED"/>
    <w:rsid w:val="00E15186"/>
    <w:rsid w:val="00E17EE4"/>
    <w:rsid w:val="00E25F29"/>
    <w:rsid w:val="00E26AB1"/>
    <w:rsid w:val="00E31683"/>
    <w:rsid w:val="00E327D1"/>
    <w:rsid w:val="00E32A95"/>
    <w:rsid w:val="00E714EB"/>
    <w:rsid w:val="00E77792"/>
    <w:rsid w:val="00E968AD"/>
    <w:rsid w:val="00EB081A"/>
    <w:rsid w:val="00EC08D0"/>
    <w:rsid w:val="00ED1053"/>
    <w:rsid w:val="00ED19B5"/>
    <w:rsid w:val="00ED693C"/>
    <w:rsid w:val="00EE45C8"/>
    <w:rsid w:val="00F162F5"/>
    <w:rsid w:val="00F27D5C"/>
    <w:rsid w:val="00F32D7B"/>
    <w:rsid w:val="00F532E8"/>
    <w:rsid w:val="00F64DAF"/>
    <w:rsid w:val="00F81F51"/>
    <w:rsid w:val="00FC31A2"/>
    <w:rsid w:val="00FC61CE"/>
    <w:rsid w:val="00FC73CD"/>
    <w:rsid w:val="00FD1677"/>
    <w:rsid w:val="00FD3B85"/>
    <w:rsid w:val="00FF1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CF3C39D"/>
  <w15:docId w15:val="{B6AE3DD1-E52F-4A00-9AAF-C75527A3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B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2BEB"/>
    <w:rPr>
      <w:rFonts w:cs="Times New Roman"/>
      <w:color w:val="0000FF"/>
      <w:u w:val="single"/>
    </w:rPr>
  </w:style>
  <w:style w:type="paragraph" w:styleId="Footer">
    <w:name w:val="footer"/>
    <w:basedOn w:val="Normal"/>
    <w:link w:val="FooterChar"/>
    <w:rsid w:val="00CF2BEB"/>
    <w:pPr>
      <w:tabs>
        <w:tab w:val="center" w:pos="4320"/>
        <w:tab w:val="right" w:pos="8640"/>
      </w:tabs>
    </w:pPr>
  </w:style>
  <w:style w:type="character" w:customStyle="1" w:styleId="FooterChar">
    <w:name w:val="Footer Char"/>
    <w:basedOn w:val="DefaultParagraphFont"/>
    <w:link w:val="Footer"/>
    <w:semiHidden/>
    <w:locked/>
    <w:rsid w:val="00CF2BEB"/>
    <w:rPr>
      <w:sz w:val="24"/>
      <w:lang w:val="en-US" w:eastAsia="en-US" w:bidi="ar-SA"/>
    </w:rPr>
  </w:style>
  <w:style w:type="character" w:styleId="PageNumber">
    <w:name w:val="page number"/>
    <w:basedOn w:val="DefaultParagraphFont"/>
    <w:rsid w:val="00CF2BEB"/>
    <w:rPr>
      <w:rFonts w:cs="Times New Roman"/>
    </w:rPr>
  </w:style>
  <w:style w:type="paragraph" w:styleId="BalloonText">
    <w:name w:val="Balloon Text"/>
    <w:basedOn w:val="Normal"/>
    <w:link w:val="BalloonTextChar"/>
    <w:semiHidden/>
    <w:rsid w:val="00CF2BEB"/>
    <w:rPr>
      <w:rFonts w:ascii="Tahoma" w:hAnsi="Tahoma" w:cs="Tahoma"/>
      <w:sz w:val="16"/>
      <w:szCs w:val="16"/>
    </w:rPr>
  </w:style>
  <w:style w:type="character" w:customStyle="1" w:styleId="BalloonTextChar">
    <w:name w:val="Balloon Text Char"/>
    <w:basedOn w:val="DefaultParagraphFont"/>
    <w:link w:val="BalloonText"/>
    <w:semiHidden/>
    <w:locked/>
    <w:rsid w:val="00CF2BEB"/>
    <w:rPr>
      <w:rFonts w:ascii="Tahoma" w:hAnsi="Tahoma" w:cs="Tahoma"/>
      <w:sz w:val="16"/>
      <w:szCs w:val="16"/>
      <w:lang w:val="en-US" w:eastAsia="en-US" w:bidi="ar-SA"/>
    </w:rPr>
  </w:style>
  <w:style w:type="paragraph" w:styleId="FootnoteText">
    <w:name w:val="footnote text"/>
    <w:basedOn w:val="Normal"/>
    <w:link w:val="FootnoteTextChar"/>
    <w:rsid w:val="00CF2BEB"/>
    <w:rPr>
      <w:sz w:val="20"/>
    </w:rPr>
  </w:style>
  <w:style w:type="character" w:customStyle="1" w:styleId="FootnoteTextChar">
    <w:name w:val="Footnote Text Char"/>
    <w:basedOn w:val="DefaultParagraphFont"/>
    <w:link w:val="FootnoteText"/>
    <w:semiHidden/>
    <w:locked/>
    <w:rsid w:val="00CF2BEB"/>
    <w:rPr>
      <w:lang w:val="en-US" w:eastAsia="en-US" w:bidi="ar-SA"/>
    </w:rPr>
  </w:style>
  <w:style w:type="character" w:styleId="FootnoteReference">
    <w:name w:val="footnote reference"/>
    <w:basedOn w:val="DefaultParagraphFont"/>
    <w:rsid w:val="00CF2BEB"/>
    <w:rPr>
      <w:rFonts w:cs="Times New Roman"/>
      <w:vertAlign w:val="superscript"/>
    </w:rPr>
  </w:style>
  <w:style w:type="paragraph" w:styleId="DocumentMap">
    <w:name w:val="Document Map"/>
    <w:basedOn w:val="Normal"/>
    <w:link w:val="DocumentMapChar"/>
    <w:semiHidden/>
    <w:rsid w:val="00CF2B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CF2BEB"/>
    <w:rPr>
      <w:rFonts w:ascii="Tahoma" w:hAnsi="Tahoma" w:cs="Tahoma"/>
      <w:lang w:val="en-US" w:eastAsia="en-US" w:bidi="ar-SA"/>
    </w:rPr>
  </w:style>
  <w:style w:type="paragraph" w:styleId="Header">
    <w:name w:val="header"/>
    <w:basedOn w:val="Normal"/>
    <w:link w:val="HeaderChar"/>
    <w:rsid w:val="00CF2BEB"/>
    <w:pPr>
      <w:tabs>
        <w:tab w:val="center" w:pos="4320"/>
        <w:tab w:val="right" w:pos="8640"/>
      </w:tabs>
    </w:pPr>
  </w:style>
  <w:style w:type="character" w:customStyle="1" w:styleId="HeaderChar">
    <w:name w:val="Header Char"/>
    <w:basedOn w:val="DefaultParagraphFont"/>
    <w:link w:val="Header"/>
    <w:semiHidden/>
    <w:locked/>
    <w:rsid w:val="00CF2BEB"/>
    <w:rPr>
      <w:sz w:val="24"/>
      <w:lang w:val="en-US" w:eastAsia="en-US" w:bidi="ar-SA"/>
    </w:rPr>
  </w:style>
  <w:style w:type="paragraph" w:styleId="CommentText">
    <w:name w:val="annotation text"/>
    <w:basedOn w:val="Normal"/>
    <w:link w:val="CommentTextChar"/>
    <w:semiHidden/>
    <w:rsid w:val="00CF2BEB"/>
    <w:rPr>
      <w:sz w:val="20"/>
    </w:rPr>
  </w:style>
  <w:style w:type="character" w:customStyle="1" w:styleId="CommentTextChar">
    <w:name w:val="Comment Text Char"/>
    <w:basedOn w:val="DefaultParagraphFont"/>
    <w:link w:val="CommentText"/>
    <w:semiHidden/>
    <w:locked/>
    <w:rsid w:val="00CF2BEB"/>
    <w:rPr>
      <w:lang w:val="en-US" w:eastAsia="en-US" w:bidi="ar-SA"/>
    </w:rPr>
  </w:style>
  <w:style w:type="paragraph" w:styleId="CommentSubject">
    <w:name w:val="annotation subject"/>
    <w:basedOn w:val="CommentText"/>
    <w:next w:val="CommentText"/>
    <w:link w:val="CommentSubjectChar"/>
    <w:semiHidden/>
    <w:rsid w:val="00CF2BEB"/>
    <w:rPr>
      <w:b/>
      <w:bCs/>
    </w:rPr>
  </w:style>
  <w:style w:type="character" w:customStyle="1" w:styleId="CommentSubjectChar">
    <w:name w:val="Comment Subject Char"/>
    <w:basedOn w:val="CommentTextChar"/>
    <w:link w:val="CommentSubject"/>
    <w:semiHidden/>
    <w:locked/>
    <w:rsid w:val="00CF2BEB"/>
    <w:rPr>
      <w:b/>
      <w:bCs/>
      <w:lang w:val="en-US" w:eastAsia="en-US" w:bidi="ar-SA"/>
    </w:rPr>
  </w:style>
  <w:style w:type="character" w:styleId="CommentReference">
    <w:name w:val="annotation reference"/>
    <w:basedOn w:val="DefaultParagraphFont"/>
    <w:semiHidden/>
    <w:rsid w:val="00F64DAF"/>
    <w:rPr>
      <w:sz w:val="16"/>
      <w:szCs w:val="16"/>
    </w:rPr>
  </w:style>
  <w:style w:type="paragraph" w:customStyle="1" w:styleId="Pa152">
    <w:name w:val="Pa15+2"/>
    <w:basedOn w:val="Normal"/>
    <w:next w:val="Normal"/>
    <w:uiPriority w:val="99"/>
    <w:rsid w:val="00724B75"/>
    <w:pPr>
      <w:autoSpaceDE w:val="0"/>
      <w:autoSpaceDN w:val="0"/>
      <w:adjustRightInd w:val="0"/>
      <w:spacing w:line="121" w:lineRule="atLeast"/>
    </w:pPr>
    <w:rPr>
      <w:rFonts w:ascii="Arial" w:hAnsi="Arial" w:cs="Arial"/>
      <w:szCs w:val="24"/>
    </w:rPr>
  </w:style>
  <w:style w:type="paragraph" w:customStyle="1" w:styleId="Pa162">
    <w:name w:val="Pa16+2"/>
    <w:basedOn w:val="Normal"/>
    <w:next w:val="Normal"/>
    <w:uiPriority w:val="99"/>
    <w:rsid w:val="00724B75"/>
    <w:pPr>
      <w:autoSpaceDE w:val="0"/>
      <w:autoSpaceDN w:val="0"/>
      <w:adjustRightInd w:val="0"/>
      <w:spacing w:line="121" w:lineRule="atLeast"/>
    </w:pPr>
    <w:rPr>
      <w:rFonts w:ascii="Arial" w:hAnsi="Arial" w:cs="Arial"/>
      <w:szCs w:val="24"/>
    </w:rPr>
  </w:style>
  <w:style w:type="paragraph" w:customStyle="1" w:styleId="Standard">
    <w:name w:val="Standard"/>
    <w:rsid w:val="00503607"/>
    <w:pPr>
      <w:suppressAutoHyphens/>
      <w:autoSpaceDN w:val="0"/>
      <w:textAlignment w:val="baseline"/>
    </w:pPr>
    <w:rPr>
      <w:rFonts w:eastAsia="SimSun" w:cs="Mangal"/>
      <w:kern w:val="3"/>
      <w:sz w:val="24"/>
      <w:szCs w:val="24"/>
      <w:lang w:eastAsia="zh-CN" w:bidi="hi-IN"/>
    </w:rPr>
  </w:style>
  <w:style w:type="paragraph" w:customStyle="1" w:styleId="Footnote">
    <w:name w:val="Footnote"/>
    <w:basedOn w:val="Standard"/>
    <w:rsid w:val="000129CB"/>
    <w:pPr>
      <w:suppressLineNumbers/>
      <w:ind w:left="283" w:hanging="283"/>
    </w:pPr>
    <w:rPr>
      <w:sz w:val="20"/>
      <w:szCs w:val="20"/>
    </w:rPr>
  </w:style>
  <w:style w:type="paragraph" w:styleId="Revision">
    <w:name w:val="Revision"/>
    <w:hidden/>
    <w:uiPriority w:val="99"/>
    <w:semiHidden/>
    <w:rsid w:val="001814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11805">
      <w:bodyDiv w:val="1"/>
      <w:marLeft w:val="0"/>
      <w:marRight w:val="0"/>
      <w:marTop w:val="0"/>
      <w:marBottom w:val="0"/>
      <w:divBdr>
        <w:top w:val="none" w:sz="0" w:space="0" w:color="auto"/>
        <w:left w:val="none" w:sz="0" w:space="0" w:color="auto"/>
        <w:bottom w:val="none" w:sz="0" w:space="0" w:color="auto"/>
        <w:right w:val="none" w:sz="0" w:space="0" w:color="auto"/>
      </w:divBdr>
    </w:div>
    <w:div w:id="162479645">
      <w:bodyDiv w:val="1"/>
      <w:marLeft w:val="0"/>
      <w:marRight w:val="0"/>
      <w:marTop w:val="0"/>
      <w:marBottom w:val="0"/>
      <w:divBdr>
        <w:top w:val="none" w:sz="0" w:space="0" w:color="auto"/>
        <w:left w:val="none" w:sz="0" w:space="0" w:color="auto"/>
        <w:bottom w:val="none" w:sz="0" w:space="0" w:color="auto"/>
        <w:right w:val="none" w:sz="0" w:space="0" w:color="auto"/>
      </w:divBdr>
    </w:div>
    <w:div w:id="500508712">
      <w:bodyDiv w:val="1"/>
      <w:marLeft w:val="0"/>
      <w:marRight w:val="0"/>
      <w:marTop w:val="0"/>
      <w:marBottom w:val="0"/>
      <w:divBdr>
        <w:top w:val="none" w:sz="0" w:space="0" w:color="auto"/>
        <w:left w:val="none" w:sz="0" w:space="0" w:color="auto"/>
        <w:bottom w:val="none" w:sz="0" w:space="0" w:color="auto"/>
        <w:right w:val="none" w:sz="0" w:space="0" w:color="auto"/>
      </w:divBdr>
    </w:div>
    <w:div w:id="860436442">
      <w:bodyDiv w:val="1"/>
      <w:marLeft w:val="0"/>
      <w:marRight w:val="0"/>
      <w:marTop w:val="0"/>
      <w:marBottom w:val="0"/>
      <w:divBdr>
        <w:top w:val="none" w:sz="0" w:space="0" w:color="auto"/>
        <w:left w:val="none" w:sz="0" w:space="0" w:color="auto"/>
        <w:bottom w:val="none" w:sz="0" w:space="0" w:color="auto"/>
        <w:right w:val="none" w:sz="0" w:space="0" w:color="auto"/>
      </w:divBdr>
    </w:div>
    <w:div w:id="1074090188">
      <w:bodyDiv w:val="1"/>
      <w:marLeft w:val="0"/>
      <w:marRight w:val="0"/>
      <w:marTop w:val="0"/>
      <w:marBottom w:val="0"/>
      <w:divBdr>
        <w:top w:val="none" w:sz="0" w:space="0" w:color="auto"/>
        <w:left w:val="none" w:sz="0" w:space="0" w:color="auto"/>
        <w:bottom w:val="none" w:sz="0" w:space="0" w:color="auto"/>
        <w:right w:val="none" w:sz="0" w:space="0" w:color="auto"/>
      </w:divBdr>
    </w:div>
    <w:div w:id="1258947523">
      <w:bodyDiv w:val="1"/>
      <w:marLeft w:val="0"/>
      <w:marRight w:val="0"/>
      <w:marTop w:val="0"/>
      <w:marBottom w:val="0"/>
      <w:divBdr>
        <w:top w:val="none" w:sz="0" w:space="0" w:color="auto"/>
        <w:left w:val="none" w:sz="0" w:space="0" w:color="auto"/>
        <w:bottom w:val="none" w:sz="0" w:space="0" w:color="auto"/>
        <w:right w:val="none" w:sz="0" w:space="0" w:color="auto"/>
      </w:divBdr>
    </w:div>
    <w:div w:id="1396395510">
      <w:bodyDiv w:val="1"/>
      <w:marLeft w:val="0"/>
      <w:marRight w:val="0"/>
      <w:marTop w:val="0"/>
      <w:marBottom w:val="0"/>
      <w:divBdr>
        <w:top w:val="none" w:sz="0" w:space="0" w:color="auto"/>
        <w:left w:val="none" w:sz="0" w:space="0" w:color="auto"/>
        <w:bottom w:val="none" w:sz="0" w:space="0" w:color="auto"/>
        <w:right w:val="none" w:sz="0" w:space="0" w:color="auto"/>
      </w:divBdr>
    </w:div>
    <w:div w:id="17411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oh/management/farmers-ranchers-and%20-other%20agricultural-manage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3923</Words>
  <Characters>22365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26236</CharactersWithSpaces>
  <SharedDoc>false</SharedDoc>
  <HLinks>
    <vt:vector size="12" baseType="variant">
      <vt:variant>
        <vt:i4>2818151</vt:i4>
      </vt:variant>
      <vt:variant>
        <vt:i4>9</vt:i4>
      </vt:variant>
      <vt:variant>
        <vt:i4>0</vt:i4>
      </vt:variant>
      <vt:variant>
        <vt:i4>5</vt:i4>
      </vt:variant>
      <vt:variant>
        <vt:lpwstr>http://www.regulations.gov/</vt:lpwstr>
      </vt:variant>
      <vt:variant>
        <vt:lpwstr/>
      </vt:variant>
      <vt:variant>
        <vt:i4>6750255</vt:i4>
      </vt:variant>
      <vt:variant>
        <vt:i4>6</vt:i4>
      </vt:variant>
      <vt:variant>
        <vt:i4>0</vt:i4>
      </vt:variant>
      <vt:variant>
        <vt:i4>5</vt:i4>
      </vt:variant>
      <vt:variant>
        <vt:lpwstr>http://www.bls.gov/ooh/management/farmers-ranchers-and -other agricultural-managers.htm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Courtney Kerwin</dc:creator>
  <cp:lastModifiedBy>Heard, Geanetta</cp:lastModifiedBy>
  <cp:revision>5</cp:revision>
  <cp:lastPrinted>2013-06-04T21:13:00Z</cp:lastPrinted>
  <dcterms:created xsi:type="dcterms:W3CDTF">2014-07-08T15:53:00Z</dcterms:created>
  <dcterms:modified xsi:type="dcterms:W3CDTF">2014-07-08T16:48:00Z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