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5B" w:rsidRDefault="00923490" w:rsidP="00923490">
      <w:pPr>
        <w:jc w:val="center"/>
        <w:rPr>
          <w:b/>
        </w:rPr>
      </w:pPr>
      <w:r>
        <w:t>Supporting Statement for</w:t>
      </w:r>
      <w:r>
        <w:rPr>
          <w:b/>
        </w:rPr>
        <w:t xml:space="preserve"> </w:t>
      </w:r>
    </w:p>
    <w:p w:rsidR="0078241C" w:rsidRDefault="00923490" w:rsidP="00923490">
      <w:pPr>
        <w:jc w:val="center"/>
        <w:rPr>
          <w:b/>
        </w:rPr>
      </w:pPr>
      <w:r>
        <w:rPr>
          <w:b/>
        </w:rPr>
        <w:t xml:space="preserve">FERC-577, </w:t>
      </w:r>
      <w:r w:rsidR="006555A5">
        <w:rPr>
          <w:b/>
        </w:rPr>
        <w:t xml:space="preserve">Natural </w:t>
      </w:r>
      <w:r>
        <w:rPr>
          <w:b/>
        </w:rPr>
        <w:t xml:space="preserve">Gas </w:t>
      </w:r>
      <w:r w:rsidR="006555A5">
        <w:rPr>
          <w:b/>
        </w:rPr>
        <w:t>Projects</w:t>
      </w:r>
      <w:r>
        <w:rPr>
          <w:b/>
        </w:rPr>
        <w:t xml:space="preserve">: Environmental </w:t>
      </w:r>
      <w:r w:rsidR="006555A5">
        <w:rPr>
          <w:b/>
        </w:rPr>
        <w:t>Review</w:t>
      </w:r>
      <w:r w:rsidR="00800724">
        <w:rPr>
          <w:b/>
        </w:rPr>
        <w:t xml:space="preserve"> and Compliance</w:t>
      </w:r>
    </w:p>
    <w:p w:rsidR="00F34389" w:rsidRPr="00F34389" w:rsidRDefault="00F34389" w:rsidP="00923490">
      <w:pPr>
        <w:jc w:val="center"/>
      </w:pPr>
      <w:proofErr w:type="gramStart"/>
      <w:r>
        <w:t>With proposed changes in FERC Docket No.</w:t>
      </w:r>
      <w:proofErr w:type="gramEnd"/>
      <w:r>
        <w:t xml:space="preserve"> AD12-2-000</w:t>
      </w:r>
    </w:p>
    <w:p w:rsidR="00923490" w:rsidRDefault="00923490" w:rsidP="00923490">
      <w:pPr>
        <w:jc w:val="center"/>
      </w:pPr>
      <w:r>
        <w:t>(OMB Control. No. 1902-</w:t>
      </w:r>
      <w:r w:rsidR="0078575B">
        <w:t>0128)</w:t>
      </w:r>
    </w:p>
    <w:p w:rsidR="00923490" w:rsidRDefault="00923490" w:rsidP="00923490">
      <w:pPr>
        <w:jc w:val="center"/>
      </w:pPr>
    </w:p>
    <w:p w:rsidR="00800724" w:rsidRDefault="00923490" w:rsidP="00923490">
      <w:r>
        <w:t xml:space="preserve">The Federal Energy Regulatory Commission (FERC or Commission) requests the Office of Management and Budget (OMB) </w:t>
      </w:r>
      <w:r w:rsidR="00F34389">
        <w:t xml:space="preserve">review and approve changes to the FERC-577.  </w:t>
      </w:r>
    </w:p>
    <w:p w:rsidR="00F34389" w:rsidRDefault="00F34389" w:rsidP="00923490"/>
    <w:p w:rsidR="00314E02" w:rsidRDefault="00F34389" w:rsidP="00923490">
      <w:proofErr w:type="gramStart"/>
      <w:r>
        <w:t>In Docket No.</w:t>
      </w:r>
      <w:proofErr w:type="gramEnd"/>
      <w:r>
        <w:t xml:space="preserve"> AD12-2-000</w:t>
      </w:r>
      <w:r w:rsidR="00314E02">
        <w:t xml:space="preserve"> the Commission has revised two documents related to environmental review and compliance</w:t>
      </w:r>
      <w:r w:rsidR="009A5A7B">
        <w:t xml:space="preserve"> for natural gas pipelines subject to FERC’s jurisdiction</w:t>
      </w:r>
      <w:r w:rsidR="00314E02">
        <w:t>:</w:t>
      </w:r>
    </w:p>
    <w:p w:rsidR="00314E02" w:rsidRDefault="00314E02" w:rsidP="00923490"/>
    <w:p w:rsidR="00314E02" w:rsidRPr="00314E02" w:rsidRDefault="00314E02" w:rsidP="00314E02">
      <w:pPr>
        <w:pStyle w:val="ListParagraph"/>
        <w:numPr>
          <w:ilvl w:val="0"/>
          <w:numId w:val="9"/>
        </w:numPr>
      </w:pPr>
      <w:r w:rsidRPr="00314E02">
        <w:t xml:space="preserve">Upland Erosion Control, Revegetation, </w:t>
      </w:r>
      <w:r>
        <w:t>a</w:t>
      </w:r>
      <w:r w:rsidRPr="00314E02">
        <w:t>nd Maintenance Plan</w:t>
      </w:r>
      <w:r w:rsidR="006E08F9">
        <w:t xml:space="preserve"> (Plan)</w:t>
      </w:r>
      <w:r w:rsidRPr="00314E02">
        <w:t xml:space="preserve">  </w:t>
      </w:r>
    </w:p>
    <w:p w:rsidR="00314E02" w:rsidRPr="00314E02" w:rsidRDefault="00314E02" w:rsidP="00314E02">
      <w:pPr>
        <w:pStyle w:val="ListParagraph"/>
        <w:numPr>
          <w:ilvl w:val="0"/>
          <w:numId w:val="9"/>
        </w:numPr>
      </w:pPr>
      <w:r w:rsidRPr="00314E02">
        <w:t xml:space="preserve">Wetland </w:t>
      </w:r>
      <w:r>
        <w:t>a</w:t>
      </w:r>
      <w:r w:rsidRPr="00314E02">
        <w:t xml:space="preserve">nd Waterbody Construction </w:t>
      </w:r>
      <w:r>
        <w:t>a</w:t>
      </w:r>
      <w:r w:rsidRPr="00314E02">
        <w:t>nd Mitigation Procedures</w:t>
      </w:r>
      <w:r w:rsidR="006E08F9">
        <w:t xml:space="preserve"> (Procedures)</w:t>
      </w:r>
    </w:p>
    <w:p w:rsidR="00800724" w:rsidRDefault="00800724" w:rsidP="00923490"/>
    <w:p w:rsidR="00890435" w:rsidRDefault="00923490" w:rsidP="00923490">
      <w:r>
        <w:t>Total reporting burden under FERC-</w:t>
      </w:r>
      <w:r w:rsidR="00DA05D7">
        <w:t>577</w:t>
      </w:r>
      <w:r>
        <w:t xml:space="preserve"> is expected to </w:t>
      </w:r>
      <w:r w:rsidR="00314E02">
        <w:t>increase by 762 hours</w:t>
      </w:r>
      <w:r>
        <w:t xml:space="preserve"> per year </w:t>
      </w:r>
      <w:r w:rsidR="00314E02">
        <w:t>due to the changes</w:t>
      </w:r>
      <w:r w:rsidR="006E08F9">
        <w:t xml:space="preserve"> to the Plan and Procedures</w:t>
      </w:r>
      <w:r w:rsidR="00314E02">
        <w:t>.</w:t>
      </w:r>
      <w:r w:rsidR="00FC4964">
        <w:t xml:space="preserve">  Both the Plan and Procedure documents (with the revisions incorporated) are attached to the clearance package as part of this submittal.</w:t>
      </w:r>
    </w:p>
    <w:p w:rsidR="00890435" w:rsidRDefault="00890435" w:rsidP="00923490"/>
    <w:p w:rsidR="00923490" w:rsidRDefault="00890435" w:rsidP="00923490">
      <w:r>
        <w:t>This supporting statement describes the FERC-577 collection in general and provides additional detail about the revised Plan and Procedures.</w:t>
      </w:r>
      <w:r w:rsidR="00923490">
        <w:t xml:space="preserve">  </w:t>
      </w:r>
    </w:p>
    <w:p w:rsidR="00C075AD" w:rsidRDefault="00C075AD" w:rsidP="00923490"/>
    <w:p w:rsidR="005D5065" w:rsidRPr="005D5065" w:rsidRDefault="005D5065" w:rsidP="00751EF6">
      <w:pPr>
        <w:numPr>
          <w:ilvl w:val="0"/>
          <w:numId w:val="7"/>
        </w:numPr>
        <w:rPr>
          <w:b/>
        </w:rPr>
      </w:pPr>
      <w:r w:rsidRPr="005D5065">
        <w:rPr>
          <w:b/>
        </w:rPr>
        <w:t>CIRCUMSTANCES THAT MAKE THE COLLECTION OF INFORMATION NECESSARY</w:t>
      </w:r>
    </w:p>
    <w:p w:rsidR="005D5065" w:rsidRDefault="005D5065" w:rsidP="005D5065">
      <w:pPr>
        <w:ind w:left="360"/>
      </w:pPr>
    </w:p>
    <w:p w:rsidR="00F352A1" w:rsidRDefault="00992674" w:rsidP="002C4A1B">
      <w:r>
        <w:t>Section 102</w:t>
      </w:r>
      <w:r w:rsidR="009A3D51">
        <w:t xml:space="preserve"> </w:t>
      </w:r>
      <w:r>
        <w:t>(2</w:t>
      </w:r>
      <w:proofErr w:type="gramStart"/>
      <w:r>
        <w:t>)(</w:t>
      </w:r>
      <w:proofErr w:type="gramEnd"/>
      <w:r>
        <w:t>c) of National Environmental Policy Act of 1969 (</w:t>
      </w:r>
      <w:proofErr w:type="spellStart"/>
      <w:r>
        <w:t>Pub.L</w:t>
      </w:r>
      <w:proofErr w:type="spellEnd"/>
      <w:r>
        <w:t xml:space="preserve"> 91-190) (42 U.S.C. 4321) requires that all Federal agencies</w:t>
      </w:r>
      <w:r w:rsidR="00F352A1">
        <w:t>:</w:t>
      </w:r>
    </w:p>
    <w:p w:rsidR="00F352A1" w:rsidRDefault="00F352A1" w:rsidP="002C4A1B"/>
    <w:p w:rsidR="00F352A1" w:rsidRDefault="00F352A1" w:rsidP="00A7158C">
      <w:pPr>
        <w:pStyle w:val="ListParagraph"/>
        <w:numPr>
          <w:ilvl w:val="0"/>
          <w:numId w:val="8"/>
        </w:numPr>
        <w:ind w:left="360"/>
      </w:pPr>
      <w:r>
        <w:t>C</w:t>
      </w:r>
      <w:r w:rsidR="009A3D51">
        <w:t xml:space="preserve">onsider the environmental impact of its decisions regarding those activities that are </w:t>
      </w:r>
      <w:r w:rsidR="00992674">
        <w:t>major federal actions significantly affecting th</w:t>
      </w:r>
      <w:r>
        <w:t>e quality of human environment</w:t>
      </w:r>
    </w:p>
    <w:p w:rsidR="00F352A1" w:rsidRDefault="00F352A1" w:rsidP="00A7158C">
      <w:pPr>
        <w:pStyle w:val="ListParagraph"/>
        <w:numPr>
          <w:ilvl w:val="0"/>
          <w:numId w:val="8"/>
        </w:numPr>
        <w:ind w:left="360"/>
      </w:pPr>
      <w:r>
        <w:t>P</w:t>
      </w:r>
      <w:r w:rsidR="009A3D51">
        <w:t xml:space="preserve">roduce </w:t>
      </w:r>
      <w:r w:rsidR="00992674">
        <w:t xml:space="preserve">a detailed statement on the environmental impact </w:t>
      </w:r>
      <w:r w:rsidR="009A3D51">
        <w:t xml:space="preserve">of </w:t>
      </w:r>
      <w:r w:rsidR="00992674">
        <w:t>the proposed actions</w:t>
      </w:r>
      <w:r w:rsidR="009A3D51">
        <w:t xml:space="preserve"> that addresses</w:t>
      </w:r>
      <w:r w:rsidR="00992674">
        <w:t xml:space="preserve"> any adverse environmental effects which cannot be avoided</w:t>
      </w:r>
      <w:r w:rsidR="009A3D51">
        <w:t xml:space="preserve"> </w:t>
      </w:r>
    </w:p>
    <w:p w:rsidR="005D5065" w:rsidRDefault="00F352A1" w:rsidP="00A7158C">
      <w:pPr>
        <w:pStyle w:val="ListParagraph"/>
        <w:numPr>
          <w:ilvl w:val="0"/>
          <w:numId w:val="8"/>
        </w:numPr>
        <w:ind w:left="360"/>
      </w:pPr>
      <w:r>
        <w:t xml:space="preserve">Produce </w:t>
      </w:r>
      <w:r w:rsidR="00992674">
        <w:t>alternatives to the proposed action.</w:t>
      </w:r>
      <w:r w:rsidR="00C075AD" w:rsidRPr="00C075AD">
        <w:t xml:space="preserve"> </w:t>
      </w:r>
    </w:p>
    <w:p w:rsidR="005D5065" w:rsidRDefault="005D5065" w:rsidP="002C4A1B"/>
    <w:p w:rsidR="00604CAC" w:rsidRDefault="00604CAC" w:rsidP="002C4A1B">
      <w:r>
        <w:t xml:space="preserve">The Commission’s regulations implementing NEPA in 18 CFR Part 380 require applicants seeking authorization to construct and abandon facilities to provide a detailed environmental report with their application that describes the impact the project is likely to have and the measures the applicant will implement to mitigate </w:t>
      </w:r>
      <w:r>
        <w:lastRenderedPageBreak/>
        <w:t xml:space="preserve">those impacts.  This environmental report consists of at least twelve separate reports, each addressing a particular resource area.  </w:t>
      </w:r>
    </w:p>
    <w:p w:rsidR="00604CAC" w:rsidRDefault="00604CAC" w:rsidP="002C4A1B"/>
    <w:p w:rsidR="00604CAC" w:rsidRDefault="005D5065" w:rsidP="002C4A1B">
      <w:r w:rsidRPr="005D5065">
        <w:t xml:space="preserve">Section 311(d) of </w:t>
      </w:r>
      <w:proofErr w:type="spellStart"/>
      <w:r w:rsidRPr="005D5065">
        <w:t>EPAct</w:t>
      </w:r>
      <w:proofErr w:type="spellEnd"/>
      <w:r w:rsidRPr="005D5065">
        <w:t xml:space="preserve"> 2005 amended the Natural Gas Act (NGA) to require the Commission to develop and implement regulations for the pre-filing process</w:t>
      </w:r>
      <w:r w:rsidR="00472A7A">
        <w:t>, which is designed to identify and resolve environmental and other issues while a proposed project is in its early stages of design</w:t>
      </w:r>
      <w:r w:rsidRPr="005D5065">
        <w:t xml:space="preserve">.  The purpose of the regulations was to make the use of the pre-filing process mandatory for prospective applicants seeking authorization to site and construct a liquefied natural gas (LNG) terminal, and to require that prospective applicants begin FERC’s pre-filing review process at least 6 months prior to filing an application.  </w:t>
      </w:r>
    </w:p>
    <w:p w:rsidR="00604CAC" w:rsidRDefault="00604CAC" w:rsidP="002C4A1B"/>
    <w:p w:rsidR="00604CAC" w:rsidRDefault="005D5065" w:rsidP="002C4A1B">
      <w:r w:rsidRPr="005D5065">
        <w:t xml:space="preserve">The Commission’s pre-filing regulations (18 CFR 157.21) were promulgated in Order 665 and became effective in October 2005.  The regulations outline the requirements for initiating the pre-filing process and timelines for the submittal of environmental information.   The regulations also state that the mandatory pre-filing procedures that apply to the prospective applicant for authorization of an LNG terminal, as defined in </w:t>
      </w:r>
      <w:proofErr w:type="spellStart"/>
      <w:r w:rsidRPr="005D5065">
        <w:t>EPAct</w:t>
      </w:r>
      <w:proofErr w:type="spellEnd"/>
      <w:r w:rsidRPr="005D5065">
        <w:t xml:space="preserve"> 2005, also apply to any pipeline and other natural gas facilities necessary to transport re-gasified LNG to or from an LNG terminal.  Prospective applicants for other types of natural gas facilities can continue to use the pre-filing process on a voluntary basis, but they would be subject to the requirements and timelines in the pre-filing regulations.</w:t>
      </w:r>
      <w:r w:rsidR="00604CAC">
        <w:t xml:space="preserve">  As part of the pre-filing process, prospective applicants are required to produce and file the </w:t>
      </w:r>
      <w:r w:rsidR="00063345">
        <w:t xml:space="preserve">same </w:t>
      </w:r>
      <w:r w:rsidR="00604CAC">
        <w:t>information required under Part 380</w:t>
      </w:r>
      <w:r w:rsidR="00063345">
        <w:t xml:space="preserve"> for a </w:t>
      </w:r>
      <w:r w:rsidR="00604CAC">
        <w:t>formal application with the Commission.</w:t>
      </w:r>
      <w:r w:rsidR="00063345">
        <w:t xml:space="preserve">  The pre-filing information is considered preliminary and may be revised and updated multiple times as the project design is modified and new information becomes available.</w:t>
      </w:r>
    </w:p>
    <w:p w:rsidR="0080497E" w:rsidRDefault="0080497E" w:rsidP="002C4A1B"/>
    <w:p w:rsidR="0080497E" w:rsidRDefault="0080497E" w:rsidP="002C4A1B">
      <w:pPr>
        <w:rPr>
          <w:szCs w:val="26"/>
        </w:rPr>
      </w:pPr>
      <w:r w:rsidRPr="00AF30C4">
        <w:rPr>
          <w:szCs w:val="26"/>
        </w:rPr>
        <w:t>The Plan and Procedures</w:t>
      </w:r>
      <w:r>
        <w:rPr>
          <w:szCs w:val="26"/>
        </w:rPr>
        <w:t xml:space="preserve"> the Commission is modifying</w:t>
      </w:r>
      <w:r w:rsidRPr="00AF30C4">
        <w:rPr>
          <w:szCs w:val="26"/>
        </w:rPr>
        <w:t xml:space="preserve"> are referred to at 18 Code of Federal Regulations (CFR) 380.12(</w:t>
      </w:r>
      <w:proofErr w:type="spellStart"/>
      <w:r w:rsidRPr="00AF30C4">
        <w:rPr>
          <w:szCs w:val="26"/>
        </w:rPr>
        <w:t>i</w:t>
      </w:r>
      <w:proofErr w:type="spellEnd"/>
      <w:proofErr w:type="gramStart"/>
      <w:r w:rsidRPr="00AF30C4">
        <w:rPr>
          <w:szCs w:val="26"/>
        </w:rPr>
        <w:t>)(</w:t>
      </w:r>
      <w:proofErr w:type="gramEnd"/>
      <w:r w:rsidRPr="00AF30C4">
        <w:rPr>
          <w:szCs w:val="26"/>
        </w:rPr>
        <w:t>5) and 380.12(d)(2), respectively, as well as 18 CFR 157.206(b)(3)(iv).  The Plan and Procedures identify the staff’s baseline mitigation measures for minimizing erosion</w:t>
      </w:r>
      <w:r>
        <w:rPr>
          <w:szCs w:val="26"/>
        </w:rPr>
        <w:t>,</w:t>
      </w:r>
      <w:r w:rsidRPr="00AF30C4">
        <w:rPr>
          <w:szCs w:val="26"/>
        </w:rPr>
        <w:t xml:space="preserve"> enhancing revegetation</w:t>
      </w:r>
      <w:r>
        <w:rPr>
          <w:szCs w:val="26"/>
        </w:rPr>
        <w:t>,</w:t>
      </w:r>
      <w:r w:rsidRPr="00AF30C4">
        <w:rPr>
          <w:szCs w:val="26"/>
        </w:rPr>
        <w:t xml:space="preserve"> and </w:t>
      </w:r>
      <w:r>
        <w:rPr>
          <w:szCs w:val="26"/>
        </w:rPr>
        <w:t xml:space="preserve">minimizing </w:t>
      </w:r>
      <w:r w:rsidRPr="00AF30C4">
        <w:rPr>
          <w:szCs w:val="26"/>
        </w:rPr>
        <w:t>the extent and duration of disturbance on wetlands and waterbodies</w:t>
      </w:r>
      <w:r>
        <w:rPr>
          <w:szCs w:val="26"/>
        </w:rPr>
        <w:t xml:space="preserve"> during the construction of FERC jurisdictional natural gas projects</w:t>
      </w:r>
      <w:r w:rsidRPr="00AF30C4">
        <w:rPr>
          <w:szCs w:val="26"/>
        </w:rPr>
        <w:t>.</w:t>
      </w:r>
      <w:bookmarkStart w:id="0" w:name="_GoBack"/>
      <w:bookmarkEnd w:id="0"/>
    </w:p>
    <w:p w:rsidR="0074744E" w:rsidRDefault="0074744E" w:rsidP="002C4A1B">
      <w:pPr>
        <w:rPr>
          <w:szCs w:val="26"/>
        </w:rPr>
      </w:pPr>
    </w:p>
    <w:p w:rsidR="0074744E" w:rsidRDefault="005A33A7" w:rsidP="002C4A1B">
      <w:r>
        <w:t xml:space="preserve">The changes to the Plan and Procedures fall into two categories: One, clarifications to existing reporting requirements; and two, new statements </w:t>
      </w:r>
      <w:r w:rsidR="0007667F">
        <w:t>and</w:t>
      </w:r>
      <w:r>
        <w:t xml:space="preserve"> requirement</w:t>
      </w:r>
      <w:r w:rsidR="0007667F">
        <w:t>s</w:t>
      </w:r>
      <w:r>
        <w:t>.</w:t>
      </w:r>
    </w:p>
    <w:p w:rsidR="005A33A7" w:rsidRDefault="005A33A7" w:rsidP="002C4A1B"/>
    <w:p w:rsidR="005A33A7" w:rsidRDefault="005A33A7" w:rsidP="002C4A1B">
      <w:proofErr w:type="gramStart"/>
      <w:r w:rsidRPr="00E04005">
        <w:rPr>
          <w:u w:val="single"/>
        </w:rPr>
        <w:t>Clarifications.</w:t>
      </w:r>
      <w:proofErr w:type="gramEnd"/>
      <w:r>
        <w:t xml:space="preserve">  </w:t>
      </w:r>
      <w:r w:rsidR="0007667F">
        <w:t>In this category the Commission</w:t>
      </w:r>
      <w:r>
        <w:t>:</w:t>
      </w:r>
    </w:p>
    <w:p w:rsidR="005A33A7" w:rsidRDefault="005A33A7" w:rsidP="00E04005">
      <w:pPr>
        <w:pStyle w:val="ListParagraph"/>
        <w:numPr>
          <w:ilvl w:val="0"/>
          <w:numId w:val="10"/>
        </w:numPr>
      </w:pPr>
      <w:r>
        <w:t>Clarified the terminology in the applicability section so that respondents know if they need to respond and so that they do not have to ask as many questions of Commission staff.</w:t>
      </w:r>
    </w:p>
    <w:p w:rsidR="00384D56" w:rsidRDefault="00384D56" w:rsidP="00E04005">
      <w:pPr>
        <w:pStyle w:val="ListParagraph"/>
        <w:numPr>
          <w:ilvl w:val="0"/>
          <w:numId w:val="10"/>
        </w:numPr>
      </w:pPr>
      <w:r>
        <w:lastRenderedPageBreak/>
        <w:t>Provide</w:t>
      </w:r>
      <w:r w:rsidR="0007667F">
        <w:t>d</w:t>
      </w:r>
      <w:r>
        <w:t xml:space="preserve"> better guidance on reuse and disposal planning requirements.</w:t>
      </w:r>
    </w:p>
    <w:p w:rsidR="005A33A7" w:rsidRDefault="00384D56" w:rsidP="00E04005">
      <w:pPr>
        <w:pStyle w:val="ListParagraph"/>
        <w:numPr>
          <w:ilvl w:val="0"/>
          <w:numId w:val="10"/>
        </w:numPr>
      </w:pPr>
      <w:r>
        <w:t>Clarified what types of activities require a respondent to submit a variance request to the Commission.</w:t>
      </w:r>
    </w:p>
    <w:p w:rsidR="00384D56" w:rsidRDefault="00384D56" w:rsidP="00E04005">
      <w:pPr>
        <w:pStyle w:val="ListParagraph"/>
        <w:numPr>
          <w:ilvl w:val="0"/>
          <w:numId w:val="10"/>
        </w:numPr>
      </w:pPr>
      <w:r>
        <w:t>Provided further guidance regarding post-construction vegetation management.</w:t>
      </w:r>
    </w:p>
    <w:p w:rsidR="00384D56" w:rsidRDefault="00384D56" w:rsidP="00E04005">
      <w:pPr>
        <w:pStyle w:val="ListParagraph"/>
        <w:numPr>
          <w:ilvl w:val="0"/>
          <w:numId w:val="10"/>
        </w:numPr>
      </w:pPr>
      <w:r>
        <w:t>Clarified what items should be discussed in quarterly reports to the Commission.</w:t>
      </w:r>
    </w:p>
    <w:p w:rsidR="00384D56" w:rsidRDefault="00384D56" w:rsidP="00E04005">
      <w:pPr>
        <w:pStyle w:val="ListParagraph"/>
        <w:numPr>
          <w:ilvl w:val="0"/>
          <w:numId w:val="10"/>
        </w:numPr>
      </w:pPr>
      <w:r>
        <w:t xml:space="preserve">Clarified that site-specific construction plans can include detailed </w:t>
      </w:r>
      <w:r w:rsidR="00A96BC6">
        <w:t xml:space="preserve">narrative </w:t>
      </w:r>
      <w:r>
        <w:t>justifications</w:t>
      </w:r>
      <w:r w:rsidR="0007667F">
        <w:t xml:space="preserve"> (</w:t>
      </w:r>
      <w:r>
        <w:t xml:space="preserve">instead of detailed </w:t>
      </w:r>
      <w:r w:rsidR="00A96BC6">
        <w:t>construction and engineering diagrams</w:t>
      </w:r>
      <w:r w:rsidR="0007667F">
        <w:t>)</w:t>
      </w:r>
      <w:r>
        <w:t>.</w:t>
      </w:r>
    </w:p>
    <w:p w:rsidR="00384D56" w:rsidRDefault="00384D56" w:rsidP="00E04005">
      <w:pPr>
        <w:pStyle w:val="ListParagraph"/>
        <w:numPr>
          <w:ilvl w:val="0"/>
          <w:numId w:val="10"/>
        </w:numPr>
      </w:pPr>
      <w:r>
        <w:t>Simplified the spill prevention and response procedures.</w:t>
      </w:r>
    </w:p>
    <w:p w:rsidR="00384D56" w:rsidRDefault="00384D56" w:rsidP="00E04005">
      <w:pPr>
        <w:pStyle w:val="ListParagraph"/>
        <w:numPr>
          <w:ilvl w:val="0"/>
          <w:numId w:val="10"/>
        </w:numPr>
      </w:pPr>
      <w:r>
        <w:t>Modified the concrete coating activity requirements</w:t>
      </w:r>
      <w:r w:rsidR="0007667F">
        <w:t>.</w:t>
      </w:r>
    </w:p>
    <w:p w:rsidR="00384D56" w:rsidRDefault="00384D56" w:rsidP="00E04005">
      <w:pPr>
        <w:pStyle w:val="ListParagraph"/>
        <w:numPr>
          <w:ilvl w:val="0"/>
          <w:numId w:val="10"/>
        </w:numPr>
      </w:pPr>
      <w:r>
        <w:t>Clarified guidance regarding access road use.</w:t>
      </w:r>
    </w:p>
    <w:p w:rsidR="00384D56" w:rsidRDefault="00384D56" w:rsidP="00384D56"/>
    <w:p w:rsidR="00384D56" w:rsidRDefault="00384D56" w:rsidP="00384D56">
      <w:proofErr w:type="gramStart"/>
      <w:r w:rsidRPr="00E04005">
        <w:rPr>
          <w:u w:val="single"/>
        </w:rPr>
        <w:t>New Statements or Requirements.</w:t>
      </w:r>
      <w:proofErr w:type="gramEnd"/>
      <w:r>
        <w:rPr>
          <w:u w:val="single"/>
        </w:rPr>
        <w:t xml:space="preserve">  </w:t>
      </w:r>
      <w:r>
        <w:t>In this category the Commission:</w:t>
      </w:r>
    </w:p>
    <w:p w:rsidR="00384D56" w:rsidRDefault="00384D56" w:rsidP="00E04005">
      <w:pPr>
        <w:pStyle w:val="ListParagraph"/>
        <w:numPr>
          <w:ilvl w:val="0"/>
          <w:numId w:val="11"/>
        </w:numPr>
      </w:pPr>
      <w:r>
        <w:t>Included</w:t>
      </w:r>
      <w:r w:rsidR="00961827">
        <w:t xml:space="preserve"> three </w:t>
      </w:r>
      <w:r>
        <w:t>new pre-construction planning requirements and a wildlife/livestock requirement</w:t>
      </w:r>
    </w:p>
    <w:p w:rsidR="00384D56" w:rsidRDefault="00384D56" w:rsidP="00E04005">
      <w:pPr>
        <w:pStyle w:val="ListParagraph"/>
        <w:numPr>
          <w:ilvl w:val="0"/>
          <w:numId w:val="11"/>
        </w:numPr>
      </w:pPr>
      <w:r>
        <w:t>Included a new record maintenance requirement related to drain tile damage.</w:t>
      </w:r>
    </w:p>
    <w:p w:rsidR="00384D56" w:rsidRDefault="00384D56" w:rsidP="00E04005">
      <w:pPr>
        <w:pStyle w:val="ListParagraph"/>
        <w:numPr>
          <w:ilvl w:val="0"/>
          <w:numId w:val="11"/>
        </w:numPr>
      </w:pPr>
      <w:r>
        <w:t xml:space="preserve">Included a new statement in the pre-construction schedule </w:t>
      </w:r>
      <w:r w:rsidR="0044361C">
        <w:t>filing.</w:t>
      </w:r>
    </w:p>
    <w:p w:rsidR="0044361C" w:rsidRDefault="0044361C" w:rsidP="00E04005">
      <w:pPr>
        <w:pStyle w:val="ListParagraph"/>
        <w:numPr>
          <w:ilvl w:val="0"/>
          <w:numId w:val="11"/>
        </w:numPr>
      </w:pPr>
      <w:r>
        <w:t>Included new guidance regarding waterbody crossing installations</w:t>
      </w:r>
      <w:r w:rsidR="0007667F">
        <w:t>.</w:t>
      </w:r>
    </w:p>
    <w:p w:rsidR="0044361C" w:rsidRDefault="0044361C" w:rsidP="00E04005">
      <w:pPr>
        <w:pStyle w:val="ListParagraph"/>
        <w:numPr>
          <w:ilvl w:val="0"/>
          <w:numId w:val="11"/>
        </w:numPr>
      </w:pPr>
      <w:r>
        <w:t>Included best management practices regarding horizontal directional drilling</w:t>
      </w:r>
      <w:r w:rsidR="0007667F">
        <w:t>.</w:t>
      </w:r>
    </w:p>
    <w:p w:rsidR="0044361C" w:rsidRDefault="0044361C" w:rsidP="00E04005">
      <w:pPr>
        <w:pStyle w:val="ListParagraph"/>
        <w:numPr>
          <w:ilvl w:val="0"/>
          <w:numId w:val="11"/>
        </w:numPr>
      </w:pPr>
      <w:r>
        <w:t>Included a new statement about burning woody debris</w:t>
      </w:r>
    </w:p>
    <w:p w:rsidR="0044361C" w:rsidRDefault="0044361C" w:rsidP="00E04005">
      <w:pPr>
        <w:pStyle w:val="ListParagraph"/>
        <w:numPr>
          <w:ilvl w:val="0"/>
          <w:numId w:val="11"/>
        </w:numPr>
      </w:pPr>
      <w:r>
        <w:t>Included new criteria related to monitoring and recording the success of wetland revegetation.</w:t>
      </w:r>
    </w:p>
    <w:p w:rsidR="0007667F" w:rsidRDefault="0044361C" w:rsidP="00E04005">
      <w:pPr>
        <w:pStyle w:val="ListParagraph"/>
        <w:numPr>
          <w:ilvl w:val="0"/>
          <w:numId w:val="11"/>
        </w:numPr>
      </w:pPr>
      <w:r>
        <w:t>Included a new reporting requirement to the Commission if wetlands fail to revegetate after 3 years.</w:t>
      </w:r>
    </w:p>
    <w:p w:rsidR="0007667F" w:rsidRDefault="0007667F" w:rsidP="0007667F"/>
    <w:p w:rsidR="0007667F" w:rsidRPr="00384D56" w:rsidRDefault="0007667F" w:rsidP="0007667F">
      <w:r>
        <w:t>Many of the above changes will reduce the number of variance or data requests respondents would otherwise file with the Commission.  Other changes will require additional reporting or recordkeeping time.</w:t>
      </w:r>
    </w:p>
    <w:p w:rsidR="005D5065" w:rsidRDefault="005D5065" w:rsidP="00751EF6">
      <w:pPr>
        <w:ind w:left="360"/>
      </w:pPr>
    </w:p>
    <w:p w:rsidR="005D5065" w:rsidRPr="00373009" w:rsidRDefault="005D5065" w:rsidP="005D5065">
      <w:pPr>
        <w:numPr>
          <w:ilvl w:val="0"/>
          <w:numId w:val="7"/>
        </w:numPr>
        <w:rPr>
          <w:b/>
        </w:rPr>
      </w:pPr>
      <w:r w:rsidRPr="00373009">
        <w:rPr>
          <w:b/>
        </w:rPr>
        <w:t>HOW, BY WHOM, AND FOR WHAT PURPOSE THE INFORMATION IS TO BE USED AND THE CONSEQUENCES OF NOT COLLECTING THE INFORMATION</w:t>
      </w:r>
    </w:p>
    <w:p w:rsidR="005D5065" w:rsidRDefault="005D5065" w:rsidP="005D5065">
      <w:pPr>
        <w:ind w:left="360"/>
      </w:pPr>
    </w:p>
    <w:p w:rsidR="00882B08" w:rsidRDefault="00882B08" w:rsidP="002C4A1B">
      <w:pPr>
        <w:rPr>
          <w:szCs w:val="26"/>
        </w:rPr>
      </w:pPr>
      <w:r>
        <w:rPr>
          <w:szCs w:val="26"/>
        </w:rPr>
        <w:t>The Commission collects environmental information from companies in connection with proposals to construct new natural gas facilities or to modify, expand or abandon existing facilities.  The information is collected during the pre-filing process (before the filing of an application), during the application review, and after the Commission’s authorization of a project (to ensure compliance with the Commission Order).</w:t>
      </w:r>
    </w:p>
    <w:p w:rsidR="00882B08" w:rsidRDefault="00882B08" w:rsidP="002C4A1B">
      <w:pPr>
        <w:rPr>
          <w:szCs w:val="26"/>
        </w:rPr>
      </w:pPr>
    </w:p>
    <w:p w:rsidR="00992674" w:rsidRDefault="00C075AD" w:rsidP="002C4A1B">
      <w:r>
        <w:t xml:space="preserve">Environmental concerns play a significant role in the review of applications for </w:t>
      </w:r>
      <w:r w:rsidR="00472A7A">
        <w:t xml:space="preserve">natural gas </w:t>
      </w:r>
      <w:r>
        <w:t xml:space="preserve">infrastructure.  </w:t>
      </w:r>
      <w:r w:rsidR="00472A7A">
        <w:t xml:space="preserve">In considering applications, </w:t>
      </w:r>
      <w:r>
        <w:t xml:space="preserve">FERC has to </w:t>
      </w:r>
      <w:r w:rsidR="00782900">
        <w:t>consider both</w:t>
      </w:r>
      <w:r w:rsidR="00472A7A">
        <w:t xml:space="preserve"> </w:t>
      </w:r>
      <w:r>
        <w:t xml:space="preserve">the benefits of </w:t>
      </w:r>
      <w:r w:rsidR="00472A7A">
        <w:t xml:space="preserve">a proposed project </w:t>
      </w:r>
      <w:r w:rsidR="00782900">
        <w:t>and</w:t>
      </w:r>
      <w:r w:rsidR="00472A7A">
        <w:t xml:space="preserve"> its</w:t>
      </w:r>
      <w:r>
        <w:t xml:space="preserve"> environmental impact.  </w:t>
      </w:r>
      <w:r w:rsidR="00782900">
        <w:t>The environmental information collected by the Commission and its independent analysis of that information is c</w:t>
      </w:r>
      <w:r>
        <w:t xml:space="preserve">ritical </w:t>
      </w:r>
      <w:r w:rsidR="00782900">
        <w:t xml:space="preserve">to </w:t>
      </w:r>
      <w:r w:rsidR="00882B08">
        <w:t>the</w:t>
      </w:r>
      <w:r w:rsidR="00782900">
        <w:t xml:space="preserve"> decision-making process.  </w:t>
      </w:r>
    </w:p>
    <w:p w:rsidR="00604CAC" w:rsidRDefault="00604CAC" w:rsidP="002C4A1B"/>
    <w:p w:rsidR="0080497E" w:rsidRDefault="00604CAC" w:rsidP="002C4A1B">
      <w:pPr>
        <w:rPr>
          <w:szCs w:val="26"/>
        </w:rPr>
      </w:pPr>
      <w:r w:rsidRPr="00604CAC">
        <w:rPr>
          <w:szCs w:val="26"/>
        </w:rPr>
        <w:t xml:space="preserve">FERC-577 data collections are required for statutory purposes and cannot be discontinued.  The consequences of not collecting this information are that the Commission would be unable to fulfill its statutory mandates under </w:t>
      </w:r>
      <w:r w:rsidR="00882B08" w:rsidRPr="00604CAC">
        <w:rPr>
          <w:szCs w:val="26"/>
        </w:rPr>
        <w:t>its Rules of Practice and Procedure</w:t>
      </w:r>
      <w:r w:rsidR="00882B08">
        <w:rPr>
          <w:szCs w:val="26"/>
        </w:rPr>
        <w:t xml:space="preserve">, and in compliance with </w:t>
      </w:r>
      <w:proofErr w:type="spellStart"/>
      <w:r w:rsidRPr="00604CAC">
        <w:rPr>
          <w:szCs w:val="26"/>
        </w:rPr>
        <w:t>EPAct</w:t>
      </w:r>
      <w:proofErr w:type="spellEnd"/>
      <w:r w:rsidRPr="00604CAC">
        <w:rPr>
          <w:szCs w:val="26"/>
        </w:rPr>
        <w:t xml:space="preserve"> 2005, NGA, </w:t>
      </w:r>
      <w:r w:rsidR="00882B08" w:rsidRPr="00604CAC">
        <w:rPr>
          <w:szCs w:val="26"/>
        </w:rPr>
        <w:t xml:space="preserve">and </w:t>
      </w:r>
      <w:r w:rsidRPr="00604CAC">
        <w:rPr>
          <w:szCs w:val="26"/>
        </w:rPr>
        <w:t>NEPA.</w:t>
      </w:r>
    </w:p>
    <w:p w:rsidR="0080497E" w:rsidRDefault="0080497E" w:rsidP="002C4A1B">
      <w:pPr>
        <w:rPr>
          <w:szCs w:val="26"/>
        </w:rPr>
      </w:pPr>
    </w:p>
    <w:p w:rsidR="0077045D" w:rsidRDefault="0080497E" w:rsidP="002C4A1B">
      <w:r>
        <w:rPr>
          <w:szCs w:val="26"/>
        </w:rPr>
        <w:t>The Plan and Procedures apply to FERC jurisdictional natural gas companies during the construction of FERC jurisdictional natural gas projects.</w:t>
      </w:r>
      <w:r w:rsidR="00FC3AE9">
        <w:rPr>
          <w:szCs w:val="26"/>
        </w:rPr>
        <w:t xml:space="preserve">  </w:t>
      </w:r>
      <w:r w:rsidR="00FC3AE9" w:rsidRPr="0077045D">
        <w:rPr>
          <w:szCs w:val="26"/>
        </w:rPr>
        <w:t>The Plan and Procedures are necessary to</w:t>
      </w:r>
      <w:r w:rsidR="004047F2" w:rsidRPr="0077045D">
        <w:rPr>
          <w:szCs w:val="26"/>
        </w:rPr>
        <w:t xml:space="preserve"> </w:t>
      </w:r>
      <w:r w:rsidR="004047F2">
        <w:rPr>
          <w:szCs w:val="26"/>
        </w:rPr>
        <w:t xml:space="preserve">establish a standard and consistent metric for environmentally acceptable </w:t>
      </w:r>
      <w:r w:rsidR="005A6BAD">
        <w:rPr>
          <w:szCs w:val="26"/>
        </w:rPr>
        <w:t xml:space="preserve">construction and mitigation </w:t>
      </w:r>
      <w:r w:rsidR="004047F2">
        <w:rPr>
          <w:szCs w:val="26"/>
        </w:rPr>
        <w:t xml:space="preserve">practices </w:t>
      </w:r>
      <w:r w:rsidR="00944D47">
        <w:rPr>
          <w:szCs w:val="26"/>
        </w:rPr>
        <w:t>for</w:t>
      </w:r>
      <w:r w:rsidR="004047F2">
        <w:rPr>
          <w:szCs w:val="26"/>
        </w:rPr>
        <w:t xml:space="preserve"> jurisdictional natural gas projects.  The Plan and Procedures</w:t>
      </w:r>
      <w:r w:rsidR="005A6BAD">
        <w:rPr>
          <w:szCs w:val="26"/>
        </w:rPr>
        <w:t xml:space="preserve"> also provide standard </w:t>
      </w:r>
      <w:r w:rsidR="00944D47">
        <w:rPr>
          <w:szCs w:val="26"/>
        </w:rPr>
        <w:t xml:space="preserve">post-construction </w:t>
      </w:r>
      <w:r w:rsidR="005A6BAD">
        <w:rPr>
          <w:szCs w:val="26"/>
        </w:rPr>
        <w:t xml:space="preserve">reporting requirements that allow FERC staff to monitor compliance and ensure jurisdictional projects are acceptably restored.  The Plan and Procedures </w:t>
      </w:r>
      <w:r w:rsidR="005A6BAD" w:rsidRPr="00FF0298">
        <w:t>are widely established and understood by pipeline owners/operators, construction contractors and environmental consultants.</w:t>
      </w:r>
      <w:r w:rsidR="005A6BAD">
        <w:t xml:space="preserve"> </w:t>
      </w:r>
      <w:r w:rsidR="005A6BAD" w:rsidRPr="00FF0298">
        <w:t xml:space="preserve"> </w:t>
      </w:r>
      <w:r w:rsidR="0034306E">
        <w:t>State and federal r</w:t>
      </w:r>
      <w:r w:rsidR="005A6BAD" w:rsidRPr="00FF0298">
        <w:t>esource agencies across the country have accepted project implementation of the FERC Plan and Procedures as appropriate environmental impact minimization, mitigation, and restoration practices for interstate pipeline construction</w:t>
      </w:r>
      <w:r w:rsidR="005A6BAD">
        <w:t xml:space="preserve">.  </w:t>
      </w:r>
    </w:p>
    <w:p w:rsidR="0077045D" w:rsidRDefault="0077045D" w:rsidP="002C4A1B"/>
    <w:p w:rsidR="00A11405" w:rsidRDefault="005A6BAD" w:rsidP="002C4A1B">
      <w:pPr>
        <w:rPr>
          <w:szCs w:val="26"/>
        </w:rPr>
      </w:pPr>
      <w:r>
        <w:rPr>
          <w:szCs w:val="26"/>
        </w:rPr>
        <w:t>W</w:t>
      </w:r>
      <w:r w:rsidR="00FC3AE9" w:rsidRPr="0077045D">
        <w:rPr>
          <w:szCs w:val="26"/>
        </w:rPr>
        <w:t>ithout the Plan and Procedures</w:t>
      </w:r>
      <w:r>
        <w:rPr>
          <w:szCs w:val="26"/>
        </w:rPr>
        <w:t xml:space="preserve">, there </w:t>
      </w:r>
      <w:r w:rsidR="00944D47">
        <w:rPr>
          <w:szCs w:val="26"/>
        </w:rPr>
        <w:t>would</w:t>
      </w:r>
      <w:r>
        <w:rPr>
          <w:szCs w:val="26"/>
        </w:rPr>
        <w:t xml:space="preserve"> be significant uncertainty with regards to FERC’s expectations for acceptable construction and mitigation practices.  </w:t>
      </w:r>
      <w:r w:rsidR="00944D47">
        <w:rPr>
          <w:szCs w:val="26"/>
        </w:rPr>
        <w:t xml:space="preserve">The processing of applications </w:t>
      </w:r>
      <w:r w:rsidR="0034306E">
        <w:rPr>
          <w:szCs w:val="26"/>
        </w:rPr>
        <w:t>would</w:t>
      </w:r>
      <w:r w:rsidR="00944D47">
        <w:rPr>
          <w:szCs w:val="26"/>
        </w:rPr>
        <w:t xml:space="preserve"> be delayed, compliance would be difficult to assess on a seemingly moving target of environmental requirements, and the industry, resource agencies, and stakeholders would </w:t>
      </w:r>
      <w:r w:rsidR="0034306E">
        <w:rPr>
          <w:szCs w:val="26"/>
        </w:rPr>
        <w:t>lack a</w:t>
      </w:r>
      <w:r w:rsidR="00944D47">
        <w:rPr>
          <w:szCs w:val="26"/>
        </w:rPr>
        <w:t xml:space="preserve"> consistent metric from which to build expectations and assess potential environmental impact from these projects.  </w:t>
      </w:r>
      <w:r w:rsidR="00604CAC" w:rsidRPr="00604CAC">
        <w:rPr>
          <w:szCs w:val="26"/>
        </w:rPr>
        <w:t xml:space="preserve"> </w:t>
      </w:r>
    </w:p>
    <w:p w:rsidR="00CD12CD" w:rsidRDefault="00CD12CD" w:rsidP="002C4A1B">
      <w:pPr>
        <w:rPr>
          <w:szCs w:val="26"/>
        </w:rPr>
      </w:pPr>
    </w:p>
    <w:p w:rsidR="001B0C5D" w:rsidRDefault="001B0C5D" w:rsidP="002C4A1B">
      <w:r>
        <w:rPr>
          <w:szCs w:val="26"/>
        </w:rPr>
        <w:t>Specific to the new pieces of burden</w:t>
      </w:r>
      <w:r w:rsidR="00961827">
        <w:rPr>
          <w:szCs w:val="26"/>
        </w:rPr>
        <w:t>, t</w:t>
      </w:r>
      <w:r>
        <w:t xml:space="preserve">he new residential construction planning requirements </w:t>
      </w:r>
      <w:r w:rsidR="00CB1FFB">
        <w:t xml:space="preserve">clearly communicate </w:t>
      </w:r>
      <w:r>
        <w:t>long</w:t>
      </w:r>
      <w:r w:rsidR="00CB1FFB">
        <w:t xml:space="preserve">-standing </w:t>
      </w:r>
      <w:r>
        <w:t>FERC staff expectation</w:t>
      </w:r>
      <w:r w:rsidR="00CB1FFB">
        <w:t>s</w:t>
      </w:r>
      <w:r>
        <w:t xml:space="preserve"> </w:t>
      </w:r>
      <w:r w:rsidR="00CB1FFB">
        <w:t xml:space="preserve">that </w:t>
      </w:r>
      <w:r>
        <w:t xml:space="preserve">were </w:t>
      </w:r>
      <w:r w:rsidR="00CB1FFB">
        <w:t xml:space="preserve">previously </w:t>
      </w:r>
      <w:r w:rsidR="00961827">
        <w:t xml:space="preserve">difficult to locate </w:t>
      </w:r>
      <w:r>
        <w:t>(</w:t>
      </w:r>
      <w:r w:rsidR="00961827">
        <w:t>could only be found</w:t>
      </w:r>
      <w:r>
        <w:t xml:space="preserve"> in old </w:t>
      </w:r>
      <w:r w:rsidR="00961827">
        <w:t xml:space="preserve">staff </w:t>
      </w:r>
      <w:r>
        <w:t>guidance documents</w:t>
      </w:r>
      <w:r w:rsidR="00961827">
        <w:t>).</w:t>
      </w:r>
      <w:r w:rsidR="00CB1FFB">
        <w:t xml:space="preserve">  Inclusion in the Plan will provide clearer expectations that are easily assessable to improve consistency in the field</w:t>
      </w:r>
      <w:r w:rsidR="00961827">
        <w:t xml:space="preserve">, particularly on “automatic” type projects that do not </w:t>
      </w:r>
      <w:r w:rsidR="0086169D">
        <w:t>receive</w:t>
      </w:r>
      <w:r w:rsidR="00961827">
        <w:t xml:space="preserve"> FERC staff’s pre-construction review or construction inspections.</w:t>
      </w:r>
      <w:r w:rsidR="006F140B">
        <w:t xml:space="preserve">  Without this requirement, frequent data requests and inconsistent compliance will continue.</w:t>
      </w:r>
    </w:p>
    <w:p w:rsidR="008B2FC9" w:rsidRDefault="008B2FC9" w:rsidP="002C4A1B">
      <w:r>
        <w:t xml:space="preserve"> </w:t>
      </w:r>
    </w:p>
    <w:p w:rsidR="00CB1FFB" w:rsidRDefault="00EF3010" w:rsidP="002C4A1B">
      <w:r>
        <w:lastRenderedPageBreak/>
        <w:t>N</w:t>
      </w:r>
      <w:r w:rsidR="00CB1FFB">
        <w:t>ew planning requirement</w:t>
      </w:r>
      <w:r>
        <w:t>s</w:t>
      </w:r>
      <w:r w:rsidR="00CB1FFB">
        <w:t xml:space="preserve"> for winter construction w</w:t>
      </w:r>
      <w:r>
        <w:t>ere</w:t>
      </w:r>
      <w:r w:rsidR="00CB1FFB">
        <w:t xml:space="preserve"> added at the request of gas companies and industry associations to clearly communicate FERC staff’s expectations </w:t>
      </w:r>
      <w:r w:rsidR="00CB1FFB" w:rsidRPr="00CB1FFB">
        <w:t xml:space="preserve">for </w:t>
      </w:r>
      <w:r w:rsidR="00CB1FFB">
        <w:t>the</w:t>
      </w:r>
      <w:r w:rsidR="00CB1FFB" w:rsidRPr="00CB1FFB">
        <w:t xml:space="preserve"> unique conditions </w:t>
      </w:r>
      <w:r w:rsidR="00CB1FFB">
        <w:t xml:space="preserve">presented </w:t>
      </w:r>
      <w:r w:rsidR="00961827">
        <w:t>when constructi</w:t>
      </w:r>
      <w:r w:rsidR="0086169D">
        <w:t>ng</w:t>
      </w:r>
      <w:r w:rsidR="00961827">
        <w:t xml:space="preserve"> </w:t>
      </w:r>
      <w:r w:rsidR="00CB1FFB">
        <w:t xml:space="preserve">during winter weather </w:t>
      </w:r>
      <w:r>
        <w:t xml:space="preserve">and frozen soil </w:t>
      </w:r>
      <w:r w:rsidR="00CB1FFB">
        <w:t xml:space="preserve">conditions.  Winter construction is becoming more and more prevalent </w:t>
      </w:r>
      <w:r>
        <w:t xml:space="preserve">recently </w:t>
      </w:r>
      <w:r w:rsidR="00CB1FFB">
        <w:t>than in years past and presents new challenges to gas companies and project planners.  While w</w:t>
      </w:r>
      <w:r w:rsidR="00CB1FFB" w:rsidRPr="00CB1FFB">
        <w:t>e acknowledge that appropriate procedures are highly dependent on the project locati</w:t>
      </w:r>
      <w:r w:rsidR="00CB1FFB">
        <w:t xml:space="preserve">on and seasonal considerations, </w:t>
      </w:r>
      <w:r w:rsidR="00961827">
        <w:t>the new requirement notes</w:t>
      </w:r>
      <w:r w:rsidR="00CB1FFB">
        <w:t xml:space="preserve"> the </w:t>
      </w:r>
      <w:r w:rsidR="00CB1FFB" w:rsidRPr="00CB1FFB">
        <w:t>major topic areas for a winter construction plan</w:t>
      </w:r>
      <w:r w:rsidR="0086169D">
        <w:t>s</w:t>
      </w:r>
      <w:r w:rsidR="00CB1FFB">
        <w:t xml:space="preserve"> and require</w:t>
      </w:r>
      <w:r w:rsidR="00961827">
        <w:t>s</w:t>
      </w:r>
      <w:r w:rsidR="00CB1FFB">
        <w:t xml:space="preserve"> </w:t>
      </w:r>
      <w:r w:rsidR="00B6381E">
        <w:t>the information</w:t>
      </w:r>
      <w:r w:rsidR="00CB1FFB" w:rsidRPr="00CB1FFB">
        <w:t xml:space="preserve"> early in the NEPA review</w:t>
      </w:r>
      <w:r w:rsidR="00CB1FFB">
        <w:t xml:space="preserve"> </w:t>
      </w:r>
      <w:r w:rsidR="00B6381E">
        <w:t>process</w:t>
      </w:r>
      <w:r>
        <w:t>.  We believe this new requirement will</w:t>
      </w:r>
      <w:r w:rsidR="00B6381E">
        <w:t xml:space="preserve"> improve compliance and ensure th</w:t>
      </w:r>
      <w:r>
        <w:t xml:space="preserve">at projects constructed through the winter </w:t>
      </w:r>
      <w:r w:rsidR="00B6381E">
        <w:t xml:space="preserve">will minimize impacts on soils, vegetation, wetlands, and waterbodies. </w:t>
      </w:r>
      <w:r w:rsidR="006F140B">
        <w:t xml:space="preserve"> Without this requirement, winter construction plans may be inconsistent or provided late in the construction process and subject to less rigorous review and analysis to ensure environmental protection.</w:t>
      </w:r>
    </w:p>
    <w:p w:rsidR="00B6381E" w:rsidRDefault="00B6381E" w:rsidP="002C4A1B"/>
    <w:p w:rsidR="00961827" w:rsidRDefault="00B6381E" w:rsidP="00961827">
      <w:r>
        <w:rPr>
          <w:szCs w:val="26"/>
        </w:rPr>
        <w:t xml:space="preserve">A new requirement for blasting plans </w:t>
      </w:r>
      <w:r w:rsidR="00EF3010">
        <w:rPr>
          <w:szCs w:val="26"/>
        </w:rPr>
        <w:t>is</w:t>
      </w:r>
      <w:r>
        <w:rPr>
          <w:szCs w:val="26"/>
        </w:rPr>
        <w:t xml:space="preserve"> important to ensure project planners are aware of </w:t>
      </w:r>
      <w:r w:rsidRPr="00B6381E">
        <w:rPr>
          <w:szCs w:val="26"/>
        </w:rPr>
        <w:t>best management practices that are commonly employed for blasting activities, but not expressly stated</w:t>
      </w:r>
      <w:r>
        <w:rPr>
          <w:szCs w:val="26"/>
        </w:rPr>
        <w:t xml:space="preserve"> in any </w:t>
      </w:r>
      <w:r w:rsidR="00EF3010">
        <w:rPr>
          <w:szCs w:val="26"/>
        </w:rPr>
        <w:t xml:space="preserve">other </w:t>
      </w:r>
      <w:r>
        <w:rPr>
          <w:szCs w:val="26"/>
        </w:rPr>
        <w:t xml:space="preserve">FERC </w:t>
      </w:r>
      <w:r w:rsidR="00EF3010">
        <w:rPr>
          <w:szCs w:val="26"/>
        </w:rPr>
        <w:t xml:space="preserve">guidance </w:t>
      </w:r>
      <w:r>
        <w:rPr>
          <w:szCs w:val="26"/>
        </w:rPr>
        <w:t>documents</w:t>
      </w:r>
      <w:r w:rsidRPr="00B6381E">
        <w:rPr>
          <w:szCs w:val="26"/>
        </w:rPr>
        <w:t>.</w:t>
      </w:r>
      <w:r w:rsidR="00EF3010">
        <w:rPr>
          <w:szCs w:val="26"/>
        </w:rPr>
        <w:t xml:space="preserve">  </w:t>
      </w:r>
      <w:r w:rsidR="006F140B">
        <w:rPr>
          <w:szCs w:val="26"/>
        </w:rPr>
        <w:t>Similarly, a</w:t>
      </w:r>
      <w:r w:rsidR="00961827">
        <w:t xml:space="preserve"> new wildlife/livestock planning requirement </w:t>
      </w:r>
      <w:r w:rsidR="00961827" w:rsidRPr="001B0C5D">
        <w:t>w</w:t>
      </w:r>
      <w:r w:rsidR="00961827">
        <w:t>ill</w:t>
      </w:r>
      <w:r w:rsidR="00961827" w:rsidRPr="001B0C5D">
        <w:t xml:space="preserve"> </w:t>
      </w:r>
      <w:r w:rsidR="00961827">
        <w:t>assist</w:t>
      </w:r>
      <w:r w:rsidR="00961827" w:rsidRPr="001B0C5D">
        <w:t xml:space="preserve"> applicants in identifying this land use issue and developing mitigation early in the review process</w:t>
      </w:r>
      <w:r w:rsidR="00961827">
        <w:t xml:space="preserve"> to minimize landowner complaints </w:t>
      </w:r>
      <w:r w:rsidR="0086169D">
        <w:t>and</w:t>
      </w:r>
      <w:r w:rsidR="00961827">
        <w:t xml:space="preserve"> environmental harm</w:t>
      </w:r>
      <w:r w:rsidR="00961827" w:rsidRPr="001B0C5D">
        <w:t xml:space="preserve">.  Livestock and wildlife movement are common </w:t>
      </w:r>
      <w:r w:rsidR="00961827">
        <w:t>concerns</w:t>
      </w:r>
      <w:r w:rsidR="00961827" w:rsidRPr="001B0C5D">
        <w:t>, particularly in the west on federally managed lands.</w:t>
      </w:r>
    </w:p>
    <w:p w:rsidR="00B6381E" w:rsidRDefault="00B6381E" w:rsidP="002C4A1B">
      <w:pPr>
        <w:rPr>
          <w:szCs w:val="26"/>
        </w:rPr>
      </w:pPr>
    </w:p>
    <w:p w:rsidR="00EF3010" w:rsidRDefault="00EF3010" w:rsidP="002C4A1B">
      <w:r>
        <w:t xml:space="preserve">A new record maintenance requirement related to </w:t>
      </w:r>
      <w:r w:rsidRPr="00EF3010">
        <w:t xml:space="preserve">subsurface drainage repairs </w:t>
      </w:r>
      <w:r w:rsidR="00961827">
        <w:t xml:space="preserve">will improve the ability of </w:t>
      </w:r>
      <w:r>
        <w:t>FERC staff and project sponsors to address</w:t>
      </w:r>
      <w:r w:rsidRPr="00EF3010">
        <w:t xml:space="preserve"> landowner complaints regarding drainage</w:t>
      </w:r>
      <w:r w:rsidR="00961827">
        <w:t xml:space="preserve"> or drain tile damages</w:t>
      </w:r>
      <w:r w:rsidRPr="00EF3010">
        <w:t>.</w:t>
      </w:r>
      <w:r>
        <w:t xml:space="preserve">  These types of complaints often do not arise until the next growing season or </w:t>
      </w:r>
      <w:r w:rsidR="00961827">
        <w:t xml:space="preserve">next </w:t>
      </w:r>
      <w:r>
        <w:t>wet season, long after construction personnel and environmental inspectors have left the project location.</w:t>
      </w:r>
      <w:r w:rsidR="00961827">
        <w:t xml:space="preserve">  In the absence of records, it can be problematic to determine culpability and appropriate remediation requirements.</w:t>
      </w:r>
    </w:p>
    <w:p w:rsidR="00961827" w:rsidRDefault="00961827" w:rsidP="002C4A1B"/>
    <w:p w:rsidR="00961827" w:rsidRDefault="00961827" w:rsidP="00961827">
      <w:r>
        <w:t>A new pre-construction planning requirement directs project sponsors to plan ahead to limit the amount and duration of open trench sections.  This measure addresses a common stakeholder</w:t>
      </w:r>
      <w:r w:rsidRPr="00CD12CD">
        <w:t xml:space="preserve"> concern for large expanses of open trench/disturbed right-of-way </w:t>
      </w:r>
      <w:r>
        <w:t>and delays on restoration work that can put environmental resources at risk from excessive erosion, sedimentation into wetlands and waterbodies, or wildlife/livestock injuries.  The FERC has</w:t>
      </w:r>
      <w:r w:rsidRPr="00CD12CD">
        <w:t xml:space="preserve"> declined in the past to prescribe a quantitative limit as a baseline measure due to the highly variable nature of projects and ground conditions across the country.</w:t>
      </w:r>
      <w:r>
        <w:t xml:space="preserve">  However, by establishing a planning requirement that conveys our general expectations, we can reduce the burden and environmental risks associated with handling this issue as a compliance matter during active construction when contractor resources have less </w:t>
      </w:r>
      <w:r>
        <w:lastRenderedPageBreak/>
        <w:t>flexibility to adjust, and project delays can incur significant expense to the project sponsor.</w:t>
      </w:r>
    </w:p>
    <w:p w:rsidR="00961827" w:rsidRDefault="00961827" w:rsidP="002C4A1B">
      <w:pPr>
        <w:rPr>
          <w:szCs w:val="26"/>
        </w:rPr>
      </w:pPr>
    </w:p>
    <w:p w:rsidR="009F4D1A" w:rsidRDefault="00961827" w:rsidP="002C4A1B">
      <w:r>
        <w:t>New guidance regarding waterbody crossings during dry or frozen conditions will</w:t>
      </w:r>
      <w:r w:rsidRPr="00961827">
        <w:t xml:space="preserve"> allow larger stretches of right-of-way to be restored more quickly.  </w:t>
      </w:r>
      <w:r>
        <w:t xml:space="preserve">The new language also conveys FERC’s expectation </w:t>
      </w:r>
      <w:r w:rsidRPr="00961827">
        <w:t>to maintain downstream flow in the event that the dry stream begins to flow after a storm event.</w:t>
      </w:r>
      <w:r w:rsidR="009F4D1A">
        <w:t xml:space="preserve">  This new addition will </w:t>
      </w:r>
      <w:r w:rsidR="009F4D1A" w:rsidRPr="00961827">
        <w:t>minimize downstream sedimentation</w:t>
      </w:r>
      <w:r w:rsidR="009F4D1A">
        <w:t>, reduce variance requests, and improve construction efficiency.</w:t>
      </w:r>
    </w:p>
    <w:p w:rsidR="009F4D1A" w:rsidRDefault="009F4D1A" w:rsidP="002C4A1B"/>
    <w:p w:rsidR="00961827" w:rsidRDefault="009F4D1A" w:rsidP="002C4A1B">
      <w:r>
        <w:t xml:space="preserve">We included best management practices regarding horizontal directional drilling.  </w:t>
      </w:r>
      <w:r w:rsidRPr="009F4D1A">
        <w:t xml:space="preserve">Typically, we require no clearing or limited hand clearing along </w:t>
      </w:r>
      <w:r>
        <w:t xml:space="preserve">drilling </w:t>
      </w:r>
      <w:r w:rsidRPr="009F4D1A">
        <w:t xml:space="preserve">paths depending on the site specific needs of the driller (e.g. tracking wires, test water source, </w:t>
      </w:r>
      <w:proofErr w:type="spellStart"/>
      <w:r w:rsidRPr="009F4D1A">
        <w:t>frac</w:t>
      </w:r>
      <w:proofErr w:type="spellEnd"/>
      <w:r w:rsidRPr="009F4D1A">
        <w:t xml:space="preserve"> monitoring, and access).  Inclusion of </w:t>
      </w:r>
      <w:r>
        <w:t>the new language will</w:t>
      </w:r>
      <w:r w:rsidRPr="009F4D1A">
        <w:t xml:space="preserve"> provide project sponsors with greater clarity on staff expectations</w:t>
      </w:r>
      <w:r>
        <w:t xml:space="preserve">, </w:t>
      </w:r>
      <w:r w:rsidRPr="009F4D1A">
        <w:t>reduce data requests</w:t>
      </w:r>
      <w:r>
        <w:t xml:space="preserve">, and improve resource protection and compliance </w:t>
      </w:r>
      <w:r w:rsidRPr="009F4D1A">
        <w:t>for automatic type projects.</w:t>
      </w:r>
      <w:r>
        <w:t xml:space="preserve"> </w:t>
      </w:r>
    </w:p>
    <w:p w:rsidR="009F4D1A" w:rsidRDefault="009F4D1A" w:rsidP="002C4A1B"/>
    <w:p w:rsidR="009F4D1A" w:rsidRDefault="009F4D1A" w:rsidP="002C4A1B">
      <w:r>
        <w:t xml:space="preserve">A new statement allowing burning woody debris in wetlands is important to reduce variance requests for a practice we </w:t>
      </w:r>
      <w:r w:rsidR="006F140B">
        <w:t>generally find</w:t>
      </w:r>
      <w:r>
        <w:t xml:space="preserve"> acceptable</w:t>
      </w:r>
      <w:r w:rsidR="006F140B">
        <w:t xml:space="preserve"> when done in accordance with applicable state, local, and Corps of Engineers permit requ</w:t>
      </w:r>
      <w:r w:rsidR="009C7ED2">
        <w:t>i</w:t>
      </w:r>
      <w:r w:rsidR="006F140B">
        <w:t>rements</w:t>
      </w:r>
      <w:r>
        <w:t xml:space="preserve">.  This statement in the Procedures will </w:t>
      </w:r>
      <w:r w:rsidR="0086169D">
        <w:t xml:space="preserve">also </w:t>
      </w:r>
      <w:r>
        <w:t xml:space="preserve">allow project sponsors to </w:t>
      </w:r>
      <w:r w:rsidRPr="009F4D1A">
        <w:t>reduce construction impacts to extensive and heavily vegetated wetland areas by reducing the number of trips into and out of wetlands with heavy equipment and trucks to remove woody vegetation</w:t>
      </w:r>
      <w:r w:rsidR="0086169D">
        <w:t xml:space="preserve">.  </w:t>
      </w:r>
      <w:r w:rsidR="006F140B">
        <w:t>Without this language, companies may be less inclined to pursue a variance and would not routinely r</w:t>
      </w:r>
      <w:r w:rsidR="0086169D">
        <w:t>educ</w:t>
      </w:r>
      <w:r w:rsidR="006F140B">
        <w:t>e</w:t>
      </w:r>
      <w:r w:rsidR="0086169D">
        <w:t xml:space="preserve"> equipment traffic</w:t>
      </w:r>
      <w:r w:rsidR="006F140B">
        <w:t xml:space="preserve"> in wetlands to</w:t>
      </w:r>
      <w:r w:rsidRPr="009F4D1A">
        <w:t xml:space="preserve"> minimize erosion, soil compaction, and unintentional soil transport into wetlands.   </w:t>
      </w:r>
    </w:p>
    <w:p w:rsidR="009F4D1A" w:rsidRDefault="009F4D1A" w:rsidP="002C4A1B"/>
    <w:p w:rsidR="009F4D1A" w:rsidRDefault="009F4D1A" w:rsidP="002C4A1B">
      <w:r>
        <w:t xml:space="preserve">New criteria related to monitoring and recording the success of wetland revegetation </w:t>
      </w:r>
      <w:r w:rsidRPr="009F4D1A">
        <w:t>provide</w:t>
      </w:r>
      <w:r>
        <w:t>s a more achievable performance metric a</w:t>
      </w:r>
      <w:r w:rsidRPr="009F4D1A">
        <w:t>nd address</w:t>
      </w:r>
      <w:r>
        <w:t>es</w:t>
      </w:r>
      <w:r w:rsidRPr="009F4D1A">
        <w:t xml:space="preserve"> the variability in revegetation techniques</w:t>
      </w:r>
      <w:r>
        <w:t xml:space="preserve"> (active seeding vs. passive regeneration)</w:t>
      </w:r>
      <w:r w:rsidRPr="009F4D1A">
        <w:t xml:space="preserve">.  In addition, restoration to pre-construction cover is provided as an alternative to an off right-of-way comparison, as it is more common place for companies to retain this data today than in years past.  </w:t>
      </w:r>
    </w:p>
    <w:p w:rsidR="009F4D1A" w:rsidRDefault="009F4D1A" w:rsidP="002C4A1B"/>
    <w:p w:rsidR="009F4D1A" w:rsidRDefault="009F4D1A" w:rsidP="002C4A1B">
      <w:pPr>
        <w:rPr>
          <w:szCs w:val="26"/>
        </w:rPr>
      </w:pPr>
      <w:r>
        <w:t xml:space="preserve">Finally, a new annual reporting requirement if wetlands fail to revegetate after three years </w:t>
      </w:r>
      <w:r w:rsidRPr="009F4D1A">
        <w:t>provides staff with necessary feedback on wetland revegetation efforts</w:t>
      </w:r>
      <w:r>
        <w:t xml:space="preserve"> to ensure successful restoration of these sensitive resources</w:t>
      </w:r>
      <w:r w:rsidRPr="009F4D1A">
        <w:t>.</w:t>
      </w:r>
      <w:r w:rsidR="006F140B">
        <w:t xml:space="preserve">  Without this requirement, project sponsors and the FERC staff will not have a consistent means to keep track of these wetland restoration efforts that may extend for several years after the typical post-construction reporting timeframes.</w:t>
      </w:r>
    </w:p>
    <w:p w:rsidR="00F80EAD" w:rsidRDefault="00F80EAD" w:rsidP="00751EF6">
      <w:pPr>
        <w:ind w:left="360"/>
      </w:pPr>
    </w:p>
    <w:p w:rsidR="00F80EAD" w:rsidRPr="00373009" w:rsidRDefault="00604CAC" w:rsidP="00751EF6">
      <w:pPr>
        <w:numPr>
          <w:ilvl w:val="0"/>
          <w:numId w:val="7"/>
        </w:numPr>
        <w:rPr>
          <w:b/>
        </w:rPr>
      </w:pPr>
      <w:r w:rsidRPr="00373009">
        <w:rPr>
          <w:b/>
        </w:rPr>
        <w:lastRenderedPageBreak/>
        <w:t>DESCRIBE ANY CONSIDERATION OF THE USE OF IMPROVED INFORMATION TECHNOLOGY TO REDUCE THE BURDEN AND TECHNICAL  OR LEGAL OBSTACLES TO REDUCING BURDEN</w:t>
      </w:r>
    </w:p>
    <w:p w:rsidR="006B6C2A" w:rsidRDefault="006B6C2A" w:rsidP="006B6C2A">
      <w:pPr>
        <w:ind w:left="360"/>
      </w:pPr>
    </w:p>
    <w:p w:rsidR="00FC3AE9" w:rsidRDefault="006B6C2A" w:rsidP="002C4A1B">
      <w:r w:rsidRPr="006B6C2A">
        <w:t>The Commission is engaged in continuous efforts to determine the potential for and value of improved information technology to reduce the burden on stakeholders.  As of January 2013, certificate applications and other related environmental materials can be filed electronically, along with a requirement for three hard copies to be delivered</w:t>
      </w:r>
      <w:r w:rsidR="0078575B">
        <w:t xml:space="preserve"> to</w:t>
      </w:r>
      <w:r w:rsidRPr="006B6C2A">
        <w:t xml:space="preserve"> staff as a courtesy.  This represents a </w:t>
      </w:r>
      <w:r>
        <w:t>reduction</w:t>
      </w:r>
      <w:r w:rsidRPr="006B6C2A">
        <w:t xml:space="preserve"> from the previous requirement for an original and seven copies.  At present, the majority of the filings in connection with the environmental review of projects are made electronically.  However, due to their size and complexity, maps and engineering drawings that are submitted as required exhibits with an application may not readily lend themselves to the use of electronic media.   As the Commission increases its use of electronic media for filing, storage, retrieval, and tracking of information and documents, greater uniformity in filing procedures, where practical, will greatly expedite and simplify conversion to electronic media.</w:t>
      </w:r>
    </w:p>
    <w:p w:rsidR="006B6C2A" w:rsidRPr="00604CAC" w:rsidRDefault="006B6C2A" w:rsidP="00FC3AE9"/>
    <w:p w:rsidR="006B6C2A" w:rsidRPr="00373009" w:rsidRDefault="006B6C2A" w:rsidP="00751EF6">
      <w:pPr>
        <w:numPr>
          <w:ilvl w:val="0"/>
          <w:numId w:val="7"/>
        </w:numPr>
        <w:rPr>
          <w:b/>
        </w:rPr>
      </w:pPr>
      <w:r w:rsidRPr="00373009">
        <w:rPr>
          <w:b/>
        </w:rPr>
        <w:t>DESCRIBE EFFORTS TO IDENTIFY DUPLICATION AND SHOW SPECIFICALLY WHY ANY SIMILAR INFORMATION ALREADY AVAILABLE CANNOT BE USED O</w:t>
      </w:r>
      <w:r w:rsidR="007F6637">
        <w:rPr>
          <w:b/>
        </w:rPr>
        <w:t>R</w:t>
      </w:r>
      <w:r w:rsidRPr="00373009">
        <w:rPr>
          <w:b/>
        </w:rPr>
        <w:t xml:space="preserve"> MODIFIED FOR USE FOR THE PURPOSES DESCRIBED IN INSTRUCTION NO. 2</w:t>
      </w:r>
    </w:p>
    <w:p w:rsidR="006B6C2A" w:rsidRDefault="006B6C2A" w:rsidP="006B6C2A">
      <w:pPr>
        <w:ind w:left="360"/>
      </w:pPr>
    </w:p>
    <w:p w:rsidR="006B6C2A" w:rsidRDefault="006B6C2A" w:rsidP="002C4A1B">
      <w:r>
        <w:t xml:space="preserve">Filing requirements are periodically reviewed as OMB review dates arise or as the Commission may deem necessary in carrying out its regulatory responsibilities under the NGA in an effort to alleviate duplication.  All Commission information collections are subject to analysis by Commission staff and are examined for redundancy.  </w:t>
      </w:r>
    </w:p>
    <w:p w:rsidR="006B6C2A" w:rsidRDefault="006B6C2A" w:rsidP="002C4A1B"/>
    <w:p w:rsidR="006B6C2A" w:rsidRDefault="006B6C2A" w:rsidP="002C4A1B">
      <w:r>
        <w:t>The applicant proposing the project is the only source of the required information.</w:t>
      </w:r>
    </w:p>
    <w:p w:rsidR="00FC3AE9" w:rsidRDefault="00FC3AE9" w:rsidP="002C4A1B"/>
    <w:p w:rsidR="00FC3AE9" w:rsidRDefault="00FC3AE9" w:rsidP="002C4A1B">
      <w:r>
        <w:t>The information generated and reported as part of the Plan and Procedures is not available from any other sources</w:t>
      </w:r>
      <w:r w:rsidRPr="0077045D">
        <w:t>.</w:t>
      </w:r>
    </w:p>
    <w:p w:rsidR="006B6C2A" w:rsidRDefault="006B6C2A" w:rsidP="006B6C2A">
      <w:pPr>
        <w:ind w:left="360"/>
      </w:pPr>
    </w:p>
    <w:p w:rsidR="006B6C2A" w:rsidRPr="00373009" w:rsidRDefault="006B6C2A" w:rsidP="00751EF6">
      <w:pPr>
        <w:numPr>
          <w:ilvl w:val="0"/>
          <w:numId w:val="7"/>
        </w:numPr>
        <w:rPr>
          <w:b/>
        </w:rPr>
      </w:pPr>
      <w:r w:rsidRPr="00373009">
        <w:rPr>
          <w:b/>
        </w:rPr>
        <w:t>METHODS USED TO MINIMIZE THE BURDEN IN COLLECTION OF INFORMATION INVOLVING SMALL ENTITIES</w:t>
      </w:r>
    </w:p>
    <w:p w:rsidR="006B6C2A" w:rsidRDefault="006B6C2A" w:rsidP="006B6C2A">
      <w:pPr>
        <w:ind w:left="360"/>
      </w:pPr>
    </w:p>
    <w:p w:rsidR="00D270CA" w:rsidRDefault="004A33E6" w:rsidP="002C4A1B">
      <w:r>
        <w:t xml:space="preserve">The information requirements under FERC-577 apply </w:t>
      </w:r>
      <w:r w:rsidR="00A11405">
        <w:t xml:space="preserve">only </w:t>
      </w:r>
      <w:r>
        <w:t xml:space="preserve">to </w:t>
      </w:r>
      <w:r w:rsidR="0090223C">
        <w:t>natural gas companies</w:t>
      </w:r>
      <w:r w:rsidR="00A11405">
        <w:t xml:space="preserve"> that are or would be transporting natural gas in interstate commerce, or importing or exporting natural gas</w:t>
      </w:r>
      <w:r>
        <w:t xml:space="preserve">.  </w:t>
      </w:r>
      <w:r w:rsidR="00A11405">
        <w:t xml:space="preserve">Based on the Commission’s experience, </w:t>
      </w:r>
      <w:r w:rsidR="00C2320B">
        <w:t>few</w:t>
      </w:r>
      <w:r>
        <w:t xml:space="preserve"> of the companies regulated by the Commission fall within the Regulatory Flexibility Act’s definition of a small entity.</w:t>
      </w:r>
      <w:r w:rsidR="00D802AC">
        <w:t xml:space="preserve">  </w:t>
      </w:r>
    </w:p>
    <w:p w:rsidR="009B0454" w:rsidRDefault="009B0454" w:rsidP="00D270CA"/>
    <w:p w:rsidR="006B6C2A" w:rsidRPr="00373009" w:rsidRDefault="006B6C2A" w:rsidP="00751EF6">
      <w:pPr>
        <w:numPr>
          <w:ilvl w:val="0"/>
          <w:numId w:val="7"/>
        </w:numPr>
        <w:rPr>
          <w:b/>
        </w:rPr>
      </w:pPr>
      <w:r w:rsidRPr="00373009">
        <w:rPr>
          <w:b/>
        </w:rPr>
        <w:lastRenderedPageBreak/>
        <w:t>CONSEQUENCE TO FEDERAL PROGRAM I</w:t>
      </w:r>
      <w:r w:rsidR="00964212">
        <w:rPr>
          <w:b/>
        </w:rPr>
        <w:t>F</w:t>
      </w:r>
      <w:r w:rsidRPr="00373009">
        <w:rPr>
          <w:b/>
        </w:rPr>
        <w:t xml:space="preserve"> COLLECTION WERE CONDUCTED LESS </w:t>
      </w:r>
      <w:r w:rsidR="008B3365" w:rsidRPr="00373009">
        <w:rPr>
          <w:b/>
        </w:rPr>
        <w:t>FREQUENTLY</w:t>
      </w:r>
    </w:p>
    <w:p w:rsidR="006B6C2A" w:rsidRDefault="006B6C2A" w:rsidP="006B6C2A">
      <w:pPr>
        <w:ind w:left="360"/>
      </w:pPr>
    </w:p>
    <w:p w:rsidR="00C2320B" w:rsidRDefault="00C2320B" w:rsidP="002C4A1B">
      <w:pPr>
        <w:rPr>
          <w:szCs w:val="26"/>
        </w:rPr>
      </w:pPr>
      <w:r w:rsidRPr="00604CAC">
        <w:rPr>
          <w:szCs w:val="26"/>
        </w:rPr>
        <w:t>FERC-577 data collections are required for statutory purposes and cannot be discontinued.  The consequences of not collecting this information are that the Commission would be unable to fulfill its statutory mandates under its Rules of Practice and Procedure</w:t>
      </w:r>
      <w:r>
        <w:rPr>
          <w:szCs w:val="26"/>
        </w:rPr>
        <w:t xml:space="preserve">, and in compliance with </w:t>
      </w:r>
      <w:proofErr w:type="spellStart"/>
      <w:r w:rsidRPr="00604CAC">
        <w:rPr>
          <w:szCs w:val="26"/>
        </w:rPr>
        <w:t>EPAct</w:t>
      </w:r>
      <w:proofErr w:type="spellEnd"/>
      <w:r w:rsidRPr="00604CAC">
        <w:rPr>
          <w:szCs w:val="26"/>
        </w:rPr>
        <w:t xml:space="preserve"> 2005, NGA, and NEPA.  </w:t>
      </w:r>
    </w:p>
    <w:p w:rsidR="00D270CA" w:rsidRDefault="00D270CA" w:rsidP="00D270CA">
      <w:pPr>
        <w:pStyle w:val="FERCparanumber"/>
        <w:numPr>
          <w:ilvl w:val="0"/>
          <w:numId w:val="0"/>
        </w:numPr>
      </w:pPr>
    </w:p>
    <w:p w:rsidR="008B3365" w:rsidRPr="00F352A1" w:rsidRDefault="008B3365" w:rsidP="00751EF6">
      <w:pPr>
        <w:numPr>
          <w:ilvl w:val="0"/>
          <w:numId w:val="7"/>
        </w:numPr>
        <w:rPr>
          <w:b/>
        </w:rPr>
      </w:pPr>
      <w:r w:rsidRPr="00F352A1">
        <w:rPr>
          <w:b/>
        </w:rPr>
        <w:t>EXPLAIN ANY SPECIAL CIRCUMSTANCES RELATING TO THE INFORMATION COLLECTION</w:t>
      </w:r>
    </w:p>
    <w:p w:rsidR="008B3365" w:rsidRDefault="008B3365" w:rsidP="008B3365">
      <w:pPr>
        <w:ind w:left="360"/>
        <w:rPr>
          <w:szCs w:val="26"/>
        </w:rPr>
      </w:pPr>
    </w:p>
    <w:p w:rsidR="00F352A1" w:rsidRDefault="00F352A1" w:rsidP="002C4A1B">
      <w:r>
        <w:t>There are two special circumstances related to this collection.</w:t>
      </w:r>
    </w:p>
    <w:p w:rsidR="00F352A1" w:rsidRDefault="00F352A1" w:rsidP="002C4A1B"/>
    <w:p w:rsidR="008B3365" w:rsidRDefault="008B3365" w:rsidP="002C4A1B">
      <w:r>
        <w:t xml:space="preserve">The amount and frequency of the information collection is </w:t>
      </w:r>
      <w:r w:rsidR="00EB284B">
        <w:t xml:space="preserve">highly variable and largely </w:t>
      </w:r>
      <w:r>
        <w:t>based on the completeness of an applicant’s filing</w:t>
      </w:r>
      <w:r w:rsidR="00EB284B">
        <w:t>s</w:t>
      </w:r>
      <w:r>
        <w:t xml:space="preserve"> </w:t>
      </w:r>
      <w:r w:rsidR="00EB284B">
        <w:t xml:space="preserve">throughout the environmental review process.  </w:t>
      </w:r>
      <w:r w:rsidR="00F352A1">
        <w:t xml:space="preserve">An applicant may have to file information more often than quarterly.  </w:t>
      </w:r>
      <w:r w:rsidR="00EB284B">
        <w:t xml:space="preserve">Factors that affect information collection include the location and </w:t>
      </w:r>
      <w:r>
        <w:t>complexity of the project</w:t>
      </w:r>
      <w:r w:rsidR="00F64196">
        <w:t xml:space="preserve"> in addition to</w:t>
      </w:r>
      <w:r>
        <w:t xml:space="preserve"> </w:t>
      </w:r>
      <w:r w:rsidR="00A5248A">
        <w:t>the level of stakeholder involvement</w:t>
      </w:r>
      <w:r>
        <w:t>.</w:t>
      </w:r>
    </w:p>
    <w:p w:rsidR="0078575B" w:rsidRDefault="0078575B" w:rsidP="002C4A1B"/>
    <w:p w:rsidR="0078575B" w:rsidRDefault="00F64196" w:rsidP="002C4A1B">
      <w:r>
        <w:t>FERC requires three</w:t>
      </w:r>
      <w:r w:rsidR="00F352A1">
        <w:t xml:space="preserve"> paper copies for staff as a courtesy to assist with staff review, processing, and collaboration.</w:t>
      </w:r>
    </w:p>
    <w:p w:rsidR="00374EA5" w:rsidRDefault="00374EA5" w:rsidP="002C4A1B"/>
    <w:p w:rsidR="008B3365" w:rsidRPr="00D868E1" w:rsidRDefault="008B3365" w:rsidP="00D868E1">
      <w:pPr>
        <w:ind w:left="360"/>
        <w:rPr>
          <w:b/>
        </w:rPr>
      </w:pPr>
    </w:p>
    <w:p w:rsidR="008B3365" w:rsidRPr="00D868E1" w:rsidRDefault="008B3365" w:rsidP="00751EF6">
      <w:pPr>
        <w:numPr>
          <w:ilvl w:val="0"/>
          <w:numId w:val="7"/>
        </w:numPr>
        <w:rPr>
          <w:b/>
        </w:rPr>
      </w:pPr>
      <w:r w:rsidRPr="00373009">
        <w:rPr>
          <w:b/>
        </w:rPr>
        <w:t xml:space="preserve">DESCRIBE EFFORTS TO CONSULT OUTSIDE THE AGENCY:  SUMMARIZE PUBLIC COMMENTS AND THE </w:t>
      </w:r>
      <w:r w:rsidR="00DA2814" w:rsidRPr="00373009">
        <w:rPr>
          <w:b/>
        </w:rPr>
        <w:t>AGENCY’S</w:t>
      </w:r>
      <w:r w:rsidRPr="00373009">
        <w:rPr>
          <w:b/>
        </w:rPr>
        <w:t xml:space="preserve"> RESPONSE</w:t>
      </w:r>
    </w:p>
    <w:p w:rsidR="00D270CA" w:rsidRPr="00751EF6" w:rsidRDefault="00D270CA" w:rsidP="00751EF6">
      <w:pPr>
        <w:rPr>
          <w:szCs w:val="26"/>
        </w:rPr>
      </w:pPr>
    </w:p>
    <w:p w:rsidR="00F13662" w:rsidRDefault="00D270CA" w:rsidP="002C4A1B">
      <w:pPr>
        <w:rPr>
          <w:szCs w:val="26"/>
        </w:rPr>
      </w:pPr>
      <w:r w:rsidRPr="00F352A1">
        <w:rPr>
          <w:szCs w:val="26"/>
        </w:rPr>
        <w:t>In accordance with the requirements of the Paperwork Reduction Act of 1995</w:t>
      </w:r>
      <w:r w:rsidRPr="00F352A1">
        <w:rPr>
          <w:rStyle w:val="FootnoteReference"/>
        </w:rPr>
        <w:footnoteReference w:id="1"/>
      </w:r>
      <w:r w:rsidRPr="00F352A1">
        <w:rPr>
          <w:szCs w:val="26"/>
        </w:rPr>
        <w:t xml:space="preserve">, the Commission issued a request for comments on the </w:t>
      </w:r>
      <w:r w:rsidR="00374EA5">
        <w:rPr>
          <w:szCs w:val="26"/>
        </w:rPr>
        <w:t xml:space="preserve">changes to the Plan and Procedures under </w:t>
      </w:r>
      <w:r w:rsidRPr="00F352A1">
        <w:rPr>
          <w:szCs w:val="26"/>
        </w:rPr>
        <w:t>FERC-5</w:t>
      </w:r>
      <w:r w:rsidR="00017D57" w:rsidRPr="00F352A1">
        <w:rPr>
          <w:szCs w:val="26"/>
        </w:rPr>
        <w:t>77</w:t>
      </w:r>
      <w:r w:rsidRPr="00F352A1">
        <w:rPr>
          <w:szCs w:val="26"/>
        </w:rPr>
        <w:t>.  The information collection and request</w:t>
      </w:r>
      <w:r w:rsidR="00964212">
        <w:rPr>
          <w:szCs w:val="26"/>
        </w:rPr>
        <w:t>s</w:t>
      </w:r>
      <w:r w:rsidRPr="00F352A1">
        <w:rPr>
          <w:szCs w:val="26"/>
        </w:rPr>
        <w:t xml:space="preserve"> for comments w</w:t>
      </w:r>
      <w:r w:rsidR="00964212">
        <w:rPr>
          <w:szCs w:val="26"/>
        </w:rPr>
        <w:t>ere</w:t>
      </w:r>
      <w:r w:rsidRPr="00F352A1">
        <w:rPr>
          <w:szCs w:val="26"/>
        </w:rPr>
        <w:t xml:space="preserve"> published in the </w:t>
      </w:r>
      <w:r w:rsidRPr="00F352A1">
        <w:rPr>
          <w:szCs w:val="26"/>
          <w:u w:val="single"/>
        </w:rPr>
        <w:t>Federal Register</w:t>
      </w:r>
      <w:r w:rsidRPr="00F352A1">
        <w:rPr>
          <w:szCs w:val="26"/>
        </w:rPr>
        <w:t xml:space="preserve"> on </w:t>
      </w:r>
      <w:r w:rsidR="00F13662">
        <w:rPr>
          <w:szCs w:val="26"/>
        </w:rPr>
        <w:t xml:space="preserve">August 7, 2013 (77 FR 47063).  </w:t>
      </w:r>
    </w:p>
    <w:p w:rsidR="00F13662" w:rsidRDefault="00F13662" w:rsidP="002C4A1B">
      <w:pPr>
        <w:rPr>
          <w:szCs w:val="26"/>
        </w:rPr>
      </w:pPr>
    </w:p>
    <w:p w:rsidR="00926344" w:rsidRDefault="00F13662" w:rsidP="00D270CA">
      <w:pPr>
        <w:rPr>
          <w:szCs w:val="26"/>
        </w:rPr>
      </w:pPr>
      <w:r w:rsidRPr="0077045D">
        <w:rPr>
          <w:szCs w:val="26"/>
        </w:rPr>
        <w:t xml:space="preserve">The Commission </w:t>
      </w:r>
      <w:r w:rsidR="00E038A9">
        <w:t xml:space="preserve">received no comments directly related to the practical utility of the information or the accuracy of the burden estimates.  </w:t>
      </w:r>
      <w:r w:rsidR="00926344">
        <w:t>The Commission</w:t>
      </w:r>
      <w:r w:rsidR="00E038A9">
        <w:t xml:space="preserve"> did</w:t>
      </w:r>
      <w:r w:rsidR="007D0743">
        <w:t>, however,</w:t>
      </w:r>
      <w:r w:rsidR="00E038A9">
        <w:t xml:space="preserve"> receive </w:t>
      </w:r>
      <w:r w:rsidR="00721B66">
        <w:t xml:space="preserve">26 individual comment letters that </w:t>
      </w:r>
      <w:r w:rsidR="00E038A9">
        <w:t>suggest</w:t>
      </w:r>
      <w:r w:rsidR="00721B66">
        <w:t>ed</w:t>
      </w:r>
      <w:r w:rsidR="00E038A9">
        <w:t xml:space="preserve"> ways to clarify and improve the nature of the information collected</w:t>
      </w:r>
      <w:r w:rsidR="00721B66">
        <w:t>.  Comments were received from</w:t>
      </w:r>
      <w:r w:rsidR="00721B66">
        <w:rPr>
          <w:szCs w:val="26"/>
        </w:rPr>
        <w:t xml:space="preserve"> </w:t>
      </w:r>
      <w:r w:rsidR="00721B66" w:rsidRPr="00E92D90">
        <w:rPr>
          <w:szCs w:val="26"/>
        </w:rPr>
        <w:t xml:space="preserve">the natural gas industry, federal, state and local agencies, environmental consultants, inspectors, construction contractors, nongovernmental organizations and other interested parties with special expertise with respect to </w:t>
      </w:r>
      <w:r w:rsidR="00721B66">
        <w:rPr>
          <w:szCs w:val="26"/>
        </w:rPr>
        <w:t xml:space="preserve">natural gas </w:t>
      </w:r>
      <w:r w:rsidR="00721B66">
        <w:rPr>
          <w:szCs w:val="26"/>
        </w:rPr>
        <w:lastRenderedPageBreak/>
        <w:t>facility construction</w:t>
      </w:r>
      <w:r w:rsidR="004C6D88">
        <w:rPr>
          <w:szCs w:val="26"/>
        </w:rPr>
        <w:t xml:space="preserve">.  </w:t>
      </w:r>
      <w:r w:rsidR="00926344">
        <w:rPr>
          <w:szCs w:val="26"/>
        </w:rPr>
        <w:t xml:space="preserve">The Commission </w:t>
      </w:r>
      <w:r w:rsidR="000142A6">
        <w:rPr>
          <w:szCs w:val="26"/>
        </w:rPr>
        <w:t>analyzed all of the filed comments, and made revisions as appropriate</w:t>
      </w:r>
      <w:r w:rsidR="00926344">
        <w:rPr>
          <w:szCs w:val="26"/>
        </w:rPr>
        <w:t xml:space="preserve">.  </w:t>
      </w:r>
    </w:p>
    <w:p w:rsidR="00926344" w:rsidRDefault="00926344" w:rsidP="00D270CA">
      <w:pPr>
        <w:rPr>
          <w:szCs w:val="26"/>
        </w:rPr>
      </w:pPr>
    </w:p>
    <w:p w:rsidR="0077045D" w:rsidRDefault="006F140B" w:rsidP="00D270CA">
      <w:pPr>
        <w:rPr>
          <w:szCs w:val="26"/>
        </w:rPr>
      </w:pPr>
      <w:r>
        <w:rPr>
          <w:szCs w:val="26"/>
        </w:rPr>
        <w:t xml:space="preserve">We received comments from </w:t>
      </w:r>
      <w:r w:rsidR="009F62F6">
        <w:rPr>
          <w:szCs w:val="26"/>
        </w:rPr>
        <w:t xml:space="preserve">industry stakeholder groups including the </w:t>
      </w:r>
      <w:r w:rsidR="009F62F6" w:rsidRPr="00BA5EFE">
        <w:t xml:space="preserve">Interstate Natural Gas Association of </w:t>
      </w:r>
      <w:r w:rsidR="009F62F6">
        <w:rPr>
          <w:szCs w:val="26"/>
        </w:rPr>
        <w:t xml:space="preserve">requesting </w:t>
      </w:r>
      <w:r w:rsidR="004C6D88">
        <w:rPr>
          <w:szCs w:val="26"/>
        </w:rPr>
        <w:t xml:space="preserve">that </w:t>
      </w:r>
      <w:r w:rsidR="009F62F6">
        <w:rPr>
          <w:szCs w:val="26"/>
        </w:rPr>
        <w:t xml:space="preserve">the </w:t>
      </w:r>
      <w:r w:rsidR="00926344">
        <w:rPr>
          <w:szCs w:val="26"/>
        </w:rPr>
        <w:t>Commission</w:t>
      </w:r>
      <w:r w:rsidR="004C6D88">
        <w:rPr>
          <w:szCs w:val="26"/>
        </w:rPr>
        <w:t xml:space="preserve"> </w:t>
      </w:r>
      <w:r w:rsidR="0054222D">
        <w:rPr>
          <w:szCs w:val="26"/>
        </w:rPr>
        <w:t>preserve</w:t>
      </w:r>
      <w:r w:rsidR="004C6D88">
        <w:rPr>
          <w:szCs w:val="26"/>
        </w:rPr>
        <w:t xml:space="preserve"> the overall structure and performance</w:t>
      </w:r>
      <w:r w:rsidR="00193392">
        <w:rPr>
          <w:szCs w:val="26"/>
        </w:rPr>
        <w:t>-</w:t>
      </w:r>
      <w:r w:rsidR="004C6D88">
        <w:rPr>
          <w:szCs w:val="26"/>
        </w:rPr>
        <w:t xml:space="preserve">based nature of the </w:t>
      </w:r>
      <w:r w:rsidR="00193392">
        <w:rPr>
          <w:szCs w:val="26"/>
        </w:rPr>
        <w:t xml:space="preserve">Plan and Procedures, due to the wide acceptance and successful implementation of the established measures.  </w:t>
      </w:r>
      <w:r w:rsidR="009F62F6">
        <w:rPr>
          <w:szCs w:val="26"/>
        </w:rPr>
        <w:t xml:space="preserve">Alternatively, we received comments from agencies and product manufacturers requesting more prescriptive requirements and less flexibility.  Some stakeholder groups, nongovernmental organizations, and private individuals requested more specificity and restrictive practices that we were unable to incorporate into the revisions.  </w:t>
      </w:r>
      <w:r w:rsidR="009F62F6">
        <w:rPr>
          <w:szCs w:val="26"/>
        </w:rPr>
        <w:t xml:space="preserve">The Plan and Procedures current structure represents a mix of quantitative requirements and qualitative performance based measures.  FERC staff preserved this existing structure to provide the necessary flexibility for adaptation on projects across the United States and widely ranging site conditions, while ensuring the measures are achievable and implementable for linear construction projects.  </w:t>
      </w:r>
    </w:p>
    <w:p w:rsidR="0077045D" w:rsidRDefault="0077045D" w:rsidP="00D270CA">
      <w:pPr>
        <w:rPr>
          <w:szCs w:val="26"/>
        </w:rPr>
      </w:pPr>
    </w:p>
    <w:p w:rsidR="0077045D" w:rsidRPr="009F62F6" w:rsidRDefault="00925256" w:rsidP="00D270CA">
      <w:r>
        <w:rPr>
          <w:szCs w:val="26"/>
        </w:rPr>
        <w:t xml:space="preserve">Agency representatives </w:t>
      </w:r>
      <w:r w:rsidR="009F62F6">
        <w:t xml:space="preserve">including </w:t>
      </w:r>
      <w:r w:rsidR="009F62F6">
        <w:rPr>
          <w:szCs w:val="26"/>
        </w:rPr>
        <w:t xml:space="preserve">the </w:t>
      </w:r>
      <w:r w:rsidR="009F62F6" w:rsidRPr="00BA5EFE">
        <w:t>Pennsylvania Department of Environmental Protection</w:t>
      </w:r>
      <w:r w:rsidR="009F62F6">
        <w:rPr>
          <w:szCs w:val="26"/>
        </w:rPr>
        <w:t xml:space="preserve"> </w:t>
      </w:r>
      <w:r>
        <w:rPr>
          <w:szCs w:val="26"/>
        </w:rPr>
        <w:t xml:space="preserve">were </w:t>
      </w:r>
      <w:r w:rsidR="003D6E48">
        <w:rPr>
          <w:szCs w:val="26"/>
        </w:rPr>
        <w:t xml:space="preserve">also </w:t>
      </w:r>
      <w:r>
        <w:rPr>
          <w:szCs w:val="26"/>
        </w:rPr>
        <w:t xml:space="preserve">largely in support of the existing structure of the </w:t>
      </w:r>
      <w:r w:rsidR="003D6E48">
        <w:rPr>
          <w:szCs w:val="26"/>
        </w:rPr>
        <w:t>Plan and Procedures</w:t>
      </w:r>
      <w:r w:rsidR="00745C44">
        <w:rPr>
          <w:szCs w:val="26"/>
        </w:rPr>
        <w:t>.  I</w:t>
      </w:r>
      <w:r>
        <w:rPr>
          <w:szCs w:val="26"/>
        </w:rPr>
        <w:t xml:space="preserve">ndustry and agency </w:t>
      </w:r>
      <w:r w:rsidR="00193392">
        <w:rPr>
          <w:szCs w:val="26"/>
        </w:rPr>
        <w:t>representatives</w:t>
      </w:r>
      <w:r w:rsidR="00745C44">
        <w:rPr>
          <w:szCs w:val="26"/>
        </w:rPr>
        <w:t xml:space="preserve">, as well as various stakeholder groups </w:t>
      </w:r>
      <w:r w:rsidR="0054222D">
        <w:rPr>
          <w:szCs w:val="26"/>
        </w:rPr>
        <w:t xml:space="preserve">did </w:t>
      </w:r>
      <w:r w:rsidR="00193392">
        <w:rPr>
          <w:szCs w:val="26"/>
        </w:rPr>
        <w:t>request minor clarificati</w:t>
      </w:r>
      <w:r w:rsidR="003D6E48">
        <w:rPr>
          <w:szCs w:val="26"/>
        </w:rPr>
        <w:t xml:space="preserve">ons on a number of resource protection issues.  </w:t>
      </w:r>
      <w:r w:rsidR="009F62F6">
        <w:rPr>
          <w:szCs w:val="26"/>
        </w:rPr>
        <w:t>Requests for clarifications were received from federal agencies (</w:t>
      </w:r>
      <w:r w:rsidR="009F62F6" w:rsidRPr="00BA5EFE">
        <w:t>U.S. Fish and Wildlife Service</w:t>
      </w:r>
      <w:r w:rsidR="009F62F6">
        <w:rPr>
          <w:szCs w:val="26"/>
        </w:rPr>
        <w:t xml:space="preserve">, </w:t>
      </w:r>
      <w:r w:rsidR="009F62F6" w:rsidRPr="00BA5EFE">
        <w:t>NOAA</w:t>
      </w:r>
      <w:r w:rsidR="009F62F6">
        <w:t xml:space="preserve"> </w:t>
      </w:r>
      <w:r w:rsidR="009F62F6" w:rsidRPr="00BA5EFE">
        <w:t>N</w:t>
      </w:r>
      <w:r w:rsidR="009F62F6">
        <w:t xml:space="preserve">ational </w:t>
      </w:r>
      <w:r w:rsidR="009F62F6" w:rsidRPr="00BA5EFE">
        <w:t>M</w:t>
      </w:r>
      <w:r w:rsidR="009F62F6">
        <w:t xml:space="preserve">arine </w:t>
      </w:r>
      <w:r w:rsidR="009F62F6" w:rsidRPr="00BA5EFE">
        <w:t>F</w:t>
      </w:r>
      <w:r w:rsidR="009F62F6">
        <w:t xml:space="preserve">isheries </w:t>
      </w:r>
      <w:r w:rsidR="009F62F6" w:rsidRPr="00BA5EFE">
        <w:t>S</w:t>
      </w:r>
      <w:r w:rsidR="009F62F6">
        <w:t>ervice,</w:t>
      </w:r>
      <w:r w:rsidR="009F62F6">
        <w:rPr>
          <w:szCs w:val="26"/>
        </w:rPr>
        <w:t xml:space="preserve"> </w:t>
      </w:r>
      <w:r w:rsidR="009F62F6" w:rsidRPr="00BA5EFE">
        <w:t>U.S. Environmental Protection Agency</w:t>
      </w:r>
      <w:r w:rsidR="009F62F6">
        <w:t>);, state and local agencies (</w:t>
      </w:r>
      <w:r w:rsidR="009F62F6" w:rsidRPr="00BA5EFE">
        <w:t>New York State Department of Environmental Conservation</w:t>
      </w:r>
      <w:r w:rsidR="009F62F6">
        <w:rPr>
          <w:szCs w:val="26"/>
        </w:rPr>
        <w:t xml:space="preserve">, </w:t>
      </w:r>
      <w:r w:rsidR="009F62F6" w:rsidRPr="00BA5EFE">
        <w:t>Iowa Utilities Board</w:t>
      </w:r>
      <w:r w:rsidR="009F62F6">
        <w:t>,</w:t>
      </w:r>
      <w:r w:rsidR="009F62F6" w:rsidRPr="00BA5EFE">
        <w:t xml:space="preserve"> Iowa Office of Consumer Advocate</w:t>
      </w:r>
      <w:r w:rsidR="009F62F6">
        <w:t xml:space="preserve">, </w:t>
      </w:r>
      <w:r w:rsidR="009F62F6" w:rsidRPr="00BA5EFE">
        <w:t>West Virginia Division of Natural Resources</w:t>
      </w:r>
      <w:r w:rsidR="009F62F6">
        <w:t>,</w:t>
      </w:r>
      <w:r w:rsidR="009F62F6" w:rsidRPr="00BA5EFE">
        <w:t xml:space="preserve"> City of New York</w:t>
      </w:r>
      <w:r w:rsidR="009F62F6">
        <w:rPr>
          <w:szCs w:val="26"/>
        </w:rPr>
        <w:t>); nongovernmental organizations (</w:t>
      </w:r>
      <w:r w:rsidR="009F62F6" w:rsidRPr="00BA5EFE">
        <w:t>National Audubon Society</w:t>
      </w:r>
      <w:r w:rsidR="009F62F6">
        <w:rPr>
          <w:szCs w:val="26"/>
        </w:rPr>
        <w:t xml:space="preserve">, </w:t>
      </w:r>
      <w:r w:rsidR="009F62F6" w:rsidRPr="00BA5EFE">
        <w:t xml:space="preserve">Delaware </w:t>
      </w:r>
      <w:proofErr w:type="spellStart"/>
      <w:r w:rsidR="009F62F6" w:rsidRPr="00BA5EFE">
        <w:t>Riverkeeper</w:t>
      </w:r>
      <w:proofErr w:type="spellEnd"/>
      <w:r w:rsidR="009F62F6" w:rsidRPr="00BA5EFE">
        <w:t xml:space="preserve"> Network</w:t>
      </w:r>
      <w:r w:rsidR="009F62F6">
        <w:t xml:space="preserve">, </w:t>
      </w:r>
      <w:r w:rsidR="009F62F6" w:rsidRPr="00BA5EFE">
        <w:t>Pipeline Safety Coalition</w:t>
      </w:r>
      <w:r w:rsidR="009F62F6">
        <w:t xml:space="preserve">, </w:t>
      </w:r>
      <w:r w:rsidR="009F62F6" w:rsidRPr="00BA5EFE">
        <w:t>Damascus Citizens for Sustainability and NYH2O</w:t>
      </w:r>
      <w:r w:rsidR="009F62F6">
        <w:t xml:space="preserve">, </w:t>
      </w:r>
      <w:r w:rsidR="009F62F6" w:rsidRPr="00BA5EFE">
        <w:t>League of Women Voters</w:t>
      </w:r>
      <w:r w:rsidR="009F62F6">
        <w:t xml:space="preserve">, </w:t>
      </w:r>
      <w:r w:rsidR="009F62F6" w:rsidRPr="00BA5EFE">
        <w:t>The Association of State Wetland Managers, Inc.</w:t>
      </w:r>
      <w:r w:rsidR="009F62F6">
        <w:t>); private individuals (</w:t>
      </w:r>
      <w:r w:rsidR="009F62F6" w:rsidRPr="00BA5EFE">
        <w:t xml:space="preserve">Ed </w:t>
      </w:r>
      <w:proofErr w:type="spellStart"/>
      <w:r w:rsidR="009F62F6" w:rsidRPr="00BA5EFE">
        <w:t>Wester</w:t>
      </w:r>
      <w:proofErr w:type="spellEnd"/>
      <w:r w:rsidR="009F62F6">
        <w:t xml:space="preserve">, </w:t>
      </w:r>
      <w:r w:rsidR="009F62F6" w:rsidRPr="00BA5EFE">
        <w:t xml:space="preserve">Karen </w:t>
      </w:r>
      <w:proofErr w:type="spellStart"/>
      <w:r w:rsidR="009F62F6" w:rsidRPr="00BA5EFE">
        <w:t>Feridun</w:t>
      </w:r>
      <w:proofErr w:type="spellEnd"/>
      <w:r w:rsidR="009F62F6">
        <w:t xml:space="preserve">, </w:t>
      </w:r>
      <w:r w:rsidR="009F62F6" w:rsidRPr="00BA5EFE">
        <w:t xml:space="preserve">Emily </w:t>
      </w:r>
      <w:proofErr w:type="spellStart"/>
      <w:r w:rsidR="009F62F6" w:rsidRPr="00BA5EFE">
        <w:t>Krafjack</w:t>
      </w:r>
      <w:proofErr w:type="spellEnd"/>
      <w:r w:rsidR="009F62F6">
        <w:t>); and regulated companies (</w:t>
      </w:r>
      <w:proofErr w:type="spellStart"/>
      <w:r w:rsidR="009F62F6" w:rsidRPr="00BA5EFE">
        <w:t>Equitrans</w:t>
      </w:r>
      <w:proofErr w:type="spellEnd"/>
      <w:r w:rsidR="009F62F6" w:rsidRPr="00BA5EFE">
        <w:t>, L.P.</w:t>
      </w:r>
      <w:r w:rsidR="009F62F6">
        <w:t xml:space="preserve">, </w:t>
      </w:r>
      <w:proofErr w:type="spellStart"/>
      <w:r w:rsidR="009F62F6" w:rsidRPr="00BA5EFE">
        <w:t>EnbridgeEnergy</w:t>
      </w:r>
      <w:proofErr w:type="spellEnd"/>
      <w:r w:rsidR="009F62F6">
        <w:t xml:space="preserve">, </w:t>
      </w:r>
      <w:r w:rsidR="009F62F6" w:rsidRPr="00BA5EFE">
        <w:t>Energy Transfer Partners L.P</w:t>
      </w:r>
      <w:r w:rsidR="009F62F6">
        <w:t xml:space="preserve">, </w:t>
      </w:r>
      <w:r w:rsidR="009F62F6" w:rsidRPr="00BA5EFE">
        <w:t>WBI Energy Transmission, Inc</w:t>
      </w:r>
      <w:r w:rsidR="009F62F6">
        <w:t xml:space="preserve">., </w:t>
      </w:r>
      <w:r w:rsidR="009F62F6" w:rsidRPr="00BA5EFE">
        <w:t>Spectra Energy Corp</w:t>
      </w:r>
      <w:r w:rsidR="009F62F6">
        <w:t xml:space="preserve">oration, CMS Energy).   Comments </w:t>
      </w:r>
      <w:r w:rsidR="000142A6">
        <w:rPr>
          <w:szCs w:val="26"/>
        </w:rPr>
        <w:t>addressed</w:t>
      </w:r>
      <w:r w:rsidR="003D6E48">
        <w:rPr>
          <w:szCs w:val="26"/>
        </w:rPr>
        <w:t xml:space="preserve"> topsoil protection, drain tile repair, agricultural restoration, wildlife protection, invasive species</w:t>
      </w:r>
      <w:r w:rsidR="005A53B9">
        <w:rPr>
          <w:szCs w:val="26"/>
        </w:rPr>
        <w:t xml:space="preserve"> management, erosion control methods and materials,</w:t>
      </w:r>
      <w:r w:rsidR="003D6E48">
        <w:rPr>
          <w:szCs w:val="26"/>
        </w:rPr>
        <w:t xml:space="preserve"> </w:t>
      </w:r>
      <w:r w:rsidR="007B53DE">
        <w:rPr>
          <w:szCs w:val="26"/>
        </w:rPr>
        <w:t xml:space="preserve">wetland and stream protection, </w:t>
      </w:r>
      <w:r w:rsidR="003D6E48">
        <w:rPr>
          <w:szCs w:val="26"/>
        </w:rPr>
        <w:t xml:space="preserve">and revegetation techniques.  </w:t>
      </w:r>
    </w:p>
    <w:p w:rsidR="0077045D" w:rsidRDefault="0077045D" w:rsidP="00D270CA">
      <w:pPr>
        <w:rPr>
          <w:szCs w:val="26"/>
        </w:rPr>
      </w:pPr>
    </w:p>
    <w:p w:rsidR="0077045D" w:rsidRDefault="005A53B9" w:rsidP="00D270CA">
      <w:pPr>
        <w:rPr>
          <w:szCs w:val="26"/>
        </w:rPr>
      </w:pPr>
      <w:r>
        <w:rPr>
          <w:szCs w:val="26"/>
        </w:rPr>
        <w:t>In response, staff incorporated revisions to clarify best management practices and incorporate staff guidance</w:t>
      </w:r>
      <w:r w:rsidR="007B53DE">
        <w:rPr>
          <w:szCs w:val="26"/>
        </w:rPr>
        <w:t xml:space="preserve"> that is frequently requested</w:t>
      </w:r>
      <w:r>
        <w:rPr>
          <w:szCs w:val="26"/>
        </w:rPr>
        <w:t xml:space="preserve">.  </w:t>
      </w:r>
    </w:p>
    <w:p w:rsidR="0077045D" w:rsidRDefault="0077045D" w:rsidP="00D270CA">
      <w:pPr>
        <w:rPr>
          <w:szCs w:val="26"/>
        </w:rPr>
      </w:pPr>
    </w:p>
    <w:p w:rsidR="0077045D" w:rsidRDefault="0077045D" w:rsidP="00D270CA">
      <w:pPr>
        <w:rPr>
          <w:szCs w:val="26"/>
        </w:rPr>
      </w:pPr>
    </w:p>
    <w:p w:rsidR="00D270CA" w:rsidRDefault="00926344" w:rsidP="00D270CA">
      <w:pPr>
        <w:rPr>
          <w:szCs w:val="26"/>
        </w:rPr>
      </w:pPr>
      <w:r>
        <w:rPr>
          <w:szCs w:val="26"/>
        </w:rPr>
        <w:lastRenderedPageBreak/>
        <w:t xml:space="preserve">While the Plan and Procedures represent a baseline standard, the more stringent measures may result on a project specific basis as a result of the NEPA review, </w:t>
      </w:r>
      <w:r w:rsidR="000142A6">
        <w:rPr>
          <w:szCs w:val="26"/>
        </w:rPr>
        <w:t>and</w:t>
      </w:r>
      <w:r>
        <w:rPr>
          <w:szCs w:val="26"/>
        </w:rPr>
        <w:t xml:space="preserve"> other </w:t>
      </w:r>
      <w:r w:rsidR="000142A6">
        <w:rPr>
          <w:szCs w:val="26"/>
        </w:rPr>
        <w:t xml:space="preserve">required </w:t>
      </w:r>
      <w:r>
        <w:rPr>
          <w:szCs w:val="26"/>
        </w:rPr>
        <w:t>state and federal permitting reviews.</w:t>
      </w:r>
      <w:r w:rsidR="007B53DE">
        <w:rPr>
          <w:szCs w:val="26"/>
        </w:rPr>
        <w:t xml:space="preserve">  </w:t>
      </w:r>
    </w:p>
    <w:p w:rsidR="00F13662" w:rsidRDefault="00F13662" w:rsidP="00D270CA">
      <w:pPr>
        <w:rPr>
          <w:szCs w:val="26"/>
        </w:rPr>
      </w:pPr>
    </w:p>
    <w:p w:rsidR="008E6F8C" w:rsidRPr="00373009" w:rsidRDefault="008E6F8C" w:rsidP="00751EF6">
      <w:pPr>
        <w:numPr>
          <w:ilvl w:val="0"/>
          <w:numId w:val="7"/>
        </w:numPr>
        <w:rPr>
          <w:b/>
        </w:rPr>
      </w:pPr>
      <w:r w:rsidRPr="00373009">
        <w:rPr>
          <w:b/>
        </w:rPr>
        <w:t>EXPLAIN ANY PAYMENT OR GIFTS TO RESPONDENTS</w:t>
      </w:r>
    </w:p>
    <w:p w:rsidR="008E6F8C" w:rsidRDefault="008E6F8C" w:rsidP="008E6F8C">
      <w:pPr>
        <w:ind w:left="360"/>
      </w:pPr>
    </w:p>
    <w:p w:rsidR="00D270CA" w:rsidRDefault="00172766" w:rsidP="002C4A1B">
      <w:r>
        <w:t xml:space="preserve">No payments or </w:t>
      </w:r>
      <w:r w:rsidR="00650261">
        <w:t>gifts</w:t>
      </w:r>
      <w:r>
        <w:t xml:space="preserve"> are offered to respondents.</w:t>
      </w:r>
    </w:p>
    <w:p w:rsidR="00D270CA" w:rsidRDefault="00D270CA" w:rsidP="00751EF6">
      <w:pPr>
        <w:ind w:left="360"/>
      </w:pPr>
    </w:p>
    <w:p w:rsidR="008E6F8C" w:rsidRPr="00373009" w:rsidRDefault="008E6F8C" w:rsidP="00751EF6">
      <w:pPr>
        <w:numPr>
          <w:ilvl w:val="0"/>
          <w:numId w:val="7"/>
        </w:numPr>
        <w:rPr>
          <w:b/>
        </w:rPr>
      </w:pPr>
      <w:r w:rsidRPr="00373009">
        <w:rPr>
          <w:b/>
        </w:rPr>
        <w:t>DESCRIBE ANY ASSURANCE OF CONFIDENTIALITY PROVIDED TO RESPONDENTS</w:t>
      </w:r>
    </w:p>
    <w:p w:rsidR="008E6F8C" w:rsidRDefault="008E6F8C" w:rsidP="008E6F8C">
      <w:pPr>
        <w:ind w:left="360"/>
      </w:pPr>
    </w:p>
    <w:p w:rsidR="00A5248A" w:rsidRDefault="0065794F" w:rsidP="002C4A1B">
      <w:r>
        <w:t xml:space="preserve">The </w:t>
      </w:r>
      <w:r w:rsidR="00A5248A">
        <w:t>majority of the information collected is not</w:t>
      </w:r>
      <w:r>
        <w:t xml:space="preserve"> confidential.   However, </w:t>
      </w:r>
      <w:r w:rsidR="00A5248A">
        <w:t xml:space="preserve">the Commission’s regulations require that information on the location and nature of cultural resources that could be affected be filed as privileged material to protect the resource.  </w:t>
      </w:r>
      <w:r w:rsidR="00273600">
        <w:t>Applicants are also required to provide the n</w:t>
      </w:r>
      <w:r w:rsidR="00A5248A">
        <w:t>ames and addresses of affected landowners</w:t>
      </w:r>
      <w:r w:rsidR="00F64196">
        <w:t>.  T</w:t>
      </w:r>
      <w:r w:rsidR="00273600">
        <w:t xml:space="preserve">his information is </w:t>
      </w:r>
      <w:r w:rsidR="00A5248A">
        <w:t>also treated as privileged material.</w:t>
      </w:r>
    </w:p>
    <w:p w:rsidR="00A5248A" w:rsidRDefault="00A5248A" w:rsidP="002C4A1B"/>
    <w:p w:rsidR="0065794F" w:rsidRDefault="00A5248A" w:rsidP="002C4A1B">
      <w:r>
        <w:t>Some information required by the Commission</w:t>
      </w:r>
      <w:r w:rsidR="00F13662">
        <w:t xml:space="preserve"> in FERC-577</w:t>
      </w:r>
      <w:r>
        <w:t xml:space="preserve"> is comprised of detailed </w:t>
      </w:r>
      <w:r w:rsidR="0065794F">
        <w:t xml:space="preserve">maps </w:t>
      </w:r>
      <w:r w:rsidR="00273600">
        <w:t xml:space="preserve">and engineering drawings </w:t>
      </w:r>
      <w:r w:rsidR="0065794F">
        <w:t xml:space="preserve">which may contain Critical Energy Infrastructure Information (CEII).  CEII as defined in section 388.113 of the Commission’s regulations includes information about proposed or existing natural gas facilities that could be used by a person planning an attack on critical energy infrastructure.  </w:t>
      </w:r>
      <w:r w:rsidR="00F64196">
        <w:t>The Commission’s procedures in S</w:t>
      </w:r>
      <w:r w:rsidR="0065794F">
        <w:t xml:space="preserve">ection 388.112 are designated to ensure that CEII is not placed in the Commission’s public records.  </w:t>
      </w:r>
    </w:p>
    <w:p w:rsidR="00A5248A" w:rsidRDefault="00A5248A" w:rsidP="002C4A1B"/>
    <w:p w:rsidR="00A5248A" w:rsidRDefault="00A5248A" w:rsidP="002C4A1B">
      <w:r>
        <w:t xml:space="preserve">In addition, applicants may </w:t>
      </w:r>
      <w:r w:rsidR="00273600">
        <w:t xml:space="preserve">ask that the Commission treat certain information as proprietary for business reasons. </w:t>
      </w:r>
    </w:p>
    <w:p w:rsidR="00F13662" w:rsidRDefault="00F13662" w:rsidP="002C4A1B"/>
    <w:p w:rsidR="00F13662" w:rsidRDefault="00F13662" w:rsidP="002C4A1B">
      <w:r w:rsidRPr="0077045D">
        <w:t>The revised Plan and Procedures do not contain confidential information</w:t>
      </w:r>
      <w:r w:rsidR="00721B66" w:rsidRPr="0077045D">
        <w:t>.</w:t>
      </w:r>
    </w:p>
    <w:p w:rsidR="0065794F" w:rsidRDefault="0065794F" w:rsidP="00751EF6">
      <w:pPr>
        <w:pStyle w:val="ListParagraph"/>
      </w:pPr>
    </w:p>
    <w:p w:rsidR="008E6F8C" w:rsidRPr="00373009" w:rsidRDefault="008E6F8C" w:rsidP="00751EF6">
      <w:pPr>
        <w:numPr>
          <w:ilvl w:val="0"/>
          <w:numId w:val="7"/>
        </w:numPr>
        <w:rPr>
          <w:b/>
        </w:rPr>
      </w:pPr>
      <w:r w:rsidRPr="00373009">
        <w:rPr>
          <w:b/>
        </w:rPr>
        <w:t>PROVIDE ADDITIONAL JUSTIFICATION FOR ANY QUESTIONS OF A SENSITIVE NATURE</w:t>
      </w:r>
    </w:p>
    <w:p w:rsidR="008E6F8C" w:rsidRDefault="008E6F8C" w:rsidP="008E6F8C">
      <w:pPr>
        <w:ind w:left="360"/>
      </w:pPr>
    </w:p>
    <w:p w:rsidR="008E6F8C" w:rsidRDefault="00F13662" w:rsidP="002C4A1B">
      <w:r>
        <w:t>There are no questions of a sensitive nature that</w:t>
      </w:r>
      <w:r w:rsidR="00DD445F">
        <w:t xml:space="preserve"> are</w:t>
      </w:r>
      <w:r>
        <w:t xml:space="preserve"> considered private related to the FERC-577.</w:t>
      </w:r>
    </w:p>
    <w:p w:rsidR="00A5248A" w:rsidRDefault="00A5248A" w:rsidP="008E6F8C">
      <w:pPr>
        <w:ind w:left="360"/>
      </w:pPr>
    </w:p>
    <w:p w:rsidR="008E6F8C" w:rsidRPr="00373009" w:rsidRDefault="008E6F8C" w:rsidP="00751EF6">
      <w:pPr>
        <w:numPr>
          <w:ilvl w:val="0"/>
          <w:numId w:val="7"/>
        </w:numPr>
        <w:rPr>
          <w:b/>
        </w:rPr>
      </w:pPr>
      <w:r w:rsidRPr="00373009">
        <w:rPr>
          <w:b/>
        </w:rPr>
        <w:t>ESTIMATED BURDEN OF COLLECTION OF INFORMATION</w:t>
      </w:r>
    </w:p>
    <w:p w:rsidR="008E6F8C" w:rsidRDefault="008E6F8C" w:rsidP="008E6F8C">
      <w:pPr>
        <w:ind w:left="360"/>
      </w:pPr>
    </w:p>
    <w:p w:rsidR="00565117" w:rsidRDefault="00122B2A" w:rsidP="002C4A1B">
      <w:r w:rsidRPr="00751EF6">
        <w:t xml:space="preserve">The </w:t>
      </w:r>
      <w:r w:rsidR="00F13662">
        <w:t xml:space="preserve">current </w:t>
      </w:r>
      <w:r w:rsidRPr="00751EF6">
        <w:t>estimated average annual public reporting burden and cost for FERC-577 follow.</w:t>
      </w:r>
    </w:p>
    <w:p w:rsidR="00A643D6" w:rsidRDefault="00A643D6" w:rsidP="008E6F8C">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302"/>
        <w:gridCol w:w="2073"/>
        <w:gridCol w:w="2229"/>
      </w:tblGrid>
      <w:tr w:rsidR="00A31AE8" w:rsidRPr="008E6F8C" w:rsidTr="00A31AE8">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t xml:space="preserve">Number of Respondents </w:t>
            </w:r>
            <w:r w:rsidRPr="008E6F8C">
              <w:rPr>
                <w:b/>
                <w:szCs w:val="26"/>
              </w:rPr>
              <w:lastRenderedPageBreak/>
              <w:t>Annually</w:t>
            </w:r>
          </w:p>
          <w:p w:rsidR="00A31AE8" w:rsidRPr="008E6F8C" w:rsidRDefault="00A31AE8" w:rsidP="00A31AE8">
            <w:pPr>
              <w:widowControl w:val="0"/>
              <w:autoSpaceDE w:val="0"/>
              <w:autoSpaceDN w:val="0"/>
              <w:adjustRightInd w:val="0"/>
              <w:jc w:val="center"/>
              <w:rPr>
                <w:b/>
                <w:szCs w:val="26"/>
              </w:rPr>
            </w:pPr>
            <w:r w:rsidRPr="008E6F8C">
              <w:rPr>
                <w:b/>
                <w:szCs w:val="26"/>
              </w:rPr>
              <w:t>(1)</w:t>
            </w:r>
          </w:p>
        </w:tc>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lastRenderedPageBreak/>
              <w:t xml:space="preserve">Number of Responses Per </w:t>
            </w:r>
            <w:r w:rsidRPr="008E6F8C">
              <w:rPr>
                <w:b/>
                <w:szCs w:val="26"/>
              </w:rPr>
              <w:lastRenderedPageBreak/>
              <w:t>Respondent</w:t>
            </w:r>
          </w:p>
          <w:p w:rsidR="00A31AE8" w:rsidRPr="008E6F8C" w:rsidRDefault="00A31AE8" w:rsidP="00A31AE8">
            <w:pPr>
              <w:widowControl w:val="0"/>
              <w:autoSpaceDE w:val="0"/>
              <w:autoSpaceDN w:val="0"/>
              <w:adjustRightInd w:val="0"/>
              <w:jc w:val="center"/>
              <w:rPr>
                <w:b/>
                <w:szCs w:val="26"/>
              </w:rPr>
            </w:pPr>
            <w:r w:rsidRPr="008E6F8C">
              <w:rPr>
                <w:b/>
                <w:szCs w:val="26"/>
              </w:rPr>
              <w:t>(2)</w:t>
            </w:r>
          </w:p>
        </w:tc>
        <w:tc>
          <w:tcPr>
            <w:tcW w:w="0" w:type="auto"/>
            <w:shd w:val="clear" w:color="auto" w:fill="D9D9D9" w:themeFill="background1" w:themeFillShade="D9"/>
            <w:vAlign w:val="bottom"/>
          </w:tcPr>
          <w:p w:rsidR="00A31AE8" w:rsidRDefault="00A31AE8" w:rsidP="00A31AE8">
            <w:pPr>
              <w:widowControl w:val="0"/>
              <w:autoSpaceDE w:val="0"/>
              <w:autoSpaceDN w:val="0"/>
              <w:adjustRightInd w:val="0"/>
              <w:jc w:val="center"/>
              <w:rPr>
                <w:b/>
                <w:szCs w:val="26"/>
              </w:rPr>
            </w:pPr>
            <w:r w:rsidRPr="008E6F8C">
              <w:rPr>
                <w:b/>
                <w:szCs w:val="26"/>
              </w:rPr>
              <w:lastRenderedPageBreak/>
              <w:t xml:space="preserve">Average Burden Hours Per </w:t>
            </w:r>
            <w:r w:rsidRPr="008E6F8C">
              <w:rPr>
                <w:b/>
                <w:szCs w:val="26"/>
              </w:rPr>
              <w:lastRenderedPageBreak/>
              <w:t>Response</w:t>
            </w:r>
          </w:p>
          <w:p w:rsidR="00A31AE8" w:rsidRPr="008E6F8C" w:rsidRDefault="00A31AE8" w:rsidP="00A31AE8">
            <w:pPr>
              <w:widowControl w:val="0"/>
              <w:autoSpaceDE w:val="0"/>
              <w:autoSpaceDN w:val="0"/>
              <w:adjustRightInd w:val="0"/>
              <w:jc w:val="center"/>
              <w:rPr>
                <w:b/>
                <w:szCs w:val="26"/>
              </w:rPr>
            </w:pPr>
            <w:r w:rsidRPr="008E6F8C">
              <w:rPr>
                <w:b/>
                <w:szCs w:val="26"/>
              </w:rPr>
              <w:t>(3)</w:t>
            </w:r>
          </w:p>
        </w:tc>
        <w:tc>
          <w:tcPr>
            <w:tcW w:w="0" w:type="auto"/>
            <w:shd w:val="clear" w:color="auto" w:fill="D9D9D9" w:themeFill="background1" w:themeFillShade="D9"/>
            <w:vAlign w:val="bottom"/>
          </w:tcPr>
          <w:p w:rsidR="00A31AE8" w:rsidRPr="008E6F8C" w:rsidRDefault="00A31AE8" w:rsidP="00A31AE8">
            <w:pPr>
              <w:widowControl w:val="0"/>
              <w:autoSpaceDE w:val="0"/>
              <w:autoSpaceDN w:val="0"/>
              <w:adjustRightInd w:val="0"/>
              <w:jc w:val="center"/>
              <w:rPr>
                <w:b/>
                <w:szCs w:val="26"/>
              </w:rPr>
            </w:pPr>
            <w:r w:rsidRPr="008E6F8C">
              <w:rPr>
                <w:b/>
                <w:szCs w:val="26"/>
              </w:rPr>
              <w:lastRenderedPageBreak/>
              <w:t xml:space="preserve">Total Annual Burden Hours </w:t>
            </w:r>
            <w:r w:rsidRPr="008E6F8C">
              <w:rPr>
                <w:b/>
                <w:szCs w:val="26"/>
              </w:rPr>
              <w:lastRenderedPageBreak/>
              <w:t>(1)x(2)x(3)</w:t>
            </w:r>
          </w:p>
        </w:tc>
      </w:tr>
      <w:tr w:rsidR="00A31AE8" w:rsidRPr="00307782" w:rsidTr="00373009">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lastRenderedPageBreak/>
              <w:t>92</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16</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193</w:t>
            </w:r>
          </w:p>
        </w:tc>
        <w:tc>
          <w:tcPr>
            <w:tcW w:w="0" w:type="auto"/>
            <w:shd w:val="clear" w:color="auto" w:fill="auto"/>
          </w:tcPr>
          <w:p w:rsidR="00A31AE8" w:rsidRPr="00307782" w:rsidRDefault="00A31AE8" w:rsidP="00307782">
            <w:pPr>
              <w:widowControl w:val="0"/>
              <w:autoSpaceDE w:val="0"/>
              <w:autoSpaceDN w:val="0"/>
              <w:adjustRightInd w:val="0"/>
              <w:jc w:val="right"/>
              <w:rPr>
                <w:szCs w:val="26"/>
              </w:rPr>
            </w:pPr>
            <w:r w:rsidRPr="00307782">
              <w:rPr>
                <w:szCs w:val="26"/>
              </w:rPr>
              <w:t>284,096</w:t>
            </w:r>
          </w:p>
        </w:tc>
      </w:tr>
    </w:tbl>
    <w:p w:rsidR="00A643D6" w:rsidRPr="004C3D26" w:rsidRDefault="00A643D6" w:rsidP="00F46CFC">
      <w:pPr>
        <w:rPr>
          <w:szCs w:val="26"/>
        </w:rPr>
      </w:pPr>
    </w:p>
    <w:p w:rsidR="002C4A1B" w:rsidRDefault="003057CD" w:rsidP="00D270CA">
      <w:r w:rsidRPr="003057CD">
        <w:t>The burden estimates are based on the number of actual filings and Commission staff experience with those filings</w:t>
      </w:r>
      <w:r w:rsidR="00964212">
        <w:t>.</w:t>
      </w:r>
    </w:p>
    <w:p w:rsidR="003057CD" w:rsidRDefault="003057CD" w:rsidP="00D270CA"/>
    <w:p w:rsidR="003057CD" w:rsidRDefault="003057CD" w:rsidP="00D270CA">
      <w:r>
        <w:t>The estimated annual cost associated with the burden hours is $19,886,720 (284,096 hours x $70/hour</w:t>
      </w:r>
      <w:r>
        <w:rPr>
          <w:rStyle w:val="FootnoteReference"/>
        </w:rPr>
        <w:footnoteReference w:id="2"/>
      </w:r>
      <w:r>
        <w:t xml:space="preserve"> = $19,886,720)</w:t>
      </w:r>
      <w:r w:rsidR="00964212">
        <w:t>.</w:t>
      </w:r>
    </w:p>
    <w:p w:rsidR="003057CD" w:rsidRDefault="003057CD" w:rsidP="00D270CA"/>
    <w:p w:rsidR="00373009" w:rsidRPr="00373009" w:rsidRDefault="00373009" w:rsidP="008E6F8C">
      <w:pPr>
        <w:numPr>
          <w:ilvl w:val="0"/>
          <w:numId w:val="7"/>
        </w:numPr>
        <w:rPr>
          <w:b/>
        </w:rPr>
      </w:pPr>
      <w:r w:rsidRPr="00373009">
        <w:rPr>
          <w:b/>
        </w:rPr>
        <w:t>ESTIMATE OF THE TOTAL ANNUAL COST BURDEN TO RESPONDENTS</w:t>
      </w:r>
    </w:p>
    <w:p w:rsidR="00373009" w:rsidRDefault="00373009" w:rsidP="00373009">
      <w:pPr>
        <w:ind w:left="360"/>
      </w:pPr>
    </w:p>
    <w:p w:rsidR="005E7CC8" w:rsidRDefault="003057CD" w:rsidP="00D270CA">
      <w:r>
        <w:t xml:space="preserve">There are no start-up, capital, or operations and maintenance costs associated with the FERC-577.  </w:t>
      </w:r>
    </w:p>
    <w:p w:rsidR="003057CD" w:rsidRDefault="003057CD" w:rsidP="00D270CA"/>
    <w:p w:rsidR="00D868E1" w:rsidRPr="00D868E1" w:rsidRDefault="00172766" w:rsidP="00D868E1">
      <w:pPr>
        <w:numPr>
          <w:ilvl w:val="0"/>
          <w:numId w:val="7"/>
        </w:numPr>
        <w:rPr>
          <w:b/>
        </w:rPr>
      </w:pPr>
      <w:r>
        <w:rPr>
          <w:b/>
        </w:rPr>
        <w:t>ESTIMATED ANN</w:t>
      </w:r>
      <w:r w:rsidR="00D868E1" w:rsidRPr="00D868E1">
        <w:rPr>
          <w:b/>
        </w:rPr>
        <w:t>UALIZED COST TO FEDERAL GOVERNMENT</w:t>
      </w:r>
    </w:p>
    <w:p w:rsidR="00D868E1" w:rsidRDefault="00D868E1" w:rsidP="00D868E1">
      <w:pPr>
        <w:ind w:left="360"/>
      </w:pPr>
    </w:p>
    <w:p w:rsidR="003057CD" w:rsidRDefault="003057CD" w:rsidP="003057CD">
      <w:pPr>
        <w:rPr>
          <w:sz w:val="24"/>
        </w:rPr>
      </w:pPr>
      <w:r>
        <w:rPr>
          <w:sz w:val="24"/>
        </w:rPr>
        <w:t xml:space="preserve">Below is the Federal </w:t>
      </w:r>
      <w:r w:rsidR="006F4832">
        <w:rPr>
          <w:sz w:val="24"/>
        </w:rPr>
        <w:t>c</w:t>
      </w:r>
      <w:r>
        <w:rPr>
          <w:sz w:val="24"/>
        </w:rPr>
        <w:t xml:space="preserve">ost estimate for the existing requirements under FERC-577.  </w:t>
      </w:r>
    </w:p>
    <w:p w:rsidR="003057CD" w:rsidRDefault="003057CD" w:rsidP="003057CD">
      <w:pPr>
        <w:rPr>
          <w:sz w:val="24"/>
        </w:rPr>
      </w:pPr>
    </w:p>
    <w:tbl>
      <w:tblPr>
        <w:tblStyle w:val="TableGrid"/>
        <w:tblW w:w="0" w:type="auto"/>
        <w:tblLook w:val="01E0" w:firstRow="1" w:lastRow="1" w:firstColumn="1" w:lastColumn="1" w:noHBand="0" w:noVBand="0"/>
      </w:tblPr>
      <w:tblGrid>
        <w:gridCol w:w="3010"/>
        <w:gridCol w:w="2926"/>
        <w:gridCol w:w="2920"/>
      </w:tblGrid>
      <w:tr w:rsidR="003057CD" w:rsidTr="003057CD">
        <w:tc>
          <w:tcPr>
            <w:tcW w:w="3432"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3057CD" w:rsidRDefault="003057CD">
            <w:pPr>
              <w:rPr>
                <w:b/>
                <w:sz w:val="24"/>
              </w:rPr>
            </w:pPr>
            <w:r>
              <w:rPr>
                <w:b/>
                <w:sz w:val="24"/>
              </w:rPr>
              <w:t>Type of Cost</w:t>
            </w:r>
          </w:p>
        </w:tc>
        <w:tc>
          <w:tcPr>
            <w:tcW w:w="3432" w:type="dxa"/>
            <w:tcBorders>
              <w:top w:val="single" w:sz="4" w:space="0" w:color="auto"/>
              <w:left w:val="single" w:sz="4" w:space="0" w:color="auto"/>
              <w:bottom w:val="single" w:sz="4" w:space="0" w:color="auto"/>
              <w:right w:val="single" w:sz="4" w:space="0" w:color="auto"/>
            </w:tcBorders>
            <w:shd w:val="clear" w:color="auto" w:fill="CCCCCC"/>
            <w:hideMark/>
          </w:tcPr>
          <w:p w:rsidR="003057CD" w:rsidRDefault="003057CD">
            <w:pPr>
              <w:rPr>
                <w:b/>
                <w:sz w:val="24"/>
              </w:rPr>
            </w:pPr>
            <w:r>
              <w:rPr>
                <w:b/>
                <w:sz w:val="24"/>
              </w:rPr>
              <w:t>Number of Employees (FTEs)</w:t>
            </w:r>
          </w:p>
        </w:tc>
        <w:tc>
          <w:tcPr>
            <w:tcW w:w="3432" w:type="dxa"/>
            <w:tcBorders>
              <w:top w:val="single" w:sz="4" w:space="0" w:color="auto"/>
              <w:left w:val="single" w:sz="4" w:space="0" w:color="auto"/>
              <w:bottom w:val="single" w:sz="4" w:space="0" w:color="auto"/>
              <w:right w:val="single" w:sz="4" w:space="0" w:color="auto"/>
            </w:tcBorders>
            <w:shd w:val="clear" w:color="auto" w:fill="CCCCCC"/>
            <w:hideMark/>
          </w:tcPr>
          <w:p w:rsidR="003057CD" w:rsidRDefault="003057CD">
            <w:pPr>
              <w:rPr>
                <w:b/>
                <w:sz w:val="24"/>
              </w:rPr>
            </w:pPr>
            <w:r>
              <w:rPr>
                <w:b/>
                <w:sz w:val="24"/>
              </w:rPr>
              <w:t>Estimated Annual Federal Cost</w:t>
            </w:r>
            <w:r>
              <w:rPr>
                <w:b/>
                <w:sz w:val="24"/>
                <w:vertAlign w:val="superscript"/>
              </w:rPr>
              <w:footnoteReference w:id="3"/>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sz w:val="24"/>
              </w:rPr>
            </w:pPr>
            <w:r>
              <w:rPr>
                <w:sz w:val="24"/>
              </w:rPr>
              <w:t>PRA Administration Cost</w:t>
            </w:r>
            <w:r>
              <w:rPr>
                <w:sz w:val="24"/>
                <w:vertAlign w:val="superscript"/>
              </w:rPr>
              <w:footnoteReference w:id="4"/>
            </w:r>
          </w:p>
        </w:tc>
        <w:tc>
          <w:tcPr>
            <w:tcW w:w="3432" w:type="dxa"/>
            <w:tcBorders>
              <w:top w:val="single" w:sz="4" w:space="0" w:color="auto"/>
              <w:left w:val="single" w:sz="4" w:space="0" w:color="auto"/>
              <w:bottom w:val="single" w:sz="4" w:space="0" w:color="auto"/>
              <w:right w:val="single" w:sz="4" w:space="0" w:color="auto"/>
            </w:tcBorders>
            <w:vAlign w:val="bottom"/>
          </w:tcPr>
          <w:p w:rsidR="003057CD" w:rsidRDefault="003057CD">
            <w:pPr>
              <w:jc w:val="right"/>
              <w:rPr>
                <w:sz w:val="24"/>
              </w:rPr>
            </w:pP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$2,250</w:t>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sz w:val="24"/>
              </w:rPr>
            </w:pPr>
            <w:r>
              <w:rPr>
                <w:sz w:val="24"/>
              </w:rPr>
              <w:t>FTE</w:t>
            </w: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pPr>
              <w:jc w:val="right"/>
              <w:rPr>
                <w:sz w:val="24"/>
              </w:rPr>
            </w:pPr>
            <w:r>
              <w:rPr>
                <w:sz w:val="24"/>
              </w:rPr>
              <w:t>34</w:t>
            </w: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$4,957,812</w:t>
            </w:r>
          </w:p>
        </w:tc>
      </w:tr>
      <w:tr w:rsidR="003057CD" w:rsidTr="003057CD">
        <w:tc>
          <w:tcPr>
            <w:tcW w:w="3432" w:type="dxa"/>
            <w:tcBorders>
              <w:top w:val="single" w:sz="4" w:space="0" w:color="auto"/>
              <w:left w:val="single" w:sz="4" w:space="0" w:color="auto"/>
              <w:bottom w:val="single" w:sz="4" w:space="0" w:color="auto"/>
              <w:right w:val="single" w:sz="4" w:space="0" w:color="auto"/>
            </w:tcBorders>
            <w:hideMark/>
          </w:tcPr>
          <w:p w:rsidR="003057CD" w:rsidRDefault="003057CD">
            <w:pPr>
              <w:rPr>
                <w:b/>
                <w:sz w:val="24"/>
              </w:rPr>
            </w:pPr>
            <w:r>
              <w:rPr>
                <w:b/>
                <w:sz w:val="24"/>
              </w:rPr>
              <w:t>FERC Total</w:t>
            </w:r>
          </w:p>
        </w:tc>
        <w:tc>
          <w:tcPr>
            <w:tcW w:w="3432" w:type="dxa"/>
            <w:tcBorders>
              <w:top w:val="single" w:sz="4" w:space="0" w:color="auto"/>
              <w:left w:val="single" w:sz="4" w:space="0" w:color="auto"/>
              <w:bottom w:val="single" w:sz="4" w:space="0" w:color="auto"/>
              <w:right w:val="single" w:sz="4" w:space="0" w:color="auto"/>
            </w:tcBorders>
            <w:vAlign w:val="bottom"/>
          </w:tcPr>
          <w:p w:rsidR="003057CD" w:rsidRDefault="003057CD">
            <w:pPr>
              <w:jc w:val="right"/>
              <w:rPr>
                <w:sz w:val="24"/>
              </w:rPr>
            </w:pPr>
          </w:p>
        </w:tc>
        <w:tc>
          <w:tcPr>
            <w:tcW w:w="3432" w:type="dxa"/>
            <w:tcBorders>
              <w:top w:val="single" w:sz="4" w:space="0" w:color="auto"/>
              <w:left w:val="single" w:sz="4" w:space="0" w:color="auto"/>
              <w:bottom w:val="single" w:sz="4" w:space="0" w:color="auto"/>
              <w:right w:val="single" w:sz="4" w:space="0" w:color="auto"/>
            </w:tcBorders>
            <w:vAlign w:val="bottom"/>
            <w:hideMark/>
          </w:tcPr>
          <w:p w:rsidR="003057CD" w:rsidRDefault="003057CD" w:rsidP="003057CD">
            <w:pPr>
              <w:jc w:val="right"/>
              <w:rPr>
                <w:sz w:val="24"/>
              </w:rPr>
            </w:pPr>
            <w:r>
              <w:rPr>
                <w:sz w:val="24"/>
              </w:rPr>
              <w:t>$4,960,062</w:t>
            </w:r>
          </w:p>
        </w:tc>
      </w:tr>
    </w:tbl>
    <w:p w:rsidR="003057CD" w:rsidRDefault="003057CD" w:rsidP="003057CD">
      <w:pPr>
        <w:rPr>
          <w:sz w:val="24"/>
        </w:rPr>
      </w:pPr>
    </w:p>
    <w:p w:rsidR="00A643D6" w:rsidRDefault="00F13662" w:rsidP="00D270CA">
      <w:r>
        <w:t>The Commission doesn’t expect that the revisions to the Plan and Procedures will change total FERC cost.</w:t>
      </w:r>
    </w:p>
    <w:p w:rsidR="00101325" w:rsidRDefault="00101325" w:rsidP="00D270CA"/>
    <w:p w:rsidR="006971CA" w:rsidRPr="00DA2814" w:rsidRDefault="006971CA" w:rsidP="006971CA">
      <w:pPr>
        <w:numPr>
          <w:ilvl w:val="0"/>
          <w:numId w:val="7"/>
        </w:numPr>
        <w:rPr>
          <w:b/>
        </w:rPr>
      </w:pPr>
      <w:r w:rsidRPr="00DA2814">
        <w:rPr>
          <w:b/>
        </w:rPr>
        <w:t>REASONS FOR CHANGES IN BURDEN INCLUDING THE NEED FOR ANY INCREASE</w:t>
      </w:r>
    </w:p>
    <w:p w:rsidR="006971CA" w:rsidRDefault="006971CA" w:rsidP="006971CA">
      <w:pPr>
        <w:ind w:left="360"/>
      </w:pPr>
    </w:p>
    <w:p w:rsidR="00C95529" w:rsidRDefault="003C1A5B" w:rsidP="004E7DE2">
      <w:pPr>
        <w:pStyle w:val="FERCparanumber"/>
        <w:numPr>
          <w:ilvl w:val="0"/>
          <w:numId w:val="0"/>
        </w:numPr>
        <w:autoSpaceDE w:val="0"/>
        <w:autoSpaceDN w:val="0"/>
        <w:adjustRightInd w:val="0"/>
        <w:rPr>
          <w:szCs w:val="26"/>
        </w:rPr>
      </w:pPr>
      <w:r>
        <w:rPr>
          <w:szCs w:val="26"/>
        </w:rPr>
        <w:t>The FERC-577 burden is changing due to revisions to the Plan and Procedures.  The revisions to the Plan and Procedures are primarily</w:t>
      </w:r>
      <w:r w:rsidR="004E7DE2" w:rsidRPr="00AF30C4">
        <w:rPr>
          <w:szCs w:val="26"/>
        </w:rPr>
        <w:t xml:space="preserve"> modifications and clarifications to the content of information collections required by the current versions.  </w:t>
      </w:r>
    </w:p>
    <w:p w:rsidR="00C95529" w:rsidRDefault="00C95529" w:rsidP="004E7DE2">
      <w:pPr>
        <w:pStyle w:val="FERCparanumber"/>
        <w:numPr>
          <w:ilvl w:val="0"/>
          <w:numId w:val="0"/>
        </w:numPr>
        <w:autoSpaceDE w:val="0"/>
        <w:autoSpaceDN w:val="0"/>
        <w:adjustRightInd w:val="0"/>
        <w:rPr>
          <w:szCs w:val="26"/>
        </w:rPr>
      </w:pPr>
    </w:p>
    <w:p w:rsidR="004E7DE2" w:rsidRPr="00AF30C4" w:rsidRDefault="004E7DE2" w:rsidP="004E7DE2">
      <w:pPr>
        <w:pStyle w:val="FERCparanumber"/>
        <w:numPr>
          <w:ilvl w:val="0"/>
          <w:numId w:val="0"/>
        </w:numPr>
        <w:autoSpaceDE w:val="0"/>
        <w:autoSpaceDN w:val="0"/>
        <w:adjustRightInd w:val="0"/>
        <w:rPr>
          <w:szCs w:val="26"/>
        </w:rPr>
      </w:pPr>
      <w:r w:rsidRPr="00AF30C4">
        <w:rPr>
          <w:szCs w:val="26"/>
        </w:rPr>
        <w:t xml:space="preserve">For example, revisions to Plan sections </w:t>
      </w:r>
      <w:r>
        <w:rPr>
          <w:szCs w:val="26"/>
        </w:rPr>
        <w:t xml:space="preserve">III.I </w:t>
      </w:r>
      <w:r w:rsidRPr="00AF30C4">
        <w:rPr>
          <w:szCs w:val="26"/>
        </w:rPr>
        <w:t xml:space="preserve">and VII.B.2 clarify staff’s expectations for the content of winter construction plans and quarterly activity reports.  </w:t>
      </w:r>
      <w:r>
        <w:rPr>
          <w:szCs w:val="26"/>
        </w:rPr>
        <w:t>R</w:t>
      </w:r>
      <w:r w:rsidRPr="00AF30C4">
        <w:rPr>
          <w:szCs w:val="26"/>
        </w:rPr>
        <w:t xml:space="preserve">evisions to Plan </w:t>
      </w:r>
      <w:r>
        <w:rPr>
          <w:szCs w:val="26"/>
        </w:rPr>
        <w:t>s</w:t>
      </w:r>
      <w:r w:rsidRPr="00AF30C4">
        <w:rPr>
          <w:szCs w:val="26"/>
        </w:rPr>
        <w:t>ection III.F standardize staff</w:t>
      </w:r>
      <w:r>
        <w:rPr>
          <w:szCs w:val="26"/>
        </w:rPr>
        <w:t>’s</w:t>
      </w:r>
      <w:r w:rsidRPr="00AF30C4">
        <w:rPr>
          <w:szCs w:val="26"/>
        </w:rPr>
        <w:t xml:space="preserve"> expectation</w:t>
      </w:r>
      <w:r>
        <w:rPr>
          <w:szCs w:val="26"/>
        </w:rPr>
        <w:t>s</w:t>
      </w:r>
      <w:r w:rsidRPr="00AF30C4">
        <w:rPr>
          <w:szCs w:val="26"/>
        </w:rPr>
        <w:t xml:space="preserve"> regarding wildlife and livestock</w:t>
      </w:r>
      <w:r>
        <w:rPr>
          <w:szCs w:val="26"/>
        </w:rPr>
        <w:t xml:space="preserve"> protection measures and blasting plans</w:t>
      </w:r>
      <w:r w:rsidRPr="00AF30C4">
        <w:rPr>
          <w:szCs w:val="26"/>
        </w:rPr>
        <w:t xml:space="preserve">.  </w:t>
      </w:r>
      <w:r>
        <w:rPr>
          <w:szCs w:val="26"/>
        </w:rPr>
        <w:t>A</w:t>
      </w:r>
      <w:r w:rsidRPr="00AF30C4">
        <w:rPr>
          <w:szCs w:val="26"/>
        </w:rPr>
        <w:t xml:space="preserve"> revi</w:t>
      </w:r>
      <w:r>
        <w:rPr>
          <w:szCs w:val="26"/>
        </w:rPr>
        <w:t>sion to Procedure section VI.D.5</w:t>
      </w:r>
      <w:r w:rsidRPr="00AF30C4">
        <w:rPr>
          <w:szCs w:val="26"/>
        </w:rPr>
        <w:t xml:space="preserve"> </w:t>
      </w:r>
      <w:r w:rsidR="00CA38AF">
        <w:rPr>
          <w:szCs w:val="26"/>
        </w:rPr>
        <w:t xml:space="preserve">clarifies </w:t>
      </w:r>
      <w:r w:rsidRPr="00AF30C4">
        <w:rPr>
          <w:szCs w:val="26"/>
        </w:rPr>
        <w:t xml:space="preserve">the wetland </w:t>
      </w:r>
      <w:proofErr w:type="spellStart"/>
      <w:r w:rsidRPr="00AF30C4">
        <w:rPr>
          <w:szCs w:val="26"/>
        </w:rPr>
        <w:t>revegetation</w:t>
      </w:r>
      <w:proofErr w:type="spellEnd"/>
      <w:r w:rsidRPr="00AF30C4">
        <w:rPr>
          <w:szCs w:val="26"/>
        </w:rPr>
        <w:t xml:space="preserve"> success criteria used for monitoring and reporting</w:t>
      </w:r>
      <w:r w:rsidR="00CA38AF">
        <w:rPr>
          <w:szCs w:val="26"/>
        </w:rPr>
        <w:t xml:space="preserve"> which will require respondents to adjust the way they report this information</w:t>
      </w:r>
      <w:r w:rsidRPr="00AF30C4">
        <w:rPr>
          <w:szCs w:val="26"/>
        </w:rPr>
        <w:t>.  Such revisions do not constitute entirely new inform</w:t>
      </w:r>
      <w:r>
        <w:rPr>
          <w:szCs w:val="26"/>
        </w:rPr>
        <w:t xml:space="preserve">ation collections; however, we estimate the </w:t>
      </w:r>
      <w:r w:rsidRPr="00AF30C4">
        <w:rPr>
          <w:szCs w:val="26"/>
        </w:rPr>
        <w:t xml:space="preserve">revisions </w:t>
      </w:r>
      <w:r>
        <w:rPr>
          <w:szCs w:val="26"/>
        </w:rPr>
        <w:t xml:space="preserve">will </w:t>
      </w:r>
      <w:r w:rsidRPr="00AF30C4">
        <w:rPr>
          <w:szCs w:val="26"/>
        </w:rPr>
        <w:t xml:space="preserve">increase reporting burden by adjusting the existing ways to comply with previously applicable instructions and requirements; training personnel to respond to </w:t>
      </w:r>
      <w:r>
        <w:rPr>
          <w:szCs w:val="26"/>
        </w:rPr>
        <w:t>the</w:t>
      </w:r>
      <w:r w:rsidRPr="00AF30C4">
        <w:rPr>
          <w:szCs w:val="26"/>
        </w:rPr>
        <w:t xml:space="preserve"> modified collection of information; and completing and reviewing </w:t>
      </w:r>
      <w:r>
        <w:rPr>
          <w:szCs w:val="26"/>
        </w:rPr>
        <w:t>these</w:t>
      </w:r>
      <w:r w:rsidRPr="00AF30C4">
        <w:rPr>
          <w:szCs w:val="26"/>
        </w:rPr>
        <w:t xml:space="preserve"> collections.  </w:t>
      </w:r>
    </w:p>
    <w:p w:rsidR="004E7DE2" w:rsidRPr="00AF30C4" w:rsidRDefault="004E7DE2" w:rsidP="004E7DE2">
      <w:pPr>
        <w:pStyle w:val="FERCparanumber"/>
        <w:numPr>
          <w:ilvl w:val="0"/>
          <w:numId w:val="0"/>
        </w:numPr>
        <w:autoSpaceDE w:val="0"/>
        <w:autoSpaceDN w:val="0"/>
        <w:adjustRightInd w:val="0"/>
        <w:ind w:firstLine="720"/>
        <w:rPr>
          <w:szCs w:val="26"/>
        </w:rPr>
      </w:pPr>
    </w:p>
    <w:p w:rsidR="00C95529" w:rsidRDefault="004E7DE2" w:rsidP="004E7DE2">
      <w:pPr>
        <w:pStyle w:val="FERCparanumber"/>
        <w:numPr>
          <w:ilvl w:val="0"/>
          <w:numId w:val="0"/>
        </w:numPr>
        <w:autoSpaceDE w:val="0"/>
        <w:autoSpaceDN w:val="0"/>
        <w:adjustRightInd w:val="0"/>
        <w:rPr>
          <w:szCs w:val="26"/>
        </w:rPr>
      </w:pPr>
      <w:r>
        <w:rPr>
          <w:szCs w:val="26"/>
        </w:rPr>
        <w:t xml:space="preserve">We estimate that certain </w:t>
      </w:r>
      <w:r w:rsidRPr="00AF30C4">
        <w:rPr>
          <w:szCs w:val="26"/>
        </w:rPr>
        <w:t xml:space="preserve">revisions </w:t>
      </w:r>
      <w:r>
        <w:rPr>
          <w:szCs w:val="26"/>
        </w:rPr>
        <w:t>will reduce r</w:t>
      </w:r>
      <w:r w:rsidRPr="00AF30C4">
        <w:rPr>
          <w:szCs w:val="26"/>
        </w:rPr>
        <w:t xml:space="preserve">eporting burden </w:t>
      </w:r>
      <w:r>
        <w:rPr>
          <w:szCs w:val="26"/>
        </w:rPr>
        <w:t>on</w:t>
      </w:r>
      <w:r w:rsidRPr="00AF30C4">
        <w:rPr>
          <w:szCs w:val="26"/>
        </w:rPr>
        <w:t xml:space="preserve"> jurisdictional natural gas companies </w:t>
      </w:r>
      <w:r>
        <w:rPr>
          <w:szCs w:val="26"/>
        </w:rPr>
        <w:t xml:space="preserve">by </w:t>
      </w:r>
      <w:r w:rsidRPr="00AF30C4">
        <w:rPr>
          <w:szCs w:val="26"/>
        </w:rPr>
        <w:t>provid</w:t>
      </w:r>
      <w:r>
        <w:rPr>
          <w:szCs w:val="26"/>
        </w:rPr>
        <w:t>ing</w:t>
      </w:r>
      <w:r w:rsidRPr="00AF30C4">
        <w:rPr>
          <w:szCs w:val="26"/>
        </w:rPr>
        <w:t xml:space="preserve"> guidance </w:t>
      </w:r>
      <w:r>
        <w:rPr>
          <w:szCs w:val="26"/>
        </w:rPr>
        <w:t xml:space="preserve">that is </w:t>
      </w:r>
      <w:r w:rsidRPr="00AF30C4">
        <w:rPr>
          <w:szCs w:val="26"/>
        </w:rPr>
        <w:t xml:space="preserve">frequently requested during report preparations; directions to provide information that frequently results in data requests; and improved flexibility to reduce variance requests for construction practices the staff has determined are acceptable.  </w:t>
      </w:r>
    </w:p>
    <w:p w:rsidR="00C95529" w:rsidRDefault="00C95529" w:rsidP="004E7DE2">
      <w:pPr>
        <w:pStyle w:val="FERCparanumber"/>
        <w:numPr>
          <w:ilvl w:val="0"/>
          <w:numId w:val="0"/>
        </w:numPr>
        <w:autoSpaceDE w:val="0"/>
        <w:autoSpaceDN w:val="0"/>
        <w:adjustRightInd w:val="0"/>
        <w:rPr>
          <w:szCs w:val="26"/>
        </w:rPr>
      </w:pPr>
    </w:p>
    <w:p w:rsidR="004E7DE2" w:rsidRPr="00AF30C4" w:rsidRDefault="004E7DE2" w:rsidP="004E7DE2">
      <w:pPr>
        <w:pStyle w:val="FERCparanumber"/>
        <w:numPr>
          <w:ilvl w:val="0"/>
          <w:numId w:val="0"/>
        </w:numPr>
        <w:autoSpaceDE w:val="0"/>
        <w:autoSpaceDN w:val="0"/>
        <w:adjustRightInd w:val="0"/>
        <w:rPr>
          <w:szCs w:val="26"/>
        </w:rPr>
      </w:pPr>
      <w:r w:rsidRPr="00AF30C4">
        <w:rPr>
          <w:szCs w:val="26"/>
        </w:rPr>
        <w:t xml:space="preserve">For example, frequently requested guidance on beneficial reuse of construction materials is provided in </w:t>
      </w:r>
      <w:r>
        <w:rPr>
          <w:szCs w:val="26"/>
        </w:rPr>
        <w:t xml:space="preserve">revised </w:t>
      </w:r>
      <w:r w:rsidRPr="00AF30C4">
        <w:rPr>
          <w:szCs w:val="26"/>
        </w:rPr>
        <w:t>Plan sections II.B.17 and III.E.  Identification of baseline expectations for residential construction practices is provided in revised Plan section III.</w:t>
      </w:r>
      <w:r>
        <w:rPr>
          <w:szCs w:val="26"/>
        </w:rPr>
        <w:t>H</w:t>
      </w:r>
      <w:r w:rsidRPr="00AF30C4">
        <w:rPr>
          <w:szCs w:val="26"/>
        </w:rPr>
        <w:t xml:space="preserve">.  </w:t>
      </w:r>
      <w:r>
        <w:rPr>
          <w:szCs w:val="26"/>
        </w:rPr>
        <w:t xml:space="preserve">We expect variance requests will be reduced via </w:t>
      </w:r>
      <w:r w:rsidRPr="00AF30C4">
        <w:rPr>
          <w:szCs w:val="26"/>
        </w:rPr>
        <w:t>revision</w:t>
      </w:r>
      <w:r>
        <w:rPr>
          <w:szCs w:val="26"/>
        </w:rPr>
        <w:t>s to Procedure section V.B.3.g</w:t>
      </w:r>
      <w:r w:rsidRPr="00AF30C4">
        <w:rPr>
          <w:szCs w:val="26"/>
        </w:rPr>
        <w:t xml:space="preserve"> </w:t>
      </w:r>
      <w:r>
        <w:rPr>
          <w:szCs w:val="26"/>
        </w:rPr>
        <w:t xml:space="preserve">that </w:t>
      </w:r>
      <w:r w:rsidRPr="00AF30C4">
        <w:rPr>
          <w:szCs w:val="26"/>
        </w:rPr>
        <w:t>address</w:t>
      </w:r>
      <w:r>
        <w:rPr>
          <w:szCs w:val="26"/>
        </w:rPr>
        <w:t>es</w:t>
      </w:r>
      <w:r w:rsidRPr="00AF30C4">
        <w:rPr>
          <w:szCs w:val="26"/>
        </w:rPr>
        <w:t xml:space="preserve"> construction through waterbodies that are dry or frozen, and </w:t>
      </w:r>
      <w:r>
        <w:rPr>
          <w:szCs w:val="26"/>
        </w:rPr>
        <w:t xml:space="preserve">Procedure section </w:t>
      </w:r>
      <w:r w:rsidRPr="00AF30C4">
        <w:rPr>
          <w:szCs w:val="26"/>
        </w:rPr>
        <w:t xml:space="preserve">VI.B.2.f </w:t>
      </w:r>
      <w:r>
        <w:rPr>
          <w:szCs w:val="26"/>
        </w:rPr>
        <w:t xml:space="preserve">that </w:t>
      </w:r>
      <w:r w:rsidRPr="00AF30C4">
        <w:rPr>
          <w:szCs w:val="26"/>
        </w:rPr>
        <w:t>address</w:t>
      </w:r>
      <w:r>
        <w:rPr>
          <w:szCs w:val="26"/>
        </w:rPr>
        <w:t>es</w:t>
      </w:r>
      <w:r w:rsidRPr="00AF30C4">
        <w:rPr>
          <w:szCs w:val="26"/>
        </w:rPr>
        <w:t xml:space="preserve"> burning of woody debris in wetlands.  Additionally, </w:t>
      </w:r>
      <w:r>
        <w:rPr>
          <w:szCs w:val="26"/>
        </w:rPr>
        <w:t xml:space="preserve">we expect </w:t>
      </w:r>
      <w:r w:rsidRPr="00AF30C4">
        <w:rPr>
          <w:szCs w:val="26"/>
        </w:rPr>
        <w:t>revision</w:t>
      </w:r>
      <w:r>
        <w:rPr>
          <w:szCs w:val="26"/>
        </w:rPr>
        <w:t>s</w:t>
      </w:r>
      <w:r w:rsidRPr="00AF30C4">
        <w:rPr>
          <w:szCs w:val="26"/>
        </w:rPr>
        <w:t xml:space="preserve"> to Procedure section</w:t>
      </w:r>
      <w:r>
        <w:rPr>
          <w:szCs w:val="26"/>
        </w:rPr>
        <w:t xml:space="preserve"> II.A</w:t>
      </w:r>
      <w:r w:rsidRPr="00AF30C4">
        <w:rPr>
          <w:szCs w:val="26"/>
        </w:rPr>
        <w:t xml:space="preserve"> </w:t>
      </w:r>
      <w:r>
        <w:rPr>
          <w:szCs w:val="26"/>
        </w:rPr>
        <w:t>to</w:t>
      </w:r>
      <w:r w:rsidRPr="00AF30C4">
        <w:rPr>
          <w:szCs w:val="26"/>
        </w:rPr>
        <w:t xml:space="preserve"> reduce reporting burden on jurisdictional entities, permitting detailed justifications </w:t>
      </w:r>
      <w:r>
        <w:rPr>
          <w:szCs w:val="26"/>
        </w:rPr>
        <w:t xml:space="preserve">rather than site-specific plans </w:t>
      </w:r>
      <w:r w:rsidRPr="00AF30C4">
        <w:rPr>
          <w:szCs w:val="26"/>
        </w:rPr>
        <w:t xml:space="preserve">for reduced </w:t>
      </w:r>
      <w:r>
        <w:rPr>
          <w:szCs w:val="26"/>
        </w:rPr>
        <w:t xml:space="preserve">workspace </w:t>
      </w:r>
      <w:r w:rsidRPr="00AF30C4">
        <w:rPr>
          <w:szCs w:val="26"/>
        </w:rPr>
        <w:t>setbacks at waterbodies and wetlands</w:t>
      </w:r>
      <w:r>
        <w:rPr>
          <w:szCs w:val="26"/>
        </w:rPr>
        <w:t>, and expanded wetland construction rights-of-way</w:t>
      </w:r>
      <w:r w:rsidRPr="00AF30C4">
        <w:rPr>
          <w:szCs w:val="26"/>
        </w:rPr>
        <w:t xml:space="preserve">.  </w:t>
      </w:r>
    </w:p>
    <w:p w:rsidR="004E7DE2" w:rsidRPr="00AF30C4" w:rsidRDefault="004E7DE2" w:rsidP="004E7DE2">
      <w:pPr>
        <w:pStyle w:val="FERCparanumber"/>
        <w:numPr>
          <w:ilvl w:val="0"/>
          <w:numId w:val="0"/>
        </w:numPr>
        <w:autoSpaceDE w:val="0"/>
        <w:autoSpaceDN w:val="0"/>
        <w:adjustRightInd w:val="0"/>
        <w:ind w:firstLine="720"/>
        <w:rPr>
          <w:szCs w:val="26"/>
        </w:rPr>
      </w:pPr>
    </w:p>
    <w:p w:rsidR="004E7DE2" w:rsidRPr="00AF30C4" w:rsidRDefault="004E7DE2" w:rsidP="004E7DE2">
      <w:pPr>
        <w:pStyle w:val="FERCparanumber"/>
        <w:numPr>
          <w:ilvl w:val="0"/>
          <w:numId w:val="0"/>
        </w:numPr>
        <w:autoSpaceDE w:val="0"/>
        <w:autoSpaceDN w:val="0"/>
        <w:adjustRightInd w:val="0"/>
        <w:rPr>
          <w:szCs w:val="26"/>
        </w:rPr>
      </w:pPr>
      <w:r>
        <w:rPr>
          <w:szCs w:val="26"/>
        </w:rPr>
        <w:t>We r</w:t>
      </w:r>
      <w:r w:rsidRPr="00AF30C4">
        <w:rPr>
          <w:szCs w:val="26"/>
        </w:rPr>
        <w:t xml:space="preserve">evised terminology to be inclusive of prior notice, advanced notice, </w:t>
      </w:r>
      <w:r>
        <w:rPr>
          <w:szCs w:val="26"/>
        </w:rPr>
        <w:t>and</w:t>
      </w:r>
      <w:r w:rsidRPr="00AF30C4">
        <w:rPr>
          <w:szCs w:val="26"/>
        </w:rPr>
        <w:t xml:space="preserve"> automatic authorization projects to address the wider net of project types subject to </w:t>
      </w:r>
      <w:r>
        <w:rPr>
          <w:szCs w:val="26"/>
        </w:rPr>
        <w:t xml:space="preserve">the </w:t>
      </w:r>
      <w:r w:rsidRPr="00AF30C4">
        <w:rPr>
          <w:szCs w:val="26"/>
        </w:rPr>
        <w:t xml:space="preserve">Plan and Procedure requirements.  The revisions clarify applicability for projects constructed under the Commission’s blanket certificate program </w:t>
      </w:r>
      <w:r>
        <w:rPr>
          <w:szCs w:val="26"/>
        </w:rPr>
        <w:t xml:space="preserve">(18 CFR </w:t>
      </w:r>
      <w:r w:rsidRPr="00AF30C4">
        <w:rPr>
          <w:szCs w:val="26"/>
        </w:rPr>
        <w:t>157</w:t>
      </w:r>
      <w:r>
        <w:rPr>
          <w:szCs w:val="26"/>
        </w:rPr>
        <w:t>, Subpart F)</w:t>
      </w:r>
      <w:r w:rsidRPr="00AF30C4">
        <w:rPr>
          <w:szCs w:val="26"/>
        </w:rPr>
        <w:t xml:space="preserve"> and </w:t>
      </w:r>
      <w:r>
        <w:rPr>
          <w:szCs w:val="26"/>
        </w:rPr>
        <w:t xml:space="preserve">construction of facilities for transportation services under </w:t>
      </w:r>
      <w:r w:rsidRPr="00AF30C4">
        <w:rPr>
          <w:szCs w:val="26"/>
        </w:rPr>
        <w:t>the N</w:t>
      </w:r>
      <w:r>
        <w:rPr>
          <w:szCs w:val="26"/>
        </w:rPr>
        <w:t xml:space="preserve">atural </w:t>
      </w:r>
      <w:r w:rsidRPr="00AF30C4">
        <w:rPr>
          <w:szCs w:val="26"/>
        </w:rPr>
        <w:t>G</w:t>
      </w:r>
      <w:r>
        <w:rPr>
          <w:szCs w:val="26"/>
        </w:rPr>
        <w:t xml:space="preserve">as </w:t>
      </w:r>
      <w:r w:rsidRPr="00AF30C4">
        <w:rPr>
          <w:szCs w:val="26"/>
        </w:rPr>
        <w:t>P</w:t>
      </w:r>
      <w:r>
        <w:rPr>
          <w:szCs w:val="26"/>
        </w:rPr>
        <w:t xml:space="preserve">olicy </w:t>
      </w:r>
      <w:r w:rsidRPr="00AF30C4">
        <w:rPr>
          <w:szCs w:val="26"/>
        </w:rPr>
        <w:t>A</w:t>
      </w:r>
      <w:r>
        <w:rPr>
          <w:szCs w:val="26"/>
        </w:rPr>
        <w:t>ct</w:t>
      </w:r>
      <w:r w:rsidRPr="00AF30C4">
        <w:rPr>
          <w:szCs w:val="26"/>
        </w:rPr>
        <w:t xml:space="preserve"> </w:t>
      </w:r>
      <w:r>
        <w:rPr>
          <w:szCs w:val="26"/>
        </w:rPr>
        <w:t xml:space="preserve">(NGPA) </w:t>
      </w:r>
      <w:r w:rsidRPr="00AF30C4">
        <w:rPr>
          <w:szCs w:val="26"/>
        </w:rPr>
        <w:t>section 311 (18 CFR 284</w:t>
      </w:r>
      <w:r>
        <w:rPr>
          <w:szCs w:val="26"/>
        </w:rPr>
        <w:t xml:space="preserve">, </w:t>
      </w:r>
      <w:r w:rsidRPr="00AF30C4">
        <w:rPr>
          <w:szCs w:val="26"/>
        </w:rPr>
        <w:t xml:space="preserve">Subpart A).  </w:t>
      </w:r>
      <w:r>
        <w:rPr>
          <w:szCs w:val="26"/>
        </w:rPr>
        <w:t>We expect t</w:t>
      </w:r>
      <w:r w:rsidRPr="00AF30C4">
        <w:rPr>
          <w:szCs w:val="26"/>
        </w:rPr>
        <w:t xml:space="preserve">hese clarifications </w:t>
      </w:r>
      <w:r>
        <w:rPr>
          <w:szCs w:val="26"/>
        </w:rPr>
        <w:t xml:space="preserve">to </w:t>
      </w:r>
      <w:r w:rsidRPr="00AF30C4">
        <w:rPr>
          <w:szCs w:val="26"/>
        </w:rPr>
        <w:t xml:space="preserve">improve the efficiency of the environmental review process, and reduce labor hours required of jurisdictional natural gas companies to prepare reports. </w:t>
      </w:r>
    </w:p>
    <w:p w:rsidR="004E7DE2" w:rsidRPr="00AF30C4" w:rsidRDefault="004E7DE2" w:rsidP="004E7DE2">
      <w:pPr>
        <w:pStyle w:val="FERCparanumber"/>
        <w:numPr>
          <w:ilvl w:val="0"/>
          <w:numId w:val="0"/>
        </w:numPr>
        <w:autoSpaceDE w:val="0"/>
        <w:autoSpaceDN w:val="0"/>
        <w:adjustRightInd w:val="0"/>
        <w:ind w:firstLine="720"/>
        <w:rPr>
          <w:szCs w:val="26"/>
        </w:rPr>
      </w:pPr>
    </w:p>
    <w:p w:rsidR="004E7DE2" w:rsidRPr="00AF30C4" w:rsidRDefault="004E7DE2" w:rsidP="004E7DE2">
      <w:pPr>
        <w:pStyle w:val="FERCparanumber"/>
        <w:numPr>
          <w:ilvl w:val="0"/>
          <w:numId w:val="0"/>
        </w:numPr>
        <w:autoSpaceDE w:val="0"/>
        <w:autoSpaceDN w:val="0"/>
        <w:adjustRightInd w:val="0"/>
        <w:rPr>
          <w:szCs w:val="26"/>
        </w:rPr>
      </w:pPr>
      <w:r>
        <w:rPr>
          <w:szCs w:val="26"/>
        </w:rPr>
        <w:t>We implement a</w:t>
      </w:r>
      <w:r w:rsidRPr="00AF30C4">
        <w:rPr>
          <w:szCs w:val="26"/>
        </w:rPr>
        <w:t xml:space="preserve"> new record retention requirement regarding drainage system repairs or improvements (see revised Plan section VII.B.1.e).  In addition, </w:t>
      </w:r>
      <w:r>
        <w:rPr>
          <w:szCs w:val="26"/>
        </w:rPr>
        <w:t xml:space="preserve">we also put in place </w:t>
      </w:r>
      <w:r w:rsidRPr="00AF30C4">
        <w:rPr>
          <w:szCs w:val="26"/>
        </w:rPr>
        <w:t xml:space="preserve">a new annual report for </w:t>
      </w:r>
      <w:r>
        <w:rPr>
          <w:szCs w:val="26"/>
        </w:rPr>
        <w:t>affected wetlands</w:t>
      </w:r>
      <w:r w:rsidRPr="00AF30C4">
        <w:rPr>
          <w:szCs w:val="26"/>
        </w:rPr>
        <w:t xml:space="preserve"> that </w:t>
      </w:r>
      <w:r>
        <w:rPr>
          <w:szCs w:val="26"/>
        </w:rPr>
        <w:t xml:space="preserve">do not successfully </w:t>
      </w:r>
      <w:r>
        <w:rPr>
          <w:szCs w:val="26"/>
        </w:rPr>
        <w:lastRenderedPageBreak/>
        <w:t xml:space="preserve">revegetate </w:t>
      </w:r>
      <w:r w:rsidRPr="00AF30C4">
        <w:rPr>
          <w:szCs w:val="26"/>
        </w:rPr>
        <w:t>within three years after construction (see revised Procedure section VI.D.</w:t>
      </w:r>
      <w:r>
        <w:rPr>
          <w:szCs w:val="26"/>
        </w:rPr>
        <w:t>6</w:t>
      </w:r>
      <w:r w:rsidRPr="00AF30C4">
        <w:rPr>
          <w:szCs w:val="26"/>
        </w:rPr>
        <w:t xml:space="preserve">).  We expect </w:t>
      </w:r>
      <w:r>
        <w:rPr>
          <w:szCs w:val="26"/>
        </w:rPr>
        <w:t xml:space="preserve">this revision to result in </w:t>
      </w:r>
      <w:r w:rsidRPr="00AF30C4">
        <w:rPr>
          <w:szCs w:val="26"/>
        </w:rPr>
        <w:t>a minor increase in reporting burden due to the low incidence of wetland revegetation failure</w:t>
      </w:r>
      <w:r>
        <w:rPr>
          <w:szCs w:val="26"/>
        </w:rPr>
        <w:t>.</w:t>
      </w:r>
    </w:p>
    <w:p w:rsidR="004E7DE2" w:rsidRPr="00AF30C4" w:rsidRDefault="004E7DE2" w:rsidP="004E7DE2">
      <w:pPr>
        <w:pStyle w:val="FERCparanumber"/>
        <w:numPr>
          <w:ilvl w:val="0"/>
          <w:numId w:val="0"/>
        </w:numPr>
        <w:autoSpaceDE w:val="0"/>
        <w:autoSpaceDN w:val="0"/>
        <w:adjustRightInd w:val="0"/>
        <w:ind w:firstLine="720"/>
        <w:rPr>
          <w:szCs w:val="26"/>
        </w:rPr>
      </w:pPr>
    </w:p>
    <w:p w:rsidR="004E7DE2" w:rsidRPr="00AF30C4" w:rsidRDefault="004E7DE2" w:rsidP="004E7DE2">
      <w:pPr>
        <w:pStyle w:val="FERCparanumber"/>
        <w:numPr>
          <w:ilvl w:val="0"/>
          <w:numId w:val="0"/>
        </w:numPr>
        <w:autoSpaceDE w:val="0"/>
        <w:autoSpaceDN w:val="0"/>
        <w:adjustRightInd w:val="0"/>
        <w:rPr>
          <w:szCs w:val="26"/>
        </w:rPr>
      </w:pPr>
      <w:r>
        <w:rPr>
          <w:szCs w:val="26"/>
        </w:rPr>
        <w:t>We expect that the revisions will lead to a</w:t>
      </w:r>
      <w:r w:rsidRPr="00AF30C4">
        <w:rPr>
          <w:szCs w:val="26"/>
        </w:rPr>
        <w:t xml:space="preserve">dditional filings for blanket certificate </w:t>
      </w:r>
      <w:r>
        <w:rPr>
          <w:szCs w:val="26"/>
        </w:rPr>
        <w:t xml:space="preserve">projects, subject to our </w:t>
      </w:r>
      <w:r w:rsidRPr="00AF30C4">
        <w:rPr>
          <w:szCs w:val="26"/>
        </w:rPr>
        <w:t xml:space="preserve">prior notice </w:t>
      </w:r>
      <w:r>
        <w:rPr>
          <w:szCs w:val="26"/>
        </w:rPr>
        <w:t xml:space="preserve">regulations </w:t>
      </w:r>
      <w:r w:rsidRPr="00AF30C4">
        <w:rPr>
          <w:szCs w:val="26"/>
        </w:rPr>
        <w:t>(see revised “Applicability” discussions in section I of the Plan and Procedures).  Such filings include wint</w:t>
      </w:r>
      <w:r>
        <w:rPr>
          <w:szCs w:val="26"/>
        </w:rPr>
        <w:t>er construction plans noted in</w:t>
      </w:r>
      <w:r w:rsidRPr="00AF30C4">
        <w:rPr>
          <w:szCs w:val="26"/>
        </w:rPr>
        <w:t xml:space="preserve"> revised Plan section III.I, and </w:t>
      </w:r>
      <w:r>
        <w:rPr>
          <w:szCs w:val="26"/>
        </w:rPr>
        <w:t xml:space="preserve">the </w:t>
      </w:r>
      <w:r w:rsidRPr="00AF30C4">
        <w:rPr>
          <w:szCs w:val="26"/>
        </w:rPr>
        <w:t>pre-construction filings noted in section II of the Procedures</w:t>
      </w:r>
      <w:r>
        <w:rPr>
          <w:szCs w:val="26"/>
        </w:rPr>
        <w:t xml:space="preserve"> (e.g., </w:t>
      </w:r>
      <w:r>
        <w:t>hydrostatic testing information, waterbody crossing schedules, spill prevention and response procedures, plans for major waterbody crossings, horizontal directional drill crossings, and justifications for any variances)</w:t>
      </w:r>
      <w:r w:rsidRPr="00AF30C4">
        <w:rPr>
          <w:szCs w:val="26"/>
        </w:rPr>
        <w:t xml:space="preserve">.  This </w:t>
      </w:r>
      <w:r>
        <w:rPr>
          <w:szCs w:val="26"/>
        </w:rPr>
        <w:t xml:space="preserve">would </w:t>
      </w:r>
      <w:r w:rsidRPr="00AF30C4">
        <w:rPr>
          <w:szCs w:val="26"/>
        </w:rPr>
        <w:t>not reflect entirely new reporting burden</w:t>
      </w:r>
      <w:r>
        <w:rPr>
          <w:szCs w:val="26"/>
        </w:rPr>
        <w:t>s however, as t</w:t>
      </w:r>
      <w:r w:rsidRPr="00AF30C4">
        <w:rPr>
          <w:szCs w:val="26"/>
        </w:rPr>
        <w:t>his information is typically requested by staff during review of these projects to ensure compliance with blanket certificate standard conditions in 18 CFR 157.206</w:t>
      </w:r>
      <w:r>
        <w:rPr>
          <w:szCs w:val="26"/>
        </w:rPr>
        <w:t>.</w:t>
      </w:r>
    </w:p>
    <w:p w:rsidR="004E7DE2" w:rsidRPr="00AF30C4" w:rsidRDefault="004E7DE2" w:rsidP="004E7DE2">
      <w:pPr>
        <w:pStyle w:val="FERCparanumber"/>
        <w:numPr>
          <w:ilvl w:val="0"/>
          <w:numId w:val="0"/>
        </w:numPr>
        <w:autoSpaceDE w:val="0"/>
        <w:autoSpaceDN w:val="0"/>
        <w:adjustRightInd w:val="0"/>
        <w:ind w:firstLine="720"/>
        <w:rPr>
          <w:szCs w:val="26"/>
        </w:rPr>
      </w:pPr>
    </w:p>
    <w:p w:rsidR="004E7DE2" w:rsidRPr="00AF30C4" w:rsidRDefault="004E7DE2" w:rsidP="004E7DE2">
      <w:pPr>
        <w:pStyle w:val="FERCparanumber"/>
        <w:numPr>
          <w:ilvl w:val="0"/>
          <w:numId w:val="0"/>
        </w:numPr>
        <w:autoSpaceDE w:val="0"/>
        <w:autoSpaceDN w:val="0"/>
        <w:adjustRightInd w:val="0"/>
        <w:rPr>
          <w:szCs w:val="26"/>
        </w:rPr>
      </w:pPr>
      <w:r w:rsidRPr="00AF30C4">
        <w:rPr>
          <w:szCs w:val="26"/>
        </w:rPr>
        <w:t xml:space="preserve">Overall, in consideration of the revisions to reporting requirements and the increased efficiency that would </w:t>
      </w:r>
      <w:r>
        <w:rPr>
          <w:szCs w:val="26"/>
        </w:rPr>
        <w:t xml:space="preserve">be </w:t>
      </w:r>
      <w:r w:rsidRPr="00AF30C4">
        <w:rPr>
          <w:szCs w:val="26"/>
        </w:rPr>
        <w:t xml:space="preserve">realized during the environmental review process, we expect the net effect of the </w:t>
      </w:r>
      <w:r>
        <w:rPr>
          <w:szCs w:val="26"/>
        </w:rPr>
        <w:t>revised</w:t>
      </w:r>
      <w:r w:rsidRPr="00AF30C4">
        <w:rPr>
          <w:szCs w:val="26"/>
        </w:rPr>
        <w:t xml:space="preserve"> Plan and Procedure</w:t>
      </w:r>
      <w:r>
        <w:rPr>
          <w:szCs w:val="26"/>
        </w:rPr>
        <w:t>s</w:t>
      </w:r>
      <w:r w:rsidRPr="00AF30C4">
        <w:rPr>
          <w:szCs w:val="26"/>
        </w:rPr>
        <w:t xml:space="preserve"> to constitute a minor increase in information collection burden.  </w:t>
      </w:r>
    </w:p>
    <w:p w:rsidR="004E7DE2" w:rsidRDefault="004E7DE2" w:rsidP="004E7DE2">
      <w:pPr>
        <w:pStyle w:val="FERCparanumber"/>
        <w:numPr>
          <w:ilvl w:val="0"/>
          <w:numId w:val="0"/>
        </w:numPr>
        <w:autoSpaceDE w:val="0"/>
        <w:autoSpaceDN w:val="0"/>
        <w:adjustRightInd w:val="0"/>
        <w:ind w:firstLine="720"/>
        <w:rPr>
          <w:szCs w:val="26"/>
        </w:rPr>
      </w:pPr>
    </w:p>
    <w:p w:rsidR="004E7DE2" w:rsidRDefault="004E7DE2" w:rsidP="004E7DE2">
      <w:pPr>
        <w:pStyle w:val="FERCparanumber"/>
        <w:numPr>
          <w:ilvl w:val="0"/>
          <w:numId w:val="0"/>
        </w:numPr>
        <w:autoSpaceDE w:val="0"/>
        <w:autoSpaceDN w:val="0"/>
        <w:adjustRightInd w:val="0"/>
        <w:rPr>
          <w:szCs w:val="26"/>
        </w:rPr>
      </w:pPr>
      <w:r w:rsidRPr="00AF30C4">
        <w:rPr>
          <w:szCs w:val="26"/>
        </w:rPr>
        <w:t xml:space="preserve">The estimate below </w:t>
      </w:r>
      <w:r>
        <w:rPr>
          <w:szCs w:val="26"/>
        </w:rPr>
        <w:t xml:space="preserve">was updated using </w:t>
      </w:r>
      <w:r w:rsidRPr="00AF30C4">
        <w:rPr>
          <w:szCs w:val="26"/>
        </w:rPr>
        <w:t>workload completion data prepared by FERC’s Division of Gas – Environment and Engineering for fiscal year 201</w:t>
      </w:r>
      <w:r>
        <w:rPr>
          <w:szCs w:val="26"/>
        </w:rPr>
        <w:t xml:space="preserve">2.  The estimate previously provided in the July 31, 2012 Notice of Availability was </w:t>
      </w:r>
      <w:r w:rsidRPr="00AF30C4">
        <w:rPr>
          <w:szCs w:val="26"/>
        </w:rPr>
        <w:t>based on fiscal year 2011</w:t>
      </w:r>
      <w:r>
        <w:rPr>
          <w:szCs w:val="26"/>
        </w:rPr>
        <w:t xml:space="preserve"> </w:t>
      </w:r>
      <w:r w:rsidRPr="00AF30C4">
        <w:rPr>
          <w:szCs w:val="26"/>
        </w:rPr>
        <w:t>workload completion data</w:t>
      </w:r>
      <w:r>
        <w:rPr>
          <w:szCs w:val="26"/>
        </w:rPr>
        <w:t>.</w:t>
      </w:r>
      <w:r w:rsidRPr="007C6014">
        <w:rPr>
          <w:rStyle w:val="FootnoteReference"/>
        </w:rPr>
        <w:footnoteReference w:id="5"/>
      </w:r>
      <w:r>
        <w:rPr>
          <w:szCs w:val="26"/>
        </w:rPr>
        <w:t xml:space="preserve">  </w:t>
      </w:r>
      <w:r w:rsidRPr="00B149E8">
        <w:t xml:space="preserve">Respondents include companies that filed project applications under </w:t>
      </w:r>
      <w:r>
        <w:t>Natural Gas Act (</w:t>
      </w:r>
      <w:r w:rsidRPr="00B149E8">
        <w:t>NGA</w:t>
      </w:r>
      <w:r>
        <w:t>)</w:t>
      </w:r>
      <w:r w:rsidRPr="00B149E8">
        <w:t xml:space="preserve"> Section 7, blanket certificate prior notice filings and annual reports, and NGPA 311 advanced notification filings and annual reports. </w:t>
      </w:r>
    </w:p>
    <w:p w:rsidR="004E7DE2" w:rsidRPr="00AF30C4" w:rsidRDefault="004E7DE2" w:rsidP="004E7DE2">
      <w:pPr>
        <w:pStyle w:val="FERCparanumber"/>
        <w:numPr>
          <w:ilvl w:val="0"/>
          <w:numId w:val="0"/>
        </w:numPr>
        <w:autoSpaceDE w:val="0"/>
        <w:autoSpaceDN w:val="0"/>
        <w:adjustRightInd w:val="0"/>
        <w:ind w:firstLine="720"/>
        <w:rPr>
          <w:szCs w:val="2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1710"/>
        <w:gridCol w:w="1710"/>
        <w:gridCol w:w="1770"/>
      </w:tblGrid>
      <w:tr w:rsidR="004E7DE2" w:rsidRPr="00AF30C4" w:rsidTr="00C95529">
        <w:tc>
          <w:tcPr>
            <w:tcW w:w="2358" w:type="dxa"/>
            <w:shd w:val="clear" w:color="auto" w:fill="D9D9D9" w:themeFill="background1" w:themeFillShade="D9"/>
            <w:vAlign w:val="bottom"/>
          </w:tcPr>
          <w:p w:rsidR="004E7DE2" w:rsidRPr="00AF30C4" w:rsidRDefault="004E7DE2" w:rsidP="004E7DE2">
            <w:pPr>
              <w:jc w:val="center"/>
              <w:rPr>
                <w:b/>
                <w:szCs w:val="26"/>
              </w:rPr>
            </w:pPr>
            <w:r w:rsidRPr="00AF30C4">
              <w:rPr>
                <w:b/>
                <w:szCs w:val="26"/>
              </w:rPr>
              <w:t>Modification to FERC-5</w:t>
            </w:r>
            <w:r>
              <w:rPr>
                <w:b/>
                <w:szCs w:val="26"/>
              </w:rPr>
              <w:t>7</w:t>
            </w:r>
            <w:r w:rsidRPr="00AF30C4">
              <w:rPr>
                <w:b/>
                <w:szCs w:val="26"/>
              </w:rPr>
              <w:t>7, OMB Control No. 1902-</w:t>
            </w:r>
            <w:r w:rsidRPr="00AF30C4">
              <w:rPr>
                <w:b/>
                <w:szCs w:val="26"/>
              </w:rPr>
              <w:lastRenderedPageBreak/>
              <w:t>0</w:t>
            </w:r>
            <w:r>
              <w:rPr>
                <w:b/>
                <w:szCs w:val="26"/>
              </w:rPr>
              <w:t>128</w:t>
            </w:r>
          </w:p>
        </w:tc>
        <w:tc>
          <w:tcPr>
            <w:tcW w:w="2160" w:type="dxa"/>
            <w:shd w:val="clear" w:color="auto" w:fill="D9D9D9" w:themeFill="background1" w:themeFillShade="D9"/>
            <w:vAlign w:val="bottom"/>
          </w:tcPr>
          <w:p w:rsidR="004E7DE2" w:rsidRPr="00AF30C4" w:rsidRDefault="004E7DE2" w:rsidP="004E7DE2">
            <w:pPr>
              <w:jc w:val="center"/>
              <w:rPr>
                <w:szCs w:val="26"/>
              </w:rPr>
            </w:pPr>
            <w:r w:rsidRPr="00AF30C4">
              <w:rPr>
                <w:b/>
                <w:szCs w:val="26"/>
              </w:rPr>
              <w:lastRenderedPageBreak/>
              <w:t>Average No. of Respondents Annually</w:t>
            </w:r>
          </w:p>
        </w:tc>
        <w:tc>
          <w:tcPr>
            <w:tcW w:w="1710" w:type="dxa"/>
            <w:shd w:val="clear" w:color="auto" w:fill="D9D9D9" w:themeFill="background1" w:themeFillShade="D9"/>
            <w:vAlign w:val="bottom"/>
          </w:tcPr>
          <w:p w:rsidR="004E7DE2" w:rsidRPr="00AF30C4" w:rsidRDefault="004E7DE2" w:rsidP="004E7DE2">
            <w:pPr>
              <w:jc w:val="center"/>
              <w:rPr>
                <w:b/>
                <w:szCs w:val="26"/>
              </w:rPr>
            </w:pPr>
            <w:r w:rsidRPr="00AF30C4">
              <w:rPr>
                <w:b/>
                <w:szCs w:val="26"/>
              </w:rPr>
              <w:t>Average No. of Filings Per Year</w:t>
            </w:r>
            <w:r w:rsidRPr="00AF30C4">
              <w:rPr>
                <w:rStyle w:val="FootnoteReference"/>
                <w:b w:val="0"/>
              </w:rPr>
              <w:footnoteReference w:id="6"/>
            </w:r>
          </w:p>
          <w:p w:rsidR="004E7DE2" w:rsidRPr="00AF30C4" w:rsidRDefault="004E7DE2" w:rsidP="004E7DE2">
            <w:pPr>
              <w:jc w:val="center"/>
              <w:rPr>
                <w:b/>
                <w:szCs w:val="26"/>
              </w:rPr>
            </w:pPr>
            <w:r w:rsidRPr="00487E9B">
              <w:rPr>
                <w:b/>
                <w:szCs w:val="26"/>
              </w:rPr>
              <w:lastRenderedPageBreak/>
              <w:t>(a)</w:t>
            </w:r>
          </w:p>
        </w:tc>
        <w:tc>
          <w:tcPr>
            <w:tcW w:w="1710" w:type="dxa"/>
            <w:shd w:val="clear" w:color="auto" w:fill="D9D9D9" w:themeFill="background1" w:themeFillShade="D9"/>
            <w:vAlign w:val="bottom"/>
          </w:tcPr>
          <w:p w:rsidR="004E7DE2" w:rsidRPr="00AF30C4" w:rsidRDefault="004E7DE2" w:rsidP="004E7DE2">
            <w:pPr>
              <w:jc w:val="center"/>
              <w:rPr>
                <w:b/>
                <w:szCs w:val="26"/>
              </w:rPr>
            </w:pPr>
            <w:r w:rsidRPr="00487E9B">
              <w:rPr>
                <w:b/>
                <w:szCs w:val="26"/>
              </w:rPr>
              <w:lastRenderedPageBreak/>
              <w:t>Ave</w:t>
            </w:r>
            <w:r w:rsidRPr="002760B7">
              <w:rPr>
                <w:b/>
                <w:szCs w:val="26"/>
              </w:rPr>
              <w:t xml:space="preserve">rage Change in Burden Hrs. </w:t>
            </w:r>
            <w:r w:rsidRPr="002760B7">
              <w:rPr>
                <w:b/>
                <w:szCs w:val="26"/>
              </w:rPr>
              <w:lastRenderedPageBreak/>
              <w:t>per Filing</w:t>
            </w:r>
            <w:r w:rsidRPr="00AF30C4">
              <w:rPr>
                <w:b/>
                <w:szCs w:val="26"/>
              </w:rPr>
              <w:t xml:space="preserve"> (rounded)</w:t>
            </w:r>
          </w:p>
          <w:p w:rsidR="004E7DE2" w:rsidRPr="00AF30C4" w:rsidRDefault="004E7DE2" w:rsidP="004E7DE2">
            <w:pPr>
              <w:jc w:val="center"/>
              <w:rPr>
                <w:b/>
                <w:szCs w:val="26"/>
              </w:rPr>
            </w:pPr>
            <w:r w:rsidRPr="00AF30C4">
              <w:rPr>
                <w:b/>
                <w:szCs w:val="26"/>
              </w:rPr>
              <w:t>(b)</w:t>
            </w:r>
          </w:p>
        </w:tc>
        <w:tc>
          <w:tcPr>
            <w:tcW w:w="1770" w:type="dxa"/>
            <w:shd w:val="clear" w:color="auto" w:fill="D9D9D9" w:themeFill="background1" w:themeFillShade="D9"/>
            <w:vAlign w:val="bottom"/>
          </w:tcPr>
          <w:p w:rsidR="004E7DE2" w:rsidRPr="00AF30C4" w:rsidRDefault="004E7DE2" w:rsidP="004E7DE2">
            <w:pPr>
              <w:jc w:val="center"/>
              <w:rPr>
                <w:b/>
                <w:szCs w:val="26"/>
              </w:rPr>
            </w:pPr>
            <w:r w:rsidRPr="00AF30C4">
              <w:rPr>
                <w:b/>
                <w:szCs w:val="26"/>
              </w:rPr>
              <w:lastRenderedPageBreak/>
              <w:t xml:space="preserve">Total Annual Change in  Burden Hrs. </w:t>
            </w:r>
            <w:r w:rsidRPr="00AF30C4">
              <w:rPr>
                <w:b/>
                <w:szCs w:val="26"/>
              </w:rPr>
              <w:lastRenderedPageBreak/>
              <w:t xml:space="preserve">for all Filings Types </w:t>
            </w:r>
            <w:r w:rsidRPr="00AF30C4">
              <w:rPr>
                <w:b/>
                <w:szCs w:val="26"/>
              </w:rPr>
              <w:br/>
              <w:t>(a x b)</w:t>
            </w:r>
          </w:p>
        </w:tc>
      </w:tr>
      <w:tr w:rsidR="004E7DE2" w:rsidRPr="00AF30C4" w:rsidTr="00C95529">
        <w:tc>
          <w:tcPr>
            <w:tcW w:w="2358" w:type="dxa"/>
            <w:shd w:val="clear" w:color="auto" w:fill="auto"/>
          </w:tcPr>
          <w:p w:rsidR="004E7DE2" w:rsidRPr="00AF30C4" w:rsidRDefault="004E7DE2" w:rsidP="004E7DE2">
            <w:pPr>
              <w:rPr>
                <w:szCs w:val="26"/>
              </w:rPr>
            </w:pPr>
            <w:r w:rsidRPr="00AF30C4">
              <w:rPr>
                <w:szCs w:val="26"/>
              </w:rPr>
              <w:lastRenderedPageBreak/>
              <w:t>Upland Plan</w:t>
            </w:r>
          </w:p>
        </w:tc>
        <w:tc>
          <w:tcPr>
            <w:tcW w:w="2160" w:type="dxa"/>
            <w:shd w:val="clear" w:color="auto" w:fill="auto"/>
          </w:tcPr>
          <w:p w:rsidR="004E7DE2" w:rsidRPr="00AF30C4" w:rsidRDefault="004E7DE2" w:rsidP="004E7DE2">
            <w:pPr>
              <w:ind w:left="-108"/>
              <w:jc w:val="center"/>
              <w:rPr>
                <w:szCs w:val="26"/>
              </w:rPr>
            </w:pPr>
            <w:r w:rsidRPr="00AF30C4">
              <w:rPr>
                <w:szCs w:val="26"/>
              </w:rPr>
              <w:t xml:space="preserve">81 </w:t>
            </w:r>
            <w:r>
              <w:rPr>
                <w:szCs w:val="26"/>
              </w:rPr>
              <w:t>Natural Gas C</w:t>
            </w:r>
            <w:r w:rsidRPr="002760B7">
              <w:rPr>
                <w:szCs w:val="26"/>
              </w:rPr>
              <w:t xml:space="preserve">ompanies </w:t>
            </w:r>
          </w:p>
        </w:tc>
        <w:tc>
          <w:tcPr>
            <w:tcW w:w="1710" w:type="dxa"/>
            <w:shd w:val="clear" w:color="auto" w:fill="auto"/>
            <w:vAlign w:val="bottom"/>
          </w:tcPr>
          <w:p w:rsidR="004E7DE2" w:rsidRPr="002760B7" w:rsidRDefault="004E7DE2" w:rsidP="004E7DE2">
            <w:pPr>
              <w:jc w:val="right"/>
              <w:rPr>
                <w:szCs w:val="26"/>
              </w:rPr>
            </w:pPr>
            <w:r>
              <w:rPr>
                <w:szCs w:val="26"/>
              </w:rPr>
              <w:t>218</w:t>
            </w:r>
          </w:p>
        </w:tc>
        <w:tc>
          <w:tcPr>
            <w:tcW w:w="1710" w:type="dxa"/>
            <w:shd w:val="clear" w:color="auto" w:fill="auto"/>
            <w:vAlign w:val="bottom"/>
          </w:tcPr>
          <w:p w:rsidR="004E7DE2" w:rsidRPr="00AF30C4" w:rsidRDefault="004E7DE2" w:rsidP="004E7DE2">
            <w:pPr>
              <w:jc w:val="right"/>
              <w:rPr>
                <w:szCs w:val="26"/>
              </w:rPr>
            </w:pPr>
            <w:r>
              <w:rPr>
                <w:szCs w:val="26"/>
              </w:rPr>
              <w:t>7.6</w:t>
            </w:r>
            <w:r w:rsidR="00246EC0">
              <w:rPr>
                <w:szCs w:val="26"/>
              </w:rPr>
              <w:t>4</w:t>
            </w:r>
          </w:p>
        </w:tc>
        <w:tc>
          <w:tcPr>
            <w:tcW w:w="1770" w:type="dxa"/>
            <w:shd w:val="clear" w:color="auto" w:fill="auto"/>
            <w:vAlign w:val="bottom"/>
          </w:tcPr>
          <w:p w:rsidR="004E7DE2" w:rsidRPr="00AF30C4" w:rsidRDefault="004E7DE2" w:rsidP="004E7DE2">
            <w:pPr>
              <w:jc w:val="right"/>
              <w:rPr>
                <w:szCs w:val="26"/>
              </w:rPr>
            </w:pPr>
            <w:r>
              <w:rPr>
                <w:szCs w:val="26"/>
              </w:rPr>
              <w:t>1</w:t>
            </w:r>
            <w:r w:rsidR="002D2C47">
              <w:rPr>
                <w:szCs w:val="26"/>
              </w:rPr>
              <w:t>,</w:t>
            </w:r>
            <w:r>
              <w:rPr>
                <w:szCs w:val="26"/>
              </w:rPr>
              <w:t>667</w:t>
            </w:r>
          </w:p>
        </w:tc>
      </w:tr>
      <w:tr w:rsidR="004E7DE2" w:rsidRPr="00AF30C4" w:rsidTr="00C95529">
        <w:tc>
          <w:tcPr>
            <w:tcW w:w="2358" w:type="dxa"/>
            <w:shd w:val="clear" w:color="auto" w:fill="auto"/>
          </w:tcPr>
          <w:p w:rsidR="004E7DE2" w:rsidRPr="00AF30C4" w:rsidRDefault="004E7DE2" w:rsidP="004E7DE2">
            <w:pPr>
              <w:rPr>
                <w:szCs w:val="26"/>
              </w:rPr>
            </w:pPr>
            <w:r w:rsidRPr="00AF30C4">
              <w:rPr>
                <w:szCs w:val="26"/>
              </w:rPr>
              <w:t>Wetland and Waterbody Procedures</w:t>
            </w:r>
          </w:p>
        </w:tc>
        <w:tc>
          <w:tcPr>
            <w:tcW w:w="2160" w:type="dxa"/>
            <w:shd w:val="clear" w:color="auto" w:fill="auto"/>
          </w:tcPr>
          <w:p w:rsidR="004E7DE2" w:rsidRPr="00AF30C4" w:rsidRDefault="004E7DE2" w:rsidP="004E7DE2">
            <w:pPr>
              <w:ind w:left="-108"/>
              <w:jc w:val="center"/>
              <w:rPr>
                <w:szCs w:val="26"/>
              </w:rPr>
            </w:pPr>
            <w:r w:rsidRPr="00AF30C4">
              <w:rPr>
                <w:szCs w:val="26"/>
              </w:rPr>
              <w:t xml:space="preserve">81 </w:t>
            </w:r>
            <w:r>
              <w:rPr>
                <w:szCs w:val="26"/>
              </w:rPr>
              <w:t>Natural Gas C</w:t>
            </w:r>
            <w:r w:rsidRPr="002760B7">
              <w:rPr>
                <w:szCs w:val="26"/>
              </w:rPr>
              <w:t>ompanies</w:t>
            </w:r>
          </w:p>
        </w:tc>
        <w:tc>
          <w:tcPr>
            <w:tcW w:w="1710" w:type="dxa"/>
            <w:shd w:val="clear" w:color="auto" w:fill="auto"/>
            <w:vAlign w:val="bottom"/>
          </w:tcPr>
          <w:p w:rsidR="004E7DE2" w:rsidRPr="00AF30C4" w:rsidRDefault="004E7DE2" w:rsidP="004E7DE2">
            <w:pPr>
              <w:jc w:val="right"/>
              <w:rPr>
                <w:szCs w:val="26"/>
              </w:rPr>
            </w:pPr>
            <w:r>
              <w:rPr>
                <w:szCs w:val="26"/>
              </w:rPr>
              <w:t>218</w:t>
            </w:r>
          </w:p>
        </w:tc>
        <w:tc>
          <w:tcPr>
            <w:tcW w:w="1710" w:type="dxa"/>
            <w:shd w:val="clear" w:color="auto" w:fill="auto"/>
            <w:vAlign w:val="bottom"/>
          </w:tcPr>
          <w:p w:rsidR="004E7DE2" w:rsidRPr="00487E9B" w:rsidRDefault="004E7DE2" w:rsidP="004E7DE2">
            <w:pPr>
              <w:jc w:val="right"/>
              <w:rPr>
                <w:szCs w:val="26"/>
              </w:rPr>
            </w:pPr>
            <w:r w:rsidRPr="00487E9B">
              <w:rPr>
                <w:szCs w:val="26"/>
              </w:rPr>
              <w:t>-</w:t>
            </w:r>
            <w:r>
              <w:rPr>
                <w:szCs w:val="26"/>
              </w:rPr>
              <w:t>4</w:t>
            </w:r>
            <w:r w:rsidRPr="00487E9B">
              <w:rPr>
                <w:szCs w:val="26"/>
              </w:rPr>
              <w:t>.</w:t>
            </w:r>
            <w:r w:rsidR="00246EC0">
              <w:rPr>
                <w:szCs w:val="26"/>
              </w:rPr>
              <w:t>15</w:t>
            </w:r>
          </w:p>
        </w:tc>
        <w:tc>
          <w:tcPr>
            <w:tcW w:w="1770" w:type="dxa"/>
            <w:shd w:val="clear" w:color="auto" w:fill="auto"/>
            <w:vAlign w:val="bottom"/>
          </w:tcPr>
          <w:p w:rsidR="004E7DE2" w:rsidRPr="002760B7" w:rsidRDefault="004E7DE2" w:rsidP="004E7DE2">
            <w:pPr>
              <w:jc w:val="right"/>
              <w:rPr>
                <w:szCs w:val="26"/>
              </w:rPr>
            </w:pPr>
            <w:r w:rsidRPr="002760B7">
              <w:rPr>
                <w:szCs w:val="26"/>
              </w:rPr>
              <w:t>-</w:t>
            </w:r>
            <w:r>
              <w:rPr>
                <w:szCs w:val="26"/>
              </w:rPr>
              <w:t>905</w:t>
            </w:r>
          </w:p>
        </w:tc>
      </w:tr>
      <w:tr w:rsidR="004E7DE2" w:rsidRPr="00AF30C4" w:rsidTr="00C95529">
        <w:trPr>
          <w:trHeight w:val="422"/>
        </w:trPr>
        <w:tc>
          <w:tcPr>
            <w:tcW w:w="2358" w:type="dxa"/>
            <w:shd w:val="clear" w:color="auto" w:fill="auto"/>
          </w:tcPr>
          <w:p w:rsidR="004E7DE2" w:rsidRPr="00AF30C4" w:rsidRDefault="004E7DE2" w:rsidP="004E7DE2">
            <w:pPr>
              <w:rPr>
                <w:b/>
                <w:szCs w:val="26"/>
              </w:rPr>
            </w:pPr>
            <w:r w:rsidRPr="00AF30C4">
              <w:rPr>
                <w:b/>
                <w:szCs w:val="26"/>
              </w:rPr>
              <w:t>Total</w:t>
            </w:r>
          </w:p>
        </w:tc>
        <w:tc>
          <w:tcPr>
            <w:tcW w:w="2160" w:type="dxa"/>
            <w:shd w:val="clear" w:color="auto" w:fill="auto"/>
          </w:tcPr>
          <w:p w:rsidR="004E7DE2" w:rsidRPr="00AF30C4" w:rsidRDefault="004E7DE2" w:rsidP="004E7DE2">
            <w:pPr>
              <w:jc w:val="right"/>
              <w:rPr>
                <w:szCs w:val="26"/>
              </w:rPr>
            </w:pPr>
          </w:p>
        </w:tc>
        <w:tc>
          <w:tcPr>
            <w:tcW w:w="1710" w:type="dxa"/>
            <w:shd w:val="clear" w:color="auto" w:fill="auto"/>
            <w:vAlign w:val="bottom"/>
          </w:tcPr>
          <w:p w:rsidR="004E7DE2" w:rsidRPr="00AF30C4" w:rsidRDefault="004E7DE2" w:rsidP="004E7DE2">
            <w:pPr>
              <w:jc w:val="right"/>
              <w:rPr>
                <w:szCs w:val="26"/>
              </w:rPr>
            </w:pPr>
          </w:p>
        </w:tc>
        <w:tc>
          <w:tcPr>
            <w:tcW w:w="1710" w:type="dxa"/>
            <w:shd w:val="clear" w:color="auto" w:fill="auto"/>
            <w:vAlign w:val="bottom"/>
          </w:tcPr>
          <w:p w:rsidR="004E7DE2" w:rsidRPr="00AF30C4" w:rsidRDefault="004E7DE2" w:rsidP="004E7DE2">
            <w:pPr>
              <w:spacing w:line="480" w:lineRule="auto"/>
              <w:jc w:val="right"/>
              <w:rPr>
                <w:szCs w:val="26"/>
              </w:rPr>
            </w:pPr>
          </w:p>
        </w:tc>
        <w:tc>
          <w:tcPr>
            <w:tcW w:w="1770" w:type="dxa"/>
            <w:shd w:val="clear" w:color="auto" w:fill="auto"/>
            <w:vAlign w:val="bottom"/>
          </w:tcPr>
          <w:p w:rsidR="004E7DE2" w:rsidRPr="00AF30C4" w:rsidRDefault="004E7DE2" w:rsidP="004E7DE2">
            <w:pPr>
              <w:jc w:val="right"/>
              <w:rPr>
                <w:szCs w:val="26"/>
              </w:rPr>
            </w:pPr>
            <w:r>
              <w:rPr>
                <w:szCs w:val="26"/>
              </w:rPr>
              <w:t>762</w:t>
            </w:r>
          </w:p>
        </w:tc>
      </w:tr>
    </w:tbl>
    <w:p w:rsidR="004E7DE2"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p>
    <w:p w:rsidR="004E7DE2" w:rsidRPr="00AF30C4"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r w:rsidRPr="00AF30C4">
        <w:rPr>
          <w:szCs w:val="26"/>
        </w:rPr>
        <w:t>The total estimated annual cost burden to prepare new or modified information collections based on the Plan and Procedure revisions is $</w:t>
      </w:r>
      <w:r>
        <w:rPr>
          <w:szCs w:val="26"/>
        </w:rPr>
        <w:t>53,340</w:t>
      </w:r>
      <w:r w:rsidRPr="00AF30C4">
        <w:rPr>
          <w:szCs w:val="26"/>
        </w:rPr>
        <w:t xml:space="preserve"> (</w:t>
      </w:r>
      <w:r>
        <w:rPr>
          <w:szCs w:val="26"/>
        </w:rPr>
        <w:t>762 hours</w:t>
      </w:r>
      <w:r w:rsidRPr="00AF30C4">
        <w:rPr>
          <w:szCs w:val="26"/>
        </w:rPr>
        <w:t xml:space="preserve"> </w:t>
      </w:r>
      <w:r w:rsidR="007D5AED">
        <w:rPr>
          <w:szCs w:val="26"/>
        </w:rPr>
        <w:t>x</w:t>
      </w:r>
      <w:r w:rsidRPr="00AF30C4">
        <w:rPr>
          <w:szCs w:val="26"/>
        </w:rPr>
        <w:t xml:space="preserve"> $</w:t>
      </w:r>
      <w:r>
        <w:rPr>
          <w:szCs w:val="26"/>
        </w:rPr>
        <w:t>70/</w:t>
      </w:r>
      <w:proofErr w:type="spellStart"/>
      <w:r>
        <w:rPr>
          <w:szCs w:val="26"/>
        </w:rPr>
        <w:t>hr</w:t>
      </w:r>
      <w:proofErr w:type="spellEnd"/>
      <w:r w:rsidRPr="00AF30C4">
        <w:rPr>
          <w:rStyle w:val="FootnoteReference"/>
        </w:rPr>
        <w:footnoteReference w:id="7"/>
      </w:r>
      <w:r w:rsidRPr="00AF30C4">
        <w:rPr>
          <w:szCs w:val="26"/>
        </w:rPr>
        <w:t xml:space="preserve">).  </w:t>
      </w:r>
    </w:p>
    <w:p w:rsidR="004E7DE2" w:rsidRPr="00AF30C4"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p>
    <w:p w:rsidR="004E7DE2"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r w:rsidRPr="00AF30C4">
        <w:rPr>
          <w:szCs w:val="26"/>
        </w:rPr>
        <w:t xml:space="preserve">We expect the estimated burden would reduce in subsequent years, as companies adjust to the modified information collections and have trained their personnel to collect information per the revised Plan and Procedures. </w:t>
      </w:r>
    </w:p>
    <w:p w:rsidR="004E7DE2"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p>
    <w:p w:rsidR="004E7DE2" w:rsidRPr="00487E9B" w:rsidRDefault="004E7DE2" w:rsidP="004E7DE2">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r>
        <w:rPr>
          <w:szCs w:val="26"/>
        </w:rPr>
        <w:t>The following table illustrates the net change to the FERC-577.</w:t>
      </w:r>
    </w:p>
    <w:p w:rsidR="006E2C07" w:rsidRDefault="006E2C07" w:rsidP="002C4A1B"/>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79"/>
        <w:gridCol w:w="1731"/>
        <w:gridCol w:w="1958"/>
        <w:gridCol w:w="1684"/>
      </w:tblGrid>
      <w:tr w:rsidR="006E2C07" w:rsidTr="006E2C07">
        <w:trPr>
          <w:trHeight w:val="870"/>
        </w:trPr>
        <w:tc>
          <w:tcPr>
            <w:tcW w:w="25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FERC-577</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Total Request</w:t>
            </w:r>
          </w:p>
        </w:tc>
        <w:tc>
          <w:tcPr>
            <w:tcW w:w="173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Change due to Adjustment in Estimate</w:t>
            </w:r>
          </w:p>
        </w:tc>
        <w:tc>
          <w:tcPr>
            <w:tcW w:w="1684"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6E2C07" w:rsidRDefault="006E2C07">
            <w:pPr>
              <w:rPr>
                <w:b/>
                <w:sz w:val="24"/>
              </w:rPr>
            </w:pPr>
            <w:r>
              <w:rPr>
                <w:b/>
                <w:sz w:val="24"/>
              </w:rPr>
              <w:t>Change Due to Agency Discretion</w:t>
            </w:r>
          </w:p>
        </w:tc>
      </w:tr>
      <w:tr w:rsidR="006E2C07" w:rsidTr="004E7DE2">
        <w:trPr>
          <w:trHeight w:val="591"/>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6E2C07">
            <w:pPr>
              <w:jc w:val="right"/>
              <w:rPr>
                <w:sz w:val="24"/>
              </w:rPr>
            </w:pPr>
            <w:r>
              <w:rPr>
                <w:sz w:val="24"/>
              </w:rPr>
              <w:t>1,472</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4E7DE2">
            <w:pPr>
              <w:jc w:val="right"/>
              <w:rPr>
                <w:sz w:val="24"/>
              </w:rPr>
            </w:pPr>
            <w:r>
              <w:rPr>
                <w:sz w:val="24"/>
              </w:rPr>
              <w:t>1,472</w:t>
            </w:r>
          </w:p>
        </w:tc>
        <w:tc>
          <w:tcPr>
            <w:tcW w:w="1958" w:type="dxa"/>
            <w:tcBorders>
              <w:top w:val="single" w:sz="4" w:space="0" w:color="auto"/>
              <w:left w:val="single" w:sz="4" w:space="0" w:color="auto"/>
              <w:bottom w:val="single" w:sz="4" w:space="0" w:color="auto"/>
              <w:right w:val="single" w:sz="4" w:space="0" w:color="auto"/>
            </w:tcBorders>
            <w:vAlign w:val="bottom"/>
          </w:tcPr>
          <w:p w:rsidR="006E2C07" w:rsidRDefault="004E7DE2">
            <w:pPr>
              <w:jc w:val="right"/>
              <w:rPr>
                <w:sz w:val="24"/>
              </w:rPr>
            </w:pPr>
            <w:r>
              <w:rPr>
                <w:sz w:val="24"/>
              </w:rPr>
              <w:t>-</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6E2C07">
            <w:pPr>
              <w:jc w:val="right"/>
              <w:rPr>
                <w:sz w:val="24"/>
              </w:rPr>
            </w:pPr>
            <w:r>
              <w:rPr>
                <w:sz w:val="24"/>
              </w:rPr>
              <w:t>-</w:t>
            </w:r>
          </w:p>
        </w:tc>
      </w:tr>
      <w:tr w:rsidR="006E2C07" w:rsidTr="004E7DE2">
        <w:trPr>
          <w:trHeight w:val="575"/>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Time Burden (</w:t>
            </w:r>
            <w:proofErr w:type="spellStart"/>
            <w:r>
              <w:rPr>
                <w:sz w:val="24"/>
              </w:rPr>
              <w:t>Hr</w:t>
            </w:r>
            <w:proofErr w:type="spellEnd"/>
            <w:r>
              <w:rPr>
                <w:sz w:val="24"/>
              </w:rPr>
              <w:t>)</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6E2C07" w:rsidP="004E7DE2">
            <w:pPr>
              <w:jc w:val="right"/>
              <w:rPr>
                <w:sz w:val="24"/>
              </w:rPr>
            </w:pPr>
            <w:r>
              <w:rPr>
                <w:sz w:val="24"/>
              </w:rPr>
              <w:t>284,</w:t>
            </w:r>
            <w:r w:rsidR="004E7DE2">
              <w:rPr>
                <w:sz w:val="24"/>
              </w:rPr>
              <w:t>858</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4E7DE2">
            <w:pPr>
              <w:jc w:val="right"/>
              <w:rPr>
                <w:sz w:val="24"/>
              </w:rPr>
            </w:pPr>
            <w:r>
              <w:rPr>
                <w:sz w:val="24"/>
              </w:rPr>
              <w:t>284,096</w:t>
            </w:r>
          </w:p>
        </w:tc>
        <w:tc>
          <w:tcPr>
            <w:tcW w:w="1958" w:type="dxa"/>
            <w:tcBorders>
              <w:top w:val="single" w:sz="4" w:space="0" w:color="auto"/>
              <w:left w:val="single" w:sz="4" w:space="0" w:color="auto"/>
              <w:bottom w:val="single" w:sz="4" w:space="0" w:color="auto"/>
              <w:right w:val="single" w:sz="4" w:space="0" w:color="auto"/>
            </w:tcBorders>
            <w:vAlign w:val="bottom"/>
          </w:tcPr>
          <w:p w:rsidR="006E2C07" w:rsidRDefault="004E7DE2">
            <w:pPr>
              <w:jc w:val="right"/>
              <w:rPr>
                <w:sz w:val="24"/>
              </w:rPr>
            </w:pPr>
            <w:r>
              <w:rPr>
                <w:sz w:val="24"/>
              </w:rPr>
              <w:t>-</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4E7DE2">
            <w:pPr>
              <w:jc w:val="right"/>
              <w:rPr>
                <w:sz w:val="24"/>
              </w:rPr>
            </w:pPr>
            <w:r>
              <w:rPr>
                <w:sz w:val="24"/>
              </w:rPr>
              <w:t>762</w:t>
            </w:r>
          </w:p>
        </w:tc>
      </w:tr>
      <w:tr w:rsidR="006E2C07" w:rsidTr="004E7DE2">
        <w:trPr>
          <w:trHeight w:val="295"/>
        </w:trPr>
        <w:tc>
          <w:tcPr>
            <w:tcW w:w="2520" w:type="dxa"/>
            <w:tcBorders>
              <w:top w:val="single" w:sz="4" w:space="0" w:color="auto"/>
              <w:left w:val="single" w:sz="4" w:space="0" w:color="auto"/>
              <w:bottom w:val="single" w:sz="4" w:space="0" w:color="auto"/>
              <w:right w:val="single" w:sz="4" w:space="0" w:color="auto"/>
            </w:tcBorders>
            <w:hideMark/>
          </w:tcPr>
          <w:p w:rsidR="006E2C07" w:rsidRDefault="006E2C07">
            <w:pPr>
              <w:rPr>
                <w:sz w:val="24"/>
              </w:rPr>
            </w:pPr>
            <w:r>
              <w:rPr>
                <w:sz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hideMark/>
          </w:tcPr>
          <w:p w:rsidR="006E2C07" w:rsidRDefault="004E7DE2">
            <w:pPr>
              <w:jc w:val="right"/>
              <w:rPr>
                <w:sz w:val="24"/>
              </w:rPr>
            </w:pPr>
            <w:r>
              <w:rPr>
                <w:sz w:val="24"/>
              </w:rPr>
              <w:t>-</w:t>
            </w:r>
          </w:p>
        </w:tc>
        <w:tc>
          <w:tcPr>
            <w:tcW w:w="1731" w:type="dxa"/>
            <w:tcBorders>
              <w:top w:val="single" w:sz="4" w:space="0" w:color="auto"/>
              <w:left w:val="single" w:sz="4" w:space="0" w:color="auto"/>
              <w:bottom w:val="single" w:sz="4" w:space="0" w:color="auto"/>
              <w:right w:val="single" w:sz="4" w:space="0" w:color="auto"/>
            </w:tcBorders>
            <w:vAlign w:val="bottom"/>
            <w:hideMark/>
          </w:tcPr>
          <w:p w:rsidR="006E2C07" w:rsidRDefault="004E7DE2">
            <w:pPr>
              <w:jc w:val="right"/>
              <w:rPr>
                <w:sz w:val="24"/>
              </w:rPr>
            </w:pPr>
            <w:r>
              <w:rPr>
                <w:sz w:val="24"/>
              </w:rPr>
              <w:t>-</w:t>
            </w:r>
          </w:p>
        </w:tc>
        <w:tc>
          <w:tcPr>
            <w:tcW w:w="1958" w:type="dxa"/>
            <w:tcBorders>
              <w:top w:val="single" w:sz="4" w:space="0" w:color="auto"/>
              <w:left w:val="single" w:sz="4" w:space="0" w:color="auto"/>
              <w:bottom w:val="single" w:sz="4" w:space="0" w:color="auto"/>
              <w:right w:val="single" w:sz="4" w:space="0" w:color="auto"/>
            </w:tcBorders>
            <w:vAlign w:val="bottom"/>
          </w:tcPr>
          <w:p w:rsidR="006E2C07" w:rsidRDefault="004E7DE2">
            <w:pPr>
              <w:jc w:val="right"/>
              <w:rPr>
                <w:sz w:val="24"/>
              </w:rPr>
            </w:pPr>
            <w:r>
              <w:rPr>
                <w:sz w:val="24"/>
              </w:rPr>
              <w:t>-</w:t>
            </w:r>
          </w:p>
        </w:tc>
        <w:tc>
          <w:tcPr>
            <w:tcW w:w="1684" w:type="dxa"/>
            <w:tcBorders>
              <w:top w:val="single" w:sz="4" w:space="0" w:color="auto"/>
              <w:left w:val="single" w:sz="4" w:space="0" w:color="auto"/>
              <w:bottom w:val="single" w:sz="4" w:space="0" w:color="auto"/>
              <w:right w:val="single" w:sz="4" w:space="0" w:color="auto"/>
            </w:tcBorders>
            <w:vAlign w:val="bottom"/>
          </w:tcPr>
          <w:p w:rsidR="006E2C07" w:rsidRDefault="006E2C07">
            <w:pPr>
              <w:jc w:val="right"/>
              <w:rPr>
                <w:sz w:val="24"/>
              </w:rPr>
            </w:pPr>
            <w:r>
              <w:rPr>
                <w:sz w:val="24"/>
              </w:rPr>
              <w:t>-</w:t>
            </w:r>
          </w:p>
        </w:tc>
      </w:tr>
    </w:tbl>
    <w:p w:rsidR="00D270CA" w:rsidRDefault="00D270CA" w:rsidP="00D270CA"/>
    <w:p w:rsidR="006971CA" w:rsidRPr="00DA2814" w:rsidRDefault="006971CA" w:rsidP="006971CA">
      <w:pPr>
        <w:numPr>
          <w:ilvl w:val="0"/>
          <w:numId w:val="7"/>
        </w:numPr>
        <w:rPr>
          <w:b/>
        </w:rPr>
      </w:pPr>
      <w:r>
        <w:rPr>
          <w:b/>
        </w:rPr>
        <w:t>TIME SCHEDULE FOR THE PUBLICATION OF DATA</w:t>
      </w:r>
      <w:r w:rsidR="00D270CA" w:rsidRPr="00DA2814">
        <w:rPr>
          <w:b/>
        </w:rPr>
        <w:t xml:space="preserve"> </w:t>
      </w:r>
    </w:p>
    <w:p w:rsidR="006971CA" w:rsidRDefault="006971CA" w:rsidP="006971CA">
      <w:pPr>
        <w:ind w:left="360"/>
      </w:pPr>
    </w:p>
    <w:p w:rsidR="002C4A1B" w:rsidRDefault="002C4A1B" w:rsidP="002C4A1B">
      <w:pPr>
        <w:rPr>
          <w:sz w:val="24"/>
        </w:rPr>
      </w:pPr>
      <w:r>
        <w:rPr>
          <w:sz w:val="24"/>
        </w:rPr>
        <w:t>FERC does not publish any data as part of this collection.</w:t>
      </w:r>
    </w:p>
    <w:p w:rsidR="00D270CA" w:rsidRDefault="00D270CA" w:rsidP="00D270CA"/>
    <w:p w:rsidR="006971CA" w:rsidRPr="00DA2814" w:rsidRDefault="006971CA" w:rsidP="006971CA">
      <w:pPr>
        <w:numPr>
          <w:ilvl w:val="0"/>
          <w:numId w:val="7"/>
        </w:numPr>
        <w:rPr>
          <w:b/>
        </w:rPr>
      </w:pPr>
      <w:r w:rsidRPr="00DA2814">
        <w:rPr>
          <w:b/>
        </w:rPr>
        <w:t>DISPLAY OF EXPIRATION DATE</w:t>
      </w:r>
    </w:p>
    <w:p w:rsidR="006971CA" w:rsidRDefault="006971CA" w:rsidP="006971CA">
      <w:pPr>
        <w:ind w:left="360"/>
      </w:pPr>
    </w:p>
    <w:p w:rsidR="002C4A1B" w:rsidRDefault="002C4A1B" w:rsidP="002C4A1B">
      <w:pPr>
        <w:rPr>
          <w:sz w:val="24"/>
        </w:rPr>
      </w:pPr>
      <w:r>
        <w:rPr>
          <w:sz w:val="24"/>
        </w:rPr>
        <w:t>The information collected as part of the FERC-577</w:t>
      </w:r>
      <w:r w:rsidR="008629D2">
        <w:rPr>
          <w:sz w:val="24"/>
        </w:rPr>
        <w:t xml:space="preserve"> (including the revised Plan and Procedures)</w:t>
      </w:r>
      <w:r>
        <w:rPr>
          <w:sz w:val="24"/>
        </w:rPr>
        <w:t xml:space="preserve"> is not collected on formatted/printed forms.  Thus, the subject data requirements do not have an appropriate format to display an OMB expiration date. </w:t>
      </w:r>
    </w:p>
    <w:p w:rsidR="00D270CA" w:rsidRDefault="00D270CA" w:rsidP="00D270CA"/>
    <w:p w:rsidR="006971CA" w:rsidRDefault="006971CA" w:rsidP="006971CA">
      <w:pPr>
        <w:numPr>
          <w:ilvl w:val="0"/>
          <w:numId w:val="7"/>
        </w:numPr>
        <w:rPr>
          <w:b/>
        </w:rPr>
      </w:pPr>
      <w:r>
        <w:rPr>
          <w:b/>
        </w:rPr>
        <w:t>EXCEPTIONS TO THE CERTIFICATION STATEMENT</w:t>
      </w:r>
    </w:p>
    <w:p w:rsidR="006971CA" w:rsidRDefault="006971CA" w:rsidP="006971CA">
      <w:pPr>
        <w:ind w:left="360"/>
        <w:rPr>
          <w:b/>
        </w:rPr>
      </w:pPr>
    </w:p>
    <w:p w:rsidR="00D270CA" w:rsidRDefault="00D270CA" w:rsidP="002C4A1B">
      <w:r>
        <w:t xml:space="preserve">Because the data collected </w:t>
      </w:r>
      <w:r w:rsidR="006971CA">
        <w:t xml:space="preserve">is </w:t>
      </w:r>
      <w:r>
        <w:t xml:space="preserve">not submitted on a standardized form, the Commission does not display the expiration date.  In addition, the Commission does not use statistical survey methodology for these information collections. </w:t>
      </w:r>
    </w:p>
    <w:p w:rsidR="00D270CA" w:rsidRPr="00B533AF" w:rsidRDefault="00D270CA" w:rsidP="00D270CA">
      <w:pPr>
        <w:rPr>
          <w:szCs w:val="26"/>
        </w:rPr>
      </w:pPr>
    </w:p>
    <w:p w:rsidR="00D270CA" w:rsidRPr="002845D6" w:rsidRDefault="00D270CA" w:rsidP="00D270CA"/>
    <w:p w:rsidR="00D270CA" w:rsidRPr="00923490" w:rsidRDefault="00D270CA" w:rsidP="00923490"/>
    <w:sectPr w:rsidR="00D270CA" w:rsidRPr="0092349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9F" w:rsidRDefault="006C7A9F">
      <w:r>
        <w:separator/>
      </w:r>
    </w:p>
  </w:endnote>
  <w:endnote w:type="continuationSeparator" w:id="0">
    <w:p w:rsidR="006C7A9F" w:rsidRDefault="006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29" w:rsidRDefault="00032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601691"/>
      <w:docPartObj>
        <w:docPartGallery w:val="Page Numbers (Bottom of Page)"/>
        <w:docPartUnique/>
      </w:docPartObj>
    </w:sdtPr>
    <w:sdtEndPr>
      <w:rPr>
        <w:noProof/>
      </w:rPr>
    </w:sdtEndPr>
    <w:sdtContent>
      <w:p w:rsidR="00B9458A" w:rsidRDefault="00B9458A">
        <w:pPr>
          <w:pStyle w:val="Footer"/>
          <w:jc w:val="right"/>
        </w:pPr>
        <w:r>
          <w:fldChar w:fldCharType="begin"/>
        </w:r>
        <w:r>
          <w:instrText xml:space="preserve"> PAGE   \* MERGEFORMAT </w:instrText>
        </w:r>
        <w:r>
          <w:fldChar w:fldCharType="separate"/>
        </w:r>
        <w:r w:rsidR="00E04005">
          <w:rPr>
            <w:noProof/>
          </w:rPr>
          <w:t>14</w:t>
        </w:r>
        <w:r>
          <w:rPr>
            <w:noProof/>
          </w:rPr>
          <w:fldChar w:fldCharType="end"/>
        </w:r>
      </w:p>
    </w:sdtContent>
  </w:sdt>
  <w:p w:rsidR="00B9458A" w:rsidRDefault="00B945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29" w:rsidRDefault="0003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9F" w:rsidRDefault="006C7A9F">
      <w:r>
        <w:separator/>
      </w:r>
    </w:p>
  </w:footnote>
  <w:footnote w:type="continuationSeparator" w:id="0">
    <w:p w:rsidR="006C7A9F" w:rsidRDefault="006C7A9F">
      <w:r>
        <w:continuationSeparator/>
      </w:r>
    </w:p>
  </w:footnote>
  <w:footnote w:id="1">
    <w:p w:rsidR="00B9458A" w:rsidRPr="00A643D6" w:rsidRDefault="00B9458A" w:rsidP="000469B8">
      <w:pPr>
        <w:pStyle w:val="FootnoteText"/>
        <w:spacing w:after="0"/>
        <w:rPr>
          <w:sz w:val="20"/>
        </w:rPr>
      </w:pPr>
      <w:r w:rsidRPr="00A643D6">
        <w:rPr>
          <w:rStyle w:val="FootnoteReference"/>
          <w:sz w:val="20"/>
          <w:szCs w:val="20"/>
        </w:rPr>
        <w:footnoteRef/>
      </w:r>
      <w:r w:rsidRPr="00A643D6">
        <w:rPr>
          <w:sz w:val="20"/>
        </w:rPr>
        <w:t xml:space="preserve"> 42 U.S.C. 4321, </w:t>
      </w:r>
      <w:proofErr w:type="gramStart"/>
      <w:r w:rsidRPr="00A643D6">
        <w:rPr>
          <w:sz w:val="20"/>
        </w:rPr>
        <w:t>et</w:t>
      </w:r>
      <w:proofErr w:type="gramEnd"/>
      <w:r w:rsidRPr="00A643D6">
        <w:rPr>
          <w:sz w:val="20"/>
        </w:rPr>
        <w:t>. seq.</w:t>
      </w:r>
    </w:p>
  </w:footnote>
  <w:footnote w:id="2">
    <w:p w:rsidR="00B9458A" w:rsidRDefault="00B9458A" w:rsidP="000469B8">
      <w:pPr>
        <w:pStyle w:val="FootnoteText"/>
        <w:spacing w:after="0"/>
      </w:pPr>
      <w:r>
        <w:rPr>
          <w:rStyle w:val="FootnoteReference"/>
        </w:rPr>
        <w:footnoteRef/>
      </w:r>
      <w:r>
        <w:t xml:space="preserve"> </w:t>
      </w:r>
      <w:proofErr w:type="gramStart"/>
      <w:r>
        <w:t>Based on average wages and benefits for an employee at FERC.</w:t>
      </w:r>
      <w:proofErr w:type="gramEnd"/>
      <w:r>
        <w:t xml:space="preserve">  The Commission assumes that employees working on information collection activities for this collection receive, on average, similar wages and benefits. </w:t>
      </w:r>
    </w:p>
  </w:footnote>
  <w:footnote w:id="3">
    <w:p w:rsidR="00B9458A" w:rsidRDefault="00B9458A" w:rsidP="000469B8">
      <w:pPr>
        <w:pStyle w:val="FootnoteText"/>
        <w:spacing w:after="0"/>
        <w:rPr>
          <w:sz w:val="20"/>
        </w:rPr>
      </w:pPr>
      <w:r>
        <w:rPr>
          <w:rStyle w:val="FootnoteReference"/>
        </w:rPr>
        <w:footnoteRef/>
      </w:r>
      <w:r>
        <w:t xml:space="preserve"> Based on 2013 cost per FTE of $145,818</w:t>
      </w:r>
    </w:p>
  </w:footnote>
  <w:footnote w:id="4">
    <w:p w:rsidR="00B9458A" w:rsidRDefault="00B9458A" w:rsidP="000469B8">
      <w:pPr>
        <w:pStyle w:val="FootnoteText"/>
        <w:spacing w:after="0"/>
      </w:pPr>
      <w:r>
        <w:rPr>
          <w:rStyle w:val="FootnoteReference"/>
        </w:rPr>
        <w:footnoteRef/>
      </w:r>
      <w:r>
        <w:t xml:space="preserve"> The PRA Administration Cost is based on the Commission’s estimated staff time and resources to comply with the requirements of the PRA.</w:t>
      </w:r>
    </w:p>
  </w:footnote>
  <w:footnote w:id="5">
    <w:p w:rsidR="00B9458A" w:rsidRDefault="00B9458A" w:rsidP="004E7DE2">
      <w:pPr>
        <w:pStyle w:val="FootnoteText"/>
      </w:pPr>
      <w:r w:rsidRPr="007C6014">
        <w:rPr>
          <w:rStyle w:val="FootnoteReference"/>
        </w:rPr>
        <w:footnoteRef/>
      </w:r>
      <w:r w:rsidRPr="007C6014">
        <w:rPr>
          <w:rStyle w:val="FootnoteReference"/>
        </w:rPr>
        <w:t xml:space="preserve"> </w:t>
      </w:r>
      <w:r w:rsidRPr="007C6014">
        <w:t>We found upon further review of the previous estimate that we did not</w:t>
      </w:r>
      <w:r>
        <w:t xml:space="preserve"> </w:t>
      </w:r>
      <w:r w:rsidRPr="007C6014">
        <w:t>account for all of the filings in the fiscal year 2011 data.  We correct</w:t>
      </w:r>
      <w:r>
        <w:t>ed the previous error in the estimates shown here</w:t>
      </w:r>
      <w:r w:rsidRPr="007C6014">
        <w:t>.  The net effect of using the 2012 data (along with accurate accounting) is an increase of 509 hours from the July 31, 2012 notice.</w:t>
      </w:r>
    </w:p>
  </w:footnote>
  <w:footnote w:id="6">
    <w:p w:rsidR="00B9458A" w:rsidRPr="00287130" w:rsidRDefault="00B9458A" w:rsidP="004E7DE2">
      <w:pPr>
        <w:pStyle w:val="FootnoteText"/>
      </w:pPr>
      <w:r w:rsidRPr="00287130">
        <w:rPr>
          <w:rStyle w:val="FootnoteReference"/>
        </w:rPr>
        <w:footnoteRef/>
      </w:r>
      <w:r w:rsidRPr="00287130">
        <w:t xml:space="preserve"> </w:t>
      </w:r>
      <w:proofErr w:type="gramStart"/>
      <w:r w:rsidRPr="00287130">
        <w:t>NGA 7, Blanket Certificate, and NGPA 311 filings.</w:t>
      </w:r>
      <w:proofErr w:type="gramEnd"/>
      <w:r w:rsidRPr="00287130">
        <w:t xml:space="preserve"> </w:t>
      </w:r>
      <w:r>
        <w:t xml:space="preserve"> </w:t>
      </w:r>
      <w:r w:rsidRPr="00287130">
        <w:t xml:space="preserve">Filings were excluded if they qualified as categorical exclusions under the National Environmental Policy Act or were otherwise categorized as “environment not involved.”  </w:t>
      </w:r>
    </w:p>
  </w:footnote>
  <w:footnote w:id="7">
    <w:p w:rsidR="00B9458A" w:rsidRPr="00253736" w:rsidRDefault="00B9458A" w:rsidP="004E7DE2">
      <w:pPr>
        <w:pStyle w:val="FootnoteText"/>
      </w:pPr>
      <w:r w:rsidRPr="00B149E8">
        <w:rPr>
          <w:rStyle w:val="FootnoteReference"/>
        </w:rPr>
        <w:footnoteRef/>
      </w:r>
      <w:r w:rsidRPr="00B149E8">
        <w:t xml:space="preserve"> Estimated average annual cost (</w:t>
      </w:r>
      <w:r>
        <w:t>wage</w:t>
      </w:r>
      <w:r w:rsidRPr="00B149E8">
        <w:t xml:space="preserve"> plus benefits) per employee.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29" w:rsidRDefault="00032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8A" w:rsidRDefault="00B9458A">
    <w:pPr>
      <w:pStyle w:val="Header"/>
    </w:pPr>
    <w:r>
      <w:t>FERC-577 (OMB Control Number 1902-0128)</w:t>
    </w:r>
    <w:r w:rsidR="00032629">
      <w:t xml:space="preserve"> Updated: 9/3/2103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29" w:rsidRDefault="000326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38F3"/>
    <w:multiLevelType w:val="hybridMultilevel"/>
    <w:tmpl w:val="10840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0036CC"/>
    <w:multiLevelType w:val="hybridMultilevel"/>
    <w:tmpl w:val="00DC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55088"/>
    <w:multiLevelType w:val="hybridMultilevel"/>
    <w:tmpl w:val="C404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E3250"/>
    <w:multiLevelType w:val="hybridMultilevel"/>
    <w:tmpl w:val="CE5E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2109E8"/>
    <w:multiLevelType w:val="hybridMultilevel"/>
    <w:tmpl w:val="F604B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C71EDE"/>
    <w:multiLevelType w:val="hybridMultilevel"/>
    <w:tmpl w:val="AEC2C57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2377D8"/>
    <w:multiLevelType w:val="hybridMultilevel"/>
    <w:tmpl w:val="65CCCB62"/>
    <w:lvl w:ilvl="0" w:tplc="685ADA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8182F3E"/>
    <w:multiLevelType w:val="hybridMultilevel"/>
    <w:tmpl w:val="0F0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340B4F"/>
    <w:multiLevelType w:val="hybridMultilevel"/>
    <w:tmpl w:val="6C28A702"/>
    <w:lvl w:ilvl="0" w:tplc="78861844">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8995D6A"/>
    <w:multiLevelType w:val="hybridMultilevel"/>
    <w:tmpl w:val="2168FFC4"/>
    <w:lvl w:ilvl="0" w:tplc="B5B463B8">
      <w:start w:val="13"/>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9"/>
  </w:num>
  <w:num w:numId="4">
    <w:abstractNumId w:val="5"/>
  </w:num>
  <w:num w:numId="5">
    <w:abstractNumId w:val="10"/>
  </w:num>
  <w:num w:numId="6">
    <w:abstractNumId w:val="2"/>
  </w:num>
  <w:num w:numId="7">
    <w:abstractNumId w:val="4"/>
  </w:num>
  <w:num w:numId="8">
    <w:abstractNumId w:val="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90"/>
    <w:rsid w:val="000011A6"/>
    <w:rsid w:val="00001330"/>
    <w:rsid w:val="00001956"/>
    <w:rsid w:val="00001C69"/>
    <w:rsid w:val="00002DB6"/>
    <w:rsid w:val="000036AA"/>
    <w:rsid w:val="0000383E"/>
    <w:rsid w:val="0000385C"/>
    <w:rsid w:val="00004629"/>
    <w:rsid w:val="00004C96"/>
    <w:rsid w:val="00005AF5"/>
    <w:rsid w:val="0000629B"/>
    <w:rsid w:val="000077E8"/>
    <w:rsid w:val="000100AD"/>
    <w:rsid w:val="00010476"/>
    <w:rsid w:val="00011CA5"/>
    <w:rsid w:val="00011F61"/>
    <w:rsid w:val="000120A0"/>
    <w:rsid w:val="00012C08"/>
    <w:rsid w:val="0001302E"/>
    <w:rsid w:val="00013489"/>
    <w:rsid w:val="00013781"/>
    <w:rsid w:val="0001387A"/>
    <w:rsid w:val="000142A6"/>
    <w:rsid w:val="000145B1"/>
    <w:rsid w:val="00014F08"/>
    <w:rsid w:val="00014F2B"/>
    <w:rsid w:val="00016D3B"/>
    <w:rsid w:val="00016E61"/>
    <w:rsid w:val="0001778F"/>
    <w:rsid w:val="00017C56"/>
    <w:rsid w:val="00017C81"/>
    <w:rsid w:val="00017D57"/>
    <w:rsid w:val="00017F75"/>
    <w:rsid w:val="00017F79"/>
    <w:rsid w:val="000201E3"/>
    <w:rsid w:val="000210E1"/>
    <w:rsid w:val="0002219F"/>
    <w:rsid w:val="000222AC"/>
    <w:rsid w:val="000222E6"/>
    <w:rsid w:val="00022658"/>
    <w:rsid w:val="000231B4"/>
    <w:rsid w:val="00023F7A"/>
    <w:rsid w:val="00024C53"/>
    <w:rsid w:val="00024C60"/>
    <w:rsid w:val="00024ECF"/>
    <w:rsid w:val="00025EAF"/>
    <w:rsid w:val="0002636A"/>
    <w:rsid w:val="000268C9"/>
    <w:rsid w:val="00027435"/>
    <w:rsid w:val="00027873"/>
    <w:rsid w:val="000278B3"/>
    <w:rsid w:val="00027A4C"/>
    <w:rsid w:val="000309AD"/>
    <w:rsid w:val="0003104C"/>
    <w:rsid w:val="00031ADB"/>
    <w:rsid w:val="00032629"/>
    <w:rsid w:val="00032A50"/>
    <w:rsid w:val="00033829"/>
    <w:rsid w:val="00033A03"/>
    <w:rsid w:val="00033CD7"/>
    <w:rsid w:val="00035790"/>
    <w:rsid w:val="000359E4"/>
    <w:rsid w:val="000360AF"/>
    <w:rsid w:val="00036942"/>
    <w:rsid w:val="000370D9"/>
    <w:rsid w:val="00040128"/>
    <w:rsid w:val="00040D7A"/>
    <w:rsid w:val="00040F82"/>
    <w:rsid w:val="00041092"/>
    <w:rsid w:val="000411F6"/>
    <w:rsid w:val="000415F1"/>
    <w:rsid w:val="00041BFA"/>
    <w:rsid w:val="000422CA"/>
    <w:rsid w:val="000430CB"/>
    <w:rsid w:val="000433D1"/>
    <w:rsid w:val="00043A24"/>
    <w:rsid w:val="00043E29"/>
    <w:rsid w:val="00044083"/>
    <w:rsid w:val="00045532"/>
    <w:rsid w:val="000464CB"/>
    <w:rsid w:val="0004659D"/>
    <w:rsid w:val="000469B8"/>
    <w:rsid w:val="00046F19"/>
    <w:rsid w:val="0004740A"/>
    <w:rsid w:val="00047F90"/>
    <w:rsid w:val="0005010F"/>
    <w:rsid w:val="00050285"/>
    <w:rsid w:val="00053A7E"/>
    <w:rsid w:val="00054D91"/>
    <w:rsid w:val="00055E01"/>
    <w:rsid w:val="00056453"/>
    <w:rsid w:val="00056D40"/>
    <w:rsid w:val="00057102"/>
    <w:rsid w:val="000571FB"/>
    <w:rsid w:val="00057BC4"/>
    <w:rsid w:val="00061DCC"/>
    <w:rsid w:val="00062B2A"/>
    <w:rsid w:val="00063345"/>
    <w:rsid w:val="00063490"/>
    <w:rsid w:val="0006364A"/>
    <w:rsid w:val="00063712"/>
    <w:rsid w:val="00063FA9"/>
    <w:rsid w:val="000642CF"/>
    <w:rsid w:val="00065D4A"/>
    <w:rsid w:val="00066294"/>
    <w:rsid w:val="00067642"/>
    <w:rsid w:val="00070E76"/>
    <w:rsid w:val="00071019"/>
    <w:rsid w:val="0007118B"/>
    <w:rsid w:val="0007158A"/>
    <w:rsid w:val="0007184F"/>
    <w:rsid w:val="00071DEC"/>
    <w:rsid w:val="000721C0"/>
    <w:rsid w:val="000728F5"/>
    <w:rsid w:val="0007292C"/>
    <w:rsid w:val="00073F5E"/>
    <w:rsid w:val="0007422A"/>
    <w:rsid w:val="0007440D"/>
    <w:rsid w:val="00074487"/>
    <w:rsid w:val="00074568"/>
    <w:rsid w:val="00075BD0"/>
    <w:rsid w:val="0007615D"/>
    <w:rsid w:val="0007667F"/>
    <w:rsid w:val="0007754C"/>
    <w:rsid w:val="00077D7A"/>
    <w:rsid w:val="00080308"/>
    <w:rsid w:val="00081313"/>
    <w:rsid w:val="000819BC"/>
    <w:rsid w:val="00082CB4"/>
    <w:rsid w:val="0008312F"/>
    <w:rsid w:val="0008329C"/>
    <w:rsid w:val="0008385A"/>
    <w:rsid w:val="00084BAC"/>
    <w:rsid w:val="00084E4E"/>
    <w:rsid w:val="0008554E"/>
    <w:rsid w:val="00087265"/>
    <w:rsid w:val="00087633"/>
    <w:rsid w:val="00090ABE"/>
    <w:rsid w:val="00090E62"/>
    <w:rsid w:val="00091030"/>
    <w:rsid w:val="00091A2B"/>
    <w:rsid w:val="00091E1A"/>
    <w:rsid w:val="00091E68"/>
    <w:rsid w:val="000939EE"/>
    <w:rsid w:val="000945C8"/>
    <w:rsid w:val="00095136"/>
    <w:rsid w:val="000958DA"/>
    <w:rsid w:val="00096F54"/>
    <w:rsid w:val="00097B48"/>
    <w:rsid w:val="000A0077"/>
    <w:rsid w:val="000A097E"/>
    <w:rsid w:val="000A0982"/>
    <w:rsid w:val="000A1307"/>
    <w:rsid w:val="000A177E"/>
    <w:rsid w:val="000A3ABA"/>
    <w:rsid w:val="000A3D84"/>
    <w:rsid w:val="000A4BE3"/>
    <w:rsid w:val="000A4F4F"/>
    <w:rsid w:val="000A5051"/>
    <w:rsid w:val="000A55A0"/>
    <w:rsid w:val="000A5810"/>
    <w:rsid w:val="000A5D42"/>
    <w:rsid w:val="000A5D7C"/>
    <w:rsid w:val="000A60AE"/>
    <w:rsid w:val="000B038C"/>
    <w:rsid w:val="000B043E"/>
    <w:rsid w:val="000B0592"/>
    <w:rsid w:val="000B07EC"/>
    <w:rsid w:val="000B08CD"/>
    <w:rsid w:val="000B0B62"/>
    <w:rsid w:val="000B1174"/>
    <w:rsid w:val="000B1536"/>
    <w:rsid w:val="000B272E"/>
    <w:rsid w:val="000B2A87"/>
    <w:rsid w:val="000B3FCC"/>
    <w:rsid w:val="000B4702"/>
    <w:rsid w:val="000B4739"/>
    <w:rsid w:val="000B4810"/>
    <w:rsid w:val="000B4F7C"/>
    <w:rsid w:val="000B5167"/>
    <w:rsid w:val="000B60B6"/>
    <w:rsid w:val="000B697D"/>
    <w:rsid w:val="000B6FFE"/>
    <w:rsid w:val="000B726B"/>
    <w:rsid w:val="000C12ED"/>
    <w:rsid w:val="000C15C9"/>
    <w:rsid w:val="000C2EF0"/>
    <w:rsid w:val="000C413C"/>
    <w:rsid w:val="000C4DEF"/>
    <w:rsid w:val="000C5449"/>
    <w:rsid w:val="000C625E"/>
    <w:rsid w:val="000C6443"/>
    <w:rsid w:val="000C6CC1"/>
    <w:rsid w:val="000C6E9B"/>
    <w:rsid w:val="000C7426"/>
    <w:rsid w:val="000D03B2"/>
    <w:rsid w:val="000D0409"/>
    <w:rsid w:val="000D0D45"/>
    <w:rsid w:val="000D1111"/>
    <w:rsid w:val="000D1279"/>
    <w:rsid w:val="000D1616"/>
    <w:rsid w:val="000D16AC"/>
    <w:rsid w:val="000D188D"/>
    <w:rsid w:val="000D2C06"/>
    <w:rsid w:val="000D31F1"/>
    <w:rsid w:val="000D3EDF"/>
    <w:rsid w:val="000D4876"/>
    <w:rsid w:val="000D5092"/>
    <w:rsid w:val="000D5FEF"/>
    <w:rsid w:val="000D64E5"/>
    <w:rsid w:val="000D6CDF"/>
    <w:rsid w:val="000D6CFD"/>
    <w:rsid w:val="000D7F58"/>
    <w:rsid w:val="000E0405"/>
    <w:rsid w:val="000E0E1A"/>
    <w:rsid w:val="000E0E79"/>
    <w:rsid w:val="000E1CBF"/>
    <w:rsid w:val="000E3907"/>
    <w:rsid w:val="000E3CC0"/>
    <w:rsid w:val="000E59A9"/>
    <w:rsid w:val="000E5FD2"/>
    <w:rsid w:val="000E63C8"/>
    <w:rsid w:val="000F0459"/>
    <w:rsid w:val="000F0B91"/>
    <w:rsid w:val="000F0D0F"/>
    <w:rsid w:val="000F13DA"/>
    <w:rsid w:val="000F15B5"/>
    <w:rsid w:val="000F28E1"/>
    <w:rsid w:val="000F2E33"/>
    <w:rsid w:val="000F3F32"/>
    <w:rsid w:val="000F4844"/>
    <w:rsid w:val="000F48FA"/>
    <w:rsid w:val="000F61DA"/>
    <w:rsid w:val="000F6621"/>
    <w:rsid w:val="000F6A80"/>
    <w:rsid w:val="000F753E"/>
    <w:rsid w:val="0010049C"/>
    <w:rsid w:val="001007D3"/>
    <w:rsid w:val="00100949"/>
    <w:rsid w:val="00100AFB"/>
    <w:rsid w:val="00100D6D"/>
    <w:rsid w:val="0010114B"/>
    <w:rsid w:val="001012D6"/>
    <w:rsid w:val="00101325"/>
    <w:rsid w:val="00101393"/>
    <w:rsid w:val="001018BD"/>
    <w:rsid w:val="00101DF4"/>
    <w:rsid w:val="00102AAB"/>
    <w:rsid w:val="00102C4E"/>
    <w:rsid w:val="00104750"/>
    <w:rsid w:val="00104C2F"/>
    <w:rsid w:val="0010504E"/>
    <w:rsid w:val="00105191"/>
    <w:rsid w:val="001053D2"/>
    <w:rsid w:val="001055FF"/>
    <w:rsid w:val="00105950"/>
    <w:rsid w:val="001069DF"/>
    <w:rsid w:val="00106BAE"/>
    <w:rsid w:val="00107687"/>
    <w:rsid w:val="0011095C"/>
    <w:rsid w:val="00110E93"/>
    <w:rsid w:val="00110FAB"/>
    <w:rsid w:val="0011183F"/>
    <w:rsid w:val="00111ACA"/>
    <w:rsid w:val="00112367"/>
    <w:rsid w:val="0011456B"/>
    <w:rsid w:val="0011553E"/>
    <w:rsid w:val="0011555E"/>
    <w:rsid w:val="001155D0"/>
    <w:rsid w:val="00116A3B"/>
    <w:rsid w:val="00116AA6"/>
    <w:rsid w:val="00117935"/>
    <w:rsid w:val="001179CD"/>
    <w:rsid w:val="00120218"/>
    <w:rsid w:val="00120433"/>
    <w:rsid w:val="00120888"/>
    <w:rsid w:val="00120C14"/>
    <w:rsid w:val="00121310"/>
    <w:rsid w:val="001222C9"/>
    <w:rsid w:val="00122601"/>
    <w:rsid w:val="0012266E"/>
    <w:rsid w:val="00122B2A"/>
    <w:rsid w:val="00123255"/>
    <w:rsid w:val="00123CBA"/>
    <w:rsid w:val="00123EB0"/>
    <w:rsid w:val="00125FED"/>
    <w:rsid w:val="00126822"/>
    <w:rsid w:val="0012763B"/>
    <w:rsid w:val="0012792B"/>
    <w:rsid w:val="00127B04"/>
    <w:rsid w:val="00127E74"/>
    <w:rsid w:val="00130709"/>
    <w:rsid w:val="001314D3"/>
    <w:rsid w:val="0013215D"/>
    <w:rsid w:val="00132590"/>
    <w:rsid w:val="0013282A"/>
    <w:rsid w:val="00133242"/>
    <w:rsid w:val="00134082"/>
    <w:rsid w:val="00134631"/>
    <w:rsid w:val="00134B7D"/>
    <w:rsid w:val="00134CE0"/>
    <w:rsid w:val="00135BA3"/>
    <w:rsid w:val="00135D6B"/>
    <w:rsid w:val="00136031"/>
    <w:rsid w:val="00136235"/>
    <w:rsid w:val="001408A2"/>
    <w:rsid w:val="00140EC1"/>
    <w:rsid w:val="001411AD"/>
    <w:rsid w:val="00141387"/>
    <w:rsid w:val="0014153C"/>
    <w:rsid w:val="00141A41"/>
    <w:rsid w:val="00141B23"/>
    <w:rsid w:val="00141DEA"/>
    <w:rsid w:val="00141E3F"/>
    <w:rsid w:val="00142B66"/>
    <w:rsid w:val="00142BAF"/>
    <w:rsid w:val="00143659"/>
    <w:rsid w:val="001439B2"/>
    <w:rsid w:val="001446A6"/>
    <w:rsid w:val="00144E61"/>
    <w:rsid w:val="001451E5"/>
    <w:rsid w:val="00145278"/>
    <w:rsid w:val="001455AF"/>
    <w:rsid w:val="001466B0"/>
    <w:rsid w:val="001468FA"/>
    <w:rsid w:val="001528FE"/>
    <w:rsid w:val="00152DCE"/>
    <w:rsid w:val="00152FCE"/>
    <w:rsid w:val="001531AC"/>
    <w:rsid w:val="001532B7"/>
    <w:rsid w:val="0015379B"/>
    <w:rsid w:val="00153AE9"/>
    <w:rsid w:val="00153B27"/>
    <w:rsid w:val="00154887"/>
    <w:rsid w:val="00154C23"/>
    <w:rsid w:val="00155FDA"/>
    <w:rsid w:val="0015664B"/>
    <w:rsid w:val="00156B2F"/>
    <w:rsid w:val="00156D87"/>
    <w:rsid w:val="00157F0D"/>
    <w:rsid w:val="001600BC"/>
    <w:rsid w:val="0016039D"/>
    <w:rsid w:val="001606C8"/>
    <w:rsid w:val="00161EF8"/>
    <w:rsid w:val="001620D5"/>
    <w:rsid w:val="00162AFE"/>
    <w:rsid w:val="001638FA"/>
    <w:rsid w:val="0016463E"/>
    <w:rsid w:val="00165377"/>
    <w:rsid w:val="0016557B"/>
    <w:rsid w:val="00166222"/>
    <w:rsid w:val="00166CE5"/>
    <w:rsid w:val="00166FAF"/>
    <w:rsid w:val="0016725F"/>
    <w:rsid w:val="001675DF"/>
    <w:rsid w:val="001677D5"/>
    <w:rsid w:val="00167840"/>
    <w:rsid w:val="00167F39"/>
    <w:rsid w:val="00170767"/>
    <w:rsid w:val="001707AF"/>
    <w:rsid w:val="00171654"/>
    <w:rsid w:val="00171D51"/>
    <w:rsid w:val="00172766"/>
    <w:rsid w:val="00173D7C"/>
    <w:rsid w:val="00174602"/>
    <w:rsid w:val="00176C70"/>
    <w:rsid w:val="00176D07"/>
    <w:rsid w:val="00176D42"/>
    <w:rsid w:val="00177714"/>
    <w:rsid w:val="00177A8E"/>
    <w:rsid w:val="00177CE3"/>
    <w:rsid w:val="00177FF1"/>
    <w:rsid w:val="0018119C"/>
    <w:rsid w:val="001823BF"/>
    <w:rsid w:val="00182A60"/>
    <w:rsid w:val="00182AE4"/>
    <w:rsid w:val="00183242"/>
    <w:rsid w:val="0018326B"/>
    <w:rsid w:val="00184598"/>
    <w:rsid w:val="00184E98"/>
    <w:rsid w:val="00185AC0"/>
    <w:rsid w:val="001868AD"/>
    <w:rsid w:val="00187057"/>
    <w:rsid w:val="001874A2"/>
    <w:rsid w:val="0018750F"/>
    <w:rsid w:val="001876CC"/>
    <w:rsid w:val="00187E66"/>
    <w:rsid w:val="00190490"/>
    <w:rsid w:val="00190B86"/>
    <w:rsid w:val="0019127D"/>
    <w:rsid w:val="001918A6"/>
    <w:rsid w:val="001921DF"/>
    <w:rsid w:val="00193392"/>
    <w:rsid w:val="00193412"/>
    <w:rsid w:val="00193B28"/>
    <w:rsid w:val="00193F66"/>
    <w:rsid w:val="0019466F"/>
    <w:rsid w:val="001946D0"/>
    <w:rsid w:val="00195535"/>
    <w:rsid w:val="00195BDE"/>
    <w:rsid w:val="0019626A"/>
    <w:rsid w:val="0019638B"/>
    <w:rsid w:val="00196793"/>
    <w:rsid w:val="00196900"/>
    <w:rsid w:val="00196A2C"/>
    <w:rsid w:val="00196A61"/>
    <w:rsid w:val="00197451"/>
    <w:rsid w:val="00197D51"/>
    <w:rsid w:val="001A0958"/>
    <w:rsid w:val="001A18C6"/>
    <w:rsid w:val="001A1DB9"/>
    <w:rsid w:val="001A28D7"/>
    <w:rsid w:val="001A2FC2"/>
    <w:rsid w:val="001A3175"/>
    <w:rsid w:val="001A4BE8"/>
    <w:rsid w:val="001A4CEF"/>
    <w:rsid w:val="001A506B"/>
    <w:rsid w:val="001A6134"/>
    <w:rsid w:val="001A683B"/>
    <w:rsid w:val="001A6ACA"/>
    <w:rsid w:val="001A7454"/>
    <w:rsid w:val="001A7531"/>
    <w:rsid w:val="001B02AD"/>
    <w:rsid w:val="001B0412"/>
    <w:rsid w:val="001B09BB"/>
    <w:rsid w:val="001B0C5D"/>
    <w:rsid w:val="001B11FD"/>
    <w:rsid w:val="001B14EF"/>
    <w:rsid w:val="001B1868"/>
    <w:rsid w:val="001B1A10"/>
    <w:rsid w:val="001B2031"/>
    <w:rsid w:val="001B24F7"/>
    <w:rsid w:val="001B2D69"/>
    <w:rsid w:val="001B3640"/>
    <w:rsid w:val="001B53AF"/>
    <w:rsid w:val="001B54D0"/>
    <w:rsid w:val="001B54F2"/>
    <w:rsid w:val="001B57DD"/>
    <w:rsid w:val="001B63ED"/>
    <w:rsid w:val="001B650F"/>
    <w:rsid w:val="001B6977"/>
    <w:rsid w:val="001B79EF"/>
    <w:rsid w:val="001B7C0E"/>
    <w:rsid w:val="001C013C"/>
    <w:rsid w:val="001C0989"/>
    <w:rsid w:val="001C10FE"/>
    <w:rsid w:val="001C223C"/>
    <w:rsid w:val="001C3F0D"/>
    <w:rsid w:val="001C4389"/>
    <w:rsid w:val="001C43D4"/>
    <w:rsid w:val="001C4774"/>
    <w:rsid w:val="001C565B"/>
    <w:rsid w:val="001C580E"/>
    <w:rsid w:val="001C5964"/>
    <w:rsid w:val="001C599B"/>
    <w:rsid w:val="001C59DA"/>
    <w:rsid w:val="001C617E"/>
    <w:rsid w:val="001C7B00"/>
    <w:rsid w:val="001C7C2F"/>
    <w:rsid w:val="001D027A"/>
    <w:rsid w:val="001D1261"/>
    <w:rsid w:val="001D1701"/>
    <w:rsid w:val="001D20D6"/>
    <w:rsid w:val="001D317C"/>
    <w:rsid w:val="001D3695"/>
    <w:rsid w:val="001D378F"/>
    <w:rsid w:val="001D38B6"/>
    <w:rsid w:val="001D47E1"/>
    <w:rsid w:val="001D4992"/>
    <w:rsid w:val="001D4DAF"/>
    <w:rsid w:val="001D5416"/>
    <w:rsid w:val="001D59E1"/>
    <w:rsid w:val="001D605B"/>
    <w:rsid w:val="001D66CD"/>
    <w:rsid w:val="001D6896"/>
    <w:rsid w:val="001D70A7"/>
    <w:rsid w:val="001E048B"/>
    <w:rsid w:val="001E1447"/>
    <w:rsid w:val="001E2A8A"/>
    <w:rsid w:val="001E344A"/>
    <w:rsid w:val="001E3BF6"/>
    <w:rsid w:val="001E3C45"/>
    <w:rsid w:val="001E52BF"/>
    <w:rsid w:val="001E5891"/>
    <w:rsid w:val="001E5B4E"/>
    <w:rsid w:val="001E5EA8"/>
    <w:rsid w:val="001E7078"/>
    <w:rsid w:val="001E711D"/>
    <w:rsid w:val="001E7D4C"/>
    <w:rsid w:val="001F040D"/>
    <w:rsid w:val="001F1993"/>
    <w:rsid w:val="001F1E56"/>
    <w:rsid w:val="001F21F6"/>
    <w:rsid w:val="001F3249"/>
    <w:rsid w:val="001F40B7"/>
    <w:rsid w:val="001F465D"/>
    <w:rsid w:val="001F4CB1"/>
    <w:rsid w:val="001F57EE"/>
    <w:rsid w:val="001F5CC6"/>
    <w:rsid w:val="001F5F46"/>
    <w:rsid w:val="001F72BF"/>
    <w:rsid w:val="001F78D0"/>
    <w:rsid w:val="001F7BAD"/>
    <w:rsid w:val="002019DB"/>
    <w:rsid w:val="00202598"/>
    <w:rsid w:val="00203386"/>
    <w:rsid w:val="00203FB5"/>
    <w:rsid w:val="0020470D"/>
    <w:rsid w:val="00204811"/>
    <w:rsid w:val="00204D29"/>
    <w:rsid w:val="00205526"/>
    <w:rsid w:val="0020559E"/>
    <w:rsid w:val="0020583E"/>
    <w:rsid w:val="002063C6"/>
    <w:rsid w:val="0020645C"/>
    <w:rsid w:val="002066E2"/>
    <w:rsid w:val="00206E59"/>
    <w:rsid w:val="002072CA"/>
    <w:rsid w:val="00207D6D"/>
    <w:rsid w:val="002104B0"/>
    <w:rsid w:val="00210CA7"/>
    <w:rsid w:val="00210FE8"/>
    <w:rsid w:val="00211ADA"/>
    <w:rsid w:val="00211CDC"/>
    <w:rsid w:val="00212566"/>
    <w:rsid w:val="00212E86"/>
    <w:rsid w:val="002133FE"/>
    <w:rsid w:val="00213E38"/>
    <w:rsid w:val="00214403"/>
    <w:rsid w:val="00214511"/>
    <w:rsid w:val="00214574"/>
    <w:rsid w:val="002149FD"/>
    <w:rsid w:val="00214F49"/>
    <w:rsid w:val="002169D3"/>
    <w:rsid w:val="00217CE7"/>
    <w:rsid w:val="002204D5"/>
    <w:rsid w:val="002209A6"/>
    <w:rsid w:val="002221B5"/>
    <w:rsid w:val="00222DAF"/>
    <w:rsid w:val="0022341E"/>
    <w:rsid w:val="00223C9F"/>
    <w:rsid w:val="00224865"/>
    <w:rsid w:val="00224FB9"/>
    <w:rsid w:val="002261D0"/>
    <w:rsid w:val="00227263"/>
    <w:rsid w:val="0022737F"/>
    <w:rsid w:val="00227908"/>
    <w:rsid w:val="00227DDD"/>
    <w:rsid w:val="002300A9"/>
    <w:rsid w:val="0023011B"/>
    <w:rsid w:val="00230345"/>
    <w:rsid w:val="002304ED"/>
    <w:rsid w:val="002304F0"/>
    <w:rsid w:val="0023051B"/>
    <w:rsid w:val="00230FB3"/>
    <w:rsid w:val="00231092"/>
    <w:rsid w:val="002315A4"/>
    <w:rsid w:val="002320BC"/>
    <w:rsid w:val="002322E6"/>
    <w:rsid w:val="002325E6"/>
    <w:rsid w:val="0023293B"/>
    <w:rsid w:val="00232C4C"/>
    <w:rsid w:val="00233175"/>
    <w:rsid w:val="0023339A"/>
    <w:rsid w:val="00233956"/>
    <w:rsid w:val="00233A50"/>
    <w:rsid w:val="002343C9"/>
    <w:rsid w:val="00234D4B"/>
    <w:rsid w:val="00235525"/>
    <w:rsid w:val="002357B5"/>
    <w:rsid w:val="002367DA"/>
    <w:rsid w:val="00236B5A"/>
    <w:rsid w:val="00236DFE"/>
    <w:rsid w:val="002375A6"/>
    <w:rsid w:val="002376F5"/>
    <w:rsid w:val="00237743"/>
    <w:rsid w:val="00237D47"/>
    <w:rsid w:val="002409A7"/>
    <w:rsid w:val="002429FE"/>
    <w:rsid w:val="00243437"/>
    <w:rsid w:val="0024371E"/>
    <w:rsid w:val="002437AB"/>
    <w:rsid w:val="002455D9"/>
    <w:rsid w:val="0024575C"/>
    <w:rsid w:val="00245A66"/>
    <w:rsid w:val="0024607A"/>
    <w:rsid w:val="00246C39"/>
    <w:rsid w:val="00246EC0"/>
    <w:rsid w:val="00246F06"/>
    <w:rsid w:val="00250222"/>
    <w:rsid w:val="00251B17"/>
    <w:rsid w:val="00252B72"/>
    <w:rsid w:val="00252C07"/>
    <w:rsid w:val="00254505"/>
    <w:rsid w:val="00255371"/>
    <w:rsid w:val="0025566E"/>
    <w:rsid w:val="00255961"/>
    <w:rsid w:val="00255F71"/>
    <w:rsid w:val="0025622B"/>
    <w:rsid w:val="00256E1F"/>
    <w:rsid w:val="00256F86"/>
    <w:rsid w:val="002576B2"/>
    <w:rsid w:val="00257C91"/>
    <w:rsid w:val="0026035B"/>
    <w:rsid w:val="00260734"/>
    <w:rsid w:val="00261327"/>
    <w:rsid w:val="00262185"/>
    <w:rsid w:val="00262224"/>
    <w:rsid w:val="00262D9F"/>
    <w:rsid w:val="00262E02"/>
    <w:rsid w:val="00264118"/>
    <w:rsid w:val="002646F5"/>
    <w:rsid w:val="002647B6"/>
    <w:rsid w:val="002649B7"/>
    <w:rsid w:val="00264C7D"/>
    <w:rsid w:val="00265D7C"/>
    <w:rsid w:val="00265F2A"/>
    <w:rsid w:val="002662BF"/>
    <w:rsid w:val="0026653C"/>
    <w:rsid w:val="002671D0"/>
    <w:rsid w:val="002672E1"/>
    <w:rsid w:val="00267663"/>
    <w:rsid w:val="00267884"/>
    <w:rsid w:val="00267A91"/>
    <w:rsid w:val="002700AF"/>
    <w:rsid w:val="002701C3"/>
    <w:rsid w:val="00271E7E"/>
    <w:rsid w:val="002728C3"/>
    <w:rsid w:val="002729BE"/>
    <w:rsid w:val="002732B1"/>
    <w:rsid w:val="002733A7"/>
    <w:rsid w:val="00273600"/>
    <w:rsid w:val="00274A9B"/>
    <w:rsid w:val="00274C53"/>
    <w:rsid w:val="002750D9"/>
    <w:rsid w:val="0027598D"/>
    <w:rsid w:val="00275BC0"/>
    <w:rsid w:val="00276013"/>
    <w:rsid w:val="0027686E"/>
    <w:rsid w:val="0027743D"/>
    <w:rsid w:val="00277B8B"/>
    <w:rsid w:val="00277B97"/>
    <w:rsid w:val="002802D5"/>
    <w:rsid w:val="00281A85"/>
    <w:rsid w:val="00281C14"/>
    <w:rsid w:val="002820D7"/>
    <w:rsid w:val="002823FF"/>
    <w:rsid w:val="00282432"/>
    <w:rsid w:val="00283167"/>
    <w:rsid w:val="00283E2C"/>
    <w:rsid w:val="002841A8"/>
    <w:rsid w:val="00284C33"/>
    <w:rsid w:val="0028505C"/>
    <w:rsid w:val="00286051"/>
    <w:rsid w:val="00286E29"/>
    <w:rsid w:val="00286EFE"/>
    <w:rsid w:val="0028702E"/>
    <w:rsid w:val="00287DE4"/>
    <w:rsid w:val="002909EF"/>
    <w:rsid w:val="00290A35"/>
    <w:rsid w:val="00291196"/>
    <w:rsid w:val="00291647"/>
    <w:rsid w:val="00291E42"/>
    <w:rsid w:val="002928DC"/>
    <w:rsid w:val="00292CD5"/>
    <w:rsid w:val="00292DBC"/>
    <w:rsid w:val="00292E0E"/>
    <w:rsid w:val="00292E75"/>
    <w:rsid w:val="00292F6B"/>
    <w:rsid w:val="00293491"/>
    <w:rsid w:val="00293715"/>
    <w:rsid w:val="00293909"/>
    <w:rsid w:val="00294EFC"/>
    <w:rsid w:val="0029646B"/>
    <w:rsid w:val="00297F78"/>
    <w:rsid w:val="002A0071"/>
    <w:rsid w:val="002A03A7"/>
    <w:rsid w:val="002A1064"/>
    <w:rsid w:val="002A2C40"/>
    <w:rsid w:val="002A3516"/>
    <w:rsid w:val="002A39B3"/>
    <w:rsid w:val="002A3E51"/>
    <w:rsid w:val="002A44F7"/>
    <w:rsid w:val="002A5B61"/>
    <w:rsid w:val="002A6543"/>
    <w:rsid w:val="002A7203"/>
    <w:rsid w:val="002A7408"/>
    <w:rsid w:val="002A7E1B"/>
    <w:rsid w:val="002A7F8B"/>
    <w:rsid w:val="002B03F0"/>
    <w:rsid w:val="002B0D47"/>
    <w:rsid w:val="002B1341"/>
    <w:rsid w:val="002B2489"/>
    <w:rsid w:val="002B2630"/>
    <w:rsid w:val="002B3834"/>
    <w:rsid w:val="002B387C"/>
    <w:rsid w:val="002B60C7"/>
    <w:rsid w:val="002B61D8"/>
    <w:rsid w:val="002B62A0"/>
    <w:rsid w:val="002B68A6"/>
    <w:rsid w:val="002B6F8D"/>
    <w:rsid w:val="002B7525"/>
    <w:rsid w:val="002B75DC"/>
    <w:rsid w:val="002B7D9C"/>
    <w:rsid w:val="002C0ECB"/>
    <w:rsid w:val="002C1466"/>
    <w:rsid w:val="002C1F5D"/>
    <w:rsid w:val="002C21C0"/>
    <w:rsid w:val="002C2697"/>
    <w:rsid w:val="002C2AB4"/>
    <w:rsid w:val="002C31FF"/>
    <w:rsid w:val="002C32E1"/>
    <w:rsid w:val="002C3504"/>
    <w:rsid w:val="002C39C9"/>
    <w:rsid w:val="002C437E"/>
    <w:rsid w:val="002C4869"/>
    <w:rsid w:val="002C4A1B"/>
    <w:rsid w:val="002C5852"/>
    <w:rsid w:val="002C59C2"/>
    <w:rsid w:val="002C5BDE"/>
    <w:rsid w:val="002C7433"/>
    <w:rsid w:val="002C7E2C"/>
    <w:rsid w:val="002D03E6"/>
    <w:rsid w:val="002D0ABE"/>
    <w:rsid w:val="002D1832"/>
    <w:rsid w:val="002D18D7"/>
    <w:rsid w:val="002D1B9F"/>
    <w:rsid w:val="002D2460"/>
    <w:rsid w:val="002D2941"/>
    <w:rsid w:val="002D2BB3"/>
    <w:rsid w:val="002D2C47"/>
    <w:rsid w:val="002D3365"/>
    <w:rsid w:val="002D3E21"/>
    <w:rsid w:val="002D43FC"/>
    <w:rsid w:val="002D4B7A"/>
    <w:rsid w:val="002D4F2E"/>
    <w:rsid w:val="002D54A7"/>
    <w:rsid w:val="002D57A4"/>
    <w:rsid w:val="002D6029"/>
    <w:rsid w:val="002D6AE4"/>
    <w:rsid w:val="002D7100"/>
    <w:rsid w:val="002D715E"/>
    <w:rsid w:val="002D75ED"/>
    <w:rsid w:val="002D772B"/>
    <w:rsid w:val="002D7BFB"/>
    <w:rsid w:val="002E00ED"/>
    <w:rsid w:val="002E0362"/>
    <w:rsid w:val="002E0673"/>
    <w:rsid w:val="002E098C"/>
    <w:rsid w:val="002E0A31"/>
    <w:rsid w:val="002E1954"/>
    <w:rsid w:val="002E1FA3"/>
    <w:rsid w:val="002E2B83"/>
    <w:rsid w:val="002E36FD"/>
    <w:rsid w:val="002E4591"/>
    <w:rsid w:val="002E588A"/>
    <w:rsid w:val="002E5C9B"/>
    <w:rsid w:val="002E60C7"/>
    <w:rsid w:val="002E64E9"/>
    <w:rsid w:val="002E6796"/>
    <w:rsid w:val="002E7B0C"/>
    <w:rsid w:val="002F17CE"/>
    <w:rsid w:val="002F225A"/>
    <w:rsid w:val="002F26C6"/>
    <w:rsid w:val="002F2F87"/>
    <w:rsid w:val="002F361D"/>
    <w:rsid w:val="002F3D84"/>
    <w:rsid w:val="002F40C0"/>
    <w:rsid w:val="002F40FD"/>
    <w:rsid w:val="002F467D"/>
    <w:rsid w:val="002F59AA"/>
    <w:rsid w:val="002F5C70"/>
    <w:rsid w:val="002F63C4"/>
    <w:rsid w:val="002F646B"/>
    <w:rsid w:val="002F68EF"/>
    <w:rsid w:val="002F75A0"/>
    <w:rsid w:val="002F77D4"/>
    <w:rsid w:val="002F79CC"/>
    <w:rsid w:val="003007D6"/>
    <w:rsid w:val="00300951"/>
    <w:rsid w:val="003009B5"/>
    <w:rsid w:val="00301161"/>
    <w:rsid w:val="003016F6"/>
    <w:rsid w:val="00301B92"/>
    <w:rsid w:val="00302B2D"/>
    <w:rsid w:val="003044C2"/>
    <w:rsid w:val="00304AFC"/>
    <w:rsid w:val="003057CD"/>
    <w:rsid w:val="00305CAE"/>
    <w:rsid w:val="00305DDE"/>
    <w:rsid w:val="003060EB"/>
    <w:rsid w:val="003070D7"/>
    <w:rsid w:val="00307691"/>
    <w:rsid w:val="003076E4"/>
    <w:rsid w:val="00307782"/>
    <w:rsid w:val="0030784C"/>
    <w:rsid w:val="003122A1"/>
    <w:rsid w:val="00313528"/>
    <w:rsid w:val="00313CAF"/>
    <w:rsid w:val="003146C7"/>
    <w:rsid w:val="00314A24"/>
    <w:rsid w:val="00314E02"/>
    <w:rsid w:val="003167A5"/>
    <w:rsid w:val="00316A3B"/>
    <w:rsid w:val="00316BAB"/>
    <w:rsid w:val="00317037"/>
    <w:rsid w:val="00317A39"/>
    <w:rsid w:val="00317AEC"/>
    <w:rsid w:val="00320C03"/>
    <w:rsid w:val="00321936"/>
    <w:rsid w:val="0032230C"/>
    <w:rsid w:val="003231E7"/>
    <w:rsid w:val="00324048"/>
    <w:rsid w:val="003259F5"/>
    <w:rsid w:val="00325AA2"/>
    <w:rsid w:val="00325D2D"/>
    <w:rsid w:val="00325F67"/>
    <w:rsid w:val="0032735A"/>
    <w:rsid w:val="003275E1"/>
    <w:rsid w:val="00327AD5"/>
    <w:rsid w:val="00327F97"/>
    <w:rsid w:val="00331CE6"/>
    <w:rsid w:val="00331D85"/>
    <w:rsid w:val="00331EA6"/>
    <w:rsid w:val="00331FF4"/>
    <w:rsid w:val="00332094"/>
    <w:rsid w:val="0033272E"/>
    <w:rsid w:val="00332F80"/>
    <w:rsid w:val="0033413D"/>
    <w:rsid w:val="003344FE"/>
    <w:rsid w:val="00334910"/>
    <w:rsid w:val="00334B4E"/>
    <w:rsid w:val="00334D2B"/>
    <w:rsid w:val="0033530C"/>
    <w:rsid w:val="00335509"/>
    <w:rsid w:val="003362D4"/>
    <w:rsid w:val="003365B8"/>
    <w:rsid w:val="00336662"/>
    <w:rsid w:val="0033757F"/>
    <w:rsid w:val="003403B1"/>
    <w:rsid w:val="0034189F"/>
    <w:rsid w:val="00342197"/>
    <w:rsid w:val="00342787"/>
    <w:rsid w:val="0034306E"/>
    <w:rsid w:val="00345246"/>
    <w:rsid w:val="00345EC8"/>
    <w:rsid w:val="003463D4"/>
    <w:rsid w:val="0034653E"/>
    <w:rsid w:val="00346ADE"/>
    <w:rsid w:val="00347193"/>
    <w:rsid w:val="003472B8"/>
    <w:rsid w:val="003474BE"/>
    <w:rsid w:val="00347718"/>
    <w:rsid w:val="00350CA4"/>
    <w:rsid w:val="00351A74"/>
    <w:rsid w:val="00351DB6"/>
    <w:rsid w:val="00353AA0"/>
    <w:rsid w:val="003552E7"/>
    <w:rsid w:val="003555F7"/>
    <w:rsid w:val="003563B5"/>
    <w:rsid w:val="00356444"/>
    <w:rsid w:val="00356D07"/>
    <w:rsid w:val="00357773"/>
    <w:rsid w:val="003603A8"/>
    <w:rsid w:val="00360D13"/>
    <w:rsid w:val="003612A7"/>
    <w:rsid w:val="00361ED2"/>
    <w:rsid w:val="0036241F"/>
    <w:rsid w:val="00363416"/>
    <w:rsid w:val="00365827"/>
    <w:rsid w:val="003664F6"/>
    <w:rsid w:val="00366879"/>
    <w:rsid w:val="0036710F"/>
    <w:rsid w:val="0036753B"/>
    <w:rsid w:val="003709D0"/>
    <w:rsid w:val="00370C36"/>
    <w:rsid w:val="003722C5"/>
    <w:rsid w:val="00372B8C"/>
    <w:rsid w:val="00372BA0"/>
    <w:rsid w:val="00373009"/>
    <w:rsid w:val="0037302E"/>
    <w:rsid w:val="003730F4"/>
    <w:rsid w:val="00373C64"/>
    <w:rsid w:val="00374535"/>
    <w:rsid w:val="00374D77"/>
    <w:rsid w:val="00374EA5"/>
    <w:rsid w:val="003753FD"/>
    <w:rsid w:val="003763A3"/>
    <w:rsid w:val="003768C5"/>
    <w:rsid w:val="00376FEF"/>
    <w:rsid w:val="0037736F"/>
    <w:rsid w:val="003777A5"/>
    <w:rsid w:val="00377995"/>
    <w:rsid w:val="0038014F"/>
    <w:rsid w:val="00380619"/>
    <w:rsid w:val="00380DCC"/>
    <w:rsid w:val="0038130C"/>
    <w:rsid w:val="0038177E"/>
    <w:rsid w:val="00381789"/>
    <w:rsid w:val="00381DA8"/>
    <w:rsid w:val="003827A5"/>
    <w:rsid w:val="003828F3"/>
    <w:rsid w:val="00383BDF"/>
    <w:rsid w:val="00383D95"/>
    <w:rsid w:val="00384756"/>
    <w:rsid w:val="00384CC1"/>
    <w:rsid w:val="00384D56"/>
    <w:rsid w:val="003857E8"/>
    <w:rsid w:val="0038608D"/>
    <w:rsid w:val="0038695B"/>
    <w:rsid w:val="00387690"/>
    <w:rsid w:val="0039014D"/>
    <w:rsid w:val="00390A46"/>
    <w:rsid w:val="00391470"/>
    <w:rsid w:val="00391BC4"/>
    <w:rsid w:val="00391D6C"/>
    <w:rsid w:val="00392D26"/>
    <w:rsid w:val="00393487"/>
    <w:rsid w:val="0039427B"/>
    <w:rsid w:val="0039458C"/>
    <w:rsid w:val="003949A6"/>
    <w:rsid w:val="003951EA"/>
    <w:rsid w:val="00395545"/>
    <w:rsid w:val="00395588"/>
    <w:rsid w:val="003957D2"/>
    <w:rsid w:val="003959FD"/>
    <w:rsid w:val="00395A54"/>
    <w:rsid w:val="003962C7"/>
    <w:rsid w:val="003963AB"/>
    <w:rsid w:val="00397510"/>
    <w:rsid w:val="00397633"/>
    <w:rsid w:val="00397D37"/>
    <w:rsid w:val="003A01C5"/>
    <w:rsid w:val="003A0DF4"/>
    <w:rsid w:val="003A15A7"/>
    <w:rsid w:val="003A1814"/>
    <w:rsid w:val="003A1D7A"/>
    <w:rsid w:val="003A1F7F"/>
    <w:rsid w:val="003A2290"/>
    <w:rsid w:val="003A230F"/>
    <w:rsid w:val="003A2313"/>
    <w:rsid w:val="003A2884"/>
    <w:rsid w:val="003A28A3"/>
    <w:rsid w:val="003A2C32"/>
    <w:rsid w:val="003A2C7E"/>
    <w:rsid w:val="003A368E"/>
    <w:rsid w:val="003A37FD"/>
    <w:rsid w:val="003A3B68"/>
    <w:rsid w:val="003A4FA1"/>
    <w:rsid w:val="003A5145"/>
    <w:rsid w:val="003A595C"/>
    <w:rsid w:val="003A7535"/>
    <w:rsid w:val="003A7BDB"/>
    <w:rsid w:val="003A7C3F"/>
    <w:rsid w:val="003B04CB"/>
    <w:rsid w:val="003B07B3"/>
    <w:rsid w:val="003B1411"/>
    <w:rsid w:val="003B3467"/>
    <w:rsid w:val="003B3ACC"/>
    <w:rsid w:val="003B41F8"/>
    <w:rsid w:val="003B4614"/>
    <w:rsid w:val="003B475D"/>
    <w:rsid w:val="003B4BC2"/>
    <w:rsid w:val="003B5707"/>
    <w:rsid w:val="003B58BA"/>
    <w:rsid w:val="003B6150"/>
    <w:rsid w:val="003B7866"/>
    <w:rsid w:val="003B7A44"/>
    <w:rsid w:val="003C0005"/>
    <w:rsid w:val="003C0877"/>
    <w:rsid w:val="003C092A"/>
    <w:rsid w:val="003C0963"/>
    <w:rsid w:val="003C09C7"/>
    <w:rsid w:val="003C16FB"/>
    <w:rsid w:val="003C1A5B"/>
    <w:rsid w:val="003C1F91"/>
    <w:rsid w:val="003C2B88"/>
    <w:rsid w:val="003C301A"/>
    <w:rsid w:val="003C3957"/>
    <w:rsid w:val="003C409C"/>
    <w:rsid w:val="003C4530"/>
    <w:rsid w:val="003C465F"/>
    <w:rsid w:val="003C5140"/>
    <w:rsid w:val="003C516C"/>
    <w:rsid w:val="003C5302"/>
    <w:rsid w:val="003C5347"/>
    <w:rsid w:val="003C5B37"/>
    <w:rsid w:val="003C6102"/>
    <w:rsid w:val="003C69FF"/>
    <w:rsid w:val="003C74E7"/>
    <w:rsid w:val="003D0531"/>
    <w:rsid w:val="003D070A"/>
    <w:rsid w:val="003D1259"/>
    <w:rsid w:val="003D1E2D"/>
    <w:rsid w:val="003D20BA"/>
    <w:rsid w:val="003D5443"/>
    <w:rsid w:val="003D55FA"/>
    <w:rsid w:val="003D595C"/>
    <w:rsid w:val="003D5D80"/>
    <w:rsid w:val="003D60CF"/>
    <w:rsid w:val="003D6352"/>
    <w:rsid w:val="003D644F"/>
    <w:rsid w:val="003D64A2"/>
    <w:rsid w:val="003D6BBE"/>
    <w:rsid w:val="003D6E48"/>
    <w:rsid w:val="003D7A16"/>
    <w:rsid w:val="003D7CD2"/>
    <w:rsid w:val="003D7D54"/>
    <w:rsid w:val="003D7D92"/>
    <w:rsid w:val="003D7DE1"/>
    <w:rsid w:val="003D7FA7"/>
    <w:rsid w:val="003E0129"/>
    <w:rsid w:val="003E051F"/>
    <w:rsid w:val="003E1C07"/>
    <w:rsid w:val="003E1EC8"/>
    <w:rsid w:val="003E23CB"/>
    <w:rsid w:val="003E3832"/>
    <w:rsid w:val="003E459E"/>
    <w:rsid w:val="003E4956"/>
    <w:rsid w:val="003E5914"/>
    <w:rsid w:val="003E5ED0"/>
    <w:rsid w:val="003E7347"/>
    <w:rsid w:val="003F0697"/>
    <w:rsid w:val="003F1A94"/>
    <w:rsid w:val="003F3DE3"/>
    <w:rsid w:val="003F43D3"/>
    <w:rsid w:val="003F4790"/>
    <w:rsid w:val="003F505E"/>
    <w:rsid w:val="003F5A29"/>
    <w:rsid w:val="003F5AB0"/>
    <w:rsid w:val="003F653F"/>
    <w:rsid w:val="003F75C4"/>
    <w:rsid w:val="003F7A36"/>
    <w:rsid w:val="003F7A55"/>
    <w:rsid w:val="004001C7"/>
    <w:rsid w:val="004004E4"/>
    <w:rsid w:val="00400B69"/>
    <w:rsid w:val="00400D75"/>
    <w:rsid w:val="004011CF"/>
    <w:rsid w:val="004014C9"/>
    <w:rsid w:val="00401B1E"/>
    <w:rsid w:val="004025D0"/>
    <w:rsid w:val="0040397A"/>
    <w:rsid w:val="00403C81"/>
    <w:rsid w:val="00403F89"/>
    <w:rsid w:val="00404777"/>
    <w:rsid w:val="004047F2"/>
    <w:rsid w:val="00404C29"/>
    <w:rsid w:val="00405875"/>
    <w:rsid w:val="004058B3"/>
    <w:rsid w:val="00405BEB"/>
    <w:rsid w:val="00405D6C"/>
    <w:rsid w:val="00406893"/>
    <w:rsid w:val="0040690A"/>
    <w:rsid w:val="00407133"/>
    <w:rsid w:val="00407979"/>
    <w:rsid w:val="00411255"/>
    <w:rsid w:val="00411930"/>
    <w:rsid w:val="00412011"/>
    <w:rsid w:val="00413A57"/>
    <w:rsid w:val="00413B10"/>
    <w:rsid w:val="00414464"/>
    <w:rsid w:val="004147F6"/>
    <w:rsid w:val="00415051"/>
    <w:rsid w:val="00415E0F"/>
    <w:rsid w:val="004167CB"/>
    <w:rsid w:val="00416882"/>
    <w:rsid w:val="00416DAC"/>
    <w:rsid w:val="00417BDF"/>
    <w:rsid w:val="0042007F"/>
    <w:rsid w:val="00420D73"/>
    <w:rsid w:val="00422256"/>
    <w:rsid w:val="004222A8"/>
    <w:rsid w:val="00422C11"/>
    <w:rsid w:val="00424455"/>
    <w:rsid w:val="0042465A"/>
    <w:rsid w:val="00425592"/>
    <w:rsid w:val="0042671D"/>
    <w:rsid w:val="00427EB4"/>
    <w:rsid w:val="004317CD"/>
    <w:rsid w:val="004326CD"/>
    <w:rsid w:val="0043279D"/>
    <w:rsid w:val="004337B1"/>
    <w:rsid w:val="00433C94"/>
    <w:rsid w:val="00433EA3"/>
    <w:rsid w:val="00434BA8"/>
    <w:rsid w:val="00435312"/>
    <w:rsid w:val="00436507"/>
    <w:rsid w:val="004366C8"/>
    <w:rsid w:val="00436C89"/>
    <w:rsid w:val="004403EE"/>
    <w:rsid w:val="00440DB1"/>
    <w:rsid w:val="004413E6"/>
    <w:rsid w:val="00441795"/>
    <w:rsid w:val="004421DE"/>
    <w:rsid w:val="0044253C"/>
    <w:rsid w:val="004435D3"/>
    <w:rsid w:val="0044361C"/>
    <w:rsid w:val="00443D62"/>
    <w:rsid w:val="00444177"/>
    <w:rsid w:val="00444306"/>
    <w:rsid w:val="00444B40"/>
    <w:rsid w:val="00444F56"/>
    <w:rsid w:val="00444F9C"/>
    <w:rsid w:val="00445840"/>
    <w:rsid w:val="00445CFA"/>
    <w:rsid w:val="00446986"/>
    <w:rsid w:val="00446CC1"/>
    <w:rsid w:val="004476A6"/>
    <w:rsid w:val="004515D0"/>
    <w:rsid w:val="004521D5"/>
    <w:rsid w:val="00452409"/>
    <w:rsid w:val="00452686"/>
    <w:rsid w:val="00452E5D"/>
    <w:rsid w:val="00453209"/>
    <w:rsid w:val="00453402"/>
    <w:rsid w:val="0045480D"/>
    <w:rsid w:val="0045515D"/>
    <w:rsid w:val="00455632"/>
    <w:rsid w:val="00455B47"/>
    <w:rsid w:val="00456671"/>
    <w:rsid w:val="00456D14"/>
    <w:rsid w:val="004610B9"/>
    <w:rsid w:val="00461BEE"/>
    <w:rsid w:val="00463180"/>
    <w:rsid w:val="004653CF"/>
    <w:rsid w:val="0046629C"/>
    <w:rsid w:val="00466E21"/>
    <w:rsid w:val="004701EB"/>
    <w:rsid w:val="0047087D"/>
    <w:rsid w:val="0047093F"/>
    <w:rsid w:val="00470A04"/>
    <w:rsid w:val="00471400"/>
    <w:rsid w:val="004723DF"/>
    <w:rsid w:val="00472A7A"/>
    <w:rsid w:val="00472AE8"/>
    <w:rsid w:val="0047431A"/>
    <w:rsid w:val="00474648"/>
    <w:rsid w:val="004746B5"/>
    <w:rsid w:val="0047557E"/>
    <w:rsid w:val="00475FE5"/>
    <w:rsid w:val="00476EDA"/>
    <w:rsid w:val="004776AE"/>
    <w:rsid w:val="0048084A"/>
    <w:rsid w:val="004819D0"/>
    <w:rsid w:val="00481F27"/>
    <w:rsid w:val="004825B2"/>
    <w:rsid w:val="00482ADF"/>
    <w:rsid w:val="00482CF1"/>
    <w:rsid w:val="004834E8"/>
    <w:rsid w:val="004835F6"/>
    <w:rsid w:val="004835FA"/>
    <w:rsid w:val="004848EB"/>
    <w:rsid w:val="004859FA"/>
    <w:rsid w:val="00486ACC"/>
    <w:rsid w:val="00487048"/>
    <w:rsid w:val="004870F4"/>
    <w:rsid w:val="00487256"/>
    <w:rsid w:val="00487E9C"/>
    <w:rsid w:val="00490115"/>
    <w:rsid w:val="004904D5"/>
    <w:rsid w:val="0049087F"/>
    <w:rsid w:val="004908EC"/>
    <w:rsid w:val="00491EF4"/>
    <w:rsid w:val="004928A7"/>
    <w:rsid w:val="00492C41"/>
    <w:rsid w:val="00494992"/>
    <w:rsid w:val="004951CB"/>
    <w:rsid w:val="00495AC8"/>
    <w:rsid w:val="004960FE"/>
    <w:rsid w:val="00496381"/>
    <w:rsid w:val="004967F6"/>
    <w:rsid w:val="00496C0D"/>
    <w:rsid w:val="004976E4"/>
    <w:rsid w:val="00497710"/>
    <w:rsid w:val="00497D77"/>
    <w:rsid w:val="004A08CC"/>
    <w:rsid w:val="004A12FA"/>
    <w:rsid w:val="004A19DC"/>
    <w:rsid w:val="004A1F94"/>
    <w:rsid w:val="004A24E9"/>
    <w:rsid w:val="004A33CD"/>
    <w:rsid w:val="004A33E6"/>
    <w:rsid w:val="004A3459"/>
    <w:rsid w:val="004A3D55"/>
    <w:rsid w:val="004A3FCE"/>
    <w:rsid w:val="004A4030"/>
    <w:rsid w:val="004A4393"/>
    <w:rsid w:val="004A43CA"/>
    <w:rsid w:val="004A4E2E"/>
    <w:rsid w:val="004A57A1"/>
    <w:rsid w:val="004A6018"/>
    <w:rsid w:val="004A6AE6"/>
    <w:rsid w:val="004A7852"/>
    <w:rsid w:val="004A7EFE"/>
    <w:rsid w:val="004B0C1B"/>
    <w:rsid w:val="004B1C3D"/>
    <w:rsid w:val="004B1C59"/>
    <w:rsid w:val="004B1D30"/>
    <w:rsid w:val="004B2A6E"/>
    <w:rsid w:val="004B3DB9"/>
    <w:rsid w:val="004B474F"/>
    <w:rsid w:val="004B62D2"/>
    <w:rsid w:val="004B6C5C"/>
    <w:rsid w:val="004B6D13"/>
    <w:rsid w:val="004B6E60"/>
    <w:rsid w:val="004B71A8"/>
    <w:rsid w:val="004B766E"/>
    <w:rsid w:val="004B7731"/>
    <w:rsid w:val="004B7E87"/>
    <w:rsid w:val="004B7F4D"/>
    <w:rsid w:val="004C052D"/>
    <w:rsid w:val="004C09FB"/>
    <w:rsid w:val="004C0BD8"/>
    <w:rsid w:val="004C0C30"/>
    <w:rsid w:val="004C1A46"/>
    <w:rsid w:val="004C2C39"/>
    <w:rsid w:val="004C2D11"/>
    <w:rsid w:val="004C2E13"/>
    <w:rsid w:val="004C3316"/>
    <w:rsid w:val="004C3C4A"/>
    <w:rsid w:val="004C3E1F"/>
    <w:rsid w:val="004C5F6B"/>
    <w:rsid w:val="004C60D0"/>
    <w:rsid w:val="004C618E"/>
    <w:rsid w:val="004C63B2"/>
    <w:rsid w:val="004C6D88"/>
    <w:rsid w:val="004C7453"/>
    <w:rsid w:val="004D1618"/>
    <w:rsid w:val="004D164C"/>
    <w:rsid w:val="004D3E74"/>
    <w:rsid w:val="004D3F5B"/>
    <w:rsid w:val="004D4AD6"/>
    <w:rsid w:val="004D4CEF"/>
    <w:rsid w:val="004D4D8D"/>
    <w:rsid w:val="004D5258"/>
    <w:rsid w:val="004D5DD3"/>
    <w:rsid w:val="004D5DDB"/>
    <w:rsid w:val="004D60A8"/>
    <w:rsid w:val="004D6F63"/>
    <w:rsid w:val="004D7265"/>
    <w:rsid w:val="004D7C11"/>
    <w:rsid w:val="004E13B3"/>
    <w:rsid w:val="004E2657"/>
    <w:rsid w:val="004E3421"/>
    <w:rsid w:val="004E3AE3"/>
    <w:rsid w:val="004E3C3D"/>
    <w:rsid w:val="004E3F41"/>
    <w:rsid w:val="004E4A74"/>
    <w:rsid w:val="004E5BEE"/>
    <w:rsid w:val="004E718A"/>
    <w:rsid w:val="004E71F1"/>
    <w:rsid w:val="004E7431"/>
    <w:rsid w:val="004E7854"/>
    <w:rsid w:val="004E7DE2"/>
    <w:rsid w:val="004E7FB9"/>
    <w:rsid w:val="004F08B9"/>
    <w:rsid w:val="004F241A"/>
    <w:rsid w:val="004F2FB7"/>
    <w:rsid w:val="004F32C9"/>
    <w:rsid w:val="004F359C"/>
    <w:rsid w:val="004F36E6"/>
    <w:rsid w:val="004F3A29"/>
    <w:rsid w:val="004F4C84"/>
    <w:rsid w:val="004F5051"/>
    <w:rsid w:val="004F539B"/>
    <w:rsid w:val="004F55E6"/>
    <w:rsid w:val="004F5E72"/>
    <w:rsid w:val="004F6775"/>
    <w:rsid w:val="004F6EBD"/>
    <w:rsid w:val="004F7D83"/>
    <w:rsid w:val="00500788"/>
    <w:rsid w:val="00502072"/>
    <w:rsid w:val="005024ED"/>
    <w:rsid w:val="005025B8"/>
    <w:rsid w:val="00502CDB"/>
    <w:rsid w:val="00503219"/>
    <w:rsid w:val="0050343D"/>
    <w:rsid w:val="00504563"/>
    <w:rsid w:val="00504D2E"/>
    <w:rsid w:val="00505E20"/>
    <w:rsid w:val="0050623C"/>
    <w:rsid w:val="00506F01"/>
    <w:rsid w:val="005076F7"/>
    <w:rsid w:val="00507D90"/>
    <w:rsid w:val="005108DC"/>
    <w:rsid w:val="00510A0E"/>
    <w:rsid w:val="0051101C"/>
    <w:rsid w:val="0051124B"/>
    <w:rsid w:val="00511D38"/>
    <w:rsid w:val="00511DF3"/>
    <w:rsid w:val="0051296F"/>
    <w:rsid w:val="005129BF"/>
    <w:rsid w:val="00512C4E"/>
    <w:rsid w:val="00512E73"/>
    <w:rsid w:val="00512EAF"/>
    <w:rsid w:val="00512EBD"/>
    <w:rsid w:val="00512ED2"/>
    <w:rsid w:val="00512F6E"/>
    <w:rsid w:val="00513501"/>
    <w:rsid w:val="00513885"/>
    <w:rsid w:val="00513B85"/>
    <w:rsid w:val="005142C6"/>
    <w:rsid w:val="005159F6"/>
    <w:rsid w:val="00515BE2"/>
    <w:rsid w:val="005168BE"/>
    <w:rsid w:val="00516B44"/>
    <w:rsid w:val="00517FF6"/>
    <w:rsid w:val="005200CD"/>
    <w:rsid w:val="0052128A"/>
    <w:rsid w:val="005217FC"/>
    <w:rsid w:val="00521951"/>
    <w:rsid w:val="00521AFA"/>
    <w:rsid w:val="00522182"/>
    <w:rsid w:val="00522618"/>
    <w:rsid w:val="00522CCD"/>
    <w:rsid w:val="005230B8"/>
    <w:rsid w:val="00525CA8"/>
    <w:rsid w:val="00525F56"/>
    <w:rsid w:val="00525F5F"/>
    <w:rsid w:val="005262DA"/>
    <w:rsid w:val="00527038"/>
    <w:rsid w:val="00527707"/>
    <w:rsid w:val="00527848"/>
    <w:rsid w:val="005309CA"/>
    <w:rsid w:val="00531E48"/>
    <w:rsid w:val="00534050"/>
    <w:rsid w:val="005346E7"/>
    <w:rsid w:val="00534B2C"/>
    <w:rsid w:val="00534BAB"/>
    <w:rsid w:val="0053555B"/>
    <w:rsid w:val="005357E4"/>
    <w:rsid w:val="00535968"/>
    <w:rsid w:val="00535B38"/>
    <w:rsid w:val="00535DA3"/>
    <w:rsid w:val="0053613D"/>
    <w:rsid w:val="00536704"/>
    <w:rsid w:val="00536722"/>
    <w:rsid w:val="0053746A"/>
    <w:rsid w:val="00537477"/>
    <w:rsid w:val="00537C72"/>
    <w:rsid w:val="00541365"/>
    <w:rsid w:val="00541A17"/>
    <w:rsid w:val="0054222D"/>
    <w:rsid w:val="00542943"/>
    <w:rsid w:val="0054390D"/>
    <w:rsid w:val="00544251"/>
    <w:rsid w:val="0054477B"/>
    <w:rsid w:val="00544BDE"/>
    <w:rsid w:val="00545A5C"/>
    <w:rsid w:val="00546D41"/>
    <w:rsid w:val="005506C8"/>
    <w:rsid w:val="00550C86"/>
    <w:rsid w:val="0055116D"/>
    <w:rsid w:val="00551496"/>
    <w:rsid w:val="005519F2"/>
    <w:rsid w:val="00551A05"/>
    <w:rsid w:val="00551A8A"/>
    <w:rsid w:val="00551E02"/>
    <w:rsid w:val="00552413"/>
    <w:rsid w:val="0055293D"/>
    <w:rsid w:val="00552ECC"/>
    <w:rsid w:val="00553038"/>
    <w:rsid w:val="00553EB4"/>
    <w:rsid w:val="00553F97"/>
    <w:rsid w:val="0055416E"/>
    <w:rsid w:val="0055481D"/>
    <w:rsid w:val="00555DE7"/>
    <w:rsid w:val="00556401"/>
    <w:rsid w:val="00556431"/>
    <w:rsid w:val="00556AC8"/>
    <w:rsid w:val="00557440"/>
    <w:rsid w:val="0055792D"/>
    <w:rsid w:val="00557987"/>
    <w:rsid w:val="005579CD"/>
    <w:rsid w:val="005600EC"/>
    <w:rsid w:val="00560346"/>
    <w:rsid w:val="00560D3A"/>
    <w:rsid w:val="00561721"/>
    <w:rsid w:val="0056200E"/>
    <w:rsid w:val="00563095"/>
    <w:rsid w:val="00563561"/>
    <w:rsid w:val="0056382B"/>
    <w:rsid w:val="00563A5C"/>
    <w:rsid w:val="00563C8C"/>
    <w:rsid w:val="00563FAC"/>
    <w:rsid w:val="0056431B"/>
    <w:rsid w:val="005644FB"/>
    <w:rsid w:val="00564ECE"/>
    <w:rsid w:val="00565117"/>
    <w:rsid w:val="00565981"/>
    <w:rsid w:val="00565B94"/>
    <w:rsid w:val="005663BC"/>
    <w:rsid w:val="00566635"/>
    <w:rsid w:val="005667A1"/>
    <w:rsid w:val="005678C8"/>
    <w:rsid w:val="00567CC9"/>
    <w:rsid w:val="0057073E"/>
    <w:rsid w:val="005711F2"/>
    <w:rsid w:val="005717A9"/>
    <w:rsid w:val="00571D68"/>
    <w:rsid w:val="00571F41"/>
    <w:rsid w:val="00573007"/>
    <w:rsid w:val="00573697"/>
    <w:rsid w:val="005737DA"/>
    <w:rsid w:val="00574C16"/>
    <w:rsid w:val="00574C52"/>
    <w:rsid w:val="0057515E"/>
    <w:rsid w:val="005765D0"/>
    <w:rsid w:val="005767F2"/>
    <w:rsid w:val="00576A91"/>
    <w:rsid w:val="00577247"/>
    <w:rsid w:val="00577FD4"/>
    <w:rsid w:val="00580214"/>
    <w:rsid w:val="0058048E"/>
    <w:rsid w:val="00580C60"/>
    <w:rsid w:val="0058152B"/>
    <w:rsid w:val="00581B1C"/>
    <w:rsid w:val="00581F23"/>
    <w:rsid w:val="005820E3"/>
    <w:rsid w:val="005823B4"/>
    <w:rsid w:val="00582669"/>
    <w:rsid w:val="00583142"/>
    <w:rsid w:val="005840EC"/>
    <w:rsid w:val="00584734"/>
    <w:rsid w:val="0058532C"/>
    <w:rsid w:val="0058545A"/>
    <w:rsid w:val="005859BA"/>
    <w:rsid w:val="00586B36"/>
    <w:rsid w:val="00590176"/>
    <w:rsid w:val="005902AB"/>
    <w:rsid w:val="00590439"/>
    <w:rsid w:val="005916D2"/>
    <w:rsid w:val="00591974"/>
    <w:rsid w:val="00591DE6"/>
    <w:rsid w:val="00592095"/>
    <w:rsid w:val="00592B65"/>
    <w:rsid w:val="00592F7F"/>
    <w:rsid w:val="00593048"/>
    <w:rsid w:val="005935AF"/>
    <w:rsid w:val="00593676"/>
    <w:rsid w:val="00593A89"/>
    <w:rsid w:val="00594845"/>
    <w:rsid w:val="005958DC"/>
    <w:rsid w:val="00595ACE"/>
    <w:rsid w:val="005963FA"/>
    <w:rsid w:val="00597216"/>
    <w:rsid w:val="005973FE"/>
    <w:rsid w:val="00597BB9"/>
    <w:rsid w:val="005A01B9"/>
    <w:rsid w:val="005A020C"/>
    <w:rsid w:val="005A136A"/>
    <w:rsid w:val="005A1371"/>
    <w:rsid w:val="005A1895"/>
    <w:rsid w:val="005A33A7"/>
    <w:rsid w:val="005A395D"/>
    <w:rsid w:val="005A4019"/>
    <w:rsid w:val="005A4766"/>
    <w:rsid w:val="005A48FB"/>
    <w:rsid w:val="005A4DB6"/>
    <w:rsid w:val="005A507A"/>
    <w:rsid w:val="005A5186"/>
    <w:rsid w:val="005A53B9"/>
    <w:rsid w:val="005A59C4"/>
    <w:rsid w:val="005A6BAD"/>
    <w:rsid w:val="005A6E19"/>
    <w:rsid w:val="005A708C"/>
    <w:rsid w:val="005A73B2"/>
    <w:rsid w:val="005B0AD0"/>
    <w:rsid w:val="005B2765"/>
    <w:rsid w:val="005B278A"/>
    <w:rsid w:val="005B2C05"/>
    <w:rsid w:val="005B3404"/>
    <w:rsid w:val="005B5125"/>
    <w:rsid w:val="005B51B4"/>
    <w:rsid w:val="005B5CB7"/>
    <w:rsid w:val="005B625C"/>
    <w:rsid w:val="005B664A"/>
    <w:rsid w:val="005B7126"/>
    <w:rsid w:val="005B7670"/>
    <w:rsid w:val="005C10EF"/>
    <w:rsid w:val="005C1167"/>
    <w:rsid w:val="005C2127"/>
    <w:rsid w:val="005C29CF"/>
    <w:rsid w:val="005C2F14"/>
    <w:rsid w:val="005C3581"/>
    <w:rsid w:val="005C3989"/>
    <w:rsid w:val="005C3A6F"/>
    <w:rsid w:val="005C4628"/>
    <w:rsid w:val="005C6327"/>
    <w:rsid w:val="005C7891"/>
    <w:rsid w:val="005C7AE4"/>
    <w:rsid w:val="005C7DD3"/>
    <w:rsid w:val="005D0482"/>
    <w:rsid w:val="005D0C13"/>
    <w:rsid w:val="005D130A"/>
    <w:rsid w:val="005D1798"/>
    <w:rsid w:val="005D1B7A"/>
    <w:rsid w:val="005D229A"/>
    <w:rsid w:val="005D270A"/>
    <w:rsid w:val="005D2EFD"/>
    <w:rsid w:val="005D4040"/>
    <w:rsid w:val="005D5065"/>
    <w:rsid w:val="005D50B1"/>
    <w:rsid w:val="005D558D"/>
    <w:rsid w:val="005D63B3"/>
    <w:rsid w:val="005D6E73"/>
    <w:rsid w:val="005E0507"/>
    <w:rsid w:val="005E08DA"/>
    <w:rsid w:val="005E0B2B"/>
    <w:rsid w:val="005E1380"/>
    <w:rsid w:val="005E1776"/>
    <w:rsid w:val="005E1CEB"/>
    <w:rsid w:val="005E2046"/>
    <w:rsid w:val="005E2580"/>
    <w:rsid w:val="005E45C8"/>
    <w:rsid w:val="005E47CC"/>
    <w:rsid w:val="005E48B1"/>
    <w:rsid w:val="005E48F2"/>
    <w:rsid w:val="005E4D43"/>
    <w:rsid w:val="005E53C1"/>
    <w:rsid w:val="005E5DAF"/>
    <w:rsid w:val="005E61EE"/>
    <w:rsid w:val="005E62DC"/>
    <w:rsid w:val="005E6839"/>
    <w:rsid w:val="005E7106"/>
    <w:rsid w:val="005E7AE1"/>
    <w:rsid w:val="005E7CC8"/>
    <w:rsid w:val="005F020D"/>
    <w:rsid w:val="005F0C8D"/>
    <w:rsid w:val="005F100E"/>
    <w:rsid w:val="005F116C"/>
    <w:rsid w:val="005F1A5E"/>
    <w:rsid w:val="005F26F7"/>
    <w:rsid w:val="005F4A38"/>
    <w:rsid w:val="005F4F6D"/>
    <w:rsid w:val="005F5063"/>
    <w:rsid w:val="005F516D"/>
    <w:rsid w:val="005F5C7F"/>
    <w:rsid w:val="005F5D18"/>
    <w:rsid w:val="005F6843"/>
    <w:rsid w:val="005F6F19"/>
    <w:rsid w:val="005F70DF"/>
    <w:rsid w:val="00600790"/>
    <w:rsid w:val="0060127D"/>
    <w:rsid w:val="006013E5"/>
    <w:rsid w:val="0060156B"/>
    <w:rsid w:val="00601762"/>
    <w:rsid w:val="00601E4B"/>
    <w:rsid w:val="00601FC4"/>
    <w:rsid w:val="00602609"/>
    <w:rsid w:val="00604079"/>
    <w:rsid w:val="006046F2"/>
    <w:rsid w:val="00604CAB"/>
    <w:rsid w:val="00604CAC"/>
    <w:rsid w:val="00605791"/>
    <w:rsid w:val="00606579"/>
    <w:rsid w:val="00607AA7"/>
    <w:rsid w:val="00610E0F"/>
    <w:rsid w:val="00612980"/>
    <w:rsid w:val="00613078"/>
    <w:rsid w:val="006137E8"/>
    <w:rsid w:val="00613A9F"/>
    <w:rsid w:val="006143A4"/>
    <w:rsid w:val="00614966"/>
    <w:rsid w:val="006152B7"/>
    <w:rsid w:val="006159F4"/>
    <w:rsid w:val="00615CFC"/>
    <w:rsid w:val="00617540"/>
    <w:rsid w:val="006213F7"/>
    <w:rsid w:val="00621C1C"/>
    <w:rsid w:val="00621DC8"/>
    <w:rsid w:val="006225E3"/>
    <w:rsid w:val="006238C0"/>
    <w:rsid w:val="00624AD7"/>
    <w:rsid w:val="00624C82"/>
    <w:rsid w:val="00625587"/>
    <w:rsid w:val="00625BB0"/>
    <w:rsid w:val="006264DC"/>
    <w:rsid w:val="00626E86"/>
    <w:rsid w:val="00626ED4"/>
    <w:rsid w:val="00627A0F"/>
    <w:rsid w:val="0063137E"/>
    <w:rsid w:val="00631858"/>
    <w:rsid w:val="00632BB5"/>
    <w:rsid w:val="00632BD0"/>
    <w:rsid w:val="00632E71"/>
    <w:rsid w:val="006336B3"/>
    <w:rsid w:val="00633C7F"/>
    <w:rsid w:val="0063404E"/>
    <w:rsid w:val="00634BDD"/>
    <w:rsid w:val="00635003"/>
    <w:rsid w:val="006353F8"/>
    <w:rsid w:val="00641828"/>
    <w:rsid w:val="006418CC"/>
    <w:rsid w:val="00641C8D"/>
    <w:rsid w:val="006426C3"/>
    <w:rsid w:val="006427E2"/>
    <w:rsid w:val="00642F85"/>
    <w:rsid w:val="006430B3"/>
    <w:rsid w:val="00643A31"/>
    <w:rsid w:val="00643E45"/>
    <w:rsid w:val="00644139"/>
    <w:rsid w:val="0064501D"/>
    <w:rsid w:val="006452D6"/>
    <w:rsid w:val="006466C5"/>
    <w:rsid w:val="00650261"/>
    <w:rsid w:val="0065035E"/>
    <w:rsid w:val="00650E6C"/>
    <w:rsid w:val="00653433"/>
    <w:rsid w:val="0065354C"/>
    <w:rsid w:val="006542FB"/>
    <w:rsid w:val="006543BE"/>
    <w:rsid w:val="00654D14"/>
    <w:rsid w:val="00655213"/>
    <w:rsid w:val="006555A5"/>
    <w:rsid w:val="00655CE3"/>
    <w:rsid w:val="00656173"/>
    <w:rsid w:val="0065794F"/>
    <w:rsid w:val="00660234"/>
    <w:rsid w:val="0066177D"/>
    <w:rsid w:val="00661AAE"/>
    <w:rsid w:val="00661B45"/>
    <w:rsid w:val="00661F71"/>
    <w:rsid w:val="00662774"/>
    <w:rsid w:val="006628B0"/>
    <w:rsid w:val="00662CA3"/>
    <w:rsid w:val="00662E0B"/>
    <w:rsid w:val="00662F2F"/>
    <w:rsid w:val="006632CD"/>
    <w:rsid w:val="00663882"/>
    <w:rsid w:val="00663EC2"/>
    <w:rsid w:val="00664584"/>
    <w:rsid w:val="00664960"/>
    <w:rsid w:val="00664E9C"/>
    <w:rsid w:val="006650BB"/>
    <w:rsid w:val="0066542F"/>
    <w:rsid w:val="00665472"/>
    <w:rsid w:val="006654F5"/>
    <w:rsid w:val="006657D3"/>
    <w:rsid w:val="00665852"/>
    <w:rsid w:val="00666527"/>
    <w:rsid w:val="006665FF"/>
    <w:rsid w:val="0066730D"/>
    <w:rsid w:val="006702A1"/>
    <w:rsid w:val="00670652"/>
    <w:rsid w:val="00671052"/>
    <w:rsid w:val="006712F6"/>
    <w:rsid w:val="00672872"/>
    <w:rsid w:val="00672B3C"/>
    <w:rsid w:val="00672C95"/>
    <w:rsid w:val="00672CEA"/>
    <w:rsid w:val="00672E2D"/>
    <w:rsid w:val="0067402C"/>
    <w:rsid w:val="006742BD"/>
    <w:rsid w:val="00674A3E"/>
    <w:rsid w:val="006756B0"/>
    <w:rsid w:val="00675DEE"/>
    <w:rsid w:val="00677036"/>
    <w:rsid w:val="006773FB"/>
    <w:rsid w:val="00677693"/>
    <w:rsid w:val="0067794A"/>
    <w:rsid w:val="0068046B"/>
    <w:rsid w:val="0068102B"/>
    <w:rsid w:val="00681207"/>
    <w:rsid w:val="00681695"/>
    <w:rsid w:val="006816C5"/>
    <w:rsid w:val="00681CEE"/>
    <w:rsid w:val="00682846"/>
    <w:rsid w:val="0068285E"/>
    <w:rsid w:val="00683018"/>
    <w:rsid w:val="00683F34"/>
    <w:rsid w:val="006840B9"/>
    <w:rsid w:val="006847B0"/>
    <w:rsid w:val="006854C3"/>
    <w:rsid w:val="00685F7F"/>
    <w:rsid w:val="00686246"/>
    <w:rsid w:val="00686ABD"/>
    <w:rsid w:val="006874E3"/>
    <w:rsid w:val="00690B06"/>
    <w:rsid w:val="0069124A"/>
    <w:rsid w:val="00691E26"/>
    <w:rsid w:val="00692358"/>
    <w:rsid w:val="00693244"/>
    <w:rsid w:val="00693E69"/>
    <w:rsid w:val="006945C8"/>
    <w:rsid w:val="00694F75"/>
    <w:rsid w:val="00694F90"/>
    <w:rsid w:val="0069550A"/>
    <w:rsid w:val="0069609C"/>
    <w:rsid w:val="0069625F"/>
    <w:rsid w:val="006964D6"/>
    <w:rsid w:val="00696828"/>
    <w:rsid w:val="006971CA"/>
    <w:rsid w:val="006976D5"/>
    <w:rsid w:val="00697B64"/>
    <w:rsid w:val="00697BD1"/>
    <w:rsid w:val="006A0C29"/>
    <w:rsid w:val="006A1052"/>
    <w:rsid w:val="006A200B"/>
    <w:rsid w:val="006A277C"/>
    <w:rsid w:val="006A2B5A"/>
    <w:rsid w:val="006A2E74"/>
    <w:rsid w:val="006A4223"/>
    <w:rsid w:val="006A4D4B"/>
    <w:rsid w:val="006A5383"/>
    <w:rsid w:val="006A56F3"/>
    <w:rsid w:val="006A5B46"/>
    <w:rsid w:val="006A5F0B"/>
    <w:rsid w:val="006A5FAE"/>
    <w:rsid w:val="006B010A"/>
    <w:rsid w:val="006B0941"/>
    <w:rsid w:val="006B0974"/>
    <w:rsid w:val="006B0B4F"/>
    <w:rsid w:val="006B1429"/>
    <w:rsid w:val="006B18E3"/>
    <w:rsid w:val="006B2B0E"/>
    <w:rsid w:val="006B4715"/>
    <w:rsid w:val="006B5E16"/>
    <w:rsid w:val="006B63A9"/>
    <w:rsid w:val="006B6C2A"/>
    <w:rsid w:val="006B763E"/>
    <w:rsid w:val="006C0682"/>
    <w:rsid w:val="006C1A8E"/>
    <w:rsid w:val="006C1CF8"/>
    <w:rsid w:val="006C2576"/>
    <w:rsid w:val="006C25B4"/>
    <w:rsid w:val="006C2B1E"/>
    <w:rsid w:val="006C2C72"/>
    <w:rsid w:val="006C3805"/>
    <w:rsid w:val="006C397F"/>
    <w:rsid w:val="006C3BB0"/>
    <w:rsid w:val="006C4084"/>
    <w:rsid w:val="006C4508"/>
    <w:rsid w:val="006C502D"/>
    <w:rsid w:val="006C5391"/>
    <w:rsid w:val="006C6A63"/>
    <w:rsid w:val="006C6BFA"/>
    <w:rsid w:val="006C7A9F"/>
    <w:rsid w:val="006D0A90"/>
    <w:rsid w:val="006D0F1C"/>
    <w:rsid w:val="006D2044"/>
    <w:rsid w:val="006D28AA"/>
    <w:rsid w:val="006D2E87"/>
    <w:rsid w:val="006D3538"/>
    <w:rsid w:val="006D437E"/>
    <w:rsid w:val="006D55DB"/>
    <w:rsid w:val="006D58D1"/>
    <w:rsid w:val="006D5B40"/>
    <w:rsid w:val="006D5EF7"/>
    <w:rsid w:val="006D6346"/>
    <w:rsid w:val="006D68DC"/>
    <w:rsid w:val="006D6A37"/>
    <w:rsid w:val="006D6C6D"/>
    <w:rsid w:val="006D7B3B"/>
    <w:rsid w:val="006D7B5E"/>
    <w:rsid w:val="006E08F9"/>
    <w:rsid w:val="006E095B"/>
    <w:rsid w:val="006E1736"/>
    <w:rsid w:val="006E1BEA"/>
    <w:rsid w:val="006E1C6A"/>
    <w:rsid w:val="006E2C07"/>
    <w:rsid w:val="006E3DC1"/>
    <w:rsid w:val="006E4263"/>
    <w:rsid w:val="006E5520"/>
    <w:rsid w:val="006E59FF"/>
    <w:rsid w:val="006E5D3F"/>
    <w:rsid w:val="006E6374"/>
    <w:rsid w:val="006E6F00"/>
    <w:rsid w:val="006E73B6"/>
    <w:rsid w:val="006E73D9"/>
    <w:rsid w:val="006E7AB8"/>
    <w:rsid w:val="006E7F1A"/>
    <w:rsid w:val="006F04DB"/>
    <w:rsid w:val="006F05E3"/>
    <w:rsid w:val="006F0E6F"/>
    <w:rsid w:val="006F140B"/>
    <w:rsid w:val="006F164F"/>
    <w:rsid w:val="006F1A7F"/>
    <w:rsid w:val="006F1CFA"/>
    <w:rsid w:val="006F2646"/>
    <w:rsid w:val="006F29E2"/>
    <w:rsid w:val="006F2D00"/>
    <w:rsid w:val="006F3D6E"/>
    <w:rsid w:val="006F3F4D"/>
    <w:rsid w:val="006F4832"/>
    <w:rsid w:val="006F48DD"/>
    <w:rsid w:val="006F491E"/>
    <w:rsid w:val="006F4C4E"/>
    <w:rsid w:val="00700BF1"/>
    <w:rsid w:val="00702CBF"/>
    <w:rsid w:val="00702FA5"/>
    <w:rsid w:val="00703BEC"/>
    <w:rsid w:val="0070492F"/>
    <w:rsid w:val="00704F8E"/>
    <w:rsid w:val="0070524B"/>
    <w:rsid w:val="00706399"/>
    <w:rsid w:val="007063ED"/>
    <w:rsid w:val="00706854"/>
    <w:rsid w:val="00706A92"/>
    <w:rsid w:val="00707AB3"/>
    <w:rsid w:val="00707EC5"/>
    <w:rsid w:val="007101D1"/>
    <w:rsid w:val="00710D77"/>
    <w:rsid w:val="007120CE"/>
    <w:rsid w:val="00712668"/>
    <w:rsid w:val="00712797"/>
    <w:rsid w:val="007132BE"/>
    <w:rsid w:val="0071357B"/>
    <w:rsid w:val="007148C3"/>
    <w:rsid w:val="00715217"/>
    <w:rsid w:val="00715719"/>
    <w:rsid w:val="00715A7A"/>
    <w:rsid w:val="0071663E"/>
    <w:rsid w:val="00716B0B"/>
    <w:rsid w:val="00716C85"/>
    <w:rsid w:val="00716FFC"/>
    <w:rsid w:val="007172C3"/>
    <w:rsid w:val="00720A65"/>
    <w:rsid w:val="00721B66"/>
    <w:rsid w:val="00721EAA"/>
    <w:rsid w:val="00721FB1"/>
    <w:rsid w:val="007228E4"/>
    <w:rsid w:val="00723DF5"/>
    <w:rsid w:val="00724613"/>
    <w:rsid w:val="007248C0"/>
    <w:rsid w:val="00724FEC"/>
    <w:rsid w:val="00725066"/>
    <w:rsid w:val="00725B0C"/>
    <w:rsid w:val="00726010"/>
    <w:rsid w:val="00726402"/>
    <w:rsid w:val="0072643A"/>
    <w:rsid w:val="00727401"/>
    <w:rsid w:val="0072775D"/>
    <w:rsid w:val="00727FB2"/>
    <w:rsid w:val="007316D2"/>
    <w:rsid w:val="00731C25"/>
    <w:rsid w:val="00732169"/>
    <w:rsid w:val="007321C8"/>
    <w:rsid w:val="007323A6"/>
    <w:rsid w:val="00732F22"/>
    <w:rsid w:val="007335DE"/>
    <w:rsid w:val="00733B90"/>
    <w:rsid w:val="007340B2"/>
    <w:rsid w:val="00735487"/>
    <w:rsid w:val="007359C9"/>
    <w:rsid w:val="00735C01"/>
    <w:rsid w:val="0073724D"/>
    <w:rsid w:val="00740897"/>
    <w:rsid w:val="00740C45"/>
    <w:rsid w:val="00740DD6"/>
    <w:rsid w:val="007410B8"/>
    <w:rsid w:val="0074136C"/>
    <w:rsid w:val="007425AD"/>
    <w:rsid w:val="00744268"/>
    <w:rsid w:val="007448ED"/>
    <w:rsid w:val="00744D9D"/>
    <w:rsid w:val="00745694"/>
    <w:rsid w:val="00745A8B"/>
    <w:rsid w:val="00745C44"/>
    <w:rsid w:val="00745D01"/>
    <w:rsid w:val="0074656C"/>
    <w:rsid w:val="00746F3E"/>
    <w:rsid w:val="0074744E"/>
    <w:rsid w:val="00747558"/>
    <w:rsid w:val="0074759B"/>
    <w:rsid w:val="00750892"/>
    <w:rsid w:val="0075123E"/>
    <w:rsid w:val="00751270"/>
    <w:rsid w:val="00751EF6"/>
    <w:rsid w:val="00752007"/>
    <w:rsid w:val="0075315A"/>
    <w:rsid w:val="007533D7"/>
    <w:rsid w:val="00753761"/>
    <w:rsid w:val="00754D82"/>
    <w:rsid w:val="00755029"/>
    <w:rsid w:val="0075519A"/>
    <w:rsid w:val="0075614B"/>
    <w:rsid w:val="00756EBD"/>
    <w:rsid w:val="00757158"/>
    <w:rsid w:val="007576A2"/>
    <w:rsid w:val="00760A0E"/>
    <w:rsid w:val="00760AD6"/>
    <w:rsid w:val="00760B49"/>
    <w:rsid w:val="00760C8B"/>
    <w:rsid w:val="0076146D"/>
    <w:rsid w:val="00761AEE"/>
    <w:rsid w:val="00761B31"/>
    <w:rsid w:val="00762317"/>
    <w:rsid w:val="0076235B"/>
    <w:rsid w:val="00764072"/>
    <w:rsid w:val="007640D8"/>
    <w:rsid w:val="0076646B"/>
    <w:rsid w:val="00766811"/>
    <w:rsid w:val="00766E0A"/>
    <w:rsid w:val="00767C27"/>
    <w:rsid w:val="0077045D"/>
    <w:rsid w:val="00770C06"/>
    <w:rsid w:val="00770D37"/>
    <w:rsid w:val="00770E3F"/>
    <w:rsid w:val="0077180C"/>
    <w:rsid w:val="00772914"/>
    <w:rsid w:val="00772E52"/>
    <w:rsid w:val="00772FC7"/>
    <w:rsid w:val="007731AD"/>
    <w:rsid w:val="0077349A"/>
    <w:rsid w:val="007756AD"/>
    <w:rsid w:val="0077605C"/>
    <w:rsid w:val="00777173"/>
    <w:rsid w:val="007779D1"/>
    <w:rsid w:val="00777BEA"/>
    <w:rsid w:val="007802C6"/>
    <w:rsid w:val="007806BD"/>
    <w:rsid w:val="00781020"/>
    <w:rsid w:val="0078241C"/>
    <w:rsid w:val="007825F8"/>
    <w:rsid w:val="00782843"/>
    <w:rsid w:val="00782900"/>
    <w:rsid w:val="007832F5"/>
    <w:rsid w:val="0078414D"/>
    <w:rsid w:val="00784C4A"/>
    <w:rsid w:val="00785542"/>
    <w:rsid w:val="0078575B"/>
    <w:rsid w:val="00785D9A"/>
    <w:rsid w:val="007861D2"/>
    <w:rsid w:val="00786A50"/>
    <w:rsid w:val="0078710D"/>
    <w:rsid w:val="00787579"/>
    <w:rsid w:val="00787EE0"/>
    <w:rsid w:val="0079021F"/>
    <w:rsid w:val="0079025F"/>
    <w:rsid w:val="007908BB"/>
    <w:rsid w:val="0079256F"/>
    <w:rsid w:val="007929CF"/>
    <w:rsid w:val="00792D11"/>
    <w:rsid w:val="00793687"/>
    <w:rsid w:val="007946D8"/>
    <w:rsid w:val="00794EE6"/>
    <w:rsid w:val="0079565E"/>
    <w:rsid w:val="00795DB9"/>
    <w:rsid w:val="00796F0A"/>
    <w:rsid w:val="00797293"/>
    <w:rsid w:val="007A05F9"/>
    <w:rsid w:val="007A0951"/>
    <w:rsid w:val="007A0CB5"/>
    <w:rsid w:val="007A0E32"/>
    <w:rsid w:val="007A17F9"/>
    <w:rsid w:val="007A1A0A"/>
    <w:rsid w:val="007A1CE6"/>
    <w:rsid w:val="007A336E"/>
    <w:rsid w:val="007A3487"/>
    <w:rsid w:val="007A38F3"/>
    <w:rsid w:val="007A395A"/>
    <w:rsid w:val="007A3DEE"/>
    <w:rsid w:val="007A4768"/>
    <w:rsid w:val="007A5310"/>
    <w:rsid w:val="007A57AC"/>
    <w:rsid w:val="007A6C87"/>
    <w:rsid w:val="007A7158"/>
    <w:rsid w:val="007B0FE8"/>
    <w:rsid w:val="007B1569"/>
    <w:rsid w:val="007B1905"/>
    <w:rsid w:val="007B1A2C"/>
    <w:rsid w:val="007B1D7B"/>
    <w:rsid w:val="007B1DC2"/>
    <w:rsid w:val="007B25F2"/>
    <w:rsid w:val="007B4156"/>
    <w:rsid w:val="007B53DE"/>
    <w:rsid w:val="007B5B9D"/>
    <w:rsid w:val="007B79EB"/>
    <w:rsid w:val="007C0B90"/>
    <w:rsid w:val="007C0FCE"/>
    <w:rsid w:val="007C134B"/>
    <w:rsid w:val="007C1F70"/>
    <w:rsid w:val="007C20DC"/>
    <w:rsid w:val="007C225B"/>
    <w:rsid w:val="007C313C"/>
    <w:rsid w:val="007C34AD"/>
    <w:rsid w:val="007C4B75"/>
    <w:rsid w:val="007C57F3"/>
    <w:rsid w:val="007C5A69"/>
    <w:rsid w:val="007C5A77"/>
    <w:rsid w:val="007C6845"/>
    <w:rsid w:val="007D0743"/>
    <w:rsid w:val="007D107B"/>
    <w:rsid w:val="007D16B7"/>
    <w:rsid w:val="007D1F40"/>
    <w:rsid w:val="007D1FE9"/>
    <w:rsid w:val="007D22A4"/>
    <w:rsid w:val="007D2498"/>
    <w:rsid w:val="007D24D0"/>
    <w:rsid w:val="007D27AE"/>
    <w:rsid w:val="007D2B30"/>
    <w:rsid w:val="007D2B91"/>
    <w:rsid w:val="007D2E24"/>
    <w:rsid w:val="007D34BE"/>
    <w:rsid w:val="007D3D51"/>
    <w:rsid w:val="007D5249"/>
    <w:rsid w:val="007D5AED"/>
    <w:rsid w:val="007D5CE0"/>
    <w:rsid w:val="007D70E1"/>
    <w:rsid w:val="007D7776"/>
    <w:rsid w:val="007D7D4C"/>
    <w:rsid w:val="007D7F4C"/>
    <w:rsid w:val="007E19AF"/>
    <w:rsid w:val="007E21DE"/>
    <w:rsid w:val="007E4480"/>
    <w:rsid w:val="007E49F8"/>
    <w:rsid w:val="007E4CBF"/>
    <w:rsid w:val="007E5CB4"/>
    <w:rsid w:val="007E5F51"/>
    <w:rsid w:val="007E5FA5"/>
    <w:rsid w:val="007E6884"/>
    <w:rsid w:val="007E73E4"/>
    <w:rsid w:val="007E7442"/>
    <w:rsid w:val="007E770D"/>
    <w:rsid w:val="007E7753"/>
    <w:rsid w:val="007E7E47"/>
    <w:rsid w:val="007F010A"/>
    <w:rsid w:val="007F04C3"/>
    <w:rsid w:val="007F1396"/>
    <w:rsid w:val="007F1DB2"/>
    <w:rsid w:val="007F26E5"/>
    <w:rsid w:val="007F4164"/>
    <w:rsid w:val="007F455B"/>
    <w:rsid w:val="007F5185"/>
    <w:rsid w:val="007F51CC"/>
    <w:rsid w:val="007F5451"/>
    <w:rsid w:val="007F648C"/>
    <w:rsid w:val="007F6637"/>
    <w:rsid w:val="007F6C13"/>
    <w:rsid w:val="007F73BE"/>
    <w:rsid w:val="00800724"/>
    <w:rsid w:val="00800EAC"/>
    <w:rsid w:val="0080121C"/>
    <w:rsid w:val="00802E55"/>
    <w:rsid w:val="0080497E"/>
    <w:rsid w:val="00806257"/>
    <w:rsid w:val="008063ED"/>
    <w:rsid w:val="00807695"/>
    <w:rsid w:val="00807698"/>
    <w:rsid w:val="00807754"/>
    <w:rsid w:val="0081078E"/>
    <w:rsid w:val="008109A3"/>
    <w:rsid w:val="00810E24"/>
    <w:rsid w:val="00811353"/>
    <w:rsid w:val="00811CD9"/>
    <w:rsid w:val="008123C1"/>
    <w:rsid w:val="00813AA4"/>
    <w:rsid w:val="0081404C"/>
    <w:rsid w:val="00814062"/>
    <w:rsid w:val="00814255"/>
    <w:rsid w:val="008146C3"/>
    <w:rsid w:val="00814FE5"/>
    <w:rsid w:val="00816238"/>
    <w:rsid w:val="008168C4"/>
    <w:rsid w:val="00816BDC"/>
    <w:rsid w:val="00816DC4"/>
    <w:rsid w:val="00817906"/>
    <w:rsid w:val="00817C89"/>
    <w:rsid w:val="008212F2"/>
    <w:rsid w:val="008216DE"/>
    <w:rsid w:val="00821CE0"/>
    <w:rsid w:val="00824F69"/>
    <w:rsid w:val="008251FC"/>
    <w:rsid w:val="0082560A"/>
    <w:rsid w:val="00825998"/>
    <w:rsid w:val="00825D35"/>
    <w:rsid w:val="00825DCB"/>
    <w:rsid w:val="008271C4"/>
    <w:rsid w:val="0082750F"/>
    <w:rsid w:val="008277A7"/>
    <w:rsid w:val="008277F2"/>
    <w:rsid w:val="0083013F"/>
    <w:rsid w:val="00831481"/>
    <w:rsid w:val="0083160C"/>
    <w:rsid w:val="0083168A"/>
    <w:rsid w:val="00831722"/>
    <w:rsid w:val="00832955"/>
    <w:rsid w:val="00832979"/>
    <w:rsid w:val="00832C37"/>
    <w:rsid w:val="00834606"/>
    <w:rsid w:val="00834FE7"/>
    <w:rsid w:val="0083594F"/>
    <w:rsid w:val="00835C19"/>
    <w:rsid w:val="00835FC1"/>
    <w:rsid w:val="0083703C"/>
    <w:rsid w:val="00837164"/>
    <w:rsid w:val="00840181"/>
    <w:rsid w:val="008401E0"/>
    <w:rsid w:val="0084021E"/>
    <w:rsid w:val="00840952"/>
    <w:rsid w:val="0084124F"/>
    <w:rsid w:val="00842AA3"/>
    <w:rsid w:val="00842D10"/>
    <w:rsid w:val="00843024"/>
    <w:rsid w:val="0084314F"/>
    <w:rsid w:val="008431FC"/>
    <w:rsid w:val="00843FE7"/>
    <w:rsid w:val="00844107"/>
    <w:rsid w:val="008445C7"/>
    <w:rsid w:val="008448F4"/>
    <w:rsid w:val="008449A7"/>
    <w:rsid w:val="00844B1A"/>
    <w:rsid w:val="00844D19"/>
    <w:rsid w:val="00844E3F"/>
    <w:rsid w:val="0084644B"/>
    <w:rsid w:val="008467AE"/>
    <w:rsid w:val="00846F2A"/>
    <w:rsid w:val="008471A3"/>
    <w:rsid w:val="0084752F"/>
    <w:rsid w:val="00847FC7"/>
    <w:rsid w:val="00850F03"/>
    <w:rsid w:val="00851D53"/>
    <w:rsid w:val="008523DC"/>
    <w:rsid w:val="00853AF8"/>
    <w:rsid w:val="00854624"/>
    <w:rsid w:val="00854D30"/>
    <w:rsid w:val="008565D5"/>
    <w:rsid w:val="00856E5E"/>
    <w:rsid w:val="00856EE9"/>
    <w:rsid w:val="00857175"/>
    <w:rsid w:val="00857192"/>
    <w:rsid w:val="00860DA4"/>
    <w:rsid w:val="00860FF3"/>
    <w:rsid w:val="0086143A"/>
    <w:rsid w:val="0086169D"/>
    <w:rsid w:val="008616E2"/>
    <w:rsid w:val="00861ABC"/>
    <w:rsid w:val="0086225E"/>
    <w:rsid w:val="008629D2"/>
    <w:rsid w:val="0086553E"/>
    <w:rsid w:val="008662FF"/>
    <w:rsid w:val="00866AAA"/>
    <w:rsid w:val="008671BF"/>
    <w:rsid w:val="008679CA"/>
    <w:rsid w:val="008679ED"/>
    <w:rsid w:val="008719A6"/>
    <w:rsid w:val="00871AA1"/>
    <w:rsid w:val="00871BF3"/>
    <w:rsid w:val="00871C0C"/>
    <w:rsid w:val="00872AFE"/>
    <w:rsid w:val="00873A59"/>
    <w:rsid w:val="008741A6"/>
    <w:rsid w:val="008743D1"/>
    <w:rsid w:val="00874A10"/>
    <w:rsid w:val="00874B3E"/>
    <w:rsid w:val="00874E9A"/>
    <w:rsid w:val="008759F8"/>
    <w:rsid w:val="00875D51"/>
    <w:rsid w:val="0087604B"/>
    <w:rsid w:val="00876603"/>
    <w:rsid w:val="0087696A"/>
    <w:rsid w:val="00876DEA"/>
    <w:rsid w:val="00877160"/>
    <w:rsid w:val="008774F3"/>
    <w:rsid w:val="008777AC"/>
    <w:rsid w:val="00877B61"/>
    <w:rsid w:val="00877C6C"/>
    <w:rsid w:val="0088017F"/>
    <w:rsid w:val="008804B5"/>
    <w:rsid w:val="00880A59"/>
    <w:rsid w:val="00880D70"/>
    <w:rsid w:val="00881D30"/>
    <w:rsid w:val="00882104"/>
    <w:rsid w:val="00882A67"/>
    <w:rsid w:val="00882B08"/>
    <w:rsid w:val="0088378D"/>
    <w:rsid w:val="00883F3F"/>
    <w:rsid w:val="008845AD"/>
    <w:rsid w:val="00884F69"/>
    <w:rsid w:val="0088515F"/>
    <w:rsid w:val="008851A2"/>
    <w:rsid w:val="008854C6"/>
    <w:rsid w:val="00885A51"/>
    <w:rsid w:val="00886F86"/>
    <w:rsid w:val="00887507"/>
    <w:rsid w:val="008878A8"/>
    <w:rsid w:val="00887A5D"/>
    <w:rsid w:val="00887A85"/>
    <w:rsid w:val="00887CC3"/>
    <w:rsid w:val="00887E6C"/>
    <w:rsid w:val="00890435"/>
    <w:rsid w:val="00890CBE"/>
    <w:rsid w:val="008910B5"/>
    <w:rsid w:val="0089136C"/>
    <w:rsid w:val="0089187C"/>
    <w:rsid w:val="00891982"/>
    <w:rsid w:val="00891BBD"/>
    <w:rsid w:val="00891C87"/>
    <w:rsid w:val="00891CE9"/>
    <w:rsid w:val="00892007"/>
    <w:rsid w:val="008926A5"/>
    <w:rsid w:val="00892C32"/>
    <w:rsid w:val="00892E03"/>
    <w:rsid w:val="00893605"/>
    <w:rsid w:val="00893A40"/>
    <w:rsid w:val="00894BFA"/>
    <w:rsid w:val="00895AC2"/>
    <w:rsid w:val="008964C3"/>
    <w:rsid w:val="00896D99"/>
    <w:rsid w:val="00896E23"/>
    <w:rsid w:val="00896EE6"/>
    <w:rsid w:val="008A09F3"/>
    <w:rsid w:val="008A10C6"/>
    <w:rsid w:val="008A1AC5"/>
    <w:rsid w:val="008A20F9"/>
    <w:rsid w:val="008A27F2"/>
    <w:rsid w:val="008A2B9B"/>
    <w:rsid w:val="008A2DFE"/>
    <w:rsid w:val="008A458E"/>
    <w:rsid w:val="008A4CCE"/>
    <w:rsid w:val="008A614D"/>
    <w:rsid w:val="008A6C0C"/>
    <w:rsid w:val="008A6F18"/>
    <w:rsid w:val="008A7FA1"/>
    <w:rsid w:val="008B20E0"/>
    <w:rsid w:val="008B2317"/>
    <w:rsid w:val="008B2548"/>
    <w:rsid w:val="008B2FC9"/>
    <w:rsid w:val="008B2FFD"/>
    <w:rsid w:val="008B306F"/>
    <w:rsid w:val="008B3365"/>
    <w:rsid w:val="008B3523"/>
    <w:rsid w:val="008B49E2"/>
    <w:rsid w:val="008B4C48"/>
    <w:rsid w:val="008B5677"/>
    <w:rsid w:val="008B576C"/>
    <w:rsid w:val="008B687E"/>
    <w:rsid w:val="008B6D01"/>
    <w:rsid w:val="008B717D"/>
    <w:rsid w:val="008B731D"/>
    <w:rsid w:val="008B7BA8"/>
    <w:rsid w:val="008B7BC2"/>
    <w:rsid w:val="008B7F43"/>
    <w:rsid w:val="008C0E00"/>
    <w:rsid w:val="008C107C"/>
    <w:rsid w:val="008C281D"/>
    <w:rsid w:val="008C2CB6"/>
    <w:rsid w:val="008C3996"/>
    <w:rsid w:val="008C3A19"/>
    <w:rsid w:val="008C458A"/>
    <w:rsid w:val="008C48CA"/>
    <w:rsid w:val="008C4E46"/>
    <w:rsid w:val="008C4E66"/>
    <w:rsid w:val="008C5760"/>
    <w:rsid w:val="008C5DF0"/>
    <w:rsid w:val="008C6A2A"/>
    <w:rsid w:val="008C6EA8"/>
    <w:rsid w:val="008C77E2"/>
    <w:rsid w:val="008C7A34"/>
    <w:rsid w:val="008D0182"/>
    <w:rsid w:val="008D0600"/>
    <w:rsid w:val="008D212A"/>
    <w:rsid w:val="008D338C"/>
    <w:rsid w:val="008D3F0E"/>
    <w:rsid w:val="008D4D91"/>
    <w:rsid w:val="008D6220"/>
    <w:rsid w:val="008D6E7D"/>
    <w:rsid w:val="008D70BD"/>
    <w:rsid w:val="008D73E6"/>
    <w:rsid w:val="008E0A5A"/>
    <w:rsid w:val="008E1DDC"/>
    <w:rsid w:val="008E3954"/>
    <w:rsid w:val="008E4AF0"/>
    <w:rsid w:val="008E4C85"/>
    <w:rsid w:val="008E4E09"/>
    <w:rsid w:val="008E59F6"/>
    <w:rsid w:val="008E5C38"/>
    <w:rsid w:val="008E60A6"/>
    <w:rsid w:val="008E6121"/>
    <w:rsid w:val="008E6411"/>
    <w:rsid w:val="008E6F8C"/>
    <w:rsid w:val="008E6FD0"/>
    <w:rsid w:val="008E7B36"/>
    <w:rsid w:val="008F02D2"/>
    <w:rsid w:val="008F02F8"/>
    <w:rsid w:val="008F07F0"/>
    <w:rsid w:val="008F0808"/>
    <w:rsid w:val="008F0D2D"/>
    <w:rsid w:val="008F137F"/>
    <w:rsid w:val="008F30A5"/>
    <w:rsid w:val="008F31B7"/>
    <w:rsid w:val="008F3CFE"/>
    <w:rsid w:val="008F3E8A"/>
    <w:rsid w:val="008F4208"/>
    <w:rsid w:val="008F5506"/>
    <w:rsid w:val="008F6432"/>
    <w:rsid w:val="008F7538"/>
    <w:rsid w:val="008F7F64"/>
    <w:rsid w:val="009000DB"/>
    <w:rsid w:val="00900380"/>
    <w:rsid w:val="009014C0"/>
    <w:rsid w:val="0090191E"/>
    <w:rsid w:val="0090223C"/>
    <w:rsid w:val="00905070"/>
    <w:rsid w:val="009065AF"/>
    <w:rsid w:val="00906C4B"/>
    <w:rsid w:val="00906C5C"/>
    <w:rsid w:val="00907CD3"/>
    <w:rsid w:val="00907D2B"/>
    <w:rsid w:val="00907F4D"/>
    <w:rsid w:val="00911825"/>
    <w:rsid w:val="009128AA"/>
    <w:rsid w:val="009128D4"/>
    <w:rsid w:val="009131CC"/>
    <w:rsid w:val="0091320B"/>
    <w:rsid w:val="0091388D"/>
    <w:rsid w:val="00913CF5"/>
    <w:rsid w:val="00913F87"/>
    <w:rsid w:val="0091467C"/>
    <w:rsid w:val="0091686D"/>
    <w:rsid w:val="00916DE0"/>
    <w:rsid w:val="00917014"/>
    <w:rsid w:val="0091708D"/>
    <w:rsid w:val="00917AD2"/>
    <w:rsid w:val="00917BC3"/>
    <w:rsid w:val="0092018E"/>
    <w:rsid w:val="009203D4"/>
    <w:rsid w:val="00920BA9"/>
    <w:rsid w:val="009211FC"/>
    <w:rsid w:val="00921255"/>
    <w:rsid w:val="00921311"/>
    <w:rsid w:val="00923201"/>
    <w:rsid w:val="0092345D"/>
    <w:rsid w:val="00923490"/>
    <w:rsid w:val="00923701"/>
    <w:rsid w:val="00924C9C"/>
    <w:rsid w:val="009251FB"/>
    <w:rsid w:val="00925256"/>
    <w:rsid w:val="0092528D"/>
    <w:rsid w:val="009256E9"/>
    <w:rsid w:val="00925A7B"/>
    <w:rsid w:val="00926344"/>
    <w:rsid w:val="00926985"/>
    <w:rsid w:val="00927561"/>
    <w:rsid w:val="00927DD4"/>
    <w:rsid w:val="009310E2"/>
    <w:rsid w:val="00931619"/>
    <w:rsid w:val="009317B4"/>
    <w:rsid w:val="00932428"/>
    <w:rsid w:val="00933962"/>
    <w:rsid w:val="00933CAE"/>
    <w:rsid w:val="00934434"/>
    <w:rsid w:val="00935645"/>
    <w:rsid w:val="009360EE"/>
    <w:rsid w:val="0093612B"/>
    <w:rsid w:val="00937054"/>
    <w:rsid w:val="0094003C"/>
    <w:rsid w:val="00940344"/>
    <w:rsid w:val="00940742"/>
    <w:rsid w:val="00941C1D"/>
    <w:rsid w:val="00941C29"/>
    <w:rsid w:val="009428A0"/>
    <w:rsid w:val="00942961"/>
    <w:rsid w:val="00942FA1"/>
    <w:rsid w:val="00943894"/>
    <w:rsid w:val="0094410A"/>
    <w:rsid w:val="00944BCA"/>
    <w:rsid w:val="00944D47"/>
    <w:rsid w:val="00945811"/>
    <w:rsid w:val="00945B1C"/>
    <w:rsid w:val="009465C3"/>
    <w:rsid w:val="00946D91"/>
    <w:rsid w:val="00947B47"/>
    <w:rsid w:val="00950204"/>
    <w:rsid w:val="009504AC"/>
    <w:rsid w:val="00950FD5"/>
    <w:rsid w:val="00951394"/>
    <w:rsid w:val="009515A7"/>
    <w:rsid w:val="009517CA"/>
    <w:rsid w:val="0095222B"/>
    <w:rsid w:val="00952742"/>
    <w:rsid w:val="00952C89"/>
    <w:rsid w:val="00953F5B"/>
    <w:rsid w:val="00954598"/>
    <w:rsid w:val="00954F0B"/>
    <w:rsid w:val="009551A9"/>
    <w:rsid w:val="009551AC"/>
    <w:rsid w:val="009553B1"/>
    <w:rsid w:val="0095565C"/>
    <w:rsid w:val="00955A26"/>
    <w:rsid w:val="00961827"/>
    <w:rsid w:val="00961982"/>
    <w:rsid w:val="00961C02"/>
    <w:rsid w:val="00962230"/>
    <w:rsid w:val="0096223B"/>
    <w:rsid w:val="009624C6"/>
    <w:rsid w:val="00963326"/>
    <w:rsid w:val="00964212"/>
    <w:rsid w:val="00964633"/>
    <w:rsid w:val="00966552"/>
    <w:rsid w:val="00967E49"/>
    <w:rsid w:val="00970333"/>
    <w:rsid w:val="009712F3"/>
    <w:rsid w:val="009732C3"/>
    <w:rsid w:val="009739BC"/>
    <w:rsid w:val="009751CC"/>
    <w:rsid w:val="009757F6"/>
    <w:rsid w:val="0097606E"/>
    <w:rsid w:val="0097645C"/>
    <w:rsid w:val="00976A74"/>
    <w:rsid w:val="00976FF2"/>
    <w:rsid w:val="00977685"/>
    <w:rsid w:val="0098017F"/>
    <w:rsid w:val="00980B52"/>
    <w:rsid w:val="00981309"/>
    <w:rsid w:val="0098404B"/>
    <w:rsid w:val="00984525"/>
    <w:rsid w:val="0098452E"/>
    <w:rsid w:val="009852DB"/>
    <w:rsid w:val="0098621A"/>
    <w:rsid w:val="00986EAB"/>
    <w:rsid w:val="009873BF"/>
    <w:rsid w:val="00987883"/>
    <w:rsid w:val="00987AF7"/>
    <w:rsid w:val="00987EE7"/>
    <w:rsid w:val="00990C1E"/>
    <w:rsid w:val="0099118E"/>
    <w:rsid w:val="00992674"/>
    <w:rsid w:val="00993C32"/>
    <w:rsid w:val="00993E75"/>
    <w:rsid w:val="009944C0"/>
    <w:rsid w:val="00994778"/>
    <w:rsid w:val="009947B8"/>
    <w:rsid w:val="009960C1"/>
    <w:rsid w:val="009960C4"/>
    <w:rsid w:val="00996B62"/>
    <w:rsid w:val="00996EE0"/>
    <w:rsid w:val="009977F3"/>
    <w:rsid w:val="009A000F"/>
    <w:rsid w:val="009A043B"/>
    <w:rsid w:val="009A07E1"/>
    <w:rsid w:val="009A1967"/>
    <w:rsid w:val="009A23F3"/>
    <w:rsid w:val="009A2CEB"/>
    <w:rsid w:val="009A380F"/>
    <w:rsid w:val="009A3D51"/>
    <w:rsid w:val="009A3E55"/>
    <w:rsid w:val="009A44E0"/>
    <w:rsid w:val="009A4938"/>
    <w:rsid w:val="009A49E5"/>
    <w:rsid w:val="009A4C50"/>
    <w:rsid w:val="009A5A7B"/>
    <w:rsid w:val="009A5CE6"/>
    <w:rsid w:val="009A63C3"/>
    <w:rsid w:val="009A6D56"/>
    <w:rsid w:val="009A6DBA"/>
    <w:rsid w:val="009A705F"/>
    <w:rsid w:val="009A78BC"/>
    <w:rsid w:val="009A7C92"/>
    <w:rsid w:val="009A7EA5"/>
    <w:rsid w:val="009A7F28"/>
    <w:rsid w:val="009B0454"/>
    <w:rsid w:val="009B0AA0"/>
    <w:rsid w:val="009B156B"/>
    <w:rsid w:val="009B1A58"/>
    <w:rsid w:val="009B1F28"/>
    <w:rsid w:val="009B26B6"/>
    <w:rsid w:val="009B396F"/>
    <w:rsid w:val="009B41DE"/>
    <w:rsid w:val="009B44F5"/>
    <w:rsid w:val="009B67B8"/>
    <w:rsid w:val="009B6AAD"/>
    <w:rsid w:val="009B7FF6"/>
    <w:rsid w:val="009C01CD"/>
    <w:rsid w:val="009C076C"/>
    <w:rsid w:val="009C1FDD"/>
    <w:rsid w:val="009C24F7"/>
    <w:rsid w:val="009C26E1"/>
    <w:rsid w:val="009C295D"/>
    <w:rsid w:val="009C29AA"/>
    <w:rsid w:val="009C31BC"/>
    <w:rsid w:val="009C3A4E"/>
    <w:rsid w:val="009C3C2E"/>
    <w:rsid w:val="009C3CE7"/>
    <w:rsid w:val="009C611F"/>
    <w:rsid w:val="009C700B"/>
    <w:rsid w:val="009C7201"/>
    <w:rsid w:val="009C7539"/>
    <w:rsid w:val="009C7767"/>
    <w:rsid w:val="009C7ED2"/>
    <w:rsid w:val="009D2080"/>
    <w:rsid w:val="009D2156"/>
    <w:rsid w:val="009D3E40"/>
    <w:rsid w:val="009D4128"/>
    <w:rsid w:val="009D4D65"/>
    <w:rsid w:val="009D4E38"/>
    <w:rsid w:val="009D50C3"/>
    <w:rsid w:val="009D5507"/>
    <w:rsid w:val="009D590E"/>
    <w:rsid w:val="009D5CF9"/>
    <w:rsid w:val="009D7FE9"/>
    <w:rsid w:val="009E02FF"/>
    <w:rsid w:val="009E07E8"/>
    <w:rsid w:val="009E1F85"/>
    <w:rsid w:val="009E230C"/>
    <w:rsid w:val="009E23D3"/>
    <w:rsid w:val="009E25BC"/>
    <w:rsid w:val="009E2D6A"/>
    <w:rsid w:val="009E4835"/>
    <w:rsid w:val="009E4E5B"/>
    <w:rsid w:val="009E6056"/>
    <w:rsid w:val="009E6063"/>
    <w:rsid w:val="009E6089"/>
    <w:rsid w:val="009E6583"/>
    <w:rsid w:val="009E6598"/>
    <w:rsid w:val="009E6AD8"/>
    <w:rsid w:val="009E7AF9"/>
    <w:rsid w:val="009E7B5B"/>
    <w:rsid w:val="009E7B79"/>
    <w:rsid w:val="009E7C63"/>
    <w:rsid w:val="009F02FD"/>
    <w:rsid w:val="009F1253"/>
    <w:rsid w:val="009F15FD"/>
    <w:rsid w:val="009F35BE"/>
    <w:rsid w:val="009F4536"/>
    <w:rsid w:val="009F4D1A"/>
    <w:rsid w:val="009F51BD"/>
    <w:rsid w:val="009F5EC5"/>
    <w:rsid w:val="009F62F6"/>
    <w:rsid w:val="009F67CB"/>
    <w:rsid w:val="00A00AD4"/>
    <w:rsid w:val="00A01A18"/>
    <w:rsid w:val="00A01CC3"/>
    <w:rsid w:val="00A01EFD"/>
    <w:rsid w:val="00A022C9"/>
    <w:rsid w:val="00A02326"/>
    <w:rsid w:val="00A0248E"/>
    <w:rsid w:val="00A02558"/>
    <w:rsid w:val="00A025E5"/>
    <w:rsid w:val="00A02FD8"/>
    <w:rsid w:val="00A03362"/>
    <w:rsid w:val="00A0349F"/>
    <w:rsid w:val="00A03A66"/>
    <w:rsid w:val="00A03E38"/>
    <w:rsid w:val="00A04351"/>
    <w:rsid w:val="00A051AE"/>
    <w:rsid w:val="00A05340"/>
    <w:rsid w:val="00A05AB4"/>
    <w:rsid w:val="00A0668A"/>
    <w:rsid w:val="00A07B72"/>
    <w:rsid w:val="00A105A8"/>
    <w:rsid w:val="00A10E1E"/>
    <w:rsid w:val="00A11405"/>
    <w:rsid w:val="00A11844"/>
    <w:rsid w:val="00A1191D"/>
    <w:rsid w:val="00A11DF7"/>
    <w:rsid w:val="00A11E10"/>
    <w:rsid w:val="00A1323D"/>
    <w:rsid w:val="00A13591"/>
    <w:rsid w:val="00A14241"/>
    <w:rsid w:val="00A144F3"/>
    <w:rsid w:val="00A14562"/>
    <w:rsid w:val="00A15164"/>
    <w:rsid w:val="00A15D75"/>
    <w:rsid w:val="00A162C6"/>
    <w:rsid w:val="00A166A5"/>
    <w:rsid w:val="00A16BE3"/>
    <w:rsid w:val="00A17085"/>
    <w:rsid w:val="00A17286"/>
    <w:rsid w:val="00A17609"/>
    <w:rsid w:val="00A17AE4"/>
    <w:rsid w:val="00A17B03"/>
    <w:rsid w:val="00A17B27"/>
    <w:rsid w:val="00A2084E"/>
    <w:rsid w:val="00A20BB7"/>
    <w:rsid w:val="00A216CA"/>
    <w:rsid w:val="00A21D52"/>
    <w:rsid w:val="00A22E83"/>
    <w:rsid w:val="00A23714"/>
    <w:rsid w:val="00A239C9"/>
    <w:rsid w:val="00A24009"/>
    <w:rsid w:val="00A25159"/>
    <w:rsid w:val="00A2521E"/>
    <w:rsid w:val="00A25911"/>
    <w:rsid w:val="00A25A4A"/>
    <w:rsid w:val="00A25D9F"/>
    <w:rsid w:val="00A25F87"/>
    <w:rsid w:val="00A25FFB"/>
    <w:rsid w:val="00A2691D"/>
    <w:rsid w:val="00A26B46"/>
    <w:rsid w:val="00A27919"/>
    <w:rsid w:val="00A31AE8"/>
    <w:rsid w:val="00A3250D"/>
    <w:rsid w:val="00A33FC2"/>
    <w:rsid w:val="00A34233"/>
    <w:rsid w:val="00A34499"/>
    <w:rsid w:val="00A3457E"/>
    <w:rsid w:val="00A34615"/>
    <w:rsid w:val="00A3596C"/>
    <w:rsid w:val="00A35FDA"/>
    <w:rsid w:val="00A3610E"/>
    <w:rsid w:val="00A36279"/>
    <w:rsid w:val="00A36592"/>
    <w:rsid w:val="00A402F6"/>
    <w:rsid w:val="00A40E3C"/>
    <w:rsid w:val="00A41C72"/>
    <w:rsid w:val="00A42A3F"/>
    <w:rsid w:val="00A430E0"/>
    <w:rsid w:val="00A4322D"/>
    <w:rsid w:val="00A43DC2"/>
    <w:rsid w:val="00A44028"/>
    <w:rsid w:val="00A441FD"/>
    <w:rsid w:val="00A44CBC"/>
    <w:rsid w:val="00A4504F"/>
    <w:rsid w:val="00A45E0C"/>
    <w:rsid w:val="00A46FBF"/>
    <w:rsid w:val="00A473FD"/>
    <w:rsid w:val="00A476DA"/>
    <w:rsid w:val="00A5042C"/>
    <w:rsid w:val="00A50531"/>
    <w:rsid w:val="00A5080E"/>
    <w:rsid w:val="00A50911"/>
    <w:rsid w:val="00A50A61"/>
    <w:rsid w:val="00A50D54"/>
    <w:rsid w:val="00A50F17"/>
    <w:rsid w:val="00A512B1"/>
    <w:rsid w:val="00A515F5"/>
    <w:rsid w:val="00A51909"/>
    <w:rsid w:val="00A519E0"/>
    <w:rsid w:val="00A51A75"/>
    <w:rsid w:val="00A5248A"/>
    <w:rsid w:val="00A52761"/>
    <w:rsid w:val="00A527BA"/>
    <w:rsid w:val="00A52B89"/>
    <w:rsid w:val="00A5331D"/>
    <w:rsid w:val="00A53B7C"/>
    <w:rsid w:val="00A53E00"/>
    <w:rsid w:val="00A566F2"/>
    <w:rsid w:val="00A56B53"/>
    <w:rsid w:val="00A56DBE"/>
    <w:rsid w:val="00A57606"/>
    <w:rsid w:val="00A57FE5"/>
    <w:rsid w:val="00A6005E"/>
    <w:rsid w:val="00A600E6"/>
    <w:rsid w:val="00A60561"/>
    <w:rsid w:val="00A60DB4"/>
    <w:rsid w:val="00A611B3"/>
    <w:rsid w:val="00A61526"/>
    <w:rsid w:val="00A61950"/>
    <w:rsid w:val="00A624BA"/>
    <w:rsid w:val="00A62B6F"/>
    <w:rsid w:val="00A63631"/>
    <w:rsid w:val="00A63E91"/>
    <w:rsid w:val="00A642B5"/>
    <w:rsid w:val="00A643D6"/>
    <w:rsid w:val="00A64508"/>
    <w:rsid w:val="00A64519"/>
    <w:rsid w:val="00A6457C"/>
    <w:rsid w:val="00A64C8A"/>
    <w:rsid w:val="00A65475"/>
    <w:rsid w:val="00A65B92"/>
    <w:rsid w:val="00A67335"/>
    <w:rsid w:val="00A67656"/>
    <w:rsid w:val="00A6767C"/>
    <w:rsid w:val="00A67B75"/>
    <w:rsid w:val="00A701FC"/>
    <w:rsid w:val="00A70637"/>
    <w:rsid w:val="00A70AB2"/>
    <w:rsid w:val="00A70B00"/>
    <w:rsid w:val="00A70F8C"/>
    <w:rsid w:val="00A7100A"/>
    <w:rsid w:val="00A7158C"/>
    <w:rsid w:val="00A72158"/>
    <w:rsid w:val="00A7225B"/>
    <w:rsid w:val="00A73280"/>
    <w:rsid w:val="00A73BD9"/>
    <w:rsid w:val="00A7463E"/>
    <w:rsid w:val="00A74B4F"/>
    <w:rsid w:val="00A75E60"/>
    <w:rsid w:val="00A7701B"/>
    <w:rsid w:val="00A771EB"/>
    <w:rsid w:val="00A77643"/>
    <w:rsid w:val="00A77D77"/>
    <w:rsid w:val="00A80794"/>
    <w:rsid w:val="00A81581"/>
    <w:rsid w:val="00A81C05"/>
    <w:rsid w:val="00A820E5"/>
    <w:rsid w:val="00A82EB6"/>
    <w:rsid w:val="00A82EBE"/>
    <w:rsid w:val="00A835C7"/>
    <w:rsid w:val="00A8363D"/>
    <w:rsid w:val="00A838ED"/>
    <w:rsid w:val="00A839F8"/>
    <w:rsid w:val="00A83C97"/>
    <w:rsid w:val="00A84334"/>
    <w:rsid w:val="00A84C1B"/>
    <w:rsid w:val="00A85401"/>
    <w:rsid w:val="00A856F9"/>
    <w:rsid w:val="00A86029"/>
    <w:rsid w:val="00A90CD7"/>
    <w:rsid w:val="00A91207"/>
    <w:rsid w:val="00A91988"/>
    <w:rsid w:val="00A92742"/>
    <w:rsid w:val="00A946BF"/>
    <w:rsid w:val="00A94A89"/>
    <w:rsid w:val="00A94AD9"/>
    <w:rsid w:val="00A95664"/>
    <w:rsid w:val="00A95F46"/>
    <w:rsid w:val="00A96554"/>
    <w:rsid w:val="00A968C0"/>
    <w:rsid w:val="00A96BC6"/>
    <w:rsid w:val="00A970D7"/>
    <w:rsid w:val="00A97357"/>
    <w:rsid w:val="00A9767B"/>
    <w:rsid w:val="00A97F78"/>
    <w:rsid w:val="00AA10AF"/>
    <w:rsid w:val="00AA1C2A"/>
    <w:rsid w:val="00AA251D"/>
    <w:rsid w:val="00AA252F"/>
    <w:rsid w:val="00AA2BBE"/>
    <w:rsid w:val="00AA32D1"/>
    <w:rsid w:val="00AA3A5B"/>
    <w:rsid w:val="00AA44E6"/>
    <w:rsid w:val="00AA489F"/>
    <w:rsid w:val="00AA4BBF"/>
    <w:rsid w:val="00AA5FF8"/>
    <w:rsid w:val="00AA7825"/>
    <w:rsid w:val="00AB0A99"/>
    <w:rsid w:val="00AB1792"/>
    <w:rsid w:val="00AB20D8"/>
    <w:rsid w:val="00AB39F6"/>
    <w:rsid w:val="00AB3D51"/>
    <w:rsid w:val="00AB40C7"/>
    <w:rsid w:val="00AB47B3"/>
    <w:rsid w:val="00AB4C88"/>
    <w:rsid w:val="00AB4F00"/>
    <w:rsid w:val="00AB5DCB"/>
    <w:rsid w:val="00AB6297"/>
    <w:rsid w:val="00AB658B"/>
    <w:rsid w:val="00AC1EE3"/>
    <w:rsid w:val="00AC2036"/>
    <w:rsid w:val="00AC2679"/>
    <w:rsid w:val="00AC3644"/>
    <w:rsid w:val="00AC4484"/>
    <w:rsid w:val="00AC4704"/>
    <w:rsid w:val="00AC48D0"/>
    <w:rsid w:val="00AC4C68"/>
    <w:rsid w:val="00AC524D"/>
    <w:rsid w:val="00AC675A"/>
    <w:rsid w:val="00AC6AAB"/>
    <w:rsid w:val="00AC74A8"/>
    <w:rsid w:val="00AD12BE"/>
    <w:rsid w:val="00AD1983"/>
    <w:rsid w:val="00AD1DFC"/>
    <w:rsid w:val="00AD24D3"/>
    <w:rsid w:val="00AD37A1"/>
    <w:rsid w:val="00AD39F1"/>
    <w:rsid w:val="00AD3A26"/>
    <w:rsid w:val="00AD3EAC"/>
    <w:rsid w:val="00AD4C7C"/>
    <w:rsid w:val="00AD6F50"/>
    <w:rsid w:val="00AD7AE4"/>
    <w:rsid w:val="00AD7F53"/>
    <w:rsid w:val="00AE07C7"/>
    <w:rsid w:val="00AE0B5D"/>
    <w:rsid w:val="00AE1096"/>
    <w:rsid w:val="00AE2BC1"/>
    <w:rsid w:val="00AE2D38"/>
    <w:rsid w:val="00AE3C3B"/>
    <w:rsid w:val="00AE4779"/>
    <w:rsid w:val="00AE5916"/>
    <w:rsid w:val="00AF024C"/>
    <w:rsid w:val="00AF07CA"/>
    <w:rsid w:val="00AF0EC9"/>
    <w:rsid w:val="00AF14AF"/>
    <w:rsid w:val="00AF1A85"/>
    <w:rsid w:val="00AF260A"/>
    <w:rsid w:val="00AF294D"/>
    <w:rsid w:val="00AF2B39"/>
    <w:rsid w:val="00AF2ECA"/>
    <w:rsid w:val="00AF310E"/>
    <w:rsid w:val="00AF3678"/>
    <w:rsid w:val="00AF3C3B"/>
    <w:rsid w:val="00AF3E74"/>
    <w:rsid w:val="00AF5AE2"/>
    <w:rsid w:val="00AF6215"/>
    <w:rsid w:val="00AF64F8"/>
    <w:rsid w:val="00AF6CCB"/>
    <w:rsid w:val="00AF70A8"/>
    <w:rsid w:val="00AF7AD4"/>
    <w:rsid w:val="00AF7CDF"/>
    <w:rsid w:val="00AF7F58"/>
    <w:rsid w:val="00B0084C"/>
    <w:rsid w:val="00B0133B"/>
    <w:rsid w:val="00B01DBE"/>
    <w:rsid w:val="00B0282F"/>
    <w:rsid w:val="00B02D74"/>
    <w:rsid w:val="00B034E8"/>
    <w:rsid w:val="00B03598"/>
    <w:rsid w:val="00B04986"/>
    <w:rsid w:val="00B0524A"/>
    <w:rsid w:val="00B059CA"/>
    <w:rsid w:val="00B063EE"/>
    <w:rsid w:val="00B065CA"/>
    <w:rsid w:val="00B06BA8"/>
    <w:rsid w:val="00B07057"/>
    <w:rsid w:val="00B07758"/>
    <w:rsid w:val="00B10DA1"/>
    <w:rsid w:val="00B116D3"/>
    <w:rsid w:val="00B11776"/>
    <w:rsid w:val="00B1209A"/>
    <w:rsid w:val="00B120CE"/>
    <w:rsid w:val="00B13835"/>
    <w:rsid w:val="00B144D5"/>
    <w:rsid w:val="00B15388"/>
    <w:rsid w:val="00B17185"/>
    <w:rsid w:val="00B1796F"/>
    <w:rsid w:val="00B2187A"/>
    <w:rsid w:val="00B2284B"/>
    <w:rsid w:val="00B22A81"/>
    <w:rsid w:val="00B23EAA"/>
    <w:rsid w:val="00B23EE4"/>
    <w:rsid w:val="00B2443C"/>
    <w:rsid w:val="00B248E4"/>
    <w:rsid w:val="00B25FF1"/>
    <w:rsid w:val="00B26A5F"/>
    <w:rsid w:val="00B270F0"/>
    <w:rsid w:val="00B27FD2"/>
    <w:rsid w:val="00B3061F"/>
    <w:rsid w:val="00B30897"/>
    <w:rsid w:val="00B318D7"/>
    <w:rsid w:val="00B32195"/>
    <w:rsid w:val="00B33436"/>
    <w:rsid w:val="00B349B5"/>
    <w:rsid w:val="00B3527E"/>
    <w:rsid w:val="00B35FDE"/>
    <w:rsid w:val="00B37019"/>
    <w:rsid w:val="00B37159"/>
    <w:rsid w:val="00B40510"/>
    <w:rsid w:val="00B40749"/>
    <w:rsid w:val="00B41365"/>
    <w:rsid w:val="00B4181E"/>
    <w:rsid w:val="00B41A12"/>
    <w:rsid w:val="00B41D58"/>
    <w:rsid w:val="00B424E4"/>
    <w:rsid w:val="00B42F82"/>
    <w:rsid w:val="00B431EC"/>
    <w:rsid w:val="00B43D44"/>
    <w:rsid w:val="00B4445E"/>
    <w:rsid w:val="00B4499C"/>
    <w:rsid w:val="00B45432"/>
    <w:rsid w:val="00B462DD"/>
    <w:rsid w:val="00B4729E"/>
    <w:rsid w:val="00B50269"/>
    <w:rsid w:val="00B51298"/>
    <w:rsid w:val="00B52799"/>
    <w:rsid w:val="00B52E1B"/>
    <w:rsid w:val="00B53080"/>
    <w:rsid w:val="00B5321E"/>
    <w:rsid w:val="00B53350"/>
    <w:rsid w:val="00B53398"/>
    <w:rsid w:val="00B533D2"/>
    <w:rsid w:val="00B53723"/>
    <w:rsid w:val="00B54400"/>
    <w:rsid w:val="00B5525E"/>
    <w:rsid w:val="00B556CC"/>
    <w:rsid w:val="00B557F0"/>
    <w:rsid w:val="00B562FD"/>
    <w:rsid w:val="00B563F8"/>
    <w:rsid w:val="00B56CDF"/>
    <w:rsid w:val="00B6010B"/>
    <w:rsid w:val="00B60BA5"/>
    <w:rsid w:val="00B60D28"/>
    <w:rsid w:val="00B60EC2"/>
    <w:rsid w:val="00B61863"/>
    <w:rsid w:val="00B62020"/>
    <w:rsid w:val="00B6239B"/>
    <w:rsid w:val="00B62647"/>
    <w:rsid w:val="00B6381E"/>
    <w:rsid w:val="00B63A70"/>
    <w:rsid w:val="00B63E24"/>
    <w:rsid w:val="00B64D5C"/>
    <w:rsid w:val="00B651E9"/>
    <w:rsid w:val="00B65360"/>
    <w:rsid w:val="00B65751"/>
    <w:rsid w:val="00B65780"/>
    <w:rsid w:val="00B665C4"/>
    <w:rsid w:val="00B6672F"/>
    <w:rsid w:val="00B66987"/>
    <w:rsid w:val="00B66ACF"/>
    <w:rsid w:val="00B67130"/>
    <w:rsid w:val="00B671C4"/>
    <w:rsid w:val="00B67935"/>
    <w:rsid w:val="00B70415"/>
    <w:rsid w:val="00B7291F"/>
    <w:rsid w:val="00B7401F"/>
    <w:rsid w:val="00B74641"/>
    <w:rsid w:val="00B75311"/>
    <w:rsid w:val="00B75530"/>
    <w:rsid w:val="00B75595"/>
    <w:rsid w:val="00B75DAE"/>
    <w:rsid w:val="00B762EA"/>
    <w:rsid w:val="00B76A3B"/>
    <w:rsid w:val="00B76B44"/>
    <w:rsid w:val="00B76BA3"/>
    <w:rsid w:val="00B76C1F"/>
    <w:rsid w:val="00B76D8C"/>
    <w:rsid w:val="00B7743B"/>
    <w:rsid w:val="00B776D1"/>
    <w:rsid w:val="00B77CFD"/>
    <w:rsid w:val="00B80B5E"/>
    <w:rsid w:val="00B80D07"/>
    <w:rsid w:val="00B824D7"/>
    <w:rsid w:val="00B825D4"/>
    <w:rsid w:val="00B82816"/>
    <w:rsid w:val="00B82E4B"/>
    <w:rsid w:val="00B835A2"/>
    <w:rsid w:val="00B83B12"/>
    <w:rsid w:val="00B84516"/>
    <w:rsid w:val="00B8490E"/>
    <w:rsid w:val="00B8493D"/>
    <w:rsid w:val="00B84CF9"/>
    <w:rsid w:val="00B854EC"/>
    <w:rsid w:val="00B85BAA"/>
    <w:rsid w:val="00B866DC"/>
    <w:rsid w:val="00B86CEB"/>
    <w:rsid w:val="00B87E79"/>
    <w:rsid w:val="00B906B1"/>
    <w:rsid w:val="00B90E44"/>
    <w:rsid w:val="00B911B4"/>
    <w:rsid w:val="00B927C3"/>
    <w:rsid w:val="00B931C0"/>
    <w:rsid w:val="00B9335A"/>
    <w:rsid w:val="00B93C10"/>
    <w:rsid w:val="00B93F62"/>
    <w:rsid w:val="00B94369"/>
    <w:rsid w:val="00B9458A"/>
    <w:rsid w:val="00B945D9"/>
    <w:rsid w:val="00B94D67"/>
    <w:rsid w:val="00B94E48"/>
    <w:rsid w:val="00B94F48"/>
    <w:rsid w:val="00B95904"/>
    <w:rsid w:val="00B95F12"/>
    <w:rsid w:val="00B96890"/>
    <w:rsid w:val="00B96AC0"/>
    <w:rsid w:val="00B974DB"/>
    <w:rsid w:val="00B97671"/>
    <w:rsid w:val="00B97D10"/>
    <w:rsid w:val="00BA0133"/>
    <w:rsid w:val="00BA13E2"/>
    <w:rsid w:val="00BA1F72"/>
    <w:rsid w:val="00BA258D"/>
    <w:rsid w:val="00BA2716"/>
    <w:rsid w:val="00BA2E7C"/>
    <w:rsid w:val="00BA30DA"/>
    <w:rsid w:val="00BA3614"/>
    <w:rsid w:val="00BA36D9"/>
    <w:rsid w:val="00BA3963"/>
    <w:rsid w:val="00BA3C80"/>
    <w:rsid w:val="00BA4ED7"/>
    <w:rsid w:val="00BA513C"/>
    <w:rsid w:val="00BA59CE"/>
    <w:rsid w:val="00BA7D52"/>
    <w:rsid w:val="00BA7DEB"/>
    <w:rsid w:val="00BB00BF"/>
    <w:rsid w:val="00BB0C90"/>
    <w:rsid w:val="00BB1523"/>
    <w:rsid w:val="00BB18FB"/>
    <w:rsid w:val="00BB1FB3"/>
    <w:rsid w:val="00BB21AF"/>
    <w:rsid w:val="00BB3348"/>
    <w:rsid w:val="00BB3FC0"/>
    <w:rsid w:val="00BB406E"/>
    <w:rsid w:val="00BB510A"/>
    <w:rsid w:val="00BB518A"/>
    <w:rsid w:val="00BB59E9"/>
    <w:rsid w:val="00BB65BE"/>
    <w:rsid w:val="00BB6EEF"/>
    <w:rsid w:val="00BB6F3A"/>
    <w:rsid w:val="00BB7986"/>
    <w:rsid w:val="00BC0595"/>
    <w:rsid w:val="00BC090A"/>
    <w:rsid w:val="00BC2260"/>
    <w:rsid w:val="00BC2F11"/>
    <w:rsid w:val="00BC4985"/>
    <w:rsid w:val="00BC5A4A"/>
    <w:rsid w:val="00BC75D1"/>
    <w:rsid w:val="00BC7E81"/>
    <w:rsid w:val="00BD00C3"/>
    <w:rsid w:val="00BD0100"/>
    <w:rsid w:val="00BD06EB"/>
    <w:rsid w:val="00BD0798"/>
    <w:rsid w:val="00BD0AF2"/>
    <w:rsid w:val="00BD0CF4"/>
    <w:rsid w:val="00BD13E1"/>
    <w:rsid w:val="00BD225D"/>
    <w:rsid w:val="00BD2394"/>
    <w:rsid w:val="00BD3305"/>
    <w:rsid w:val="00BD4720"/>
    <w:rsid w:val="00BD4D3A"/>
    <w:rsid w:val="00BD6008"/>
    <w:rsid w:val="00BD648F"/>
    <w:rsid w:val="00BD668B"/>
    <w:rsid w:val="00BD7437"/>
    <w:rsid w:val="00BD74EF"/>
    <w:rsid w:val="00BE07C5"/>
    <w:rsid w:val="00BE0831"/>
    <w:rsid w:val="00BE1272"/>
    <w:rsid w:val="00BE222E"/>
    <w:rsid w:val="00BE2305"/>
    <w:rsid w:val="00BE259E"/>
    <w:rsid w:val="00BE36D1"/>
    <w:rsid w:val="00BE3B20"/>
    <w:rsid w:val="00BE5778"/>
    <w:rsid w:val="00BE581B"/>
    <w:rsid w:val="00BE59BB"/>
    <w:rsid w:val="00BE6694"/>
    <w:rsid w:val="00BE7595"/>
    <w:rsid w:val="00BE75B5"/>
    <w:rsid w:val="00BE7E2A"/>
    <w:rsid w:val="00BF011B"/>
    <w:rsid w:val="00BF42BB"/>
    <w:rsid w:val="00BF447B"/>
    <w:rsid w:val="00BF55A4"/>
    <w:rsid w:val="00BF5703"/>
    <w:rsid w:val="00BF572E"/>
    <w:rsid w:val="00BF5B2D"/>
    <w:rsid w:val="00BF6CC5"/>
    <w:rsid w:val="00BF6F3F"/>
    <w:rsid w:val="00C00DE2"/>
    <w:rsid w:val="00C011B1"/>
    <w:rsid w:val="00C011F9"/>
    <w:rsid w:val="00C01334"/>
    <w:rsid w:val="00C0140F"/>
    <w:rsid w:val="00C023C7"/>
    <w:rsid w:val="00C03140"/>
    <w:rsid w:val="00C03619"/>
    <w:rsid w:val="00C0470F"/>
    <w:rsid w:val="00C05009"/>
    <w:rsid w:val="00C052D4"/>
    <w:rsid w:val="00C0562C"/>
    <w:rsid w:val="00C0566F"/>
    <w:rsid w:val="00C056B0"/>
    <w:rsid w:val="00C058BA"/>
    <w:rsid w:val="00C058DC"/>
    <w:rsid w:val="00C06302"/>
    <w:rsid w:val="00C063A3"/>
    <w:rsid w:val="00C06E06"/>
    <w:rsid w:val="00C075AD"/>
    <w:rsid w:val="00C1057E"/>
    <w:rsid w:val="00C110E0"/>
    <w:rsid w:val="00C11CF0"/>
    <w:rsid w:val="00C12206"/>
    <w:rsid w:val="00C12278"/>
    <w:rsid w:val="00C12D47"/>
    <w:rsid w:val="00C12FFA"/>
    <w:rsid w:val="00C131A9"/>
    <w:rsid w:val="00C14241"/>
    <w:rsid w:val="00C14297"/>
    <w:rsid w:val="00C14637"/>
    <w:rsid w:val="00C16393"/>
    <w:rsid w:val="00C17162"/>
    <w:rsid w:val="00C1754E"/>
    <w:rsid w:val="00C176FE"/>
    <w:rsid w:val="00C17DDE"/>
    <w:rsid w:val="00C17F58"/>
    <w:rsid w:val="00C2056B"/>
    <w:rsid w:val="00C20AC7"/>
    <w:rsid w:val="00C21E59"/>
    <w:rsid w:val="00C21E96"/>
    <w:rsid w:val="00C22427"/>
    <w:rsid w:val="00C2320B"/>
    <w:rsid w:val="00C2332E"/>
    <w:rsid w:val="00C2392C"/>
    <w:rsid w:val="00C24461"/>
    <w:rsid w:val="00C24665"/>
    <w:rsid w:val="00C2476D"/>
    <w:rsid w:val="00C2499A"/>
    <w:rsid w:val="00C255C5"/>
    <w:rsid w:val="00C25F4F"/>
    <w:rsid w:val="00C25F6D"/>
    <w:rsid w:val="00C26B8D"/>
    <w:rsid w:val="00C3061B"/>
    <w:rsid w:val="00C30702"/>
    <w:rsid w:val="00C3103A"/>
    <w:rsid w:val="00C32245"/>
    <w:rsid w:val="00C323EC"/>
    <w:rsid w:val="00C324D8"/>
    <w:rsid w:val="00C32513"/>
    <w:rsid w:val="00C326B2"/>
    <w:rsid w:val="00C32839"/>
    <w:rsid w:val="00C33209"/>
    <w:rsid w:val="00C33820"/>
    <w:rsid w:val="00C342D3"/>
    <w:rsid w:val="00C34665"/>
    <w:rsid w:val="00C34EBA"/>
    <w:rsid w:val="00C3549C"/>
    <w:rsid w:val="00C355D4"/>
    <w:rsid w:val="00C35D97"/>
    <w:rsid w:val="00C3651A"/>
    <w:rsid w:val="00C3687E"/>
    <w:rsid w:val="00C403DB"/>
    <w:rsid w:val="00C40547"/>
    <w:rsid w:val="00C40954"/>
    <w:rsid w:val="00C40B0B"/>
    <w:rsid w:val="00C41368"/>
    <w:rsid w:val="00C41E9A"/>
    <w:rsid w:val="00C440F4"/>
    <w:rsid w:val="00C442E5"/>
    <w:rsid w:val="00C443DD"/>
    <w:rsid w:val="00C44834"/>
    <w:rsid w:val="00C44926"/>
    <w:rsid w:val="00C44A76"/>
    <w:rsid w:val="00C44C2E"/>
    <w:rsid w:val="00C44FE7"/>
    <w:rsid w:val="00C45952"/>
    <w:rsid w:val="00C46986"/>
    <w:rsid w:val="00C51A14"/>
    <w:rsid w:val="00C52394"/>
    <w:rsid w:val="00C52C2D"/>
    <w:rsid w:val="00C53FE7"/>
    <w:rsid w:val="00C540E7"/>
    <w:rsid w:val="00C54B6E"/>
    <w:rsid w:val="00C5538E"/>
    <w:rsid w:val="00C55D06"/>
    <w:rsid w:val="00C55FE5"/>
    <w:rsid w:val="00C55FFD"/>
    <w:rsid w:val="00C56141"/>
    <w:rsid w:val="00C56621"/>
    <w:rsid w:val="00C56B30"/>
    <w:rsid w:val="00C57714"/>
    <w:rsid w:val="00C57A46"/>
    <w:rsid w:val="00C6024A"/>
    <w:rsid w:val="00C608C4"/>
    <w:rsid w:val="00C60B09"/>
    <w:rsid w:val="00C61C08"/>
    <w:rsid w:val="00C6271D"/>
    <w:rsid w:val="00C633F7"/>
    <w:rsid w:val="00C6453C"/>
    <w:rsid w:val="00C64C67"/>
    <w:rsid w:val="00C6544D"/>
    <w:rsid w:val="00C65AB1"/>
    <w:rsid w:val="00C65D8F"/>
    <w:rsid w:val="00C66354"/>
    <w:rsid w:val="00C66436"/>
    <w:rsid w:val="00C70739"/>
    <w:rsid w:val="00C730DE"/>
    <w:rsid w:val="00C738E6"/>
    <w:rsid w:val="00C7422B"/>
    <w:rsid w:val="00C747BD"/>
    <w:rsid w:val="00C74B81"/>
    <w:rsid w:val="00C750F2"/>
    <w:rsid w:val="00C755F0"/>
    <w:rsid w:val="00C7580C"/>
    <w:rsid w:val="00C75DEB"/>
    <w:rsid w:val="00C763BE"/>
    <w:rsid w:val="00C767CC"/>
    <w:rsid w:val="00C7699C"/>
    <w:rsid w:val="00C76FD3"/>
    <w:rsid w:val="00C77F3C"/>
    <w:rsid w:val="00C805D7"/>
    <w:rsid w:val="00C80E42"/>
    <w:rsid w:val="00C81183"/>
    <w:rsid w:val="00C82157"/>
    <w:rsid w:val="00C8226B"/>
    <w:rsid w:val="00C82F35"/>
    <w:rsid w:val="00C83847"/>
    <w:rsid w:val="00C838EB"/>
    <w:rsid w:val="00C83B1C"/>
    <w:rsid w:val="00C841B4"/>
    <w:rsid w:val="00C84248"/>
    <w:rsid w:val="00C84812"/>
    <w:rsid w:val="00C84F90"/>
    <w:rsid w:val="00C85CEB"/>
    <w:rsid w:val="00C85E0F"/>
    <w:rsid w:val="00C865E9"/>
    <w:rsid w:val="00C877A3"/>
    <w:rsid w:val="00C87D5E"/>
    <w:rsid w:val="00C90348"/>
    <w:rsid w:val="00C904A0"/>
    <w:rsid w:val="00C917C3"/>
    <w:rsid w:val="00C929EE"/>
    <w:rsid w:val="00C92C05"/>
    <w:rsid w:val="00C930FB"/>
    <w:rsid w:val="00C932DA"/>
    <w:rsid w:val="00C941AE"/>
    <w:rsid w:val="00C95529"/>
    <w:rsid w:val="00C964D6"/>
    <w:rsid w:val="00C96747"/>
    <w:rsid w:val="00C96EBE"/>
    <w:rsid w:val="00C972FA"/>
    <w:rsid w:val="00CA0260"/>
    <w:rsid w:val="00CA119A"/>
    <w:rsid w:val="00CA1B78"/>
    <w:rsid w:val="00CA2A46"/>
    <w:rsid w:val="00CA2C97"/>
    <w:rsid w:val="00CA3614"/>
    <w:rsid w:val="00CA38AF"/>
    <w:rsid w:val="00CA4205"/>
    <w:rsid w:val="00CA43FB"/>
    <w:rsid w:val="00CA56E0"/>
    <w:rsid w:val="00CA65B2"/>
    <w:rsid w:val="00CA7F8B"/>
    <w:rsid w:val="00CB02C4"/>
    <w:rsid w:val="00CB0412"/>
    <w:rsid w:val="00CB1206"/>
    <w:rsid w:val="00CB149D"/>
    <w:rsid w:val="00CB1F77"/>
    <w:rsid w:val="00CB1FFB"/>
    <w:rsid w:val="00CB2A9A"/>
    <w:rsid w:val="00CB2BE5"/>
    <w:rsid w:val="00CB3358"/>
    <w:rsid w:val="00CB374E"/>
    <w:rsid w:val="00CB37CD"/>
    <w:rsid w:val="00CB3CB4"/>
    <w:rsid w:val="00CB52AC"/>
    <w:rsid w:val="00CB5F58"/>
    <w:rsid w:val="00CB5FFC"/>
    <w:rsid w:val="00CB6897"/>
    <w:rsid w:val="00CC08D1"/>
    <w:rsid w:val="00CC09CF"/>
    <w:rsid w:val="00CC1B27"/>
    <w:rsid w:val="00CC23AA"/>
    <w:rsid w:val="00CC272D"/>
    <w:rsid w:val="00CC27D8"/>
    <w:rsid w:val="00CC2883"/>
    <w:rsid w:val="00CC2E6A"/>
    <w:rsid w:val="00CC380A"/>
    <w:rsid w:val="00CC5508"/>
    <w:rsid w:val="00CC689F"/>
    <w:rsid w:val="00CC6F07"/>
    <w:rsid w:val="00CC76D7"/>
    <w:rsid w:val="00CC7874"/>
    <w:rsid w:val="00CC7F18"/>
    <w:rsid w:val="00CD12CD"/>
    <w:rsid w:val="00CD1D9C"/>
    <w:rsid w:val="00CD2466"/>
    <w:rsid w:val="00CD332B"/>
    <w:rsid w:val="00CD3812"/>
    <w:rsid w:val="00CD39DF"/>
    <w:rsid w:val="00CD3DF6"/>
    <w:rsid w:val="00CD4804"/>
    <w:rsid w:val="00CD4CE7"/>
    <w:rsid w:val="00CD536C"/>
    <w:rsid w:val="00CD60D4"/>
    <w:rsid w:val="00CD6E4C"/>
    <w:rsid w:val="00CE00B8"/>
    <w:rsid w:val="00CE0371"/>
    <w:rsid w:val="00CE0492"/>
    <w:rsid w:val="00CE0C90"/>
    <w:rsid w:val="00CE12D4"/>
    <w:rsid w:val="00CE1617"/>
    <w:rsid w:val="00CE1B05"/>
    <w:rsid w:val="00CE1D5B"/>
    <w:rsid w:val="00CE20FD"/>
    <w:rsid w:val="00CE22E8"/>
    <w:rsid w:val="00CE2F91"/>
    <w:rsid w:val="00CE302F"/>
    <w:rsid w:val="00CE496E"/>
    <w:rsid w:val="00CE5479"/>
    <w:rsid w:val="00CE577F"/>
    <w:rsid w:val="00CE580A"/>
    <w:rsid w:val="00CE5EB8"/>
    <w:rsid w:val="00CE7FC7"/>
    <w:rsid w:val="00CF00D2"/>
    <w:rsid w:val="00CF1456"/>
    <w:rsid w:val="00CF14EB"/>
    <w:rsid w:val="00CF1772"/>
    <w:rsid w:val="00CF18E6"/>
    <w:rsid w:val="00CF1C90"/>
    <w:rsid w:val="00CF20C1"/>
    <w:rsid w:val="00CF21D3"/>
    <w:rsid w:val="00CF280B"/>
    <w:rsid w:val="00CF3004"/>
    <w:rsid w:val="00CF34F0"/>
    <w:rsid w:val="00CF39E5"/>
    <w:rsid w:val="00CF523A"/>
    <w:rsid w:val="00CF5BE8"/>
    <w:rsid w:val="00CF63BA"/>
    <w:rsid w:val="00CF6CB2"/>
    <w:rsid w:val="00CF6E62"/>
    <w:rsid w:val="00CF757A"/>
    <w:rsid w:val="00CF75E5"/>
    <w:rsid w:val="00CF781A"/>
    <w:rsid w:val="00D012C9"/>
    <w:rsid w:val="00D013CA"/>
    <w:rsid w:val="00D015B4"/>
    <w:rsid w:val="00D02733"/>
    <w:rsid w:val="00D03A33"/>
    <w:rsid w:val="00D03FE9"/>
    <w:rsid w:val="00D048EA"/>
    <w:rsid w:val="00D05CA3"/>
    <w:rsid w:val="00D0625B"/>
    <w:rsid w:val="00D0697E"/>
    <w:rsid w:val="00D07D9C"/>
    <w:rsid w:val="00D10090"/>
    <w:rsid w:val="00D110D1"/>
    <w:rsid w:val="00D11218"/>
    <w:rsid w:val="00D123A4"/>
    <w:rsid w:val="00D134DB"/>
    <w:rsid w:val="00D13DB9"/>
    <w:rsid w:val="00D13FA0"/>
    <w:rsid w:val="00D149B5"/>
    <w:rsid w:val="00D14B15"/>
    <w:rsid w:val="00D14CE9"/>
    <w:rsid w:val="00D212D9"/>
    <w:rsid w:val="00D213BA"/>
    <w:rsid w:val="00D2142A"/>
    <w:rsid w:val="00D21A53"/>
    <w:rsid w:val="00D2217C"/>
    <w:rsid w:val="00D22713"/>
    <w:rsid w:val="00D22AC3"/>
    <w:rsid w:val="00D230BA"/>
    <w:rsid w:val="00D23E4F"/>
    <w:rsid w:val="00D25804"/>
    <w:rsid w:val="00D25E03"/>
    <w:rsid w:val="00D26BBB"/>
    <w:rsid w:val="00D270CA"/>
    <w:rsid w:val="00D27274"/>
    <w:rsid w:val="00D276C7"/>
    <w:rsid w:val="00D27B03"/>
    <w:rsid w:val="00D308EC"/>
    <w:rsid w:val="00D30C3B"/>
    <w:rsid w:val="00D31324"/>
    <w:rsid w:val="00D31AA1"/>
    <w:rsid w:val="00D32169"/>
    <w:rsid w:val="00D327A3"/>
    <w:rsid w:val="00D33180"/>
    <w:rsid w:val="00D33188"/>
    <w:rsid w:val="00D338CB"/>
    <w:rsid w:val="00D346A8"/>
    <w:rsid w:val="00D3483B"/>
    <w:rsid w:val="00D3594D"/>
    <w:rsid w:val="00D36097"/>
    <w:rsid w:val="00D36660"/>
    <w:rsid w:val="00D37DB6"/>
    <w:rsid w:val="00D406E1"/>
    <w:rsid w:val="00D40763"/>
    <w:rsid w:val="00D40C48"/>
    <w:rsid w:val="00D41204"/>
    <w:rsid w:val="00D41746"/>
    <w:rsid w:val="00D41898"/>
    <w:rsid w:val="00D42C67"/>
    <w:rsid w:val="00D43850"/>
    <w:rsid w:val="00D43BAE"/>
    <w:rsid w:val="00D43E6F"/>
    <w:rsid w:val="00D44291"/>
    <w:rsid w:val="00D451A8"/>
    <w:rsid w:val="00D45806"/>
    <w:rsid w:val="00D458E1"/>
    <w:rsid w:val="00D4712F"/>
    <w:rsid w:val="00D513A3"/>
    <w:rsid w:val="00D517D3"/>
    <w:rsid w:val="00D517DF"/>
    <w:rsid w:val="00D52541"/>
    <w:rsid w:val="00D52825"/>
    <w:rsid w:val="00D52880"/>
    <w:rsid w:val="00D52EBA"/>
    <w:rsid w:val="00D52F13"/>
    <w:rsid w:val="00D54042"/>
    <w:rsid w:val="00D5441B"/>
    <w:rsid w:val="00D54AA1"/>
    <w:rsid w:val="00D557E9"/>
    <w:rsid w:val="00D5616F"/>
    <w:rsid w:val="00D56ABD"/>
    <w:rsid w:val="00D601AD"/>
    <w:rsid w:val="00D610C8"/>
    <w:rsid w:val="00D6137D"/>
    <w:rsid w:val="00D613F4"/>
    <w:rsid w:val="00D62D8F"/>
    <w:rsid w:val="00D64B1A"/>
    <w:rsid w:val="00D64FE3"/>
    <w:rsid w:val="00D6528D"/>
    <w:rsid w:val="00D656C4"/>
    <w:rsid w:val="00D67275"/>
    <w:rsid w:val="00D6732A"/>
    <w:rsid w:val="00D70104"/>
    <w:rsid w:val="00D70996"/>
    <w:rsid w:val="00D7253B"/>
    <w:rsid w:val="00D73236"/>
    <w:rsid w:val="00D73D91"/>
    <w:rsid w:val="00D74218"/>
    <w:rsid w:val="00D74D50"/>
    <w:rsid w:val="00D75092"/>
    <w:rsid w:val="00D75275"/>
    <w:rsid w:val="00D7598E"/>
    <w:rsid w:val="00D75B8E"/>
    <w:rsid w:val="00D76CEA"/>
    <w:rsid w:val="00D772C5"/>
    <w:rsid w:val="00D7742B"/>
    <w:rsid w:val="00D77CAE"/>
    <w:rsid w:val="00D77DDF"/>
    <w:rsid w:val="00D80024"/>
    <w:rsid w:val="00D8023E"/>
    <w:rsid w:val="00D802AC"/>
    <w:rsid w:val="00D80C39"/>
    <w:rsid w:val="00D81BB5"/>
    <w:rsid w:val="00D81F33"/>
    <w:rsid w:val="00D82104"/>
    <w:rsid w:val="00D821E0"/>
    <w:rsid w:val="00D8234E"/>
    <w:rsid w:val="00D826C8"/>
    <w:rsid w:val="00D83086"/>
    <w:rsid w:val="00D83300"/>
    <w:rsid w:val="00D841C8"/>
    <w:rsid w:val="00D850D5"/>
    <w:rsid w:val="00D85B81"/>
    <w:rsid w:val="00D85D9A"/>
    <w:rsid w:val="00D868E1"/>
    <w:rsid w:val="00D872A9"/>
    <w:rsid w:val="00D87789"/>
    <w:rsid w:val="00D907A6"/>
    <w:rsid w:val="00D91CC2"/>
    <w:rsid w:val="00D9265A"/>
    <w:rsid w:val="00D92B99"/>
    <w:rsid w:val="00D944B7"/>
    <w:rsid w:val="00D94896"/>
    <w:rsid w:val="00D95374"/>
    <w:rsid w:val="00D95FB1"/>
    <w:rsid w:val="00D96130"/>
    <w:rsid w:val="00D96D04"/>
    <w:rsid w:val="00D9780A"/>
    <w:rsid w:val="00DA05D7"/>
    <w:rsid w:val="00DA0F53"/>
    <w:rsid w:val="00DA1C13"/>
    <w:rsid w:val="00DA2704"/>
    <w:rsid w:val="00DA2814"/>
    <w:rsid w:val="00DA2F3A"/>
    <w:rsid w:val="00DA3045"/>
    <w:rsid w:val="00DA3484"/>
    <w:rsid w:val="00DA383F"/>
    <w:rsid w:val="00DA41EE"/>
    <w:rsid w:val="00DA44A2"/>
    <w:rsid w:val="00DA53D8"/>
    <w:rsid w:val="00DA542A"/>
    <w:rsid w:val="00DA590B"/>
    <w:rsid w:val="00DA5B49"/>
    <w:rsid w:val="00DA686E"/>
    <w:rsid w:val="00DA792F"/>
    <w:rsid w:val="00DB04F4"/>
    <w:rsid w:val="00DB0580"/>
    <w:rsid w:val="00DB077C"/>
    <w:rsid w:val="00DB178E"/>
    <w:rsid w:val="00DB1CD1"/>
    <w:rsid w:val="00DB1CDB"/>
    <w:rsid w:val="00DB2944"/>
    <w:rsid w:val="00DB2CCB"/>
    <w:rsid w:val="00DB3937"/>
    <w:rsid w:val="00DB3EE2"/>
    <w:rsid w:val="00DB4CFA"/>
    <w:rsid w:val="00DB50A6"/>
    <w:rsid w:val="00DB50F6"/>
    <w:rsid w:val="00DB51D8"/>
    <w:rsid w:val="00DB5ACF"/>
    <w:rsid w:val="00DB5C36"/>
    <w:rsid w:val="00DB6ADC"/>
    <w:rsid w:val="00DB7DFD"/>
    <w:rsid w:val="00DB7E44"/>
    <w:rsid w:val="00DC1852"/>
    <w:rsid w:val="00DC27BA"/>
    <w:rsid w:val="00DC31D2"/>
    <w:rsid w:val="00DC3251"/>
    <w:rsid w:val="00DC42C4"/>
    <w:rsid w:val="00DC4C1C"/>
    <w:rsid w:val="00DC545B"/>
    <w:rsid w:val="00DC54CB"/>
    <w:rsid w:val="00DC5702"/>
    <w:rsid w:val="00DC57CA"/>
    <w:rsid w:val="00DC6147"/>
    <w:rsid w:val="00DC665A"/>
    <w:rsid w:val="00DC751D"/>
    <w:rsid w:val="00DC75BC"/>
    <w:rsid w:val="00DD05E2"/>
    <w:rsid w:val="00DD1108"/>
    <w:rsid w:val="00DD12B2"/>
    <w:rsid w:val="00DD150D"/>
    <w:rsid w:val="00DD2360"/>
    <w:rsid w:val="00DD25DF"/>
    <w:rsid w:val="00DD379D"/>
    <w:rsid w:val="00DD3BC0"/>
    <w:rsid w:val="00DD3D2F"/>
    <w:rsid w:val="00DD445F"/>
    <w:rsid w:val="00DD4A98"/>
    <w:rsid w:val="00DD5102"/>
    <w:rsid w:val="00DD5327"/>
    <w:rsid w:val="00DD75A4"/>
    <w:rsid w:val="00DD75DA"/>
    <w:rsid w:val="00DE05D6"/>
    <w:rsid w:val="00DE078D"/>
    <w:rsid w:val="00DE1AB7"/>
    <w:rsid w:val="00DE2471"/>
    <w:rsid w:val="00DE29A0"/>
    <w:rsid w:val="00DE2CE9"/>
    <w:rsid w:val="00DE3245"/>
    <w:rsid w:val="00DE34B9"/>
    <w:rsid w:val="00DE3544"/>
    <w:rsid w:val="00DE3772"/>
    <w:rsid w:val="00DE3C79"/>
    <w:rsid w:val="00DE41C8"/>
    <w:rsid w:val="00DE4735"/>
    <w:rsid w:val="00DE4CF8"/>
    <w:rsid w:val="00DE5328"/>
    <w:rsid w:val="00DE5EDF"/>
    <w:rsid w:val="00DE6283"/>
    <w:rsid w:val="00DE6BF4"/>
    <w:rsid w:val="00DE715B"/>
    <w:rsid w:val="00DE78E1"/>
    <w:rsid w:val="00DF04AA"/>
    <w:rsid w:val="00DF07C6"/>
    <w:rsid w:val="00DF0A4F"/>
    <w:rsid w:val="00DF0D55"/>
    <w:rsid w:val="00DF1150"/>
    <w:rsid w:val="00DF39CB"/>
    <w:rsid w:val="00DF3B0F"/>
    <w:rsid w:val="00DF6532"/>
    <w:rsid w:val="00DF6DD1"/>
    <w:rsid w:val="00E00135"/>
    <w:rsid w:val="00E00609"/>
    <w:rsid w:val="00E01E07"/>
    <w:rsid w:val="00E029F0"/>
    <w:rsid w:val="00E02EE0"/>
    <w:rsid w:val="00E0344F"/>
    <w:rsid w:val="00E038A9"/>
    <w:rsid w:val="00E03EF0"/>
    <w:rsid w:val="00E04005"/>
    <w:rsid w:val="00E04F3F"/>
    <w:rsid w:val="00E0505D"/>
    <w:rsid w:val="00E0551D"/>
    <w:rsid w:val="00E06D88"/>
    <w:rsid w:val="00E07451"/>
    <w:rsid w:val="00E07F8D"/>
    <w:rsid w:val="00E111D3"/>
    <w:rsid w:val="00E11697"/>
    <w:rsid w:val="00E11A21"/>
    <w:rsid w:val="00E12723"/>
    <w:rsid w:val="00E12C7D"/>
    <w:rsid w:val="00E13A4C"/>
    <w:rsid w:val="00E13A52"/>
    <w:rsid w:val="00E141F6"/>
    <w:rsid w:val="00E167E4"/>
    <w:rsid w:val="00E17222"/>
    <w:rsid w:val="00E20E77"/>
    <w:rsid w:val="00E21522"/>
    <w:rsid w:val="00E2154B"/>
    <w:rsid w:val="00E216C5"/>
    <w:rsid w:val="00E21BA8"/>
    <w:rsid w:val="00E223FC"/>
    <w:rsid w:val="00E25051"/>
    <w:rsid w:val="00E2594D"/>
    <w:rsid w:val="00E25DA3"/>
    <w:rsid w:val="00E25F5C"/>
    <w:rsid w:val="00E26546"/>
    <w:rsid w:val="00E310B1"/>
    <w:rsid w:val="00E313E4"/>
    <w:rsid w:val="00E32861"/>
    <w:rsid w:val="00E333A6"/>
    <w:rsid w:val="00E34107"/>
    <w:rsid w:val="00E34DCD"/>
    <w:rsid w:val="00E35106"/>
    <w:rsid w:val="00E35647"/>
    <w:rsid w:val="00E3584C"/>
    <w:rsid w:val="00E35980"/>
    <w:rsid w:val="00E35D01"/>
    <w:rsid w:val="00E360BA"/>
    <w:rsid w:val="00E3640F"/>
    <w:rsid w:val="00E37460"/>
    <w:rsid w:val="00E378E7"/>
    <w:rsid w:val="00E37C2D"/>
    <w:rsid w:val="00E4225E"/>
    <w:rsid w:val="00E42D4E"/>
    <w:rsid w:val="00E4357C"/>
    <w:rsid w:val="00E43734"/>
    <w:rsid w:val="00E44815"/>
    <w:rsid w:val="00E448C1"/>
    <w:rsid w:val="00E44D24"/>
    <w:rsid w:val="00E44EB7"/>
    <w:rsid w:val="00E44F9F"/>
    <w:rsid w:val="00E44FFA"/>
    <w:rsid w:val="00E46C2A"/>
    <w:rsid w:val="00E5012A"/>
    <w:rsid w:val="00E5040C"/>
    <w:rsid w:val="00E5043E"/>
    <w:rsid w:val="00E50901"/>
    <w:rsid w:val="00E512C1"/>
    <w:rsid w:val="00E51621"/>
    <w:rsid w:val="00E51914"/>
    <w:rsid w:val="00E51DD4"/>
    <w:rsid w:val="00E52506"/>
    <w:rsid w:val="00E52D51"/>
    <w:rsid w:val="00E543F1"/>
    <w:rsid w:val="00E5516F"/>
    <w:rsid w:val="00E5609B"/>
    <w:rsid w:val="00E562AE"/>
    <w:rsid w:val="00E564F5"/>
    <w:rsid w:val="00E56B72"/>
    <w:rsid w:val="00E56CD2"/>
    <w:rsid w:val="00E57F99"/>
    <w:rsid w:val="00E61D25"/>
    <w:rsid w:val="00E61ED3"/>
    <w:rsid w:val="00E624FD"/>
    <w:rsid w:val="00E627C9"/>
    <w:rsid w:val="00E62BE7"/>
    <w:rsid w:val="00E62D4B"/>
    <w:rsid w:val="00E62DF9"/>
    <w:rsid w:val="00E63EA8"/>
    <w:rsid w:val="00E640E9"/>
    <w:rsid w:val="00E64848"/>
    <w:rsid w:val="00E65154"/>
    <w:rsid w:val="00E65CFE"/>
    <w:rsid w:val="00E6719B"/>
    <w:rsid w:val="00E67AAC"/>
    <w:rsid w:val="00E67C76"/>
    <w:rsid w:val="00E67D8B"/>
    <w:rsid w:val="00E70F3B"/>
    <w:rsid w:val="00E71843"/>
    <w:rsid w:val="00E72C26"/>
    <w:rsid w:val="00E72D05"/>
    <w:rsid w:val="00E7309C"/>
    <w:rsid w:val="00E73400"/>
    <w:rsid w:val="00E74571"/>
    <w:rsid w:val="00E74C6A"/>
    <w:rsid w:val="00E750E4"/>
    <w:rsid w:val="00E7580C"/>
    <w:rsid w:val="00E764B5"/>
    <w:rsid w:val="00E764DB"/>
    <w:rsid w:val="00E76B2A"/>
    <w:rsid w:val="00E77FEF"/>
    <w:rsid w:val="00E80BFF"/>
    <w:rsid w:val="00E80DF4"/>
    <w:rsid w:val="00E82640"/>
    <w:rsid w:val="00E84169"/>
    <w:rsid w:val="00E84A69"/>
    <w:rsid w:val="00E8551F"/>
    <w:rsid w:val="00E86081"/>
    <w:rsid w:val="00E87AE1"/>
    <w:rsid w:val="00E9110E"/>
    <w:rsid w:val="00E91172"/>
    <w:rsid w:val="00E91381"/>
    <w:rsid w:val="00E913AF"/>
    <w:rsid w:val="00E91D57"/>
    <w:rsid w:val="00E91F6B"/>
    <w:rsid w:val="00E92E74"/>
    <w:rsid w:val="00E933F6"/>
    <w:rsid w:val="00E93DC6"/>
    <w:rsid w:val="00E942C8"/>
    <w:rsid w:val="00E95040"/>
    <w:rsid w:val="00E965EC"/>
    <w:rsid w:val="00E96725"/>
    <w:rsid w:val="00E9672E"/>
    <w:rsid w:val="00E97091"/>
    <w:rsid w:val="00E97D2C"/>
    <w:rsid w:val="00EA024A"/>
    <w:rsid w:val="00EA0593"/>
    <w:rsid w:val="00EA07FF"/>
    <w:rsid w:val="00EA25E8"/>
    <w:rsid w:val="00EA2B32"/>
    <w:rsid w:val="00EA2C59"/>
    <w:rsid w:val="00EA3456"/>
    <w:rsid w:val="00EA3F78"/>
    <w:rsid w:val="00EA5739"/>
    <w:rsid w:val="00EA5BFE"/>
    <w:rsid w:val="00EA5DA8"/>
    <w:rsid w:val="00EA5F05"/>
    <w:rsid w:val="00EA623A"/>
    <w:rsid w:val="00EA6AE9"/>
    <w:rsid w:val="00EA750C"/>
    <w:rsid w:val="00EA7D3C"/>
    <w:rsid w:val="00EB13E5"/>
    <w:rsid w:val="00EB1E11"/>
    <w:rsid w:val="00EB2718"/>
    <w:rsid w:val="00EB2761"/>
    <w:rsid w:val="00EB284B"/>
    <w:rsid w:val="00EB2A0D"/>
    <w:rsid w:val="00EB2D0C"/>
    <w:rsid w:val="00EB30C1"/>
    <w:rsid w:val="00EB4FDB"/>
    <w:rsid w:val="00EB5002"/>
    <w:rsid w:val="00EB57AA"/>
    <w:rsid w:val="00EB5AE1"/>
    <w:rsid w:val="00EB67A1"/>
    <w:rsid w:val="00EB6940"/>
    <w:rsid w:val="00EB6AC4"/>
    <w:rsid w:val="00EB6C07"/>
    <w:rsid w:val="00EB73DC"/>
    <w:rsid w:val="00EB7828"/>
    <w:rsid w:val="00EB7869"/>
    <w:rsid w:val="00EB7AA8"/>
    <w:rsid w:val="00EB7C06"/>
    <w:rsid w:val="00EC002E"/>
    <w:rsid w:val="00EC0070"/>
    <w:rsid w:val="00EC063A"/>
    <w:rsid w:val="00EC3083"/>
    <w:rsid w:val="00EC4A68"/>
    <w:rsid w:val="00EC4E87"/>
    <w:rsid w:val="00EC580D"/>
    <w:rsid w:val="00EC6946"/>
    <w:rsid w:val="00EC6CA6"/>
    <w:rsid w:val="00EC7AE9"/>
    <w:rsid w:val="00EC7D71"/>
    <w:rsid w:val="00EC7DA9"/>
    <w:rsid w:val="00EC7E53"/>
    <w:rsid w:val="00EC7E5D"/>
    <w:rsid w:val="00ED0035"/>
    <w:rsid w:val="00ED031E"/>
    <w:rsid w:val="00ED0DB4"/>
    <w:rsid w:val="00ED1094"/>
    <w:rsid w:val="00ED11A3"/>
    <w:rsid w:val="00ED196B"/>
    <w:rsid w:val="00ED1D20"/>
    <w:rsid w:val="00ED2DCB"/>
    <w:rsid w:val="00ED341F"/>
    <w:rsid w:val="00ED3C32"/>
    <w:rsid w:val="00ED4A40"/>
    <w:rsid w:val="00ED59EA"/>
    <w:rsid w:val="00ED64EF"/>
    <w:rsid w:val="00ED6EFD"/>
    <w:rsid w:val="00ED6F08"/>
    <w:rsid w:val="00ED7F7A"/>
    <w:rsid w:val="00EE16D7"/>
    <w:rsid w:val="00EE19A3"/>
    <w:rsid w:val="00EE1B25"/>
    <w:rsid w:val="00EE2E83"/>
    <w:rsid w:val="00EE34CC"/>
    <w:rsid w:val="00EE41FF"/>
    <w:rsid w:val="00EE48A7"/>
    <w:rsid w:val="00EE4D21"/>
    <w:rsid w:val="00EE5699"/>
    <w:rsid w:val="00EE5F70"/>
    <w:rsid w:val="00EE6606"/>
    <w:rsid w:val="00EE6CCA"/>
    <w:rsid w:val="00EE7895"/>
    <w:rsid w:val="00EF0BAC"/>
    <w:rsid w:val="00EF1101"/>
    <w:rsid w:val="00EF13E9"/>
    <w:rsid w:val="00EF18EE"/>
    <w:rsid w:val="00EF2726"/>
    <w:rsid w:val="00EF2B20"/>
    <w:rsid w:val="00EF2F26"/>
    <w:rsid w:val="00EF3010"/>
    <w:rsid w:val="00EF4C81"/>
    <w:rsid w:val="00EF6C9F"/>
    <w:rsid w:val="00EF72A1"/>
    <w:rsid w:val="00EF72C7"/>
    <w:rsid w:val="00EF7EF6"/>
    <w:rsid w:val="00F000BC"/>
    <w:rsid w:val="00F00FC7"/>
    <w:rsid w:val="00F016BE"/>
    <w:rsid w:val="00F02115"/>
    <w:rsid w:val="00F02BC9"/>
    <w:rsid w:val="00F02BD7"/>
    <w:rsid w:val="00F0352D"/>
    <w:rsid w:val="00F036F8"/>
    <w:rsid w:val="00F0391C"/>
    <w:rsid w:val="00F04BEA"/>
    <w:rsid w:val="00F05DAD"/>
    <w:rsid w:val="00F05F6A"/>
    <w:rsid w:val="00F06D19"/>
    <w:rsid w:val="00F07F70"/>
    <w:rsid w:val="00F10003"/>
    <w:rsid w:val="00F101CA"/>
    <w:rsid w:val="00F101F7"/>
    <w:rsid w:val="00F10E65"/>
    <w:rsid w:val="00F1137E"/>
    <w:rsid w:val="00F11BE0"/>
    <w:rsid w:val="00F12106"/>
    <w:rsid w:val="00F133D5"/>
    <w:rsid w:val="00F1340F"/>
    <w:rsid w:val="00F13418"/>
    <w:rsid w:val="00F13662"/>
    <w:rsid w:val="00F1461E"/>
    <w:rsid w:val="00F15718"/>
    <w:rsid w:val="00F15A67"/>
    <w:rsid w:val="00F15F3B"/>
    <w:rsid w:val="00F163D0"/>
    <w:rsid w:val="00F16C2C"/>
    <w:rsid w:val="00F16E62"/>
    <w:rsid w:val="00F16ED6"/>
    <w:rsid w:val="00F176F4"/>
    <w:rsid w:val="00F17D46"/>
    <w:rsid w:val="00F20F9D"/>
    <w:rsid w:val="00F214F5"/>
    <w:rsid w:val="00F21694"/>
    <w:rsid w:val="00F220F6"/>
    <w:rsid w:val="00F225E7"/>
    <w:rsid w:val="00F23A9C"/>
    <w:rsid w:val="00F23E22"/>
    <w:rsid w:val="00F240C0"/>
    <w:rsid w:val="00F25462"/>
    <w:rsid w:val="00F257AB"/>
    <w:rsid w:val="00F257B0"/>
    <w:rsid w:val="00F25B1F"/>
    <w:rsid w:val="00F25B69"/>
    <w:rsid w:val="00F2630E"/>
    <w:rsid w:val="00F26C4B"/>
    <w:rsid w:val="00F26F3D"/>
    <w:rsid w:val="00F271EB"/>
    <w:rsid w:val="00F27271"/>
    <w:rsid w:val="00F273F7"/>
    <w:rsid w:val="00F27614"/>
    <w:rsid w:val="00F31131"/>
    <w:rsid w:val="00F313D9"/>
    <w:rsid w:val="00F319AE"/>
    <w:rsid w:val="00F32FBA"/>
    <w:rsid w:val="00F33180"/>
    <w:rsid w:val="00F34389"/>
    <w:rsid w:val="00F34B61"/>
    <w:rsid w:val="00F35189"/>
    <w:rsid w:val="00F352A1"/>
    <w:rsid w:val="00F35B5C"/>
    <w:rsid w:val="00F363DD"/>
    <w:rsid w:val="00F364B6"/>
    <w:rsid w:val="00F3677D"/>
    <w:rsid w:val="00F37912"/>
    <w:rsid w:val="00F37A02"/>
    <w:rsid w:val="00F412A7"/>
    <w:rsid w:val="00F41597"/>
    <w:rsid w:val="00F4194C"/>
    <w:rsid w:val="00F42FDC"/>
    <w:rsid w:val="00F430E8"/>
    <w:rsid w:val="00F43FFC"/>
    <w:rsid w:val="00F440F0"/>
    <w:rsid w:val="00F4455C"/>
    <w:rsid w:val="00F44E7A"/>
    <w:rsid w:val="00F45B50"/>
    <w:rsid w:val="00F465CB"/>
    <w:rsid w:val="00F46CFC"/>
    <w:rsid w:val="00F46FE5"/>
    <w:rsid w:val="00F47656"/>
    <w:rsid w:val="00F505E3"/>
    <w:rsid w:val="00F50908"/>
    <w:rsid w:val="00F50D4C"/>
    <w:rsid w:val="00F513D8"/>
    <w:rsid w:val="00F52411"/>
    <w:rsid w:val="00F530C3"/>
    <w:rsid w:val="00F5325E"/>
    <w:rsid w:val="00F54642"/>
    <w:rsid w:val="00F5471C"/>
    <w:rsid w:val="00F55319"/>
    <w:rsid w:val="00F556AD"/>
    <w:rsid w:val="00F55DFA"/>
    <w:rsid w:val="00F566FB"/>
    <w:rsid w:val="00F56E3D"/>
    <w:rsid w:val="00F57CDC"/>
    <w:rsid w:val="00F57EAE"/>
    <w:rsid w:val="00F60D28"/>
    <w:rsid w:val="00F61243"/>
    <w:rsid w:val="00F61388"/>
    <w:rsid w:val="00F61482"/>
    <w:rsid w:val="00F61744"/>
    <w:rsid w:val="00F6179B"/>
    <w:rsid w:val="00F62D33"/>
    <w:rsid w:val="00F63ADF"/>
    <w:rsid w:val="00F63B3C"/>
    <w:rsid w:val="00F64196"/>
    <w:rsid w:val="00F659B1"/>
    <w:rsid w:val="00F6617A"/>
    <w:rsid w:val="00F661FA"/>
    <w:rsid w:val="00F66342"/>
    <w:rsid w:val="00F6634A"/>
    <w:rsid w:val="00F6653D"/>
    <w:rsid w:val="00F66E70"/>
    <w:rsid w:val="00F66F25"/>
    <w:rsid w:val="00F67018"/>
    <w:rsid w:val="00F676D2"/>
    <w:rsid w:val="00F704EA"/>
    <w:rsid w:val="00F7054E"/>
    <w:rsid w:val="00F706C1"/>
    <w:rsid w:val="00F707DD"/>
    <w:rsid w:val="00F71118"/>
    <w:rsid w:val="00F72D78"/>
    <w:rsid w:val="00F72FE3"/>
    <w:rsid w:val="00F739BD"/>
    <w:rsid w:val="00F745DA"/>
    <w:rsid w:val="00F746E5"/>
    <w:rsid w:val="00F74B9B"/>
    <w:rsid w:val="00F75F97"/>
    <w:rsid w:val="00F765BE"/>
    <w:rsid w:val="00F765DB"/>
    <w:rsid w:val="00F76877"/>
    <w:rsid w:val="00F768F9"/>
    <w:rsid w:val="00F769A4"/>
    <w:rsid w:val="00F76A34"/>
    <w:rsid w:val="00F80EAD"/>
    <w:rsid w:val="00F81B0B"/>
    <w:rsid w:val="00F81F00"/>
    <w:rsid w:val="00F82F33"/>
    <w:rsid w:val="00F8321C"/>
    <w:rsid w:val="00F83AFD"/>
    <w:rsid w:val="00F83C46"/>
    <w:rsid w:val="00F83F97"/>
    <w:rsid w:val="00F8519F"/>
    <w:rsid w:val="00F851AF"/>
    <w:rsid w:val="00F87409"/>
    <w:rsid w:val="00F907C5"/>
    <w:rsid w:val="00F91092"/>
    <w:rsid w:val="00F91CC5"/>
    <w:rsid w:val="00F92421"/>
    <w:rsid w:val="00F9268A"/>
    <w:rsid w:val="00F931AD"/>
    <w:rsid w:val="00F93F3F"/>
    <w:rsid w:val="00F94B77"/>
    <w:rsid w:val="00F94D38"/>
    <w:rsid w:val="00F9587F"/>
    <w:rsid w:val="00F9662D"/>
    <w:rsid w:val="00F97362"/>
    <w:rsid w:val="00F975BB"/>
    <w:rsid w:val="00F97CB2"/>
    <w:rsid w:val="00FA0255"/>
    <w:rsid w:val="00FA0859"/>
    <w:rsid w:val="00FA0AFD"/>
    <w:rsid w:val="00FA2711"/>
    <w:rsid w:val="00FA2A52"/>
    <w:rsid w:val="00FA2F21"/>
    <w:rsid w:val="00FA3236"/>
    <w:rsid w:val="00FA3678"/>
    <w:rsid w:val="00FA3887"/>
    <w:rsid w:val="00FA3BAA"/>
    <w:rsid w:val="00FA447D"/>
    <w:rsid w:val="00FA4A11"/>
    <w:rsid w:val="00FA553D"/>
    <w:rsid w:val="00FA5768"/>
    <w:rsid w:val="00FA5C70"/>
    <w:rsid w:val="00FA60A5"/>
    <w:rsid w:val="00FA620C"/>
    <w:rsid w:val="00FA6342"/>
    <w:rsid w:val="00FA65FE"/>
    <w:rsid w:val="00FA709E"/>
    <w:rsid w:val="00FA7826"/>
    <w:rsid w:val="00FA7911"/>
    <w:rsid w:val="00FB004F"/>
    <w:rsid w:val="00FB0313"/>
    <w:rsid w:val="00FB0461"/>
    <w:rsid w:val="00FB0DD2"/>
    <w:rsid w:val="00FB162B"/>
    <w:rsid w:val="00FB16CA"/>
    <w:rsid w:val="00FB19EF"/>
    <w:rsid w:val="00FB2AA5"/>
    <w:rsid w:val="00FB3CF2"/>
    <w:rsid w:val="00FB3D1A"/>
    <w:rsid w:val="00FB4761"/>
    <w:rsid w:val="00FB55E5"/>
    <w:rsid w:val="00FB5C19"/>
    <w:rsid w:val="00FB60F5"/>
    <w:rsid w:val="00FB66F6"/>
    <w:rsid w:val="00FB743F"/>
    <w:rsid w:val="00FB7AF0"/>
    <w:rsid w:val="00FB7C3E"/>
    <w:rsid w:val="00FC0BB6"/>
    <w:rsid w:val="00FC10DD"/>
    <w:rsid w:val="00FC12B7"/>
    <w:rsid w:val="00FC1570"/>
    <w:rsid w:val="00FC24A4"/>
    <w:rsid w:val="00FC2F74"/>
    <w:rsid w:val="00FC326B"/>
    <w:rsid w:val="00FC3AE9"/>
    <w:rsid w:val="00FC4854"/>
    <w:rsid w:val="00FC4964"/>
    <w:rsid w:val="00FC5B65"/>
    <w:rsid w:val="00FC5D4A"/>
    <w:rsid w:val="00FC6606"/>
    <w:rsid w:val="00FC6CEE"/>
    <w:rsid w:val="00FC7047"/>
    <w:rsid w:val="00FC70B4"/>
    <w:rsid w:val="00FC7674"/>
    <w:rsid w:val="00FC7E9E"/>
    <w:rsid w:val="00FD005A"/>
    <w:rsid w:val="00FD08C1"/>
    <w:rsid w:val="00FD1603"/>
    <w:rsid w:val="00FD1D9E"/>
    <w:rsid w:val="00FD21BD"/>
    <w:rsid w:val="00FD2CC8"/>
    <w:rsid w:val="00FD34A3"/>
    <w:rsid w:val="00FD3789"/>
    <w:rsid w:val="00FD48FD"/>
    <w:rsid w:val="00FD5711"/>
    <w:rsid w:val="00FD578E"/>
    <w:rsid w:val="00FD5A12"/>
    <w:rsid w:val="00FD68A9"/>
    <w:rsid w:val="00FD6AF6"/>
    <w:rsid w:val="00FD7C21"/>
    <w:rsid w:val="00FD7E98"/>
    <w:rsid w:val="00FE02CE"/>
    <w:rsid w:val="00FE164A"/>
    <w:rsid w:val="00FE181D"/>
    <w:rsid w:val="00FE22F6"/>
    <w:rsid w:val="00FE25D3"/>
    <w:rsid w:val="00FE2A9F"/>
    <w:rsid w:val="00FE2E35"/>
    <w:rsid w:val="00FE2FE5"/>
    <w:rsid w:val="00FE392C"/>
    <w:rsid w:val="00FE41B8"/>
    <w:rsid w:val="00FE42B8"/>
    <w:rsid w:val="00FE4482"/>
    <w:rsid w:val="00FE49DF"/>
    <w:rsid w:val="00FE4D82"/>
    <w:rsid w:val="00FE4E81"/>
    <w:rsid w:val="00FE4FA1"/>
    <w:rsid w:val="00FE5008"/>
    <w:rsid w:val="00FE57F5"/>
    <w:rsid w:val="00FE6A6B"/>
    <w:rsid w:val="00FE78E1"/>
    <w:rsid w:val="00FE7C4D"/>
    <w:rsid w:val="00FF09E7"/>
    <w:rsid w:val="00FF105E"/>
    <w:rsid w:val="00FF1795"/>
    <w:rsid w:val="00FF2127"/>
    <w:rsid w:val="00FF24A5"/>
    <w:rsid w:val="00FF2A3B"/>
    <w:rsid w:val="00FF2BCE"/>
    <w:rsid w:val="00FF36C8"/>
    <w:rsid w:val="00FF36F0"/>
    <w:rsid w:val="00FF3AAA"/>
    <w:rsid w:val="00FF53A3"/>
    <w:rsid w:val="00FF5704"/>
    <w:rsid w:val="00FF59B7"/>
    <w:rsid w:val="00FF5A67"/>
    <w:rsid w:val="00FF5B1F"/>
    <w:rsid w:val="00FF5C5F"/>
    <w:rsid w:val="00FF61E9"/>
    <w:rsid w:val="00FF6766"/>
    <w:rsid w:val="00FF797D"/>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A5"/>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487256"/>
    <w:pPr>
      <w:spacing w:after="260"/>
      <w:ind w:firstLine="720"/>
    </w:pPr>
    <w:rPr>
      <w:szCs w:val="20"/>
    </w:rPr>
  </w:style>
  <w:style w:type="character" w:styleId="CommentReference">
    <w:name w:val="annotation reference"/>
    <w:semiHidden/>
    <w:rsid w:val="00D270CA"/>
    <w:rPr>
      <w:sz w:val="16"/>
      <w:szCs w:val="16"/>
    </w:rPr>
  </w:style>
  <w:style w:type="paragraph" w:styleId="CommentText">
    <w:name w:val="annotation text"/>
    <w:basedOn w:val="Normal"/>
    <w:semiHidden/>
    <w:rsid w:val="00D270CA"/>
    <w:pPr>
      <w:widowControl w:val="0"/>
      <w:autoSpaceDE w:val="0"/>
      <w:autoSpaceDN w:val="0"/>
      <w:adjustRightInd w:val="0"/>
    </w:pPr>
    <w:rPr>
      <w:sz w:val="20"/>
      <w:szCs w:val="20"/>
    </w:rPr>
  </w:style>
  <w:style w:type="paragraph" w:styleId="BalloonText">
    <w:name w:val="Balloon Text"/>
    <w:basedOn w:val="Normal"/>
    <w:semiHidden/>
    <w:rsid w:val="00D270CA"/>
    <w:rPr>
      <w:rFonts w:ascii="Tahoma" w:hAnsi="Tahoma" w:cs="Tahoma"/>
      <w:sz w:val="16"/>
      <w:szCs w:val="16"/>
    </w:rPr>
  </w:style>
  <w:style w:type="paragraph" w:styleId="CommentSubject">
    <w:name w:val="annotation subject"/>
    <w:basedOn w:val="CommentText"/>
    <w:next w:val="CommentText"/>
    <w:semiHidden/>
    <w:rsid w:val="00A1191D"/>
    <w:pPr>
      <w:widowControl/>
      <w:autoSpaceDE/>
      <w:autoSpaceDN/>
      <w:adjustRightInd/>
    </w:pPr>
    <w:rPr>
      <w:b/>
      <w:bCs/>
    </w:rPr>
  </w:style>
  <w:style w:type="table" w:styleId="TableGrid">
    <w:name w:val="Table Grid"/>
    <w:basedOn w:val="TableNormal"/>
    <w:uiPriority w:val="59"/>
    <w:rsid w:val="00F46C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94F"/>
    <w:pPr>
      <w:ind w:left="720"/>
    </w:pPr>
  </w:style>
  <w:style w:type="paragraph" w:styleId="Revision">
    <w:name w:val="Revision"/>
    <w:hidden/>
    <w:uiPriority w:val="99"/>
    <w:semiHidden/>
    <w:rsid w:val="007340B2"/>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3057CD"/>
    <w:rPr>
      <w:sz w:val="26"/>
    </w:rPr>
  </w:style>
  <w:style w:type="paragraph" w:styleId="Header">
    <w:name w:val="header"/>
    <w:basedOn w:val="Normal"/>
    <w:link w:val="HeaderChar"/>
    <w:rsid w:val="009E4835"/>
    <w:pPr>
      <w:tabs>
        <w:tab w:val="center" w:pos="4680"/>
        <w:tab w:val="right" w:pos="9360"/>
      </w:tabs>
    </w:pPr>
  </w:style>
  <w:style w:type="character" w:customStyle="1" w:styleId="HeaderChar">
    <w:name w:val="Header Char"/>
    <w:basedOn w:val="DefaultParagraphFont"/>
    <w:link w:val="Header"/>
    <w:rsid w:val="009E4835"/>
    <w:rPr>
      <w:sz w:val="26"/>
      <w:szCs w:val="24"/>
    </w:rPr>
  </w:style>
  <w:style w:type="paragraph" w:styleId="Footer">
    <w:name w:val="footer"/>
    <w:basedOn w:val="Normal"/>
    <w:link w:val="FooterChar"/>
    <w:uiPriority w:val="99"/>
    <w:rsid w:val="009E4835"/>
    <w:pPr>
      <w:tabs>
        <w:tab w:val="center" w:pos="4680"/>
        <w:tab w:val="right" w:pos="9360"/>
      </w:tabs>
    </w:pPr>
  </w:style>
  <w:style w:type="character" w:customStyle="1" w:styleId="FooterChar">
    <w:name w:val="Footer Char"/>
    <w:basedOn w:val="DefaultParagraphFont"/>
    <w:link w:val="Footer"/>
    <w:uiPriority w:val="99"/>
    <w:rsid w:val="009E4835"/>
    <w:rPr>
      <w:sz w:val="26"/>
      <w:szCs w:val="24"/>
    </w:rPr>
  </w:style>
  <w:style w:type="character" w:styleId="Hyperlink">
    <w:name w:val="Hyperlink"/>
    <w:basedOn w:val="DefaultParagraphFont"/>
    <w:uiPriority w:val="99"/>
    <w:unhideWhenUsed/>
    <w:rsid w:val="006E2C07"/>
    <w:rPr>
      <w:color w:val="0000FF" w:themeColor="hyperlink"/>
      <w:u w:val="single"/>
    </w:rPr>
  </w:style>
  <w:style w:type="character" w:styleId="FollowedHyperlink">
    <w:name w:val="FollowedHyperlink"/>
    <w:basedOn w:val="DefaultParagraphFont"/>
    <w:rsid w:val="006E2C07"/>
    <w:rPr>
      <w:color w:val="800080" w:themeColor="followedHyperlink"/>
      <w:u w:val="single"/>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semiHidden/>
    <w:locked/>
    <w:rsid w:val="006E2C07"/>
  </w:style>
  <w:style w:type="character" w:customStyle="1" w:styleId="FootnoteTextChar2">
    <w:name w:val="Footnote Text Char2"/>
    <w:aliases w:val="Style 14 Char2,fn Char2,Style 18 Char1,Style 14 Char Char1,fn Char Char,Char Char Char Char1,Style 13 Char Char Char1,Footnote Text Char1 Char2,Char Char Char2,Style 13 Char Char2,Style 9 Char1,Footnote Text Char Char2"/>
    <w:semiHidden/>
    <w:locked/>
    <w:rsid w:val="004E7DE2"/>
    <w:rPr>
      <w:rFonts w:ascii="Courier" w:hAnsi="Courier"/>
      <w:lang w:val="en-US" w:eastAsia="en-US" w:bidi="ar-SA"/>
    </w:rPr>
  </w:style>
  <w:style w:type="character" w:customStyle="1" w:styleId="FERCparanumberChar">
    <w:name w:val="FERC paranumber Char"/>
    <w:link w:val="FERCparanumber"/>
    <w:locked/>
    <w:rsid w:val="004E7DE2"/>
    <w:rPr>
      <w:sz w:val="26"/>
      <w:szCs w:val="24"/>
    </w:rPr>
  </w:style>
  <w:style w:type="character" w:customStyle="1" w:styleId="apple-converted-space">
    <w:name w:val="apple-converted-space"/>
    <w:basedOn w:val="DefaultParagraphFont"/>
    <w:rsid w:val="006F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5A5"/>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rsid w:val="00487256"/>
    <w:pPr>
      <w:spacing w:after="260"/>
      <w:ind w:firstLine="720"/>
    </w:pPr>
    <w:rPr>
      <w:szCs w:val="20"/>
    </w:rPr>
  </w:style>
  <w:style w:type="character" w:styleId="CommentReference">
    <w:name w:val="annotation reference"/>
    <w:semiHidden/>
    <w:rsid w:val="00D270CA"/>
    <w:rPr>
      <w:sz w:val="16"/>
      <w:szCs w:val="16"/>
    </w:rPr>
  </w:style>
  <w:style w:type="paragraph" w:styleId="CommentText">
    <w:name w:val="annotation text"/>
    <w:basedOn w:val="Normal"/>
    <w:semiHidden/>
    <w:rsid w:val="00D270CA"/>
    <w:pPr>
      <w:widowControl w:val="0"/>
      <w:autoSpaceDE w:val="0"/>
      <w:autoSpaceDN w:val="0"/>
      <w:adjustRightInd w:val="0"/>
    </w:pPr>
    <w:rPr>
      <w:sz w:val="20"/>
      <w:szCs w:val="20"/>
    </w:rPr>
  </w:style>
  <w:style w:type="paragraph" w:styleId="BalloonText">
    <w:name w:val="Balloon Text"/>
    <w:basedOn w:val="Normal"/>
    <w:semiHidden/>
    <w:rsid w:val="00D270CA"/>
    <w:rPr>
      <w:rFonts w:ascii="Tahoma" w:hAnsi="Tahoma" w:cs="Tahoma"/>
      <w:sz w:val="16"/>
      <w:szCs w:val="16"/>
    </w:rPr>
  </w:style>
  <w:style w:type="paragraph" w:styleId="CommentSubject">
    <w:name w:val="annotation subject"/>
    <w:basedOn w:val="CommentText"/>
    <w:next w:val="CommentText"/>
    <w:semiHidden/>
    <w:rsid w:val="00A1191D"/>
    <w:pPr>
      <w:widowControl/>
      <w:autoSpaceDE/>
      <w:autoSpaceDN/>
      <w:adjustRightInd/>
    </w:pPr>
    <w:rPr>
      <w:b/>
      <w:bCs/>
    </w:rPr>
  </w:style>
  <w:style w:type="table" w:styleId="TableGrid">
    <w:name w:val="Table Grid"/>
    <w:basedOn w:val="TableNormal"/>
    <w:uiPriority w:val="59"/>
    <w:rsid w:val="00F46CF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94F"/>
    <w:pPr>
      <w:ind w:left="720"/>
    </w:pPr>
  </w:style>
  <w:style w:type="paragraph" w:styleId="Revision">
    <w:name w:val="Revision"/>
    <w:hidden/>
    <w:uiPriority w:val="99"/>
    <w:semiHidden/>
    <w:rsid w:val="007340B2"/>
    <w:rPr>
      <w:sz w:val="26"/>
      <w:szCs w:val="24"/>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link w:val="FootnoteText"/>
    <w:uiPriority w:val="99"/>
    <w:locked/>
    <w:rsid w:val="003057CD"/>
    <w:rPr>
      <w:sz w:val="26"/>
    </w:rPr>
  </w:style>
  <w:style w:type="paragraph" w:styleId="Header">
    <w:name w:val="header"/>
    <w:basedOn w:val="Normal"/>
    <w:link w:val="HeaderChar"/>
    <w:rsid w:val="009E4835"/>
    <w:pPr>
      <w:tabs>
        <w:tab w:val="center" w:pos="4680"/>
        <w:tab w:val="right" w:pos="9360"/>
      </w:tabs>
    </w:pPr>
  </w:style>
  <w:style w:type="character" w:customStyle="1" w:styleId="HeaderChar">
    <w:name w:val="Header Char"/>
    <w:basedOn w:val="DefaultParagraphFont"/>
    <w:link w:val="Header"/>
    <w:rsid w:val="009E4835"/>
    <w:rPr>
      <w:sz w:val="26"/>
      <w:szCs w:val="24"/>
    </w:rPr>
  </w:style>
  <w:style w:type="paragraph" w:styleId="Footer">
    <w:name w:val="footer"/>
    <w:basedOn w:val="Normal"/>
    <w:link w:val="FooterChar"/>
    <w:uiPriority w:val="99"/>
    <w:rsid w:val="009E4835"/>
    <w:pPr>
      <w:tabs>
        <w:tab w:val="center" w:pos="4680"/>
        <w:tab w:val="right" w:pos="9360"/>
      </w:tabs>
    </w:pPr>
  </w:style>
  <w:style w:type="character" w:customStyle="1" w:styleId="FooterChar">
    <w:name w:val="Footer Char"/>
    <w:basedOn w:val="DefaultParagraphFont"/>
    <w:link w:val="Footer"/>
    <w:uiPriority w:val="99"/>
    <w:rsid w:val="009E4835"/>
    <w:rPr>
      <w:sz w:val="26"/>
      <w:szCs w:val="24"/>
    </w:rPr>
  </w:style>
  <w:style w:type="character" w:styleId="Hyperlink">
    <w:name w:val="Hyperlink"/>
    <w:basedOn w:val="DefaultParagraphFont"/>
    <w:uiPriority w:val="99"/>
    <w:unhideWhenUsed/>
    <w:rsid w:val="006E2C07"/>
    <w:rPr>
      <w:color w:val="0000FF" w:themeColor="hyperlink"/>
      <w:u w:val="single"/>
    </w:rPr>
  </w:style>
  <w:style w:type="character" w:styleId="FollowedHyperlink">
    <w:name w:val="FollowedHyperlink"/>
    <w:basedOn w:val="DefaultParagraphFont"/>
    <w:rsid w:val="006E2C07"/>
    <w:rPr>
      <w:color w:val="800080" w:themeColor="followedHyperlink"/>
      <w:u w:val="single"/>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semiHidden/>
    <w:locked/>
    <w:rsid w:val="006E2C07"/>
  </w:style>
  <w:style w:type="character" w:customStyle="1" w:styleId="FootnoteTextChar2">
    <w:name w:val="Footnote Text Char2"/>
    <w:aliases w:val="Style 14 Char2,fn Char2,Style 18 Char1,Style 14 Char Char1,fn Char Char,Char Char Char Char1,Style 13 Char Char Char1,Footnote Text Char1 Char2,Char Char Char2,Style 13 Char Char2,Style 9 Char1,Footnote Text Char Char2"/>
    <w:semiHidden/>
    <w:locked/>
    <w:rsid w:val="004E7DE2"/>
    <w:rPr>
      <w:rFonts w:ascii="Courier" w:hAnsi="Courier"/>
      <w:lang w:val="en-US" w:eastAsia="en-US" w:bidi="ar-SA"/>
    </w:rPr>
  </w:style>
  <w:style w:type="character" w:customStyle="1" w:styleId="FERCparanumberChar">
    <w:name w:val="FERC paranumber Char"/>
    <w:link w:val="FERCparanumber"/>
    <w:locked/>
    <w:rsid w:val="004E7DE2"/>
    <w:rPr>
      <w:sz w:val="26"/>
      <w:szCs w:val="24"/>
    </w:rPr>
  </w:style>
  <w:style w:type="character" w:customStyle="1" w:styleId="apple-converted-space">
    <w:name w:val="apple-converted-space"/>
    <w:basedOn w:val="DefaultParagraphFont"/>
    <w:rsid w:val="006F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0483">
      <w:bodyDiv w:val="1"/>
      <w:marLeft w:val="0"/>
      <w:marRight w:val="0"/>
      <w:marTop w:val="0"/>
      <w:marBottom w:val="0"/>
      <w:divBdr>
        <w:top w:val="none" w:sz="0" w:space="0" w:color="auto"/>
        <w:left w:val="none" w:sz="0" w:space="0" w:color="auto"/>
        <w:bottom w:val="none" w:sz="0" w:space="0" w:color="auto"/>
        <w:right w:val="none" w:sz="0" w:space="0" w:color="auto"/>
      </w:divBdr>
    </w:div>
    <w:div w:id="423116848">
      <w:bodyDiv w:val="1"/>
      <w:marLeft w:val="0"/>
      <w:marRight w:val="0"/>
      <w:marTop w:val="0"/>
      <w:marBottom w:val="0"/>
      <w:divBdr>
        <w:top w:val="none" w:sz="0" w:space="0" w:color="auto"/>
        <w:left w:val="none" w:sz="0" w:space="0" w:color="auto"/>
        <w:bottom w:val="none" w:sz="0" w:space="0" w:color="auto"/>
        <w:right w:val="none" w:sz="0" w:space="0" w:color="auto"/>
      </w:divBdr>
    </w:div>
    <w:div w:id="517158977">
      <w:bodyDiv w:val="1"/>
      <w:marLeft w:val="0"/>
      <w:marRight w:val="0"/>
      <w:marTop w:val="0"/>
      <w:marBottom w:val="0"/>
      <w:divBdr>
        <w:top w:val="none" w:sz="0" w:space="0" w:color="auto"/>
        <w:left w:val="none" w:sz="0" w:space="0" w:color="auto"/>
        <w:bottom w:val="none" w:sz="0" w:space="0" w:color="auto"/>
        <w:right w:val="none" w:sz="0" w:space="0" w:color="auto"/>
      </w:divBdr>
    </w:div>
    <w:div w:id="549728947">
      <w:bodyDiv w:val="1"/>
      <w:marLeft w:val="0"/>
      <w:marRight w:val="0"/>
      <w:marTop w:val="0"/>
      <w:marBottom w:val="0"/>
      <w:divBdr>
        <w:top w:val="none" w:sz="0" w:space="0" w:color="auto"/>
        <w:left w:val="none" w:sz="0" w:space="0" w:color="auto"/>
        <w:bottom w:val="none" w:sz="0" w:space="0" w:color="auto"/>
        <w:right w:val="none" w:sz="0" w:space="0" w:color="auto"/>
      </w:divBdr>
    </w:div>
    <w:div w:id="904729174">
      <w:bodyDiv w:val="1"/>
      <w:marLeft w:val="0"/>
      <w:marRight w:val="0"/>
      <w:marTop w:val="0"/>
      <w:marBottom w:val="0"/>
      <w:divBdr>
        <w:top w:val="none" w:sz="0" w:space="0" w:color="auto"/>
        <w:left w:val="none" w:sz="0" w:space="0" w:color="auto"/>
        <w:bottom w:val="none" w:sz="0" w:space="0" w:color="auto"/>
        <w:right w:val="none" w:sz="0" w:space="0" w:color="auto"/>
      </w:divBdr>
    </w:div>
    <w:div w:id="1423337738">
      <w:bodyDiv w:val="1"/>
      <w:marLeft w:val="0"/>
      <w:marRight w:val="0"/>
      <w:marTop w:val="0"/>
      <w:marBottom w:val="0"/>
      <w:divBdr>
        <w:top w:val="none" w:sz="0" w:space="0" w:color="auto"/>
        <w:left w:val="none" w:sz="0" w:space="0" w:color="auto"/>
        <w:bottom w:val="none" w:sz="0" w:space="0" w:color="auto"/>
        <w:right w:val="none" w:sz="0" w:space="0" w:color="auto"/>
      </w:divBdr>
    </w:div>
    <w:div w:id="1565918108">
      <w:bodyDiv w:val="1"/>
      <w:marLeft w:val="0"/>
      <w:marRight w:val="0"/>
      <w:marTop w:val="0"/>
      <w:marBottom w:val="0"/>
      <w:divBdr>
        <w:top w:val="none" w:sz="0" w:space="0" w:color="auto"/>
        <w:left w:val="none" w:sz="0" w:space="0" w:color="auto"/>
        <w:bottom w:val="none" w:sz="0" w:space="0" w:color="auto"/>
        <w:right w:val="none" w:sz="0" w:space="0" w:color="auto"/>
      </w:divBdr>
    </w:div>
    <w:div w:id="158395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7E37-2E49-47F1-BEF3-F6E0590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76751ABD</Template>
  <TotalTime>3</TotalTime>
  <Pages>15</Pages>
  <Words>4522</Words>
  <Characters>27397</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Supporting Statement for FERC-577, Gas Pipeline Certificates: Environmental Impact Statement</vt:lpstr>
    </vt:vector>
  </TitlesOfParts>
  <Company>FERC</Company>
  <LinksUpToDate>false</LinksUpToDate>
  <CharactersWithSpaces>31856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FERC-577, Gas Pipeline Certificates: Environmental Impact Statement</dc:title>
  <dc:creator>Sheila Lampitoc</dc:creator>
  <cp:lastModifiedBy>ferc</cp:lastModifiedBy>
  <cp:revision>3</cp:revision>
  <cp:lastPrinted>2013-02-19T19:53:00Z</cp:lastPrinted>
  <dcterms:created xsi:type="dcterms:W3CDTF">2013-09-30T19:30:00Z</dcterms:created>
  <dcterms:modified xsi:type="dcterms:W3CDTF">2013-09-30T19:40:00Z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