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CB9B3" w14:textId="774AA42E" w:rsidR="004B1584" w:rsidRPr="00F35FB2" w:rsidRDefault="00F35FB2" w:rsidP="008179F9">
      <w:pPr>
        <w:jc w:val="center"/>
        <w:rPr>
          <w:b/>
        </w:rPr>
      </w:pPr>
      <w:proofErr w:type="gramStart"/>
      <w:r w:rsidRPr="00F35FB2">
        <w:rPr>
          <w:b/>
        </w:rPr>
        <w:t xml:space="preserve">Excerpt from Final Rule in </w:t>
      </w:r>
      <w:r w:rsidR="004B1584" w:rsidRPr="00F35FB2">
        <w:rPr>
          <w:b/>
        </w:rPr>
        <w:t>Docket No.</w:t>
      </w:r>
      <w:proofErr w:type="gramEnd"/>
      <w:r w:rsidR="004B1584" w:rsidRPr="00F35FB2">
        <w:rPr>
          <w:b/>
        </w:rPr>
        <w:t xml:space="preserve"> RM12-18-000</w:t>
      </w:r>
    </w:p>
    <w:p w14:paraId="426CB9B4" w14:textId="77777777" w:rsidR="004B1584" w:rsidRDefault="004B1584" w:rsidP="008179F9">
      <w:pPr>
        <w:jc w:val="center"/>
      </w:pPr>
    </w:p>
    <w:p w14:paraId="426CB9B8" w14:textId="77777777" w:rsidR="004B1584" w:rsidRDefault="004B1584" w:rsidP="008179F9">
      <w:bookmarkStart w:id="0" w:name="_GoBack"/>
      <w:bookmarkEnd w:id="0"/>
    </w:p>
    <w:p w14:paraId="426CBA2E" w14:textId="77777777" w:rsidR="004B1584" w:rsidRDefault="004B3963" w:rsidP="008179F9">
      <w:pPr>
        <w:pStyle w:val="Heading1"/>
      </w:pPr>
      <w:bookmarkStart w:id="1" w:name="_bmk3"/>
      <w:r w:rsidRPr="0000108E">
        <w:rPr>
          <w:szCs w:val="26"/>
        </w:rPr>
        <w:t>N</w:t>
      </w:r>
      <w:bookmarkEnd w:id="1"/>
      <w:r w:rsidRPr="0000108E">
        <w:rPr>
          <w:szCs w:val="26"/>
        </w:rPr>
        <w:t>OPR Comments</w:t>
      </w:r>
    </w:p>
    <w:p w14:paraId="426CBA2F" w14:textId="77777777" w:rsidR="004B3963" w:rsidRDefault="004B3963" w:rsidP="00332B60">
      <w:pPr>
        <w:pStyle w:val="FERCparanumber"/>
      </w:pPr>
      <w:r w:rsidRPr="0000108E">
        <w:rPr>
          <w:szCs w:val="26"/>
        </w:rPr>
        <w:t xml:space="preserve">The Association of </w:t>
      </w:r>
      <w:r w:rsidR="00214B0D">
        <w:rPr>
          <w:szCs w:val="26"/>
        </w:rPr>
        <w:t>Oil P</w:t>
      </w:r>
      <w:r w:rsidR="00B44C94">
        <w:rPr>
          <w:szCs w:val="26"/>
        </w:rPr>
        <w:t>ipeline</w:t>
      </w:r>
      <w:r w:rsidRPr="0000108E">
        <w:rPr>
          <w:szCs w:val="26"/>
        </w:rPr>
        <w:t>s (AOPL),</w:t>
      </w:r>
      <w:r w:rsidRPr="0000108E">
        <w:rPr>
          <w:rStyle w:val="FootnoteReference"/>
        </w:rPr>
        <w:footnoteReference w:id="2"/>
      </w:r>
      <w:r w:rsidRPr="0000108E">
        <w:rPr>
          <w:szCs w:val="26"/>
        </w:rPr>
        <w:t xml:space="preserve"> the Kansas Corporation</w:t>
      </w:r>
      <w:r w:rsidR="006B3301">
        <w:rPr>
          <w:szCs w:val="26"/>
        </w:rPr>
        <w:t xml:space="preserve"> Commission (KCC)</w:t>
      </w:r>
      <w:r w:rsidRPr="0000108E">
        <w:rPr>
          <w:szCs w:val="26"/>
        </w:rPr>
        <w:t>, R. Gordon Gooch</w:t>
      </w:r>
      <w:r w:rsidR="005F1BE1">
        <w:rPr>
          <w:szCs w:val="26"/>
        </w:rPr>
        <w:t xml:space="preserve"> (Mr. Gooch)</w:t>
      </w:r>
      <w:r w:rsidRPr="0000108E">
        <w:rPr>
          <w:szCs w:val="26"/>
        </w:rPr>
        <w:t>, Airlines for America (A4A)</w:t>
      </w:r>
      <w:r w:rsidRPr="0000108E">
        <w:rPr>
          <w:rStyle w:val="FootnoteReference"/>
        </w:rPr>
        <w:footnoteReference w:id="3"/>
      </w:r>
      <w:r w:rsidRPr="0000108E">
        <w:rPr>
          <w:szCs w:val="26"/>
        </w:rPr>
        <w:t xml:space="preserve"> </w:t>
      </w:r>
      <w:r w:rsidR="005B190E">
        <w:rPr>
          <w:szCs w:val="26"/>
        </w:rPr>
        <w:t xml:space="preserve">and </w:t>
      </w:r>
      <w:r w:rsidRPr="0000108E">
        <w:rPr>
          <w:szCs w:val="26"/>
        </w:rPr>
        <w:t>the National Propane Gas Association (NPGA),</w:t>
      </w:r>
      <w:r w:rsidRPr="0000108E">
        <w:rPr>
          <w:rStyle w:val="FootnoteReference"/>
        </w:rPr>
        <w:footnoteReference w:id="4"/>
      </w:r>
      <w:r w:rsidRPr="0000108E">
        <w:rPr>
          <w:szCs w:val="26"/>
        </w:rPr>
        <w:t xml:space="preserve"> the Canadian Association of Petroleum Producers (CAPP), Suncor Energy Marketing Inc. (Suncor), ConocoPhillips Co. (ConocoPhillips), </w:t>
      </w:r>
      <w:r w:rsidR="002851D9">
        <w:rPr>
          <w:szCs w:val="26"/>
        </w:rPr>
        <w:t xml:space="preserve">BP West Coast Products, LLC and Western Refining Company, L.P. (collectively, BP), </w:t>
      </w:r>
      <w:r w:rsidRPr="0000108E">
        <w:rPr>
          <w:szCs w:val="26"/>
        </w:rPr>
        <w:t>and Valero Marketing and Supply Company (Valero) filed comments in response to the Commission’s NOPR.  Suncor and AOPL filed reply comments.  The comments are addressed below</w:t>
      </w:r>
      <w:r w:rsidR="001A0F68">
        <w:rPr>
          <w:szCs w:val="26"/>
        </w:rPr>
        <w:t>.</w:t>
      </w:r>
    </w:p>
    <w:p w14:paraId="426CBA30" w14:textId="77777777" w:rsidR="004B3963" w:rsidRDefault="004B3963" w:rsidP="004B3963">
      <w:pPr>
        <w:pStyle w:val="Heading1"/>
      </w:pPr>
      <w:bookmarkStart w:id="2" w:name="_bmk4"/>
      <w:r>
        <w:t>D</w:t>
      </w:r>
      <w:bookmarkEnd w:id="2"/>
      <w:r>
        <w:t>iscussion</w:t>
      </w:r>
    </w:p>
    <w:p w14:paraId="426CBA31" w14:textId="77777777" w:rsidR="00DD4118" w:rsidRPr="0000108E" w:rsidRDefault="00DD4118" w:rsidP="00A42CA9">
      <w:pPr>
        <w:pStyle w:val="FERCparanumber"/>
        <w:rPr>
          <w:b/>
          <w:szCs w:val="26"/>
        </w:rPr>
      </w:pPr>
      <w:r w:rsidRPr="0000108E">
        <w:rPr>
          <w:szCs w:val="26"/>
        </w:rPr>
        <w:t xml:space="preserve">The majority of commenters support the NOPR.  </w:t>
      </w:r>
      <w:r w:rsidR="00BC2D35" w:rsidRPr="0000108E">
        <w:rPr>
          <w:szCs w:val="26"/>
        </w:rPr>
        <w:t xml:space="preserve">In contrast, the Association of </w:t>
      </w:r>
      <w:r w:rsidR="00214B0D">
        <w:rPr>
          <w:szCs w:val="26"/>
        </w:rPr>
        <w:t>Oil</w:t>
      </w:r>
      <w:r w:rsidR="00B44C94">
        <w:rPr>
          <w:szCs w:val="26"/>
        </w:rPr>
        <w:t xml:space="preserve"> </w:t>
      </w:r>
      <w:r w:rsidR="00214B0D">
        <w:rPr>
          <w:szCs w:val="26"/>
        </w:rPr>
        <w:t>P</w:t>
      </w:r>
      <w:r w:rsidR="00B44C94">
        <w:rPr>
          <w:szCs w:val="26"/>
        </w:rPr>
        <w:t>ipeline</w:t>
      </w:r>
      <w:r w:rsidR="00BC2D35" w:rsidRPr="0000108E">
        <w:rPr>
          <w:szCs w:val="26"/>
        </w:rPr>
        <w:t>s (AOPL) believes the proposed modifications are unnecessary</w:t>
      </w:r>
      <w:r w:rsidR="00036AFC">
        <w:rPr>
          <w:szCs w:val="26"/>
        </w:rPr>
        <w:t>.</w:t>
      </w:r>
      <w:r w:rsidR="00542110">
        <w:rPr>
          <w:szCs w:val="26"/>
        </w:rPr>
        <w:t xml:space="preserve">  We address AOPL’s arguments below. </w:t>
      </w:r>
    </w:p>
    <w:p w14:paraId="426CBA32" w14:textId="77777777" w:rsidR="004B3963" w:rsidRPr="00DD4118" w:rsidRDefault="00414182" w:rsidP="00DD4118">
      <w:pPr>
        <w:pStyle w:val="FERCparanumber"/>
      </w:pPr>
      <w:r>
        <w:rPr>
          <w:szCs w:val="26"/>
        </w:rPr>
        <w:lastRenderedPageBreak/>
        <w:t>As discussed below, t</w:t>
      </w:r>
      <w:r w:rsidR="00DD4118" w:rsidRPr="0000108E">
        <w:rPr>
          <w:szCs w:val="26"/>
        </w:rPr>
        <w:t>he Commission adopts, with minor modifications</w:t>
      </w:r>
      <w:r w:rsidR="00C84D42">
        <w:rPr>
          <w:szCs w:val="26"/>
        </w:rPr>
        <w:t xml:space="preserve"> to the labeling of the additional lines on Page 700</w:t>
      </w:r>
      <w:r w:rsidR="00DD4118" w:rsidRPr="0000108E">
        <w:rPr>
          <w:szCs w:val="26"/>
        </w:rPr>
        <w:t>, the NOPR</w:t>
      </w:r>
      <w:r w:rsidR="00EA6769">
        <w:rPr>
          <w:szCs w:val="26"/>
        </w:rPr>
        <w:t>’s</w:t>
      </w:r>
      <w:r w:rsidR="00DD4118" w:rsidRPr="0000108E">
        <w:rPr>
          <w:szCs w:val="26"/>
        </w:rPr>
        <w:t xml:space="preserve"> proposal to enhance the information provided on Page 700 related to rate base, rate of return, return on rate base</w:t>
      </w:r>
      <w:r w:rsidR="00C84D42">
        <w:rPr>
          <w:szCs w:val="26"/>
        </w:rPr>
        <w:t xml:space="preserve">, and income tax </w:t>
      </w:r>
      <w:r w:rsidR="00B75C59">
        <w:rPr>
          <w:szCs w:val="26"/>
        </w:rPr>
        <w:t>allowance</w:t>
      </w:r>
      <w:r w:rsidR="00DD4118" w:rsidRPr="0000108E">
        <w:rPr>
          <w:szCs w:val="26"/>
        </w:rPr>
        <w:t xml:space="preserve">.  </w:t>
      </w:r>
    </w:p>
    <w:p w14:paraId="426CBA33" w14:textId="77777777" w:rsidR="00DD4118" w:rsidRPr="0000108E" w:rsidRDefault="00DD4118" w:rsidP="00DD4118">
      <w:pPr>
        <w:pStyle w:val="Heading2"/>
      </w:pPr>
      <w:bookmarkStart w:id="3" w:name="_bmk5"/>
      <w:r w:rsidRPr="00DD4118">
        <w:t>R</w:t>
      </w:r>
      <w:bookmarkEnd w:id="3"/>
      <w:r w:rsidRPr="00DD4118">
        <w:t>ate</w:t>
      </w:r>
      <w:r w:rsidRPr="0000108E">
        <w:t xml:space="preserve"> Base</w:t>
      </w:r>
    </w:p>
    <w:p w14:paraId="426CBA34" w14:textId="77777777" w:rsidR="00DD4118" w:rsidRPr="0000108E" w:rsidRDefault="00DD4118" w:rsidP="00DD4118">
      <w:pPr>
        <w:pStyle w:val="Heading3"/>
      </w:pPr>
      <w:bookmarkStart w:id="4" w:name="_bmk6"/>
      <w:r w:rsidRPr="00DD4118">
        <w:t>N</w:t>
      </w:r>
      <w:bookmarkEnd w:id="4"/>
      <w:r w:rsidRPr="00DD4118">
        <w:t>OPR</w:t>
      </w:r>
      <w:r w:rsidRPr="0000108E">
        <w:t xml:space="preserve"> </w:t>
      </w:r>
    </w:p>
    <w:p w14:paraId="426CBA35" w14:textId="77777777" w:rsidR="00332B60" w:rsidRPr="0000108E" w:rsidRDefault="00332B60" w:rsidP="00332B60">
      <w:pPr>
        <w:pStyle w:val="FERCparanumber"/>
        <w:rPr>
          <w:szCs w:val="26"/>
        </w:rPr>
      </w:pPr>
      <w:r>
        <w:rPr>
          <w:szCs w:val="26"/>
        </w:rPr>
        <w:t>The NOPR observed that “[c]</w:t>
      </w:r>
      <w:r w:rsidRPr="0000108E">
        <w:rPr>
          <w:szCs w:val="26"/>
        </w:rPr>
        <w:t xml:space="preserve">omponents of an </w:t>
      </w:r>
      <w:r w:rsidR="00214B0D">
        <w:rPr>
          <w:szCs w:val="26"/>
        </w:rPr>
        <w:t>oil</w:t>
      </w:r>
      <w:r w:rsidR="00B44C94">
        <w:rPr>
          <w:szCs w:val="26"/>
        </w:rPr>
        <w:t xml:space="preserve"> pipeline</w:t>
      </w:r>
      <w:r w:rsidRPr="0000108E">
        <w:rPr>
          <w:szCs w:val="26"/>
        </w:rPr>
        <w:t>’s rate base are governed by the trended original cost methodology adopted in Opinion No. 154-B.</w:t>
      </w:r>
      <w:r>
        <w:rPr>
          <w:szCs w:val="26"/>
        </w:rPr>
        <w:t>”</w:t>
      </w:r>
      <w:r>
        <w:rPr>
          <w:rStyle w:val="FootnoteReference"/>
        </w:rPr>
        <w:footnoteReference w:id="5"/>
      </w:r>
      <w:r w:rsidRPr="0000108E">
        <w:rPr>
          <w:szCs w:val="26"/>
        </w:rPr>
        <w:t xml:space="preserve">  Under this methodology, </w:t>
      </w:r>
      <w:r w:rsidR="00214B0D">
        <w:rPr>
          <w:szCs w:val="26"/>
        </w:rPr>
        <w:t xml:space="preserve">an oil </w:t>
      </w:r>
      <w:r w:rsidR="00B44C94">
        <w:rPr>
          <w:szCs w:val="26"/>
        </w:rPr>
        <w:t>pipeline</w:t>
      </w:r>
      <w:r w:rsidRPr="0000108E">
        <w:rPr>
          <w:szCs w:val="26"/>
        </w:rPr>
        <w:t>’s rate base consists of</w:t>
      </w:r>
      <w:r w:rsidR="001A0F68">
        <w:rPr>
          <w:szCs w:val="26"/>
        </w:rPr>
        <w:t>:</w:t>
      </w:r>
      <w:r w:rsidR="00EE46B8">
        <w:rPr>
          <w:szCs w:val="26"/>
        </w:rPr>
        <w:t xml:space="preserve"> </w:t>
      </w:r>
      <w:r w:rsidR="001A0F68">
        <w:rPr>
          <w:szCs w:val="26"/>
        </w:rPr>
        <w:t xml:space="preserve"> </w:t>
      </w:r>
      <w:r w:rsidRPr="0000108E">
        <w:rPr>
          <w:szCs w:val="26"/>
        </w:rPr>
        <w:t xml:space="preserve">(1) the </w:t>
      </w:r>
      <w:r w:rsidR="002C76AB">
        <w:rPr>
          <w:szCs w:val="26"/>
        </w:rPr>
        <w:t xml:space="preserve">depreciated </w:t>
      </w:r>
      <w:r w:rsidRPr="0000108E">
        <w:rPr>
          <w:szCs w:val="26"/>
        </w:rPr>
        <w:t xml:space="preserve">original cost rate base, (2) any unamortized amounts from the </w:t>
      </w:r>
      <w:r w:rsidR="00214B0D">
        <w:rPr>
          <w:szCs w:val="26"/>
        </w:rPr>
        <w:t>oil</w:t>
      </w:r>
      <w:r w:rsidR="00B44C94">
        <w:rPr>
          <w:szCs w:val="26"/>
        </w:rPr>
        <w:t xml:space="preserve"> pipeline</w:t>
      </w:r>
      <w:r w:rsidRPr="0000108E">
        <w:rPr>
          <w:szCs w:val="26"/>
        </w:rPr>
        <w:t>’s starting rate base write-up (SRB), and (3) accumulated net deferred earnings.  Consistent with Opinion No. 154-B,</w:t>
      </w:r>
      <w:r w:rsidR="00823F9A">
        <w:rPr>
          <w:rStyle w:val="FootnoteReference"/>
        </w:rPr>
        <w:footnoteReference w:id="6"/>
      </w:r>
      <w:r w:rsidRPr="0000108E">
        <w:rPr>
          <w:szCs w:val="26"/>
        </w:rPr>
        <w:t xml:space="preserve"> the NOPR proposed to enhance the </w:t>
      </w:r>
      <w:r w:rsidR="00DF4008">
        <w:rPr>
          <w:szCs w:val="26"/>
        </w:rPr>
        <w:t xml:space="preserve">reporting of the </w:t>
      </w:r>
      <w:r w:rsidR="00733909">
        <w:rPr>
          <w:szCs w:val="26"/>
        </w:rPr>
        <w:t xml:space="preserve">total trended original cost (TOC) </w:t>
      </w:r>
      <w:r w:rsidRPr="0000108E">
        <w:rPr>
          <w:szCs w:val="26"/>
        </w:rPr>
        <w:t xml:space="preserve">rate base information provided on line 5 of page 700 by </w:t>
      </w:r>
      <w:r w:rsidR="00733909">
        <w:rPr>
          <w:szCs w:val="26"/>
        </w:rPr>
        <w:t xml:space="preserve">requiring the reporting of </w:t>
      </w:r>
      <w:r w:rsidR="002C76AB">
        <w:rPr>
          <w:szCs w:val="26"/>
        </w:rPr>
        <w:t xml:space="preserve">the </w:t>
      </w:r>
      <w:r w:rsidR="00733909">
        <w:rPr>
          <w:szCs w:val="26"/>
        </w:rPr>
        <w:t xml:space="preserve">three subparts of the TOC rate base:  </w:t>
      </w:r>
      <w:r w:rsidRPr="0000108E">
        <w:rPr>
          <w:szCs w:val="26"/>
        </w:rPr>
        <w:t xml:space="preserve">(1) </w:t>
      </w:r>
      <w:r w:rsidR="00C4676E">
        <w:rPr>
          <w:szCs w:val="26"/>
        </w:rPr>
        <w:t>R</w:t>
      </w:r>
      <w:r w:rsidRPr="0000108E">
        <w:rPr>
          <w:szCs w:val="26"/>
        </w:rPr>
        <w:t xml:space="preserve">ate </w:t>
      </w:r>
      <w:r w:rsidR="00C4676E">
        <w:rPr>
          <w:szCs w:val="26"/>
        </w:rPr>
        <w:t>B</w:t>
      </w:r>
      <w:r w:rsidRPr="0000108E">
        <w:rPr>
          <w:szCs w:val="26"/>
        </w:rPr>
        <w:t>ase –</w:t>
      </w:r>
      <w:r w:rsidR="00A92472">
        <w:rPr>
          <w:szCs w:val="26"/>
        </w:rPr>
        <w:t xml:space="preserve"> </w:t>
      </w:r>
      <w:r w:rsidR="00C4676E">
        <w:rPr>
          <w:szCs w:val="26"/>
        </w:rPr>
        <w:t>O</w:t>
      </w:r>
      <w:r w:rsidRPr="0000108E">
        <w:rPr>
          <w:szCs w:val="26"/>
        </w:rPr>
        <w:t xml:space="preserve">riginal </w:t>
      </w:r>
      <w:r w:rsidR="00C4676E">
        <w:rPr>
          <w:szCs w:val="26"/>
        </w:rPr>
        <w:t>C</w:t>
      </w:r>
      <w:r w:rsidRPr="0000108E">
        <w:rPr>
          <w:szCs w:val="26"/>
        </w:rPr>
        <w:t>ost (proposed line 5a)</w:t>
      </w:r>
      <w:r w:rsidR="00733909">
        <w:rPr>
          <w:szCs w:val="26"/>
        </w:rPr>
        <w:t>;</w:t>
      </w:r>
      <w:r w:rsidRPr="0000108E">
        <w:rPr>
          <w:szCs w:val="26"/>
        </w:rPr>
        <w:t xml:space="preserve"> (2) </w:t>
      </w:r>
      <w:r w:rsidR="00C4676E">
        <w:rPr>
          <w:szCs w:val="26"/>
        </w:rPr>
        <w:t>R</w:t>
      </w:r>
      <w:r w:rsidRPr="0000108E">
        <w:rPr>
          <w:szCs w:val="26"/>
        </w:rPr>
        <w:t xml:space="preserve">ate </w:t>
      </w:r>
      <w:r w:rsidR="00C4676E">
        <w:rPr>
          <w:szCs w:val="26"/>
        </w:rPr>
        <w:t>B</w:t>
      </w:r>
      <w:r w:rsidRPr="0000108E">
        <w:rPr>
          <w:szCs w:val="26"/>
        </w:rPr>
        <w:t xml:space="preserve">ase – </w:t>
      </w:r>
      <w:r w:rsidR="00C4676E">
        <w:rPr>
          <w:szCs w:val="26"/>
        </w:rPr>
        <w:t>U</w:t>
      </w:r>
      <w:r w:rsidRPr="0000108E">
        <w:rPr>
          <w:szCs w:val="26"/>
        </w:rPr>
        <w:t xml:space="preserve">namortized </w:t>
      </w:r>
      <w:r w:rsidR="00C4676E">
        <w:rPr>
          <w:szCs w:val="26"/>
        </w:rPr>
        <w:t>S</w:t>
      </w:r>
      <w:r w:rsidRPr="0000108E">
        <w:rPr>
          <w:szCs w:val="26"/>
        </w:rPr>
        <w:t xml:space="preserve">tarting </w:t>
      </w:r>
      <w:r w:rsidR="00C4676E">
        <w:rPr>
          <w:szCs w:val="26"/>
        </w:rPr>
        <w:t>R</w:t>
      </w:r>
      <w:r w:rsidRPr="0000108E">
        <w:rPr>
          <w:szCs w:val="26"/>
        </w:rPr>
        <w:t xml:space="preserve">ate </w:t>
      </w:r>
      <w:r w:rsidR="00C4676E">
        <w:rPr>
          <w:szCs w:val="26"/>
        </w:rPr>
        <w:t>B</w:t>
      </w:r>
      <w:r w:rsidRPr="0000108E">
        <w:rPr>
          <w:szCs w:val="26"/>
        </w:rPr>
        <w:t xml:space="preserve">ase </w:t>
      </w:r>
      <w:r w:rsidR="00C4676E">
        <w:rPr>
          <w:szCs w:val="26"/>
        </w:rPr>
        <w:t>W</w:t>
      </w:r>
      <w:r w:rsidRPr="0000108E">
        <w:rPr>
          <w:szCs w:val="26"/>
        </w:rPr>
        <w:t>rite-</w:t>
      </w:r>
      <w:r w:rsidR="00C4676E">
        <w:rPr>
          <w:szCs w:val="26"/>
        </w:rPr>
        <w:t>U</w:t>
      </w:r>
      <w:r w:rsidRPr="0000108E">
        <w:rPr>
          <w:szCs w:val="26"/>
        </w:rPr>
        <w:t>p (proposed line 5b)</w:t>
      </w:r>
      <w:r w:rsidR="00733909">
        <w:rPr>
          <w:szCs w:val="26"/>
        </w:rPr>
        <w:t xml:space="preserve">; and </w:t>
      </w:r>
      <w:r w:rsidRPr="0000108E">
        <w:rPr>
          <w:szCs w:val="26"/>
        </w:rPr>
        <w:t xml:space="preserve">(3) </w:t>
      </w:r>
      <w:r w:rsidR="00C4676E">
        <w:rPr>
          <w:szCs w:val="26"/>
        </w:rPr>
        <w:t>R</w:t>
      </w:r>
      <w:r w:rsidRPr="0000108E">
        <w:rPr>
          <w:szCs w:val="26"/>
        </w:rPr>
        <w:t xml:space="preserve">ate </w:t>
      </w:r>
      <w:r w:rsidR="00C4676E">
        <w:rPr>
          <w:szCs w:val="26"/>
        </w:rPr>
        <w:t>B</w:t>
      </w:r>
      <w:r w:rsidRPr="0000108E">
        <w:rPr>
          <w:szCs w:val="26"/>
        </w:rPr>
        <w:t xml:space="preserve">ase – </w:t>
      </w:r>
      <w:r w:rsidR="00C4676E">
        <w:rPr>
          <w:szCs w:val="26"/>
        </w:rPr>
        <w:t>A</w:t>
      </w:r>
      <w:r w:rsidRPr="0000108E">
        <w:rPr>
          <w:szCs w:val="26"/>
        </w:rPr>
        <w:t xml:space="preserve">ccumulated </w:t>
      </w:r>
      <w:r w:rsidR="00DB47FC">
        <w:rPr>
          <w:szCs w:val="26"/>
        </w:rPr>
        <w:t xml:space="preserve">Net </w:t>
      </w:r>
      <w:r w:rsidR="00C4676E">
        <w:rPr>
          <w:szCs w:val="26"/>
        </w:rPr>
        <w:t>D</w:t>
      </w:r>
      <w:r w:rsidRPr="0000108E">
        <w:rPr>
          <w:szCs w:val="26"/>
        </w:rPr>
        <w:t xml:space="preserve">eferred </w:t>
      </w:r>
      <w:r w:rsidR="00C4676E">
        <w:rPr>
          <w:szCs w:val="26"/>
        </w:rPr>
        <w:t>E</w:t>
      </w:r>
      <w:r w:rsidRPr="0000108E">
        <w:rPr>
          <w:szCs w:val="26"/>
        </w:rPr>
        <w:t>arnings (proposed line 5c).  Th</w:t>
      </w:r>
      <w:r w:rsidR="00733909">
        <w:rPr>
          <w:szCs w:val="26"/>
        </w:rPr>
        <w:t xml:space="preserve">us, </w:t>
      </w:r>
      <w:r w:rsidR="00B75C59">
        <w:rPr>
          <w:szCs w:val="26"/>
        </w:rPr>
        <w:t xml:space="preserve">the NOPR </w:t>
      </w:r>
      <w:r w:rsidR="00414182">
        <w:rPr>
          <w:szCs w:val="26"/>
        </w:rPr>
        <w:t>explained</w:t>
      </w:r>
      <w:r w:rsidR="00B75C59">
        <w:rPr>
          <w:szCs w:val="26"/>
        </w:rPr>
        <w:t xml:space="preserve"> </w:t>
      </w:r>
      <w:r w:rsidR="00733909">
        <w:rPr>
          <w:szCs w:val="26"/>
        </w:rPr>
        <w:t>th</w:t>
      </w:r>
      <w:r w:rsidRPr="0000108E">
        <w:rPr>
          <w:szCs w:val="26"/>
        </w:rPr>
        <w:t xml:space="preserve">e sum of proposed lines 5a, 5b, and 5c comprise the </w:t>
      </w:r>
      <w:r w:rsidR="00B44C94">
        <w:rPr>
          <w:szCs w:val="26"/>
        </w:rPr>
        <w:t>oil pipeline</w:t>
      </w:r>
      <w:r w:rsidRPr="0000108E">
        <w:rPr>
          <w:szCs w:val="26"/>
        </w:rPr>
        <w:t xml:space="preserve">’s </w:t>
      </w:r>
      <w:r w:rsidR="00733909">
        <w:rPr>
          <w:szCs w:val="26"/>
        </w:rPr>
        <w:t xml:space="preserve">TOC </w:t>
      </w:r>
      <w:r w:rsidR="00C4676E">
        <w:rPr>
          <w:szCs w:val="26"/>
        </w:rPr>
        <w:t>R</w:t>
      </w:r>
      <w:r w:rsidRPr="0000108E">
        <w:rPr>
          <w:szCs w:val="26"/>
        </w:rPr>
        <w:t xml:space="preserve">ate </w:t>
      </w:r>
      <w:r w:rsidR="00C4676E">
        <w:rPr>
          <w:szCs w:val="26"/>
        </w:rPr>
        <w:t>B</w:t>
      </w:r>
      <w:r w:rsidR="00C4676E" w:rsidRPr="0000108E">
        <w:rPr>
          <w:szCs w:val="26"/>
        </w:rPr>
        <w:t>ase</w:t>
      </w:r>
      <w:r w:rsidR="00733909">
        <w:rPr>
          <w:szCs w:val="26"/>
        </w:rPr>
        <w:t xml:space="preserve">.  </w:t>
      </w:r>
      <w:r w:rsidR="00B75C59">
        <w:rPr>
          <w:szCs w:val="26"/>
        </w:rPr>
        <w:t>Consequently, the NOPR proposed</w:t>
      </w:r>
      <w:r w:rsidR="00A92472">
        <w:rPr>
          <w:szCs w:val="26"/>
        </w:rPr>
        <w:t xml:space="preserve"> to move</w:t>
      </w:r>
      <w:r w:rsidR="00B75C59">
        <w:rPr>
          <w:szCs w:val="26"/>
        </w:rPr>
        <w:t xml:space="preserve"> t</w:t>
      </w:r>
      <w:r w:rsidR="00733909">
        <w:rPr>
          <w:szCs w:val="26"/>
        </w:rPr>
        <w:t xml:space="preserve">he TOC rate </w:t>
      </w:r>
      <w:r w:rsidR="00733909">
        <w:rPr>
          <w:szCs w:val="26"/>
        </w:rPr>
        <w:lastRenderedPageBreak/>
        <w:t>base</w:t>
      </w:r>
      <w:r w:rsidR="00A92472">
        <w:rPr>
          <w:szCs w:val="26"/>
        </w:rPr>
        <w:t xml:space="preserve"> from line 5 to</w:t>
      </w:r>
      <w:r w:rsidR="00733909">
        <w:rPr>
          <w:szCs w:val="26"/>
        </w:rPr>
        <w:t xml:space="preserve"> </w:t>
      </w:r>
      <w:r w:rsidRPr="0000108E">
        <w:rPr>
          <w:szCs w:val="26"/>
        </w:rPr>
        <w:t>line 5d</w:t>
      </w:r>
      <w:r w:rsidR="00A92472">
        <w:rPr>
          <w:szCs w:val="26"/>
        </w:rPr>
        <w:t xml:space="preserve"> and to label line 5d</w:t>
      </w:r>
      <w:r w:rsidRPr="0000108E">
        <w:rPr>
          <w:szCs w:val="26"/>
        </w:rPr>
        <w:t xml:space="preserve"> </w:t>
      </w:r>
      <w:r w:rsidR="00A92472">
        <w:rPr>
          <w:szCs w:val="26"/>
        </w:rPr>
        <w:t>as</w:t>
      </w:r>
      <w:r w:rsidRPr="0000108E">
        <w:rPr>
          <w:szCs w:val="26"/>
        </w:rPr>
        <w:t xml:space="preserve"> </w:t>
      </w:r>
      <w:r w:rsidR="00C4676E">
        <w:rPr>
          <w:szCs w:val="26"/>
        </w:rPr>
        <w:t>T</w:t>
      </w:r>
      <w:r w:rsidRPr="0000108E">
        <w:rPr>
          <w:szCs w:val="26"/>
        </w:rPr>
        <w:t xml:space="preserve">otal </w:t>
      </w:r>
      <w:r w:rsidR="00C4676E">
        <w:rPr>
          <w:szCs w:val="26"/>
        </w:rPr>
        <w:t>R</w:t>
      </w:r>
      <w:r w:rsidRPr="0000108E">
        <w:rPr>
          <w:szCs w:val="26"/>
        </w:rPr>
        <w:t xml:space="preserve">ate </w:t>
      </w:r>
      <w:r w:rsidR="00C4676E">
        <w:rPr>
          <w:szCs w:val="26"/>
        </w:rPr>
        <w:t>B</w:t>
      </w:r>
      <w:r w:rsidRPr="0000108E">
        <w:rPr>
          <w:szCs w:val="26"/>
        </w:rPr>
        <w:t xml:space="preserve">ase – </w:t>
      </w:r>
      <w:r w:rsidR="00C4676E">
        <w:rPr>
          <w:szCs w:val="26"/>
        </w:rPr>
        <w:t>T</w:t>
      </w:r>
      <w:r w:rsidRPr="0000108E">
        <w:rPr>
          <w:szCs w:val="26"/>
        </w:rPr>
        <w:t xml:space="preserve">rended </w:t>
      </w:r>
      <w:r w:rsidR="00C4676E">
        <w:rPr>
          <w:szCs w:val="26"/>
        </w:rPr>
        <w:t>O</w:t>
      </w:r>
      <w:r w:rsidRPr="0000108E">
        <w:rPr>
          <w:szCs w:val="26"/>
        </w:rPr>
        <w:t xml:space="preserve">riginal </w:t>
      </w:r>
      <w:r w:rsidR="00C4676E">
        <w:rPr>
          <w:szCs w:val="26"/>
        </w:rPr>
        <w:t>C</w:t>
      </w:r>
      <w:r w:rsidRPr="0000108E">
        <w:rPr>
          <w:szCs w:val="26"/>
        </w:rPr>
        <w:t>ost – (</w:t>
      </w:r>
      <w:r w:rsidR="0037704E">
        <w:rPr>
          <w:szCs w:val="26"/>
        </w:rPr>
        <w:t xml:space="preserve">line </w:t>
      </w:r>
      <w:r w:rsidRPr="0000108E">
        <w:rPr>
          <w:szCs w:val="26"/>
        </w:rPr>
        <w:t>5a +</w:t>
      </w:r>
      <w:r w:rsidR="0037704E">
        <w:rPr>
          <w:szCs w:val="26"/>
        </w:rPr>
        <w:t xml:space="preserve"> line</w:t>
      </w:r>
      <w:r w:rsidRPr="0000108E">
        <w:rPr>
          <w:szCs w:val="26"/>
        </w:rPr>
        <w:t xml:space="preserve"> 5b +</w:t>
      </w:r>
      <w:r w:rsidR="0037704E">
        <w:rPr>
          <w:szCs w:val="26"/>
        </w:rPr>
        <w:t xml:space="preserve"> line</w:t>
      </w:r>
      <w:r w:rsidRPr="0000108E">
        <w:rPr>
          <w:szCs w:val="26"/>
        </w:rPr>
        <w:t xml:space="preserve"> 5c).</w:t>
      </w:r>
    </w:p>
    <w:p w14:paraId="426CBA36" w14:textId="77777777" w:rsidR="00332B60" w:rsidRPr="0000108E" w:rsidRDefault="00332B60" w:rsidP="00332B60">
      <w:pPr>
        <w:pStyle w:val="Heading3"/>
      </w:pPr>
      <w:bookmarkStart w:id="5" w:name="_bmk7"/>
      <w:r w:rsidRPr="0000108E">
        <w:t>C</w:t>
      </w:r>
      <w:bookmarkEnd w:id="5"/>
      <w:r w:rsidRPr="0000108E">
        <w:t>omments</w:t>
      </w:r>
    </w:p>
    <w:p w14:paraId="426CBA37" w14:textId="77777777" w:rsidR="00332B60" w:rsidRPr="0000108E" w:rsidRDefault="00332B60" w:rsidP="00332B60">
      <w:pPr>
        <w:pStyle w:val="FERCparanumber"/>
        <w:rPr>
          <w:szCs w:val="26"/>
        </w:rPr>
      </w:pPr>
      <w:r w:rsidRPr="0000108E">
        <w:rPr>
          <w:szCs w:val="26"/>
        </w:rPr>
        <w:t xml:space="preserve">AOPL requests clarification </w:t>
      </w:r>
      <w:r>
        <w:rPr>
          <w:szCs w:val="26"/>
        </w:rPr>
        <w:t xml:space="preserve">as to proposed line 5a.  AOPL seeks clarification </w:t>
      </w:r>
      <w:r w:rsidRPr="0000108E">
        <w:rPr>
          <w:szCs w:val="26"/>
        </w:rPr>
        <w:t>that line 5a is intended to reflect the respondent’s depreciated original cost rate base</w:t>
      </w:r>
      <w:r w:rsidR="00BC144C">
        <w:rPr>
          <w:szCs w:val="26"/>
        </w:rPr>
        <w:t xml:space="preserve">, consistent with </w:t>
      </w:r>
      <w:r w:rsidR="00823F9A">
        <w:rPr>
          <w:szCs w:val="26"/>
        </w:rPr>
        <w:t xml:space="preserve">the methodology contained in </w:t>
      </w:r>
      <w:r w:rsidR="00BC144C">
        <w:rPr>
          <w:szCs w:val="26"/>
        </w:rPr>
        <w:t xml:space="preserve">Opinion No. 154-B, </w:t>
      </w:r>
      <w:r w:rsidR="00BC144C" w:rsidRPr="00AF4426">
        <w:rPr>
          <w:i/>
          <w:szCs w:val="26"/>
        </w:rPr>
        <w:t>et al.</w:t>
      </w:r>
      <w:r w:rsidRPr="0000108E">
        <w:rPr>
          <w:rStyle w:val="FootnoteReference"/>
        </w:rPr>
        <w:footnoteReference w:id="7"/>
      </w:r>
      <w:r>
        <w:rPr>
          <w:szCs w:val="26"/>
        </w:rPr>
        <w:t xml:space="preserve">  </w:t>
      </w:r>
      <w:r w:rsidRPr="0000108E">
        <w:rPr>
          <w:szCs w:val="26"/>
        </w:rPr>
        <w:t xml:space="preserve">  </w:t>
      </w:r>
    </w:p>
    <w:p w14:paraId="426CBA38" w14:textId="77777777" w:rsidR="00332B60" w:rsidRPr="0000108E" w:rsidRDefault="00332B60" w:rsidP="009A2F51">
      <w:pPr>
        <w:pStyle w:val="Heading3"/>
      </w:pPr>
      <w:bookmarkStart w:id="6" w:name="_bmk8"/>
      <w:r w:rsidRPr="0000108E">
        <w:t>C</w:t>
      </w:r>
      <w:bookmarkEnd w:id="6"/>
      <w:r w:rsidRPr="0000108E">
        <w:t xml:space="preserve">ommission </w:t>
      </w:r>
      <w:r w:rsidR="00544C5D">
        <w:t>Determination</w:t>
      </w:r>
    </w:p>
    <w:p w14:paraId="426CBA39" w14:textId="77777777" w:rsidR="009A2F51" w:rsidRDefault="00332B60" w:rsidP="009A2F51">
      <w:pPr>
        <w:pStyle w:val="FERCparanumber"/>
      </w:pPr>
      <w:r w:rsidRPr="0000108E">
        <w:t>The Commission adopts</w:t>
      </w:r>
      <w:r w:rsidR="00BC144C">
        <w:t xml:space="preserve"> </w:t>
      </w:r>
      <w:r w:rsidRPr="0000108E">
        <w:t xml:space="preserve">the NOPR proposal to enhance the rate base information provided on Page 700 by adding lines </w:t>
      </w:r>
      <w:r>
        <w:t xml:space="preserve">5a, 5b, and 5c </w:t>
      </w:r>
      <w:r w:rsidRPr="0000108E">
        <w:t>to Page 700</w:t>
      </w:r>
      <w:r w:rsidR="00057B8F">
        <w:t xml:space="preserve"> to provide the three subparts of the TOC rate base</w:t>
      </w:r>
      <w:r w:rsidRPr="0000108E">
        <w:t xml:space="preserve">.  The new </w:t>
      </w:r>
      <w:r w:rsidR="00057B8F">
        <w:t xml:space="preserve">line 5 series </w:t>
      </w:r>
      <w:r w:rsidRPr="0000108E">
        <w:t xml:space="preserve">will reflect the following additions as proposed in the NOPR:  (1) </w:t>
      </w:r>
      <w:r w:rsidR="00311D3F">
        <w:t>R</w:t>
      </w:r>
      <w:r w:rsidRPr="0000108E">
        <w:t xml:space="preserve">ate </w:t>
      </w:r>
      <w:r w:rsidR="00311D3F">
        <w:t>B</w:t>
      </w:r>
      <w:r w:rsidRPr="0000108E">
        <w:t xml:space="preserve">ase – </w:t>
      </w:r>
      <w:r w:rsidR="002C76AB">
        <w:t xml:space="preserve">Depreciated </w:t>
      </w:r>
      <w:r w:rsidR="00311D3F">
        <w:t>O</w:t>
      </w:r>
      <w:r w:rsidRPr="0000108E">
        <w:t xml:space="preserve">riginal </w:t>
      </w:r>
      <w:r w:rsidR="00311D3F">
        <w:t>C</w:t>
      </w:r>
      <w:r w:rsidRPr="0000108E">
        <w:t>ost (line 5a)</w:t>
      </w:r>
      <w:r w:rsidR="00057B8F">
        <w:t>;</w:t>
      </w:r>
      <w:r w:rsidRPr="0000108E">
        <w:t xml:space="preserve"> (2) </w:t>
      </w:r>
      <w:r w:rsidR="00311D3F">
        <w:t>R</w:t>
      </w:r>
      <w:r w:rsidRPr="0000108E">
        <w:t xml:space="preserve">ate </w:t>
      </w:r>
      <w:r w:rsidR="00311D3F">
        <w:t>B</w:t>
      </w:r>
      <w:r w:rsidRPr="0000108E">
        <w:t xml:space="preserve">ase – </w:t>
      </w:r>
      <w:r w:rsidR="00311D3F">
        <w:t>U</w:t>
      </w:r>
      <w:r w:rsidRPr="0000108E">
        <w:t xml:space="preserve">namortized </w:t>
      </w:r>
      <w:r w:rsidR="00311D3F">
        <w:t>S</w:t>
      </w:r>
      <w:r w:rsidRPr="0000108E">
        <w:t xml:space="preserve">tarting </w:t>
      </w:r>
      <w:r w:rsidR="00311D3F">
        <w:t>R</w:t>
      </w:r>
      <w:r w:rsidRPr="0000108E">
        <w:t xml:space="preserve">ate </w:t>
      </w:r>
      <w:r w:rsidR="00311D3F">
        <w:t>B</w:t>
      </w:r>
      <w:r w:rsidRPr="0000108E">
        <w:t xml:space="preserve">ase </w:t>
      </w:r>
      <w:r w:rsidR="00311D3F">
        <w:t>W</w:t>
      </w:r>
      <w:r w:rsidRPr="0000108E">
        <w:t>rite-up (line 5b)</w:t>
      </w:r>
      <w:r w:rsidR="00057B8F">
        <w:t xml:space="preserve">; and </w:t>
      </w:r>
      <w:r w:rsidRPr="0000108E">
        <w:t xml:space="preserve">(3) </w:t>
      </w:r>
      <w:r w:rsidR="00311D3F">
        <w:t>R</w:t>
      </w:r>
      <w:r w:rsidRPr="0000108E">
        <w:t xml:space="preserve">ate </w:t>
      </w:r>
      <w:r w:rsidR="00311D3F">
        <w:t>B</w:t>
      </w:r>
      <w:r w:rsidRPr="0000108E">
        <w:t xml:space="preserve">ase – </w:t>
      </w:r>
      <w:r w:rsidR="00311D3F">
        <w:t>A</w:t>
      </w:r>
      <w:r w:rsidRPr="0000108E">
        <w:t xml:space="preserve">ccumulated </w:t>
      </w:r>
      <w:r w:rsidR="00311D3F">
        <w:t>Net D</w:t>
      </w:r>
      <w:r w:rsidRPr="0000108E">
        <w:t xml:space="preserve">eferred </w:t>
      </w:r>
      <w:r w:rsidR="00311D3F">
        <w:t>E</w:t>
      </w:r>
      <w:r w:rsidRPr="0000108E">
        <w:t xml:space="preserve">arnings (line 5c).  The sum of lines 5a, 5b, and 5c comprise the </w:t>
      </w:r>
      <w:r w:rsidR="00B44C94">
        <w:t>oil pipeline</w:t>
      </w:r>
      <w:r w:rsidRPr="0000108E">
        <w:t xml:space="preserve">’s </w:t>
      </w:r>
      <w:r w:rsidR="00057B8F">
        <w:t xml:space="preserve">TOC </w:t>
      </w:r>
      <w:r w:rsidRPr="0000108E">
        <w:t xml:space="preserve">rate base, which is currently reported on line 5 and which </w:t>
      </w:r>
      <w:r w:rsidR="00592CFF">
        <w:t xml:space="preserve">will now </w:t>
      </w:r>
      <w:r w:rsidRPr="0000108E">
        <w:t xml:space="preserve">move to line 5d </w:t>
      </w:r>
      <w:r w:rsidR="00592CFF">
        <w:t xml:space="preserve">and be </w:t>
      </w:r>
      <w:r w:rsidRPr="0000108E">
        <w:t xml:space="preserve">entitled </w:t>
      </w:r>
      <w:r w:rsidR="00C4676E">
        <w:t>T</w:t>
      </w:r>
      <w:r w:rsidRPr="0000108E">
        <w:t xml:space="preserve">otal </w:t>
      </w:r>
      <w:r w:rsidR="00C4676E">
        <w:t>R</w:t>
      </w:r>
      <w:r w:rsidRPr="0000108E">
        <w:t xml:space="preserve">ate </w:t>
      </w:r>
      <w:r w:rsidR="00C4676E">
        <w:t>B</w:t>
      </w:r>
      <w:r w:rsidRPr="0000108E">
        <w:t xml:space="preserve">ase – </w:t>
      </w:r>
      <w:r w:rsidR="00C4676E">
        <w:t>T</w:t>
      </w:r>
      <w:r w:rsidRPr="0000108E">
        <w:t xml:space="preserve">rended </w:t>
      </w:r>
      <w:r w:rsidR="00C4676E">
        <w:t>O</w:t>
      </w:r>
      <w:r w:rsidRPr="0000108E">
        <w:t xml:space="preserve">riginal </w:t>
      </w:r>
      <w:r w:rsidR="00C4676E">
        <w:t>C</w:t>
      </w:r>
      <w:r w:rsidRPr="0000108E">
        <w:t>ost – (</w:t>
      </w:r>
      <w:r w:rsidR="00311D3F">
        <w:t xml:space="preserve">line </w:t>
      </w:r>
      <w:r w:rsidRPr="0000108E">
        <w:t xml:space="preserve">5a + </w:t>
      </w:r>
      <w:r w:rsidR="00311D3F">
        <w:t xml:space="preserve">line </w:t>
      </w:r>
      <w:r w:rsidRPr="0000108E">
        <w:t xml:space="preserve">5b + </w:t>
      </w:r>
      <w:r w:rsidR="00311D3F">
        <w:t xml:space="preserve">line </w:t>
      </w:r>
      <w:r w:rsidRPr="0000108E">
        <w:t>5c).  As requested</w:t>
      </w:r>
      <w:r w:rsidR="00BC144C">
        <w:t xml:space="preserve"> by AOPL</w:t>
      </w:r>
      <w:r w:rsidRPr="0000108E">
        <w:t>, the Commission a</w:t>
      </w:r>
      <w:r w:rsidR="00BC144C">
        <w:t>f</w:t>
      </w:r>
      <w:r w:rsidRPr="0000108E">
        <w:t>fi</w:t>
      </w:r>
      <w:r w:rsidR="00BC144C">
        <w:t>rm</w:t>
      </w:r>
      <w:r w:rsidRPr="0000108E">
        <w:t>s new line 5a</w:t>
      </w:r>
      <w:r w:rsidR="00057B8F">
        <w:t xml:space="preserve"> </w:t>
      </w:r>
      <w:r w:rsidR="001A0F68">
        <w:t xml:space="preserve">is </w:t>
      </w:r>
      <w:r w:rsidR="00057B8F">
        <w:t xml:space="preserve">intended </w:t>
      </w:r>
      <w:r w:rsidR="001A0F68">
        <w:t xml:space="preserve">to </w:t>
      </w:r>
      <w:r w:rsidRPr="0000108E">
        <w:t xml:space="preserve">reflect </w:t>
      </w:r>
      <w:r w:rsidR="001A0F68">
        <w:t xml:space="preserve">the </w:t>
      </w:r>
      <w:r w:rsidRPr="0000108E">
        <w:t>respondent</w:t>
      </w:r>
      <w:r>
        <w:t>’</w:t>
      </w:r>
      <w:r w:rsidRPr="0000108E">
        <w:t>s depreciated original cost rate base</w:t>
      </w:r>
      <w:r>
        <w:t xml:space="preserve"> consistent with Opinion </w:t>
      </w:r>
      <w:r w:rsidR="00757EA4">
        <w:t xml:space="preserve">     </w:t>
      </w:r>
      <w:r>
        <w:t>No. 154-B</w:t>
      </w:r>
      <w:r w:rsidR="002C76AB">
        <w:t xml:space="preserve"> and it will be titled to reflect such intent.  The depreciated original cost rate base will be </w:t>
      </w:r>
      <w:r w:rsidR="00057B8F">
        <w:t>added to the other two subparts</w:t>
      </w:r>
      <w:r w:rsidR="002C76AB">
        <w:t>, which</w:t>
      </w:r>
      <w:r w:rsidR="00057B8F">
        <w:t xml:space="preserve"> will comprise the </w:t>
      </w:r>
      <w:r w:rsidR="00B44C94">
        <w:t>oil pipeline</w:t>
      </w:r>
      <w:r w:rsidR="00057B8F">
        <w:t>’s total TOC rate base</w:t>
      </w:r>
      <w:r w:rsidRPr="0000108E">
        <w:t>.</w:t>
      </w:r>
    </w:p>
    <w:p w14:paraId="426CBA3A" w14:textId="77777777" w:rsidR="009A2F51" w:rsidRDefault="00332B60" w:rsidP="009A2F51">
      <w:pPr>
        <w:pStyle w:val="Heading2"/>
      </w:pPr>
      <w:bookmarkStart w:id="7" w:name="_bmk9"/>
      <w:r w:rsidRPr="0000108E">
        <w:lastRenderedPageBreak/>
        <w:t>R</w:t>
      </w:r>
      <w:bookmarkEnd w:id="7"/>
      <w:r w:rsidRPr="0000108E">
        <w:t>at</w:t>
      </w:r>
      <w:r w:rsidRPr="009A2F51">
        <w:t>e</w:t>
      </w:r>
      <w:r w:rsidRPr="0000108E">
        <w:t xml:space="preserve"> of Return</w:t>
      </w:r>
    </w:p>
    <w:p w14:paraId="426CBA3B" w14:textId="77777777" w:rsidR="00332B60" w:rsidRPr="0000108E" w:rsidRDefault="00332B60" w:rsidP="009A2F51">
      <w:pPr>
        <w:pStyle w:val="Heading3"/>
      </w:pPr>
      <w:bookmarkStart w:id="8" w:name="_bmk10"/>
      <w:r w:rsidRPr="009A2F51">
        <w:t>N</w:t>
      </w:r>
      <w:bookmarkEnd w:id="8"/>
      <w:r w:rsidRPr="009A2F51">
        <w:t>OPR</w:t>
      </w:r>
      <w:r w:rsidRPr="0000108E">
        <w:t xml:space="preserve"> </w:t>
      </w:r>
    </w:p>
    <w:p w14:paraId="426CBA3C" w14:textId="77777777" w:rsidR="00332B60" w:rsidRPr="0000108E" w:rsidRDefault="00332B60" w:rsidP="00332B60">
      <w:pPr>
        <w:pStyle w:val="FERCparanumber"/>
        <w:rPr>
          <w:szCs w:val="26"/>
        </w:rPr>
      </w:pPr>
      <w:r w:rsidRPr="0000108E">
        <w:rPr>
          <w:szCs w:val="26"/>
        </w:rPr>
        <w:t xml:space="preserve">The NOPR proposed to require </w:t>
      </w:r>
      <w:r w:rsidR="00214B0D">
        <w:rPr>
          <w:szCs w:val="26"/>
        </w:rPr>
        <w:t>oil</w:t>
      </w:r>
      <w:r w:rsidR="00B44C94">
        <w:rPr>
          <w:szCs w:val="26"/>
        </w:rPr>
        <w:t xml:space="preserve"> pipeline</w:t>
      </w:r>
      <w:r w:rsidRPr="0000108E">
        <w:rPr>
          <w:szCs w:val="26"/>
        </w:rPr>
        <w:t>s to report the cost of equity</w:t>
      </w:r>
      <w:r w:rsidR="00BC144C">
        <w:rPr>
          <w:szCs w:val="26"/>
        </w:rPr>
        <w:t xml:space="preserve">, </w:t>
      </w:r>
      <w:r w:rsidRPr="0000108E">
        <w:rPr>
          <w:szCs w:val="26"/>
        </w:rPr>
        <w:t>cost of debt</w:t>
      </w:r>
      <w:r w:rsidR="00BC144C">
        <w:rPr>
          <w:szCs w:val="26"/>
        </w:rPr>
        <w:t xml:space="preserve">, and </w:t>
      </w:r>
      <w:r w:rsidR="00057B8F">
        <w:rPr>
          <w:szCs w:val="26"/>
        </w:rPr>
        <w:t xml:space="preserve">the capital structure supporting the </w:t>
      </w:r>
      <w:r w:rsidRPr="0000108E">
        <w:rPr>
          <w:szCs w:val="26"/>
        </w:rPr>
        <w:t xml:space="preserve">overall </w:t>
      </w:r>
      <w:r w:rsidR="00B75C59">
        <w:rPr>
          <w:szCs w:val="26"/>
        </w:rPr>
        <w:t>w</w:t>
      </w:r>
      <w:r w:rsidRPr="0000108E">
        <w:rPr>
          <w:szCs w:val="26"/>
        </w:rPr>
        <w:t xml:space="preserve">eighted </w:t>
      </w:r>
      <w:r w:rsidR="00B75C59">
        <w:rPr>
          <w:szCs w:val="26"/>
        </w:rPr>
        <w:t>c</w:t>
      </w:r>
      <w:r w:rsidRPr="0000108E">
        <w:rPr>
          <w:szCs w:val="26"/>
        </w:rPr>
        <w:t xml:space="preserve">ost of </w:t>
      </w:r>
      <w:r w:rsidR="00B75C59">
        <w:rPr>
          <w:szCs w:val="26"/>
        </w:rPr>
        <w:t>c</w:t>
      </w:r>
      <w:r w:rsidR="00BC6172">
        <w:rPr>
          <w:szCs w:val="26"/>
        </w:rPr>
        <w:t>apital currently reported as Rate of Return</w:t>
      </w:r>
      <w:r w:rsidRPr="0000108E">
        <w:rPr>
          <w:szCs w:val="26"/>
        </w:rPr>
        <w:t xml:space="preserve"> on line 6, Page 700.  Specifically, the NOPR proposed to include additional information related to debt and equity capital structure ratios, </w:t>
      </w:r>
      <w:r w:rsidRPr="00757EA4">
        <w:rPr>
          <w:szCs w:val="26"/>
        </w:rPr>
        <w:t>i.e.</w:t>
      </w:r>
      <w:r w:rsidRPr="0000108E">
        <w:rPr>
          <w:szCs w:val="26"/>
        </w:rPr>
        <w:t xml:space="preserve">  </w:t>
      </w:r>
      <w:r w:rsidR="00757EA4">
        <w:rPr>
          <w:szCs w:val="26"/>
        </w:rPr>
        <w:t xml:space="preserve">    </w:t>
      </w:r>
      <w:r w:rsidRPr="0000108E">
        <w:rPr>
          <w:szCs w:val="26"/>
        </w:rPr>
        <w:t>(1) Rate of Return – Adjusted Capital Structure Ratio for Long Term Debt (proposed line 6a), (2) Rate of Return – Adjusted Capital Structure Ratio for Proprietary Capital (proposed line 6b).</w:t>
      </w:r>
      <w:r w:rsidRPr="0000108E">
        <w:rPr>
          <w:rStyle w:val="FootnoteReference"/>
        </w:rPr>
        <w:footnoteReference w:id="8"/>
      </w:r>
      <w:r w:rsidRPr="0000108E">
        <w:rPr>
          <w:szCs w:val="26"/>
        </w:rPr>
        <w:t xml:space="preserve">  The </w:t>
      </w:r>
      <w:r w:rsidR="00592CFF">
        <w:rPr>
          <w:szCs w:val="26"/>
        </w:rPr>
        <w:t>NOPR</w:t>
      </w:r>
      <w:r w:rsidRPr="0000108E">
        <w:rPr>
          <w:szCs w:val="26"/>
        </w:rPr>
        <w:t xml:space="preserve"> further propose</w:t>
      </w:r>
      <w:r w:rsidR="00592CFF">
        <w:rPr>
          <w:szCs w:val="26"/>
        </w:rPr>
        <w:t>d</w:t>
      </w:r>
      <w:r w:rsidRPr="0000108E">
        <w:rPr>
          <w:szCs w:val="26"/>
        </w:rPr>
        <w:t xml:space="preserve"> to add information related to the cost of debt and the cost of equity, specifically:  (1) Rate of Return – Cost of Long Term Debt Capital (proposed line 6c)</w:t>
      </w:r>
      <w:r w:rsidR="00823F9A">
        <w:rPr>
          <w:szCs w:val="26"/>
        </w:rPr>
        <w:t xml:space="preserve"> and </w:t>
      </w:r>
      <w:r w:rsidRPr="0000108E">
        <w:rPr>
          <w:szCs w:val="26"/>
        </w:rPr>
        <w:t xml:space="preserve">(2) Rate of Return – Real Cost of Proprietary Capital (proposed line 6d).  This additional information forms the basis for the Rate of Return – Weighted Average Cost of Capital (the </w:t>
      </w:r>
      <w:r w:rsidR="00057B8F">
        <w:rPr>
          <w:szCs w:val="26"/>
        </w:rPr>
        <w:t xml:space="preserve">sum of the product of </w:t>
      </w:r>
      <w:r w:rsidR="0069565C">
        <w:rPr>
          <w:szCs w:val="26"/>
        </w:rPr>
        <w:t xml:space="preserve">line </w:t>
      </w:r>
      <w:r w:rsidRPr="0000108E">
        <w:rPr>
          <w:szCs w:val="26"/>
        </w:rPr>
        <w:t>6a</w:t>
      </w:r>
      <w:r w:rsidR="000127D4">
        <w:rPr>
          <w:szCs w:val="26"/>
        </w:rPr>
        <w:t xml:space="preserve"> x </w:t>
      </w:r>
      <w:r w:rsidR="00B474F4">
        <w:rPr>
          <w:szCs w:val="26"/>
        </w:rPr>
        <w:t xml:space="preserve">line </w:t>
      </w:r>
      <w:r w:rsidRPr="0000108E">
        <w:rPr>
          <w:szCs w:val="26"/>
        </w:rPr>
        <w:t xml:space="preserve">6c </w:t>
      </w:r>
      <w:r w:rsidR="00883794">
        <w:rPr>
          <w:szCs w:val="26"/>
        </w:rPr>
        <w:t xml:space="preserve">added to the </w:t>
      </w:r>
      <w:r w:rsidR="00057B8F">
        <w:rPr>
          <w:szCs w:val="26"/>
        </w:rPr>
        <w:t xml:space="preserve">product of </w:t>
      </w:r>
      <w:r w:rsidR="0069565C">
        <w:rPr>
          <w:szCs w:val="26"/>
        </w:rPr>
        <w:t xml:space="preserve">line </w:t>
      </w:r>
      <w:r w:rsidRPr="0000108E">
        <w:rPr>
          <w:szCs w:val="26"/>
        </w:rPr>
        <w:t>6b</w:t>
      </w:r>
      <w:r w:rsidR="000127D4">
        <w:rPr>
          <w:szCs w:val="26"/>
        </w:rPr>
        <w:t xml:space="preserve"> x </w:t>
      </w:r>
      <w:r w:rsidR="0069565C">
        <w:rPr>
          <w:szCs w:val="26"/>
        </w:rPr>
        <w:t xml:space="preserve">line </w:t>
      </w:r>
      <w:r w:rsidR="00BC6172">
        <w:rPr>
          <w:szCs w:val="26"/>
        </w:rPr>
        <w:t>6d), which is now reported as Rate of Return</w:t>
      </w:r>
      <w:r w:rsidRPr="0000108E">
        <w:rPr>
          <w:szCs w:val="26"/>
        </w:rPr>
        <w:t xml:space="preserve"> on line 6 on Page 700 and which the </w:t>
      </w:r>
      <w:r w:rsidR="00592CFF">
        <w:rPr>
          <w:szCs w:val="26"/>
        </w:rPr>
        <w:t>NOPR</w:t>
      </w:r>
      <w:r w:rsidRPr="0000108E">
        <w:rPr>
          <w:szCs w:val="26"/>
        </w:rPr>
        <w:t xml:space="preserve"> propose</w:t>
      </w:r>
      <w:r w:rsidR="00592CFF">
        <w:rPr>
          <w:szCs w:val="26"/>
        </w:rPr>
        <w:t>d</w:t>
      </w:r>
      <w:r w:rsidRPr="0000108E">
        <w:rPr>
          <w:szCs w:val="26"/>
        </w:rPr>
        <w:t xml:space="preserve"> to move to line 6e.</w:t>
      </w:r>
    </w:p>
    <w:p w14:paraId="426CBA3D" w14:textId="77777777" w:rsidR="00332B60" w:rsidRPr="0000108E" w:rsidRDefault="00332B60" w:rsidP="009A2F51">
      <w:pPr>
        <w:pStyle w:val="Heading3"/>
      </w:pPr>
      <w:bookmarkStart w:id="9" w:name="_bmk11"/>
      <w:r w:rsidRPr="0000108E">
        <w:t>C</w:t>
      </w:r>
      <w:bookmarkEnd w:id="9"/>
      <w:r w:rsidRPr="009A2F51">
        <w:t>o</w:t>
      </w:r>
      <w:r w:rsidRPr="0000108E">
        <w:t>mments</w:t>
      </w:r>
    </w:p>
    <w:p w14:paraId="426CBA3E" w14:textId="77777777" w:rsidR="00332B60" w:rsidRPr="0000108E" w:rsidRDefault="00332B60" w:rsidP="00332B60">
      <w:pPr>
        <w:pStyle w:val="FERCparanumber"/>
        <w:rPr>
          <w:szCs w:val="26"/>
        </w:rPr>
      </w:pPr>
      <w:r w:rsidRPr="0000108E">
        <w:rPr>
          <w:szCs w:val="26"/>
        </w:rPr>
        <w:t xml:space="preserve">AOPL </w:t>
      </w:r>
      <w:r>
        <w:rPr>
          <w:szCs w:val="26"/>
        </w:rPr>
        <w:t xml:space="preserve">seeks </w:t>
      </w:r>
      <w:r w:rsidRPr="0000108E">
        <w:rPr>
          <w:szCs w:val="26"/>
        </w:rPr>
        <w:t xml:space="preserve">clarification </w:t>
      </w:r>
      <w:r>
        <w:rPr>
          <w:szCs w:val="26"/>
        </w:rPr>
        <w:t>as to proposed lines 6b and</w:t>
      </w:r>
      <w:r w:rsidR="000432C0">
        <w:rPr>
          <w:szCs w:val="26"/>
        </w:rPr>
        <w:t xml:space="preserve"> 6d.  AOPL notes that the term </w:t>
      </w:r>
      <w:r w:rsidR="005A7DDA">
        <w:rPr>
          <w:szCs w:val="26"/>
        </w:rPr>
        <w:t>P</w:t>
      </w:r>
      <w:r>
        <w:rPr>
          <w:szCs w:val="26"/>
        </w:rPr>
        <w:t xml:space="preserve">roprietary </w:t>
      </w:r>
      <w:r w:rsidR="005A7DDA">
        <w:rPr>
          <w:szCs w:val="26"/>
        </w:rPr>
        <w:t>C</w:t>
      </w:r>
      <w:r w:rsidR="000432C0">
        <w:rPr>
          <w:szCs w:val="26"/>
        </w:rPr>
        <w:t>apital</w:t>
      </w:r>
      <w:r>
        <w:rPr>
          <w:szCs w:val="26"/>
        </w:rPr>
        <w:t xml:space="preserve"> is not defined and does not appear in any Commission regulations governing </w:t>
      </w:r>
      <w:r w:rsidR="00214B0D">
        <w:rPr>
          <w:szCs w:val="26"/>
        </w:rPr>
        <w:t>oil</w:t>
      </w:r>
      <w:r w:rsidR="00B44C94">
        <w:rPr>
          <w:szCs w:val="26"/>
        </w:rPr>
        <w:t xml:space="preserve"> pipeline</w:t>
      </w:r>
      <w:r>
        <w:rPr>
          <w:szCs w:val="26"/>
        </w:rPr>
        <w:t>s.</w:t>
      </w:r>
      <w:r>
        <w:rPr>
          <w:rStyle w:val="FootnoteReference"/>
        </w:rPr>
        <w:footnoteReference w:id="9"/>
      </w:r>
      <w:r>
        <w:rPr>
          <w:szCs w:val="26"/>
        </w:rPr>
        <w:t xml:space="preserve">  Therefore, </w:t>
      </w:r>
      <w:r w:rsidRPr="0000108E">
        <w:rPr>
          <w:szCs w:val="26"/>
        </w:rPr>
        <w:t xml:space="preserve">to the extent the Commission determines </w:t>
      </w:r>
      <w:r w:rsidRPr="0000108E">
        <w:rPr>
          <w:szCs w:val="26"/>
        </w:rPr>
        <w:lastRenderedPageBreak/>
        <w:t>it is appropriate to provide additional information regarding the weighted average cost of capital</w:t>
      </w:r>
      <w:r w:rsidR="003177E3">
        <w:rPr>
          <w:szCs w:val="26"/>
        </w:rPr>
        <w:t>,</w:t>
      </w:r>
      <w:r w:rsidR="003177E3" w:rsidRPr="003177E3">
        <w:rPr>
          <w:szCs w:val="26"/>
        </w:rPr>
        <w:t xml:space="preserve"> </w:t>
      </w:r>
      <w:r w:rsidR="003177E3">
        <w:rPr>
          <w:szCs w:val="26"/>
        </w:rPr>
        <w:t>AOPL requests</w:t>
      </w:r>
      <w:r w:rsidRPr="0000108E">
        <w:rPr>
          <w:szCs w:val="26"/>
        </w:rPr>
        <w:t xml:space="preserve"> that </w:t>
      </w:r>
      <w:r w:rsidR="003177E3">
        <w:rPr>
          <w:szCs w:val="26"/>
        </w:rPr>
        <w:t>the Commission</w:t>
      </w:r>
      <w:r w:rsidR="003177E3" w:rsidRPr="0000108E">
        <w:rPr>
          <w:szCs w:val="26"/>
        </w:rPr>
        <w:t xml:space="preserve"> </w:t>
      </w:r>
      <w:r>
        <w:rPr>
          <w:szCs w:val="26"/>
        </w:rPr>
        <w:t>“</w:t>
      </w:r>
      <w:r w:rsidRPr="00863418">
        <w:rPr>
          <w:szCs w:val="26"/>
        </w:rPr>
        <w:t xml:space="preserve">clarify line 6b is to provide the adjusted equity capital ratio computed in a manner consistent with the Commission’s prior findings in Opinion No. 351-A, and that line 6d is to provide the allowed real return on equity referenced in the Commission’s policy statement regarding the determination of </w:t>
      </w:r>
      <w:r w:rsidR="00214B0D">
        <w:rPr>
          <w:szCs w:val="26"/>
        </w:rPr>
        <w:t>oil</w:t>
      </w:r>
      <w:r w:rsidR="00B44C94">
        <w:rPr>
          <w:szCs w:val="26"/>
        </w:rPr>
        <w:t xml:space="preserve"> pipeline</w:t>
      </w:r>
      <w:r w:rsidRPr="00863418">
        <w:rPr>
          <w:szCs w:val="26"/>
        </w:rPr>
        <w:t xml:space="preserve"> equity returns.</w:t>
      </w:r>
      <w:r>
        <w:rPr>
          <w:szCs w:val="26"/>
        </w:rPr>
        <w:t>”</w:t>
      </w:r>
      <w:r w:rsidRPr="0000108E">
        <w:rPr>
          <w:rStyle w:val="FootnoteReference"/>
        </w:rPr>
        <w:footnoteReference w:id="10"/>
      </w:r>
      <w:r w:rsidRPr="0000108E">
        <w:rPr>
          <w:szCs w:val="26"/>
        </w:rPr>
        <w:t xml:space="preserve">  </w:t>
      </w:r>
    </w:p>
    <w:p w14:paraId="426CBA3F" w14:textId="77777777" w:rsidR="009A2F51" w:rsidRPr="009A2F51" w:rsidRDefault="00B75C59" w:rsidP="00332B60">
      <w:pPr>
        <w:pStyle w:val="FERCparanumber"/>
        <w:rPr>
          <w:b/>
          <w:szCs w:val="26"/>
        </w:rPr>
      </w:pPr>
      <w:r>
        <w:rPr>
          <w:szCs w:val="26"/>
        </w:rPr>
        <w:t xml:space="preserve">In contrast, </w:t>
      </w:r>
      <w:r w:rsidR="00332B60" w:rsidRPr="0000108E">
        <w:rPr>
          <w:szCs w:val="26"/>
        </w:rPr>
        <w:t>A4A and the NP</w:t>
      </w:r>
      <w:r w:rsidR="00036AFC">
        <w:rPr>
          <w:szCs w:val="26"/>
        </w:rPr>
        <w:t>G</w:t>
      </w:r>
      <w:r w:rsidR="00332B60" w:rsidRPr="0000108E">
        <w:rPr>
          <w:szCs w:val="26"/>
        </w:rPr>
        <w:t>A submitted comments</w:t>
      </w:r>
      <w:r w:rsidR="00332B60">
        <w:rPr>
          <w:szCs w:val="26"/>
        </w:rPr>
        <w:t xml:space="preserve"> agreeing that the proposed information is necessary to understand both the return on rate base composition and </w:t>
      </w:r>
      <w:r w:rsidR="00214B0D">
        <w:rPr>
          <w:szCs w:val="26"/>
        </w:rPr>
        <w:t>an oil</w:t>
      </w:r>
      <w:r w:rsidR="00B44C94">
        <w:rPr>
          <w:szCs w:val="26"/>
        </w:rPr>
        <w:t xml:space="preserve"> pipeline</w:t>
      </w:r>
      <w:r w:rsidR="00332B60">
        <w:rPr>
          <w:szCs w:val="26"/>
        </w:rPr>
        <w:t>’s actual rate of return on equity</w:t>
      </w:r>
      <w:r w:rsidR="00332B60" w:rsidRPr="0000108E">
        <w:rPr>
          <w:szCs w:val="26"/>
        </w:rPr>
        <w:t>.</w:t>
      </w:r>
      <w:r w:rsidR="00332B60">
        <w:rPr>
          <w:rStyle w:val="FootnoteReference"/>
        </w:rPr>
        <w:footnoteReference w:id="11"/>
      </w:r>
      <w:r w:rsidR="00332B60">
        <w:rPr>
          <w:szCs w:val="26"/>
        </w:rPr>
        <w:t xml:space="preserve">  However, </w:t>
      </w:r>
      <w:r w:rsidR="00332B60" w:rsidRPr="005B37D6">
        <w:rPr>
          <w:szCs w:val="26"/>
        </w:rPr>
        <w:t>A4A and NPGA propose that the Commission revise its Rate of Return</w:t>
      </w:r>
      <w:r w:rsidR="00592CFF">
        <w:rPr>
          <w:szCs w:val="26"/>
        </w:rPr>
        <w:t xml:space="preserve"> </w:t>
      </w:r>
      <w:r w:rsidR="00332B60" w:rsidRPr="005B37D6">
        <w:rPr>
          <w:szCs w:val="26"/>
        </w:rPr>
        <w:t>- Real Cost of Propriety Capital of 14.25</w:t>
      </w:r>
      <w:r w:rsidR="00592CFF">
        <w:rPr>
          <w:szCs w:val="26"/>
        </w:rPr>
        <w:t xml:space="preserve"> percent</w:t>
      </w:r>
      <w:r w:rsidR="00332B60" w:rsidRPr="005B37D6">
        <w:rPr>
          <w:szCs w:val="26"/>
        </w:rPr>
        <w:t xml:space="preserve"> that appears in proposed </w:t>
      </w:r>
      <w:r>
        <w:rPr>
          <w:szCs w:val="26"/>
        </w:rPr>
        <w:t>l</w:t>
      </w:r>
      <w:r w:rsidR="00332B60" w:rsidRPr="005B37D6">
        <w:rPr>
          <w:szCs w:val="26"/>
        </w:rPr>
        <w:t xml:space="preserve">ine 6d, </w:t>
      </w:r>
      <w:r w:rsidR="00592CFF">
        <w:rPr>
          <w:szCs w:val="26"/>
        </w:rPr>
        <w:t>“</w:t>
      </w:r>
      <w:r w:rsidR="00332B60" w:rsidRPr="005B37D6">
        <w:rPr>
          <w:szCs w:val="26"/>
        </w:rPr>
        <w:t>because the figure seems anomalously large as a real rate of return on equity.</w:t>
      </w:r>
      <w:r w:rsidR="00592CFF">
        <w:rPr>
          <w:szCs w:val="26"/>
        </w:rPr>
        <w:t>”</w:t>
      </w:r>
      <w:r w:rsidR="00592CFF">
        <w:rPr>
          <w:rStyle w:val="FootnoteReference"/>
        </w:rPr>
        <w:footnoteReference w:id="12"/>
      </w:r>
      <w:r w:rsidR="00332B60" w:rsidRPr="0000108E">
        <w:rPr>
          <w:szCs w:val="26"/>
        </w:rPr>
        <w:t xml:space="preserve">  </w:t>
      </w:r>
    </w:p>
    <w:p w14:paraId="426CBA40" w14:textId="77777777" w:rsidR="00332B60" w:rsidRPr="0000108E" w:rsidRDefault="00332B60" w:rsidP="009A2F51">
      <w:pPr>
        <w:pStyle w:val="Heading3"/>
      </w:pPr>
      <w:bookmarkStart w:id="10" w:name="_bmk12"/>
      <w:r w:rsidRPr="0000108E">
        <w:t>C</w:t>
      </w:r>
      <w:bookmarkEnd w:id="10"/>
      <w:r w:rsidRPr="0000108E">
        <w:t xml:space="preserve">ommission </w:t>
      </w:r>
      <w:r w:rsidR="00544C5D">
        <w:t>Determination</w:t>
      </w:r>
    </w:p>
    <w:p w14:paraId="426CBA41" w14:textId="77777777" w:rsidR="00432AC0" w:rsidRPr="00337160" w:rsidRDefault="00057B8F" w:rsidP="00057B8F">
      <w:pPr>
        <w:pStyle w:val="FERCparanumber"/>
      </w:pPr>
      <w:r w:rsidRPr="00DE1F4F">
        <w:rPr>
          <w:szCs w:val="26"/>
        </w:rPr>
        <w:t>The Commission adopts</w:t>
      </w:r>
      <w:r w:rsidR="00CF55A8">
        <w:rPr>
          <w:szCs w:val="26"/>
        </w:rPr>
        <w:t xml:space="preserve"> the NOPR proposal to enhance the rate of return information on Page 700 by</w:t>
      </w:r>
      <w:r w:rsidR="00A55CDC">
        <w:rPr>
          <w:szCs w:val="26"/>
        </w:rPr>
        <w:t xml:space="preserve"> adding to</w:t>
      </w:r>
      <w:r w:rsidR="00CF55A8">
        <w:rPr>
          <w:szCs w:val="26"/>
        </w:rPr>
        <w:t xml:space="preserve"> line 6 of Page 700</w:t>
      </w:r>
      <w:r w:rsidR="005A7DDA">
        <w:rPr>
          <w:szCs w:val="26"/>
        </w:rPr>
        <w:t>,</w:t>
      </w:r>
      <w:r w:rsidR="00CF55A8">
        <w:rPr>
          <w:szCs w:val="26"/>
        </w:rPr>
        <w:t xml:space="preserve"> as modified </w:t>
      </w:r>
      <w:r w:rsidR="003177E3">
        <w:rPr>
          <w:szCs w:val="26"/>
        </w:rPr>
        <w:t>below</w:t>
      </w:r>
      <w:r w:rsidR="000432C0">
        <w:rPr>
          <w:szCs w:val="26"/>
        </w:rPr>
        <w:t xml:space="preserve">.  The NOPR’s use of the term </w:t>
      </w:r>
      <w:r w:rsidR="00CA6AFE">
        <w:rPr>
          <w:szCs w:val="26"/>
        </w:rPr>
        <w:t>P</w:t>
      </w:r>
      <w:r w:rsidRPr="00DE1F4F">
        <w:rPr>
          <w:szCs w:val="26"/>
        </w:rPr>
        <w:t xml:space="preserve">roprietary </w:t>
      </w:r>
      <w:r w:rsidR="00CA6AFE">
        <w:rPr>
          <w:szCs w:val="26"/>
        </w:rPr>
        <w:t>C</w:t>
      </w:r>
      <w:r w:rsidR="000432C0">
        <w:rPr>
          <w:szCs w:val="26"/>
        </w:rPr>
        <w:t>apital</w:t>
      </w:r>
      <w:r w:rsidRPr="00DE1F4F">
        <w:rPr>
          <w:szCs w:val="26"/>
        </w:rPr>
        <w:t xml:space="preserve"> was not meant to create a new ratemaking concept.</w:t>
      </w:r>
      <w:r w:rsidR="00432AC0">
        <w:rPr>
          <w:szCs w:val="26"/>
        </w:rPr>
        <w:t xml:space="preserve">  Th</w:t>
      </w:r>
      <w:r w:rsidR="000432C0">
        <w:rPr>
          <w:szCs w:val="26"/>
        </w:rPr>
        <w:t xml:space="preserve">e Commission borrowed the term </w:t>
      </w:r>
      <w:r w:rsidR="005A7DDA">
        <w:rPr>
          <w:szCs w:val="26"/>
        </w:rPr>
        <w:t>P</w:t>
      </w:r>
      <w:r w:rsidR="00432AC0">
        <w:rPr>
          <w:szCs w:val="26"/>
        </w:rPr>
        <w:t xml:space="preserve">roprietary </w:t>
      </w:r>
      <w:r w:rsidR="005A7DDA">
        <w:rPr>
          <w:szCs w:val="26"/>
        </w:rPr>
        <w:t>C</w:t>
      </w:r>
      <w:r w:rsidR="000432C0">
        <w:rPr>
          <w:szCs w:val="26"/>
        </w:rPr>
        <w:t>apital</w:t>
      </w:r>
      <w:r w:rsidR="00432AC0">
        <w:rPr>
          <w:szCs w:val="26"/>
        </w:rPr>
        <w:t xml:space="preserve"> from the</w:t>
      </w:r>
      <w:r w:rsidR="00337160">
        <w:rPr>
          <w:szCs w:val="26"/>
        </w:rPr>
        <w:t xml:space="preserve"> </w:t>
      </w:r>
      <w:r w:rsidR="005A7DDA">
        <w:rPr>
          <w:szCs w:val="26"/>
        </w:rPr>
        <w:t xml:space="preserve">listing of </w:t>
      </w:r>
      <w:r w:rsidR="00337160">
        <w:rPr>
          <w:szCs w:val="26"/>
        </w:rPr>
        <w:lastRenderedPageBreak/>
        <w:t xml:space="preserve">balance sheet chart of accounts in the </w:t>
      </w:r>
      <w:r w:rsidR="00432AC0">
        <w:rPr>
          <w:szCs w:val="26"/>
        </w:rPr>
        <w:t>Uniform System of Account</w:t>
      </w:r>
      <w:r w:rsidR="00337160">
        <w:rPr>
          <w:szCs w:val="26"/>
        </w:rPr>
        <w:t>s</w:t>
      </w:r>
      <w:r w:rsidR="00432AC0">
        <w:rPr>
          <w:szCs w:val="26"/>
        </w:rPr>
        <w:t xml:space="preserve"> (USofA) for the natural gas and electric industries.</w:t>
      </w:r>
      <w:r w:rsidR="00432AC0">
        <w:rPr>
          <w:rStyle w:val="FootnoteReference"/>
        </w:rPr>
        <w:footnoteReference w:id="13"/>
      </w:r>
      <w:r w:rsidR="00432AC0">
        <w:rPr>
          <w:szCs w:val="26"/>
        </w:rPr>
        <w:t xml:space="preserve">  The corresponding title for the oil industry as shown in </w:t>
      </w:r>
      <w:r w:rsidR="00337160">
        <w:rPr>
          <w:szCs w:val="26"/>
        </w:rPr>
        <w:t xml:space="preserve">account 797, </w:t>
      </w:r>
      <w:r w:rsidR="00432AC0">
        <w:rPr>
          <w:szCs w:val="26"/>
        </w:rPr>
        <w:t xml:space="preserve">Form </w:t>
      </w:r>
      <w:r w:rsidR="00337160">
        <w:rPr>
          <w:szCs w:val="26"/>
        </w:rPr>
        <w:t>of Balance Sheet Statement</w:t>
      </w:r>
      <w:r w:rsidR="000432C0">
        <w:rPr>
          <w:szCs w:val="26"/>
        </w:rPr>
        <w:t xml:space="preserve"> is </w:t>
      </w:r>
      <w:r w:rsidR="00432AC0">
        <w:rPr>
          <w:szCs w:val="26"/>
        </w:rPr>
        <w:t>Stockholder’s Equity.</w:t>
      </w:r>
      <w:r w:rsidR="00432AC0">
        <w:rPr>
          <w:rStyle w:val="FootnoteReference"/>
        </w:rPr>
        <w:footnoteReference w:id="14"/>
      </w:r>
    </w:p>
    <w:p w14:paraId="426CBA42" w14:textId="77777777" w:rsidR="00057B8F" w:rsidRPr="00DE1F4F" w:rsidRDefault="003177E3" w:rsidP="00057B8F">
      <w:pPr>
        <w:pStyle w:val="FERCparanumber"/>
      </w:pPr>
      <w:r>
        <w:rPr>
          <w:szCs w:val="26"/>
        </w:rPr>
        <w:t>T</w:t>
      </w:r>
      <w:r w:rsidR="00432AC0">
        <w:t xml:space="preserve">o be consistent with the language of </w:t>
      </w:r>
      <w:r w:rsidR="00B75C59">
        <w:t xml:space="preserve">the USofA for the </w:t>
      </w:r>
      <w:r w:rsidR="00214B0D">
        <w:t>oil</w:t>
      </w:r>
      <w:r w:rsidR="00B44C94">
        <w:t xml:space="preserve"> pipeline</w:t>
      </w:r>
      <w:r w:rsidR="00B75C59">
        <w:t xml:space="preserve"> industry</w:t>
      </w:r>
      <w:r w:rsidR="00432AC0">
        <w:t xml:space="preserve">, the Commission will change the </w:t>
      </w:r>
      <w:r w:rsidR="00AA184D">
        <w:t xml:space="preserve">term </w:t>
      </w:r>
      <w:r w:rsidR="00CA6AFE">
        <w:t>P</w:t>
      </w:r>
      <w:r w:rsidR="00432AC0">
        <w:t xml:space="preserve">roprietary </w:t>
      </w:r>
      <w:r w:rsidR="00CA6AFE">
        <w:t>C</w:t>
      </w:r>
      <w:r w:rsidR="000432C0">
        <w:t>apital</w:t>
      </w:r>
      <w:r w:rsidR="00432AC0">
        <w:t xml:space="preserve"> in </w:t>
      </w:r>
      <w:r w:rsidR="000432C0">
        <w:t>the line 6 series to Stockholder’s Equity.</w:t>
      </w:r>
      <w:r w:rsidR="00432AC0">
        <w:t xml:space="preserve">  </w:t>
      </w:r>
      <w:r w:rsidR="00AA184D">
        <w:t xml:space="preserve">The Commission also grants AOPL’s clarification that the adjusted equity capital ratio should be calculated in a manner consistent with the Commission’s prior findings in Opinion No. 351-A.  </w:t>
      </w:r>
      <w:r w:rsidR="00057B8F" w:rsidRPr="00582640">
        <w:rPr>
          <w:szCs w:val="26"/>
        </w:rPr>
        <w:t xml:space="preserve">Likewise, </w:t>
      </w:r>
      <w:r w:rsidR="00432AC0" w:rsidRPr="00582640">
        <w:rPr>
          <w:szCs w:val="26"/>
        </w:rPr>
        <w:t xml:space="preserve">the Commission notes that </w:t>
      </w:r>
      <w:r w:rsidR="00057B8F" w:rsidRPr="00582640">
        <w:rPr>
          <w:szCs w:val="26"/>
        </w:rPr>
        <w:t>AOPL is correct that line 6d is intended to provide the allowed real return on equity referenced in the Commission’s R</w:t>
      </w:r>
      <w:r w:rsidR="00582640">
        <w:rPr>
          <w:szCs w:val="26"/>
        </w:rPr>
        <w:t>eturn on Equity</w:t>
      </w:r>
      <w:r w:rsidR="00057B8F" w:rsidRPr="00582640">
        <w:rPr>
          <w:szCs w:val="26"/>
        </w:rPr>
        <w:t xml:space="preserve"> Policy Statement.</w:t>
      </w:r>
      <w:r w:rsidR="00057B8F" w:rsidRPr="00337160">
        <w:rPr>
          <w:szCs w:val="26"/>
        </w:rPr>
        <w:t xml:space="preserve">  </w:t>
      </w:r>
    </w:p>
    <w:p w14:paraId="426CBA43" w14:textId="77777777" w:rsidR="00B75C59" w:rsidRPr="009C6927" w:rsidRDefault="00332B60" w:rsidP="00DE1F4F">
      <w:pPr>
        <w:pStyle w:val="FERCparanumber"/>
      </w:pPr>
      <w:r w:rsidRPr="00766B4D">
        <w:rPr>
          <w:szCs w:val="26"/>
        </w:rPr>
        <w:t>The Commission adopts the NOPR proposal to enhance the rate of return information on Page 700 by adding data</w:t>
      </w:r>
      <w:r w:rsidR="00A55CDC">
        <w:rPr>
          <w:szCs w:val="26"/>
        </w:rPr>
        <w:t xml:space="preserve"> to</w:t>
      </w:r>
      <w:r w:rsidRPr="00766B4D">
        <w:rPr>
          <w:szCs w:val="26"/>
        </w:rPr>
        <w:t xml:space="preserve"> line 6 of Page 700.  The new line 6 </w:t>
      </w:r>
      <w:r w:rsidR="00B24539" w:rsidRPr="00F57B30">
        <w:rPr>
          <w:szCs w:val="26"/>
        </w:rPr>
        <w:t xml:space="preserve">series </w:t>
      </w:r>
      <w:r w:rsidRPr="00F57B30">
        <w:rPr>
          <w:szCs w:val="26"/>
        </w:rPr>
        <w:t xml:space="preserve">will reflect </w:t>
      </w:r>
      <w:r w:rsidR="00883794" w:rsidRPr="00B11476">
        <w:rPr>
          <w:szCs w:val="26"/>
        </w:rPr>
        <w:t xml:space="preserve">a wording change as clarified above and will include </w:t>
      </w:r>
      <w:r w:rsidRPr="00B6747C">
        <w:rPr>
          <w:szCs w:val="26"/>
        </w:rPr>
        <w:t xml:space="preserve">additional information related to debt and equity capital structure ratios in the following manner:  </w:t>
      </w:r>
      <w:r w:rsidR="00883794" w:rsidRPr="00B6747C">
        <w:rPr>
          <w:szCs w:val="26"/>
        </w:rPr>
        <w:t>(1) Rate of Return – Adjusted Capital Structure Ratio for Long Term Debt (line 6a), (2) Rate of Return – Adjusted Capital Structure Ratio for Stockholder’s Equity (line 6b).  The Commission further add</w:t>
      </w:r>
      <w:r w:rsidR="00417E75">
        <w:rPr>
          <w:szCs w:val="26"/>
        </w:rPr>
        <w:t>s</w:t>
      </w:r>
      <w:r w:rsidR="00883794" w:rsidRPr="00B6747C">
        <w:rPr>
          <w:szCs w:val="26"/>
        </w:rPr>
        <w:t xml:space="preserve"> information related to the cost of debt and the cost of equity, specifically:  (1) Rate of Return – Cost of Long Term Debt Capital (line 6c), (2) Rate of Return – Real Cost of Stockholder’s Equity (line 6d).  </w:t>
      </w:r>
      <w:r w:rsidRPr="00B6747C">
        <w:rPr>
          <w:szCs w:val="26"/>
        </w:rPr>
        <w:t xml:space="preserve">This additional information forms </w:t>
      </w:r>
      <w:r w:rsidRPr="00B6747C">
        <w:rPr>
          <w:szCs w:val="26"/>
        </w:rPr>
        <w:lastRenderedPageBreak/>
        <w:t xml:space="preserve">the basis for the Rate of Return – Weighted Average Cost of Capital (the </w:t>
      </w:r>
      <w:r w:rsidR="00883794" w:rsidRPr="00B6747C">
        <w:rPr>
          <w:szCs w:val="26"/>
        </w:rPr>
        <w:t xml:space="preserve">sum of the product </w:t>
      </w:r>
      <w:r w:rsidR="00766B4D" w:rsidRPr="00B6747C">
        <w:rPr>
          <w:szCs w:val="26"/>
        </w:rPr>
        <w:t xml:space="preserve">line </w:t>
      </w:r>
      <w:r w:rsidRPr="00B6747C">
        <w:rPr>
          <w:szCs w:val="26"/>
        </w:rPr>
        <w:t xml:space="preserve">6a </w:t>
      </w:r>
      <w:r w:rsidR="00766B4D" w:rsidRPr="00B6747C">
        <w:rPr>
          <w:szCs w:val="26"/>
        </w:rPr>
        <w:t xml:space="preserve">and line </w:t>
      </w:r>
      <w:r w:rsidRPr="00B6747C">
        <w:rPr>
          <w:szCs w:val="26"/>
        </w:rPr>
        <w:t xml:space="preserve">6c </w:t>
      </w:r>
      <w:r w:rsidR="00883794" w:rsidRPr="00B6747C">
        <w:rPr>
          <w:szCs w:val="26"/>
        </w:rPr>
        <w:t xml:space="preserve">added to the product of </w:t>
      </w:r>
      <w:r w:rsidR="00766B4D" w:rsidRPr="00B6747C">
        <w:rPr>
          <w:szCs w:val="26"/>
        </w:rPr>
        <w:t xml:space="preserve">line </w:t>
      </w:r>
      <w:r w:rsidRPr="00B6747C">
        <w:rPr>
          <w:szCs w:val="26"/>
        </w:rPr>
        <w:t xml:space="preserve">6b </w:t>
      </w:r>
      <w:r w:rsidR="00766B4D" w:rsidRPr="00B6747C">
        <w:rPr>
          <w:szCs w:val="26"/>
        </w:rPr>
        <w:t xml:space="preserve">and </w:t>
      </w:r>
      <w:r w:rsidR="000432C0">
        <w:rPr>
          <w:szCs w:val="26"/>
        </w:rPr>
        <w:t>6d), which is now reported as Rate of Return</w:t>
      </w:r>
      <w:r w:rsidRPr="00B6747C">
        <w:rPr>
          <w:szCs w:val="26"/>
        </w:rPr>
        <w:t xml:space="preserve"> on line 6 on Page 700 and which the Commission proposes to move to line 6e</w:t>
      </w:r>
      <w:r w:rsidR="002D57A4">
        <w:rPr>
          <w:szCs w:val="26"/>
        </w:rPr>
        <w:t xml:space="preserve">, and </w:t>
      </w:r>
      <w:r w:rsidR="00A55CDC">
        <w:rPr>
          <w:szCs w:val="26"/>
        </w:rPr>
        <w:t>label</w:t>
      </w:r>
      <w:r w:rsidR="008A1CDD">
        <w:rPr>
          <w:szCs w:val="26"/>
        </w:rPr>
        <w:t xml:space="preserve"> </w:t>
      </w:r>
      <w:r w:rsidR="002D57A4">
        <w:rPr>
          <w:szCs w:val="26"/>
        </w:rPr>
        <w:t>Rate of Return – Weighted Average Cost of Capital – (line 6a x line 6c + line 6b x line 6d).</w:t>
      </w:r>
    </w:p>
    <w:p w14:paraId="426CBA44" w14:textId="77777777" w:rsidR="00B75C59" w:rsidRDefault="00B75C59" w:rsidP="00B75C59">
      <w:pPr>
        <w:pStyle w:val="FERCparanumber"/>
      </w:pPr>
      <w:r>
        <w:t xml:space="preserve">The Commission denies A4A’s and NPGA’s request to change the 14.25 percent figure in Appendix B.  The inputs contained in Appendix B were solely used for illustrative purposes and should </w:t>
      </w:r>
      <w:r w:rsidR="005D0214">
        <w:t xml:space="preserve">not </w:t>
      </w:r>
      <w:r>
        <w:t>be viewed as having</w:t>
      </w:r>
      <w:r w:rsidR="00036AFC">
        <w:t xml:space="preserve"> any precedential value.</w:t>
      </w:r>
    </w:p>
    <w:p w14:paraId="426CBA45" w14:textId="77777777" w:rsidR="009A2F51" w:rsidRDefault="00332B60" w:rsidP="009A2F51">
      <w:pPr>
        <w:pStyle w:val="Heading2"/>
      </w:pPr>
      <w:bookmarkStart w:id="11" w:name="_bmk13"/>
      <w:r w:rsidRPr="0000108E">
        <w:t>R</w:t>
      </w:r>
      <w:bookmarkEnd w:id="11"/>
      <w:r w:rsidRPr="0000108E">
        <w:t>eturn on Rate Base</w:t>
      </w:r>
    </w:p>
    <w:p w14:paraId="426CBA46" w14:textId="77777777" w:rsidR="00332B60" w:rsidRPr="0000108E" w:rsidRDefault="00332B60" w:rsidP="009A2F51">
      <w:pPr>
        <w:pStyle w:val="Heading3"/>
        <w:rPr>
          <w:u w:val="none"/>
        </w:rPr>
      </w:pPr>
      <w:bookmarkStart w:id="12" w:name="_bmk14"/>
      <w:r w:rsidRPr="0000108E">
        <w:t>N</w:t>
      </w:r>
      <w:bookmarkEnd w:id="12"/>
      <w:r w:rsidRPr="0000108E">
        <w:t>OPR</w:t>
      </w:r>
      <w:r w:rsidRPr="0000108E">
        <w:rPr>
          <w:u w:val="none"/>
        </w:rPr>
        <w:t xml:space="preserve"> </w:t>
      </w:r>
    </w:p>
    <w:p w14:paraId="426CBA47" w14:textId="77777777" w:rsidR="004D3EE3" w:rsidRPr="004D3EE3" w:rsidRDefault="00332B60" w:rsidP="00332B60">
      <w:pPr>
        <w:pStyle w:val="FERCparanumber"/>
        <w:rPr>
          <w:b/>
          <w:szCs w:val="26"/>
        </w:rPr>
      </w:pPr>
      <w:r w:rsidRPr="0000108E">
        <w:rPr>
          <w:szCs w:val="26"/>
        </w:rPr>
        <w:t xml:space="preserve">The NOPR proposed to require </w:t>
      </w:r>
      <w:r w:rsidR="00214B0D">
        <w:rPr>
          <w:szCs w:val="26"/>
        </w:rPr>
        <w:t>oil</w:t>
      </w:r>
      <w:r w:rsidR="00B44C94">
        <w:rPr>
          <w:szCs w:val="26"/>
        </w:rPr>
        <w:t xml:space="preserve"> pipeline</w:t>
      </w:r>
      <w:r w:rsidRPr="0000108E">
        <w:rPr>
          <w:szCs w:val="26"/>
        </w:rPr>
        <w:t>s to report additional information related to the Return on Rate Base in line 7.</w:t>
      </w:r>
      <w:r w:rsidR="005F1BE1">
        <w:rPr>
          <w:rStyle w:val="FootnoteReference"/>
        </w:rPr>
        <w:footnoteReference w:id="15"/>
      </w:r>
      <w:r w:rsidR="005F1BE1">
        <w:rPr>
          <w:szCs w:val="26"/>
        </w:rPr>
        <w:t xml:space="preserve">  </w:t>
      </w:r>
      <w:r w:rsidRPr="0000108E">
        <w:rPr>
          <w:szCs w:val="26"/>
        </w:rPr>
        <w:t xml:space="preserve">The Return on Rate Base currently reported on line 7 combines the </w:t>
      </w:r>
      <w:r w:rsidR="00214B0D">
        <w:rPr>
          <w:szCs w:val="26"/>
        </w:rPr>
        <w:t>oil</w:t>
      </w:r>
      <w:r w:rsidR="00B44C94">
        <w:rPr>
          <w:szCs w:val="26"/>
        </w:rPr>
        <w:t xml:space="preserve"> pipeline</w:t>
      </w:r>
      <w:r w:rsidRPr="0000108E">
        <w:rPr>
          <w:szCs w:val="26"/>
        </w:rPr>
        <w:t xml:space="preserve">’s </w:t>
      </w:r>
      <w:r w:rsidR="00883794">
        <w:rPr>
          <w:szCs w:val="26"/>
        </w:rPr>
        <w:t xml:space="preserve">real </w:t>
      </w:r>
      <w:r w:rsidRPr="0000108E">
        <w:rPr>
          <w:szCs w:val="26"/>
        </w:rPr>
        <w:t xml:space="preserve">return on equity and the portion of the </w:t>
      </w:r>
      <w:r w:rsidR="00214B0D">
        <w:rPr>
          <w:szCs w:val="26"/>
        </w:rPr>
        <w:t>oil</w:t>
      </w:r>
      <w:r w:rsidR="00B44C94">
        <w:rPr>
          <w:szCs w:val="26"/>
        </w:rPr>
        <w:t xml:space="preserve"> pipeline</w:t>
      </w:r>
      <w:r w:rsidRPr="0000108E">
        <w:rPr>
          <w:szCs w:val="26"/>
        </w:rPr>
        <w:t xml:space="preserve">’s return allocated to paying its cost of debt.  The </w:t>
      </w:r>
      <w:r w:rsidR="00573556">
        <w:rPr>
          <w:szCs w:val="26"/>
        </w:rPr>
        <w:t>NOPR</w:t>
      </w:r>
      <w:r w:rsidRPr="0000108E">
        <w:rPr>
          <w:szCs w:val="26"/>
        </w:rPr>
        <w:t xml:space="preserve"> propose</w:t>
      </w:r>
      <w:r w:rsidR="00573556">
        <w:rPr>
          <w:szCs w:val="26"/>
        </w:rPr>
        <w:t>d</w:t>
      </w:r>
      <w:r w:rsidRPr="0000108E">
        <w:rPr>
          <w:szCs w:val="26"/>
        </w:rPr>
        <w:t xml:space="preserve"> to require the </w:t>
      </w:r>
      <w:r w:rsidR="00214B0D">
        <w:rPr>
          <w:szCs w:val="26"/>
        </w:rPr>
        <w:t>oil</w:t>
      </w:r>
      <w:r w:rsidR="00B44C94">
        <w:rPr>
          <w:szCs w:val="26"/>
        </w:rPr>
        <w:t xml:space="preserve"> pipeline</w:t>
      </w:r>
      <w:r w:rsidRPr="0000108E">
        <w:rPr>
          <w:szCs w:val="26"/>
        </w:rPr>
        <w:t xml:space="preserve"> to include on Page 700 the Return on Rate Base – Debt Component (proposed line 7a)</w:t>
      </w:r>
      <w:r w:rsidRPr="0000108E">
        <w:rPr>
          <w:rStyle w:val="FootnoteReference"/>
        </w:rPr>
        <w:footnoteReference w:id="16"/>
      </w:r>
      <w:r w:rsidRPr="0000108E">
        <w:rPr>
          <w:szCs w:val="26"/>
        </w:rPr>
        <w:t xml:space="preserve"> and </w:t>
      </w:r>
      <w:r w:rsidR="00D74E78">
        <w:rPr>
          <w:szCs w:val="26"/>
        </w:rPr>
        <w:t xml:space="preserve">to require </w:t>
      </w:r>
      <w:r w:rsidRPr="0000108E">
        <w:rPr>
          <w:szCs w:val="26"/>
        </w:rPr>
        <w:t xml:space="preserve">the </w:t>
      </w:r>
      <w:r w:rsidR="00214B0D">
        <w:rPr>
          <w:szCs w:val="26"/>
        </w:rPr>
        <w:t>oil</w:t>
      </w:r>
      <w:r w:rsidR="00B44C94">
        <w:rPr>
          <w:szCs w:val="26"/>
        </w:rPr>
        <w:t xml:space="preserve"> pipeline</w:t>
      </w:r>
      <w:r w:rsidRPr="0000108E">
        <w:rPr>
          <w:szCs w:val="26"/>
        </w:rPr>
        <w:t xml:space="preserve"> to </w:t>
      </w:r>
      <w:r w:rsidR="00F80DFC">
        <w:rPr>
          <w:szCs w:val="26"/>
        </w:rPr>
        <w:t>report</w:t>
      </w:r>
      <w:r w:rsidRPr="0000108E">
        <w:rPr>
          <w:szCs w:val="26"/>
        </w:rPr>
        <w:t xml:space="preserve"> its weighted average cost of capital consisting of debt and equity to one rate base.  The real cost of capital excludes the inflationary component of the nominal return</w:t>
      </w:r>
      <w:r w:rsidR="00036AFC">
        <w:rPr>
          <w:szCs w:val="26"/>
        </w:rPr>
        <w:t xml:space="preserve"> that</w:t>
      </w:r>
      <w:r w:rsidRPr="0000108E">
        <w:rPr>
          <w:szCs w:val="26"/>
        </w:rPr>
        <w:t xml:space="preserve"> is </w:t>
      </w:r>
      <w:r w:rsidR="00883794">
        <w:rPr>
          <w:szCs w:val="26"/>
        </w:rPr>
        <w:t xml:space="preserve">added to the </w:t>
      </w:r>
      <w:r w:rsidRPr="0000108E">
        <w:rPr>
          <w:szCs w:val="26"/>
        </w:rPr>
        <w:t xml:space="preserve">Net Deferred </w:t>
      </w:r>
      <w:r w:rsidRPr="0000108E">
        <w:rPr>
          <w:szCs w:val="26"/>
        </w:rPr>
        <w:lastRenderedPageBreak/>
        <w:t xml:space="preserve">Earnings </w:t>
      </w:r>
      <w:r w:rsidR="00883794">
        <w:rPr>
          <w:szCs w:val="26"/>
        </w:rPr>
        <w:t xml:space="preserve">and subsequently amortized </w:t>
      </w:r>
      <w:r w:rsidRPr="0000108E">
        <w:rPr>
          <w:szCs w:val="26"/>
        </w:rPr>
        <w:t xml:space="preserve">pursuant to the </w:t>
      </w:r>
      <w:r w:rsidR="00883794">
        <w:rPr>
          <w:szCs w:val="26"/>
        </w:rPr>
        <w:t>TOC</w:t>
      </w:r>
      <w:r w:rsidRPr="0000108E">
        <w:rPr>
          <w:szCs w:val="26"/>
        </w:rPr>
        <w:t xml:space="preserve"> methodology.  Proposed line 7b is the Return on Rate Base – Equity Component.  The NOPR proposed that </w:t>
      </w:r>
      <w:r w:rsidR="00B44C94">
        <w:rPr>
          <w:szCs w:val="26"/>
        </w:rPr>
        <w:t>oil pipeline</w:t>
      </w:r>
      <w:r w:rsidR="0037704E">
        <w:rPr>
          <w:szCs w:val="26"/>
        </w:rPr>
        <w:t xml:space="preserve">s </w:t>
      </w:r>
      <w:r w:rsidRPr="0000108E">
        <w:rPr>
          <w:szCs w:val="26"/>
        </w:rPr>
        <w:t xml:space="preserve">report on proposed line 7c, the Total Return on Rate </w:t>
      </w:r>
      <w:r w:rsidR="005D0214">
        <w:rPr>
          <w:szCs w:val="26"/>
        </w:rPr>
        <w:t>B</w:t>
      </w:r>
      <w:r w:rsidR="005D0214" w:rsidRPr="0000108E">
        <w:rPr>
          <w:szCs w:val="26"/>
        </w:rPr>
        <w:t xml:space="preserve">ase </w:t>
      </w:r>
      <w:r w:rsidRPr="0000108E">
        <w:rPr>
          <w:szCs w:val="26"/>
        </w:rPr>
        <w:t>– (</w:t>
      </w:r>
      <w:r w:rsidR="00766B4D">
        <w:rPr>
          <w:szCs w:val="26"/>
        </w:rPr>
        <w:t xml:space="preserve">line </w:t>
      </w:r>
      <w:r w:rsidRPr="0000108E">
        <w:rPr>
          <w:szCs w:val="26"/>
        </w:rPr>
        <w:t xml:space="preserve">7a + </w:t>
      </w:r>
      <w:r w:rsidR="00766B4D">
        <w:rPr>
          <w:szCs w:val="26"/>
        </w:rPr>
        <w:t xml:space="preserve">line </w:t>
      </w:r>
      <w:r w:rsidRPr="0000108E">
        <w:rPr>
          <w:szCs w:val="26"/>
        </w:rPr>
        <w:t>7b), which is the same information currently reported on line 7.</w:t>
      </w:r>
    </w:p>
    <w:p w14:paraId="426CBA48" w14:textId="77777777" w:rsidR="00332B60" w:rsidRPr="0000108E" w:rsidRDefault="00332B60" w:rsidP="004D3EE3">
      <w:pPr>
        <w:pStyle w:val="Heading3"/>
      </w:pPr>
      <w:bookmarkStart w:id="13" w:name="_bmk15"/>
      <w:r w:rsidRPr="0000108E">
        <w:t>C</w:t>
      </w:r>
      <w:bookmarkEnd w:id="13"/>
      <w:r w:rsidRPr="0000108E">
        <w:t>omments</w:t>
      </w:r>
    </w:p>
    <w:p w14:paraId="426CBA49" w14:textId="77777777" w:rsidR="004D3EE3" w:rsidRPr="004D3EE3" w:rsidRDefault="00332B60" w:rsidP="00332B60">
      <w:pPr>
        <w:pStyle w:val="FERCparanumber"/>
        <w:rPr>
          <w:b/>
          <w:szCs w:val="26"/>
        </w:rPr>
      </w:pPr>
      <w:r w:rsidRPr="005B37D6">
        <w:rPr>
          <w:szCs w:val="26"/>
        </w:rPr>
        <w:t xml:space="preserve">A4A and NPGA request that instructions </w:t>
      </w:r>
      <w:r>
        <w:rPr>
          <w:szCs w:val="26"/>
        </w:rPr>
        <w:t xml:space="preserve">to Page 700 </w:t>
      </w:r>
      <w:r w:rsidRPr="005B37D6">
        <w:rPr>
          <w:szCs w:val="26"/>
        </w:rPr>
        <w:t>recogni</w:t>
      </w:r>
      <w:r w:rsidR="005C7450">
        <w:rPr>
          <w:szCs w:val="26"/>
        </w:rPr>
        <w:t xml:space="preserve">ze that the Return on Rate Base </w:t>
      </w:r>
      <w:r w:rsidR="00727D93">
        <w:rPr>
          <w:szCs w:val="26"/>
        </w:rPr>
        <w:t>–</w:t>
      </w:r>
      <w:r w:rsidR="005C7450">
        <w:rPr>
          <w:szCs w:val="26"/>
        </w:rPr>
        <w:t xml:space="preserve"> </w:t>
      </w:r>
      <w:r w:rsidRPr="005B37D6">
        <w:rPr>
          <w:szCs w:val="26"/>
        </w:rPr>
        <w:t xml:space="preserve">Debt Component </w:t>
      </w:r>
      <w:r>
        <w:rPr>
          <w:szCs w:val="26"/>
        </w:rPr>
        <w:t xml:space="preserve">(line 7a) </w:t>
      </w:r>
      <w:r w:rsidRPr="005B37D6">
        <w:rPr>
          <w:szCs w:val="26"/>
        </w:rPr>
        <w:t>will equal the product of the Trended Original Cost Rate Base (proposed line 5d) and the weighted average cost of debt (</w:t>
      </w:r>
      <w:r>
        <w:rPr>
          <w:szCs w:val="26"/>
        </w:rPr>
        <w:t xml:space="preserve">itself </w:t>
      </w:r>
      <w:r w:rsidRPr="005B37D6">
        <w:rPr>
          <w:szCs w:val="26"/>
        </w:rPr>
        <w:t>the product of proposed lines 6a and 6c), while the Return on Rate Base</w:t>
      </w:r>
      <w:r>
        <w:rPr>
          <w:szCs w:val="26"/>
        </w:rPr>
        <w:t xml:space="preserve"> </w:t>
      </w:r>
      <w:r w:rsidR="00727D93">
        <w:rPr>
          <w:szCs w:val="26"/>
        </w:rPr>
        <w:t>–</w:t>
      </w:r>
      <w:r w:rsidRPr="005B37D6">
        <w:rPr>
          <w:szCs w:val="26"/>
        </w:rPr>
        <w:t xml:space="preserve"> Equity </w:t>
      </w:r>
      <w:r>
        <w:rPr>
          <w:szCs w:val="26"/>
        </w:rPr>
        <w:t>C</w:t>
      </w:r>
      <w:r w:rsidRPr="005B37D6">
        <w:rPr>
          <w:szCs w:val="26"/>
        </w:rPr>
        <w:t>omponent</w:t>
      </w:r>
      <w:r>
        <w:rPr>
          <w:szCs w:val="26"/>
        </w:rPr>
        <w:t xml:space="preserve"> (line 7b) </w:t>
      </w:r>
      <w:r w:rsidRPr="005B37D6">
        <w:rPr>
          <w:szCs w:val="26"/>
        </w:rPr>
        <w:t>will equal the product of the Trended Original Cost Rate Base (proposed line 5d) and the weighted average cost of equity (product of proposed lines 6b and 6d)</w:t>
      </w:r>
      <w:r>
        <w:rPr>
          <w:szCs w:val="26"/>
        </w:rPr>
        <w:t>.</w:t>
      </w:r>
      <w:r w:rsidRPr="005B37D6">
        <w:rPr>
          <w:szCs w:val="26"/>
        </w:rPr>
        <w:t xml:space="preserve">  </w:t>
      </w:r>
    </w:p>
    <w:p w14:paraId="426CBA4A" w14:textId="77777777" w:rsidR="00332B60" w:rsidRPr="0000108E" w:rsidRDefault="00332B60" w:rsidP="004D3EE3">
      <w:pPr>
        <w:pStyle w:val="Heading3"/>
      </w:pPr>
      <w:bookmarkStart w:id="14" w:name="_bmk16"/>
      <w:r w:rsidRPr="0000108E">
        <w:t>C</w:t>
      </w:r>
      <w:bookmarkEnd w:id="14"/>
      <w:r w:rsidRPr="0000108E">
        <w:t xml:space="preserve">ommission </w:t>
      </w:r>
      <w:r w:rsidR="00544C5D">
        <w:t>Determination</w:t>
      </w:r>
    </w:p>
    <w:p w14:paraId="426CBA4B" w14:textId="77777777" w:rsidR="00332B60" w:rsidRDefault="00332B60" w:rsidP="00332B60">
      <w:pPr>
        <w:pStyle w:val="FERCparanumber"/>
        <w:rPr>
          <w:szCs w:val="26"/>
        </w:rPr>
      </w:pPr>
      <w:r w:rsidRPr="0000108E">
        <w:rPr>
          <w:szCs w:val="26"/>
        </w:rPr>
        <w:t xml:space="preserve">The Commission adopts the NOPR </w:t>
      </w:r>
      <w:r w:rsidR="00B63997">
        <w:rPr>
          <w:szCs w:val="26"/>
        </w:rPr>
        <w:t xml:space="preserve">proposal </w:t>
      </w:r>
      <w:r w:rsidRPr="0000108E">
        <w:rPr>
          <w:szCs w:val="26"/>
        </w:rPr>
        <w:t>and grants the requested clarifications.</w:t>
      </w:r>
      <w:r w:rsidR="00883794">
        <w:rPr>
          <w:szCs w:val="26"/>
        </w:rPr>
        <w:t xml:space="preserve">  The Commission will change the proposed wor</w:t>
      </w:r>
      <w:r w:rsidR="00B75C59">
        <w:rPr>
          <w:szCs w:val="26"/>
        </w:rPr>
        <w:t>d</w:t>
      </w:r>
      <w:r w:rsidR="00883794">
        <w:rPr>
          <w:szCs w:val="26"/>
        </w:rPr>
        <w:t>ing for lines 7a and 7b to include a parenthetical formula as described by A4A and NPGA.  The title for the new line 7a will read “Return on Rate Base – Debt Component</w:t>
      </w:r>
      <w:r w:rsidR="0055671E">
        <w:rPr>
          <w:szCs w:val="26"/>
        </w:rPr>
        <w:t xml:space="preserve"> – (</w:t>
      </w:r>
      <w:r w:rsidR="00766B4D">
        <w:rPr>
          <w:szCs w:val="26"/>
        </w:rPr>
        <w:t xml:space="preserve">line </w:t>
      </w:r>
      <w:r w:rsidR="0055671E">
        <w:rPr>
          <w:szCs w:val="26"/>
        </w:rPr>
        <w:t>5d</w:t>
      </w:r>
      <w:r w:rsidR="000127D4">
        <w:rPr>
          <w:szCs w:val="26"/>
        </w:rPr>
        <w:t xml:space="preserve"> x </w:t>
      </w:r>
      <w:r w:rsidR="00766B4D">
        <w:rPr>
          <w:szCs w:val="26"/>
        </w:rPr>
        <w:t xml:space="preserve">line </w:t>
      </w:r>
      <w:r w:rsidR="0055671E">
        <w:rPr>
          <w:szCs w:val="26"/>
        </w:rPr>
        <w:t>6a</w:t>
      </w:r>
      <w:r w:rsidR="000127D4">
        <w:rPr>
          <w:szCs w:val="26"/>
        </w:rPr>
        <w:t xml:space="preserve"> x </w:t>
      </w:r>
      <w:r w:rsidR="00766B4D">
        <w:rPr>
          <w:szCs w:val="26"/>
        </w:rPr>
        <w:t xml:space="preserve">line </w:t>
      </w:r>
      <w:r w:rsidR="0055671E">
        <w:rPr>
          <w:szCs w:val="26"/>
        </w:rPr>
        <w:t>6c).</w:t>
      </w:r>
      <w:r w:rsidR="00B75C59">
        <w:rPr>
          <w:szCs w:val="26"/>
        </w:rPr>
        <w:t>”</w:t>
      </w:r>
      <w:r w:rsidR="0055671E">
        <w:rPr>
          <w:szCs w:val="26"/>
        </w:rPr>
        <w:t xml:space="preserve">  The title for new line 7</w:t>
      </w:r>
      <w:r w:rsidR="00766B4D">
        <w:rPr>
          <w:szCs w:val="26"/>
        </w:rPr>
        <w:t>b</w:t>
      </w:r>
      <w:r w:rsidR="0055671E">
        <w:rPr>
          <w:szCs w:val="26"/>
        </w:rPr>
        <w:t xml:space="preserve"> will read “Return on Rate Base – Equity Component – (</w:t>
      </w:r>
      <w:r w:rsidR="00766B4D">
        <w:rPr>
          <w:szCs w:val="26"/>
        </w:rPr>
        <w:t xml:space="preserve">line </w:t>
      </w:r>
      <w:r w:rsidR="0055671E">
        <w:rPr>
          <w:szCs w:val="26"/>
        </w:rPr>
        <w:t>5d</w:t>
      </w:r>
      <w:r w:rsidR="000127D4">
        <w:rPr>
          <w:szCs w:val="26"/>
        </w:rPr>
        <w:t xml:space="preserve"> x </w:t>
      </w:r>
      <w:r w:rsidR="00766B4D">
        <w:rPr>
          <w:szCs w:val="26"/>
        </w:rPr>
        <w:t xml:space="preserve">line </w:t>
      </w:r>
      <w:r w:rsidR="0055671E">
        <w:rPr>
          <w:szCs w:val="26"/>
        </w:rPr>
        <w:t>6b</w:t>
      </w:r>
      <w:r w:rsidR="000127D4">
        <w:rPr>
          <w:szCs w:val="26"/>
        </w:rPr>
        <w:t xml:space="preserve"> x </w:t>
      </w:r>
      <w:r w:rsidR="00766B4D">
        <w:rPr>
          <w:szCs w:val="26"/>
        </w:rPr>
        <w:t xml:space="preserve">line </w:t>
      </w:r>
      <w:r w:rsidR="0055671E">
        <w:rPr>
          <w:szCs w:val="26"/>
        </w:rPr>
        <w:t>6d).</w:t>
      </w:r>
      <w:r w:rsidR="00B75C59">
        <w:rPr>
          <w:szCs w:val="26"/>
        </w:rPr>
        <w:t>”</w:t>
      </w:r>
      <w:r w:rsidR="0055671E">
        <w:rPr>
          <w:szCs w:val="26"/>
        </w:rPr>
        <w:t xml:space="preserve"> </w:t>
      </w:r>
      <w:r>
        <w:rPr>
          <w:szCs w:val="26"/>
        </w:rPr>
        <w:t xml:space="preserve">  </w:t>
      </w:r>
    </w:p>
    <w:p w14:paraId="426CBA4C" w14:textId="77777777" w:rsidR="004D3EE3" w:rsidRPr="004D3EE3" w:rsidRDefault="00332B60" w:rsidP="004D3EE3">
      <w:pPr>
        <w:pStyle w:val="Heading2"/>
        <w:rPr>
          <w:u w:val="none"/>
        </w:rPr>
      </w:pPr>
      <w:bookmarkStart w:id="15" w:name="_bmk17"/>
      <w:r w:rsidRPr="0000108E">
        <w:lastRenderedPageBreak/>
        <w:t>C</w:t>
      </w:r>
      <w:bookmarkEnd w:id="15"/>
      <w:r w:rsidRPr="0000108E">
        <w:t xml:space="preserve">omposite </w:t>
      </w:r>
      <w:r w:rsidR="00DB092B">
        <w:t xml:space="preserve">Income </w:t>
      </w:r>
      <w:r w:rsidRPr="0000108E">
        <w:t>Tax Rate</w:t>
      </w:r>
    </w:p>
    <w:p w14:paraId="426CBA4D" w14:textId="77777777" w:rsidR="00332B60" w:rsidRPr="0000108E" w:rsidRDefault="004D3EE3" w:rsidP="004D3EE3">
      <w:pPr>
        <w:pStyle w:val="Heading3"/>
      </w:pPr>
      <w:bookmarkStart w:id="16" w:name="_bmk18"/>
      <w:r>
        <w:t>N</w:t>
      </w:r>
      <w:bookmarkEnd w:id="16"/>
      <w:r>
        <w:t>O</w:t>
      </w:r>
      <w:r w:rsidR="00332B60" w:rsidRPr="0000108E">
        <w:t>PR</w:t>
      </w:r>
    </w:p>
    <w:p w14:paraId="426CBA4E" w14:textId="77777777" w:rsidR="00332B60" w:rsidRPr="0000108E" w:rsidRDefault="00332B60" w:rsidP="00332B60">
      <w:pPr>
        <w:pStyle w:val="FERCparanumber"/>
        <w:rPr>
          <w:szCs w:val="26"/>
        </w:rPr>
      </w:pPr>
      <w:r w:rsidRPr="0000108E">
        <w:rPr>
          <w:szCs w:val="26"/>
        </w:rPr>
        <w:t xml:space="preserve">The NOPR proposed to modify Page 700 to include the Composite </w:t>
      </w:r>
      <w:r w:rsidR="00107481">
        <w:rPr>
          <w:szCs w:val="26"/>
        </w:rPr>
        <w:t xml:space="preserve">Tax Rate used to determine the </w:t>
      </w:r>
      <w:r w:rsidRPr="0000108E">
        <w:rPr>
          <w:szCs w:val="26"/>
        </w:rPr>
        <w:t>Income Tax Allowance.</w:t>
      </w:r>
      <w:r w:rsidRPr="0000108E">
        <w:rPr>
          <w:rStyle w:val="FootnoteReference"/>
        </w:rPr>
        <w:footnoteReference w:id="17"/>
      </w:r>
      <w:r w:rsidRPr="0000108E">
        <w:rPr>
          <w:szCs w:val="26"/>
        </w:rPr>
        <w:t xml:space="preserve">  </w:t>
      </w:r>
      <w:r w:rsidR="00004E9A">
        <w:rPr>
          <w:szCs w:val="26"/>
        </w:rPr>
        <w:t>(</w:t>
      </w:r>
      <w:r w:rsidRPr="0000108E">
        <w:rPr>
          <w:szCs w:val="26"/>
        </w:rPr>
        <w:t xml:space="preserve">Line 8 of Page 700 currently requires each </w:t>
      </w:r>
      <w:r w:rsidR="00214B0D">
        <w:rPr>
          <w:szCs w:val="26"/>
        </w:rPr>
        <w:t>oil</w:t>
      </w:r>
      <w:r w:rsidR="00B44C94">
        <w:rPr>
          <w:szCs w:val="26"/>
        </w:rPr>
        <w:t xml:space="preserve"> pipeline</w:t>
      </w:r>
      <w:r w:rsidRPr="0000108E">
        <w:rPr>
          <w:szCs w:val="26"/>
        </w:rPr>
        <w:t xml:space="preserve"> to report the total dol</w:t>
      </w:r>
      <w:r w:rsidR="000432C0">
        <w:rPr>
          <w:szCs w:val="26"/>
        </w:rPr>
        <w:t>lar amount attributable to the Income Tax Allowance</w:t>
      </w:r>
      <w:r w:rsidRPr="0000108E">
        <w:rPr>
          <w:szCs w:val="26"/>
        </w:rPr>
        <w:t xml:space="preserve"> in its cost-of-service.</w:t>
      </w:r>
      <w:r w:rsidR="00004E9A">
        <w:rPr>
          <w:szCs w:val="26"/>
        </w:rPr>
        <w:t>).</w:t>
      </w:r>
      <w:r w:rsidRPr="0000108E">
        <w:rPr>
          <w:szCs w:val="26"/>
        </w:rPr>
        <w:t xml:space="preserve">  The NOPR proposed to add a new line 8a which will require </w:t>
      </w:r>
      <w:r w:rsidR="00214B0D">
        <w:rPr>
          <w:szCs w:val="26"/>
        </w:rPr>
        <w:t>an oil</w:t>
      </w:r>
      <w:r w:rsidR="00B44C94">
        <w:rPr>
          <w:szCs w:val="26"/>
        </w:rPr>
        <w:t xml:space="preserve"> pipeline</w:t>
      </w:r>
      <w:r w:rsidR="00107481">
        <w:rPr>
          <w:szCs w:val="26"/>
        </w:rPr>
        <w:t xml:space="preserve"> to report its </w:t>
      </w:r>
      <w:r w:rsidRPr="0000108E">
        <w:rPr>
          <w:szCs w:val="26"/>
        </w:rPr>
        <w:t>Composite Tax Rate Percentage.</w:t>
      </w:r>
      <w:r w:rsidR="00AE4CEA">
        <w:rPr>
          <w:rStyle w:val="FootnoteReference"/>
        </w:rPr>
        <w:footnoteReference w:id="18"/>
      </w:r>
      <w:r w:rsidRPr="0000108E">
        <w:rPr>
          <w:szCs w:val="26"/>
        </w:rPr>
        <w:t xml:space="preserve">  The NOPR defined the Composite Tax Rate Percentage as the </w:t>
      </w:r>
      <w:r w:rsidR="00DB092B">
        <w:rPr>
          <w:szCs w:val="26"/>
        </w:rPr>
        <w:t>s</w:t>
      </w:r>
      <w:r w:rsidRPr="0000108E">
        <w:rPr>
          <w:szCs w:val="26"/>
        </w:rPr>
        <w:t xml:space="preserve">um, adjusted consistent with Commission policy, of (a) the applicable state income tax rate and (b) a federal income tax rate.  As filed on Page 700, the </w:t>
      </w:r>
      <w:r w:rsidR="00DB092B">
        <w:rPr>
          <w:szCs w:val="26"/>
        </w:rPr>
        <w:t xml:space="preserve">NOPR stated the </w:t>
      </w:r>
      <w:r w:rsidRPr="0000108E">
        <w:rPr>
          <w:szCs w:val="26"/>
        </w:rPr>
        <w:t>Composite Tax Rate Percentage should reflect the income tax rate used pursuant to Commission policy to determine the Income Tax Allowance reported on line 8.</w:t>
      </w:r>
    </w:p>
    <w:p w14:paraId="426CBA4F" w14:textId="77777777" w:rsidR="00332B60" w:rsidRPr="0000108E" w:rsidRDefault="00332B60" w:rsidP="00332B60">
      <w:pPr>
        <w:pStyle w:val="FERCparanumber"/>
        <w:rPr>
          <w:szCs w:val="26"/>
        </w:rPr>
      </w:pPr>
      <w:r w:rsidRPr="0000108E">
        <w:rPr>
          <w:szCs w:val="26"/>
        </w:rPr>
        <w:t xml:space="preserve">The NOPR surmised “[t]he Composite Tax Rate Percentage will create a better understanding of the differential between </w:t>
      </w:r>
      <w:r w:rsidR="00214B0D">
        <w:rPr>
          <w:szCs w:val="26"/>
        </w:rPr>
        <w:t>an oil</w:t>
      </w:r>
      <w:r w:rsidR="00B44C94">
        <w:rPr>
          <w:szCs w:val="26"/>
        </w:rPr>
        <w:t xml:space="preserve"> </w:t>
      </w:r>
      <w:proofErr w:type="gramStart"/>
      <w:r w:rsidR="00B44C94">
        <w:rPr>
          <w:szCs w:val="26"/>
        </w:rPr>
        <w:t>pipeline</w:t>
      </w:r>
      <w:r w:rsidR="004A1FF1">
        <w:rPr>
          <w:szCs w:val="26"/>
        </w:rPr>
        <w:t>’s</w:t>
      </w:r>
      <w:proofErr w:type="gramEnd"/>
      <w:r w:rsidRPr="0000108E">
        <w:rPr>
          <w:szCs w:val="26"/>
        </w:rPr>
        <w:t xml:space="preserve"> Total Interstate Operating Revenues (line 10) and the </w:t>
      </w:r>
      <w:r w:rsidR="00B44C94">
        <w:rPr>
          <w:szCs w:val="26"/>
        </w:rPr>
        <w:t>oil pipeline</w:t>
      </w:r>
      <w:r w:rsidRPr="0000108E">
        <w:rPr>
          <w:szCs w:val="26"/>
        </w:rPr>
        <w:t>’s Total Cost of Service (line 9).”</w:t>
      </w:r>
      <w:r w:rsidR="00AE4CEA">
        <w:rPr>
          <w:rStyle w:val="FootnoteReference"/>
        </w:rPr>
        <w:footnoteReference w:id="19"/>
      </w:r>
      <w:r w:rsidRPr="0000108E">
        <w:rPr>
          <w:szCs w:val="26"/>
        </w:rPr>
        <w:t xml:space="preserve">  Specifically, the NOPR predicted the Composite Tax Rate Percentage may be used to determine the </w:t>
      </w:r>
      <w:r w:rsidRPr="0000108E">
        <w:rPr>
          <w:szCs w:val="26"/>
        </w:rPr>
        <w:lastRenderedPageBreak/>
        <w:t xml:space="preserve">portion of this differential that is attributable to income taxes under Commission policy, and the portion that may be treated as part of </w:t>
      </w:r>
      <w:r w:rsidR="00214B0D">
        <w:rPr>
          <w:szCs w:val="26"/>
        </w:rPr>
        <w:t>an oil</w:t>
      </w:r>
      <w:r w:rsidR="00B44C94">
        <w:rPr>
          <w:szCs w:val="26"/>
        </w:rPr>
        <w:t xml:space="preserve"> pipeline</w:t>
      </w:r>
      <w:r w:rsidRPr="0000108E">
        <w:rPr>
          <w:szCs w:val="26"/>
        </w:rPr>
        <w:t xml:space="preserve">’s actual return on equity. </w:t>
      </w:r>
    </w:p>
    <w:p w14:paraId="426CBA50" w14:textId="77777777" w:rsidR="00332B60" w:rsidRPr="0000108E" w:rsidRDefault="00332B60" w:rsidP="00894630">
      <w:pPr>
        <w:pStyle w:val="Heading3"/>
      </w:pPr>
      <w:bookmarkStart w:id="17" w:name="_bmk19"/>
      <w:r w:rsidRPr="0000108E">
        <w:t>C</w:t>
      </w:r>
      <w:bookmarkEnd w:id="17"/>
      <w:r w:rsidRPr="0000108E">
        <w:t>omments</w:t>
      </w:r>
    </w:p>
    <w:p w14:paraId="426CBA51" w14:textId="77777777" w:rsidR="00332B60" w:rsidRDefault="00332B60" w:rsidP="00332B60">
      <w:pPr>
        <w:pStyle w:val="FERCparanumber"/>
        <w:rPr>
          <w:szCs w:val="26"/>
        </w:rPr>
      </w:pPr>
      <w:r w:rsidRPr="0000108E">
        <w:rPr>
          <w:szCs w:val="26"/>
        </w:rPr>
        <w:t>Several entities filed comments.  AOPL requests the Commission clar</w:t>
      </w:r>
      <w:r w:rsidR="000432C0">
        <w:rPr>
          <w:szCs w:val="26"/>
        </w:rPr>
        <w:t>ify what is represented by the Composite Tax Rate</w:t>
      </w:r>
      <w:r w:rsidRPr="0000108E">
        <w:rPr>
          <w:szCs w:val="26"/>
        </w:rPr>
        <w:t xml:space="preserve"> to be included in proposed line 8a (combined federal and state tax rate or something different).  </w:t>
      </w:r>
      <w:r w:rsidR="00107481">
        <w:rPr>
          <w:szCs w:val="26"/>
        </w:rPr>
        <w:t xml:space="preserve">  </w:t>
      </w:r>
      <w:r w:rsidRPr="0000108E">
        <w:rPr>
          <w:szCs w:val="26"/>
        </w:rPr>
        <w:t xml:space="preserve">ConocoPhillips requests the Commission clarify how the </w:t>
      </w:r>
      <w:r w:rsidR="00004E9A">
        <w:rPr>
          <w:szCs w:val="26"/>
        </w:rPr>
        <w:t>i</w:t>
      </w:r>
      <w:r w:rsidRPr="0000108E">
        <w:rPr>
          <w:szCs w:val="26"/>
        </w:rPr>
        <w:t xml:space="preserve">ncome </w:t>
      </w:r>
      <w:r w:rsidR="00004E9A">
        <w:rPr>
          <w:szCs w:val="26"/>
        </w:rPr>
        <w:t>t</w:t>
      </w:r>
      <w:r w:rsidRPr="0000108E">
        <w:rPr>
          <w:szCs w:val="26"/>
        </w:rPr>
        <w:t xml:space="preserve">ax </w:t>
      </w:r>
      <w:r w:rsidR="00004E9A">
        <w:rPr>
          <w:szCs w:val="26"/>
        </w:rPr>
        <w:t>a</w:t>
      </w:r>
      <w:r w:rsidRPr="0000108E">
        <w:rPr>
          <w:szCs w:val="26"/>
        </w:rPr>
        <w:t xml:space="preserve">llowance reported on line 8 of the illustrative </w:t>
      </w:r>
      <w:r w:rsidR="00004E9A">
        <w:rPr>
          <w:szCs w:val="26"/>
        </w:rPr>
        <w:t>P</w:t>
      </w:r>
      <w:r w:rsidRPr="0000108E">
        <w:rPr>
          <w:szCs w:val="26"/>
        </w:rPr>
        <w:t>age 700 provided as Appendix B to the NOPR was calculated.</w:t>
      </w:r>
    </w:p>
    <w:p w14:paraId="426CBA52" w14:textId="77777777" w:rsidR="00332B60" w:rsidRPr="0000108E" w:rsidRDefault="00332B60" w:rsidP="00332B60">
      <w:pPr>
        <w:pStyle w:val="FERCparanumber"/>
        <w:rPr>
          <w:szCs w:val="26"/>
        </w:rPr>
      </w:pPr>
      <w:r w:rsidRPr="005B37D6">
        <w:rPr>
          <w:szCs w:val="26"/>
        </w:rPr>
        <w:t xml:space="preserve">A4A and NPGA request that the Commission provide guidance in its order that will ensure </w:t>
      </w:r>
      <w:r w:rsidR="00B44C94">
        <w:rPr>
          <w:szCs w:val="26"/>
        </w:rPr>
        <w:t>oil pipeline</w:t>
      </w:r>
      <w:r w:rsidRPr="005B37D6">
        <w:rPr>
          <w:szCs w:val="26"/>
        </w:rPr>
        <w:t xml:space="preserve">s include a reasonably calculated </w:t>
      </w:r>
      <w:r w:rsidR="00004E9A">
        <w:rPr>
          <w:szCs w:val="26"/>
        </w:rPr>
        <w:t>i</w:t>
      </w:r>
      <w:r w:rsidRPr="005B37D6">
        <w:rPr>
          <w:szCs w:val="26"/>
        </w:rPr>
        <w:t xml:space="preserve">ncome </w:t>
      </w:r>
      <w:r w:rsidR="00004E9A">
        <w:rPr>
          <w:szCs w:val="26"/>
        </w:rPr>
        <w:t>t</w:t>
      </w:r>
      <w:r w:rsidRPr="005B37D6">
        <w:rPr>
          <w:szCs w:val="26"/>
        </w:rPr>
        <w:t xml:space="preserve">ax </w:t>
      </w:r>
      <w:r w:rsidR="00004E9A">
        <w:rPr>
          <w:szCs w:val="26"/>
        </w:rPr>
        <w:t>a</w:t>
      </w:r>
      <w:r w:rsidRPr="005B37D6">
        <w:rPr>
          <w:szCs w:val="26"/>
        </w:rPr>
        <w:t xml:space="preserve">llowance on </w:t>
      </w:r>
      <w:r w:rsidR="00004E9A">
        <w:rPr>
          <w:szCs w:val="26"/>
        </w:rPr>
        <w:t>P</w:t>
      </w:r>
      <w:r w:rsidR="00A31913">
        <w:rPr>
          <w:szCs w:val="26"/>
        </w:rPr>
        <w:t>age 700.  A4A and NPG</w:t>
      </w:r>
      <w:r w:rsidRPr="005B37D6">
        <w:rPr>
          <w:szCs w:val="26"/>
        </w:rPr>
        <w:t xml:space="preserve">A note that the Commission may want to consider requiring the </w:t>
      </w:r>
      <w:r w:rsidR="00B44C94">
        <w:rPr>
          <w:szCs w:val="26"/>
        </w:rPr>
        <w:t>oil pipeline</w:t>
      </w:r>
      <w:r w:rsidRPr="005B37D6">
        <w:rPr>
          <w:szCs w:val="26"/>
        </w:rPr>
        <w:t xml:space="preserve"> to report</w:t>
      </w:r>
      <w:r w:rsidR="00F80DFC">
        <w:rPr>
          <w:szCs w:val="26"/>
        </w:rPr>
        <w:t xml:space="preserve"> the income taxes associated with the collection of </w:t>
      </w:r>
      <w:r w:rsidRPr="005B37D6">
        <w:rPr>
          <w:szCs w:val="26"/>
        </w:rPr>
        <w:t xml:space="preserve">equity </w:t>
      </w:r>
      <w:r w:rsidR="00056851">
        <w:rPr>
          <w:szCs w:val="26"/>
        </w:rPr>
        <w:t>allowance for funds used during construction (</w:t>
      </w:r>
      <w:r w:rsidRPr="005B37D6">
        <w:rPr>
          <w:szCs w:val="26"/>
        </w:rPr>
        <w:t>AFUDC</w:t>
      </w:r>
      <w:r w:rsidR="00056851">
        <w:rPr>
          <w:szCs w:val="26"/>
        </w:rPr>
        <w:t>)</w:t>
      </w:r>
      <w:r w:rsidRPr="005B37D6">
        <w:rPr>
          <w:szCs w:val="26"/>
        </w:rPr>
        <w:t xml:space="preserve"> </w:t>
      </w:r>
      <w:r w:rsidR="00004E9A">
        <w:rPr>
          <w:szCs w:val="26"/>
        </w:rPr>
        <w:t>d</w:t>
      </w:r>
      <w:r w:rsidRPr="005B37D6">
        <w:rPr>
          <w:szCs w:val="26"/>
        </w:rPr>
        <w:t>epreciation as a separate row to allow parties to be able to more easily gauge the reasonableness of the Income Tax Allowance calculation, or alternatively, shippers can use 50</w:t>
      </w:r>
      <w:r w:rsidR="00004E9A">
        <w:rPr>
          <w:szCs w:val="26"/>
        </w:rPr>
        <w:t xml:space="preserve"> percent</w:t>
      </w:r>
      <w:r w:rsidRPr="005B37D6">
        <w:rPr>
          <w:szCs w:val="26"/>
        </w:rPr>
        <w:t xml:space="preserve"> of the Adjusted Capital Structure ratio for Proprietary Capital (row 6b) as an imperfect proxy for the equity portion or share of the AFUDC </w:t>
      </w:r>
      <w:r w:rsidR="00004E9A">
        <w:rPr>
          <w:szCs w:val="26"/>
        </w:rPr>
        <w:t>d</w:t>
      </w:r>
      <w:r w:rsidRPr="005B37D6">
        <w:rPr>
          <w:szCs w:val="26"/>
        </w:rPr>
        <w:t xml:space="preserve">epreciation reported in Line 3.  A4A and NPGA also request that the Commission clarify how comparable rate of return comparisons should be performed.  </w:t>
      </w:r>
    </w:p>
    <w:p w14:paraId="426CBA53" w14:textId="77777777" w:rsidR="00332B60" w:rsidRPr="0000108E" w:rsidRDefault="00332B60" w:rsidP="00894630">
      <w:pPr>
        <w:pStyle w:val="Heading3"/>
      </w:pPr>
      <w:bookmarkStart w:id="18" w:name="_bmk20"/>
      <w:r w:rsidRPr="0000108E">
        <w:t>C</w:t>
      </w:r>
      <w:bookmarkEnd w:id="18"/>
      <w:r w:rsidRPr="0000108E">
        <w:t>ommission Determination</w:t>
      </w:r>
    </w:p>
    <w:p w14:paraId="426CBA54" w14:textId="77777777" w:rsidR="00332B60" w:rsidRPr="0000108E" w:rsidRDefault="00332B60" w:rsidP="00332B60">
      <w:pPr>
        <w:pStyle w:val="FERCparanumber"/>
        <w:rPr>
          <w:szCs w:val="26"/>
        </w:rPr>
      </w:pPr>
      <w:r w:rsidRPr="0000108E">
        <w:rPr>
          <w:szCs w:val="26"/>
        </w:rPr>
        <w:t>The Commission adopts the NOPR’s proposal with AOPL’s requested clarification.  The Commission clarifie</w:t>
      </w:r>
      <w:r w:rsidR="00004E9A">
        <w:rPr>
          <w:szCs w:val="26"/>
        </w:rPr>
        <w:t>s</w:t>
      </w:r>
      <w:r w:rsidRPr="0000108E">
        <w:rPr>
          <w:szCs w:val="26"/>
        </w:rPr>
        <w:t xml:space="preserve"> that what is represent</w:t>
      </w:r>
      <w:r w:rsidR="000432C0">
        <w:rPr>
          <w:szCs w:val="26"/>
        </w:rPr>
        <w:t>ed by the Composite Tax Rate</w:t>
      </w:r>
      <w:r w:rsidRPr="0000108E">
        <w:rPr>
          <w:szCs w:val="26"/>
        </w:rPr>
        <w:t xml:space="preserve"> to be included in line 8a is the combined federal and state tax rate</w:t>
      </w:r>
      <w:r w:rsidR="00004E9A">
        <w:rPr>
          <w:szCs w:val="26"/>
        </w:rPr>
        <w:t xml:space="preserve"> as adjusted consistent with Commission policy.</w:t>
      </w:r>
      <w:r w:rsidR="00F80DFC">
        <w:rPr>
          <w:szCs w:val="26"/>
        </w:rPr>
        <w:t xml:space="preserve">  The Commission simply seeks the tax rate that </w:t>
      </w:r>
      <w:r w:rsidR="006D4CB9">
        <w:rPr>
          <w:szCs w:val="26"/>
        </w:rPr>
        <w:lastRenderedPageBreak/>
        <w:t>represents</w:t>
      </w:r>
      <w:r w:rsidR="00F80DFC">
        <w:rPr>
          <w:szCs w:val="26"/>
        </w:rPr>
        <w:t xml:space="preserve"> the amount of additional taxes the </w:t>
      </w:r>
      <w:r w:rsidR="00B44C94">
        <w:rPr>
          <w:szCs w:val="26"/>
        </w:rPr>
        <w:t>oil pipeline</w:t>
      </w:r>
      <w:r w:rsidR="00F80DFC">
        <w:rPr>
          <w:szCs w:val="26"/>
        </w:rPr>
        <w:t xml:space="preserve"> would be required to pay if it earned its exact weighted average cost of capital as reported on line 6e and it collected an additional dollar of revenue.</w:t>
      </w:r>
    </w:p>
    <w:p w14:paraId="426CBA55" w14:textId="77777777" w:rsidR="00894630" w:rsidRPr="009C6927" w:rsidRDefault="00332B60" w:rsidP="00332B60">
      <w:pPr>
        <w:pStyle w:val="FERCparanumber"/>
        <w:rPr>
          <w:b/>
          <w:szCs w:val="26"/>
        </w:rPr>
      </w:pPr>
      <w:r w:rsidRPr="0000108E">
        <w:rPr>
          <w:szCs w:val="26"/>
        </w:rPr>
        <w:t xml:space="preserve">As to ConocoPhillips’ request to show how the </w:t>
      </w:r>
      <w:r w:rsidR="00004E9A">
        <w:rPr>
          <w:szCs w:val="26"/>
        </w:rPr>
        <w:t>income tax allowance depicted o</w:t>
      </w:r>
      <w:r w:rsidRPr="0000108E">
        <w:rPr>
          <w:szCs w:val="26"/>
        </w:rPr>
        <w:t xml:space="preserve">n line 8 of the illustrative </w:t>
      </w:r>
      <w:r w:rsidR="00004E9A">
        <w:rPr>
          <w:szCs w:val="26"/>
        </w:rPr>
        <w:t>P</w:t>
      </w:r>
      <w:r w:rsidRPr="0000108E">
        <w:rPr>
          <w:szCs w:val="26"/>
        </w:rPr>
        <w:t xml:space="preserve">age 700 provided in Appendix B was calculated, the Commission </w:t>
      </w:r>
      <w:r w:rsidR="00004E9A">
        <w:rPr>
          <w:szCs w:val="26"/>
        </w:rPr>
        <w:t xml:space="preserve">declines to </w:t>
      </w:r>
      <w:r w:rsidRPr="0000108E">
        <w:rPr>
          <w:szCs w:val="26"/>
        </w:rPr>
        <w:t>do so.  As ConocoPhillips’</w:t>
      </w:r>
      <w:r w:rsidR="00004E9A">
        <w:rPr>
          <w:szCs w:val="26"/>
        </w:rPr>
        <w:t xml:space="preserve"> </w:t>
      </w:r>
      <w:r w:rsidRPr="0000108E">
        <w:rPr>
          <w:szCs w:val="26"/>
        </w:rPr>
        <w:t>acknowledges, Appendix B was included merely for illustrative purposes and is not precedential.</w:t>
      </w:r>
    </w:p>
    <w:p w14:paraId="426CBA56" w14:textId="77777777" w:rsidR="00DE78EE" w:rsidRPr="00894630" w:rsidRDefault="00DE78EE" w:rsidP="00332B60">
      <w:pPr>
        <w:pStyle w:val="FERCparanumber"/>
        <w:rPr>
          <w:b/>
          <w:szCs w:val="26"/>
        </w:rPr>
      </w:pPr>
      <w:r>
        <w:rPr>
          <w:szCs w:val="26"/>
        </w:rPr>
        <w:t xml:space="preserve">Lastly, the Commission declines to require </w:t>
      </w:r>
      <w:r w:rsidR="00B44C94">
        <w:rPr>
          <w:szCs w:val="26"/>
        </w:rPr>
        <w:t>oil pipeline</w:t>
      </w:r>
      <w:r>
        <w:rPr>
          <w:szCs w:val="26"/>
        </w:rPr>
        <w:t xml:space="preserve">s to report </w:t>
      </w:r>
      <w:r w:rsidR="00E36E58">
        <w:rPr>
          <w:szCs w:val="26"/>
        </w:rPr>
        <w:t xml:space="preserve">on a separate </w:t>
      </w:r>
      <w:r w:rsidR="003307AA">
        <w:rPr>
          <w:szCs w:val="26"/>
        </w:rPr>
        <w:t>row</w:t>
      </w:r>
      <w:r w:rsidR="00E36E58">
        <w:rPr>
          <w:szCs w:val="26"/>
        </w:rPr>
        <w:t xml:space="preserve"> the income taxes associated with the collection of </w:t>
      </w:r>
      <w:r>
        <w:rPr>
          <w:szCs w:val="26"/>
        </w:rPr>
        <w:t>equity AFUDC depreciation</w:t>
      </w:r>
      <w:r w:rsidR="00E36E58">
        <w:rPr>
          <w:szCs w:val="26"/>
        </w:rPr>
        <w:t>.</w:t>
      </w:r>
      <w:r>
        <w:rPr>
          <w:szCs w:val="26"/>
        </w:rPr>
        <w:t xml:space="preserve">  </w:t>
      </w:r>
      <w:r w:rsidR="00837AEA">
        <w:rPr>
          <w:szCs w:val="26"/>
        </w:rPr>
        <w:t xml:space="preserve">There </w:t>
      </w:r>
      <w:r w:rsidR="006D65B3">
        <w:rPr>
          <w:szCs w:val="26"/>
        </w:rPr>
        <w:t xml:space="preserve">has been no showing the separate identification of this subcomponent of the total income tax allowance will </w:t>
      </w:r>
      <w:r w:rsidR="00837AEA">
        <w:rPr>
          <w:szCs w:val="26"/>
        </w:rPr>
        <w:t xml:space="preserve">enhance the usefulness of Page 700 in the preliminary </w:t>
      </w:r>
      <w:r w:rsidR="006D65B3">
        <w:rPr>
          <w:szCs w:val="26"/>
        </w:rPr>
        <w:t xml:space="preserve">screening process.  </w:t>
      </w:r>
      <w:r w:rsidR="00B023F1">
        <w:rPr>
          <w:szCs w:val="26"/>
        </w:rPr>
        <w:t>R</w:t>
      </w:r>
      <w:r>
        <w:rPr>
          <w:szCs w:val="26"/>
        </w:rPr>
        <w:t xml:space="preserve">eview of </w:t>
      </w:r>
      <w:r w:rsidR="00214B0D">
        <w:rPr>
          <w:szCs w:val="26"/>
        </w:rPr>
        <w:t>an oil</w:t>
      </w:r>
      <w:r w:rsidR="00B44C94">
        <w:rPr>
          <w:szCs w:val="26"/>
        </w:rPr>
        <w:t xml:space="preserve"> pipeline</w:t>
      </w:r>
      <w:r>
        <w:rPr>
          <w:szCs w:val="26"/>
        </w:rPr>
        <w:t>’s calculation of an income tax allowance is done in a ratemaking proceeding</w:t>
      </w:r>
      <w:r w:rsidR="00AD4CA2">
        <w:rPr>
          <w:szCs w:val="26"/>
        </w:rPr>
        <w:t xml:space="preserve">, and the additional data provided by the </w:t>
      </w:r>
      <w:r w:rsidR="00DF4008">
        <w:rPr>
          <w:szCs w:val="26"/>
        </w:rPr>
        <w:t>Final Rule</w:t>
      </w:r>
      <w:r w:rsidR="00AD4CA2">
        <w:rPr>
          <w:szCs w:val="26"/>
        </w:rPr>
        <w:t xml:space="preserve"> is sufficient for a shipper or interested entity to use Page 700 as a preliminary screening tool</w:t>
      </w:r>
      <w:r>
        <w:rPr>
          <w:szCs w:val="26"/>
        </w:rPr>
        <w:t>.</w:t>
      </w:r>
    </w:p>
    <w:p w14:paraId="426CBA57" w14:textId="77777777" w:rsidR="00894630" w:rsidRPr="00894630" w:rsidRDefault="00332B60" w:rsidP="00894630">
      <w:pPr>
        <w:pStyle w:val="Heading2"/>
        <w:rPr>
          <w:u w:val="none"/>
        </w:rPr>
      </w:pPr>
      <w:bookmarkStart w:id="19" w:name="_bmk21"/>
      <w:r w:rsidRPr="0000108E">
        <w:t>C</w:t>
      </w:r>
      <w:bookmarkEnd w:id="19"/>
      <w:r w:rsidRPr="0000108E">
        <w:t>alculation of Actual Rate of Return on Equity</w:t>
      </w:r>
    </w:p>
    <w:p w14:paraId="426CBA58" w14:textId="77777777" w:rsidR="00F9606D" w:rsidRPr="0000108E" w:rsidRDefault="00F9606D" w:rsidP="00F9606D">
      <w:pPr>
        <w:pStyle w:val="Heading3"/>
        <w:tabs>
          <w:tab w:val="clear" w:pos="1440"/>
          <w:tab w:val="num" w:pos="2160"/>
        </w:tabs>
        <w:ind w:left="2160"/>
      </w:pPr>
      <w:bookmarkStart w:id="20" w:name="_bmk22"/>
      <w:r w:rsidRPr="0000108E">
        <w:t>N</w:t>
      </w:r>
      <w:bookmarkEnd w:id="20"/>
      <w:r>
        <w:t>OPR</w:t>
      </w:r>
    </w:p>
    <w:p w14:paraId="426CBA59" w14:textId="77777777" w:rsidR="00F9606D" w:rsidRPr="0000108E" w:rsidRDefault="00F9606D" w:rsidP="00F9606D">
      <w:pPr>
        <w:pStyle w:val="FERCparanumber"/>
        <w:rPr>
          <w:szCs w:val="26"/>
        </w:rPr>
      </w:pPr>
      <w:r w:rsidRPr="0000108E">
        <w:rPr>
          <w:szCs w:val="26"/>
        </w:rPr>
        <w:t>The NOPR proposed modifications to Page 700</w:t>
      </w:r>
      <w:r>
        <w:rPr>
          <w:szCs w:val="26"/>
        </w:rPr>
        <w:t xml:space="preserve"> </w:t>
      </w:r>
      <w:r w:rsidRPr="0000108E">
        <w:rPr>
          <w:szCs w:val="26"/>
        </w:rPr>
        <w:t>that will provide</w:t>
      </w:r>
      <w:r>
        <w:rPr>
          <w:szCs w:val="26"/>
        </w:rPr>
        <w:t xml:space="preserve"> </w:t>
      </w:r>
      <w:r w:rsidRPr="0000108E">
        <w:rPr>
          <w:szCs w:val="26"/>
        </w:rPr>
        <w:t xml:space="preserve">information that may be used to calculate </w:t>
      </w:r>
      <w:r w:rsidR="00214B0D">
        <w:rPr>
          <w:szCs w:val="26"/>
        </w:rPr>
        <w:t>an oil</w:t>
      </w:r>
      <w:r w:rsidR="00B44C94">
        <w:rPr>
          <w:szCs w:val="26"/>
        </w:rPr>
        <w:t xml:space="preserve"> pipeline</w:t>
      </w:r>
      <w:r w:rsidRPr="0000108E">
        <w:rPr>
          <w:szCs w:val="26"/>
        </w:rPr>
        <w:t>'s actual rate of return on</w:t>
      </w:r>
      <w:r>
        <w:rPr>
          <w:szCs w:val="26"/>
        </w:rPr>
        <w:t xml:space="preserve"> </w:t>
      </w:r>
      <w:r w:rsidRPr="0000108E">
        <w:rPr>
          <w:szCs w:val="26"/>
        </w:rPr>
        <w:t>equity.  The NOPR detailed that</w:t>
      </w:r>
      <w:r w:rsidR="00AB0D87">
        <w:rPr>
          <w:szCs w:val="26"/>
        </w:rPr>
        <w:t>,</w:t>
      </w:r>
      <w:r w:rsidRPr="0000108E">
        <w:rPr>
          <w:szCs w:val="26"/>
        </w:rPr>
        <w:t xml:space="preserve"> for Page 700 purposes, the actual rate of return on equity is determined by dividing (a) the actual return on equity by (b) the equity portion of Trended Original Cost Rate Base reported on line 5d.  The NOPR further pointed out for Page 700 purposes, the actual return on equity is the sum of three components that can be derived using the </w:t>
      </w:r>
      <w:r w:rsidRPr="0000108E">
        <w:rPr>
          <w:szCs w:val="26"/>
        </w:rPr>
        <w:lastRenderedPageBreak/>
        <w:t xml:space="preserve">proposed modifications to Page 700:  (a) the return on equity embedded in </w:t>
      </w:r>
      <w:r w:rsidR="00214B0D">
        <w:rPr>
          <w:szCs w:val="26"/>
        </w:rPr>
        <w:t>an oil</w:t>
      </w:r>
      <w:r w:rsidR="00B44C94">
        <w:rPr>
          <w:szCs w:val="26"/>
        </w:rPr>
        <w:t xml:space="preserve"> pipeline</w:t>
      </w:r>
      <w:r w:rsidRPr="0000108E">
        <w:rPr>
          <w:szCs w:val="26"/>
        </w:rPr>
        <w:t xml:space="preserve">’s Page 700 Total Cost of Service (line 7b); (b) the difference, adjusted for taxes, between </w:t>
      </w:r>
      <w:r w:rsidR="00214B0D">
        <w:rPr>
          <w:szCs w:val="26"/>
        </w:rPr>
        <w:t>an oil</w:t>
      </w:r>
      <w:r w:rsidR="00B44C94">
        <w:rPr>
          <w:szCs w:val="26"/>
        </w:rPr>
        <w:t xml:space="preserve"> pipeline</w:t>
      </w:r>
      <w:r w:rsidRPr="0000108E">
        <w:rPr>
          <w:szCs w:val="26"/>
        </w:rPr>
        <w:t>’s Total Interstate Operating Revenues (</w:t>
      </w:r>
      <w:r w:rsidR="00AB0D87">
        <w:rPr>
          <w:szCs w:val="26"/>
        </w:rPr>
        <w:t>l</w:t>
      </w:r>
      <w:r w:rsidRPr="0000108E">
        <w:rPr>
          <w:szCs w:val="26"/>
        </w:rPr>
        <w:t xml:space="preserve">ine 10) and </w:t>
      </w:r>
      <w:r w:rsidR="00214B0D">
        <w:rPr>
          <w:szCs w:val="26"/>
        </w:rPr>
        <w:t>an oil</w:t>
      </w:r>
      <w:r w:rsidR="00B44C94">
        <w:rPr>
          <w:szCs w:val="26"/>
        </w:rPr>
        <w:t xml:space="preserve"> pipeline</w:t>
      </w:r>
      <w:r w:rsidRPr="0000108E">
        <w:rPr>
          <w:szCs w:val="26"/>
        </w:rPr>
        <w:t>’s Total Cost of Service (</w:t>
      </w:r>
      <w:r w:rsidR="00766B4D">
        <w:rPr>
          <w:szCs w:val="26"/>
        </w:rPr>
        <w:t>l</w:t>
      </w:r>
      <w:r w:rsidRPr="0000108E">
        <w:rPr>
          <w:szCs w:val="26"/>
        </w:rPr>
        <w:t>ine 9);</w:t>
      </w:r>
      <w:r w:rsidRPr="0000108E">
        <w:rPr>
          <w:rStyle w:val="FootnoteReference"/>
        </w:rPr>
        <w:footnoteReference w:id="20"/>
      </w:r>
      <w:r w:rsidRPr="0000108E">
        <w:rPr>
          <w:szCs w:val="26"/>
        </w:rPr>
        <w:t xml:space="preserve"> and (c) the current year’s </w:t>
      </w:r>
      <w:r w:rsidR="00E36E58">
        <w:rPr>
          <w:szCs w:val="26"/>
        </w:rPr>
        <w:t xml:space="preserve">inflation related earnings that are deferred for subsequent collection, e.g., the </w:t>
      </w:r>
      <w:r w:rsidRPr="0000108E">
        <w:rPr>
          <w:szCs w:val="26"/>
        </w:rPr>
        <w:t xml:space="preserve">contribution to Net Deferred Earnings, which is calculated by multiplying the equity portion of the Trended Original Cost Rate Base (line 5d) by the current year’s Department of Labor’s consumer price index for all urban areas (CPI-U).   </w:t>
      </w:r>
    </w:p>
    <w:p w14:paraId="426CBA5A" w14:textId="77777777" w:rsidR="00F9606D" w:rsidRPr="00894630" w:rsidRDefault="00F9606D" w:rsidP="00F9606D">
      <w:pPr>
        <w:pStyle w:val="FERCparanumber"/>
        <w:rPr>
          <w:b/>
          <w:szCs w:val="26"/>
        </w:rPr>
      </w:pPr>
      <w:r w:rsidRPr="0000108E">
        <w:rPr>
          <w:szCs w:val="26"/>
        </w:rPr>
        <w:t xml:space="preserve">Once the actual return on equity has been derived, the NOPR suggested </w:t>
      </w:r>
      <w:r w:rsidR="00E15A99">
        <w:rPr>
          <w:szCs w:val="26"/>
        </w:rPr>
        <w:t xml:space="preserve">that </w:t>
      </w:r>
      <w:r w:rsidRPr="0000108E">
        <w:rPr>
          <w:szCs w:val="26"/>
        </w:rPr>
        <w:t>for Page 700 purposes, it may be divided by the equity portion of T</w:t>
      </w:r>
      <w:r w:rsidR="001D01B4">
        <w:rPr>
          <w:szCs w:val="26"/>
        </w:rPr>
        <w:t>OC r</w:t>
      </w:r>
      <w:r w:rsidRPr="0000108E">
        <w:rPr>
          <w:szCs w:val="26"/>
        </w:rPr>
        <w:t xml:space="preserve">ate </w:t>
      </w:r>
      <w:r w:rsidR="001D01B4">
        <w:rPr>
          <w:szCs w:val="26"/>
        </w:rPr>
        <w:t>b</w:t>
      </w:r>
      <w:r w:rsidRPr="0000108E">
        <w:rPr>
          <w:szCs w:val="26"/>
        </w:rPr>
        <w:t xml:space="preserve">ase.  </w:t>
      </w:r>
      <w:r w:rsidR="001D01B4">
        <w:rPr>
          <w:szCs w:val="26"/>
        </w:rPr>
        <w:t xml:space="preserve">Finally, the NOPR </w:t>
      </w:r>
      <w:r w:rsidR="00AD4CA2">
        <w:rPr>
          <w:szCs w:val="26"/>
        </w:rPr>
        <w:t>stated</w:t>
      </w:r>
      <w:r w:rsidR="001D01B4">
        <w:rPr>
          <w:szCs w:val="26"/>
        </w:rPr>
        <w:t xml:space="preserve"> t</w:t>
      </w:r>
      <w:r w:rsidRPr="0000108E">
        <w:rPr>
          <w:szCs w:val="26"/>
        </w:rPr>
        <w:t>he equity portion of the T</w:t>
      </w:r>
      <w:r w:rsidR="001D01B4">
        <w:rPr>
          <w:szCs w:val="26"/>
        </w:rPr>
        <w:t>OC</w:t>
      </w:r>
      <w:r w:rsidRPr="0000108E">
        <w:rPr>
          <w:szCs w:val="26"/>
        </w:rPr>
        <w:t xml:space="preserve"> </w:t>
      </w:r>
      <w:r w:rsidR="001D01B4">
        <w:rPr>
          <w:szCs w:val="26"/>
        </w:rPr>
        <w:t>r</w:t>
      </w:r>
      <w:r w:rsidRPr="0000108E">
        <w:rPr>
          <w:szCs w:val="26"/>
        </w:rPr>
        <w:t>ate base consists of the T</w:t>
      </w:r>
      <w:r w:rsidR="001D01B4">
        <w:rPr>
          <w:szCs w:val="26"/>
        </w:rPr>
        <w:t>OC</w:t>
      </w:r>
      <w:r w:rsidRPr="0000108E">
        <w:rPr>
          <w:szCs w:val="26"/>
        </w:rPr>
        <w:t xml:space="preserve"> </w:t>
      </w:r>
      <w:r w:rsidR="001D01B4">
        <w:rPr>
          <w:szCs w:val="26"/>
        </w:rPr>
        <w:t>r</w:t>
      </w:r>
      <w:r w:rsidRPr="0000108E">
        <w:rPr>
          <w:szCs w:val="26"/>
        </w:rPr>
        <w:t xml:space="preserve">ate </w:t>
      </w:r>
      <w:r w:rsidR="001D01B4">
        <w:rPr>
          <w:szCs w:val="26"/>
        </w:rPr>
        <w:t>b</w:t>
      </w:r>
      <w:r w:rsidRPr="0000108E">
        <w:rPr>
          <w:szCs w:val="26"/>
        </w:rPr>
        <w:t xml:space="preserve">ase (proposed line 5d) multiplied by the equity component of capital structure (proposed line 6b).   </w:t>
      </w:r>
    </w:p>
    <w:p w14:paraId="426CBA5B" w14:textId="77777777" w:rsidR="00F9606D" w:rsidRPr="0000108E" w:rsidRDefault="00F9606D" w:rsidP="00F9606D">
      <w:pPr>
        <w:pStyle w:val="Heading3"/>
        <w:tabs>
          <w:tab w:val="clear" w:pos="1440"/>
          <w:tab w:val="num" w:pos="2160"/>
        </w:tabs>
        <w:ind w:left="2160"/>
      </w:pPr>
      <w:bookmarkStart w:id="21" w:name="_bmk23"/>
      <w:r w:rsidRPr="0000108E">
        <w:t>C</w:t>
      </w:r>
      <w:bookmarkEnd w:id="21"/>
      <w:r w:rsidRPr="0000108E">
        <w:t>omments</w:t>
      </w:r>
    </w:p>
    <w:p w14:paraId="426CBA5C" w14:textId="77777777" w:rsidR="00BC2D35" w:rsidRPr="0000108E" w:rsidRDefault="00F9606D" w:rsidP="00BC2D35">
      <w:pPr>
        <w:pStyle w:val="FERCparanumber"/>
        <w:rPr>
          <w:szCs w:val="26"/>
        </w:rPr>
      </w:pPr>
      <w:r w:rsidRPr="0000108E">
        <w:rPr>
          <w:szCs w:val="26"/>
        </w:rPr>
        <w:t xml:space="preserve">AOPL requests that the Commission clarify that the methodology set forth </w:t>
      </w:r>
      <w:r w:rsidR="005D3CE4">
        <w:rPr>
          <w:szCs w:val="26"/>
        </w:rPr>
        <w:t>in the</w:t>
      </w:r>
      <w:r w:rsidRPr="0000108E">
        <w:rPr>
          <w:szCs w:val="26"/>
        </w:rPr>
        <w:t xml:space="preserve"> NOPR for calculating the actual rate of return on equity will have no precedential effect, and that </w:t>
      </w:r>
      <w:r w:rsidR="001D01B4">
        <w:rPr>
          <w:szCs w:val="26"/>
        </w:rPr>
        <w:t xml:space="preserve">the proposed calculation </w:t>
      </w:r>
      <w:r w:rsidRPr="0000108E">
        <w:rPr>
          <w:szCs w:val="26"/>
        </w:rPr>
        <w:t xml:space="preserve">is not intended to demonstrate whether </w:t>
      </w:r>
      <w:r w:rsidR="00B44C94">
        <w:rPr>
          <w:szCs w:val="26"/>
        </w:rPr>
        <w:t>oil pipeline</w:t>
      </w:r>
      <w:r w:rsidRPr="0000108E">
        <w:rPr>
          <w:szCs w:val="26"/>
        </w:rPr>
        <w:t xml:space="preserve"> rates are just and reasonable on the merits within the meaning of the ICA.</w:t>
      </w:r>
      <w:r w:rsidR="001D01B4">
        <w:rPr>
          <w:szCs w:val="26"/>
        </w:rPr>
        <w:t xml:space="preserve">  </w:t>
      </w:r>
      <w:r w:rsidR="00BC2D35" w:rsidRPr="005B37D6">
        <w:rPr>
          <w:szCs w:val="26"/>
        </w:rPr>
        <w:t>AOPL points out, “the Commission has consistently emphasized the original, limited purpose of Page 700</w:t>
      </w:r>
      <w:r w:rsidR="00BC2D35">
        <w:rPr>
          <w:szCs w:val="26"/>
        </w:rPr>
        <w:t xml:space="preserve">” in </w:t>
      </w:r>
      <w:r w:rsidR="00BC2D35" w:rsidRPr="005B37D6">
        <w:rPr>
          <w:szCs w:val="26"/>
        </w:rPr>
        <w:t xml:space="preserve">that Page 700 is only a </w:t>
      </w:r>
      <w:r w:rsidR="00BC2D35">
        <w:rPr>
          <w:szCs w:val="26"/>
        </w:rPr>
        <w:t>“</w:t>
      </w:r>
      <w:r w:rsidR="00BC2D35" w:rsidRPr="005B37D6">
        <w:rPr>
          <w:szCs w:val="26"/>
        </w:rPr>
        <w:t xml:space="preserve">preliminary screening tool and is not to be used to demonstrate </w:t>
      </w:r>
      <w:r w:rsidR="00BC2D35" w:rsidRPr="005B37D6">
        <w:rPr>
          <w:szCs w:val="26"/>
        </w:rPr>
        <w:lastRenderedPageBreak/>
        <w:t xml:space="preserve">the justness and reasonableness of </w:t>
      </w:r>
      <w:r w:rsidR="00B44C94">
        <w:rPr>
          <w:szCs w:val="26"/>
        </w:rPr>
        <w:t>oil pipeline</w:t>
      </w:r>
      <w:r w:rsidR="00BC2D35" w:rsidRPr="005B37D6">
        <w:rPr>
          <w:szCs w:val="26"/>
        </w:rPr>
        <w:t xml:space="preserve"> rates.”</w:t>
      </w:r>
      <w:r w:rsidR="00BC2D35" w:rsidRPr="005B37D6">
        <w:rPr>
          <w:rStyle w:val="FootnoteReference"/>
        </w:rPr>
        <w:footnoteReference w:id="21"/>
      </w:r>
      <w:r w:rsidR="00BC2D35" w:rsidRPr="005B37D6">
        <w:rPr>
          <w:szCs w:val="26"/>
        </w:rPr>
        <w:t xml:space="preserve">  AOPL also </w:t>
      </w:r>
      <w:r w:rsidR="00BC2D35">
        <w:rPr>
          <w:szCs w:val="26"/>
        </w:rPr>
        <w:t>observes</w:t>
      </w:r>
      <w:r w:rsidR="00BC2D35" w:rsidRPr="005B37D6">
        <w:rPr>
          <w:szCs w:val="26"/>
        </w:rPr>
        <w:t xml:space="preserve"> the Commission has stated Form 6 “provide[s] sufficient information to allow shippers to file a complaint requesting a determination of the justness and reasonableness of </w:t>
      </w:r>
      <w:r w:rsidR="00214B0D">
        <w:rPr>
          <w:szCs w:val="26"/>
        </w:rPr>
        <w:t>an oil</w:t>
      </w:r>
      <w:r w:rsidR="00B44C94">
        <w:rPr>
          <w:szCs w:val="26"/>
        </w:rPr>
        <w:t xml:space="preserve"> pipeline</w:t>
      </w:r>
      <w:r w:rsidR="00BC2D35" w:rsidRPr="005B37D6">
        <w:rPr>
          <w:szCs w:val="26"/>
        </w:rPr>
        <w:t>’s rates.”</w:t>
      </w:r>
      <w:r w:rsidR="00BC2D35" w:rsidRPr="005B37D6">
        <w:rPr>
          <w:rStyle w:val="FootnoteReference"/>
        </w:rPr>
        <w:footnoteReference w:id="22"/>
      </w:r>
      <w:r w:rsidR="00BC2D35" w:rsidRPr="005B37D6">
        <w:rPr>
          <w:szCs w:val="26"/>
        </w:rPr>
        <w:t xml:space="preserve">  </w:t>
      </w:r>
      <w:r w:rsidR="00BC2D35">
        <w:rPr>
          <w:szCs w:val="26"/>
        </w:rPr>
        <w:t>Therefore</w:t>
      </w:r>
      <w:r w:rsidR="00BC2D35" w:rsidRPr="005B37D6">
        <w:rPr>
          <w:szCs w:val="26"/>
        </w:rPr>
        <w:t>, AOPL contends that shippers already have enough information with what is already available on Page 700.</w:t>
      </w:r>
    </w:p>
    <w:p w14:paraId="426CBA5D" w14:textId="77777777" w:rsidR="00F9606D" w:rsidRDefault="0002662D" w:rsidP="00F9606D">
      <w:pPr>
        <w:pStyle w:val="FERCparanumber"/>
        <w:rPr>
          <w:szCs w:val="26"/>
        </w:rPr>
      </w:pPr>
      <w:r>
        <w:rPr>
          <w:szCs w:val="26"/>
        </w:rPr>
        <w:t xml:space="preserve">AOPL argues Form 6 includes historic accounting data that (1) </w:t>
      </w:r>
      <w:r w:rsidR="005C7450">
        <w:rPr>
          <w:szCs w:val="26"/>
        </w:rPr>
        <w:t>does not contain the</w:t>
      </w:r>
      <w:r>
        <w:rPr>
          <w:szCs w:val="26"/>
        </w:rPr>
        <w:t xml:space="preserve"> forward</w:t>
      </w:r>
      <w:r w:rsidR="00E022CA">
        <w:rPr>
          <w:szCs w:val="26"/>
        </w:rPr>
        <w:t>-</w:t>
      </w:r>
      <w:r>
        <w:rPr>
          <w:szCs w:val="26"/>
        </w:rPr>
        <w:t xml:space="preserve">looking </w:t>
      </w:r>
      <w:r w:rsidR="00A31913">
        <w:rPr>
          <w:szCs w:val="26"/>
        </w:rPr>
        <w:t>adjustments made during ratemaking</w:t>
      </w:r>
      <w:r>
        <w:rPr>
          <w:szCs w:val="26"/>
        </w:rPr>
        <w:t>; (2) may include non-</w:t>
      </w:r>
      <w:r w:rsidR="009C6927">
        <w:rPr>
          <w:szCs w:val="26"/>
        </w:rPr>
        <w:t>recurring</w:t>
      </w:r>
      <w:r>
        <w:rPr>
          <w:szCs w:val="26"/>
        </w:rPr>
        <w:t xml:space="preserve"> items that should be excluded for ratemaking purposes; and (3) might not properly reflect the allocation of overhead costs from parent to affiliated companies.</w:t>
      </w:r>
      <w:r w:rsidR="000E7849">
        <w:rPr>
          <w:rStyle w:val="FootnoteReference"/>
        </w:rPr>
        <w:footnoteReference w:id="23"/>
      </w:r>
      <w:r>
        <w:rPr>
          <w:szCs w:val="26"/>
        </w:rPr>
        <w:t xml:space="preserve">  </w:t>
      </w:r>
    </w:p>
    <w:p w14:paraId="426CBA5E" w14:textId="77777777" w:rsidR="001D01B4" w:rsidRDefault="00F9606D" w:rsidP="00F9606D">
      <w:pPr>
        <w:pStyle w:val="FERCparanumber"/>
        <w:rPr>
          <w:szCs w:val="26"/>
        </w:rPr>
      </w:pPr>
      <w:r w:rsidRPr="0000108E">
        <w:rPr>
          <w:szCs w:val="26"/>
        </w:rPr>
        <w:t xml:space="preserve">AOPL </w:t>
      </w:r>
      <w:r w:rsidR="005A3FEB">
        <w:rPr>
          <w:szCs w:val="26"/>
        </w:rPr>
        <w:t xml:space="preserve">further </w:t>
      </w:r>
      <w:r w:rsidRPr="0000108E">
        <w:rPr>
          <w:szCs w:val="26"/>
        </w:rPr>
        <w:t xml:space="preserve">states it is concerned that the ratemaking formula discussed in the NOPR does not reflect Commission precedent and established ratemaking principles for </w:t>
      </w:r>
      <w:r w:rsidR="00214B0D">
        <w:rPr>
          <w:szCs w:val="26"/>
        </w:rPr>
        <w:t>oil</w:t>
      </w:r>
      <w:r w:rsidR="00B44C94">
        <w:rPr>
          <w:szCs w:val="26"/>
        </w:rPr>
        <w:t xml:space="preserve"> pipeline</w:t>
      </w:r>
      <w:r w:rsidRPr="0000108E">
        <w:rPr>
          <w:szCs w:val="26"/>
        </w:rPr>
        <w:t>s.</w:t>
      </w:r>
      <w:r w:rsidR="00C91D5A">
        <w:rPr>
          <w:rStyle w:val="FootnoteReference"/>
        </w:rPr>
        <w:footnoteReference w:id="24"/>
      </w:r>
      <w:r w:rsidR="001D01B4">
        <w:rPr>
          <w:szCs w:val="26"/>
        </w:rPr>
        <w:t xml:space="preserve">  Fo</w:t>
      </w:r>
      <w:r w:rsidR="001D01B4" w:rsidRPr="0000108E">
        <w:rPr>
          <w:szCs w:val="26"/>
        </w:rPr>
        <w:t xml:space="preserve">r example, </w:t>
      </w:r>
      <w:r w:rsidR="001D01B4">
        <w:rPr>
          <w:szCs w:val="26"/>
        </w:rPr>
        <w:t xml:space="preserve">AOPL claims </w:t>
      </w:r>
      <w:r w:rsidR="005D3CE4">
        <w:rPr>
          <w:szCs w:val="26"/>
        </w:rPr>
        <w:t xml:space="preserve">that </w:t>
      </w:r>
      <w:r w:rsidR="001D01B4" w:rsidRPr="0000108E">
        <w:rPr>
          <w:szCs w:val="26"/>
        </w:rPr>
        <w:t>in Opinion No</w:t>
      </w:r>
      <w:r w:rsidR="001D01B4">
        <w:rPr>
          <w:szCs w:val="26"/>
        </w:rPr>
        <w:t>.</w:t>
      </w:r>
      <w:r w:rsidR="001D01B4" w:rsidRPr="0000108E">
        <w:rPr>
          <w:szCs w:val="26"/>
        </w:rPr>
        <w:t xml:space="preserve"> 351, the Commission found that the regulatory method for determining a company’s return allowance is based on a weighted cost of capital applied to a single rate base, yet the NOPR</w:t>
      </w:r>
      <w:r w:rsidR="001D01B4">
        <w:rPr>
          <w:szCs w:val="26"/>
        </w:rPr>
        <w:t xml:space="preserve"> purportedly </w:t>
      </w:r>
      <w:r w:rsidR="001D01B4" w:rsidRPr="0000108E">
        <w:rPr>
          <w:szCs w:val="26"/>
        </w:rPr>
        <w:t>reference</w:t>
      </w:r>
      <w:r w:rsidR="001D01B4">
        <w:rPr>
          <w:szCs w:val="26"/>
        </w:rPr>
        <w:t>s</w:t>
      </w:r>
      <w:r w:rsidR="001D01B4" w:rsidRPr="0000108E">
        <w:rPr>
          <w:szCs w:val="26"/>
        </w:rPr>
        <w:t xml:space="preserve"> a separate debt and equity rate base component for purposes of computing an actual return on equity</w:t>
      </w:r>
      <w:r w:rsidR="001D01B4">
        <w:rPr>
          <w:szCs w:val="26"/>
        </w:rPr>
        <w:t xml:space="preserve">, which </w:t>
      </w:r>
      <w:r w:rsidR="00A130DA">
        <w:rPr>
          <w:szCs w:val="26"/>
        </w:rPr>
        <w:t xml:space="preserve">it </w:t>
      </w:r>
      <w:r w:rsidR="001D01B4">
        <w:rPr>
          <w:szCs w:val="26"/>
        </w:rPr>
        <w:t xml:space="preserve">claims </w:t>
      </w:r>
      <w:r w:rsidR="001D01B4" w:rsidRPr="0000108E">
        <w:rPr>
          <w:szCs w:val="26"/>
        </w:rPr>
        <w:t xml:space="preserve">is inconsistent with </w:t>
      </w:r>
      <w:r w:rsidR="001D01B4">
        <w:rPr>
          <w:szCs w:val="26"/>
        </w:rPr>
        <w:t xml:space="preserve">prior </w:t>
      </w:r>
      <w:r w:rsidR="001D01B4" w:rsidRPr="0000108E">
        <w:rPr>
          <w:szCs w:val="26"/>
        </w:rPr>
        <w:t xml:space="preserve">Commission findings.  Likewise, AOPL </w:t>
      </w:r>
      <w:r w:rsidR="001D01B4">
        <w:rPr>
          <w:szCs w:val="26"/>
        </w:rPr>
        <w:t xml:space="preserve">disagrees </w:t>
      </w:r>
      <w:r w:rsidR="00E15A99">
        <w:rPr>
          <w:szCs w:val="26"/>
        </w:rPr>
        <w:t xml:space="preserve">with the statement </w:t>
      </w:r>
      <w:r w:rsidR="001D01B4" w:rsidRPr="0000108E">
        <w:rPr>
          <w:szCs w:val="26"/>
        </w:rPr>
        <w:t xml:space="preserve">that </w:t>
      </w:r>
      <w:r w:rsidR="0029582C">
        <w:rPr>
          <w:szCs w:val="26"/>
        </w:rPr>
        <w:t>“</w:t>
      </w:r>
      <w:r w:rsidR="001D01B4" w:rsidRPr="0000108E">
        <w:rPr>
          <w:szCs w:val="26"/>
        </w:rPr>
        <w:t xml:space="preserve">the current year’s contribution to Net </w:t>
      </w:r>
      <w:r w:rsidR="001D01B4" w:rsidRPr="0000108E">
        <w:rPr>
          <w:szCs w:val="26"/>
        </w:rPr>
        <w:lastRenderedPageBreak/>
        <w:t>Deferred Earnings represents equity return the carrier has collected in its current rates</w:t>
      </w:r>
      <w:r w:rsidR="001D01B4">
        <w:rPr>
          <w:szCs w:val="26"/>
        </w:rPr>
        <w:t>.</w:t>
      </w:r>
      <w:r w:rsidR="00E36E58">
        <w:rPr>
          <w:szCs w:val="26"/>
        </w:rPr>
        <w:t>”</w:t>
      </w:r>
      <w:r w:rsidR="00E36E58">
        <w:rPr>
          <w:rStyle w:val="FootnoteReference"/>
        </w:rPr>
        <w:footnoteReference w:id="25"/>
      </w:r>
      <w:r w:rsidR="001D01B4">
        <w:rPr>
          <w:szCs w:val="26"/>
        </w:rPr>
        <w:t xml:space="preserve">  To this end, AOPL suggests that </w:t>
      </w:r>
      <w:r w:rsidR="001D01B4" w:rsidRPr="0000108E">
        <w:rPr>
          <w:szCs w:val="26"/>
        </w:rPr>
        <w:t>under the TOC methodology the current year’s contribution to deferred earnings is not collected in the current period, but is instead accrued in rate base and amortized over the remaining life of the asset.</w:t>
      </w:r>
      <w:r w:rsidR="001D01B4">
        <w:rPr>
          <w:szCs w:val="26"/>
        </w:rPr>
        <w:t xml:space="preserve">    </w:t>
      </w:r>
      <w:r w:rsidRPr="0000108E">
        <w:rPr>
          <w:szCs w:val="26"/>
        </w:rPr>
        <w:t xml:space="preserve">  </w:t>
      </w:r>
    </w:p>
    <w:p w14:paraId="426CBA5F" w14:textId="77777777" w:rsidR="00F9606D" w:rsidRDefault="00F9606D" w:rsidP="00F9606D">
      <w:pPr>
        <w:pStyle w:val="FERCparanumber"/>
        <w:rPr>
          <w:szCs w:val="26"/>
        </w:rPr>
      </w:pPr>
      <w:r w:rsidRPr="0000108E">
        <w:rPr>
          <w:szCs w:val="26"/>
        </w:rPr>
        <w:t xml:space="preserve">AOPL asserts that the additional information is not necessary or appropriate for ensuring that </w:t>
      </w:r>
      <w:r w:rsidR="005A3FEB">
        <w:rPr>
          <w:szCs w:val="26"/>
        </w:rPr>
        <w:t>P</w:t>
      </w:r>
      <w:r w:rsidRPr="0000108E">
        <w:rPr>
          <w:szCs w:val="26"/>
        </w:rPr>
        <w:t>age 700 can be used for its intended purpose o</w:t>
      </w:r>
      <w:r w:rsidR="002F694E">
        <w:rPr>
          <w:szCs w:val="26"/>
        </w:rPr>
        <w:t>f allowing a shipper to make a threshold</w:t>
      </w:r>
      <w:r w:rsidRPr="0000108E">
        <w:rPr>
          <w:szCs w:val="26"/>
        </w:rPr>
        <w:t xml:space="preserve"> determination as to whether to challenge </w:t>
      </w:r>
      <w:r w:rsidR="00214B0D">
        <w:rPr>
          <w:szCs w:val="26"/>
        </w:rPr>
        <w:t>an oil</w:t>
      </w:r>
      <w:r w:rsidR="00B44C94">
        <w:rPr>
          <w:szCs w:val="26"/>
        </w:rPr>
        <w:t xml:space="preserve"> pipeline</w:t>
      </w:r>
      <w:r w:rsidRPr="0000108E">
        <w:rPr>
          <w:szCs w:val="26"/>
        </w:rPr>
        <w:t xml:space="preserve">’s rates.  AOPL states that the proposed additional line items do not further the Commission’s objective of ensuring that page 700 is a useful preliminary screening tool.  </w:t>
      </w:r>
    </w:p>
    <w:p w14:paraId="426CBA60" w14:textId="77777777" w:rsidR="00107481" w:rsidRPr="0000108E" w:rsidRDefault="00107481" w:rsidP="00F9606D">
      <w:pPr>
        <w:pStyle w:val="FERCparanumber"/>
        <w:rPr>
          <w:szCs w:val="26"/>
        </w:rPr>
      </w:pPr>
      <w:r w:rsidRPr="0000108E">
        <w:rPr>
          <w:szCs w:val="26"/>
        </w:rPr>
        <w:t>Mr. Gooch states that the NOPR</w:t>
      </w:r>
      <w:r w:rsidR="002F694E">
        <w:rPr>
          <w:szCs w:val="26"/>
        </w:rPr>
        <w:t>’s calculation of the actual return on equity</w:t>
      </w:r>
      <w:r w:rsidRPr="0000108E">
        <w:rPr>
          <w:szCs w:val="26"/>
        </w:rPr>
        <w:t xml:space="preserve"> allow</w:t>
      </w:r>
      <w:r w:rsidR="003E6CFD">
        <w:rPr>
          <w:szCs w:val="26"/>
        </w:rPr>
        <w:t>s</w:t>
      </w:r>
      <w:r w:rsidRPr="0000108E">
        <w:rPr>
          <w:szCs w:val="26"/>
        </w:rPr>
        <w:t xml:space="preserve"> for an income tax allowance prior to the calculation of </w:t>
      </w:r>
      <w:r>
        <w:rPr>
          <w:szCs w:val="26"/>
        </w:rPr>
        <w:t xml:space="preserve">a </w:t>
      </w:r>
      <w:r w:rsidRPr="0000108E">
        <w:rPr>
          <w:szCs w:val="26"/>
        </w:rPr>
        <w:t xml:space="preserve">profit, </w:t>
      </w:r>
      <w:r>
        <w:rPr>
          <w:szCs w:val="26"/>
        </w:rPr>
        <w:t xml:space="preserve">to </w:t>
      </w:r>
      <w:r w:rsidRPr="0000108E">
        <w:rPr>
          <w:szCs w:val="26"/>
        </w:rPr>
        <w:t xml:space="preserve">which Mr. Gooch strongly objects.  Mr. Gooch states that consumers would essentially be paying the income taxes that might be incurred on unlawful and prohibited revenues, violating the </w:t>
      </w:r>
      <w:smartTag w:uri="urn:schemas-microsoft-com:office:smarttags" w:element="place">
        <w:smartTag w:uri="urn:schemas-microsoft-com:office:smarttags" w:element="City">
          <w:r w:rsidRPr="0000108E">
            <w:rPr>
              <w:szCs w:val="26"/>
            </w:rPr>
            <w:t>ICA</w:t>
          </w:r>
        </w:smartTag>
      </w:smartTag>
      <w:r w:rsidRPr="0000108E">
        <w:rPr>
          <w:szCs w:val="26"/>
        </w:rPr>
        <w:t>.</w:t>
      </w:r>
    </w:p>
    <w:p w14:paraId="426CBA61" w14:textId="77777777" w:rsidR="00F9606D" w:rsidRPr="006B57C6" w:rsidRDefault="00F9606D" w:rsidP="00F9606D">
      <w:pPr>
        <w:pStyle w:val="Heading3"/>
        <w:tabs>
          <w:tab w:val="clear" w:pos="1440"/>
          <w:tab w:val="num" w:pos="2160"/>
        </w:tabs>
        <w:ind w:left="2160"/>
      </w:pPr>
      <w:bookmarkStart w:id="22" w:name="_bmk24"/>
      <w:r w:rsidRPr="006B57C6">
        <w:t>C</w:t>
      </w:r>
      <w:bookmarkEnd w:id="22"/>
      <w:r w:rsidRPr="006B57C6">
        <w:t>ommission Determination</w:t>
      </w:r>
    </w:p>
    <w:p w14:paraId="426CBA62" w14:textId="77777777" w:rsidR="00822820" w:rsidRDefault="00F9606D" w:rsidP="00592DB9">
      <w:pPr>
        <w:pStyle w:val="FERCparanumber"/>
        <w:tabs>
          <w:tab w:val="clear" w:pos="720"/>
        </w:tabs>
        <w:autoSpaceDE/>
        <w:autoSpaceDN/>
        <w:adjustRightInd/>
        <w:rPr>
          <w:szCs w:val="26"/>
        </w:rPr>
      </w:pPr>
      <w:r w:rsidRPr="005F2EC6">
        <w:rPr>
          <w:szCs w:val="26"/>
        </w:rPr>
        <w:t xml:space="preserve">The Commission will adopt the NOPR’s use of a calculation of an actual rate of return on equity.  </w:t>
      </w:r>
      <w:r w:rsidR="00D143D4">
        <w:rPr>
          <w:szCs w:val="26"/>
        </w:rPr>
        <w:t>As t</w:t>
      </w:r>
      <w:r w:rsidR="004972E5" w:rsidRPr="005F2EC6">
        <w:rPr>
          <w:szCs w:val="26"/>
        </w:rPr>
        <w:t>he NOPR reasoned</w:t>
      </w:r>
      <w:r w:rsidR="00D143D4">
        <w:rPr>
          <w:szCs w:val="26"/>
        </w:rPr>
        <w:t>,</w:t>
      </w:r>
      <w:r w:rsidR="004972E5" w:rsidRPr="005F2EC6">
        <w:rPr>
          <w:szCs w:val="26"/>
        </w:rPr>
        <w:t xml:space="preserve"> the actual rate of return on equity is particularly useful </w:t>
      </w:r>
      <w:r w:rsidR="00E43399" w:rsidRPr="005F2EC6">
        <w:rPr>
          <w:szCs w:val="26"/>
        </w:rPr>
        <w:t>information</w:t>
      </w:r>
      <w:r w:rsidR="004972E5" w:rsidRPr="005F2EC6">
        <w:rPr>
          <w:szCs w:val="26"/>
        </w:rPr>
        <w:t xml:space="preserve"> when using Page 700 as a preliminary screen to evaluate whether additional proceedings may be necessary </w:t>
      </w:r>
      <w:r w:rsidR="00417E75">
        <w:rPr>
          <w:szCs w:val="26"/>
        </w:rPr>
        <w:t xml:space="preserve">to challenge rates </w:t>
      </w:r>
      <w:r w:rsidR="004972E5" w:rsidRPr="005F2EC6">
        <w:rPr>
          <w:szCs w:val="26"/>
        </w:rPr>
        <w:t>consistent with the Commission’s mandate under the ICA.</w:t>
      </w:r>
      <w:r w:rsidR="00A32F6C" w:rsidRPr="005F2EC6">
        <w:rPr>
          <w:szCs w:val="26"/>
        </w:rPr>
        <w:t xml:space="preserve">  </w:t>
      </w:r>
    </w:p>
    <w:p w14:paraId="426CBA63" w14:textId="4DCCE429" w:rsidR="00472AB1" w:rsidRPr="005F2EC6" w:rsidRDefault="00822820" w:rsidP="00592DB9">
      <w:pPr>
        <w:pStyle w:val="FERCparanumber"/>
        <w:tabs>
          <w:tab w:val="clear" w:pos="720"/>
        </w:tabs>
        <w:autoSpaceDE/>
        <w:autoSpaceDN/>
        <w:adjustRightInd/>
        <w:rPr>
          <w:szCs w:val="26"/>
        </w:rPr>
      </w:pPr>
      <w:r>
        <w:rPr>
          <w:szCs w:val="26"/>
        </w:rPr>
        <w:lastRenderedPageBreak/>
        <w:t xml:space="preserve">The proposed formula for calculating the actual return on equity </w:t>
      </w:r>
      <w:r w:rsidR="00502F75">
        <w:rPr>
          <w:szCs w:val="26"/>
        </w:rPr>
        <w:t>in the NOPR</w:t>
      </w:r>
      <w:r>
        <w:rPr>
          <w:szCs w:val="26"/>
        </w:rPr>
        <w:t xml:space="preserve"> does not have precedential effect</w:t>
      </w:r>
      <w:r w:rsidR="00502F75">
        <w:rPr>
          <w:szCs w:val="26"/>
        </w:rPr>
        <w:t xml:space="preserve"> for ratemaking purposes</w:t>
      </w:r>
      <w:r>
        <w:rPr>
          <w:szCs w:val="26"/>
        </w:rPr>
        <w:t xml:space="preserve"> nor does it demonstrate alone whether a pipeline’s rates are just and reasonable.  </w:t>
      </w:r>
      <w:r w:rsidR="00E43399" w:rsidRPr="005F2EC6">
        <w:rPr>
          <w:szCs w:val="26"/>
        </w:rPr>
        <w:t>Consistent</w:t>
      </w:r>
      <w:r w:rsidR="004972E5" w:rsidRPr="005F2EC6">
        <w:rPr>
          <w:szCs w:val="26"/>
        </w:rPr>
        <w:t xml:space="preserve"> with the historic purpose </w:t>
      </w:r>
      <w:r w:rsidR="00A23322" w:rsidRPr="005F2EC6">
        <w:rPr>
          <w:szCs w:val="26"/>
        </w:rPr>
        <w:t xml:space="preserve">of Page 700 </w:t>
      </w:r>
      <w:r w:rsidR="004972E5" w:rsidRPr="005F2EC6">
        <w:rPr>
          <w:szCs w:val="26"/>
        </w:rPr>
        <w:t>as a preliminary screening tool, the</w:t>
      </w:r>
      <w:r w:rsidR="003E245B" w:rsidRPr="005F2EC6">
        <w:rPr>
          <w:szCs w:val="26"/>
        </w:rPr>
        <w:t xml:space="preserve"> Commission affirms</w:t>
      </w:r>
      <w:r w:rsidR="003E6CFD">
        <w:rPr>
          <w:szCs w:val="26"/>
        </w:rPr>
        <w:t xml:space="preserve"> </w:t>
      </w:r>
      <w:r w:rsidR="003E245B" w:rsidRPr="005F2EC6">
        <w:rPr>
          <w:szCs w:val="26"/>
        </w:rPr>
        <w:t>the</w:t>
      </w:r>
      <w:r w:rsidR="004972E5" w:rsidRPr="005F2EC6">
        <w:rPr>
          <w:szCs w:val="26"/>
        </w:rPr>
        <w:t xml:space="preserve"> NOPR’s method for calculating the actual rate of return on equity is for preliminary</w:t>
      </w:r>
      <w:r w:rsidR="005F2EC6">
        <w:rPr>
          <w:szCs w:val="26"/>
        </w:rPr>
        <w:t xml:space="preserve"> screening purposes only.</w:t>
      </w:r>
      <w:r>
        <w:rPr>
          <w:szCs w:val="26"/>
        </w:rPr>
        <w:t xml:space="preserve">  </w:t>
      </w:r>
      <w:r w:rsidR="008E0AFC" w:rsidRPr="005F2EC6">
        <w:rPr>
          <w:szCs w:val="26"/>
        </w:rPr>
        <w:t>The proposal does not</w:t>
      </w:r>
      <w:r w:rsidR="00472AB1" w:rsidRPr="005F2EC6">
        <w:rPr>
          <w:szCs w:val="26"/>
        </w:rPr>
        <w:t xml:space="preserve"> </w:t>
      </w:r>
      <w:r w:rsidR="005C3EFD" w:rsidRPr="005F2EC6">
        <w:rPr>
          <w:szCs w:val="26"/>
        </w:rPr>
        <w:t xml:space="preserve">establish </w:t>
      </w:r>
      <w:r w:rsidR="00472AB1" w:rsidRPr="005F2EC6">
        <w:rPr>
          <w:szCs w:val="26"/>
        </w:rPr>
        <w:t>a formula</w:t>
      </w:r>
      <w:r w:rsidR="00D129FF" w:rsidRPr="005F2EC6">
        <w:rPr>
          <w:szCs w:val="26"/>
        </w:rPr>
        <w:t xml:space="preserve"> for setting</w:t>
      </w:r>
      <w:r w:rsidR="005C3EFD" w:rsidRPr="005F2EC6">
        <w:rPr>
          <w:szCs w:val="26"/>
        </w:rPr>
        <w:t xml:space="preserve"> </w:t>
      </w:r>
      <w:r w:rsidR="00B44C94" w:rsidRPr="005F2EC6">
        <w:rPr>
          <w:szCs w:val="26"/>
        </w:rPr>
        <w:t>oil pipeline</w:t>
      </w:r>
      <w:r w:rsidR="00D129FF" w:rsidRPr="005F2EC6">
        <w:rPr>
          <w:szCs w:val="26"/>
        </w:rPr>
        <w:t xml:space="preserve"> rates</w:t>
      </w:r>
      <w:r w:rsidR="005C3EFD" w:rsidRPr="005F2EC6">
        <w:rPr>
          <w:szCs w:val="26"/>
        </w:rPr>
        <w:t xml:space="preserve"> </w:t>
      </w:r>
      <w:r w:rsidR="00E15A99" w:rsidRPr="005F2EC6">
        <w:rPr>
          <w:szCs w:val="26"/>
        </w:rPr>
        <w:t>in a particular rate case</w:t>
      </w:r>
      <w:r w:rsidR="00472AB1" w:rsidRPr="005F2EC6">
        <w:rPr>
          <w:szCs w:val="26"/>
        </w:rPr>
        <w:t>.</w:t>
      </w:r>
    </w:p>
    <w:p w14:paraId="426CBA64" w14:textId="77777777" w:rsidR="00605D67" w:rsidRDefault="00B36C0D" w:rsidP="00592DB9">
      <w:pPr>
        <w:pStyle w:val="FERCparanumber"/>
        <w:tabs>
          <w:tab w:val="clear" w:pos="720"/>
        </w:tabs>
        <w:autoSpaceDE/>
        <w:autoSpaceDN/>
        <w:adjustRightInd/>
        <w:rPr>
          <w:szCs w:val="26"/>
        </w:rPr>
      </w:pPr>
      <w:r>
        <w:rPr>
          <w:szCs w:val="26"/>
        </w:rPr>
        <w:t xml:space="preserve">Accordingly, the </w:t>
      </w:r>
      <w:r w:rsidR="00472AB1">
        <w:rPr>
          <w:szCs w:val="26"/>
        </w:rPr>
        <w:t>calculation of the actual rate of return formula on Page 700 does not change the Commission’s ratemaking policies.  The Commission agrees with AOPL that Opinion No. 351 outlined how the total return on equity</w:t>
      </w:r>
      <w:r w:rsidR="003804BD">
        <w:rPr>
          <w:szCs w:val="26"/>
        </w:rPr>
        <w:t xml:space="preserve"> should be calculated for </w:t>
      </w:r>
      <w:r w:rsidR="009D08C9">
        <w:rPr>
          <w:szCs w:val="26"/>
        </w:rPr>
        <w:t xml:space="preserve">the purpose of setting </w:t>
      </w:r>
      <w:r w:rsidR="00B44C94">
        <w:rPr>
          <w:szCs w:val="26"/>
        </w:rPr>
        <w:t>oil pipeline</w:t>
      </w:r>
      <w:r w:rsidR="009D08C9">
        <w:rPr>
          <w:szCs w:val="26"/>
        </w:rPr>
        <w:t xml:space="preserve"> rates</w:t>
      </w:r>
      <w:r w:rsidR="003804BD">
        <w:rPr>
          <w:szCs w:val="26"/>
        </w:rPr>
        <w:t>.</w:t>
      </w:r>
      <w:r w:rsidRPr="00B36C0D">
        <w:rPr>
          <w:rStyle w:val="FootnoteReference"/>
        </w:rPr>
        <w:t xml:space="preserve"> </w:t>
      </w:r>
      <w:r>
        <w:rPr>
          <w:rStyle w:val="FootnoteReference"/>
        </w:rPr>
        <w:footnoteReference w:id="26"/>
      </w:r>
      <w:r w:rsidR="003804BD">
        <w:rPr>
          <w:szCs w:val="26"/>
        </w:rPr>
        <w:t xml:space="preserve">  </w:t>
      </w:r>
      <w:r>
        <w:t xml:space="preserve">Here, in contrast, the proposed calculation is for the calculation of an actual return on equity only.  </w:t>
      </w:r>
      <w:r w:rsidR="003804BD">
        <w:rPr>
          <w:szCs w:val="26"/>
        </w:rPr>
        <w:t>The Commission’s action</w:t>
      </w:r>
      <w:r w:rsidR="00F8585D">
        <w:rPr>
          <w:szCs w:val="26"/>
        </w:rPr>
        <w:t>s</w:t>
      </w:r>
      <w:r w:rsidR="003804BD">
        <w:rPr>
          <w:szCs w:val="26"/>
        </w:rPr>
        <w:t xml:space="preserve"> in this </w:t>
      </w:r>
      <w:r w:rsidR="008A1CDD">
        <w:rPr>
          <w:szCs w:val="26"/>
        </w:rPr>
        <w:t>F</w:t>
      </w:r>
      <w:r w:rsidR="003804BD">
        <w:rPr>
          <w:szCs w:val="26"/>
        </w:rPr>
        <w:t xml:space="preserve">inal </w:t>
      </w:r>
      <w:r w:rsidR="008A1CDD">
        <w:rPr>
          <w:szCs w:val="26"/>
        </w:rPr>
        <w:t>R</w:t>
      </w:r>
      <w:r w:rsidR="003804BD">
        <w:rPr>
          <w:szCs w:val="26"/>
        </w:rPr>
        <w:t xml:space="preserve">ule do not change the </w:t>
      </w:r>
      <w:r w:rsidR="00CB4823">
        <w:rPr>
          <w:szCs w:val="26"/>
        </w:rPr>
        <w:t>Commission’s</w:t>
      </w:r>
      <w:r w:rsidR="003804BD">
        <w:rPr>
          <w:szCs w:val="26"/>
        </w:rPr>
        <w:t xml:space="preserve"> ratemaking policies</w:t>
      </w:r>
      <w:r>
        <w:rPr>
          <w:szCs w:val="26"/>
        </w:rPr>
        <w:t xml:space="preserve"> in Opinion No. 351</w:t>
      </w:r>
      <w:r w:rsidR="003804BD">
        <w:rPr>
          <w:szCs w:val="26"/>
        </w:rPr>
        <w:t>.  Nor does the formula</w:t>
      </w:r>
      <w:r w:rsidR="005C3EFD">
        <w:rPr>
          <w:szCs w:val="26"/>
        </w:rPr>
        <w:t>, which is for preliminary screening purposes only,</w:t>
      </w:r>
      <w:r w:rsidR="003804BD">
        <w:rPr>
          <w:szCs w:val="26"/>
        </w:rPr>
        <w:t xml:space="preserve"> alter the </w:t>
      </w:r>
      <w:r w:rsidR="00CB4823">
        <w:rPr>
          <w:szCs w:val="26"/>
        </w:rPr>
        <w:t>Commission’s</w:t>
      </w:r>
      <w:r w:rsidR="003804BD">
        <w:rPr>
          <w:szCs w:val="26"/>
        </w:rPr>
        <w:t xml:space="preserve"> </w:t>
      </w:r>
    </w:p>
    <w:p w14:paraId="426CBA65" w14:textId="77777777" w:rsidR="00D56F1E" w:rsidRDefault="00D56F1E" w:rsidP="00605D67">
      <w:pPr>
        <w:pStyle w:val="FERCparanumber"/>
        <w:numPr>
          <w:ilvl w:val="0"/>
          <w:numId w:val="0"/>
        </w:numPr>
        <w:autoSpaceDE/>
        <w:autoSpaceDN/>
        <w:adjustRightInd/>
        <w:rPr>
          <w:szCs w:val="26"/>
        </w:rPr>
      </w:pPr>
    </w:p>
    <w:p w14:paraId="426CBA66" w14:textId="77777777" w:rsidR="00D56F1E" w:rsidRDefault="00D56F1E" w:rsidP="00605D67">
      <w:pPr>
        <w:pStyle w:val="FERCparanumber"/>
        <w:numPr>
          <w:ilvl w:val="0"/>
          <w:numId w:val="0"/>
        </w:numPr>
        <w:autoSpaceDE/>
        <w:autoSpaceDN/>
        <w:adjustRightInd/>
        <w:rPr>
          <w:szCs w:val="26"/>
        </w:rPr>
      </w:pPr>
    </w:p>
    <w:p w14:paraId="426CBA67" w14:textId="77777777" w:rsidR="00D56F1E" w:rsidRDefault="00D56F1E" w:rsidP="00605D67">
      <w:pPr>
        <w:pStyle w:val="FERCparanumber"/>
        <w:numPr>
          <w:ilvl w:val="0"/>
          <w:numId w:val="0"/>
        </w:numPr>
        <w:autoSpaceDE/>
        <w:autoSpaceDN/>
        <w:adjustRightInd/>
        <w:rPr>
          <w:szCs w:val="26"/>
        </w:rPr>
      </w:pPr>
    </w:p>
    <w:p w14:paraId="426CBA68" w14:textId="77777777" w:rsidR="00A23322" w:rsidRPr="00D57C52" w:rsidRDefault="003804BD" w:rsidP="00605D67">
      <w:pPr>
        <w:pStyle w:val="FERCparanumber"/>
        <w:numPr>
          <w:ilvl w:val="0"/>
          <w:numId w:val="0"/>
        </w:numPr>
        <w:autoSpaceDE/>
        <w:autoSpaceDN/>
        <w:adjustRightInd/>
        <w:rPr>
          <w:szCs w:val="26"/>
        </w:rPr>
      </w:pPr>
      <w:proofErr w:type="gramStart"/>
      <w:r>
        <w:rPr>
          <w:szCs w:val="26"/>
        </w:rPr>
        <w:lastRenderedPageBreak/>
        <w:t>ratemaking</w:t>
      </w:r>
      <w:proofErr w:type="gramEnd"/>
      <w:r>
        <w:rPr>
          <w:szCs w:val="26"/>
        </w:rPr>
        <w:t xml:space="preserve"> policies regarding test period adjustments, net deferred earnings,</w:t>
      </w:r>
      <w:r>
        <w:rPr>
          <w:rStyle w:val="FootnoteReference"/>
        </w:rPr>
        <w:footnoteReference w:id="27"/>
      </w:r>
      <w:r>
        <w:rPr>
          <w:szCs w:val="26"/>
        </w:rPr>
        <w:t xml:space="preserve"> or the calculation of </w:t>
      </w:r>
      <w:r w:rsidR="00214B0D">
        <w:rPr>
          <w:szCs w:val="26"/>
        </w:rPr>
        <w:t>an oil</w:t>
      </w:r>
      <w:r w:rsidR="00B44C94">
        <w:rPr>
          <w:szCs w:val="26"/>
        </w:rPr>
        <w:t xml:space="preserve"> pipeline</w:t>
      </w:r>
      <w:r>
        <w:rPr>
          <w:szCs w:val="26"/>
        </w:rPr>
        <w:t xml:space="preserve">’s return.  </w:t>
      </w:r>
      <w:r w:rsidR="008E0AFC">
        <w:rPr>
          <w:szCs w:val="26"/>
        </w:rPr>
        <w:t>Nor do the changes to Page 700 alter the standards and burdens of proof applied by the Commission when it rules on complaints, petitions, or other requests for relief based on a full record and substantial evidence.</w:t>
      </w:r>
      <w:r w:rsidR="00A32F6C">
        <w:rPr>
          <w:szCs w:val="26"/>
        </w:rPr>
        <w:t xml:space="preserve">  Finally, </w:t>
      </w:r>
      <w:r w:rsidR="00A32F6C">
        <w:t xml:space="preserve">the Commission emphasizes </w:t>
      </w:r>
      <w:r w:rsidR="00E15A99">
        <w:t xml:space="preserve">that </w:t>
      </w:r>
      <w:r w:rsidR="00A32F6C">
        <w:t xml:space="preserve">the additions to Page 700 </w:t>
      </w:r>
      <w:r w:rsidR="00E15A99">
        <w:t>neither</w:t>
      </w:r>
      <w:r w:rsidR="00A32F6C">
        <w:t xml:space="preserve"> affect existing rates nor change any rate on file.  Rather, the requested data provide the Commission and interested entities with information that will </w:t>
      </w:r>
      <w:r w:rsidR="00E15A99">
        <w:t>help them</w:t>
      </w:r>
      <w:r w:rsidR="00A32F6C">
        <w:t xml:space="preserve"> make a reasonable assessment of </w:t>
      </w:r>
      <w:r w:rsidR="00214B0D">
        <w:t>an oil</w:t>
      </w:r>
      <w:r w:rsidR="00B44C94">
        <w:t xml:space="preserve"> pipeline</w:t>
      </w:r>
      <w:r w:rsidR="00A32F6C">
        <w:t xml:space="preserve">'s actual rate of return on </w:t>
      </w:r>
      <w:r w:rsidR="00AE2FCB">
        <w:t>equity</w:t>
      </w:r>
      <w:r w:rsidR="00A32F6C">
        <w:t xml:space="preserve"> for preliminary screening purposes at a</w:t>
      </w:r>
      <w:r w:rsidR="00E15A99">
        <w:t>ny particular</w:t>
      </w:r>
      <w:r w:rsidR="00A32F6C">
        <w:t xml:space="preserve"> time.</w:t>
      </w:r>
    </w:p>
    <w:p w14:paraId="426CBA69" w14:textId="77777777" w:rsidR="00D57C52" w:rsidRDefault="00BF3B8C" w:rsidP="00592DB9">
      <w:pPr>
        <w:pStyle w:val="FERCparanumber"/>
        <w:tabs>
          <w:tab w:val="clear" w:pos="720"/>
        </w:tabs>
        <w:autoSpaceDE/>
        <w:autoSpaceDN/>
        <w:adjustRightInd/>
        <w:rPr>
          <w:szCs w:val="26"/>
        </w:rPr>
      </w:pPr>
      <w:r>
        <w:t xml:space="preserve">The Commission rejects </w:t>
      </w:r>
      <w:r w:rsidR="00D57C52">
        <w:t>Mr. Gooch</w:t>
      </w:r>
      <w:r>
        <w:t>’s</w:t>
      </w:r>
      <w:r w:rsidR="00D57C52">
        <w:t xml:space="preserve"> </w:t>
      </w:r>
      <w:r>
        <w:t>contention that</w:t>
      </w:r>
      <w:r w:rsidR="00D57C52">
        <w:t xml:space="preserve"> the</w:t>
      </w:r>
      <w:r w:rsidR="009F228B">
        <w:t xml:space="preserve"> NOPR’s</w:t>
      </w:r>
      <w:r w:rsidR="00D57C52">
        <w:t xml:space="preserve"> calculation of the </w:t>
      </w:r>
      <w:r w:rsidR="00FF3A50">
        <w:t xml:space="preserve">actual </w:t>
      </w:r>
      <w:r w:rsidR="00D57C52">
        <w:t>return on equity inappropriately</w:t>
      </w:r>
      <w:r w:rsidR="009A645C">
        <w:t xml:space="preserve"> adjust</w:t>
      </w:r>
      <w:r>
        <w:t>s</w:t>
      </w:r>
      <w:r w:rsidR="009A645C">
        <w:t xml:space="preserve"> for income taxes.</w:t>
      </w:r>
      <w:r w:rsidR="00D57C52">
        <w:t xml:space="preserve">  </w:t>
      </w:r>
      <w:r w:rsidR="009F228B">
        <w:t>T</w:t>
      </w:r>
      <w:r w:rsidR="00D57C52">
        <w:t xml:space="preserve">he difference between </w:t>
      </w:r>
      <w:r w:rsidR="00B44C94">
        <w:t xml:space="preserve">an </w:t>
      </w:r>
      <w:r w:rsidR="00214B0D">
        <w:t>oil</w:t>
      </w:r>
      <w:r w:rsidR="00B44C94">
        <w:t xml:space="preserve"> pipeline</w:t>
      </w:r>
      <w:r w:rsidR="00D57C52">
        <w:t xml:space="preserve">’s Total Interstate Operating Revenues (line 10) and </w:t>
      </w:r>
      <w:r w:rsidR="00214B0D">
        <w:t>an oil</w:t>
      </w:r>
      <w:r w:rsidR="00B44C94">
        <w:t xml:space="preserve"> pipeline</w:t>
      </w:r>
      <w:r w:rsidR="00D57C52">
        <w:t xml:space="preserve">’s Total Cost of Service (line 9) may be subject to income taxes.  Any portion of this differential attributable to </w:t>
      </w:r>
      <w:r>
        <w:t xml:space="preserve">income </w:t>
      </w:r>
      <w:r w:rsidR="00D57C52">
        <w:t>taxes</w:t>
      </w:r>
      <w:r w:rsidR="009F228B">
        <w:t xml:space="preserve"> is an expense and</w:t>
      </w:r>
      <w:r w:rsidR="00D57C52">
        <w:t xml:space="preserve"> is not part of the return to the </w:t>
      </w:r>
      <w:r w:rsidR="00B44C94">
        <w:t>oil pipeline</w:t>
      </w:r>
      <w:r w:rsidR="00D57C52">
        <w:t>’s owners</w:t>
      </w:r>
      <w:r w:rsidR="009F228B">
        <w:t>.</w:t>
      </w:r>
      <w:r w:rsidR="00D57C52">
        <w:t xml:space="preserve"> </w:t>
      </w:r>
      <w:r w:rsidR="009F228B">
        <w:t xml:space="preserve"> T</w:t>
      </w:r>
      <w:r w:rsidR="00D57C52">
        <w:t>hus,</w:t>
      </w:r>
      <w:r w:rsidR="009A645C">
        <w:t xml:space="preserve"> the </w:t>
      </w:r>
      <w:r w:rsidR="009F228B">
        <w:t>NOPR</w:t>
      </w:r>
      <w:r w:rsidR="009A645C">
        <w:t xml:space="preserve"> correctly </w:t>
      </w:r>
      <w:r w:rsidR="00D57C52">
        <w:t>removed</w:t>
      </w:r>
      <w:r w:rsidR="009A645C">
        <w:t xml:space="preserve"> </w:t>
      </w:r>
      <w:r w:rsidR="009F228B">
        <w:t xml:space="preserve">the portion attributable to </w:t>
      </w:r>
      <w:r>
        <w:t xml:space="preserve">income </w:t>
      </w:r>
      <w:r w:rsidR="009F228B">
        <w:t>taxes</w:t>
      </w:r>
      <w:r w:rsidR="00D57C52">
        <w:t xml:space="preserve"> from the calculation of the </w:t>
      </w:r>
      <w:r w:rsidR="00B44C94">
        <w:t>oil pipeline</w:t>
      </w:r>
      <w:r w:rsidR="00D57C52">
        <w:t>’s actual return on equity.</w:t>
      </w:r>
      <w:r w:rsidR="009A645C">
        <w:t xml:space="preserve">  </w:t>
      </w:r>
    </w:p>
    <w:p w14:paraId="426CBA6A" w14:textId="77777777" w:rsidR="003B706E" w:rsidRPr="00AF4426" w:rsidRDefault="003B706E" w:rsidP="0002662D">
      <w:pPr>
        <w:pStyle w:val="FERCparanumber"/>
      </w:pPr>
      <w:r>
        <w:rPr>
          <w:szCs w:val="26"/>
        </w:rPr>
        <w:lastRenderedPageBreak/>
        <w:t xml:space="preserve">In discussing the NOPR’s estimate of an actual return on </w:t>
      </w:r>
      <w:r w:rsidR="00E43399">
        <w:rPr>
          <w:szCs w:val="26"/>
        </w:rPr>
        <w:t>equity</w:t>
      </w:r>
      <w:r>
        <w:rPr>
          <w:szCs w:val="26"/>
        </w:rPr>
        <w:t>, AOPL states that Page 700 may not properly reflect the allocation of overhead costs from parent and affiliated companies.</w:t>
      </w:r>
      <w:r w:rsidR="00472AB1">
        <w:rPr>
          <w:rStyle w:val="FootnoteReference"/>
        </w:rPr>
        <w:footnoteReference w:id="28"/>
      </w:r>
      <w:r>
        <w:rPr>
          <w:szCs w:val="26"/>
        </w:rPr>
        <w:t xml:space="preserve">  The instructions to Page 700 state that reported information “shall be computed consistent with the Commission’s Opinion No. 154-B </w:t>
      </w:r>
      <w:r w:rsidRPr="00AF4426">
        <w:rPr>
          <w:i/>
          <w:szCs w:val="26"/>
        </w:rPr>
        <w:t>et al.</w:t>
      </w:r>
      <w:r>
        <w:rPr>
          <w:szCs w:val="26"/>
        </w:rPr>
        <w:t xml:space="preserve"> </w:t>
      </w:r>
      <w:r w:rsidR="00E43399">
        <w:rPr>
          <w:szCs w:val="26"/>
        </w:rPr>
        <w:t>methodology</w:t>
      </w:r>
      <w:r>
        <w:rPr>
          <w:szCs w:val="26"/>
        </w:rPr>
        <w:t>.”  The Commission expects Form 6 respondents to properly populate each entry to reflect Commission precedent.</w:t>
      </w:r>
    </w:p>
    <w:p w14:paraId="426CBA6B" w14:textId="77777777" w:rsidR="001659C7" w:rsidRDefault="00332B60" w:rsidP="001659C7">
      <w:pPr>
        <w:pStyle w:val="Heading2"/>
      </w:pPr>
      <w:bookmarkStart w:id="23" w:name="_bmk25"/>
      <w:r w:rsidRPr="0000108E">
        <w:t>M</w:t>
      </w:r>
      <w:bookmarkEnd w:id="23"/>
      <w:r w:rsidRPr="0000108E">
        <w:t>iscellaneous Recommendations</w:t>
      </w:r>
      <w:r w:rsidR="001659C7">
        <w:t xml:space="preserve"> </w:t>
      </w:r>
    </w:p>
    <w:p w14:paraId="426CBA6C" w14:textId="77777777" w:rsidR="00332B60" w:rsidRPr="0000108E" w:rsidRDefault="00332B60" w:rsidP="001659C7">
      <w:pPr>
        <w:pStyle w:val="Heading3"/>
      </w:pPr>
      <w:bookmarkStart w:id="24" w:name="_bmk26"/>
      <w:r w:rsidRPr="0000108E">
        <w:t>C</w:t>
      </w:r>
      <w:bookmarkEnd w:id="24"/>
      <w:r w:rsidRPr="0000108E">
        <w:t>omments</w:t>
      </w:r>
    </w:p>
    <w:p w14:paraId="426CBA6D" w14:textId="77777777" w:rsidR="00332B60" w:rsidRPr="0000108E" w:rsidRDefault="005D3CE4" w:rsidP="001659C7">
      <w:pPr>
        <w:pStyle w:val="FERCparanumber"/>
      </w:pPr>
      <w:r>
        <w:t xml:space="preserve">Commenters raised a number of additional issues.  </w:t>
      </w:r>
      <w:r w:rsidR="00332B60" w:rsidRPr="0000108E">
        <w:t xml:space="preserve">Mr. Gooch advocates compelling </w:t>
      </w:r>
      <w:r w:rsidR="00B44C94">
        <w:t>oil pipeline</w:t>
      </w:r>
      <w:r w:rsidR="00332B60" w:rsidRPr="0000108E">
        <w:t xml:space="preserve">s to report excess profits in footnotes to </w:t>
      </w:r>
      <w:r w:rsidR="00F53D22">
        <w:t>P</w:t>
      </w:r>
      <w:r w:rsidR="00332B60" w:rsidRPr="0000108E">
        <w:t xml:space="preserve">age 700.  Mr. Gooch also advocates that the </w:t>
      </w:r>
      <w:r w:rsidR="00B44C94">
        <w:t>oil pipeline</w:t>
      </w:r>
      <w:r w:rsidR="00332B60" w:rsidRPr="0000108E">
        <w:t>s be required to state, under oat</w:t>
      </w:r>
      <w:r w:rsidR="002F694E">
        <w:t>h, that all of their rates are just and reasonable</w:t>
      </w:r>
      <w:r w:rsidR="00332B60" w:rsidRPr="0000108E">
        <w:t xml:space="preserve"> under the Commission’s definition</w:t>
      </w:r>
      <w:r w:rsidR="009F5BAD">
        <w:t>.</w:t>
      </w:r>
      <w:r w:rsidR="00332B60" w:rsidRPr="0000108E">
        <w:t xml:space="preserve">    </w:t>
      </w:r>
    </w:p>
    <w:p w14:paraId="426CBA6E" w14:textId="77777777" w:rsidR="005B0A1A" w:rsidRDefault="00F53D22" w:rsidP="001659C7">
      <w:pPr>
        <w:pStyle w:val="FERCparanumber"/>
      </w:pPr>
      <w:r>
        <w:t xml:space="preserve">All the commenters except AOPL advocate for companies that file Form 6 for multiple </w:t>
      </w:r>
      <w:r w:rsidR="00B44C94">
        <w:t>oil pipeline</w:t>
      </w:r>
      <w:r>
        <w:t xml:space="preserve"> systems to file separate Page 700s for each segment, service, or rate schedule.</w:t>
      </w:r>
      <w:r>
        <w:rPr>
          <w:rStyle w:val="FootnoteReference"/>
        </w:rPr>
        <w:footnoteReference w:id="29"/>
      </w:r>
      <w:r>
        <w:t xml:space="preserve">  </w:t>
      </w:r>
      <w:r w:rsidR="004D4E90">
        <w:t>Similarly, several commenters advocate for the Commission to require</w:t>
      </w:r>
      <w:r w:rsidR="005D3CE4">
        <w:t xml:space="preserve"> </w:t>
      </w:r>
      <w:r w:rsidR="00214B0D">
        <w:t>oil</w:t>
      </w:r>
      <w:r w:rsidR="00B44C94">
        <w:t xml:space="preserve"> pipeline</w:t>
      </w:r>
      <w:r w:rsidR="004D4E90">
        <w:t xml:space="preserve">s </w:t>
      </w:r>
      <w:r w:rsidR="005D3CE4">
        <w:t xml:space="preserve">to </w:t>
      </w:r>
      <w:r w:rsidR="004D4E90">
        <w:t>file or make available workpapers</w:t>
      </w:r>
      <w:r w:rsidR="004D4E90" w:rsidRPr="0000108E">
        <w:t>.</w:t>
      </w:r>
      <w:r w:rsidR="004D4E90">
        <w:rPr>
          <w:rStyle w:val="FootnoteReference"/>
        </w:rPr>
        <w:footnoteReference w:id="30"/>
      </w:r>
      <w:r w:rsidR="004D4E90">
        <w:t xml:space="preserve">  </w:t>
      </w:r>
      <w:r w:rsidR="00332B60" w:rsidRPr="0000108E">
        <w:t xml:space="preserve">CAPP also </w:t>
      </w:r>
      <w:r w:rsidR="00452135">
        <w:t xml:space="preserve">asked </w:t>
      </w:r>
      <w:r w:rsidR="00332B60" w:rsidRPr="0000108E">
        <w:t xml:space="preserve">the Commission </w:t>
      </w:r>
      <w:r w:rsidR="00452135">
        <w:t>to</w:t>
      </w:r>
      <w:r w:rsidR="00332B60" w:rsidRPr="0000108E">
        <w:t xml:space="preserve"> clarify the relationship between the entity that files </w:t>
      </w:r>
      <w:r>
        <w:t>P</w:t>
      </w:r>
      <w:r w:rsidR="00332B60" w:rsidRPr="0000108E">
        <w:t xml:space="preserve">age 700 and the </w:t>
      </w:r>
      <w:r w:rsidR="00B44C94">
        <w:t>oil pipeline</w:t>
      </w:r>
      <w:r w:rsidR="00332B60" w:rsidRPr="0000108E">
        <w:t xml:space="preserve"> services </w:t>
      </w:r>
      <w:r w:rsidR="00332B60" w:rsidRPr="0000108E">
        <w:lastRenderedPageBreak/>
        <w:t>for which a</w:t>
      </w:r>
      <w:r w:rsidR="005D3CE4">
        <w:t xml:space="preserve"> return on equity</w:t>
      </w:r>
      <w:r w:rsidR="00332B60" w:rsidRPr="0000108E">
        <w:t xml:space="preserve"> is intended to be generated.</w:t>
      </w:r>
      <w:r w:rsidR="009E222E">
        <w:t xml:space="preserve">  </w:t>
      </w:r>
      <w:r w:rsidR="009E222E" w:rsidRPr="00D36A33">
        <w:t xml:space="preserve">A4A and NPGA </w:t>
      </w:r>
      <w:r w:rsidR="009E222E">
        <w:t xml:space="preserve">also </w:t>
      </w:r>
      <w:r w:rsidR="009E222E" w:rsidRPr="00D36A33">
        <w:t xml:space="preserve">request </w:t>
      </w:r>
      <w:r w:rsidR="00FA6E15">
        <w:t xml:space="preserve">that </w:t>
      </w:r>
      <w:r w:rsidR="009E222E">
        <w:t xml:space="preserve">the </w:t>
      </w:r>
      <w:r w:rsidR="00EB72F8">
        <w:t>Commission require</w:t>
      </w:r>
      <w:r w:rsidR="00FA6E15">
        <w:t xml:space="preserve"> </w:t>
      </w:r>
      <w:r w:rsidR="00B44C94">
        <w:t>oil pipeline</w:t>
      </w:r>
      <w:r w:rsidR="009E222E" w:rsidRPr="00D36A33">
        <w:t>s</w:t>
      </w:r>
      <w:r w:rsidR="00FA6E15">
        <w:t xml:space="preserve"> to</w:t>
      </w:r>
      <w:r w:rsidR="009E222E" w:rsidRPr="00D36A33">
        <w:t xml:space="preserve"> file Form 6 before they can file for an index rate increase</w:t>
      </w:r>
      <w:r w:rsidR="009E222E">
        <w:t>.</w:t>
      </w:r>
      <w:r w:rsidR="009E222E">
        <w:rPr>
          <w:rStyle w:val="FootnoteReference"/>
        </w:rPr>
        <w:footnoteReference w:id="31"/>
      </w:r>
      <w:r w:rsidR="00452135">
        <w:t xml:space="preserve">  Valero requests that Page 700 be amended to include Jurisdictional Allowance Oil Revenue, storage, demurrage revenue, rental revenue, and incidental revenue.  Valero also requests that </w:t>
      </w:r>
      <w:r w:rsidR="00214B0D">
        <w:t>an oil</w:t>
      </w:r>
      <w:r w:rsidR="00B44C94">
        <w:t xml:space="preserve"> pipeline</w:t>
      </w:r>
      <w:r w:rsidR="00452135">
        <w:t xml:space="preserve"> identify and justify the exclusion of any such revenue as non-jurisdictional.</w:t>
      </w:r>
      <w:r w:rsidR="00452135">
        <w:rPr>
          <w:rStyle w:val="FootnoteReference"/>
        </w:rPr>
        <w:footnoteReference w:id="32"/>
      </w:r>
      <w:r w:rsidR="005B0A1A">
        <w:t xml:space="preserve"> </w:t>
      </w:r>
    </w:p>
    <w:p w14:paraId="426CBA6F" w14:textId="77777777" w:rsidR="005B0A1A" w:rsidRDefault="005B0A1A" w:rsidP="005B0A1A">
      <w:pPr>
        <w:pStyle w:val="FERCparanumber"/>
      </w:pPr>
      <w:r>
        <w:t>Parties also raise</w:t>
      </w:r>
      <w:r w:rsidR="008575CA">
        <w:t>d</w:t>
      </w:r>
      <w:r>
        <w:t xml:space="preserve"> issues not involving Form 6.  </w:t>
      </w:r>
      <w:r w:rsidR="00FA6E15">
        <w:t xml:space="preserve">For example, </w:t>
      </w:r>
      <w:r>
        <w:t xml:space="preserve">Mr. Gooch raises issues related to alleged over-recoveries by certain </w:t>
      </w:r>
      <w:r w:rsidR="00B44C94">
        <w:t>oil pipeline</w:t>
      </w:r>
      <w:r>
        <w:t>s.</w:t>
      </w:r>
      <w:r>
        <w:rPr>
          <w:rStyle w:val="FootnoteReference"/>
        </w:rPr>
        <w:footnoteReference w:id="33"/>
      </w:r>
      <w:r w:rsidR="00332B60" w:rsidRPr="0000108E">
        <w:t xml:space="preserve">  </w:t>
      </w:r>
      <w:r w:rsidRPr="00D36A33">
        <w:t>A4A and NPGA</w:t>
      </w:r>
      <w:r w:rsidR="00FA6E15">
        <w:t xml:space="preserve"> as noted above</w:t>
      </w:r>
      <w:r w:rsidRPr="00D36A33">
        <w:t xml:space="preserve"> request </w:t>
      </w:r>
      <w:r w:rsidR="00FA6E15">
        <w:t xml:space="preserve">that </w:t>
      </w:r>
      <w:r>
        <w:t xml:space="preserve">the Commission </w:t>
      </w:r>
      <w:r w:rsidRPr="00D36A33">
        <w:t xml:space="preserve">require </w:t>
      </w:r>
      <w:r w:rsidR="00B44C94">
        <w:t>oil pipeline</w:t>
      </w:r>
      <w:r w:rsidRPr="00D36A33">
        <w:t>s to file Form 6 before they can file for an index rate increase;</w:t>
      </w:r>
      <w:r>
        <w:t xml:space="preserve"> </w:t>
      </w:r>
      <w:r w:rsidR="00FA6E15">
        <w:t xml:space="preserve">they also ask that </w:t>
      </w:r>
      <w:r w:rsidRPr="00D36A33">
        <w:t xml:space="preserve">the interest rate applicable to refunds and reparations reflect the </w:t>
      </w:r>
      <w:r w:rsidR="00B44C94">
        <w:t>oil pipeline</w:t>
      </w:r>
      <w:r w:rsidRPr="00D36A33">
        <w:t>’s rate of return as reported on page 700.</w:t>
      </w:r>
      <w:r>
        <w:rPr>
          <w:rStyle w:val="FootnoteReference"/>
        </w:rPr>
        <w:footnoteReference w:id="34"/>
      </w:r>
      <w:r w:rsidRPr="00D36A33">
        <w:t xml:space="preserve">  </w:t>
      </w:r>
    </w:p>
    <w:p w14:paraId="426CBA70" w14:textId="77777777" w:rsidR="008575CA" w:rsidRDefault="008575CA" w:rsidP="008575CA">
      <w:pPr>
        <w:pStyle w:val="FERCparanumber"/>
      </w:pPr>
      <w:r>
        <w:t xml:space="preserve">In its reply comments, </w:t>
      </w:r>
      <w:r w:rsidR="00A23713">
        <w:t xml:space="preserve">AOPL </w:t>
      </w:r>
      <w:r w:rsidR="00FA6E15">
        <w:t xml:space="preserve">objects that </w:t>
      </w:r>
      <w:r w:rsidR="00A23713">
        <w:t xml:space="preserve">many of the comments are beyond the scope of the </w:t>
      </w:r>
      <w:r w:rsidR="00BF3B8C">
        <w:t>NOPR</w:t>
      </w:r>
      <w:r w:rsidR="00A23713">
        <w:t xml:space="preserve">.  </w:t>
      </w:r>
      <w:r w:rsidR="0045390F">
        <w:t>A</w:t>
      </w:r>
      <w:r>
        <w:t xml:space="preserve">OPL adds that </w:t>
      </w:r>
      <w:r w:rsidR="0045390F">
        <w:t xml:space="preserve">many of the </w:t>
      </w:r>
      <w:r w:rsidR="00A23713">
        <w:t xml:space="preserve">proposed revisions have been </w:t>
      </w:r>
      <w:r>
        <w:t>raised</w:t>
      </w:r>
      <w:r w:rsidR="00A23713">
        <w:t xml:space="preserve"> in other proceedings such as </w:t>
      </w:r>
      <w:r>
        <w:t xml:space="preserve">(1) proposals to segregate Form 6 and Page 700 data by </w:t>
      </w:r>
      <w:r w:rsidR="00B44C94">
        <w:t>oil pipeline</w:t>
      </w:r>
      <w:r>
        <w:t xml:space="preserve"> system and (2) </w:t>
      </w:r>
      <w:r w:rsidR="00A23713">
        <w:t xml:space="preserve">proposals to </w:t>
      </w:r>
      <w:r>
        <w:t xml:space="preserve">require </w:t>
      </w:r>
      <w:r w:rsidR="00B44C94">
        <w:t>oil pipeline</w:t>
      </w:r>
      <w:r>
        <w:t xml:space="preserve">s to file their Page 700 </w:t>
      </w:r>
      <w:r>
        <w:lastRenderedPageBreak/>
        <w:t>workpapers with Form 6</w:t>
      </w:r>
      <w:r w:rsidR="00A23713">
        <w:t>, and the Commission has rejected them</w:t>
      </w:r>
      <w:r>
        <w:t>.</w:t>
      </w:r>
      <w:r w:rsidR="00A23713">
        <w:rPr>
          <w:rStyle w:val="FootnoteReference"/>
        </w:rPr>
        <w:footnoteReference w:id="35"/>
      </w:r>
      <w:r w:rsidR="00D6552C">
        <w:t xml:space="preserve">  As to the proposals to add workpapers, AOPL further suggests that the commenters have not raised any new arguments and the Commission should again reject the proposals.</w:t>
      </w:r>
      <w:r w:rsidR="00D6552C">
        <w:rPr>
          <w:rStyle w:val="FootnoteReference"/>
        </w:rPr>
        <w:footnoteReference w:id="36"/>
      </w:r>
      <w:r w:rsidR="00D6552C">
        <w:t xml:space="preserve">  Finally, AOPL asks the Commission to reject Valero’s proposed change</w:t>
      </w:r>
      <w:r w:rsidR="00FA6E15">
        <w:t>s</w:t>
      </w:r>
      <w:r w:rsidR="00D6552C">
        <w:t xml:space="preserve"> because Valero is attempting to relitigate the outcomes of previous index rate proceedings.</w:t>
      </w:r>
      <w:r w:rsidR="00D6552C">
        <w:rPr>
          <w:rStyle w:val="FootnoteReference"/>
        </w:rPr>
        <w:footnoteReference w:id="37"/>
      </w:r>
    </w:p>
    <w:p w14:paraId="426CBA71" w14:textId="77777777" w:rsidR="00332B60" w:rsidRPr="0000108E" w:rsidRDefault="00332B60" w:rsidP="001659C7">
      <w:pPr>
        <w:pStyle w:val="Heading3"/>
      </w:pPr>
      <w:bookmarkStart w:id="25" w:name="_bmk27"/>
      <w:r w:rsidRPr="0000108E">
        <w:t>C</w:t>
      </w:r>
      <w:bookmarkEnd w:id="25"/>
      <w:r w:rsidRPr="0000108E">
        <w:t xml:space="preserve">ommission </w:t>
      </w:r>
      <w:r w:rsidR="005D3CE4">
        <w:t>Determination</w:t>
      </w:r>
    </w:p>
    <w:p w14:paraId="426CBA72" w14:textId="77777777" w:rsidR="00092C6E" w:rsidRDefault="00A740F8" w:rsidP="001659C7">
      <w:pPr>
        <w:pStyle w:val="FERCparanumber"/>
      </w:pPr>
      <w:r>
        <w:t xml:space="preserve">In this Final Rule, the </w:t>
      </w:r>
      <w:proofErr w:type="gramStart"/>
      <w:r>
        <w:t xml:space="preserve">Commission </w:t>
      </w:r>
      <w:r w:rsidR="00F64A8F">
        <w:t xml:space="preserve"> </w:t>
      </w:r>
      <w:r>
        <w:t>modif</w:t>
      </w:r>
      <w:r w:rsidR="00CF3397">
        <w:t>ies</w:t>
      </w:r>
      <w:proofErr w:type="gramEnd"/>
      <w:r>
        <w:t xml:space="preserve"> Page 700 to require entities to provide </w:t>
      </w:r>
      <w:r w:rsidR="00F64A8F">
        <w:t>addi</w:t>
      </w:r>
      <w:r>
        <w:t>tional</w:t>
      </w:r>
      <w:r w:rsidR="00F64A8F">
        <w:t xml:space="preserve"> </w:t>
      </w:r>
      <w:r w:rsidR="00092C6E">
        <w:t xml:space="preserve">information </w:t>
      </w:r>
      <w:r>
        <w:t>regarding</w:t>
      </w:r>
      <w:r w:rsidR="00092C6E">
        <w:t xml:space="preserve"> rate base, rate of return, </w:t>
      </w:r>
      <w:r w:rsidR="00F64A8F">
        <w:t xml:space="preserve">return on rate base, and </w:t>
      </w:r>
      <w:r w:rsidR="00092C6E">
        <w:t xml:space="preserve">income tax </w:t>
      </w:r>
      <w:r w:rsidR="00F64A8F">
        <w:t xml:space="preserve">allowance </w:t>
      </w:r>
      <w:r w:rsidR="00092C6E">
        <w:t xml:space="preserve">on Page 700.  </w:t>
      </w:r>
      <w:r>
        <w:t>These re</w:t>
      </w:r>
      <w:r w:rsidR="008A1039">
        <w:t>visions</w:t>
      </w:r>
      <w:r>
        <w:t xml:space="preserve"> </w:t>
      </w:r>
      <w:r w:rsidR="00CF3397">
        <w:t>provide increased</w:t>
      </w:r>
      <w:r>
        <w:t xml:space="preserve"> transparency and information </w:t>
      </w:r>
      <w:r w:rsidR="00CF3397">
        <w:t>to assist</w:t>
      </w:r>
      <w:r w:rsidR="00E1797C">
        <w:t xml:space="preserve"> the </w:t>
      </w:r>
      <w:r w:rsidR="00C26672">
        <w:t xml:space="preserve">Commission and the </w:t>
      </w:r>
      <w:r w:rsidR="00E1797C">
        <w:t>public</w:t>
      </w:r>
      <w:r w:rsidR="00CF3397">
        <w:t xml:space="preserve"> in calculating an oil pipeline’s return on equity for preliminary screening purposes</w:t>
      </w:r>
      <w:r>
        <w:t xml:space="preserve">.  </w:t>
      </w:r>
      <w:r w:rsidR="00A977ED">
        <w:t xml:space="preserve">Given the limited nature of the NOPR, </w:t>
      </w:r>
      <w:r>
        <w:t xml:space="preserve">the Commission </w:t>
      </w:r>
      <w:r w:rsidR="009765E6">
        <w:t xml:space="preserve">is not </w:t>
      </w:r>
      <w:r>
        <w:t>adopt</w:t>
      </w:r>
      <w:r w:rsidR="006D65B3">
        <w:t>ing</w:t>
      </w:r>
      <w:r w:rsidR="00A977ED">
        <w:t xml:space="preserve"> additional changes to Form 6, such as the segregation of data or changing Commission policy to make available </w:t>
      </w:r>
      <w:r w:rsidR="00B44C94">
        <w:t>oil pipeline</w:t>
      </w:r>
      <w:r w:rsidR="00A977ED">
        <w:t xml:space="preserve"> cost-of-service workpapers.  Other issues, such as the Commissi</w:t>
      </w:r>
      <w:r w:rsidR="00F64A8F">
        <w:t>o</w:t>
      </w:r>
      <w:r w:rsidR="00A977ED">
        <w:t>n’s</w:t>
      </w:r>
      <w:r w:rsidR="00F64A8F">
        <w:t xml:space="preserve"> indexing </w:t>
      </w:r>
      <w:r w:rsidR="00A977ED">
        <w:t>policies, may be addressed as they arise in actual proceedings.</w:t>
      </w:r>
      <w:r w:rsidR="00092C6E">
        <w:t xml:space="preserve"> </w:t>
      </w:r>
    </w:p>
    <w:sectPr w:rsidR="00092C6E" w:rsidSect="00170A2E">
      <w:headerReference w:type="even" r:id="rId13"/>
      <w:headerReference w:type="default" r:id="rId14"/>
      <w:headerReference w:type="first" r:id="rId15"/>
      <w:pgSz w:w="12240" w:h="15840" w:code="1"/>
      <w:pgMar w:top="1440" w:right="1440" w:bottom="72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CBB84" w14:textId="77777777" w:rsidR="00807628" w:rsidRDefault="00807628">
      <w:r>
        <w:separator/>
      </w:r>
    </w:p>
  </w:endnote>
  <w:endnote w:type="continuationSeparator" w:id="0">
    <w:p w14:paraId="426CBB85" w14:textId="77777777" w:rsidR="00807628" w:rsidRDefault="00807628">
      <w:r>
        <w:continuationSeparator/>
      </w:r>
    </w:p>
  </w:endnote>
  <w:endnote w:type="continuationNotice" w:id="1">
    <w:p w14:paraId="426CBB86" w14:textId="77777777" w:rsidR="00807628" w:rsidRDefault="00807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CBB80" w14:textId="77777777" w:rsidR="00807628" w:rsidRDefault="00807628">
      <w:r>
        <w:separator/>
      </w:r>
    </w:p>
  </w:footnote>
  <w:footnote w:type="continuationSeparator" w:id="0">
    <w:p w14:paraId="426CBB81" w14:textId="77777777" w:rsidR="00807628" w:rsidRDefault="00807628">
      <w:r>
        <w:continuationSeparator/>
      </w:r>
    </w:p>
  </w:footnote>
  <w:footnote w:type="continuationNotice" w:id="1">
    <w:p w14:paraId="426CBB82" w14:textId="77777777" w:rsidR="00807628" w:rsidRDefault="00807628"/>
    <w:p w14:paraId="426CBB83" w14:textId="77777777" w:rsidR="00807628" w:rsidRDefault="00807628" w:rsidP="006E012A">
      <w:pPr>
        <w:ind w:left="5760" w:firstLine="720"/>
      </w:pPr>
      <w:r>
        <w:t xml:space="preserve">  </w:t>
      </w:r>
      <w:r>
        <w:tab/>
        <w:t xml:space="preserve">           (</w:t>
      </w:r>
      <w:proofErr w:type="gramStart"/>
      <w:r>
        <w:t>continued</w:t>
      </w:r>
      <w:proofErr w:type="gramEnd"/>
      <w:r>
        <w:t>…)</w:t>
      </w:r>
    </w:p>
  </w:footnote>
  <w:footnote w:id="2">
    <w:p w14:paraId="426CBB9D" w14:textId="77777777" w:rsidR="00807628" w:rsidRDefault="00807628" w:rsidP="004B3963">
      <w:pPr>
        <w:pStyle w:val="FootnoteText"/>
      </w:pPr>
      <w:r>
        <w:rPr>
          <w:rStyle w:val="FootnoteReference"/>
        </w:rPr>
        <w:footnoteRef/>
      </w:r>
      <w:r>
        <w:t xml:space="preserve"> AOPL is a trade association that represents the interests of common carrier oil pipelines.  AOPL’s members transport almost 85 percent of the crude oil and refined petroleum products shipped through oil pipelines in the </w:t>
      </w:r>
      <w:smartTag w:uri="urn:schemas-microsoft-com:office:smarttags" w:element="place">
        <w:smartTag w:uri="urn:schemas-microsoft-com:office:smarttags" w:element="country-region">
          <w:r>
            <w:t>U.S.</w:t>
          </w:r>
        </w:smartTag>
      </w:smartTag>
    </w:p>
  </w:footnote>
  <w:footnote w:id="3">
    <w:p w14:paraId="426CBB9E" w14:textId="77777777" w:rsidR="00807628" w:rsidRDefault="00807628" w:rsidP="004B3963">
      <w:pPr>
        <w:pStyle w:val="FootnoteText"/>
      </w:pPr>
      <w:r>
        <w:rPr>
          <w:rStyle w:val="FootnoteReference"/>
        </w:rPr>
        <w:footnoteRef/>
      </w:r>
      <w:r>
        <w:t xml:space="preserve"> A4A is an airline trade association whose members account for more than         90 percent of the passenger and cargo traffic carried by </w:t>
      </w:r>
      <w:smartTag w:uri="urn:schemas-microsoft-com:office:smarttags" w:element="place">
        <w:smartTag w:uri="urn:schemas-microsoft-com:office:smarttags" w:element="country-region">
          <w:r>
            <w:t>U.S.</w:t>
          </w:r>
        </w:smartTag>
      </w:smartTag>
      <w:r>
        <w:t xml:space="preserve"> airlines.</w:t>
      </w:r>
    </w:p>
  </w:footnote>
  <w:footnote w:id="4">
    <w:p w14:paraId="426CBB9F" w14:textId="77777777" w:rsidR="00807628" w:rsidRPr="006641AA" w:rsidRDefault="00807628" w:rsidP="004B3963">
      <w:pPr>
        <w:pStyle w:val="FootnoteText"/>
      </w:pPr>
      <w:r>
        <w:rPr>
          <w:rStyle w:val="FootnoteReference"/>
        </w:rPr>
        <w:footnoteRef/>
      </w:r>
      <w:r>
        <w:t xml:space="preserve"> </w:t>
      </w:r>
      <w:r w:rsidRPr="006641AA">
        <w:t xml:space="preserve">NPGA is </w:t>
      </w:r>
      <w:r>
        <w:t xml:space="preserve">a </w:t>
      </w:r>
      <w:r w:rsidRPr="006641AA">
        <w:t xml:space="preserve">trade association of the </w:t>
      </w:r>
      <w:smartTag w:uri="urn:schemas-microsoft-com:office:smarttags" w:element="place">
        <w:smartTag w:uri="urn:schemas-microsoft-com:office:smarttags" w:element="country-region">
          <w:r w:rsidRPr="006641AA">
            <w:t>U.S.</w:t>
          </w:r>
        </w:smartTag>
      </w:smartTag>
      <w:r w:rsidRPr="006641AA">
        <w:t xml:space="preserve"> propane industry with a membership of about 3,000 companies, including 38 affiliated state and regional associations representing members in all 50 states.</w:t>
      </w:r>
    </w:p>
  </w:footnote>
  <w:footnote w:id="5">
    <w:p w14:paraId="426CBBA0" w14:textId="77777777" w:rsidR="00807628" w:rsidRDefault="00807628" w:rsidP="00332B60">
      <w:pPr>
        <w:pStyle w:val="FootnoteText"/>
      </w:pPr>
      <w:r>
        <w:rPr>
          <w:rStyle w:val="FootnoteReference"/>
        </w:rPr>
        <w:footnoteRef/>
      </w:r>
      <w:r>
        <w:t xml:space="preserve"> NOPR, FERC Stats. &amp; Regs. ¶ 32,692 at P 9.</w:t>
      </w:r>
    </w:p>
  </w:footnote>
  <w:footnote w:id="6">
    <w:p w14:paraId="426CBBA1" w14:textId="77777777" w:rsidR="00807628" w:rsidRPr="00637D63" w:rsidRDefault="00807628">
      <w:pPr>
        <w:pStyle w:val="FootnoteText"/>
      </w:pPr>
      <w:r>
        <w:rPr>
          <w:rStyle w:val="FootnoteReference"/>
        </w:rPr>
        <w:footnoteRef/>
      </w:r>
      <w:r>
        <w:t xml:space="preserve"> </w:t>
      </w:r>
      <w:r w:rsidRPr="00A92472">
        <w:rPr>
          <w:i/>
        </w:rPr>
        <w:t>Williams Pipe Line Co.,</w:t>
      </w:r>
      <w:r>
        <w:rPr>
          <w:i/>
        </w:rPr>
        <w:t xml:space="preserve"> </w:t>
      </w:r>
      <w:r>
        <w:t>Opinion No. 154-B, 31 FERC ¶ 61,377 (1985).</w:t>
      </w:r>
    </w:p>
  </w:footnote>
  <w:footnote w:id="7">
    <w:p w14:paraId="426CBBA2" w14:textId="77777777" w:rsidR="00807628" w:rsidRDefault="00807628" w:rsidP="00332B60">
      <w:pPr>
        <w:pStyle w:val="FootnoteText"/>
      </w:pPr>
      <w:r>
        <w:rPr>
          <w:rStyle w:val="FootnoteReference"/>
        </w:rPr>
        <w:footnoteRef/>
      </w:r>
      <w:r>
        <w:t xml:space="preserve"> AOPL Comments at 21 (citing Opinion No. 154-B, 31 FERC ¶ 61,377).</w:t>
      </w:r>
    </w:p>
  </w:footnote>
  <w:footnote w:id="8">
    <w:p w14:paraId="426CBBA3" w14:textId="77777777" w:rsidR="00807628" w:rsidRDefault="00807628" w:rsidP="00332B60">
      <w:pPr>
        <w:pStyle w:val="FootnoteText"/>
        <w:spacing w:after="0"/>
        <w:ind w:firstLine="0"/>
        <w:rPr>
          <w:szCs w:val="26"/>
        </w:rPr>
      </w:pPr>
      <w:r>
        <w:tab/>
      </w:r>
      <w:r>
        <w:rPr>
          <w:rStyle w:val="FootnoteReference"/>
        </w:rPr>
        <w:footnoteRef/>
      </w:r>
      <w:r>
        <w:t xml:space="preserve"> NOPR, FERC Stats. &amp; Regs. ¶ 32,692 at P 9 n.13 (citing </w:t>
      </w:r>
      <w:r>
        <w:rPr>
          <w:i/>
        </w:rPr>
        <w:t>ARCO Pipe Line Co.</w:t>
      </w:r>
      <w:r w:rsidRPr="0000108E">
        <w:t xml:space="preserve">, </w:t>
      </w:r>
      <w:r>
        <w:t xml:space="preserve">Opinion No. 351-A, 53 FERC ¶ </w:t>
      </w:r>
      <w:r>
        <w:rPr>
          <w:szCs w:val="26"/>
        </w:rPr>
        <w:t>61,398</w:t>
      </w:r>
      <w:r>
        <w:t xml:space="preserve"> </w:t>
      </w:r>
      <w:r>
        <w:rPr>
          <w:szCs w:val="26"/>
        </w:rPr>
        <w:t xml:space="preserve">at 62,388-89 (1990)). </w:t>
      </w:r>
    </w:p>
    <w:p w14:paraId="426CBBA4" w14:textId="77777777" w:rsidR="00807628" w:rsidRDefault="00807628" w:rsidP="00332B60">
      <w:pPr>
        <w:pStyle w:val="FootnoteText"/>
        <w:spacing w:after="0"/>
      </w:pPr>
      <w:r>
        <w:t xml:space="preserve">   </w:t>
      </w:r>
    </w:p>
  </w:footnote>
  <w:footnote w:id="9">
    <w:p w14:paraId="426CBBA5" w14:textId="77777777" w:rsidR="00807628" w:rsidRDefault="00807628" w:rsidP="00332B60">
      <w:pPr>
        <w:pStyle w:val="FootnoteText"/>
      </w:pPr>
      <w:r>
        <w:rPr>
          <w:rStyle w:val="FootnoteReference"/>
        </w:rPr>
        <w:footnoteRef/>
      </w:r>
      <w:r>
        <w:t xml:space="preserve"> AOPL Comments at 21.</w:t>
      </w:r>
    </w:p>
  </w:footnote>
  <w:footnote w:id="10">
    <w:p w14:paraId="426CBBA6" w14:textId="77777777" w:rsidR="00807628" w:rsidRDefault="00807628" w:rsidP="001177C4">
      <w:pPr>
        <w:widowControl/>
        <w:spacing w:line="245" w:lineRule="exact"/>
        <w:ind w:left="40" w:right="-20" w:firstLine="680"/>
        <w:rPr>
          <w:sz w:val="24"/>
        </w:rPr>
      </w:pPr>
      <w:r>
        <w:rPr>
          <w:rStyle w:val="FootnoteReference"/>
        </w:rPr>
        <w:footnoteRef/>
      </w:r>
      <w:r>
        <w:t xml:space="preserve"> </w:t>
      </w:r>
      <w:r w:rsidRPr="001177C4">
        <w:rPr>
          <w:i/>
          <w:szCs w:val="26"/>
        </w:rPr>
        <w:t xml:space="preserve">Id. </w:t>
      </w:r>
      <w:r w:rsidRPr="001177C4">
        <w:rPr>
          <w:szCs w:val="26"/>
        </w:rPr>
        <w:t>at 22 (citing</w:t>
      </w:r>
      <w:r>
        <w:rPr>
          <w:szCs w:val="26"/>
        </w:rPr>
        <w:t xml:space="preserve"> </w:t>
      </w:r>
      <w:r>
        <w:t xml:space="preserve">Opinion No. 351-A, 53 FERC </w:t>
      </w:r>
      <w:r>
        <w:rPr>
          <w:szCs w:val="26"/>
        </w:rPr>
        <w:t>at 62,388-89;</w:t>
      </w:r>
      <w:r w:rsidRPr="001177C4">
        <w:rPr>
          <w:szCs w:val="26"/>
        </w:rPr>
        <w:t xml:space="preserve"> </w:t>
      </w:r>
      <w:r w:rsidRPr="001177C4">
        <w:rPr>
          <w:i/>
          <w:iCs/>
          <w:szCs w:val="26"/>
        </w:rPr>
        <w:t>Composition</w:t>
      </w:r>
      <w:r w:rsidRPr="001177C4">
        <w:rPr>
          <w:i/>
          <w:iCs/>
          <w:spacing w:val="-2"/>
          <w:szCs w:val="26"/>
        </w:rPr>
        <w:t xml:space="preserve"> </w:t>
      </w:r>
      <w:r w:rsidRPr="001177C4">
        <w:rPr>
          <w:i/>
          <w:iCs/>
          <w:szCs w:val="26"/>
        </w:rPr>
        <w:t>of</w:t>
      </w:r>
      <w:r w:rsidRPr="001177C4">
        <w:rPr>
          <w:i/>
          <w:iCs/>
          <w:spacing w:val="-2"/>
          <w:szCs w:val="26"/>
        </w:rPr>
        <w:t xml:space="preserve"> </w:t>
      </w:r>
      <w:r w:rsidRPr="001177C4">
        <w:rPr>
          <w:i/>
          <w:iCs/>
          <w:szCs w:val="26"/>
        </w:rPr>
        <w:t>Proxy</w:t>
      </w:r>
      <w:r w:rsidRPr="001177C4">
        <w:rPr>
          <w:i/>
          <w:iCs/>
          <w:spacing w:val="-5"/>
          <w:szCs w:val="26"/>
        </w:rPr>
        <w:t xml:space="preserve"> </w:t>
      </w:r>
      <w:r w:rsidRPr="001177C4">
        <w:rPr>
          <w:i/>
          <w:iCs/>
          <w:szCs w:val="26"/>
        </w:rPr>
        <w:t>Groups for</w:t>
      </w:r>
      <w:r w:rsidRPr="001177C4">
        <w:rPr>
          <w:i/>
          <w:iCs/>
          <w:spacing w:val="-1"/>
          <w:szCs w:val="26"/>
        </w:rPr>
        <w:t xml:space="preserve"> </w:t>
      </w:r>
      <w:r w:rsidRPr="001177C4">
        <w:rPr>
          <w:i/>
          <w:iCs/>
          <w:szCs w:val="26"/>
        </w:rPr>
        <w:t>Determining</w:t>
      </w:r>
      <w:r w:rsidRPr="001177C4">
        <w:rPr>
          <w:i/>
          <w:iCs/>
          <w:spacing w:val="-5"/>
          <w:szCs w:val="26"/>
        </w:rPr>
        <w:t xml:space="preserve"> </w:t>
      </w:r>
      <w:r w:rsidRPr="001177C4">
        <w:rPr>
          <w:i/>
          <w:iCs/>
          <w:szCs w:val="26"/>
        </w:rPr>
        <w:t>Gas and Oil</w:t>
      </w:r>
      <w:r w:rsidRPr="001177C4">
        <w:rPr>
          <w:i/>
          <w:iCs/>
          <w:spacing w:val="-1"/>
          <w:szCs w:val="26"/>
        </w:rPr>
        <w:t xml:space="preserve"> </w:t>
      </w:r>
      <w:r w:rsidRPr="001177C4">
        <w:rPr>
          <w:i/>
          <w:iCs/>
          <w:szCs w:val="26"/>
        </w:rPr>
        <w:t>Pipeline</w:t>
      </w:r>
      <w:r w:rsidRPr="001177C4">
        <w:rPr>
          <w:i/>
          <w:iCs/>
          <w:spacing w:val="-8"/>
          <w:szCs w:val="26"/>
        </w:rPr>
        <w:t xml:space="preserve"> </w:t>
      </w:r>
      <w:r w:rsidRPr="001177C4">
        <w:rPr>
          <w:i/>
          <w:iCs/>
          <w:szCs w:val="26"/>
        </w:rPr>
        <w:t>Return</w:t>
      </w:r>
      <w:r w:rsidRPr="001177C4">
        <w:rPr>
          <w:i/>
          <w:iCs/>
          <w:spacing w:val="-3"/>
          <w:szCs w:val="26"/>
        </w:rPr>
        <w:t xml:space="preserve"> </w:t>
      </w:r>
      <w:r w:rsidRPr="001177C4">
        <w:rPr>
          <w:i/>
          <w:iCs/>
          <w:szCs w:val="26"/>
        </w:rPr>
        <w:t>on Equity</w:t>
      </w:r>
      <w:r w:rsidRPr="001177C4">
        <w:rPr>
          <w:szCs w:val="26"/>
        </w:rPr>
        <w:t>,</w:t>
      </w:r>
      <w:r w:rsidRPr="001177C4">
        <w:rPr>
          <w:spacing w:val="-6"/>
          <w:szCs w:val="26"/>
        </w:rPr>
        <w:t xml:space="preserve"> </w:t>
      </w:r>
      <w:r w:rsidRPr="001177C4">
        <w:rPr>
          <w:szCs w:val="26"/>
        </w:rPr>
        <w:t>123 FERC</w:t>
      </w:r>
      <w:r w:rsidRPr="001177C4">
        <w:rPr>
          <w:spacing w:val="-5"/>
          <w:szCs w:val="26"/>
        </w:rPr>
        <w:t xml:space="preserve"> </w:t>
      </w:r>
      <w:r>
        <w:rPr>
          <w:spacing w:val="-5"/>
          <w:szCs w:val="26"/>
        </w:rPr>
        <w:t xml:space="preserve">           </w:t>
      </w:r>
      <w:r w:rsidRPr="001177C4">
        <w:rPr>
          <w:szCs w:val="26"/>
        </w:rPr>
        <w:t>¶ 61,048</w:t>
      </w:r>
      <w:r>
        <w:rPr>
          <w:szCs w:val="26"/>
        </w:rPr>
        <w:t>,</w:t>
      </w:r>
      <w:r w:rsidRPr="001177C4">
        <w:rPr>
          <w:szCs w:val="26"/>
        </w:rPr>
        <w:t xml:space="preserve"> at</w:t>
      </w:r>
      <w:r w:rsidRPr="001177C4">
        <w:rPr>
          <w:spacing w:val="-2"/>
          <w:szCs w:val="26"/>
        </w:rPr>
        <w:t xml:space="preserve"> </w:t>
      </w:r>
      <w:r w:rsidRPr="001177C4">
        <w:rPr>
          <w:szCs w:val="26"/>
        </w:rPr>
        <w:t>P 62 (2008)).</w:t>
      </w:r>
    </w:p>
    <w:p w14:paraId="426CBBA7" w14:textId="77777777" w:rsidR="00807628" w:rsidRDefault="00807628" w:rsidP="00332B60">
      <w:pPr>
        <w:pStyle w:val="FootnoteText"/>
      </w:pPr>
    </w:p>
  </w:footnote>
  <w:footnote w:id="11">
    <w:p w14:paraId="426CBBA8" w14:textId="77777777" w:rsidR="00807628" w:rsidRDefault="00807628" w:rsidP="00332B60">
      <w:pPr>
        <w:pStyle w:val="FootnoteText"/>
      </w:pPr>
      <w:r>
        <w:rPr>
          <w:rStyle w:val="FootnoteReference"/>
        </w:rPr>
        <w:footnoteRef/>
      </w:r>
      <w:r>
        <w:t xml:space="preserve"> A4A and NPGA Comments at 8.</w:t>
      </w:r>
    </w:p>
  </w:footnote>
  <w:footnote w:id="12">
    <w:p w14:paraId="426CBBA9" w14:textId="77777777" w:rsidR="00807628" w:rsidRPr="00337160" w:rsidRDefault="00807628">
      <w:pPr>
        <w:pStyle w:val="FootnoteText"/>
      </w:pPr>
      <w:r>
        <w:rPr>
          <w:rStyle w:val="FootnoteReference"/>
        </w:rPr>
        <w:footnoteRef/>
      </w:r>
      <w:r>
        <w:t xml:space="preserve"> </w:t>
      </w:r>
      <w:r>
        <w:rPr>
          <w:i/>
        </w:rPr>
        <w:t>Id.</w:t>
      </w:r>
    </w:p>
  </w:footnote>
  <w:footnote w:id="13">
    <w:p w14:paraId="426CBBAA" w14:textId="77777777" w:rsidR="00807628" w:rsidRDefault="00807628">
      <w:pPr>
        <w:pStyle w:val="FootnoteText"/>
      </w:pPr>
      <w:r>
        <w:rPr>
          <w:rStyle w:val="FootnoteReference"/>
        </w:rPr>
        <w:footnoteRef/>
      </w:r>
      <w:r>
        <w:t xml:space="preserve"> 18 CFR Part 201 and 18 CFR Part 101 (2012), respectively.</w:t>
      </w:r>
    </w:p>
  </w:footnote>
  <w:footnote w:id="14">
    <w:p w14:paraId="426CBBAB" w14:textId="77777777" w:rsidR="00807628" w:rsidRDefault="00807628">
      <w:pPr>
        <w:pStyle w:val="FootnoteText"/>
      </w:pPr>
      <w:r>
        <w:rPr>
          <w:rStyle w:val="FootnoteReference"/>
        </w:rPr>
        <w:footnoteRef/>
      </w:r>
      <w:r>
        <w:t xml:space="preserve"> 18 CFR Part 352, Account 797 – Form of Balance Sheet Statement – Stockholder’s Equity (2012).</w:t>
      </w:r>
    </w:p>
  </w:footnote>
  <w:footnote w:id="15">
    <w:p w14:paraId="426CBBAC" w14:textId="77777777" w:rsidR="00807628" w:rsidRDefault="00807628">
      <w:pPr>
        <w:pStyle w:val="FootnoteText"/>
      </w:pPr>
      <w:r>
        <w:rPr>
          <w:rStyle w:val="FootnoteReference"/>
        </w:rPr>
        <w:footnoteRef/>
      </w:r>
      <w:r>
        <w:t xml:space="preserve"> NOPR, FERC Stats. &amp; Regs. ¶ 32,692 at P 10.</w:t>
      </w:r>
    </w:p>
  </w:footnote>
  <w:footnote w:id="16">
    <w:p w14:paraId="426CBBAD" w14:textId="77777777" w:rsidR="00807628" w:rsidRDefault="00807628" w:rsidP="00332B60">
      <w:pPr>
        <w:pStyle w:val="FootnoteText"/>
        <w:spacing w:after="0"/>
      </w:pPr>
      <w:r>
        <w:rPr>
          <w:rStyle w:val="FootnoteReference"/>
        </w:rPr>
        <w:footnoteRef/>
      </w:r>
      <w:r>
        <w:t xml:space="preserve"> Return on Rate Base – Debt Component will be the equivalent of the weighted average cost of debt (product of proposed lines 6a and 6c) multiplied by the Trended Original Cost Rate Base (proposed line 5d).</w:t>
      </w:r>
    </w:p>
    <w:p w14:paraId="426CBBAE" w14:textId="77777777" w:rsidR="00807628" w:rsidRDefault="00807628" w:rsidP="00332B60">
      <w:pPr>
        <w:pStyle w:val="FootnoteText"/>
        <w:spacing w:after="0"/>
      </w:pPr>
    </w:p>
  </w:footnote>
  <w:footnote w:id="17">
    <w:p w14:paraId="426CBBAF" w14:textId="77777777" w:rsidR="00807628" w:rsidRDefault="00807628" w:rsidP="00332B60">
      <w:pPr>
        <w:pStyle w:val="FootnoteText"/>
        <w:spacing w:after="0"/>
      </w:pPr>
      <w:r>
        <w:rPr>
          <w:rStyle w:val="FootnoteReference"/>
        </w:rPr>
        <w:footnoteRef/>
      </w:r>
      <w:r>
        <w:t xml:space="preserve"> NOPR, FERC Stats. &amp; Regs. ¶ 32,692 at P 11.  </w:t>
      </w:r>
      <w:r w:rsidRPr="00AF4426">
        <w:rPr>
          <w:i/>
        </w:rPr>
        <w:t>See also</w:t>
      </w:r>
      <w:r>
        <w:t xml:space="preserve"> </w:t>
      </w:r>
      <w:r w:rsidRPr="006801C2">
        <w:rPr>
          <w:i/>
          <w:szCs w:val="26"/>
        </w:rPr>
        <w:t>Inquiry Regarding Income Tax All</w:t>
      </w:r>
      <w:r>
        <w:rPr>
          <w:i/>
          <w:szCs w:val="26"/>
        </w:rPr>
        <w:t>o</w:t>
      </w:r>
      <w:r w:rsidRPr="006801C2">
        <w:rPr>
          <w:i/>
          <w:szCs w:val="26"/>
        </w:rPr>
        <w:t>wances</w:t>
      </w:r>
      <w:r>
        <w:rPr>
          <w:szCs w:val="26"/>
        </w:rPr>
        <w:t>, 111 FERC ¶ 61,139, at P 32 (2005) (T</w:t>
      </w:r>
      <w:r w:rsidRPr="00C17350">
        <w:t xml:space="preserve">he Commission’s </w:t>
      </w:r>
      <w:r>
        <w:t>income tax policy</w:t>
      </w:r>
      <w:r w:rsidRPr="00C17350">
        <w:t xml:space="preserve"> permits “an income tax allowance for all entities or individuals owning public utility assets, provided that entity or individual has an actual or potential income tax liability to be paid o</w:t>
      </w:r>
      <w:r>
        <w:t xml:space="preserve">n that income from those assets.”). </w:t>
      </w:r>
    </w:p>
  </w:footnote>
  <w:footnote w:id="18">
    <w:p w14:paraId="426CBBB0" w14:textId="77777777" w:rsidR="00807628" w:rsidRPr="00AF4426" w:rsidRDefault="00807628">
      <w:pPr>
        <w:pStyle w:val="FootnoteText"/>
      </w:pPr>
      <w:r>
        <w:rPr>
          <w:rStyle w:val="FootnoteReference"/>
        </w:rPr>
        <w:footnoteRef/>
      </w:r>
      <w:r>
        <w:t xml:space="preserve"> NOPR, FERC Stats. &amp; Regs. ¶ 32,692 at P 11.</w:t>
      </w:r>
    </w:p>
  </w:footnote>
  <w:footnote w:id="19">
    <w:p w14:paraId="426CBBB1" w14:textId="77777777" w:rsidR="00807628" w:rsidRDefault="00807628">
      <w:pPr>
        <w:pStyle w:val="FootnoteText"/>
      </w:pPr>
      <w:r>
        <w:rPr>
          <w:rStyle w:val="FootnoteReference"/>
        </w:rPr>
        <w:footnoteRef/>
      </w:r>
      <w:r>
        <w:t xml:space="preserve"> </w:t>
      </w:r>
      <w:r w:rsidRPr="00A42CA9">
        <w:rPr>
          <w:i/>
        </w:rPr>
        <w:t>Id.</w:t>
      </w:r>
      <w:r>
        <w:t xml:space="preserve"> P 13.</w:t>
      </w:r>
    </w:p>
  </w:footnote>
  <w:footnote w:id="20">
    <w:p w14:paraId="426CBBB2" w14:textId="77777777" w:rsidR="00807628" w:rsidRDefault="00807628" w:rsidP="00F9606D">
      <w:pPr>
        <w:pStyle w:val="FootnoteText"/>
        <w:spacing w:after="0"/>
      </w:pPr>
      <w:r>
        <w:rPr>
          <w:rStyle w:val="FootnoteReference"/>
        </w:rPr>
        <w:footnoteRef/>
      </w:r>
      <w:r>
        <w:t xml:space="preserve"> NOPR, FERC Stats. &amp; Regs. ¶ 32,692 at P 14 and n.19.</w:t>
      </w:r>
    </w:p>
    <w:p w14:paraId="426CBBB3" w14:textId="77777777" w:rsidR="00807628" w:rsidRDefault="00807628" w:rsidP="00F9606D">
      <w:pPr>
        <w:pStyle w:val="FootnoteText"/>
        <w:spacing w:after="0"/>
      </w:pPr>
    </w:p>
  </w:footnote>
  <w:footnote w:id="21">
    <w:p w14:paraId="426CBBB4" w14:textId="77777777" w:rsidR="00807628" w:rsidRDefault="00807628" w:rsidP="00BC2D35">
      <w:pPr>
        <w:pStyle w:val="FootnoteText"/>
      </w:pPr>
      <w:r>
        <w:rPr>
          <w:rStyle w:val="FootnoteReference"/>
        </w:rPr>
        <w:footnoteRef/>
      </w:r>
      <w:r>
        <w:t xml:space="preserve"> AOPL Comments at 4 and 12-13.</w:t>
      </w:r>
    </w:p>
  </w:footnote>
  <w:footnote w:id="22">
    <w:p w14:paraId="426CBBB5" w14:textId="77777777" w:rsidR="00807628" w:rsidRDefault="00807628" w:rsidP="00BC2D35">
      <w:pPr>
        <w:pStyle w:val="FootnoteText"/>
      </w:pPr>
      <w:r>
        <w:rPr>
          <w:rStyle w:val="FootnoteReference"/>
        </w:rPr>
        <w:footnoteRef/>
      </w:r>
      <w:r>
        <w:t xml:space="preserve"> AOPL Comments at 7 (citing </w:t>
      </w:r>
      <w:r w:rsidRPr="00EC2F42">
        <w:rPr>
          <w:i/>
        </w:rPr>
        <w:t>Review of FERC Form Nos. 6 and 6-Q</w:t>
      </w:r>
      <w:r>
        <w:t>, Notice Terminating Proceeding, FERC Stats. &amp; Regs. ¶ 35,561, at P 9 (2008)).</w:t>
      </w:r>
    </w:p>
  </w:footnote>
  <w:footnote w:id="23">
    <w:p w14:paraId="426CBBB6" w14:textId="77777777" w:rsidR="00807628" w:rsidRDefault="00807628">
      <w:pPr>
        <w:pStyle w:val="FootnoteText"/>
      </w:pPr>
      <w:r>
        <w:rPr>
          <w:rStyle w:val="FootnoteReference"/>
        </w:rPr>
        <w:footnoteRef/>
      </w:r>
      <w:r>
        <w:t xml:space="preserve"> </w:t>
      </w:r>
      <w:r w:rsidRPr="00502F75">
        <w:rPr>
          <w:i/>
        </w:rPr>
        <w:t>Id.</w:t>
      </w:r>
      <w:r>
        <w:t xml:space="preserve"> at 12.</w:t>
      </w:r>
    </w:p>
  </w:footnote>
  <w:footnote w:id="24">
    <w:p w14:paraId="426CBBB7" w14:textId="77777777" w:rsidR="00807628" w:rsidRDefault="00807628">
      <w:pPr>
        <w:pStyle w:val="FootnoteText"/>
      </w:pPr>
      <w:r>
        <w:rPr>
          <w:rStyle w:val="FootnoteReference"/>
        </w:rPr>
        <w:footnoteRef/>
      </w:r>
      <w:r>
        <w:t xml:space="preserve"> </w:t>
      </w:r>
      <w:r>
        <w:rPr>
          <w:i/>
        </w:rPr>
        <w:t>Id.</w:t>
      </w:r>
      <w:r>
        <w:t xml:space="preserve"> at 18-20 (citing NOPR, FERC Stats. &amp; Regs. ¶ 32,692 at PP 14-15).</w:t>
      </w:r>
    </w:p>
  </w:footnote>
  <w:footnote w:id="25">
    <w:p w14:paraId="426CBBB8" w14:textId="77777777" w:rsidR="00807628" w:rsidRDefault="00807628">
      <w:pPr>
        <w:pStyle w:val="FootnoteText"/>
      </w:pPr>
      <w:r>
        <w:rPr>
          <w:rStyle w:val="FootnoteReference"/>
        </w:rPr>
        <w:footnoteRef/>
      </w:r>
      <w:r>
        <w:t xml:space="preserve"> </w:t>
      </w:r>
      <w:r w:rsidRPr="00A42CA9">
        <w:rPr>
          <w:i/>
        </w:rPr>
        <w:t>Id.</w:t>
      </w:r>
      <w:r>
        <w:t xml:space="preserve"> at 19-20.</w:t>
      </w:r>
    </w:p>
  </w:footnote>
  <w:footnote w:id="26">
    <w:p w14:paraId="426CBBB9" w14:textId="77777777" w:rsidR="00807628" w:rsidRDefault="00807628" w:rsidP="00B36C0D">
      <w:pPr>
        <w:widowControl/>
        <w:spacing w:after="240"/>
      </w:pPr>
      <w:r>
        <w:tab/>
      </w:r>
      <w:r>
        <w:rPr>
          <w:rStyle w:val="FootnoteReference"/>
        </w:rPr>
        <w:footnoteRef/>
      </w:r>
      <w:r>
        <w:t xml:space="preserve"> Opinion No. 351-A, 53 FERC </w:t>
      </w:r>
      <w:r>
        <w:rPr>
          <w:szCs w:val="26"/>
        </w:rPr>
        <w:t xml:space="preserve">at 62,388-89.  </w:t>
      </w:r>
      <w:r>
        <w:t xml:space="preserve">The Commission clarified the Opinion No. 154-B methodology for calculating a total return for oil pipeline ratemaking purposes in Opinion No. 351.  </w:t>
      </w:r>
    </w:p>
  </w:footnote>
  <w:footnote w:id="27">
    <w:p w14:paraId="426CBBBA" w14:textId="77777777" w:rsidR="00807628" w:rsidRDefault="00807628">
      <w:pPr>
        <w:pStyle w:val="FootnoteText"/>
      </w:pPr>
      <w:r>
        <w:rPr>
          <w:rStyle w:val="FootnoteReference"/>
        </w:rPr>
        <w:footnoteRef/>
      </w:r>
      <w:r>
        <w:t xml:space="preserve"> In a rate proceeding to set oil pipeline rates, the Commission recognizes that the inflation related return is earned in the current period but the collection thereof is deferred to later periods through an amortization process over the remaining life of an oil pipeline.  This is similar to the calculation of a regulatory asset, which may be recognized for financial purposes in the current period but included in rate base and collected over the life of the asset for ratemaking purposes. </w:t>
      </w:r>
    </w:p>
  </w:footnote>
  <w:footnote w:id="28">
    <w:p w14:paraId="426CBBBB" w14:textId="77777777" w:rsidR="00807628" w:rsidRDefault="00807628">
      <w:pPr>
        <w:pStyle w:val="FootnoteText"/>
      </w:pPr>
      <w:r>
        <w:rPr>
          <w:rStyle w:val="FootnoteReference"/>
        </w:rPr>
        <w:footnoteRef/>
      </w:r>
      <w:r>
        <w:t xml:space="preserve"> AOPL Comments at 13-15.</w:t>
      </w:r>
    </w:p>
  </w:footnote>
  <w:footnote w:id="29">
    <w:p w14:paraId="426CBBBC" w14:textId="77777777" w:rsidR="00807628" w:rsidRDefault="00807628">
      <w:pPr>
        <w:pStyle w:val="FootnoteText"/>
      </w:pPr>
      <w:r>
        <w:rPr>
          <w:rStyle w:val="FootnoteReference"/>
        </w:rPr>
        <w:footnoteRef/>
      </w:r>
      <w:r>
        <w:t xml:space="preserve"> CAPP Comments at 4; A4A and NPGA Comments at 15-23; Valero Comments at 21-24; ConocoPhillips Comments at 3-4; Suncor Comments at 2-3; and BP Comments at 2-3.</w:t>
      </w:r>
    </w:p>
  </w:footnote>
  <w:footnote w:id="30">
    <w:p w14:paraId="426CBBBD" w14:textId="77777777" w:rsidR="00807628" w:rsidRDefault="00807628">
      <w:pPr>
        <w:pStyle w:val="FootnoteText"/>
      </w:pPr>
      <w:r>
        <w:rPr>
          <w:rStyle w:val="FootnoteReference"/>
        </w:rPr>
        <w:footnoteRef/>
      </w:r>
      <w:r>
        <w:t xml:space="preserve"> A4A and NPGA Comments at 24; and ConocoPhillips Comments at 4.</w:t>
      </w:r>
    </w:p>
  </w:footnote>
  <w:footnote w:id="31">
    <w:p w14:paraId="426CBBBE" w14:textId="77777777" w:rsidR="00807628" w:rsidRDefault="00807628" w:rsidP="009E222E">
      <w:pPr>
        <w:pStyle w:val="FootnoteText"/>
      </w:pPr>
      <w:r>
        <w:rPr>
          <w:rStyle w:val="FootnoteReference"/>
        </w:rPr>
        <w:footnoteRef/>
      </w:r>
      <w:r>
        <w:t xml:space="preserve"> A4A and NPGA Comments at 25.</w:t>
      </w:r>
    </w:p>
  </w:footnote>
  <w:footnote w:id="32">
    <w:p w14:paraId="426CBBBF" w14:textId="77777777" w:rsidR="00807628" w:rsidRDefault="00807628">
      <w:pPr>
        <w:pStyle w:val="FootnoteText"/>
      </w:pPr>
      <w:r>
        <w:rPr>
          <w:rStyle w:val="FootnoteReference"/>
        </w:rPr>
        <w:footnoteRef/>
      </w:r>
      <w:r>
        <w:t xml:space="preserve"> Valero Comments at 11-16.  In its reply comments, Suncor requests that the Commission amend line 10 of Page 700 as Valero suggests.  Suncor Reply Comments at 3.</w:t>
      </w:r>
    </w:p>
  </w:footnote>
  <w:footnote w:id="33">
    <w:p w14:paraId="426CBBC0" w14:textId="77777777" w:rsidR="00807628" w:rsidRDefault="00807628">
      <w:pPr>
        <w:pStyle w:val="FootnoteText"/>
      </w:pPr>
      <w:r>
        <w:rPr>
          <w:rStyle w:val="FootnoteReference"/>
        </w:rPr>
        <w:footnoteRef/>
      </w:r>
      <w:r>
        <w:t xml:space="preserve"> Mr. Gooch Comments at 1-8.</w:t>
      </w:r>
    </w:p>
  </w:footnote>
  <w:footnote w:id="34">
    <w:p w14:paraId="426CBBC1" w14:textId="77777777" w:rsidR="00807628" w:rsidRDefault="00807628" w:rsidP="005B0A1A">
      <w:pPr>
        <w:pStyle w:val="FootnoteText"/>
      </w:pPr>
      <w:r>
        <w:rPr>
          <w:rStyle w:val="FootnoteReference"/>
        </w:rPr>
        <w:footnoteRef/>
      </w:r>
      <w:r>
        <w:t xml:space="preserve"> A4A and NPGA Comments at 23-26.</w:t>
      </w:r>
    </w:p>
  </w:footnote>
  <w:footnote w:id="35">
    <w:p w14:paraId="426CBBC2" w14:textId="77777777" w:rsidR="00807628" w:rsidRPr="009C6927" w:rsidRDefault="00807628">
      <w:pPr>
        <w:pStyle w:val="FootnoteText"/>
      </w:pPr>
      <w:r>
        <w:rPr>
          <w:rStyle w:val="FootnoteReference"/>
        </w:rPr>
        <w:footnoteRef/>
      </w:r>
      <w:r>
        <w:t xml:space="preserve"> AOPL Reply Comments at 8-22.</w:t>
      </w:r>
    </w:p>
  </w:footnote>
  <w:footnote w:id="36">
    <w:p w14:paraId="426CBBC3" w14:textId="77777777" w:rsidR="00807628" w:rsidRPr="009C6927" w:rsidRDefault="00807628">
      <w:pPr>
        <w:pStyle w:val="FootnoteText"/>
      </w:pPr>
      <w:r>
        <w:rPr>
          <w:rStyle w:val="FootnoteReference"/>
        </w:rPr>
        <w:footnoteRef/>
      </w:r>
      <w:r>
        <w:t xml:space="preserve"> </w:t>
      </w:r>
      <w:r>
        <w:rPr>
          <w:i/>
        </w:rPr>
        <w:t>Id.</w:t>
      </w:r>
      <w:r>
        <w:t xml:space="preserve"> at 24-26.</w:t>
      </w:r>
    </w:p>
  </w:footnote>
  <w:footnote w:id="37">
    <w:p w14:paraId="426CBBC4" w14:textId="77777777" w:rsidR="00807628" w:rsidRPr="009C6927" w:rsidRDefault="00807628">
      <w:pPr>
        <w:pStyle w:val="FootnoteText"/>
      </w:pPr>
      <w:r>
        <w:rPr>
          <w:rStyle w:val="FootnoteReference"/>
        </w:rPr>
        <w:footnoteRef/>
      </w:r>
      <w:r>
        <w:t xml:space="preserve"> </w:t>
      </w:r>
      <w:r>
        <w:rPr>
          <w:i/>
        </w:rPr>
        <w:t>Id.</w:t>
      </w:r>
      <w:r>
        <w:t xml:space="preserve"> at 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BB8A" w14:textId="77777777" w:rsidR="00807628" w:rsidRDefault="00807628" w:rsidP="00817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6CBB8B" w14:textId="77777777" w:rsidR="00807628" w:rsidRDefault="00807628" w:rsidP="008179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BB8C" w14:textId="77777777" w:rsidR="00807628" w:rsidRPr="00E349E6" w:rsidRDefault="00807628" w:rsidP="008179F9">
    <w:pPr>
      <w:pStyle w:val="Header"/>
      <w:ind w:right="360"/>
    </w:pPr>
    <w:r>
      <w:t xml:space="preserve">Docket No. RM12-18-000 </w:t>
    </w:r>
    <w:r>
      <w:tab/>
    </w:r>
    <w:r>
      <w:fldChar w:fldCharType="begin"/>
    </w:r>
    <w:r>
      <w:instrText xml:space="preserve"> PAGE  \* MERGEFORMAT </w:instrText>
    </w:r>
    <w:r>
      <w:fldChar w:fldCharType="separate"/>
    </w:r>
    <w:r w:rsidR="00F35FB2">
      <w:rPr>
        <w:noProof/>
      </w:rPr>
      <w:t>- 2 -</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CBB8D" w14:textId="77777777" w:rsidR="00807628" w:rsidRDefault="00807628">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2A16D8"/>
    <w:multiLevelType w:val="multilevel"/>
    <w:tmpl w:val="7BE20DBC"/>
    <w:lvl w:ilvl="0">
      <w:start w:val="1"/>
      <w:numFmt w:val="upperRoman"/>
      <w:lvlRestart w:val="0"/>
      <w:lvlText w:val="%1."/>
      <w:lvlJc w:val="left"/>
      <w:pPr>
        <w:tabs>
          <w:tab w:val="num" w:pos="980"/>
        </w:tabs>
        <w:ind w:left="98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2520"/>
        </w:tabs>
        <w:ind w:left="252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Roman"/>
      <w:lvlText w:val="(%8)"/>
      <w:lvlJc w:val="left"/>
      <w:pPr>
        <w:tabs>
          <w:tab w:val="num" w:pos="3240"/>
        </w:tabs>
        <w:ind w:left="3240" w:hanging="720"/>
      </w:pPr>
      <w:rPr>
        <w:rFonts w:hint="default"/>
      </w:rPr>
    </w:lvl>
    <w:lvl w:ilvl="8">
      <w:start w:val="1"/>
      <w:numFmt w:val="decimalZero"/>
      <w:lvlText w:val="(%9)"/>
      <w:lvlJc w:val="left"/>
      <w:pPr>
        <w:tabs>
          <w:tab w:val="num" w:pos="3600"/>
        </w:tabs>
        <w:ind w:left="3600" w:hanging="720"/>
      </w:pPr>
      <w:rPr>
        <w:rFonts w:hint="default"/>
      </w:rPr>
    </w:lvl>
  </w:abstractNum>
  <w:abstractNum w:abstractNumId="11">
    <w:nsid w:val="3170616F"/>
    <w:multiLevelType w:val="multilevel"/>
    <w:tmpl w:val="D076FA28"/>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12">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3">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E4E4DD3"/>
    <w:multiLevelType w:val="hybridMultilevel"/>
    <w:tmpl w:val="8DDA6D6C"/>
    <w:lvl w:ilvl="0" w:tplc="46E4F3C6">
      <w:start w:val="1"/>
      <w:numFmt w:val="decimal"/>
      <w:pStyle w:val="FERCparanumber"/>
      <w:lvlText w:val="%1."/>
      <w:lvlJc w:val="left"/>
      <w:pPr>
        <w:tabs>
          <w:tab w:val="num" w:pos="720"/>
        </w:tabs>
        <w:ind w:left="0" w:firstLine="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4"/>
  </w:num>
  <w:num w:numId="2">
    <w:abstractNumId w:val="9"/>
  </w:num>
  <w:num w:numId="3">
    <w:abstractNumId w:val="9"/>
  </w:num>
  <w:num w:numId="4">
    <w:abstractNumId w:val="7"/>
  </w:num>
  <w:num w:numId="5">
    <w:abstractNumId w:val="7"/>
  </w:num>
  <w:num w:numId="6">
    <w:abstractNumId w:val="6"/>
  </w:num>
  <w:num w:numId="7">
    <w:abstractNumId w:val="6"/>
  </w:num>
  <w:num w:numId="8">
    <w:abstractNumId w:val="5"/>
  </w:num>
  <w:num w:numId="9">
    <w:abstractNumId w:val="5"/>
  </w:num>
  <w:num w:numId="10">
    <w:abstractNumId w:val="4"/>
  </w:num>
  <w:num w:numId="11">
    <w:abstractNumId w:val="4"/>
  </w:num>
  <w:num w:numId="12">
    <w:abstractNumId w:val="8"/>
  </w:num>
  <w:num w:numId="13">
    <w:abstractNumId w:val="8"/>
  </w:num>
  <w:num w:numId="14">
    <w:abstractNumId w:val="3"/>
  </w:num>
  <w:num w:numId="15">
    <w:abstractNumId w:val="3"/>
  </w:num>
  <w:num w:numId="16">
    <w:abstractNumId w:val="2"/>
  </w:num>
  <w:num w:numId="17">
    <w:abstractNumId w:val="2"/>
  </w:num>
  <w:num w:numId="18">
    <w:abstractNumId w:val="1"/>
  </w:num>
  <w:num w:numId="19">
    <w:abstractNumId w:val="1"/>
  </w:num>
  <w:num w:numId="20">
    <w:abstractNumId w:val="0"/>
  </w:num>
  <w:num w:numId="21">
    <w:abstractNumId w:val="0"/>
  </w:num>
  <w:num w:numId="22">
    <w:abstractNumId w:val="11"/>
  </w:num>
  <w:num w:numId="23">
    <w:abstractNumId w:val="12"/>
  </w:num>
  <w:num w:numId="24">
    <w:abstractNumId w:val="1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584"/>
    <w:rsid w:val="000008DC"/>
    <w:rsid w:val="000010A2"/>
    <w:rsid w:val="00001846"/>
    <w:rsid w:val="00002B99"/>
    <w:rsid w:val="00003548"/>
    <w:rsid w:val="000039F0"/>
    <w:rsid w:val="00004346"/>
    <w:rsid w:val="00004950"/>
    <w:rsid w:val="00004A11"/>
    <w:rsid w:val="00004AEC"/>
    <w:rsid w:val="00004E9A"/>
    <w:rsid w:val="00005ACF"/>
    <w:rsid w:val="0000615A"/>
    <w:rsid w:val="00006AE5"/>
    <w:rsid w:val="00010CA8"/>
    <w:rsid w:val="00011A24"/>
    <w:rsid w:val="00012779"/>
    <w:rsid w:val="000127D4"/>
    <w:rsid w:val="000129B6"/>
    <w:rsid w:val="00012FEF"/>
    <w:rsid w:val="000133FB"/>
    <w:rsid w:val="000136F4"/>
    <w:rsid w:val="00014B7D"/>
    <w:rsid w:val="00014CD3"/>
    <w:rsid w:val="00014FDC"/>
    <w:rsid w:val="00016DEE"/>
    <w:rsid w:val="000174D7"/>
    <w:rsid w:val="00017DB6"/>
    <w:rsid w:val="00021448"/>
    <w:rsid w:val="00021B4E"/>
    <w:rsid w:val="00021C38"/>
    <w:rsid w:val="00021F71"/>
    <w:rsid w:val="000221B9"/>
    <w:rsid w:val="000223E4"/>
    <w:rsid w:val="00023C15"/>
    <w:rsid w:val="000241CE"/>
    <w:rsid w:val="00024FAD"/>
    <w:rsid w:val="00025EB0"/>
    <w:rsid w:val="0002662D"/>
    <w:rsid w:val="00026910"/>
    <w:rsid w:val="00027D5A"/>
    <w:rsid w:val="000300EA"/>
    <w:rsid w:val="00030452"/>
    <w:rsid w:val="000316FC"/>
    <w:rsid w:val="00032E9E"/>
    <w:rsid w:val="00035AC0"/>
    <w:rsid w:val="00035B57"/>
    <w:rsid w:val="00035D07"/>
    <w:rsid w:val="00036AAA"/>
    <w:rsid w:val="00036AFC"/>
    <w:rsid w:val="00036CB0"/>
    <w:rsid w:val="00037102"/>
    <w:rsid w:val="00037F7E"/>
    <w:rsid w:val="00040148"/>
    <w:rsid w:val="000410B8"/>
    <w:rsid w:val="00042097"/>
    <w:rsid w:val="0004211A"/>
    <w:rsid w:val="000424D1"/>
    <w:rsid w:val="000432C0"/>
    <w:rsid w:val="000438F0"/>
    <w:rsid w:val="00043FB1"/>
    <w:rsid w:val="00044310"/>
    <w:rsid w:val="000443F6"/>
    <w:rsid w:val="00045168"/>
    <w:rsid w:val="00046A52"/>
    <w:rsid w:val="000473E9"/>
    <w:rsid w:val="000504C7"/>
    <w:rsid w:val="00051FB1"/>
    <w:rsid w:val="00053843"/>
    <w:rsid w:val="00054007"/>
    <w:rsid w:val="0005418B"/>
    <w:rsid w:val="0005596E"/>
    <w:rsid w:val="00055C40"/>
    <w:rsid w:val="00055D2C"/>
    <w:rsid w:val="00056851"/>
    <w:rsid w:val="00057383"/>
    <w:rsid w:val="00057B8F"/>
    <w:rsid w:val="00060573"/>
    <w:rsid w:val="00061322"/>
    <w:rsid w:val="00061BF3"/>
    <w:rsid w:val="000632CE"/>
    <w:rsid w:val="00063C06"/>
    <w:rsid w:val="00063C60"/>
    <w:rsid w:val="0006403B"/>
    <w:rsid w:val="0006505F"/>
    <w:rsid w:val="000656C0"/>
    <w:rsid w:val="000660B6"/>
    <w:rsid w:val="00066527"/>
    <w:rsid w:val="00066F4B"/>
    <w:rsid w:val="00067E42"/>
    <w:rsid w:val="00071AAC"/>
    <w:rsid w:val="0007321F"/>
    <w:rsid w:val="0007460B"/>
    <w:rsid w:val="00074A14"/>
    <w:rsid w:val="00074CE9"/>
    <w:rsid w:val="00076F34"/>
    <w:rsid w:val="0007717A"/>
    <w:rsid w:val="0007725C"/>
    <w:rsid w:val="000808C0"/>
    <w:rsid w:val="00080B5B"/>
    <w:rsid w:val="00081326"/>
    <w:rsid w:val="000822CA"/>
    <w:rsid w:val="00082312"/>
    <w:rsid w:val="000827FE"/>
    <w:rsid w:val="00082E46"/>
    <w:rsid w:val="00083DBE"/>
    <w:rsid w:val="00083E5A"/>
    <w:rsid w:val="000846AB"/>
    <w:rsid w:val="00084C53"/>
    <w:rsid w:val="000867CB"/>
    <w:rsid w:val="00086EB5"/>
    <w:rsid w:val="00087051"/>
    <w:rsid w:val="0008718D"/>
    <w:rsid w:val="000877A1"/>
    <w:rsid w:val="00087FCE"/>
    <w:rsid w:val="00091746"/>
    <w:rsid w:val="000929B2"/>
    <w:rsid w:val="00092C6E"/>
    <w:rsid w:val="00094AA1"/>
    <w:rsid w:val="00094CF6"/>
    <w:rsid w:val="00095BFF"/>
    <w:rsid w:val="00096B2E"/>
    <w:rsid w:val="00096DEF"/>
    <w:rsid w:val="000970A8"/>
    <w:rsid w:val="000972B5"/>
    <w:rsid w:val="00097C85"/>
    <w:rsid w:val="000A0D5B"/>
    <w:rsid w:val="000A158F"/>
    <w:rsid w:val="000A1BF3"/>
    <w:rsid w:val="000A1DAA"/>
    <w:rsid w:val="000A26E8"/>
    <w:rsid w:val="000A2D91"/>
    <w:rsid w:val="000A3AE2"/>
    <w:rsid w:val="000A409A"/>
    <w:rsid w:val="000A586E"/>
    <w:rsid w:val="000A67E4"/>
    <w:rsid w:val="000B2B90"/>
    <w:rsid w:val="000B350D"/>
    <w:rsid w:val="000B46E1"/>
    <w:rsid w:val="000B5245"/>
    <w:rsid w:val="000B6C6A"/>
    <w:rsid w:val="000B6C86"/>
    <w:rsid w:val="000B7201"/>
    <w:rsid w:val="000B7B33"/>
    <w:rsid w:val="000C163A"/>
    <w:rsid w:val="000C1D1E"/>
    <w:rsid w:val="000C1F55"/>
    <w:rsid w:val="000C2F61"/>
    <w:rsid w:val="000C2FE7"/>
    <w:rsid w:val="000C4897"/>
    <w:rsid w:val="000C6A6B"/>
    <w:rsid w:val="000C7616"/>
    <w:rsid w:val="000C7D12"/>
    <w:rsid w:val="000C7E65"/>
    <w:rsid w:val="000D0097"/>
    <w:rsid w:val="000D19F2"/>
    <w:rsid w:val="000D22B0"/>
    <w:rsid w:val="000D2B7E"/>
    <w:rsid w:val="000D2DFC"/>
    <w:rsid w:val="000D3823"/>
    <w:rsid w:val="000D527E"/>
    <w:rsid w:val="000D6175"/>
    <w:rsid w:val="000D670E"/>
    <w:rsid w:val="000D6AA4"/>
    <w:rsid w:val="000D6AC1"/>
    <w:rsid w:val="000D6BAA"/>
    <w:rsid w:val="000D7830"/>
    <w:rsid w:val="000E0AAC"/>
    <w:rsid w:val="000E14BB"/>
    <w:rsid w:val="000E19FF"/>
    <w:rsid w:val="000E1EF6"/>
    <w:rsid w:val="000E41CC"/>
    <w:rsid w:val="000E51F4"/>
    <w:rsid w:val="000E66D9"/>
    <w:rsid w:val="000E7849"/>
    <w:rsid w:val="000E7DE0"/>
    <w:rsid w:val="000F013C"/>
    <w:rsid w:val="000F0A91"/>
    <w:rsid w:val="000F0E52"/>
    <w:rsid w:val="000F0F09"/>
    <w:rsid w:val="000F130C"/>
    <w:rsid w:val="000F1BEF"/>
    <w:rsid w:val="000F28E3"/>
    <w:rsid w:val="000F42ED"/>
    <w:rsid w:val="000F438A"/>
    <w:rsid w:val="000F4DC4"/>
    <w:rsid w:val="000F4E91"/>
    <w:rsid w:val="000F6044"/>
    <w:rsid w:val="000F6557"/>
    <w:rsid w:val="000F68E5"/>
    <w:rsid w:val="000F7238"/>
    <w:rsid w:val="0010085C"/>
    <w:rsid w:val="001009C6"/>
    <w:rsid w:val="00101152"/>
    <w:rsid w:val="001012C8"/>
    <w:rsid w:val="001013CC"/>
    <w:rsid w:val="00101558"/>
    <w:rsid w:val="00101ECB"/>
    <w:rsid w:val="00102993"/>
    <w:rsid w:val="00102B4E"/>
    <w:rsid w:val="0010352E"/>
    <w:rsid w:val="00103B23"/>
    <w:rsid w:val="00103BAD"/>
    <w:rsid w:val="00103BFD"/>
    <w:rsid w:val="00103E0B"/>
    <w:rsid w:val="00105168"/>
    <w:rsid w:val="001054AB"/>
    <w:rsid w:val="00107481"/>
    <w:rsid w:val="001106ED"/>
    <w:rsid w:val="00111265"/>
    <w:rsid w:val="001122A9"/>
    <w:rsid w:val="00112870"/>
    <w:rsid w:val="00112FC1"/>
    <w:rsid w:val="00113B8A"/>
    <w:rsid w:val="00114197"/>
    <w:rsid w:val="00114673"/>
    <w:rsid w:val="0011511B"/>
    <w:rsid w:val="001169E9"/>
    <w:rsid w:val="001170A8"/>
    <w:rsid w:val="00117586"/>
    <w:rsid w:val="001177C4"/>
    <w:rsid w:val="001179D0"/>
    <w:rsid w:val="0012245F"/>
    <w:rsid w:val="00123043"/>
    <w:rsid w:val="00124616"/>
    <w:rsid w:val="00125319"/>
    <w:rsid w:val="001270D8"/>
    <w:rsid w:val="00130236"/>
    <w:rsid w:val="0013176F"/>
    <w:rsid w:val="00131961"/>
    <w:rsid w:val="0013267D"/>
    <w:rsid w:val="00132958"/>
    <w:rsid w:val="001329CD"/>
    <w:rsid w:val="00134B93"/>
    <w:rsid w:val="00134E66"/>
    <w:rsid w:val="00134F93"/>
    <w:rsid w:val="00135D17"/>
    <w:rsid w:val="00135E46"/>
    <w:rsid w:val="001371A7"/>
    <w:rsid w:val="001406B0"/>
    <w:rsid w:val="00140F26"/>
    <w:rsid w:val="00142241"/>
    <w:rsid w:val="001428F4"/>
    <w:rsid w:val="00143B54"/>
    <w:rsid w:val="0014436C"/>
    <w:rsid w:val="001453AE"/>
    <w:rsid w:val="001466C3"/>
    <w:rsid w:val="001472D9"/>
    <w:rsid w:val="001502BD"/>
    <w:rsid w:val="00150AD2"/>
    <w:rsid w:val="00151132"/>
    <w:rsid w:val="00151827"/>
    <w:rsid w:val="00152079"/>
    <w:rsid w:val="00152154"/>
    <w:rsid w:val="001525B8"/>
    <w:rsid w:val="00152CCD"/>
    <w:rsid w:val="001539A2"/>
    <w:rsid w:val="001546BF"/>
    <w:rsid w:val="00154746"/>
    <w:rsid w:val="00154BD4"/>
    <w:rsid w:val="00155F3D"/>
    <w:rsid w:val="0016238D"/>
    <w:rsid w:val="0016268A"/>
    <w:rsid w:val="00163663"/>
    <w:rsid w:val="00163C4E"/>
    <w:rsid w:val="001640EA"/>
    <w:rsid w:val="00164D28"/>
    <w:rsid w:val="001659C7"/>
    <w:rsid w:val="00166084"/>
    <w:rsid w:val="00166289"/>
    <w:rsid w:val="00166B9D"/>
    <w:rsid w:val="00166EBA"/>
    <w:rsid w:val="001677E0"/>
    <w:rsid w:val="00170A2E"/>
    <w:rsid w:val="001728C4"/>
    <w:rsid w:val="00173A73"/>
    <w:rsid w:val="00174282"/>
    <w:rsid w:val="001755A8"/>
    <w:rsid w:val="00176821"/>
    <w:rsid w:val="00177BDE"/>
    <w:rsid w:val="00180B2F"/>
    <w:rsid w:val="00181808"/>
    <w:rsid w:val="00184913"/>
    <w:rsid w:val="00184B94"/>
    <w:rsid w:val="001855BE"/>
    <w:rsid w:val="00185749"/>
    <w:rsid w:val="00186BDB"/>
    <w:rsid w:val="00186DE6"/>
    <w:rsid w:val="00187B25"/>
    <w:rsid w:val="00187F71"/>
    <w:rsid w:val="00190610"/>
    <w:rsid w:val="0019063F"/>
    <w:rsid w:val="00190686"/>
    <w:rsid w:val="00191A93"/>
    <w:rsid w:val="00192218"/>
    <w:rsid w:val="00194484"/>
    <w:rsid w:val="0019467C"/>
    <w:rsid w:val="00196824"/>
    <w:rsid w:val="00197A21"/>
    <w:rsid w:val="00197E7B"/>
    <w:rsid w:val="001A0094"/>
    <w:rsid w:val="001A0F68"/>
    <w:rsid w:val="001A1070"/>
    <w:rsid w:val="001A1159"/>
    <w:rsid w:val="001A18E2"/>
    <w:rsid w:val="001A1E8E"/>
    <w:rsid w:val="001A20B4"/>
    <w:rsid w:val="001A2AE7"/>
    <w:rsid w:val="001A336D"/>
    <w:rsid w:val="001A3527"/>
    <w:rsid w:val="001A404D"/>
    <w:rsid w:val="001A4375"/>
    <w:rsid w:val="001A52C9"/>
    <w:rsid w:val="001A5A53"/>
    <w:rsid w:val="001A5CEE"/>
    <w:rsid w:val="001A62DB"/>
    <w:rsid w:val="001A62F7"/>
    <w:rsid w:val="001A686F"/>
    <w:rsid w:val="001A6E13"/>
    <w:rsid w:val="001A7913"/>
    <w:rsid w:val="001A7ECB"/>
    <w:rsid w:val="001B086F"/>
    <w:rsid w:val="001B0D8F"/>
    <w:rsid w:val="001B2807"/>
    <w:rsid w:val="001B3571"/>
    <w:rsid w:val="001B512A"/>
    <w:rsid w:val="001B5990"/>
    <w:rsid w:val="001B6475"/>
    <w:rsid w:val="001B68F7"/>
    <w:rsid w:val="001B6FF3"/>
    <w:rsid w:val="001B730B"/>
    <w:rsid w:val="001C0AC6"/>
    <w:rsid w:val="001C1613"/>
    <w:rsid w:val="001C217B"/>
    <w:rsid w:val="001C237E"/>
    <w:rsid w:val="001C313F"/>
    <w:rsid w:val="001C3488"/>
    <w:rsid w:val="001C4A92"/>
    <w:rsid w:val="001C54E7"/>
    <w:rsid w:val="001C5818"/>
    <w:rsid w:val="001C5BB6"/>
    <w:rsid w:val="001C74D9"/>
    <w:rsid w:val="001C77CE"/>
    <w:rsid w:val="001D005E"/>
    <w:rsid w:val="001D01B4"/>
    <w:rsid w:val="001D09BC"/>
    <w:rsid w:val="001D1ADB"/>
    <w:rsid w:val="001D243C"/>
    <w:rsid w:val="001D4217"/>
    <w:rsid w:val="001D42A7"/>
    <w:rsid w:val="001D4A0A"/>
    <w:rsid w:val="001D6505"/>
    <w:rsid w:val="001D69F7"/>
    <w:rsid w:val="001D6BC9"/>
    <w:rsid w:val="001D7BBA"/>
    <w:rsid w:val="001E0031"/>
    <w:rsid w:val="001E02C4"/>
    <w:rsid w:val="001E0670"/>
    <w:rsid w:val="001E0B01"/>
    <w:rsid w:val="001E0BD2"/>
    <w:rsid w:val="001E1429"/>
    <w:rsid w:val="001E3E20"/>
    <w:rsid w:val="001E4958"/>
    <w:rsid w:val="001E6DB2"/>
    <w:rsid w:val="001E751A"/>
    <w:rsid w:val="001E7A0A"/>
    <w:rsid w:val="001F169D"/>
    <w:rsid w:val="001F18FC"/>
    <w:rsid w:val="001F1C2E"/>
    <w:rsid w:val="001F20CE"/>
    <w:rsid w:val="001F2C0B"/>
    <w:rsid w:val="001F2D8A"/>
    <w:rsid w:val="001F37A3"/>
    <w:rsid w:val="001F390F"/>
    <w:rsid w:val="001F5AEB"/>
    <w:rsid w:val="001F6C13"/>
    <w:rsid w:val="001F6F4B"/>
    <w:rsid w:val="001F7231"/>
    <w:rsid w:val="001F75CB"/>
    <w:rsid w:val="001F7C5E"/>
    <w:rsid w:val="002008B3"/>
    <w:rsid w:val="002018F1"/>
    <w:rsid w:val="0020254F"/>
    <w:rsid w:val="00202AE4"/>
    <w:rsid w:val="00202CE2"/>
    <w:rsid w:val="00202F86"/>
    <w:rsid w:val="00203936"/>
    <w:rsid w:val="00204E98"/>
    <w:rsid w:val="00205829"/>
    <w:rsid w:val="00205F9E"/>
    <w:rsid w:val="00206066"/>
    <w:rsid w:val="00207F04"/>
    <w:rsid w:val="0021146C"/>
    <w:rsid w:val="00211E11"/>
    <w:rsid w:val="0021230A"/>
    <w:rsid w:val="00212F24"/>
    <w:rsid w:val="002135B3"/>
    <w:rsid w:val="00213E34"/>
    <w:rsid w:val="00214B0D"/>
    <w:rsid w:val="002156DF"/>
    <w:rsid w:val="00215DF5"/>
    <w:rsid w:val="00216028"/>
    <w:rsid w:val="00216EA0"/>
    <w:rsid w:val="00217B51"/>
    <w:rsid w:val="00217BD2"/>
    <w:rsid w:val="00220692"/>
    <w:rsid w:val="002207BB"/>
    <w:rsid w:val="002220AF"/>
    <w:rsid w:val="00222955"/>
    <w:rsid w:val="00222A1B"/>
    <w:rsid w:val="00222EBC"/>
    <w:rsid w:val="00223A7F"/>
    <w:rsid w:val="00225092"/>
    <w:rsid w:val="00225F94"/>
    <w:rsid w:val="00226210"/>
    <w:rsid w:val="00226D38"/>
    <w:rsid w:val="002302F3"/>
    <w:rsid w:val="00230ADA"/>
    <w:rsid w:val="00230DB9"/>
    <w:rsid w:val="00230DDF"/>
    <w:rsid w:val="002315BF"/>
    <w:rsid w:val="00232DAF"/>
    <w:rsid w:val="00233789"/>
    <w:rsid w:val="00233FB7"/>
    <w:rsid w:val="0023594F"/>
    <w:rsid w:val="00235C3A"/>
    <w:rsid w:val="00235D9D"/>
    <w:rsid w:val="00236CFC"/>
    <w:rsid w:val="00236CFE"/>
    <w:rsid w:val="00236F51"/>
    <w:rsid w:val="002375D3"/>
    <w:rsid w:val="002375E8"/>
    <w:rsid w:val="002376DD"/>
    <w:rsid w:val="00240251"/>
    <w:rsid w:val="00240F78"/>
    <w:rsid w:val="002440C1"/>
    <w:rsid w:val="00244219"/>
    <w:rsid w:val="00244E62"/>
    <w:rsid w:val="0024668B"/>
    <w:rsid w:val="0024674C"/>
    <w:rsid w:val="00247E5E"/>
    <w:rsid w:val="00250C90"/>
    <w:rsid w:val="00250C9E"/>
    <w:rsid w:val="00251576"/>
    <w:rsid w:val="00251A37"/>
    <w:rsid w:val="00252A93"/>
    <w:rsid w:val="00252E6F"/>
    <w:rsid w:val="0025364D"/>
    <w:rsid w:val="0025396A"/>
    <w:rsid w:val="00253BD8"/>
    <w:rsid w:val="0025691F"/>
    <w:rsid w:val="002569FE"/>
    <w:rsid w:val="00257C38"/>
    <w:rsid w:val="00257E52"/>
    <w:rsid w:val="002603E3"/>
    <w:rsid w:val="00260DB1"/>
    <w:rsid w:val="00261308"/>
    <w:rsid w:val="00261946"/>
    <w:rsid w:val="00262168"/>
    <w:rsid w:val="00262251"/>
    <w:rsid w:val="0026243F"/>
    <w:rsid w:val="00262CA3"/>
    <w:rsid w:val="00262F85"/>
    <w:rsid w:val="00263962"/>
    <w:rsid w:val="00265359"/>
    <w:rsid w:val="002656DF"/>
    <w:rsid w:val="00266276"/>
    <w:rsid w:val="0026640C"/>
    <w:rsid w:val="002668CD"/>
    <w:rsid w:val="00267529"/>
    <w:rsid w:val="0026774F"/>
    <w:rsid w:val="0027056A"/>
    <w:rsid w:val="002707D2"/>
    <w:rsid w:val="00270858"/>
    <w:rsid w:val="0027386D"/>
    <w:rsid w:val="00273D00"/>
    <w:rsid w:val="00275287"/>
    <w:rsid w:val="0027628E"/>
    <w:rsid w:val="00276744"/>
    <w:rsid w:val="00276FF0"/>
    <w:rsid w:val="00277881"/>
    <w:rsid w:val="00280B4B"/>
    <w:rsid w:val="00280C6D"/>
    <w:rsid w:val="00281095"/>
    <w:rsid w:val="0028138D"/>
    <w:rsid w:val="00281978"/>
    <w:rsid w:val="00283996"/>
    <w:rsid w:val="00283B64"/>
    <w:rsid w:val="002844D0"/>
    <w:rsid w:val="0028473A"/>
    <w:rsid w:val="00284A3E"/>
    <w:rsid w:val="0028504D"/>
    <w:rsid w:val="002851D9"/>
    <w:rsid w:val="0028559D"/>
    <w:rsid w:val="00286D97"/>
    <w:rsid w:val="002873CF"/>
    <w:rsid w:val="00287D99"/>
    <w:rsid w:val="00290CDA"/>
    <w:rsid w:val="002910FA"/>
    <w:rsid w:val="00291254"/>
    <w:rsid w:val="0029152E"/>
    <w:rsid w:val="002916F6"/>
    <w:rsid w:val="0029287D"/>
    <w:rsid w:val="00292C42"/>
    <w:rsid w:val="00292DE4"/>
    <w:rsid w:val="002931BC"/>
    <w:rsid w:val="00293F45"/>
    <w:rsid w:val="0029582C"/>
    <w:rsid w:val="00297122"/>
    <w:rsid w:val="002A1274"/>
    <w:rsid w:val="002A15B5"/>
    <w:rsid w:val="002A1B83"/>
    <w:rsid w:val="002A1D1C"/>
    <w:rsid w:val="002A3661"/>
    <w:rsid w:val="002A4576"/>
    <w:rsid w:val="002A48BB"/>
    <w:rsid w:val="002A6B96"/>
    <w:rsid w:val="002A6FF9"/>
    <w:rsid w:val="002A7722"/>
    <w:rsid w:val="002A786C"/>
    <w:rsid w:val="002A79F7"/>
    <w:rsid w:val="002B2621"/>
    <w:rsid w:val="002B2641"/>
    <w:rsid w:val="002B2991"/>
    <w:rsid w:val="002B6FAF"/>
    <w:rsid w:val="002B75D7"/>
    <w:rsid w:val="002B77F8"/>
    <w:rsid w:val="002B7936"/>
    <w:rsid w:val="002C0A38"/>
    <w:rsid w:val="002C1603"/>
    <w:rsid w:val="002C1977"/>
    <w:rsid w:val="002C1FC6"/>
    <w:rsid w:val="002C293F"/>
    <w:rsid w:val="002C2BC3"/>
    <w:rsid w:val="002C3B05"/>
    <w:rsid w:val="002C5382"/>
    <w:rsid w:val="002C59B5"/>
    <w:rsid w:val="002C643A"/>
    <w:rsid w:val="002C76AB"/>
    <w:rsid w:val="002D00BA"/>
    <w:rsid w:val="002D0171"/>
    <w:rsid w:val="002D01D7"/>
    <w:rsid w:val="002D042D"/>
    <w:rsid w:val="002D145D"/>
    <w:rsid w:val="002D14FC"/>
    <w:rsid w:val="002D1906"/>
    <w:rsid w:val="002D3678"/>
    <w:rsid w:val="002D3C91"/>
    <w:rsid w:val="002D3E94"/>
    <w:rsid w:val="002D50D6"/>
    <w:rsid w:val="002D57A4"/>
    <w:rsid w:val="002D66E9"/>
    <w:rsid w:val="002D6AD0"/>
    <w:rsid w:val="002D769B"/>
    <w:rsid w:val="002D7AE0"/>
    <w:rsid w:val="002E1F47"/>
    <w:rsid w:val="002E4055"/>
    <w:rsid w:val="002E4D15"/>
    <w:rsid w:val="002E529F"/>
    <w:rsid w:val="002E52F2"/>
    <w:rsid w:val="002E5999"/>
    <w:rsid w:val="002E680A"/>
    <w:rsid w:val="002E7602"/>
    <w:rsid w:val="002F0876"/>
    <w:rsid w:val="002F17EE"/>
    <w:rsid w:val="002F2492"/>
    <w:rsid w:val="002F2D0A"/>
    <w:rsid w:val="002F3254"/>
    <w:rsid w:val="002F358A"/>
    <w:rsid w:val="002F366B"/>
    <w:rsid w:val="002F38AC"/>
    <w:rsid w:val="002F40BB"/>
    <w:rsid w:val="002F50A2"/>
    <w:rsid w:val="002F50B4"/>
    <w:rsid w:val="002F50E9"/>
    <w:rsid w:val="002F54A3"/>
    <w:rsid w:val="002F6463"/>
    <w:rsid w:val="002F694E"/>
    <w:rsid w:val="002F74A9"/>
    <w:rsid w:val="002F79E7"/>
    <w:rsid w:val="00300652"/>
    <w:rsid w:val="00301427"/>
    <w:rsid w:val="00301E0A"/>
    <w:rsid w:val="00302266"/>
    <w:rsid w:val="003022AA"/>
    <w:rsid w:val="00303164"/>
    <w:rsid w:val="00303191"/>
    <w:rsid w:val="00303483"/>
    <w:rsid w:val="00304021"/>
    <w:rsid w:val="003042AD"/>
    <w:rsid w:val="00304B80"/>
    <w:rsid w:val="0030571D"/>
    <w:rsid w:val="0030589B"/>
    <w:rsid w:val="0030750E"/>
    <w:rsid w:val="003100E0"/>
    <w:rsid w:val="00310CEB"/>
    <w:rsid w:val="003118C2"/>
    <w:rsid w:val="00311D3F"/>
    <w:rsid w:val="00312E09"/>
    <w:rsid w:val="003130AE"/>
    <w:rsid w:val="003134C2"/>
    <w:rsid w:val="00313C13"/>
    <w:rsid w:val="003140D7"/>
    <w:rsid w:val="003149ED"/>
    <w:rsid w:val="00316636"/>
    <w:rsid w:val="003177E3"/>
    <w:rsid w:val="00317B3E"/>
    <w:rsid w:val="00320128"/>
    <w:rsid w:val="0032049A"/>
    <w:rsid w:val="00321174"/>
    <w:rsid w:val="003214FE"/>
    <w:rsid w:val="003217ED"/>
    <w:rsid w:val="003221A0"/>
    <w:rsid w:val="00322AB9"/>
    <w:rsid w:val="003235A0"/>
    <w:rsid w:val="00324548"/>
    <w:rsid w:val="00324C23"/>
    <w:rsid w:val="003252AC"/>
    <w:rsid w:val="00325A38"/>
    <w:rsid w:val="00326081"/>
    <w:rsid w:val="00326AC4"/>
    <w:rsid w:val="003275C6"/>
    <w:rsid w:val="003275D5"/>
    <w:rsid w:val="003307AA"/>
    <w:rsid w:val="00330C07"/>
    <w:rsid w:val="00330C99"/>
    <w:rsid w:val="00330EC9"/>
    <w:rsid w:val="003313AE"/>
    <w:rsid w:val="00331B7F"/>
    <w:rsid w:val="0033262C"/>
    <w:rsid w:val="00332B60"/>
    <w:rsid w:val="00333BCC"/>
    <w:rsid w:val="0033428F"/>
    <w:rsid w:val="00334630"/>
    <w:rsid w:val="00334EAF"/>
    <w:rsid w:val="003350E1"/>
    <w:rsid w:val="003350FA"/>
    <w:rsid w:val="00335529"/>
    <w:rsid w:val="00336F25"/>
    <w:rsid w:val="00336F2A"/>
    <w:rsid w:val="00337160"/>
    <w:rsid w:val="00341891"/>
    <w:rsid w:val="00343292"/>
    <w:rsid w:val="003433B3"/>
    <w:rsid w:val="00343DBC"/>
    <w:rsid w:val="003440F0"/>
    <w:rsid w:val="0034447C"/>
    <w:rsid w:val="00345F77"/>
    <w:rsid w:val="003463E9"/>
    <w:rsid w:val="00346452"/>
    <w:rsid w:val="003475A9"/>
    <w:rsid w:val="0035033F"/>
    <w:rsid w:val="003513A6"/>
    <w:rsid w:val="0035221F"/>
    <w:rsid w:val="00352263"/>
    <w:rsid w:val="00352B99"/>
    <w:rsid w:val="00353419"/>
    <w:rsid w:val="00353465"/>
    <w:rsid w:val="00353BB0"/>
    <w:rsid w:val="0035495F"/>
    <w:rsid w:val="00354F70"/>
    <w:rsid w:val="00355B3C"/>
    <w:rsid w:val="00355C71"/>
    <w:rsid w:val="003563D3"/>
    <w:rsid w:val="00356462"/>
    <w:rsid w:val="00356AD8"/>
    <w:rsid w:val="00356B6E"/>
    <w:rsid w:val="0035771A"/>
    <w:rsid w:val="00357F55"/>
    <w:rsid w:val="00357F58"/>
    <w:rsid w:val="003613D7"/>
    <w:rsid w:val="003614AD"/>
    <w:rsid w:val="00361A99"/>
    <w:rsid w:val="00361B00"/>
    <w:rsid w:val="00361C22"/>
    <w:rsid w:val="00362A3B"/>
    <w:rsid w:val="00362DC9"/>
    <w:rsid w:val="0036439C"/>
    <w:rsid w:val="003648D3"/>
    <w:rsid w:val="00364AD7"/>
    <w:rsid w:val="00364C93"/>
    <w:rsid w:val="003658D8"/>
    <w:rsid w:val="003666F1"/>
    <w:rsid w:val="0036781B"/>
    <w:rsid w:val="00370C15"/>
    <w:rsid w:val="00371047"/>
    <w:rsid w:val="0037302C"/>
    <w:rsid w:val="00373F75"/>
    <w:rsid w:val="00376F10"/>
    <w:rsid w:val="0037704E"/>
    <w:rsid w:val="003776EB"/>
    <w:rsid w:val="003778E1"/>
    <w:rsid w:val="00377EBE"/>
    <w:rsid w:val="003804BD"/>
    <w:rsid w:val="00380E5E"/>
    <w:rsid w:val="003811CB"/>
    <w:rsid w:val="00383428"/>
    <w:rsid w:val="00383EA3"/>
    <w:rsid w:val="00384E58"/>
    <w:rsid w:val="00385533"/>
    <w:rsid w:val="003858E5"/>
    <w:rsid w:val="00385D88"/>
    <w:rsid w:val="0038655A"/>
    <w:rsid w:val="003873B9"/>
    <w:rsid w:val="00390776"/>
    <w:rsid w:val="00391191"/>
    <w:rsid w:val="00392165"/>
    <w:rsid w:val="00392923"/>
    <w:rsid w:val="00392C89"/>
    <w:rsid w:val="00393410"/>
    <w:rsid w:val="00396D3C"/>
    <w:rsid w:val="00396ED6"/>
    <w:rsid w:val="003974EE"/>
    <w:rsid w:val="00397A4B"/>
    <w:rsid w:val="00397A66"/>
    <w:rsid w:val="003A0003"/>
    <w:rsid w:val="003A07B6"/>
    <w:rsid w:val="003A0F1D"/>
    <w:rsid w:val="003A1149"/>
    <w:rsid w:val="003A1584"/>
    <w:rsid w:val="003A1962"/>
    <w:rsid w:val="003A1969"/>
    <w:rsid w:val="003A1C3D"/>
    <w:rsid w:val="003A239D"/>
    <w:rsid w:val="003A2497"/>
    <w:rsid w:val="003A31C1"/>
    <w:rsid w:val="003A472E"/>
    <w:rsid w:val="003A4FF8"/>
    <w:rsid w:val="003A6F6C"/>
    <w:rsid w:val="003A7536"/>
    <w:rsid w:val="003B0028"/>
    <w:rsid w:val="003B0F48"/>
    <w:rsid w:val="003B2D50"/>
    <w:rsid w:val="003B347F"/>
    <w:rsid w:val="003B3B22"/>
    <w:rsid w:val="003B526C"/>
    <w:rsid w:val="003B5497"/>
    <w:rsid w:val="003B5F86"/>
    <w:rsid w:val="003B66F0"/>
    <w:rsid w:val="003B706E"/>
    <w:rsid w:val="003B7E61"/>
    <w:rsid w:val="003C0FEB"/>
    <w:rsid w:val="003C2B50"/>
    <w:rsid w:val="003C2DC7"/>
    <w:rsid w:val="003C2F1E"/>
    <w:rsid w:val="003C31DA"/>
    <w:rsid w:val="003C3300"/>
    <w:rsid w:val="003C3A94"/>
    <w:rsid w:val="003C4C8B"/>
    <w:rsid w:val="003C584A"/>
    <w:rsid w:val="003C5EBA"/>
    <w:rsid w:val="003C5F46"/>
    <w:rsid w:val="003C64CC"/>
    <w:rsid w:val="003C6CD0"/>
    <w:rsid w:val="003C7676"/>
    <w:rsid w:val="003D0C02"/>
    <w:rsid w:val="003D0CA4"/>
    <w:rsid w:val="003D0F04"/>
    <w:rsid w:val="003D254D"/>
    <w:rsid w:val="003D4F31"/>
    <w:rsid w:val="003D6C8B"/>
    <w:rsid w:val="003E0C56"/>
    <w:rsid w:val="003E1005"/>
    <w:rsid w:val="003E245B"/>
    <w:rsid w:val="003E312C"/>
    <w:rsid w:val="003E469F"/>
    <w:rsid w:val="003E4C26"/>
    <w:rsid w:val="003E5C1C"/>
    <w:rsid w:val="003E6CFD"/>
    <w:rsid w:val="003E791B"/>
    <w:rsid w:val="003E7BC9"/>
    <w:rsid w:val="003F1848"/>
    <w:rsid w:val="003F340D"/>
    <w:rsid w:val="003F437D"/>
    <w:rsid w:val="003F47CE"/>
    <w:rsid w:val="003F4E16"/>
    <w:rsid w:val="003F5104"/>
    <w:rsid w:val="003F5164"/>
    <w:rsid w:val="003F5B23"/>
    <w:rsid w:val="003F630F"/>
    <w:rsid w:val="003F665A"/>
    <w:rsid w:val="003F71B8"/>
    <w:rsid w:val="003F7BA5"/>
    <w:rsid w:val="004008DE"/>
    <w:rsid w:val="004019D8"/>
    <w:rsid w:val="00402955"/>
    <w:rsid w:val="004029B2"/>
    <w:rsid w:val="00402A68"/>
    <w:rsid w:val="004049B1"/>
    <w:rsid w:val="00405AE3"/>
    <w:rsid w:val="004069FE"/>
    <w:rsid w:val="00407A41"/>
    <w:rsid w:val="004100B0"/>
    <w:rsid w:val="00413E9F"/>
    <w:rsid w:val="00413F00"/>
    <w:rsid w:val="00414182"/>
    <w:rsid w:val="0041426B"/>
    <w:rsid w:val="004143B9"/>
    <w:rsid w:val="004144A9"/>
    <w:rsid w:val="00414B2A"/>
    <w:rsid w:val="00415ACA"/>
    <w:rsid w:val="00415DCE"/>
    <w:rsid w:val="0041692E"/>
    <w:rsid w:val="004169A7"/>
    <w:rsid w:val="0041785E"/>
    <w:rsid w:val="00417E75"/>
    <w:rsid w:val="00420C8C"/>
    <w:rsid w:val="004213B0"/>
    <w:rsid w:val="00421593"/>
    <w:rsid w:val="0042167A"/>
    <w:rsid w:val="00422001"/>
    <w:rsid w:val="0042206C"/>
    <w:rsid w:val="00422126"/>
    <w:rsid w:val="004225B1"/>
    <w:rsid w:val="004241FA"/>
    <w:rsid w:val="0042652A"/>
    <w:rsid w:val="00426C7D"/>
    <w:rsid w:val="00427B5E"/>
    <w:rsid w:val="0043004E"/>
    <w:rsid w:val="004302BA"/>
    <w:rsid w:val="004315C8"/>
    <w:rsid w:val="00431941"/>
    <w:rsid w:val="00431961"/>
    <w:rsid w:val="00431A5C"/>
    <w:rsid w:val="0043213D"/>
    <w:rsid w:val="00432AC0"/>
    <w:rsid w:val="00433D77"/>
    <w:rsid w:val="00433E3B"/>
    <w:rsid w:val="00434183"/>
    <w:rsid w:val="00434D2F"/>
    <w:rsid w:val="004362DE"/>
    <w:rsid w:val="00440B1E"/>
    <w:rsid w:val="00441480"/>
    <w:rsid w:val="00442714"/>
    <w:rsid w:val="00443BD6"/>
    <w:rsid w:val="00443FEA"/>
    <w:rsid w:val="00446186"/>
    <w:rsid w:val="004461C9"/>
    <w:rsid w:val="00446748"/>
    <w:rsid w:val="004505C6"/>
    <w:rsid w:val="00450EEF"/>
    <w:rsid w:val="00452135"/>
    <w:rsid w:val="00452E50"/>
    <w:rsid w:val="0045387D"/>
    <w:rsid w:val="0045390F"/>
    <w:rsid w:val="00454ADC"/>
    <w:rsid w:val="004552BA"/>
    <w:rsid w:val="00455AD6"/>
    <w:rsid w:val="0045661F"/>
    <w:rsid w:val="00457555"/>
    <w:rsid w:val="004600B6"/>
    <w:rsid w:val="004607F3"/>
    <w:rsid w:val="00460BBE"/>
    <w:rsid w:val="00461C66"/>
    <w:rsid w:val="00463BDE"/>
    <w:rsid w:val="00464D97"/>
    <w:rsid w:val="00465607"/>
    <w:rsid w:val="00466E96"/>
    <w:rsid w:val="00467075"/>
    <w:rsid w:val="004679A5"/>
    <w:rsid w:val="0047095C"/>
    <w:rsid w:val="0047169A"/>
    <w:rsid w:val="00472275"/>
    <w:rsid w:val="004723F1"/>
    <w:rsid w:val="00472748"/>
    <w:rsid w:val="00472AB1"/>
    <w:rsid w:val="00472C68"/>
    <w:rsid w:val="0047300C"/>
    <w:rsid w:val="00474CF6"/>
    <w:rsid w:val="00475D7D"/>
    <w:rsid w:val="004771A4"/>
    <w:rsid w:val="0048112F"/>
    <w:rsid w:val="00481418"/>
    <w:rsid w:val="00481723"/>
    <w:rsid w:val="00482321"/>
    <w:rsid w:val="00482845"/>
    <w:rsid w:val="00482F43"/>
    <w:rsid w:val="00483DD0"/>
    <w:rsid w:val="004851A4"/>
    <w:rsid w:val="00485802"/>
    <w:rsid w:val="00485A72"/>
    <w:rsid w:val="004872A8"/>
    <w:rsid w:val="0048738F"/>
    <w:rsid w:val="004879B3"/>
    <w:rsid w:val="0049031D"/>
    <w:rsid w:val="004916FA"/>
    <w:rsid w:val="00491EC9"/>
    <w:rsid w:val="00493582"/>
    <w:rsid w:val="00494D43"/>
    <w:rsid w:val="0049588C"/>
    <w:rsid w:val="004964EC"/>
    <w:rsid w:val="00496A0F"/>
    <w:rsid w:val="00496C51"/>
    <w:rsid w:val="00497101"/>
    <w:rsid w:val="004972E5"/>
    <w:rsid w:val="00497F68"/>
    <w:rsid w:val="004A1066"/>
    <w:rsid w:val="004A10FC"/>
    <w:rsid w:val="004A1FF1"/>
    <w:rsid w:val="004A2591"/>
    <w:rsid w:val="004A3930"/>
    <w:rsid w:val="004A47A8"/>
    <w:rsid w:val="004A55C1"/>
    <w:rsid w:val="004A5669"/>
    <w:rsid w:val="004A5930"/>
    <w:rsid w:val="004A71D2"/>
    <w:rsid w:val="004A7574"/>
    <w:rsid w:val="004A7815"/>
    <w:rsid w:val="004A7C7E"/>
    <w:rsid w:val="004B0BBD"/>
    <w:rsid w:val="004B1584"/>
    <w:rsid w:val="004B1903"/>
    <w:rsid w:val="004B3963"/>
    <w:rsid w:val="004B42DF"/>
    <w:rsid w:val="004B4360"/>
    <w:rsid w:val="004B5314"/>
    <w:rsid w:val="004B62C2"/>
    <w:rsid w:val="004B76F6"/>
    <w:rsid w:val="004B7964"/>
    <w:rsid w:val="004C1100"/>
    <w:rsid w:val="004C1813"/>
    <w:rsid w:val="004C1884"/>
    <w:rsid w:val="004C278F"/>
    <w:rsid w:val="004C3647"/>
    <w:rsid w:val="004C54E0"/>
    <w:rsid w:val="004D0E7B"/>
    <w:rsid w:val="004D1AD8"/>
    <w:rsid w:val="004D229C"/>
    <w:rsid w:val="004D2677"/>
    <w:rsid w:val="004D2700"/>
    <w:rsid w:val="004D2B8B"/>
    <w:rsid w:val="004D3D34"/>
    <w:rsid w:val="004D3DFA"/>
    <w:rsid w:val="004D3EE3"/>
    <w:rsid w:val="004D4E90"/>
    <w:rsid w:val="004D50F9"/>
    <w:rsid w:val="004D52A8"/>
    <w:rsid w:val="004D5608"/>
    <w:rsid w:val="004D56A2"/>
    <w:rsid w:val="004D5978"/>
    <w:rsid w:val="004D65F6"/>
    <w:rsid w:val="004D76A8"/>
    <w:rsid w:val="004E02D2"/>
    <w:rsid w:val="004E0970"/>
    <w:rsid w:val="004E119C"/>
    <w:rsid w:val="004E17E9"/>
    <w:rsid w:val="004E1FC9"/>
    <w:rsid w:val="004E3350"/>
    <w:rsid w:val="004E3A97"/>
    <w:rsid w:val="004E3BA7"/>
    <w:rsid w:val="004E3CCD"/>
    <w:rsid w:val="004E5287"/>
    <w:rsid w:val="004E58DA"/>
    <w:rsid w:val="004E59A9"/>
    <w:rsid w:val="004E601B"/>
    <w:rsid w:val="004E65BD"/>
    <w:rsid w:val="004F1E02"/>
    <w:rsid w:val="004F2808"/>
    <w:rsid w:val="004F33C8"/>
    <w:rsid w:val="004F3CC8"/>
    <w:rsid w:val="004F48F8"/>
    <w:rsid w:val="004F4DA0"/>
    <w:rsid w:val="004F531F"/>
    <w:rsid w:val="004F5C78"/>
    <w:rsid w:val="004F67BE"/>
    <w:rsid w:val="004F6A8B"/>
    <w:rsid w:val="004F7792"/>
    <w:rsid w:val="004F7B5C"/>
    <w:rsid w:val="004F7EE1"/>
    <w:rsid w:val="00500AD9"/>
    <w:rsid w:val="00501E6D"/>
    <w:rsid w:val="00502F75"/>
    <w:rsid w:val="0050351E"/>
    <w:rsid w:val="00504844"/>
    <w:rsid w:val="00505095"/>
    <w:rsid w:val="00505887"/>
    <w:rsid w:val="00505BF9"/>
    <w:rsid w:val="0050600A"/>
    <w:rsid w:val="0050749F"/>
    <w:rsid w:val="0050788E"/>
    <w:rsid w:val="005100E6"/>
    <w:rsid w:val="00512B0A"/>
    <w:rsid w:val="00512C22"/>
    <w:rsid w:val="00513183"/>
    <w:rsid w:val="005131EC"/>
    <w:rsid w:val="00515D75"/>
    <w:rsid w:val="00516E72"/>
    <w:rsid w:val="00517375"/>
    <w:rsid w:val="00517AF0"/>
    <w:rsid w:val="00517B35"/>
    <w:rsid w:val="00517F6D"/>
    <w:rsid w:val="00523332"/>
    <w:rsid w:val="00523856"/>
    <w:rsid w:val="0052391F"/>
    <w:rsid w:val="005247E1"/>
    <w:rsid w:val="00524C8F"/>
    <w:rsid w:val="005263BC"/>
    <w:rsid w:val="00526F00"/>
    <w:rsid w:val="00527ED8"/>
    <w:rsid w:val="00532806"/>
    <w:rsid w:val="00533281"/>
    <w:rsid w:val="005357F2"/>
    <w:rsid w:val="0053623F"/>
    <w:rsid w:val="00536884"/>
    <w:rsid w:val="00537409"/>
    <w:rsid w:val="00540065"/>
    <w:rsid w:val="0054023D"/>
    <w:rsid w:val="00540AF1"/>
    <w:rsid w:val="00542110"/>
    <w:rsid w:val="005427A7"/>
    <w:rsid w:val="00542EDF"/>
    <w:rsid w:val="005436CA"/>
    <w:rsid w:val="005439F5"/>
    <w:rsid w:val="00544C5D"/>
    <w:rsid w:val="00544E4F"/>
    <w:rsid w:val="00545756"/>
    <w:rsid w:val="00546567"/>
    <w:rsid w:val="00546CD3"/>
    <w:rsid w:val="005472D3"/>
    <w:rsid w:val="00547318"/>
    <w:rsid w:val="0055025A"/>
    <w:rsid w:val="005516EB"/>
    <w:rsid w:val="005516F1"/>
    <w:rsid w:val="00551936"/>
    <w:rsid w:val="00551A2B"/>
    <w:rsid w:val="005523FE"/>
    <w:rsid w:val="00553AA2"/>
    <w:rsid w:val="00553B6D"/>
    <w:rsid w:val="00554400"/>
    <w:rsid w:val="00555185"/>
    <w:rsid w:val="00555CF1"/>
    <w:rsid w:val="00555CF6"/>
    <w:rsid w:val="0055671E"/>
    <w:rsid w:val="00556842"/>
    <w:rsid w:val="005569C4"/>
    <w:rsid w:val="005575BA"/>
    <w:rsid w:val="00560506"/>
    <w:rsid w:val="00560BD3"/>
    <w:rsid w:val="005611EC"/>
    <w:rsid w:val="005620C3"/>
    <w:rsid w:val="00562732"/>
    <w:rsid w:val="00562B81"/>
    <w:rsid w:val="0056310E"/>
    <w:rsid w:val="0056362A"/>
    <w:rsid w:val="00564B0E"/>
    <w:rsid w:val="005653E3"/>
    <w:rsid w:val="00566E13"/>
    <w:rsid w:val="00570910"/>
    <w:rsid w:val="00570AE1"/>
    <w:rsid w:val="0057252E"/>
    <w:rsid w:val="00573556"/>
    <w:rsid w:val="005756C0"/>
    <w:rsid w:val="0057694D"/>
    <w:rsid w:val="00576E2A"/>
    <w:rsid w:val="00577491"/>
    <w:rsid w:val="00577A1F"/>
    <w:rsid w:val="005807D9"/>
    <w:rsid w:val="00580FB6"/>
    <w:rsid w:val="005810C2"/>
    <w:rsid w:val="00582640"/>
    <w:rsid w:val="005832ED"/>
    <w:rsid w:val="005853DD"/>
    <w:rsid w:val="00586886"/>
    <w:rsid w:val="005876EE"/>
    <w:rsid w:val="0059163C"/>
    <w:rsid w:val="00591F4C"/>
    <w:rsid w:val="00592CFF"/>
    <w:rsid w:val="00592DB9"/>
    <w:rsid w:val="005935DA"/>
    <w:rsid w:val="0059403E"/>
    <w:rsid w:val="0059423B"/>
    <w:rsid w:val="0059428A"/>
    <w:rsid w:val="0059458E"/>
    <w:rsid w:val="00594A2D"/>
    <w:rsid w:val="00595485"/>
    <w:rsid w:val="005955A1"/>
    <w:rsid w:val="00595EDE"/>
    <w:rsid w:val="00596761"/>
    <w:rsid w:val="00596EF1"/>
    <w:rsid w:val="005A08CC"/>
    <w:rsid w:val="005A0C5E"/>
    <w:rsid w:val="005A230E"/>
    <w:rsid w:val="005A2623"/>
    <w:rsid w:val="005A3522"/>
    <w:rsid w:val="005A3A48"/>
    <w:rsid w:val="005A3FEB"/>
    <w:rsid w:val="005A465F"/>
    <w:rsid w:val="005A5298"/>
    <w:rsid w:val="005A6121"/>
    <w:rsid w:val="005A61DD"/>
    <w:rsid w:val="005A7DDA"/>
    <w:rsid w:val="005B0A1A"/>
    <w:rsid w:val="005B190E"/>
    <w:rsid w:val="005B4AD4"/>
    <w:rsid w:val="005B4DB5"/>
    <w:rsid w:val="005B4DB9"/>
    <w:rsid w:val="005B5261"/>
    <w:rsid w:val="005B68BF"/>
    <w:rsid w:val="005B7C65"/>
    <w:rsid w:val="005C09AD"/>
    <w:rsid w:val="005C14B9"/>
    <w:rsid w:val="005C1E3B"/>
    <w:rsid w:val="005C1F33"/>
    <w:rsid w:val="005C201D"/>
    <w:rsid w:val="005C29E1"/>
    <w:rsid w:val="005C2D9C"/>
    <w:rsid w:val="005C3EFD"/>
    <w:rsid w:val="005C4158"/>
    <w:rsid w:val="005C4346"/>
    <w:rsid w:val="005C49EF"/>
    <w:rsid w:val="005C6483"/>
    <w:rsid w:val="005C6D1F"/>
    <w:rsid w:val="005C7450"/>
    <w:rsid w:val="005D0188"/>
    <w:rsid w:val="005D0214"/>
    <w:rsid w:val="005D158B"/>
    <w:rsid w:val="005D2271"/>
    <w:rsid w:val="005D2941"/>
    <w:rsid w:val="005D2F00"/>
    <w:rsid w:val="005D2F31"/>
    <w:rsid w:val="005D30D1"/>
    <w:rsid w:val="005D3CE4"/>
    <w:rsid w:val="005D3D4B"/>
    <w:rsid w:val="005D5C22"/>
    <w:rsid w:val="005D7AC5"/>
    <w:rsid w:val="005E0267"/>
    <w:rsid w:val="005E052F"/>
    <w:rsid w:val="005E08AC"/>
    <w:rsid w:val="005E10B5"/>
    <w:rsid w:val="005E16B4"/>
    <w:rsid w:val="005E1A64"/>
    <w:rsid w:val="005E20CC"/>
    <w:rsid w:val="005E2E9B"/>
    <w:rsid w:val="005E36AA"/>
    <w:rsid w:val="005E4F56"/>
    <w:rsid w:val="005E50F5"/>
    <w:rsid w:val="005E60AA"/>
    <w:rsid w:val="005E65B4"/>
    <w:rsid w:val="005E6E8F"/>
    <w:rsid w:val="005F0253"/>
    <w:rsid w:val="005F05E9"/>
    <w:rsid w:val="005F1530"/>
    <w:rsid w:val="005F1BE1"/>
    <w:rsid w:val="005F1C1E"/>
    <w:rsid w:val="005F2EC6"/>
    <w:rsid w:val="005F4247"/>
    <w:rsid w:val="005F4255"/>
    <w:rsid w:val="005F4BA7"/>
    <w:rsid w:val="005F4C58"/>
    <w:rsid w:val="005F4D76"/>
    <w:rsid w:val="005F4FF0"/>
    <w:rsid w:val="005F5361"/>
    <w:rsid w:val="005F6826"/>
    <w:rsid w:val="005F6E52"/>
    <w:rsid w:val="005F6E94"/>
    <w:rsid w:val="005F7E04"/>
    <w:rsid w:val="00600563"/>
    <w:rsid w:val="00600A18"/>
    <w:rsid w:val="00601671"/>
    <w:rsid w:val="006018B5"/>
    <w:rsid w:val="00601C6C"/>
    <w:rsid w:val="00601F21"/>
    <w:rsid w:val="006030F3"/>
    <w:rsid w:val="006032A1"/>
    <w:rsid w:val="00603FB4"/>
    <w:rsid w:val="00605186"/>
    <w:rsid w:val="00605D67"/>
    <w:rsid w:val="00605E7B"/>
    <w:rsid w:val="0060633A"/>
    <w:rsid w:val="0060658C"/>
    <w:rsid w:val="00606A09"/>
    <w:rsid w:val="00607097"/>
    <w:rsid w:val="00607B80"/>
    <w:rsid w:val="00610133"/>
    <w:rsid w:val="006102DB"/>
    <w:rsid w:val="006102EE"/>
    <w:rsid w:val="00610A2C"/>
    <w:rsid w:val="006111EA"/>
    <w:rsid w:val="00612F57"/>
    <w:rsid w:val="00612F79"/>
    <w:rsid w:val="00613D85"/>
    <w:rsid w:val="00613F9E"/>
    <w:rsid w:val="00614276"/>
    <w:rsid w:val="00614C93"/>
    <w:rsid w:val="00616909"/>
    <w:rsid w:val="00616940"/>
    <w:rsid w:val="00616F3B"/>
    <w:rsid w:val="0062124A"/>
    <w:rsid w:val="00622A55"/>
    <w:rsid w:val="00623603"/>
    <w:rsid w:val="00623741"/>
    <w:rsid w:val="00623876"/>
    <w:rsid w:val="00623890"/>
    <w:rsid w:val="006238CB"/>
    <w:rsid w:val="00625882"/>
    <w:rsid w:val="00626AC6"/>
    <w:rsid w:val="006279F1"/>
    <w:rsid w:val="00630445"/>
    <w:rsid w:val="00630F9E"/>
    <w:rsid w:val="00631744"/>
    <w:rsid w:val="00631D60"/>
    <w:rsid w:val="00632AE5"/>
    <w:rsid w:val="00633C84"/>
    <w:rsid w:val="00634A61"/>
    <w:rsid w:val="006352EC"/>
    <w:rsid w:val="00635B1A"/>
    <w:rsid w:val="006369D8"/>
    <w:rsid w:val="00636B2E"/>
    <w:rsid w:val="00636F26"/>
    <w:rsid w:val="00637D63"/>
    <w:rsid w:val="00637F33"/>
    <w:rsid w:val="006423DA"/>
    <w:rsid w:val="006424DA"/>
    <w:rsid w:val="00642EE3"/>
    <w:rsid w:val="0064330B"/>
    <w:rsid w:val="0064364F"/>
    <w:rsid w:val="00644D9D"/>
    <w:rsid w:val="00644DFB"/>
    <w:rsid w:val="00646653"/>
    <w:rsid w:val="00646780"/>
    <w:rsid w:val="00647BE9"/>
    <w:rsid w:val="00647D93"/>
    <w:rsid w:val="0065224A"/>
    <w:rsid w:val="006523FA"/>
    <w:rsid w:val="00652EA4"/>
    <w:rsid w:val="006531BB"/>
    <w:rsid w:val="00653519"/>
    <w:rsid w:val="00654059"/>
    <w:rsid w:val="00655DAE"/>
    <w:rsid w:val="006560A1"/>
    <w:rsid w:val="006562F3"/>
    <w:rsid w:val="006564CA"/>
    <w:rsid w:val="0065715A"/>
    <w:rsid w:val="006603F0"/>
    <w:rsid w:val="006605E9"/>
    <w:rsid w:val="00661213"/>
    <w:rsid w:val="0066314B"/>
    <w:rsid w:val="006635C1"/>
    <w:rsid w:val="006636AB"/>
    <w:rsid w:val="0066585E"/>
    <w:rsid w:val="00665D17"/>
    <w:rsid w:val="00666A07"/>
    <w:rsid w:val="00666DB2"/>
    <w:rsid w:val="00667579"/>
    <w:rsid w:val="00670BC9"/>
    <w:rsid w:val="00670D5C"/>
    <w:rsid w:val="00671851"/>
    <w:rsid w:val="00671B08"/>
    <w:rsid w:val="006722DA"/>
    <w:rsid w:val="00673EEA"/>
    <w:rsid w:val="00674DE9"/>
    <w:rsid w:val="00676260"/>
    <w:rsid w:val="006762E9"/>
    <w:rsid w:val="00677493"/>
    <w:rsid w:val="00677B17"/>
    <w:rsid w:val="0068007E"/>
    <w:rsid w:val="00681D14"/>
    <w:rsid w:val="00682A9E"/>
    <w:rsid w:val="00682DE9"/>
    <w:rsid w:val="0068343A"/>
    <w:rsid w:val="00685417"/>
    <w:rsid w:val="006862B5"/>
    <w:rsid w:val="00686BC4"/>
    <w:rsid w:val="00686C24"/>
    <w:rsid w:val="00687A11"/>
    <w:rsid w:val="006911F8"/>
    <w:rsid w:val="006927CD"/>
    <w:rsid w:val="006928EF"/>
    <w:rsid w:val="006939B3"/>
    <w:rsid w:val="00693FB3"/>
    <w:rsid w:val="0069565C"/>
    <w:rsid w:val="0069594B"/>
    <w:rsid w:val="00695BA1"/>
    <w:rsid w:val="00696594"/>
    <w:rsid w:val="006965EB"/>
    <w:rsid w:val="00696702"/>
    <w:rsid w:val="00696A37"/>
    <w:rsid w:val="00697ACC"/>
    <w:rsid w:val="00697C72"/>
    <w:rsid w:val="00697E97"/>
    <w:rsid w:val="006A00A5"/>
    <w:rsid w:val="006A11B3"/>
    <w:rsid w:val="006A19DC"/>
    <w:rsid w:val="006A1A3D"/>
    <w:rsid w:val="006A3645"/>
    <w:rsid w:val="006A49BA"/>
    <w:rsid w:val="006A5099"/>
    <w:rsid w:val="006A714D"/>
    <w:rsid w:val="006A7FA0"/>
    <w:rsid w:val="006B0B30"/>
    <w:rsid w:val="006B0EF8"/>
    <w:rsid w:val="006B1268"/>
    <w:rsid w:val="006B1DC1"/>
    <w:rsid w:val="006B328D"/>
    <w:rsid w:val="006B3301"/>
    <w:rsid w:val="006B3FAD"/>
    <w:rsid w:val="006B4108"/>
    <w:rsid w:val="006B4E54"/>
    <w:rsid w:val="006B5645"/>
    <w:rsid w:val="006B5725"/>
    <w:rsid w:val="006B63D4"/>
    <w:rsid w:val="006B792D"/>
    <w:rsid w:val="006B79C4"/>
    <w:rsid w:val="006B7EEB"/>
    <w:rsid w:val="006C1BBB"/>
    <w:rsid w:val="006C1D10"/>
    <w:rsid w:val="006C3C6E"/>
    <w:rsid w:val="006C5DF4"/>
    <w:rsid w:val="006C6709"/>
    <w:rsid w:val="006C6A0F"/>
    <w:rsid w:val="006C6B55"/>
    <w:rsid w:val="006C70B3"/>
    <w:rsid w:val="006C7B2A"/>
    <w:rsid w:val="006D07F2"/>
    <w:rsid w:val="006D22A3"/>
    <w:rsid w:val="006D26B7"/>
    <w:rsid w:val="006D419E"/>
    <w:rsid w:val="006D48CD"/>
    <w:rsid w:val="006D4C2F"/>
    <w:rsid w:val="006D4CB9"/>
    <w:rsid w:val="006D5154"/>
    <w:rsid w:val="006D572F"/>
    <w:rsid w:val="006D5C71"/>
    <w:rsid w:val="006D6544"/>
    <w:rsid w:val="006D65B3"/>
    <w:rsid w:val="006D785C"/>
    <w:rsid w:val="006D7D7B"/>
    <w:rsid w:val="006E012A"/>
    <w:rsid w:val="006E210D"/>
    <w:rsid w:val="006E2DFA"/>
    <w:rsid w:val="006E32F4"/>
    <w:rsid w:val="006E3320"/>
    <w:rsid w:val="006E3456"/>
    <w:rsid w:val="006E3FCC"/>
    <w:rsid w:val="006E4FAB"/>
    <w:rsid w:val="006E4FB2"/>
    <w:rsid w:val="006E589D"/>
    <w:rsid w:val="006E6419"/>
    <w:rsid w:val="006E7374"/>
    <w:rsid w:val="006E78BF"/>
    <w:rsid w:val="006E794D"/>
    <w:rsid w:val="006E7FA3"/>
    <w:rsid w:val="006F1C7B"/>
    <w:rsid w:val="006F1F5C"/>
    <w:rsid w:val="006F4AC0"/>
    <w:rsid w:val="006F4F1F"/>
    <w:rsid w:val="006F5A63"/>
    <w:rsid w:val="006F6327"/>
    <w:rsid w:val="006F6C56"/>
    <w:rsid w:val="006F784A"/>
    <w:rsid w:val="0070054C"/>
    <w:rsid w:val="007010C1"/>
    <w:rsid w:val="00701567"/>
    <w:rsid w:val="007015A6"/>
    <w:rsid w:val="00702715"/>
    <w:rsid w:val="007029CE"/>
    <w:rsid w:val="00702C86"/>
    <w:rsid w:val="0070351A"/>
    <w:rsid w:val="00704BE4"/>
    <w:rsid w:val="0070557C"/>
    <w:rsid w:val="00705824"/>
    <w:rsid w:val="00705D31"/>
    <w:rsid w:val="00707245"/>
    <w:rsid w:val="00710297"/>
    <w:rsid w:val="00711856"/>
    <w:rsid w:val="00711B60"/>
    <w:rsid w:val="007125E6"/>
    <w:rsid w:val="0071283E"/>
    <w:rsid w:val="00712A34"/>
    <w:rsid w:val="00712ED2"/>
    <w:rsid w:val="0071329C"/>
    <w:rsid w:val="007139EF"/>
    <w:rsid w:val="00714685"/>
    <w:rsid w:val="00714BA6"/>
    <w:rsid w:val="00715A27"/>
    <w:rsid w:val="00716285"/>
    <w:rsid w:val="00716B89"/>
    <w:rsid w:val="00716FB9"/>
    <w:rsid w:val="0071764D"/>
    <w:rsid w:val="00717741"/>
    <w:rsid w:val="00717D96"/>
    <w:rsid w:val="007215A8"/>
    <w:rsid w:val="00723A39"/>
    <w:rsid w:val="00725B3A"/>
    <w:rsid w:val="007263E0"/>
    <w:rsid w:val="00726BFE"/>
    <w:rsid w:val="00726DA5"/>
    <w:rsid w:val="00727546"/>
    <w:rsid w:val="00727D93"/>
    <w:rsid w:val="00727E10"/>
    <w:rsid w:val="00730074"/>
    <w:rsid w:val="00731857"/>
    <w:rsid w:val="007330C6"/>
    <w:rsid w:val="00733132"/>
    <w:rsid w:val="00733909"/>
    <w:rsid w:val="00735052"/>
    <w:rsid w:val="00736218"/>
    <w:rsid w:val="007367C6"/>
    <w:rsid w:val="00736FCE"/>
    <w:rsid w:val="00737BC5"/>
    <w:rsid w:val="0074107C"/>
    <w:rsid w:val="007412AA"/>
    <w:rsid w:val="00741606"/>
    <w:rsid w:val="00741B08"/>
    <w:rsid w:val="00741EB0"/>
    <w:rsid w:val="007428E0"/>
    <w:rsid w:val="00742DD8"/>
    <w:rsid w:val="00744470"/>
    <w:rsid w:val="0075020B"/>
    <w:rsid w:val="00751359"/>
    <w:rsid w:val="007513DA"/>
    <w:rsid w:val="0075146B"/>
    <w:rsid w:val="00753451"/>
    <w:rsid w:val="007545D4"/>
    <w:rsid w:val="00756AE9"/>
    <w:rsid w:val="00757EA4"/>
    <w:rsid w:val="007603EA"/>
    <w:rsid w:val="00760515"/>
    <w:rsid w:val="007614DF"/>
    <w:rsid w:val="00762589"/>
    <w:rsid w:val="00762AA7"/>
    <w:rsid w:val="00762BDB"/>
    <w:rsid w:val="0076352E"/>
    <w:rsid w:val="00765C10"/>
    <w:rsid w:val="00766B4D"/>
    <w:rsid w:val="0077163D"/>
    <w:rsid w:val="00772E2B"/>
    <w:rsid w:val="00774C74"/>
    <w:rsid w:val="0077549A"/>
    <w:rsid w:val="00776B18"/>
    <w:rsid w:val="0077717F"/>
    <w:rsid w:val="007806A2"/>
    <w:rsid w:val="007810A9"/>
    <w:rsid w:val="00781296"/>
    <w:rsid w:val="00781978"/>
    <w:rsid w:val="00781C4B"/>
    <w:rsid w:val="00782720"/>
    <w:rsid w:val="00782894"/>
    <w:rsid w:val="007838D2"/>
    <w:rsid w:val="00783D93"/>
    <w:rsid w:val="00784525"/>
    <w:rsid w:val="00784819"/>
    <w:rsid w:val="00784C65"/>
    <w:rsid w:val="00785674"/>
    <w:rsid w:val="00785791"/>
    <w:rsid w:val="0079302B"/>
    <w:rsid w:val="007932B2"/>
    <w:rsid w:val="0079351C"/>
    <w:rsid w:val="00795C4A"/>
    <w:rsid w:val="00795C65"/>
    <w:rsid w:val="00796226"/>
    <w:rsid w:val="00797B13"/>
    <w:rsid w:val="007A0A29"/>
    <w:rsid w:val="007A1087"/>
    <w:rsid w:val="007A1516"/>
    <w:rsid w:val="007A18A9"/>
    <w:rsid w:val="007A1DAA"/>
    <w:rsid w:val="007A251D"/>
    <w:rsid w:val="007A2835"/>
    <w:rsid w:val="007A3871"/>
    <w:rsid w:val="007A4033"/>
    <w:rsid w:val="007A4AAE"/>
    <w:rsid w:val="007A633E"/>
    <w:rsid w:val="007A750F"/>
    <w:rsid w:val="007A76F4"/>
    <w:rsid w:val="007B01B7"/>
    <w:rsid w:val="007B0468"/>
    <w:rsid w:val="007B0C73"/>
    <w:rsid w:val="007B1E90"/>
    <w:rsid w:val="007B36BA"/>
    <w:rsid w:val="007B3974"/>
    <w:rsid w:val="007B43A2"/>
    <w:rsid w:val="007B4E34"/>
    <w:rsid w:val="007B4F42"/>
    <w:rsid w:val="007B5E4C"/>
    <w:rsid w:val="007B7D36"/>
    <w:rsid w:val="007C0CCE"/>
    <w:rsid w:val="007C18EA"/>
    <w:rsid w:val="007C1951"/>
    <w:rsid w:val="007C2157"/>
    <w:rsid w:val="007C2660"/>
    <w:rsid w:val="007C2818"/>
    <w:rsid w:val="007C2F36"/>
    <w:rsid w:val="007C350D"/>
    <w:rsid w:val="007C54ED"/>
    <w:rsid w:val="007C5DFD"/>
    <w:rsid w:val="007C6A74"/>
    <w:rsid w:val="007C7A56"/>
    <w:rsid w:val="007D136A"/>
    <w:rsid w:val="007D2627"/>
    <w:rsid w:val="007D4370"/>
    <w:rsid w:val="007D4E84"/>
    <w:rsid w:val="007D5798"/>
    <w:rsid w:val="007D6B77"/>
    <w:rsid w:val="007D74A8"/>
    <w:rsid w:val="007D7B70"/>
    <w:rsid w:val="007E0534"/>
    <w:rsid w:val="007E085B"/>
    <w:rsid w:val="007E1CC1"/>
    <w:rsid w:val="007E2BCC"/>
    <w:rsid w:val="007E2C7C"/>
    <w:rsid w:val="007E3047"/>
    <w:rsid w:val="007E4A87"/>
    <w:rsid w:val="007E5A33"/>
    <w:rsid w:val="007E6B41"/>
    <w:rsid w:val="007E6DF1"/>
    <w:rsid w:val="007E7582"/>
    <w:rsid w:val="007E792E"/>
    <w:rsid w:val="007F10F0"/>
    <w:rsid w:val="007F29CF"/>
    <w:rsid w:val="007F4575"/>
    <w:rsid w:val="007F6E99"/>
    <w:rsid w:val="007F7231"/>
    <w:rsid w:val="007F7D5C"/>
    <w:rsid w:val="00801329"/>
    <w:rsid w:val="008017E9"/>
    <w:rsid w:val="008024B9"/>
    <w:rsid w:val="00802671"/>
    <w:rsid w:val="00802CFC"/>
    <w:rsid w:val="00802E3C"/>
    <w:rsid w:val="00803EAA"/>
    <w:rsid w:val="00803F8E"/>
    <w:rsid w:val="00804036"/>
    <w:rsid w:val="0080418D"/>
    <w:rsid w:val="0080473D"/>
    <w:rsid w:val="008050EC"/>
    <w:rsid w:val="008061F7"/>
    <w:rsid w:val="00806D46"/>
    <w:rsid w:val="00807628"/>
    <w:rsid w:val="00807C21"/>
    <w:rsid w:val="0081084D"/>
    <w:rsid w:val="008117B5"/>
    <w:rsid w:val="00812029"/>
    <w:rsid w:val="008121A5"/>
    <w:rsid w:val="00812CE6"/>
    <w:rsid w:val="00813856"/>
    <w:rsid w:val="00815178"/>
    <w:rsid w:val="0081549D"/>
    <w:rsid w:val="0081566B"/>
    <w:rsid w:val="008157CF"/>
    <w:rsid w:val="00815882"/>
    <w:rsid w:val="008162AB"/>
    <w:rsid w:val="00816775"/>
    <w:rsid w:val="008170BD"/>
    <w:rsid w:val="00817632"/>
    <w:rsid w:val="008179F9"/>
    <w:rsid w:val="00817C09"/>
    <w:rsid w:val="00817F76"/>
    <w:rsid w:val="00822820"/>
    <w:rsid w:val="00823440"/>
    <w:rsid w:val="00823EA1"/>
    <w:rsid w:val="00823F9A"/>
    <w:rsid w:val="0082429F"/>
    <w:rsid w:val="008252DA"/>
    <w:rsid w:val="008264A2"/>
    <w:rsid w:val="0082732E"/>
    <w:rsid w:val="00830113"/>
    <w:rsid w:val="008307B7"/>
    <w:rsid w:val="00830BEB"/>
    <w:rsid w:val="00830FDD"/>
    <w:rsid w:val="008313F3"/>
    <w:rsid w:val="00831AD7"/>
    <w:rsid w:val="00831DE1"/>
    <w:rsid w:val="00831EB5"/>
    <w:rsid w:val="0083328C"/>
    <w:rsid w:val="00833768"/>
    <w:rsid w:val="008339DD"/>
    <w:rsid w:val="00833AE0"/>
    <w:rsid w:val="00836195"/>
    <w:rsid w:val="00836CA6"/>
    <w:rsid w:val="00836E24"/>
    <w:rsid w:val="00836FEC"/>
    <w:rsid w:val="00837AEA"/>
    <w:rsid w:val="00840AFA"/>
    <w:rsid w:val="008412E0"/>
    <w:rsid w:val="00842690"/>
    <w:rsid w:val="008432EA"/>
    <w:rsid w:val="00843381"/>
    <w:rsid w:val="008434CB"/>
    <w:rsid w:val="00844BBD"/>
    <w:rsid w:val="00844BF4"/>
    <w:rsid w:val="008479DE"/>
    <w:rsid w:val="00850565"/>
    <w:rsid w:val="008523EA"/>
    <w:rsid w:val="0085347B"/>
    <w:rsid w:val="00853FFC"/>
    <w:rsid w:val="00854D61"/>
    <w:rsid w:val="00854F8C"/>
    <w:rsid w:val="008553A2"/>
    <w:rsid w:val="00856121"/>
    <w:rsid w:val="008561FF"/>
    <w:rsid w:val="008568B5"/>
    <w:rsid w:val="008569F2"/>
    <w:rsid w:val="008573F2"/>
    <w:rsid w:val="008575CA"/>
    <w:rsid w:val="00857F15"/>
    <w:rsid w:val="00860B55"/>
    <w:rsid w:val="008611B2"/>
    <w:rsid w:val="008617DA"/>
    <w:rsid w:val="008619D2"/>
    <w:rsid w:val="008628E2"/>
    <w:rsid w:val="008631E7"/>
    <w:rsid w:val="0086496A"/>
    <w:rsid w:val="00864A6A"/>
    <w:rsid w:val="00865A2B"/>
    <w:rsid w:val="008707E2"/>
    <w:rsid w:val="00870890"/>
    <w:rsid w:val="00871553"/>
    <w:rsid w:val="00872686"/>
    <w:rsid w:val="008727E8"/>
    <w:rsid w:val="0087298B"/>
    <w:rsid w:val="00872B14"/>
    <w:rsid w:val="00872BC9"/>
    <w:rsid w:val="00872CE5"/>
    <w:rsid w:val="00872E53"/>
    <w:rsid w:val="00872E56"/>
    <w:rsid w:val="008739EB"/>
    <w:rsid w:val="00875A74"/>
    <w:rsid w:val="00876AC7"/>
    <w:rsid w:val="008775F0"/>
    <w:rsid w:val="00880EA9"/>
    <w:rsid w:val="008812B4"/>
    <w:rsid w:val="0088196E"/>
    <w:rsid w:val="00881ADD"/>
    <w:rsid w:val="00881D98"/>
    <w:rsid w:val="00882491"/>
    <w:rsid w:val="0088301F"/>
    <w:rsid w:val="00883694"/>
    <w:rsid w:val="00883794"/>
    <w:rsid w:val="008839EE"/>
    <w:rsid w:val="00883DAC"/>
    <w:rsid w:val="0088436C"/>
    <w:rsid w:val="00885805"/>
    <w:rsid w:val="008860A3"/>
    <w:rsid w:val="008902DC"/>
    <w:rsid w:val="008903D9"/>
    <w:rsid w:val="008903F9"/>
    <w:rsid w:val="0089054B"/>
    <w:rsid w:val="00891BB7"/>
    <w:rsid w:val="00892010"/>
    <w:rsid w:val="00893403"/>
    <w:rsid w:val="00894630"/>
    <w:rsid w:val="00894A6C"/>
    <w:rsid w:val="008954CE"/>
    <w:rsid w:val="00895B73"/>
    <w:rsid w:val="00896FAA"/>
    <w:rsid w:val="00897516"/>
    <w:rsid w:val="008A000F"/>
    <w:rsid w:val="008A0A97"/>
    <w:rsid w:val="008A1039"/>
    <w:rsid w:val="008A1171"/>
    <w:rsid w:val="008A18E9"/>
    <w:rsid w:val="008A1C0F"/>
    <w:rsid w:val="008A1CBE"/>
    <w:rsid w:val="008A1CDD"/>
    <w:rsid w:val="008A2F86"/>
    <w:rsid w:val="008A41CE"/>
    <w:rsid w:val="008A5E80"/>
    <w:rsid w:val="008A5F32"/>
    <w:rsid w:val="008A5F73"/>
    <w:rsid w:val="008A6D69"/>
    <w:rsid w:val="008B0C03"/>
    <w:rsid w:val="008B34D0"/>
    <w:rsid w:val="008B42C8"/>
    <w:rsid w:val="008B4B12"/>
    <w:rsid w:val="008B5164"/>
    <w:rsid w:val="008B68CE"/>
    <w:rsid w:val="008B79A5"/>
    <w:rsid w:val="008C02CB"/>
    <w:rsid w:val="008C1028"/>
    <w:rsid w:val="008C1186"/>
    <w:rsid w:val="008C2201"/>
    <w:rsid w:val="008C2478"/>
    <w:rsid w:val="008C33D5"/>
    <w:rsid w:val="008C3DCE"/>
    <w:rsid w:val="008C3E3D"/>
    <w:rsid w:val="008C5D5D"/>
    <w:rsid w:val="008C5EC9"/>
    <w:rsid w:val="008C6437"/>
    <w:rsid w:val="008C673C"/>
    <w:rsid w:val="008C7A3E"/>
    <w:rsid w:val="008D0270"/>
    <w:rsid w:val="008D0D97"/>
    <w:rsid w:val="008D164D"/>
    <w:rsid w:val="008D3743"/>
    <w:rsid w:val="008D44B9"/>
    <w:rsid w:val="008D4B89"/>
    <w:rsid w:val="008D57C0"/>
    <w:rsid w:val="008D5826"/>
    <w:rsid w:val="008D5D02"/>
    <w:rsid w:val="008E0AFC"/>
    <w:rsid w:val="008E2285"/>
    <w:rsid w:val="008E2576"/>
    <w:rsid w:val="008E39E0"/>
    <w:rsid w:val="008E41EF"/>
    <w:rsid w:val="008E42AC"/>
    <w:rsid w:val="008E47D4"/>
    <w:rsid w:val="008E5D41"/>
    <w:rsid w:val="008E6920"/>
    <w:rsid w:val="008E73BF"/>
    <w:rsid w:val="008E7C7A"/>
    <w:rsid w:val="008F0AA9"/>
    <w:rsid w:val="008F1063"/>
    <w:rsid w:val="008F172E"/>
    <w:rsid w:val="008F2FC2"/>
    <w:rsid w:val="008F34BD"/>
    <w:rsid w:val="008F3848"/>
    <w:rsid w:val="008F5034"/>
    <w:rsid w:val="008F5ADE"/>
    <w:rsid w:val="008F5B19"/>
    <w:rsid w:val="008F604C"/>
    <w:rsid w:val="008F670A"/>
    <w:rsid w:val="008F6D37"/>
    <w:rsid w:val="008F7730"/>
    <w:rsid w:val="008F7CF6"/>
    <w:rsid w:val="008F7DC8"/>
    <w:rsid w:val="0090082B"/>
    <w:rsid w:val="009008B5"/>
    <w:rsid w:val="00901279"/>
    <w:rsid w:val="009015CA"/>
    <w:rsid w:val="0090189F"/>
    <w:rsid w:val="00901F52"/>
    <w:rsid w:val="009021AB"/>
    <w:rsid w:val="0090232A"/>
    <w:rsid w:val="009023ED"/>
    <w:rsid w:val="00905C5E"/>
    <w:rsid w:val="009067B3"/>
    <w:rsid w:val="00906866"/>
    <w:rsid w:val="00907272"/>
    <w:rsid w:val="0090737C"/>
    <w:rsid w:val="00907646"/>
    <w:rsid w:val="00907B30"/>
    <w:rsid w:val="009101C5"/>
    <w:rsid w:val="00910DFE"/>
    <w:rsid w:val="00910F25"/>
    <w:rsid w:val="00911207"/>
    <w:rsid w:val="00911A38"/>
    <w:rsid w:val="00912FF4"/>
    <w:rsid w:val="009141E5"/>
    <w:rsid w:val="00915763"/>
    <w:rsid w:val="00915B55"/>
    <w:rsid w:val="0091612A"/>
    <w:rsid w:val="009169E6"/>
    <w:rsid w:val="00916D6C"/>
    <w:rsid w:val="00917BE6"/>
    <w:rsid w:val="00917D3C"/>
    <w:rsid w:val="00920164"/>
    <w:rsid w:val="00920E0C"/>
    <w:rsid w:val="00921379"/>
    <w:rsid w:val="00921F88"/>
    <w:rsid w:val="0092446A"/>
    <w:rsid w:val="009247A3"/>
    <w:rsid w:val="009252E4"/>
    <w:rsid w:val="00925BD0"/>
    <w:rsid w:val="00926557"/>
    <w:rsid w:val="0092662A"/>
    <w:rsid w:val="00927746"/>
    <w:rsid w:val="009277A8"/>
    <w:rsid w:val="0093011B"/>
    <w:rsid w:val="00930BBB"/>
    <w:rsid w:val="00930D23"/>
    <w:rsid w:val="00930DDF"/>
    <w:rsid w:val="00930E3D"/>
    <w:rsid w:val="00931284"/>
    <w:rsid w:val="009317BC"/>
    <w:rsid w:val="00932A6C"/>
    <w:rsid w:val="00933094"/>
    <w:rsid w:val="00934562"/>
    <w:rsid w:val="00935499"/>
    <w:rsid w:val="00935790"/>
    <w:rsid w:val="00936855"/>
    <w:rsid w:val="00937DCD"/>
    <w:rsid w:val="009402B2"/>
    <w:rsid w:val="00940A3B"/>
    <w:rsid w:val="00941551"/>
    <w:rsid w:val="00943212"/>
    <w:rsid w:val="00943309"/>
    <w:rsid w:val="009435AD"/>
    <w:rsid w:val="0094431D"/>
    <w:rsid w:val="00944947"/>
    <w:rsid w:val="00945131"/>
    <w:rsid w:val="00945173"/>
    <w:rsid w:val="009454DB"/>
    <w:rsid w:val="009455F3"/>
    <w:rsid w:val="009456AB"/>
    <w:rsid w:val="0094573F"/>
    <w:rsid w:val="00945D7E"/>
    <w:rsid w:val="00946E27"/>
    <w:rsid w:val="00947F3A"/>
    <w:rsid w:val="00950E9A"/>
    <w:rsid w:val="00954215"/>
    <w:rsid w:val="00954452"/>
    <w:rsid w:val="00954EC1"/>
    <w:rsid w:val="0095509B"/>
    <w:rsid w:val="00955C6A"/>
    <w:rsid w:val="009564AB"/>
    <w:rsid w:val="009569D4"/>
    <w:rsid w:val="00956F84"/>
    <w:rsid w:val="009570BA"/>
    <w:rsid w:val="00957247"/>
    <w:rsid w:val="00957B12"/>
    <w:rsid w:val="00961767"/>
    <w:rsid w:val="0096189E"/>
    <w:rsid w:val="00962150"/>
    <w:rsid w:val="009624B5"/>
    <w:rsid w:val="00962841"/>
    <w:rsid w:val="00962BDF"/>
    <w:rsid w:val="00963883"/>
    <w:rsid w:val="00964571"/>
    <w:rsid w:val="00964B47"/>
    <w:rsid w:val="0097018B"/>
    <w:rsid w:val="009706BE"/>
    <w:rsid w:val="009718B7"/>
    <w:rsid w:val="00971AA7"/>
    <w:rsid w:val="00972029"/>
    <w:rsid w:val="00972247"/>
    <w:rsid w:val="009722A4"/>
    <w:rsid w:val="00972D41"/>
    <w:rsid w:val="00975795"/>
    <w:rsid w:val="009765E6"/>
    <w:rsid w:val="00976FD7"/>
    <w:rsid w:val="009772A4"/>
    <w:rsid w:val="00977349"/>
    <w:rsid w:val="00980E0C"/>
    <w:rsid w:val="00980F93"/>
    <w:rsid w:val="0098146B"/>
    <w:rsid w:val="00981C96"/>
    <w:rsid w:val="009824A3"/>
    <w:rsid w:val="00983534"/>
    <w:rsid w:val="009848A1"/>
    <w:rsid w:val="00986419"/>
    <w:rsid w:val="00986D9A"/>
    <w:rsid w:val="00986DBC"/>
    <w:rsid w:val="009902BF"/>
    <w:rsid w:val="009903F9"/>
    <w:rsid w:val="00990B1F"/>
    <w:rsid w:val="00990BC6"/>
    <w:rsid w:val="00990C5C"/>
    <w:rsid w:val="00990DEA"/>
    <w:rsid w:val="0099212F"/>
    <w:rsid w:val="009929C0"/>
    <w:rsid w:val="00996DCB"/>
    <w:rsid w:val="009972CD"/>
    <w:rsid w:val="009975B8"/>
    <w:rsid w:val="00997B1B"/>
    <w:rsid w:val="00997E62"/>
    <w:rsid w:val="009A0021"/>
    <w:rsid w:val="009A23AC"/>
    <w:rsid w:val="009A2F51"/>
    <w:rsid w:val="009A3E81"/>
    <w:rsid w:val="009A44BE"/>
    <w:rsid w:val="009A4690"/>
    <w:rsid w:val="009A52A9"/>
    <w:rsid w:val="009A53A9"/>
    <w:rsid w:val="009A56CC"/>
    <w:rsid w:val="009A645C"/>
    <w:rsid w:val="009B12E7"/>
    <w:rsid w:val="009B16B0"/>
    <w:rsid w:val="009B1DD0"/>
    <w:rsid w:val="009B2691"/>
    <w:rsid w:val="009B2B46"/>
    <w:rsid w:val="009B2CDC"/>
    <w:rsid w:val="009B2EBB"/>
    <w:rsid w:val="009B35AB"/>
    <w:rsid w:val="009B4B7D"/>
    <w:rsid w:val="009B61B2"/>
    <w:rsid w:val="009C0243"/>
    <w:rsid w:val="009C0BFC"/>
    <w:rsid w:val="009C1096"/>
    <w:rsid w:val="009C2BAA"/>
    <w:rsid w:val="009C4428"/>
    <w:rsid w:val="009C46D3"/>
    <w:rsid w:val="009C4A06"/>
    <w:rsid w:val="009C52DC"/>
    <w:rsid w:val="009C6487"/>
    <w:rsid w:val="009C649B"/>
    <w:rsid w:val="009C6927"/>
    <w:rsid w:val="009D02E8"/>
    <w:rsid w:val="009D08C9"/>
    <w:rsid w:val="009D135D"/>
    <w:rsid w:val="009D1881"/>
    <w:rsid w:val="009D386B"/>
    <w:rsid w:val="009D3F46"/>
    <w:rsid w:val="009D4698"/>
    <w:rsid w:val="009D4A22"/>
    <w:rsid w:val="009D7873"/>
    <w:rsid w:val="009D7B33"/>
    <w:rsid w:val="009D7BA8"/>
    <w:rsid w:val="009E0472"/>
    <w:rsid w:val="009E0C1E"/>
    <w:rsid w:val="009E10F2"/>
    <w:rsid w:val="009E222E"/>
    <w:rsid w:val="009E255D"/>
    <w:rsid w:val="009E264C"/>
    <w:rsid w:val="009E2810"/>
    <w:rsid w:val="009E2D6C"/>
    <w:rsid w:val="009E2F27"/>
    <w:rsid w:val="009E30AF"/>
    <w:rsid w:val="009E42EF"/>
    <w:rsid w:val="009E434D"/>
    <w:rsid w:val="009E4B35"/>
    <w:rsid w:val="009E56DC"/>
    <w:rsid w:val="009E5735"/>
    <w:rsid w:val="009E5B87"/>
    <w:rsid w:val="009E5C90"/>
    <w:rsid w:val="009F0005"/>
    <w:rsid w:val="009F0601"/>
    <w:rsid w:val="009F0869"/>
    <w:rsid w:val="009F228B"/>
    <w:rsid w:val="009F5BAD"/>
    <w:rsid w:val="009F5D6C"/>
    <w:rsid w:val="009F6C98"/>
    <w:rsid w:val="009F6F9C"/>
    <w:rsid w:val="009F7A8E"/>
    <w:rsid w:val="00A02297"/>
    <w:rsid w:val="00A024CD"/>
    <w:rsid w:val="00A027C0"/>
    <w:rsid w:val="00A03E48"/>
    <w:rsid w:val="00A03F8B"/>
    <w:rsid w:val="00A04F2B"/>
    <w:rsid w:val="00A05199"/>
    <w:rsid w:val="00A0692C"/>
    <w:rsid w:val="00A06B80"/>
    <w:rsid w:val="00A11A0D"/>
    <w:rsid w:val="00A11A34"/>
    <w:rsid w:val="00A12095"/>
    <w:rsid w:val="00A12B7D"/>
    <w:rsid w:val="00A130DA"/>
    <w:rsid w:val="00A13419"/>
    <w:rsid w:val="00A1607E"/>
    <w:rsid w:val="00A162FE"/>
    <w:rsid w:val="00A1784E"/>
    <w:rsid w:val="00A21594"/>
    <w:rsid w:val="00A21A1E"/>
    <w:rsid w:val="00A21E79"/>
    <w:rsid w:val="00A224DD"/>
    <w:rsid w:val="00A2256F"/>
    <w:rsid w:val="00A2266E"/>
    <w:rsid w:val="00A22CA3"/>
    <w:rsid w:val="00A22D32"/>
    <w:rsid w:val="00A22D40"/>
    <w:rsid w:val="00A23322"/>
    <w:rsid w:val="00A235D7"/>
    <w:rsid w:val="00A23713"/>
    <w:rsid w:val="00A256A4"/>
    <w:rsid w:val="00A25EB8"/>
    <w:rsid w:val="00A2698F"/>
    <w:rsid w:val="00A26D4B"/>
    <w:rsid w:val="00A271A6"/>
    <w:rsid w:val="00A2783A"/>
    <w:rsid w:val="00A3016F"/>
    <w:rsid w:val="00A308E3"/>
    <w:rsid w:val="00A31913"/>
    <w:rsid w:val="00A32351"/>
    <w:rsid w:val="00A32D60"/>
    <w:rsid w:val="00A32F6C"/>
    <w:rsid w:val="00A331FC"/>
    <w:rsid w:val="00A34182"/>
    <w:rsid w:val="00A350BE"/>
    <w:rsid w:val="00A35644"/>
    <w:rsid w:val="00A36085"/>
    <w:rsid w:val="00A368CF"/>
    <w:rsid w:val="00A3754B"/>
    <w:rsid w:val="00A37F19"/>
    <w:rsid w:val="00A4040C"/>
    <w:rsid w:val="00A40BDD"/>
    <w:rsid w:val="00A412A8"/>
    <w:rsid w:val="00A426E1"/>
    <w:rsid w:val="00A42BEC"/>
    <w:rsid w:val="00A42CA9"/>
    <w:rsid w:val="00A43A8A"/>
    <w:rsid w:val="00A44627"/>
    <w:rsid w:val="00A44DDA"/>
    <w:rsid w:val="00A46002"/>
    <w:rsid w:val="00A464A4"/>
    <w:rsid w:val="00A470E9"/>
    <w:rsid w:val="00A4713A"/>
    <w:rsid w:val="00A473A7"/>
    <w:rsid w:val="00A502D8"/>
    <w:rsid w:val="00A508EA"/>
    <w:rsid w:val="00A509EF"/>
    <w:rsid w:val="00A5132E"/>
    <w:rsid w:val="00A523CC"/>
    <w:rsid w:val="00A5275D"/>
    <w:rsid w:val="00A537DC"/>
    <w:rsid w:val="00A53ECF"/>
    <w:rsid w:val="00A558BD"/>
    <w:rsid w:val="00A55CDC"/>
    <w:rsid w:val="00A55E89"/>
    <w:rsid w:val="00A5700D"/>
    <w:rsid w:val="00A603D5"/>
    <w:rsid w:val="00A61156"/>
    <w:rsid w:val="00A658D8"/>
    <w:rsid w:val="00A65B26"/>
    <w:rsid w:val="00A662BD"/>
    <w:rsid w:val="00A66B1F"/>
    <w:rsid w:val="00A71D0B"/>
    <w:rsid w:val="00A71E96"/>
    <w:rsid w:val="00A73245"/>
    <w:rsid w:val="00A7352B"/>
    <w:rsid w:val="00A735F0"/>
    <w:rsid w:val="00A7363E"/>
    <w:rsid w:val="00A73B66"/>
    <w:rsid w:val="00A740F8"/>
    <w:rsid w:val="00A75428"/>
    <w:rsid w:val="00A75B85"/>
    <w:rsid w:val="00A76899"/>
    <w:rsid w:val="00A7775F"/>
    <w:rsid w:val="00A77FBF"/>
    <w:rsid w:val="00A81A04"/>
    <w:rsid w:val="00A81C8F"/>
    <w:rsid w:val="00A829EF"/>
    <w:rsid w:val="00A83215"/>
    <w:rsid w:val="00A832CC"/>
    <w:rsid w:val="00A8339D"/>
    <w:rsid w:val="00A834F3"/>
    <w:rsid w:val="00A83606"/>
    <w:rsid w:val="00A83CFB"/>
    <w:rsid w:val="00A841A4"/>
    <w:rsid w:val="00A8437E"/>
    <w:rsid w:val="00A854A5"/>
    <w:rsid w:val="00A85952"/>
    <w:rsid w:val="00A8599F"/>
    <w:rsid w:val="00A85A7E"/>
    <w:rsid w:val="00A85BF2"/>
    <w:rsid w:val="00A85D6A"/>
    <w:rsid w:val="00A86A4B"/>
    <w:rsid w:val="00A86C58"/>
    <w:rsid w:val="00A9132C"/>
    <w:rsid w:val="00A915E1"/>
    <w:rsid w:val="00A915EF"/>
    <w:rsid w:val="00A91EED"/>
    <w:rsid w:val="00A92472"/>
    <w:rsid w:val="00A92886"/>
    <w:rsid w:val="00A92A5B"/>
    <w:rsid w:val="00A92D99"/>
    <w:rsid w:val="00A92ED6"/>
    <w:rsid w:val="00A9354B"/>
    <w:rsid w:val="00A93EB7"/>
    <w:rsid w:val="00A9439F"/>
    <w:rsid w:val="00A94C9A"/>
    <w:rsid w:val="00A94E3B"/>
    <w:rsid w:val="00A95771"/>
    <w:rsid w:val="00A977D7"/>
    <w:rsid w:val="00A977ED"/>
    <w:rsid w:val="00A97A06"/>
    <w:rsid w:val="00AA0969"/>
    <w:rsid w:val="00AA184D"/>
    <w:rsid w:val="00AA1BED"/>
    <w:rsid w:val="00AA24B9"/>
    <w:rsid w:val="00AA2BCE"/>
    <w:rsid w:val="00AA4DF9"/>
    <w:rsid w:val="00AA5101"/>
    <w:rsid w:val="00AA5553"/>
    <w:rsid w:val="00AB0D87"/>
    <w:rsid w:val="00AB25BD"/>
    <w:rsid w:val="00AB2828"/>
    <w:rsid w:val="00AB28E9"/>
    <w:rsid w:val="00AB481B"/>
    <w:rsid w:val="00AB5AE6"/>
    <w:rsid w:val="00AC01E5"/>
    <w:rsid w:val="00AC0602"/>
    <w:rsid w:val="00AC0674"/>
    <w:rsid w:val="00AC3B67"/>
    <w:rsid w:val="00AC4142"/>
    <w:rsid w:val="00AC49A3"/>
    <w:rsid w:val="00AC7469"/>
    <w:rsid w:val="00AD0EF2"/>
    <w:rsid w:val="00AD302F"/>
    <w:rsid w:val="00AD3568"/>
    <w:rsid w:val="00AD3FFE"/>
    <w:rsid w:val="00AD4CA2"/>
    <w:rsid w:val="00AD500D"/>
    <w:rsid w:val="00AD60B9"/>
    <w:rsid w:val="00AD6270"/>
    <w:rsid w:val="00AD6FC3"/>
    <w:rsid w:val="00AE033D"/>
    <w:rsid w:val="00AE03D1"/>
    <w:rsid w:val="00AE15D4"/>
    <w:rsid w:val="00AE24B6"/>
    <w:rsid w:val="00AE27F6"/>
    <w:rsid w:val="00AE2FCB"/>
    <w:rsid w:val="00AE4CEA"/>
    <w:rsid w:val="00AE5E86"/>
    <w:rsid w:val="00AE60A2"/>
    <w:rsid w:val="00AF20AD"/>
    <w:rsid w:val="00AF2A5A"/>
    <w:rsid w:val="00AF3F91"/>
    <w:rsid w:val="00AF4382"/>
    <w:rsid w:val="00AF4426"/>
    <w:rsid w:val="00AF5FB5"/>
    <w:rsid w:val="00AF61A8"/>
    <w:rsid w:val="00AF6AC1"/>
    <w:rsid w:val="00AF7159"/>
    <w:rsid w:val="00B004CB"/>
    <w:rsid w:val="00B01CC0"/>
    <w:rsid w:val="00B01D3B"/>
    <w:rsid w:val="00B023F1"/>
    <w:rsid w:val="00B03193"/>
    <w:rsid w:val="00B035CD"/>
    <w:rsid w:val="00B03FA2"/>
    <w:rsid w:val="00B04F35"/>
    <w:rsid w:val="00B05687"/>
    <w:rsid w:val="00B05956"/>
    <w:rsid w:val="00B07194"/>
    <w:rsid w:val="00B0786C"/>
    <w:rsid w:val="00B07B4A"/>
    <w:rsid w:val="00B100A8"/>
    <w:rsid w:val="00B10461"/>
    <w:rsid w:val="00B11379"/>
    <w:rsid w:val="00B11476"/>
    <w:rsid w:val="00B1190A"/>
    <w:rsid w:val="00B13972"/>
    <w:rsid w:val="00B14376"/>
    <w:rsid w:val="00B1514B"/>
    <w:rsid w:val="00B15936"/>
    <w:rsid w:val="00B15BF0"/>
    <w:rsid w:val="00B16445"/>
    <w:rsid w:val="00B16839"/>
    <w:rsid w:val="00B17C25"/>
    <w:rsid w:val="00B205DC"/>
    <w:rsid w:val="00B208C1"/>
    <w:rsid w:val="00B20987"/>
    <w:rsid w:val="00B20FDA"/>
    <w:rsid w:val="00B21AB6"/>
    <w:rsid w:val="00B22CB7"/>
    <w:rsid w:val="00B230BA"/>
    <w:rsid w:val="00B2343B"/>
    <w:rsid w:val="00B24539"/>
    <w:rsid w:val="00B24C1E"/>
    <w:rsid w:val="00B260B0"/>
    <w:rsid w:val="00B27FD6"/>
    <w:rsid w:val="00B303C8"/>
    <w:rsid w:val="00B31462"/>
    <w:rsid w:val="00B31B1F"/>
    <w:rsid w:val="00B31BD7"/>
    <w:rsid w:val="00B33EA1"/>
    <w:rsid w:val="00B34187"/>
    <w:rsid w:val="00B34F9F"/>
    <w:rsid w:val="00B35114"/>
    <w:rsid w:val="00B35245"/>
    <w:rsid w:val="00B35B5F"/>
    <w:rsid w:val="00B36C0D"/>
    <w:rsid w:val="00B415B0"/>
    <w:rsid w:val="00B41985"/>
    <w:rsid w:val="00B4256E"/>
    <w:rsid w:val="00B43EED"/>
    <w:rsid w:val="00B442A1"/>
    <w:rsid w:val="00B44BAF"/>
    <w:rsid w:val="00B44C94"/>
    <w:rsid w:val="00B456E8"/>
    <w:rsid w:val="00B46A09"/>
    <w:rsid w:val="00B474F4"/>
    <w:rsid w:val="00B478F1"/>
    <w:rsid w:val="00B47D08"/>
    <w:rsid w:val="00B502F4"/>
    <w:rsid w:val="00B513AF"/>
    <w:rsid w:val="00B51CB6"/>
    <w:rsid w:val="00B52919"/>
    <w:rsid w:val="00B539D3"/>
    <w:rsid w:val="00B55246"/>
    <w:rsid w:val="00B55F78"/>
    <w:rsid w:val="00B566FF"/>
    <w:rsid w:val="00B56FD8"/>
    <w:rsid w:val="00B60B35"/>
    <w:rsid w:val="00B60C5F"/>
    <w:rsid w:val="00B60F58"/>
    <w:rsid w:val="00B6102A"/>
    <w:rsid w:val="00B614C4"/>
    <w:rsid w:val="00B61ED0"/>
    <w:rsid w:val="00B628F4"/>
    <w:rsid w:val="00B63783"/>
    <w:rsid w:val="00B63997"/>
    <w:rsid w:val="00B64DDC"/>
    <w:rsid w:val="00B64FC4"/>
    <w:rsid w:val="00B65069"/>
    <w:rsid w:val="00B650D0"/>
    <w:rsid w:val="00B6747C"/>
    <w:rsid w:val="00B6786C"/>
    <w:rsid w:val="00B67A00"/>
    <w:rsid w:val="00B705B2"/>
    <w:rsid w:val="00B70D48"/>
    <w:rsid w:val="00B7163B"/>
    <w:rsid w:val="00B71B0D"/>
    <w:rsid w:val="00B72907"/>
    <w:rsid w:val="00B73485"/>
    <w:rsid w:val="00B73FBD"/>
    <w:rsid w:val="00B75349"/>
    <w:rsid w:val="00B75950"/>
    <w:rsid w:val="00B75C59"/>
    <w:rsid w:val="00B75CF7"/>
    <w:rsid w:val="00B775E3"/>
    <w:rsid w:val="00B80CC9"/>
    <w:rsid w:val="00B80EAD"/>
    <w:rsid w:val="00B81192"/>
    <w:rsid w:val="00B8269B"/>
    <w:rsid w:val="00B8298E"/>
    <w:rsid w:val="00B82AB1"/>
    <w:rsid w:val="00B82F51"/>
    <w:rsid w:val="00B84C68"/>
    <w:rsid w:val="00B84D6D"/>
    <w:rsid w:val="00B853F0"/>
    <w:rsid w:val="00B860CA"/>
    <w:rsid w:val="00B87334"/>
    <w:rsid w:val="00B876CC"/>
    <w:rsid w:val="00B90074"/>
    <w:rsid w:val="00B90B86"/>
    <w:rsid w:val="00B9180D"/>
    <w:rsid w:val="00B91EA9"/>
    <w:rsid w:val="00B9287F"/>
    <w:rsid w:val="00B92C52"/>
    <w:rsid w:val="00B92C8D"/>
    <w:rsid w:val="00B92DC6"/>
    <w:rsid w:val="00B932A9"/>
    <w:rsid w:val="00B93A1D"/>
    <w:rsid w:val="00B93DDD"/>
    <w:rsid w:val="00B953BB"/>
    <w:rsid w:val="00B957A4"/>
    <w:rsid w:val="00B95E01"/>
    <w:rsid w:val="00B962D4"/>
    <w:rsid w:val="00B96F42"/>
    <w:rsid w:val="00BA03E5"/>
    <w:rsid w:val="00BA08AD"/>
    <w:rsid w:val="00BA0FBF"/>
    <w:rsid w:val="00BA1007"/>
    <w:rsid w:val="00BA4CCA"/>
    <w:rsid w:val="00BA4D3C"/>
    <w:rsid w:val="00BA513A"/>
    <w:rsid w:val="00BA551D"/>
    <w:rsid w:val="00BA76DE"/>
    <w:rsid w:val="00BB07E0"/>
    <w:rsid w:val="00BB2160"/>
    <w:rsid w:val="00BB2A4B"/>
    <w:rsid w:val="00BB2ADE"/>
    <w:rsid w:val="00BB5079"/>
    <w:rsid w:val="00BB53D3"/>
    <w:rsid w:val="00BB615F"/>
    <w:rsid w:val="00BC144C"/>
    <w:rsid w:val="00BC1957"/>
    <w:rsid w:val="00BC28A7"/>
    <w:rsid w:val="00BC2D35"/>
    <w:rsid w:val="00BC3D05"/>
    <w:rsid w:val="00BC3F1D"/>
    <w:rsid w:val="00BC4C1B"/>
    <w:rsid w:val="00BC5656"/>
    <w:rsid w:val="00BC56F8"/>
    <w:rsid w:val="00BC6172"/>
    <w:rsid w:val="00BC7641"/>
    <w:rsid w:val="00BC7AB8"/>
    <w:rsid w:val="00BD0756"/>
    <w:rsid w:val="00BD1DCA"/>
    <w:rsid w:val="00BD2AAF"/>
    <w:rsid w:val="00BD2B7A"/>
    <w:rsid w:val="00BD3187"/>
    <w:rsid w:val="00BD3E8F"/>
    <w:rsid w:val="00BD52ED"/>
    <w:rsid w:val="00BD5684"/>
    <w:rsid w:val="00BD5784"/>
    <w:rsid w:val="00BD5998"/>
    <w:rsid w:val="00BD6767"/>
    <w:rsid w:val="00BD74F5"/>
    <w:rsid w:val="00BD7A36"/>
    <w:rsid w:val="00BD7B4E"/>
    <w:rsid w:val="00BD7D44"/>
    <w:rsid w:val="00BE02D2"/>
    <w:rsid w:val="00BE16DD"/>
    <w:rsid w:val="00BE1FD8"/>
    <w:rsid w:val="00BE26CD"/>
    <w:rsid w:val="00BE29CF"/>
    <w:rsid w:val="00BE2AF1"/>
    <w:rsid w:val="00BE332B"/>
    <w:rsid w:val="00BE35FD"/>
    <w:rsid w:val="00BE3FBB"/>
    <w:rsid w:val="00BE4839"/>
    <w:rsid w:val="00BE53E4"/>
    <w:rsid w:val="00BE56EC"/>
    <w:rsid w:val="00BE572D"/>
    <w:rsid w:val="00BE5B5C"/>
    <w:rsid w:val="00BE6F37"/>
    <w:rsid w:val="00BF0129"/>
    <w:rsid w:val="00BF0731"/>
    <w:rsid w:val="00BF0751"/>
    <w:rsid w:val="00BF157A"/>
    <w:rsid w:val="00BF15B5"/>
    <w:rsid w:val="00BF1B44"/>
    <w:rsid w:val="00BF2543"/>
    <w:rsid w:val="00BF25FE"/>
    <w:rsid w:val="00BF2FF8"/>
    <w:rsid w:val="00BF3138"/>
    <w:rsid w:val="00BF3B8C"/>
    <w:rsid w:val="00BF49A0"/>
    <w:rsid w:val="00BF4AEF"/>
    <w:rsid w:val="00BF5CC8"/>
    <w:rsid w:val="00BF6241"/>
    <w:rsid w:val="00C00419"/>
    <w:rsid w:val="00C017C1"/>
    <w:rsid w:val="00C01AFD"/>
    <w:rsid w:val="00C01C2B"/>
    <w:rsid w:val="00C02FD4"/>
    <w:rsid w:val="00C041F8"/>
    <w:rsid w:val="00C04B6E"/>
    <w:rsid w:val="00C04E0C"/>
    <w:rsid w:val="00C07340"/>
    <w:rsid w:val="00C10765"/>
    <w:rsid w:val="00C10EAB"/>
    <w:rsid w:val="00C11040"/>
    <w:rsid w:val="00C12078"/>
    <w:rsid w:val="00C12B4F"/>
    <w:rsid w:val="00C12D97"/>
    <w:rsid w:val="00C12EB0"/>
    <w:rsid w:val="00C14299"/>
    <w:rsid w:val="00C145AF"/>
    <w:rsid w:val="00C1498D"/>
    <w:rsid w:val="00C16B89"/>
    <w:rsid w:val="00C17AD3"/>
    <w:rsid w:val="00C2185C"/>
    <w:rsid w:val="00C23C22"/>
    <w:rsid w:val="00C23EF6"/>
    <w:rsid w:val="00C24113"/>
    <w:rsid w:val="00C24BF7"/>
    <w:rsid w:val="00C25423"/>
    <w:rsid w:val="00C26672"/>
    <w:rsid w:val="00C2703F"/>
    <w:rsid w:val="00C2764C"/>
    <w:rsid w:val="00C30143"/>
    <w:rsid w:val="00C3015B"/>
    <w:rsid w:val="00C307E7"/>
    <w:rsid w:val="00C30A54"/>
    <w:rsid w:val="00C32340"/>
    <w:rsid w:val="00C32DFC"/>
    <w:rsid w:val="00C3350A"/>
    <w:rsid w:val="00C35417"/>
    <w:rsid w:val="00C36C05"/>
    <w:rsid w:val="00C37266"/>
    <w:rsid w:val="00C37762"/>
    <w:rsid w:val="00C41139"/>
    <w:rsid w:val="00C41524"/>
    <w:rsid w:val="00C41AA1"/>
    <w:rsid w:val="00C41C21"/>
    <w:rsid w:val="00C4209E"/>
    <w:rsid w:val="00C423AE"/>
    <w:rsid w:val="00C4283C"/>
    <w:rsid w:val="00C42987"/>
    <w:rsid w:val="00C438C4"/>
    <w:rsid w:val="00C43E9E"/>
    <w:rsid w:val="00C43F08"/>
    <w:rsid w:val="00C44DBE"/>
    <w:rsid w:val="00C45F8C"/>
    <w:rsid w:val="00C4676E"/>
    <w:rsid w:val="00C46B5F"/>
    <w:rsid w:val="00C46E90"/>
    <w:rsid w:val="00C4786D"/>
    <w:rsid w:val="00C47886"/>
    <w:rsid w:val="00C50A5B"/>
    <w:rsid w:val="00C50DEF"/>
    <w:rsid w:val="00C51254"/>
    <w:rsid w:val="00C52BA6"/>
    <w:rsid w:val="00C53700"/>
    <w:rsid w:val="00C539F1"/>
    <w:rsid w:val="00C53AC3"/>
    <w:rsid w:val="00C540C9"/>
    <w:rsid w:val="00C541C1"/>
    <w:rsid w:val="00C558A9"/>
    <w:rsid w:val="00C56DD6"/>
    <w:rsid w:val="00C61668"/>
    <w:rsid w:val="00C61CA8"/>
    <w:rsid w:val="00C63D0E"/>
    <w:rsid w:val="00C64927"/>
    <w:rsid w:val="00C64C98"/>
    <w:rsid w:val="00C650EF"/>
    <w:rsid w:val="00C65D44"/>
    <w:rsid w:val="00C65E34"/>
    <w:rsid w:val="00C70499"/>
    <w:rsid w:val="00C706C6"/>
    <w:rsid w:val="00C70989"/>
    <w:rsid w:val="00C70AB3"/>
    <w:rsid w:val="00C715C1"/>
    <w:rsid w:val="00C71817"/>
    <w:rsid w:val="00C74C11"/>
    <w:rsid w:val="00C76841"/>
    <w:rsid w:val="00C773C2"/>
    <w:rsid w:val="00C77537"/>
    <w:rsid w:val="00C80543"/>
    <w:rsid w:val="00C80934"/>
    <w:rsid w:val="00C8109D"/>
    <w:rsid w:val="00C81D2B"/>
    <w:rsid w:val="00C82608"/>
    <w:rsid w:val="00C82677"/>
    <w:rsid w:val="00C826FA"/>
    <w:rsid w:val="00C82899"/>
    <w:rsid w:val="00C82A2D"/>
    <w:rsid w:val="00C83B85"/>
    <w:rsid w:val="00C846F8"/>
    <w:rsid w:val="00C84D42"/>
    <w:rsid w:val="00C85118"/>
    <w:rsid w:val="00C8532D"/>
    <w:rsid w:val="00C85CB0"/>
    <w:rsid w:val="00C8682C"/>
    <w:rsid w:val="00C873C9"/>
    <w:rsid w:val="00C901B7"/>
    <w:rsid w:val="00C910BF"/>
    <w:rsid w:val="00C91D5A"/>
    <w:rsid w:val="00C91D86"/>
    <w:rsid w:val="00C949C0"/>
    <w:rsid w:val="00C959D3"/>
    <w:rsid w:val="00C95B26"/>
    <w:rsid w:val="00C95D59"/>
    <w:rsid w:val="00C96DFB"/>
    <w:rsid w:val="00CA0426"/>
    <w:rsid w:val="00CA08B4"/>
    <w:rsid w:val="00CA0FCC"/>
    <w:rsid w:val="00CA1CA0"/>
    <w:rsid w:val="00CA2028"/>
    <w:rsid w:val="00CA2A55"/>
    <w:rsid w:val="00CA2B4E"/>
    <w:rsid w:val="00CA3192"/>
    <w:rsid w:val="00CA34D0"/>
    <w:rsid w:val="00CA387C"/>
    <w:rsid w:val="00CA3F96"/>
    <w:rsid w:val="00CA5F29"/>
    <w:rsid w:val="00CA6AFE"/>
    <w:rsid w:val="00CB15BE"/>
    <w:rsid w:val="00CB25F8"/>
    <w:rsid w:val="00CB2F8A"/>
    <w:rsid w:val="00CB4166"/>
    <w:rsid w:val="00CB46D8"/>
    <w:rsid w:val="00CB4823"/>
    <w:rsid w:val="00CB57EA"/>
    <w:rsid w:val="00CB60D4"/>
    <w:rsid w:val="00CB626D"/>
    <w:rsid w:val="00CB6461"/>
    <w:rsid w:val="00CB6D34"/>
    <w:rsid w:val="00CB6F09"/>
    <w:rsid w:val="00CB7980"/>
    <w:rsid w:val="00CB7A06"/>
    <w:rsid w:val="00CB7F9E"/>
    <w:rsid w:val="00CC04B5"/>
    <w:rsid w:val="00CC04CA"/>
    <w:rsid w:val="00CC0AAA"/>
    <w:rsid w:val="00CC0F5A"/>
    <w:rsid w:val="00CC1469"/>
    <w:rsid w:val="00CC1C30"/>
    <w:rsid w:val="00CC2E2D"/>
    <w:rsid w:val="00CC4144"/>
    <w:rsid w:val="00CC44E3"/>
    <w:rsid w:val="00CC4E19"/>
    <w:rsid w:val="00CC65CF"/>
    <w:rsid w:val="00CC7238"/>
    <w:rsid w:val="00CC72CF"/>
    <w:rsid w:val="00CC74A0"/>
    <w:rsid w:val="00CC7A19"/>
    <w:rsid w:val="00CC7FB1"/>
    <w:rsid w:val="00CD009B"/>
    <w:rsid w:val="00CD0F32"/>
    <w:rsid w:val="00CD1DF8"/>
    <w:rsid w:val="00CD2982"/>
    <w:rsid w:val="00CD2B46"/>
    <w:rsid w:val="00CD434D"/>
    <w:rsid w:val="00CD51E4"/>
    <w:rsid w:val="00CD52BB"/>
    <w:rsid w:val="00CD53BF"/>
    <w:rsid w:val="00CD577E"/>
    <w:rsid w:val="00CD71A3"/>
    <w:rsid w:val="00CE0D27"/>
    <w:rsid w:val="00CE10A2"/>
    <w:rsid w:val="00CE1B3F"/>
    <w:rsid w:val="00CE354A"/>
    <w:rsid w:val="00CE5CA8"/>
    <w:rsid w:val="00CE67DD"/>
    <w:rsid w:val="00CE69B5"/>
    <w:rsid w:val="00CE72C5"/>
    <w:rsid w:val="00CF1B4A"/>
    <w:rsid w:val="00CF29AA"/>
    <w:rsid w:val="00CF3397"/>
    <w:rsid w:val="00CF4E32"/>
    <w:rsid w:val="00CF4EC9"/>
    <w:rsid w:val="00CF4FC9"/>
    <w:rsid w:val="00CF55A8"/>
    <w:rsid w:val="00CF6A3B"/>
    <w:rsid w:val="00CF6C76"/>
    <w:rsid w:val="00CF7124"/>
    <w:rsid w:val="00D00130"/>
    <w:rsid w:val="00D011F4"/>
    <w:rsid w:val="00D014BC"/>
    <w:rsid w:val="00D02169"/>
    <w:rsid w:val="00D02E5E"/>
    <w:rsid w:val="00D02FB9"/>
    <w:rsid w:val="00D030A0"/>
    <w:rsid w:val="00D0350F"/>
    <w:rsid w:val="00D035B9"/>
    <w:rsid w:val="00D0361F"/>
    <w:rsid w:val="00D03747"/>
    <w:rsid w:val="00D03EA5"/>
    <w:rsid w:val="00D04863"/>
    <w:rsid w:val="00D05D17"/>
    <w:rsid w:val="00D07469"/>
    <w:rsid w:val="00D1205B"/>
    <w:rsid w:val="00D129FF"/>
    <w:rsid w:val="00D13576"/>
    <w:rsid w:val="00D13E55"/>
    <w:rsid w:val="00D143D4"/>
    <w:rsid w:val="00D1493C"/>
    <w:rsid w:val="00D14B49"/>
    <w:rsid w:val="00D14F73"/>
    <w:rsid w:val="00D16882"/>
    <w:rsid w:val="00D17618"/>
    <w:rsid w:val="00D17B3C"/>
    <w:rsid w:val="00D207D6"/>
    <w:rsid w:val="00D20C6C"/>
    <w:rsid w:val="00D22D2F"/>
    <w:rsid w:val="00D23621"/>
    <w:rsid w:val="00D238BB"/>
    <w:rsid w:val="00D23CE5"/>
    <w:rsid w:val="00D2447A"/>
    <w:rsid w:val="00D24518"/>
    <w:rsid w:val="00D259F8"/>
    <w:rsid w:val="00D25C36"/>
    <w:rsid w:val="00D26CC9"/>
    <w:rsid w:val="00D273E1"/>
    <w:rsid w:val="00D30AE6"/>
    <w:rsid w:val="00D32374"/>
    <w:rsid w:val="00D33048"/>
    <w:rsid w:val="00D33F7F"/>
    <w:rsid w:val="00D343BE"/>
    <w:rsid w:val="00D347E3"/>
    <w:rsid w:val="00D34957"/>
    <w:rsid w:val="00D34CEC"/>
    <w:rsid w:val="00D351B6"/>
    <w:rsid w:val="00D35535"/>
    <w:rsid w:val="00D35817"/>
    <w:rsid w:val="00D35EC0"/>
    <w:rsid w:val="00D37592"/>
    <w:rsid w:val="00D41673"/>
    <w:rsid w:val="00D41D73"/>
    <w:rsid w:val="00D4263B"/>
    <w:rsid w:val="00D4301D"/>
    <w:rsid w:val="00D44264"/>
    <w:rsid w:val="00D44284"/>
    <w:rsid w:val="00D442F5"/>
    <w:rsid w:val="00D443D5"/>
    <w:rsid w:val="00D45482"/>
    <w:rsid w:val="00D461BF"/>
    <w:rsid w:val="00D46FE5"/>
    <w:rsid w:val="00D473BF"/>
    <w:rsid w:val="00D474EE"/>
    <w:rsid w:val="00D50F12"/>
    <w:rsid w:val="00D5105B"/>
    <w:rsid w:val="00D5151F"/>
    <w:rsid w:val="00D516F5"/>
    <w:rsid w:val="00D52A7C"/>
    <w:rsid w:val="00D53023"/>
    <w:rsid w:val="00D54AB4"/>
    <w:rsid w:val="00D55433"/>
    <w:rsid w:val="00D55C01"/>
    <w:rsid w:val="00D56F1E"/>
    <w:rsid w:val="00D5725A"/>
    <w:rsid w:val="00D57A77"/>
    <w:rsid w:val="00D57C52"/>
    <w:rsid w:val="00D60288"/>
    <w:rsid w:val="00D608E8"/>
    <w:rsid w:val="00D61094"/>
    <w:rsid w:val="00D62226"/>
    <w:rsid w:val="00D62420"/>
    <w:rsid w:val="00D626FA"/>
    <w:rsid w:val="00D627C9"/>
    <w:rsid w:val="00D648E3"/>
    <w:rsid w:val="00D6552C"/>
    <w:rsid w:val="00D665AA"/>
    <w:rsid w:val="00D668C4"/>
    <w:rsid w:val="00D672AC"/>
    <w:rsid w:val="00D6794A"/>
    <w:rsid w:val="00D67992"/>
    <w:rsid w:val="00D67F91"/>
    <w:rsid w:val="00D703DE"/>
    <w:rsid w:val="00D71ABF"/>
    <w:rsid w:val="00D72838"/>
    <w:rsid w:val="00D729D5"/>
    <w:rsid w:val="00D72AED"/>
    <w:rsid w:val="00D73C37"/>
    <w:rsid w:val="00D743EE"/>
    <w:rsid w:val="00D74417"/>
    <w:rsid w:val="00D745AA"/>
    <w:rsid w:val="00D74E78"/>
    <w:rsid w:val="00D75A82"/>
    <w:rsid w:val="00D75B95"/>
    <w:rsid w:val="00D75D1D"/>
    <w:rsid w:val="00D75E0B"/>
    <w:rsid w:val="00D75F23"/>
    <w:rsid w:val="00D76206"/>
    <w:rsid w:val="00D76395"/>
    <w:rsid w:val="00D76A12"/>
    <w:rsid w:val="00D7743A"/>
    <w:rsid w:val="00D77A59"/>
    <w:rsid w:val="00D77CF2"/>
    <w:rsid w:val="00D80221"/>
    <w:rsid w:val="00D8045D"/>
    <w:rsid w:val="00D80768"/>
    <w:rsid w:val="00D80BF3"/>
    <w:rsid w:val="00D84C82"/>
    <w:rsid w:val="00D84F87"/>
    <w:rsid w:val="00D85370"/>
    <w:rsid w:val="00D87445"/>
    <w:rsid w:val="00D87A17"/>
    <w:rsid w:val="00D87C27"/>
    <w:rsid w:val="00D904FF"/>
    <w:rsid w:val="00D911AE"/>
    <w:rsid w:val="00D91738"/>
    <w:rsid w:val="00D91B98"/>
    <w:rsid w:val="00D91FAE"/>
    <w:rsid w:val="00D925E6"/>
    <w:rsid w:val="00D937AB"/>
    <w:rsid w:val="00D9383C"/>
    <w:rsid w:val="00D949E9"/>
    <w:rsid w:val="00D94D65"/>
    <w:rsid w:val="00D959D6"/>
    <w:rsid w:val="00D960C3"/>
    <w:rsid w:val="00D9624B"/>
    <w:rsid w:val="00D96663"/>
    <w:rsid w:val="00D97344"/>
    <w:rsid w:val="00D9763C"/>
    <w:rsid w:val="00D97AE7"/>
    <w:rsid w:val="00D97ED9"/>
    <w:rsid w:val="00DA0393"/>
    <w:rsid w:val="00DA04E5"/>
    <w:rsid w:val="00DA1B23"/>
    <w:rsid w:val="00DA1D1C"/>
    <w:rsid w:val="00DA2216"/>
    <w:rsid w:val="00DA3D0B"/>
    <w:rsid w:val="00DA4353"/>
    <w:rsid w:val="00DA4D17"/>
    <w:rsid w:val="00DA5B13"/>
    <w:rsid w:val="00DA64F5"/>
    <w:rsid w:val="00DA673C"/>
    <w:rsid w:val="00DA6760"/>
    <w:rsid w:val="00DA6B30"/>
    <w:rsid w:val="00DA6F60"/>
    <w:rsid w:val="00DA7A12"/>
    <w:rsid w:val="00DB092B"/>
    <w:rsid w:val="00DB2278"/>
    <w:rsid w:val="00DB2F62"/>
    <w:rsid w:val="00DB3543"/>
    <w:rsid w:val="00DB4710"/>
    <w:rsid w:val="00DB47FC"/>
    <w:rsid w:val="00DB5D9F"/>
    <w:rsid w:val="00DB62E8"/>
    <w:rsid w:val="00DB685F"/>
    <w:rsid w:val="00DC133C"/>
    <w:rsid w:val="00DC14A6"/>
    <w:rsid w:val="00DC14C3"/>
    <w:rsid w:val="00DC2520"/>
    <w:rsid w:val="00DC28A5"/>
    <w:rsid w:val="00DC2CEC"/>
    <w:rsid w:val="00DC361F"/>
    <w:rsid w:val="00DC37FE"/>
    <w:rsid w:val="00DC3EBC"/>
    <w:rsid w:val="00DC3F41"/>
    <w:rsid w:val="00DC4CC5"/>
    <w:rsid w:val="00DC52E4"/>
    <w:rsid w:val="00DC5633"/>
    <w:rsid w:val="00DC5F8F"/>
    <w:rsid w:val="00DC6FAA"/>
    <w:rsid w:val="00DD0673"/>
    <w:rsid w:val="00DD086D"/>
    <w:rsid w:val="00DD100E"/>
    <w:rsid w:val="00DD14B2"/>
    <w:rsid w:val="00DD4118"/>
    <w:rsid w:val="00DD4E79"/>
    <w:rsid w:val="00DD5382"/>
    <w:rsid w:val="00DE04E1"/>
    <w:rsid w:val="00DE096A"/>
    <w:rsid w:val="00DE0C80"/>
    <w:rsid w:val="00DE1EF0"/>
    <w:rsid w:val="00DE1F4F"/>
    <w:rsid w:val="00DE258E"/>
    <w:rsid w:val="00DE2AE5"/>
    <w:rsid w:val="00DE2B77"/>
    <w:rsid w:val="00DE3462"/>
    <w:rsid w:val="00DE3CE1"/>
    <w:rsid w:val="00DE3F45"/>
    <w:rsid w:val="00DE4921"/>
    <w:rsid w:val="00DE5342"/>
    <w:rsid w:val="00DE6D67"/>
    <w:rsid w:val="00DE78EE"/>
    <w:rsid w:val="00DE7BE0"/>
    <w:rsid w:val="00DF02AA"/>
    <w:rsid w:val="00DF04B5"/>
    <w:rsid w:val="00DF050A"/>
    <w:rsid w:val="00DF0D72"/>
    <w:rsid w:val="00DF1371"/>
    <w:rsid w:val="00DF1802"/>
    <w:rsid w:val="00DF207A"/>
    <w:rsid w:val="00DF2D26"/>
    <w:rsid w:val="00DF3CE5"/>
    <w:rsid w:val="00DF3D75"/>
    <w:rsid w:val="00DF4008"/>
    <w:rsid w:val="00DF4F50"/>
    <w:rsid w:val="00DF600B"/>
    <w:rsid w:val="00DF63AC"/>
    <w:rsid w:val="00DF6AC2"/>
    <w:rsid w:val="00DF7C9D"/>
    <w:rsid w:val="00DF7DA3"/>
    <w:rsid w:val="00E01895"/>
    <w:rsid w:val="00E01C7F"/>
    <w:rsid w:val="00E022CA"/>
    <w:rsid w:val="00E02E63"/>
    <w:rsid w:val="00E03707"/>
    <w:rsid w:val="00E04326"/>
    <w:rsid w:val="00E06747"/>
    <w:rsid w:val="00E07364"/>
    <w:rsid w:val="00E076CA"/>
    <w:rsid w:val="00E100FE"/>
    <w:rsid w:val="00E106AF"/>
    <w:rsid w:val="00E10D2F"/>
    <w:rsid w:val="00E113C0"/>
    <w:rsid w:val="00E11C8D"/>
    <w:rsid w:val="00E12977"/>
    <w:rsid w:val="00E12B26"/>
    <w:rsid w:val="00E12FEE"/>
    <w:rsid w:val="00E13987"/>
    <w:rsid w:val="00E14961"/>
    <w:rsid w:val="00E15A99"/>
    <w:rsid w:val="00E15C56"/>
    <w:rsid w:val="00E162A6"/>
    <w:rsid w:val="00E1647E"/>
    <w:rsid w:val="00E166B6"/>
    <w:rsid w:val="00E16C31"/>
    <w:rsid w:val="00E16C66"/>
    <w:rsid w:val="00E17058"/>
    <w:rsid w:val="00E1797C"/>
    <w:rsid w:val="00E17BC2"/>
    <w:rsid w:val="00E17D89"/>
    <w:rsid w:val="00E208D9"/>
    <w:rsid w:val="00E213FC"/>
    <w:rsid w:val="00E2243C"/>
    <w:rsid w:val="00E22B9C"/>
    <w:rsid w:val="00E23463"/>
    <w:rsid w:val="00E23585"/>
    <w:rsid w:val="00E23959"/>
    <w:rsid w:val="00E23B07"/>
    <w:rsid w:val="00E243B4"/>
    <w:rsid w:val="00E2571C"/>
    <w:rsid w:val="00E26072"/>
    <w:rsid w:val="00E26AB3"/>
    <w:rsid w:val="00E278F4"/>
    <w:rsid w:val="00E3205B"/>
    <w:rsid w:val="00E330E1"/>
    <w:rsid w:val="00E33834"/>
    <w:rsid w:val="00E34225"/>
    <w:rsid w:val="00E36E58"/>
    <w:rsid w:val="00E378B9"/>
    <w:rsid w:val="00E40031"/>
    <w:rsid w:val="00E40216"/>
    <w:rsid w:val="00E4044E"/>
    <w:rsid w:val="00E407B6"/>
    <w:rsid w:val="00E413E3"/>
    <w:rsid w:val="00E4141B"/>
    <w:rsid w:val="00E43399"/>
    <w:rsid w:val="00E4419C"/>
    <w:rsid w:val="00E442C3"/>
    <w:rsid w:val="00E4496C"/>
    <w:rsid w:val="00E45C00"/>
    <w:rsid w:val="00E46AB5"/>
    <w:rsid w:val="00E47DA9"/>
    <w:rsid w:val="00E507A5"/>
    <w:rsid w:val="00E50EA1"/>
    <w:rsid w:val="00E5173A"/>
    <w:rsid w:val="00E51E27"/>
    <w:rsid w:val="00E52672"/>
    <w:rsid w:val="00E53F18"/>
    <w:rsid w:val="00E55595"/>
    <w:rsid w:val="00E55EAF"/>
    <w:rsid w:val="00E575EE"/>
    <w:rsid w:val="00E57A9A"/>
    <w:rsid w:val="00E57C23"/>
    <w:rsid w:val="00E602E1"/>
    <w:rsid w:val="00E60783"/>
    <w:rsid w:val="00E60D22"/>
    <w:rsid w:val="00E60D47"/>
    <w:rsid w:val="00E62C52"/>
    <w:rsid w:val="00E63554"/>
    <w:rsid w:val="00E6432E"/>
    <w:rsid w:val="00E64973"/>
    <w:rsid w:val="00E649E4"/>
    <w:rsid w:val="00E666E3"/>
    <w:rsid w:val="00E66FE2"/>
    <w:rsid w:val="00E67061"/>
    <w:rsid w:val="00E6783B"/>
    <w:rsid w:val="00E7027F"/>
    <w:rsid w:val="00E711A2"/>
    <w:rsid w:val="00E7158E"/>
    <w:rsid w:val="00E71841"/>
    <w:rsid w:val="00E7190E"/>
    <w:rsid w:val="00E7222F"/>
    <w:rsid w:val="00E72B55"/>
    <w:rsid w:val="00E72DD8"/>
    <w:rsid w:val="00E72E7C"/>
    <w:rsid w:val="00E7715A"/>
    <w:rsid w:val="00E77773"/>
    <w:rsid w:val="00E80508"/>
    <w:rsid w:val="00E8197A"/>
    <w:rsid w:val="00E82034"/>
    <w:rsid w:val="00E821F7"/>
    <w:rsid w:val="00E8231A"/>
    <w:rsid w:val="00E82572"/>
    <w:rsid w:val="00E827BE"/>
    <w:rsid w:val="00E83D1D"/>
    <w:rsid w:val="00E841F9"/>
    <w:rsid w:val="00E85700"/>
    <w:rsid w:val="00E86911"/>
    <w:rsid w:val="00E92751"/>
    <w:rsid w:val="00E92890"/>
    <w:rsid w:val="00E92FA3"/>
    <w:rsid w:val="00E934A3"/>
    <w:rsid w:val="00E94501"/>
    <w:rsid w:val="00E9465F"/>
    <w:rsid w:val="00E95251"/>
    <w:rsid w:val="00E970F3"/>
    <w:rsid w:val="00E97418"/>
    <w:rsid w:val="00E97468"/>
    <w:rsid w:val="00E9751F"/>
    <w:rsid w:val="00E97CBF"/>
    <w:rsid w:val="00EA088B"/>
    <w:rsid w:val="00EA0E76"/>
    <w:rsid w:val="00EA18AA"/>
    <w:rsid w:val="00EA2D35"/>
    <w:rsid w:val="00EA5B15"/>
    <w:rsid w:val="00EA613B"/>
    <w:rsid w:val="00EA6769"/>
    <w:rsid w:val="00EA6A3D"/>
    <w:rsid w:val="00EB0352"/>
    <w:rsid w:val="00EB0858"/>
    <w:rsid w:val="00EB0907"/>
    <w:rsid w:val="00EB0B97"/>
    <w:rsid w:val="00EB0F7F"/>
    <w:rsid w:val="00EB10FA"/>
    <w:rsid w:val="00EB1402"/>
    <w:rsid w:val="00EB174E"/>
    <w:rsid w:val="00EB17FE"/>
    <w:rsid w:val="00EB22F2"/>
    <w:rsid w:val="00EB23BF"/>
    <w:rsid w:val="00EB279E"/>
    <w:rsid w:val="00EB2EC6"/>
    <w:rsid w:val="00EB341C"/>
    <w:rsid w:val="00EB34E7"/>
    <w:rsid w:val="00EB368C"/>
    <w:rsid w:val="00EB4989"/>
    <w:rsid w:val="00EB6C28"/>
    <w:rsid w:val="00EB6E53"/>
    <w:rsid w:val="00EB71EC"/>
    <w:rsid w:val="00EB72F8"/>
    <w:rsid w:val="00EB780C"/>
    <w:rsid w:val="00EC1121"/>
    <w:rsid w:val="00EC1277"/>
    <w:rsid w:val="00EC190B"/>
    <w:rsid w:val="00EC19C4"/>
    <w:rsid w:val="00EC20E3"/>
    <w:rsid w:val="00EC216E"/>
    <w:rsid w:val="00EC25EB"/>
    <w:rsid w:val="00EC2F42"/>
    <w:rsid w:val="00EC417A"/>
    <w:rsid w:val="00EC51C2"/>
    <w:rsid w:val="00EC53F9"/>
    <w:rsid w:val="00EC59C3"/>
    <w:rsid w:val="00EC5A0A"/>
    <w:rsid w:val="00EC5D81"/>
    <w:rsid w:val="00EC6819"/>
    <w:rsid w:val="00EC6BC7"/>
    <w:rsid w:val="00ED0206"/>
    <w:rsid w:val="00ED17C1"/>
    <w:rsid w:val="00ED28C2"/>
    <w:rsid w:val="00ED3F08"/>
    <w:rsid w:val="00ED5228"/>
    <w:rsid w:val="00ED5BA9"/>
    <w:rsid w:val="00ED5BDC"/>
    <w:rsid w:val="00ED61CF"/>
    <w:rsid w:val="00ED6808"/>
    <w:rsid w:val="00EE0DB6"/>
    <w:rsid w:val="00EE2063"/>
    <w:rsid w:val="00EE2538"/>
    <w:rsid w:val="00EE4191"/>
    <w:rsid w:val="00EE46B8"/>
    <w:rsid w:val="00EE5F41"/>
    <w:rsid w:val="00EE6D77"/>
    <w:rsid w:val="00EE7B8D"/>
    <w:rsid w:val="00EE7C60"/>
    <w:rsid w:val="00EF0043"/>
    <w:rsid w:val="00EF01DE"/>
    <w:rsid w:val="00EF0780"/>
    <w:rsid w:val="00EF0AD1"/>
    <w:rsid w:val="00EF0B64"/>
    <w:rsid w:val="00EF0BEB"/>
    <w:rsid w:val="00EF0EFE"/>
    <w:rsid w:val="00EF1EDF"/>
    <w:rsid w:val="00EF2E65"/>
    <w:rsid w:val="00EF34F7"/>
    <w:rsid w:val="00EF4C1E"/>
    <w:rsid w:val="00EF4E99"/>
    <w:rsid w:val="00EF5300"/>
    <w:rsid w:val="00EF615B"/>
    <w:rsid w:val="00EF6839"/>
    <w:rsid w:val="00EF6F07"/>
    <w:rsid w:val="00EF713E"/>
    <w:rsid w:val="00F0136E"/>
    <w:rsid w:val="00F021A1"/>
    <w:rsid w:val="00F04319"/>
    <w:rsid w:val="00F05273"/>
    <w:rsid w:val="00F05552"/>
    <w:rsid w:val="00F056D6"/>
    <w:rsid w:val="00F06A07"/>
    <w:rsid w:val="00F07D62"/>
    <w:rsid w:val="00F120A8"/>
    <w:rsid w:val="00F1293F"/>
    <w:rsid w:val="00F12ADA"/>
    <w:rsid w:val="00F12DED"/>
    <w:rsid w:val="00F133F4"/>
    <w:rsid w:val="00F16038"/>
    <w:rsid w:val="00F17110"/>
    <w:rsid w:val="00F178BE"/>
    <w:rsid w:val="00F17BD2"/>
    <w:rsid w:val="00F22200"/>
    <w:rsid w:val="00F22829"/>
    <w:rsid w:val="00F22ADE"/>
    <w:rsid w:val="00F2340D"/>
    <w:rsid w:val="00F23429"/>
    <w:rsid w:val="00F23780"/>
    <w:rsid w:val="00F23F5E"/>
    <w:rsid w:val="00F24DBA"/>
    <w:rsid w:val="00F25366"/>
    <w:rsid w:val="00F25663"/>
    <w:rsid w:val="00F25A6D"/>
    <w:rsid w:val="00F25FA2"/>
    <w:rsid w:val="00F260E7"/>
    <w:rsid w:val="00F260FC"/>
    <w:rsid w:val="00F269FF"/>
    <w:rsid w:val="00F26C29"/>
    <w:rsid w:val="00F274CF"/>
    <w:rsid w:val="00F30273"/>
    <w:rsid w:val="00F30287"/>
    <w:rsid w:val="00F31DE6"/>
    <w:rsid w:val="00F31FCA"/>
    <w:rsid w:val="00F3202F"/>
    <w:rsid w:val="00F32CE8"/>
    <w:rsid w:val="00F33208"/>
    <w:rsid w:val="00F3392E"/>
    <w:rsid w:val="00F33E4E"/>
    <w:rsid w:val="00F34EAF"/>
    <w:rsid w:val="00F35624"/>
    <w:rsid w:val="00F35FB2"/>
    <w:rsid w:val="00F371A2"/>
    <w:rsid w:val="00F377DC"/>
    <w:rsid w:val="00F378B8"/>
    <w:rsid w:val="00F37B34"/>
    <w:rsid w:val="00F37F79"/>
    <w:rsid w:val="00F4048C"/>
    <w:rsid w:val="00F40870"/>
    <w:rsid w:val="00F42A36"/>
    <w:rsid w:val="00F44F75"/>
    <w:rsid w:val="00F454CE"/>
    <w:rsid w:val="00F500F4"/>
    <w:rsid w:val="00F53C55"/>
    <w:rsid w:val="00F53D22"/>
    <w:rsid w:val="00F53E02"/>
    <w:rsid w:val="00F54BB1"/>
    <w:rsid w:val="00F54DE6"/>
    <w:rsid w:val="00F552D4"/>
    <w:rsid w:val="00F557CF"/>
    <w:rsid w:val="00F56ADF"/>
    <w:rsid w:val="00F56BFC"/>
    <w:rsid w:val="00F57B30"/>
    <w:rsid w:val="00F57E0E"/>
    <w:rsid w:val="00F60E3B"/>
    <w:rsid w:val="00F61427"/>
    <w:rsid w:val="00F61BD2"/>
    <w:rsid w:val="00F6203F"/>
    <w:rsid w:val="00F63171"/>
    <w:rsid w:val="00F632B7"/>
    <w:rsid w:val="00F63D24"/>
    <w:rsid w:val="00F64A8F"/>
    <w:rsid w:val="00F65154"/>
    <w:rsid w:val="00F655A9"/>
    <w:rsid w:val="00F659BC"/>
    <w:rsid w:val="00F65B94"/>
    <w:rsid w:val="00F66999"/>
    <w:rsid w:val="00F674CC"/>
    <w:rsid w:val="00F720A0"/>
    <w:rsid w:val="00F734FD"/>
    <w:rsid w:val="00F74290"/>
    <w:rsid w:val="00F742DF"/>
    <w:rsid w:val="00F744B4"/>
    <w:rsid w:val="00F7461F"/>
    <w:rsid w:val="00F76B45"/>
    <w:rsid w:val="00F77202"/>
    <w:rsid w:val="00F772F6"/>
    <w:rsid w:val="00F77F4F"/>
    <w:rsid w:val="00F800BB"/>
    <w:rsid w:val="00F80DFC"/>
    <w:rsid w:val="00F81172"/>
    <w:rsid w:val="00F8123F"/>
    <w:rsid w:val="00F81AF5"/>
    <w:rsid w:val="00F83B03"/>
    <w:rsid w:val="00F83DB5"/>
    <w:rsid w:val="00F850B1"/>
    <w:rsid w:val="00F852E0"/>
    <w:rsid w:val="00F856DA"/>
    <w:rsid w:val="00F8585D"/>
    <w:rsid w:val="00F86052"/>
    <w:rsid w:val="00F8606D"/>
    <w:rsid w:val="00F8722A"/>
    <w:rsid w:val="00F9045A"/>
    <w:rsid w:val="00F90F34"/>
    <w:rsid w:val="00F916B0"/>
    <w:rsid w:val="00F92036"/>
    <w:rsid w:val="00F9208B"/>
    <w:rsid w:val="00F92B8E"/>
    <w:rsid w:val="00F93417"/>
    <w:rsid w:val="00F9349F"/>
    <w:rsid w:val="00F950D1"/>
    <w:rsid w:val="00F95133"/>
    <w:rsid w:val="00F9606D"/>
    <w:rsid w:val="00F96184"/>
    <w:rsid w:val="00F96BED"/>
    <w:rsid w:val="00F97ACA"/>
    <w:rsid w:val="00FA0D34"/>
    <w:rsid w:val="00FA18E6"/>
    <w:rsid w:val="00FA2B02"/>
    <w:rsid w:val="00FA379C"/>
    <w:rsid w:val="00FA4CD1"/>
    <w:rsid w:val="00FA51D2"/>
    <w:rsid w:val="00FA54A2"/>
    <w:rsid w:val="00FA59C2"/>
    <w:rsid w:val="00FA5DDF"/>
    <w:rsid w:val="00FA6CBA"/>
    <w:rsid w:val="00FA6E15"/>
    <w:rsid w:val="00FB0847"/>
    <w:rsid w:val="00FB17EB"/>
    <w:rsid w:val="00FB27B2"/>
    <w:rsid w:val="00FB3C9B"/>
    <w:rsid w:val="00FB44E5"/>
    <w:rsid w:val="00FB46AF"/>
    <w:rsid w:val="00FB5657"/>
    <w:rsid w:val="00FB629D"/>
    <w:rsid w:val="00FB6390"/>
    <w:rsid w:val="00FB685B"/>
    <w:rsid w:val="00FB6DDB"/>
    <w:rsid w:val="00FB7AB1"/>
    <w:rsid w:val="00FB7FD1"/>
    <w:rsid w:val="00FB7FDE"/>
    <w:rsid w:val="00FC0756"/>
    <w:rsid w:val="00FC08DB"/>
    <w:rsid w:val="00FC22B2"/>
    <w:rsid w:val="00FC2C08"/>
    <w:rsid w:val="00FC4362"/>
    <w:rsid w:val="00FC54C5"/>
    <w:rsid w:val="00FC6C4F"/>
    <w:rsid w:val="00FC7BBA"/>
    <w:rsid w:val="00FD01DC"/>
    <w:rsid w:val="00FD0D6F"/>
    <w:rsid w:val="00FD1663"/>
    <w:rsid w:val="00FD1C90"/>
    <w:rsid w:val="00FD5109"/>
    <w:rsid w:val="00FD537C"/>
    <w:rsid w:val="00FD623B"/>
    <w:rsid w:val="00FD660B"/>
    <w:rsid w:val="00FE106F"/>
    <w:rsid w:val="00FE1158"/>
    <w:rsid w:val="00FE12FB"/>
    <w:rsid w:val="00FE1534"/>
    <w:rsid w:val="00FE19B6"/>
    <w:rsid w:val="00FE246A"/>
    <w:rsid w:val="00FE2487"/>
    <w:rsid w:val="00FE2CCD"/>
    <w:rsid w:val="00FE2F60"/>
    <w:rsid w:val="00FE3F57"/>
    <w:rsid w:val="00FE5BC0"/>
    <w:rsid w:val="00FE5E53"/>
    <w:rsid w:val="00FE5F0B"/>
    <w:rsid w:val="00FE5F50"/>
    <w:rsid w:val="00FE6C8C"/>
    <w:rsid w:val="00FE771A"/>
    <w:rsid w:val="00FE7E47"/>
    <w:rsid w:val="00FF00B0"/>
    <w:rsid w:val="00FF040B"/>
    <w:rsid w:val="00FF0DA0"/>
    <w:rsid w:val="00FF100D"/>
    <w:rsid w:val="00FF1A6F"/>
    <w:rsid w:val="00FF1BD4"/>
    <w:rsid w:val="00FF26A1"/>
    <w:rsid w:val="00FF33B3"/>
    <w:rsid w:val="00FF3A50"/>
    <w:rsid w:val="00FF4514"/>
    <w:rsid w:val="00FF4E47"/>
    <w:rsid w:val="00FF5D17"/>
    <w:rsid w:val="00FF7668"/>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26C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02FB9"/>
    <w:pPr>
      <w:widowControl w:val="0"/>
      <w:autoSpaceDE w:val="0"/>
      <w:autoSpaceDN w:val="0"/>
      <w:adjustRightInd w:val="0"/>
    </w:pPr>
    <w:rPr>
      <w:sz w:val="26"/>
      <w:szCs w:val="24"/>
    </w:rPr>
  </w:style>
  <w:style w:type="paragraph" w:styleId="Heading1">
    <w:name w:val="heading 1"/>
    <w:basedOn w:val="Normal"/>
    <w:next w:val="FERCparanumber"/>
    <w:qFormat/>
    <w:rsid w:val="004B1584"/>
    <w:pPr>
      <w:keepNext/>
      <w:keepLines/>
      <w:widowControl/>
      <w:numPr>
        <w:numId w:val="22"/>
      </w:numPr>
      <w:spacing w:after="260"/>
      <w:outlineLvl w:val="0"/>
    </w:pPr>
    <w:rPr>
      <w:b/>
      <w:bCs/>
      <w:kern w:val="32"/>
      <w:szCs w:val="32"/>
      <w:u w:val="single"/>
    </w:rPr>
  </w:style>
  <w:style w:type="paragraph" w:styleId="Heading2">
    <w:name w:val="heading 2"/>
    <w:basedOn w:val="Normal"/>
    <w:next w:val="FERCparanumber"/>
    <w:qFormat/>
    <w:rsid w:val="004B1584"/>
    <w:pPr>
      <w:keepNext/>
      <w:keepLines/>
      <w:widowControl/>
      <w:numPr>
        <w:ilvl w:val="1"/>
        <w:numId w:val="22"/>
      </w:numPr>
      <w:spacing w:after="260"/>
      <w:outlineLvl w:val="1"/>
    </w:pPr>
    <w:rPr>
      <w:b/>
      <w:bCs/>
      <w:iCs/>
      <w:kern w:val="32"/>
      <w:szCs w:val="28"/>
      <w:u w:val="single"/>
    </w:rPr>
  </w:style>
  <w:style w:type="paragraph" w:styleId="Heading3">
    <w:name w:val="heading 3"/>
    <w:basedOn w:val="Normal"/>
    <w:next w:val="FERCparanumber"/>
    <w:link w:val="Heading3Char"/>
    <w:qFormat/>
    <w:rsid w:val="004B1584"/>
    <w:pPr>
      <w:keepNext/>
      <w:keepLines/>
      <w:widowControl/>
      <w:numPr>
        <w:ilvl w:val="2"/>
        <w:numId w:val="22"/>
      </w:numPr>
      <w:spacing w:after="260"/>
      <w:outlineLvl w:val="2"/>
    </w:pPr>
    <w:rPr>
      <w:b/>
      <w:bCs/>
      <w:kern w:val="32"/>
      <w:szCs w:val="26"/>
      <w:u w:val="single"/>
    </w:rPr>
  </w:style>
  <w:style w:type="paragraph" w:styleId="Heading4">
    <w:name w:val="heading 4"/>
    <w:basedOn w:val="Normal"/>
    <w:next w:val="FERCparanumber"/>
    <w:qFormat/>
    <w:rsid w:val="004B1584"/>
    <w:pPr>
      <w:keepNext/>
      <w:keepLines/>
      <w:widowControl/>
      <w:numPr>
        <w:ilvl w:val="3"/>
        <w:numId w:val="22"/>
      </w:numPr>
      <w:spacing w:after="260"/>
      <w:outlineLvl w:val="3"/>
    </w:pPr>
    <w:rPr>
      <w:b/>
      <w:bCs/>
      <w:kern w:val="32"/>
      <w:szCs w:val="28"/>
      <w:u w:val="single"/>
    </w:rPr>
  </w:style>
  <w:style w:type="paragraph" w:styleId="Heading5">
    <w:name w:val="heading 5"/>
    <w:basedOn w:val="Normal"/>
    <w:next w:val="FERCparanumber"/>
    <w:qFormat/>
    <w:rsid w:val="004B1584"/>
    <w:pPr>
      <w:keepNext/>
      <w:keepLines/>
      <w:widowControl/>
      <w:numPr>
        <w:ilvl w:val="4"/>
        <w:numId w:val="22"/>
      </w:numPr>
      <w:spacing w:after="260"/>
      <w:outlineLvl w:val="4"/>
    </w:pPr>
    <w:rPr>
      <w:b/>
      <w:bCs/>
      <w:iCs/>
      <w:kern w:val="32"/>
      <w:szCs w:val="26"/>
      <w:u w:val="single"/>
    </w:rPr>
  </w:style>
  <w:style w:type="paragraph" w:styleId="Heading6">
    <w:name w:val="heading 6"/>
    <w:basedOn w:val="Normal"/>
    <w:next w:val="FERCparanumber"/>
    <w:qFormat/>
    <w:rsid w:val="004B1584"/>
    <w:pPr>
      <w:keepNext/>
      <w:keepLines/>
      <w:widowControl/>
      <w:numPr>
        <w:ilvl w:val="5"/>
        <w:numId w:val="22"/>
      </w:numPr>
      <w:spacing w:after="260"/>
      <w:outlineLvl w:val="5"/>
    </w:pPr>
    <w:rPr>
      <w:b/>
      <w:bCs/>
      <w:kern w:val="32"/>
      <w:szCs w:val="22"/>
      <w:u w:val="single"/>
    </w:rPr>
  </w:style>
  <w:style w:type="paragraph" w:styleId="Heading7">
    <w:name w:val="heading 7"/>
    <w:basedOn w:val="Normal"/>
    <w:next w:val="FERCparanumber"/>
    <w:qFormat/>
    <w:rsid w:val="004B1584"/>
    <w:pPr>
      <w:numPr>
        <w:ilvl w:val="6"/>
        <w:numId w:val="22"/>
      </w:numPr>
      <w:spacing w:after="260"/>
      <w:outlineLvl w:val="6"/>
    </w:pPr>
    <w:rPr>
      <w:b/>
      <w:kern w:val="32"/>
      <w:u w:val="single"/>
    </w:rPr>
  </w:style>
  <w:style w:type="paragraph" w:styleId="Heading8">
    <w:name w:val="heading 8"/>
    <w:basedOn w:val="Normal"/>
    <w:next w:val="FERCparanumber"/>
    <w:qFormat/>
    <w:rsid w:val="004B1584"/>
    <w:pPr>
      <w:keepNext/>
      <w:keepLines/>
      <w:widowControl/>
      <w:numPr>
        <w:ilvl w:val="7"/>
        <w:numId w:val="22"/>
      </w:numPr>
      <w:spacing w:after="260"/>
      <w:outlineLvl w:val="7"/>
    </w:pPr>
    <w:rPr>
      <w:b/>
      <w:iCs/>
      <w:kern w:val="32"/>
      <w:u w:val="single"/>
    </w:rPr>
  </w:style>
  <w:style w:type="paragraph" w:styleId="Heading9">
    <w:name w:val="heading 9"/>
    <w:basedOn w:val="Normal"/>
    <w:next w:val="FERCparanumber"/>
    <w:qFormat/>
    <w:rsid w:val="004B1584"/>
    <w:pPr>
      <w:keepNext/>
      <w:keepLines/>
      <w:widowControl/>
      <w:numPr>
        <w:ilvl w:val="8"/>
        <w:numId w:val="2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2FB9"/>
    <w:rPr>
      <w:rFonts w:ascii="Tahoma" w:hAnsi="Tahoma" w:cs="Tahoma"/>
      <w:sz w:val="16"/>
      <w:szCs w:val="16"/>
    </w:rPr>
  </w:style>
  <w:style w:type="paragraph" w:customStyle="1" w:styleId="BlockIndent">
    <w:name w:val="Block Indent"/>
    <w:basedOn w:val="Normal"/>
    <w:next w:val="Normal"/>
    <w:rsid w:val="00D02FB9"/>
    <w:pPr>
      <w:widowControl/>
      <w:spacing w:after="240"/>
      <w:ind w:left="1440" w:right="1440"/>
    </w:pPr>
  </w:style>
  <w:style w:type="paragraph" w:styleId="BlockText">
    <w:name w:val="Block Text"/>
    <w:basedOn w:val="Normal"/>
    <w:rsid w:val="00D02FB9"/>
    <w:pPr>
      <w:spacing w:after="120"/>
      <w:ind w:left="1440" w:right="1440"/>
    </w:pPr>
  </w:style>
  <w:style w:type="paragraph" w:styleId="FootnoteText">
    <w:name w:val="footnote text"/>
    <w:aliases w:val="fn,Footnote Text Char,Footnote Text Char1,Footnote Text Char Char,Footnote Text Char1 Char,Footnote Text Char Char Char,ft Char,Footnote Text Char3 Char Char Char,Footnote Text Char Char1 Char Char Char,Footnote Text Char2,ft,fn1,fn Cha"/>
    <w:basedOn w:val="Normal"/>
    <w:link w:val="FootnoteTextChar3"/>
    <w:rsid w:val="00D02FB9"/>
    <w:pPr>
      <w:spacing w:after="240"/>
      <w:ind w:firstLine="720"/>
    </w:pPr>
    <w:rPr>
      <w:szCs w:val="20"/>
    </w:rPr>
  </w:style>
  <w:style w:type="paragraph" w:customStyle="1" w:styleId="BodyFootnote">
    <w:name w:val="Body Footnote"/>
    <w:basedOn w:val="FootnoteText"/>
    <w:rsid w:val="00D02FB9"/>
    <w:rPr>
      <w:szCs w:val="26"/>
    </w:rPr>
  </w:style>
  <w:style w:type="paragraph" w:styleId="BodyText">
    <w:name w:val="Body Text"/>
    <w:basedOn w:val="Normal"/>
    <w:rsid w:val="00D02FB9"/>
    <w:pPr>
      <w:spacing w:after="120"/>
    </w:pPr>
  </w:style>
  <w:style w:type="paragraph" w:styleId="BodyText2">
    <w:name w:val="Body Text 2"/>
    <w:basedOn w:val="Normal"/>
    <w:rsid w:val="00D02FB9"/>
    <w:pPr>
      <w:spacing w:after="120" w:line="480" w:lineRule="auto"/>
    </w:pPr>
  </w:style>
  <w:style w:type="paragraph" w:styleId="BodyText3">
    <w:name w:val="Body Text 3"/>
    <w:basedOn w:val="Normal"/>
    <w:rsid w:val="00D02FB9"/>
    <w:pPr>
      <w:spacing w:after="120"/>
    </w:pPr>
    <w:rPr>
      <w:sz w:val="16"/>
      <w:szCs w:val="16"/>
    </w:rPr>
  </w:style>
  <w:style w:type="paragraph" w:styleId="BodyTextFirstIndent">
    <w:name w:val="Body Text First Indent"/>
    <w:basedOn w:val="BodyText"/>
    <w:rsid w:val="00D02FB9"/>
    <w:pPr>
      <w:ind w:firstLine="210"/>
    </w:pPr>
  </w:style>
  <w:style w:type="paragraph" w:styleId="BodyTextIndent">
    <w:name w:val="Body Text Indent"/>
    <w:basedOn w:val="Normal"/>
    <w:rsid w:val="00D02FB9"/>
    <w:pPr>
      <w:spacing w:after="120"/>
      <w:ind w:left="360"/>
    </w:pPr>
  </w:style>
  <w:style w:type="paragraph" w:styleId="BodyTextFirstIndent2">
    <w:name w:val="Body Text First Indent 2"/>
    <w:basedOn w:val="BodyTextIndent"/>
    <w:rsid w:val="00D02FB9"/>
    <w:pPr>
      <w:ind w:firstLine="210"/>
    </w:pPr>
  </w:style>
  <w:style w:type="paragraph" w:styleId="BodyTextIndent2">
    <w:name w:val="Body Text Indent 2"/>
    <w:basedOn w:val="Normal"/>
    <w:rsid w:val="00D02FB9"/>
    <w:pPr>
      <w:spacing w:after="120" w:line="480" w:lineRule="auto"/>
      <w:ind w:left="360"/>
    </w:pPr>
  </w:style>
  <w:style w:type="paragraph" w:styleId="BodyTextIndent3">
    <w:name w:val="Body Text Indent 3"/>
    <w:basedOn w:val="Normal"/>
    <w:rsid w:val="00D02FB9"/>
    <w:pPr>
      <w:spacing w:after="120"/>
      <w:ind w:left="360"/>
    </w:pPr>
    <w:rPr>
      <w:sz w:val="16"/>
      <w:szCs w:val="16"/>
    </w:rPr>
  </w:style>
  <w:style w:type="paragraph" w:styleId="Caption">
    <w:name w:val="caption"/>
    <w:basedOn w:val="Normal"/>
    <w:next w:val="Normal"/>
    <w:qFormat/>
    <w:rsid w:val="00D02FB9"/>
    <w:pPr>
      <w:spacing w:before="120" w:after="120"/>
    </w:pPr>
    <w:rPr>
      <w:b/>
      <w:bCs/>
      <w:sz w:val="20"/>
      <w:szCs w:val="20"/>
    </w:rPr>
  </w:style>
  <w:style w:type="paragraph" w:styleId="Closing">
    <w:name w:val="Closing"/>
    <w:basedOn w:val="Normal"/>
    <w:rsid w:val="00D02FB9"/>
    <w:pPr>
      <w:ind w:left="4320"/>
    </w:pPr>
  </w:style>
  <w:style w:type="paragraph" w:styleId="CommentText">
    <w:name w:val="annotation text"/>
    <w:basedOn w:val="Normal"/>
    <w:semiHidden/>
    <w:rsid w:val="00D02FB9"/>
    <w:rPr>
      <w:sz w:val="20"/>
      <w:szCs w:val="20"/>
    </w:rPr>
  </w:style>
  <w:style w:type="paragraph" w:styleId="CommentSubject">
    <w:name w:val="annotation subject"/>
    <w:basedOn w:val="CommentText"/>
    <w:next w:val="CommentText"/>
    <w:semiHidden/>
    <w:rsid w:val="00D02FB9"/>
    <w:rPr>
      <w:b/>
      <w:bCs/>
    </w:rPr>
  </w:style>
  <w:style w:type="paragraph" w:styleId="Date">
    <w:name w:val="Date"/>
    <w:basedOn w:val="Normal"/>
    <w:next w:val="Normal"/>
    <w:rsid w:val="00D02FB9"/>
  </w:style>
  <w:style w:type="paragraph" w:styleId="DocumentMap">
    <w:name w:val="Document Map"/>
    <w:basedOn w:val="Normal"/>
    <w:semiHidden/>
    <w:rsid w:val="00D02FB9"/>
    <w:pPr>
      <w:shd w:val="clear" w:color="auto" w:fill="000080"/>
    </w:pPr>
    <w:rPr>
      <w:rFonts w:ascii="Tahoma" w:hAnsi="Tahoma" w:cs="Tahoma"/>
    </w:rPr>
  </w:style>
  <w:style w:type="paragraph" w:styleId="E-mailSignature">
    <w:name w:val="E-mail Signature"/>
    <w:basedOn w:val="Normal"/>
    <w:rsid w:val="00D02FB9"/>
  </w:style>
  <w:style w:type="paragraph" w:styleId="EndnoteText">
    <w:name w:val="endnote text"/>
    <w:basedOn w:val="Normal"/>
    <w:semiHidden/>
    <w:rsid w:val="00D02FB9"/>
    <w:rPr>
      <w:sz w:val="20"/>
      <w:szCs w:val="20"/>
    </w:rPr>
  </w:style>
  <w:style w:type="paragraph" w:styleId="EnvelopeAddress">
    <w:name w:val="envelope address"/>
    <w:basedOn w:val="Normal"/>
    <w:rsid w:val="00D02FB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D02FB9"/>
    <w:rPr>
      <w:rFonts w:ascii="Arial" w:hAnsi="Arial" w:cs="Arial"/>
      <w:sz w:val="20"/>
      <w:szCs w:val="20"/>
    </w:rPr>
  </w:style>
  <w:style w:type="paragraph" w:customStyle="1" w:styleId="FERCparanumber">
    <w:name w:val="FERC paranumber"/>
    <w:basedOn w:val="Normal"/>
    <w:link w:val="FERCparanumberChar1"/>
    <w:rsid w:val="00D02FB9"/>
    <w:pPr>
      <w:widowControl/>
      <w:numPr>
        <w:numId w:val="1"/>
      </w:numPr>
      <w:spacing w:line="480" w:lineRule="auto"/>
    </w:pPr>
  </w:style>
  <w:style w:type="paragraph" w:styleId="Footer">
    <w:name w:val="footer"/>
    <w:basedOn w:val="Normal"/>
    <w:rsid w:val="00D02FB9"/>
    <w:pPr>
      <w:tabs>
        <w:tab w:val="center" w:pos="4320"/>
        <w:tab w:val="right" w:pos="8640"/>
      </w:tabs>
    </w:pPr>
  </w:style>
  <w:style w:type="character" w:styleId="FootnoteReference">
    <w:name w:val="footnote reference"/>
    <w:aliases w:val="o,fr,Style 17,o1,fr1,o2,fr2,o3,fr3,Style 13,Style 12,Style 15,Style 9,Style 18,(NECG) Footnote Reference,Style 20,Style 7,Style 8,Style 19,Style 28,Styl,Style 11,Style 16,Style 5"/>
    <w:rsid w:val="00D02FB9"/>
    <w:rPr>
      <w:rFonts w:ascii="Times New Roman" w:hAnsi="Times New Roman"/>
      <w:b/>
      <w:dstrike w:val="0"/>
      <w:sz w:val="26"/>
      <w:szCs w:val="26"/>
      <w:vertAlign w:val="superscript"/>
    </w:rPr>
  </w:style>
  <w:style w:type="paragraph" w:styleId="Header">
    <w:name w:val="header"/>
    <w:basedOn w:val="Normal"/>
    <w:rsid w:val="00D02FB9"/>
    <w:pPr>
      <w:tabs>
        <w:tab w:val="right" w:pos="8640"/>
      </w:tabs>
      <w:spacing w:after="120"/>
    </w:pPr>
  </w:style>
  <w:style w:type="paragraph" w:styleId="HTMLAddress">
    <w:name w:val="HTML Address"/>
    <w:basedOn w:val="Normal"/>
    <w:rsid w:val="00D02FB9"/>
    <w:rPr>
      <w:i/>
      <w:iCs/>
    </w:rPr>
  </w:style>
  <w:style w:type="paragraph" w:styleId="HTMLPreformatted">
    <w:name w:val="HTML Preformatted"/>
    <w:basedOn w:val="Normal"/>
    <w:rsid w:val="00D02FB9"/>
    <w:rPr>
      <w:rFonts w:ascii="Courier New" w:hAnsi="Courier New" w:cs="Courier New"/>
      <w:sz w:val="20"/>
      <w:szCs w:val="20"/>
    </w:rPr>
  </w:style>
  <w:style w:type="paragraph" w:styleId="Index1">
    <w:name w:val="index 1"/>
    <w:basedOn w:val="Normal"/>
    <w:next w:val="Normal"/>
    <w:semiHidden/>
    <w:rsid w:val="00D02FB9"/>
    <w:pPr>
      <w:ind w:left="260" w:hanging="260"/>
    </w:pPr>
  </w:style>
  <w:style w:type="paragraph" w:styleId="Index2">
    <w:name w:val="index 2"/>
    <w:basedOn w:val="Normal"/>
    <w:next w:val="Normal"/>
    <w:semiHidden/>
    <w:rsid w:val="00D02FB9"/>
    <w:pPr>
      <w:ind w:left="520" w:hanging="260"/>
    </w:pPr>
  </w:style>
  <w:style w:type="paragraph" w:styleId="Index3">
    <w:name w:val="index 3"/>
    <w:basedOn w:val="Normal"/>
    <w:next w:val="Normal"/>
    <w:semiHidden/>
    <w:rsid w:val="00D02FB9"/>
    <w:pPr>
      <w:ind w:left="780" w:hanging="260"/>
    </w:pPr>
  </w:style>
  <w:style w:type="paragraph" w:styleId="Index4">
    <w:name w:val="index 4"/>
    <w:basedOn w:val="Normal"/>
    <w:next w:val="Normal"/>
    <w:semiHidden/>
    <w:rsid w:val="00D02FB9"/>
    <w:pPr>
      <w:ind w:left="1040" w:hanging="260"/>
    </w:pPr>
  </w:style>
  <w:style w:type="paragraph" w:styleId="Index5">
    <w:name w:val="index 5"/>
    <w:basedOn w:val="Normal"/>
    <w:next w:val="Normal"/>
    <w:semiHidden/>
    <w:rsid w:val="00D02FB9"/>
    <w:pPr>
      <w:ind w:left="1300" w:hanging="260"/>
    </w:pPr>
  </w:style>
  <w:style w:type="paragraph" w:styleId="Index6">
    <w:name w:val="index 6"/>
    <w:basedOn w:val="Normal"/>
    <w:next w:val="Normal"/>
    <w:semiHidden/>
    <w:rsid w:val="00D02FB9"/>
    <w:pPr>
      <w:ind w:left="1560" w:hanging="260"/>
    </w:pPr>
  </w:style>
  <w:style w:type="paragraph" w:styleId="Index7">
    <w:name w:val="index 7"/>
    <w:basedOn w:val="Normal"/>
    <w:next w:val="Normal"/>
    <w:semiHidden/>
    <w:rsid w:val="00D02FB9"/>
    <w:pPr>
      <w:ind w:left="1820" w:hanging="260"/>
    </w:pPr>
  </w:style>
  <w:style w:type="paragraph" w:styleId="Index8">
    <w:name w:val="index 8"/>
    <w:basedOn w:val="Normal"/>
    <w:next w:val="Normal"/>
    <w:semiHidden/>
    <w:rsid w:val="00D02FB9"/>
    <w:pPr>
      <w:ind w:left="2080" w:hanging="260"/>
    </w:pPr>
  </w:style>
  <w:style w:type="paragraph" w:styleId="Index9">
    <w:name w:val="index 9"/>
    <w:basedOn w:val="Normal"/>
    <w:next w:val="Normal"/>
    <w:semiHidden/>
    <w:rsid w:val="00D02FB9"/>
    <w:pPr>
      <w:ind w:left="2340" w:hanging="260"/>
    </w:pPr>
  </w:style>
  <w:style w:type="paragraph" w:styleId="IndexHeading">
    <w:name w:val="index heading"/>
    <w:basedOn w:val="Normal"/>
    <w:next w:val="Index1"/>
    <w:semiHidden/>
    <w:rsid w:val="00D02FB9"/>
    <w:rPr>
      <w:rFonts w:ascii="Arial" w:hAnsi="Arial" w:cs="Arial"/>
      <w:b/>
      <w:bCs/>
    </w:rPr>
  </w:style>
  <w:style w:type="paragraph" w:styleId="List">
    <w:name w:val="List"/>
    <w:basedOn w:val="Normal"/>
    <w:rsid w:val="00D02FB9"/>
    <w:pPr>
      <w:ind w:left="360" w:hanging="360"/>
    </w:pPr>
  </w:style>
  <w:style w:type="paragraph" w:styleId="List2">
    <w:name w:val="List 2"/>
    <w:basedOn w:val="Normal"/>
    <w:rsid w:val="00D02FB9"/>
    <w:pPr>
      <w:ind w:left="720" w:hanging="360"/>
    </w:pPr>
  </w:style>
  <w:style w:type="paragraph" w:styleId="List3">
    <w:name w:val="List 3"/>
    <w:basedOn w:val="Normal"/>
    <w:rsid w:val="00D02FB9"/>
    <w:pPr>
      <w:ind w:left="1080" w:hanging="360"/>
    </w:pPr>
  </w:style>
  <w:style w:type="paragraph" w:styleId="List4">
    <w:name w:val="List 4"/>
    <w:basedOn w:val="Normal"/>
    <w:rsid w:val="00D02FB9"/>
    <w:pPr>
      <w:ind w:left="1440" w:hanging="360"/>
    </w:pPr>
  </w:style>
  <w:style w:type="paragraph" w:styleId="List5">
    <w:name w:val="List 5"/>
    <w:basedOn w:val="Normal"/>
    <w:rsid w:val="00D02FB9"/>
    <w:pPr>
      <w:ind w:left="1800" w:hanging="360"/>
    </w:pPr>
  </w:style>
  <w:style w:type="paragraph" w:styleId="ListBullet">
    <w:name w:val="List Bullet"/>
    <w:basedOn w:val="Normal"/>
    <w:rsid w:val="00D02FB9"/>
    <w:pPr>
      <w:numPr>
        <w:numId w:val="3"/>
      </w:numPr>
    </w:pPr>
  </w:style>
  <w:style w:type="paragraph" w:styleId="ListBullet2">
    <w:name w:val="List Bullet 2"/>
    <w:basedOn w:val="Normal"/>
    <w:rsid w:val="00D02FB9"/>
    <w:pPr>
      <w:numPr>
        <w:numId w:val="5"/>
      </w:numPr>
    </w:pPr>
  </w:style>
  <w:style w:type="paragraph" w:styleId="ListBullet3">
    <w:name w:val="List Bullet 3"/>
    <w:basedOn w:val="Normal"/>
    <w:rsid w:val="00D02FB9"/>
    <w:pPr>
      <w:numPr>
        <w:numId w:val="7"/>
      </w:numPr>
    </w:pPr>
  </w:style>
  <w:style w:type="paragraph" w:styleId="ListBullet4">
    <w:name w:val="List Bullet 4"/>
    <w:basedOn w:val="Normal"/>
    <w:rsid w:val="00D02FB9"/>
    <w:pPr>
      <w:numPr>
        <w:numId w:val="9"/>
      </w:numPr>
    </w:pPr>
  </w:style>
  <w:style w:type="paragraph" w:styleId="ListBullet5">
    <w:name w:val="List Bullet 5"/>
    <w:basedOn w:val="Normal"/>
    <w:rsid w:val="00D02FB9"/>
    <w:pPr>
      <w:numPr>
        <w:numId w:val="11"/>
      </w:numPr>
    </w:pPr>
  </w:style>
  <w:style w:type="paragraph" w:styleId="ListContinue">
    <w:name w:val="List Continue"/>
    <w:basedOn w:val="Normal"/>
    <w:semiHidden/>
    <w:rsid w:val="00D02FB9"/>
    <w:pPr>
      <w:widowControl/>
      <w:autoSpaceDE/>
      <w:autoSpaceDN/>
      <w:adjustRightInd/>
      <w:spacing w:after="120"/>
      <w:ind w:left="360"/>
    </w:pPr>
  </w:style>
  <w:style w:type="paragraph" w:styleId="ListContinue2">
    <w:name w:val="List Continue 2"/>
    <w:basedOn w:val="Normal"/>
    <w:rsid w:val="00D02FB9"/>
    <w:pPr>
      <w:spacing w:after="120"/>
      <w:ind w:left="720"/>
    </w:pPr>
  </w:style>
  <w:style w:type="paragraph" w:styleId="ListContinue3">
    <w:name w:val="List Continue 3"/>
    <w:basedOn w:val="Normal"/>
    <w:rsid w:val="00D02FB9"/>
    <w:pPr>
      <w:spacing w:after="120"/>
      <w:ind w:left="1080"/>
    </w:pPr>
  </w:style>
  <w:style w:type="paragraph" w:styleId="ListContinue4">
    <w:name w:val="List Continue 4"/>
    <w:basedOn w:val="Normal"/>
    <w:rsid w:val="00D02FB9"/>
    <w:pPr>
      <w:spacing w:after="120"/>
      <w:ind w:left="1440"/>
    </w:pPr>
  </w:style>
  <w:style w:type="paragraph" w:styleId="ListContinue5">
    <w:name w:val="List Continue 5"/>
    <w:basedOn w:val="Normal"/>
    <w:rsid w:val="00D02FB9"/>
    <w:pPr>
      <w:spacing w:after="120"/>
      <w:ind w:left="1800"/>
    </w:pPr>
  </w:style>
  <w:style w:type="paragraph" w:styleId="ListNumber">
    <w:name w:val="List Number"/>
    <w:basedOn w:val="Normal"/>
    <w:rsid w:val="00D02FB9"/>
    <w:pPr>
      <w:numPr>
        <w:numId w:val="13"/>
      </w:numPr>
    </w:pPr>
  </w:style>
  <w:style w:type="paragraph" w:styleId="ListNumber2">
    <w:name w:val="List Number 2"/>
    <w:basedOn w:val="Normal"/>
    <w:rsid w:val="00D02FB9"/>
    <w:pPr>
      <w:numPr>
        <w:numId w:val="15"/>
      </w:numPr>
    </w:pPr>
  </w:style>
  <w:style w:type="paragraph" w:styleId="ListNumber3">
    <w:name w:val="List Number 3"/>
    <w:basedOn w:val="Normal"/>
    <w:rsid w:val="00D02FB9"/>
    <w:pPr>
      <w:numPr>
        <w:numId w:val="17"/>
      </w:numPr>
    </w:pPr>
  </w:style>
  <w:style w:type="paragraph" w:styleId="ListNumber4">
    <w:name w:val="List Number 4"/>
    <w:basedOn w:val="Normal"/>
    <w:rsid w:val="00D02FB9"/>
    <w:pPr>
      <w:numPr>
        <w:numId w:val="19"/>
      </w:numPr>
    </w:pPr>
  </w:style>
  <w:style w:type="paragraph" w:styleId="ListNumber5">
    <w:name w:val="List Number 5"/>
    <w:basedOn w:val="Normal"/>
    <w:rsid w:val="00D02FB9"/>
    <w:pPr>
      <w:numPr>
        <w:numId w:val="21"/>
      </w:numPr>
    </w:pPr>
  </w:style>
  <w:style w:type="paragraph" w:styleId="MacroText">
    <w:name w:val="macro"/>
    <w:semiHidden/>
    <w:rsid w:val="00D02F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D02F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customStyle="1" w:styleId="myTOC1">
    <w:name w:val="myTOC 1"/>
    <w:basedOn w:val="Normal"/>
    <w:next w:val="Normal"/>
    <w:rsid w:val="00D02FB9"/>
    <w:pPr>
      <w:tabs>
        <w:tab w:val="left" w:leader="dot" w:pos="9648"/>
      </w:tabs>
      <w:spacing w:before="120"/>
    </w:pPr>
    <w:rPr>
      <w:szCs w:val="26"/>
    </w:rPr>
  </w:style>
  <w:style w:type="paragraph" w:customStyle="1" w:styleId="myTOC2">
    <w:name w:val="myTOC 2"/>
    <w:basedOn w:val="Normal"/>
    <w:next w:val="Normal"/>
    <w:rsid w:val="00D02FB9"/>
    <w:pPr>
      <w:tabs>
        <w:tab w:val="left" w:leader="dot" w:pos="9648"/>
      </w:tabs>
      <w:ind w:left="288"/>
    </w:pPr>
    <w:rPr>
      <w:szCs w:val="26"/>
    </w:rPr>
  </w:style>
  <w:style w:type="paragraph" w:customStyle="1" w:styleId="myTOC3">
    <w:name w:val="myTOC 3"/>
    <w:basedOn w:val="Normal"/>
    <w:next w:val="Normal"/>
    <w:rsid w:val="00D02FB9"/>
    <w:pPr>
      <w:tabs>
        <w:tab w:val="left" w:leader="dot" w:pos="9648"/>
      </w:tabs>
      <w:ind w:left="576"/>
    </w:pPr>
    <w:rPr>
      <w:szCs w:val="26"/>
    </w:rPr>
  </w:style>
  <w:style w:type="paragraph" w:customStyle="1" w:styleId="myTOC4">
    <w:name w:val="myTOC 4"/>
    <w:basedOn w:val="Normal"/>
    <w:next w:val="Normal"/>
    <w:rsid w:val="00D02FB9"/>
    <w:pPr>
      <w:tabs>
        <w:tab w:val="left" w:leader="dot" w:pos="9648"/>
      </w:tabs>
      <w:ind w:left="864"/>
    </w:pPr>
    <w:rPr>
      <w:szCs w:val="26"/>
    </w:rPr>
  </w:style>
  <w:style w:type="paragraph" w:customStyle="1" w:styleId="myTOC5">
    <w:name w:val="myTOC 5"/>
    <w:basedOn w:val="Normal"/>
    <w:next w:val="Normal"/>
    <w:rsid w:val="00D02FB9"/>
    <w:pPr>
      <w:tabs>
        <w:tab w:val="left" w:leader="dot" w:pos="9648"/>
      </w:tabs>
      <w:ind w:left="1152"/>
    </w:pPr>
    <w:rPr>
      <w:szCs w:val="26"/>
    </w:rPr>
  </w:style>
  <w:style w:type="paragraph" w:customStyle="1" w:styleId="myTOC6">
    <w:name w:val="myTOC 6"/>
    <w:basedOn w:val="Normal"/>
    <w:next w:val="Normal"/>
    <w:rsid w:val="00D02FB9"/>
    <w:pPr>
      <w:widowControl/>
      <w:tabs>
        <w:tab w:val="left" w:leader="dot" w:pos="9648"/>
      </w:tabs>
      <w:autoSpaceDE/>
      <w:autoSpaceDN/>
      <w:adjustRightInd/>
      <w:ind w:left="1440"/>
    </w:pPr>
    <w:rPr>
      <w:szCs w:val="26"/>
    </w:rPr>
  </w:style>
  <w:style w:type="paragraph" w:customStyle="1" w:styleId="myTOC7">
    <w:name w:val="myTOC 7"/>
    <w:basedOn w:val="Normal"/>
    <w:next w:val="Normal"/>
    <w:rsid w:val="00D02FB9"/>
    <w:pPr>
      <w:widowControl/>
      <w:tabs>
        <w:tab w:val="left" w:leader="dot" w:pos="9648"/>
      </w:tabs>
      <w:autoSpaceDE/>
      <w:autoSpaceDN/>
      <w:adjustRightInd/>
      <w:ind w:left="1728"/>
    </w:pPr>
    <w:rPr>
      <w:szCs w:val="26"/>
    </w:rPr>
  </w:style>
  <w:style w:type="paragraph" w:customStyle="1" w:styleId="myTOC8">
    <w:name w:val="myTOC 8"/>
    <w:basedOn w:val="Normal"/>
    <w:next w:val="Normal"/>
    <w:rsid w:val="00D02FB9"/>
    <w:pPr>
      <w:widowControl/>
      <w:tabs>
        <w:tab w:val="left" w:leader="dot" w:pos="9648"/>
      </w:tabs>
      <w:autoSpaceDE/>
      <w:autoSpaceDN/>
      <w:adjustRightInd/>
      <w:ind w:left="2016"/>
    </w:pPr>
    <w:rPr>
      <w:szCs w:val="26"/>
    </w:rPr>
  </w:style>
  <w:style w:type="paragraph" w:customStyle="1" w:styleId="myTOC9">
    <w:name w:val="myTOC 9"/>
    <w:basedOn w:val="Normal"/>
    <w:next w:val="Normal"/>
    <w:rsid w:val="00D02FB9"/>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D02FB9"/>
    <w:pPr>
      <w:spacing w:after="240"/>
      <w:ind w:left="1440"/>
    </w:pPr>
    <w:rPr>
      <w:b/>
      <w:szCs w:val="26"/>
      <w:u w:val="single"/>
    </w:rPr>
  </w:style>
  <w:style w:type="paragraph" w:styleId="NormalWeb">
    <w:name w:val="Normal (Web)"/>
    <w:basedOn w:val="Normal"/>
    <w:rsid w:val="00D02FB9"/>
    <w:rPr>
      <w:sz w:val="24"/>
    </w:rPr>
  </w:style>
  <w:style w:type="paragraph" w:styleId="NormalIndent">
    <w:name w:val="Normal Indent"/>
    <w:basedOn w:val="Normal"/>
    <w:rsid w:val="00D02FB9"/>
    <w:pPr>
      <w:ind w:left="720"/>
    </w:pPr>
  </w:style>
  <w:style w:type="paragraph" w:styleId="NoteHeading">
    <w:name w:val="Note Heading"/>
    <w:basedOn w:val="Normal"/>
    <w:next w:val="Normal"/>
    <w:rsid w:val="00D02FB9"/>
  </w:style>
  <w:style w:type="character" w:styleId="PageNumber">
    <w:name w:val="page number"/>
    <w:basedOn w:val="DefaultParagraphFont"/>
    <w:rsid w:val="00D02FB9"/>
  </w:style>
  <w:style w:type="paragraph" w:styleId="PlainText">
    <w:name w:val="Plain Text"/>
    <w:basedOn w:val="Normal"/>
    <w:rsid w:val="00D02FB9"/>
    <w:rPr>
      <w:rFonts w:ascii="Courier New" w:hAnsi="Courier New" w:cs="Courier New"/>
      <w:sz w:val="20"/>
      <w:szCs w:val="20"/>
    </w:rPr>
  </w:style>
  <w:style w:type="paragraph" w:styleId="Salutation">
    <w:name w:val="Salutation"/>
    <w:basedOn w:val="Normal"/>
    <w:next w:val="Normal"/>
    <w:rsid w:val="00D02FB9"/>
  </w:style>
  <w:style w:type="paragraph" w:styleId="Signature">
    <w:name w:val="Signature"/>
    <w:basedOn w:val="Normal"/>
    <w:rsid w:val="00D02FB9"/>
    <w:pPr>
      <w:ind w:left="4320"/>
    </w:pPr>
  </w:style>
  <w:style w:type="paragraph" w:styleId="Subtitle">
    <w:name w:val="Subtitle"/>
    <w:basedOn w:val="Normal"/>
    <w:qFormat/>
    <w:rsid w:val="00D02FB9"/>
    <w:pPr>
      <w:spacing w:after="60"/>
      <w:jc w:val="center"/>
      <w:outlineLvl w:val="1"/>
    </w:pPr>
    <w:rPr>
      <w:rFonts w:ascii="Arial" w:hAnsi="Arial" w:cs="Arial"/>
      <w:sz w:val="24"/>
    </w:rPr>
  </w:style>
  <w:style w:type="table" w:styleId="TableGrid">
    <w:name w:val="Table Grid"/>
    <w:basedOn w:val="TableNormal"/>
    <w:rsid w:val="00D02FB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semiHidden/>
    <w:rsid w:val="00D02FB9"/>
    <w:pPr>
      <w:ind w:left="260" w:hanging="260"/>
    </w:pPr>
  </w:style>
  <w:style w:type="paragraph" w:styleId="TableofFigures">
    <w:name w:val="table of figures"/>
    <w:basedOn w:val="Normal"/>
    <w:next w:val="Normal"/>
    <w:semiHidden/>
    <w:rsid w:val="00D02FB9"/>
    <w:pPr>
      <w:ind w:left="520" w:hanging="520"/>
    </w:pPr>
  </w:style>
  <w:style w:type="paragraph" w:styleId="Title">
    <w:name w:val="Title"/>
    <w:basedOn w:val="Normal"/>
    <w:qFormat/>
    <w:rsid w:val="00D02F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02FB9"/>
    <w:pPr>
      <w:spacing w:before="120"/>
    </w:pPr>
    <w:rPr>
      <w:rFonts w:ascii="Arial" w:hAnsi="Arial" w:cs="Arial"/>
      <w:b/>
      <w:bCs/>
      <w:sz w:val="24"/>
    </w:rPr>
  </w:style>
  <w:style w:type="paragraph" w:styleId="TOC1">
    <w:name w:val="toc 1"/>
    <w:basedOn w:val="Normal"/>
    <w:next w:val="Normal"/>
    <w:semiHidden/>
    <w:rsid w:val="00D02FB9"/>
  </w:style>
  <w:style w:type="paragraph" w:styleId="TOC2">
    <w:name w:val="toc 2"/>
    <w:basedOn w:val="Normal"/>
    <w:next w:val="Normal"/>
    <w:semiHidden/>
    <w:rsid w:val="00D02FB9"/>
    <w:pPr>
      <w:ind w:left="260"/>
    </w:pPr>
  </w:style>
  <w:style w:type="paragraph" w:styleId="TOC3">
    <w:name w:val="toc 3"/>
    <w:basedOn w:val="Normal"/>
    <w:next w:val="Normal"/>
    <w:semiHidden/>
    <w:rsid w:val="00D02FB9"/>
    <w:pPr>
      <w:ind w:left="520"/>
    </w:pPr>
  </w:style>
  <w:style w:type="paragraph" w:styleId="TOC4">
    <w:name w:val="toc 4"/>
    <w:basedOn w:val="Normal"/>
    <w:next w:val="Normal"/>
    <w:semiHidden/>
    <w:rsid w:val="00D02FB9"/>
    <w:pPr>
      <w:ind w:left="780"/>
    </w:pPr>
  </w:style>
  <w:style w:type="paragraph" w:styleId="TOC5">
    <w:name w:val="toc 5"/>
    <w:basedOn w:val="Normal"/>
    <w:next w:val="Normal"/>
    <w:semiHidden/>
    <w:rsid w:val="00D02FB9"/>
    <w:pPr>
      <w:ind w:left="1040"/>
    </w:pPr>
  </w:style>
  <w:style w:type="paragraph" w:styleId="TOC6">
    <w:name w:val="toc 6"/>
    <w:basedOn w:val="Normal"/>
    <w:next w:val="Normal"/>
    <w:semiHidden/>
    <w:rsid w:val="00D02FB9"/>
    <w:pPr>
      <w:ind w:left="1300"/>
    </w:pPr>
  </w:style>
  <w:style w:type="paragraph" w:styleId="TOC7">
    <w:name w:val="toc 7"/>
    <w:basedOn w:val="Normal"/>
    <w:next w:val="Normal"/>
    <w:semiHidden/>
    <w:rsid w:val="00D02FB9"/>
    <w:pPr>
      <w:ind w:left="1560"/>
    </w:pPr>
  </w:style>
  <w:style w:type="paragraph" w:styleId="TOC8">
    <w:name w:val="toc 8"/>
    <w:basedOn w:val="Normal"/>
    <w:next w:val="Normal"/>
    <w:semiHidden/>
    <w:rsid w:val="00D02FB9"/>
    <w:pPr>
      <w:ind w:left="1820"/>
    </w:pPr>
  </w:style>
  <w:style w:type="paragraph" w:styleId="TOC9">
    <w:name w:val="toc 9"/>
    <w:basedOn w:val="Normal"/>
    <w:next w:val="Normal"/>
    <w:semiHidden/>
    <w:rsid w:val="00D02FB9"/>
    <w:pPr>
      <w:ind w:left="2080"/>
    </w:pPr>
  </w:style>
  <w:style w:type="paragraph" w:styleId="Bibliography">
    <w:name w:val="Bibliography"/>
    <w:basedOn w:val="Normal"/>
    <w:next w:val="Normal"/>
    <w:uiPriority w:val="37"/>
    <w:semiHidden/>
    <w:unhideWhenUsed/>
    <w:rsid w:val="008903D9"/>
  </w:style>
  <w:style w:type="paragraph" w:styleId="IntenseQuote">
    <w:name w:val="Intense Quote"/>
    <w:basedOn w:val="Normal"/>
    <w:next w:val="Normal"/>
    <w:link w:val="IntenseQuoteChar"/>
    <w:uiPriority w:val="30"/>
    <w:qFormat/>
    <w:rsid w:val="008903D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903D9"/>
    <w:rPr>
      <w:b/>
      <w:bCs/>
      <w:i/>
      <w:iCs/>
      <w:color w:val="4F81BD"/>
      <w:sz w:val="26"/>
      <w:szCs w:val="24"/>
    </w:rPr>
  </w:style>
  <w:style w:type="paragraph" w:styleId="ListParagraph">
    <w:name w:val="List Paragraph"/>
    <w:basedOn w:val="Normal"/>
    <w:uiPriority w:val="34"/>
    <w:qFormat/>
    <w:rsid w:val="008903D9"/>
    <w:pPr>
      <w:ind w:left="720"/>
    </w:pPr>
  </w:style>
  <w:style w:type="paragraph" w:styleId="NoSpacing">
    <w:name w:val="No Spacing"/>
    <w:uiPriority w:val="1"/>
    <w:qFormat/>
    <w:rsid w:val="008903D9"/>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8903D9"/>
    <w:rPr>
      <w:i/>
      <w:iCs/>
      <w:color w:val="000000"/>
    </w:rPr>
  </w:style>
  <w:style w:type="character" w:customStyle="1" w:styleId="QuoteChar">
    <w:name w:val="Quote Char"/>
    <w:link w:val="Quote"/>
    <w:uiPriority w:val="29"/>
    <w:rsid w:val="008903D9"/>
    <w:rPr>
      <w:i/>
      <w:iCs/>
      <w:color w:val="000000"/>
      <w:sz w:val="26"/>
      <w:szCs w:val="24"/>
    </w:rPr>
  </w:style>
  <w:style w:type="paragraph" w:styleId="TOCHeading">
    <w:name w:val="TOC Heading"/>
    <w:basedOn w:val="Heading1"/>
    <w:next w:val="Normal"/>
    <w:uiPriority w:val="39"/>
    <w:qFormat/>
    <w:rsid w:val="008903D9"/>
    <w:pPr>
      <w:keepLines w:val="0"/>
      <w:widowControl w:val="0"/>
      <w:spacing w:before="240" w:after="60"/>
      <w:outlineLvl w:val="9"/>
    </w:pPr>
    <w:rPr>
      <w:rFonts w:ascii="Cambria" w:hAnsi="Cambria"/>
      <w:sz w:val="32"/>
      <w:u w:val="none"/>
    </w:rPr>
  </w:style>
  <w:style w:type="character" w:styleId="Hyperlink">
    <w:name w:val="Hyperlink"/>
    <w:rsid w:val="004B1584"/>
    <w:rPr>
      <w:color w:val="0000FF"/>
      <w:u w:val="single"/>
    </w:rPr>
  </w:style>
  <w:style w:type="character" w:customStyle="1" w:styleId="FootnoteTextChar3">
    <w:name w:val="Footnote Text Char3"/>
    <w:aliases w:val="fn Char,Footnote Text Char Char1,Footnote Text Char1 Char1,Footnote Text Char Char Char1,Footnote Text Char1 Char Char,Footnote Text Char Char Char Char,ft Char Char,Footnote Text Char3 Char Char Char Char,Footnote Text Char2 Char"/>
    <w:link w:val="FootnoteText"/>
    <w:rsid w:val="004B3963"/>
    <w:rPr>
      <w:sz w:val="26"/>
      <w:lang w:val="en-US" w:eastAsia="en-US" w:bidi="ar-SA"/>
    </w:rPr>
  </w:style>
  <w:style w:type="character" w:customStyle="1" w:styleId="FERCparanumberChar1">
    <w:name w:val="FERC paranumber Char1"/>
    <w:link w:val="FERCparanumber"/>
    <w:rsid w:val="004B3963"/>
    <w:rPr>
      <w:sz w:val="26"/>
      <w:szCs w:val="24"/>
      <w:lang w:val="en-US" w:eastAsia="en-US" w:bidi="ar-SA"/>
    </w:rPr>
  </w:style>
  <w:style w:type="character" w:customStyle="1" w:styleId="Heading3Char">
    <w:name w:val="Heading 3 Char"/>
    <w:link w:val="Heading3"/>
    <w:rsid w:val="00DD4118"/>
    <w:rPr>
      <w:b/>
      <w:bCs/>
      <w:kern w:val="32"/>
      <w:sz w:val="26"/>
      <w:szCs w:val="26"/>
      <w:u w:val="single"/>
      <w:lang w:val="en-US" w:eastAsia="en-US" w:bidi="ar-SA"/>
    </w:rPr>
  </w:style>
  <w:style w:type="paragraph" w:customStyle="1" w:styleId="Default">
    <w:name w:val="Default"/>
    <w:rsid w:val="00332B60"/>
    <w:pPr>
      <w:widowControl w:val="0"/>
      <w:autoSpaceDE w:val="0"/>
      <w:autoSpaceDN w:val="0"/>
      <w:adjustRightInd w:val="0"/>
    </w:pPr>
    <w:rPr>
      <w:rFonts w:ascii="Arial" w:hAnsi="Arial" w:cs="Arial"/>
      <w:color w:val="000000"/>
      <w:sz w:val="24"/>
      <w:szCs w:val="24"/>
    </w:rPr>
  </w:style>
  <w:style w:type="character" w:customStyle="1" w:styleId="FERCparanumberChar">
    <w:name w:val="FERC paranumber Char"/>
    <w:rsid w:val="00CD2B46"/>
    <w:rPr>
      <w:sz w:val="26"/>
      <w:szCs w:val="24"/>
      <w:lang w:val="en-US" w:eastAsia="en-US" w:bidi="ar-SA"/>
    </w:rPr>
  </w:style>
  <w:style w:type="paragraph" w:customStyle="1" w:styleId="LegalFormat">
    <w:name w:val="Legal Format"/>
    <w:basedOn w:val="ListContinue"/>
    <w:rsid w:val="00CC0AAA"/>
    <w:pPr>
      <w:widowControl w:val="0"/>
      <w:spacing w:after="0" w:line="480" w:lineRule="auto"/>
      <w:ind w:left="0"/>
    </w:pPr>
    <w:rPr>
      <w:szCs w:val="26"/>
    </w:rPr>
  </w:style>
  <w:style w:type="paragraph" w:customStyle="1" w:styleId="hp">
    <w:name w:val="hp"/>
    <w:basedOn w:val="Normal"/>
    <w:rsid w:val="00055C40"/>
    <w:pPr>
      <w:widowControl/>
      <w:autoSpaceDE/>
      <w:autoSpaceDN/>
      <w:adjustRightInd/>
      <w:spacing w:before="100" w:beforeAutospacing="1" w:after="100" w:afterAutospacing="1"/>
    </w:pPr>
    <w:rPr>
      <w:sz w:val="24"/>
    </w:rPr>
  </w:style>
  <w:style w:type="character" w:customStyle="1" w:styleId="docsearchterm">
    <w:name w:val="docsearchterm"/>
    <w:rsid w:val="00055C40"/>
  </w:style>
  <w:style w:type="paragraph" w:styleId="Revision">
    <w:name w:val="Revision"/>
    <w:hidden/>
    <w:uiPriority w:val="99"/>
    <w:semiHidden/>
    <w:rsid w:val="00AC01E5"/>
    <w:rPr>
      <w:sz w:val="26"/>
      <w:szCs w:val="24"/>
    </w:rPr>
  </w:style>
  <w:style w:type="paragraph" w:customStyle="1" w:styleId="Standard">
    <w:name w:val="Standard"/>
    <w:rsid w:val="00F57B30"/>
    <w:pPr>
      <w:autoSpaceDE w:val="0"/>
      <w:autoSpaceDN w:val="0"/>
      <w:adjustRightInd w:val="0"/>
    </w:pPr>
    <w:rPr>
      <w:rFonts w:ascii="Arial" w:hAnsi="Arial" w:cs="Arial"/>
    </w:rPr>
  </w:style>
  <w:style w:type="character" w:styleId="FollowedHyperlink">
    <w:name w:val="FollowedHyperlink"/>
    <w:rsid w:val="00544C5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D02FB9"/>
    <w:pPr>
      <w:widowControl w:val="0"/>
      <w:autoSpaceDE w:val="0"/>
      <w:autoSpaceDN w:val="0"/>
      <w:adjustRightInd w:val="0"/>
    </w:pPr>
    <w:rPr>
      <w:sz w:val="26"/>
      <w:szCs w:val="24"/>
    </w:rPr>
  </w:style>
  <w:style w:type="paragraph" w:styleId="Heading1">
    <w:name w:val="heading 1"/>
    <w:basedOn w:val="Normal"/>
    <w:next w:val="FERCparanumber"/>
    <w:qFormat/>
    <w:rsid w:val="004B1584"/>
    <w:pPr>
      <w:keepNext/>
      <w:keepLines/>
      <w:widowControl/>
      <w:numPr>
        <w:numId w:val="22"/>
      </w:numPr>
      <w:spacing w:after="260"/>
      <w:outlineLvl w:val="0"/>
    </w:pPr>
    <w:rPr>
      <w:b/>
      <w:bCs/>
      <w:kern w:val="32"/>
      <w:szCs w:val="32"/>
      <w:u w:val="single"/>
    </w:rPr>
  </w:style>
  <w:style w:type="paragraph" w:styleId="Heading2">
    <w:name w:val="heading 2"/>
    <w:basedOn w:val="Normal"/>
    <w:next w:val="FERCparanumber"/>
    <w:qFormat/>
    <w:rsid w:val="004B1584"/>
    <w:pPr>
      <w:keepNext/>
      <w:keepLines/>
      <w:widowControl/>
      <w:numPr>
        <w:ilvl w:val="1"/>
        <w:numId w:val="22"/>
      </w:numPr>
      <w:spacing w:after="260"/>
      <w:outlineLvl w:val="1"/>
    </w:pPr>
    <w:rPr>
      <w:b/>
      <w:bCs/>
      <w:iCs/>
      <w:kern w:val="32"/>
      <w:szCs w:val="28"/>
      <w:u w:val="single"/>
    </w:rPr>
  </w:style>
  <w:style w:type="paragraph" w:styleId="Heading3">
    <w:name w:val="heading 3"/>
    <w:basedOn w:val="Normal"/>
    <w:next w:val="FERCparanumber"/>
    <w:link w:val="Heading3Char"/>
    <w:qFormat/>
    <w:rsid w:val="004B1584"/>
    <w:pPr>
      <w:keepNext/>
      <w:keepLines/>
      <w:widowControl/>
      <w:numPr>
        <w:ilvl w:val="2"/>
        <w:numId w:val="22"/>
      </w:numPr>
      <w:spacing w:after="260"/>
      <w:outlineLvl w:val="2"/>
    </w:pPr>
    <w:rPr>
      <w:b/>
      <w:bCs/>
      <w:kern w:val="32"/>
      <w:szCs w:val="26"/>
      <w:u w:val="single"/>
    </w:rPr>
  </w:style>
  <w:style w:type="paragraph" w:styleId="Heading4">
    <w:name w:val="heading 4"/>
    <w:basedOn w:val="Normal"/>
    <w:next w:val="FERCparanumber"/>
    <w:qFormat/>
    <w:rsid w:val="004B1584"/>
    <w:pPr>
      <w:keepNext/>
      <w:keepLines/>
      <w:widowControl/>
      <w:numPr>
        <w:ilvl w:val="3"/>
        <w:numId w:val="22"/>
      </w:numPr>
      <w:spacing w:after="260"/>
      <w:outlineLvl w:val="3"/>
    </w:pPr>
    <w:rPr>
      <w:b/>
      <w:bCs/>
      <w:kern w:val="32"/>
      <w:szCs w:val="28"/>
      <w:u w:val="single"/>
    </w:rPr>
  </w:style>
  <w:style w:type="paragraph" w:styleId="Heading5">
    <w:name w:val="heading 5"/>
    <w:basedOn w:val="Normal"/>
    <w:next w:val="FERCparanumber"/>
    <w:qFormat/>
    <w:rsid w:val="004B1584"/>
    <w:pPr>
      <w:keepNext/>
      <w:keepLines/>
      <w:widowControl/>
      <w:numPr>
        <w:ilvl w:val="4"/>
        <w:numId w:val="22"/>
      </w:numPr>
      <w:spacing w:after="260"/>
      <w:outlineLvl w:val="4"/>
    </w:pPr>
    <w:rPr>
      <w:b/>
      <w:bCs/>
      <w:iCs/>
      <w:kern w:val="32"/>
      <w:szCs w:val="26"/>
      <w:u w:val="single"/>
    </w:rPr>
  </w:style>
  <w:style w:type="paragraph" w:styleId="Heading6">
    <w:name w:val="heading 6"/>
    <w:basedOn w:val="Normal"/>
    <w:next w:val="FERCparanumber"/>
    <w:qFormat/>
    <w:rsid w:val="004B1584"/>
    <w:pPr>
      <w:keepNext/>
      <w:keepLines/>
      <w:widowControl/>
      <w:numPr>
        <w:ilvl w:val="5"/>
        <w:numId w:val="22"/>
      </w:numPr>
      <w:spacing w:after="260"/>
      <w:outlineLvl w:val="5"/>
    </w:pPr>
    <w:rPr>
      <w:b/>
      <w:bCs/>
      <w:kern w:val="32"/>
      <w:szCs w:val="22"/>
      <w:u w:val="single"/>
    </w:rPr>
  </w:style>
  <w:style w:type="paragraph" w:styleId="Heading7">
    <w:name w:val="heading 7"/>
    <w:basedOn w:val="Normal"/>
    <w:next w:val="FERCparanumber"/>
    <w:qFormat/>
    <w:rsid w:val="004B1584"/>
    <w:pPr>
      <w:numPr>
        <w:ilvl w:val="6"/>
        <w:numId w:val="22"/>
      </w:numPr>
      <w:spacing w:after="260"/>
      <w:outlineLvl w:val="6"/>
    </w:pPr>
    <w:rPr>
      <w:b/>
      <w:kern w:val="32"/>
      <w:u w:val="single"/>
    </w:rPr>
  </w:style>
  <w:style w:type="paragraph" w:styleId="Heading8">
    <w:name w:val="heading 8"/>
    <w:basedOn w:val="Normal"/>
    <w:next w:val="FERCparanumber"/>
    <w:qFormat/>
    <w:rsid w:val="004B1584"/>
    <w:pPr>
      <w:keepNext/>
      <w:keepLines/>
      <w:widowControl/>
      <w:numPr>
        <w:ilvl w:val="7"/>
        <w:numId w:val="22"/>
      </w:numPr>
      <w:spacing w:after="260"/>
      <w:outlineLvl w:val="7"/>
    </w:pPr>
    <w:rPr>
      <w:b/>
      <w:iCs/>
      <w:kern w:val="32"/>
      <w:u w:val="single"/>
    </w:rPr>
  </w:style>
  <w:style w:type="paragraph" w:styleId="Heading9">
    <w:name w:val="heading 9"/>
    <w:basedOn w:val="Normal"/>
    <w:next w:val="FERCparanumber"/>
    <w:qFormat/>
    <w:rsid w:val="004B1584"/>
    <w:pPr>
      <w:keepNext/>
      <w:keepLines/>
      <w:widowControl/>
      <w:numPr>
        <w:ilvl w:val="8"/>
        <w:numId w:val="22"/>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2FB9"/>
    <w:rPr>
      <w:rFonts w:ascii="Tahoma" w:hAnsi="Tahoma" w:cs="Tahoma"/>
      <w:sz w:val="16"/>
      <w:szCs w:val="16"/>
    </w:rPr>
  </w:style>
  <w:style w:type="paragraph" w:customStyle="1" w:styleId="BlockIndent">
    <w:name w:val="Block Indent"/>
    <w:basedOn w:val="Normal"/>
    <w:next w:val="Normal"/>
    <w:rsid w:val="00D02FB9"/>
    <w:pPr>
      <w:widowControl/>
      <w:spacing w:after="240"/>
      <w:ind w:left="1440" w:right="1440"/>
    </w:pPr>
  </w:style>
  <w:style w:type="paragraph" w:styleId="BlockText">
    <w:name w:val="Block Text"/>
    <w:basedOn w:val="Normal"/>
    <w:rsid w:val="00D02FB9"/>
    <w:pPr>
      <w:spacing w:after="120"/>
      <w:ind w:left="1440" w:right="1440"/>
    </w:pPr>
  </w:style>
  <w:style w:type="paragraph" w:styleId="FootnoteText">
    <w:name w:val="footnote text"/>
    <w:aliases w:val="fn,Footnote Text Char,Footnote Text Char1,Footnote Text Char Char,Footnote Text Char1 Char,Footnote Text Char Char Char,ft Char,Footnote Text Char3 Char Char Char,Footnote Text Char Char1 Char Char Char,Footnote Text Char2,ft,fn1,fn Cha"/>
    <w:basedOn w:val="Normal"/>
    <w:link w:val="FootnoteTextChar3"/>
    <w:rsid w:val="00D02FB9"/>
    <w:pPr>
      <w:spacing w:after="240"/>
      <w:ind w:firstLine="720"/>
    </w:pPr>
    <w:rPr>
      <w:szCs w:val="20"/>
    </w:rPr>
  </w:style>
  <w:style w:type="paragraph" w:customStyle="1" w:styleId="BodyFootnote">
    <w:name w:val="Body Footnote"/>
    <w:basedOn w:val="FootnoteText"/>
    <w:rsid w:val="00D02FB9"/>
    <w:rPr>
      <w:szCs w:val="26"/>
    </w:rPr>
  </w:style>
  <w:style w:type="paragraph" w:styleId="BodyText">
    <w:name w:val="Body Text"/>
    <w:basedOn w:val="Normal"/>
    <w:rsid w:val="00D02FB9"/>
    <w:pPr>
      <w:spacing w:after="120"/>
    </w:pPr>
  </w:style>
  <w:style w:type="paragraph" w:styleId="BodyText2">
    <w:name w:val="Body Text 2"/>
    <w:basedOn w:val="Normal"/>
    <w:rsid w:val="00D02FB9"/>
    <w:pPr>
      <w:spacing w:after="120" w:line="480" w:lineRule="auto"/>
    </w:pPr>
  </w:style>
  <w:style w:type="paragraph" w:styleId="BodyText3">
    <w:name w:val="Body Text 3"/>
    <w:basedOn w:val="Normal"/>
    <w:rsid w:val="00D02FB9"/>
    <w:pPr>
      <w:spacing w:after="120"/>
    </w:pPr>
    <w:rPr>
      <w:sz w:val="16"/>
      <w:szCs w:val="16"/>
    </w:rPr>
  </w:style>
  <w:style w:type="paragraph" w:styleId="BodyTextFirstIndent">
    <w:name w:val="Body Text First Indent"/>
    <w:basedOn w:val="BodyText"/>
    <w:rsid w:val="00D02FB9"/>
    <w:pPr>
      <w:ind w:firstLine="210"/>
    </w:pPr>
  </w:style>
  <w:style w:type="paragraph" w:styleId="BodyTextIndent">
    <w:name w:val="Body Text Indent"/>
    <w:basedOn w:val="Normal"/>
    <w:rsid w:val="00D02FB9"/>
    <w:pPr>
      <w:spacing w:after="120"/>
      <w:ind w:left="360"/>
    </w:pPr>
  </w:style>
  <w:style w:type="paragraph" w:styleId="BodyTextFirstIndent2">
    <w:name w:val="Body Text First Indent 2"/>
    <w:basedOn w:val="BodyTextIndent"/>
    <w:rsid w:val="00D02FB9"/>
    <w:pPr>
      <w:ind w:firstLine="210"/>
    </w:pPr>
  </w:style>
  <w:style w:type="paragraph" w:styleId="BodyTextIndent2">
    <w:name w:val="Body Text Indent 2"/>
    <w:basedOn w:val="Normal"/>
    <w:rsid w:val="00D02FB9"/>
    <w:pPr>
      <w:spacing w:after="120" w:line="480" w:lineRule="auto"/>
      <w:ind w:left="360"/>
    </w:pPr>
  </w:style>
  <w:style w:type="paragraph" w:styleId="BodyTextIndent3">
    <w:name w:val="Body Text Indent 3"/>
    <w:basedOn w:val="Normal"/>
    <w:rsid w:val="00D02FB9"/>
    <w:pPr>
      <w:spacing w:after="120"/>
      <w:ind w:left="360"/>
    </w:pPr>
    <w:rPr>
      <w:sz w:val="16"/>
      <w:szCs w:val="16"/>
    </w:rPr>
  </w:style>
  <w:style w:type="paragraph" w:styleId="Caption">
    <w:name w:val="caption"/>
    <w:basedOn w:val="Normal"/>
    <w:next w:val="Normal"/>
    <w:qFormat/>
    <w:rsid w:val="00D02FB9"/>
    <w:pPr>
      <w:spacing w:before="120" w:after="120"/>
    </w:pPr>
    <w:rPr>
      <w:b/>
      <w:bCs/>
      <w:sz w:val="20"/>
      <w:szCs w:val="20"/>
    </w:rPr>
  </w:style>
  <w:style w:type="paragraph" w:styleId="Closing">
    <w:name w:val="Closing"/>
    <w:basedOn w:val="Normal"/>
    <w:rsid w:val="00D02FB9"/>
    <w:pPr>
      <w:ind w:left="4320"/>
    </w:pPr>
  </w:style>
  <w:style w:type="paragraph" w:styleId="CommentText">
    <w:name w:val="annotation text"/>
    <w:basedOn w:val="Normal"/>
    <w:semiHidden/>
    <w:rsid w:val="00D02FB9"/>
    <w:rPr>
      <w:sz w:val="20"/>
      <w:szCs w:val="20"/>
    </w:rPr>
  </w:style>
  <w:style w:type="paragraph" w:styleId="CommentSubject">
    <w:name w:val="annotation subject"/>
    <w:basedOn w:val="CommentText"/>
    <w:next w:val="CommentText"/>
    <w:semiHidden/>
    <w:rsid w:val="00D02FB9"/>
    <w:rPr>
      <w:b/>
      <w:bCs/>
    </w:rPr>
  </w:style>
  <w:style w:type="paragraph" w:styleId="Date">
    <w:name w:val="Date"/>
    <w:basedOn w:val="Normal"/>
    <w:next w:val="Normal"/>
    <w:rsid w:val="00D02FB9"/>
  </w:style>
  <w:style w:type="paragraph" w:styleId="DocumentMap">
    <w:name w:val="Document Map"/>
    <w:basedOn w:val="Normal"/>
    <w:semiHidden/>
    <w:rsid w:val="00D02FB9"/>
    <w:pPr>
      <w:shd w:val="clear" w:color="auto" w:fill="000080"/>
    </w:pPr>
    <w:rPr>
      <w:rFonts w:ascii="Tahoma" w:hAnsi="Tahoma" w:cs="Tahoma"/>
    </w:rPr>
  </w:style>
  <w:style w:type="paragraph" w:styleId="E-mailSignature">
    <w:name w:val="E-mail Signature"/>
    <w:basedOn w:val="Normal"/>
    <w:rsid w:val="00D02FB9"/>
  </w:style>
  <w:style w:type="paragraph" w:styleId="EndnoteText">
    <w:name w:val="endnote text"/>
    <w:basedOn w:val="Normal"/>
    <w:semiHidden/>
    <w:rsid w:val="00D02FB9"/>
    <w:rPr>
      <w:sz w:val="20"/>
      <w:szCs w:val="20"/>
    </w:rPr>
  </w:style>
  <w:style w:type="paragraph" w:styleId="EnvelopeAddress">
    <w:name w:val="envelope address"/>
    <w:basedOn w:val="Normal"/>
    <w:rsid w:val="00D02FB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D02FB9"/>
    <w:rPr>
      <w:rFonts w:ascii="Arial" w:hAnsi="Arial" w:cs="Arial"/>
      <w:sz w:val="20"/>
      <w:szCs w:val="20"/>
    </w:rPr>
  </w:style>
  <w:style w:type="paragraph" w:customStyle="1" w:styleId="FERCparanumber">
    <w:name w:val="FERC paranumber"/>
    <w:basedOn w:val="Normal"/>
    <w:link w:val="FERCparanumberChar1"/>
    <w:rsid w:val="00D02FB9"/>
    <w:pPr>
      <w:widowControl/>
      <w:numPr>
        <w:numId w:val="1"/>
      </w:numPr>
      <w:spacing w:line="480" w:lineRule="auto"/>
    </w:pPr>
  </w:style>
  <w:style w:type="paragraph" w:styleId="Footer">
    <w:name w:val="footer"/>
    <w:basedOn w:val="Normal"/>
    <w:rsid w:val="00D02FB9"/>
    <w:pPr>
      <w:tabs>
        <w:tab w:val="center" w:pos="4320"/>
        <w:tab w:val="right" w:pos="8640"/>
      </w:tabs>
    </w:pPr>
  </w:style>
  <w:style w:type="character" w:styleId="FootnoteReference">
    <w:name w:val="footnote reference"/>
    <w:aliases w:val="o,fr,Style 17,o1,fr1,o2,fr2,o3,fr3,Style 13,Style 12,Style 15,Style 9,Style 18,(NECG) Footnote Reference,Style 20,Style 7,Style 8,Style 19,Style 28,Styl,Style 11,Style 16,Style 5"/>
    <w:rsid w:val="00D02FB9"/>
    <w:rPr>
      <w:rFonts w:ascii="Times New Roman" w:hAnsi="Times New Roman"/>
      <w:b/>
      <w:dstrike w:val="0"/>
      <w:sz w:val="26"/>
      <w:szCs w:val="26"/>
      <w:vertAlign w:val="superscript"/>
    </w:rPr>
  </w:style>
  <w:style w:type="paragraph" w:styleId="Header">
    <w:name w:val="header"/>
    <w:basedOn w:val="Normal"/>
    <w:rsid w:val="00D02FB9"/>
    <w:pPr>
      <w:tabs>
        <w:tab w:val="right" w:pos="8640"/>
      </w:tabs>
      <w:spacing w:after="120"/>
    </w:pPr>
  </w:style>
  <w:style w:type="paragraph" w:styleId="HTMLAddress">
    <w:name w:val="HTML Address"/>
    <w:basedOn w:val="Normal"/>
    <w:rsid w:val="00D02FB9"/>
    <w:rPr>
      <w:i/>
      <w:iCs/>
    </w:rPr>
  </w:style>
  <w:style w:type="paragraph" w:styleId="HTMLPreformatted">
    <w:name w:val="HTML Preformatted"/>
    <w:basedOn w:val="Normal"/>
    <w:rsid w:val="00D02FB9"/>
    <w:rPr>
      <w:rFonts w:ascii="Courier New" w:hAnsi="Courier New" w:cs="Courier New"/>
      <w:sz w:val="20"/>
      <w:szCs w:val="20"/>
    </w:rPr>
  </w:style>
  <w:style w:type="paragraph" w:styleId="Index1">
    <w:name w:val="index 1"/>
    <w:basedOn w:val="Normal"/>
    <w:next w:val="Normal"/>
    <w:semiHidden/>
    <w:rsid w:val="00D02FB9"/>
    <w:pPr>
      <w:ind w:left="260" w:hanging="260"/>
    </w:pPr>
  </w:style>
  <w:style w:type="paragraph" w:styleId="Index2">
    <w:name w:val="index 2"/>
    <w:basedOn w:val="Normal"/>
    <w:next w:val="Normal"/>
    <w:semiHidden/>
    <w:rsid w:val="00D02FB9"/>
    <w:pPr>
      <w:ind w:left="520" w:hanging="260"/>
    </w:pPr>
  </w:style>
  <w:style w:type="paragraph" w:styleId="Index3">
    <w:name w:val="index 3"/>
    <w:basedOn w:val="Normal"/>
    <w:next w:val="Normal"/>
    <w:semiHidden/>
    <w:rsid w:val="00D02FB9"/>
    <w:pPr>
      <w:ind w:left="780" w:hanging="260"/>
    </w:pPr>
  </w:style>
  <w:style w:type="paragraph" w:styleId="Index4">
    <w:name w:val="index 4"/>
    <w:basedOn w:val="Normal"/>
    <w:next w:val="Normal"/>
    <w:semiHidden/>
    <w:rsid w:val="00D02FB9"/>
    <w:pPr>
      <w:ind w:left="1040" w:hanging="260"/>
    </w:pPr>
  </w:style>
  <w:style w:type="paragraph" w:styleId="Index5">
    <w:name w:val="index 5"/>
    <w:basedOn w:val="Normal"/>
    <w:next w:val="Normal"/>
    <w:semiHidden/>
    <w:rsid w:val="00D02FB9"/>
    <w:pPr>
      <w:ind w:left="1300" w:hanging="260"/>
    </w:pPr>
  </w:style>
  <w:style w:type="paragraph" w:styleId="Index6">
    <w:name w:val="index 6"/>
    <w:basedOn w:val="Normal"/>
    <w:next w:val="Normal"/>
    <w:semiHidden/>
    <w:rsid w:val="00D02FB9"/>
    <w:pPr>
      <w:ind w:left="1560" w:hanging="260"/>
    </w:pPr>
  </w:style>
  <w:style w:type="paragraph" w:styleId="Index7">
    <w:name w:val="index 7"/>
    <w:basedOn w:val="Normal"/>
    <w:next w:val="Normal"/>
    <w:semiHidden/>
    <w:rsid w:val="00D02FB9"/>
    <w:pPr>
      <w:ind w:left="1820" w:hanging="260"/>
    </w:pPr>
  </w:style>
  <w:style w:type="paragraph" w:styleId="Index8">
    <w:name w:val="index 8"/>
    <w:basedOn w:val="Normal"/>
    <w:next w:val="Normal"/>
    <w:semiHidden/>
    <w:rsid w:val="00D02FB9"/>
    <w:pPr>
      <w:ind w:left="2080" w:hanging="260"/>
    </w:pPr>
  </w:style>
  <w:style w:type="paragraph" w:styleId="Index9">
    <w:name w:val="index 9"/>
    <w:basedOn w:val="Normal"/>
    <w:next w:val="Normal"/>
    <w:semiHidden/>
    <w:rsid w:val="00D02FB9"/>
    <w:pPr>
      <w:ind w:left="2340" w:hanging="260"/>
    </w:pPr>
  </w:style>
  <w:style w:type="paragraph" w:styleId="IndexHeading">
    <w:name w:val="index heading"/>
    <w:basedOn w:val="Normal"/>
    <w:next w:val="Index1"/>
    <w:semiHidden/>
    <w:rsid w:val="00D02FB9"/>
    <w:rPr>
      <w:rFonts w:ascii="Arial" w:hAnsi="Arial" w:cs="Arial"/>
      <w:b/>
      <w:bCs/>
    </w:rPr>
  </w:style>
  <w:style w:type="paragraph" w:styleId="List">
    <w:name w:val="List"/>
    <w:basedOn w:val="Normal"/>
    <w:rsid w:val="00D02FB9"/>
    <w:pPr>
      <w:ind w:left="360" w:hanging="360"/>
    </w:pPr>
  </w:style>
  <w:style w:type="paragraph" w:styleId="List2">
    <w:name w:val="List 2"/>
    <w:basedOn w:val="Normal"/>
    <w:rsid w:val="00D02FB9"/>
    <w:pPr>
      <w:ind w:left="720" w:hanging="360"/>
    </w:pPr>
  </w:style>
  <w:style w:type="paragraph" w:styleId="List3">
    <w:name w:val="List 3"/>
    <w:basedOn w:val="Normal"/>
    <w:rsid w:val="00D02FB9"/>
    <w:pPr>
      <w:ind w:left="1080" w:hanging="360"/>
    </w:pPr>
  </w:style>
  <w:style w:type="paragraph" w:styleId="List4">
    <w:name w:val="List 4"/>
    <w:basedOn w:val="Normal"/>
    <w:rsid w:val="00D02FB9"/>
    <w:pPr>
      <w:ind w:left="1440" w:hanging="360"/>
    </w:pPr>
  </w:style>
  <w:style w:type="paragraph" w:styleId="List5">
    <w:name w:val="List 5"/>
    <w:basedOn w:val="Normal"/>
    <w:rsid w:val="00D02FB9"/>
    <w:pPr>
      <w:ind w:left="1800" w:hanging="360"/>
    </w:pPr>
  </w:style>
  <w:style w:type="paragraph" w:styleId="ListBullet">
    <w:name w:val="List Bullet"/>
    <w:basedOn w:val="Normal"/>
    <w:rsid w:val="00D02FB9"/>
    <w:pPr>
      <w:numPr>
        <w:numId w:val="3"/>
      </w:numPr>
    </w:pPr>
  </w:style>
  <w:style w:type="paragraph" w:styleId="ListBullet2">
    <w:name w:val="List Bullet 2"/>
    <w:basedOn w:val="Normal"/>
    <w:rsid w:val="00D02FB9"/>
    <w:pPr>
      <w:numPr>
        <w:numId w:val="5"/>
      </w:numPr>
    </w:pPr>
  </w:style>
  <w:style w:type="paragraph" w:styleId="ListBullet3">
    <w:name w:val="List Bullet 3"/>
    <w:basedOn w:val="Normal"/>
    <w:rsid w:val="00D02FB9"/>
    <w:pPr>
      <w:numPr>
        <w:numId w:val="7"/>
      </w:numPr>
    </w:pPr>
  </w:style>
  <w:style w:type="paragraph" w:styleId="ListBullet4">
    <w:name w:val="List Bullet 4"/>
    <w:basedOn w:val="Normal"/>
    <w:rsid w:val="00D02FB9"/>
    <w:pPr>
      <w:numPr>
        <w:numId w:val="9"/>
      </w:numPr>
    </w:pPr>
  </w:style>
  <w:style w:type="paragraph" w:styleId="ListBullet5">
    <w:name w:val="List Bullet 5"/>
    <w:basedOn w:val="Normal"/>
    <w:rsid w:val="00D02FB9"/>
    <w:pPr>
      <w:numPr>
        <w:numId w:val="11"/>
      </w:numPr>
    </w:pPr>
  </w:style>
  <w:style w:type="paragraph" w:styleId="ListContinue">
    <w:name w:val="List Continue"/>
    <w:basedOn w:val="Normal"/>
    <w:semiHidden/>
    <w:rsid w:val="00D02FB9"/>
    <w:pPr>
      <w:widowControl/>
      <w:autoSpaceDE/>
      <w:autoSpaceDN/>
      <w:adjustRightInd/>
      <w:spacing w:after="120"/>
      <w:ind w:left="360"/>
    </w:pPr>
  </w:style>
  <w:style w:type="paragraph" w:styleId="ListContinue2">
    <w:name w:val="List Continue 2"/>
    <w:basedOn w:val="Normal"/>
    <w:rsid w:val="00D02FB9"/>
    <w:pPr>
      <w:spacing w:after="120"/>
      <w:ind w:left="720"/>
    </w:pPr>
  </w:style>
  <w:style w:type="paragraph" w:styleId="ListContinue3">
    <w:name w:val="List Continue 3"/>
    <w:basedOn w:val="Normal"/>
    <w:rsid w:val="00D02FB9"/>
    <w:pPr>
      <w:spacing w:after="120"/>
      <w:ind w:left="1080"/>
    </w:pPr>
  </w:style>
  <w:style w:type="paragraph" w:styleId="ListContinue4">
    <w:name w:val="List Continue 4"/>
    <w:basedOn w:val="Normal"/>
    <w:rsid w:val="00D02FB9"/>
    <w:pPr>
      <w:spacing w:after="120"/>
      <w:ind w:left="1440"/>
    </w:pPr>
  </w:style>
  <w:style w:type="paragraph" w:styleId="ListContinue5">
    <w:name w:val="List Continue 5"/>
    <w:basedOn w:val="Normal"/>
    <w:rsid w:val="00D02FB9"/>
    <w:pPr>
      <w:spacing w:after="120"/>
      <w:ind w:left="1800"/>
    </w:pPr>
  </w:style>
  <w:style w:type="paragraph" w:styleId="ListNumber">
    <w:name w:val="List Number"/>
    <w:basedOn w:val="Normal"/>
    <w:rsid w:val="00D02FB9"/>
    <w:pPr>
      <w:numPr>
        <w:numId w:val="13"/>
      </w:numPr>
    </w:pPr>
  </w:style>
  <w:style w:type="paragraph" w:styleId="ListNumber2">
    <w:name w:val="List Number 2"/>
    <w:basedOn w:val="Normal"/>
    <w:rsid w:val="00D02FB9"/>
    <w:pPr>
      <w:numPr>
        <w:numId w:val="15"/>
      </w:numPr>
    </w:pPr>
  </w:style>
  <w:style w:type="paragraph" w:styleId="ListNumber3">
    <w:name w:val="List Number 3"/>
    <w:basedOn w:val="Normal"/>
    <w:rsid w:val="00D02FB9"/>
    <w:pPr>
      <w:numPr>
        <w:numId w:val="17"/>
      </w:numPr>
    </w:pPr>
  </w:style>
  <w:style w:type="paragraph" w:styleId="ListNumber4">
    <w:name w:val="List Number 4"/>
    <w:basedOn w:val="Normal"/>
    <w:rsid w:val="00D02FB9"/>
    <w:pPr>
      <w:numPr>
        <w:numId w:val="19"/>
      </w:numPr>
    </w:pPr>
  </w:style>
  <w:style w:type="paragraph" w:styleId="ListNumber5">
    <w:name w:val="List Number 5"/>
    <w:basedOn w:val="Normal"/>
    <w:rsid w:val="00D02FB9"/>
    <w:pPr>
      <w:numPr>
        <w:numId w:val="21"/>
      </w:numPr>
    </w:pPr>
  </w:style>
  <w:style w:type="paragraph" w:styleId="MacroText">
    <w:name w:val="macro"/>
    <w:semiHidden/>
    <w:rsid w:val="00D02F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D02F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customStyle="1" w:styleId="myTOC1">
    <w:name w:val="myTOC 1"/>
    <w:basedOn w:val="Normal"/>
    <w:next w:val="Normal"/>
    <w:rsid w:val="00D02FB9"/>
    <w:pPr>
      <w:tabs>
        <w:tab w:val="left" w:leader="dot" w:pos="9648"/>
      </w:tabs>
      <w:spacing w:before="120"/>
    </w:pPr>
    <w:rPr>
      <w:szCs w:val="26"/>
    </w:rPr>
  </w:style>
  <w:style w:type="paragraph" w:customStyle="1" w:styleId="myTOC2">
    <w:name w:val="myTOC 2"/>
    <w:basedOn w:val="Normal"/>
    <w:next w:val="Normal"/>
    <w:rsid w:val="00D02FB9"/>
    <w:pPr>
      <w:tabs>
        <w:tab w:val="left" w:leader="dot" w:pos="9648"/>
      </w:tabs>
      <w:ind w:left="288"/>
    </w:pPr>
    <w:rPr>
      <w:szCs w:val="26"/>
    </w:rPr>
  </w:style>
  <w:style w:type="paragraph" w:customStyle="1" w:styleId="myTOC3">
    <w:name w:val="myTOC 3"/>
    <w:basedOn w:val="Normal"/>
    <w:next w:val="Normal"/>
    <w:rsid w:val="00D02FB9"/>
    <w:pPr>
      <w:tabs>
        <w:tab w:val="left" w:leader="dot" w:pos="9648"/>
      </w:tabs>
      <w:ind w:left="576"/>
    </w:pPr>
    <w:rPr>
      <w:szCs w:val="26"/>
    </w:rPr>
  </w:style>
  <w:style w:type="paragraph" w:customStyle="1" w:styleId="myTOC4">
    <w:name w:val="myTOC 4"/>
    <w:basedOn w:val="Normal"/>
    <w:next w:val="Normal"/>
    <w:rsid w:val="00D02FB9"/>
    <w:pPr>
      <w:tabs>
        <w:tab w:val="left" w:leader="dot" w:pos="9648"/>
      </w:tabs>
      <w:ind w:left="864"/>
    </w:pPr>
    <w:rPr>
      <w:szCs w:val="26"/>
    </w:rPr>
  </w:style>
  <w:style w:type="paragraph" w:customStyle="1" w:styleId="myTOC5">
    <w:name w:val="myTOC 5"/>
    <w:basedOn w:val="Normal"/>
    <w:next w:val="Normal"/>
    <w:rsid w:val="00D02FB9"/>
    <w:pPr>
      <w:tabs>
        <w:tab w:val="left" w:leader="dot" w:pos="9648"/>
      </w:tabs>
      <w:ind w:left="1152"/>
    </w:pPr>
    <w:rPr>
      <w:szCs w:val="26"/>
    </w:rPr>
  </w:style>
  <w:style w:type="paragraph" w:customStyle="1" w:styleId="myTOC6">
    <w:name w:val="myTOC 6"/>
    <w:basedOn w:val="Normal"/>
    <w:next w:val="Normal"/>
    <w:rsid w:val="00D02FB9"/>
    <w:pPr>
      <w:widowControl/>
      <w:tabs>
        <w:tab w:val="left" w:leader="dot" w:pos="9648"/>
      </w:tabs>
      <w:autoSpaceDE/>
      <w:autoSpaceDN/>
      <w:adjustRightInd/>
      <w:ind w:left="1440"/>
    </w:pPr>
    <w:rPr>
      <w:szCs w:val="26"/>
    </w:rPr>
  </w:style>
  <w:style w:type="paragraph" w:customStyle="1" w:styleId="myTOC7">
    <w:name w:val="myTOC 7"/>
    <w:basedOn w:val="Normal"/>
    <w:next w:val="Normal"/>
    <w:rsid w:val="00D02FB9"/>
    <w:pPr>
      <w:widowControl/>
      <w:tabs>
        <w:tab w:val="left" w:leader="dot" w:pos="9648"/>
      </w:tabs>
      <w:autoSpaceDE/>
      <w:autoSpaceDN/>
      <w:adjustRightInd/>
      <w:ind w:left="1728"/>
    </w:pPr>
    <w:rPr>
      <w:szCs w:val="26"/>
    </w:rPr>
  </w:style>
  <w:style w:type="paragraph" w:customStyle="1" w:styleId="myTOC8">
    <w:name w:val="myTOC 8"/>
    <w:basedOn w:val="Normal"/>
    <w:next w:val="Normal"/>
    <w:rsid w:val="00D02FB9"/>
    <w:pPr>
      <w:widowControl/>
      <w:tabs>
        <w:tab w:val="left" w:leader="dot" w:pos="9648"/>
      </w:tabs>
      <w:autoSpaceDE/>
      <w:autoSpaceDN/>
      <w:adjustRightInd/>
      <w:ind w:left="2016"/>
    </w:pPr>
    <w:rPr>
      <w:szCs w:val="26"/>
    </w:rPr>
  </w:style>
  <w:style w:type="paragraph" w:customStyle="1" w:styleId="myTOC9">
    <w:name w:val="myTOC 9"/>
    <w:basedOn w:val="Normal"/>
    <w:next w:val="Normal"/>
    <w:rsid w:val="00D02FB9"/>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D02FB9"/>
    <w:pPr>
      <w:spacing w:after="240"/>
      <w:ind w:left="1440"/>
    </w:pPr>
    <w:rPr>
      <w:b/>
      <w:szCs w:val="26"/>
      <w:u w:val="single"/>
    </w:rPr>
  </w:style>
  <w:style w:type="paragraph" w:styleId="NormalWeb">
    <w:name w:val="Normal (Web)"/>
    <w:basedOn w:val="Normal"/>
    <w:rsid w:val="00D02FB9"/>
    <w:rPr>
      <w:sz w:val="24"/>
    </w:rPr>
  </w:style>
  <w:style w:type="paragraph" w:styleId="NormalIndent">
    <w:name w:val="Normal Indent"/>
    <w:basedOn w:val="Normal"/>
    <w:rsid w:val="00D02FB9"/>
    <w:pPr>
      <w:ind w:left="720"/>
    </w:pPr>
  </w:style>
  <w:style w:type="paragraph" w:styleId="NoteHeading">
    <w:name w:val="Note Heading"/>
    <w:basedOn w:val="Normal"/>
    <w:next w:val="Normal"/>
    <w:rsid w:val="00D02FB9"/>
  </w:style>
  <w:style w:type="character" w:styleId="PageNumber">
    <w:name w:val="page number"/>
    <w:basedOn w:val="DefaultParagraphFont"/>
    <w:rsid w:val="00D02FB9"/>
  </w:style>
  <w:style w:type="paragraph" w:styleId="PlainText">
    <w:name w:val="Plain Text"/>
    <w:basedOn w:val="Normal"/>
    <w:rsid w:val="00D02FB9"/>
    <w:rPr>
      <w:rFonts w:ascii="Courier New" w:hAnsi="Courier New" w:cs="Courier New"/>
      <w:sz w:val="20"/>
      <w:szCs w:val="20"/>
    </w:rPr>
  </w:style>
  <w:style w:type="paragraph" w:styleId="Salutation">
    <w:name w:val="Salutation"/>
    <w:basedOn w:val="Normal"/>
    <w:next w:val="Normal"/>
    <w:rsid w:val="00D02FB9"/>
  </w:style>
  <w:style w:type="paragraph" w:styleId="Signature">
    <w:name w:val="Signature"/>
    <w:basedOn w:val="Normal"/>
    <w:rsid w:val="00D02FB9"/>
    <w:pPr>
      <w:ind w:left="4320"/>
    </w:pPr>
  </w:style>
  <w:style w:type="paragraph" w:styleId="Subtitle">
    <w:name w:val="Subtitle"/>
    <w:basedOn w:val="Normal"/>
    <w:qFormat/>
    <w:rsid w:val="00D02FB9"/>
    <w:pPr>
      <w:spacing w:after="60"/>
      <w:jc w:val="center"/>
      <w:outlineLvl w:val="1"/>
    </w:pPr>
    <w:rPr>
      <w:rFonts w:ascii="Arial" w:hAnsi="Arial" w:cs="Arial"/>
      <w:sz w:val="24"/>
    </w:rPr>
  </w:style>
  <w:style w:type="table" w:styleId="TableGrid">
    <w:name w:val="Table Grid"/>
    <w:basedOn w:val="TableNormal"/>
    <w:rsid w:val="00D02FB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semiHidden/>
    <w:rsid w:val="00D02FB9"/>
    <w:pPr>
      <w:ind w:left="260" w:hanging="260"/>
    </w:pPr>
  </w:style>
  <w:style w:type="paragraph" w:styleId="TableofFigures">
    <w:name w:val="table of figures"/>
    <w:basedOn w:val="Normal"/>
    <w:next w:val="Normal"/>
    <w:semiHidden/>
    <w:rsid w:val="00D02FB9"/>
    <w:pPr>
      <w:ind w:left="520" w:hanging="520"/>
    </w:pPr>
  </w:style>
  <w:style w:type="paragraph" w:styleId="Title">
    <w:name w:val="Title"/>
    <w:basedOn w:val="Normal"/>
    <w:qFormat/>
    <w:rsid w:val="00D02F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02FB9"/>
    <w:pPr>
      <w:spacing w:before="120"/>
    </w:pPr>
    <w:rPr>
      <w:rFonts w:ascii="Arial" w:hAnsi="Arial" w:cs="Arial"/>
      <w:b/>
      <w:bCs/>
      <w:sz w:val="24"/>
    </w:rPr>
  </w:style>
  <w:style w:type="paragraph" w:styleId="TOC1">
    <w:name w:val="toc 1"/>
    <w:basedOn w:val="Normal"/>
    <w:next w:val="Normal"/>
    <w:semiHidden/>
    <w:rsid w:val="00D02FB9"/>
  </w:style>
  <w:style w:type="paragraph" w:styleId="TOC2">
    <w:name w:val="toc 2"/>
    <w:basedOn w:val="Normal"/>
    <w:next w:val="Normal"/>
    <w:semiHidden/>
    <w:rsid w:val="00D02FB9"/>
    <w:pPr>
      <w:ind w:left="260"/>
    </w:pPr>
  </w:style>
  <w:style w:type="paragraph" w:styleId="TOC3">
    <w:name w:val="toc 3"/>
    <w:basedOn w:val="Normal"/>
    <w:next w:val="Normal"/>
    <w:semiHidden/>
    <w:rsid w:val="00D02FB9"/>
    <w:pPr>
      <w:ind w:left="520"/>
    </w:pPr>
  </w:style>
  <w:style w:type="paragraph" w:styleId="TOC4">
    <w:name w:val="toc 4"/>
    <w:basedOn w:val="Normal"/>
    <w:next w:val="Normal"/>
    <w:semiHidden/>
    <w:rsid w:val="00D02FB9"/>
    <w:pPr>
      <w:ind w:left="780"/>
    </w:pPr>
  </w:style>
  <w:style w:type="paragraph" w:styleId="TOC5">
    <w:name w:val="toc 5"/>
    <w:basedOn w:val="Normal"/>
    <w:next w:val="Normal"/>
    <w:semiHidden/>
    <w:rsid w:val="00D02FB9"/>
    <w:pPr>
      <w:ind w:left="1040"/>
    </w:pPr>
  </w:style>
  <w:style w:type="paragraph" w:styleId="TOC6">
    <w:name w:val="toc 6"/>
    <w:basedOn w:val="Normal"/>
    <w:next w:val="Normal"/>
    <w:semiHidden/>
    <w:rsid w:val="00D02FB9"/>
    <w:pPr>
      <w:ind w:left="1300"/>
    </w:pPr>
  </w:style>
  <w:style w:type="paragraph" w:styleId="TOC7">
    <w:name w:val="toc 7"/>
    <w:basedOn w:val="Normal"/>
    <w:next w:val="Normal"/>
    <w:semiHidden/>
    <w:rsid w:val="00D02FB9"/>
    <w:pPr>
      <w:ind w:left="1560"/>
    </w:pPr>
  </w:style>
  <w:style w:type="paragraph" w:styleId="TOC8">
    <w:name w:val="toc 8"/>
    <w:basedOn w:val="Normal"/>
    <w:next w:val="Normal"/>
    <w:semiHidden/>
    <w:rsid w:val="00D02FB9"/>
    <w:pPr>
      <w:ind w:left="1820"/>
    </w:pPr>
  </w:style>
  <w:style w:type="paragraph" w:styleId="TOC9">
    <w:name w:val="toc 9"/>
    <w:basedOn w:val="Normal"/>
    <w:next w:val="Normal"/>
    <w:semiHidden/>
    <w:rsid w:val="00D02FB9"/>
    <w:pPr>
      <w:ind w:left="2080"/>
    </w:pPr>
  </w:style>
  <w:style w:type="paragraph" w:styleId="Bibliography">
    <w:name w:val="Bibliography"/>
    <w:basedOn w:val="Normal"/>
    <w:next w:val="Normal"/>
    <w:uiPriority w:val="37"/>
    <w:semiHidden/>
    <w:unhideWhenUsed/>
    <w:rsid w:val="008903D9"/>
  </w:style>
  <w:style w:type="paragraph" w:styleId="IntenseQuote">
    <w:name w:val="Intense Quote"/>
    <w:basedOn w:val="Normal"/>
    <w:next w:val="Normal"/>
    <w:link w:val="IntenseQuoteChar"/>
    <w:uiPriority w:val="30"/>
    <w:qFormat/>
    <w:rsid w:val="008903D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903D9"/>
    <w:rPr>
      <w:b/>
      <w:bCs/>
      <w:i/>
      <w:iCs/>
      <w:color w:val="4F81BD"/>
      <w:sz w:val="26"/>
      <w:szCs w:val="24"/>
    </w:rPr>
  </w:style>
  <w:style w:type="paragraph" w:styleId="ListParagraph">
    <w:name w:val="List Paragraph"/>
    <w:basedOn w:val="Normal"/>
    <w:uiPriority w:val="34"/>
    <w:qFormat/>
    <w:rsid w:val="008903D9"/>
    <w:pPr>
      <w:ind w:left="720"/>
    </w:pPr>
  </w:style>
  <w:style w:type="paragraph" w:styleId="NoSpacing">
    <w:name w:val="No Spacing"/>
    <w:uiPriority w:val="1"/>
    <w:qFormat/>
    <w:rsid w:val="008903D9"/>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8903D9"/>
    <w:rPr>
      <w:i/>
      <w:iCs/>
      <w:color w:val="000000"/>
    </w:rPr>
  </w:style>
  <w:style w:type="character" w:customStyle="1" w:styleId="QuoteChar">
    <w:name w:val="Quote Char"/>
    <w:link w:val="Quote"/>
    <w:uiPriority w:val="29"/>
    <w:rsid w:val="008903D9"/>
    <w:rPr>
      <w:i/>
      <w:iCs/>
      <w:color w:val="000000"/>
      <w:sz w:val="26"/>
      <w:szCs w:val="24"/>
    </w:rPr>
  </w:style>
  <w:style w:type="paragraph" w:styleId="TOCHeading">
    <w:name w:val="TOC Heading"/>
    <w:basedOn w:val="Heading1"/>
    <w:next w:val="Normal"/>
    <w:uiPriority w:val="39"/>
    <w:qFormat/>
    <w:rsid w:val="008903D9"/>
    <w:pPr>
      <w:keepLines w:val="0"/>
      <w:widowControl w:val="0"/>
      <w:spacing w:before="240" w:after="60"/>
      <w:outlineLvl w:val="9"/>
    </w:pPr>
    <w:rPr>
      <w:rFonts w:ascii="Cambria" w:hAnsi="Cambria"/>
      <w:sz w:val="32"/>
      <w:u w:val="none"/>
    </w:rPr>
  </w:style>
  <w:style w:type="character" w:styleId="Hyperlink">
    <w:name w:val="Hyperlink"/>
    <w:rsid w:val="004B1584"/>
    <w:rPr>
      <w:color w:val="0000FF"/>
      <w:u w:val="single"/>
    </w:rPr>
  </w:style>
  <w:style w:type="character" w:customStyle="1" w:styleId="FootnoteTextChar3">
    <w:name w:val="Footnote Text Char3"/>
    <w:aliases w:val="fn Char,Footnote Text Char Char1,Footnote Text Char1 Char1,Footnote Text Char Char Char1,Footnote Text Char1 Char Char,Footnote Text Char Char Char Char,ft Char Char,Footnote Text Char3 Char Char Char Char,Footnote Text Char2 Char"/>
    <w:link w:val="FootnoteText"/>
    <w:rsid w:val="004B3963"/>
    <w:rPr>
      <w:sz w:val="26"/>
      <w:lang w:val="en-US" w:eastAsia="en-US" w:bidi="ar-SA"/>
    </w:rPr>
  </w:style>
  <w:style w:type="character" w:customStyle="1" w:styleId="FERCparanumberChar1">
    <w:name w:val="FERC paranumber Char1"/>
    <w:link w:val="FERCparanumber"/>
    <w:rsid w:val="004B3963"/>
    <w:rPr>
      <w:sz w:val="26"/>
      <w:szCs w:val="24"/>
      <w:lang w:val="en-US" w:eastAsia="en-US" w:bidi="ar-SA"/>
    </w:rPr>
  </w:style>
  <w:style w:type="character" w:customStyle="1" w:styleId="Heading3Char">
    <w:name w:val="Heading 3 Char"/>
    <w:link w:val="Heading3"/>
    <w:rsid w:val="00DD4118"/>
    <w:rPr>
      <w:b/>
      <w:bCs/>
      <w:kern w:val="32"/>
      <w:sz w:val="26"/>
      <w:szCs w:val="26"/>
      <w:u w:val="single"/>
      <w:lang w:val="en-US" w:eastAsia="en-US" w:bidi="ar-SA"/>
    </w:rPr>
  </w:style>
  <w:style w:type="paragraph" w:customStyle="1" w:styleId="Default">
    <w:name w:val="Default"/>
    <w:rsid w:val="00332B60"/>
    <w:pPr>
      <w:widowControl w:val="0"/>
      <w:autoSpaceDE w:val="0"/>
      <w:autoSpaceDN w:val="0"/>
      <w:adjustRightInd w:val="0"/>
    </w:pPr>
    <w:rPr>
      <w:rFonts w:ascii="Arial" w:hAnsi="Arial" w:cs="Arial"/>
      <w:color w:val="000000"/>
      <w:sz w:val="24"/>
      <w:szCs w:val="24"/>
    </w:rPr>
  </w:style>
  <w:style w:type="character" w:customStyle="1" w:styleId="FERCparanumberChar">
    <w:name w:val="FERC paranumber Char"/>
    <w:rsid w:val="00CD2B46"/>
    <w:rPr>
      <w:sz w:val="26"/>
      <w:szCs w:val="24"/>
      <w:lang w:val="en-US" w:eastAsia="en-US" w:bidi="ar-SA"/>
    </w:rPr>
  </w:style>
  <w:style w:type="paragraph" w:customStyle="1" w:styleId="LegalFormat">
    <w:name w:val="Legal Format"/>
    <w:basedOn w:val="ListContinue"/>
    <w:rsid w:val="00CC0AAA"/>
    <w:pPr>
      <w:widowControl w:val="0"/>
      <w:spacing w:after="0" w:line="480" w:lineRule="auto"/>
      <w:ind w:left="0"/>
    </w:pPr>
    <w:rPr>
      <w:szCs w:val="26"/>
    </w:rPr>
  </w:style>
  <w:style w:type="paragraph" w:customStyle="1" w:styleId="hp">
    <w:name w:val="hp"/>
    <w:basedOn w:val="Normal"/>
    <w:rsid w:val="00055C40"/>
    <w:pPr>
      <w:widowControl/>
      <w:autoSpaceDE/>
      <w:autoSpaceDN/>
      <w:adjustRightInd/>
      <w:spacing w:before="100" w:beforeAutospacing="1" w:after="100" w:afterAutospacing="1"/>
    </w:pPr>
    <w:rPr>
      <w:sz w:val="24"/>
    </w:rPr>
  </w:style>
  <w:style w:type="character" w:customStyle="1" w:styleId="docsearchterm">
    <w:name w:val="docsearchterm"/>
    <w:rsid w:val="00055C40"/>
  </w:style>
  <w:style w:type="paragraph" w:styleId="Revision">
    <w:name w:val="Revision"/>
    <w:hidden/>
    <w:uiPriority w:val="99"/>
    <w:semiHidden/>
    <w:rsid w:val="00AC01E5"/>
    <w:rPr>
      <w:sz w:val="26"/>
      <w:szCs w:val="24"/>
    </w:rPr>
  </w:style>
  <w:style w:type="paragraph" w:customStyle="1" w:styleId="Standard">
    <w:name w:val="Standard"/>
    <w:rsid w:val="00F57B30"/>
    <w:pPr>
      <w:autoSpaceDE w:val="0"/>
      <w:autoSpaceDN w:val="0"/>
      <w:adjustRightInd w:val="0"/>
    </w:pPr>
    <w:rPr>
      <w:rFonts w:ascii="Arial" w:hAnsi="Arial" w:cs="Arial"/>
    </w:rPr>
  </w:style>
  <w:style w:type="character" w:styleId="FollowedHyperlink">
    <w:name w:val="FollowedHyperlink"/>
    <w:rsid w:val="00544C5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nped32\AppData\Local\Microsoft\Windows\Temporary%20Internet%20Files\Content.MSO\F68C685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E5724-351A-432C-A087-87A4F0870C76}">
  <ds:schemaRefs>
    <ds:schemaRef ds:uri="http://schemas.microsoft.com/sharepoint/v3/contenttype/forms"/>
  </ds:schemaRefs>
</ds:datastoreItem>
</file>

<file path=customXml/itemProps2.xml><?xml version="1.0" encoding="utf-8"?>
<ds:datastoreItem xmlns:ds="http://schemas.openxmlformats.org/officeDocument/2006/customXml" ds:itemID="{97F6E44C-451A-4FFD-973E-5DF09E2D5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099BB1-97A6-4350-8917-28D5B3769ED2}">
  <ds:schemaRefs>
    <ds:schemaRef ds:uri="http://schemas.microsoft.com/office/2006/documentManagement/types"/>
    <ds:schemaRef ds:uri="http://purl.org/dc/term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472E83D-87DD-4983-95D8-A8C5F436F5EC}">
  <ds:schemaRefs>
    <ds:schemaRef ds:uri="http://schemas.openxmlformats.org/officeDocument/2006/bibliography"/>
  </ds:schemaRefs>
</ds:datastoreItem>
</file>

<file path=customXml/itemProps5.xml><?xml version="1.0" encoding="utf-8"?>
<ds:datastoreItem xmlns:ds="http://schemas.openxmlformats.org/officeDocument/2006/customXml" ds:itemID="{D01F511B-544F-42CC-9C49-B815A491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F68C6854</Template>
  <TotalTime>3</TotalTime>
  <Pages>19</Pages>
  <Words>4195</Words>
  <Characters>21427</Characters>
  <Application>Microsoft Office Word</Application>
  <DocSecurity>0</DocSecurity>
  <Lines>178</Lines>
  <Paragraphs>51</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25571</CharactersWithSpaces>
  <SharedDoc>false</SharedDoc>
  <HyperlinkBase/>
  <HLinks>
    <vt:vector size="270" baseType="variant">
      <vt:variant>
        <vt:i4>8060938</vt:i4>
      </vt:variant>
      <vt:variant>
        <vt:i4>132</vt:i4>
      </vt:variant>
      <vt:variant>
        <vt:i4>0</vt:i4>
      </vt:variant>
      <vt:variant>
        <vt:i4>5</vt:i4>
      </vt:variant>
      <vt:variant>
        <vt:lpwstr>mailto:public.referenceroom@ferc.gov</vt:lpwstr>
      </vt:variant>
      <vt:variant>
        <vt:lpwstr/>
      </vt:variant>
      <vt:variant>
        <vt:i4>5636216</vt:i4>
      </vt:variant>
      <vt:variant>
        <vt:i4>129</vt:i4>
      </vt:variant>
      <vt:variant>
        <vt:i4>0</vt:i4>
      </vt:variant>
      <vt:variant>
        <vt:i4>5</vt:i4>
      </vt:variant>
      <vt:variant>
        <vt:lpwstr>mailto:ferconlinesupport@ferc.gov</vt:lpwstr>
      </vt:variant>
      <vt:variant>
        <vt:lpwstr/>
      </vt:variant>
      <vt:variant>
        <vt:i4>5308487</vt:i4>
      </vt:variant>
      <vt:variant>
        <vt:i4>126</vt:i4>
      </vt:variant>
      <vt:variant>
        <vt:i4>0</vt:i4>
      </vt:variant>
      <vt:variant>
        <vt:i4>5</vt:i4>
      </vt:variant>
      <vt:variant>
        <vt:lpwstr>http://www.ferc.gov/</vt:lpwstr>
      </vt:variant>
      <vt:variant>
        <vt:lpwstr/>
      </vt:variant>
      <vt:variant>
        <vt:i4>4521995</vt:i4>
      </vt:variant>
      <vt:variant>
        <vt:i4>123</vt:i4>
      </vt:variant>
      <vt:variant>
        <vt:i4>0</vt:i4>
      </vt:variant>
      <vt:variant>
        <vt:i4>5</vt:i4>
      </vt:variant>
      <vt:variant>
        <vt:lpwstr>mailto:oira_submission@omb.eop.gov</vt:lpwstr>
      </vt:variant>
      <vt:variant>
        <vt:lpwstr/>
      </vt:variant>
      <vt:variant>
        <vt:i4>5767268</vt:i4>
      </vt:variant>
      <vt:variant>
        <vt:i4>120</vt:i4>
      </vt:variant>
      <vt:variant>
        <vt:i4>0</vt:i4>
      </vt:variant>
      <vt:variant>
        <vt:i4>5</vt:i4>
      </vt:variant>
      <vt:variant>
        <vt:lpwstr>mailto:DataClearance@ferc.gov</vt:lpwstr>
      </vt:variant>
      <vt:variant>
        <vt:lpwstr/>
      </vt:variant>
      <vt:variant>
        <vt:i4>4063233</vt:i4>
      </vt:variant>
      <vt:variant>
        <vt:i4>117</vt:i4>
      </vt:variant>
      <vt:variant>
        <vt:i4>0</vt:i4>
      </vt:variant>
      <vt:variant>
        <vt:i4>5</vt:i4>
      </vt:variant>
      <vt:variant>
        <vt:lpwstr/>
      </vt:variant>
      <vt:variant>
        <vt:lpwstr>_bmk37</vt:lpwstr>
      </vt:variant>
      <vt:variant>
        <vt:i4>4128769</vt:i4>
      </vt:variant>
      <vt:variant>
        <vt:i4>114</vt:i4>
      </vt:variant>
      <vt:variant>
        <vt:i4>0</vt:i4>
      </vt:variant>
      <vt:variant>
        <vt:i4>5</vt:i4>
      </vt:variant>
      <vt:variant>
        <vt:lpwstr/>
      </vt:variant>
      <vt:variant>
        <vt:lpwstr>_bmk36</vt:lpwstr>
      </vt:variant>
      <vt:variant>
        <vt:i4>3932161</vt:i4>
      </vt:variant>
      <vt:variant>
        <vt:i4>111</vt:i4>
      </vt:variant>
      <vt:variant>
        <vt:i4>0</vt:i4>
      </vt:variant>
      <vt:variant>
        <vt:i4>5</vt:i4>
      </vt:variant>
      <vt:variant>
        <vt:lpwstr/>
      </vt:variant>
      <vt:variant>
        <vt:lpwstr>_bmk35</vt:lpwstr>
      </vt:variant>
      <vt:variant>
        <vt:i4>3997697</vt:i4>
      </vt:variant>
      <vt:variant>
        <vt:i4>108</vt:i4>
      </vt:variant>
      <vt:variant>
        <vt:i4>0</vt:i4>
      </vt:variant>
      <vt:variant>
        <vt:i4>5</vt:i4>
      </vt:variant>
      <vt:variant>
        <vt:lpwstr/>
      </vt:variant>
      <vt:variant>
        <vt:lpwstr>_bmk34</vt:lpwstr>
      </vt:variant>
      <vt:variant>
        <vt:i4>3801089</vt:i4>
      </vt:variant>
      <vt:variant>
        <vt:i4>105</vt:i4>
      </vt:variant>
      <vt:variant>
        <vt:i4>0</vt:i4>
      </vt:variant>
      <vt:variant>
        <vt:i4>5</vt:i4>
      </vt:variant>
      <vt:variant>
        <vt:lpwstr/>
      </vt:variant>
      <vt:variant>
        <vt:lpwstr>_bmk33</vt:lpwstr>
      </vt:variant>
      <vt:variant>
        <vt:i4>3866625</vt:i4>
      </vt:variant>
      <vt:variant>
        <vt:i4>102</vt:i4>
      </vt:variant>
      <vt:variant>
        <vt:i4>0</vt:i4>
      </vt:variant>
      <vt:variant>
        <vt:i4>5</vt:i4>
      </vt:variant>
      <vt:variant>
        <vt:lpwstr/>
      </vt:variant>
      <vt:variant>
        <vt:lpwstr>_bmk32</vt:lpwstr>
      </vt:variant>
      <vt:variant>
        <vt:i4>3670017</vt:i4>
      </vt:variant>
      <vt:variant>
        <vt:i4>99</vt:i4>
      </vt:variant>
      <vt:variant>
        <vt:i4>0</vt:i4>
      </vt:variant>
      <vt:variant>
        <vt:i4>5</vt:i4>
      </vt:variant>
      <vt:variant>
        <vt:lpwstr/>
      </vt:variant>
      <vt:variant>
        <vt:lpwstr>_bmk31</vt:lpwstr>
      </vt:variant>
      <vt:variant>
        <vt:i4>3735553</vt:i4>
      </vt:variant>
      <vt:variant>
        <vt:i4>96</vt:i4>
      </vt:variant>
      <vt:variant>
        <vt:i4>0</vt:i4>
      </vt:variant>
      <vt:variant>
        <vt:i4>5</vt:i4>
      </vt:variant>
      <vt:variant>
        <vt:lpwstr/>
      </vt:variant>
      <vt:variant>
        <vt:lpwstr>_bmk30</vt:lpwstr>
      </vt:variant>
      <vt:variant>
        <vt:i4>3145728</vt:i4>
      </vt:variant>
      <vt:variant>
        <vt:i4>93</vt:i4>
      </vt:variant>
      <vt:variant>
        <vt:i4>0</vt:i4>
      </vt:variant>
      <vt:variant>
        <vt:i4>5</vt:i4>
      </vt:variant>
      <vt:variant>
        <vt:lpwstr/>
      </vt:variant>
      <vt:variant>
        <vt:lpwstr>_bmk29</vt:lpwstr>
      </vt:variant>
      <vt:variant>
        <vt:i4>3211264</vt:i4>
      </vt:variant>
      <vt:variant>
        <vt:i4>90</vt:i4>
      </vt:variant>
      <vt:variant>
        <vt:i4>0</vt:i4>
      </vt:variant>
      <vt:variant>
        <vt:i4>5</vt:i4>
      </vt:variant>
      <vt:variant>
        <vt:lpwstr/>
      </vt:variant>
      <vt:variant>
        <vt:lpwstr>_bmk28</vt:lpwstr>
      </vt:variant>
      <vt:variant>
        <vt:i4>4063232</vt:i4>
      </vt:variant>
      <vt:variant>
        <vt:i4>87</vt:i4>
      </vt:variant>
      <vt:variant>
        <vt:i4>0</vt:i4>
      </vt:variant>
      <vt:variant>
        <vt:i4>5</vt:i4>
      </vt:variant>
      <vt:variant>
        <vt:lpwstr/>
      </vt:variant>
      <vt:variant>
        <vt:lpwstr>_bmk27</vt:lpwstr>
      </vt:variant>
      <vt:variant>
        <vt:i4>4128768</vt:i4>
      </vt:variant>
      <vt:variant>
        <vt:i4>84</vt:i4>
      </vt:variant>
      <vt:variant>
        <vt:i4>0</vt:i4>
      </vt:variant>
      <vt:variant>
        <vt:i4>5</vt:i4>
      </vt:variant>
      <vt:variant>
        <vt:lpwstr/>
      </vt:variant>
      <vt:variant>
        <vt:lpwstr>_bmk26</vt:lpwstr>
      </vt:variant>
      <vt:variant>
        <vt:i4>3932160</vt:i4>
      </vt:variant>
      <vt:variant>
        <vt:i4>81</vt:i4>
      </vt:variant>
      <vt:variant>
        <vt:i4>0</vt:i4>
      </vt:variant>
      <vt:variant>
        <vt:i4>5</vt:i4>
      </vt:variant>
      <vt:variant>
        <vt:lpwstr/>
      </vt:variant>
      <vt:variant>
        <vt:lpwstr>_bmk25</vt:lpwstr>
      </vt:variant>
      <vt:variant>
        <vt:i4>3997696</vt:i4>
      </vt:variant>
      <vt:variant>
        <vt:i4>78</vt:i4>
      </vt:variant>
      <vt:variant>
        <vt:i4>0</vt:i4>
      </vt:variant>
      <vt:variant>
        <vt:i4>5</vt:i4>
      </vt:variant>
      <vt:variant>
        <vt:lpwstr/>
      </vt:variant>
      <vt:variant>
        <vt:lpwstr>_bmk24</vt:lpwstr>
      </vt:variant>
      <vt:variant>
        <vt:i4>3801088</vt:i4>
      </vt:variant>
      <vt:variant>
        <vt:i4>75</vt:i4>
      </vt:variant>
      <vt:variant>
        <vt:i4>0</vt:i4>
      </vt:variant>
      <vt:variant>
        <vt:i4>5</vt:i4>
      </vt:variant>
      <vt:variant>
        <vt:lpwstr/>
      </vt:variant>
      <vt:variant>
        <vt:lpwstr>_bmk23</vt:lpwstr>
      </vt:variant>
      <vt:variant>
        <vt:i4>3866624</vt:i4>
      </vt:variant>
      <vt:variant>
        <vt:i4>72</vt:i4>
      </vt:variant>
      <vt:variant>
        <vt:i4>0</vt:i4>
      </vt:variant>
      <vt:variant>
        <vt:i4>5</vt:i4>
      </vt:variant>
      <vt:variant>
        <vt:lpwstr/>
      </vt:variant>
      <vt:variant>
        <vt:lpwstr>_bmk22</vt:lpwstr>
      </vt:variant>
      <vt:variant>
        <vt:i4>3670016</vt:i4>
      </vt:variant>
      <vt:variant>
        <vt:i4>69</vt:i4>
      </vt:variant>
      <vt:variant>
        <vt:i4>0</vt:i4>
      </vt:variant>
      <vt:variant>
        <vt:i4>5</vt:i4>
      </vt:variant>
      <vt:variant>
        <vt:lpwstr/>
      </vt:variant>
      <vt:variant>
        <vt:lpwstr>_bmk21</vt:lpwstr>
      </vt:variant>
      <vt:variant>
        <vt:i4>3735552</vt:i4>
      </vt:variant>
      <vt:variant>
        <vt:i4>66</vt:i4>
      </vt:variant>
      <vt:variant>
        <vt:i4>0</vt:i4>
      </vt:variant>
      <vt:variant>
        <vt:i4>5</vt:i4>
      </vt:variant>
      <vt:variant>
        <vt:lpwstr/>
      </vt:variant>
      <vt:variant>
        <vt:lpwstr>_bmk20</vt:lpwstr>
      </vt:variant>
      <vt:variant>
        <vt:i4>3145731</vt:i4>
      </vt:variant>
      <vt:variant>
        <vt:i4>63</vt:i4>
      </vt:variant>
      <vt:variant>
        <vt:i4>0</vt:i4>
      </vt:variant>
      <vt:variant>
        <vt:i4>5</vt:i4>
      </vt:variant>
      <vt:variant>
        <vt:lpwstr/>
      </vt:variant>
      <vt:variant>
        <vt:lpwstr>_bmk19</vt:lpwstr>
      </vt:variant>
      <vt:variant>
        <vt:i4>3211267</vt:i4>
      </vt:variant>
      <vt:variant>
        <vt:i4>60</vt:i4>
      </vt:variant>
      <vt:variant>
        <vt:i4>0</vt:i4>
      </vt:variant>
      <vt:variant>
        <vt:i4>5</vt:i4>
      </vt:variant>
      <vt:variant>
        <vt:lpwstr/>
      </vt:variant>
      <vt:variant>
        <vt:lpwstr>_bmk18</vt:lpwstr>
      </vt:variant>
      <vt:variant>
        <vt:i4>4063235</vt:i4>
      </vt:variant>
      <vt:variant>
        <vt:i4>57</vt:i4>
      </vt:variant>
      <vt:variant>
        <vt:i4>0</vt:i4>
      </vt:variant>
      <vt:variant>
        <vt:i4>5</vt:i4>
      </vt:variant>
      <vt:variant>
        <vt:lpwstr/>
      </vt:variant>
      <vt:variant>
        <vt:lpwstr>_bmk17</vt:lpwstr>
      </vt:variant>
      <vt:variant>
        <vt:i4>4128771</vt:i4>
      </vt:variant>
      <vt:variant>
        <vt:i4>54</vt:i4>
      </vt:variant>
      <vt:variant>
        <vt:i4>0</vt:i4>
      </vt:variant>
      <vt:variant>
        <vt:i4>5</vt:i4>
      </vt:variant>
      <vt:variant>
        <vt:lpwstr/>
      </vt:variant>
      <vt:variant>
        <vt:lpwstr>_bmk16</vt:lpwstr>
      </vt:variant>
      <vt:variant>
        <vt:i4>3932163</vt:i4>
      </vt:variant>
      <vt:variant>
        <vt:i4>51</vt:i4>
      </vt:variant>
      <vt:variant>
        <vt:i4>0</vt:i4>
      </vt:variant>
      <vt:variant>
        <vt:i4>5</vt:i4>
      </vt:variant>
      <vt:variant>
        <vt:lpwstr/>
      </vt:variant>
      <vt:variant>
        <vt:lpwstr>_bmk15</vt:lpwstr>
      </vt:variant>
      <vt:variant>
        <vt:i4>3997699</vt:i4>
      </vt:variant>
      <vt:variant>
        <vt:i4>48</vt:i4>
      </vt:variant>
      <vt:variant>
        <vt:i4>0</vt:i4>
      </vt:variant>
      <vt:variant>
        <vt:i4>5</vt:i4>
      </vt:variant>
      <vt:variant>
        <vt:lpwstr/>
      </vt:variant>
      <vt:variant>
        <vt:lpwstr>_bmk14</vt:lpwstr>
      </vt:variant>
      <vt:variant>
        <vt:i4>3801091</vt:i4>
      </vt:variant>
      <vt:variant>
        <vt:i4>45</vt:i4>
      </vt:variant>
      <vt:variant>
        <vt:i4>0</vt:i4>
      </vt:variant>
      <vt:variant>
        <vt:i4>5</vt:i4>
      </vt:variant>
      <vt:variant>
        <vt:lpwstr/>
      </vt:variant>
      <vt:variant>
        <vt:lpwstr>_bmk13</vt:lpwstr>
      </vt:variant>
      <vt:variant>
        <vt:i4>3866627</vt:i4>
      </vt:variant>
      <vt:variant>
        <vt:i4>42</vt:i4>
      </vt:variant>
      <vt:variant>
        <vt:i4>0</vt:i4>
      </vt:variant>
      <vt:variant>
        <vt:i4>5</vt:i4>
      </vt:variant>
      <vt:variant>
        <vt:lpwstr/>
      </vt:variant>
      <vt:variant>
        <vt:lpwstr>_bmk12</vt:lpwstr>
      </vt:variant>
      <vt:variant>
        <vt:i4>3670019</vt:i4>
      </vt:variant>
      <vt:variant>
        <vt:i4>39</vt:i4>
      </vt:variant>
      <vt:variant>
        <vt:i4>0</vt:i4>
      </vt:variant>
      <vt:variant>
        <vt:i4>5</vt:i4>
      </vt:variant>
      <vt:variant>
        <vt:lpwstr/>
      </vt:variant>
      <vt:variant>
        <vt:lpwstr>_bmk11</vt:lpwstr>
      </vt:variant>
      <vt:variant>
        <vt:i4>3735555</vt:i4>
      </vt:variant>
      <vt:variant>
        <vt:i4>36</vt:i4>
      </vt:variant>
      <vt:variant>
        <vt:i4>0</vt:i4>
      </vt:variant>
      <vt:variant>
        <vt:i4>5</vt:i4>
      </vt:variant>
      <vt:variant>
        <vt:lpwstr/>
      </vt:variant>
      <vt:variant>
        <vt:lpwstr>_bmk10</vt:lpwstr>
      </vt:variant>
      <vt:variant>
        <vt:i4>589874</vt:i4>
      </vt:variant>
      <vt:variant>
        <vt:i4>33</vt:i4>
      </vt:variant>
      <vt:variant>
        <vt:i4>0</vt:i4>
      </vt:variant>
      <vt:variant>
        <vt:i4>5</vt:i4>
      </vt:variant>
      <vt:variant>
        <vt:lpwstr/>
      </vt:variant>
      <vt:variant>
        <vt:lpwstr>_bmk9</vt:lpwstr>
      </vt:variant>
      <vt:variant>
        <vt:i4>589874</vt:i4>
      </vt:variant>
      <vt:variant>
        <vt:i4>30</vt:i4>
      </vt:variant>
      <vt:variant>
        <vt:i4>0</vt:i4>
      </vt:variant>
      <vt:variant>
        <vt:i4>5</vt:i4>
      </vt:variant>
      <vt:variant>
        <vt:lpwstr/>
      </vt:variant>
      <vt:variant>
        <vt:lpwstr>_bmk8</vt:lpwstr>
      </vt:variant>
      <vt:variant>
        <vt:i4>589874</vt:i4>
      </vt:variant>
      <vt:variant>
        <vt:i4>27</vt:i4>
      </vt:variant>
      <vt:variant>
        <vt:i4>0</vt:i4>
      </vt:variant>
      <vt:variant>
        <vt:i4>5</vt:i4>
      </vt:variant>
      <vt:variant>
        <vt:lpwstr/>
      </vt:variant>
      <vt:variant>
        <vt:lpwstr>_bmk7</vt:lpwstr>
      </vt:variant>
      <vt:variant>
        <vt:i4>589874</vt:i4>
      </vt:variant>
      <vt:variant>
        <vt:i4>24</vt:i4>
      </vt:variant>
      <vt:variant>
        <vt:i4>0</vt:i4>
      </vt:variant>
      <vt:variant>
        <vt:i4>5</vt:i4>
      </vt:variant>
      <vt:variant>
        <vt:lpwstr/>
      </vt:variant>
      <vt:variant>
        <vt:lpwstr>_bmk6</vt:lpwstr>
      </vt:variant>
      <vt:variant>
        <vt:i4>589874</vt:i4>
      </vt:variant>
      <vt:variant>
        <vt:i4>21</vt:i4>
      </vt:variant>
      <vt:variant>
        <vt:i4>0</vt:i4>
      </vt:variant>
      <vt:variant>
        <vt:i4>5</vt:i4>
      </vt:variant>
      <vt:variant>
        <vt:lpwstr/>
      </vt:variant>
      <vt:variant>
        <vt:lpwstr>_bmk5</vt:lpwstr>
      </vt:variant>
      <vt:variant>
        <vt:i4>589874</vt:i4>
      </vt:variant>
      <vt:variant>
        <vt:i4>18</vt:i4>
      </vt:variant>
      <vt:variant>
        <vt:i4>0</vt:i4>
      </vt:variant>
      <vt:variant>
        <vt:i4>5</vt:i4>
      </vt:variant>
      <vt:variant>
        <vt:lpwstr/>
      </vt:variant>
      <vt:variant>
        <vt:lpwstr>_bmk4</vt:lpwstr>
      </vt:variant>
      <vt:variant>
        <vt:i4>589874</vt:i4>
      </vt:variant>
      <vt:variant>
        <vt:i4>15</vt:i4>
      </vt:variant>
      <vt:variant>
        <vt:i4>0</vt:i4>
      </vt:variant>
      <vt:variant>
        <vt:i4>5</vt:i4>
      </vt:variant>
      <vt:variant>
        <vt:lpwstr/>
      </vt:variant>
      <vt:variant>
        <vt:lpwstr>_bmk3</vt:lpwstr>
      </vt:variant>
      <vt:variant>
        <vt:i4>589874</vt:i4>
      </vt:variant>
      <vt:variant>
        <vt:i4>12</vt:i4>
      </vt:variant>
      <vt:variant>
        <vt:i4>0</vt:i4>
      </vt:variant>
      <vt:variant>
        <vt:i4>5</vt:i4>
      </vt:variant>
      <vt:variant>
        <vt:lpwstr/>
      </vt:variant>
      <vt:variant>
        <vt:lpwstr>_bmk2</vt:lpwstr>
      </vt:variant>
      <vt:variant>
        <vt:i4>589874</vt:i4>
      </vt:variant>
      <vt:variant>
        <vt:i4>9</vt:i4>
      </vt:variant>
      <vt:variant>
        <vt:i4>0</vt:i4>
      </vt:variant>
      <vt:variant>
        <vt:i4>5</vt:i4>
      </vt:variant>
      <vt:variant>
        <vt:lpwstr/>
      </vt:variant>
      <vt:variant>
        <vt:lpwstr>_bmk1</vt:lpwstr>
      </vt:variant>
      <vt:variant>
        <vt:i4>1310839</vt:i4>
      </vt:variant>
      <vt:variant>
        <vt:i4>6</vt:i4>
      </vt:variant>
      <vt:variant>
        <vt:i4>0</vt:i4>
      </vt:variant>
      <vt:variant>
        <vt:i4>5</vt:i4>
      </vt:variant>
      <vt:variant>
        <vt:lpwstr>mailto:Andrew.Knudsen@ferc.gov</vt:lpwstr>
      </vt:variant>
      <vt:variant>
        <vt:lpwstr/>
      </vt:variant>
      <vt:variant>
        <vt:i4>3211347</vt:i4>
      </vt:variant>
      <vt:variant>
        <vt:i4>3</vt:i4>
      </vt:variant>
      <vt:variant>
        <vt:i4>0</vt:i4>
      </vt:variant>
      <vt:variant>
        <vt:i4>5</vt:i4>
      </vt:variant>
      <vt:variant>
        <vt:lpwstr>mailto:Brian.Holmes@ferc.gov</vt:lpwstr>
      </vt:variant>
      <vt:variant>
        <vt:lpwstr/>
      </vt:variant>
      <vt:variant>
        <vt:i4>5898280</vt:i4>
      </vt:variant>
      <vt:variant>
        <vt:i4>0</vt:i4>
      </vt:variant>
      <vt:variant>
        <vt:i4>0</vt:i4>
      </vt:variant>
      <vt:variant>
        <vt:i4>5</vt:i4>
      </vt:variant>
      <vt:variant>
        <vt:lpwstr>mailto:James.Sarikas@ferc.gov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Richard Palmer</cp:lastModifiedBy>
  <cp:revision>4</cp:revision>
  <cp:lastPrinted>2013-07-18T17:07:00Z</cp:lastPrinted>
  <dcterms:created xsi:type="dcterms:W3CDTF">2013-10-18T19:20:00Z</dcterms:created>
  <dcterms:modified xsi:type="dcterms:W3CDTF">2013-10-18T19:23:00Z</dcterms:modified>
  <dc:identifier/>
  <cp:version/>
</cp:coreProperties>
</file>