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545" w:rsidRPr="00F65603" w:rsidRDefault="00094545" w:rsidP="00B305E5">
      <w:pPr>
        <w:widowControl/>
        <w:tabs>
          <w:tab w:val="center" w:pos="5040"/>
        </w:tabs>
        <w:jc w:val="center"/>
        <w:rPr>
          <w:b/>
          <w:bCs/>
        </w:rPr>
      </w:pPr>
      <w:r w:rsidRPr="00F65603">
        <w:rPr>
          <w:b/>
          <w:bCs/>
        </w:rPr>
        <w:t xml:space="preserve">Supporting Statement for </w:t>
      </w:r>
    </w:p>
    <w:p w:rsidR="00094545" w:rsidRPr="00F65603" w:rsidRDefault="00094545" w:rsidP="00B305E5">
      <w:pPr>
        <w:widowControl/>
        <w:tabs>
          <w:tab w:val="center" w:pos="5040"/>
        </w:tabs>
        <w:jc w:val="center"/>
        <w:rPr>
          <w:b/>
          <w:bCs/>
        </w:rPr>
      </w:pPr>
      <w:r w:rsidRPr="00F65603">
        <w:rPr>
          <w:b/>
          <w:bCs/>
        </w:rPr>
        <w:t xml:space="preserve">FERC Form No. 6, Annual Report of Oil Pipeline Companies </w:t>
      </w:r>
    </w:p>
    <w:p w:rsidR="00094545" w:rsidRPr="00F65603" w:rsidRDefault="00094545" w:rsidP="00B305E5">
      <w:pPr>
        <w:widowControl/>
        <w:tabs>
          <w:tab w:val="center" w:pos="5040"/>
        </w:tabs>
        <w:jc w:val="center"/>
        <w:rPr>
          <w:b/>
          <w:bCs/>
        </w:rPr>
      </w:pPr>
      <w:r w:rsidRPr="00F65603">
        <w:rPr>
          <w:b/>
          <w:bCs/>
        </w:rPr>
        <w:t xml:space="preserve">(OMB Control No. 1902-0022),  </w:t>
      </w:r>
    </w:p>
    <w:p w:rsidR="00094545" w:rsidRPr="00F65603" w:rsidRDefault="0053728B" w:rsidP="00B305E5">
      <w:pPr>
        <w:widowControl/>
        <w:tabs>
          <w:tab w:val="center" w:pos="5040"/>
        </w:tabs>
        <w:jc w:val="center"/>
        <w:rPr>
          <w:b/>
          <w:bCs/>
        </w:rPr>
      </w:pPr>
      <w:proofErr w:type="gramStart"/>
      <w:r w:rsidRPr="00F65603">
        <w:rPr>
          <w:b/>
          <w:bCs/>
        </w:rPr>
        <w:t>Final Rule</w:t>
      </w:r>
      <w:r w:rsidR="00094545" w:rsidRPr="00F65603">
        <w:rPr>
          <w:b/>
          <w:bCs/>
        </w:rPr>
        <w:t xml:space="preserve"> (</w:t>
      </w:r>
      <w:r w:rsidR="0070665F">
        <w:rPr>
          <w:b/>
          <w:bCs/>
        </w:rPr>
        <w:t>Order 783</w:t>
      </w:r>
      <w:r w:rsidR="00085504">
        <w:rPr>
          <w:b/>
          <w:bCs/>
        </w:rPr>
        <w:t>)</w:t>
      </w:r>
      <w:r w:rsidR="0070665F">
        <w:rPr>
          <w:b/>
          <w:bCs/>
        </w:rPr>
        <w:t xml:space="preserve"> in </w:t>
      </w:r>
      <w:r w:rsidR="00094545" w:rsidRPr="00F65603">
        <w:rPr>
          <w:b/>
          <w:bCs/>
        </w:rPr>
        <w:t>Docket No.</w:t>
      </w:r>
      <w:proofErr w:type="gramEnd"/>
      <w:r w:rsidR="00094545" w:rsidRPr="00F65603">
        <w:rPr>
          <w:b/>
          <w:bCs/>
        </w:rPr>
        <w:t xml:space="preserve"> RM12-18-000</w:t>
      </w:r>
    </w:p>
    <w:p w:rsidR="00094545" w:rsidRPr="00F65603" w:rsidRDefault="00094545">
      <w:pPr>
        <w:widowControl/>
      </w:pPr>
    </w:p>
    <w:p w:rsidR="00094545" w:rsidRPr="00F65603" w:rsidRDefault="00094545" w:rsidP="00491D7C">
      <w:r w:rsidRPr="00F65603">
        <w:t>The Federal Energy Regulatory Commission (Commission or FERC) requests that the Office of Man</w:t>
      </w:r>
      <w:r w:rsidR="00966F3F" w:rsidRPr="00F65603">
        <w:t>agement and Budget (OMB) review</w:t>
      </w:r>
      <w:r w:rsidRPr="00F65603">
        <w:t xml:space="preserve"> the modifications to the </w:t>
      </w:r>
      <w:r w:rsidRPr="00F65603">
        <w:rPr>
          <w:bCs/>
        </w:rPr>
        <w:t>FERC Form No. 6 (Annual Report of Oil Pipeline Companies)</w:t>
      </w:r>
      <w:r w:rsidRPr="00F65603">
        <w:t>.  The FERC Form No. 6 is an existing Commission data collection, contained in Title 18 Code of Federal Regulations (CFR), Part 357</w:t>
      </w:r>
      <w:r w:rsidR="00EF47B1" w:rsidRPr="00F65603">
        <w:t>.2</w:t>
      </w:r>
      <w:r w:rsidRPr="00F65603">
        <w:t xml:space="preserve">. </w:t>
      </w:r>
    </w:p>
    <w:p w:rsidR="00094545" w:rsidRPr="00F65603" w:rsidRDefault="00094545" w:rsidP="00C34F01">
      <w:pPr>
        <w:widowControl/>
      </w:pPr>
    </w:p>
    <w:p w:rsidR="00094545" w:rsidRPr="00F65603" w:rsidRDefault="00094545" w:rsidP="00782C2A">
      <w:r w:rsidRPr="00F65603">
        <w:t xml:space="preserve">On </w:t>
      </w:r>
      <w:r w:rsidR="00C34F01" w:rsidRPr="00F65603">
        <w:t>July</w:t>
      </w:r>
      <w:r w:rsidRPr="00F65603">
        <w:t xml:space="preserve"> </w:t>
      </w:r>
      <w:r w:rsidR="00C34F01" w:rsidRPr="00F65603">
        <w:t>18</w:t>
      </w:r>
      <w:r w:rsidR="00A9394A">
        <w:t>, 2013</w:t>
      </w:r>
      <w:r w:rsidRPr="00F65603">
        <w:t xml:space="preserve">, the Commission issued a </w:t>
      </w:r>
      <w:r w:rsidR="00C34F01" w:rsidRPr="00F65603">
        <w:t>Final Rule</w:t>
      </w:r>
      <w:r w:rsidRPr="00F65603">
        <w:t xml:space="preserve"> </w:t>
      </w:r>
      <w:r w:rsidR="000F3933">
        <w:t xml:space="preserve">(Order 783) </w:t>
      </w:r>
      <w:r w:rsidRPr="00F65603">
        <w:t xml:space="preserve">in Docket No. RM12-18-000, Revisions to Page 700 of FERC Form No. 6.  In the </w:t>
      </w:r>
      <w:r w:rsidR="002161E2" w:rsidRPr="00F65603">
        <w:t>Final Rule</w:t>
      </w:r>
      <w:r w:rsidRPr="00F65603">
        <w:t xml:space="preserve"> the Commission augment</w:t>
      </w:r>
      <w:r w:rsidR="002161E2" w:rsidRPr="00F65603">
        <w:t>s</w:t>
      </w:r>
      <w:r w:rsidRPr="00F65603">
        <w:t xml:space="preserve"> the reporting requirements on page 700, Annual Cost of Service Based Analysis Schedule, of FERC Form No. 6, Annual Report of Oil Pipeline Companies (Form 6), to include additional information on rate base, rate of return, and income taxes.</w:t>
      </w:r>
    </w:p>
    <w:p w:rsidR="00094545" w:rsidRPr="00F65603" w:rsidRDefault="00094545" w:rsidP="00CC712C">
      <w:pPr>
        <w:widowControl/>
        <w:ind w:left="720"/>
      </w:pPr>
    </w:p>
    <w:p w:rsidR="00094545" w:rsidRPr="00F65603" w:rsidRDefault="00094545" w:rsidP="00261201">
      <w:pPr>
        <w:widowControl/>
        <w:tabs>
          <w:tab w:val="left" w:pos="-1440"/>
        </w:tabs>
        <w:rPr>
          <w:b/>
        </w:rPr>
      </w:pPr>
      <w:r w:rsidRPr="00F65603">
        <w:rPr>
          <w:b/>
        </w:rPr>
        <w:t>A.</w:t>
      </w:r>
      <w:r w:rsidRPr="00F65603">
        <w:rPr>
          <w:b/>
        </w:rPr>
        <w:tab/>
      </w:r>
      <w:r w:rsidRPr="00F65603">
        <w:rPr>
          <w:b/>
          <w:u w:val="single"/>
        </w:rPr>
        <w:t>JUSTIFICATION</w:t>
      </w:r>
    </w:p>
    <w:p w:rsidR="00094545" w:rsidRPr="00F65603" w:rsidRDefault="00094545" w:rsidP="00261201">
      <w:pPr>
        <w:widowControl/>
      </w:pPr>
    </w:p>
    <w:p w:rsidR="00094545" w:rsidRPr="00F65603" w:rsidRDefault="00094545" w:rsidP="002301FD">
      <w:pPr>
        <w:widowControl/>
        <w:tabs>
          <w:tab w:val="left" w:pos="-1440"/>
        </w:tabs>
        <w:ind w:left="720" w:hanging="720"/>
        <w:rPr>
          <w:b/>
          <w:bCs/>
        </w:rPr>
      </w:pPr>
      <w:r w:rsidRPr="00F65603">
        <w:t>1.</w:t>
      </w:r>
      <w:r w:rsidRPr="00F65603">
        <w:tab/>
      </w:r>
      <w:r w:rsidRPr="00F65603">
        <w:rPr>
          <w:b/>
          <w:bCs/>
        </w:rPr>
        <w:t>CIRCUMSTANCES THAT MAKE THE COLLECTION OF INFORMATION NECESSARY</w:t>
      </w:r>
    </w:p>
    <w:p w:rsidR="00094545" w:rsidRPr="00F65603" w:rsidRDefault="00094545" w:rsidP="00927C53">
      <w:pPr>
        <w:widowControl/>
        <w:tabs>
          <w:tab w:val="left" w:pos="-1440"/>
        </w:tabs>
        <w:ind w:firstLine="720"/>
        <w:rPr>
          <w:color w:val="000000"/>
        </w:rPr>
      </w:pPr>
    </w:p>
    <w:p w:rsidR="008157C9" w:rsidRPr="00F65603" w:rsidRDefault="008157C9" w:rsidP="002161E2">
      <w:pPr>
        <w:rPr>
          <w:color w:val="000000"/>
        </w:rPr>
      </w:pPr>
      <w:r w:rsidRPr="00F65603">
        <w:t>Under the Interstate Commerce Act (ICA), (Section 20, 54 Stat. 916), the Interstate Commerce Commission (ICC) was authorized and empowered to make investigations and to collect and record data to the extent considered necessary or useful for the purpose of carrying out the provisions of the ICA.</w:t>
      </w:r>
    </w:p>
    <w:p w:rsidR="008157C9" w:rsidRPr="00F65603" w:rsidRDefault="008157C9" w:rsidP="002161E2">
      <w:pPr>
        <w:rPr>
          <w:color w:val="000000"/>
        </w:rPr>
      </w:pPr>
    </w:p>
    <w:p w:rsidR="002161E2" w:rsidRPr="00F65603" w:rsidRDefault="002161E2" w:rsidP="002161E2">
      <w:r w:rsidRPr="00F65603">
        <w:rPr>
          <w:color w:val="000000"/>
        </w:rPr>
        <w:t>In 1977, the Department of Energy Organization Act transfe</w:t>
      </w:r>
      <w:r w:rsidR="008157C9" w:rsidRPr="00F65603">
        <w:rPr>
          <w:color w:val="000000"/>
        </w:rPr>
        <w:t xml:space="preserve">rred to the Commission from the </w:t>
      </w:r>
      <w:r w:rsidRPr="00F65603">
        <w:rPr>
          <w:color w:val="000000"/>
        </w:rPr>
        <w:t>ICC the responsibility to regulate oil pipeline companies.  In accordance with the transfer of authority, the Commission was delegated the responsibility to require oil pipelines to file annual reports of information necessary for the Commission to exercise its statutory responsibilities</w:t>
      </w:r>
      <w:r w:rsidRPr="00F65603">
        <w:t>.</w:t>
      </w:r>
      <w:r w:rsidRPr="00F65603">
        <w:rPr>
          <w:rStyle w:val="FootnoteReference"/>
          <w:vertAlign w:val="superscript"/>
        </w:rPr>
        <w:footnoteReference w:id="1"/>
      </w:r>
      <w:r w:rsidRPr="00F65603">
        <w:t xml:space="preserve">  </w:t>
      </w:r>
      <w:r w:rsidRPr="00F65603">
        <w:rPr>
          <w:color w:val="000000"/>
        </w:rPr>
        <w:t xml:space="preserve">The transfer included the Form P, the forerunner to the Form 6, </w:t>
      </w:r>
      <w:r w:rsidRPr="00F65603">
        <w:t>Annual Report of Oil Pipeline Companies (Form 6).</w:t>
      </w:r>
      <w:r w:rsidRPr="00F65603">
        <w:rPr>
          <w:rStyle w:val="FootnoteReference"/>
          <w:vertAlign w:val="superscript"/>
        </w:rPr>
        <w:footnoteReference w:id="2"/>
      </w:r>
      <w:r w:rsidRPr="00F65603">
        <w:rPr>
          <w:vertAlign w:val="superscript"/>
        </w:rPr>
        <w:t xml:space="preserve"> </w:t>
      </w:r>
    </w:p>
    <w:p w:rsidR="002161E2" w:rsidRPr="00F65603" w:rsidRDefault="002161E2" w:rsidP="002161E2">
      <w:pPr>
        <w:ind w:firstLine="720"/>
      </w:pPr>
    </w:p>
    <w:p w:rsidR="002161E2" w:rsidRPr="00F65603" w:rsidRDefault="002161E2" w:rsidP="002161E2">
      <w:pPr>
        <w:tabs>
          <w:tab w:val="left" w:pos="-1440"/>
        </w:tabs>
      </w:pPr>
      <w:r w:rsidRPr="00F65603">
        <w:t>In 1994, the Commission addressed additional revisions to the Form 6 in Order Nos. 571 and 571-A, including a new Page 700 (Annual Cost of Service).</w:t>
      </w:r>
      <w:r w:rsidRPr="00F65603">
        <w:rPr>
          <w:rStyle w:val="FootnoteReference"/>
          <w:vertAlign w:val="superscript"/>
        </w:rPr>
        <w:footnoteReference w:id="3"/>
      </w:r>
    </w:p>
    <w:p w:rsidR="00094545" w:rsidRPr="00F65603" w:rsidRDefault="00094545" w:rsidP="00F65603">
      <w:pPr>
        <w:pStyle w:val="FERCparanumber"/>
        <w:numPr>
          <w:ilvl w:val="0"/>
          <w:numId w:val="0"/>
        </w:numPr>
        <w:spacing w:line="240" w:lineRule="auto"/>
        <w:rPr>
          <w:sz w:val="24"/>
        </w:rPr>
      </w:pPr>
    </w:p>
    <w:p w:rsidR="00094545" w:rsidRPr="00F65603" w:rsidRDefault="00094545" w:rsidP="002301FD">
      <w:pPr>
        <w:widowControl/>
        <w:ind w:left="720" w:hanging="720"/>
        <w:rPr>
          <w:b/>
          <w:bCs/>
        </w:rPr>
      </w:pPr>
      <w:r w:rsidRPr="00F65603">
        <w:lastRenderedPageBreak/>
        <w:t>2.</w:t>
      </w:r>
      <w:r w:rsidRPr="00F65603">
        <w:tab/>
      </w:r>
      <w:r w:rsidRPr="00F65603">
        <w:rPr>
          <w:b/>
          <w:bCs/>
        </w:rPr>
        <w:t>HOW, BY WHOM, AND FOR WHAT PURPOSE THE INFORMATION IS TO BE USED AND THE CONSEQUENCES OF NOT COLLECTING THE INFORMATION</w:t>
      </w:r>
    </w:p>
    <w:p w:rsidR="00094545" w:rsidRPr="00F65603" w:rsidRDefault="00094545" w:rsidP="002301FD">
      <w:pPr>
        <w:widowControl/>
        <w:ind w:left="720" w:hanging="720"/>
        <w:rPr>
          <w:b/>
          <w:bCs/>
        </w:rPr>
      </w:pPr>
    </w:p>
    <w:p w:rsidR="008157C9" w:rsidRPr="00F65603" w:rsidRDefault="008157C9" w:rsidP="008157C9">
      <w:pPr>
        <w:widowControl/>
      </w:pPr>
      <w:r w:rsidRPr="00F65603">
        <w:t xml:space="preserve">Each oil pipeline carrier whose annual jurisdictional operating revenues has been $500,000 or more for each of the three previous calendar years must file FERC Form 6 (18 C.F.R. § 357.2 (a)). Oil pipeline carriers submitting </w:t>
      </w:r>
      <w:r w:rsidR="0085289A">
        <w:t xml:space="preserve">a complete </w:t>
      </w:r>
      <w:r w:rsidRPr="00F65603">
        <w:t>FERC Form 6 must submit FERC Form 6-Q (18 C.F.R. § 357.4(a)).  Newly established entities must use projected data to determine whether FERC Form No. 6 must be filed.</w:t>
      </w:r>
    </w:p>
    <w:p w:rsidR="00F65603" w:rsidRDefault="00F65603" w:rsidP="008157C9">
      <w:pPr>
        <w:widowControl/>
      </w:pPr>
    </w:p>
    <w:p w:rsidR="008157C9" w:rsidRPr="00F65603" w:rsidRDefault="008157C9" w:rsidP="008157C9">
      <w:pPr>
        <w:widowControl/>
      </w:pPr>
      <w:r w:rsidRPr="00F65603">
        <w:t>Oil pipeline carriers exempt from filing FERC Form 6 whose annual jurisdictional operating revenues have been more than $350,000 but less than $500,000 for each of the three previous calendar years must prepare and file page 301, “Operating Revenue Accounts (Account 600), and page 700, “Annual cost of Service Based Analysis Schedule,” of FERC Form 6.  When submitting pages 301 and 700, each exempt oil pipeline carrier must include page 1 of the FERC Form 6, the Identification and Attestation schedules (18 C.F.R. § 357.2 (a)(2)).</w:t>
      </w:r>
    </w:p>
    <w:p w:rsidR="008157C9" w:rsidRPr="00F65603" w:rsidRDefault="008157C9" w:rsidP="008157C9">
      <w:pPr>
        <w:widowControl/>
      </w:pPr>
    </w:p>
    <w:p w:rsidR="008157C9" w:rsidRPr="00F65603" w:rsidRDefault="008157C9" w:rsidP="008157C9">
      <w:pPr>
        <w:widowControl/>
      </w:pPr>
      <w:r w:rsidRPr="00F65603">
        <w:t xml:space="preserve">Oil pipeline carriers exempt from filing FERC Form 6 and pages 301 and whose annual jurisdictional operating revenues were $350,000 or less for each of the three previous calendar years must prepare and file page 700, “Annual Cost of Service Based Analysis Schedule,” of FERC Form 6. </w:t>
      </w:r>
    </w:p>
    <w:p w:rsidR="008157C9" w:rsidRPr="00F65603" w:rsidRDefault="008157C9" w:rsidP="008157C9">
      <w:pPr>
        <w:widowControl/>
      </w:pPr>
    </w:p>
    <w:p w:rsidR="008157C9" w:rsidRPr="00F65603" w:rsidRDefault="008157C9" w:rsidP="008157C9">
      <w:pPr>
        <w:widowControl/>
      </w:pPr>
      <w:r w:rsidRPr="00F65603">
        <w:t>When submitting page 700, each exempt oil pipeline carrier must include page 1 of FERC Form 6, the</w:t>
      </w:r>
    </w:p>
    <w:p w:rsidR="008157C9" w:rsidRPr="00F65603" w:rsidRDefault="008157C9" w:rsidP="008157C9">
      <w:r w:rsidRPr="00F65603">
        <w:t>Identification and Attestation schedule (18 C.F.R. § 357.2 (a</w:t>
      </w:r>
      <w:proofErr w:type="gramStart"/>
      <w:r w:rsidRPr="00F65603">
        <w:t>)(</w:t>
      </w:r>
      <w:proofErr w:type="gramEnd"/>
      <w:r w:rsidRPr="00F65603">
        <w:t>3)).</w:t>
      </w:r>
    </w:p>
    <w:p w:rsidR="008157C9" w:rsidRPr="00F65603" w:rsidRDefault="008157C9" w:rsidP="005E6DF7"/>
    <w:p w:rsidR="00094545" w:rsidRPr="00F65603" w:rsidRDefault="00F65603" w:rsidP="005E6DF7">
      <w:r>
        <w:t>Here is how FERC and others use the FERC Form 6 information</w:t>
      </w:r>
      <w:r w:rsidR="00094545" w:rsidRPr="00F65603">
        <w:t>:</w:t>
      </w:r>
    </w:p>
    <w:p w:rsidR="00094545" w:rsidRPr="00F65603" w:rsidRDefault="00094545" w:rsidP="006674E4"/>
    <w:p w:rsidR="00094545" w:rsidRPr="00F65603" w:rsidRDefault="00094545" w:rsidP="005E6DF7">
      <w:pPr>
        <w:numPr>
          <w:ilvl w:val="0"/>
          <w:numId w:val="27"/>
        </w:numPr>
        <w:tabs>
          <w:tab w:val="clear" w:pos="1440"/>
          <w:tab w:val="left" w:pos="-1440"/>
          <w:tab w:val="num" w:pos="1080"/>
        </w:tabs>
        <w:ind w:left="1080"/>
      </w:pPr>
      <w:r w:rsidRPr="00F65603">
        <w:rPr>
          <w:rFonts w:cs="Melior"/>
        </w:rPr>
        <w:t xml:space="preserve">The Commission’s Office of Enforcement (OE) uses the Form 6 data collected to assist in the implementation of its financial audits and programs, in the continuous review of the financial condition of regulated companies and in the assessment of energy markets. The Office of Energy Markets Regulation (OEMR) uses the data collected for various rate proceedings and economic analyses.  The Office of Administrative Litigation (OAL) uses the data collected for background research for use in litigation. The Office of the General Counsel (OGC) uses the data in its programs relating to the administration of the ICA.  </w:t>
      </w:r>
    </w:p>
    <w:p w:rsidR="00094545" w:rsidRPr="00F65603" w:rsidRDefault="00094545" w:rsidP="005E6DF7">
      <w:pPr>
        <w:tabs>
          <w:tab w:val="num" w:pos="1080"/>
        </w:tabs>
        <w:ind w:left="1080" w:hanging="360"/>
      </w:pPr>
    </w:p>
    <w:p w:rsidR="00094545" w:rsidRPr="00F65603" w:rsidRDefault="00094545" w:rsidP="005E6DF7">
      <w:pPr>
        <w:numPr>
          <w:ilvl w:val="0"/>
          <w:numId w:val="29"/>
        </w:numPr>
        <w:tabs>
          <w:tab w:val="clear" w:pos="1440"/>
          <w:tab w:val="left" w:pos="-1440"/>
          <w:tab w:val="num" w:pos="1080"/>
        </w:tabs>
        <w:ind w:left="1080"/>
      </w:pPr>
      <w:r w:rsidRPr="00F65603">
        <w:t xml:space="preserve">The Office of the Executive Director (OED) uses data on </w:t>
      </w:r>
      <w:r w:rsidR="0085289A">
        <w:t>Page 301</w:t>
      </w:r>
      <w:r w:rsidRPr="00F65603">
        <w:t xml:space="preserve"> of the Form 6 to compute annual charges which are then assessed against oil pipeline companies to recover the Commission's annual costs as mandated by Commission Order No. 472.  The annual charges are required by Section 3401 of the Omnibus Budget Reconciliation Act of 1986.</w:t>
      </w:r>
    </w:p>
    <w:p w:rsidR="00094545" w:rsidRPr="00F65603" w:rsidRDefault="00094545" w:rsidP="005E6DF7">
      <w:pPr>
        <w:tabs>
          <w:tab w:val="left" w:pos="-1440"/>
          <w:tab w:val="num" w:pos="1080"/>
        </w:tabs>
        <w:ind w:left="1080" w:hanging="360"/>
      </w:pPr>
    </w:p>
    <w:p w:rsidR="00094545" w:rsidRPr="00F65603" w:rsidRDefault="00094545" w:rsidP="005E6DF7">
      <w:pPr>
        <w:numPr>
          <w:ilvl w:val="0"/>
          <w:numId w:val="31"/>
        </w:numPr>
        <w:tabs>
          <w:tab w:val="clear" w:pos="1440"/>
          <w:tab w:val="left" w:pos="-1440"/>
          <w:tab w:val="num" w:pos="1080"/>
        </w:tabs>
        <w:ind w:left="1080"/>
      </w:pPr>
      <w:r w:rsidRPr="00F65603">
        <w:t>The majority of state regulatory commissions use the Form 6 and the FERC Uniform System of Accounts to satisfy their reporting requirements for those companies under their jurisdiction.</w:t>
      </w:r>
    </w:p>
    <w:p w:rsidR="00094545" w:rsidRPr="00F65603" w:rsidRDefault="00094545" w:rsidP="005E6DF7">
      <w:pPr>
        <w:tabs>
          <w:tab w:val="left" w:pos="-1440"/>
          <w:tab w:val="num" w:pos="1080"/>
        </w:tabs>
        <w:ind w:left="1080" w:hanging="360"/>
      </w:pPr>
    </w:p>
    <w:p w:rsidR="00094545" w:rsidRPr="00F65603" w:rsidRDefault="00094545" w:rsidP="005E6DF7">
      <w:pPr>
        <w:numPr>
          <w:ilvl w:val="0"/>
          <w:numId w:val="33"/>
        </w:numPr>
        <w:tabs>
          <w:tab w:val="clear" w:pos="1440"/>
          <w:tab w:val="left" w:pos="-1440"/>
          <w:tab w:val="num" w:pos="1080"/>
        </w:tabs>
        <w:ind w:left="1080"/>
      </w:pPr>
      <w:r w:rsidRPr="00F65603">
        <w:t>The public uses the data to assist in monitoring rates, the financial condition of the industry, and in the assessment of energy markets.</w:t>
      </w:r>
    </w:p>
    <w:p w:rsidR="00094545" w:rsidRPr="00F65603" w:rsidRDefault="00094545" w:rsidP="001636AA">
      <w:pPr>
        <w:tabs>
          <w:tab w:val="left" w:pos="-1440"/>
        </w:tabs>
      </w:pPr>
    </w:p>
    <w:p w:rsidR="00094545" w:rsidRPr="00F65603" w:rsidRDefault="00094545" w:rsidP="00CF3932">
      <w:pPr>
        <w:widowControl/>
      </w:pPr>
      <w:r w:rsidRPr="00F65603">
        <w:lastRenderedPageBreak/>
        <w:t>The Commission added Page 700 to Form 6 in 1994 to show “basic information needed for a review of rate filings made within the index cap.”</w:t>
      </w:r>
      <w:r w:rsidRPr="00F65603">
        <w:rPr>
          <w:b/>
          <w:vertAlign w:val="superscript"/>
        </w:rPr>
        <w:footnoteReference w:id="4"/>
      </w:r>
      <w:r w:rsidRPr="00F65603">
        <w:t xml:space="preserve">  Page 700 of Form 6 provides a simplified presentation of an oil pipeline’s jurisdictional cost of service.  Page 700 serves as a preliminary screening tool to evaluate pipeline rates.</w:t>
      </w:r>
      <w:r w:rsidRPr="00F65603">
        <w:rPr>
          <w:b/>
          <w:vertAlign w:val="superscript"/>
        </w:rPr>
        <w:footnoteReference w:id="5"/>
      </w:r>
      <w:r w:rsidRPr="00F65603">
        <w:t xml:space="preserve">  However, “Page 700 information alone is not intended to show what a just and reasonable rate should be.”</w:t>
      </w:r>
      <w:r w:rsidRPr="00F65603">
        <w:rPr>
          <w:b/>
          <w:vertAlign w:val="superscript"/>
        </w:rPr>
        <w:footnoteReference w:id="6"/>
      </w:r>
      <w:r w:rsidRPr="00F65603">
        <w:t xml:space="preserve">  Currently, pipelines are required to provide the following on Page 700:  Operating and Maintenance Expenses (line 1), Depreciation Expense (line 2), AFUDC Depreciation (line 3), Amortization of Deferred Earnings (line 4), Rate Base  (line 5), Rate of Return (line 6), Return on Rate Base (line 7), Income Tax Allowance (line 8), Total Cost of Service (line 9), Total Interstate Operating Revenues (line 10), </w:t>
      </w:r>
      <w:r w:rsidR="0085289A">
        <w:t xml:space="preserve">Total Interstate </w:t>
      </w:r>
      <w:r w:rsidRPr="00F65603">
        <w:t xml:space="preserve">Throughput in Barrels (line 11), and </w:t>
      </w:r>
      <w:r w:rsidR="0085289A">
        <w:t xml:space="preserve">Total Interstate </w:t>
      </w:r>
      <w:r w:rsidRPr="00F65603">
        <w:t>Throughput in Barrel-Miles (line 12).</w:t>
      </w:r>
    </w:p>
    <w:p w:rsidR="00094545" w:rsidRPr="00F65603" w:rsidRDefault="00094545" w:rsidP="00CF3932">
      <w:pPr>
        <w:widowControl/>
      </w:pPr>
    </w:p>
    <w:p w:rsidR="00E95513" w:rsidRPr="00F65603" w:rsidRDefault="0085289A" w:rsidP="006416C5">
      <w:pPr>
        <w:widowControl/>
        <w:rPr>
          <w:u w:val="single"/>
        </w:rPr>
      </w:pPr>
      <w:proofErr w:type="gramStart"/>
      <w:r>
        <w:rPr>
          <w:u w:val="single"/>
        </w:rPr>
        <w:t xml:space="preserve">Final </w:t>
      </w:r>
      <w:r w:rsidR="00E95513" w:rsidRPr="00F65603">
        <w:rPr>
          <w:u w:val="single"/>
        </w:rPr>
        <w:t xml:space="preserve"> Rule</w:t>
      </w:r>
      <w:proofErr w:type="gramEnd"/>
      <w:r w:rsidR="00E95513" w:rsidRPr="00F65603">
        <w:rPr>
          <w:u w:val="single"/>
        </w:rPr>
        <w:t xml:space="preserve"> in RM12-18</w:t>
      </w:r>
    </w:p>
    <w:p w:rsidR="00E95513" w:rsidRPr="00F65603" w:rsidRDefault="00E95513" w:rsidP="006416C5">
      <w:pPr>
        <w:widowControl/>
      </w:pPr>
    </w:p>
    <w:p w:rsidR="00094545" w:rsidRPr="00F65603" w:rsidRDefault="00094545" w:rsidP="006416C5">
      <w:pPr>
        <w:widowControl/>
      </w:pPr>
      <w:r w:rsidRPr="00F65603">
        <w:t xml:space="preserve">The Commission </w:t>
      </w:r>
      <w:r w:rsidR="00E31049" w:rsidRPr="00F65603">
        <w:t>modifies Page 700 in</w:t>
      </w:r>
      <w:r w:rsidR="00E95513" w:rsidRPr="00F65603">
        <w:t xml:space="preserve"> RM12-18</w:t>
      </w:r>
      <w:r w:rsidRPr="00F65603">
        <w:t xml:space="preserve"> to enable the calculation of a pipeline’s actual rate of return on equity consistent with the ratemaking principles embodied in Opinion 154-B, et al.</w:t>
      </w:r>
      <w:r w:rsidR="00E95513" w:rsidRPr="00F65603">
        <w:rPr>
          <w:rStyle w:val="FootnoteReference"/>
          <w:vertAlign w:val="superscript"/>
        </w:rPr>
        <w:footnoteReference w:id="7"/>
      </w:r>
      <w:r w:rsidRPr="00F65603">
        <w:t xml:space="preserve">  The actual rate of return on equity reflects the relationship between a pipeline’s revenues and its cost of service.  As a result, the actual rate of return on equity is particularly useful information when using Page 700 to evaluate whether a pipeline’s rates are just and reasonable consistent with the Commission’s mandate under the ICA.  </w:t>
      </w:r>
    </w:p>
    <w:p w:rsidR="00094545" w:rsidRPr="00F65603" w:rsidRDefault="00094545" w:rsidP="006416C5">
      <w:pPr>
        <w:widowControl/>
      </w:pPr>
    </w:p>
    <w:p w:rsidR="00094545" w:rsidRPr="00F65603" w:rsidRDefault="00094545" w:rsidP="006416C5">
      <w:pPr>
        <w:widowControl/>
      </w:pPr>
      <w:r w:rsidRPr="00F65603">
        <w:t>To provide the data necessary to calculate the actual return on equity, Page 700 must be modified to include additional information related to rate base, rate of return, return on rate base, and income tax rates.</w:t>
      </w:r>
    </w:p>
    <w:p w:rsidR="00094545" w:rsidRPr="00F65603" w:rsidRDefault="00094545" w:rsidP="006416C5">
      <w:pPr>
        <w:widowControl/>
      </w:pPr>
    </w:p>
    <w:p w:rsidR="00094545" w:rsidRPr="00F65603" w:rsidRDefault="00094545" w:rsidP="00D13A6B">
      <w:pPr>
        <w:widowControl/>
      </w:pPr>
      <w:r w:rsidRPr="00F65603">
        <w:t>The Commission seeks to enhance the information provided on Page 700 related to rate base, rate of return, and return on rate base.  The components of an oil pipeline’s rate base are governed by the Trended Original Cost Methodology adopted by the Commission in Opinion No. 154-B.</w:t>
      </w:r>
      <w:r w:rsidRPr="00F65603">
        <w:rPr>
          <w:b/>
          <w:vertAlign w:val="superscript"/>
        </w:rPr>
        <w:footnoteReference w:id="8"/>
      </w:r>
      <w:r w:rsidRPr="00F65603">
        <w:t xml:space="preserve">  Under this methodology, a pipeline’s Rate Base consists of (1) the Original Cost Rate Base, (2) any unamortized amounts from the oil pipeline’s Starting Rate Base Write-Up (SRB),</w:t>
      </w:r>
      <w:r w:rsidRPr="00F65603">
        <w:rPr>
          <w:b/>
          <w:vertAlign w:val="superscript"/>
        </w:rPr>
        <w:footnoteReference w:id="9"/>
      </w:r>
      <w:r w:rsidRPr="00F65603">
        <w:t xml:space="preserve"> and (3) Accumulated Net Deferred Earnings.</w:t>
      </w:r>
      <w:r w:rsidRPr="00F65603">
        <w:rPr>
          <w:b/>
          <w:vertAlign w:val="superscript"/>
        </w:rPr>
        <w:footnoteReference w:id="10"/>
      </w:r>
      <w:r w:rsidRPr="00F65603">
        <w:t xml:space="preserve">     </w:t>
      </w:r>
    </w:p>
    <w:p w:rsidR="00094545" w:rsidRPr="00F65603" w:rsidRDefault="00094545" w:rsidP="00D13A6B">
      <w:pPr>
        <w:widowControl/>
      </w:pPr>
      <w:r w:rsidRPr="00F65603">
        <w:lastRenderedPageBreak/>
        <w:t xml:space="preserve">  </w:t>
      </w:r>
    </w:p>
    <w:p w:rsidR="00094545" w:rsidRPr="00F65603" w:rsidRDefault="00094545" w:rsidP="00D13A6B">
      <w:pPr>
        <w:widowControl/>
      </w:pPr>
      <w:r w:rsidRPr="00F65603">
        <w:t>Consistent with Opinion No. 154-B, the Commission enhance</w:t>
      </w:r>
      <w:r w:rsidR="00E31049" w:rsidRPr="00F65603">
        <w:t>s</w:t>
      </w:r>
      <w:r w:rsidRPr="00F65603">
        <w:t xml:space="preserve"> the Rate Base information provided on line 5 of Page 700 by adding (1) Rate Base – Original Cost (proposed line 5a), (2) Rate Base – Unamortize</w:t>
      </w:r>
      <w:r w:rsidR="00E31049" w:rsidRPr="00F65603">
        <w:t>d Starting Rate Base Write-Up (new</w:t>
      </w:r>
      <w:r w:rsidRPr="00F65603">
        <w:t xml:space="preserve"> line 5b), (3) Rate Base – Accumulated</w:t>
      </w:r>
      <w:r w:rsidR="00E31049" w:rsidRPr="00F65603">
        <w:t xml:space="preserve"> Net Deferred Earnings (new</w:t>
      </w:r>
      <w:r w:rsidRPr="00F65603">
        <w:t xml:space="preserve"> line 5c).   The sum of proposed lines 5a, 5b and 5c comprise the pipeline’s Trended Original Cost Rate Base, which is currently reported on line 5 of Page 700 and which the Commission move</w:t>
      </w:r>
      <w:r w:rsidR="00E31049" w:rsidRPr="00F65603">
        <w:t>s</w:t>
      </w:r>
      <w:r w:rsidRPr="00F65603">
        <w:t xml:space="preserve"> to line 5d entitled Total Rate Base – Trended Original Cost – (5a + 5b + 5c).</w:t>
      </w:r>
      <w:r w:rsidR="0085289A">
        <w:t xml:space="preserve">  </w:t>
      </w:r>
    </w:p>
    <w:p w:rsidR="00094545" w:rsidRPr="00F65603" w:rsidRDefault="00094545" w:rsidP="00D13A6B">
      <w:pPr>
        <w:widowControl/>
      </w:pPr>
    </w:p>
    <w:p w:rsidR="00094545" w:rsidRPr="00F65603" w:rsidRDefault="00E31049" w:rsidP="00D13A6B">
      <w:pPr>
        <w:widowControl/>
      </w:pPr>
      <w:r w:rsidRPr="00F65603">
        <w:t>The Commission will now</w:t>
      </w:r>
      <w:r w:rsidR="00094545" w:rsidRPr="00F65603">
        <w:t xml:space="preserve"> require oil pipelines to report the cost of equity and cost of debt components that constitute the overall Weighted Cost of Capital currently reported as “Rate of Return” on line 6, Page 700.  Specifica</w:t>
      </w:r>
      <w:r w:rsidRPr="00F65603">
        <w:t xml:space="preserve">lly, the Commission </w:t>
      </w:r>
      <w:r w:rsidR="0085289A">
        <w:t xml:space="preserve">Final </w:t>
      </w:r>
      <w:proofErr w:type="gramStart"/>
      <w:r w:rsidR="0085289A">
        <w:t xml:space="preserve">Rule </w:t>
      </w:r>
      <w:r w:rsidRPr="00F65603">
        <w:t xml:space="preserve"> </w:t>
      </w:r>
      <w:r w:rsidR="00094545" w:rsidRPr="00F65603">
        <w:t>include</w:t>
      </w:r>
      <w:r w:rsidRPr="00F65603">
        <w:t>s</w:t>
      </w:r>
      <w:proofErr w:type="gramEnd"/>
      <w:r w:rsidR="00094545" w:rsidRPr="00F65603">
        <w:t xml:space="preserve"> additional information related to debt and equity capital structure ratios, i.e.  </w:t>
      </w:r>
      <w:proofErr w:type="gramStart"/>
      <w:r w:rsidR="00094545" w:rsidRPr="00F65603">
        <w:t>(1) Rate of Return – Adjusted Capital Structure Ratio for L</w:t>
      </w:r>
      <w:r w:rsidRPr="00F65603">
        <w:t>ong Term Debt (new</w:t>
      </w:r>
      <w:r w:rsidR="00094545" w:rsidRPr="00F65603">
        <w:t xml:space="preserve"> line 6a), (2) Rate of Return – Adjusted Capital Structure Ratio f</w:t>
      </w:r>
      <w:r w:rsidRPr="00F65603">
        <w:t>or Proprietary Capital (new</w:t>
      </w:r>
      <w:r w:rsidR="00094545" w:rsidRPr="00F65603">
        <w:t xml:space="preserve"> line 6b).</w:t>
      </w:r>
      <w:proofErr w:type="gramEnd"/>
      <w:r w:rsidR="00094545" w:rsidRPr="00F65603">
        <w:rPr>
          <w:b/>
          <w:vertAlign w:val="superscript"/>
        </w:rPr>
        <w:footnoteReference w:id="11"/>
      </w:r>
      <w:r w:rsidR="00094545" w:rsidRPr="00F65603">
        <w:t xml:space="preserve">  The Commission further add</w:t>
      </w:r>
      <w:r w:rsidRPr="00F65603">
        <w:t>s</w:t>
      </w:r>
      <w:r w:rsidR="00094545" w:rsidRPr="00F65603">
        <w:t xml:space="preserve"> information related to the cost of debt and the cost of equity, specifically: (1) Rate of Return – Cost of </w:t>
      </w:r>
      <w:r w:rsidRPr="00F65603">
        <w:t>Long Term Debt Capital (new</w:t>
      </w:r>
      <w:r w:rsidR="00094545" w:rsidRPr="00F65603">
        <w:t xml:space="preserve"> line 6c), (2) Rate of Return – Real Cost of Proprietary Capital</w:t>
      </w:r>
      <w:r w:rsidR="00094545" w:rsidRPr="00F65603">
        <w:rPr>
          <w:b/>
          <w:vertAlign w:val="superscript"/>
        </w:rPr>
        <w:footnoteReference w:id="12"/>
      </w:r>
      <w:r w:rsidRPr="00F65603">
        <w:t xml:space="preserve"> (new</w:t>
      </w:r>
      <w:r w:rsidR="00094545" w:rsidRPr="00F65603">
        <w:t xml:space="preserve"> line 6d).  This additional information forms the basis for the Rate of Return – Weighted Average Cost of Capital (the total of 6a * 6c + 6b * 6d), which is now reported as “Rate of Return” on line 6 on Page 700 and which the Commission </w:t>
      </w:r>
      <w:r w:rsidRPr="00F65603">
        <w:t>will move</w:t>
      </w:r>
      <w:r w:rsidR="00094545" w:rsidRPr="00F65603">
        <w:t xml:space="preserve"> to line 6e.</w:t>
      </w:r>
    </w:p>
    <w:p w:rsidR="00094545" w:rsidRPr="00F65603" w:rsidRDefault="00094545" w:rsidP="00D13A6B">
      <w:pPr>
        <w:widowControl/>
        <w:rPr>
          <w:b/>
        </w:rPr>
      </w:pPr>
    </w:p>
    <w:p w:rsidR="00094545" w:rsidRPr="00F65603" w:rsidRDefault="00094545" w:rsidP="00D13A6B">
      <w:pPr>
        <w:widowControl/>
      </w:pPr>
      <w:r w:rsidRPr="00F65603">
        <w:t xml:space="preserve">The Commission </w:t>
      </w:r>
      <w:r w:rsidR="00E31049" w:rsidRPr="00F65603">
        <w:t xml:space="preserve">will now </w:t>
      </w:r>
      <w:r w:rsidRPr="00F65603">
        <w:t xml:space="preserve">require oil pipelines to report additional information related to the Return on Rate Base in line 7.  The Return on Rate Base currently reported on line 7 combines the pipeline’s return on equity and the portion of the pipeline’s return allocated to paying its cost of debt.  The Commission </w:t>
      </w:r>
      <w:r w:rsidR="00E31049" w:rsidRPr="00F65603">
        <w:t>will</w:t>
      </w:r>
      <w:r w:rsidRPr="00F65603">
        <w:t xml:space="preserve"> require the pipeline to include on Page 700 the Return on Rate Base – Debt</w:t>
      </w:r>
      <w:r w:rsidR="00E31049" w:rsidRPr="00F65603">
        <w:t xml:space="preserve"> Component (new</w:t>
      </w:r>
      <w:r w:rsidRPr="00F65603">
        <w:t xml:space="preserve"> line 7a)</w:t>
      </w:r>
      <w:r w:rsidRPr="00F65603">
        <w:rPr>
          <w:b/>
          <w:vertAlign w:val="superscript"/>
        </w:rPr>
        <w:t xml:space="preserve"> </w:t>
      </w:r>
      <w:r w:rsidRPr="00F65603">
        <w:rPr>
          <w:b/>
          <w:vertAlign w:val="superscript"/>
        </w:rPr>
        <w:footnoteReference w:id="13"/>
      </w:r>
      <w:r w:rsidRPr="00F65603">
        <w:t xml:space="preserve"> and the Return on Rate Base – Equity Component.</w:t>
      </w:r>
      <w:r w:rsidRPr="00F65603">
        <w:rPr>
          <w:b/>
          <w:vertAlign w:val="superscript"/>
        </w:rPr>
        <w:footnoteReference w:id="14"/>
      </w:r>
      <w:r w:rsidR="00E31049" w:rsidRPr="00F65603">
        <w:t xml:space="preserve">  The Commission will now require entities</w:t>
      </w:r>
      <w:r w:rsidRPr="00F65603">
        <w:t xml:space="preserve"> to report </w:t>
      </w:r>
      <w:r w:rsidR="00E31049" w:rsidRPr="00F65603">
        <w:t>on new</w:t>
      </w:r>
      <w:r w:rsidRPr="00F65603">
        <w:t xml:space="preserve"> line 7c the Total Return on Rate Base – (7a+7b), which is the same information currently reported on line 7.</w:t>
      </w:r>
    </w:p>
    <w:p w:rsidR="00094545" w:rsidRPr="00F65603" w:rsidRDefault="00094545" w:rsidP="00D13A6B">
      <w:pPr>
        <w:widowControl/>
        <w:rPr>
          <w:b/>
        </w:rPr>
      </w:pPr>
    </w:p>
    <w:p w:rsidR="00094545" w:rsidRPr="00F65603" w:rsidRDefault="00094545" w:rsidP="00D13A6B">
      <w:pPr>
        <w:widowControl/>
      </w:pPr>
      <w:r w:rsidRPr="00F65603">
        <w:t xml:space="preserve">The Commission </w:t>
      </w:r>
      <w:r w:rsidR="00447D49" w:rsidRPr="00F65603">
        <w:t>also modifies</w:t>
      </w:r>
      <w:r w:rsidRPr="00F65603">
        <w:t xml:space="preserve"> Page 700 to include the Composite Tax Rate used to determine the “Income Tax Allowance.”</w:t>
      </w:r>
      <w:r w:rsidRPr="00F65603">
        <w:rPr>
          <w:b/>
          <w:vertAlign w:val="superscript"/>
        </w:rPr>
        <w:footnoteReference w:id="15"/>
      </w:r>
      <w:r w:rsidRPr="00F65603">
        <w:t xml:space="preserve">  Line 8 of the Page 700 currently requires each pipeline to report the total </w:t>
      </w:r>
      <w:r w:rsidRPr="00F65603">
        <w:lastRenderedPageBreak/>
        <w:t>dollar amount attributable to the “Income Tax Allowance” in its cost-of-serv</w:t>
      </w:r>
      <w:r w:rsidR="00447D49" w:rsidRPr="00F65603">
        <w:t>ice.  The Commission</w:t>
      </w:r>
      <w:r w:rsidRPr="00F65603">
        <w:t xml:space="preserve"> add</w:t>
      </w:r>
      <w:r w:rsidR="00447D49" w:rsidRPr="00F65603">
        <w:t>s</w:t>
      </w:r>
      <w:r w:rsidRPr="00F65603">
        <w:t xml:space="preserve"> a new line 8a which will require a pipeline to report its “Composite Tax Rate Percentage.”</w:t>
      </w:r>
      <w:r w:rsidR="00447D49" w:rsidRPr="00F65603">
        <w:rPr>
          <w:rStyle w:val="FootnoteReference"/>
          <w:vertAlign w:val="superscript"/>
        </w:rPr>
        <w:footnoteReference w:id="16"/>
      </w:r>
      <w:r w:rsidRPr="00F65603">
        <w:t xml:space="preserve">  </w:t>
      </w:r>
    </w:p>
    <w:p w:rsidR="00094545" w:rsidRPr="00F65603" w:rsidRDefault="00094545" w:rsidP="00D13A6B">
      <w:pPr>
        <w:widowControl/>
      </w:pPr>
    </w:p>
    <w:p w:rsidR="00094545" w:rsidRPr="00F65603" w:rsidRDefault="00094545" w:rsidP="00D13A6B">
      <w:pPr>
        <w:widowControl/>
      </w:pPr>
      <w:r w:rsidRPr="00F65603">
        <w:t>The Composite Tax Rate Percentage will create a better understanding of the differential between a pipeline’s Total Interstate Operating Revenues (line 10) and the pipeline’s Total Cost of Service (line 9).   Specifically, the Composite Tax Rate Percentage may be used to determine the portion of this differential that is attributable to income taxes under Commission policy, and the portion that may be treated as part of a pipeline’s actual return on equity.</w:t>
      </w:r>
    </w:p>
    <w:p w:rsidR="00094545" w:rsidRPr="00F65603" w:rsidRDefault="00094545" w:rsidP="00D13A6B">
      <w:pPr>
        <w:widowControl/>
      </w:pPr>
    </w:p>
    <w:p w:rsidR="00094545" w:rsidRPr="00F65603" w:rsidRDefault="00094545" w:rsidP="00B4029F">
      <w:pPr>
        <w:pStyle w:val="FERCparanumber"/>
        <w:widowControl/>
        <w:numPr>
          <w:ilvl w:val="0"/>
          <w:numId w:val="0"/>
        </w:numPr>
        <w:spacing w:line="240" w:lineRule="auto"/>
        <w:rPr>
          <w:sz w:val="24"/>
        </w:rPr>
      </w:pPr>
      <w:r w:rsidRPr="00F65603">
        <w:rPr>
          <w:sz w:val="24"/>
        </w:rPr>
        <w:t>The modifications to Page 700 will provide information that may be used to calculate a pipeline's actual rate of return on equity.  The actual rate of return on equity is determined by dividing (a) the actual return on equity by (b) the equity portion of Trended Original Cost Rate Base reported on line 5d.  The actual return on equity is the sum of three components that can be derived using the proposed modifications to Page 700:  (a) the return on equity embedded in a pipeline’s Page 700 Total Cost of Service (proposed line 7b); (b) the difference, adjusted for taxes, between a pipeline’s Total Interstate Operating Revenues (</w:t>
      </w:r>
      <w:r w:rsidR="00447D49" w:rsidRPr="00F65603">
        <w:rPr>
          <w:sz w:val="24"/>
        </w:rPr>
        <w:t>new</w:t>
      </w:r>
      <w:r w:rsidRPr="00F65603">
        <w:rPr>
          <w:sz w:val="24"/>
        </w:rPr>
        <w:t xml:space="preserve"> Line 10) and a pipeline’s Total Cost of Service (proposed Line 9);</w:t>
      </w:r>
      <w:r w:rsidRPr="00F65603">
        <w:rPr>
          <w:rStyle w:val="FootnoteReference"/>
          <w:sz w:val="24"/>
        </w:rPr>
        <w:footnoteReference w:id="17"/>
      </w:r>
      <w:r w:rsidRPr="00F65603">
        <w:rPr>
          <w:sz w:val="24"/>
        </w:rPr>
        <w:t xml:space="preserve"> and (c) the current year’s contribution to Net Deferred Earnings, which is calculated by multiplying the equity portion of the Trended Original Cost Rate Base (</w:t>
      </w:r>
      <w:r w:rsidR="00447D49" w:rsidRPr="00F65603">
        <w:rPr>
          <w:sz w:val="24"/>
        </w:rPr>
        <w:t xml:space="preserve">new </w:t>
      </w:r>
      <w:r w:rsidRPr="00F65603">
        <w:rPr>
          <w:sz w:val="24"/>
        </w:rPr>
        <w:t>line 5d) by the current year’s Department of Labor’s consumer price index for all urban areas (CPI-U).</w:t>
      </w:r>
      <w:r w:rsidRPr="00F65603">
        <w:rPr>
          <w:rStyle w:val="FootnoteReference"/>
          <w:sz w:val="24"/>
          <w:vertAlign w:val="superscript"/>
        </w:rPr>
        <w:footnoteReference w:id="18"/>
      </w:r>
    </w:p>
    <w:p w:rsidR="00094545" w:rsidRPr="00F65603" w:rsidRDefault="00094545" w:rsidP="00B4029F">
      <w:pPr>
        <w:pStyle w:val="FERCparanumber"/>
        <w:widowControl/>
        <w:numPr>
          <w:ilvl w:val="0"/>
          <w:numId w:val="0"/>
        </w:numPr>
        <w:spacing w:line="240" w:lineRule="auto"/>
        <w:rPr>
          <w:sz w:val="24"/>
        </w:rPr>
      </w:pPr>
      <w:r w:rsidRPr="00F65603">
        <w:rPr>
          <w:sz w:val="24"/>
        </w:rPr>
        <w:t xml:space="preserve"> </w:t>
      </w:r>
    </w:p>
    <w:p w:rsidR="00094545" w:rsidRPr="00F65603" w:rsidRDefault="00094545" w:rsidP="00B4029F">
      <w:pPr>
        <w:pStyle w:val="FERCparanumber"/>
        <w:widowControl/>
        <w:numPr>
          <w:ilvl w:val="0"/>
          <w:numId w:val="0"/>
        </w:numPr>
        <w:spacing w:line="240" w:lineRule="auto"/>
        <w:rPr>
          <w:sz w:val="24"/>
        </w:rPr>
      </w:pPr>
      <w:r w:rsidRPr="00F65603">
        <w:rPr>
          <w:sz w:val="24"/>
        </w:rPr>
        <w:t>Once the actual return on equity has been derived, it may be divided by the equity portion of Trended Original Cost Rate Base.  The equity portion of the Trended Original Cost Rate base consists of the Trended Original Cost Rate Base (</w:t>
      </w:r>
      <w:r w:rsidR="00447D49" w:rsidRPr="00F65603">
        <w:rPr>
          <w:sz w:val="24"/>
        </w:rPr>
        <w:t>new</w:t>
      </w:r>
      <w:r w:rsidRPr="00F65603">
        <w:rPr>
          <w:sz w:val="24"/>
        </w:rPr>
        <w:t xml:space="preserve"> line 5d) multiplied by the equity component of capital structure (</w:t>
      </w:r>
      <w:r w:rsidR="00447D49" w:rsidRPr="00F65603">
        <w:rPr>
          <w:sz w:val="24"/>
        </w:rPr>
        <w:t>new</w:t>
      </w:r>
      <w:r w:rsidRPr="00F65603">
        <w:rPr>
          <w:sz w:val="24"/>
        </w:rPr>
        <w:t xml:space="preserve"> line 6b).       </w:t>
      </w:r>
    </w:p>
    <w:p w:rsidR="00094545" w:rsidRPr="00F65603" w:rsidRDefault="00094545" w:rsidP="00B4029F">
      <w:pPr>
        <w:pStyle w:val="FERCparanumber"/>
        <w:widowControl/>
        <w:numPr>
          <w:ilvl w:val="0"/>
          <w:numId w:val="0"/>
        </w:numPr>
        <w:spacing w:line="240" w:lineRule="auto"/>
        <w:rPr>
          <w:sz w:val="24"/>
        </w:rPr>
      </w:pPr>
    </w:p>
    <w:p w:rsidR="00094545" w:rsidRPr="00F65603" w:rsidRDefault="00094545" w:rsidP="00B4029F">
      <w:pPr>
        <w:pStyle w:val="FERCparanumber"/>
        <w:numPr>
          <w:ilvl w:val="0"/>
          <w:numId w:val="0"/>
        </w:numPr>
        <w:spacing w:line="240" w:lineRule="auto"/>
        <w:rPr>
          <w:sz w:val="24"/>
        </w:rPr>
      </w:pPr>
      <w:r w:rsidRPr="00F65603">
        <w:rPr>
          <w:sz w:val="24"/>
        </w:rPr>
        <w:t>These proposed modifications to Page 700 will increase the usefulness of Page 700.  Prior to this proposal, any attempt to estimate an oil pipeline’s actual return on equity required assumptions regarding several cost of service components, including capital structure (</w:t>
      </w:r>
      <w:r w:rsidR="00447D49" w:rsidRPr="00F65603">
        <w:rPr>
          <w:sz w:val="24"/>
        </w:rPr>
        <w:t>new</w:t>
      </w:r>
      <w:r w:rsidRPr="00F65603">
        <w:rPr>
          <w:sz w:val="24"/>
        </w:rPr>
        <w:t xml:space="preserve"> lines 6a and 6b), the composite income tax rate (</w:t>
      </w:r>
      <w:r w:rsidR="00447D49" w:rsidRPr="00F65603">
        <w:rPr>
          <w:sz w:val="24"/>
        </w:rPr>
        <w:t>new</w:t>
      </w:r>
      <w:r w:rsidRPr="00F65603">
        <w:rPr>
          <w:sz w:val="24"/>
        </w:rPr>
        <w:t xml:space="preserve"> line 8a), and the return on equity embedded in a pipeline’s Page 700 cost of service (</w:t>
      </w:r>
      <w:r w:rsidR="00447D49" w:rsidRPr="00F65603">
        <w:rPr>
          <w:sz w:val="24"/>
        </w:rPr>
        <w:t>new</w:t>
      </w:r>
      <w:r w:rsidRPr="00F65603">
        <w:rPr>
          <w:sz w:val="24"/>
        </w:rPr>
        <w:t xml:space="preserve"> line 7b).  The Commission believes this additional information will make Page 700 a more useful tool for evaluating a pipeline’s rates</w:t>
      </w:r>
      <w:r w:rsidR="00447D49" w:rsidRPr="00F65603">
        <w:rPr>
          <w:sz w:val="24"/>
        </w:rPr>
        <w:t>.</w:t>
      </w:r>
    </w:p>
    <w:p w:rsidR="00094545" w:rsidRPr="00F65603" w:rsidRDefault="00094545" w:rsidP="00B4029F">
      <w:pPr>
        <w:pStyle w:val="FERCparanumber"/>
        <w:numPr>
          <w:ilvl w:val="0"/>
          <w:numId w:val="0"/>
        </w:numPr>
        <w:spacing w:line="240" w:lineRule="auto"/>
        <w:ind w:firstLine="720"/>
        <w:rPr>
          <w:b/>
          <w:sz w:val="24"/>
        </w:rPr>
      </w:pPr>
    </w:p>
    <w:p w:rsidR="00094545" w:rsidRPr="00F65603" w:rsidRDefault="00447D49" w:rsidP="00842882">
      <w:pPr>
        <w:widowControl/>
      </w:pPr>
      <w:r w:rsidRPr="00F65603">
        <w:lastRenderedPageBreak/>
        <w:t xml:space="preserve">The </w:t>
      </w:r>
      <w:r w:rsidR="00094545" w:rsidRPr="00F65603">
        <w:t xml:space="preserve">modifications will facilitate the calculation of the actual rate of return on equity based upon Page 700 data.  The actual rate of return on equity is particularly useful information when using Page 700 to evaluate a pipeline’s rates.  The additional information proposed to be reported will impose almost no additional burden on oil pipelines because pipelines already must develop cost of service supporting calculations to determine the Income Tax Allowance, Rate Base, Rate of Return, and Return on Rate Base reported on Page 700.  Given these existing requirements, the Commission does not anticipate that these additions to Page 700 of Form 6 will impose a significant burden on oil pipelines. </w:t>
      </w:r>
    </w:p>
    <w:p w:rsidR="00094545" w:rsidRPr="00F65603" w:rsidRDefault="00094545" w:rsidP="005E6DF7">
      <w:pPr>
        <w:widowControl/>
      </w:pPr>
    </w:p>
    <w:p w:rsidR="00094545" w:rsidRPr="00F65603" w:rsidRDefault="00094545" w:rsidP="005E6DF7">
      <w:pPr>
        <w:widowControl/>
      </w:pPr>
      <w:r w:rsidRPr="00F65603">
        <w:t xml:space="preserve">The Commission continues to review and modernize its oil regulations with a view toward reducing the burden it places on industry.  The ICA mandates the collection of information needed by the Commission to perform its regulatory responsibilities in the setting of just and reasonable rates.  The Commission could be held in violation of the ICA if the information was not collected.  </w:t>
      </w:r>
    </w:p>
    <w:p w:rsidR="00094545" w:rsidRPr="00F65603" w:rsidRDefault="00094545">
      <w:pPr>
        <w:widowControl/>
        <w:ind w:firstLine="720"/>
      </w:pPr>
    </w:p>
    <w:p w:rsidR="00094545" w:rsidRPr="00F65603" w:rsidRDefault="00094545" w:rsidP="002301FD">
      <w:pPr>
        <w:widowControl/>
        <w:tabs>
          <w:tab w:val="left" w:pos="-1440"/>
        </w:tabs>
        <w:ind w:left="720" w:hanging="720"/>
        <w:rPr>
          <w:b/>
          <w:bCs/>
        </w:rPr>
      </w:pPr>
      <w:r w:rsidRPr="00F65603">
        <w:t>3.</w:t>
      </w:r>
      <w:r w:rsidRPr="00F65603">
        <w:tab/>
      </w:r>
      <w:r w:rsidRPr="00F65603">
        <w:rPr>
          <w:b/>
          <w:bCs/>
        </w:rPr>
        <w:t>DESCRIBE ANY CONSIDERATION OF THE USE OF IMPROVED TECHNOLOGY TO REDUCE BURDEN AND TECHNICAL OR LEGAL OBSTACLES TO REDUCING BURDEN.</w:t>
      </w:r>
    </w:p>
    <w:p w:rsidR="00094545" w:rsidRPr="00F65603" w:rsidRDefault="00094545" w:rsidP="00BB5847">
      <w:pPr>
        <w:ind w:left="720" w:firstLine="720"/>
      </w:pPr>
    </w:p>
    <w:p w:rsidR="00094545" w:rsidRPr="00F65603" w:rsidRDefault="00094545" w:rsidP="005E6DF7">
      <w:pPr>
        <w:rPr>
          <w:rFonts w:ascii="Times New Roman TUR" w:hAnsi="Times New Roman TUR" w:cs="Times New Roman TUR"/>
          <w:bCs/>
        </w:rPr>
      </w:pPr>
      <w:r w:rsidRPr="00F65603">
        <w:t xml:space="preserve">There is an ongoing effort to determine the potential and value of improved information technology to reduce the burden.  </w:t>
      </w:r>
      <w:r w:rsidRPr="00F65603">
        <w:rPr>
          <w:rFonts w:cs="Melior"/>
        </w:rPr>
        <w:t xml:space="preserve">Every pipeline carrier subject to the provisions of Section 20 of the ICA must electronically file with the Commission through Commission-provided software.  </w:t>
      </w:r>
      <w:r w:rsidRPr="00F65603">
        <w:rPr>
          <w:rFonts w:ascii="Times New Roman TUR" w:hAnsi="Times New Roman TUR" w:cs="Times New Roman TUR"/>
          <w:bCs/>
        </w:rPr>
        <w:t xml:space="preserve">The Commission has made available to all Form 6 respondents web-based submission software necessary to file electronically through a portal found on the FERC web site at </w:t>
      </w:r>
      <w:hyperlink r:id="rId9" w:history="1">
        <w:r w:rsidRPr="00F65603">
          <w:rPr>
            <w:rStyle w:val="Hyperlink"/>
          </w:rPr>
          <w:t>http://www.ferc.gov/docs-filing/forms/form-6/elec-subm-soft.asp</w:t>
        </w:r>
      </w:hyperlink>
      <w:r w:rsidRPr="00F65603">
        <w:t>.</w:t>
      </w:r>
      <w:r w:rsidRPr="00F65603">
        <w:rPr>
          <w:rFonts w:ascii="Times New Roman TUR" w:hAnsi="Times New Roman TUR" w:cs="Times New Roman TUR"/>
          <w:b/>
          <w:bCs/>
        </w:rPr>
        <w:t xml:space="preserve"> </w:t>
      </w:r>
      <w:r w:rsidRPr="00F65603">
        <w:rPr>
          <w:rFonts w:ascii="Times New Roman TUR" w:hAnsi="Times New Roman TUR" w:cs="Times New Roman TUR"/>
          <w:bCs/>
        </w:rPr>
        <w:t>The Commission requires all Form 6 respondents to use this software and portal access for filings.</w:t>
      </w:r>
    </w:p>
    <w:p w:rsidR="00094545" w:rsidRPr="00F65603" w:rsidRDefault="00094545" w:rsidP="00BB5847">
      <w:r w:rsidRPr="00F65603">
        <w:rPr>
          <w:rFonts w:ascii="Times New Roman TUR" w:hAnsi="Times New Roman TUR" w:cs="Times New Roman TUR"/>
          <w:bCs/>
        </w:rPr>
        <w:t xml:space="preserve"> </w:t>
      </w:r>
    </w:p>
    <w:p w:rsidR="00094545" w:rsidRPr="00F65603" w:rsidRDefault="00094545" w:rsidP="005E6DF7">
      <w:pPr>
        <w:widowControl/>
      </w:pPr>
      <w:r w:rsidRPr="00F65603">
        <w:t>The Commission believes that electronic submission of Form 6 filings yields significant benefits, including more timely analysis and publication of data, increased data analysis capability, reduced cost of data entry and retrieval, simplifying the form design, and overall reduction of the reporting burden.</w:t>
      </w:r>
    </w:p>
    <w:p w:rsidR="00094545" w:rsidRPr="00F65603" w:rsidRDefault="00094545">
      <w:pPr>
        <w:widowControl/>
      </w:pPr>
    </w:p>
    <w:p w:rsidR="00094545" w:rsidRPr="00F65603" w:rsidRDefault="00094545" w:rsidP="002301FD">
      <w:pPr>
        <w:widowControl/>
        <w:tabs>
          <w:tab w:val="left" w:pos="-1440"/>
        </w:tabs>
        <w:ind w:left="720" w:hanging="720"/>
        <w:rPr>
          <w:b/>
          <w:bCs/>
        </w:rPr>
      </w:pPr>
      <w:r w:rsidRPr="00F65603">
        <w:t>4.</w:t>
      </w:r>
      <w:r w:rsidRPr="00F65603">
        <w:tab/>
      </w:r>
      <w:r w:rsidRPr="00F65603">
        <w:rPr>
          <w:b/>
          <w:bCs/>
        </w:rPr>
        <w:t>DESCRIBE EFFORTS TO IDENTIFY DUPLICATION AND SHOW SPECIFICALLY WHY ANY SIMILAR INFORMATION ALREADY AVAILABLE CANNOT BE USED OR MODIFIED FOR USE FOR THE PURPOSE(S) DESCRIBED IN INSTRUCTION NO. 2</w:t>
      </w:r>
    </w:p>
    <w:p w:rsidR="00094545" w:rsidRPr="00F65603" w:rsidRDefault="00094545">
      <w:pPr>
        <w:widowControl/>
        <w:rPr>
          <w:color w:val="000000"/>
          <w:highlight w:val="lightGray"/>
        </w:rPr>
      </w:pPr>
    </w:p>
    <w:p w:rsidR="00094545" w:rsidRPr="00F65603" w:rsidRDefault="00094545" w:rsidP="005E6DF7">
      <w:pPr>
        <w:widowControl/>
      </w:pPr>
      <w:r w:rsidRPr="00F65603">
        <w:t xml:space="preserve">Filing requirements are periodically reviewed as OMB review dates arise or as the Commission may deem necessary in carrying out its regulatory responsibilities under the Act in an effort to alleviate duplication.  All Commission information collections are subject to analysis by Commission staff and are examined for redundancy.  To date, the Commission has not found duplication of the proposed data requirements.  </w:t>
      </w:r>
    </w:p>
    <w:p w:rsidR="00094545" w:rsidRPr="00F65603" w:rsidRDefault="00094545">
      <w:pPr>
        <w:widowControl/>
        <w:rPr>
          <w:strike/>
        </w:rPr>
      </w:pPr>
    </w:p>
    <w:p w:rsidR="00094545" w:rsidRPr="00F65603" w:rsidRDefault="00094545" w:rsidP="002301FD">
      <w:pPr>
        <w:widowControl/>
        <w:tabs>
          <w:tab w:val="left" w:pos="-1440"/>
        </w:tabs>
        <w:ind w:left="720" w:hanging="720"/>
      </w:pPr>
      <w:r w:rsidRPr="00F65603">
        <w:t>5.</w:t>
      </w:r>
      <w:r w:rsidRPr="00F65603">
        <w:tab/>
      </w:r>
      <w:r w:rsidRPr="00F65603">
        <w:rPr>
          <w:b/>
          <w:bCs/>
        </w:rPr>
        <w:t>METHODS USED TO MINIMIZE BURDEN IN COLLECTION OF INFORMATION INVOLVING SMALL ENTITIES</w:t>
      </w:r>
    </w:p>
    <w:p w:rsidR="00094545" w:rsidRPr="00F65603" w:rsidRDefault="00094545">
      <w:pPr>
        <w:widowControl/>
        <w:rPr>
          <w:rFonts w:ascii="Times New Roman TUR" w:hAnsi="Times New Roman TUR" w:cs="Times New Roman TUR"/>
          <w:bCs/>
        </w:rPr>
      </w:pPr>
    </w:p>
    <w:p w:rsidR="00094545" w:rsidRPr="00F65603" w:rsidRDefault="00094545" w:rsidP="005E6DF7">
      <w:pPr>
        <w:widowControl/>
        <w:rPr>
          <w:rFonts w:ascii="Times New Roman TUR" w:hAnsi="Times New Roman TUR" w:cs="Times New Roman TUR"/>
          <w:bCs/>
        </w:rPr>
      </w:pPr>
      <w:r w:rsidRPr="00F65603">
        <w:rPr>
          <w:rFonts w:ascii="Times New Roman TUR" w:hAnsi="Times New Roman TUR" w:cs="Times New Roman TUR"/>
          <w:bCs/>
        </w:rPr>
        <w:t>The filing threshold for the Form 6 is divided into three categories, based on the size of the</w:t>
      </w:r>
      <w:r w:rsidR="006A4428" w:rsidRPr="00F65603">
        <w:rPr>
          <w:rFonts w:ascii="Times New Roman TUR" w:hAnsi="Times New Roman TUR" w:cs="Times New Roman TUR"/>
          <w:bCs/>
        </w:rPr>
        <w:t xml:space="preserve"> respondent</w:t>
      </w:r>
      <w:r w:rsidRPr="00F65603">
        <w:rPr>
          <w:rFonts w:ascii="Times New Roman TUR" w:hAnsi="Times New Roman TUR" w:cs="Times New Roman TUR"/>
          <w:bCs/>
        </w:rPr>
        <w:t xml:space="preserve"> company (see</w:t>
      </w:r>
      <w:r w:rsidR="00737F30" w:rsidRPr="00F65603">
        <w:rPr>
          <w:rFonts w:ascii="Times New Roman TUR" w:hAnsi="Times New Roman TUR" w:cs="Times New Roman TUR"/>
          <w:bCs/>
        </w:rPr>
        <w:t xml:space="preserve"> response to</w:t>
      </w:r>
      <w:r w:rsidRPr="00F65603">
        <w:rPr>
          <w:rFonts w:ascii="Times New Roman TUR" w:hAnsi="Times New Roman TUR" w:cs="Times New Roman TUR"/>
          <w:bCs/>
        </w:rPr>
        <w:t xml:space="preserve"> </w:t>
      </w:r>
      <w:r w:rsidR="00737F30" w:rsidRPr="00F65603">
        <w:rPr>
          <w:rFonts w:ascii="Times New Roman TUR" w:hAnsi="Times New Roman TUR" w:cs="Times New Roman TUR"/>
          <w:bCs/>
        </w:rPr>
        <w:t>#2</w:t>
      </w:r>
      <w:r w:rsidRPr="00F65603">
        <w:rPr>
          <w:rFonts w:ascii="Times New Roman TUR" w:hAnsi="Times New Roman TUR" w:cs="Times New Roman TUR"/>
          <w:bCs/>
        </w:rPr>
        <w:t xml:space="preserve"> above).  Smaller companies are not required to file the full Form 6, only certain pieces of form.  The Commission concluded that exempting a certain percentage of oil </w:t>
      </w:r>
      <w:r w:rsidRPr="00F65603">
        <w:rPr>
          <w:rFonts w:ascii="Times New Roman TUR" w:hAnsi="Times New Roman TUR" w:cs="Times New Roman TUR"/>
          <w:bCs/>
        </w:rPr>
        <w:lastRenderedPageBreak/>
        <w:t>companies from filing the full FERC Form No. 6 in its entirety will not compromise its ability to gather meaningful data upon which to base its regulation of the oil pipeline industry.</w:t>
      </w:r>
    </w:p>
    <w:p w:rsidR="00094545" w:rsidRPr="00F65603" w:rsidRDefault="00094545" w:rsidP="004E6FBD">
      <w:pPr>
        <w:widowControl/>
      </w:pPr>
    </w:p>
    <w:p w:rsidR="00094545" w:rsidRPr="00F65603" w:rsidRDefault="00094545" w:rsidP="002301FD">
      <w:pPr>
        <w:widowControl/>
        <w:tabs>
          <w:tab w:val="left" w:pos="-1440"/>
        </w:tabs>
        <w:ind w:left="720" w:hanging="720"/>
        <w:rPr>
          <w:b/>
          <w:bCs/>
        </w:rPr>
      </w:pPr>
      <w:r w:rsidRPr="00F65603">
        <w:t>6.</w:t>
      </w:r>
      <w:r w:rsidRPr="00F65603">
        <w:tab/>
      </w:r>
      <w:r w:rsidRPr="00F65603">
        <w:rPr>
          <w:b/>
          <w:bCs/>
        </w:rPr>
        <w:t>CONSEQUENCE TO FEDERAL PROGRAM IF COLLECTION WERE CONDUCTED LESS FREQUENTLY</w:t>
      </w:r>
    </w:p>
    <w:p w:rsidR="00094545" w:rsidRPr="00F65603" w:rsidRDefault="00094545" w:rsidP="002301FD">
      <w:pPr>
        <w:widowControl/>
        <w:tabs>
          <w:tab w:val="left" w:pos="-1440"/>
        </w:tabs>
        <w:ind w:left="720" w:hanging="720"/>
        <w:rPr>
          <w:b/>
          <w:bCs/>
        </w:rPr>
      </w:pPr>
    </w:p>
    <w:p w:rsidR="00094545" w:rsidRPr="00F65603" w:rsidRDefault="00094545" w:rsidP="005E6DF7">
      <w:pPr>
        <w:widowControl/>
      </w:pPr>
      <w:r w:rsidRPr="00F65603">
        <w:t>The Commission is authorized by statute to collect this information on an annual (Form 6) and quarterly (Form 6-Q) basis.</w:t>
      </w:r>
      <w:r w:rsidR="009932EF" w:rsidRPr="00F65603">
        <w:rPr>
          <w:rStyle w:val="FootnoteReference"/>
          <w:vertAlign w:val="superscript"/>
        </w:rPr>
        <w:t xml:space="preserve"> </w:t>
      </w:r>
      <w:r w:rsidR="009932EF" w:rsidRPr="00F65603">
        <w:rPr>
          <w:rStyle w:val="FootnoteReference"/>
          <w:vertAlign w:val="superscript"/>
        </w:rPr>
        <w:footnoteReference w:id="19"/>
      </w:r>
      <w:r w:rsidRPr="00F65603">
        <w:t xml:space="preserve">  If the collection were conducted less frequently, the Commission would be unable to perform its mandated review responsibilities with respect to the assessment of the financial conditions of oil pipeline companies. The continued use of the FERC Form No. 6 (and FERC Form No. 6-Q) ensures that the Commission has the financial, operational, and ratemaking information needed to carry out its regulatory responsibilities to monitor the oil pipeline industry.</w:t>
      </w:r>
    </w:p>
    <w:p w:rsidR="00094545" w:rsidRPr="00F65603" w:rsidRDefault="00094545">
      <w:pPr>
        <w:widowControl/>
      </w:pPr>
    </w:p>
    <w:p w:rsidR="00094545" w:rsidRPr="00F65603" w:rsidRDefault="00094545" w:rsidP="00025FC7">
      <w:pPr>
        <w:widowControl/>
        <w:tabs>
          <w:tab w:val="left" w:pos="-1440"/>
        </w:tabs>
        <w:ind w:left="720" w:hanging="720"/>
        <w:rPr>
          <w:b/>
          <w:bCs/>
        </w:rPr>
      </w:pPr>
      <w:r w:rsidRPr="00F65603">
        <w:t>7.</w:t>
      </w:r>
      <w:r w:rsidRPr="00F65603">
        <w:tab/>
      </w:r>
      <w:r w:rsidRPr="00F65603">
        <w:rPr>
          <w:b/>
          <w:bCs/>
        </w:rPr>
        <w:t>EXPLAIN ANY SPECIAL CIRCUMSTANCES RELATING TO THE INFORMATION COLLECTION</w:t>
      </w:r>
    </w:p>
    <w:p w:rsidR="00094545" w:rsidRPr="00F65603" w:rsidRDefault="00094545" w:rsidP="00025FC7">
      <w:pPr>
        <w:widowControl/>
        <w:tabs>
          <w:tab w:val="left" w:pos="-1440"/>
        </w:tabs>
        <w:ind w:left="720" w:hanging="720"/>
        <w:rPr>
          <w:b/>
          <w:bCs/>
        </w:rPr>
      </w:pPr>
    </w:p>
    <w:p w:rsidR="00094545" w:rsidRPr="00F65603" w:rsidRDefault="00094545" w:rsidP="005E6DF7">
      <w:pPr>
        <w:widowControl/>
      </w:pPr>
      <w:r w:rsidRPr="00F65603">
        <w:t>The requirements of the Form 6 meet all of OMB's 5 CFR 1320.5 requirements.</w:t>
      </w:r>
      <w:r w:rsidRPr="00F65603">
        <w:rPr>
          <w:rStyle w:val="FootnoteReference"/>
          <w:vertAlign w:val="superscript"/>
        </w:rPr>
        <w:footnoteReference w:id="20"/>
      </w:r>
    </w:p>
    <w:p w:rsidR="00094545" w:rsidRPr="00F65603" w:rsidRDefault="00094545" w:rsidP="005E5135">
      <w:pPr>
        <w:widowControl/>
        <w:ind w:left="720"/>
      </w:pPr>
    </w:p>
    <w:p w:rsidR="00094545" w:rsidRPr="00F65603" w:rsidRDefault="00094545" w:rsidP="00025FC7">
      <w:pPr>
        <w:widowControl/>
        <w:tabs>
          <w:tab w:val="left" w:pos="-1440"/>
        </w:tabs>
        <w:ind w:left="720" w:hanging="720"/>
      </w:pPr>
      <w:r w:rsidRPr="00F65603">
        <w:t>8.</w:t>
      </w:r>
      <w:r w:rsidRPr="00F65603">
        <w:tab/>
      </w:r>
      <w:r w:rsidRPr="00F65603">
        <w:rPr>
          <w:b/>
          <w:bCs/>
        </w:rPr>
        <w:t>DESCRIBE EFFORTS TO CONSULT OUTSIDE THE AGENCY: SUMMARIZE PUBLIC COMMENTS AND THE AGENCY'S RESPONSE TO THESE COMMENTS</w:t>
      </w:r>
    </w:p>
    <w:p w:rsidR="00094545" w:rsidRPr="00F65603" w:rsidRDefault="00094545">
      <w:pPr>
        <w:widowControl/>
      </w:pPr>
    </w:p>
    <w:p w:rsidR="003C6C5F" w:rsidRPr="00F65603" w:rsidRDefault="00094545" w:rsidP="005E6DF7">
      <w:pPr>
        <w:widowControl/>
      </w:pPr>
      <w:r w:rsidRPr="00F65603">
        <w:t xml:space="preserve">The Commission's procedures require that the rulemaking notice be published in the </w:t>
      </w:r>
      <w:r w:rsidRPr="00F65603">
        <w:rPr>
          <w:u w:val="single"/>
        </w:rPr>
        <w:t>Federal Register</w:t>
      </w:r>
      <w:r w:rsidRPr="00F65603">
        <w:t xml:space="preserve">, thereby allowing all pipeline companies, state commissions, federal agencies, and other interested parties an opportunity to submit comments, or suggestions concerning the proposal.  The rulemaking procedures also allow for public conferences to be held as required.  </w:t>
      </w:r>
    </w:p>
    <w:p w:rsidR="003C6C5F" w:rsidRPr="00F65603" w:rsidRDefault="003C6C5F" w:rsidP="005E6DF7">
      <w:pPr>
        <w:widowControl/>
      </w:pPr>
    </w:p>
    <w:p w:rsidR="00180444" w:rsidRDefault="00094545" w:rsidP="00180444">
      <w:pPr>
        <w:widowControl/>
        <w:autoSpaceDE/>
        <w:autoSpaceDN/>
        <w:adjustRightInd/>
      </w:pPr>
      <w:r w:rsidRPr="00F65603">
        <w:t>On September 2</w:t>
      </w:r>
      <w:r w:rsidR="004E6FBD" w:rsidRPr="00F65603">
        <w:t>7</w:t>
      </w:r>
      <w:r w:rsidRPr="00F65603">
        <w:t xml:space="preserve">, 2012, </w:t>
      </w:r>
      <w:r w:rsidR="00737F30" w:rsidRPr="00F65603">
        <w:t xml:space="preserve">FERC published </w:t>
      </w:r>
      <w:r w:rsidRPr="00F65603">
        <w:t xml:space="preserve">a NOPR in the </w:t>
      </w:r>
      <w:r w:rsidRPr="00F65603">
        <w:rPr>
          <w:u w:val="single"/>
        </w:rPr>
        <w:t>Federal Register</w:t>
      </w:r>
      <w:r w:rsidRPr="00F65603">
        <w:t xml:space="preserve"> (77 FR </w:t>
      </w:r>
      <w:r w:rsidR="004E6FBD" w:rsidRPr="00F65603">
        <w:t>59348</w:t>
      </w:r>
      <w:r w:rsidR="003C6C5F" w:rsidRPr="00F65603">
        <w:t xml:space="preserve">).  </w:t>
      </w:r>
      <w:r w:rsidR="00180444">
        <w:rPr>
          <w:szCs w:val="26"/>
        </w:rPr>
        <w:t>The Association of Oil Pipelines (AOPL),</w:t>
      </w:r>
      <w:r w:rsidR="00180444" w:rsidRPr="00180444">
        <w:rPr>
          <w:rStyle w:val="FootnoteReference"/>
          <w:vertAlign w:val="superscript"/>
        </w:rPr>
        <w:footnoteReference w:id="21"/>
      </w:r>
      <w:r w:rsidR="00180444">
        <w:rPr>
          <w:szCs w:val="26"/>
        </w:rPr>
        <w:t xml:space="preserve"> the Kansas Corporation Commission (KCC), R. Gordon Gooch, Airlines for America (A4A)</w:t>
      </w:r>
      <w:r w:rsidR="00180444" w:rsidRPr="00180444">
        <w:rPr>
          <w:rStyle w:val="FootnoteReference"/>
          <w:vertAlign w:val="superscript"/>
        </w:rPr>
        <w:footnoteReference w:id="22"/>
      </w:r>
      <w:r w:rsidR="00180444">
        <w:rPr>
          <w:szCs w:val="26"/>
        </w:rPr>
        <w:t xml:space="preserve"> and the National Propane Gas Association (NPGA),</w:t>
      </w:r>
      <w:r w:rsidR="00180444" w:rsidRPr="00180444">
        <w:rPr>
          <w:rStyle w:val="FootnoteReference"/>
          <w:vertAlign w:val="superscript"/>
        </w:rPr>
        <w:footnoteReference w:id="23"/>
      </w:r>
      <w:r w:rsidR="00180444">
        <w:rPr>
          <w:szCs w:val="26"/>
        </w:rPr>
        <w:t xml:space="preserve"> the Canadian Association of Petroleum Producers (CAPP), Suncor Energy Marketing Inc. (Suncor), ConocoPhillips Co. (ConocoPhillips), and Valero Marketing and Supply Company (Valero) filed comments in response to the Commission’s NOPR.  Suncor and AOPL filed reply comments.</w:t>
      </w:r>
      <w:r w:rsidR="00180444">
        <w:t xml:space="preserve"> </w:t>
      </w:r>
    </w:p>
    <w:p w:rsidR="00180444" w:rsidRDefault="00180444" w:rsidP="00180444">
      <w:pPr>
        <w:widowControl/>
        <w:autoSpaceDE/>
        <w:autoSpaceDN/>
        <w:adjustRightInd/>
      </w:pPr>
    </w:p>
    <w:p w:rsidR="00180444" w:rsidRPr="00180444" w:rsidRDefault="00180444" w:rsidP="00180444">
      <w:pPr>
        <w:widowControl/>
        <w:autoSpaceDE/>
        <w:autoSpaceDN/>
        <w:adjustRightInd/>
      </w:pPr>
      <w:r>
        <w:lastRenderedPageBreak/>
        <w:t xml:space="preserve">The majority of commenters support the NOPR.  </w:t>
      </w:r>
      <w:r w:rsidRPr="00180444">
        <w:t>For example, CAPP comments that “the Commission is on sound ground in seeking to enhance the usefulness of Page 700 and strengthen the role of the data reporting obligations of its pipelines.”</w:t>
      </w:r>
      <w:r w:rsidRPr="00180444">
        <w:rPr>
          <w:b/>
          <w:vertAlign w:val="superscript"/>
        </w:rPr>
        <w:footnoteReference w:id="24"/>
      </w:r>
      <w:r w:rsidRPr="00180444">
        <w:t xml:space="preserve">  </w:t>
      </w:r>
    </w:p>
    <w:p w:rsidR="00180444" w:rsidRDefault="00180444" w:rsidP="00180444">
      <w:pPr>
        <w:widowControl/>
        <w:autoSpaceDE/>
        <w:autoSpaceDN/>
        <w:adjustRightInd/>
      </w:pPr>
    </w:p>
    <w:p w:rsidR="00180444" w:rsidRPr="00180444" w:rsidRDefault="00180444" w:rsidP="00180444">
      <w:pPr>
        <w:widowControl/>
        <w:autoSpaceDE/>
        <w:autoSpaceDN/>
        <w:adjustRightInd/>
      </w:pPr>
      <w:r w:rsidRPr="00180444">
        <w:t>In contrast, the Association of Oil Pipelines (AOPL), while supporting the transparency of pipeline financial reporting generally, believes the proposed modifications are unnecessary and will not make Page 700 a more useful tool for evaluating pipeline rates.</w:t>
      </w:r>
      <w:r w:rsidRPr="00180444">
        <w:rPr>
          <w:b/>
          <w:vertAlign w:val="superscript"/>
        </w:rPr>
        <w:footnoteReference w:id="25"/>
      </w:r>
      <w:r w:rsidRPr="00180444">
        <w:t xml:space="preserve">  AOPL points out, “the Commission has consistently emphasized the original, limited purpose of Page 700” and that Page 700 is only a “preliminary screening tool and is not to be used to demonstrate the justness and reasonableness of pipeline rates.”</w:t>
      </w:r>
      <w:r w:rsidRPr="00180444">
        <w:rPr>
          <w:b/>
          <w:vertAlign w:val="superscript"/>
        </w:rPr>
        <w:footnoteReference w:id="26"/>
      </w:r>
      <w:r w:rsidRPr="00180444">
        <w:t xml:space="preserve">  AOPL also observes the Commission has stated Form 6 “provide[s] sufficient information to allow shippers to file a complaint requesting a determination of the justness and reasonableness of a pipeline’s rates.”</w:t>
      </w:r>
      <w:r w:rsidRPr="00180444">
        <w:rPr>
          <w:b/>
          <w:vertAlign w:val="superscript"/>
        </w:rPr>
        <w:footnoteReference w:id="27"/>
      </w:r>
      <w:r w:rsidRPr="00180444">
        <w:t xml:space="preserve">  Therefore, AOPL contends that shippers already have enough information with what is already available on Page 700. </w:t>
      </w:r>
    </w:p>
    <w:p w:rsidR="00180444" w:rsidRDefault="00180444" w:rsidP="00180444">
      <w:pPr>
        <w:widowControl/>
        <w:autoSpaceDE/>
        <w:autoSpaceDN/>
        <w:adjustRightInd/>
      </w:pPr>
    </w:p>
    <w:p w:rsidR="00180444" w:rsidRDefault="00180444" w:rsidP="00180444">
      <w:pPr>
        <w:widowControl/>
        <w:autoSpaceDE/>
        <w:autoSpaceDN/>
        <w:adjustRightInd/>
      </w:pPr>
      <w:r>
        <w:rPr>
          <w:szCs w:val="26"/>
        </w:rPr>
        <w:t>The Commission adopts, with minor modifications to the labeling of the additional lines on Page 700, the NOPR proposal to enhance the information provided on Page 700 related to rate base, rate of return, return on rate base, and income tax allowance.</w:t>
      </w:r>
    </w:p>
    <w:p w:rsidR="00094545" w:rsidRDefault="00094545" w:rsidP="005E6DF7">
      <w:pPr>
        <w:widowControl/>
      </w:pPr>
    </w:p>
    <w:p w:rsidR="00526044" w:rsidRDefault="00180444" w:rsidP="005E6DF7">
      <w:pPr>
        <w:widowControl/>
      </w:pPr>
      <w:r>
        <w:t xml:space="preserve">FERC addressed specific comments related to the Rate Base, Rate of Return, </w:t>
      </w:r>
      <w:proofErr w:type="gramStart"/>
      <w:r>
        <w:t>Return</w:t>
      </w:r>
      <w:proofErr w:type="gramEnd"/>
      <w:r>
        <w:t xml:space="preserve"> on Rate Base, Composite Income Tax Rate, and calculation of actual Rate of Return on Equity</w:t>
      </w:r>
      <w:r w:rsidR="00526044">
        <w:t xml:space="preserve"> in the </w:t>
      </w:r>
      <w:r w:rsidR="00526044" w:rsidRPr="005309FD">
        <w:t xml:space="preserve">Final Rule paragraphs </w:t>
      </w:r>
      <w:r w:rsidR="009C184F" w:rsidRPr="005309FD">
        <w:t>7</w:t>
      </w:r>
      <w:r w:rsidR="00526044" w:rsidRPr="005309FD">
        <w:t xml:space="preserve"> through </w:t>
      </w:r>
      <w:r w:rsidR="00621DA3" w:rsidRPr="005309FD">
        <w:t>51</w:t>
      </w:r>
      <w:r w:rsidR="00526044" w:rsidRPr="005309FD">
        <w:t>.</w:t>
      </w:r>
      <w:r w:rsidR="00526044">
        <w:t xml:space="preserve">  </w:t>
      </w:r>
    </w:p>
    <w:p w:rsidR="00526044" w:rsidRDefault="00526044" w:rsidP="005E6DF7">
      <w:pPr>
        <w:widowControl/>
      </w:pPr>
    </w:p>
    <w:p w:rsidR="00180444" w:rsidRPr="00F65603" w:rsidRDefault="00526044" w:rsidP="005E6DF7">
      <w:pPr>
        <w:widowControl/>
      </w:pPr>
      <w:r>
        <w:t xml:space="preserve">FERC did not receive any specific comments related to the burden estimates. </w:t>
      </w:r>
    </w:p>
    <w:p w:rsidR="00094545" w:rsidRPr="00F65603" w:rsidRDefault="00094545" w:rsidP="005E5135">
      <w:pPr>
        <w:widowControl/>
        <w:ind w:left="720"/>
      </w:pPr>
    </w:p>
    <w:p w:rsidR="00094545" w:rsidRPr="00F65603" w:rsidRDefault="00094545" w:rsidP="00025FC7">
      <w:pPr>
        <w:widowControl/>
        <w:tabs>
          <w:tab w:val="left" w:pos="-1440"/>
        </w:tabs>
        <w:ind w:left="720" w:hanging="720"/>
        <w:rPr>
          <w:b/>
          <w:bCs/>
        </w:rPr>
      </w:pPr>
      <w:r w:rsidRPr="00F65603">
        <w:t>9.</w:t>
      </w:r>
      <w:r w:rsidRPr="00F65603">
        <w:tab/>
      </w:r>
      <w:r w:rsidRPr="00F65603">
        <w:rPr>
          <w:b/>
          <w:bCs/>
        </w:rPr>
        <w:t>EXPLAIN ANY PAYMENT OR GIFTS TO RESPONDENTS</w:t>
      </w:r>
    </w:p>
    <w:p w:rsidR="00094545" w:rsidRPr="00F65603" w:rsidRDefault="00094545">
      <w:pPr>
        <w:widowControl/>
        <w:rPr>
          <w:b/>
          <w:bCs/>
        </w:rPr>
      </w:pPr>
    </w:p>
    <w:p w:rsidR="00094545" w:rsidRPr="00F65603" w:rsidRDefault="00094545" w:rsidP="005E6DF7">
      <w:pPr>
        <w:widowControl/>
      </w:pPr>
      <w:r w:rsidRPr="00F65603">
        <w:t xml:space="preserve"> The Commission will not make any payments or gifts to respondents.</w:t>
      </w:r>
    </w:p>
    <w:p w:rsidR="00094545" w:rsidRPr="00F65603" w:rsidRDefault="00094545">
      <w:pPr>
        <w:widowControl/>
      </w:pPr>
    </w:p>
    <w:p w:rsidR="00094545" w:rsidRPr="00F65603" w:rsidRDefault="00094545" w:rsidP="00025FC7">
      <w:pPr>
        <w:widowControl/>
        <w:tabs>
          <w:tab w:val="left" w:pos="-1440"/>
        </w:tabs>
        <w:ind w:left="720" w:hanging="720"/>
        <w:rPr>
          <w:b/>
          <w:bCs/>
        </w:rPr>
      </w:pPr>
      <w:r w:rsidRPr="00F65603">
        <w:t>10.</w:t>
      </w:r>
      <w:r w:rsidRPr="00F65603">
        <w:tab/>
      </w:r>
      <w:r w:rsidRPr="00F65603">
        <w:rPr>
          <w:b/>
          <w:bCs/>
        </w:rPr>
        <w:t>DESCRIBE ANY ASSURANCE OF CONFIDENTIALITY PROVIDED TO RESPONDENTS</w:t>
      </w:r>
    </w:p>
    <w:p w:rsidR="00094545" w:rsidRPr="00F65603" w:rsidRDefault="00094545" w:rsidP="00785DBF">
      <w:pPr>
        <w:widowControl/>
        <w:ind w:left="720" w:firstLine="720"/>
        <w:rPr>
          <w:rFonts w:ascii="Times New Roman TUR" w:hAnsi="Times New Roman TUR" w:cs="Times New Roman TUR"/>
          <w:bCs/>
        </w:rPr>
      </w:pPr>
    </w:p>
    <w:p w:rsidR="00094545" w:rsidRPr="00F65603" w:rsidRDefault="00094545" w:rsidP="005E6DF7">
      <w:pPr>
        <w:widowControl/>
        <w:rPr>
          <w:rFonts w:ascii="Times New Roman TUR" w:hAnsi="Times New Roman TUR" w:cs="Times New Roman TUR"/>
          <w:bCs/>
        </w:rPr>
      </w:pPr>
      <w:r w:rsidRPr="00F65603">
        <w:rPr>
          <w:rFonts w:ascii="Times New Roman TUR" w:hAnsi="Times New Roman TUR" w:cs="Times New Roman TUR"/>
          <w:bCs/>
        </w:rPr>
        <w:t>The Commission designed Form 6 in a manner such that all information reported is subject to public access and review and</w:t>
      </w:r>
      <w:r w:rsidR="006A4428" w:rsidRPr="00F65603">
        <w:rPr>
          <w:rFonts w:ascii="Times New Roman TUR" w:hAnsi="Times New Roman TUR" w:cs="Times New Roman TUR"/>
          <w:bCs/>
        </w:rPr>
        <w:t>,</w:t>
      </w:r>
      <w:r w:rsidRPr="00F65603">
        <w:rPr>
          <w:rFonts w:ascii="Times New Roman TUR" w:hAnsi="Times New Roman TUR" w:cs="Times New Roman TUR"/>
          <w:bCs/>
        </w:rPr>
        <w:t xml:space="preserve"> therefore, generally not confidential.  The Commission will entertain specific requests for confidential treatment to the extent permitted by law pursuant to 18 C.F.R. 388.112.  </w:t>
      </w:r>
    </w:p>
    <w:p w:rsidR="00094545" w:rsidRPr="00F65603" w:rsidRDefault="00094545" w:rsidP="00363416">
      <w:pPr>
        <w:pStyle w:val="FERCparanumber"/>
        <w:widowControl/>
        <w:numPr>
          <w:ilvl w:val="0"/>
          <w:numId w:val="0"/>
        </w:numPr>
        <w:autoSpaceDE/>
        <w:autoSpaceDN/>
        <w:adjustRightInd/>
        <w:spacing w:line="240" w:lineRule="auto"/>
        <w:ind w:firstLine="720"/>
        <w:rPr>
          <w:sz w:val="24"/>
        </w:rPr>
      </w:pPr>
    </w:p>
    <w:p w:rsidR="00094545" w:rsidRPr="00F65603" w:rsidRDefault="00094545" w:rsidP="00025FC7">
      <w:pPr>
        <w:widowControl/>
        <w:tabs>
          <w:tab w:val="left" w:pos="-1440"/>
        </w:tabs>
        <w:ind w:left="720" w:hanging="720"/>
        <w:rPr>
          <w:b/>
          <w:bCs/>
        </w:rPr>
      </w:pPr>
      <w:r w:rsidRPr="00F65603">
        <w:t>11.</w:t>
      </w:r>
      <w:r w:rsidRPr="00F65603">
        <w:tab/>
      </w:r>
      <w:r w:rsidRPr="00F65603">
        <w:rPr>
          <w:b/>
          <w:bCs/>
        </w:rPr>
        <w:t>PROVIDE ADDITIONAL JUSTIFICATION FOR ANY QUESTIONS OF A SENSITIVE NATURE THAT ARE CONSIDERED PRIVATE.</w:t>
      </w:r>
    </w:p>
    <w:p w:rsidR="00094545" w:rsidRPr="00F65603" w:rsidRDefault="00094545" w:rsidP="00025FC7">
      <w:pPr>
        <w:widowControl/>
        <w:tabs>
          <w:tab w:val="left" w:pos="-1440"/>
        </w:tabs>
        <w:ind w:left="720" w:hanging="720"/>
        <w:rPr>
          <w:b/>
          <w:bCs/>
        </w:rPr>
      </w:pPr>
    </w:p>
    <w:p w:rsidR="00094545" w:rsidRPr="00F65603" w:rsidRDefault="00094545" w:rsidP="005E6DF7">
      <w:pPr>
        <w:widowControl/>
      </w:pPr>
      <w:r w:rsidRPr="00F65603">
        <w:lastRenderedPageBreak/>
        <w:t>There are no items of confidentiality or questions of a sensitive nature associated with the data requirements on the Form 6.</w:t>
      </w:r>
    </w:p>
    <w:p w:rsidR="00094545" w:rsidRPr="00F65603" w:rsidRDefault="00094545" w:rsidP="009F65AD">
      <w:pPr>
        <w:widowControl/>
        <w:ind w:left="720" w:firstLine="720"/>
      </w:pPr>
    </w:p>
    <w:p w:rsidR="00094545" w:rsidRPr="00F65603" w:rsidRDefault="00094545" w:rsidP="00025FC7">
      <w:pPr>
        <w:widowControl/>
        <w:tabs>
          <w:tab w:val="left" w:pos="-1440"/>
        </w:tabs>
        <w:ind w:left="720" w:hanging="720"/>
        <w:rPr>
          <w:b/>
          <w:bCs/>
        </w:rPr>
      </w:pPr>
      <w:r w:rsidRPr="00F65603">
        <w:t>12.</w:t>
      </w:r>
      <w:r w:rsidRPr="00F65603">
        <w:tab/>
      </w:r>
      <w:r w:rsidRPr="00F65603">
        <w:rPr>
          <w:b/>
          <w:bCs/>
        </w:rPr>
        <w:t>ESTIMATED BURDEN OF COLLECTION OF INFORMATION</w:t>
      </w:r>
    </w:p>
    <w:p w:rsidR="00094545" w:rsidRPr="00F65603" w:rsidRDefault="00094545">
      <w:pPr>
        <w:widowControl/>
        <w:tabs>
          <w:tab w:val="left" w:pos="-1440"/>
        </w:tabs>
        <w:ind w:left="1440" w:hanging="720"/>
        <w:rPr>
          <w:b/>
          <w:bCs/>
        </w:rPr>
      </w:pPr>
    </w:p>
    <w:p w:rsidR="00D245AE" w:rsidRDefault="00526044" w:rsidP="00D245AE">
      <w:pPr>
        <w:widowControl/>
      </w:pPr>
      <w:r>
        <w:t xml:space="preserve">The current burden to fill out and file the </w:t>
      </w:r>
      <w:r w:rsidR="008B66D3">
        <w:t xml:space="preserve">current </w:t>
      </w:r>
      <w:r>
        <w:t xml:space="preserve">FERC Form 6 is </w:t>
      </w:r>
      <w:r w:rsidR="00D245AE">
        <w:t>160.58 hours per response</w:t>
      </w:r>
      <w:r w:rsidR="005309FD">
        <w:t xml:space="preserve"> (for the IC </w:t>
      </w:r>
      <w:r w:rsidR="005309FD" w:rsidRPr="005309FD">
        <w:t>FERC Form 6, Annual Report of Oil Pipeline Companies</w:t>
      </w:r>
      <w:r w:rsidR="005309FD">
        <w:t>”)</w:t>
      </w:r>
      <w:r w:rsidR="00D245AE">
        <w:t>, including the time for reviewing instructions, searching existing data sources, gathering and maintaining the data needed, and completing and reviewing the collection of information.</w:t>
      </w:r>
      <w:r w:rsidR="00F268D2">
        <w:t xml:space="preserve"> </w:t>
      </w:r>
      <w:r w:rsidR="0070665F" w:rsidRPr="0035730B">
        <w:rPr>
          <w:rStyle w:val="FootnoteReference"/>
          <w:vertAlign w:val="superscript"/>
        </w:rPr>
        <w:footnoteReference w:id="28"/>
      </w:r>
      <w:r w:rsidR="00F268D2">
        <w:t xml:space="preserve"> </w:t>
      </w:r>
      <w:r w:rsidR="00D245AE">
        <w:t xml:space="preserve">The Final Rule </w:t>
      </w:r>
      <w:r w:rsidR="008B66D3">
        <w:t xml:space="preserve">in RM12-18 </w:t>
      </w:r>
      <w:r w:rsidR="00D245AE">
        <w:t>adds an additional 0.5 hours per response to the total response rate</w:t>
      </w:r>
      <w:r w:rsidR="008B66D3">
        <w:t>)</w:t>
      </w:r>
      <w:r w:rsidR="00902B14">
        <w:t>, giving a new total of 161.08 (160.58 + 0.5)</w:t>
      </w:r>
      <w:r w:rsidR="0070665F">
        <w:t xml:space="preserve"> for those companies who have to file Page 700.</w:t>
      </w:r>
    </w:p>
    <w:p w:rsidR="00094545" w:rsidRPr="00F65603" w:rsidRDefault="00094545" w:rsidP="005E6DF7">
      <w:pPr>
        <w:widowControl/>
      </w:pPr>
    </w:p>
    <w:p w:rsidR="00094545" w:rsidRPr="00F65603" w:rsidRDefault="00094545" w:rsidP="000F5FE5">
      <w:pPr>
        <w:widowControl/>
      </w:pPr>
      <w:r w:rsidRPr="00F65603">
        <w:t xml:space="preserve">The burden impact of this </w:t>
      </w:r>
      <w:r w:rsidR="0070665F">
        <w:t>Final</w:t>
      </w:r>
      <w:r w:rsidR="0070665F" w:rsidRPr="00F65603">
        <w:t xml:space="preserve"> </w:t>
      </w:r>
      <w:r w:rsidR="0070665F">
        <w:t>R</w:t>
      </w:r>
      <w:r w:rsidRPr="00F65603">
        <w:t xml:space="preserve">ule </w:t>
      </w:r>
      <w:r w:rsidR="00D17B0A">
        <w:t xml:space="preserve">in RM12-18 </w:t>
      </w:r>
      <w:r w:rsidRPr="00F65603">
        <w:t xml:space="preserve">on the currently approved Form 6 burden inventory </w:t>
      </w:r>
      <w:r w:rsidR="005309FD">
        <w:t xml:space="preserve">(for both IC’s) </w:t>
      </w:r>
      <w:r w:rsidRPr="00F65603">
        <w:t xml:space="preserve">is </w:t>
      </w:r>
      <w:r w:rsidR="00902B14">
        <w:t>discusse</w:t>
      </w:r>
      <w:r w:rsidR="00902B14" w:rsidRPr="00F65603">
        <w:t xml:space="preserve">d </w:t>
      </w:r>
      <w:r w:rsidRPr="00F65603">
        <w:t>in item 15 below.</w:t>
      </w:r>
    </w:p>
    <w:p w:rsidR="00094545" w:rsidRPr="00F65603" w:rsidRDefault="00094545" w:rsidP="00AF5989">
      <w:pPr>
        <w:widowControl/>
      </w:pPr>
    </w:p>
    <w:p w:rsidR="00094545" w:rsidRPr="00F65603" w:rsidRDefault="00094545" w:rsidP="00802A17">
      <w:pPr>
        <w:keepNext/>
        <w:keepLines/>
        <w:widowControl/>
        <w:tabs>
          <w:tab w:val="left" w:pos="720"/>
        </w:tabs>
        <w:ind w:left="720" w:hanging="720"/>
        <w:rPr>
          <w:b/>
          <w:bCs/>
        </w:rPr>
      </w:pPr>
      <w:r w:rsidRPr="00F65603">
        <w:t xml:space="preserve">13. </w:t>
      </w:r>
      <w:r w:rsidRPr="00F65603">
        <w:rPr>
          <w:b/>
        </w:rPr>
        <w:t xml:space="preserve">    E</w:t>
      </w:r>
      <w:r w:rsidRPr="00F65603">
        <w:rPr>
          <w:b/>
          <w:bCs/>
        </w:rPr>
        <w:t>STIMATE OF TOTAL ANNUAL COST BURDEN TO RESPONDENTS</w:t>
      </w:r>
    </w:p>
    <w:p w:rsidR="00094545" w:rsidRPr="00F65603" w:rsidRDefault="00094545" w:rsidP="00802A17">
      <w:pPr>
        <w:keepNext/>
        <w:keepLines/>
        <w:widowControl/>
        <w:ind w:left="720" w:hanging="720"/>
        <w:rPr>
          <w:b/>
          <w:bCs/>
        </w:rPr>
      </w:pPr>
    </w:p>
    <w:p w:rsidR="00094545" w:rsidRPr="00F65603" w:rsidRDefault="00094545" w:rsidP="00AF5989">
      <w:pPr>
        <w:widowControl/>
      </w:pPr>
      <w:r w:rsidRPr="00F65603">
        <w:t>There are no capital or start-up costs related to this information collection request.</w:t>
      </w:r>
      <w:r w:rsidR="00B82AF9">
        <w:t xml:space="preserve">  All costs are related to burden hours.</w:t>
      </w:r>
    </w:p>
    <w:p w:rsidR="00094545" w:rsidRPr="00F65603" w:rsidRDefault="00094545" w:rsidP="00AF5989">
      <w:pPr>
        <w:widowControl/>
      </w:pPr>
    </w:p>
    <w:p w:rsidR="00094545" w:rsidRPr="00F65603" w:rsidRDefault="00094545" w:rsidP="00025FC7">
      <w:pPr>
        <w:widowControl/>
        <w:tabs>
          <w:tab w:val="left" w:pos="-1440"/>
        </w:tabs>
        <w:ind w:left="720" w:hanging="720"/>
        <w:rPr>
          <w:b/>
          <w:bCs/>
        </w:rPr>
      </w:pPr>
      <w:r w:rsidRPr="00F65603">
        <w:t>14.</w:t>
      </w:r>
      <w:r w:rsidRPr="00F65603">
        <w:tab/>
      </w:r>
      <w:r w:rsidRPr="00F65603">
        <w:rPr>
          <w:b/>
          <w:bCs/>
        </w:rPr>
        <w:t>ESTIMATED ANNUALIZED COST TO FEDERAL GOVERNMENT</w:t>
      </w:r>
    </w:p>
    <w:p w:rsidR="00094545" w:rsidRPr="00F65603" w:rsidRDefault="00094545" w:rsidP="00AE69EE">
      <w:pPr>
        <w:widowControl/>
        <w:ind w:firstLine="720"/>
      </w:pPr>
    </w:p>
    <w:p w:rsidR="00094545" w:rsidRPr="00F65603" w:rsidRDefault="00094545" w:rsidP="005E6DF7">
      <w:pPr>
        <w:widowControl/>
      </w:pPr>
      <w:r w:rsidRPr="00F65603">
        <w:t>The estimated annualized cost to the Federal government related only to modifications to the Form 6 in the data collections/requirements are shown below:</w:t>
      </w:r>
    </w:p>
    <w:p w:rsidR="00094545" w:rsidRPr="00F65603" w:rsidRDefault="00094545" w:rsidP="005E6DF7">
      <w:pPr>
        <w:widowControl/>
      </w:pPr>
    </w:p>
    <w:tbl>
      <w:tblPr>
        <w:tblW w:w="9465"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775"/>
        <w:gridCol w:w="1530"/>
        <w:gridCol w:w="2160"/>
      </w:tblGrid>
      <w:tr w:rsidR="00094545" w:rsidRPr="00F65603" w:rsidTr="00283020">
        <w:trPr>
          <w:trHeight w:val="525"/>
        </w:trPr>
        <w:tc>
          <w:tcPr>
            <w:tcW w:w="5775" w:type="dxa"/>
            <w:shd w:val="clear" w:color="auto" w:fill="D9D9D9"/>
            <w:vAlign w:val="bottom"/>
          </w:tcPr>
          <w:p w:rsidR="00094545" w:rsidRPr="00F65603" w:rsidRDefault="00C12E52" w:rsidP="000F5FE5">
            <w:pPr>
              <w:rPr>
                <w:b/>
                <w:bCs/>
              </w:rPr>
            </w:pPr>
            <w:r>
              <w:rPr>
                <w:b/>
                <w:bCs/>
              </w:rPr>
              <w:t>Cost Category</w:t>
            </w:r>
          </w:p>
        </w:tc>
        <w:tc>
          <w:tcPr>
            <w:tcW w:w="1530" w:type="dxa"/>
            <w:shd w:val="clear" w:color="auto" w:fill="D9D9D9"/>
            <w:vAlign w:val="bottom"/>
          </w:tcPr>
          <w:p w:rsidR="00094545" w:rsidRPr="00F65603" w:rsidRDefault="00283020" w:rsidP="000F5FE5">
            <w:pPr>
              <w:rPr>
                <w:b/>
                <w:bCs/>
              </w:rPr>
            </w:pPr>
            <w:r>
              <w:rPr>
                <w:b/>
                <w:bCs/>
              </w:rPr>
              <w:t>Number of Employees (FTEs)</w:t>
            </w:r>
          </w:p>
        </w:tc>
        <w:tc>
          <w:tcPr>
            <w:tcW w:w="2160" w:type="dxa"/>
            <w:shd w:val="clear" w:color="auto" w:fill="D9D9D9"/>
            <w:vAlign w:val="bottom"/>
          </w:tcPr>
          <w:p w:rsidR="00094545" w:rsidRPr="00F65603" w:rsidRDefault="00283020" w:rsidP="000F5FE5">
            <w:pPr>
              <w:rPr>
                <w:b/>
                <w:bCs/>
              </w:rPr>
            </w:pPr>
            <w:r>
              <w:rPr>
                <w:b/>
                <w:bCs/>
              </w:rPr>
              <w:t>Estimated Annual Federal Cost</w:t>
            </w:r>
          </w:p>
        </w:tc>
      </w:tr>
      <w:tr w:rsidR="00094545" w:rsidRPr="00B82AF9" w:rsidTr="00283020">
        <w:trPr>
          <w:trHeight w:val="525"/>
        </w:trPr>
        <w:tc>
          <w:tcPr>
            <w:tcW w:w="5775" w:type="dxa"/>
            <w:vAlign w:val="bottom"/>
          </w:tcPr>
          <w:p w:rsidR="00094545" w:rsidRPr="00F65603" w:rsidRDefault="00094545" w:rsidP="00C12E52">
            <w:pPr>
              <w:rPr>
                <w:bCs/>
              </w:rPr>
            </w:pPr>
            <w:r w:rsidRPr="00F65603">
              <w:rPr>
                <w:bCs/>
              </w:rPr>
              <w:t>Estimated Average Annual Figure for analysis and processing</w:t>
            </w:r>
            <w:r w:rsidR="00C12E52" w:rsidRPr="00C12E52">
              <w:rPr>
                <w:rStyle w:val="FootnoteReference"/>
                <w:bCs/>
                <w:vertAlign w:val="superscript"/>
              </w:rPr>
              <w:footnoteReference w:id="29"/>
            </w:r>
          </w:p>
        </w:tc>
        <w:tc>
          <w:tcPr>
            <w:tcW w:w="1530" w:type="dxa"/>
            <w:vAlign w:val="bottom"/>
          </w:tcPr>
          <w:p w:rsidR="00094545" w:rsidRPr="00F65603" w:rsidRDefault="00094545" w:rsidP="000F5FE5">
            <w:pPr>
              <w:jc w:val="right"/>
              <w:rPr>
                <w:bCs/>
              </w:rPr>
            </w:pPr>
            <w:r w:rsidRPr="00F65603">
              <w:rPr>
                <w:bCs/>
              </w:rPr>
              <w:t> </w:t>
            </w:r>
            <w:r w:rsidRPr="00F65603">
              <w:t>.5</w:t>
            </w:r>
          </w:p>
        </w:tc>
        <w:tc>
          <w:tcPr>
            <w:tcW w:w="2160" w:type="dxa"/>
            <w:vAlign w:val="bottom"/>
          </w:tcPr>
          <w:p w:rsidR="00094545" w:rsidRPr="00B82AF9" w:rsidRDefault="00094545" w:rsidP="00B82AF9">
            <w:pPr>
              <w:jc w:val="right"/>
              <w:rPr>
                <w:bCs/>
              </w:rPr>
            </w:pPr>
            <w:r w:rsidRPr="00B82AF9">
              <w:t>$</w:t>
            </w:r>
            <w:r w:rsidR="00B82AF9" w:rsidRPr="00B82AF9">
              <w:t>72,909</w:t>
            </w:r>
          </w:p>
        </w:tc>
      </w:tr>
      <w:tr w:rsidR="00FA2C24" w:rsidRPr="00B82AF9" w:rsidTr="00283020">
        <w:trPr>
          <w:trHeight w:val="525"/>
        </w:trPr>
        <w:tc>
          <w:tcPr>
            <w:tcW w:w="5775" w:type="dxa"/>
            <w:vAlign w:val="bottom"/>
          </w:tcPr>
          <w:p w:rsidR="00FA2C24" w:rsidRPr="00F65603" w:rsidRDefault="00A94D68" w:rsidP="000F5FE5">
            <w:pPr>
              <w:rPr>
                <w:bCs/>
              </w:rPr>
            </w:pPr>
            <w:r>
              <w:rPr>
                <w:bCs/>
              </w:rPr>
              <w:t>One-time c</w:t>
            </w:r>
            <w:r w:rsidR="00FA2C24" w:rsidRPr="00F65603">
              <w:rPr>
                <w:bCs/>
              </w:rPr>
              <w:t>ost to make software change to modify the Form (as proposed in the Final Rule in RM12-18)</w:t>
            </w:r>
          </w:p>
        </w:tc>
        <w:tc>
          <w:tcPr>
            <w:tcW w:w="1530" w:type="dxa"/>
            <w:shd w:val="clear" w:color="auto" w:fill="D9D9D9" w:themeFill="background1" w:themeFillShade="D9"/>
            <w:vAlign w:val="bottom"/>
          </w:tcPr>
          <w:p w:rsidR="00FA2C24" w:rsidRPr="00F65603" w:rsidRDefault="00FA2C24" w:rsidP="000F5FE5">
            <w:pPr>
              <w:jc w:val="right"/>
              <w:rPr>
                <w:bCs/>
              </w:rPr>
            </w:pPr>
          </w:p>
        </w:tc>
        <w:tc>
          <w:tcPr>
            <w:tcW w:w="2160" w:type="dxa"/>
            <w:vAlign w:val="bottom"/>
          </w:tcPr>
          <w:p w:rsidR="00FA2C24" w:rsidRPr="00B82AF9" w:rsidRDefault="00FA2C24" w:rsidP="000F5FE5">
            <w:pPr>
              <w:jc w:val="right"/>
            </w:pPr>
            <w:r w:rsidRPr="00B82AF9">
              <w:t>$2,000</w:t>
            </w:r>
          </w:p>
        </w:tc>
      </w:tr>
      <w:tr w:rsidR="00094545" w:rsidRPr="00B82AF9" w:rsidTr="00283020">
        <w:trPr>
          <w:trHeight w:val="525"/>
        </w:trPr>
        <w:tc>
          <w:tcPr>
            <w:tcW w:w="5775" w:type="dxa"/>
            <w:vAlign w:val="bottom"/>
          </w:tcPr>
          <w:p w:rsidR="00094545" w:rsidRPr="00F65603" w:rsidRDefault="00283020" w:rsidP="000F5FE5">
            <w:pPr>
              <w:rPr>
                <w:bCs/>
              </w:rPr>
            </w:pPr>
            <w:r>
              <w:rPr>
                <w:bCs/>
              </w:rPr>
              <w:t>PRA Administration Cost</w:t>
            </w:r>
            <w:r w:rsidRPr="005A42CF">
              <w:rPr>
                <w:rStyle w:val="FootnoteReference"/>
                <w:vertAlign w:val="superscript"/>
              </w:rPr>
              <w:footnoteReference w:id="30"/>
            </w:r>
            <w:r w:rsidR="00094545" w:rsidRPr="00F65603">
              <w:rPr>
                <w:bCs/>
              </w:rPr>
              <w:t xml:space="preserve"> </w:t>
            </w:r>
          </w:p>
        </w:tc>
        <w:tc>
          <w:tcPr>
            <w:tcW w:w="1530" w:type="dxa"/>
            <w:shd w:val="clear" w:color="auto" w:fill="D9D9D9" w:themeFill="background1" w:themeFillShade="D9"/>
            <w:vAlign w:val="bottom"/>
          </w:tcPr>
          <w:p w:rsidR="00094545" w:rsidRPr="00F65603" w:rsidRDefault="00094545" w:rsidP="000F5FE5">
            <w:pPr>
              <w:jc w:val="right"/>
              <w:rPr>
                <w:bCs/>
              </w:rPr>
            </w:pPr>
          </w:p>
        </w:tc>
        <w:tc>
          <w:tcPr>
            <w:tcW w:w="2160" w:type="dxa"/>
            <w:vAlign w:val="bottom"/>
          </w:tcPr>
          <w:p w:rsidR="00094545" w:rsidRPr="00B82AF9" w:rsidRDefault="00094545" w:rsidP="00C12E52">
            <w:pPr>
              <w:jc w:val="right"/>
              <w:rPr>
                <w:bCs/>
              </w:rPr>
            </w:pPr>
            <w:r w:rsidRPr="00B82AF9">
              <w:rPr>
                <w:bCs/>
              </w:rPr>
              <w:t>$</w:t>
            </w:r>
            <w:r w:rsidR="00C12E52" w:rsidRPr="00B82AF9">
              <w:rPr>
                <w:bCs/>
              </w:rPr>
              <w:t>2,250</w:t>
            </w:r>
          </w:p>
        </w:tc>
      </w:tr>
      <w:tr w:rsidR="00094545" w:rsidRPr="00B82AF9" w:rsidTr="00283020">
        <w:trPr>
          <w:trHeight w:val="525"/>
        </w:trPr>
        <w:tc>
          <w:tcPr>
            <w:tcW w:w="5775" w:type="dxa"/>
            <w:vAlign w:val="bottom"/>
          </w:tcPr>
          <w:p w:rsidR="00094545" w:rsidRPr="00F65603" w:rsidRDefault="00C12E52" w:rsidP="00C12E52">
            <w:pPr>
              <w:rPr>
                <w:b/>
                <w:bCs/>
              </w:rPr>
            </w:pPr>
            <w:r>
              <w:rPr>
                <w:b/>
                <w:bCs/>
              </w:rPr>
              <w:t>FERC Total</w:t>
            </w:r>
          </w:p>
        </w:tc>
        <w:tc>
          <w:tcPr>
            <w:tcW w:w="1530" w:type="dxa"/>
            <w:shd w:val="clear" w:color="auto" w:fill="D9D9D9" w:themeFill="background1" w:themeFillShade="D9"/>
            <w:vAlign w:val="bottom"/>
          </w:tcPr>
          <w:p w:rsidR="00094545" w:rsidRPr="00F65603" w:rsidRDefault="00094545" w:rsidP="00C12E52">
            <w:pPr>
              <w:rPr>
                <w:bCs/>
              </w:rPr>
            </w:pPr>
          </w:p>
        </w:tc>
        <w:tc>
          <w:tcPr>
            <w:tcW w:w="2160" w:type="dxa"/>
            <w:vAlign w:val="bottom"/>
          </w:tcPr>
          <w:p w:rsidR="00094545" w:rsidRPr="00B82AF9" w:rsidRDefault="00AC5C80" w:rsidP="00B82AF9">
            <w:pPr>
              <w:jc w:val="right"/>
              <w:rPr>
                <w:b/>
                <w:bCs/>
              </w:rPr>
            </w:pPr>
            <w:r w:rsidRPr="00B82AF9">
              <w:rPr>
                <w:b/>
                <w:bCs/>
              </w:rPr>
              <w:t>$</w:t>
            </w:r>
            <w:r w:rsidR="00B82AF9" w:rsidRPr="00B82AF9">
              <w:rPr>
                <w:b/>
                <w:bCs/>
              </w:rPr>
              <w:t>77,159</w:t>
            </w:r>
          </w:p>
        </w:tc>
      </w:tr>
    </w:tbl>
    <w:p w:rsidR="00094545" w:rsidRPr="00F65603" w:rsidRDefault="00094545" w:rsidP="00AE69EE">
      <w:pPr>
        <w:widowControl/>
      </w:pPr>
    </w:p>
    <w:p w:rsidR="00094545" w:rsidRPr="00F65603" w:rsidRDefault="00094545" w:rsidP="00AE69EE">
      <w:pPr>
        <w:widowControl/>
      </w:pPr>
    </w:p>
    <w:p w:rsidR="00094545" w:rsidRPr="00F65603" w:rsidRDefault="00094545" w:rsidP="00025FC7">
      <w:pPr>
        <w:widowControl/>
        <w:tabs>
          <w:tab w:val="left" w:pos="-1440"/>
        </w:tabs>
        <w:ind w:left="720" w:hanging="720"/>
        <w:rPr>
          <w:b/>
          <w:bCs/>
        </w:rPr>
      </w:pPr>
      <w:r w:rsidRPr="00F65603">
        <w:t xml:space="preserve">15.  </w:t>
      </w:r>
      <w:r w:rsidRPr="00F65603">
        <w:rPr>
          <w:b/>
          <w:bCs/>
        </w:rPr>
        <w:tab/>
        <w:t>REASONS FOR CHANGES IN BURDEN INCLUDING THE NEED FOR ANY INCREASE</w:t>
      </w:r>
    </w:p>
    <w:p w:rsidR="00094545" w:rsidRPr="00F65603" w:rsidRDefault="00094545" w:rsidP="00B260A8">
      <w:pPr>
        <w:widowControl/>
        <w:ind w:firstLine="720"/>
      </w:pPr>
    </w:p>
    <w:p w:rsidR="00AE6711" w:rsidRDefault="008B66D3" w:rsidP="00D245AE">
      <w:pPr>
        <w:widowControl/>
      </w:pPr>
      <w:r w:rsidRPr="005309FD">
        <w:rPr>
          <w:b/>
        </w:rPr>
        <w:t>Adjustment in the No. of Respondents:</w:t>
      </w:r>
      <w:r>
        <w:t xml:space="preserve">  Unrelated to the Final Rule in Docket No. RM12-18, FERC is </w:t>
      </w:r>
      <w:r w:rsidR="009957C1">
        <w:t>correct</w:t>
      </w:r>
      <w:r>
        <w:t>ing the no. of filers to 161 (</w:t>
      </w:r>
      <w:r w:rsidR="00AE6711">
        <w:t xml:space="preserve">a reduction of 5 </w:t>
      </w:r>
      <w:r>
        <w:t>from 166)</w:t>
      </w:r>
      <w:r w:rsidR="00AE6711">
        <w:t xml:space="preserve"> </w:t>
      </w:r>
      <w:r w:rsidR="00AE6711" w:rsidRPr="00AE6711">
        <w:t>based on the most recent year filings</w:t>
      </w:r>
      <w:r w:rsidR="00AE6711">
        <w:t>.</w:t>
      </w:r>
    </w:p>
    <w:p w:rsidR="00AE6711" w:rsidRDefault="00AE6711" w:rsidP="00D245AE">
      <w:pPr>
        <w:widowControl/>
      </w:pPr>
    </w:p>
    <w:p w:rsidR="008B66D3" w:rsidRDefault="00AE6711" w:rsidP="005309FD">
      <w:pPr>
        <w:pStyle w:val="ListParagraph"/>
        <w:widowControl/>
        <w:numPr>
          <w:ilvl w:val="0"/>
          <w:numId w:val="34"/>
        </w:numPr>
      </w:pPr>
      <w:r>
        <w:t>F</w:t>
      </w:r>
      <w:r w:rsidR="009957C1">
        <w:t>or the IC labeled “</w:t>
      </w:r>
      <w:r w:rsidR="009957C1" w:rsidRPr="009957C1">
        <w:t xml:space="preserve">Form 6, Page 700 </w:t>
      </w:r>
      <w:proofErr w:type="spellStart"/>
      <w:r w:rsidR="009957C1" w:rsidRPr="009957C1">
        <w:t>Refiling</w:t>
      </w:r>
      <w:proofErr w:type="spellEnd"/>
      <w:r w:rsidR="009957C1" w:rsidRPr="009957C1">
        <w:t xml:space="preserve"> (one-time for 2009-2011data)</w:t>
      </w:r>
      <w:r>
        <w:t>,</w:t>
      </w:r>
      <w:r w:rsidR="009957C1">
        <w:t>”</w:t>
      </w:r>
      <w:r>
        <w:t xml:space="preserve"> </w:t>
      </w:r>
      <w:r w:rsidR="009957C1">
        <w:t>the burden total annual hours are reduced by 10</w:t>
      </w:r>
      <w:r>
        <w:t xml:space="preserve"> (5 filings * 2 hours)</w:t>
      </w:r>
      <w:r w:rsidR="009957C1">
        <w:t>, to 322.</w:t>
      </w:r>
    </w:p>
    <w:p w:rsidR="00AE6711" w:rsidRDefault="00AE6711" w:rsidP="005309FD">
      <w:pPr>
        <w:pStyle w:val="ListParagraph"/>
        <w:widowControl/>
        <w:numPr>
          <w:ilvl w:val="0"/>
          <w:numId w:val="34"/>
        </w:numPr>
      </w:pPr>
      <w:r w:rsidRPr="00AE6711">
        <w:t xml:space="preserve">For the IC titled “FERC Form 6, Annual Report of Oil Pipeline Companies,” this leads to a reduction in the burden of 803 hours (5 filings * 160.58 </w:t>
      </w:r>
      <w:proofErr w:type="spellStart"/>
      <w:r w:rsidRPr="00AE6711">
        <w:t>hrs</w:t>
      </w:r>
      <w:proofErr w:type="spellEnd"/>
      <w:r w:rsidRPr="00AE6711">
        <w:t xml:space="preserve">/filing = 803 </w:t>
      </w:r>
      <w:proofErr w:type="spellStart"/>
      <w:r w:rsidRPr="00AE6711">
        <w:t>hrs</w:t>
      </w:r>
      <w:proofErr w:type="spellEnd"/>
      <w:r w:rsidRPr="00AE6711">
        <w:t xml:space="preserve">).  </w:t>
      </w:r>
    </w:p>
    <w:p w:rsidR="00AE6711" w:rsidRDefault="00AE6711" w:rsidP="005309FD">
      <w:pPr>
        <w:pStyle w:val="ListParagraph"/>
        <w:widowControl/>
        <w:ind w:left="0"/>
      </w:pPr>
      <w:r>
        <w:t xml:space="preserve">The net </w:t>
      </w:r>
      <w:r w:rsidR="00F770E6">
        <w:t xml:space="preserve">annual </w:t>
      </w:r>
      <w:r>
        <w:t xml:space="preserve">reduction in burden due to the adjustment in no. of respondents is </w:t>
      </w:r>
      <w:r w:rsidR="00F770E6">
        <w:t>813 hours.</w:t>
      </w:r>
    </w:p>
    <w:p w:rsidR="008B66D3" w:rsidRDefault="008B66D3" w:rsidP="00D245AE">
      <w:pPr>
        <w:widowControl/>
      </w:pPr>
      <w:r>
        <w:t xml:space="preserve"> </w:t>
      </w:r>
    </w:p>
    <w:p w:rsidR="00D245AE" w:rsidRPr="00F65603" w:rsidRDefault="008B66D3" w:rsidP="00D245AE">
      <w:pPr>
        <w:widowControl/>
        <w:rPr>
          <w:b/>
        </w:rPr>
      </w:pPr>
      <w:r w:rsidRPr="005309FD">
        <w:rPr>
          <w:b/>
        </w:rPr>
        <w:t xml:space="preserve">Changes Related to </w:t>
      </w:r>
      <w:r>
        <w:rPr>
          <w:b/>
        </w:rPr>
        <w:t xml:space="preserve">Final Rule in </w:t>
      </w:r>
      <w:r w:rsidRPr="005309FD">
        <w:rPr>
          <w:b/>
        </w:rPr>
        <w:t>RM12-18:</w:t>
      </w:r>
      <w:r>
        <w:t xml:space="preserve">  </w:t>
      </w:r>
      <w:r w:rsidR="00D245AE" w:rsidRPr="00F65603">
        <w:t xml:space="preserve">The Commission’s estimate of the additional Public Reporting Burden and cost related to the </w:t>
      </w:r>
      <w:r w:rsidR="00D245AE">
        <w:t>Final Rule</w:t>
      </w:r>
      <w:r w:rsidR="00D245AE" w:rsidRPr="00F65603">
        <w:t xml:space="preserve"> in Docket RM12-18-000 follow.</w:t>
      </w:r>
      <w:r w:rsidR="00D245AE" w:rsidRPr="00F65603">
        <w:rPr>
          <w:b/>
        </w:rPr>
        <w:t xml:space="preserve">  </w:t>
      </w:r>
    </w:p>
    <w:p w:rsidR="00D245AE" w:rsidRPr="00F65603" w:rsidRDefault="00D245AE" w:rsidP="00D245AE">
      <w:pPr>
        <w:widowControl/>
        <w:rPr>
          <w:b/>
        </w:rPr>
      </w:pPr>
    </w:p>
    <w:p w:rsidR="00D245AE" w:rsidRPr="00F65603" w:rsidRDefault="00D245AE" w:rsidP="00D245AE">
      <w:pPr>
        <w:widowControl/>
      </w:pPr>
      <w:r w:rsidRPr="00F65603">
        <w:t>The</w:t>
      </w:r>
      <w:r>
        <w:t xml:space="preserve"> additional information</w:t>
      </w:r>
      <w:r w:rsidRPr="00F65603">
        <w:t xml:space="preserve"> to be reported will impose almost no additional burden on oil pipelines because pipelines already must develop cost of service supporting calculations to determine the Income Tax Allowance, Rate Base, Rate of Return, and Return on Rate Base</w:t>
      </w:r>
      <w:r w:rsidR="008B66D3">
        <w:t>,</w:t>
      </w:r>
      <w:r w:rsidRPr="00F65603">
        <w:t xml:space="preserve"> already reported on Page 700.  </w:t>
      </w:r>
      <w:r w:rsidR="006110DB">
        <w:t xml:space="preserve">The additional disclosures are interim calculations </w:t>
      </w:r>
      <w:r w:rsidR="00387516">
        <w:t xml:space="preserve">used to arrive at disclosures which are currently reported.  </w:t>
      </w:r>
      <w:r w:rsidRPr="00F65603">
        <w:t>Given these existing requirements, the Commission does not anticipate that these proposed additions to Page 700 of Form 6 will impose a significant burden on oil pipelines.</w:t>
      </w:r>
    </w:p>
    <w:p w:rsidR="00D245AE" w:rsidRPr="00F65603" w:rsidRDefault="00D245AE" w:rsidP="00D245AE">
      <w:pPr>
        <w:widowControl/>
        <w:rPr>
          <w:b/>
        </w:rPr>
      </w:pPr>
    </w:p>
    <w:p w:rsidR="009957C1" w:rsidRDefault="00D245AE" w:rsidP="00D245AE">
      <w:pPr>
        <w:widowControl/>
      </w:pPr>
      <w:r w:rsidRPr="00F65603">
        <w:t xml:space="preserve">For the recurring effort involved in filing the data on proposed lines 5a-5c, 6a-6e, and 8a of Page 700 for 2013 and future years, we estimate that the change in burden is </w:t>
      </w:r>
      <w:r w:rsidR="005309FD">
        <w:t>+</w:t>
      </w:r>
      <w:r w:rsidRPr="00F65603">
        <w:t>0.5 hours per year per respondent</w:t>
      </w:r>
      <w:r w:rsidR="008B66D3">
        <w:t xml:space="preserve"> (for the filers of Page 700)</w:t>
      </w:r>
      <w:r w:rsidRPr="00F65603">
        <w:t>.</w:t>
      </w:r>
    </w:p>
    <w:p w:rsidR="00D245AE" w:rsidRPr="00F65603" w:rsidRDefault="00D245AE" w:rsidP="00D245AE">
      <w:pPr>
        <w:widowControl/>
      </w:pPr>
    </w:p>
    <w:p w:rsidR="00D245AE" w:rsidRPr="00F65603" w:rsidRDefault="00D245AE" w:rsidP="00D245AE">
      <w:pPr>
        <w:widowControl/>
      </w:pPr>
    </w:p>
    <w:tbl>
      <w:tblPr>
        <w:tblW w:w="0" w:type="auto"/>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1195"/>
        <w:gridCol w:w="1492"/>
        <w:gridCol w:w="1401"/>
        <w:gridCol w:w="1565"/>
        <w:gridCol w:w="1401"/>
      </w:tblGrid>
      <w:tr w:rsidR="00D245AE" w:rsidRPr="00F65603" w:rsidTr="00A94D68">
        <w:tc>
          <w:tcPr>
            <w:tcW w:w="1872" w:type="dxa"/>
            <w:shd w:val="clear" w:color="auto" w:fill="D9D9D9"/>
            <w:vAlign w:val="center"/>
          </w:tcPr>
          <w:p w:rsidR="00D245AE" w:rsidRPr="00F65603" w:rsidRDefault="009957C1" w:rsidP="00A94D68">
            <w:pPr>
              <w:widowControl/>
              <w:jc w:val="center"/>
              <w:rPr>
                <w:b/>
              </w:rPr>
            </w:pPr>
            <w:r>
              <w:rPr>
                <w:b/>
              </w:rPr>
              <w:t xml:space="preserve">Final Rule in </w:t>
            </w:r>
            <w:r w:rsidR="00D245AE" w:rsidRPr="00F65603">
              <w:rPr>
                <w:b/>
              </w:rPr>
              <w:t>RM12-18-000, FERC Form 6</w:t>
            </w:r>
          </w:p>
        </w:tc>
        <w:tc>
          <w:tcPr>
            <w:tcW w:w="1195" w:type="dxa"/>
            <w:shd w:val="clear" w:color="auto" w:fill="D9D9D9"/>
            <w:vAlign w:val="center"/>
          </w:tcPr>
          <w:p w:rsidR="00D245AE" w:rsidRPr="00F65603" w:rsidRDefault="00D245AE" w:rsidP="00A94D68">
            <w:pPr>
              <w:widowControl/>
              <w:jc w:val="center"/>
              <w:rPr>
                <w:b/>
              </w:rPr>
            </w:pPr>
            <w:r w:rsidRPr="00F65603">
              <w:rPr>
                <w:b/>
              </w:rPr>
              <w:t>Annual No. of Filers</w:t>
            </w:r>
          </w:p>
        </w:tc>
        <w:tc>
          <w:tcPr>
            <w:tcW w:w="1492" w:type="dxa"/>
            <w:shd w:val="clear" w:color="auto" w:fill="D9D9D9"/>
            <w:vAlign w:val="center"/>
          </w:tcPr>
          <w:p w:rsidR="00D245AE" w:rsidRPr="00F65603" w:rsidRDefault="00D245AE" w:rsidP="00A94D68">
            <w:pPr>
              <w:widowControl/>
              <w:jc w:val="center"/>
              <w:rPr>
                <w:b/>
              </w:rPr>
            </w:pPr>
            <w:r w:rsidRPr="00F65603">
              <w:rPr>
                <w:b/>
              </w:rPr>
              <w:t>Estimated Additional  Burden per Filer (Hr.)</w:t>
            </w:r>
          </w:p>
        </w:tc>
        <w:tc>
          <w:tcPr>
            <w:tcW w:w="1401" w:type="dxa"/>
            <w:shd w:val="clear" w:color="auto" w:fill="D9D9D9"/>
            <w:vAlign w:val="center"/>
          </w:tcPr>
          <w:p w:rsidR="00D245AE" w:rsidRPr="00F65603" w:rsidRDefault="00D245AE" w:rsidP="00A94D68">
            <w:pPr>
              <w:widowControl/>
              <w:jc w:val="center"/>
              <w:rPr>
                <w:b/>
              </w:rPr>
            </w:pPr>
            <w:r w:rsidRPr="00F65603">
              <w:rPr>
                <w:b/>
              </w:rPr>
              <w:t>Total Estimated Additional  Burden (Hr.)</w:t>
            </w:r>
          </w:p>
        </w:tc>
        <w:tc>
          <w:tcPr>
            <w:tcW w:w="1565" w:type="dxa"/>
            <w:shd w:val="clear" w:color="auto" w:fill="D9D9D9"/>
            <w:vAlign w:val="center"/>
          </w:tcPr>
          <w:p w:rsidR="00D245AE" w:rsidRPr="00F65603" w:rsidRDefault="00D245AE" w:rsidP="00A94D68">
            <w:pPr>
              <w:widowControl/>
              <w:jc w:val="center"/>
              <w:rPr>
                <w:b/>
              </w:rPr>
            </w:pPr>
            <w:r w:rsidRPr="00F65603">
              <w:rPr>
                <w:b/>
              </w:rPr>
              <w:t>Estimated Additional  Cost per Filer ($)</w:t>
            </w:r>
            <w:r w:rsidRPr="00F65603">
              <w:rPr>
                <w:vertAlign w:val="superscript"/>
              </w:rPr>
              <w:footnoteReference w:id="31"/>
            </w:r>
          </w:p>
        </w:tc>
        <w:tc>
          <w:tcPr>
            <w:tcW w:w="1401" w:type="dxa"/>
            <w:shd w:val="clear" w:color="auto" w:fill="D9D9D9"/>
            <w:vAlign w:val="center"/>
          </w:tcPr>
          <w:p w:rsidR="00D245AE" w:rsidRPr="00F65603" w:rsidRDefault="00D245AE" w:rsidP="00A94D68">
            <w:pPr>
              <w:widowControl/>
              <w:jc w:val="center"/>
              <w:rPr>
                <w:b/>
              </w:rPr>
            </w:pPr>
            <w:r w:rsidRPr="00F65603">
              <w:rPr>
                <w:b/>
              </w:rPr>
              <w:t>Total Estimated Additional Cost ($)</w:t>
            </w:r>
          </w:p>
        </w:tc>
      </w:tr>
      <w:tr w:rsidR="00D245AE" w:rsidRPr="00F65603" w:rsidTr="00813316">
        <w:tc>
          <w:tcPr>
            <w:tcW w:w="1872" w:type="dxa"/>
            <w:vAlign w:val="center"/>
          </w:tcPr>
          <w:p w:rsidR="00D245AE" w:rsidRPr="00F65603" w:rsidRDefault="00D245AE" w:rsidP="00621DA3">
            <w:pPr>
              <w:widowControl/>
            </w:pPr>
            <w:r w:rsidRPr="00F65603">
              <w:t xml:space="preserve"> Filing new  lines on page 700</w:t>
            </w:r>
          </w:p>
        </w:tc>
        <w:tc>
          <w:tcPr>
            <w:tcW w:w="1195" w:type="dxa"/>
            <w:vAlign w:val="bottom"/>
          </w:tcPr>
          <w:p w:rsidR="00D245AE" w:rsidRPr="00F65603" w:rsidRDefault="00D245AE" w:rsidP="00D245AE">
            <w:pPr>
              <w:widowControl/>
              <w:jc w:val="right"/>
            </w:pPr>
            <w:r w:rsidRPr="00F65603">
              <w:t>1</w:t>
            </w:r>
            <w:r>
              <w:t>53</w:t>
            </w:r>
            <w:bookmarkStart w:id="1" w:name="_Ref362532326"/>
            <w:r w:rsidR="00387516" w:rsidRPr="005309FD">
              <w:rPr>
                <w:rStyle w:val="FootnoteReference"/>
                <w:vertAlign w:val="superscript"/>
              </w:rPr>
              <w:footnoteReference w:id="32"/>
            </w:r>
            <w:bookmarkEnd w:id="1"/>
          </w:p>
        </w:tc>
        <w:tc>
          <w:tcPr>
            <w:tcW w:w="1492" w:type="dxa"/>
            <w:vAlign w:val="bottom"/>
          </w:tcPr>
          <w:p w:rsidR="00D245AE" w:rsidRPr="00F65603" w:rsidRDefault="00D245AE" w:rsidP="00813316">
            <w:pPr>
              <w:widowControl/>
              <w:jc w:val="right"/>
            </w:pPr>
            <w:r w:rsidRPr="00F65603">
              <w:t>0.5</w:t>
            </w:r>
          </w:p>
        </w:tc>
        <w:tc>
          <w:tcPr>
            <w:tcW w:w="1401" w:type="dxa"/>
            <w:vAlign w:val="bottom"/>
          </w:tcPr>
          <w:p w:rsidR="00D245AE" w:rsidRPr="00F65603" w:rsidRDefault="008B66D3" w:rsidP="00813316">
            <w:pPr>
              <w:widowControl/>
              <w:jc w:val="right"/>
            </w:pPr>
            <w:r>
              <w:t>+</w:t>
            </w:r>
            <w:r w:rsidR="00D245AE">
              <w:t>77</w:t>
            </w:r>
          </w:p>
        </w:tc>
        <w:tc>
          <w:tcPr>
            <w:tcW w:w="1565" w:type="dxa"/>
            <w:vAlign w:val="bottom"/>
          </w:tcPr>
          <w:p w:rsidR="00D245AE" w:rsidRPr="00F65603" w:rsidRDefault="008B66D3" w:rsidP="00813316">
            <w:pPr>
              <w:widowControl/>
              <w:jc w:val="right"/>
            </w:pPr>
            <w:r>
              <w:t>+</w:t>
            </w:r>
            <w:r w:rsidR="00D245AE" w:rsidRPr="00F65603">
              <w:t>$34.51</w:t>
            </w:r>
          </w:p>
        </w:tc>
        <w:tc>
          <w:tcPr>
            <w:tcW w:w="1401" w:type="dxa"/>
            <w:vAlign w:val="bottom"/>
          </w:tcPr>
          <w:p w:rsidR="00D245AE" w:rsidRPr="00F65603" w:rsidRDefault="008B66D3" w:rsidP="00D245AE">
            <w:pPr>
              <w:widowControl/>
              <w:jc w:val="right"/>
            </w:pPr>
            <w:r>
              <w:t>+</w:t>
            </w:r>
            <w:r w:rsidR="00D245AE" w:rsidRPr="00F65603">
              <w:t>$</w:t>
            </w:r>
            <w:r w:rsidR="00D245AE">
              <w:t>2,657.27</w:t>
            </w:r>
          </w:p>
        </w:tc>
      </w:tr>
    </w:tbl>
    <w:p w:rsidR="00D245AE" w:rsidRDefault="00D245AE" w:rsidP="005E6DF7">
      <w:pPr>
        <w:widowControl/>
      </w:pPr>
    </w:p>
    <w:p w:rsidR="00ED1E21" w:rsidRDefault="00ED1E21" w:rsidP="005E6DF7">
      <w:pPr>
        <w:widowControl/>
      </w:pPr>
      <w:r>
        <w:t>There are eight Form 6 filers that are not required to file Page 700 and are not affected by the Final Rule.</w:t>
      </w:r>
      <w:r w:rsidR="00E76B14" w:rsidRPr="005309FD">
        <w:rPr>
          <w:vertAlign w:val="superscript"/>
        </w:rPr>
        <w:fldChar w:fldCharType="begin"/>
      </w:r>
      <w:r w:rsidR="00E76B14" w:rsidRPr="005309FD">
        <w:rPr>
          <w:vertAlign w:val="superscript"/>
        </w:rPr>
        <w:instrText xml:space="preserve"> NOTEREF _Ref362532326 \h </w:instrText>
      </w:r>
      <w:r w:rsidR="00E76B14" w:rsidRPr="005309FD">
        <w:rPr>
          <w:vertAlign w:val="superscript"/>
        </w:rPr>
      </w:r>
      <w:r w:rsidR="00E76B14">
        <w:rPr>
          <w:vertAlign w:val="superscript"/>
        </w:rPr>
        <w:instrText xml:space="preserve"> \* MERGEFORMAT </w:instrText>
      </w:r>
      <w:r w:rsidR="00E76B14" w:rsidRPr="005309FD">
        <w:rPr>
          <w:vertAlign w:val="superscript"/>
        </w:rPr>
        <w:fldChar w:fldCharType="separate"/>
      </w:r>
      <w:r w:rsidR="00E76B14" w:rsidRPr="005309FD">
        <w:rPr>
          <w:vertAlign w:val="superscript"/>
        </w:rPr>
        <w:t>32</w:t>
      </w:r>
      <w:r w:rsidR="00E76B14" w:rsidRPr="005309FD">
        <w:rPr>
          <w:vertAlign w:val="superscript"/>
        </w:rPr>
        <w:fldChar w:fldCharType="end"/>
      </w:r>
      <w:r w:rsidR="005A5304">
        <w:t xml:space="preserve">  This is why the rule only affects 153 of the 161 Form 6 filers. </w:t>
      </w:r>
      <w:r>
        <w:t xml:space="preserve">    </w:t>
      </w:r>
    </w:p>
    <w:p w:rsidR="00ED1E21" w:rsidRDefault="00ED1E21" w:rsidP="005E6DF7">
      <w:pPr>
        <w:widowControl/>
      </w:pPr>
    </w:p>
    <w:p w:rsidR="00094545" w:rsidRPr="00F65603" w:rsidRDefault="00094545" w:rsidP="005E6DF7">
      <w:pPr>
        <w:widowControl/>
      </w:pPr>
      <w:r w:rsidRPr="00F65603">
        <w:t xml:space="preserve">The following table shows the impact of the </w:t>
      </w:r>
      <w:r w:rsidR="00D245AE">
        <w:t>Final Rule</w:t>
      </w:r>
      <w:r w:rsidRPr="00F65603">
        <w:t xml:space="preserve"> </w:t>
      </w:r>
      <w:r w:rsidR="00D245AE">
        <w:t>to</w:t>
      </w:r>
      <w:r w:rsidRPr="00F65603">
        <w:t xml:space="preserve"> the current burden inventory for the Form 6.</w:t>
      </w:r>
    </w:p>
    <w:p w:rsidR="00094545" w:rsidRPr="00F65603" w:rsidRDefault="00094545" w:rsidP="005E6DF7">
      <w:pPr>
        <w:widowContro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1913"/>
        <w:gridCol w:w="1912"/>
        <w:gridCol w:w="1911"/>
        <w:gridCol w:w="1913"/>
      </w:tblGrid>
      <w:tr w:rsidR="00094545" w:rsidRPr="00F65603" w:rsidTr="00A94D68">
        <w:tc>
          <w:tcPr>
            <w:tcW w:w="1906" w:type="dxa"/>
            <w:shd w:val="clear" w:color="auto" w:fill="D9D9D9"/>
            <w:vAlign w:val="center"/>
          </w:tcPr>
          <w:p w:rsidR="00094545" w:rsidRPr="00F65603" w:rsidRDefault="00A94D68" w:rsidP="00A94D68">
            <w:pPr>
              <w:jc w:val="center"/>
              <w:rPr>
                <w:b/>
              </w:rPr>
            </w:pPr>
            <w:r>
              <w:rPr>
                <w:b/>
              </w:rPr>
              <w:t xml:space="preserve">FERC </w:t>
            </w:r>
            <w:r w:rsidR="00094545" w:rsidRPr="00F65603">
              <w:rPr>
                <w:b/>
              </w:rPr>
              <w:t>Form 6</w:t>
            </w:r>
          </w:p>
        </w:tc>
        <w:tc>
          <w:tcPr>
            <w:tcW w:w="1913" w:type="dxa"/>
            <w:shd w:val="clear" w:color="auto" w:fill="D9D9D9"/>
            <w:vAlign w:val="center"/>
          </w:tcPr>
          <w:p w:rsidR="00094545" w:rsidRPr="00F65603" w:rsidRDefault="00094545" w:rsidP="00A94D68">
            <w:pPr>
              <w:jc w:val="center"/>
              <w:rPr>
                <w:b/>
              </w:rPr>
            </w:pPr>
            <w:r w:rsidRPr="00F65603">
              <w:rPr>
                <w:b/>
              </w:rPr>
              <w:t>Total Request</w:t>
            </w:r>
          </w:p>
        </w:tc>
        <w:tc>
          <w:tcPr>
            <w:tcW w:w="1912" w:type="dxa"/>
            <w:shd w:val="clear" w:color="auto" w:fill="D9D9D9"/>
            <w:vAlign w:val="center"/>
          </w:tcPr>
          <w:p w:rsidR="00094545" w:rsidRPr="00F65603" w:rsidRDefault="00094545" w:rsidP="00A94D68">
            <w:pPr>
              <w:jc w:val="center"/>
              <w:rPr>
                <w:b/>
              </w:rPr>
            </w:pPr>
            <w:r w:rsidRPr="00F65603">
              <w:rPr>
                <w:b/>
              </w:rPr>
              <w:t>Change Due to Agency Discretion</w:t>
            </w:r>
          </w:p>
        </w:tc>
        <w:tc>
          <w:tcPr>
            <w:tcW w:w="1911" w:type="dxa"/>
            <w:shd w:val="clear" w:color="auto" w:fill="D9D9D9"/>
            <w:vAlign w:val="center"/>
          </w:tcPr>
          <w:p w:rsidR="00094545" w:rsidRPr="00F65603" w:rsidRDefault="00094545" w:rsidP="00A94D68">
            <w:pPr>
              <w:jc w:val="center"/>
              <w:rPr>
                <w:b/>
              </w:rPr>
            </w:pPr>
            <w:r w:rsidRPr="00F65603">
              <w:rPr>
                <w:b/>
              </w:rPr>
              <w:t>Change due to Adjustment in Estimate</w:t>
            </w:r>
          </w:p>
        </w:tc>
        <w:tc>
          <w:tcPr>
            <w:tcW w:w="1913" w:type="dxa"/>
            <w:shd w:val="clear" w:color="auto" w:fill="D9D9D9"/>
            <w:vAlign w:val="center"/>
          </w:tcPr>
          <w:p w:rsidR="00094545" w:rsidRPr="00F65603" w:rsidRDefault="00094545" w:rsidP="00A94D68">
            <w:pPr>
              <w:jc w:val="center"/>
              <w:rPr>
                <w:b/>
              </w:rPr>
            </w:pPr>
            <w:r w:rsidRPr="00F65603">
              <w:rPr>
                <w:b/>
              </w:rPr>
              <w:t>Previously Approved</w:t>
            </w:r>
          </w:p>
        </w:tc>
      </w:tr>
      <w:tr w:rsidR="00094545" w:rsidRPr="00F65603" w:rsidTr="00051D71">
        <w:tc>
          <w:tcPr>
            <w:tcW w:w="1906" w:type="dxa"/>
          </w:tcPr>
          <w:p w:rsidR="00094545" w:rsidRPr="00F65603" w:rsidRDefault="00094545" w:rsidP="00051D71">
            <w:pPr>
              <w:jc w:val="center"/>
            </w:pPr>
            <w:r w:rsidRPr="00F65603">
              <w:t>Annual Number of Responses</w:t>
            </w:r>
          </w:p>
        </w:tc>
        <w:tc>
          <w:tcPr>
            <w:tcW w:w="1913" w:type="dxa"/>
            <w:vAlign w:val="center"/>
          </w:tcPr>
          <w:p w:rsidR="00094545" w:rsidRPr="00F65603" w:rsidRDefault="00E76B14" w:rsidP="00051D71">
            <w:pPr>
              <w:jc w:val="right"/>
            </w:pPr>
            <w:r>
              <w:t>322</w:t>
            </w:r>
          </w:p>
        </w:tc>
        <w:tc>
          <w:tcPr>
            <w:tcW w:w="1912" w:type="dxa"/>
            <w:vAlign w:val="center"/>
          </w:tcPr>
          <w:p w:rsidR="00094545" w:rsidRPr="00F65603" w:rsidRDefault="00094545" w:rsidP="00051D71">
            <w:pPr>
              <w:jc w:val="right"/>
            </w:pPr>
            <w:r w:rsidRPr="00F65603">
              <w:t>0</w:t>
            </w:r>
          </w:p>
        </w:tc>
        <w:tc>
          <w:tcPr>
            <w:tcW w:w="1911" w:type="dxa"/>
            <w:vAlign w:val="center"/>
          </w:tcPr>
          <w:p w:rsidR="00094545" w:rsidRPr="00F65603" w:rsidRDefault="00450DBB" w:rsidP="00E76B14">
            <w:pPr>
              <w:jc w:val="right"/>
            </w:pPr>
            <w:r>
              <w:t>-</w:t>
            </w:r>
            <w:r w:rsidR="00E76B14">
              <w:t>10</w:t>
            </w:r>
          </w:p>
        </w:tc>
        <w:tc>
          <w:tcPr>
            <w:tcW w:w="1913" w:type="dxa"/>
            <w:vAlign w:val="center"/>
          </w:tcPr>
          <w:p w:rsidR="00094545" w:rsidRPr="00F65603" w:rsidRDefault="00094545" w:rsidP="00051D71">
            <w:pPr>
              <w:jc w:val="right"/>
            </w:pPr>
            <w:r w:rsidRPr="00F65603">
              <w:t>332</w:t>
            </w:r>
          </w:p>
        </w:tc>
      </w:tr>
      <w:tr w:rsidR="00094545" w:rsidRPr="00F65603" w:rsidTr="00051D71">
        <w:tc>
          <w:tcPr>
            <w:tcW w:w="1906" w:type="dxa"/>
          </w:tcPr>
          <w:p w:rsidR="00094545" w:rsidRPr="00F65603" w:rsidRDefault="00094545" w:rsidP="00051D71">
            <w:pPr>
              <w:jc w:val="center"/>
            </w:pPr>
            <w:r w:rsidRPr="00F65603">
              <w:t>Annual Time Burden (</w:t>
            </w:r>
            <w:proofErr w:type="spellStart"/>
            <w:r w:rsidRPr="00F65603">
              <w:t>Hr</w:t>
            </w:r>
            <w:proofErr w:type="spellEnd"/>
            <w:r w:rsidRPr="00F65603">
              <w:t>)</w:t>
            </w:r>
            <w:r w:rsidRPr="00F65603">
              <w:rPr>
                <w:rStyle w:val="FootnoteReference"/>
              </w:rPr>
              <w:t xml:space="preserve"> </w:t>
            </w:r>
          </w:p>
        </w:tc>
        <w:tc>
          <w:tcPr>
            <w:tcW w:w="1913" w:type="dxa"/>
            <w:vAlign w:val="center"/>
          </w:tcPr>
          <w:p w:rsidR="00094545" w:rsidRPr="00F65603" w:rsidRDefault="00F770E6" w:rsidP="00A94D68">
            <w:pPr>
              <w:jc w:val="right"/>
            </w:pPr>
            <w:r>
              <w:t>26,253</w:t>
            </w:r>
          </w:p>
        </w:tc>
        <w:tc>
          <w:tcPr>
            <w:tcW w:w="1912" w:type="dxa"/>
            <w:vAlign w:val="center"/>
          </w:tcPr>
          <w:p w:rsidR="00094545" w:rsidRPr="00F65603" w:rsidRDefault="00720164" w:rsidP="00051D71">
            <w:pPr>
              <w:jc w:val="right"/>
            </w:pPr>
            <w:r>
              <w:t>+</w:t>
            </w:r>
            <w:r w:rsidR="00A94D68">
              <w:t>77</w:t>
            </w:r>
          </w:p>
        </w:tc>
        <w:tc>
          <w:tcPr>
            <w:tcW w:w="1911" w:type="dxa"/>
            <w:vAlign w:val="center"/>
          </w:tcPr>
          <w:p w:rsidR="00094545" w:rsidRPr="00F65603" w:rsidRDefault="00450DBB" w:rsidP="00F770E6">
            <w:pPr>
              <w:jc w:val="right"/>
            </w:pPr>
            <w:r>
              <w:t>-</w:t>
            </w:r>
            <w:r w:rsidR="00F770E6">
              <w:t>8</w:t>
            </w:r>
            <w:r w:rsidR="00F770E6">
              <w:t>1</w:t>
            </w:r>
            <w:r w:rsidR="00F770E6">
              <w:t>3</w:t>
            </w:r>
          </w:p>
        </w:tc>
        <w:tc>
          <w:tcPr>
            <w:tcW w:w="1913" w:type="dxa"/>
            <w:vAlign w:val="center"/>
          </w:tcPr>
          <w:p w:rsidR="00094545" w:rsidRPr="00F65603" w:rsidRDefault="00094545" w:rsidP="00051D71">
            <w:pPr>
              <w:jc w:val="right"/>
            </w:pPr>
            <w:r w:rsidRPr="00F65603">
              <w:t>26,989</w:t>
            </w:r>
          </w:p>
        </w:tc>
      </w:tr>
      <w:tr w:rsidR="00094545" w:rsidRPr="00F65603" w:rsidTr="00051D71">
        <w:tc>
          <w:tcPr>
            <w:tcW w:w="1906" w:type="dxa"/>
          </w:tcPr>
          <w:p w:rsidR="00094545" w:rsidRPr="00F65603" w:rsidRDefault="00094545" w:rsidP="00051D71">
            <w:pPr>
              <w:jc w:val="center"/>
            </w:pPr>
            <w:r w:rsidRPr="00F65603">
              <w:t>Annual Cost Burden ($)</w:t>
            </w:r>
          </w:p>
        </w:tc>
        <w:tc>
          <w:tcPr>
            <w:tcW w:w="1913" w:type="dxa"/>
            <w:vAlign w:val="center"/>
          </w:tcPr>
          <w:p w:rsidR="00094545" w:rsidRPr="00F65603" w:rsidRDefault="00094545" w:rsidP="00051D71">
            <w:pPr>
              <w:jc w:val="right"/>
            </w:pPr>
            <w:r w:rsidRPr="00F65603">
              <w:t>0</w:t>
            </w:r>
          </w:p>
        </w:tc>
        <w:tc>
          <w:tcPr>
            <w:tcW w:w="1912" w:type="dxa"/>
            <w:vAlign w:val="center"/>
          </w:tcPr>
          <w:p w:rsidR="00094545" w:rsidRPr="00F65603" w:rsidRDefault="00094545" w:rsidP="00051D71">
            <w:pPr>
              <w:jc w:val="right"/>
            </w:pPr>
            <w:r w:rsidRPr="00F65603">
              <w:t>0</w:t>
            </w:r>
          </w:p>
        </w:tc>
        <w:tc>
          <w:tcPr>
            <w:tcW w:w="1911" w:type="dxa"/>
            <w:vAlign w:val="center"/>
          </w:tcPr>
          <w:p w:rsidR="00094545" w:rsidRPr="00F65603" w:rsidRDefault="00094545" w:rsidP="00051D71">
            <w:pPr>
              <w:jc w:val="right"/>
            </w:pPr>
            <w:r w:rsidRPr="00F65603">
              <w:t>0</w:t>
            </w:r>
          </w:p>
        </w:tc>
        <w:tc>
          <w:tcPr>
            <w:tcW w:w="1913" w:type="dxa"/>
            <w:vAlign w:val="center"/>
          </w:tcPr>
          <w:p w:rsidR="00094545" w:rsidRPr="00F65603" w:rsidRDefault="00094545" w:rsidP="00051D71">
            <w:pPr>
              <w:jc w:val="right"/>
            </w:pPr>
            <w:r w:rsidRPr="00F65603">
              <w:t>0</w:t>
            </w:r>
          </w:p>
        </w:tc>
      </w:tr>
    </w:tbl>
    <w:p w:rsidR="00094545" w:rsidRPr="00F65603" w:rsidRDefault="00094545" w:rsidP="005E6DF7">
      <w:pPr>
        <w:widowControl/>
      </w:pPr>
    </w:p>
    <w:p w:rsidR="00094545" w:rsidRPr="00F65603" w:rsidRDefault="00FE04E1" w:rsidP="005E6DF7">
      <w:pPr>
        <w:widowControl/>
      </w:pPr>
      <w:r w:rsidRPr="00F65603">
        <w:t>The</w:t>
      </w:r>
      <w:r w:rsidR="00F302D4">
        <w:t xml:space="preserve"> program change</w:t>
      </w:r>
      <w:r w:rsidRPr="00F65603">
        <w:t xml:space="preserve"> is due to the additional time necessary to report the additional data on page 700.  The increase is minimal because the respondents should already have the required data on hand.</w:t>
      </w:r>
    </w:p>
    <w:p w:rsidR="00094545" w:rsidRPr="00F65603" w:rsidRDefault="00094545" w:rsidP="00DC6C88">
      <w:pPr>
        <w:widowControl/>
      </w:pPr>
      <w:r w:rsidRPr="00F65603">
        <w:t xml:space="preserve"> </w:t>
      </w:r>
    </w:p>
    <w:p w:rsidR="00094545" w:rsidRPr="00F65603" w:rsidRDefault="00094545" w:rsidP="00F3202F">
      <w:pPr>
        <w:widowControl/>
        <w:ind w:left="720" w:hanging="720"/>
        <w:rPr>
          <w:b/>
        </w:rPr>
      </w:pPr>
      <w:r w:rsidRPr="00F65603">
        <w:t>16.</w:t>
      </w:r>
      <w:r w:rsidRPr="00F65603">
        <w:tab/>
      </w:r>
      <w:r w:rsidRPr="00F65603">
        <w:rPr>
          <w:b/>
        </w:rPr>
        <w:t>TIME SCHEDULE FOR PUBLICATION OF DATA</w:t>
      </w:r>
    </w:p>
    <w:p w:rsidR="00094545" w:rsidRPr="00F65603" w:rsidRDefault="00094545" w:rsidP="00AE69EE">
      <w:pPr>
        <w:widowControl/>
        <w:ind w:left="720" w:firstLine="720"/>
      </w:pPr>
    </w:p>
    <w:p w:rsidR="00094545" w:rsidRPr="00F65603" w:rsidRDefault="00094545" w:rsidP="005E6DF7">
      <w:pPr>
        <w:widowControl/>
      </w:pPr>
      <w:r w:rsidRPr="00F65603">
        <w:t>The information furnished in the Form 6 is available for public inspection at the FERC website (</w:t>
      </w:r>
      <w:hyperlink r:id="rId10" w:anchor="6" w:history="1">
        <w:r w:rsidRPr="00F65603">
          <w:rPr>
            <w:rStyle w:val="Hyperlink"/>
          </w:rPr>
          <w:t>http://www.ferc.gov/docs-filing/forms.asp#6</w:t>
        </w:r>
      </w:hyperlink>
      <w:r w:rsidRPr="00F65603">
        <w:t xml:space="preserve">).  Each pipeline company, subject to the provisions of Section 20 of the ICA, must file the Form 6 on or before April 18 of the year following the year covered by this report.  The data are </w:t>
      </w:r>
      <w:r w:rsidR="00FF21D8" w:rsidRPr="00F65603">
        <w:t xml:space="preserve">collected for regulatory purposes and </w:t>
      </w:r>
      <w:r w:rsidR="00720164">
        <w:t xml:space="preserve">not </w:t>
      </w:r>
      <w:r w:rsidR="00FF21D8" w:rsidRPr="00F65603">
        <w:t>for the purposes of a publication.</w:t>
      </w:r>
    </w:p>
    <w:p w:rsidR="00094545" w:rsidRPr="00F65603" w:rsidRDefault="00094545">
      <w:pPr>
        <w:widowControl/>
      </w:pPr>
    </w:p>
    <w:p w:rsidR="00094545" w:rsidRPr="00F65603" w:rsidRDefault="00094545" w:rsidP="00025FC7">
      <w:pPr>
        <w:widowControl/>
        <w:tabs>
          <w:tab w:val="left" w:pos="-1440"/>
        </w:tabs>
        <w:ind w:left="720" w:hanging="720"/>
        <w:rPr>
          <w:b/>
          <w:bCs/>
        </w:rPr>
      </w:pPr>
      <w:r w:rsidRPr="00F65603">
        <w:t>17.</w:t>
      </w:r>
      <w:r w:rsidRPr="00F65603">
        <w:tab/>
      </w:r>
      <w:r w:rsidRPr="00F65603">
        <w:rPr>
          <w:b/>
          <w:bCs/>
        </w:rPr>
        <w:t>DISPLAY OF THE EXPIRATION DATE</w:t>
      </w:r>
    </w:p>
    <w:p w:rsidR="00094545" w:rsidRPr="00F65603" w:rsidRDefault="00094545">
      <w:pPr>
        <w:widowControl/>
        <w:rPr>
          <w:b/>
          <w:bCs/>
        </w:rPr>
      </w:pPr>
    </w:p>
    <w:p w:rsidR="00094545" w:rsidRPr="00F65603" w:rsidRDefault="00094545" w:rsidP="005E6DF7">
      <w:pPr>
        <w:widowControl/>
      </w:pPr>
      <w:r w:rsidRPr="00F65603">
        <w:t>The Form 6 displays both the OMB control number and the expiration date.  This information is displayed in the upper right-hand corner of the cover page in the appropriate electronic version of this form.</w:t>
      </w:r>
    </w:p>
    <w:p w:rsidR="00094545" w:rsidRPr="00F65603" w:rsidRDefault="00094545">
      <w:pPr>
        <w:widowControl/>
      </w:pPr>
    </w:p>
    <w:p w:rsidR="00094545" w:rsidRPr="00F65603" w:rsidRDefault="00094545" w:rsidP="00025FC7">
      <w:pPr>
        <w:widowControl/>
        <w:ind w:left="720" w:hanging="720"/>
        <w:rPr>
          <w:b/>
          <w:bCs/>
        </w:rPr>
      </w:pPr>
      <w:r w:rsidRPr="00F65603">
        <w:t xml:space="preserve">18.  </w:t>
      </w:r>
      <w:r w:rsidR="00A94D68">
        <w:tab/>
      </w:r>
      <w:r w:rsidRPr="00F65603">
        <w:rPr>
          <w:b/>
          <w:bCs/>
        </w:rPr>
        <w:t>EXCEPTIONS TO THE CERTIFICATION STATEMENT</w:t>
      </w:r>
    </w:p>
    <w:p w:rsidR="00094545" w:rsidRPr="00F65603" w:rsidRDefault="00094545" w:rsidP="00AE69EE">
      <w:pPr>
        <w:widowControl/>
        <w:ind w:left="720" w:firstLine="720"/>
        <w:rPr>
          <w:rFonts w:ascii="Times New Roman TUR" w:hAnsi="Times New Roman TUR" w:cs="Times New Roman TUR"/>
          <w:bCs/>
        </w:rPr>
      </w:pPr>
    </w:p>
    <w:p w:rsidR="00F65603" w:rsidRPr="00F65603" w:rsidRDefault="00094545">
      <w:pPr>
        <w:widowControl/>
      </w:pPr>
      <w:r w:rsidRPr="00F65603">
        <w:rPr>
          <w:rFonts w:ascii="Times New Roman TUR" w:hAnsi="Times New Roman TUR" w:cs="Times New Roman TUR"/>
          <w:bCs/>
        </w:rPr>
        <w:t xml:space="preserve">There is an exception to the Paperwork Reduction Act Submission Certification </w:t>
      </w:r>
      <w:r w:rsidR="002E7DC3" w:rsidRPr="00F65603">
        <w:rPr>
          <w:rFonts w:ascii="Times New Roman TUR" w:hAnsi="Times New Roman TUR" w:cs="Times New Roman TUR"/>
          <w:bCs/>
        </w:rPr>
        <w:t>b</w:t>
      </w:r>
      <w:r w:rsidRPr="00F65603">
        <w:rPr>
          <w:rFonts w:ascii="Times New Roman TUR" w:hAnsi="Times New Roman TUR" w:cs="Times New Roman TUR"/>
          <w:bCs/>
        </w:rPr>
        <w:t>ecause the data collected for this reporting requirement is not used for statistical purposes, as is stated in the certification accompanying this submission.  The information collected is case specific to each respondent.</w:t>
      </w:r>
    </w:p>
    <w:sectPr w:rsidR="00F65603" w:rsidRPr="00F65603" w:rsidSect="003015F2">
      <w:headerReference w:type="even" r:id="rId11"/>
      <w:headerReference w:type="default" r:id="rId12"/>
      <w:footerReference w:type="even" r:id="rId13"/>
      <w:footerReference w:type="default" r:id="rId14"/>
      <w:headerReference w:type="first" r:id="rId15"/>
      <w:pgSz w:w="12240" w:h="15840"/>
      <w:pgMar w:top="994" w:right="1080" w:bottom="936" w:left="1080" w:header="994" w:footer="93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797" w:rsidRDefault="00BA5797">
      <w:r>
        <w:separator/>
      </w:r>
    </w:p>
  </w:endnote>
  <w:endnote w:type="continuationSeparator" w:id="0">
    <w:p w:rsidR="00BA5797" w:rsidRDefault="00BA5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MODMN+ArialNarrow">
    <w:altName w:val="Arial Narrow"/>
    <w:panose1 w:val="00000000000000000000"/>
    <w:charset w:val="00"/>
    <w:family w:val="swiss"/>
    <w:notTrueType/>
    <w:pitch w:val="default"/>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Times New Roman TUR">
    <w:altName w:val="Times New Roman"/>
    <w:charset w:val="00"/>
    <w:family w:val="roman"/>
    <w:pitch w:val="variable"/>
    <w:sig w:usb0="00000000"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904" w:rsidRDefault="00276904" w:rsidP="005072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76904" w:rsidRDefault="00276904" w:rsidP="004C516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904" w:rsidRDefault="00276904" w:rsidP="005072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70030">
      <w:rPr>
        <w:rStyle w:val="PageNumber"/>
        <w:noProof/>
      </w:rPr>
      <w:t>11</w:t>
    </w:r>
    <w:r>
      <w:rPr>
        <w:rStyle w:val="PageNumber"/>
      </w:rPr>
      <w:fldChar w:fldCharType="end"/>
    </w:r>
  </w:p>
  <w:p w:rsidR="00276904" w:rsidRPr="00BD2B99" w:rsidRDefault="00276904" w:rsidP="008D739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797" w:rsidRDefault="00BA5797">
      <w:r>
        <w:separator/>
      </w:r>
    </w:p>
  </w:footnote>
  <w:footnote w:type="continuationSeparator" w:id="0">
    <w:p w:rsidR="00BA5797" w:rsidRDefault="00BA5797">
      <w:r>
        <w:continuationSeparator/>
      </w:r>
    </w:p>
  </w:footnote>
  <w:footnote w:id="1">
    <w:p w:rsidR="002161E2" w:rsidRPr="00A9394A" w:rsidRDefault="002161E2" w:rsidP="009D53F2">
      <w:pPr>
        <w:pStyle w:val="FootnoteText"/>
        <w:ind w:firstLine="720"/>
        <w:rPr>
          <w:sz w:val="22"/>
          <w:szCs w:val="22"/>
        </w:rPr>
      </w:pPr>
      <w:r w:rsidRPr="00A9394A">
        <w:rPr>
          <w:rStyle w:val="FootnoteReference"/>
          <w:sz w:val="22"/>
          <w:szCs w:val="22"/>
          <w:vertAlign w:val="superscript"/>
        </w:rPr>
        <w:footnoteRef/>
      </w:r>
      <w:r w:rsidRPr="00A9394A">
        <w:rPr>
          <w:sz w:val="22"/>
          <w:szCs w:val="22"/>
          <w:vertAlign w:val="superscript"/>
        </w:rPr>
        <w:t xml:space="preserve"> </w:t>
      </w:r>
      <w:r w:rsidRPr="00A9394A">
        <w:rPr>
          <w:rFonts w:cs="Courier"/>
          <w:sz w:val="22"/>
          <w:szCs w:val="22"/>
        </w:rPr>
        <w:t>Section 402(b) of the Department of Energy Organization Act (DOE Act), 42 U.S.C. 7172 provides that; "[t]here are hereby transferred to, and vested in, the Commission all functions and authority of the Interstate Commerce Commission or any officer or component of such Commission where the regulatory function establishes rates or charges for the transportation of oil by pipeline or established the valuation of any such pipeline."</w:t>
      </w:r>
    </w:p>
  </w:footnote>
  <w:footnote w:id="2">
    <w:p w:rsidR="002161E2" w:rsidRPr="00A9394A" w:rsidRDefault="002161E2" w:rsidP="009D53F2">
      <w:pPr>
        <w:ind w:firstLine="720"/>
        <w:rPr>
          <w:sz w:val="22"/>
          <w:szCs w:val="22"/>
        </w:rPr>
      </w:pPr>
      <w:r w:rsidRPr="00A9394A">
        <w:rPr>
          <w:rStyle w:val="FootnoteReference"/>
          <w:sz w:val="22"/>
          <w:szCs w:val="22"/>
          <w:vertAlign w:val="superscript"/>
        </w:rPr>
        <w:footnoteRef/>
      </w:r>
      <w:r w:rsidRPr="00A9394A">
        <w:rPr>
          <w:sz w:val="22"/>
          <w:szCs w:val="22"/>
        </w:rPr>
        <w:t xml:space="preserve"> The ICC developed the Form P to collect information on an annual basis to enable it to carry out its regulation of oil pipeline companies under the Interstate Commerce Act.  A comprehensive review of the reporting requirements for oil pipeline companies was performed on September 21, 1982, when the Commission issued Order 260 revising the former ICC Form P, "Annual Report of Carriers by Pipeline" and </w:t>
      </w:r>
      <w:proofErr w:type="spellStart"/>
      <w:r w:rsidRPr="00A9394A">
        <w:rPr>
          <w:sz w:val="22"/>
          <w:szCs w:val="22"/>
        </w:rPr>
        <w:t>redesignating</w:t>
      </w:r>
      <w:proofErr w:type="spellEnd"/>
      <w:r w:rsidRPr="00A9394A">
        <w:rPr>
          <w:sz w:val="22"/>
          <w:szCs w:val="22"/>
        </w:rPr>
        <w:t xml:space="preserve"> it as FERC Form No. 6, "Annual Report of Oil Pipeline Companies”.</w:t>
      </w:r>
    </w:p>
  </w:footnote>
  <w:footnote w:id="3">
    <w:p w:rsidR="002161E2" w:rsidRPr="00A9394A" w:rsidRDefault="002161E2" w:rsidP="009D53F2">
      <w:pPr>
        <w:pStyle w:val="FootnoteText"/>
        <w:rPr>
          <w:sz w:val="22"/>
          <w:szCs w:val="22"/>
        </w:rPr>
      </w:pPr>
      <w:r w:rsidRPr="00A9394A">
        <w:rPr>
          <w:sz w:val="22"/>
          <w:szCs w:val="22"/>
        </w:rPr>
        <w:tab/>
      </w:r>
      <w:r w:rsidRPr="00A9394A">
        <w:rPr>
          <w:rStyle w:val="FootnoteReference"/>
          <w:sz w:val="22"/>
          <w:szCs w:val="22"/>
          <w:vertAlign w:val="superscript"/>
        </w:rPr>
        <w:footnoteRef/>
      </w:r>
      <w:r w:rsidRPr="00A9394A">
        <w:rPr>
          <w:sz w:val="22"/>
          <w:szCs w:val="22"/>
        </w:rPr>
        <w:t xml:space="preserve"> </w:t>
      </w:r>
      <w:r w:rsidRPr="00A9394A">
        <w:rPr>
          <w:i/>
          <w:sz w:val="22"/>
          <w:szCs w:val="22"/>
        </w:rPr>
        <w:t>Cost of Service Requirements and Filing Requirements for Oil Pipelines</w:t>
      </w:r>
      <w:r w:rsidRPr="00A9394A">
        <w:rPr>
          <w:sz w:val="22"/>
          <w:szCs w:val="22"/>
        </w:rPr>
        <w:t xml:space="preserve">, Order No. 571, FERC Stats. &amp; </w:t>
      </w:r>
      <w:proofErr w:type="spellStart"/>
      <w:proofErr w:type="gramStart"/>
      <w:r w:rsidRPr="00A9394A">
        <w:rPr>
          <w:sz w:val="22"/>
          <w:szCs w:val="22"/>
        </w:rPr>
        <w:t>Regs</w:t>
      </w:r>
      <w:proofErr w:type="spellEnd"/>
      <w:r w:rsidRPr="00A9394A">
        <w:rPr>
          <w:sz w:val="22"/>
          <w:szCs w:val="22"/>
        </w:rPr>
        <w:t>.,</w:t>
      </w:r>
      <w:proofErr w:type="gramEnd"/>
      <w:r w:rsidRPr="00A9394A">
        <w:rPr>
          <w:sz w:val="22"/>
          <w:szCs w:val="22"/>
        </w:rPr>
        <w:t xml:space="preserve"> Regulation Preambles Jan. 1991- June 1996 ¶ 31,006, at p. 31,169 (1995).</w:t>
      </w:r>
    </w:p>
  </w:footnote>
  <w:footnote w:id="4">
    <w:p w:rsidR="00276904" w:rsidRPr="00A9394A" w:rsidRDefault="00276904" w:rsidP="00C7173B">
      <w:pPr>
        <w:pStyle w:val="FootnoteText"/>
        <w:ind w:firstLine="720"/>
        <w:rPr>
          <w:sz w:val="22"/>
          <w:szCs w:val="22"/>
        </w:rPr>
      </w:pPr>
      <w:r w:rsidRPr="00A9394A">
        <w:rPr>
          <w:rStyle w:val="FootnoteReference"/>
          <w:sz w:val="22"/>
          <w:szCs w:val="22"/>
          <w:vertAlign w:val="superscript"/>
        </w:rPr>
        <w:footnoteRef/>
      </w:r>
      <w:r w:rsidRPr="00A9394A">
        <w:rPr>
          <w:sz w:val="22"/>
          <w:szCs w:val="22"/>
        </w:rPr>
        <w:t xml:space="preserve"> Order No. 571 at p. 31,168.</w:t>
      </w:r>
    </w:p>
  </w:footnote>
  <w:footnote w:id="5">
    <w:p w:rsidR="00276904" w:rsidRPr="00A9394A" w:rsidRDefault="00276904" w:rsidP="00C7173B">
      <w:pPr>
        <w:pStyle w:val="FootnoteText"/>
        <w:ind w:firstLine="720"/>
        <w:rPr>
          <w:sz w:val="22"/>
          <w:szCs w:val="22"/>
        </w:rPr>
      </w:pPr>
      <w:r w:rsidRPr="00A9394A">
        <w:rPr>
          <w:rStyle w:val="FootnoteReference"/>
          <w:sz w:val="22"/>
          <w:szCs w:val="22"/>
          <w:vertAlign w:val="superscript"/>
        </w:rPr>
        <w:footnoteRef/>
      </w:r>
      <w:r w:rsidRPr="00A9394A">
        <w:rPr>
          <w:sz w:val="22"/>
          <w:szCs w:val="22"/>
        </w:rPr>
        <w:t xml:space="preserve"> All jurisdictional pipelines are required to file page 700, including pipelines exempt from filing the full Form 6.  18 CFR 357.2(a</w:t>
      </w:r>
      <w:proofErr w:type="gramStart"/>
      <w:r w:rsidRPr="00A9394A">
        <w:rPr>
          <w:sz w:val="22"/>
          <w:szCs w:val="22"/>
        </w:rPr>
        <w:t>)(</w:t>
      </w:r>
      <w:proofErr w:type="gramEnd"/>
      <w:r w:rsidRPr="00A9394A">
        <w:rPr>
          <w:sz w:val="22"/>
          <w:szCs w:val="22"/>
        </w:rPr>
        <w:t>2) and (a)(3) (2012).</w:t>
      </w:r>
    </w:p>
  </w:footnote>
  <w:footnote w:id="6">
    <w:p w:rsidR="00276904" w:rsidRPr="00A9394A" w:rsidRDefault="00276904" w:rsidP="00C7173B">
      <w:pPr>
        <w:pStyle w:val="FootnoteText"/>
        <w:ind w:firstLine="720"/>
        <w:rPr>
          <w:sz w:val="22"/>
          <w:szCs w:val="22"/>
        </w:rPr>
      </w:pPr>
      <w:r w:rsidRPr="00A9394A">
        <w:rPr>
          <w:rStyle w:val="FootnoteReference"/>
          <w:sz w:val="22"/>
          <w:szCs w:val="22"/>
          <w:vertAlign w:val="superscript"/>
        </w:rPr>
        <w:footnoteRef/>
      </w:r>
      <w:r w:rsidRPr="00A9394A">
        <w:rPr>
          <w:sz w:val="22"/>
          <w:szCs w:val="22"/>
        </w:rPr>
        <w:t xml:space="preserve"> Order No. 571-A, 69 FERC ¶ 61,411, at p. 31,254 (1994).</w:t>
      </w:r>
    </w:p>
  </w:footnote>
  <w:footnote w:id="7">
    <w:p w:rsidR="00276904" w:rsidRPr="00A9394A" w:rsidRDefault="00276904" w:rsidP="00C7173B">
      <w:pPr>
        <w:pStyle w:val="FootnoteText"/>
        <w:ind w:firstLine="720"/>
        <w:rPr>
          <w:sz w:val="22"/>
          <w:szCs w:val="22"/>
        </w:rPr>
      </w:pPr>
      <w:r w:rsidRPr="00A9394A">
        <w:rPr>
          <w:rStyle w:val="FootnoteReference"/>
          <w:sz w:val="22"/>
          <w:szCs w:val="22"/>
          <w:vertAlign w:val="superscript"/>
        </w:rPr>
        <w:footnoteRef/>
      </w:r>
      <w:r w:rsidRPr="00A9394A">
        <w:rPr>
          <w:sz w:val="22"/>
          <w:szCs w:val="22"/>
        </w:rPr>
        <w:t xml:space="preserve"> </w:t>
      </w:r>
      <w:r w:rsidRPr="00A9394A">
        <w:rPr>
          <w:i/>
          <w:sz w:val="22"/>
          <w:szCs w:val="22"/>
        </w:rPr>
        <w:t xml:space="preserve">See </w:t>
      </w:r>
      <w:r w:rsidRPr="00A9394A">
        <w:rPr>
          <w:sz w:val="22"/>
          <w:szCs w:val="22"/>
        </w:rPr>
        <w:t>Opinion No. 154-B, 31 FERC ¶ 61,377 (1985)</w:t>
      </w:r>
    </w:p>
  </w:footnote>
  <w:footnote w:id="8">
    <w:p w:rsidR="00276904" w:rsidRPr="00A9394A" w:rsidRDefault="00276904" w:rsidP="00C7173B">
      <w:pPr>
        <w:pStyle w:val="FootnoteText"/>
        <w:ind w:firstLine="720"/>
        <w:rPr>
          <w:sz w:val="22"/>
          <w:szCs w:val="22"/>
        </w:rPr>
      </w:pPr>
      <w:r w:rsidRPr="00A9394A">
        <w:rPr>
          <w:rStyle w:val="FootnoteReference"/>
          <w:sz w:val="22"/>
          <w:szCs w:val="22"/>
          <w:vertAlign w:val="superscript"/>
        </w:rPr>
        <w:footnoteRef/>
      </w:r>
      <w:r w:rsidRPr="00A9394A">
        <w:rPr>
          <w:sz w:val="22"/>
          <w:szCs w:val="22"/>
        </w:rPr>
        <w:t xml:space="preserve"> </w:t>
      </w:r>
      <w:r w:rsidRPr="00A9394A">
        <w:rPr>
          <w:i/>
          <w:sz w:val="22"/>
          <w:szCs w:val="22"/>
        </w:rPr>
        <w:t>See Williams Pipeline Co.</w:t>
      </w:r>
      <w:r w:rsidRPr="00A9394A">
        <w:rPr>
          <w:sz w:val="22"/>
          <w:szCs w:val="22"/>
        </w:rPr>
        <w:t xml:space="preserve">, Opinion No. 154-B, 31 FERC ¶ 61,377 (1985), </w:t>
      </w:r>
      <w:r w:rsidRPr="00A9394A">
        <w:rPr>
          <w:i/>
          <w:sz w:val="22"/>
          <w:szCs w:val="22"/>
        </w:rPr>
        <w:t xml:space="preserve">order on </w:t>
      </w:r>
      <w:proofErr w:type="spellStart"/>
      <w:r w:rsidRPr="00A9394A">
        <w:rPr>
          <w:i/>
          <w:sz w:val="22"/>
          <w:szCs w:val="22"/>
        </w:rPr>
        <w:t>reh’g</w:t>
      </w:r>
      <w:proofErr w:type="spellEnd"/>
      <w:r w:rsidRPr="00A9394A">
        <w:rPr>
          <w:sz w:val="22"/>
          <w:szCs w:val="22"/>
        </w:rPr>
        <w:t>, Opinion No. 154-C, 33 FERC ¶ 61,327 (1985).  Instruction No. 2 of Page 700 of the FERC Form No. 6 requiring the values “</w:t>
      </w:r>
      <w:proofErr w:type="gramStart"/>
      <w:r w:rsidRPr="00A9394A">
        <w:rPr>
          <w:sz w:val="22"/>
          <w:szCs w:val="22"/>
        </w:rPr>
        <w:t>be</w:t>
      </w:r>
      <w:proofErr w:type="gramEnd"/>
      <w:r w:rsidRPr="00A9394A">
        <w:rPr>
          <w:sz w:val="22"/>
          <w:szCs w:val="22"/>
        </w:rPr>
        <w:t xml:space="preserve"> computed consistent with the Commission’s Opinion No. 154-B et al. methodology….”</w:t>
      </w:r>
    </w:p>
  </w:footnote>
  <w:footnote w:id="9">
    <w:p w:rsidR="00276904" w:rsidRPr="00A9394A" w:rsidRDefault="00276904" w:rsidP="00C7173B">
      <w:pPr>
        <w:pStyle w:val="FootnoteText"/>
        <w:ind w:firstLine="720"/>
        <w:rPr>
          <w:sz w:val="22"/>
          <w:szCs w:val="22"/>
        </w:rPr>
      </w:pPr>
      <w:r w:rsidRPr="00A9394A">
        <w:rPr>
          <w:rStyle w:val="FootnoteReference"/>
          <w:sz w:val="22"/>
          <w:szCs w:val="22"/>
          <w:vertAlign w:val="superscript"/>
        </w:rPr>
        <w:footnoteRef/>
      </w:r>
      <w:r w:rsidRPr="00A9394A">
        <w:rPr>
          <w:sz w:val="22"/>
          <w:szCs w:val="22"/>
        </w:rPr>
        <w:t xml:space="preserve"> The Starting Rate Base Write-Up is a transitional rate base element employed to bridge the transition from a valuation ratemaking methodology to the Trended Original Cost methodology as adopted in Opinion 154-B.  The SRB was to be amortized over the estimated life of the pipeline at the time the SRB was established. </w:t>
      </w:r>
    </w:p>
  </w:footnote>
  <w:footnote w:id="10">
    <w:p w:rsidR="00276904" w:rsidRPr="00A9394A" w:rsidRDefault="00276904" w:rsidP="00C7173B">
      <w:pPr>
        <w:pStyle w:val="FootnoteText"/>
        <w:ind w:firstLine="720"/>
        <w:rPr>
          <w:sz w:val="22"/>
          <w:szCs w:val="22"/>
        </w:rPr>
      </w:pPr>
      <w:r w:rsidRPr="00A9394A">
        <w:rPr>
          <w:rStyle w:val="FootnoteReference"/>
          <w:sz w:val="22"/>
          <w:szCs w:val="22"/>
          <w:vertAlign w:val="superscript"/>
        </w:rPr>
        <w:footnoteRef/>
      </w:r>
      <w:r w:rsidRPr="00A9394A">
        <w:rPr>
          <w:sz w:val="22"/>
          <w:szCs w:val="22"/>
        </w:rPr>
        <w:t xml:space="preserve">  The trended original cost methodology divides the nominal return on equity component of the cost of service into real return and an inflationary return.  The real return is collected in the current year.  The Net Deferred Earnings consists of the inflation component, which is deferred to be recovered in annual installments over the remaining life of the pipeline.  </w:t>
      </w:r>
      <w:r w:rsidRPr="00A9394A">
        <w:rPr>
          <w:i/>
          <w:sz w:val="22"/>
          <w:szCs w:val="22"/>
        </w:rPr>
        <w:t xml:space="preserve">See </w:t>
      </w:r>
      <w:r w:rsidRPr="00A9394A">
        <w:rPr>
          <w:sz w:val="22"/>
          <w:szCs w:val="22"/>
        </w:rPr>
        <w:t xml:space="preserve">Opinion No. 154-B, 31 FERC ¶ 61,377 (1985), </w:t>
      </w:r>
      <w:r w:rsidRPr="00A9394A">
        <w:rPr>
          <w:i/>
          <w:sz w:val="22"/>
          <w:szCs w:val="22"/>
        </w:rPr>
        <w:t xml:space="preserve">order on </w:t>
      </w:r>
      <w:proofErr w:type="spellStart"/>
      <w:r w:rsidRPr="00A9394A">
        <w:rPr>
          <w:i/>
          <w:sz w:val="22"/>
          <w:szCs w:val="22"/>
        </w:rPr>
        <w:t>reh’g</w:t>
      </w:r>
      <w:proofErr w:type="spellEnd"/>
      <w:r w:rsidRPr="00A9394A">
        <w:rPr>
          <w:sz w:val="22"/>
          <w:szCs w:val="22"/>
        </w:rPr>
        <w:t xml:space="preserve">, Opinion No. 154-C, 33 FERC ¶ 61,327 (1985).  </w:t>
      </w:r>
      <w:proofErr w:type="gramStart"/>
      <w:r w:rsidRPr="00A9394A">
        <w:rPr>
          <w:i/>
          <w:sz w:val="22"/>
          <w:szCs w:val="22"/>
        </w:rPr>
        <w:t>See</w:t>
      </w:r>
      <w:r w:rsidRPr="00A9394A">
        <w:rPr>
          <w:sz w:val="22"/>
          <w:szCs w:val="22"/>
        </w:rPr>
        <w:t xml:space="preserve">, </w:t>
      </w:r>
      <w:r w:rsidRPr="00A9394A">
        <w:rPr>
          <w:i/>
          <w:sz w:val="22"/>
          <w:szCs w:val="22"/>
        </w:rPr>
        <w:t>e.g.</w:t>
      </w:r>
      <w:r w:rsidRPr="00A9394A">
        <w:rPr>
          <w:sz w:val="22"/>
          <w:szCs w:val="22"/>
        </w:rPr>
        <w:t xml:space="preserve">, </w:t>
      </w:r>
      <w:r w:rsidRPr="00A9394A">
        <w:rPr>
          <w:i/>
          <w:sz w:val="22"/>
          <w:szCs w:val="22"/>
        </w:rPr>
        <w:t>BP West Coast Prods., LLC v. FERC</w:t>
      </w:r>
      <w:r w:rsidRPr="00A9394A">
        <w:rPr>
          <w:sz w:val="22"/>
          <w:szCs w:val="22"/>
        </w:rPr>
        <w:t>, 374 F.3d 1263, 1282-83 (D.C. Cir. 2004).</w:t>
      </w:r>
      <w:proofErr w:type="gramEnd"/>
      <w:r w:rsidRPr="00A9394A">
        <w:rPr>
          <w:sz w:val="22"/>
          <w:szCs w:val="22"/>
        </w:rPr>
        <w:t xml:space="preserve">  </w:t>
      </w:r>
    </w:p>
  </w:footnote>
  <w:footnote w:id="11">
    <w:p w:rsidR="00276904" w:rsidRPr="00A9394A" w:rsidRDefault="00276904" w:rsidP="00C7173B">
      <w:pPr>
        <w:pStyle w:val="FootnoteText"/>
        <w:ind w:firstLine="720"/>
        <w:rPr>
          <w:sz w:val="22"/>
          <w:szCs w:val="22"/>
        </w:rPr>
      </w:pPr>
      <w:r w:rsidRPr="00A9394A">
        <w:rPr>
          <w:rStyle w:val="FootnoteReference"/>
          <w:sz w:val="22"/>
          <w:szCs w:val="22"/>
          <w:vertAlign w:val="superscript"/>
        </w:rPr>
        <w:footnoteRef/>
      </w:r>
      <w:r w:rsidRPr="00A9394A">
        <w:rPr>
          <w:sz w:val="22"/>
          <w:szCs w:val="22"/>
        </w:rPr>
        <w:t xml:space="preserve"> The Adjusted Capital Structure Ratio adjusts upward the level of equity in capital structure to account for the treatment of Accumulated Deferred Earnings under the Opinion 154-B Methodology.  Under the 154-B Methodology, a pipeline’s return on the Original Cost and the SRB Write-Up is based on a weighted average of the cost of debt and the return on equity.  However, a pipeline’s rate of return on Accumulated Net Deferred Earnings is the equivalent to the rate of return on equity (proposed line 6d) and does not include a cost of debt component.  The upward adjustment to equity ratio allows the pipeline to apply its weighted average cost of capital consisting of debt and equity to one rate base.  </w:t>
      </w:r>
      <w:r w:rsidRPr="00A9394A">
        <w:rPr>
          <w:i/>
          <w:sz w:val="22"/>
          <w:szCs w:val="22"/>
        </w:rPr>
        <w:t xml:space="preserve">ARCO Pipe Line Co., </w:t>
      </w:r>
      <w:r w:rsidRPr="00A9394A">
        <w:rPr>
          <w:sz w:val="22"/>
          <w:szCs w:val="22"/>
        </w:rPr>
        <w:t xml:space="preserve">53 FERC ¶ 61,398 at 62,388-89.   </w:t>
      </w:r>
    </w:p>
  </w:footnote>
  <w:footnote w:id="12">
    <w:p w:rsidR="00276904" w:rsidRPr="00A9394A" w:rsidRDefault="00276904" w:rsidP="00C7173B">
      <w:pPr>
        <w:pStyle w:val="FootnoteText"/>
        <w:ind w:firstLine="720"/>
        <w:rPr>
          <w:sz w:val="22"/>
          <w:szCs w:val="22"/>
        </w:rPr>
      </w:pPr>
      <w:r w:rsidRPr="00A9394A">
        <w:rPr>
          <w:rStyle w:val="FootnoteReference"/>
          <w:sz w:val="22"/>
          <w:szCs w:val="22"/>
          <w:vertAlign w:val="superscript"/>
        </w:rPr>
        <w:footnoteRef/>
      </w:r>
      <w:r w:rsidRPr="00A9394A">
        <w:rPr>
          <w:sz w:val="22"/>
          <w:szCs w:val="22"/>
        </w:rPr>
        <w:t xml:space="preserve"> The real cost of capital excludes the inflationary component of the nominal return that is placed in Net Deferred Earnings pursuant to the trended original cost methodology. </w:t>
      </w:r>
    </w:p>
  </w:footnote>
  <w:footnote w:id="13">
    <w:p w:rsidR="00276904" w:rsidRPr="00A9394A" w:rsidRDefault="00276904" w:rsidP="00C7173B">
      <w:pPr>
        <w:pStyle w:val="FootnoteText"/>
        <w:ind w:firstLine="720"/>
        <w:rPr>
          <w:sz w:val="22"/>
          <w:szCs w:val="22"/>
        </w:rPr>
      </w:pPr>
      <w:r w:rsidRPr="00A9394A">
        <w:rPr>
          <w:rStyle w:val="FootnoteReference"/>
          <w:sz w:val="22"/>
          <w:szCs w:val="22"/>
          <w:vertAlign w:val="superscript"/>
        </w:rPr>
        <w:footnoteRef/>
      </w:r>
      <w:r w:rsidRPr="00A9394A">
        <w:rPr>
          <w:sz w:val="22"/>
          <w:szCs w:val="22"/>
        </w:rPr>
        <w:t xml:space="preserve"> Return on Rate Base – Debt Component will be the equivalent of the weighted average cost of debt (product of proposed lines 6a and 6c) multiplied by the Trended Original Cost Rate Base (proposed line 5d).</w:t>
      </w:r>
    </w:p>
  </w:footnote>
  <w:footnote w:id="14">
    <w:p w:rsidR="00276904" w:rsidRPr="00A9394A" w:rsidRDefault="00276904" w:rsidP="00C7173B">
      <w:pPr>
        <w:pStyle w:val="FootnoteText"/>
        <w:ind w:firstLine="720"/>
        <w:rPr>
          <w:sz w:val="22"/>
          <w:szCs w:val="22"/>
        </w:rPr>
      </w:pPr>
      <w:r w:rsidRPr="00A9394A">
        <w:rPr>
          <w:rStyle w:val="FootnoteReference"/>
          <w:sz w:val="22"/>
          <w:szCs w:val="22"/>
          <w:vertAlign w:val="superscript"/>
        </w:rPr>
        <w:footnoteRef/>
      </w:r>
      <w:r w:rsidRPr="00A9394A">
        <w:rPr>
          <w:sz w:val="22"/>
          <w:szCs w:val="22"/>
        </w:rPr>
        <w:t xml:space="preserve"> Return on Rate Base – Equity Component will be the equivalent of the weighted average cost of equity (product of proposed lines 6b and 6d) multiplied by the Trended Original Cost Rate Base (proposed line 5d).</w:t>
      </w:r>
    </w:p>
  </w:footnote>
  <w:footnote w:id="15">
    <w:p w:rsidR="00276904" w:rsidRPr="00A9394A" w:rsidRDefault="00276904" w:rsidP="00C7173B">
      <w:pPr>
        <w:pStyle w:val="FootnoteText"/>
        <w:ind w:firstLine="720"/>
        <w:rPr>
          <w:sz w:val="22"/>
          <w:szCs w:val="22"/>
        </w:rPr>
      </w:pPr>
      <w:r w:rsidRPr="00A9394A">
        <w:rPr>
          <w:rStyle w:val="FootnoteReference"/>
          <w:sz w:val="22"/>
          <w:szCs w:val="22"/>
          <w:vertAlign w:val="superscript"/>
        </w:rPr>
        <w:footnoteRef/>
      </w:r>
      <w:r w:rsidRPr="00A9394A">
        <w:rPr>
          <w:sz w:val="22"/>
          <w:szCs w:val="22"/>
        </w:rPr>
        <w:t xml:space="preserve"> The Commission’s income tax policy permits “an income tax allowance for all entities or individuals owning public utility assets, provided that entity or individual has an actual or potential income tax liability to be paid on that income from those assets.” </w:t>
      </w:r>
      <w:proofErr w:type="gramStart"/>
      <w:r w:rsidRPr="00A9394A">
        <w:rPr>
          <w:i/>
          <w:sz w:val="22"/>
          <w:szCs w:val="22"/>
        </w:rPr>
        <w:t>Inquiry Regarding Income Tax Allowances</w:t>
      </w:r>
      <w:r w:rsidRPr="00A9394A">
        <w:rPr>
          <w:sz w:val="22"/>
          <w:szCs w:val="22"/>
        </w:rPr>
        <w:t>, 111 FERC ¶ 61,139 (2005).</w:t>
      </w:r>
      <w:proofErr w:type="gramEnd"/>
    </w:p>
  </w:footnote>
  <w:footnote w:id="16">
    <w:p w:rsidR="00447D49" w:rsidRPr="00A9394A" w:rsidRDefault="00447D49" w:rsidP="00C7173B">
      <w:pPr>
        <w:pStyle w:val="FootnoteText"/>
        <w:ind w:firstLine="720"/>
        <w:rPr>
          <w:sz w:val="22"/>
          <w:szCs w:val="22"/>
        </w:rPr>
      </w:pPr>
      <w:r w:rsidRPr="009D53F2">
        <w:rPr>
          <w:rStyle w:val="FootnoteReference"/>
          <w:sz w:val="22"/>
          <w:szCs w:val="22"/>
          <w:vertAlign w:val="superscript"/>
        </w:rPr>
        <w:footnoteRef/>
      </w:r>
      <w:r w:rsidRPr="00A9394A">
        <w:rPr>
          <w:sz w:val="22"/>
          <w:szCs w:val="22"/>
        </w:rPr>
        <w:t xml:space="preserve"> The Commission defines the Composite Tax Rate Percentage as the sum, adjusted consistent with Commission policy, of (a) the applicable state income tax rate and (b) a federal income tax rate.  As filed on Page 700, the Composite Tax Rate Percentage should reflect the income tax rate used pursuant to Commission’s policies to determine the Income Tax Allowance reported on line 8.  For instance, the business structure for a large number of oil pipelines is a Master Limited Partnership (MLP).  The income tax allowance for an MLP pipeline is based upon the tax liability of the owners.</w:t>
      </w:r>
    </w:p>
  </w:footnote>
  <w:footnote w:id="17">
    <w:p w:rsidR="00276904" w:rsidRPr="00A9394A" w:rsidRDefault="00276904" w:rsidP="00C7173B">
      <w:pPr>
        <w:pStyle w:val="FootnoteText"/>
        <w:rPr>
          <w:sz w:val="22"/>
          <w:szCs w:val="22"/>
        </w:rPr>
      </w:pPr>
      <w:r w:rsidRPr="00A9394A">
        <w:rPr>
          <w:sz w:val="22"/>
          <w:szCs w:val="22"/>
        </w:rPr>
        <w:tab/>
      </w:r>
      <w:r w:rsidRPr="00A9394A">
        <w:rPr>
          <w:rStyle w:val="FootnoteReference"/>
          <w:sz w:val="22"/>
          <w:szCs w:val="22"/>
          <w:vertAlign w:val="superscript"/>
        </w:rPr>
        <w:footnoteRef/>
      </w:r>
      <w:r w:rsidRPr="00A9394A">
        <w:rPr>
          <w:sz w:val="22"/>
          <w:szCs w:val="22"/>
        </w:rPr>
        <w:t xml:space="preserve"> The difference between the pipeline’s Total Interstate Operating </w:t>
      </w:r>
      <w:proofErr w:type="gramStart"/>
      <w:r w:rsidRPr="00A9394A">
        <w:rPr>
          <w:sz w:val="22"/>
          <w:szCs w:val="22"/>
        </w:rPr>
        <w:t>Revenues  (</w:t>
      </w:r>
      <w:proofErr w:type="gramEnd"/>
      <w:r w:rsidRPr="00A9394A">
        <w:rPr>
          <w:sz w:val="22"/>
          <w:szCs w:val="22"/>
        </w:rPr>
        <w:t>Line 10) and Total Cost of Service (proposed Line 9) provides the pipeline’s earnings above its Total Cost of Service.  As described above, the Composite Tax Rate Percentage may be used to determine the portion of this differential that is attributable to income taxes under Commission policy and the portion that may be treated as part of a pipeline’s actual return on equity.</w:t>
      </w:r>
    </w:p>
  </w:footnote>
  <w:footnote w:id="18">
    <w:p w:rsidR="00276904" w:rsidRPr="00A9394A" w:rsidRDefault="00276904" w:rsidP="00C7173B">
      <w:pPr>
        <w:pStyle w:val="FootnoteText"/>
        <w:ind w:firstLine="720"/>
        <w:rPr>
          <w:sz w:val="22"/>
          <w:szCs w:val="22"/>
        </w:rPr>
      </w:pPr>
      <w:r w:rsidRPr="00A9394A">
        <w:rPr>
          <w:rStyle w:val="FootnoteReference"/>
          <w:sz w:val="22"/>
          <w:szCs w:val="22"/>
          <w:vertAlign w:val="superscript"/>
        </w:rPr>
        <w:footnoteRef/>
      </w:r>
      <w:r w:rsidRPr="00A9394A">
        <w:rPr>
          <w:sz w:val="22"/>
          <w:szCs w:val="22"/>
        </w:rPr>
        <w:t xml:space="preserve"> As noted in footnote 12, the trended original cost methodology divides the nominal return on equity component of the cost of service into real return and an inflationary return.   </w:t>
      </w:r>
    </w:p>
  </w:footnote>
  <w:footnote w:id="19">
    <w:p w:rsidR="00276904" w:rsidRPr="00A9394A" w:rsidRDefault="00276904" w:rsidP="00C7173B">
      <w:pPr>
        <w:pStyle w:val="FootnoteText"/>
        <w:ind w:firstLine="720"/>
        <w:rPr>
          <w:sz w:val="22"/>
          <w:szCs w:val="22"/>
        </w:rPr>
      </w:pPr>
      <w:r w:rsidRPr="00A9394A">
        <w:rPr>
          <w:rStyle w:val="FootnoteReference"/>
          <w:sz w:val="22"/>
          <w:szCs w:val="22"/>
          <w:vertAlign w:val="superscript"/>
        </w:rPr>
        <w:footnoteRef/>
      </w:r>
      <w:r w:rsidRPr="00A9394A">
        <w:rPr>
          <w:sz w:val="22"/>
          <w:szCs w:val="22"/>
        </w:rPr>
        <w:t xml:space="preserve"> FERC is not asking for OMB to review the Form 6-Q as part of this proceeding or supporting statement.  Page 700 (the impetus for the rulemaking and submittal to OMB) is contained only on the Form 6.    </w:t>
      </w:r>
    </w:p>
  </w:footnote>
  <w:footnote w:id="20">
    <w:p w:rsidR="00276904" w:rsidRPr="00A9394A" w:rsidRDefault="00276904" w:rsidP="00C7173B">
      <w:pPr>
        <w:pStyle w:val="FootnoteText"/>
        <w:ind w:firstLine="720"/>
        <w:rPr>
          <w:sz w:val="22"/>
          <w:szCs w:val="22"/>
        </w:rPr>
      </w:pPr>
      <w:r w:rsidRPr="00A9394A">
        <w:rPr>
          <w:rStyle w:val="FootnoteReference"/>
          <w:sz w:val="22"/>
          <w:szCs w:val="22"/>
          <w:vertAlign w:val="superscript"/>
        </w:rPr>
        <w:footnoteRef/>
      </w:r>
      <w:r w:rsidRPr="00A9394A">
        <w:rPr>
          <w:sz w:val="22"/>
          <w:szCs w:val="22"/>
        </w:rPr>
        <w:t xml:space="preserve"> </w:t>
      </w:r>
      <w:proofErr w:type="gramStart"/>
      <w:r w:rsidRPr="00A9394A">
        <w:rPr>
          <w:sz w:val="22"/>
          <w:szCs w:val="22"/>
        </w:rPr>
        <w:t>5 C.F.R. § 1320.5 (1995).</w:t>
      </w:r>
      <w:proofErr w:type="gramEnd"/>
    </w:p>
  </w:footnote>
  <w:footnote w:id="21">
    <w:p w:rsidR="00180444" w:rsidRPr="00A9394A" w:rsidRDefault="00180444" w:rsidP="009D53F2">
      <w:pPr>
        <w:pStyle w:val="FootnoteText"/>
        <w:ind w:firstLine="720"/>
        <w:rPr>
          <w:sz w:val="22"/>
          <w:szCs w:val="22"/>
        </w:rPr>
      </w:pPr>
      <w:r w:rsidRPr="009D53F2">
        <w:rPr>
          <w:rStyle w:val="FootnoteReference"/>
          <w:sz w:val="22"/>
          <w:szCs w:val="22"/>
          <w:vertAlign w:val="superscript"/>
        </w:rPr>
        <w:footnoteRef/>
      </w:r>
      <w:r w:rsidRPr="009D53F2">
        <w:rPr>
          <w:sz w:val="22"/>
          <w:szCs w:val="22"/>
          <w:vertAlign w:val="superscript"/>
        </w:rPr>
        <w:t xml:space="preserve"> </w:t>
      </w:r>
      <w:r w:rsidRPr="00A9394A">
        <w:rPr>
          <w:sz w:val="22"/>
          <w:szCs w:val="22"/>
        </w:rPr>
        <w:t>AOPL is a trade association that represents the interests of common carrier oil pipelines.  AOPL’s members transport almost 85 percent of the crude oil and refined petroleum products shipped through pipelines in the U.S.</w:t>
      </w:r>
    </w:p>
  </w:footnote>
  <w:footnote w:id="22">
    <w:p w:rsidR="00180444" w:rsidRPr="00A9394A" w:rsidRDefault="00180444" w:rsidP="009D53F2">
      <w:pPr>
        <w:pStyle w:val="FootnoteText"/>
        <w:ind w:firstLine="720"/>
        <w:rPr>
          <w:sz w:val="22"/>
          <w:szCs w:val="22"/>
        </w:rPr>
      </w:pPr>
      <w:r w:rsidRPr="009D53F2">
        <w:rPr>
          <w:rStyle w:val="FootnoteReference"/>
          <w:sz w:val="22"/>
          <w:szCs w:val="22"/>
          <w:vertAlign w:val="superscript"/>
        </w:rPr>
        <w:footnoteRef/>
      </w:r>
      <w:r w:rsidRPr="00A9394A">
        <w:rPr>
          <w:sz w:val="22"/>
          <w:szCs w:val="22"/>
        </w:rPr>
        <w:t xml:space="preserve"> A4A is an airline trade association whose members account for more </w:t>
      </w:r>
      <w:proofErr w:type="gramStart"/>
      <w:r w:rsidRPr="00A9394A">
        <w:rPr>
          <w:sz w:val="22"/>
          <w:szCs w:val="22"/>
        </w:rPr>
        <w:t>than  90</w:t>
      </w:r>
      <w:proofErr w:type="gramEnd"/>
      <w:r w:rsidRPr="00A9394A">
        <w:rPr>
          <w:sz w:val="22"/>
          <w:szCs w:val="22"/>
        </w:rPr>
        <w:t xml:space="preserve"> percent of the passenger and cargo traffic carried by U.S. airlines.</w:t>
      </w:r>
    </w:p>
  </w:footnote>
  <w:footnote w:id="23">
    <w:p w:rsidR="00180444" w:rsidRPr="00A9394A" w:rsidRDefault="00180444" w:rsidP="009D53F2">
      <w:pPr>
        <w:pStyle w:val="FootnoteText"/>
        <w:ind w:firstLine="720"/>
        <w:rPr>
          <w:sz w:val="22"/>
          <w:szCs w:val="22"/>
        </w:rPr>
      </w:pPr>
      <w:r w:rsidRPr="009D53F2">
        <w:rPr>
          <w:rStyle w:val="FootnoteReference"/>
          <w:sz w:val="22"/>
          <w:szCs w:val="22"/>
          <w:vertAlign w:val="superscript"/>
        </w:rPr>
        <w:footnoteRef/>
      </w:r>
      <w:r w:rsidRPr="00A9394A">
        <w:rPr>
          <w:sz w:val="22"/>
          <w:szCs w:val="22"/>
        </w:rPr>
        <w:t xml:space="preserve"> NPGA is a trade association of the U.S. propane industry with a membership of about 3,000 companies, including 38 affiliated state and regional associations representing members in all 50 states.</w:t>
      </w:r>
    </w:p>
  </w:footnote>
  <w:footnote w:id="24">
    <w:p w:rsidR="00180444" w:rsidRPr="00A9394A" w:rsidRDefault="00180444" w:rsidP="009D53F2">
      <w:pPr>
        <w:pStyle w:val="FootnoteText"/>
        <w:ind w:firstLine="720"/>
        <w:rPr>
          <w:sz w:val="22"/>
          <w:szCs w:val="22"/>
        </w:rPr>
      </w:pPr>
      <w:r w:rsidRPr="009D53F2">
        <w:rPr>
          <w:rStyle w:val="FootnoteReference"/>
          <w:sz w:val="22"/>
          <w:szCs w:val="22"/>
          <w:vertAlign w:val="superscript"/>
        </w:rPr>
        <w:footnoteRef/>
      </w:r>
      <w:r w:rsidRPr="009D53F2">
        <w:rPr>
          <w:sz w:val="22"/>
          <w:szCs w:val="22"/>
          <w:vertAlign w:val="superscript"/>
        </w:rPr>
        <w:t xml:space="preserve"> </w:t>
      </w:r>
      <w:proofErr w:type="gramStart"/>
      <w:r w:rsidRPr="00A9394A">
        <w:rPr>
          <w:sz w:val="22"/>
          <w:szCs w:val="22"/>
        </w:rPr>
        <w:t>Comments of the Canadian Association of Petroleum Producers at 3 (Nov. 26 2012) (CAPP Comments).</w:t>
      </w:r>
      <w:proofErr w:type="gramEnd"/>
    </w:p>
  </w:footnote>
  <w:footnote w:id="25">
    <w:p w:rsidR="00180444" w:rsidRPr="00A9394A" w:rsidRDefault="00180444" w:rsidP="009D53F2">
      <w:pPr>
        <w:pStyle w:val="FootnoteText"/>
        <w:ind w:firstLine="720"/>
        <w:rPr>
          <w:sz w:val="22"/>
          <w:szCs w:val="22"/>
        </w:rPr>
      </w:pPr>
      <w:r w:rsidRPr="009D53F2">
        <w:rPr>
          <w:rStyle w:val="FootnoteReference"/>
          <w:sz w:val="22"/>
          <w:szCs w:val="22"/>
          <w:vertAlign w:val="superscript"/>
        </w:rPr>
        <w:footnoteRef/>
      </w:r>
      <w:r w:rsidRPr="00A9394A">
        <w:rPr>
          <w:sz w:val="22"/>
          <w:szCs w:val="22"/>
        </w:rPr>
        <w:t xml:space="preserve"> Comments of the Association of Oil Pipe Lines at 9-11 (Nov. 26, 2012) (AOPL Comments).</w:t>
      </w:r>
    </w:p>
  </w:footnote>
  <w:footnote w:id="26">
    <w:p w:rsidR="00180444" w:rsidRPr="00A9394A" w:rsidRDefault="00180444" w:rsidP="009D53F2">
      <w:pPr>
        <w:pStyle w:val="FootnoteText"/>
        <w:ind w:firstLine="720"/>
        <w:rPr>
          <w:sz w:val="22"/>
          <w:szCs w:val="22"/>
        </w:rPr>
      </w:pPr>
      <w:r w:rsidRPr="009D53F2">
        <w:rPr>
          <w:rStyle w:val="FootnoteReference"/>
          <w:sz w:val="22"/>
          <w:szCs w:val="22"/>
          <w:vertAlign w:val="superscript"/>
        </w:rPr>
        <w:footnoteRef/>
      </w:r>
      <w:r w:rsidRPr="009D53F2">
        <w:rPr>
          <w:sz w:val="22"/>
          <w:szCs w:val="22"/>
          <w:vertAlign w:val="superscript"/>
        </w:rPr>
        <w:t xml:space="preserve"> </w:t>
      </w:r>
      <w:r w:rsidRPr="00A9394A">
        <w:rPr>
          <w:sz w:val="22"/>
          <w:szCs w:val="22"/>
        </w:rPr>
        <w:t>AOPL comments at 4.</w:t>
      </w:r>
    </w:p>
  </w:footnote>
  <w:footnote w:id="27">
    <w:p w:rsidR="00180444" w:rsidRPr="00A9394A" w:rsidRDefault="00180444" w:rsidP="009D53F2">
      <w:pPr>
        <w:pStyle w:val="FootnoteText"/>
        <w:ind w:firstLine="720"/>
        <w:rPr>
          <w:sz w:val="22"/>
          <w:szCs w:val="22"/>
        </w:rPr>
      </w:pPr>
      <w:r w:rsidRPr="009D53F2">
        <w:rPr>
          <w:rStyle w:val="FootnoteReference"/>
          <w:sz w:val="22"/>
          <w:szCs w:val="22"/>
          <w:vertAlign w:val="superscript"/>
        </w:rPr>
        <w:footnoteRef/>
      </w:r>
      <w:r w:rsidRPr="009D53F2">
        <w:rPr>
          <w:sz w:val="22"/>
          <w:szCs w:val="22"/>
          <w:vertAlign w:val="superscript"/>
        </w:rPr>
        <w:t xml:space="preserve"> </w:t>
      </w:r>
      <w:r w:rsidRPr="00A9394A">
        <w:rPr>
          <w:sz w:val="22"/>
          <w:szCs w:val="22"/>
        </w:rPr>
        <w:t xml:space="preserve">AOPL comments at 7, citing </w:t>
      </w:r>
      <w:r w:rsidRPr="00A9394A">
        <w:rPr>
          <w:i/>
          <w:sz w:val="22"/>
          <w:szCs w:val="22"/>
        </w:rPr>
        <w:t>Review of FERC Form Nos. 6 and 6-Q</w:t>
      </w:r>
      <w:r w:rsidRPr="00A9394A">
        <w:rPr>
          <w:sz w:val="22"/>
          <w:szCs w:val="22"/>
        </w:rPr>
        <w:t xml:space="preserve">, Notice Terminating Proceeding, FERC Stats. </w:t>
      </w:r>
      <w:proofErr w:type="gramStart"/>
      <w:r w:rsidRPr="00A9394A">
        <w:rPr>
          <w:sz w:val="22"/>
          <w:szCs w:val="22"/>
        </w:rPr>
        <w:t xml:space="preserve">&amp; </w:t>
      </w:r>
      <w:proofErr w:type="spellStart"/>
      <w:r w:rsidRPr="00A9394A">
        <w:rPr>
          <w:sz w:val="22"/>
          <w:szCs w:val="22"/>
        </w:rPr>
        <w:t>Regs</w:t>
      </w:r>
      <w:proofErr w:type="spellEnd"/>
      <w:r w:rsidRPr="00A9394A">
        <w:rPr>
          <w:sz w:val="22"/>
          <w:szCs w:val="22"/>
        </w:rPr>
        <w:t>.</w:t>
      </w:r>
      <w:proofErr w:type="gramEnd"/>
      <w:r w:rsidRPr="00A9394A">
        <w:rPr>
          <w:sz w:val="22"/>
          <w:szCs w:val="22"/>
        </w:rPr>
        <w:t xml:space="preserve"> </w:t>
      </w:r>
      <w:proofErr w:type="gramStart"/>
      <w:r w:rsidRPr="00A9394A">
        <w:rPr>
          <w:sz w:val="22"/>
          <w:szCs w:val="22"/>
        </w:rPr>
        <w:t>¶ 35,561 at P 9 (2008).</w:t>
      </w:r>
      <w:proofErr w:type="gramEnd"/>
    </w:p>
  </w:footnote>
  <w:footnote w:id="28">
    <w:p w:rsidR="0070665F" w:rsidRPr="00670030" w:rsidRDefault="0070665F" w:rsidP="009D53F2">
      <w:pPr>
        <w:pStyle w:val="FootnoteText"/>
        <w:ind w:firstLine="720"/>
        <w:rPr>
          <w:sz w:val="22"/>
          <w:szCs w:val="22"/>
        </w:rPr>
      </w:pPr>
      <w:r w:rsidRPr="00670030">
        <w:rPr>
          <w:rStyle w:val="FootnoteReference"/>
          <w:sz w:val="22"/>
          <w:szCs w:val="22"/>
          <w:vertAlign w:val="superscript"/>
        </w:rPr>
        <w:footnoteRef/>
      </w:r>
      <w:r w:rsidRPr="00670030">
        <w:rPr>
          <w:sz w:val="22"/>
          <w:szCs w:val="22"/>
          <w:vertAlign w:val="superscript"/>
        </w:rPr>
        <w:t xml:space="preserve"> </w:t>
      </w:r>
      <w:r w:rsidRPr="00670030">
        <w:rPr>
          <w:sz w:val="22"/>
          <w:szCs w:val="22"/>
        </w:rPr>
        <w:t xml:space="preserve">There is an additional Information Collection (IC) in the Form 6 OMB Control No. called “Form 6, Page 700 </w:t>
      </w:r>
      <w:proofErr w:type="spellStart"/>
      <w:r w:rsidRPr="00670030">
        <w:rPr>
          <w:sz w:val="22"/>
          <w:szCs w:val="22"/>
        </w:rPr>
        <w:t>Refiling</w:t>
      </w:r>
      <w:proofErr w:type="spellEnd"/>
      <w:r w:rsidRPr="00670030">
        <w:rPr>
          <w:sz w:val="22"/>
          <w:szCs w:val="22"/>
        </w:rPr>
        <w:t xml:space="preserve"> (one-time for 2009-2011data)</w:t>
      </w:r>
      <w:proofErr w:type="gramStart"/>
      <w:r w:rsidRPr="00670030">
        <w:rPr>
          <w:sz w:val="22"/>
          <w:szCs w:val="22"/>
        </w:rPr>
        <w:t>”  included</w:t>
      </w:r>
      <w:proofErr w:type="gramEnd"/>
      <w:r w:rsidRPr="00670030">
        <w:rPr>
          <w:sz w:val="22"/>
          <w:szCs w:val="22"/>
        </w:rPr>
        <w:t xml:space="preserve"> in reginfo.gov and ROCIS.  That burden is not affected by the final rule discussed here in Docket RM12-</w:t>
      </w:r>
      <w:proofErr w:type="gramStart"/>
      <w:r w:rsidRPr="00670030">
        <w:rPr>
          <w:sz w:val="22"/>
          <w:szCs w:val="22"/>
        </w:rPr>
        <w:t>18</w:t>
      </w:r>
      <w:r w:rsidR="005309FD" w:rsidRPr="00670030">
        <w:rPr>
          <w:sz w:val="22"/>
          <w:szCs w:val="22"/>
        </w:rPr>
        <w:t>,</w:t>
      </w:r>
      <w:proofErr w:type="gramEnd"/>
      <w:r w:rsidR="005309FD" w:rsidRPr="00670030">
        <w:rPr>
          <w:sz w:val="22"/>
          <w:szCs w:val="22"/>
        </w:rPr>
        <w:t xml:space="preserve"> however the no. of respondents is being revised to 161 and is discussed in Question #15</w:t>
      </w:r>
      <w:r w:rsidRPr="00670030">
        <w:rPr>
          <w:sz w:val="22"/>
          <w:szCs w:val="22"/>
        </w:rPr>
        <w:t>.</w:t>
      </w:r>
      <w:r w:rsidR="005309FD" w:rsidRPr="00670030">
        <w:rPr>
          <w:sz w:val="22"/>
          <w:szCs w:val="22"/>
        </w:rPr>
        <w:t xml:space="preserve">  </w:t>
      </w:r>
      <w:r w:rsidRPr="00670030">
        <w:rPr>
          <w:sz w:val="22"/>
          <w:szCs w:val="22"/>
        </w:rPr>
        <w:t xml:space="preserve">That IC relates to the re-filing of Form 6 data for 2009-2011, as required by the final rule in Docket RM11-21.  The related requirements in ICR 201209-1902-004 were approved by OMB on 2/28/2013.  The additional burden related to those requirements was averaged over a 3-year period (332 hrs. for each of the 3 years). </w:t>
      </w:r>
      <w:r w:rsidR="009957C1" w:rsidRPr="00670030">
        <w:rPr>
          <w:sz w:val="22"/>
          <w:szCs w:val="22"/>
        </w:rPr>
        <w:t xml:space="preserve"> The number of respondents is being adjusted here to 161 from 166.</w:t>
      </w:r>
    </w:p>
  </w:footnote>
  <w:footnote w:id="29">
    <w:p w:rsidR="00C12E52" w:rsidRPr="00670030" w:rsidRDefault="00C12E52" w:rsidP="00D17B0A">
      <w:pPr>
        <w:pStyle w:val="FootnoteText"/>
        <w:ind w:firstLine="720"/>
        <w:rPr>
          <w:sz w:val="22"/>
          <w:szCs w:val="22"/>
        </w:rPr>
      </w:pPr>
      <w:r w:rsidRPr="00670030">
        <w:rPr>
          <w:rStyle w:val="FootnoteReference"/>
          <w:b/>
          <w:sz w:val="22"/>
          <w:szCs w:val="22"/>
          <w:vertAlign w:val="superscript"/>
        </w:rPr>
        <w:footnoteRef/>
      </w:r>
      <w:r w:rsidRPr="00670030">
        <w:rPr>
          <w:sz w:val="22"/>
          <w:szCs w:val="22"/>
        </w:rPr>
        <w:t xml:space="preserve"> A</w:t>
      </w:r>
      <w:r w:rsidRPr="00670030">
        <w:rPr>
          <w:bCs/>
          <w:sz w:val="22"/>
          <w:szCs w:val="22"/>
        </w:rPr>
        <w:t xml:space="preserve">verage cost for 1 FTE (including salary + benefits) is </w:t>
      </w:r>
      <w:r w:rsidR="00B82AF9" w:rsidRPr="00670030">
        <w:rPr>
          <w:bCs/>
          <w:sz w:val="22"/>
          <w:szCs w:val="22"/>
        </w:rPr>
        <w:t>$145,818</w:t>
      </w:r>
      <w:r w:rsidRPr="00670030">
        <w:rPr>
          <w:bCs/>
          <w:sz w:val="22"/>
          <w:szCs w:val="22"/>
        </w:rPr>
        <w:t>per year for this rulemaking.</w:t>
      </w:r>
    </w:p>
  </w:footnote>
  <w:footnote w:id="30">
    <w:p w:rsidR="00283020" w:rsidRPr="00A9394A" w:rsidRDefault="00283020" w:rsidP="005309FD">
      <w:pPr>
        <w:pStyle w:val="FootnoteText"/>
        <w:ind w:firstLine="720"/>
        <w:rPr>
          <w:sz w:val="22"/>
          <w:szCs w:val="22"/>
        </w:rPr>
      </w:pPr>
      <w:r w:rsidRPr="00670030">
        <w:rPr>
          <w:rStyle w:val="FootnoteReference"/>
          <w:b/>
          <w:sz w:val="22"/>
          <w:szCs w:val="22"/>
          <w:vertAlign w:val="superscript"/>
        </w:rPr>
        <w:footnoteRef/>
      </w:r>
      <w:r w:rsidRPr="00670030">
        <w:rPr>
          <w:sz w:val="22"/>
          <w:szCs w:val="22"/>
        </w:rPr>
        <w:t xml:space="preserve"> This is based on an estimate of work done by the Information Clearance team as well as other FERC staff as well as a small non-labor cost related to publishing material in the Federal Register.</w:t>
      </w:r>
      <w:r w:rsidRPr="00A9394A">
        <w:rPr>
          <w:sz w:val="22"/>
          <w:szCs w:val="22"/>
        </w:rPr>
        <w:t xml:space="preserve">  </w:t>
      </w:r>
    </w:p>
  </w:footnote>
  <w:footnote w:id="31">
    <w:p w:rsidR="00D245AE" w:rsidRPr="00A9394A" w:rsidRDefault="00D245AE" w:rsidP="005309FD">
      <w:pPr>
        <w:ind w:firstLine="720"/>
        <w:rPr>
          <w:sz w:val="22"/>
          <w:szCs w:val="22"/>
        </w:rPr>
      </w:pPr>
      <w:r w:rsidRPr="00A9394A">
        <w:rPr>
          <w:rStyle w:val="FootnoteReference"/>
          <w:b/>
          <w:sz w:val="22"/>
          <w:szCs w:val="22"/>
          <w:vertAlign w:val="superscript"/>
        </w:rPr>
        <w:footnoteRef/>
      </w:r>
      <w:r w:rsidRPr="00A9394A">
        <w:rPr>
          <w:sz w:val="22"/>
          <w:szCs w:val="22"/>
        </w:rPr>
        <w:t xml:space="preserve"> Based on an estimated average cost per em</w:t>
      </w:r>
      <w:bookmarkStart w:id="0" w:name="_GoBack"/>
      <w:bookmarkEnd w:id="0"/>
      <w:r w:rsidRPr="00A9394A">
        <w:rPr>
          <w:sz w:val="22"/>
          <w:szCs w:val="22"/>
        </w:rPr>
        <w:t>ployee for 2012 (including salary plus benefits) of $143,540, the estimated average hourly cost per employee is $69.01.  The average work year is 2,080 hours.</w:t>
      </w:r>
    </w:p>
  </w:footnote>
  <w:footnote w:id="32">
    <w:p w:rsidR="00387516" w:rsidRPr="005309FD" w:rsidRDefault="00387516" w:rsidP="005309FD">
      <w:pPr>
        <w:pStyle w:val="FootnoteText"/>
        <w:ind w:firstLine="720"/>
        <w:rPr>
          <w:sz w:val="22"/>
          <w:szCs w:val="22"/>
        </w:rPr>
      </w:pPr>
      <w:r w:rsidRPr="005309FD">
        <w:rPr>
          <w:rStyle w:val="FootnoteReference"/>
          <w:sz w:val="22"/>
          <w:szCs w:val="22"/>
          <w:vertAlign w:val="superscript"/>
        </w:rPr>
        <w:footnoteRef/>
      </w:r>
      <w:r w:rsidRPr="005309FD">
        <w:rPr>
          <w:sz w:val="22"/>
          <w:szCs w:val="22"/>
        </w:rPr>
        <w:t xml:space="preserve">  There are eight Alaskan companies who by Commission Order are not required to file page 700.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904" w:rsidRDefault="0067003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621.8pt;height:88.8pt;rotation:315;z-index:-251658240;mso-position-horizontal:center;mso-position-horizontal-relative:margin;mso-position-vertical:center;mso-position-vertical-relative:margin" o:allowincell="f" fillcolor="silver" stroked="f">
          <v:fill opacity=".5"/>
          <v:textpath style="font-family:&quot;Times New Roman&quot;;font-size:1pt" string="draft 1/8/20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904" w:rsidRDefault="00276904" w:rsidP="00703046">
    <w:pPr>
      <w:tabs>
        <w:tab w:val="right" w:pos="10080"/>
      </w:tabs>
      <w:rPr>
        <w:bCs/>
        <w:sz w:val="26"/>
        <w:szCs w:val="26"/>
      </w:rPr>
    </w:pPr>
    <w:r w:rsidRPr="006F1C14">
      <w:rPr>
        <w:bCs/>
        <w:sz w:val="26"/>
        <w:szCs w:val="26"/>
      </w:rPr>
      <w:t>FERC Form No. 6 (</w:t>
    </w:r>
    <w:r>
      <w:rPr>
        <w:bCs/>
        <w:sz w:val="26"/>
        <w:szCs w:val="26"/>
      </w:rPr>
      <w:t xml:space="preserve">OMB Control No. </w:t>
    </w:r>
    <w:r w:rsidRPr="006F1C14">
      <w:rPr>
        <w:bCs/>
        <w:sz w:val="26"/>
        <w:szCs w:val="26"/>
      </w:rPr>
      <w:t>1902-0022)</w:t>
    </w:r>
    <w:r>
      <w:rPr>
        <w:bCs/>
        <w:sz w:val="26"/>
        <w:szCs w:val="26"/>
      </w:rPr>
      <w:tab/>
    </w:r>
  </w:p>
  <w:p w:rsidR="00276904" w:rsidRDefault="0053728B" w:rsidP="00703046">
    <w:pPr>
      <w:tabs>
        <w:tab w:val="right" w:pos="10080"/>
      </w:tabs>
      <w:rPr>
        <w:bCs/>
        <w:sz w:val="26"/>
        <w:szCs w:val="26"/>
      </w:rPr>
    </w:pPr>
    <w:r>
      <w:rPr>
        <w:bCs/>
        <w:sz w:val="26"/>
        <w:szCs w:val="26"/>
      </w:rPr>
      <w:t>Final Rule</w:t>
    </w:r>
    <w:r w:rsidR="00276904">
      <w:rPr>
        <w:bCs/>
        <w:sz w:val="26"/>
        <w:szCs w:val="26"/>
      </w:rPr>
      <w:t xml:space="preserve"> (RM12-</w:t>
    </w:r>
    <w:r w:rsidR="00276904" w:rsidRPr="00B4029F">
      <w:rPr>
        <w:bCs/>
        <w:sz w:val="26"/>
        <w:szCs w:val="26"/>
      </w:rPr>
      <w:t xml:space="preserve">18) Issued </w:t>
    </w:r>
    <w:r>
      <w:rPr>
        <w:bCs/>
        <w:sz w:val="26"/>
        <w:szCs w:val="26"/>
      </w:rPr>
      <w:t>7/18</w:t>
    </w:r>
    <w:r w:rsidRPr="00D245AE">
      <w:rPr>
        <w:bCs/>
        <w:sz w:val="26"/>
        <w:szCs w:val="26"/>
      </w:rPr>
      <w:t>/13</w:t>
    </w:r>
    <w:r w:rsidR="00276904" w:rsidRPr="00D245AE">
      <w:rPr>
        <w:bCs/>
        <w:sz w:val="26"/>
        <w:szCs w:val="26"/>
      </w:rPr>
      <w:t xml:space="preserve"> (RIN: 1902-</w:t>
    </w:r>
    <w:r w:rsidR="00D245AE" w:rsidRPr="00D245AE">
      <w:rPr>
        <w:bCs/>
        <w:sz w:val="26"/>
        <w:szCs w:val="26"/>
      </w:rPr>
      <w:t>AE55</w:t>
    </w:r>
    <w:r w:rsidR="00276904" w:rsidRPr="00B4029F">
      <w:rPr>
        <w:bCs/>
        <w:sz w:val="26"/>
        <w:szCs w:val="26"/>
      </w:rPr>
      <w:t>)</w:t>
    </w:r>
  </w:p>
  <w:p w:rsidR="00276904" w:rsidRDefault="00276904" w:rsidP="00703046">
    <w:pPr>
      <w:tabs>
        <w:tab w:val="right" w:pos="10080"/>
      </w:tabs>
      <w:rPr>
        <w:rFonts w:ascii="Courier" w:hAnsi="Courier" w:cs="Courier"/>
        <w:sz w:val="26"/>
        <w:szCs w:val="26"/>
      </w:rPr>
    </w:pPr>
    <w:r>
      <w:rPr>
        <w:b/>
        <w:bCs/>
        <w:sz w:val="26"/>
        <w:szCs w:val="26"/>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904" w:rsidRDefault="0067003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margin-left:0;margin-top:0;width:621.8pt;height:88.8pt;rotation:315;z-index:-251659264;mso-position-horizontal:center;mso-position-horizontal-relative:margin;mso-position-vertical:center;mso-position-vertical-relative:margin" o:allowincell="f" fillcolor="silver" stroked="f">
          <v:fill opacity=".5"/>
          <v:textpath style="font-family:&quot;Times New Roman&quot;;font-size:1pt" string="draft 1/8/2010"/>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0350B"/>
    <w:multiLevelType w:val="multilevel"/>
    <w:tmpl w:val="7C5651AE"/>
    <w:lvl w:ilvl="0">
      <w:start w:val="2"/>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45D072A"/>
    <w:multiLevelType w:val="hybridMultilevel"/>
    <w:tmpl w:val="010EF772"/>
    <w:lvl w:ilvl="0" w:tplc="0409000F">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nsid w:val="07D17ACB"/>
    <w:multiLevelType w:val="hybridMultilevel"/>
    <w:tmpl w:val="FC34F5D8"/>
    <w:lvl w:ilvl="0" w:tplc="DE32E332">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E9539E"/>
    <w:multiLevelType w:val="hybridMultilevel"/>
    <w:tmpl w:val="5C1AB756"/>
    <w:lvl w:ilvl="0" w:tplc="84B8F298">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4A3048"/>
    <w:multiLevelType w:val="hybridMultilevel"/>
    <w:tmpl w:val="005E7582"/>
    <w:lvl w:ilvl="0" w:tplc="DE32E332">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48D0826"/>
    <w:multiLevelType w:val="multilevel"/>
    <w:tmpl w:val="7C5651AE"/>
    <w:lvl w:ilvl="0">
      <w:start w:val="2"/>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6684D84"/>
    <w:multiLevelType w:val="multilevel"/>
    <w:tmpl w:val="DECA9886"/>
    <w:lvl w:ilvl="0">
      <w:start w:val="2"/>
      <w:numFmt w:val="bullet"/>
      <w:lvlText w:val="-"/>
      <w:lvlJc w:val="left"/>
      <w:pPr>
        <w:ind w:left="1440" w:hanging="360"/>
      </w:pPr>
      <w:rPr>
        <w:rFonts w:ascii="Times New Roman" w:eastAsia="Times New Roman" w:hAnsi="Times New Roman" w:hint="default"/>
      </w:rPr>
    </w:lvl>
    <w:lvl w:ilvl="1">
      <w:start w:val="1"/>
      <w:numFmt w:val="decimal"/>
      <w:lvlText w:val="%2."/>
      <w:lvlJc w:val="left"/>
      <w:pPr>
        <w:tabs>
          <w:tab w:val="num" w:pos="1800"/>
        </w:tabs>
        <w:ind w:left="1800" w:hanging="360"/>
      </w:pPr>
      <w:rPr>
        <w:rFonts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7">
    <w:nsid w:val="178A4BD3"/>
    <w:multiLevelType w:val="hybridMultilevel"/>
    <w:tmpl w:val="2E5CCFB2"/>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
    <w:nsid w:val="1AAE4A32"/>
    <w:multiLevelType w:val="hybridMultilevel"/>
    <w:tmpl w:val="65B8B748"/>
    <w:lvl w:ilvl="0" w:tplc="84B8F298">
      <w:start w:val="1"/>
      <w:numFmt w:val="bullet"/>
      <w:lvlText w:val="▪"/>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01332DA"/>
    <w:multiLevelType w:val="hybridMultilevel"/>
    <w:tmpl w:val="1E0AD3C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0E82330"/>
    <w:multiLevelType w:val="multilevel"/>
    <w:tmpl w:val="DECA9886"/>
    <w:lvl w:ilvl="0">
      <w:start w:val="2"/>
      <w:numFmt w:val="bullet"/>
      <w:lvlText w:val="-"/>
      <w:lvlJc w:val="left"/>
      <w:pPr>
        <w:ind w:left="1440" w:hanging="360"/>
      </w:pPr>
      <w:rPr>
        <w:rFonts w:ascii="Times New Roman" w:eastAsia="Times New Roman" w:hAnsi="Times New Roman" w:hint="default"/>
      </w:rPr>
    </w:lvl>
    <w:lvl w:ilvl="1">
      <w:start w:val="1"/>
      <w:numFmt w:val="decimal"/>
      <w:lvlText w:val="%2."/>
      <w:lvlJc w:val="left"/>
      <w:pPr>
        <w:tabs>
          <w:tab w:val="num" w:pos="1800"/>
        </w:tabs>
        <w:ind w:left="1800" w:hanging="360"/>
      </w:pPr>
      <w:rPr>
        <w:rFonts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1">
    <w:nsid w:val="299C6EE4"/>
    <w:multiLevelType w:val="hybridMultilevel"/>
    <w:tmpl w:val="DECA9886"/>
    <w:lvl w:ilvl="0" w:tplc="BE00B0F2">
      <w:start w:val="2"/>
      <w:numFmt w:val="bullet"/>
      <w:lvlText w:val="-"/>
      <w:lvlJc w:val="left"/>
      <w:pPr>
        <w:ind w:left="1440" w:hanging="360"/>
      </w:pPr>
      <w:rPr>
        <w:rFonts w:ascii="Times New Roman" w:eastAsia="Times New Roman" w:hAnsi="Times New Roman"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D751CB3"/>
    <w:multiLevelType w:val="hybridMultilevel"/>
    <w:tmpl w:val="45F8A0E2"/>
    <w:lvl w:ilvl="0" w:tplc="18001D06">
      <w:start w:val="1"/>
      <w:numFmt w:val="bullet"/>
      <w:lvlText w:val=""/>
      <w:lvlJc w:val="left"/>
      <w:pPr>
        <w:tabs>
          <w:tab w:val="num" w:pos="90"/>
        </w:tabs>
        <w:ind w:left="45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2D72084"/>
    <w:multiLevelType w:val="hybridMultilevel"/>
    <w:tmpl w:val="65C47FC4"/>
    <w:lvl w:ilvl="0" w:tplc="18001D06">
      <w:start w:val="1"/>
      <w:numFmt w:val="bullet"/>
      <w:lvlText w:val=""/>
      <w:lvlJc w:val="left"/>
      <w:pPr>
        <w:tabs>
          <w:tab w:val="num" w:pos="180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3156D43"/>
    <w:multiLevelType w:val="multilevel"/>
    <w:tmpl w:val="B140707E"/>
    <w:lvl w:ilvl="0">
      <w:start w:val="1"/>
      <w:numFmt w:val="decimal"/>
      <w:pStyle w:val="ListContinue"/>
      <w:lvlText w:val="%1."/>
      <w:lvlJc w:val="left"/>
      <w:pPr>
        <w:tabs>
          <w:tab w:val="num" w:pos="360"/>
        </w:tabs>
        <w:ind w:left="360" w:hanging="360"/>
      </w:pPr>
      <w:rPr>
        <w:rFonts w:cs="Times New Roman" w:hint="default"/>
        <w:b w:val="0"/>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decimal"/>
      <w:lvlText w:val="%8."/>
      <w:lvlJc w:val="left"/>
      <w:pPr>
        <w:tabs>
          <w:tab w:val="num" w:pos="2880"/>
        </w:tabs>
        <w:ind w:left="2880" w:hanging="360"/>
      </w:pPr>
      <w:rPr>
        <w:rFonts w:cs="Times New Roman" w:hint="default"/>
      </w:rPr>
    </w:lvl>
    <w:lvl w:ilvl="8">
      <w:start w:val="1"/>
      <w:numFmt w:val="decimal"/>
      <w:lvlText w:val="%9."/>
      <w:lvlJc w:val="left"/>
      <w:pPr>
        <w:tabs>
          <w:tab w:val="num" w:pos="3240"/>
        </w:tabs>
        <w:ind w:left="3240" w:hanging="360"/>
      </w:pPr>
      <w:rPr>
        <w:rFonts w:cs="Times New Roman" w:hint="default"/>
      </w:rPr>
    </w:lvl>
  </w:abstractNum>
  <w:abstractNum w:abstractNumId="15">
    <w:nsid w:val="35CB5BDD"/>
    <w:multiLevelType w:val="hybridMultilevel"/>
    <w:tmpl w:val="E8B60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051A2B"/>
    <w:multiLevelType w:val="hybridMultilevel"/>
    <w:tmpl w:val="403A86EC"/>
    <w:lvl w:ilvl="0" w:tplc="DE32E33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923D83"/>
    <w:multiLevelType w:val="hybridMultilevel"/>
    <w:tmpl w:val="7C5651AE"/>
    <w:lvl w:ilvl="0" w:tplc="BE00B0F2">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352BE3"/>
    <w:multiLevelType w:val="hybridMultilevel"/>
    <w:tmpl w:val="CB5AF028"/>
    <w:lvl w:ilvl="0" w:tplc="18001D06">
      <w:start w:val="1"/>
      <w:numFmt w:val="bullet"/>
      <w:lvlText w:val=""/>
      <w:lvlJc w:val="left"/>
      <w:pPr>
        <w:tabs>
          <w:tab w:val="num" w:pos="90"/>
        </w:tabs>
        <w:ind w:left="450" w:hanging="360"/>
      </w:pPr>
      <w:rPr>
        <w:rFonts w:ascii="Wingdings" w:hAnsi="Wingdings" w:hint="default"/>
      </w:rPr>
    </w:lvl>
    <w:lvl w:ilvl="1" w:tplc="04090003" w:tentative="1">
      <w:start w:val="1"/>
      <w:numFmt w:val="bullet"/>
      <w:lvlText w:val="o"/>
      <w:lvlJc w:val="left"/>
      <w:pPr>
        <w:tabs>
          <w:tab w:val="num" w:pos="-270"/>
        </w:tabs>
        <w:ind w:left="-270" w:hanging="360"/>
      </w:pPr>
      <w:rPr>
        <w:rFonts w:ascii="Courier New" w:hAnsi="Courier New" w:hint="default"/>
      </w:rPr>
    </w:lvl>
    <w:lvl w:ilvl="2" w:tplc="04090005" w:tentative="1">
      <w:start w:val="1"/>
      <w:numFmt w:val="bullet"/>
      <w:lvlText w:val=""/>
      <w:lvlJc w:val="left"/>
      <w:pPr>
        <w:tabs>
          <w:tab w:val="num" w:pos="450"/>
        </w:tabs>
        <w:ind w:left="450" w:hanging="360"/>
      </w:pPr>
      <w:rPr>
        <w:rFonts w:ascii="Wingdings" w:hAnsi="Wingdings" w:hint="default"/>
      </w:rPr>
    </w:lvl>
    <w:lvl w:ilvl="3" w:tplc="04090001" w:tentative="1">
      <w:start w:val="1"/>
      <w:numFmt w:val="bullet"/>
      <w:lvlText w:val=""/>
      <w:lvlJc w:val="left"/>
      <w:pPr>
        <w:tabs>
          <w:tab w:val="num" w:pos="1170"/>
        </w:tabs>
        <w:ind w:left="1170" w:hanging="360"/>
      </w:pPr>
      <w:rPr>
        <w:rFonts w:ascii="Symbol" w:hAnsi="Symbol" w:hint="default"/>
      </w:rPr>
    </w:lvl>
    <w:lvl w:ilvl="4" w:tplc="04090003" w:tentative="1">
      <w:start w:val="1"/>
      <w:numFmt w:val="bullet"/>
      <w:lvlText w:val="o"/>
      <w:lvlJc w:val="left"/>
      <w:pPr>
        <w:tabs>
          <w:tab w:val="num" w:pos="1890"/>
        </w:tabs>
        <w:ind w:left="1890" w:hanging="360"/>
      </w:pPr>
      <w:rPr>
        <w:rFonts w:ascii="Courier New" w:hAnsi="Courier New" w:hint="default"/>
      </w:rPr>
    </w:lvl>
    <w:lvl w:ilvl="5" w:tplc="04090005" w:tentative="1">
      <w:start w:val="1"/>
      <w:numFmt w:val="bullet"/>
      <w:lvlText w:val=""/>
      <w:lvlJc w:val="left"/>
      <w:pPr>
        <w:tabs>
          <w:tab w:val="num" w:pos="2610"/>
        </w:tabs>
        <w:ind w:left="2610" w:hanging="360"/>
      </w:pPr>
      <w:rPr>
        <w:rFonts w:ascii="Wingdings" w:hAnsi="Wingdings" w:hint="default"/>
      </w:rPr>
    </w:lvl>
    <w:lvl w:ilvl="6" w:tplc="04090001" w:tentative="1">
      <w:start w:val="1"/>
      <w:numFmt w:val="bullet"/>
      <w:lvlText w:val=""/>
      <w:lvlJc w:val="left"/>
      <w:pPr>
        <w:tabs>
          <w:tab w:val="num" w:pos="3330"/>
        </w:tabs>
        <w:ind w:left="3330" w:hanging="360"/>
      </w:pPr>
      <w:rPr>
        <w:rFonts w:ascii="Symbol" w:hAnsi="Symbol" w:hint="default"/>
      </w:rPr>
    </w:lvl>
    <w:lvl w:ilvl="7" w:tplc="04090003" w:tentative="1">
      <w:start w:val="1"/>
      <w:numFmt w:val="bullet"/>
      <w:lvlText w:val="o"/>
      <w:lvlJc w:val="left"/>
      <w:pPr>
        <w:tabs>
          <w:tab w:val="num" w:pos="4050"/>
        </w:tabs>
        <w:ind w:left="4050" w:hanging="360"/>
      </w:pPr>
      <w:rPr>
        <w:rFonts w:ascii="Courier New" w:hAnsi="Courier New" w:hint="default"/>
      </w:rPr>
    </w:lvl>
    <w:lvl w:ilvl="8" w:tplc="04090005" w:tentative="1">
      <w:start w:val="1"/>
      <w:numFmt w:val="bullet"/>
      <w:lvlText w:val=""/>
      <w:lvlJc w:val="left"/>
      <w:pPr>
        <w:tabs>
          <w:tab w:val="num" w:pos="4770"/>
        </w:tabs>
        <w:ind w:left="4770" w:hanging="360"/>
      </w:pPr>
      <w:rPr>
        <w:rFonts w:ascii="Wingdings" w:hAnsi="Wingdings" w:hint="default"/>
      </w:rPr>
    </w:lvl>
  </w:abstractNum>
  <w:abstractNum w:abstractNumId="19">
    <w:nsid w:val="4AA84821"/>
    <w:multiLevelType w:val="hybridMultilevel"/>
    <w:tmpl w:val="BEFC5AB8"/>
    <w:lvl w:ilvl="0" w:tplc="FB94DFC0">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E1C53EB"/>
    <w:multiLevelType w:val="hybridMultilevel"/>
    <w:tmpl w:val="344C9B14"/>
    <w:lvl w:ilvl="0" w:tplc="18001D06">
      <w:start w:val="1"/>
      <w:numFmt w:val="bullet"/>
      <w:lvlText w:val=""/>
      <w:lvlJc w:val="left"/>
      <w:pPr>
        <w:tabs>
          <w:tab w:val="num" w:pos="1800"/>
        </w:tabs>
        <w:ind w:left="2160" w:hanging="360"/>
      </w:pPr>
      <w:rPr>
        <w:rFonts w:ascii="Wingdings" w:hAnsi="Wingdings" w:hint="default"/>
      </w:rPr>
    </w:lvl>
    <w:lvl w:ilvl="1" w:tplc="CE1A4AC4">
      <w:start w:val="1"/>
      <w:numFmt w:val="bullet"/>
      <w:lvlText w:val="o"/>
      <w:lvlJc w:val="left"/>
      <w:pPr>
        <w:tabs>
          <w:tab w:val="num" w:pos="2160"/>
        </w:tabs>
        <w:ind w:left="2160" w:hanging="360"/>
      </w:pPr>
      <w:rPr>
        <w:rFonts w:ascii="Times New Roman" w:hAnsi="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51712B06"/>
    <w:multiLevelType w:val="hybridMultilevel"/>
    <w:tmpl w:val="B8728274"/>
    <w:lvl w:ilvl="0" w:tplc="BE00B0F2">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2460FD9"/>
    <w:multiLevelType w:val="hybridMultilevel"/>
    <w:tmpl w:val="371A5118"/>
    <w:lvl w:ilvl="0" w:tplc="DE32E33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8A7123"/>
    <w:multiLevelType w:val="hybridMultilevel"/>
    <w:tmpl w:val="CFE6524E"/>
    <w:lvl w:ilvl="0" w:tplc="84B8F298">
      <w:start w:val="1"/>
      <w:numFmt w:val="bullet"/>
      <w:lvlText w:val="▪"/>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BDD090C"/>
    <w:multiLevelType w:val="hybridMultilevel"/>
    <w:tmpl w:val="96FA9E14"/>
    <w:lvl w:ilvl="0" w:tplc="18001D06">
      <w:start w:val="1"/>
      <w:numFmt w:val="bullet"/>
      <w:lvlText w:val=""/>
      <w:lvlJc w:val="left"/>
      <w:pPr>
        <w:tabs>
          <w:tab w:val="num" w:pos="720"/>
        </w:tabs>
        <w:ind w:left="108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5">
    <w:nsid w:val="613E4FE4"/>
    <w:multiLevelType w:val="hybridMultilevel"/>
    <w:tmpl w:val="42E48C1A"/>
    <w:lvl w:ilvl="0" w:tplc="18001D06">
      <w:start w:val="1"/>
      <w:numFmt w:val="bullet"/>
      <w:lvlText w:val=""/>
      <w:lvlJc w:val="left"/>
      <w:pPr>
        <w:tabs>
          <w:tab w:val="num" w:pos="90"/>
        </w:tabs>
        <w:ind w:left="45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9AA7B7C"/>
    <w:multiLevelType w:val="hybridMultilevel"/>
    <w:tmpl w:val="4DB0E378"/>
    <w:lvl w:ilvl="0" w:tplc="18001D06">
      <w:start w:val="1"/>
      <w:numFmt w:val="bullet"/>
      <w:lvlText w:val=""/>
      <w:lvlJc w:val="left"/>
      <w:pPr>
        <w:tabs>
          <w:tab w:val="num" w:pos="180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D844255"/>
    <w:multiLevelType w:val="hybridMultilevel"/>
    <w:tmpl w:val="EFDEAA7C"/>
    <w:lvl w:ilvl="0" w:tplc="18001D06">
      <w:start w:val="1"/>
      <w:numFmt w:val="bullet"/>
      <w:lvlText w:val=""/>
      <w:lvlJc w:val="left"/>
      <w:pPr>
        <w:tabs>
          <w:tab w:val="num" w:pos="0"/>
        </w:tabs>
        <w:ind w:left="36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28">
    <w:nsid w:val="6E4068C5"/>
    <w:multiLevelType w:val="hybridMultilevel"/>
    <w:tmpl w:val="58BE061C"/>
    <w:lvl w:ilvl="0" w:tplc="84B8F298">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25E40E2"/>
    <w:multiLevelType w:val="hybridMultilevel"/>
    <w:tmpl w:val="94307160"/>
    <w:lvl w:ilvl="0" w:tplc="18001D06">
      <w:start w:val="1"/>
      <w:numFmt w:val="bullet"/>
      <w:lvlText w:val=""/>
      <w:lvlJc w:val="left"/>
      <w:pPr>
        <w:tabs>
          <w:tab w:val="num" w:pos="2520"/>
        </w:tabs>
        <w:ind w:left="2880" w:hanging="360"/>
      </w:pPr>
      <w:rPr>
        <w:rFonts w:ascii="Wingdings" w:hAnsi="Wingdings" w:hint="default"/>
      </w:rPr>
    </w:lvl>
    <w:lvl w:ilvl="1" w:tplc="CE1A4AC4">
      <w:start w:val="1"/>
      <w:numFmt w:val="bullet"/>
      <w:lvlText w:val="o"/>
      <w:lvlJc w:val="left"/>
      <w:pPr>
        <w:tabs>
          <w:tab w:val="num" w:pos="2160"/>
        </w:tabs>
        <w:ind w:left="2160" w:hanging="360"/>
      </w:pPr>
      <w:rPr>
        <w:rFonts w:ascii="Times New Roman" w:hAnsi="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76F56B40"/>
    <w:multiLevelType w:val="multilevel"/>
    <w:tmpl w:val="94307160"/>
    <w:lvl w:ilvl="0">
      <w:start w:val="1"/>
      <w:numFmt w:val="bullet"/>
      <w:lvlText w:val=""/>
      <w:lvlJc w:val="left"/>
      <w:pPr>
        <w:tabs>
          <w:tab w:val="num" w:pos="2520"/>
        </w:tabs>
        <w:ind w:left="2880" w:hanging="360"/>
      </w:pPr>
      <w:rPr>
        <w:rFonts w:ascii="Wingdings" w:hAnsi="Wingdings" w:hint="default"/>
      </w:rPr>
    </w:lvl>
    <w:lvl w:ilvl="1">
      <w:start w:val="1"/>
      <w:numFmt w:val="bullet"/>
      <w:lvlText w:val="o"/>
      <w:lvlJc w:val="left"/>
      <w:pPr>
        <w:tabs>
          <w:tab w:val="num" w:pos="2160"/>
        </w:tabs>
        <w:ind w:left="2160" w:hanging="360"/>
      </w:pPr>
      <w:rPr>
        <w:rFonts w:ascii="Times New Roman" w:hAnsi="Times New Roman"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1">
    <w:nsid w:val="7A2816E0"/>
    <w:multiLevelType w:val="hybridMultilevel"/>
    <w:tmpl w:val="AD9825CC"/>
    <w:lvl w:ilvl="0" w:tplc="84B8F298">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DC40F81"/>
    <w:multiLevelType w:val="hybridMultilevel"/>
    <w:tmpl w:val="E056F190"/>
    <w:lvl w:ilvl="0" w:tplc="18001D06">
      <w:start w:val="1"/>
      <w:numFmt w:val="bullet"/>
      <w:lvlText w:val=""/>
      <w:lvlJc w:val="left"/>
      <w:pPr>
        <w:tabs>
          <w:tab w:val="num" w:pos="720"/>
        </w:tabs>
        <w:ind w:left="108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3">
    <w:nsid w:val="7E4E4DD3"/>
    <w:multiLevelType w:val="hybridMultilevel"/>
    <w:tmpl w:val="F68E5210"/>
    <w:lvl w:ilvl="0" w:tplc="BF7A64A2">
      <w:start w:val="1"/>
      <w:numFmt w:val="decimal"/>
      <w:pStyle w:val="FERCparanumber"/>
      <w:lvlText w:val="%1."/>
      <w:lvlJc w:val="left"/>
      <w:pPr>
        <w:tabs>
          <w:tab w:val="num" w:pos="720"/>
        </w:tabs>
      </w:pPr>
      <w:rPr>
        <w:rFonts w:ascii="Times New Roman" w:hAnsi="Times New Roman" w:cs="Times New Roman" w:hint="default"/>
        <w:b w:val="0"/>
        <w:i w:val="0"/>
        <w:sz w:val="26"/>
        <w:szCs w:val="26"/>
      </w:rPr>
    </w:lvl>
    <w:lvl w:ilvl="1" w:tplc="04090019">
      <w:start w:val="1"/>
      <w:numFmt w:val="upperLetter"/>
      <w:lvlText w:val="%2."/>
      <w:lvlJc w:val="left"/>
      <w:pPr>
        <w:tabs>
          <w:tab w:val="num" w:pos="1440"/>
        </w:tabs>
        <w:ind w:left="1440" w:hanging="360"/>
      </w:pPr>
      <w:rPr>
        <w:rFonts w:cs="Times New Roman" w:hint="default"/>
        <w:u w:val="none"/>
      </w:rPr>
    </w:lvl>
    <w:lvl w:ilvl="2" w:tplc="0409001B">
      <w:start w:val="1"/>
      <w:numFmt w:val="bullet"/>
      <w:lvlText w:val=""/>
      <w:lvlJc w:val="left"/>
      <w:pPr>
        <w:tabs>
          <w:tab w:val="num" w:pos="2340"/>
        </w:tabs>
        <w:ind w:left="2340" w:hanging="360"/>
      </w:pPr>
      <w:rPr>
        <w:rFonts w:ascii="Symbol" w:hAnsi="Symbol" w:hint="default"/>
        <w:b w:val="0"/>
      </w:rPr>
    </w:lvl>
    <w:lvl w:ilvl="3" w:tplc="0409000F">
      <w:start w:val="1"/>
      <w:numFmt w:val="decimal"/>
      <w:lvlText w:val="(%4)"/>
      <w:lvlJc w:val="left"/>
      <w:pPr>
        <w:tabs>
          <w:tab w:val="num" w:pos="2880"/>
        </w:tabs>
        <w:ind w:left="2880" w:hanging="360"/>
      </w:pPr>
      <w:rPr>
        <w:rFonts w:cs="Times New Roman" w:hint="default"/>
        <w:b w:val="0"/>
      </w:rPr>
    </w:lvl>
    <w:lvl w:ilvl="4" w:tplc="04090019">
      <w:start w:val="4"/>
      <w:numFmt w:val="lowerLetter"/>
      <w:lvlText w:val="%5."/>
      <w:lvlJc w:val="left"/>
      <w:pPr>
        <w:tabs>
          <w:tab w:val="num" w:pos="3600"/>
        </w:tabs>
        <w:ind w:left="3600" w:hanging="360"/>
      </w:pPr>
      <w:rPr>
        <w:rFonts w:cs="Times New Roman" w:hint="default"/>
        <w:b/>
        <w:u w:val="single"/>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3"/>
  </w:num>
  <w:num w:numId="2">
    <w:abstractNumId w:val="14"/>
  </w:num>
  <w:num w:numId="3">
    <w:abstractNumId w:val="24"/>
  </w:num>
  <w:num w:numId="4">
    <w:abstractNumId w:val="32"/>
  </w:num>
  <w:num w:numId="5">
    <w:abstractNumId w:val="7"/>
  </w:num>
  <w:num w:numId="6">
    <w:abstractNumId w:val="26"/>
  </w:num>
  <w:num w:numId="7">
    <w:abstractNumId w:val="13"/>
  </w:num>
  <w:num w:numId="8">
    <w:abstractNumId w:val="29"/>
  </w:num>
  <w:num w:numId="9">
    <w:abstractNumId w:val="30"/>
  </w:num>
  <w:num w:numId="10">
    <w:abstractNumId w:val="20"/>
  </w:num>
  <w:num w:numId="11">
    <w:abstractNumId w:val="18"/>
  </w:num>
  <w:num w:numId="12">
    <w:abstractNumId w:val="25"/>
  </w:num>
  <w:num w:numId="13">
    <w:abstractNumId w:val="12"/>
  </w:num>
  <w:num w:numId="14">
    <w:abstractNumId w:val="27"/>
  </w:num>
  <w:num w:numId="15">
    <w:abstractNumId w:val="9"/>
  </w:num>
  <w:num w:numId="16">
    <w:abstractNumId w:val="31"/>
  </w:num>
  <w:num w:numId="17">
    <w:abstractNumId w:val="28"/>
  </w:num>
  <w:num w:numId="18">
    <w:abstractNumId w:val="23"/>
  </w:num>
  <w:num w:numId="19">
    <w:abstractNumId w:val="8"/>
  </w:num>
  <w:num w:numId="20">
    <w:abstractNumId w:val="3"/>
  </w:num>
  <w:num w:numId="21">
    <w:abstractNumId w:val="21"/>
  </w:num>
  <w:num w:numId="22">
    <w:abstractNumId w:val="1"/>
  </w:num>
  <w:num w:numId="23">
    <w:abstractNumId w:val="17"/>
  </w:num>
  <w:num w:numId="24">
    <w:abstractNumId w:val="11"/>
  </w:num>
  <w:num w:numId="25">
    <w:abstractNumId w:val="19"/>
  </w:num>
  <w:num w:numId="26">
    <w:abstractNumId w:val="10"/>
  </w:num>
  <w:num w:numId="27">
    <w:abstractNumId w:val="4"/>
  </w:num>
  <w:num w:numId="28">
    <w:abstractNumId w:val="6"/>
  </w:num>
  <w:num w:numId="29">
    <w:abstractNumId w:val="2"/>
  </w:num>
  <w:num w:numId="30">
    <w:abstractNumId w:val="5"/>
  </w:num>
  <w:num w:numId="31">
    <w:abstractNumId w:val="22"/>
  </w:num>
  <w:num w:numId="32">
    <w:abstractNumId w:val="0"/>
  </w:num>
  <w:num w:numId="33">
    <w:abstractNumId w:val="16"/>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2E7"/>
    <w:rsid w:val="00000712"/>
    <w:rsid w:val="00000B97"/>
    <w:rsid w:val="00002552"/>
    <w:rsid w:val="0000293D"/>
    <w:rsid w:val="00004328"/>
    <w:rsid w:val="000049BF"/>
    <w:rsid w:val="00004EF1"/>
    <w:rsid w:val="00007C66"/>
    <w:rsid w:val="00011153"/>
    <w:rsid w:val="000131C6"/>
    <w:rsid w:val="00013DB9"/>
    <w:rsid w:val="000154BF"/>
    <w:rsid w:val="00016437"/>
    <w:rsid w:val="00016686"/>
    <w:rsid w:val="000229F8"/>
    <w:rsid w:val="000248E9"/>
    <w:rsid w:val="00025FC7"/>
    <w:rsid w:val="00026C60"/>
    <w:rsid w:val="00027184"/>
    <w:rsid w:val="00027828"/>
    <w:rsid w:val="00030C45"/>
    <w:rsid w:val="00034F69"/>
    <w:rsid w:val="00034F92"/>
    <w:rsid w:val="0003507E"/>
    <w:rsid w:val="00040EC0"/>
    <w:rsid w:val="000415D2"/>
    <w:rsid w:val="00041B3D"/>
    <w:rsid w:val="000449AB"/>
    <w:rsid w:val="000457C8"/>
    <w:rsid w:val="000476C9"/>
    <w:rsid w:val="00047D38"/>
    <w:rsid w:val="00047D5B"/>
    <w:rsid w:val="000508B1"/>
    <w:rsid w:val="00050BDD"/>
    <w:rsid w:val="00050DC9"/>
    <w:rsid w:val="00050E81"/>
    <w:rsid w:val="00051D71"/>
    <w:rsid w:val="000537BD"/>
    <w:rsid w:val="00060340"/>
    <w:rsid w:val="00061E56"/>
    <w:rsid w:val="000654A3"/>
    <w:rsid w:val="00065BCD"/>
    <w:rsid w:val="00066A19"/>
    <w:rsid w:val="00067825"/>
    <w:rsid w:val="0007630B"/>
    <w:rsid w:val="0007662D"/>
    <w:rsid w:val="0008147F"/>
    <w:rsid w:val="00084A04"/>
    <w:rsid w:val="00085504"/>
    <w:rsid w:val="00085E53"/>
    <w:rsid w:val="00087A4E"/>
    <w:rsid w:val="00094545"/>
    <w:rsid w:val="00096C99"/>
    <w:rsid w:val="000979D2"/>
    <w:rsid w:val="000A44EF"/>
    <w:rsid w:val="000B210E"/>
    <w:rsid w:val="000B3A9F"/>
    <w:rsid w:val="000B4CAB"/>
    <w:rsid w:val="000C161F"/>
    <w:rsid w:val="000C35AC"/>
    <w:rsid w:val="000C5F8A"/>
    <w:rsid w:val="000C669D"/>
    <w:rsid w:val="000C717F"/>
    <w:rsid w:val="000D4150"/>
    <w:rsid w:val="000E1202"/>
    <w:rsid w:val="000E180B"/>
    <w:rsid w:val="000E50C4"/>
    <w:rsid w:val="000E6E4B"/>
    <w:rsid w:val="000F3933"/>
    <w:rsid w:val="000F4510"/>
    <w:rsid w:val="000F5623"/>
    <w:rsid w:val="000F5FE5"/>
    <w:rsid w:val="000F6E3E"/>
    <w:rsid w:val="00100B20"/>
    <w:rsid w:val="001016CA"/>
    <w:rsid w:val="001022B1"/>
    <w:rsid w:val="00104435"/>
    <w:rsid w:val="001054D1"/>
    <w:rsid w:val="00105DC4"/>
    <w:rsid w:val="00111DD6"/>
    <w:rsid w:val="00112D12"/>
    <w:rsid w:val="001144F6"/>
    <w:rsid w:val="00114A7F"/>
    <w:rsid w:val="00114AEA"/>
    <w:rsid w:val="00114FAD"/>
    <w:rsid w:val="0011700C"/>
    <w:rsid w:val="00122762"/>
    <w:rsid w:val="00123119"/>
    <w:rsid w:val="001241B2"/>
    <w:rsid w:val="001263B8"/>
    <w:rsid w:val="001319A2"/>
    <w:rsid w:val="00136B42"/>
    <w:rsid w:val="00136EE2"/>
    <w:rsid w:val="001376BF"/>
    <w:rsid w:val="001446E4"/>
    <w:rsid w:val="001447FC"/>
    <w:rsid w:val="00144F92"/>
    <w:rsid w:val="0014672C"/>
    <w:rsid w:val="00147EA6"/>
    <w:rsid w:val="001536C7"/>
    <w:rsid w:val="0016146E"/>
    <w:rsid w:val="001634D4"/>
    <w:rsid w:val="001636AA"/>
    <w:rsid w:val="00163B2A"/>
    <w:rsid w:val="00171551"/>
    <w:rsid w:val="00171982"/>
    <w:rsid w:val="001763A5"/>
    <w:rsid w:val="00176CB3"/>
    <w:rsid w:val="00180444"/>
    <w:rsid w:val="0018184E"/>
    <w:rsid w:val="0018461A"/>
    <w:rsid w:val="00190341"/>
    <w:rsid w:val="0019041B"/>
    <w:rsid w:val="00190CE6"/>
    <w:rsid w:val="00194243"/>
    <w:rsid w:val="00196BBA"/>
    <w:rsid w:val="00196D30"/>
    <w:rsid w:val="001A1374"/>
    <w:rsid w:val="001A22E5"/>
    <w:rsid w:val="001A4D1E"/>
    <w:rsid w:val="001A64CC"/>
    <w:rsid w:val="001A6E33"/>
    <w:rsid w:val="001B2EFD"/>
    <w:rsid w:val="001B795C"/>
    <w:rsid w:val="001B7F8A"/>
    <w:rsid w:val="001C13BE"/>
    <w:rsid w:val="001C1A66"/>
    <w:rsid w:val="001C2904"/>
    <w:rsid w:val="001C7500"/>
    <w:rsid w:val="001C784B"/>
    <w:rsid w:val="001D0D7C"/>
    <w:rsid w:val="001D1AE8"/>
    <w:rsid w:val="001D52C8"/>
    <w:rsid w:val="001D5BBC"/>
    <w:rsid w:val="001D6332"/>
    <w:rsid w:val="001D7194"/>
    <w:rsid w:val="001E14BF"/>
    <w:rsid w:val="001E1A1D"/>
    <w:rsid w:val="001E1B42"/>
    <w:rsid w:val="001E4F1E"/>
    <w:rsid w:val="001E67AF"/>
    <w:rsid w:val="001F15DB"/>
    <w:rsid w:val="001F33DD"/>
    <w:rsid w:val="001F66A8"/>
    <w:rsid w:val="00201555"/>
    <w:rsid w:val="00201E4E"/>
    <w:rsid w:val="00211E23"/>
    <w:rsid w:val="002161E2"/>
    <w:rsid w:val="00216DFE"/>
    <w:rsid w:val="002210CA"/>
    <w:rsid w:val="00221F63"/>
    <w:rsid w:val="00222D99"/>
    <w:rsid w:val="002268E3"/>
    <w:rsid w:val="002301FD"/>
    <w:rsid w:val="00230442"/>
    <w:rsid w:val="00230EBA"/>
    <w:rsid w:val="0023156F"/>
    <w:rsid w:val="00231C84"/>
    <w:rsid w:val="00234EC0"/>
    <w:rsid w:val="002402E0"/>
    <w:rsid w:val="00242787"/>
    <w:rsid w:val="00251ABA"/>
    <w:rsid w:val="00251D5E"/>
    <w:rsid w:val="002529C3"/>
    <w:rsid w:val="00254515"/>
    <w:rsid w:val="002546F6"/>
    <w:rsid w:val="00254DF7"/>
    <w:rsid w:val="0025700C"/>
    <w:rsid w:val="00261201"/>
    <w:rsid w:val="00261932"/>
    <w:rsid w:val="00264E79"/>
    <w:rsid w:val="002652E7"/>
    <w:rsid w:val="002655F0"/>
    <w:rsid w:val="00266719"/>
    <w:rsid w:val="00270932"/>
    <w:rsid w:val="00272916"/>
    <w:rsid w:val="00276904"/>
    <w:rsid w:val="00277349"/>
    <w:rsid w:val="00277550"/>
    <w:rsid w:val="00280239"/>
    <w:rsid w:val="00281937"/>
    <w:rsid w:val="00281ECE"/>
    <w:rsid w:val="00283020"/>
    <w:rsid w:val="002832E8"/>
    <w:rsid w:val="00286780"/>
    <w:rsid w:val="00287BF2"/>
    <w:rsid w:val="00291028"/>
    <w:rsid w:val="0029446F"/>
    <w:rsid w:val="00296442"/>
    <w:rsid w:val="002964DC"/>
    <w:rsid w:val="002969CE"/>
    <w:rsid w:val="002A0690"/>
    <w:rsid w:val="002A22AF"/>
    <w:rsid w:val="002A2C80"/>
    <w:rsid w:val="002A509A"/>
    <w:rsid w:val="002A74E2"/>
    <w:rsid w:val="002B0C6A"/>
    <w:rsid w:val="002B1641"/>
    <w:rsid w:val="002B404D"/>
    <w:rsid w:val="002B619D"/>
    <w:rsid w:val="002B6C38"/>
    <w:rsid w:val="002C18A9"/>
    <w:rsid w:val="002C241A"/>
    <w:rsid w:val="002C3D86"/>
    <w:rsid w:val="002C6363"/>
    <w:rsid w:val="002C79BD"/>
    <w:rsid w:val="002D54C5"/>
    <w:rsid w:val="002D679E"/>
    <w:rsid w:val="002D6BA2"/>
    <w:rsid w:val="002D6E03"/>
    <w:rsid w:val="002E6ED1"/>
    <w:rsid w:val="002E78DE"/>
    <w:rsid w:val="002E7DC3"/>
    <w:rsid w:val="002F2E51"/>
    <w:rsid w:val="002F6E75"/>
    <w:rsid w:val="003005FA"/>
    <w:rsid w:val="003015F2"/>
    <w:rsid w:val="00301DF2"/>
    <w:rsid w:val="00302A05"/>
    <w:rsid w:val="00304E2A"/>
    <w:rsid w:val="00306EF8"/>
    <w:rsid w:val="00310CD1"/>
    <w:rsid w:val="00314327"/>
    <w:rsid w:val="00315827"/>
    <w:rsid w:val="00316CC6"/>
    <w:rsid w:val="0032142F"/>
    <w:rsid w:val="00321898"/>
    <w:rsid w:val="003276B5"/>
    <w:rsid w:val="00327DFF"/>
    <w:rsid w:val="00332138"/>
    <w:rsid w:val="00337E51"/>
    <w:rsid w:val="00340070"/>
    <w:rsid w:val="003408DB"/>
    <w:rsid w:val="00342508"/>
    <w:rsid w:val="003455BB"/>
    <w:rsid w:val="00346367"/>
    <w:rsid w:val="00346C68"/>
    <w:rsid w:val="00351F37"/>
    <w:rsid w:val="00352195"/>
    <w:rsid w:val="00355B26"/>
    <w:rsid w:val="003563B7"/>
    <w:rsid w:val="003577CA"/>
    <w:rsid w:val="00363416"/>
    <w:rsid w:val="00363969"/>
    <w:rsid w:val="00364E01"/>
    <w:rsid w:val="00367F69"/>
    <w:rsid w:val="00373739"/>
    <w:rsid w:val="00374504"/>
    <w:rsid w:val="00376444"/>
    <w:rsid w:val="00376CD6"/>
    <w:rsid w:val="00384791"/>
    <w:rsid w:val="00385F86"/>
    <w:rsid w:val="00387516"/>
    <w:rsid w:val="003904CA"/>
    <w:rsid w:val="00390F6E"/>
    <w:rsid w:val="003928C3"/>
    <w:rsid w:val="0039375D"/>
    <w:rsid w:val="0039493A"/>
    <w:rsid w:val="003949C3"/>
    <w:rsid w:val="00395D30"/>
    <w:rsid w:val="00397A0D"/>
    <w:rsid w:val="00397C10"/>
    <w:rsid w:val="003A020B"/>
    <w:rsid w:val="003A043C"/>
    <w:rsid w:val="003A18A7"/>
    <w:rsid w:val="003A3391"/>
    <w:rsid w:val="003A3C74"/>
    <w:rsid w:val="003B0C54"/>
    <w:rsid w:val="003B16D6"/>
    <w:rsid w:val="003B4278"/>
    <w:rsid w:val="003B4997"/>
    <w:rsid w:val="003B602A"/>
    <w:rsid w:val="003C0BEE"/>
    <w:rsid w:val="003C2782"/>
    <w:rsid w:val="003C6C5F"/>
    <w:rsid w:val="003D0D54"/>
    <w:rsid w:val="003D0D96"/>
    <w:rsid w:val="003D1A39"/>
    <w:rsid w:val="003D53D7"/>
    <w:rsid w:val="003D57C5"/>
    <w:rsid w:val="003D7266"/>
    <w:rsid w:val="003D7C93"/>
    <w:rsid w:val="003E10DE"/>
    <w:rsid w:val="003E2093"/>
    <w:rsid w:val="003F5E12"/>
    <w:rsid w:val="003F5F42"/>
    <w:rsid w:val="00402148"/>
    <w:rsid w:val="00406F33"/>
    <w:rsid w:val="00407398"/>
    <w:rsid w:val="004101F6"/>
    <w:rsid w:val="004121D2"/>
    <w:rsid w:val="004128F2"/>
    <w:rsid w:val="00413DBC"/>
    <w:rsid w:val="004150D5"/>
    <w:rsid w:val="00415690"/>
    <w:rsid w:val="0042081E"/>
    <w:rsid w:val="004268B4"/>
    <w:rsid w:val="00427339"/>
    <w:rsid w:val="00430A31"/>
    <w:rsid w:val="00432C10"/>
    <w:rsid w:val="00435CAB"/>
    <w:rsid w:val="00436EDE"/>
    <w:rsid w:val="004378DB"/>
    <w:rsid w:val="004405D3"/>
    <w:rsid w:val="00440B9B"/>
    <w:rsid w:val="00443BA6"/>
    <w:rsid w:val="00445A65"/>
    <w:rsid w:val="00447D49"/>
    <w:rsid w:val="004509BB"/>
    <w:rsid w:val="00450DBB"/>
    <w:rsid w:val="004516A2"/>
    <w:rsid w:val="00452B5A"/>
    <w:rsid w:val="00453505"/>
    <w:rsid w:val="00456D1E"/>
    <w:rsid w:val="0046160D"/>
    <w:rsid w:val="00462093"/>
    <w:rsid w:val="00463B85"/>
    <w:rsid w:val="00465B88"/>
    <w:rsid w:val="0046717C"/>
    <w:rsid w:val="00467841"/>
    <w:rsid w:val="0047175A"/>
    <w:rsid w:val="00476FA9"/>
    <w:rsid w:val="00481C2C"/>
    <w:rsid w:val="00482517"/>
    <w:rsid w:val="004852FF"/>
    <w:rsid w:val="00485447"/>
    <w:rsid w:val="0048679D"/>
    <w:rsid w:val="00486A50"/>
    <w:rsid w:val="004873F0"/>
    <w:rsid w:val="004874F5"/>
    <w:rsid w:val="00487E1B"/>
    <w:rsid w:val="00490D6C"/>
    <w:rsid w:val="00490F93"/>
    <w:rsid w:val="00491D7C"/>
    <w:rsid w:val="00492B94"/>
    <w:rsid w:val="004A01B8"/>
    <w:rsid w:val="004A031C"/>
    <w:rsid w:val="004A0A7C"/>
    <w:rsid w:val="004A47FA"/>
    <w:rsid w:val="004A64E7"/>
    <w:rsid w:val="004A7219"/>
    <w:rsid w:val="004B0586"/>
    <w:rsid w:val="004B228F"/>
    <w:rsid w:val="004B2322"/>
    <w:rsid w:val="004B4726"/>
    <w:rsid w:val="004B6A1D"/>
    <w:rsid w:val="004C16AE"/>
    <w:rsid w:val="004C1EE6"/>
    <w:rsid w:val="004C2513"/>
    <w:rsid w:val="004C27CA"/>
    <w:rsid w:val="004C308C"/>
    <w:rsid w:val="004C4678"/>
    <w:rsid w:val="004C5162"/>
    <w:rsid w:val="004D32ED"/>
    <w:rsid w:val="004D3C0C"/>
    <w:rsid w:val="004D7061"/>
    <w:rsid w:val="004E0A87"/>
    <w:rsid w:val="004E17EC"/>
    <w:rsid w:val="004E282B"/>
    <w:rsid w:val="004E3CBA"/>
    <w:rsid w:val="004E46DB"/>
    <w:rsid w:val="004E516F"/>
    <w:rsid w:val="004E5860"/>
    <w:rsid w:val="004E6F7E"/>
    <w:rsid w:val="004E6F98"/>
    <w:rsid w:val="004E6FBD"/>
    <w:rsid w:val="004E71CC"/>
    <w:rsid w:val="004F0284"/>
    <w:rsid w:val="004F0B92"/>
    <w:rsid w:val="004F1FE0"/>
    <w:rsid w:val="004F2B68"/>
    <w:rsid w:val="004F41FD"/>
    <w:rsid w:val="004F699B"/>
    <w:rsid w:val="00501D46"/>
    <w:rsid w:val="005050D2"/>
    <w:rsid w:val="00506202"/>
    <w:rsid w:val="0050727A"/>
    <w:rsid w:val="00507BED"/>
    <w:rsid w:val="00516168"/>
    <w:rsid w:val="00520D07"/>
    <w:rsid w:val="00521210"/>
    <w:rsid w:val="00526044"/>
    <w:rsid w:val="00527305"/>
    <w:rsid w:val="00527601"/>
    <w:rsid w:val="005303C6"/>
    <w:rsid w:val="005309FD"/>
    <w:rsid w:val="00533000"/>
    <w:rsid w:val="00534919"/>
    <w:rsid w:val="0053728B"/>
    <w:rsid w:val="0054037A"/>
    <w:rsid w:val="00542077"/>
    <w:rsid w:val="005425FD"/>
    <w:rsid w:val="0054795A"/>
    <w:rsid w:val="00550446"/>
    <w:rsid w:val="00552216"/>
    <w:rsid w:val="00552CF3"/>
    <w:rsid w:val="00557A06"/>
    <w:rsid w:val="0056295F"/>
    <w:rsid w:val="0056496A"/>
    <w:rsid w:val="00564C04"/>
    <w:rsid w:val="00565D98"/>
    <w:rsid w:val="00570C97"/>
    <w:rsid w:val="005734E3"/>
    <w:rsid w:val="00575698"/>
    <w:rsid w:val="00575CBC"/>
    <w:rsid w:val="00576310"/>
    <w:rsid w:val="0057705C"/>
    <w:rsid w:val="00577229"/>
    <w:rsid w:val="0058048A"/>
    <w:rsid w:val="0058143F"/>
    <w:rsid w:val="00581622"/>
    <w:rsid w:val="00583523"/>
    <w:rsid w:val="005863C9"/>
    <w:rsid w:val="00587508"/>
    <w:rsid w:val="005906CC"/>
    <w:rsid w:val="005911D8"/>
    <w:rsid w:val="0059242E"/>
    <w:rsid w:val="00592C52"/>
    <w:rsid w:val="00596756"/>
    <w:rsid w:val="005A4509"/>
    <w:rsid w:val="005A4874"/>
    <w:rsid w:val="005A5073"/>
    <w:rsid w:val="005A5304"/>
    <w:rsid w:val="005A5AF1"/>
    <w:rsid w:val="005A7DB0"/>
    <w:rsid w:val="005B06C3"/>
    <w:rsid w:val="005B2369"/>
    <w:rsid w:val="005B3994"/>
    <w:rsid w:val="005B3BAA"/>
    <w:rsid w:val="005B5DD9"/>
    <w:rsid w:val="005C1319"/>
    <w:rsid w:val="005C41EF"/>
    <w:rsid w:val="005C682A"/>
    <w:rsid w:val="005D1453"/>
    <w:rsid w:val="005D2E54"/>
    <w:rsid w:val="005D500A"/>
    <w:rsid w:val="005D6020"/>
    <w:rsid w:val="005D7294"/>
    <w:rsid w:val="005E325F"/>
    <w:rsid w:val="005E5135"/>
    <w:rsid w:val="005E57CF"/>
    <w:rsid w:val="005E6CE0"/>
    <w:rsid w:val="005E6DF7"/>
    <w:rsid w:val="005E7ADD"/>
    <w:rsid w:val="005F14DB"/>
    <w:rsid w:val="005F28BD"/>
    <w:rsid w:val="005F2B49"/>
    <w:rsid w:val="005F3EC3"/>
    <w:rsid w:val="005F4C10"/>
    <w:rsid w:val="005F5BED"/>
    <w:rsid w:val="005F68D0"/>
    <w:rsid w:val="005F7DA7"/>
    <w:rsid w:val="005F7FE2"/>
    <w:rsid w:val="00600665"/>
    <w:rsid w:val="00600E1F"/>
    <w:rsid w:val="00601CA3"/>
    <w:rsid w:val="00604C8F"/>
    <w:rsid w:val="00605897"/>
    <w:rsid w:val="006066C1"/>
    <w:rsid w:val="006101E7"/>
    <w:rsid w:val="006110DB"/>
    <w:rsid w:val="00614848"/>
    <w:rsid w:val="006168CA"/>
    <w:rsid w:val="00621DA3"/>
    <w:rsid w:val="00621E5B"/>
    <w:rsid w:val="0062406E"/>
    <w:rsid w:val="00624811"/>
    <w:rsid w:val="006332A2"/>
    <w:rsid w:val="006347AB"/>
    <w:rsid w:val="00635789"/>
    <w:rsid w:val="006401F4"/>
    <w:rsid w:val="00640AB3"/>
    <w:rsid w:val="006416C5"/>
    <w:rsid w:val="00641DB7"/>
    <w:rsid w:val="0064375E"/>
    <w:rsid w:val="00645A62"/>
    <w:rsid w:val="00651582"/>
    <w:rsid w:val="006522DB"/>
    <w:rsid w:val="00655518"/>
    <w:rsid w:val="0065646D"/>
    <w:rsid w:val="00656DD2"/>
    <w:rsid w:val="00657673"/>
    <w:rsid w:val="0066111B"/>
    <w:rsid w:val="0066542F"/>
    <w:rsid w:val="006674E4"/>
    <w:rsid w:val="00670030"/>
    <w:rsid w:val="00670DEA"/>
    <w:rsid w:val="006714D0"/>
    <w:rsid w:val="00676725"/>
    <w:rsid w:val="006801C2"/>
    <w:rsid w:val="00684401"/>
    <w:rsid w:val="006865D8"/>
    <w:rsid w:val="00686C90"/>
    <w:rsid w:val="00686FEB"/>
    <w:rsid w:val="0068795E"/>
    <w:rsid w:val="00690A34"/>
    <w:rsid w:val="00690DD2"/>
    <w:rsid w:val="00692C10"/>
    <w:rsid w:val="006937CE"/>
    <w:rsid w:val="006A16CD"/>
    <w:rsid w:val="006A4428"/>
    <w:rsid w:val="006B0A06"/>
    <w:rsid w:val="006B190C"/>
    <w:rsid w:val="006B1E39"/>
    <w:rsid w:val="006B400C"/>
    <w:rsid w:val="006B5164"/>
    <w:rsid w:val="006B597F"/>
    <w:rsid w:val="006B6CB0"/>
    <w:rsid w:val="006B7AF8"/>
    <w:rsid w:val="006C0877"/>
    <w:rsid w:val="006C15D9"/>
    <w:rsid w:val="006C2E47"/>
    <w:rsid w:val="006C3775"/>
    <w:rsid w:val="006C62D5"/>
    <w:rsid w:val="006C7321"/>
    <w:rsid w:val="006D10C7"/>
    <w:rsid w:val="006D1711"/>
    <w:rsid w:val="006D22EE"/>
    <w:rsid w:val="006D2C5F"/>
    <w:rsid w:val="006D6AE3"/>
    <w:rsid w:val="006E0ADD"/>
    <w:rsid w:val="006E1651"/>
    <w:rsid w:val="006E40DA"/>
    <w:rsid w:val="006E59B9"/>
    <w:rsid w:val="006F1C14"/>
    <w:rsid w:val="006F56A5"/>
    <w:rsid w:val="006F5FB9"/>
    <w:rsid w:val="006F6C3C"/>
    <w:rsid w:val="006F6C69"/>
    <w:rsid w:val="006F6E03"/>
    <w:rsid w:val="00703046"/>
    <w:rsid w:val="007032FA"/>
    <w:rsid w:val="007054B7"/>
    <w:rsid w:val="0070665F"/>
    <w:rsid w:val="00710506"/>
    <w:rsid w:val="00710686"/>
    <w:rsid w:val="0071092F"/>
    <w:rsid w:val="00713195"/>
    <w:rsid w:val="007139B6"/>
    <w:rsid w:val="00714EFA"/>
    <w:rsid w:val="007157FA"/>
    <w:rsid w:val="00715F63"/>
    <w:rsid w:val="007162A9"/>
    <w:rsid w:val="00717B3D"/>
    <w:rsid w:val="00720164"/>
    <w:rsid w:val="007217A6"/>
    <w:rsid w:val="00721C95"/>
    <w:rsid w:val="00724072"/>
    <w:rsid w:val="00725F8B"/>
    <w:rsid w:val="00737F30"/>
    <w:rsid w:val="0074137E"/>
    <w:rsid w:val="0074173F"/>
    <w:rsid w:val="00742D8E"/>
    <w:rsid w:val="00743C6F"/>
    <w:rsid w:val="007465A0"/>
    <w:rsid w:val="00751CAF"/>
    <w:rsid w:val="00752375"/>
    <w:rsid w:val="007530AE"/>
    <w:rsid w:val="007538A1"/>
    <w:rsid w:val="007573E0"/>
    <w:rsid w:val="0075784F"/>
    <w:rsid w:val="0076013F"/>
    <w:rsid w:val="00765563"/>
    <w:rsid w:val="007666D6"/>
    <w:rsid w:val="00766B95"/>
    <w:rsid w:val="007711B9"/>
    <w:rsid w:val="007718BC"/>
    <w:rsid w:val="007754B5"/>
    <w:rsid w:val="007759B5"/>
    <w:rsid w:val="00780E38"/>
    <w:rsid w:val="0078104F"/>
    <w:rsid w:val="0078155C"/>
    <w:rsid w:val="00782C2A"/>
    <w:rsid w:val="0078315C"/>
    <w:rsid w:val="007834BE"/>
    <w:rsid w:val="00784632"/>
    <w:rsid w:val="0078504D"/>
    <w:rsid w:val="00785DBF"/>
    <w:rsid w:val="0079159E"/>
    <w:rsid w:val="007916A9"/>
    <w:rsid w:val="007925D1"/>
    <w:rsid w:val="00794039"/>
    <w:rsid w:val="00794CF6"/>
    <w:rsid w:val="0079741B"/>
    <w:rsid w:val="00797985"/>
    <w:rsid w:val="007A30C0"/>
    <w:rsid w:val="007A43B0"/>
    <w:rsid w:val="007A50A6"/>
    <w:rsid w:val="007A764E"/>
    <w:rsid w:val="007A7CC3"/>
    <w:rsid w:val="007B0120"/>
    <w:rsid w:val="007C2164"/>
    <w:rsid w:val="007C35EA"/>
    <w:rsid w:val="007C3D2F"/>
    <w:rsid w:val="007C6691"/>
    <w:rsid w:val="007C6A52"/>
    <w:rsid w:val="007C7990"/>
    <w:rsid w:val="007D301E"/>
    <w:rsid w:val="007D5C22"/>
    <w:rsid w:val="007D6742"/>
    <w:rsid w:val="007E0F81"/>
    <w:rsid w:val="007E3135"/>
    <w:rsid w:val="007E37FA"/>
    <w:rsid w:val="007E6A42"/>
    <w:rsid w:val="007E6B6C"/>
    <w:rsid w:val="007E6D05"/>
    <w:rsid w:val="007E7040"/>
    <w:rsid w:val="007F16FA"/>
    <w:rsid w:val="007F1E60"/>
    <w:rsid w:val="007F25B6"/>
    <w:rsid w:val="007F4945"/>
    <w:rsid w:val="007F77B1"/>
    <w:rsid w:val="007F7CCC"/>
    <w:rsid w:val="00802A17"/>
    <w:rsid w:val="008034F4"/>
    <w:rsid w:val="00806671"/>
    <w:rsid w:val="0081047B"/>
    <w:rsid w:val="008105B4"/>
    <w:rsid w:val="00811826"/>
    <w:rsid w:val="008157C9"/>
    <w:rsid w:val="00820194"/>
    <w:rsid w:val="00823CF1"/>
    <w:rsid w:val="00823E1B"/>
    <w:rsid w:val="00824FC5"/>
    <w:rsid w:val="008279A3"/>
    <w:rsid w:val="008307FF"/>
    <w:rsid w:val="0083302A"/>
    <w:rsid w:val="008352FD"/>
    <w:rsid w:val="00835C5F"/>
    <w:rsid w:val="008360E6"/>
    <w:rsid w:val="008363BE"/>
    <w:rsid w:val="008368E7"/>
    <w:rsid w:val="00842882"/>
    <w:rsid w:val="0085289A"/>
    <w:rsid w:val="00852D14"/>
    <w:rsid w:val="00855581"/>
    <w:rsid w:val="00855BF7"/>
    <w:rsid w:val="00857B21"/>
    <w:rsid w:val="0086060C"/>
    <w:rsid w:val="00861B6F"/>
    <w:rsid w:val="00862E8B"/>
    <w:rsid w:val="00864078"/>
    <w:rsid w:val="00864A56"/>
    <w:rsid w:val="008659EC"/>
    <w:rsid w:val="00877B92"/>
    <w:rsid w:val="00882D31"/>
    <w:rsid w:val="008848B4"/>
    <w:rsid w:val="0088663F"/>
    <w:rsid w:val="00886765"/>
    <w:rsid w:val="008875E0"/>
    <w:rsid w:val="00887736"/>
    <w:rsid w:val="00887A0B"/>
    <w:rsid w:val="00887A4D"/>
    <w:rsid w:val="00894329"/>
    <w:rsid w:val="008A0337"/>
    <w:rsid w:val="008A1CA9"/>
    <w:rsid w:val="008A4253"/>
    <w:rsid w:val="008A6D47"/>
    <w:rsid w:val="008B309A"/>
    <w:rsid w:val="008B66D3"/>
    <w:rsid w:val="008B6AD3"/>
    <w:rsid w:val="008C1F04"/>
    <w:rsid w:val="008C232E"/>
    <w:rsid w:val="008C2A94"/>
    <w:rsid w:val="008C405D"/>
    <w:rsid w:val="008C61F1"/>
    <w:rsid w:val="008C7B35"/>
    <w:rsid w:val="008D0AA3"/>
    <w:rsid w:val="008D10DB"/>
    <w:rsid w:val="008D4661"/>
    <w:rsid w:val="008D470A"/>
    <w:rsid w:val="008D48CA"/>
    <w:rsid w:val="008D62CD"/>
    <w:rsid w:val="008D6963"/>
    <w:rsid w:val="008D739A"/>
    <w:rsid w:val="008D754A"/>
    <w:rsid w:val="008E0E22"/>
    <w:rsid w:val="008E263C"/>
    <w:rsid w:val="008E4049"/>
    <w:rsid w:val="008E5170"/>
    <w:rsid w:val="008E5DC1"/>
    <w:rsid w:val="008E7C8F"/>
    <w:rsid w:val="008F0F8E"/>
    <w:rsid w:val="008F1395"/>
    <w:rsid w:val="008F3A83"/>
    <w:rsid w:val="008F442F"/>
    <w:rsid w:val="008F604C"/>
    <w:rsid w:val="008F764E"/>
    <w:rsid w:val="00901DF0"/>
    <w:rsid w:val="009022A9"/>
    <w:rsid w:val="0090269B"/>
    <w:rsid w:val="00902B14"/>
    <w:rsid w:val="00911E96"/>
    <w:rsid w:val="00916E72"/>
    <w:rsid w:val="00916FBD"/>
    <w:rsid w:val="00920262"/>
    <w:rsid w:val="00922826"/>
    <w:rsid w:val="00923893"/>
    <w:rsid w:val="00927C53"/>
    <w:rsid w:val="00934618"/>
    <w:rsid w:val="00934796"/>
    <w:rsid w:val="00934A86"/>
    <w:rsid w:val="00934A91"/>
    <w:rsid w:val="00935C1C"/>
    <w:rsid w:val="009361C8"/>
    <w:rsid w:val="009366AD"/>
    <w:rsid w:val="00937E8C"/>
    <w:rsid w:val="00940EE5"/>
    <w:rsid w:val="0094156F"/>
    <w:rsid w:val="009443F5"/>
    <w:rsid w:val="00945379"/>
    <w:rsid w:val="0094556C"/>
    <w:rsid w:val="00950D19"/>
    <w:rsid w:val="0095135E"/>
    <w:rsid w:val="00955DF5"/>
    <w:rsid w:val="00955FD7"/>
    <w:rsid w:val="0096087A"/>
    <w:rsid w:val="00966F3F"/>
    <w:rsid w:val="009702C5"/>
    <w:rsid w:val="009716C1"/>
    <w:rsid w:val="0097357D"/>
    <w:rsid w:val="00974480"/>
    <w:rsid w:val="00974DD8"/>
    <w:rsid w:val="009779DF"/>
    <w:rsid w:val="009800F7"/>
    <w:rsid w:val="009828EB"/>
    <w:rsid w:val="009860B3"/>
    <w:rsid w:val="00990CC5"/>
    <w:rsid w:val="009932EF"/>
    <w:rsid w:val="009935C2"/>
    <w:rsid w:val="00993DDA"/>
    <w:rsid w:val="009957C1"/>
    <w:rsid w:val="009A3075"/>
    <w:rsid w:val="009A5664"/>
    <w:rsid w:val="009A5ED8"/>
    <w:rsid w:val="009B0A55"/>
    <w:rsid w:val="009B12EE"/>
    <w:rsid w:val="009B1DB1"/>
    <w:rsid w:val="009B65FF"/>
    <w:rsid w:val="009B6E4C"/>
    <w:rsid w:val="009C07DC"/>
    <w:rsid w:val="009C1272"/>
    <w:rsid w:val="009C184F"/>
    <w:rsid w:val="009C1B44"/>
    <w:rsid w:val="009C3691"/>
    <w:rsid w:val="009C50E8"/>
    <w:rsid w:val="009C5CA9"/>
    <w:rsid w:val="009C7B97"/>
    <w:rsid w:val="009D15F1"/>
    <w:rsid w:val="009D4460"/>
    <w:rsid w:val="009D53F2"/>
    <w:rsid w:val="009D768A"/>
    <w:rsid w:val="009E215B"/>
    <w:rsid w:val="009E7D87"/>
    <w:rsid w:val="009F000C"/>
    <w:rsid w:val="009F0BFA"/>
    <w:rsid w:val="009F65AD"/>
    <w:rsid w:val="00A006D6"/>
    <w:rsid w:val="00A00C1C"/>
    <w:rsid w:val="00A07587"/>
    <w:rsid w:val="00A102AC"/>
    <w:rsid w:val="00A1510F"/>
    <w:rsid w:val="00A160F6"/>
    <w:rsid w:val="00A20F4B"/>
    <w:rsid w:val="00A22797"/>
    <w:rsid w:val="00A22ACD"/>
    <w:rsid w:val="00A2332E"/>
    <w:rsid w:val="00A2409F"/>
    <w:rsid w:val="00A24D57"/>
    <w:rsid w:val="00A2624E"/>
    <w:rsid w:val="00A26618"/>
    <w:rsid w:val="00A269F4"/>
    <w:rsid w:val="00A273EE"/>
    <w:rsid w:val="00A311B4"/>
    <w:rsid w:val="00A34D2D"/>
    <w:rsid w:val="00A36AB5"/>
    <w:rsid w:val="00A4200D"/>
    <w:rsid w:val="00A422DD"/>
    <w:rsid w:val="00A42662"/>
    <w:rsid w:val="00A46244"/>
    <w:rsid w:val="00A5141B"/>
    <w:rsid w:val="00A54509"/>
    <w:rsid w:val="00A5550B"/>
    <w:rsid w:val="00A6026E"/>
    <w:rsid w:val="00A60A78"/>
    <w:rsid w:val="00A64318"/>
    <w:rsid w:val="00A66647"/>
    <w:rsid w:val="00A83CA5"/>
    <w:rsid w:val="00A84F20"/>
    <w:rsid w:val="00A85784"/>
    <w:rsid w:val="00A90F71"/>
    <w:rsid w:val="00A92A3F"/>
    <w:rsid w:val="00A9394A"/>
    <w:rsid w:val="00A94D68"/>
    <w:rsid w:val="00A95A7A"/>
    <w:rsid w:val="00AA0F74"/>
    <w:rsid w:val="00AA1E5C"/>
    <w:rsid w:val="00AA294C"/>
    <w:rsid w:val="00AA37DC"/>
    <w:rsid w:val="00AA698E"/>
    <w:rsid w:val="00AB27CD"/>
    <w:rsid w:val="00AB31AD"/>
    <w:rsid w:val="00AB4099"/>
    <w:rsid w:val="00AB46C4"/>
    <w:rsid w:val="00AB6DB3"/>
    <w:rsid w:val="00AB6DF6"/>
    <w:rsid w:val="00AC119C"/>
    <w:rsid w:val="00AC1BFD"/>
    <w:rsid w:val="00AC2147"/>
    <w:rsid w:val="00AC5BAE"/>
    <w:rsid w:val="00AC5C80"/>
    <w:rsid w:val="00AD047E"/>
    <w:rsid w:val="00AD085C"/>
    <w:rsid w:val="00AD3581"/>
    <w:rsid w:val="00AE083F"/>
    <w:rsid w:val="00AE2FB0"/>
    <w:rsid w:val="00AE3F0C"/>
    <w:rsid w:val="00AE6711"/>
    <w:rsid w:val="00AE69EE"/>
    <w:rsid w:val="00AF18D5"/>
    <w:rsid w:val="00AF2124"/>
    <w:rsid w:val="00AF3B03"/>
    <w:rsid w:val="00AF44B0"/>
    <w:rsid w:val="00AF4FD4"/>
    <w:rsid w:val="00AF50C4"/>
    <w:rsid w:val="00AF5989"/>
    <w:rsid w:val="00AF6357"/>
    <w:rsid w:val="00AF7699"/>
    <w:rsid w:val="00AF7A33"/>
    <w:rsid w:val="00B03C1B"/>
    <w:rsid w:val="00B064DF"/>
    <w:rsid w:val="00B06B37"/>
    <w:rsid w:val="00B125DB"/>
    <w:rsid w:val="00B14B5E"/>
    <w:rsid w:val="00B167B0"/>
    <w:rsid w:val="00B22611"/>
    <w:rsid w:val="00B22787"/>
    <w:rsid w:val="00B24394"/>
    <w:rsid w:val="00B260A8"/>
    <w:rsid w:val="00B305E5"/>
    <w:rsid w:val="00B36420"/>
    <w:rsid w:val="00B365A8"/>
    <w:rsid w:val="00B36608"/>
    <w:rsid w:val="00B4029F"/>
    <w:rsid w:val="00B41F47"/>
    <w:rsid w:val="00B41FF5"/>
    <w:rsid w:val="00B4317B"/>
    <w:rsid w:val="00B45531"/>
    <w:rsid w:val="00B46C31"/>
    <w:rsid w:val="00B50780"/>
    <w:rsid w:val="00B5136E"/>
    <w:rsid w:val="00B55212"/>
    <w:rsid w:val="00B558A3"/>
    <w:rsid w:val="00B55A89"/>
    <w:rsid w:val="00B56727"/>
    <w:rsid w:val="00B646AA"/>
    <w:rsid w:val="00B6474C"/>
    <w:rsid w:val="00B64A68"/>
    <w:rsid w:val="00B65393"/>
    <w:rsid w:val="00B6688E"/>
    <w:rsid w:val="00B6771C"/>
    <w:rsid w:val="00B704C9"/>
    <w:rsid w:val="00B71B4F"/>
    <w:rsid w:val="00B7265C"/>
    <w:rsid w:val="00B776DA"/>
    <w:rsid w:val="00B80CB6"/>
    <w:rsid w:val="00B81DC1"/>
    <w:rsid w:val="00B82AF9"/>
    <w:rsid w:val="00B8512D"/>
    <w:rsid w:val="00B90B22"/>
    <w:rsid w:val="00BA0445"/>
    <w:rsid w:val="00BA1472"/>
    <w:rsid w:val="00BA30AE"/>
    <w:rsid w:val="00BA5522"/>
    <w:rsid w:val="00BA5797"/>
    <w:rsid w:val="00BA5DE0"/>
    <w:rsid w:val="00BA6E74"/>
    <w:rsid w:val="00BB37A0"/>
    <w:rsid w:val="00BB5847"/>
    <w:rsid w:val="00BC032B"/>
    <w:rsid w:val="00BC1F98"/>
    <w:rsid w:val="00BC36A1"/>
    <w:rsid w:val="00BC52DD"/>
    <w:rsid w:val="00BC5F40"/>
    <w:rsid w:val="00BC72CF"/>
    <w:rsid w:val="00BC7E9B"/>
    <w:rsid w:val="00BD2B99"/>
    <w:rsid w:val="00BD31AB"/>
    <w:rsid w:val="00BD40D7"/>
    <w:rsid w:val="00BD7BDC"/>
    <w:rsid w:val="00BE1204"/>
    <w:rsid w:val="00BE2C3B"/>
    <w:rsid w:val="00BE3069"/>
    <w:rsid w:val="00BE35B1"/>
    <w:rsid w:val="00BE3BA8"/>
    <w:rsid w:val="00BE7412"/>
    <w:rsid w:val="00BF009E"/>
    <w:rsid w:val="00BF2B06"/>
    <w:rsid w:val="00BF2CE2"/>
    <w:rsid w:val="00BF47C3"/>
    <w:rsid w:val="00C0252A"/>
    <w:rsid w:val="00C0383F"/>
    <w:rsid w:val="00C05B74"/>
    <w:rsid w:val="00C074F0"/>
    <w:rsid w:val="00C07B0A"/>
    <w:rsid w:val="00C12E52"/>
    <w:rsid w:val="00C16A9E"/>
    <w:rsid w:val="00C17350"/>
    <w:rsid w:val="00C173FE"/>
    <w:rsid w:val="00C20F4B"/>
    <w:rsid w:val="00C2325B"/>
    <w:rsid w:val="00C24576"/>
    <w:rsid w:val="00C25AFE"/>
    <w:rsid w:val="00C26BAF"/>
    <w:rsid w:val="00C31E5C"/>
    <w:rsid w:val="00C3460F"/>
    <w:rsid w:val="00C34BED"/>
    <w:rsid w:val="00C34F01"/>
    <w:rsid w:val="00C35979"/>
    <w:rsid w:val="00C37262"/>
    <w:rsid w:val="00C413B9"/>
    <w:rsid w:val="00C419C5"/>
    <w:rsid w:val="00C42375"/>
    <w:rsid w:val="00C439F1"/>
    <w:rsid w:val="00C44D29"/>
    <w:rsid w:val="00C46B6F"/>
    <w:rsid w:val="00C51C19"/>
    <w:rsid w:val="00C524E3"/>
    <w:rsid w:val="00C5347C"/>
    <w:rsid w:val="00C53517"/>
    <w:rsid w:val="00C5355E"/>
    <w:rsid w:val="00C54274"/>
    <w:rsid w:val="00C54D43"/>
    <w:rsid w:val="00C55263"/>
    <w:rsid w:val="00C57698"/>
    <w:rsid w:val="00C63A90"/>
    <w:rsid w:val="00C64DA1"/>
    <w:rsid w:val="00C66AE1"/>
    <w:rsid w:val="00C7173B"/>
    <w:rsid w:val="00C72ED0"/>
    <w:rsid w:val="00C730CB"/>
    <w:rsid w:val="00C76002"/>
    <w:rsid w:val="00C7662B"/>
    <w:rsid w:val="00C80247"/>
    <w:rsid w:val="00C85524"/>
    <w:rsid w:val="00C85C4B"/>
    <w:rsid w:val="00C86212"/>
    <w:rsid w:val="00C863C5"/>
    <w:rsid w:val="00C902C9"/>
    <w:rsid w:val="00C90CCD"/>
    <w:rsid w:val="00C940B5"/>
    <w:rsid w:val="00C946F9"/>
    <w:rsid w:val="00C96678"/>
    <w:rsid w:val="00CA03E4"/>
    <w:rsid w:val="00CA1122"/>
    <w:rsid w:val="00CB13FC"/>
    <w:rsid w:val="00CB258C"/>
    <w:rsid w:val="00CB2840"/>
    <w:rsid w:val="00CC28B5"/>
    <w:rsid w:val="00CC2C06"/>
    <w:rsid w:val="00CC3BBC"/>
    <w:rsid w:val="00CC6692"/>
    <w:rsid w:val="00CC712C"/>
    <w:rsid w:val="00CD1569"/>
    <w:rsid w:val="00CD3F5B"/>
    <w:rsid w:val="00CD4136"/>
    <w:rsid w:val="00CE0545"/>
    <w:rsid w:val="00CE1EFE"/>
    <w:rsid w:val="00CE2990"/>
    <w:rsid w:val="00CE3779"/>
    <w:rsid w:val="00CE39C6"/>
    <w:rsid w:val="00CE5B83"/>
    <w:rsid w:val="00CE75F4"/>
    <w:rsid w:val="00CE7DB9"/>
    <w:rsid w:val="00CF0006"/>
    <w:rsid w:val="00CF1D6F"/>
    <w:rsid w:val="00CF34BD"/>
    <w:rsid w:val="00CF37D8"/>
    <w:rsid w:val="00CF3932"/>
    <w:rsid w:val="00CF3F3B"/>
    <w:rsid w:val="00CF5301"/>
    <w:rsid w:val="00CF5768"/>
    <w:rsid w:val="00CF5D14"/>
    <w:rsid w:val="00D002FC"/>
    <w:rsid w:val="00D00A42"/>
    <w:rsid w:val="00D012F9"/>
    <w:rsid w:val="00D026F5"/>
    <w:rsid w:val="00D03214"/>
    <w:rsid w:val="00D044EF"/>
    <w:rsid w:val="00D04922"/>
    <w:rsid w:val="00D05657"/>
    <w:rsid w:val="00D109FA"/>
    <w:rsid w:val="00D13A6B"/>
    <w:rsid w:val="00D14474"/>
    <w:rsid w:val="00D16CF8"/>
    <w:rsid w:val="00D17B0A"/>
    <w:rsid w:val="00D17D48"/>
    <w:rsid w:val="00D2304F"/>
    <w:rsid w:val="00D245AE"/>
    <w:rsid w:val="00D26C43"/>
    <w:rsid w:val="00D31E8D"/>
    <w:rsid w:val="00D324D4"/>
    <w:rsid w:val="00D3647D"/>
    <w:rsid w:val="00D36D10"/>
    <w:rsid w:val="00D3790C"/>
    <w:rsid w:val="00D37CD1"/>
    <w:rsid w:val="00D4350A"/>
    <w:rsid w:val="00D4573C"/>
    <w:rsid w:val="00D47828"/>
    <w:rsid w:val="00D5063E"/>
    <w:rsid w:val="00D5188A"/>
    <w:rsid w:val="00D6036A"/>
    <w:rsid w:val="00D62D3B"/>
    <w:rsid w:val="00D632FE"/>
    <w:rsid w:val="00D64EBF"/>
    <w:rsid w:val="00D65615"/>
    <w:rsid w:val="00D71847"/>
    <w:rsid w:val="00D71F87"/>
    <w:rsid w:val="00D7461B"/>
    <w:rsid w:val="00D76563"/>
    <w:rsid w:val="00D77824"/>
    <w:rsid w:val="00D81758"/>
    <w:rsid w:val="00D821A4"/>
    <w:rsid w:val="00D84E15"/>
    <w:rsid w:val="00D878D6"/>
    <w:rsid w:val="00D93BB6"/>
    <w:rsid w:val="00D96034"/>
    <w:rsid w:val="00DA2550"/>
    <w:rsid w:val="00DA2AAE"/>
    <w:rsid w:val="00DA3033"/>
    <w:rsid w:val="00DA3089"/>
    <w:rsid w:val="00DA3989"/>
    <w:rsid w:val="00DA3B5C"/>
    <w:rsid w:val="00DA6292"/>
    <w:rsid w:val="00DA75F4"/>
    <w:rsid w:val="00DB2D2A"/>
    <w:rsid w:val="00DB3DDB"/>
    <w:rsid w:val="00DB51EA"/>
    <w:rsid w:val="00DC2738"/>
    <w:rsid w:val="00DC32BD"/>
    <w:rsid w:val="00DC3AC5"/>
    <w:rsid w:val="00DC529D"/>
    <w:rsid w:val="00DC659A"/>
    <w:rsid w:val="00DC6C88"/>
    <w:rsid w:val="00DD1855"/>
    <w:rsid w:val="00DD239F"/>
    <w:rsid w:val="00DD3027"/>
    <w:rsid w:val="00DE2A30"/>
    <w:rsid w:val="00DE2E3A"/>
    <w:rsid w:val="00DF0C24"/>
    <w:rsid w:val="00DF5332"/>
    <w:rsid w:val="00E00D00"/>
    <w:rsid w:val="00E01934"/>
    <w:rsid w:val="00E027F1"/>
    <w:rsid w:val="00E02912"/>
    <w:rsid w:val="00E03984"/>
    <w:rsid w:val="00E03E03"/>
    <w:rsid w:val="00E05BF0"/>
    <w:rsid w:val="00E15BE4"/>
    <w:rsid w:val="00E207B5"/>
    <w:rsid w:val="00E23D5D"/>
    <w:rsid w:val="00E24589"/>
    <w:rsid w:val="00E24B7D"/>
    <w:rsid w:val="00E31049"/>
    <w:rsid w:val="00E3215D"/>
    <w:rsid w:val="00E33E6D"/>
    <w:rsid w:val="00E34AA7"/>
    <w:rsid w:val="00E40493"/>
    <w:rsid w:val="00E4260A"/>
    <w:rsid w:val="00E5058B"/>
    <w:rsid w:val="00E523DC"/>
    <w:rsid w:val="00E52D87"/>
    <w:rsid w:val="00E56565"/>
    <w:rsid w:val="00E57609"/>
    <w:rsid w:val="00E6004F"/>
    <w:rsid w:val="00E619FB"/>
    <w:rsid w:val="00E675E2"/>
    <w:rsid w:val="00E71899"/>
    <w:rsid w:val="00E737DA"/>
    <w:rsid w:val="00E745E2"/>
    <w:rsid w:val="00E74B19"/>
    <w:rsid w:val="00E75B27"/>
    <w:rsid w:val="00E76868"/>
    <w:rsid w:val="00E76B14"/>
    <w:rsid w:val="00E802F5"/>
    <w:rsid w:val="00E80715"/>
    <w:rsid w:val="00E82E7D"/>
    <w:rsid w:val="00E85304"/>
    <w:rsid w:val="00E905B3"/>
    <w:rsid w:val="00E91128"/>
    <w:rsid w:val="00E95513"/>
    <w:rsid w:val="00EA186B"/>
    <w:rsid w:val="00EA4E62"/>
    <w:rsid w:val="00EA6DD9"/>
    <w:rsid w:val="00EA718C"/>
    <w:rsid w:val="00EA7B5A"/>
    <w:rsid w:val="00ED10DA"/>
    <w:rsid w:val="00ED1388"/>
    <w:rsid w:val="00ED17C7"/>
    <w:rsid w:val="00ED1E21"/>
    <w:rsid w:val="00ED31BE"/>
    <w:rsid w:val="00ED3C8C"/>
    <w:rsid w:val="00EE3B5C"/>
    <w:rsid w:val="00EE55E4"/>
    <w:rsid w:val="00EE5AB1"/>
    <w:rsid w:val="00EE64D9"/>
    <w:rsid w:val="00EE66FE"/>
    <w:rsid w:val="00EE7C96"/>
    <w:rsid w:val="00EF0457"/>
    <w:rsid w:val="00EF06EA"/>
    <w:rsid w:val="00EF47B1"/>
    <w:rsid w:val="00EF4DEF"/>
    <w:rsid w:val="00EF7D16"/>
    <w:rsid w:val="00F00919"/>
    <w:rsid w:val="00F0590B"/>
    <w:rsid w:val="00F10EE2"/>
    <w:rsid w:val="00F1161B"/>
    <w:rsid w:val="00F12764"/>
    <w:rsid w:val="00F1435B"/>
    <w:rsid w:val="00F20926"/>
    <w:rsid w:val="00F231D9"/>
    <w:rsid w:val="00F2326D"/>
    <w:rsid w:val="00F268D2"/>
    <w:rsid w:val="00F268EB"/>
    <w:rsid w:val="00F275DE"/>
    <w:rsid w:val="00F302D4"/>
    <w:rsid w:val="00F3202F"/>
    <w:rsid w:val="00F34E8E"/>
    <w:rsid w:val="00F3539E"/>
    <w:rsid w:val="00F4035E"/>
    <w:rsid w:val="00F41BCE"/>
    <w:rsid w:val="00F42256"/>
    <w:rsid w:val="00F4232D"/>
    <w:rsid w:val="00F441B8"/>
    <w:rsid w:val="00F44AA2"/>
    <w:rsid w:val="00F450E4"/>
    <w:rsid w:val="00F461FC"/>
    <w:rsid w:val="00F50326"/>
    <w:rsid w:val="00F55390"/>
    <w:rsid w:val="00F5698D"/>
    <w:rsid w:val="00F5791B"/>
    <w:rsid w:val="00F64377"/>
    <w:rsid w:val="00F65603"/>
    <w:rsid w:val="00F702A5"/>
    <w:rsid w:val="00F702BC"/>
    <w:rsid w:val="00F770E6"/>
    <w:rsid w:val="00F77A55"/>
    <w:rsid w:val="00F818CE"/>
    <w:rsid w:val="00F8515E"/>
    <w:rsid w:val="00F862B9"/>
    <w:rsid w:val="00F876F6"/>
    <w:rsid w:val="00F90D03"/>
    <w:rsid w:val="00F97879"/>
    <w:rsid w:val="00FA2C24"/>
    <w:rsid w:val="00FA302B"/>
    <w:rsid w:val="00FA4F72"/>
    <w:rsid w:val="00FB15CF"/>
    <w:rsid w:val="00FB1985"/>
    <w:rsid w:val="00FB3643"/>
    <w:rsid w:val="00FB7654"/>
    <w:rsid w:val="00FC4787"/>
    <w:rsid w:val="00FC6BC4"/>
    <w:rsid w:val="00FD252A"/>
    <w:rsid w:val="00FD39FB"/>
    <w:rsid w:val="00FD4D61"/>
    <w:rsid w:val="00FD68AD"/>
    <w:rsid w:val="00FD7834"/>
    <w:rsid w:val="00FE04E1"/>
    <w:rsid w:val="00FE1783"/>
    <w:rsid w:val="00FE22E4"/>
    <w:rsid w:val="00FE59DB"/>
    <w:rsid w:val="00FE7654"/>
    <w:rsid w:val="00FF21D8"/>
    <w:rsid w:val="00FF428B"/>
    <w:rsid w:val="00FF7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D29"/>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rsid w:val="00CF3932"/>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041B3D"/>
    <w:pPr>
      <w:keepNext/>
      <w:spacing w:before="240" w:after="60"/>
      <w:outlineLvl w:val="1"/>
    </w:pPr>
    <w:rPr>
      <w:rFonts w:ascii="Arial" w:hAnsi="Arial" w:cs="Arial"/>
      <w:b/>
      <w:bCs/>
      <w:i/>
      <w:iCs/>
      <w:sz w:val="28"/>
      <w:szCs w:val="28"/>
    </w:rPr>
  </w:style>
  <w:style w:type="paragraph" w:styleId="Heading5">
    <w:name w:val="heading 5"/>
    <w:basedOn w:val="Normal"/>
    <w:link w:val="Heading5Char"/>
    <w:uiPriority w:val="99"/>
    <w:qFormat/>
    <w:rsid w:val="00230EBA"/>
    <w:pPr>
      <w:widowControl/>
      <w:autoSpaceDE/>
      <w:autoSpaceDN/>
      <w:adjustRightInd/>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F3932"/>
    <w:rPr>
      <w:rFonts w:ascii="Cambria" w:hAnsi="Cambria" w:cs="Times New Roman"/>
      <w:b/>
      <w:bCs/>
      <w:color w:val="365F91"/>
      <w:sz w:val="28"/>
      <w:szCs w:val="28"/>
    </w:rPr>
  </w:style>
  <w:style w:type="character" w:customStyle="1" w:styleId="Heading2Char">
    <w:name w:val="Heading 2 Char"/>
    <w:basedOn w:val="DefaultParagraphFont"/>
    <w:link w:val="Heading2"/>
    <w:uiPriority w:val="9"/>
    <w:semiHidden/>
    <w:rsid w:val="008D2ABE"/>
    <w:rPr>
      <w:rFonts w:asciiTheme="majorHAnsi" w:eastAsiaTheme="majorEastAsia" w:hAnsiTheme="majorHAnsi" w:cstheme="majorBidi"/>
      <w:b/>
      <w:bCs/>
      <w:i/>
      <w:iCs/>
      <w:sz w:val="28"/>
      <w:szCs w:val="28"/>
    </w:rPr>
  </w:style>
  <w:style w:type="character" w:customStyle="1" w:styleId="Heading5Char">
    <w:name w:val="Heading 5 Char"/>
    <w:basedOn w:val="DefaultParagraphFont"/>
    <w:link w:val="Heading5"/>
    <w:uiPriority w:val="9"/>
    <w:semiHidden/>
    <w:rsid w:val="008D2ABE"/>
    <w:rPr>
      <w:rFonts w:asciiTheme="minorHAnsi" w:eastAsiaTheme="minorEastAsia" w:hAnsiTheme="minorHAnsi" w:cstheme="minorBidi"/>
      <w:b/>
      <w:bCs/>
      <w:i/>
      <w:iCs/>
      <w:sz w:val="26"/>
      <w:szCs w:val="26"/>
    </w:rPr>
  </w:style>
  <w:style w:type="character" w:styleId="FootnoteReference">
    <w:name w:val="footnote reference"/>
    <w:aliases w:val="o,fr,Style 17,o1,fr1,o2,fr2,o3,fr3,Style 13,Style 12,Style 15,Style 9,Style 18,(NECG) Footnote Reference,Style 20,Style 7,Style 8,Style 19,Style 28,Styl,Style 11,Style 16,Style 5"/>
    <w:basedOn w:val="DefaultParagraphFont"/>
    <w:uiPriority w:val="99"/>
    <w:rsid w:val="00C44D29"/>
    <w:rPr>
      <w:rFonts w:cs="Times New Roman"/>
    </w:rPr>
  </w:style>
  <w:style w:type="paragraph" w:styleId="Header">
    <w:name w:val="header"/>
    <w:basedOn w:val="Normal"/>
    <w:link w:val="HeaderChar"/>
    <w:uiPriority w:val="99"/>
    <w:rsid w:val="00527305"/>
    <w:pPr>
      <w:tabs>
        <w:tab w:val="center" w:pos="4320"/>
        <w:tab w:val="right" w:pos="8640"/>
      </w:tabs>
    </w:pPr>
  </w:style>
  <w:style w:type="character" w:customStyle="1" w:styleId="HeaderChar">
    <w:name w:val="Header Char"/>
    <w:basedOn w:val="DefaultParagraphFont"/>
    <w:link w:val="Header"/>
    <w:uiPriority w:val="99"/>
    <w:semiHidden/>
    <w:rsid w:val="008D2ABE"/>
    <w:rPr>
      <w:sz w:val="24"/>
      <w:szCs w:val="24"/>
    </w:rPr>
  </w:style>
  <w:style w:type="paragraph" w:styleId="Footer">
    <w:name w:val="footer"/>
    <w:basedOn w:val="Normal"/>
    <w:link w:val="FooterChar"/>
    <w:uiPriority w:val="99"/>
    <w:rsid w:val="00527305"/>
    <w:pPr>
      <w:tabs>
        <w:tab w:val="center" w:pos="4320"/>
        <w:tab w:val="right" w:pos="8640"/>
      </w:tabs>
    </w:pPr>
  </w:style>
  <w:style w:type="character" w:customStyle="1" w:styleId="FooterChar">
    <w:name w:val="Footer Char"/>
    <w:basedOn w:val="DefaultParagraphFont"/>
    <w:link w:val="Footer"/>
    <w:uiPriority w:val="99"/>
    <w:semiHidden/>
    <w:rsid w:val="008D2ABE"/>
    <w:rPr>
      <w:sz w:val="24"/>
      <w:szCs w:val="24"/>
    </w:rPr>
  </w:style>
  <w:style w:type="table" w:styleId="TableGrid">
    <w:name w:val="Table Grid"/>
    <w:basedOn w:val="TableNormal"/>
    <w:uiPriority w:val="99"/>
    <w:rsid w:val="00F34E8E"/>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 Char,fn,Footnote Text Char1,Footnote Text Char Char,Footnote Text Char1 Char,Footnote Text Char Char Char,Footnote Text MRP,Footnote Text Char1 Char Char,Footnote Text Char1 Char1,Footnote Text Char3,Footnote Text Char2 Char"/>
    <w:basedOn w:val="Normal"/>
    <w:link w:val="FootnoteTextChar4"/>
    <w:rsid w:val="00934A86"/>
    <w:rPr>
      <w:sz w:val="20"/>
      <w:szCs w:val="20"/>
    </w:rPr>
  </w:style>
  <w:style w:type="character" w:customStyle="1" w:styleId="FootnoteTextChar2">
    <w:name w:val="Footnote Text Char2"/>
    <w:aliases w:val="Footnote Text Char Char1,fn Char,Footnote Text Char1 Char2,Footnote Text Char Char Char1,Footnote Text Char1 Char Char1,Footnote Text Char Char Char Char,Footnote Text MRP Char,Footnote Text Char1 Char Char Char,ft Char Char"/>
    <w:basedOn w:val="DefaultParagraphFont"/>
    <w:semiHidden/>
    <w:rsid w:val="008D2ABE"/>
    <w:rPr>
      <w:sz w:val="20"/>
      <w:szCs w:val="20"/>
    </w:rPr>
  </w:style>
  <w:style w:type="character" w:styleId="Hyperlink">
    <w:name w:val="Hyperlink"/>
    <w:basedOn w:val="DefaultParagraphFont"/>
    <w:uiPriority w:val="99"/>
    <w:rsid w:val="0029446F"/>
    <w:rPr>
      <w:rFonts w:cs="Times New Roman"/>
      <w:color w:val="0000FF"/>
      <w:u w:val="single"/>
    </w:rPr>
  </w:style>
  <w:style w:type="character" w:styleId="PageNumber">
    <w:name w:val="page number"/>
    <w:basedOn w:val="DefaultParagraphFont"/>
    <w:uiPriority w:val="99"/>
    <w:rsid w:val="004C5162"/>
    <w:rPr>
      <w:rFonts w:cs="Times New Roman"/>
    </w:rPr>
  </w:style>
  <w:style w:type="paragraph" w:customStyle="1" w:styleId="FERCparanumber">
    <w:name w:val="FERC paranumber"/>
    <w:basedOn w:val="Normal"/>
    <w:link w:val="FERCparanumberChar"/>
    <w:uiPriority w:val="99"/>
    <w:rsid w:val="00481C2C"/>
    <w:pPr>
      <w:numPr>
        <w:numId w:val="1"/>
      </w:numPr>
      <w:spacing w:line="480" w:lineRule="auto"/>
    </w:pPr>
    <w:rPr>
      <w:sz w:val="26"/>
    </w:rPr>
  </w:style>
  <w:style w:type="character" w:customStyle="1" w:styleId="FERCparanumberChar">
    <w:name w:val="FERC paranumber Char"/>
    <w:link w:val="FERCparanumber"/>
    <w:uiPriority w:val="99"/>
    <w:locked/>
    <w:rsid w:val="00481C2C"/>
    <w:rPr>
      <w:sz w:val="24"/>
      <w:lang w:val="en-US" w:eastAsia="en-US"/>
    </w:rPr>
  </w:style>
  <w:style w:type="character" w:customStyle="1" w:styleId="FootnoteTextChar4">
    <w:name w:val="Footnote Text Char4"/>
    <w:aliases w:val="Footnote Text Char Char2,fn Char1,Footnote Text Char1 Char3,Footnote Text Char Char Char2,Footnote Text Char1 Char Char2,Footnote Text Char Char Char Char1,Footnote Text MRP Char1,Footnote Text Char1 Char Char Char1"/>
    <w:link w:val="FootnoteText"/>
    <w:uiPriority w:val="99"/>
    <w:locked/>
    <w:rsid w:val="004A0A7C"/>
    <w:rPr>
      <w:lang w:val="en-US" w:eastAsia="en-US"/>
    </w:rPr>
  </w:style>
  <w:style w:type="paragraph" w:styleId="ListContinue">
    <w:name w:val="List Continue"/>
    <w:basedOn w:val="Normal"/>
    <w:uiPriority w:val="99"/>
    <w:rsid w:val="004A0A7C"/>
    <w:pPr>
      <w:widowControl/>
      <w:numPr>
        <w:numId w:val="2"/>
      </w:numPr>
      <w:autoSpaceDE/>
      <w:autoSpaceDN/>
      <w:adjustRightInd/>
      <w:spacing w:after="120" w:line="480" w:lineRule="auto"/>
    </w:pPr>
    <w:rPr>
      <w:sz w:val="26"/>
    </w:rPr>
  </w:style>
  <w:style w:type="paragraph" w:customStyle="1" w:styleId="LegalFormat">
    <w:name w:val="Legal Format"/>
    <w:basedOn w:val="ListContinue"/>
    <w:uiPriority w:val="99"/>
    <w:rsid w:val="004A0A7C"/>
    <w:pPr>
      <w:spacing w:after="0"/>
      <w:ind w:left="0"/>
    </w:pPr>
    <w:rPr>
      <w:u w:val="single"/>
    </w:rPr>
  </w:style>
  <w:style w:type="paragraph" w:customStyle="1" w:styleId="Style13ptBoldLeft1">
    <w:name w:val="Style 13 pt Bold Left:  1&quot;"/>
    <w:basedOn w:val="Normal"/>
    <w:uiPriority w:val="99"/>
    <w:rsid w:val="003B0C54"/>
    <w:pPr>
      <w:widowControl/>
      <w:autoSpaceDE/>
      <w:autoSpaceDN/>
      <w:adjustRightInd/>
      <w:spacing w:line="480" w:lineRule="auto"/>
      <w:ind w:left="1440"/>
    </w:pPr>
    <w:rPr>
      <w:b/>
      <w:bCs/>
      <w:sz w:val="26"/>
      <w:szCs w:val="20"/>
    </w:rPr>
  </w:style>
  <w:style w:type="paragraph" w:styleId="z-TopofForm">
    <w:name w:val="HTML Top of Form"/>
    <w:basedOn w:val="Normal"/>
    <w:next w:val="Normal"/>
    <w:link w:val="z-TopofFormChar"/>
    <w:hidden/>
    <w:uiPriority w:val="99"/>
    <w:rsid w:val="00002552"/>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D2ABE"/>
    <w:rPr>
      <w:rFonts w:ascii="Arial" w:hAnsi="Arial" w:cs="Arial"/>
      <w:vanish/>
      <w:sz w:val="16"/>
      <w:szCs w:val="16"/>
    </w:rPr>
  </w:style>
  <w:style w:type="paragraph" w:styleId="z-BottomofForm">
    <w:name w:val="HTML Bottom of Form"/>
    <w:basedOn w:val="Normal"/>
    <w:next w:val="Normal"/>
    <w:link w:val="z-BottomofFormChar"/>
    <w:hidden/>
    <w:uiPriority w:val="99"/>
    <w:rsid w:val="00002552"/>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D2ABE"/>
    <w:rPr>
      <w:rFonts w:ascii="Arial" w:hAnsi="Arial" w:cs="Arial"/>
      <w:vanish/>
      <w:sz w:val="16"/>
      <w:szCs w:val="16"/>
    </w:rPr>
  </w:style>
  <w:style w:type="character" w:styleId="FollowedHyperlink">
    <w:name w:val="FollowedHyperlink"/>
    <w:basedOn w:val="DefaultParagraphFont"/>
    <w:uiPriority w:val="99"/>
    <w:rsid w:val="00E3215D"/>
    <w:rPr>
      <w:rFonts w:cs="Times New Roman"/>
      <w:color w:val="800080"/>
      <w:u w:val="single"/>
    </w:rPr>
  </w:style>
  <w:style w:type="paragraph" w:styleId="NormalWeb">
    <w:name w:val="Normal (Web)"/>
    <w:basedOn w:val="Normal"/>
    <w:uiPriority w:val="99"/>
    <w:rsid w:val="00230EBA"/>
    <w:pPr>
      <w:widowControl/>
      <w:autoSpaceDE/>
      <w:autoSpaceDN/>
      <w:adjustRightInd/>
      <w:spacing w:before="100" w:beforeAutospacing="1" w:after="100" w:afterAutospacing="1"/>
    </w:pPr>
  </w:style>
  <w:style w:type="character" w:customStyle="1" w:styleId="updatebodytest1">
    <w:name w:val="updatebodytest1"/>
    <w:uiPriority w:val="99"/>
    <w:rsid w:val="00230EBA"/>
    <w:rPr>
      <w:rFonts w:ascii="Arial" w:hAnsi="Arial"/>
      <w:sz w:val="18"/>
    </w:rPr>
  </w:style>
  <w:style w:type="character" w:customStyle="1" w:styleId="mainheader1">
    <w:name w:val="mainheader1"/>
    <w:uiPriority w:val="99"/>
    <w:rsid w:val="00230EBA"/>
    <w:rPr>
      <w:b/>
      <w:sz w:val="31"/>
    </w:rPr>
  </w:style>
  <w:style w:type="character" w:customStyle="1" w:styleId="ptext-2">
    <w:name w:val="ptext-2"/>
    <w:uiPriority w:val="99"/>
    <w:rsid w:val="00041B3D"/>
  </w:style>
  <w:style w:type="character" w:customStyle="1" w:styleId="ptext-3">
    <w:name w:val="ptext-3"/>
    <w:uiPriority w:val="99"/>
    <w:rsid w:val="00041B3D"/>
  </w:style>
  <w:style w:type="character" w:customStyle="1" w:styleId="ptext-4">
    <w:name w:val="ptext-4"/>
    <w:uiPriority w:val="99"/>
    <w:rsid w:val="00041B3D"/>
  </w:style>
  <w:style w:type="character" w:customStyle="1" w:styleId="enumbell">
    <w:name w:val="enumbell"/>
    <w:uiPriority w:val="99"/>
    <w:rsid w:val="00041B3D"/>
    <w:rPr>
      <w:b/>
    </w:rPr>
  </w:style>
  <w:style w:type="character" w:styleId="CommentReference">
    <w:name w:val="annotation reference"/>
    <w:basedOn w:val="DefaultParagraphFont"/>
    <w:uiPriority w:val="99"/>
    <w:semiHidden/>
    <w:rsid w:val="00261932"/>
    <w:rPr>
      <w:rFonts w:cs="Times New Roman"/>
      <w:sz w:val="16"/>
    </w:rPr>
  </w:style>
  <w:style w:type="paragraph" w:styleId="CommentText">
    <w:name w:val="annotation text"/>
    <w:basedOn w:val="Normal"/>
    <w:link w:val="CommentTextChar"/>
    <w:uiPriority w:val="99"/>
    <w:semiHidden/>
    <w:rsid w:val="00261932"/>
    <w:rPr>
      <w:sz w:val="20"/>
      <w:szCs w:val="20"/>
    </w:rPr>
  </w:style>
  <w:style w:type="character" w:customStyle="1" w:styleId="CommentTextChar">
    <w:name w:val="Comment Text Char"/>
    <w:basedOn w:val="DefaultParagraphFont"/>
    <w:link w:val="CommentText"/>
    <w:uiPriority w:val="99"/>
    <w:semiHidden/>
    <w:rsid w:val="008D2ABE"/>
    <w:rPr>
      <w:sz w:val="20"/>
      <w:szCs w:val="20"/>
    </w:rPr>
  </w:style>
  <w:style w:type="paragraph" w:styleId="CommentSubject">
    <w:name w:val="annotation subject"/>
    <w:basedOn w:val="CommentText"/>
    <w:next w:val="CommentText"/>
    <w:link w:val="CommentSubjectChar"/>
    <w:uiPriority w:val="99"/>
    <w:semiHidden/>
    <w:rsid w:val="00261932"/>
    <w:rPr>
      <w:b/>
      <w:bCs/>
    </w:rPr>
  </w:style>
  <w:style w:type="character" w:customStyle="1" w:styleId="CommentSubjectChar">
    <w:name w:val="Comment Subject Char"/>
    <w:basedOn w:val="CommentTextChar"/>
    <w:link w:val="CommentSubject"/>
    <w:uiPriority w:val="99"/>
    <w:semiHidden/>
    <w:rsid w:val="008D2ABE"/>
    <w:rPr>
      <w:b/>
      <w:bCs/>
      <w:sz w:val="20"/>
      <w:szCs w:val="20"/>
    </w:rPr>
  </w:style>
  <w:style w:type="paragraph" w:styleId="BalloonText">
    <w:name w:val="Balloon Text"/>
    <w:basedOn w:val="Normal"/>
    <w:link w:val="BalloonTextChar"/>
    <w:uiPriority w:val="99"/>
    <w:semiHidden/>
    <w:rsid w:val="00261932"/>
    <w:rPr>
      <w:rFonts w:ascii="Tahoma" w:hAnsi="Tahoma" w:cs="Tahoma"/>
      <w:sz w:val="16"/>
      <w:szCs w:val="16"/>
    </w:rPr>
  </w:style>
  <w:style w:type="character" w:customStyle="1" w:styleId="BalloonTextChar">
    <w:name w:val="Balloon Text Char"/>
    <w:basedOn w:val="DefaultParagraphFont"/>
    <w:link w:val="BalloonText"/>
    <w:uiPriority w:val="99"/>
    <w:semiHidden/>
    <w:rsid w:val="008D2ABE"/>
    <w:rPr>
      <w:sz w:val="0"/>
      <w:szCs w:val="0"/>
    </w:rPr>
  </w:style>
  <w:style w:type="paragraph" w:styleId="PlainText">
    <w:name w:val="Plain Text"/>
    <w:basedOn w:val="Normal"/>
    <w:link w:val="PlainTextChar"/>
    <w:uiPriority w:val="99"/>
    <w:rsid w:val="004E46DB"/>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8D2ABE"/>
    <w:rPr>
      <w:rFonts w:ascii="Courier New" w:hAnsi="Courier New" w:cs="Courier New"/>
      <w:sz w:val="20"/>
      <w:szCs w:val="20"/>
    </w:rPr>
  </w:style>
  <w:style w:type="paragraph" w:customStyle="1" w:styleId="Default">
    <w:name w:val="Default"/>
    <w:uiPriority w:val="99"/>
    <w:rsid w:val="00927C53"/>
    <w:pPr>
      <w:autoSpaceDE w:val="0"/>
      <w:autoSpaceDN w:val="0"/>
      <w:adjustRightInd w:val="0"/>
    </w:pPr>
    <w:rPr>
      <w:rFonts w:ascii="OMODMN+ArialNarrow" w:hAnsi="OMODMN+ArialNarrow" w:cs="OMODMN+ArialNarrow"/>
      <w:color w:val="000000"/>
      <w:sz w:val="24"/>
      <w:szCs w:val="24"/>
    </w:rPr>
  </w:style>
  <w:style w:type="paragraph" w:customStyle="1" w:styleId="CM1">
    <w:name w:val="CM1"/>
    <w:basedOn w:val="Default"/>
    <w:next w:val="Default"/>
    <w:uiPriority w:val="99"/>
    <w:rsid w:val="00927C53"/>
    <w:rPr>
      <w:rFonts w:cs="Times New Roman"/>
      <w:color w:val="auto"/>
    </w:rPr>
  </w:style>
  <w:style w:type="character" w:styleId="Strong">
    <w:name w:val="Strong"/>
    <w:basedOn w:val="DefaultParagraphFont"/>
    <w:uiPriority w:val="99"/>
    <w:qFormat/>
    <w:rsid w:val="005F7FE2"/>
    <w:rPr>
      <w:rFonts w:cs="Times New Roman"/>
      <w:b/>
    </w:rPr>
  </w:style>
  <w:style w:type="character" w:customStyle="1" w:styleId="EllenBrown">
    <w:name w:val="Ellen Brown"/>
    <w:uiPriority w:val="99"/>
    <w:semiHidden/>
    <w:rsid w:val="00715F63"/>
    <w:rPr>
      <w:rFonts w:ascii="Arial" w:hAnsi="Arial"/>
      <w:color w:val="000080"/>
      <w:sz w:val="20"/>
    </w:rPr>
  </w:style>
  <w:style w:type="paragraph" w:styleId="HTMLPreformatted">
    <w:name w:val="HTML Preformatted"/>
    <w:basedOn w:val="Normal"/>
    <w:link w:val="HTMLPreformattedChar"/>
    <w:uiPriority w:val="99"/>
    <w:rsid w:val="001C78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sz w:val="20"/>
      <w:szCs w:val="20"/>
    </w:rPr>
  </w:style>
  <w:style w:type="character" w:customStyle="1" w:styleId="HTMLPreformattedChar">
    <w:name w:val="HTML Preformatted Char"/>
    <w:basedOn w:val="DefaultParagraphFont"/>
    <w:link w:val="HTMLPreformatted"/>
    <w:uiPriority w:val="99"/>
    <w:locked/>
    <w:rsid w:val="009828EB"/>
    <w:rPr>
      <w:rFonts w:ascii="Courier New" w:hAnsi="Courier New"/>
    </w:rPr>
  </w:style>
  <w:style w:type="character" w:customStyle="1" w:styleId="Hypertext">
    <w:name w:val="Hypertext"/>
    <w:uiPriority w:val="99"/>
    <w:rsid w:val="00BB5847"/>
    <w:rPr>
      <w:color w:val="0000FF"/>
      <w:u w:val="single"/>
    </w:rPr>
  </w:style>
  <w:style w:type="character" w:customStyle="1" w:styleId="FERCparanumberChar1">
    <w:name w:val="FERC paranumber Char1"/>
    <w:uiPriority w:val="99"/>
    <w:rsid w:val="004F0B92"/>
    <w:rPr>
      <w:sz w:val="24"/>
      <w:lang w:val="en-US" w:eastAsia="en-US"/>
    </w:rPr>
  </w:style>
  <w:style w:type="paragraph" w:styleId="ListParagraph">
    <w:name w:val="List Paragraph"/>
    <w:basedOn w:val="Normal"/>
    <w:uiPriority w:val="34"/>
    <w:qFormat/>
    <w:rsid w:val="00AE67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D29"/>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rsid w:val="00CF3932"/>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041B3D"/>
    <w:pPr>
      <w:keepNext/>
      <w:spacing w:before="240" w:after="60"/>
      <w:outlineLvl w:val="1"/>
    </w:pPr>
    <w:rPr>
      <w:rFonts w:ascii="Arial" w:hAnsi="Arial" w:cs="Arial"/>
      <w:b/>
      <w:bCs/>
      <w:i/>
      <w:iCs/>
      <w:sz w:val="28"/>
      <w:szCs w:val="28"/>
    </w:rPr>
  </w:style>
  <w:style w:type="paragraph" w:styleId="Heading5">
    <w:name w:val="heading 5"/>
    <w:basedOn w:val="Normal"/>
    <w:link w:val="Heading5Char"/>
    <w:uiPriority w:val="99"/>
    <w:qFormat/>
    <w:rsid w:val="00230EBA"/>
    <w:pPr>
      <w:widowControl/>
      <w:autoSpaceDE/>
      <w:autoSpaceDN/>
      <w:adjustRightInd/>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F3932"/>
    <w:rPr>
      <w:rFonts w:ascii="Cambria" w:hAnsi="Cambria" w:cs="Times New Roman"/>
      <w:b/>
      <w:bCs/>
      <w:color w:val="365F91"/>
      <w:sz w:val="28"/>
      <w:szCs w:val="28"/>
    </w:rPr>
  </w:style>
  <w:style w:type="character" w:customStyle="1" w:styleId="Heading2Char">
    <w:name w:val="Heading 2 Char"/>
    <w:basedOn w:val="DefaultParagraphFont"/>
    <w:link w:val="Heading2"/>
    <w:uiPriority w:val="9"/>
    <w:semiHidden/>
    <w:rsid w:val="008D2ABE"/>
    <w:rPr>
      <w:rFonts w:asciiTheme="majorHAnsi" w:eastAsiaTheme="majorEastAsia" w:hAnsiTheme="majorHAnsi" w:cstheme="majorBidi"/>
      <w:b/>
      <w:bCs/>
      <w:i/>
      <w:iCs/>
      <w:sz w:val="28"/>
      <w:szCs w:val="28"/>
    </w:rPr>
  </w:style>
  <w:style w:type="character" w:customStyle="1" w:styleId="Heading5Char">
    <w:name w:val="Heading 5 Char"/>
    <w:basedOn w:val="DefaultParagraphFont"/>
    <w:link w:val="Heading5"/>
    <w:uiPriority w:val="9"/>
    <w:semiHidden/>
    <w:rsid w:val="008D2ABE"/>
    <w:rPr>
      <w:rFonts w:asciiTheme="minorHAnsi" w:eastAsiaTheme="minorEastAsia" w:hAnsiTheme="minorHAnsi" w:cstheme="minorBidi"/>
      <w:b/>
      <w:bCs/>
      <w:i/>
      <w:iCs/>
      <w:sz w:val="26"/>
      <w:szCs w:val="26"/>
    </w:rPr>
  </w:style>
  <w:style w:type="character" w:styleId="FootnoteReference">
    <w:name w:val="footnote reference"/>
    <w:aliases w:val="o,fr,Style 17,o1,fr1,o2,fr2,o3,fr3,Style 13,Style 12,Style 15,Style 9,Style 18,(NECG) Footnote Reference,Style 20,Style 7,Style 8,Style 19,Style 28,Styl,Style 11,Style 16,Style 5"/>
    <w:basedOn w:val="DefaultParagraphFont"/>
    <w:uiPriority w:val="99"/>
    <w:rsid w:val="00C44D29"/>
    <w:rPr>
      <w:rFonts w:cs="Times New Roman"/>
    </w:rPr>
  </w:style>
  <w:style w:type="paragraph" w:styleId="Header">
    <w:name w:val="header"/>
    <w:basedOn w:val="Normal"/>
    <w:link w:val="HeaderChar"/>
    <w:uiPriority w:val="99"/>
    <w:rsid w:val="00527305"/>
    <w:pPr>
      <w:tabs>
        <w:tab w:val="center" w:pos="4320"/>
        <w:tab w:val="right" w:pos="8640"/>
      </w:tabs>
    </w:pPr>
  </w:style>
  <w:style w:type="character" w:customStyle="1" w:styleId="HeaderChar">
    <w:name w:val="Header Char"/>
    <w:basedOn w:val="DefaultParagraphFont"/>
    <w:link w:val="Header"/>
    <w:uiPriority w:val="99"/>
    <w:semiHidden/>
    <w:rsid w:val="008D2ABE"/>
    <w:rPr>
      <w:sz w:val="24"/>
      <w:szCs w:val="24"/>
    </w:rPr>
  </w:style>
  <w:style w:type="paragraph" w:styleId="Footer">
    <w:name w:val="footer"/>
    <w:basedOn w:val="Normal"/>
    <w:link w:val="FooterChar"/>
    <w:uiPriority w:val="99"/>
    <w:rsid w:val="00527305"/>
    <w:pPr>
      <w:tabs>
        <w:tab w:val="center" w:pos="4320"/>
        <w:tab w:val="right" w:pos="8640"/>
      </w:tabs>
    </w:pPr>
  </w:style>
  <w:style w:type="character" w:customStyle="1" w:styleId="FooterChar">
    <w:name w:val="Footer Char"/>
    <w:basedOn w:val="DefaultParagraphFont"/>
    <w:link w:val="Footer"/>
    <w:uiPriority w:val="99"/>
    <w:semiHidden/>
    <w:rsid w:val="008D2ABE"/>
    <w:rPr>
      <w:sz w:val="24"/>
      <w:szCs w:val="24"/>
    </w:rPr>
  </w:style>
  <w:style w:type="table" w:styleId="TableGrid">
    <w:name w:val="Table Grid"/>
    <w:basedOn w:val="TableNormal"/>
    <w:uiPriority w:val="99"/>
    <w:rsid w:val="00F34E8E"/>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 Char,fn,Footnote Text Char1,Footnote Text Char Char,Footnote Text Char1 Char,Footnote Text Char Char Char,Footnote Text MRP,Footnote Text Char1 Char Char,Footnote Text Char1 Char1,Footnote Text Char3,Footnote Text Char2 Char"/>
    <w:basedOn w:val="Normal"/>
    <w:link w:val="FootnoteTextChar4"/>
    <w:rsid w:val="00934A86"/>
    <w:rPr>
      <w:sz w:val="20"/>
      <w:szCs w:val="20"/>
    </w:rPr>
  </w:style>
  <w:style w:type="character" w:customStyle="1" w:styleId="FootnoteTextChar2">
    <w:name w:val="Footnote Text Char2"/>
    <w:aliases w:val="Footnote Text Char Char1,fn Char,Footnote Text Char1 Char2,Footnote Text Char Char Char1,Footnote Text Char1 Char Char1,Footnote Text Char Char Char Char,Footnote Text MRP Char,Footnote Text Char1 Char Char Char,ft Char Char"/>
    <w:basedOn w:val="DefaultParagraphFont"/>
    <w:semiHidden/>
    <w:rsid w:val="008D2ABE"/>
    <w:rPr>
      <w:sz w:val="20"/>
      <w:szCs w:val="20"/>
    </w:rPr>
  </w:style>
  <w:style w:type="character" w:styleId="Hyperlink">
    <w:name w:val="Hyperlink"/>
    <w:basedOn w:val="DefaultParagraphFont"/>
    <w:uiPriority w:val="99"/>
    <w:rsid w:val="0029446F"/>
    <w:rPr>
      <w:rFonts w:cs="Times New Roman"/>
      <w:color w:val="0000FF"/>
      <w:u w:val="single"/>
    </w:rPr>
  </w:style>
  <w:style w:type="character" w:styleId="PageNumber">
    <w:name w:val="page number"/>
    <w:basedOn w:val="DefaultParagraphFont"/>
    <w:uiPriority w:val="99"/>
    <w:rsid w:val="004C5162"/>
    <w:rPr>
      <w:rFonts w:cs="Times New Roman"/>
    </w:rPr>
  </w:style>
  <w:style w:type="paragraph" w:customStyle="1" w:styleId="FERCparanumber">
    <w:name w:val="FERC paranumber"/>
    <w:basedOn w:val="Normal"/>
    <w:link w:val="FERCparanumberChar"/>
    <w:uiPriority w:val="99"/>
    <w:rsid w:val="00481C2C"/>
    <w:pPr>
      <w:numPr>
        <w:numId w:val="1"/>
      </w:numPr>
      <w:spacing w:line="480" w:lineRule="auto"/>
    </w:pPr>
    <w:rPr>
      <w:sz w:val="26"/>
    </w:rPr>
  </w:style>
  <w:style w:type="character" w:customStyle="1" w:styleId="FERCparanumberChar">
    <w:name w:val="FERC paranumber Char"/>
    <w:link w:val="FERCparanumber"/>
    <w:uiPriority w:val="99"/>
    <w:locked/>
    <w:rsid w:val="00481C2C"/>
    <w:rPr>
      <w:sz w:val="24"/>
      <w:lang w:val="en-US" w:eastAsia="en-US"/>
    </w:rPr>
  </w:style>
  <w:style w:type="character" w:customStyle="1" w:styleId="FootnoteTextChar4">
    <w:name w:val="Footnote Text Char4"/>
    <w:aliases w:val="Footnote Text Char Char2,fn Char1,Footnote Text Char1 Char3,Footnote Text Char Char Char2,Footnote Text Char1 Char Char2,Footnote Text Char Char Char Char1,Footnote Text MRP Char1,Footnote Text Char1 Char Char Char1"/>
    <w:link w:val="FootnoteText"/>
    <w:uiPriority w:val="99"/>
    <w:locked/>
    <w:rsid w:val="004A0A7C"/>
    <w:rPr>
      <w:lang w:val="en-US" w:eastAsia="en-US"/>
    </w:rPr>
  </w:style>
  <w:style w:type="paragraph" w:styleId="ListContinue">
    <w:name w:val="List Continue"/>
    <w:basedOn w:val="Normal"/>
    <w:uiPriority w:val="99"/>
    <w:rsid w:val="004A0A7C"/>
    <w:pPr>
      <w:widowControl/>
      <w:numPr>
        <w:numId w:val="2"/>
      </w:numPr>
      <w:autoSpaceDE/>
      <w:autoSpaceDN/>
      <w:adjustRightInd/>
      <w:spacing w:after="120" w:line="480" w:lineRule="auto"/>
    </w:pPr>
    <w:rPr>
      <w:sz w:val="26"/>
    </w:rPr>
  </w:style>
  <w:style w:type="paragraph" w:customStyle="1" w:styleId="LegalFormat">
    <w:name w:val="Legal Format"/>
    <w:basedOn w:val="ListContinue"/>
    <w:uiPriority w:val="99"/>
    <w:rsid w:val="004A0A7C"/>
    <w:pPr>
      <w:spacing w:after="0"/>
      <w:ind w:left="0"/>
    </w:pPr>
    <w:rPr>
      <w:u w:val="single"/>
    </w:rPr>
  </w:style>
  <w:style w:type="paragraph" w:customStyle="1" w:styleId="Style13ptBoldLeft1">
    <w:name w:val="Style 13 pt Bold Left:  1&quot;"/>
    <w:basedOn w:val="Normal"/>
    <w:uiPriority w:val="99"/>
    <w:rsid w:val="003B0C54"/>
    <w:pPr>
      <w:widowControl/>
      <w:autoSpaceDE/>
      <w:autoSpaceDN/>
      <w:adjustRightInd/>
      <w:spacing w:line="480" w:lineRule="auto"/>
      <w:ind w:left="1440"/>
    </w:pPr>
    <w:rPr>
      <w:b/>
      <w:bCs/>
      <w:sz w:val="26"/>
      <w:szCs w:val="20"/>
    </w:rPr>
  </w:style>
  <w:style w:type="paragraph" w:styleId="z-TopofForm">
    <w:name w:val="HTML Top of Form"/>
    <w:basedOn w:val="Normal"/>
    <w:next w:val="Normal"/>
    <w:link w:val="z-TopofFormChar"/>
    <w:hidden/>
    <w:uiPriority w:val="99"/>
    <w:rsid w:val="00002552"/>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D2ABE"/>
    <w:rPr>
      <w:rFonts w:ascii="Arial" w:hAnsi="Arial" w:cs="Arial"/>
      <w:vanish/>
      <w:sz w:val="16"/>
      <w:szCs w:val="16"/>
    </w:rPr>
  </w:style>
  <w:style w:type="paragraph" w:styleId="z-BottomofForm">
    <w:name w:val="HTML Bottom of Form"/>
    <w:basedOn w:val="Normal"/>
    <w:next w:val="Normal"/>
    <w:link w:val="z-BottomofFormChar"/>
    <w:hidden/>
    <w:uiPriority w:val="99"/>
    <w:rsid w:val="00002552"/>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D2ABE"/>
    <w:rPr>
      <w:rFonts w:ascii="Arial" w:hAnsi="Arial" w:cs="Arial"/>
      <w:vanish/>
      <w:sz w:val="16"/>
      <w:szCs w:val="16"/>
    </w:rPr>
  </w:style>
  <w:style w:type="character" w:styleId="FollowedHyperlink">
    <w:name w:val="FollowedHyperlink"/>
    <w:basedOn w:val="DefaultParagraphFont"/>
    <w:uiPriority w:val="99"/>
    <w:rsid w:val="00E3215D"/>
    <w:rPr>
      <w:rFonts w:cs="Times New Roman"/>
      <w:color w:val="800080"/>
      <w:u w:val="single"/>
    </w:rPr>
  </w:style>
  <w:style w:type="paragraph" w:styleId="NormalWeb">
    <w:name w:val="Normal (Web)"/>
    <w:basedOn w:val="Normal"/>
    <w:uiPriority w:val="99"/>
    <w:rsid w:val="00230EBA"/>
    <w:pPr>
      <w:widowControl/>
      <w:autoSpaceDE/>
      <w:autoSpaceDN/>
      <w:adjustRightInd/>
      <w:spacing w:before="100" w:beforeAutospacing="1" w:after="100" w:afterAutospacing="1"/>
    </w:pPr>
  </w:style>
  <w:style w:type="character" w:customStyle="1" w:styleId="updatebodytest1">
    <w:name w:val="updatebodytest1"/>
    <w:uiPriority w:val="99"/>
    <w:rsid w:val="00230EBA"/>
    <w:rPr>
      <w:rFonts w:ascii="Arial" w:hAnsi="Arial"/>
      <w:sz w:val="18"/>
    </w:rPr>
  </w:style>
  <w:style w:type="character" w:customStyle="1" w:styleId="mainheader1">
    <w:name w:val="mainheader1"/>
    <w:uiPriority w:val="99"/>
    <w:rsid w:val="00230EBA"/>
    <w:rPr>
      <w:b/>
      <w:sz w:val="31"/>
    </w:rPr>
  </w:style>
  <w:style w:type="character" w:customStyle="1" w:styleId="ptext-2">
    <w:name w:val="ptext-2"/>
    <w:uiPriority w:val="99"/>
    <w:rsid w:val="00041B3D"/>
  </w:style>
  <w:style w:type="character" w:customStyle="1" w:styleId="ptext-3">
    <w:name w:val="ptext-3"/>
    <w:uiPriority w:val="99"/>
    <w:rsid w:val="00041B3D"/>
  </w:style>
  <w:style w:type="character" w:customStyle="1" w:styleId="ptext-4">
    <w:name w:val="ptext-4"/>
    <w:uiPriority w:val="99"/>
    <w:rsid w:val="00041B3D"/>
  </w:style>
  <w:style w:type="character" w:customStyle="1" w:styleId="enumbell">
    <w:name w:val="enumbell"/>
    <w:uiPriority w:val="99"/>
    <w:rsid w:val="00041B3D"/>
    <w:rPr>
      <w:b/>
    </w:rPr>
  </w:style>
  <w:style w:type="character" w:styleId="CommentReference">
    <w:name w:val="annotation reference"/>
    <w:basedOn w:val="DefaultParagraphFont"/>
    <w:uiPriority w:val="99"/>
    <w:semiHidden/>
    <w:rsid w:val="00261932"/>
    <w:rPr>
      <w:rFonts w:cs="Times New Roman"/>
      <w:sz w:val="16"/>
    </w:rPr>
  </w:style>
  <w:style w:type="paragraph" w:styleId="CommentText">
    <w:name w:val="annotation text"/>
    <w:basedOn w:val="Normal"/>
    <w:link w:val="CommentTextChar"/>
    <w:uiPriority w:val="99"/>
    <w:semiHidden/>
    <w:rsid w:val="00261932"/>
    <w:rPr>
      <w:sz w:val="20"/>
      <w:szCs w:val="20"/>
    </w:rPr>
  </w:style>
  <w:style w:type="character" w:customStyle="1" w:styleId="CommentTextChar">
    <w:name w:val="Comment Text Char"/>
    <w:basedOn w:val="DefaultParagraphFont"/>
    <w:link w:val="CommentText"/>
    <w:uiPriority w:val="99"/>
    <w:semiHidden/>
    <w:rsid w:val="008D2ABE"/>
    <w:rPr>
      <w:sz w:val="20"/>
      <w:szCs w:val="20"/>
    </w:rPr>
  </w:style>
  <w:style w:type="paragraph" w:styleId="CommentSubject">
    <w:name w:val="annotation subject"/>
    <w:basedOn w:val="CommentText"/>
    <w:next w:val="CommentText"/>
    <w:link w:val="CommentSubjectChar"/>
    <w:uiPriority w:val="99"/>
    <w:semiHidden/>
    <w:rsid w:val="00261932"/>
    <w:rPr>
      <w:b/>
      <w:bCs/>
    </w:rPr>
  </w:style>
  <w:style w:type="character" w:customStyle="1" w:styleId="CommentSubjectChar">
    <w:name w:val="Comment Subject Char"/>
    <w:basedOn w:val="CommentTextChar"/>
    <w:link w:val="CommentSubject"/>
    <w:uiPriority w:val="99"/>
    <w:semiHidden/>
    <w:rsid w:val="008D2ABE"/>
    <w:rPr>
      <w:b/>
      <w:bCs/>
      <w:sz w:val="20"/>
      <w:szCs w:val="20"/>
    </w:rPr>
  </w:style>
  <w:style w:type="paragraph" w:styleId="BalloonText">
    <w:name w:val="Balloon Text"/>
    <w:basedOn w:val="Normal"/>
    <w:link w:val="BalloonTextChar"/>
    <w:uiPriority w:val="99"/>
    <w:semiHidden/>
    <w:rsid w:val="00261932"/>
    <w:rPr>
      <w:rFonts w:ascii="Tahoma" w:hAnsi="Tahoma" w:cs="Tahoma"/>
      <w:sz w:val="16"/>
      <w:szCs w:val="16"/>
    </w:rPr>
  </w:style>
  <w:style w:type="character" w:customStyle="1" w:styleId="BalloonTextChar">
    <w:name w:val="Balloon Text Char"/>
    <w:basedOn w:val="DefaultParagraphFont"/>
    <w:link w:val="BalloonText"/>
    <w:uiPriority w:val="99"/>
    <w:semiHidden/>
    <w:rsid w:val="008D2ABE"/>
    <w:rPr>
      <w:sz w:val="0"/>
      <w:szCs w:val="0"/>
    </w:rPr>
  </w:style>
  <w:style w:type="paragraph" w:styleId="PlainText">
    <w:name w:val="Plain Text"/>
    <w:basedOn w:val="Normal"/>
    <w:link w:val="PlainTextChar"/>
    <w:uiPriority w:val="99"/>
    <w:rsid w:val="004E46DB"/>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8D2ABE"/>
    <w:rPr>
      <w:rFonts w:ascii="Courier New" w:hAnsi="Courier New" w:cs="Courier New"/>
      <w:sz w:val="20"/>
      <w:szCs w:val="20"/>
    </w:rPr>
  </w:style>
  <w:style w:type="paragraph" w:customStyle="1" w:styleId="Default">
    <w:name w:val="Default"/>
    <w:uiPriority w:val="99"/>
    <w:rsid w:val="00927C53"/>
    <w:pPr>
      <w:autoSpaceDE w:val="0"/>
      <w:autoSpaceDN w:val="0"/>
      <w:adjustRightInd w:val="0"/>
    </w:pPr>
    <w:rPr>
      <w:rFonts w:ascii="OMODMN+ArialNarrow" w:hAnsi="OMODMN+ArialNarrow" w:cs="OMODMN+ArialNarrow"/>
      <w:color w:val="000000"/>
      <w:sz w:val="24"/>
      <w:szCs w:val="24"/>
    </w:rPr>
  </w:style>
  <w:style w:type="paragraph" w:customStyle="1" w:styleId="CM1">
    <w:name w:val="CM1"/>
    <w:basedOn w:val="Default"/>
    <w:next w:val="Default"/>
    <w:uiPriority w:val="99"/>
    <w:rsid w:val="00927C53"/>
    <w:rPr>
      <w:rFonts w:cs="Times New Roman"/>
      <w:color w:val="auto"/>
    </w:rPr>
  </w:style>
  <w:style w:type="character" w:styleId="Strong">
    <w:name w:val="Strong"/>
    <w:basedOn w:val="DefaultParagraphFont"/>
    <w:uiPriority w:val="99"/>
    <w:qFormat/>
    <w:rsid w:val="005F7FE2"/>
    <w:rPr>
      <w:rFonts w:cs="Times New Roman"/>
      <w:b/>
    </w:rPr>
  </w:style>
  <w:style w:type="character" w:customStyle="1" w:styleId="EllenBrown">
    <w:name w:val="Ellen Brown"/>
    <w:uiPriority w:val="99"/>
    <w:semiHidden/>
    <w:rsid w:val="00715F63"/>
    <w:rPr>
      <w:rFonts w:ascii="Arial" w:hAnsi="Arial"/>
      <w:color w:val="000080"/>
      <w:sz w:val="20"/>
    </w:rPr>
  </w:style>
  <w:style w:type="paragraph" w:styleId="HTMLPreformatted">
    <w:name w:val="HTML Preformatted"/>
    <w:basedOn w:val="Normal"/>
    <w:link w:val="HTMLPreformattedChar"/>
    <w:uiPriority w:val="99"/>
    <w:rsid w:val="001C78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sz w:val="20"/>
      <w:szCs w:val="20"/>
    </w:rPr>
  </w:style>
  <w:style w:type="character" w:customStyle="1" w:styleId="HTMLPreformattedChar">
    <w:name w:val="HTML Preformatted Char"/>
    <w:basedOn w:val="DefaultParagraphFont"/>
    <w:link w:val="HTMLPreformatted"/>
    <w:uiPriority w:val="99"/>
    <w:locked/>
    <w:rsid w:val="009828EB"/>
    <w:rPr>
      <w:rFonts w:ascii="Courier New" w:hAnsi="Courier New"/>
    </w:rPr>
  </w:style>
  <w:style w:type="character" w:customStyle="1" w:styleId="Hypertext">
    <w:name w:val="Hypertext"/>
    <w:uiPriority w:val="99"/>
    <w:rsid w:val="00BB5847"/>
    <w:rPr>
      <w:color w:val="0000FF"/>
      <w:u w:val="single"/>
    </w:rPr>
  </w:style>
  <w:style w:type="character" w:customStyle="1" w:styleId="FERCparanumberChar1">
    <w:name w:val="FERC paranumber Char1"/>
    <w:uiPriority w:val="99"/>
    <w:rsid w:val="004F0B92"/>
    <w:rPr>
      <w:sz w:val="24"/>
      <w:lang w:val="en-US" w:eastAsia="en-US"/>
    </w:rPr>
  </w:style>
  <w:style w:type="paragraph" w:styleId="ListParagraph">
    <w:name w:val="List Paragraph"/>
    <w:basedOn w:val="Normal"/>
    <w:uiPriority w:val="34"/>
    <w:qFormat/>
    <w:rsid w:val="00AE67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995748">
      <w:bodyDiv w:val="1"/>
      <w:marLeft w:val="0"/>
      <w:marRight w:val="0"/>
      <w:marTop w:val="0"/>
      <w:marBottom w:val="0"/>
      <w:divBdr>
        <w:top w:val="none" w:sz="0" w:space="0" w:color="auto"/>
        <w:left w:val="none" w:sz="0" w:space="0" w:color="auto"/>
        <w:bottom w:val="none" w:sz="0" w:space="0" w:color="auto"/>
        <w:right w:val="none" w:sz="0" w:space="0" w:color="auto"/>
      </w:divBdr>
    </w:div>
    <w:div w:id="1396853553">
      <w:bodyDiv w:val="1"/>
      <w:marLeft w:val="0"/>
      <w:marRight w:val="0"/>
      <w:marTop w:val="0"/>
      <w:marBottom w:val="0"/>
      <w:divBdr>
        <w:top w:val="none" w:sz="0" w:space="0" w:color="auto"/>
        <w:left w:val="none" w:sz="0" w:space="0" w:color="auto"/>
        <w:bottom w:val="none" w:sz="0" w:space="0" w:color="auto"/>
        <w:right w:val="none" w:sz="0" w:space="0" w:color="auto"/>
      </w:divBdr>
    </w:div>
    <w:div w:id="1948004713">
      <w:marLeft w:val="0"/>
      <w:marRight w:val="0"/>
      <w:marTop w:val="0"/>
      <w:marBottom w:val="0"/>
      <w:divBdr>
        <w:top w:val="none" w:sz="0" w:space="0" w:color="auto"/>
        <w:left w:val="none" w:sz="0" w:space="0" w:color="auto"/>
        <w:bottom w:val="none" w:sz="0" w:space="0" w:color="auto"/>
        <w:right w:val="none" w:sz="0" w:space="0" w:color="auto"/>
      </w:divBdr>
    </w:div>
    <w:div w:id="1948004720">
      <w:marLeft w:val="0"/>
      <w:marRight w:val="0"/>
      <w:marTop w:val="0"/>
      <w:marBottom w:val="0"/>
      <w:divBdr>
        <w:top w:val="none" w:sz="0" w:space="0" w:color="auto"/>
        <w:left w:val="none" w:sz="0" w:space="0" w:color="auto"/>
        <w:bottom w:val="none" w:sz="0" w:space="0" w:color="auto"/>
        <w:right w:val="none" w:sz="0" w:space="0" w:color="auto"/>
      </w:divBdr>
    </w:div>
    <w:div w:id="1948004726">
      <w:marLeft w:val="0"/>
      <w:marRight w:val="0"/>
      <w:marTop w:val="0"/>
      <w:marBottom w:val="0"/>
      <w:divBdr>
        <w:top w:val="none" w:sz="0" w:space="0" w:color="auto"/>
        <w:left w:val="none" w:sz="0" w:space="0" w:color="auto"/>
        <w:bottom w:val="none" w:sz="0" w:space="0" w:color="auto"/>
        <w:right w:val="none" w:sz="0" w:space="0" w:color="auto"/>
      </w:divBdr>
    </w:div>
    <w:div w:id="1948004730">
      <w:marLeft w:val="0"/>
      <w:marRight w:val="0"/>
      <w:marTop w:val="0"/>
      <w:marBottom w:val="0"/>
      <w:divBdr>
        <w:top w:val="none" w:sz="0" w:space="0" w:color="auto"/>
        <w:left w:val="none" w:sz="0" w:space="0" w:color="auto"/>
        <w:bottom w:val="none" w:sz="0" w:space="0" w:color="auto"/>
        <w:right w:val="none" w:sz="0" w:space="0" w:color="auto"/>
      </w:divBdr>
    </w:div>
    <w:div w:id="1948004731">
      <w:marLeft w:val="0"/>
      <w:marRight w:val="0"/>
      <w:marTop w:val="0"/>
      <w:marBottom w:val="0"/>
      <w:divBdr>
        <w:top w:val="none" w:sz="0" w:space="0" w:color="auto"/>
        <w:left w:val="none" w:sz="0" w:space="0" w:color="auto"/>
        <w:bottom w:val="none" w:sz="0" w:space="0" w:color="auto"/>
        <w:right w:val="none" w:sz="0" w:space="0" w:color="auto"/>
      </w:divBdr>
    </w:div>
    <w:div w:id="1948004733">
      <w:marLeft w:val="0"/>
      <w:marRight w:val="0"/>
      <w:marTop w:val="0"/>
      <w:marBottom w:val="0"/>
      <w:divBdr>
        <w:top w:val="none" w:sz="0" w:space="0" w:color="auto"/>
        <w:left w:val="none" w:sz="0" w:space="0" w:color="auto"/>
        <w:bottom w:val="none" w:sz="0" w:space="0" w:color="auto"/>
        <w:right w:val="none" w:sz="0" w:space="0" w:color="auto"/>
      </w:divBdr>
    </w:div>
    <w:div w:id="1948004741">
      <w:marLeft w:val="0"/>
      <w:marRight w:val="0"/>
      <w:marTop w:val="0"/>
      <w:marBottom w:val="0"/>
      <w:divBdr>
        <w:top w:val="none" w:sz="0" w:space="0" w:color="auto"/>
        <w:left w:val="none" w:sz="0" w:space="0" w:color="auto"/>
        <w:bottom w:val="none" w:sz="0" w:space="0" w:color="auto"/>
        <w:right w:val="none" w:sz="0" w:space="0" w:color="auto"/>
      </w:divBdr>
    </w:div>
    <w:div w:id="1948004756">
      <w:marLeft w:val="0"/>
      <w:marRight w:val="0"/>
      <w:marTop w:val="0"/>
      <w:marBottom w:val="0"/>
      <w:divBdr>
        <w:top w:val="none" w:sz="0" w:space="0" w:color="auto"/>
        <w:left w:val="none" w:sz="0" w:space="0" w:color="auto"/>
        <w:bottom w:val="none" w:sz="0" w:space="0" w:color="auto"/>
        <w:right w:val="none" w:sz="0" w:space="0" w:color="auto"/>
      </w:divBdr>
    </w:div>
    <w:div w:id="1948004757">
      <w:marLeft w:val="0"/>
      <w:marRight w:val="0"/>
      <w:marTop w:val="0"/>
      <w:marBottom w:val="0"/>
      <w:divBdr>
        <w:top w:val="none" w:sz="0" w:space="0" w:color="auto"/>
        <w:left w:val="none" w:sz="0" w:space="0" w:color="auto"/>
        <w:bottom w:val="none" w:sz="0" w:space="0" w:color="auto"/>
        <w:right w:val="none" w:sz="0" w:space="0" w:color="auto"/>
      </w:divBdr>
    </w:div>
    <w:div w:id="1948004759">
      <w:marLeft w:val="0"/>
      <w:marRight w:val="0"/>
      <w:marTop w:val="0"/>
      <w:marBottom w:val="0"/>
      <w:divBdr>
        <w:top w:val="none" w:sz="0" w:space="0" w:color="auto"/>
        <w:left w:val="none" w:sz="0" w:space="0" w:color="auto"/>
        <w:bottom w:val="none" w:sz="0" w:space="0" w:color="auto"/>
        <w:right w:val="none" w:sz="0" w:space="0" w:color="auto"/>
      </w:divBdr>
    </w:div>
    <w:div w:id="1948004762">
      <w:marLeft w:val="0"/>
      <w:marRight w:val="0"/>
      <w:marTop w:val="0"/>
      <w:marBottom w:val="0"/>
      <w:divBdr>
        <w:top w:val="none" w:sz="0" w:space="0" w:color="auto"/>
        <w:left w:val="none" w:sz="0" w:space="0" w:color="auto"/>
        <w:bottom w:val="none" w:sz="0" w:space="0" w:color="auto"/>
        <w:right w:val="none" w:sz="0" w:space="0" w:color="auto"/>
      </w:divBdr>
    </w:div>
    <w:div w:id="1948004765">
      <w:marLeft w:val="0"/>
      <w:marRight w:val="0"/>
      <w:marTop w:val="0"/>
      <w:marBottom w:val="0"/>
      <w:divBdr>
        <w:top w:val="none" w:sz="0" w:space="0" w:color="auto"/>
        <w:left w:val="none" w:sz="0" w:space="0" w:color="auto"/>
        <w:bottom w:val="none" w:sz="0" w:space="0" w:color="auto"/>
        <w:right w:val="none" w:sz="0" w:space="0" w:color="auto"/>
      </w:divBdr>
    </w:div>
    <w:div w:id="1948004766">
      <w:marLeft w:val="0"/>
      <w:marRight w:val="0"/>
      <w:marTop w:val="0"/>
      <w:marBottom w:val="0"/>
      <w:divBdr>
        <w:top w:val="none" w:sz="0" w:space="0" w:color="auto"/>
        <w:left w:val="none" w:sz="0" w:space="0" w:color="auto"/>
        <w:bottom w:val="none" w:sz="0" w:space="0" w:color="auto"/>
        <w:right w:val="none" w:sz="0" w:space="0" w:color="auto"/>
      </w:divBdr>
    </w:div>
    <w:div w:id="1948004772">
      <w:marLeft w:val="0"/>
      <w:marRight w:val="0"/>
      <w:marTop w:val="0"/>
      <w:marBottom w:val="0"/>
      <w:divBdr>
        <w:top w:val="none" w:sz="0" w:space="0" w:color="auto"/>
        <w:left w:val="none" w:sz="0" w:space="0" w:color="auto"/>
        <w:bottom w:val="none" w:sz="0" w:space="0" w:color="auto"/>
        <w:right w:val="none" w:sz="0" w:space="0" w:color="auto"/>
      </w:divBdr>
      <w:divsChild>
        <w:div w:id="1948004774">
          <w:marLeft w:val="0"/>
          <w:marRight w:val="0"/>
          <w:marTop w:val="0"/>
          <w:marBottom w:val="0"/>
          <w:divBdr>
            <w:top w:val="none" w:sz="0" w:space="0" w:color="auto"/>
            <w:left w:val="none" w:sz="0" w:space="0" w:color="auto"/>
            <w:bottom w:val="none" w:sz="0" w:space="0" w:color="auto"/>
            <w:right w:val="none" w:sz="0" w:space="0" w:color="auto"/>
          </w:divBdr>
          <w:divsChild>
            <w:div w:id="1948004799">
              <w:marLeft w:val="0"/>
              <w:marRight w:val="0"/>
              <w:marTop w:val="0"/>
              <w:marBottom w:val="0"/>
              <w:divBdr>
                <w:top w:val="single" w:sz="6" w:space="0" w:color="333333"/>
                <w:left w:val="single" w:sz="6" w:space="0" w:color="333333"/>
                <w:bottom w:val="single" w:sz="6" w:space="0" w:color="333333"/>
                <w:right w:val="single" w:sz="6" w:space="0" w:color="333333"/>
              </w:divBdr>
              <w:divsChild>
                <w:div w:id="1948004778">
                  <w:marLeft w:val="0"/>
                  <w:marRight w:val="0"/>
                  <w:marTop w:val="0"/>
                  <w:marBottom w:val="0"/>
                  <w:divBdr>
                    <w:top w:val="none" w:sz="0" w:space="0" w:color="auto"/>
                    <w:left w:val="none" w:sz="0" w:space="0" w:color="auto"/>
                    <w:bottom w:val="none" w:sz="0" w:space="0" w:color="auto"/>
                    <w:right w:val="none" w:sz="0" w:space="0" w:color="auto"/>
                  </w:divBdr>
                  <w:divsChild>
                    <w:div w:id="1948004771">
                      <w:marLeft w:val="0"/>
                      <w:marRight w:val="0"/>
                      <w:marTop w:val="0"/>
                      <w:marBottom w:val="0"/>
                      <w:divBdr>
                        <w:top w:val="none" w:sz="0" w:space="0" w:color="auto"/>
                        <w:left w:val="none" w:sz="0" w:space="0" w:color="auto"/>
                        <w:bottom w:val="none" w:sz="0" w:space="0" w:color="auto"/>
                        <w:right w:val="none" w:sz="0" w:space="0" w:color="auto"/>
                      </w:divBdr>
                      <w:divsChild>
                        <w:div w:id="1948004791">
                          <w:marLeft w:val="0"/>
                          <w:marRight w:val="0"/>
                          <w:marTop w:val="0"/>
                          <w:marBottom w:val="0"/>
                          <w:divBdr>
                            <w:top w:val="none" w:sz="0" w:space="0" w:color="auto"/>
                            <w:left w:val="none" w:sz="0" w:space="0" w:color="auto"/>
                            <w:bottom w:val="none" w:sz="0" w:space="0" w:color="auto"/>
                            <w:right w:val="none" w:sz="0" w:space="0" w:color="auto"/>
                          </w:divBdr>
                          <w:divsChild>
                            <w:div w:id="1948004739">
                              <w:marLeft w:val="1"/>
                              <w:marRight w:val="1"/>
                              <w:marTop w:val="120"/>
                              <w:marBottom w:val="120"/>
                              <w:divBdr>
                                <w:top w:val="none" w:sz="0" w:space="0" w:color="auto"/>
                                <w:left w:val="none" w:sz="0" w:space="0" w:color="auto"/>
                                <w:bottom w:val="none" w:sz="0" w:space="0" w:color="auto"/>
                                <w:right w:val="none" w:sz="0" w:space="0" w:color="auto"/>
                              </w:divBdr>
                              <w:divsChild>
                                <w:div w:id="1948004709">
                                  <w:marLeft w:val="0"/>
                                  <w:marRight w:val="0"/>
                                  <w:marTop w:val="0"/>
                                  <w:marBottom w:val="0"/>
                                  <w:divBdr>
                                    <w:top w:val="none" w:sz="0" w:space="0" w:color="auto"/>
                                    <w:left w:val="none" w:sz="0" w:space="0" w:color="auto"/>
                                    <w:bottom w:val="none" w:sz="0" w:space="0" w:color="auto"/>
                                    <w:right w:val="none" w:sz="0" w:space="0" w:color="auto"/>
                                  </w:divBdr>
                                  <w:divsChild>
                                    <w:div w:id="1948004738">
                                      <w:marLeft w:val="0"/>
                                      <w:marRight w:val="0"/>
                                      <w:marTop w:val="0"/>
                                      <w:marBottom w:val="0"/>
                                      <w:divBdr>
                                        <w:top w:val="none" w:sz="0" w:space="0" w:color="auto"/>
                                        <w:left w:val="none" w:sz="0" w:space="0" w:color="auto"/>
                                        <w:bottom w:val="none" w:sz="0" w:space="0" w:color="auto"/>
                                        <w:right w:val="none" w:sz="0" w:space="0" w:color="auto"/>
                                      </w:divBdr>
                                      <w:divsChild>
                                        <w:div w:id="1948004710">
                                          <w:marLeft w:val="4"/>
                                          <w:marRight w:val="0"/>
                                          <w:marTop w:val="0"/>
                                          <w:marBottom w:val="0"/>
                                          <w:divBdr>
                                            <w:top w:val="none" w:sz="0" w:space="0" w:color="auto"/>
                                            <w:left w:val="none" w:sz="0" w:space="0" w:color="auto"/>
                                            <w:bottom w:val="none" w:sz="0" w:space="0" w:color="auto"/>
                                            <w:right w:val="none" w:sz="0" w:space="0" w:color="auto"/>
                                          </w:divBdr>
                                          <w:divsChild>
                                            <w:div w:id="1948004804">
                                              <w:marLeft w:val="0"/>
                                              <w:marRight w:val="0"/>
                                              <w:marTop w:val="0"/>
                                              <w:marBottom w:val="0"/>
                                              <w:divBdr>
                                                <w:top w:val="none" w:sz="0" w:space="0" w:color="auto"/>
                                                <w:left w:val="none" w:sz="0" w:space="0" w:color="auto"/>
                                                <w:bottom w:val="none" w:sz="0" w:space="0" w:color="auto"/>
                                                <w:right w:val="none" w:sz="0" w:space="0" w:color="auto"/>
                                              </w:divBdr>
                                            </w:div>
                                          </w:divsChild>
                                        </w:div>
                                        <w:div w:id="1948004711">
                                          <w:marLeft w:val="4"/>
                                          <w:marRight w:val="0"/>
                                          <w:marTop w:val="0"/>
                                          <w:marBottom w:val="0"/>
                                          <w:divBdr>
                                            <w:top w:val="none" w:sz="0" w:space="0" w:color="auto"/>
                                            <w:left w:val="none" w:sz="0" w:space="0" w:color="auto"/>
                                            <w:bottom w:val="none" w:sz="0" w:space="0" w:color="auto"/>
                                            <w:right w:val="none" w:sz="0" w:space="0" w:color="auto"/>
                                          </w:divBdr>
                                          <w:divsChild>
                                            <w:div w:id="1948004712">
                                              <w:marLeft w:val="0"/>
                                              <w:marRight w:val="0"/>
                                              <w:marTop w:val="0"/>
                                              <w:marBottom w:val="0"/>
                                              <w:divBdr>
                                                <w:top w:val="none" w:sz="0" w:space="0" w:color="auto"/>
                                                <w:left w:val="none" w:sz="0" w:space="0" w:color="auto"/>
                                                <w:bottom w:val="none" w:sz="0" w:space="0" w:color="auto"/>
                                                <w:right w:val="none" w:sz="0" w:space="0" w:color="auto"/>
                                              </w:divBdr>
                                            </w:div>
                                          </w:divsChild>
                                        </w:div>
                                        <w:div w:id="1948004734">
                                          <w:marLeft w:val="4"/>
                                          <w:marRight w:val="0"/>
                                          <w:marTop w:val="0"/>
                                          <w:marBottom w:val="0"/>
                                          <w:divBdr>
                                            <w:top w:val="none" w:sz="0" w:space="0" w:color="auto"/>
                                            <w:left w:val="none" w:sz="0" w:space="0" w:color="auto"/>
                                            <w:bottom w:val="none" w:sz="0" w:space="0" w:color="auto"/>
                                            <w:right w:val="none" w:sz="0" w:space="0" w:color="auto"/>
                                          </w:divBdr>
                                          <w:divsChild>
                                            <w:div w:id="1948004783">
                                              <w:marLeft w:val="0"/>
                                              <w:marRight w:val="0"/>
                                              <w:marTop w:val="0"/>
                                              <w:marBottom w:val="0"/>
                                              <w:divBdr>
                                                <w:top w:val="none" w:sz="0" w:space="0" w:color="auto"/>
                                                <w:left w:val="none" w:sz="0" w:space="0" w:color="auto"/>
                                                <w:bottom w:val="none" w:sz="0" w:space="0" w:color="auto"/>
                                                <w:right w:val="none" w:sz="0" w:space="0" w:color="auto"/>
                                              </w:divBdr>
                                            </w:div>
                                          </w:divsChild>
                                        </w:div>
                                        <w:div w:id="1948004748">
                                          <w:marLeft w:val="4"/>
                                          <w:marRight w:val="0"/>
                                          <w:marTop w:val="0"/>
                                          <w:marBottom w:val="0"/>
                                          <w:divBdr>
                                            <w:top w:val="none" w:sz="0" w:space="0" w:color="auto"/>
                                            <w:left w:val="none" w:sz="0" w:space="0" w:color="auto"/>
                                            <w:bottom w:val="none" w:sz="0" w:space="0" w:color="auto"/>
                                            <w:right w:val="none" w:sz="0" w:space="0" w:color="auto"/>
                                          </w:divBdr>
                                          <w:divsChild>
                                            <w:div w:id="1948004715">
                                              <w:marLeft w:val="0"/>
                                              <w:marRight w:val="0"/>
                                              <w:marTop w:val="0"/>
                                              <w:marBottom w:val="0"/>
                                              <w:divBdr>
                                                <w:top w:val="none" w:sz="0" w:space="0" w:color="auto"/>
                                                <w:left w:val="none" w:sz="0" w:space="0" w:color="auto"/>
                                                <w:bottom w:val="none" w:sz="0" w:space="0" w:color="auto"/>
                                                <w:right w:val="none" w:sz="0" w:space="0" w:color="auto"/>
                                              </w:divBdr>
                                            </w:div>
                                          </w:divsChild>
                                        </w:div>
                                        <w:div w:id="1948004755">
                                          <w:marLeft w:val="4"/>
                                          <w:marRight w:val="0"/>
                                          <w:marTop w:val="0"/>
                                          <w:marBottom w:val="0"/>
                                          <w:divBdr>
                                            <w:top w:val="none" w:sz="0" w:space="0" w:color="auto"/>
                                            <w:left w:val="none" w:sz="0" w:space="0" w:color="auto"/>
                                            <w:bottom w:val="none" w:sz="0" w:space="0" w:color="auto"/>
                                            <w:right w:val="none" w:sz="0" w:space="0" w:color="auto"/>
                                          </w:divBdr>
                                          <w:divsChild>
                                            <w:div w:id="1948004716">
                                              <w:marLeft w:val="4"/>
                                              <w:marRight w:val="0"/>
                                              <w:marTop w:val="0"/>
                                              <w:marBottom w:val="0"/>
                                              <w:divBdr>
                                                <w:top w:val="none" w:sz="0" w:space="0" w:color="auto"/>
                                                <w:left w:val="none" w:sz="0" w:space="0" w:color="auto"/>
                                                <w:bottom w:val="none" w:sz="0" w:space="0" w:color="auto"/>
                                                <w:right w:val="none" w:sz="0" w:space="0" w:color="auto"/>
                                              </w:divBdr>
                                              <w:divsChild>
                                                <w:div w:id="1948004736">
                                                  <w:marLeft w:val="4"/>
                                                  <w:marRight w:val="0"/>
                                                  <w:marTop w:val="0"/>
                                                  <w:marBottom w:val="0"/>
                                                  <w:divBdr>
                                                    <w:top w:val="none" w:sz="0" w:space="0" w:color="auto"/>
                                                    <w:left w:val="none" w:sz="0" w:space="0" w:color="auto"/>
                                                    <w:bottom w:val="none" w:sz="0" w:space="0" w:color="auto"/>
                                                    <w:right w:val="none" w:sz="0" w:space="0" w:color="auto"/>
                                                  </w:divBdr>
                                                </w:div>
                                                <w:div w:id="1948004768">
                                                  <w:marLeft w:val="0"/>
                                                  <w:marRight w:val="0"/>
                                                  <w:marTop w:val="0"/>
                                                  <w:marBottom w:val="0"/>
                                                  <w:divBdr>
                                                    <w:top w:val="none" w:sz="0" w:space="0" w:color="auto"/>
                                                    <w:left w:val="none" w:sz="0" w:space="0" w:color="auto"/>
                                                    <w:bottom w:val="none" w:sz="0" w:space="0" w:color="auto"/>
                                                    <w:right w:val="none" w:sz="0" w:space="0" w:color="auto"/>
                                                  </w:divBdr>
                                                </w:div>
                                                <w:div w:id="1948004781">
                                                  <w:marLeft w:val="4"/>
                                                  <w:marRight w:val="0"/>
                                                  <w:marTop w:val="0"/>
                                                  <w:marBottom w:val="0"/>
                                                  <w:divBdr>
                                                    <w:top w:val="none" w:sz="0" w:space="0" w:color="auto"/>
                                                    <w:left w:val="none" w:sz="0" w:space="0" w:color="auto"/>
                                                    <w:bottom w:val="none" w:sz="0" w:space="0" w:color="auto"/>
                                                    <w:right w:val="none" w:sz="0" w:space="0" w:color="auto"/>
                                                  </w:divBdr>
                                                </w:div>
                                              </w:divsChild>
                                            </w:div>
                                            <w:div w:id="1948004727">
                                              <w:marLeft w:val="4"/>
                                              <w:marRight w:val="0"/>
                                              <w:marTop w:val="0"/>
                                              <w:marBottom w:val="0"/>
                                              <w:divBdr>
                                                <w:top w:val="none" w:sz="0" w:space="0" w:color="auto"/>
                                                <w:left w:val="none" w:sz="0" w:space="0" w:color="auto"/>
                                                <w:bottom w:val="none" w:sz="0" w:space="0" w:color="auto"/>
                                                <w:right w:val="none" w:sz="0" w:space="0" w:color="auto"/>
                                              </w:divBdr>
                                            </w:div>
                                            <w:div w:id="1948004742">
                                              <w:marLeft w:val="0"/>
                                              <w:marRight w:val="0"/>
                                              <w:marTop w:val="0"/>
                                              <w:marBottom w:val="0"/>
                                              <w:divBdr>
                                                <w:top w:val="none" w:sz="0" w:space="0" w:color="auto"/>
                                                <w:left w:val="none" w:sz="0" w:space="0" w:color="auto"/>
                                                <w:bottom w:val="none" w:sz="0" w:space="0" w:color="auto"/>
                                                <w:right w:val="none" w:sz="0" w:space="0" w:color="auto"/>
                                              </w:divBdr>
                                            </w:div>
                                            <w:div w:id="1948004743">
                                              <w:marLeft w:val="4"/>
                                              <w:marRight w:val="0"/>
                                              <w:marTop w:val="0"/>
                                              <w:marBottom w:val="0"/>
                                              <w:divBdr>
                                                <w:top w:val="none" w:sz="0" w:space="0" w:color="auto"/>
                                                <w:left w:val="none" w:sz="0" w:space="0" w:color="auto"/>
                                                <w:bottom w:val="none" w:sz="0" w:space="0" w:color="auto"/>
                                                <w:right w:val="none" w:sz="0" w:space="0" w:color="auto"/>
                                              </w:divBdr>
                                            </w:div>
                                            <w:div w:id="1948004744">
                                              <w:marLeft w:val="4"/>
                                              <w:marRight w:val="0"/>
                                              <w:marTop w:val="0"/>
                                              <w:marBottom w:val="0"/>
                                              <w:divBdr>
                                                <w:top w:val="none" w:sz="0" w:space="0" w:color="auto"/>
                                                <w:left w:val="none" w:sz="0" w:space="0" w:color="auto"/>
                                                <w:bottom w:val="none" w:sz="0" w:space="0" w:color="auto"/>
                                                <w:right w:val="none" w:sz="0" w:space="0" w:color="auto"/>
                                              </w:divBdr>
                                            </w:div>
                                            <w:div w:id="1948004745">
                                              <w:marLeft w:val="4"/>
                                              <w:marRight w:val="0"/>
                                              <w:marTop w:val="0"/>
                                              <w:marBottom w:val="0"/>
                                              <w:divBdr>
                                                <w:top w:val="none" w:sz="0" w:space="0" w:color="auto"/>
                                                <w:left w:val="none" w:sz="0" w:space="0" w:color="auto"/>
                                                <w:bottom w:val="none" w:sz="0" w:space="0" w:color="auto"/>
                                                <w:right w:val="none" w:sz="0" w:space="0" w:color="auto"/>
                                              </w:divBdr>
                                            </w:div>
                                            <w:div w:id="1948004746">
                                              <w:marLeft w:val="4"/>
                                              <w:marRight w:val="0"/>
                                              <w:marTop w:val="0"/>
                                              <w:marBottom w:val="0"/>
                                              <w:divBdr>
                                                <w:top w:val="none" w:sz="0" w:space="0" w:color="auto"/>
                                                <w:left w:val="none" w:sz="0" w:space="0" w:color="auto"/>
                                                <w:bottom w:val="none" w:sz="0" w:space="0" w:color="auto"/>
                                                <w:right w:val="none" w:sz="0" w:space="0" w:color="auto"/>
                                              </w:divBdr>
                                            </w:div>
                                            <w:div w:id="1948004758">
                                              <w:marLeft w:val="4"/>
                                              <w:marRight w:val="0"/>
                                              <w:marTop w:val="0"/>
                                              <w:marBottom w:val="0"/>
                                              <w:divBdr>
                                                <w:top w:val="none" w:sz="0" w:space="0" w:color="auto"/>
                                                <w:left w:val="none" w:sz="0" w:space="0" w:color="auto"/>
                                                <w:bottom w:val="none" w:sz="0" w:space="0" w:color="auto"/>
                                                <w:right w:val="none" w:sz="0" w:space="0" w:color="auto"/>
                                              </w:divBdr>
                                            </w:div>
                                            <w:div w:id="1948004803">
                                              <w:marLeft w:val="4"/>
                                              <w:marRight w:val="0"/>
                                              <w:marTop w:val="0"/>
                                              <w:marBottom w:val="0"/>
                                              <w:divBdr>
                                                <w:top w:val="none" w:sz="0" w:space="0" w:color="auto"/>
                                                <w:left w:val="none" w:sz="0" w:space="0" w:color="auto"/>
                                                <w:bottom w:val="none" w:sz="0" w:space="0" w:color="auto"/>
                                                <w:right w:val="none" w:sz="0" w:space="0" w:color="auto"/>
                                              </w:divBdr>
                                            </w:div>
                                          </w:divsChild>
                                        </w:div>
                                        <w:div w:id="1948004763">
                                          <w:marLeft w:val="4"/>
                                          <w:marRight w:val="0"/>
                                          <w:marTop w:val="0"/>
                                          <w:marBottom w:val="0"/>
                                          <w:divBdr>
                                            <w:top w:val="none" w:sz="0" w:space="0" w:color="auto"/>
                                            <w:left w:val="none" w:sz="0" w:space="0" w:color="auto"/>
                                            <w:bottom w:val="none" w:sz="0" w:space="0" w:color="auto"/>
                                            <w:right w:val="none" w:sz="0" w:space="0" w:color="auto"/>
                                          </w:divBdr>
                                          <w:divsChild>
                                            <w:div w:id="1948004740">
                                              <w:marLeft w:val="4"/>
                                              <w:marRight w:val="0"/>
                                              <w:marTop w:val="0"/>
                                              <w:marBottom w:val="0"/>
                                              <w:divBdr>
                                                <w:top w:val="none" w:sz="0" w:space="0" w:color="auto"/>
                                                <w:left w:val="none" w:sz="0" w:space="0" w:color="auto"/>
                                                <w:bottom w:val="none" w:sz="0" w:space="0" w:color="auto"/>
                                                <w:right w:val="none" w:sz="0" w:space="0" w:color="auto"/>
                                              </w:divBdr>
                                            </w:div>
                                            <w:div w:id="1948004747">
                                              <w:marLeft w:val="4"/>
                                              <w:marRight w:val="0"/>
                                              <w:marTop w:val="0"/>
                                              <w:marBottom w:val="0"/>
                                              <w:divBdr>
                                                <w:top w:val="none" w:sz="0" w:space="0" w:color="auto"/>
                                                <w:left w:val="none" w:sz="0" w:space="0" w:color="auto"/>
                                                <w:bottom w:val="none" w:sz="0" w:space="0" w:color="auto"/>
                                                <w:right w:val="none" w:sz="0" w:space="0" w:color="auto"/>
                                              </w:divBdr>
                                            </w:div>
                                          </w:divsChild>
                                        </w:div>
                                        <w:div w:id="1948004764">
                                          <w:marLeft w:val="4"/>
                                          <w:marRight w:val="0"/>
                                          <w:marTop w:val="0"/>
                                          <w:marBottom w:val="0"/>
                                          <w:divBdr>
                                            <w:top w:val="none" w:sz="0" w:space="0" w:color="auto"/>
                                            <w:left w:val="none" w:sz="0" w:space="0" w:color="auto"/>
                                            <w:bottom w:val="none" w:sz="0" w:space="0" w:color="auto"/>
                                            <w:right w:val="none" w:sz="0" w:space="0" w:color="auto"/>
                                          </w:divBdr>
                                          <w:divsChild>
                                            <w:div w:id="1948004728">
                                              <w:marLeft w:val="4"/>
                                              <w:marRight w:val="0"/>
                                              <w:marTop w:val="0"/>
                                              <w:marBottom w:val="0"/>
                                              <w:divBdr>
                                                <w:top w:val="none" w:sz="0" w:space="0" w:color="auto"/>
                                                <w:left w:val="none" w:sz="0" w:space="0" w:color="auto"/>
                                                <w:bottom w:val="none" w:sz="0" w:space="0" w:color="auto"/>
                                                <w:right w:val="none" w:sz="0" w:space="0" w:color="auto"/>
                                              </w:divBdr>
                                            </w:div>
                                            <w:div w:id="1948004750">
                                              <w:marLeft w:val="4"/>
                                              <w:marRight w:val="0"/>
                                              <w:marTop w:val="0"/>
                                              <w:marBottom w:val="0"/>
                                              <w:divBdr>
                                                <w:top w:val="none" w:sz="0" w:space="0" w:color="auto"/>
                                                <w:left w:val="none" w:sz="0" w:space="0" w:color="auto"/>
                                                <w:bottom w:val="none" w:sz="0" w:space="0" w:color="auto"/>
                                                <w:right w:val="none" w:sz="0" w:space="0" w:color="auto"/>
                                              </w:divBdr>
                                            </w:div>
                                            <w:div w:id="1948004773">
                                              <w:marLeft w:val="4"/>
                                              <w:marRight w:val="0"/>
                                              <w:marTop w:val="0"/>
                                              <w:marBottom w:val="0"/>
                                              <w:divBdr>
                                                <w:top w:val="none" w:sz="0" w:space="0" w:color="auto"/>
                                                <w:left w:val="none" w:sz="0" w:space="0" w:color="auto"/>
                                                <w:bottom w:val="none" w:sz="0" w:space="0" w:color="auto"/>
                                                <w:right w:val="none" w:sz="0" w:space="0" w:color="auto"/>
                                              </w:divBdr>
                                              <w:divsChild>
                                                <w:div w:id="1948004725">
                                                  <w:marLeft w:val="4"/>
                                                  <w:marRight w:val="0"/>
                                                  <w:marTop w:val="0"/>
                                                  <w:marBottom w:val="0"/>
                                                  <w:divBdr>
                                                    <w:top w:val="none" w:sz="0" w:space="0" w:color="auto"/>
                                                    <w:left w:val="none" w:sz="0" w:space="0" w:color="auto"/>
                                                    <w:bottom w:val="none" w:sz="0" w:space="0" w:color="auto"/>
                                                    <w:right w:val="none" w:sz="0" w:space="0" w:color="auto"/>
                                                  </w:divBdr>
                                                </w:div>
                                                <w:div w:id="1948004735">
                                                  <w:marLeft w:val="4"/>
                                                  <w:marRight w:val="0"/>
                                                  <w:marTop w:val="0"/>
                                                  <w:marBottom w:val="0"/>
                                                  <w:divBdr>
                                                    <w:top w:val="none" w:sz="0" w:space="0" w:color="auto"/>
                                                    <w:left w:val="none" w:sz="0" w:space="0" w:color="auto"/>
                                                    <w:bottom w:val="none" w:sz="0" w:space="0" w:color="auto"/>
                                                    <w:right w:val="none" w:sz="0" w:space="0" w:color="auto"/>
                                                  </w:divBdr>
                                                </w:div>
                                                <w:div w:id="1948004752">
                                                  <w:marLeft w:val="4"/>
                                                  <w:marRight w:val="0"/>
                                                  <w:marTop w:val="0"/>
                                                  <w:marBottom w:val="0"/>
                                                  <w:divBdr>
                                                    <w:top w:val="none" w:sz="0" w:space="0" w:color="auto"/>
                                                    <w:left w:val="none" w:sz="0" w:space="0" w:color="auto"/>
                                                    <w:bottom w:val="none" w:sz="0" w:space="0" w:color="auto"/>
                                                    <w:right w:val="none" w:sz="0" w:space="0" w:color="auto"/>
                                                  </w:divBdr>
                                                </w:div>
                                                <w:div w:id="1948004806">
                                                  <w:marLeft w:val="0"/>
                                                  <w:marRight w:val="0"/>
                                                  <w:marTop w:val="0"/>
                                                  <w:marBottom w:val="0"/>
                                                  <w:divBdr>
                                                    <w:top w:val="none" w:sz="0" w:space="0" w:color="auto"/>
                                                    <w:left w:val="none" w:sz="0" w:space="0" w:color="auto"/>
                                                    <w:bottom w:val="none" w:sz="0" w:space="0" w:color="auto"/>
                                                    <w:right w:val="none" w:sz="0" w:space="0" w:color="auto"/>
                                                  </w:divBdr>
                                                </w:div>
                                              </w:divsChild>
                                            </w:div>
                                            <w:div w:id="1948004776">
                                              <w:marLeft w:val="4"/>
                                              <w:marRight w:val="0"/>
                                              <w:marTop w:val="0"/>
                                              <w:marBottom w:val="0"/>
                                              <w:divBdr>
                                                <w:top w:val="none" w:sz="0" w:space="0" w:color="auto"/>
                                                <w:left w:val="none" w:sz="0" w:space="0" w:color="auto"/>
                                                <w:bottom w:val="none" w:sz="0" w:space="0" w:color="auto"/>
                                                <w:right w:val="none" w:sz="0" w:space="0" w:color="auto"/>
                                              </w:divBdr>
                                            </w:div>
                                            <w:div w:id="1948004777">
                                              <w:marLeft w:val="4"/>
                                              <w:marRight w:val="0"/>
                                              <w:marTop w:val="0"/>
                                              <w:marBottom w:val="0"/>
                                              <w:divBdr>
                                                <w:top w:val="none" w:sz="0" w:space="0" w:color="auto"/>
                                                <w:left w:val="none" w:sz="0" w:space="0" w:color="auto"/>
                                                <w:bottom w:val="none" w:sz="0" w:space="0" w:color="auto"/>
                                                <w:right w:val="none" w:sz="0" w:space="0" w:color="auto"/>
                                              </w:divBdr>
                                            </w:div>
                                            <w:div w:id="1948004784">
                                              <w:marLeft w:val="4"/>
                                              <w:marRight w:val="0"/>
                                              <w:marTop w:val="0"/>
                                              <w:marBottom w:val="0"/>
                                              <w:divBdr>
                                                <w:top w:val="none" w:sz="0" w:space="0" w:color="auto"/>
                                                <w:left w:val="none" w:sz="0" w:space="0" w:color="auto"/>
                                                <w:bottom w:val="none" w:sz="0" w:space="0" w:color="auto"/>
                                                <w:right w:val="none" w:sz="0" w:space="0" w:color="auto"/>
                                              </w:divBdr>
                                            </w:div>
                                          </w:divsChild>
                                        </w:div>
                                        <w:div w:id="1948004767">
                                          <w:marLeft w:val="4"/>
                                          <w:marRight w:val="0"/>
                                          <w:marTop w:val="0"/>
                                          <w:marBottom w:val="0"/>
                                          <w:divBdr>
                                            <w:top w:val="none" w:sz="0" w:space="0" w:color="auto"/>
                                            <w:left w:val="none" w:sz="0" w:space="0" w:color="auto"/>
                                            <w:bottom w:val="none" w:sz="0" w:space="0" w:color="auto"/>
                                            <w:right w:val="none" w:sz="0" w:space="0" w:color="auto"/>
                                          </w:divBdr>
                                          <w:divsChild>
                                            <w:div w:id="1948004721">
                                              <w:marLeft w:val="4"/>
                                              <w:marRight w:val="0"/>
                                              <w:marTop w:val="0"/>
                                              <w:marBottom w:val="0"/>
                                              <w:divBdr>
                                                <w:top w:val="none" w:sz="0" w:space="0" w:color="auto"/>
                                                <w:left w:val="none" w:sz="0" w:space="0" w:color="auto"/>
                                                <w:bottom w:val="none" w:sz="0" w:space="0" w:color="auto"/>
                                                <w:right w:val="none" w:sz="0" w:space="0" w:color="auto"/>
                                              </w:divBdr>
                                            </w:div>
                                            <w:div w:id="1948004770">
                                              <w:marLeft w:val="4"/>
                                              <w:marRight w:val="0"/>
                                              <w:marTop w:val="0"/>
                                              <w:marBottom w:val="0"/>
                                              <w:divBdr>
                                                <w:top w:val="none" w:sz="0" w:space="0" w:color="auto"/>
                                                <w:left w:val="none" w:sz="0" w:space="0" w:color="auto"/>
                                                <w:bottom w:val="none" w:sz="0" w:space="0" w:color="auto"/>
                                                <w:right w:val="none" w:sz="0" w:space="0" w:color="auto"/>
                                              </w:divBdr>
                                              <w:divsChild>
                                                <w:div w:id="1948004724">
                                                  <w:marLeft w:val="4"/>
                                                  <w:marRight w:val="0"/>
                                                  <w:marTop w:val="0"/>
                                                  <w:marBottom w:val="0"/>
                                                  <w:divBdr>
                                                    <w:top w:val="none" w:sz="0" w:space="0" w:color="auto"/>
                                                    <w:left w:val="none" w:sz="0" w:space="0" w:color="auto"/>
                                                    <w:bottom w:val="none" w:sz="0" w:space="0" w:color="auto"/>
                                                    <w:right w:val="none" w:sz="0" w:space="0" w:color="auto"/>
                                                  </w:divBdr>
                                                </w:div>
                                                <w:div w:id="1948004789">
                                                  <w:marLeft w:val="4"/>
                                                  <w:marRight w:val="0"/>
                                                  <w:marTop w:val="0"/>
                                                  <w:marBottom w:val="0"/>
                                                  <w:divBdr>
                                                    <w:top w:val="none" w:sz="0" w:space="0" w:color="auto"/>
                                                    <w:left w:val="none" w:sz="0" w:space="0" w:color="auto"/>
                                                    <w:bottom w:val="none" w:sz="0" w:space="0" w:color="auto"/>
                                                    <w:right w:val="none" w:sz="0" w:space="0" w:color="auto"/>
                                                  </w:divBdr>
                                                </w:div>
                                                <w:div w:id="1948004790">
                                                  <w:marLeft w:val="4"/>
                                                  <w:marRight w:val="0"/>
                                                  <w:marTop w:val="0"/>
                                                  <w:marBottom w:val="0"/>
                                                  <w:divBdr>
                                                    <w:top w:val="none" w:sz="0" w:space="0" w:color="auto"/>
                                                    <w:left w:val="none" w:sz="0" w:space="0" w:color="auto"/>
                                                    <w:bottom w:val="none" w:sz="0" w:space="0" w:color="auto"/>
                                                    <w:right w:val="none" w:sz="0" w:space="0" w:color="auto"/>
                                                  </w:divBdr>
                                                </w:div>
                                                <w:div w:id="1948004797">
                                                  <w:marLeft w:val="4"/>
                                                  <w:marRight w:val="0"/>
                                                  <w:marTop w:val="0"/>
                                                  <w:marBottom w:val="0"/>
                                                  <w:divBdr>
                                                    <w:top w:val="none" w:sz="0" w:space="0" w:color="auto"/>
                                                    <w:left w:val="none" w:sz="0" w:space="0" w:color="auto"/>
                                                    <w:bottom w:val="none" w:sz="0" w:space="0" w:color="auto"/>
                                                    <w:right w:val="none" w:sz="0" w:space="0" w:color="auto"/>
                                                  </w:divBdr>
                                                </w:div>
                                                <w:div w:id="1948004798">
                                                  <w:marLeft w:val="4"/>
                                                  <w:marRight w:val="0"/>
                                                  <w:marTop w:val="0"/>
                                                  <w:marBottom w:val="0"/>
                                                  <w:divBdr>
                                                    <w:top w:val="none" w:sz="0" w:space="0" w:color="auto"/>
                                                    <w:left w:val="none" w:sz="0" w:space="0" w:color="auto"/>
                                                    <w:bottom w:val="none" w:sz="0" w:space="0" w:color="auto"/>
                                                    <w:right w:val="none" w:sz="0" w:space="0" w:color="auto"/>
                                                  </w:divBdr>
                                                </w:div>
                                              </w:divsChild>
                                            </w:div>
                                            <w:div w:id="1948004793">
                                              <w:marLeft w:val="0"/>
                                              <w:marRight w:val="0"/>
                                              <w:marTop w:val="0"/>
                                              <w:marBottom w:val="0"/>
                                              <w:divBdr>
                                                <w:top w:val="none" w:sz="0" w:space="0" w:color="auto"/>
                                                <w:left w:val="none" w:sz="0" w:space="0" w:color="auto"/>
                                                <w:bottom w:val="none" w:sz="0" w:space="0" w:color="auto"/>
                                                <w:right w:val="none" w:sz="0" w:space="0" w:color="auto"/>
                                              </w:divBdr>
                                            </w:div>
                                          </w:divsChild>
                                        </w:div>
                                        <w:div w:id="1948004769">
                                          <w:marLeft w:val="4"/>
                                          <w:marRight w:val="0"/>
                                          <w:marTop w:val="0"/>
                                          <w:marBottom w:val="0"/>
                                          <w:divBdr>
                                            <w:top w:val="none" w:sz="0" w:space="0" w:color="auto"/>
                                            <w:left w:val="none" w:sz="0" w:space="0" w:color="auto"/>
                                            <w:bottom w:val="none" w:sz="0" w:space="0" w:color="auto"/>
                                            <w:right w:val="none" w:sz="0" w:space="0" w:color="auto"/>
                                          </w:divBdr>
                                          <w:divsChild>
                                            <w:div w:id="1948004718">
                                              <w:marLeft w:val="4"/>
                                              <w:marRight w:val="0"/>
                                              <w:marTop w:val="0"/>
                                              <w:marBottom w:val="0"/>
                                              <w:divBdr>
                                                <w:top w:val="none" w:sz="0" w:space="0" w:color="auto"/>
                                                <w:left w:val="none" w:sz="0" w:space="0" w:color="auto"/>
                                                <w:bottom w:val="none" w:sz="0" w:space="0" w:color="auto"/>
                                                <w:right w:val="none" w:sz="0" w:space="0" w:color="auto"/>
                                              </w:divBdr>
                                            </w:div>
                                            <w:div w:id="1948004737">
                                              <w:marLeft w:val="4"/>
                                              <w:marRight w:val="0"/>
                                              <w:marTop w:val="0"/>
                                              <w:marBottom w:val="0"/>
                                              <w:divBdr>
                                                <w:top w:val="none" w:sz="0" w:space="0" w:color="auto"/>
                                                <w:left w:val="none" w:sz="0" w:space="0" w:color="auto"/>
                                                <w:bottom w:val="none" w:sz="0" w:space="0" w:color="auto"/>
                                                <w:right w:val="none" w:sz="0" w:space="0" w:color="auto"/>
                                              </w:divBdr>
                                            </w:div>
                                            <w:div w:id="1948004749">
                                              <w:marLeft w:val="4"/>
                                              <w:marRight w:val="0"/>
                                              <w:marTop w:val="0"/>
                                              <w:marBottom w:val="0"/>
                                              <w:divBdr>
                                                <w:top w:val="none" w:sz="0" w:space="0" w:color="auto"/>
                                                <w:left w:val="none" w:sz="0" w:space="0" w:color="auto"/>
                                                <w:bottom w:val="none" w:sz="0" w:space="0" w:color="auto"/>
                                                <w:right w:val="none" w:sz="0" w:space="0" w:color="auto"/>
                                              </w:divBdr>
                                            </w:div>
                                            <w:div w:id="1948004754">
                                              <w:marLeft w:val="4"/>
                                              <w:marRight w:val="0"/>
                                              <w:marTop w:val="0"/>
                                              <w:marBottom w:val="0"/>
                                              <w:divBdr>
                                                <w:top w:val="none" w:sz="0" w:space="0" w:color="auto"/>
                                                <w:left w:val="none" w:sz="0" w:space="0" w:color="auto"/>
                                                <w:bottom w:val="none" w:sz="0" w:space="0" w:color="auto"/>
                                                <w:right w:val="none" w:sz="0" w:space="0" w:color="auto"/>
                                              </w:divBdr>
                                            </w:div>
                                            <w:div w:id="1948004787">
                                              <w:marLeft w:val="4"/>
                                              <w:marRight w:val="0"/>
                                              <w:marTop w:val="0"/>
                                              <w:marBottom w:val="0"/>
                                              <w:divBdr>
                                                <w:top w:val="none" w:sz="0" w:space="0" w:color="auto"/>
                                                <w:left w:val="none" w:sz="0" w:space="0" w:color="auto"/>
                                                <w:bottom w:val="none" w:sz="0" w:space="0" w:color="auto"/>
                                                <w:right w:val="none" w:sz="0" w:space="0" w:color="auto"/>
                                              </w:divBdr>
                                            </w:div>
                                          </w:divsChild>
                                        </w:div>
                                        <w:div w:id="1948004779">
                                          <w:marLeft w:val="4"/>
                                          <w:marRight w:val="0"/>
                                          <w:marTop w:val="0"/>
                                          <w:marBottom w:val="0"/>
                                          <w:divBdr>
                                            <w:top w:val="none" w:sz="0" w:space="0" w:color="auto"/>
                                            <w:left w:val="none" w:sz="0" w:space="0" w:color="auto"/>
                                            <w:bottom w:val="none" w:sz="0" w:space="0" w:color="auto"/>
                                            <w:right w:val="none" w:sz="0" w:space="0" w:color="auto"/>
                                          </w:divBdr>
                                          <w:divsChild>
                                            <w:div w:id="1948004802">
                                              <w:marLeft w:val="0"/>
                                              <w:marRight w:val="0"/>
                                              <w:marTop w:val="0"/>
                                              <w:marBottom w:val="0"/>
                                              <w:divBdr>
                                                <w:top w:val="none" w:sz="0" w:space="0" w:color="auto"/>
                                                <w:left w:val="none" w:sz="0" w:space="0" w:color="auto"/>
                                                <w:bottom w:val="none" w:sz="0" w:space="0" w:color="auto"/>
                                                <w:right w:val="none" w:sz="0" w:space="0" w:color="auto"/>
                                              </w:divBdr>
                                            </w:div>
                                          </w:divsChild>
                                        </w:div>
                                        <w:div w:id="1948004800">
                                          <w:marLeft w:val="4"/>
                                          <w:marRight w:val="0"/>
                                          <w:marTop w:val="0"/>
                                          <w:marBottom w:val="0"/>
                                          <w:divBdr>
                                            <w:top w:val="none" w:sz="0" w:space="0" w:color="auto"/>
                                            <w:left w:val="none" w:sz="0" w:space="0" w:color="auto"/>
                                            <w:bottom w:val="none" w:sz="0" w:space="0" w:color="auto"/>
                                            <w:right w:val="none" w:sz="0" w:space="0" w:color="auto"/>
                                          </w:divBdr>
                                          <w:divsChild>
                                            <w:div w:id="1948004714">
                                              <w:marLeft w:val="4"/>
                                              <w:marRight w:val="0"/>
                                              <w:marTop w:val="0"/>
                                              <w:marBottom w:val="0"/>
                                              <w:divBdr>
                                                <w:top w:val="none" w:sz="0" w:space="0" w:color="auto"/>
                                                <w:left w:val="none" w:sz="0" w:space="0" w:color="auto"/>
                                                <w:bottom w:val="none" w:sz="0" w:space="0" w:color="auto"/>
                                                <w:right w:val="none" w:sz="0" w:space="0" w:color="auto"/>
                                              </w:divBdr>
                                            </w:div>
                                            <w:div w:id="1948004717">
                                              <w:marLeft w:val="4"/>
                                              <w:marRight w:val="0"/>
                                              <w:marTop w:val="0"/>
                                              <w:marBottom w:val="0"/>
                                              <w:divBdr>
                                                <w:top w:val="none" w:sz="0" w:space="0" w:color="auto"/>
                                                <w:left w:val="none" w:sz="0" w:space="0" w:color="auto"/>
                                                <w:bottom w:val="none" w:sz="0" w:space="0" w:color="auto"/>
                                                <w:right w:val="none" w:sz="0" w:space="0" w:color="auto"/>
                                              </w:divBdr>
                                            </w:div>
                                            <w:div w:id="1948004722">
                                              <w:marLeft w:val="4"/>
                                              <w:marRight w:val="0"/>
                                              <w:marTop w:val="0"/>
                                              <w:marBottom w:val="0"/>
                                              <w:divBdr>
                                                <w:top w:val="none" w:sz="0" w:space="0" w:color="auto"/>
                                                <w:left w:val="none" w:sz="0" w:space="0" w:color="auto"/>
                                                <w:bottom w:val="none" w:sz="0" w:space="0" w:color="auto"/>
                                                <w:right w:val="none" w:sz="0" w:space="0" w:color="auto"/>
                                              </w:divBdr>
                                              <w:divsChild>
                                                <w:div w:id="1948004719">
                                                  <w:marLeft w:val="4"/>
                                                  <w:marRight w:val="0"/>
                                                  <w:marTop w:val="0"/>
                                                  <w:marBottom w:val="0"/>
                                                  <w:divBdr>
                                                    <w:top w:val="none" w:sz="0" w:space="0" w:color="auto"/>
                                                    <w:left w:val="none" w:sz="0" w:space="0" w:color="auto"/>
                                                    <w:bottom w:val="none" w:sz="0" w:space="0" w:color="auto"/>
                                                    <w:right w:val="none" w:sz="0" w:space="0" w:color="auto"/>
                                                  </w:divBdr>
                                                  <w:divsChild>
                                                    <w:div w:id="1948004732">
                                                      <w:marLeft w:val="4"/>
                                                      <w:marRight w:val="0"/>
                                                      <w:marTop w:val="0"/>
                                                      <w:marBottom w:val="0"/>
                                                      <w:divBdr>
                                                        <w:top w:val="none" w:sz="0" w:space="0" w:color="auto"/>
                                                        <w:left w:val="none" w:sz="0" w:space="0" w:color="auto"/>
                                                        <w:bottom w:val="none" w:sz="0" w:space="0" w:color="auto"/>
                                                        <w:right w:val="none" w:sz="0" w:space="0" w:color="auto"/>
                                                      </w:divBdr>
                                                    </w:div>
                                                    <w:div w:id="1948004753">
                                                      <w:marLeft w:val="4"/>
                                                      <w:marRight w:val="0"/>
                                                      <w:marTop w:val="0"/>
                                                      <w:marBottom w:val="0"/>
                                                      <w:divBdr>
                                                        <w:top w:val="none" w:sz="0" w:space="0" w:color="auto"/>
                                                        <w:left w:val="none" w:sz="0" w:space="0" w:color="auto"/>
                                                        <w:bottom w:val="none" w:sz="0" w:space="0" w:color="auto"/>
                                                        <w:right w:val="none" w:sz="0" w:space="0" w:color="auto"/>
                                                      </w:divBdr>
                                                    </w:div>
                                                    <w:div w:id="1948004805">
                                                      <w:marLeft w:val="4"/>
                                                      <w:marRight w:val="0"/>
                                                      <w:marTop w:val="0"/>
                                                      <w:marBottom w:val="0"/>
                                                      <w:divBdr>
                                                        <w:top w:val="none" w:sz="0" w:space="0" w:color="auto"/>
                                                        <w:left w:val="none" w:sz="0" w:space="0" w:color="auto"/>
                                                        <w:bottom w:val="none" w:sz="0" w:space="0" w:color="auto"/>
                                                        <w:right w:val="none" w:sz="0" w:space="0" w:color="auto"/>
                                                      </w:divBdr>
                                                    </w:div>
                                                  </w:divsChild>
                                                </w:div>
                                                <w:div w:id="1948004751">
                                                  <w:marLeft w:val="4"/>
                                                  <w:marRight w:val="0"/>
                                                  <w:marTop w:val="0"/>
                                                  <w:marBottom w:val="0"/>
                                                  <w:divBdr>
                                                    <w:top w:val="none" w:sz="0" w:space="0" w:color="auto"/>
                                                    <w:left w:val="none" w:sz="0" w:space="0" w:color="auto"/>
                                                    <w:bottom w:val="none" w:sz="0" w:space="0" w:color="auto"/>
                                                    <w:right w:val="none" w:sz="0" w:space="0" w:color="auto"/>
                                                  </w:divBdr>
                                                </w:div>
                                                <w:div w:id="1948004760">
                                                  <w:marLeft w:val="4"/>
                                                  <w:marRight w:val="0"/>
                                                  <w:marTop w:val="0"/>
                                                  <w:marBottom w:val="0"/>
                                                  <w:divBdr>
                                                    <w:top w:val="none" w:sz="0" w:space="0" w:color="auto"/>
                                                    <w:left w:val="none" w:sz="0" w:space="0" w:color="auto"/>
                                                    <w:bottom w:val="none" w:sz="0" w:space="0" w:color="auto"/>
                                                    <w:right w:val="none" w:sz="0" w:space="0" w:color="auto"/>
                                                  </w:divBdr>
                                                </w:div>
                                                <w:div w:id="1948004807">
                                                  <w:marLeft w:val="0"/>
                                                  <w:marRight w:val="0"/>
                                                  <w:marTop w:val="0"/>
                                                  <w:marBottom w:val="0"/>
                                                  <w:divBdr>
                                                    <w:top w:val="none" w:sz="0" w:space="0" w:color="auto"/>
                                                    <w:left w:val="none" w:sz="0" w:space="0" w:color="auto"/>
                                                    <w:bottom w:val="none" w:sz="0" w:space="0" w:color="auto"/>
                                                    <w:right w:val="none" w:sz="0" w:space="0" w:color="auto"/>
                                                  </w:divBdr>
                                                </w:div>
                                              </w:divsChild>
                                            </w:div>
                                            <w:div w:id="1948004729">
                                              <w:marLeft w:val="4"/>
                                              <w:marRight w:val="0"/>
                                              <w:marTop w:val="0"/>
                                              <w:marBottom w:val="0"/>
                                              <w:divBdr>
                                                <w:top w:val="none" w:sz="0" w:space="0" w:color="auto"/>
                                                <w:left w:val="none" w:sz="0" w:space="0" w:color="auto"/>
                                                <w:bottom w:val="none" w:sz="0" w:space="0" w:color="auto"/>
                                                <w:right w:val="none" w:sz="0" w:space="0" w:color="auto"/>
                                              </w:divBdr>
                                              <w:divsChild>
                                                <w:div w:id="1948004788">
                                                  <w:marLeft w:val="4"/>
                                                  <w:marRight w:val="0"/>
                                                  <w:marTop w:val="0"/>
                                                  <w:marBottom w:val="0"/>
                                                  <w:divBdr>
                                                    <w:top w:val="none" w:sz="0" w:space="0" w:color="auto"/>
                                                    <w:left w:val="none" w:sz="0" w:space="0" w:color="auto"/>
                                                    <w:bottom w:val="none" w:sz="0" w:space="0" w:color="auto"/>
                                                    <w:right w:val="none" w:sz="0" w:space="0" w:color="auto"/>
                                                  </w:divBdr>
                                                </w:div>
                                                <w:div w:id="1948004796">
                                                  <w:marLeft w:val="4"/>
                                                  <w:marRight w:val="0"/>
                                                  <w:marTop w:val="0"/>
                                                  <w:marBottom w:val="0"/>
                                                  <w:divBdr>
                                                    <w:top w:val="none" w:sz="0" w:space="0" w:color="auto"/>
                                                    <w:left w:val="none" w:sz="0" w:space="0" w:color="auto"/>
                                                    <w:bottom w:val="none" w:sz="0" w:space="0" w:color="auto"/>
                                                    <w:right w:val="none" w:sz="0" w:space="0" w:color="auto"/>
                                                  </w:divBdr>
                                                </w:div>
                                              </w:divsChild>
                                            </w:div>
                                            <w:div w:id="1948004775">
                                              <w:marLeft w:val="4"/>
                                              <w:marRight w:val="0"/>
                                              <w:marTop w:val="0"/>
                                              <w:marBottom w:val="0"/>
                                              <w:divBdr>
                                                <w:top w:val="none" w:sz="0" w:space="0" w:color="auto"/>
                                                <w:left w:val="none" w:sz="0" w:space="0" w:color="auto"/>
                                                <w:bottom w:val="none" w:sz="0" w:space="0" w:color="auto"/>
                                                <w:right w:val="none" w:sz="0" w:space="0" w:color="auto"/>
                                              </w:divBdr>
                                            </w:div>
                                            <w:div w:id="1948004795">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1948004761">
                                      <w:marLeft w:val="0"/>
                                      <w:marRight w:val="0"/>
                                      <w:marTop w:val="0"/>
                                      <w:marBottom w:val="0"/>
                                      <w:divBdr>
                                        <w:top w:val="none" w:sz="0" w:space="0" w:color="auto"/>
                                        <w:left w:val="none" w:sz="0" w:space="0" w:color="auto"/>
                                        <w:bottom w:val="none" w:sz="0" w:space="0" w:color="auto"/>
                                        <w:right w:val="none" w:sz="0" w:space="0" w:color="auto"/>
                                      </w:divBdr>
                                      <w:divsChild>
                                        <w:div w:id="1948004723">
                                          <w:marLeft w:val="0"/>
                                          <w:marRight w:val="0"/>
                                          <w:marTop w:val="0"/>
                                          <w:marBottom w:val="0"/>
                                          <w:divBdr>
                                            <w:top w:val="none" w:sz="0" w:space="0" w:color="auto"/>
                                            <w:left w:val="none" w:sz="0" w:space="0" w:color="auto"/>
                                            <w:bottom w:val="none" w:sz="0" w:space="0" w:color="auto"/>
                                            <w:right w:val="none" w:sz="0" w:space="0" w:color="auto"/>
                                          </w:divBdr>
                                        </w:div>
                                        <w:div w:id="1948004782">
                                          <w:marLeft w:val="0"/>
                                          <w:marRight w:val="0"/>
                                          <w:marTop w:val="0"/>
                                          <w:marBottom w:val="2"/>
                                          <w:divBdr>
                                            <w:top w:val="none" w:sz="0" w:space="0" w:color="auto"/>
                                            <w:left w:val="none" w:sz="0" w:space="0" w:color="auto"/>
                                            <w:bottom w:val="none" w:sz="0" w:space="0" w:color="auto"/>
                                            <w:right w:val="none" w:sz="0" w:space="0" w:color="auto"/>
                                          </w:divBdr>
                                        </w:div>
                                      </w:divsChild>
                                    </w:div>
                                    <w:div w:id="1948004801">
                                      <w:marLeft w:val="0"/>
                                      <w:marRight w:val="0"/>
                                      <w:marTop w:val="0"/>
                                      <w:marBottom w:val="0"/>
                                      <w:divBdr>
                                        <w:top w:val="none" w:sz="0" w:space="0" w:color="auto"/>
                                        <w:left w:val="none" w:sz="0" w:space="0" w:color="auto"/>
                                        <w:bottom w:val="none" w:sz="0" w:space="0" w:color="auto"/>
                                        <w:right w:val="none" w:sz="0" w:space="0" w:color="auto"/>
                                      </w:divBdr>
                                      <w:divsChild>
                                        <w:div w:id="194800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8004785">
      <w:marLeft w:val="0"/>
      <w:marRight w:val="0"/>
      <w:marTop w:val="0"/>
      <w:marBottom w:val="0"/>
      <w:divBdr>
        <w:top w:val="none" w:sz="0" w:space="0" w:color="auto"/>
        <w:left w:val="none" w:sz="0" w:space="0" w:color="auto"/>
        <w:bottom w:val="none" w:sz="0" w:space="0" w:color="auto"/>
        <w:right w:val="none" w:sz="0" w:space="0" w:color="auto"/>
      </w:divBdr>
    </w:div>
    <w:div w:id="1948004786">
      <w:marLeft w:val="0"/>
      <w:marRight w:val="0"/>
      <w:marTop w:val="0"/>
      <w:marBottom w:val="0"/>
      <w:divBdr>
        <w:top w:val="none" w:sz="0" w:space="0" w:color="auto"/>
        <w:left w:val="none" w:sz="0" w:space="0" w:color="auto"/>
        <w:bottom w:val="none" w:sz="0" w:space="0" w:color="auto"/>
        <w:right w:val="none" w:sz="0" w:space="0" w:color="auto"/>
      </w:divBdr>
    </w:div>
    <w:div w:id="1948004792">
      <w:marLeft w:val="0"/>
      <w:marRight w:val="0"/>
      <w:marTop w:val="0"/>
      <w:marBottom w:val="0"/>
      <w:divBdr>
        <w:top w:val="none" w:sz="0" w:space="0" w:color="auto"/>
        <w:left w:val="none" w:sz="0" w:space="0" w:color="auto"/>
        <w:bottom w:val="none" w:sz="0" w:space="0" w:color="auto"/>
        <w:right w:val="none" w:sz="0" w:space="0" w:color="auto"/>
      </w:divBdr>
    </w:div>
    <w:div w:id="1948004794">
      <w:marLeft w:val="0"/>
      <w:marRight w:val="0"/>
      <w:marTop w:val="0"/>
      <w:marBottom w:val="0"/>
      <w:divBdr>
        <w:top w:val="none" w:sz="0" w:space="0" w:color="auto"/>
        <w:left w:val="none" w:sz="0" w:space="0" w:color="auto"/>
        <w:bottom w:val="none" w:sz="0" w:space="0" w:color="auto"/>
        <w:right w:val="none" w:sz="0" w:space="0" w:color="auto"/>
      </w:divBdr>
    </w:div>
    <w:div w:id="205685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ferc.gov/docs-filing/forms.asp" TargetMode="External"/><Relationship Id="rId4" Type="http://schemas.microsoft.com/office/2007/relationships/stylesWithEffects" Target="stylesWithEffects.xml"/><Relationship Id="rId9" Type="http://schemas.openxmlformats.org/officeDocument/2006/relationships/hyperlink" Target="http://www.ferc.gov/docs-filing/forms/form-6/elec-subm-soft.asp"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F2622-0F8E-4F16-A5D3-C7124EA77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3939</Words>
  <Characters>21034</Characters>
  <Application>Microsoft Office Word</Application>
  <DocSecurity>0</DocSecurity>
  <Lines>489</Lines>
  <Paragraphs>242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FERC</Company>
  <LinksUpToDate>false</LinksUpToDate>
  <CharactersWithSpaces>24731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Anthony May</dc:creator>
  <cp:lastModifiedBy>Ellen Brown</cp:lastModifiedBy>
  <cp:revision>6</cp:revision>
  <cp:lastPrinted>2011-08-10T14:13:00Z</cp:lastPrinted>
  <dcterms:created xsi:type="dcterms:W3CDTF">2013-07-25T21:19:00Z</dcterms:created>
  <dcterms:modified xsi:type="dcterms:W3CDTF">2013-07-25T21:25:00Z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842253692</vt:i4>
  </property>
  <property fmtid="{D5CDD505-2E9C-101B-9397-08002B2CF9AE}" pid="4" name="_EmailSubject">
    <vt:lpwstr>RM12-18 --info. needed today</vt:lpwstr>
  </property>
  <property fmtid="{D5CDD505-2E9C-101B-9397-08002B2CF9AE}" pid="5" name="_AuthorEmail">
    <vt:lpwstr>brian.holmes@ferc.gov</vt:lpwstr>
  </property>
  <property fmtid="{D5CDD505-2E9C-101B-9397-08002B2CF9AE}" pid="6" name="_AuthorEmailDisplayName">
    <vt:lpwstr>Brian Holmes</vt:lpwstr>
  </property>
  <property fmtid="{D5CDD505-2E9C-101B-9397-08002B2CF9AE}" pid="7" name="_ReviewingToolsShownOnce">
    <vt:lpwstr/>
  </property>
</Properties>
</file>