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03" w:rsidRDefault="00026303" w:rsidP="00026303">
      <w:pPr>
        <w:pStyle w:val="Heading1"/>
      </w:pPr>
      <w:r>
        <w:t>B.</w:t>
      </w:r>
      <w:r>
        <w:tab/>
        <w:t xml:space="preserve">Collection of Information Employing Statistical Methods If statistical methods will not be used to select respondents and item 17 on Form 83-I is checked “No” use this section to describe data collection procedures.  </w:t>
      </w:r>
    </w:p>
    <w:p w:rsidR="00026303" w:rsidRDefault="00026303" w:rsidP="00026303">
      <w:pPr>
        <w:pStyle w:val="Heading1"/>
        <w:ind w:left="720"/>
      </w:pPr>
    </w:p>
    <w:p w:rsidR="00026303" w:rsidRDefault="00026303" w:rsidP="00026303">
      <w:pPr>
        <w:rPr>
          <w:b/>
          <w:bCs/>
          <w:sz w:val="24"/>
        </w:rPr>
      </w:pPr>
      <w:r>
        <w:rPr>
          <w:b/>
          <w:bCs/>
          <w:sz w:val="24"/>
        </w:rPr>
        <w:t>1. Respondent Universe and Sampling Methods</w:t>
      </w:r>
    </w:p>
    <w:p w:rsidR="00026303" w:rsidRPr="00EB187F" w:rsidRDefault="00026303" w:rsidP="00026303">
      <w:pPr>
        <w:ind w:left="720"/>
        <w:rPr>
          <w:sz w:val="24"/>
        </w:rPr>
      </w:pPr>
    </w:p>
    <w:p w:rsidR="00026303" w:rsidRPr="00EB187F" w:rsidRDefault="00026303" w:rsidP="00026303">
      <w:pPr>
        <w:rPr>
          <w:sz w:val="24"/>
        </w:rPr>
      </w:pPr>
      <w:proofErr w:type="gramStart"/>
      <w:r>
        <w:rPr>
          <w:b/>
          <w:bCs/>
          <w:sz w:val="24"/>
        </w:rPr>
        <w:t>Health Systems Intervention</w:t>
      </w:r>
      <w:r>
        <w:rPr>
          <w:sz w:val="24"/>
        </w:rPr>
        <w:t>.</w:t>
      </w:r>
      <w:proofErr w:type="gramEnd"/>
      <w:r>
        <w:rPr>
          <w:sz w:val="24"/>
        </w:rPr>
        <w:t xml:space="preserve"> The health systems intervention targets clinic providers (through training and standard operating procedures) to improve preventive health counseling and referrals regarding healthy weight.  The effectiveness of this intervention will be evaluated first and foremost through examination of provider behavior as evidenced by patient medical record review.  </w:t>
      </w:r>
      <w:r w:rsidRPr="00860688">
        <w:rPr>
          <w:sz w:val="24"/>
        </w:rPr>
        <w:t xml:space="preserve">The design of the </w:t>
      </w:r>
      <w:r>
        <w:rPr>
          <w:sz w:val="24"/>
        </w:rPr>
        <w:t xml:space="preserve">medical record abstraction component of the study </w:t>
      </w:r>
      <w:r w:rsidRPr="00860688">
        <w:rPr>
          <w:sz w:val="24"/>
        </w:rPr>
        <w:t xml:space="preserve">consists of repeated sampling </w:t>
      </w:r>
      <w:r>
        <w:rPr>
          <w:sz w:val="24"/>
        </w:rPr>
        <w:t>of patients in the target population (LB women aged 40 and older considered overweight/obese) seen at the LMHS clinic during the three-month period prior to and the three-month period after implementing the clinic intervention</w:t>
      </w:r>
      <w:r w:rsidRPr="00860688">
        <w:rPr>
          <w:sz w:val="24"/>
        </w:rPr>
        <w:t>.</w:t>
      </w:r>
      <w:r>
        <w:rPr>
          <w:sz w:val="24"/>
        </w:rPr>
        <w:t xml:space="preserve">  The pre-/post-training Knowledge and Attitudes Assessment for providers and clinic staff will include all participants in the training.</w:t>
      </w:r>
    </w:p>
    <w:p w:rsidR="00026303" w:rsidRDefault="00026303" w:rsidP="00026303">
      <w:pPr>
        <w:ind w:left="720"/>
        <w:rPr>
          <w:b/>
          <w:bCs/>
          <w:sz w:val="24"/>
        </w:rPr>
      </w:pPr>
    </w:p>
    <w:p w:rsidR="00026303" w:rsidRDefault="00026303" w:rsidP="00026303">
      <w:pPr>
        <w:rPr>
          <w:sz w:val="24"/>
        </w:rPr>
      </w:pPr>
      <w:proofErr w:type="gramStart"/>
      <w:r w:rsidRPr="00EB187F">
        <w:rPr>
          <w:b/>
          <w:bCs/>
          <w:sz w:val="24"/>
        </w:rPr>
        <w:t>Group Intervention</w:t>
      </w:r>
      <w:r>
        <w:rPr>
          <w:sz w:val="24"/>
        </w:rPr>
        <w:t>.</w:t>
      </w:r>
      <w:proofErr w:type="gramEnd"/>
      <w:r>
        <w:rPr>
          <w:sz w:val="24"/>
        </w:rPr>
        <w:t xml:space="preserve"> The intervention is being evaluated with 80 women who reside in the San Francisco Bay Area, are aged 40 and older, identify as LB, and are overweight or obese at enrollment (based on self-reported height and weight to calculate body mass index).  A convenience sample of women in the San Francisco Bay Area will be recruited.  The primary recruitment venue will be LMHS, our community-based health clinic partner with a patient population of sufficient size from which to draw the study sample.  Additional recruitment will take place through community organizations that serve the target population as well as through print advertisements and electronic list-serves. </w:t>
      </w:r>
    </w:p>
    <w:p w:rsidR="00026303" w:rsidRDefault="00026303" w:rsidP="00026303">
      <w:pPr>
        <w:rPr>
          <w:sz w:val="24"/>
        </w:rPr>
      </w:pPr>
    </w:p>
    <w:p w:rsidR="00026303" w:rsidRDefault="00026303" w:rsidP="00026303">
      <w:pPr>
        <w:spacing w:before="29"/>
        <w:ind w:right="187"/>
        <w:rPr>
          <w:b/>
          <w:bCs/>
          <w:sz w:val="24"/>
        </w:rPr>
      </w:pPr>
      <w:r>
        <w:rPr>
          <w:b/>
          <w:bCs/>
          <w:sz w:val="24"/>
        </w:rPr>
        <w:t>Sample si</w:t>
      </w:r>
      <w:r>
        <w:rPr>
          <w:b/>
          <w:bCs/>
          <w:spacing w:val="-2"/>
          <w:sz w:val="24"/>
        </w:rPr>
        <w:t>z</w:t>
      </w:r>
      <w:r>
        <w:rPr>
          <w:b/>
          <w:bCs/>
          <w:sz w:val="24"/>
        </w:rPr>
        <w:t>e and po</w:t>
      </w:r>
      <w:r>
        <w:rPr>
          <w:b/>
          <w:bCs/>
          <w:spacing w:val="-2"/>
          <w:sz w:val="24"/>
        </w:rPr>
        <w:t>w</w:t>
      </w:r>
      <w:r>
        <w:rPr>
          <w:b/>
          <w:bCs/>
          <w:sz w:val="24"/>
        </w:rPr>
        <w:t xml:space="preserve">er analysis </w:t>
      </w:r>
    </w:p>
    <w:p w:rsidR="00026303" w:rsidRDefault="00026303" w:rsidP="00026303">
      <w:pPr>
        <w:spacing w:before="29"/>
        <w:ind w:right="187"/>
        <w:rPr>
          <w:b/>
          <w:bCs/>
          <w:sz w:val="24"/>
        </w:rPr>
      </w:pPr>
    </w:p>
    <w:p w:rsidR="00026303" w:rsidRDefault="00026303" w:rsidP="00026303">
      <w:pPr>
        <w:spacing w:before="29"/>
        <w:ind w:right="187"/>
        <w:rPr>
          <w:sz w:val="24"/>
        </w:rPr>
      </w:pPr>
      <w:proofErr w:type="gramStart"/>
      <w:r>
        <w:rPr>
          <w:b/>
          <w:bCs/>
          <w:sz w:val="24"/>
        </w:rPr>
        <w:t>Health Systems Intervention</w:t>
      </w:r>
      <w:r>
        <w:rPr>
          <w:sz w:val="24"/>
        </w:rPr>
        <w:t>.</w:t>
      </w:r>
      <w:proofErr w:type="gramEnd"/>
      <w:r>
        <w:rPr>
          <w:sz w:val="24"/>
        </w:rPr>
        <w:t xml:space="preserve"> The rationale for the proposed target sample size for abstraction of patient records was based on power calculations for a design with pre- and post-intervention estimates of the proportion of overweight and obese LB women who receive preventive health counseling. Power calculations were based on a two-tailed α=0.05 level test for comparing two independent proportions, assuming the pre-intervention proportion who receive preventive health counseling is 20%.  If we abstract 150 randomly selected patient visit records at both time periods (pre and post-intervention), we will have 80% power to detect a 15% difference in proportions and 99% power to detect a 25% difference.</w:t>
      </w:r>
    </w:p>
    <w:p w:rsidR="00026303" w:rsidRDefault="00026303" w:rsidP="00026303">
      <w:pPr>
        <w:spacing w:before="29"/>
        <w:ind w:right="187"/>
        <w:rPr>
          <w:sz w:val="24"/>
        </w:rPr>
      </w:pPr>
    </w:p>
    <w:p w:rsidR="00026303" w:rsidRDefault="00026303" w:rsidP="000B0C05">
      <w:pPr>
        <w:rPr>
          <w:sz w:val="24"/>
        </w:rPr>
      </w:pPr>
      <w:proofErr w:type="gramStart"/>
      <w:r>
        <w:rPr>
          <w:b/>
          <w:bCs/>
          <w:sz w:val="24"/>
        </w:rPr>
        <w:t>Group Intervention</w:t>
      </w:r>
      <w:r>
        <w:rPr>
          <w:sz w:val="24"/>
        </w:rPr>
        <w:t>.</w:t>
      </w:r>
      <w:proofErr w:type="gramEnd"/>
      <w:r>
        <w:rPr>
          <w:sz w:val="24"/>
        </w:rPr>
        <w:t xml:space="preserve"> </w:t>
      </w:r>
      <w:r w:rsidR="000B0C05">
        <w:rPr>
          <w:sz w:val="24"/>
        </w:rPr>
        <w:t>The rationale for the proposed target sample size for the number of LB women in the group intervention study component was based on power calculations for comparing pre-post changes in HgA1c between the intervention and control groups. Our proposed sa</w:t>
      </w:r>
      <w:r w:rsidR="000B0C05">
        <w:rPr>
          <w:spacing w:val="-2"/>
          <w:sz w:val="24"/>
        </w:rPr>
        <w:t>m</w:t>
      </w:r>
      <w:r w:rsidR="000B0C05">
        <w:rPr>
          <w:sz w:val="24"/>
        </w:rPr>
        <w:t>ple</w:t>
      </w:r>
      <w:r w:rsidR="000B0C05">
        <w:rPr>
          <w:spacing w:val="-6"/>
          <w:sz w:val="24"/>
        </w:rPr>
        <w:t xml:space="preserve"> </w:t>
      </w:r>
      <w:r w:rsidR="000B0C05">
        <w:rPr>
          <w:sz w:val="24"/>
        </w:rPr>
        <w:t>size of 40 wo</w:t>
      </w:r>
      <w:r w:rsidR="000B0C05">
        <w:rPr>
          <w:spacing w:val="-2"/>
          <w:sz w:val="24"/>
        </w:rPr>
        <w:t>m</w:t>
      </w:r>
      <w:r w:rsidR="000B0C05">
        <w:rPr>
          <w:spacing w:val="2"/>
          <w:sz w:val="24"/>
        </w:rPr>
        <w:t>e</w:t>
      </w:r>
      <w:r w:rsidR="000B0C05">
        <w:rPr>
          <w:sz w:val="24"/>
        </w:rPr>
        <w:t>n</w:t>
      </w:r>
      <w:r w:rsidR="000B0C05">
        <w:rPr>
          <w:spacing w:val="-1"/>
          <w:sz w:val="24"/>
        </w:rPr>
        <w:t xml:space="preserve"> per group </w:t>
      </w:r>
      <w:r w:rsidR="000B0C05">
        <w:rPr>
          <w:sz w:val="24"/>
        </w:rPr>
        <w:t>will</w:t>
      </w:r>
      <w:r w:rsidR="000B0C05">
        <w:rPr>
          <w:spacing w:val="-4"/>
          <w:sz w:val="24"/>
        </w:rPr>
        <w:t xml:space="preserve"> </w:t>
      </w:r>
      <w:r w:rsidR="000B0C05">
        <w:rPr>
          <w:sz w:val="24"/>
        </w:rPr>
        <w:t>pro</w:t>
      </w:r>
      <w:r w:rsidR="000B0C05">
        <w:rPr>
          <w:spacing w:val="-1"/>
          <w:sz w:val="24"/>
        </w:rPr>
        <w:t>v</w:t>
      </w:r>
      <w:r w:rsidR="000B0C05">
        <w:rPr>
          <w:sz w:val="24"/>
        </w:rPr>
        <w:t>ide</w:t>
      </w:r>
      <w:r w:rsidR="000B0C05">
        <w:rPr>
          <w:spacing w:val="-3"/>
          <w:sz w:val="24"/>
        </w:rPr>
        <w:t xml:space="preserve"> 80% </w:t>
      </w:r>
      <w:r w:rsidR="000B0C05">
        <w:rPr>
          <w:sz w:val="24"/>
        </w:rPr>
        <w:t>power to detect</w:t>
      </w:r>
      <w:r w:rsidR="000B0C05">
        <w:rPr>
          <w:spacing w:val="-6"/>
          <w:sz w:val="24"/>
        </w:rPr>
        <w:t xml:space="preserve"> a 0.44 unit difference (or 0.6 standard deviation units) in mean level of hemoglobin A1c assuming a </w:t>
      </w:r>
      <w:r w:rsidR="000B0C05">
        <w:rPr>
          <w:sz w:val="24"/>
        </w:rPr>
        <w:t>two-tailed</w:t>
      </w:r>
      <w:r w:rsidR="000B0C05">
        <w:rPr>
          <w:spacing w:val="-10"/>
          <w:sz w:val="24"/>
        </w:rPr>
        <w:t xml:space="preserve"> </w:t>
      </w:r>
      <w:r w:rsidR="000B0C05">
        <w:rPr>
          <w:sz w:val="24"/>
        </w:rPr>
        <w:t>α=</w:t>
      </w:r>
      <w:r w:rsidR="000B0C05">
        <w:rPr>
          <w:spacing w:val="-1"/>
          <w:sz w:val="24"/>
        </w:rPr>
        <w:t xml:space="preserve"> 0</w:t>
      </w:r>
      <w:r w:rsidR="000B0C05">
        <w:rPr>
          <w:sz w:val="24"/>
        </w:rPr>
        <w:t>.05 level test</w:t>
      </w:r>
      <w:r w:rsidR="000B0C05">
        <w:rPr>
          <w:spacing w:val="-6"/>
          <w:sz w:val="24"/>
        </w:rPr>
        <w:t xml:space="preserve">.  </w:t>
      </w:r>
      <w:proofErr w:type="gramStart"/>
      <w:r w:rsidR="000B0C05">
        <w:rPr>
          <w:spacing w:val="-6"/>
          <w:sz w:val="24"/>
        </w:rPr>
        <w:t>The Look AHEAD trial (The Look AHEAD Research Group.</w:t>
      </w:r>
      <w:proofErr w:type="gramEnd"/>
      <w:r w:rsidR="000B0C05">
        <w:rPr>
          <w:spacing w:val="-6"/>
          <w:sz w:val="24"/>
        </w:rPr>
        <w:t xml:space="preserve"> </w:t>
      </w:r>
      <w:r w:rsidR="000B0C05">
        <w:rPr>
          <w:spacing w:val="-6"/>
          <w:sz w:val="24"/>
        </w:rPr>
        <w:t xml:space="preserve"> </w:t>
      </w:r>
      <w:proofErr w:type="gramStart"/>
      <w:r w:rsidR="000B0C05">
        <w:rPr>
          <w:spacing w:val="-6"/>
          <w:sz w:val="24"/>
        </w:rPr>
        <w:t>Reduction in weight and cardiovascular disease risk factors in individuals with type 2 diabetes.</w:t>
      </w:r>
      <w:proofErr w:type="gramEnd"/>
      <w:r w:rsidR="000B0C05">
        <w:rPr>
          <w:spacing w:val="-6"/>
          <w:sz w:val="24"/>
        </w:rPr>
        <w:t xml:space="preserve"> Diabetes Care, </w:t>
      </w:r>
      <w:r w:rsidR="000B0C05">
        <w:rPr>
          <w:spacing w:val="-6"/>
          <w:sz w:val="24"/>
        </w:rPr>
        <w:t>2007; 30:</w:t>
      </w:r>
      <w:r w:rsidR="000B0C05">
        <w:rPr>
          <w:spacing w:val="-6"/>
          <w:sz w:val="24"/>
        </w:rPr>
        <w:t xml:space="preserve"> 1374- 1384) corroborates the potential to find an effect of this size as they found that individuals in the diet and exercise arm had significant greater decrease in hemoglobin A1c than in the control arm (-.64 vs. -.14, respectively; difference of 0.5).  </w:t>
      </w:r>
      <w:bookmarkStart w:id="0" w:name="_GoBack"/>
      <w:bookmarkEnd w:id="0"/>
    </w:p>
    <w:p w:rsidR="00026303" w:rsidRDefault="00026303" w:rsidP="00026303">
      <w:pPr>
        <w:rPr>
          <w:sz w:val="24"/>
        </w:rPr>
      </w:pPr>
    </w:p>
    <w:p w:rsidR="00026303" w:rsidRDefault="00026303" w:rsidP="00026303">
      <w:pPr>
        <w:rPr>
          <w:b/>
          <w:bCs/>
          <w:sz w:val="24"/>
        </w:rPr>
      </w:pPr>
    </w:p>
    <w:p w:rsidR="00026303" w:rsidRDefault="00026303" w:rsidP="00026303">
      <w:pPr>
        <w:rPr>
          <w:b/>
          <w:bCs/>
          <w:sz w:val="24"/>
        </w:rPr>
      </w:pPr>
      <w:r>
        <w:rPr>
          <w:b/>
          <w:bCs/>
          <w:sz w:val="24"/>
        </w:rPr>
        <w:t>2. Procedures for the Collection of Information</w:t>
      </w:r>
    </w:p>
    <w:p w:rsidR="00026303" w:rsidRDefault="00026303" w:rsidP="00026303">
      <w:pPr>
        <w:ind w:left="720"/>
        <w:rPr>
          <w:sz w:val="24"/>
        </w:rPr>
      </w:pPr>
    </w:p>
    <w:p w:rsidR="00026303" w:rsidRDefault="00026303" w:rsidP="00026303">
      <w:pPr>
        <w:rPr>
          <w:sz w:val="24"/>
        </w:rPr>
      </w:pPr>
      <w:proofErr w:type="gramStart"/>
      <w:r w:rsidRPr="00345FAB">
        <w:rPr>
          <w:b/>
          <w:bCs/>
          <w:sz w:val="24"/>
        </w:rPr>
        <w:t>Health Systems</w:t>
      </w:r>
      <w:r>
        <w:rPr>
          <w:sz w:val="24"/>
        </w:rPr>
        <w:t xml:space="preserve"> </w:t>
      </w:r>
      <w:r w:rsidRPr="00345FAB">
        <w:rPr>
          <w:b/>
          <w:bCs/>
          <w:sz w:val="24"/>
        </w:rPr>
        <w:t>Intervention</w:t>
      </w:r>
      <w:r>
        <w:rPr>
          <w:sz w:val="24"/>
        </w:rPr>
        <w:t>.</w:t>
      </w:r>
      <w:proofErr w:type="gramEnd"/>
      <w:r>
        <w:rPr>
          <w:sz w:val="24"/>
        </w:rPr>
        <w:t xml:space="preserve"> The data collection activities for the health systems intervention involves: 1) medical records abstraction done by project staff employed by LMHS and recorded electronically into a standardized data collection tool; 2) pre- and post-training Knowledge and Attitudes Assessment.  This will be a self-administered pencil and paper questionnaire that does not exceed one-page.  The patient visits included in the medical records abstraction will be identified by searching the LMHS patient visit database for LB women aged 40 and older.  Then, these charts will be reviewed for study eligibility based on BMI &gt;25.</w:t>
      </w:r>
    </w:p>
    <w:p w:rsidR="00026303" w:rsidRDefault="00026303" w:rsidP="00026303">
      <w:pPr>
        <w:ind w:left="720"/>
        <w:rPr>
          <w:sz w:val="24"/>
        </w:rPr>
      </w:pPr>
    </w:p>
    <w:p w:rsidR="00026303" w:rsidRDefault="00026303" w:rsidP="00026303">
      <w:pPr>
        <w:rPr>
          <w:sz w:val="24"/>
        </w:rPr>
      </w:pPr>
      <w:proofErr w:type="gramStart"/>
      <w:r w:rsidRPr="00345FAB">
        <w:rPr>
          <w:b/>
          <w:bCs/>
          <w:sz w:val="24"/>
        </w:rPr>
        <w:t>Group Intervention</w:t>
      </w:r>
      <w:r>
        <w:rPr>
          <w:sz w:val="24"/>
        </w:rPr>
        <w:t>.</w:t>
      </w:r>
      <w:proofErr w:type="gramEnd"/>
      <w:r>
        <w:rPr>
          <w:sz w:val="24"/>
        </w:rPr>
        <w:t xml:space="preserve"> The data collection activities for the group-based evaluation will follow standard methods.  </w:t>
      </w:r>
    </w:p>
    <w:p w:rsidR="00026303" w:rsidRDefault="00026303" w:rsidP="00026303">
      <w:pPr>
        <w:ind w:left="720"/>
        <w:rPr>
          <w:sz w:val="24"/>
        </w:rPr>
      </w:pPr>
    </w:p>
    <w:p w:rsidR="00026303" w:rsidRDefault="00026303" w:rsidP="00026303">
      <w:pPr>
        <w:rPr>
          <w:sz w:val="24"/>
        </w:rPr>
      </w:pPr>
      <w:r>
        <w:rPr>
          <w:sz w:val="24"/>
        </w:rPr>
        <w:t>Screening procedures for the study will be conducted two ways to minimize participant burden: 1) electronically through a web-based screening survey that describes the intervention and includes the minimum number of screening questions to determine eligibility; and 2) interviewer-administered either in-person or via telephone.</w:t>
      </w:r>
    </w:p>
    <w:p w:rsidR="00026303" w:rsidRDefault="00026303" w:rsidP="00026303">
      <w:pPr>
        <w:ind w:left="720"/>
        <w:rPr>
          <w:sz w:val="24"/>
        </w:rPr>
      </w:pPr>
    </w:p>
    <w:p w:rsidR="00026303" w:rsidRDefault="00026303" w:rsidP="00026303">
      <w:pPr>
        <w:rPr>
          <w:sz w:val="24"/>
        </w:rPr>
      </w:pPr>
      <w:r>
        <w:rPr>
          <w:sz w:val="24"/>
        </w:rPr>
        <w:t>Once eligibility has been determined (regardless of whether the screening interview mode was web-based or in-person), a study interviewer will talk directly with the eligible individual to describe the study further, answer questions, and invite the individual to enroll.  For eligible and interested individuals, written informed consent will be obtained, the baseline Evaluation Questionnaire (including health assessments) will be conducted and then randomization assignment will be made.  The interviewer will be blind to the randomization.</w:t>
      </w:r>
    </w:p>
    <w:p w:rsidR="00026303" w:rsidRDefault="00026303" w:rsidP="00026303">
      <w:pPr>
        <w:ind w:left="720"/>
        <w:rPr>
          <w:sz w:val="24"/>
        </w:rPr>
      </w:pPr>
    </w:p>
    <w:p w:rsidR="00026303" w:rsidRDefault="00026303" w:rsidP="00026303">
      <w:pPr>
        <w:rPr>
          <w:sz w:val="24"/>
        </w:rPr>
      </w:pPr>
      <w:r>
        <w:rPr>
          <w:sz w:val="24"/>
        </w:rPr>
        <w:t xml:space="preserve">Evaluation Questionnaires conducted at baseline and follow-up will be interviewer-administered and will be conducted in a private room at LMHS.  The questionnaire administration will be followed by a health assessment where biomarkers associated with chronic diseases (e.g., hemoglobin </w:t>
      </w:r>
      <w:proofErr w:type="gramStart"/>
      <w:r>
        <w:rPr>
          <w:sz w:val="24"/>
        </w:rPr>
        <w:t>A1c</w:t>
      </w:r>
      <w:proofErr w:type="gramEnd"/>
      <w:r>
        <w:rPr>
          <w:sz w:val="24"/>
        </w:rPr>
        <w:t xml:space="preserve">, blood pressure) will be measured to provide evaluation endpoints. </w:t>
      </w:r>
    </w:p>
    <w:p w:rsidR="00026303" w:rsidRDefault="00026303" w:rsidP="00026303">
      <w:pPr>
        <w:rPr>
          <w:sz w:val="24"/>
        </w:rPr>
      </w:pPr>
    </w:p>
    <w:p w:rsidR="00026303" w:rsidRDefault="00026303" w:rsidP="00026303">
      <w:pPr>
        <w:rPr>
          <w:sz w:val="24"/>
        </w:rPr>
      </w:pPr>
      <w:r>
        <w:rPr>
          <w:sz w:val="24"/>
        </w:rPr>
        <w:t>Interim behavioral data collection at 1-month (Interim Behavioral Assessment survey) will be conducted through a web-based survey and can be completed either in-person during an intervention session or elsewhere where the web is accessible and completion is convenient to the participant.</w:t>
      </w:r>
    </w:p>
    <w:p w:rsidR="00026303" w:rsidRDefault="00026303" w:rsidP="00026303">
      <w:pPr>
        <w:ind w:left="140" w:right="107"/>
        <w:rPr>
          <w:sz w:val="24"/>
        </w:rPr>
      </w:pPr>
    </w:p>
    <w:p w:rsidR="00026303" w:rsidRDefault="00026303" w:rsidP="00026303">
      <w:pPr>
        <w:ind w:right="107"/>
        <w:rPr>
          <w:sz w:val="24"/>
        </w:rPr>
      </w:pPr>
      <w:r>
        <w:rPr>
          <w:sz w:val="24"/>
        </w:rPr>
        <w:t>To collect data on patterns of physical activity, including duration, intensity and frequency, over a one-week time period, a subset of participants</w:t>
      </w:r>
      <w:r>
        <w:rPr>
          <w:spacing w:val="-11"/>
          <w:sz w:val="24"/>
        </w:rPr>
        <w:t xml:space="preserve"> will be </w:t>
      </w:r>
      <w:r>
        <w:rPr>
          <w:sz w:val="24"/>
        </w:rPr>
        <w:t>rando</w:t>
      </w:r>
      <w:r>
        <w:rPr>
          <w:spacing w:val="-2"/>
          <w:sz w:val="24"/>
        </w:rPr>
        <w:t>m</w:t>
      </w:r>
      <w:r>
        <w:rPr>
          <w:sz w:val="24"/>
        </w:rPr>
        <w:t>ly</w:t>
      </w:r>
      <w:r>
        <w:rPr>
          <w:spacing w:val="-9"/>
          <w:sz w:val="24"/>
        </w:rPr>
        <w:t xml:space="preserve"> </w:t>
      </w:r>
      <w:r>
        <w:rPr>
          <w:sz w:val="24"/>
        </w:rPr>
        <w:t>selected</w:t>
      </w:r>
      <w:r>
        <w:rPr>
          <w:spacing w:val="-7"/>
          <w:sz w:val="24"/>
        </w:rPr>
        <w:t xml:space="preserve"> </w:t>
      </w:r>
      <w:r>
        <w:rPr>
          <w:sz w:val="24"/>
        </w:rPr>
        <w:t xml:space="preserve">for </w:t>
      </w:r>
      <w:proofErr w:type="spellStart"/>
      <w:r>
        <w:rPr>
          <w:sz w:val="24"/>
        </w:rPr>
        <w:t>accelero</w:t>
      </w:r>
      <w:r>
        <w:rPr>
          <w:spacing w:val="-2"/>
          <w:sz w:val="24"/>
        </w:rPr>
        <w:t>m</w:t>
      </w:r>
      <w:r>
        <w:rPr>
          <w:sz w:val="24"/>
        </w:rPr>
        <w:t>etry</w:t>
      </w:r>
      <w:proofErr w:type="spellEnd"/>
      <w:r>
        <w:rPr>
          <w:spacing w:val="-14"/>
          <w:sz w:val="24"/>
        </w:rPr>
        <w:t xml:space="preserve"> </w:t>
      </w:r>
      <w:r>
        <w:rPr>
          <w:sz w:val="24"/>
        </w:rPr>
        <w:t>use (N=40 total:</w:t>
      </w:r>
      <w:r>
        <w:rPr>
          <w:spacing w:val="-5"/>
          <w:sz w:val="24"/>
        </w:rPr>
        <w:t xml:space="preserve"> </w:t>
      </w:r>
      <w:r>
        <w:rPr>
          <w:sz w:val="24"/>
        </w:rPr>
        <w:t>20 in</w:t>
      </w:r>
      <w:r>
        <w:rPr>
          <w:spacing w:val="-2"/>
          <w:sz w:val="24"/>
        </w:rPr>
        <w:t xml:space="preserve"> </w:t>
      </w:r>
      <w:r>
        <w:rPr>
          <w:sz w:val="24"/>
        </w:rPr>
        <w:t>the</w:t>
      </w:r>
      <w:r>
        <w:rPr>
          <w:spacing w:val="-3"/>
          <w:sz w:val="24"/>
        </w:rPr>
        <w:t xml:space="preserve"> </w:t>
      </w:r>
      <w:r>
        <w:rPr>
          <w:sz w:val="24"/>
        </w:rPr>
        <w:t>intervention</w:t>
      </w:r>
      <w:r>
        <w:rPr>
          <w:spacing w:val="-12"/>
          <w:sz w:val="24"/>
        </w:rPr>
        <w:t xml:space="preserve"> </w:t>
      </w:r>
      <w:r>
        <w:rPr>
          <w:sz w:val="24"/>
        </w:rPr>
        <w:t>group and</w:t>
      </w:r>
      <w:r>
        <w:rPr>
          <w:spacing w:val="-3"/>
          <w:sz w:val="24"/>
        </w:rPr>
        <w:t xml:space="preserve"> </w:t>
      </w:r>
      <w:r>
        <w:rPr>
          <w:sz w:val="24"/>
        </w:rPr>
        <w:t>20 in</w:t>
      </w:r>
      <w:r>
        <w:rPr>
          <w:spacing w:val="-2"/>
          <w:sz w:val="24"/>
        </w:rPr>
        <w:t xml:space="preserve"> </w:t>
      </w:r>
      <w:r>
        <w:rPr>
          <w:sz w:val="24"/>
        </w:rPr>
        <w:t>t</w:t>
      </w:r>
      <w:r>
        <w:rPr>
          <w:spacing w:val="-1"/>
          <w:sz w:val="24"/>
        </w:rPr>
        <w:t>h</w:t>
      </w:r>
      <w:r>
        <w:rPr>
          <w:sz w:val="24"/>
        </w:rPr>
        <w:t>e</w:t>
      </w:r>
      <w:r>
        <w:rPr>
          <w:spacing w:val="-3"/>
          <w:sz w:val="24"/>
        </w:rPr>
        <w:t xml:space="preserve"> </w:t>
      </w:r>
      <w:r>
        <w:rPr>
          <w:sz w:val="24"/>
        </w:rPr>
        <w:t>delaye</w:t>
      </w:r>
      <w:r>
        <w:rPr>
          <w:spacing w:val="-1"/>
          <w:sz w:val="24"/>
        </w:rPr>
        <w:t>d</w:t>
      </w:r>
      <w:r>
        <w:rPr>
          <w:sz w:val="24"/>
        </w:rPr>
        <w:t>-start</w:t>
      </w:r>
      <w:r>
        <w:rPr>
          <w:spacing w:val="-12"/>
          <w:sz w:val="24"/>
        </w:rPr>
        <w:t xml:space="preserve"> </w:t>
      </w:r>
      <w:r>
        <w:rPr>
          <w:sz w:val="24"/>
        </w:rPr>
        <w:t>co</w:t>
      </w:r>
      <w:r>
        <w:rPr>
          <w:spacing w:val="-2"/>
          <w:sz w:val="24"/>
        </w:rPr>
        <w:t>m</w:t>
      </w:r>
      <w:r>
        <w:rPr>
          <w:sz w:val="24"/>
        </w:rPr>
        <w:t>pari</w:t>
      </w:r>
      <w:r>
        <w:rPr>
          <w:spacing w:val="-1"/>
          <w:sz w:val="24"/>
        </w:rPr>
        <w:t>s</w:t>
      </w:r>
      <w:r>
        <w:rPr>
          <w:sz w:val="24"/>
        </w:rPr>
        <w:t>on</w:t>
      </w:r>
      <w:r>
        <w:rPr>
          <w:spacing w:val="-8"/>
          <w:sz w:val="24"/>
        </w:rPr>
        <w:t xml:space="preserve"> </w:t>
      </w:r>
      <w:r>
        <w:rPr>
          <w:sz w:val="24"/>
        </w:rPr>
        <w:t>group). Physical</w:t>
      </w:r>
      <w:r>
        <w:rPr>
          <w:spacing w:val="-8"/>
          <w:sz w:val="24"/>
        </w:rPr>
        <w:t xml:space="preserve"> </w:t>
      </w:r>
      <w:r>
        <w:rPr>
          <w:sz w:val="24"/>
        </w:rPr>
        <w:t>activity</w:t>
      </w:r>
      <w:r>
        <w:rPr>
          <w:spacing w:val="-7"/>
          <w:sz w:val="24"/>
        </w:rPr>
        <w:t xml:space="preserve"> </w:t>
      </w:r>
      <w:r>
        <w:rPr>
          <w:sz w:val="24"/>
        </w:rPr>
        <w:t>and</w:t>
      </w:r>
      <w:r>
        <w:rPr>
          <w:spacing w:val="-3"/>
          <w:sz w:val="24"/>
        </w:rPr>
        <w:t xml:space="preserve"> </w:t>
      </w:r>
      <w:r>
        <w:rPr>
          <w:sz w:val="24"/>
        </w:rPr>
        <w:t>sedentary</w:t>
      </w:r>
      <w:r>
        <w:rPr>
          <w:spacing w:val="-9"/>
          <w:sz w:val="24"/>
        </w:rPr>
        <w:t xml:space="preserve"> </w:t>
      </w:r>
      <w:r>
        <w:rPr>
          <w:sz w:val="24"/>
        </w:rPr>
        <w:t>b</w:t>
      </w:r>
      <w:r>
        <w:rPr>
          <w:spacing w:val="1"/>
          <w:sz w:val="24"/>
        </w:rPr>
        <w:t>e</w:t>
      </w:r>
      <w:r>
        <w:rPr>
          <w:sz w:val="24"/>
        </w:rPr>
        <w:t>havior</w:t>
      </w:r>
      <w:r>
        <w:rPr>
          <w:spacing w:val="-8"/>
          <w:sz w:val="24"/>
        </w:rPr>
        <w:t xml:space="preserve"> will be collected </w:t>
      </w:r>
      <w:r>
        <w:rPr>
          <w:sz w:val="24"/>
        </w:rPr>
        <w:t>using</w:t>
      </w:r>
      <w:r>
        <w:rPr>
          <w:spacing w:val="-5"/>
          <w:sz w:val="24"/>
        </w:rPr>
        <w:t xml:space="preserve"> </w:t>
      </w:r>
      <w:r>
        <w:rPr>
          <w:sz w:val="24"/>
        </w:rPr>
        <w:t>the</w:t>
      </w:r>
      <w:r>
        <w:rPr>
          <w:spacing w:val="-3"/>
          <w:sz w:val="24"/>
        </w:rPr>
        <w:t xml:space="preserve"> </w:t>
      </w:r>
      <w:proofErr w:type="spellStart"/>
      <w:r>
        <w:rPr>
          <w:sz w:val="24"/>
        </w:rPr>
        <w:t>ActiGraph</w:t>
      </w:r>
      <w:proofErr w:type="spellEnd"/>
      <w:r>
        <w:rPr>
          <w:spacing w:val="-10"/>
          <w:sz w:val="24"/>
        </w:rPr>
        <w:t xml:space="preserve"> </w:t>
      </w:r>
      <w:r>
        <w:rPr>
          <w:sz w:val="24"/>
        </w:rPr>
        <w:t>CT3X</w:t>
      </w:r>
      <w:r>
        <w:rPr>
          <w:spacing w:val="-1"/>
          <w:sz w:val="24"/>
        </w:rPr>
        <w:t xml:space="preserve"> </w:t>
      </w:r>
      <w:r>
        <w:rPr>
          <w:spacing w:val="-2"/>
          <w:sz w:val="24"/>
        </w:rPr>
        <w:t>m</w:t>
      </w:r>
      <w:r>
        <w:rPr>
          <w:sz w:val="24"/>
        </w:rPr>
        <w:t>onitor,</w:t>
      </w:r>
      <w:r>
        <w:rPr>
          <w:spacing w:val="-8"/>
          <w:sz w:val="24"/>
        </w:rPr>
        <w:t xml:space="preserve"> </w:t>
      </w:r>
      <w:r>
        <w:rPr>
          <w:sz w:val="24"/>
        </w:rPr>
        <w:t>a</w:t>
      </w:r>
      <w:r>
        <w:rPr>
          <w:spacing w:val="-1"/>
          <w:sz w:val="24"/>
        </w:rPr>
        <w:t xml:space="preserve"> </w:t>
      </w:r>
      <w:proofErr w:type="spellStart"/>
      <w:r>
        <w:rPr>
          <w:sz w:val="24"/>
        </w:rPr>
        <w:t>triaxial</w:t>
      </w:r>
      <w:proofErr w:type="spellEnd"/>
      <w:r>
        <w:rPr>
          <w:spacing w:val="-7"/>
          <w:sz w:val="24"/>
        </w:rPr>
        <w:t xml:space="preserve"> </w:t>
      </w:r>
      <w:r>
        <w:rPr>
          <w:sz w:val="24"/>
        </w:rPr>
        <w:t>accelero</w:t>
      </w:r>
      <w:r>
        <w:rPr>
          <w:spacing w:val="-2"/>
          <w:sz w:val="24"/>
        </w:rPr>
        <w:t>m</w:t>
      </w:r>
      <w:r>
        <w:rPr>
          <w:sz w:val="24"/>
        </w:rPr>
        <w:t>eter</w:t>
      </w:r>
      <w:r>
        <w:rPr>
          <w:spacing w:val="-13"/>
          <w:sz w:val="24"/>
        </w:rPr>
        <w:t xml:space="preserve"> </w:t>
      </w:r>
      <w:r>
        <w:rPr>
          <w:sz w:val="24"/>
        </w:rPr>
        <w:t>that</w:t>
      </w:r>
      <w:r>
        <w:rPr>
          <w:spacing w:val="-4"/>
          <w:sz w:val="24"/>
        </w:rPr>
        <w:t xml:space="preserve"> </w:t>
      </w:r>
      <w:r>
        <w:rPr>
          <w:sz w:val="24"/>
        </w:rPr>
        <w:t>is</w:t>
      </w:r>
      <w:r>
        <w:rPr>
          <w:spacing w:val="-2"/>
          <w:sz w:val="24"/>
        </w:rPr>
        <w:t xml:space="preserve"> </w:t>
      </w:r>
      <w:r>
        <w:rPr>
          <w:sz w:val="24"/>
        </w:rPr>
        <w:t>sensitive to</w:t>
      </w:r>
      <w:r>
        <w:rPr>
          <w:spacing w:val="-2"/>
          <w:sz w:val="24"/>
        </w:rPr>
        <w:t xml:space="preserve"> </w:t>
      </w:r>
      <w:r>
        <w:rPr>
          <w:sz w:val="24"/>
        </w:rPr>
        <w:t>move</w:t>
      </w:r>
      <w:r>
        <w:rPr>
          <w:spacing w:val="-2"/>
          <w:sz w:val="24"/>
        </w:rPr>
        <w:t>m</w:t>
      </w:r>
      <w:r>
        <w:rPr>
          <w:sz w:val="24"/>
        </w:rPr>
        <w:t>ent</w:t>
      </w:r>
      <w:r>
        <w:rPr>
          <w:spacing w:val="-10"/>
          <w:sz w:val="24"/>
        </w:rPr>
        <w:t xml:space="preserve"> </w:t>
      </w:r>
      <w:r>
        <w:rPr>
          <w:sz w:val="24"/>
        </w:rPr>
        <w:t>in</w:t>
      </w:r>
      <w:r>
        <w:rPr>
          <w:spacing w:val="-1"/>
          <w:sz w:val="24"/>
        </w:rPr>
        <w:t xml:space="preserve"> </w:t>
      </w:r>
      <w:r>
        <w:rPr>
          <w:spacing w:val="-2"/>
          <w:sz w:val="24"/>
        </w:rPr>
        <w:t>m</w:t>
      </w:r>
      <w:r>
        <w:rPr>
          <w:sz w:val="24"/>
        </w:rPr>
        <w:t>ultiple</w:t>
      </w:r>
      <w:r>
        <w:rPr>
          <w:spacing w:val="-7"/>
          <w:sz w:val="24"/>
        </w:rPr>
        <w:t xml:space="preserve"> </w:t>
      </w:r>
      <w:r>
        <w:rPr>
          <w:spacing w:val="-1"/>
          <w:sz w:val="24"/>
        </w:rPr>
        <w:t>di</w:t>
      </w:r>
      <w:r>
        <w:rPr>
          <w:sz w:val="24"/>
        </w:rPr>
        <w:t>rections.</w:t>
      </w:r>
      <w:r>
        <w:rPr>
          <w:spacing w:val="-10"/>
          <w:sz w:val="24"/>
        </w:rPr>
        <w:t xml:space="preserve"> </w:t>
      </w:r>
      <w:r>
        <w:rPr>
          <w:sz w:val="24"/>
        </w:rPr>
        <w:t>T</w:t>
      </w:r>
      <w:r>
        <w:rPr>
          <w:spacing w:val="-1"/>
          <w:sz w:val="24"/>
        </w:rPr>
        <w:t>h</w:t>
      </w:r>
      <w:r>
        <w:rPr>
          <w:sz w:val="24"/>
        </w:rPr>
        <w:t>e</w:t>
      </w:r>
      <w:r>
        <w:rPr>
          <w:spacing w:val="-4"/>
          <w:sz w:val="24"/>
        </w:rPr>
        <w:t xml:space="preserve"> </w:t>
      </w:r>
      <w:r>
        <w:rPr>
          <w:sz w:val="24"/>
        </w:rPr>
        <w:t>device</w:t>
      </w:r>
      <w:r>
        <w:rPr>
          <w:spacing w:val="-6"/>
          <w:sz w:val="24"/>
        </w:rPr>
        <w:t xml:space="preserve"> </w:t>
      </w:r>
      <w:r>
        <w:rPr>
          <w:sz w:val="24"/>
        </w:rPr>
        <w:t>is</w:t>
      </w:r>
      <w:r>
        <w:rPr>
          <w:spacing w:val="-2"/>
          <w:sz w:val="24"/>
        </w:rPr>
        <w:t xml:space="preserve"> </w:t>
      </w:r>
      <w:r>
        <w:rPr>
          <w:spacing w:val="-1"/>
          <w:sz w:val="24"/>
        </w:rPr>
        <w:t>s</w:t>
      </w:r>
      <w:r>
        <w:rPr>
          <w:spacing w:val="-2"/>
          <w:sz w:val="24"/>
        </w:rPr>
        <w:t>m</w:t>
      </w:r>
      <w:r>
        <w:rPr>
          <w:sz w:val="24"/>
        </w:rPr>
        <w:t>all and light-weight.  Participants will</w:t>
      </w:r>
      <w:r>
        <w:rPr>
          <w:spacing w:val="-4"/>
          <w:sz w:val="24"/>
        </w:rPr>
        <w:t xml:space="preserve"> </w:t>
      </w:r>
      <w:r>
        <w:rPr>
          <w:spacing w:val="-1"/>
          <w:sz w:val="24"/>
        </w:rPr>
        <w:t>b</w:t>
      </w:r>
      <w:r>
        <w:rPr>
          <w:sz w:val="24"/>
        </w:rPr>
        <w:t>e</w:t>
      </w:r>
      <w:r>
        <w:rPr>
          <w:spacing w:val="-1"/>
          <w:sz w:val="24"/>
        </w:rPr>
        <w:t xml:space="preserve"> </w:t>
      </w:r>
      <w:r>
        <w:rPr>
          <w:sz w:val="24"/>
        </w:rPr>
        <w:t>asked</w:t>
      </w:r>
      <w:r>
        <w:rPr>
          <w:spacing w:val="-5"/>
          <w:sz w:val="24"/>
        </w:rPr>
        <w:t xml:space="preserve"> </w:t>
      </w:r>
      <w:r>
        <w:rPr>
          <w:sz w:val="24"/>
        </w:rPr>
        <w:t>to</w:t>
      </w:r>
      <w:r>
        <w:rPr>
          <w:spacing w:val="-2"/>
          <w:sz w:val="24"/>
        </w:rPr>
        <w:t xml:space="preserve"> </w:t>
      </w:r>
      <w:r>
        <w:rPr>
          <w:sz w:val="24"/>
        </w:rPr>
        <w:t>wear</w:t>
      </w:r>
      <w:r>
        <w:rPr>
          <w:spacing w:val="-5"/>
          <w:sz w:val="24"/>
        </w:rPr>
        <w:t xml:space="preserve"> </w:t>
      </w:r>
      <w:r>
        <w:rPr>
          <w:sz w:val="24"/>
        </w:rPr>
        <w:t>the</w:t>
      </w:r>
      <w:r>
        <w:rPr>
          <w:spacing w:val="-3"/>
          <w:sz w:val="24"/>
        </w:rPr>
        <w:t xml:space="preserve"> </w:t>
      </w:r>
      <w:r>
        <w:rPr>
          <w:sz w:val="24"/>
        </w:rPr>
        <w:t>monitor</w:t>
      </w:r>
      <w:r>
        <w:rPr>
          <w:spacing w:val="-8"/>
          <w:sz w:val="24"/>
        </w:rPr>
        <w:t xml:space="preserve"> </w:t>
      </w:r>
      <w:r>
        <w:rPr>
          <w:sz w:val="24"/>
        </w:rPr>
        <w:t>while underta</w:t>
      </w:r>
      <w:r>
        <w:rPr>
          <w:spacing w:val="-1"/>
          <w:sz w:val="24"/>
        </w:rPr>
        <w:t>k</w:t>
      </w:r>
      <w:r>
        <w:rPr>
          <w:sz w:val="24"/>
        </w:rPr>
        <w:t>ing</w:t>
      </w:r>
      <w:r>
        <w:rPr>
          <w:spacing w:val="-11"/>
          <w:sz w:val="24"/>
        </w:rPr>
        <w:t xml:space="preserve"> </w:t>
      </w:r>
      <w:r>
        <w:rPr>
          <w:sz w:val="24"/>
        </w:rPr>
        <w:t>nor</w:t>
      </w:r>
      <w:r>
        <w:rPr>
          <w:spacing w:val="-2"/>
          <w:sz w:val="24"/>
        </w:rPr>
        <w:t>m</w:t>
      </w:r>
      <w:r>
        <w:rPr>
          <w:sz w:val="24"/>
        </w:rPr>
        <w:t>al</w:t>
      </w:r>
      <w:r>
        <w:rPr>
          <w:spacing w:val="-7"/>
          <w:sz w:val="24"/>
        </w:rPr>
        <w:t xml:space="preserve"> </w:t>
      </w:r>
      <w:r>
        <w:rPr>
          <w:sz w:val="24"/>
        </w:rPr>
        <w:t>acti</w:t>
      </w:r>
      <w:r>
        <w:rPr>
          <w:spacing w:val="-1"/>
          <w:sz w:val="24"/>
        </w:rPr>
        <w:t>v</w:t>
      </w:r>
      <w:r>
        <w:rPr>
          <w:sz w:val="24"/>
        </w:rPr>
        <w:t>ities</w:t>
      </w:r>
      <w:r>
        <w:rPr>
          <w:spacing w:val="-9"/>
          <w:sz w:val="24"/>
        </w:rPr>
        <w:t xml:space="preserve"> </w:t>
      </w:r>
      <w:r>
        <w:rPr>
          <w:sz w:val="24"/>
        </w:rPr>
        <w:t>for one</w:t>
      </w:r>
      <w:r>
        <w:rPr>
          <w:spacing w:val="-3"/>
          <w:sz w:val="24"/>
        </w:rPr>
        <w:t xml:space="preserve"> </w:t>
      </w:r>
      <w:r>
        <w:rPr>
          <w:sz w:val="24"/>
        </w:rPr>
        <w:t>week.</w:t>
      </w:r>
      <w:r>
        <w:rPr>
          <w:spacing w:val="-6"/>
          <w:sz w:val="24"/>
        </w:rPr>
        <w:t xml:space="preserve"> Random selection of participants for accelerometer assessment will be conducted within randomization block groups (5 from each block group of 10) to ensure an even roll-out of the accelerometer data collection over the study period.  During this period, these participants will complete a physical activity diary to complement interpretation of the </w:t>
      </w:r>
      <w:proofErr w:type="spellStart"/>
      <w:r>
        <w:rPr>
          <w:spacing w:val="-6"/>
          <w:sz w:val="24"/>
        </w:rPr>
        <w:t>accelerometry</w:t>
      </w:r>
      <w:proofErr w:type="spellEnd"/>
      <w:r>
        <w:rPr>
          <w:spacing w:val="-6"/>
          <w:sz w:val="24"/>
        </w:rPr>
        <w:t xml:space="preserve"> data.</w:t>
      </w:r>
    </w:p>
    <w:p w:rsidR="00026303" w:rsidRDefault="00026303" w:rsidP="00026303">
      <w:pPr>
        <w:rPr>
          <w:sz w:val="24"/>
        </w:rPr>
      </w:pPr>
    </w:p>
    <w:p w:rsidR="00CC2590" w:rsidRDefault="00CC2590" w:rsidP="00026303">
      <w:pPr>
        <w:rPr>
          <w:sz w:val="24"/>
        </w:rPr>
      </w:pPr>
    </w:p>
    <w:p w:rsidR="00026303" w:rsidRPr="00E07A57" w:rsidRDefault="00026303" w:rsidP="00026303">
      <w:pPr>
        <w:rPr>
          <w:sz w:val="24"/>
        </w:rPr>
      </w:pPr>
      <w:r>
        <w:rPr>
          <w:sz w:val="24"/>
        </w:rPr>
        <w:t xml:space="preserve">To </w:t>
      </w:r>
      <w:r w:rsidRPr="00E07A57">
        <w:rPr>
          <w:sz w:val="24"/>
        </w:rPr>
        <w:t>ensure high quality data</w:t>
      </w:r>
      <w:r>
        <w:rPr>
          <w:sz w:val="24"/>
        </w:rPr>
        <w:t>,</w:t>
      </w:r>
      <w:r w:rsidDel="00D171AE">
        <w:rPr>
          <w:sz w:val="24"/>
        </w:rPr>
        <w:t xml:space="preserve"> </w:t>
      </w:r>
      <w:r>
        <w:rPr>
          <w:sz w:val="24"/>
        </w:rPr>
        <w:t>oversight</w:t>
      </w:r>
      <w:r w:rsidRPr="00E07A57">
        <w:rPr>
          <w:sz w:val="24"/>
        </w:rPr>
        <w:t xml:space="preserve"> procedures will be followed </w:t>
      </w:r>
      <w:r>
        <w:rPr>
          <w:sz w:val="24"/>
        </w:rPr>
        <w:t>for all aspects of data collection</w:t>
      </w:r>
      <w:r w:rsidRPr="00E07A57">
        <w:rPr>
          <w:sz w:val="24"/>
        </w:rPr>
        <w:t>.  Examples of these procedures include the following:</w:t>
      </w:r>
    </w:p>
    <w:p w:rsidR="00026303" w:rsidRPr="00E07A57" w:rsidRDefault="00026303" w:rsidP="00026303">
      <w:pPr>
        <w:ind w:left="1440"/>
        <w:rPr>
          <w:sz w:val="24"/>
        </w:rPr>
      </w:pPr>
      <w:r w:rsidRPr="00E07A57">
        <w:rPr>
          <w:sz w:val="24"/>
        </w:rPr>
        <w:tab/>
      </w:r>
    </w:p>
    <w:p w:rsidR="00026303" w:rsidRDefault="00026303" w:rsidP="00026303">
      <w:pPr>
        <w:numPr>
          <w:ilvl w:val="0"/>
          <w:numId w:val="6"/>
        </w:numPr>
        <w:rPr>
          <w:sz w:val="24"/>
        </w:rPr>
      </w:pPr>
      <w:r>
        <w:rPr>
          <w:sz w:val="24"/>
        </w:rPr>
        <w:t>Data collection will be conducted by experienced and well-trained research staff, led by Project Coordinator, Natalie Ingraham, with direct supervision by Project Director, Alexandra Minnis.</w:t>
      </w:r>
    </w:p>
    <w:p w:rsidR="00026303" w:rsidRDefault="00026303" w:rsidP="00026303">
      <w:pPr>
        <w:numPr>
          <w:ilvl w:val="0"/>
          <w:numId w:val="6"/>
        </w:numPr>
        <w:rPr>
          <w:sz w:val="24"/>
        </w:rPr>
      </w:pPr>
      <w:r w:rsidRPr="009A3738">
        <w:rPr>
          <w:sz w:val="24"/>
        </w:rPr>
        <w:t xml:space="preserve">The project director will observe field procedures at least monthly and will </w:t>
      </w:r>
      <w:r>
        <w:rPr>
          <w:sz w:val="24"/>
        </w:rPr>
        <w:t xml:space="preserve">monitor a minimum of 10% </w:t>
      </w:r>
      <w:r w:rsidRPr="009A3738">
        <w:rPr>
          <w:sz w:val="24"/>
        </w:rPr>
        <w:t xml:space="preserve">of </w:t>
      </w:r>
      <w:r>
        <w:rPr>
          <w:sz w:val="24"/>
        </w:rPr>
        <w:t xml:space="preserve">group intervention </w:t>
      </w:r>
      <w:r w:rsidRPr="009A3738">
        <w:rPr>
          <w:sz w:val="24"/>
        </w:rPr>
        <w:t>interviews.</w:t>
      </w:r>
    </w:p>
    <w:p w:rsidR="00026303" w:rsidRDefault="00026303" w:rsidP="00026303">
      <w:pPr>
        <w:numPr>
          <w:ilvl w:val="0"/>
          <w:numId w:val="6"/>
        </w:numPr>
        <w:rPr>
          <w:sz w:val="24"/>
        </w:rPr>
      </w:pPr>
      <w:r>
        <w:rPr>
          <w:sz w:val="24"/>
        </w:rPr>
        <w:t>A 10% random sample of medical record abstraction data will be reviewed by a second member of the research team.</w:t>
      </w:r>
    </w:p>
    <w:p w:rsidR="00026303" w:rsidRDefault="00026303" w:rsidP="00026303">
      <w:pPr>
        <w:numPr>
          <w:ilvl w:val="0"/>
          <w:numId w:val="6"/>
        </w:numPr>
        <w:rPr>
          <w:sz w:val="24"/>
        </w:rPr>
      </w:pPr>
      <w:r>
        <w:rPr>
          <w:sz w:val="24"/>
        </w:rPr>
        <w:t>All group intervention paper-based completed interviews will be reviewed for completeness and accuracy of administration (e.g., correct skip patterns) by a second member of the research team. Feedback will be shared with the interviewer as a training tool.</w:t>
      </w:r>
    </w:p>
    <w:p w:rsidR="00026303" w:rsidRPr="009A3738" w:rsidRDefault="00026303" w:rsidP="00026303">
      <w:pPr>
        <w:ind w:left="1080"/>
        <w:rPr>
          <w:sz w:val="24"/>
        </w:rPr>
      </w:pPr>
      <w:r w:rsidRPr="009A3738">
        <w:rPr>
          <w:sz w:val="24"/>
        </w:rPr>
        <w:tab/>
      </w:r>
    </w:p>
    <w:p w:rsidR="00026303" w:rsidRDefault="00026303" w:rsidP="00026303">
      <w:pPr>
        <w:rPr>
          <w:sz w:val="24"/>
        </w:rPr>
      </w:pPr>
      <w:r w:rsidRPr="009A3738">
        <w:rPr>
          <w:sz w:val="24"/>
        </w:rPr>
        <w:t>A</w:t>
      </w:r>
      <w:r w:rsidRPr="00E07A57">
        <w:rPr>
          <w:sz w:val="24"/>
        </w:rPr>
        <w:t>ll data collection and analysis will be performed in compliance with OMB, Privacy Act, and Protection of Human Subjects requirements.</w:t>
      </w:r>
    </w:p>
    <w:p w:rsidR="00026303" w:rsidRDefault="00026303" w:rsidP="00026303">
      <w:pPr>
        <w:rPr>
          <w:b/>
          <w:bCs/>
          <w:sz w:val="24"/>
        </w:rPr>
      </w:pPr>
    </w:p>
    <w:p w:rsidR="00026303" w:rsidRDefault="00026303" w:rsidP="00026303">
      <w:pPr>
        <w:rPr>
          <w:b/>
          <w:bCs/>
          <w:sz w:val="24"/>
        </w:rPr>
      </w:pPr>
      <w:r>
        <w:rPr>
          <w:b/>
          <w:bCs/>
          <w:sz w:val="24"/>
        </w:rPr>
        <w:t>3. Methods to Maximize Response Rates and Deal with Nonresponse</w:t>
      </w:r>
    </w:p>
    <w:p w:rsidR="00026303" w:rsidRDefault="00026303" w:rsidP="00026303">
      <w:pPr>
        <w:ind w:left="720"/>
        <w:rPr>
          <w:sz w:val="24"/>
        </w:rPr>
      </w:pPr>
    </w:p>
    <w:p w:rsidR="00026303" w:rsidRDefault="00026303" w:rsidP="00026303">
      <w:pPr>
        <w:ind w:right="80"/>
        <w:rPr>
          <w:sz w:val="24"/>
        </w:rPr>
      </w:pPr>
      <w:proofErr w:type="gramStart"/>
      <w:r>
        <w:rPr>
          <w:b/>
          <w:bCs/>
          <w:sz w:val="24"/>
        </w:rPr>
        <w:t>Health Systems Intervention</w:t>
      </w:r>
      <w:r>
        <w:rPr>
          <w:sz w:val="24"/>
        </w:rPr>
        <w:t>.</w:t>
      </w:r>
      <w:proofErr w:type="gramEnd"/>
      <w:r>
        <w:rPr>
          <w:sz w:val="24"/>
        </w:rPr>
        <w:t xml:space="preserve">  Non-response and retention will not be particular concerns for the evaluation of the health systems intervention given the design.  Should new providers be hired, they will receive the health systems training as part of their LMHS orientation training.</w:t>
      </w:r>
    </w:p>
    <w:p w:rsidR="00026303" w:rsidRPr="00B36C8D" w:rsidRDefault="00026303" w:rsidP="00026303">
      <w:pPr>
        <w:ind w:right="80"/>
        <w:rPr>
          <w:sz w:val="24"/>
        </w:rPr>
      </w:pPr>
    </w:p>
    <w:p w:rsidR="00026303" w:rsidRDefault="00026303" w:rsidP="00026303">
      <w:pPr>
        <w:ind w:right="80"/>
        <w:rPr>
          <w:b/>
          <w:bCs/>
          <w:sz w:val="24"/>
        </w:rPr>
      </w:pPr>
      <w:proofErr w:type="gramStart"/>
      <w:r>
        <w:rPr>
          <w:b/>
          <w:bCs/>
          <w:sz w:val="24"/>
        </w:rPr>
        <w:t>Group Intervention.</w:t>
      </w:r>
      <w:proofErr w:type="gramEnd"/>
    </w:p>
    <w:p w:rsidR="00026303" w:rsidRDefault="00026303" w:rsidP="00026303">
      <w:pPr>
        <w:ind w:right="80"/>
        <w:rPr>
          <w:sz w:val="24"/>
        </w:rPr>
      </w:pPr>
      <w:proofErr w:type="gramStart"/>
      <w:r>
        <w:rPr>
          <w:b/>
          <w:bCs/>
          <w:sz w:val="24"/>
        </w:rPr>
        <w:t>Monitoring Recruitment and Retention of St</w:t>
      </w:r>
      <w:r>
        <w:rPr>
          <w:b/>
          <w:bCs/>
          <w:spacing w:val="-1"/>
          <w:sz w:val="24"/>
        </w:rPr>
        <w:t>u</w:t>
      </w:r>
      <w:r>
        <w:rPr>
          <w:b/>
          <w:bCs/>
          <w:sz w:val="24"/>
        </w:rPr>
        <w:t>dy Partici</w:t>
      </w:r>
      <w:r>
        <w:rPr>
          <w:b/>
          <w:bCs/>
          <w:spacing w:val="-1"/>
          <w:sz w:val="24"/>
        </w:rPr>
        <w:t>p</w:t>
      </w:r>
      <w:r>
        <w:rPr>
          <w:b/>
          <w:bCs/>
          <w:sz w:val="24"/>
        </w:rPr>
        <w:t>ants.</w:t>
      </w:r>
      <w:proofErr w:type="gramEnd"/>
      <w:r>
        <w:rPr>
          <w:b/>
          <w:bCs/>
          <w:spacing w:val="1"/>
          <w:sz w:val="24"/>
        </w:rPr>
        <w:t xml:space="preserve"> </w:t>
      </w:r>
      <w:r>
        <w:rPr>
          <w:sz w:val="24"/>
        </w:rPr>
        <w:t>The following</w:t>
      </w:r>
      <w:r>
        <w:rPr>
          <w:spacing w:val="-9"/>
          <w:sz w:val="24"/>
        </w:rPr>
        <w:t xml:space="preserve"> </w:t>
      </w:r>
      <w:r>
        <w:rPr>
          <w:sz w:val="24"/>
        </w:rPr>
        <w:t>info</w:t>
      </w:r>
      <w:r>
        <w:rPr>
          <w:spacing w:val="2"/>
          <w:sz w:val="24"/>
        </w:rPr>
        <w:t>r</w:t>
      </w:r>
      <w:r>
        <w:rPr>
          <w:spacing w:val="-2"/>
          <w:sz w:val="24"/>
        </w:rPr>
        <w:t>m</w:t>
      </w:r>
      <w:r>
        <w:rPr>
          <w:sz w:val="24"/>
        </w:rPr>
        <w:t>ation</w:t>
      </w:r>
      <w:r>
        <w:rPr>
          <w:spacing w:val="-11"/>
          <w:sz w:val="24"/>
        </w:rPr>
        <w:t xml:space="preserve"> will be recorded </w:t>
      </w:r>
      <w:r>
        <w:rPr>
          <w:sz w:val="24"/>
        </w:rPr>
        <w:t>monthly</w:t>
      </w:r>
      <w:r>
        <w:rPr>
          <w:spacing w:val="-8"/>
          <w:sz w:val="24"/>
        </w:rPr>
        <w:t xml:space="preserve"> </w:t>
      </w:r>
      <w:r>
        <w:rPr>
          <w:sz w:val="24"/>
        </w:rPr>
        <w:t>and</w:t>
      </w:r>
      <w:r>
        <w:rPr>
          <w:spacing w:val="-3"/>
          <w:sz w:val="24"/>
        </w:rPr>
        <w:t xml:space="preserve"> </w:t>
      </w:r>
      <w:r>
        <w:rPr>
          <w:sz w:val="24"/>
        </w:rPr>
        <w:t>cu</w:t>
      </w:r>
      <w:r>
        <w:rPr>
          <w:spacing w:val="-2"/>
          <w:sz w:val="24"/>
        </w:rPr>
        <w:t>m</w:t>
      </w:r>
      <w:r>
        <w:rPr>
          <w:sz w:val="24"/>
        </w:rPr>
        <w:t>ulatively:</w:t>
      </w:r>
      <w:r>
        <w:rPr>
          <w:spacing w:val="-12"/>
          <w:sz w:val="24"/>
        </w:rPr>
        <w:t xml:space="preserve"> </w:t>
      </w:r>
      <w:r>
        <w:rPr>
          <w:sz w:val="24"/>
        </w:rPr>
        <w:t>(</w:t>
      </w:r>
      <w:r>
        <w:rPr>
          <w:spacing w:val="-1"/>
          <w:sz w:val="24"/>
        </w:rPr>
        <w:t>1</w:t>
      </w:r>
      <w:r>
        <w:rPr>
          <w:sz w:val="24"/>
        </w:rPr>
        <w:t>) nu</w:t>
      </w:r>
      <w:r>
        <w:rPr>
          <w:spacing w:val="-2"/>
          <w:sz w:val="24"/>
        </w:rPr>
        <w:t>m</w:t>
      </w:r>
      <w:r>
        <w:rPr>
          <w:sz w:val="24"/>
        </w:rPr>
        <w:t>ber</w:t>
      </w:r>
      <w:r>
        <w:rPr>
          <w:spacing w:val="-7"/>
          <w:sz w:val="24"/>
        </w:rPr>
        <w:t xml:space="preserve"> </w:t>
      </w:r>
      <w:r>
        <w:rPr>
          <w:sz w:val="24"/>
        </w:rPr>
        <w:t>of participants</w:t>
      </w:r>
      <w:r>
        <w:rPr>
          <w:spacing w:val="-11"/>
          <w:sz w:val="24"/>
        </w:rPr>
        <w:t xml:space="preserve"> </w:t>
      </w:r>
      <w:r>
        <w:rPr>
          <w:sz w:val="24"/>
        </w:rPr>
        <w:t>enrolled;</w:t>
      </w:r>
      <w:r>
        <w:rPr>
          <w:spacing w:val="-9"/>
          <w:sz w:val="24"/>
        </w:rPr>
        <w:t xml:space="preserve"> </w:t>
      </w:r>
      <w:r>
        <w:rPr>
          <w:sz w:val="24"/>
        </w:rPr>
        <w:t>(2) contact infor</w:t>
      </w:r>
      <w:r>
        <w:rPr>
          <w:spacing w:val="-2"/>
          <w:sz w:val="24"/>
        </w:rPr>
        <w:t>m</w:t>
      </w:r>
      <w:r>
        <w:rPr>
          <w:sz w:val="24"/>
        </w:rPr>
        <w:t>ation</w:t>
      </w:r>
      <w:r>
        <w:rPr>
          <w:spacing w:val="-11"/>
          <w:sz w:val="24"/>
        </w:rPr>
        <w:t xml:space="preserve"> </w:t>
      </w:r>
      <w:r>
        <w:rPr>
          <w:sz w:val="24"/>
        </w:rPr>
        <w:t>for all</w:t>
      </w:r>
      <w:r>
        <w:rPr>
          <w:spacing w:val="-2"/>
          <w:sz w:val="24"/>
        </w:rPr>
        <w:t xml:space="preserve"> </w:t>
      </w:r>
      <w:r>
        <w:rPr>
          <w:sz w:val="24"/>
        </w:rPr>
        <w:t>enrolled</w:t>
      </w:r>
      <w:r>
        <w:rPr>
          <w:spacing w:val="-8"/>
          <w:sz w:val="24"/>
        </w:rPr>
        <w:t xml:space="preserve"> </w:t>
      </w:r>
      <w:r>
        <w:rPr>
          <w:sz w:val="24"/>
        </w:rPr>
        <w:t>par</w:t>
      </w:r>
      <w:r>
        <w:rPr>
          <w:spacing w:val="-3"/>
          <w:sz w:val="24"/>
        </w:rPr>
        <w:t>t</w:t>
      </w:r>
      <w:r>
        <w:rPr>
          <w:sz w:val="24"/>
        </w:rPr>
        <w:t>icipants;</w:t>
      </w:r>
      <w:r>
        <w:rPr>
          <w:spacing w:val="-12"/>
          <w:sz w:val="24"/>
        </w:rPr>
        <w:t xml:space="preserve"> </w:t>
      </w:r>
      <w:r>
        <w:rPr>
          <w:sz w:val="24"/>
        </w:rPr>
        <w:t>(3) wit</w:t>
      </w:r>
      <w:r>
        <w:rPr>
          <w:spacing w:val="-2"/>
          <w:sz w:val="24"/>
        </w:rPr>
        <w:t>h</w:t>
      </w:r>
      <w:r>
        <w:rPr>
          <w:sz w:val="24"/>
        </w:rPr>
        <w:t>drawals</w:t>
      </w:r>
      <w:r>
        <w:rPr>
          <w:spacing w:val="-12"/>
          <w:sz w:val="24"/>
        </w:rPr>
        <w:t xml:space="preserve"> </w:t>
      </w:r>
      <w:r>
        <w:rPr>
          <w:sz w:val="24"/>
        </w:rPr>
        <w:t>from</w:t>
      </w:r>
      <w:r>
        <w:rPr>
          <w:spacing w:val="-5"/>
          <w:sz w:val="24"/>
        </w:rPr>
        <w:t xml:space="preserve"> </w:t>
      </w:r>
      <w:r>
        <w:rPr>
          <w:sz w:val="24"/>
        </w:rPr>
        <w:t>the</w:t>
      </w:r>
      <w:r>
        <w:rPr>
          <w:spacing w:val="-3"/>
          <w:sz w:val="24"/>
        </w:rPr>
        <w:t xml:space="preserve"> </w:t>
      </w:r>
      <w:r>
        <w:rPr>
          <w:sz w:val="24"/>
        </w:rPr>
        <w:t>study;</w:t>
      </w:r>
      <w:r>
        <w:rPr>
          <w:spacing w:val="-6"/>
          <w:sz w:val="24"/>
        </w:rPr>
        <w:t xml:space="preserve"> </w:t>
      </w:r>
      <w:r>
        <w:rPr>
          <w:sz w:val="24"/>
        </w:rPr>
        <w:t>and</w:t>
      </w:r>
      <w:r>
        <w:rPr>
          <w:spacing w:val="-3"/>
          <w:sz w:val="24"/>
        </w:rPr>
        <w:t xml:space="preserve"> </w:t>
      </w:r>
      <w:r>
        <w:rPr>
          <w:sz w:val="24"/>
        </w:rPr>
        <w:t>(4) losses to</w:t>
      </w:r>
      <w:r>
        <w:rPr>
          <w:spacing w:val="-2"/>
          <w:sz w:val="24"/>
        </w:rPr>
        <w:t xml:space="preserve"> </w:t>
      </w:r>
      <w:r>
        <w:rPr>
          <w:sz w:val="24"/>
        </w:rPr>
        <w:t>follow- up. Withdrawal</w:t>
      </w:r>
      <w:r>
        <w:rPr>
          <w:spacing w:val="-12"/>
          <w:sz w:val="24"/>
        </w:rPr>
        <w:t xml:space="preserve"> </w:t>
      </w:r>
      <w:r>
        <w:rPr>
          <w:sz w:val="24"/>
        </w:rPr>
        <w:t>or loss to</w:t>
      </w:r>
      <w:r>
        <w:rPr>
          <w:spacing w:val="-2"/>
          <w:sz w:val="24"/>
        </w:rPr>
        <w:t xml:space="preserve"> </w:t>
      </w:r>
      <w:r>
        <w:rPr>
          <w:sz w:val="24"/>
        </w:rPr>
        <w:t>follow-up will also be recorded.</w:t>
      </w:r>
      <w:r>
        <w:rPr>
          <w:spacing w:val="-10"/>
          <w:sz w:val="24"/>
        </w:rPr>
        <w:t xml:space="preserve"> </w:t>
      </w:r>
      <w:r>
        <w:rPr>
          <w:sz w:val="24"/>
        </w:rPr>
        <w:t>Based</w:t>
      </w:r>
      <w:r>
        <w:rPr>
          <w:spacing w:val="-6"/>
          <w:sz w:val="24"/>
        </w:rPr>
        <w:t xml:space="preserve"> </w:t>
      </w:r>
      <w:r>
        <w:rPr>
          <w:sz w:val="24"/>
        </w:rPr>
        <w:t>on these</w:t>
      </w:r>
      <w:r>
        <w:rPr>
          <w:spacing w:val="-5"/>
          <w:sz w:val="24"/>
        </w:rPr>
        <w:t xml:space="preserve"> </w:t>
      </w:r>
      <w:r>
        <w:rPr>
          <w:sz w:val="24"/>
        </w:rPr>
        <w:t>reports</w:t>
      </w:r>
      <w:r>
        <w:rPr>
          <w:spacing w:val="-7"/>
          <w:sz w:val="24"/>
        </w:rPr>
        <w:t xml:space="preserve"> </w:t>
      </w:r>
      <w:r>
        <w:rPr>
          <w:sz w:val="24"/>
        </w:rPr>
        <w:t>and in</w:t>
      </w:r>
      <w:r>
        <w:rPr>
          <w:spacing w:val="-2"/>
          <w:sz w:val="24"/>
        </w:rPr>
        <w:t xml:space="preserve"> </w:t>
      </w:r>
      <w:r>
        <w:rPr>
          <w:sz w:val="24"/>
        </w:rPr>
        <w:t>consultation</w:t>
      </w:r>
      <w:r>
        <w:rPr>
          <w:spacing w:val="-12"/>
          <w:sz w:val="24"/>
        </w:rPr>
        <w:t xml:space="preserve"> </w:t>
      </w:r>
      <w:r>
        <w:rPr>
          <w:sz w:val="24"/>
        </w:rPr>
        <w:t>with</w:t>
      </w:r>
      <w:r>
        <w:rPr>
          <w:spacing w:val="-4"/>
          <w:sz w:val="24"/>
        </w:rPr>
        <w:t xml:space="preserve"> </w:t>
      </w:r>
      <w:r>
        <w:rPr>
          <w:sz w:val="24"/>
        </w:rPr>
        <w:t>our Advisory Board, recruit</w:t>
      </w:r>
      <w:r>
        <w:rPr>
          <w:spacing w:val="-2"/>
          <w:sz w:val="24"/>
        </w:rPr>
        <w:t>m</w:t>
      </w:r>
      <w:r>
        <w:rPr>
          <w:sz w:val="24"/>
        </w:rPr>
        <w:t>ent</w:t>
      </w:r>
      <w:r>
        <w:rPr>
          <w:spacing w:val="-11"/>
          <w:sz w:val="24"/>
        </w:rPr>
        <w:t xml:space="preserve"> </w:t>
      </w:r>
      <w:r>
        <w:rPr>
          <w:spacing w:val="-2"/>
          <w:sz w:val="24"/>
        </w:rPr>
        <w:t>a</w:t>
      </w:r>
      <w:r>
        <w:rPr>
          <w:sz w:val="24"/>
        </w:rPr>
        <w:t>nd</w:t>
      </w:r>
      <w:r>
        <w:rPr>
          <w:spacing w:val="-1"/>
          <w:sz w:val="24"/>
        </w:rPr>
        <w:t xml:space="preserve"> </w:t>
      </w:r>
      <w:r>
        <w:rPr>
          <w:sz w:val="24"/>
        </w:rPr>
        <w:t>retention</w:t>
      </w:r>
      <w:r>
        <w:rPr>
          <w:spacing w:val="-9"/>
          <w:sz w:val="24"/>
        </w:rPr>
        <w:t xml:space="preserve"> </w:t>
      </w:r>
      <w:r>
        <w:rPr>
          <w:spacing w:val="-2"/>
          <w:sz w:val="24"/>
        </w:rPr>
        <w:t>m</w:t>
      </w:r>
      <w:r>
        <w:rPr>
          <w:sz w:val="24"/>
        </w:rPr>
        <w:t>ethods</w:t>
      </w:r>
      <w:r>
        <w:rPr>
          <w:spacing w:val="-8"/>
          <w:sz w:val="24"/>
        </w:rPr>
        <w:t xml:space="preserve"> will be revised </w:t>
      </w:r>
      <w:r>
        <w:rPr>
          <w:sz w:val="24"/>
        </w:rPr>
        <w:t>as necessary.</w:t>
      </w:r>
    </w:p>
    <w:p w:rsidR="00026303" w:rsidRDefault="00026303" w:rsidP="00026303">
      <w:pPr>
        <w:ind w:right="80" w:firstLine="360"/>
        <w:rPr>
          <w:sz w:val="24"/>
        </w:rPr>
      </w:pPr>
    </w:p>
    <w:p w:rsidR="00026303" w:rsidRDefault="00026303" w:rsidP="00026303">
      <w:pPr>
        <w:ind w:right="208"/>
        <w:rPr>
          <w:sz w:val="24"/>
        </w:rPr>
      </w:pPr>
      <w:r>
        <w:rPr>
          <w:sz w:val="24"/>
        </w:rPr>
        <w:t>Retention</w:t>
      </w:r>
      <w:r>
        <w:rPr>
          <w:spacing w:val="-9"/>
          <w:sz w:val="24"/>
        </w:rPr>
        <w:t xml:space="preserve"> </w:t>
      </w:r>
      <w:r>
        <w:rPr>
          <w:sz w:val="24"/>
        </w:rPr>
        <w:t>strate</w:t>
      </w:r>
      <w:r>
        <w:rPr>
          <w:spacing w:val="-1"/>
          <w:sz w:val="24"/>
        </w:rPr>
        <w:t>g</w:t>
      </w:r>
      <w:r>
        <w:rPr>
          <w:spacing w:val="1"/>
          <w:sz w:val="24"/>
        </w:rPr>
        <w:t>i</w:t>
      </w:r>
      <w:r>
        <w:rPr>
          <w:sz w:val="24"/>
        </w:rPr>
        <w:t>es</w:t>
      </w:r>
      <w:r>
        <w:rPr>
          <w:spacing w:val="-7"/>
          <w:sz w:val="24"/>
        </w:rPr>
        <w:t xml:space="preserve"> </w:t>
      </w:r>
      <w:r>
        <w:rPr>
          <w:sz w:val="24"/>
        </w:rPr>
        <w:t>for this</w:t>
      </w:r>
      <w:r>
        <w:rPr>
          <w:spacing w:val="-3"/>
          <w:sz w:val="24"/>
        </w:rPr>
        <w:t xml:space="preserve"> </w:t>
      </w:r>
      <w:r>
        <w:rPr>
          <w:sz w:val="24"/>
        </w:rPr>
        <w:t>study</w:t>
      </w:r>
      <w:r>
        <w:rPr>
          <w:spacing w:val="-5"/>
          <w:sz w:val="24"/>
        </w:rPr>
        <w:t xml:space="preserve"> </w:t>
      </w:r>
      <w:r>
        <w:rPr>
          <w:sz w:val="24"/>
        </w:rPr>
        <w:t>will</w:t>
      </w:r>
      <w:r>
        <w:rPr>
          <w:spacing w:val="-4"/>
          <w:sz w:val="24"/>
        </w:rPr>
        <w:t xml:space="preserve"> </w:t>
      </w:r>
      <w:r>
        <w:rPr>
          <w:sz w:val="24"/>
        </w:rPr>
        <w:t>build</w:t>
      </w:r>
      <w:r>
        <w:rPr>
          <w:spacing w:val="-5"/>
          <w:sz w:val="24"/>
        </w:rPr>
        <w:t xml:space="preserve"> </w:t>
      </w:r>
      <w:r>
        <w:rPr>
          <w:sz w:val="24"/>
        </w:rPr>
        <w:t>on s</w:t>
      </w:r>
      <w:r>
        <w:rPr>
          <w:spacing w:val="-1"/>
          <w:sz w:val="24"/>
        </w:rPr>
        <w:t>u</w:t>
      </w:r>
      <w:r>
        <w:rPr>
          <w:sz w:val="24"/>
        </w:rPr>
        <w:t>ccessful</w:t>
      </w:r>
      <w:r>
        <w:rPr>
          <w:spacing w:val="-8"/>
          <w:sz w:val="24"/>
        </w:rPr>
        <w:t xml:space="preserve"> </w:t>
      </w:r>
      <w:r>
        <w:rPr>
          <w:sz w:val="24"/>
        </w:rPr>
        <w:t>ap</w:t>
      </w:r>
      <w:r>
        <w:rPr>
          <w:spacing w:val="-1"/>
          <w:sz w:val="24"/>
        </w:rPr>
        <w:t>p</w:t>
      </w:r>
      <w:r>
        <w:rPr>
          <w:sz w:val="24"/>
        </w:rPr>
        <w:t>roaches</w:t>
      </w:r>
      <w:r>
        <w:rPr>
          <w:spacing w:val="-10"/>
          <w:sz w:val="24"/>
        </w:rPr>
        <w:t xml:space="preserve"> </w:t>
      </w:r>
      <w:r>
        <w:rPr>
          <w:sz w:val="24"/>
        </w:rPr>
        <w:t>used in</w:t>
      </w:r>
      <w:r>
        <w:rPr>
          <w:spacing w:val="-2"/>
          <w:sz w:val="24"/>
        </w:rPr>
        <w:t xml:space="preserve"> </w:t>
      </w:r>
      <w:r>
        <w:rPr>
          <w:sz w:val="24"/>
        </w:rPr>
        <w:t>past research</w:t>
      </w:r>
      <w:r>
        <w:rPr>
          <w:spacing w:val="-8"/>
          <w:sz w:val="24"/>
        </w:rPr>
        <w:t xml:space="preserve"> </w:t>
      </w:r>
      <w:r>
        <w:rPr>
          <w:sz w:val="24"/>
        </w:rPr>
        <w:t>activities.</w:t>
      </w:r>
      <w:r>
        <w:rPr>
          <w:spacing w:val="-9"/>
          <w:sz w:val="24"/>
        </w:rPr>
        <w:t xml:space="preserve"> </w:t>
      </w:r>
      <w:r>
        <w:rPr>
          <w:sz w:val="24"/>
        </w:rPr>
        <w:t>Accurate</w:t>
      </w:r>
      <w:r>
        <w:rPr>
          <w:spacing w:val="-9"/>
          <w:sz w:val="24"/>
        </w:rPr>
        <w:t xml:space="preserve"> </w:t>
      </w:r>
      <w:r>
        <w:rPr>
          <w:sz w:val="24"/>
        </w:rPr>
        <w:t>co</w:t>
      </w:r>
      <w:r>
        <w:rPr>
          <w:spacing w:val="-1"/>
          <w:sz w:val="24"/>
        </w:rPr>
        <w:t>n</w:t>
      </w:r>
      <w:r>
        <w:rPr>
          <w:spacing w:val="1"/>
          <w:sz w:val="24"/>
        </w:rPr>
        <w:t>t</w:t>
      </w:r>
      <w:r>
        <w:rPr>
          <w:sz w:val="24"/>
        </w:rPr>
        <w:t>act</w:t>
      </w:r>
      <w:r>
        <w:rPr>
          <w:spacing w:val="-7"/>
          <w:sz w:val="24"/>
        </w:rPr>
        <w:t xml:space="preserve"> </w:t>
      </w:r>
      <w:r>
        <w:rPr>
          <w:sz w:val="24"/>
        </w:rPr>
        <w:t>info</w:t>
      </w:r>
      <w:r>
        <w:rPr>
          <w:spacing w:val="2"/>
          <w:sz w:val="24"/>
        </w:rPr>
        <w:t>r</w:t>
      </w:r>
      <w:r>
        <w:rPr>
          <w:spacing w:val="-2"/>
          <w:sz w:val="24"/>
        </w:rPr>
        <w:t>m</w:t>
      </w:r>
      <w:r>
        <w:rPr>
          <w:spacing w:val="-1"/>
          <w:sz w:val="24"/>
        </w:rPr>
        <w:t>a</w:t>
      </w:r>
      <w:r>
        <w:rPr>
          <w:sz w:val="24"/>
        </w:rPr>
        <w:t>tion</w:t>
      </w:r>
      <w:r>
        <w:rPr>
          <w:spacing w:val="-11"/>
          <w:sz w:val="24"/>
        </w:rPr>
        <w:t xml:space="preserve"> </w:t>
      </w:r>
      <w:r>
        <w:rPr>
          <w:sz w:val="24"/>
        </w:rPr>
        <w:t>will</w:t>
      </w:r>
      <w:r>
        <w:rPr>
          <w:spacing w:val="-4"/>
          <w:sz w:val="24"/>
        </w:rPr>
        <w:t xml:space="preserve"> </w:t>
      </w:r>
      <w:r>
        <w:rPr>
          <w:sz w:val="24"/>
        </w:rPr>
        <w:t>be</w:t>
      </w:r>
      <w:r>
        <w:rPr>
          <w:spacing w:val="-2"/>
          <w:sz w:val="24"/>
        </w:rPr>
        <w:t xml:space="preserve"> </w:t>
      </w:r>
      <w:r>
        <w:rPr>
          <w:sz w:val="24"/>
        </w:rPr>
        <w:t>updated</w:t>
      </w:r>
      <w:r>
        <w:rPr>
          <w:spacing w:val="-8"/>
          <w:sz w:val="24"/>
        </w:rPr>
        <w:t xml:space="preserve"> </w:t>
      </w:r>
      <w:r>
        <w:rPr>
          <w:sz w:val="24"/>
        </w:rPr>
        <w:t>at</w:t>
      </w:r>
      <w:r>
        <w:rPr>
          <w:spacing w:val="-2"/>
          <w:sz w:val="24"/>
        </w:rPr>
        <w:t xml:space="preserve"> </w:t>
      </w:r>
      <w:r>
        <w:rPr>
          <w:sz w:val="24"/>
        </w:rPr>
        <w:t>every</w:t>
      </w:r>
      <w:r>
        <w:rPr>
          <w:spacing w:val="-5"/>
          <w:sz w:val="24"/>
        </w:rPr>
        <w:t xml:space="preserve"> </w:t>
      </w:r>
      <w:r>
        <w:rPr>
          <w:sz w:val="24"/>
        </w:rPr>
        <w:t>study</w:t>
      </w:r>
      <w:r>
        <w:rPr>
          <w:spacing w:val="-5"/>
          <w:sz w:val="24"/>
        </w:rPr>
        <w:t xml:space="preserve"> </w:t>
      </w:r>
      <w:r>
        <w:rPr>
          <w:sz w:val="24"/>
        </w:rPr>
        <w:t>vi</w:t>
      </w:r>
      <w:r>
        <w:rPr>
          <w:spacing w:val="-1"/>
          <w:sz w:val="24"/>
        </w:rPr>
        <w:t>s</w:t>
      </w:r>
      <w:r>
        <w:rPr>
          <w:sz w:val="24"/>
        </w:rPr>
        <w:t>it</w:t>
      </w:r>
      <w:r>
        <w:rPr>
          <w:spacing w:val="-4"/>
          <w:sz w:val="24"/>
        </w:rPr>
        <w:t xml:space="preserve"> </w:t>
      </w:r>
      <w:r>
        <w:rPr>
          <w:sz w:val="24"/>
        </w:rPr>
        <w:t>and</w:t>
      </w:r>
      <w:r>
        <w:rPr>
          <w:spacing w:val="-3"/>
          <w:sz w:val="24"/>
        </w:rPr>
        <w:t xml:space="preserve"> </w:t>
      </w:r>
      <w:r>
        <w:rPr>
          <w:sz w:val="24"/>
        </w:rPr>
        <w:t>will include</w:t>
      </w:r>
      <w:r>
        <w:rPr>
          <w:spacing w:val="-7"/>
          <w:sz w:val="24"/>
        </w:rPr>
        <w:t xml:space="preserve"> </w:t>
      </w:r>
      <w:r>
        <w:rPr>
          <w:spacing w:val="-1"/>
          <w:sz w:val="24"/>
        </w:rPr>
        <w:t>p</w:t>
      </w:r>
      <w:r>
        <w:rPr>
          <w:spacing w:val="1"/>
          <w:sz w:val="24"/>
        </w:rPr>
        <w:t>l</w:t>
      </w:r>
      <w:r>
        <w:rPr>
          <w:sz w:val="24"/>
        </w:rPr>
        <w:t>aces</w:t>
      </w:r>
      <w:r>
        <w:rPr>
          <w:spacing w:val="-5"/>
          <w:sz w:val="24"/>
        </w:rPr>
        <w:t xml:space="preserve"> </w:t>
      </w:r>
      <w:r>
        <w:rPr>
          <w:sz w:val="24"/>
        </w:rPr>
        <w:t>where</w:t>
      </w:r>
      <w:r>
        <w:rPr>
          <w:spacing w:val="-6"/>
          <w:sz w:val="24"/>
        </w:rPr>
        <w:t xml:space="preserve"> </w:t>
      </w:r>
      <w:r>
        <w:rPr>
          <w:sz w:val="24"/>
        </w:rPr>
        <w:t>t</w:t>
      </w:r>
      <w:r>
        <w:rPr>
          <w:spacing w:val="-1"/>
          <w:sz w:val="24"/>
        </w:rPr>
        <w:t>h</w:t>
      </w:r>
      <w:r>
        <w:rPr>
          <w:sz w:val="24"/>
        </w:rPr>
        <w:t>e</w:t>
      </w:r>
      <w:r>
        <w:rPr>
          <w:spacing w:val="-3"/>
          <w:sz w:val="24"/>
        </w:rPr>
        <w:t xml:space="preserve"> </w:t>
      </w:r>
      <w:r>
        <w:rPr>
          <w:sz w:val="24"/>
        </w:rPr>
        <w:t>participa</w:t>
      </w:r>
      <w:r>
        <w:rPr>
          <w:spacing w:val="-1"/>
          <w:sz w:val="24"/>
        </w:rPr>
        <w:t>n</w:t>
      </w:r>
      <w:r>
        <w:rPr>
          <w:sz w:val="24"/>
        </w:rPr>
        <w:t>t</w:t>
      </w:r>
      <w:r>
        <w:rPr>
          <w:spacing w:val="-10"/>
          <w:sz w:val="24"/>
        </w:rPr>
        <w:t xml:space="preserve"> </w:t>
      </w:r>
      <w:r>
        <w:rPr>
          <w:sz w:val="24"/>
        </w:rPr>
        <w:t>spends ti</w:t>
      </w:r>
      <w:r>
        <w:rPr>
          <w:spacing w:val="-3"/>
          <w:sz w:val="24"/>
        </w:rPr>
        <w:t>m</w:t>
      </w:r>
      <w:r>
        <w:rPr>
          <w:sz w:val="24"/>
        </w:rPr>
        <w:t>e,</w:t>
      </w:r>
      <w:r>
        <w:rPr>
          <w:spacing w:val="-5"/>
          <w:sz w:val="24"/>
        </w:rPr>
        <w:t xml:space="preserve"> </w:t>
      </w:r>
      <w:r>
        <w:rPr>
          <w:sz w:val="24"/>
        </w:rPr>
        <w:t>place</w:t>
      </w:r>
      <w:r>
        <w:rPr>
          <w:spacing w:val="-5"/>
          <w:sz w:val="24"/>
        </w:rPr>
        <w:t xml:space="preserve"> </w:t>
      </w:r>
      <w:r>
        <w:rPr>
          <w:sz w:val="24"/>
        </w:rPr>
        <w:t>of employ</w:t>
      </w:r>
      <w:r>
        <w:rPr>
          <w:spacing w:val="-2"/>
          <w:sz w:val="24"/>
        </w:rPr>
        <w:t>m</w:t>
      </w:r>
      <w:r>
        <w:rPr>
          <w:sz w:val="24"/>
        </w:rPr>
        <w:t>ent (if employed),</w:t>
      </w:r>
      <w:r>
        <w:rPr>
          <w:spacing w:val="-13"/>
          <w:sz w:val="24"/>
        </w:rPr>
        <w:t xml:space="preserve"> </w:t>
      </w:r>
      <w:r>
        <w:rPr>
          <w:sz w:val="24"/>
        </w:rPr>
        <w:t>and</w:t>
      </w:r>
      <w:r>
        <w:rPr>
          <w:spacing w:val="-3"/>
          <w:sz w:val="24"/>
        </w:rPr>
        <w:t xml:space="preserve"> </w:t>
      </w:r>
      <w:r>
        <w:rPr>
          <w:sz w:val="24"/>
        </w:rPr>
        <w:t>contact</w:t>
      </w:r>
      <w:r>
        <w:rPr>
          <w:spacing w:val="-7"/>
          <w:sz w:val="24"/>
        </w:rPr>
        <w:t xml:space="preserve"> </w:t>
      </w:r>
      <w:r>
        <w:rPr>
          <w:sz w:val="24"/>
        </w:rPr>
        <w:t>info</w:t>
      </w:r>
      <w:r>
        <w:rPr>
          <w:spacing w:val="2"/>
          <w:sz w:val="24"/>
        </w:rPr>
        <w:t>r</w:t>
      </w:r>
      <w:r>
        <w:rPr>
          <w:spacing w:val="-2"/>
          <w:sz w:val="24"/>
        </w:rPr>
        <w:t>m</w:t>
      </w:r>
      <w:r>
        <w:rPr>
          <w:sz w:val="24"/>
        </w:rPr>
        <w:t>ation for two f</w:t>
      </w:r>
      <w:r>
        <w:rPr>
          <w:spacing w:val="2"/>
          <w:sz w:val="24"/>
        </w:rPr>
        <w:t>a</w:t>
      </w:r>
      <w:r>
        <w:rPr>
          <w:spacing w:val="-2"/>
          <w:sz w:val="24"/>
        </w:rPr>
        <w:t>m</w:t>
      </w:r>
      <w:r>
        <w:rPr>
          <w:spacing w:val="2"/>
          <w:sz w:val="24"/>
        </w:rPr>
        <w:t>i</w:t>
      </w:r>
      <w:r>
        <w:rPr>
          <w:sz w:val="24"/>
        </w:rPr>
        <w:t>ly</w:t>
      </w:r>
      <w:r>
        <w:rPr>
          <w:spacing w:val="-6"/>
          <w:sz w:val="24"/>
        </w:rPr>
        <w:t xml:space="preserve"> </w:t>
      </w:r>
      <w:r>
        <w:rPr>
          <w:spacing w:val="-2"/>
          <w:sz w:val="24"/>
        </w:rPr>
        <w:t>m</w:t>
      </w:r>
      <w:r>
        <w:rPr>
          <w:spacing w:val="2"/>
          <w:sz w:val="24"/>
        </w:rPr>
        <w:t>e</w:t>
      </w:r>
      <w:r>
        <w:rPr>
          <w:spacing w:val="-2"/>
          <w:sz w:val="24"/>
        </w:rPr>
        <w:t>m</w:t>
      </w:r>
      <w:r>
        <w:rPr>
          <w:sz w:val="24"/>
        </w:rPr>
        <w:t>bers</w:t>
      </w:r>
      <w:r>
        <w:rPr>
          <w:spacing w:val="-5"/>
          <w:sz w:val="24"/>
        </w:rPr>
        <w:t xml:space="preserve"> </w:t>
      </w:r>
      <w:r>
        <w:rPr>
          <w:sz w:val="24"/>
        </w:rPr>
        <w:t>or friends</w:t>
      </w:r>
      <w:r>
        <w:rPr>
          <w:spacing w:val="-7"/>
          <w:sz w:val="24"/>
        </w:rPr>
        <w:t xml:space="preserve"> </w:t>
      </w:r>
      <w:r>
        <w:rPr>
          <w:sz w:val="24"/>
        </w:rPr>
        <w:t>with</w:t>
      </w:r>
      <w:r>
        <w:rPr>
          <w:spacing w:val="-4"/>
          <w:sz w:val="24"/>
        </w:rPr>
        <w:t xml:space="preserve"> </w:t>
      </w:r>
      <w:r>
        <w:rPr>
          <w:sz w:val="24"/>
        </w:rPr>
        <w:t>whom</w:t>
      </w:r>
      <w:r>
        <w:rPr>
          <w:spacing w:val="-3"/>
          <w:sz w:val="24"/>
        </w:rPr>
        <w:t xml:space="preserve"> </w:t>
      </w:r>
      <w:r>
        <w:rPr>
          <w:sz w:val="24"/>
        </w:rPr>
        <w:t>the</w:t>
      </w:r>
      <w:r>
        <w:rPr>
          <w:spacing w:val="-3"/>
          <w:sz w:val="24"/>
        </w:rPr>
        <w:t xml:space="preserve"> </w:t>
      </w:r>
      <w:r>
        <w:rPr>
          <w:sz w:val="24"/>
        </w:rPr>
        <w:t>participa</w:t>
      </w:r>
      <w:r>
        <w:rPr>
          <w:spacing w:val="-1"/>
          <w:sz w:val="24"/>
        </w:rPr>
        <w:t>n</w:t>
      </w:r>
      <w:r>
        <w:rPr>
          <w:sz w:val="24"/>
        </w:rPr>
        <w:t>t</w:t>
      </w:r>
      <w:r>
        <w:rPr>
          <w:spacing w:val="-10"/>
          <w:sz w:val="24"/>
        </w:rPr>
        <w:t xml:space="preserve"> </w:t>
      </w:r>
      <w:r>
        <w:rPr>
          <w:sz w:val="24"/>
        </w:rPr>
        <w:t>stays in</w:t>
      </w:r>
      <w:r>
        <w:rPr>
          <w:spacing w:val="-2"/>
          <w:sz w:val="24"/>
        </w:rPr>
        <w:t xml:space="preserve"> </w:t>
      </w:r>
      <w:r>
        <w:rPr>
          <w:sz w:val="24"/>
        </w:rPr>
        <w:t>reg</w:t>
      </w:r>
      <w:r>
        <w:rPr>
          <w:spacing w:val="-1"/>
          <w:sz w:val="24"/>
        </w:rPr>
        <w:t>u</w:t>
      </w:r>
      <w:r>
        <w:rPr>
          <w:sz w:val="24"/>
        </w:rPr>
        <w:t>lar</w:t>
      </w:r>
      <w:r>
        <w:rPr>
          <w:spacing w:val="-7"/>
          <w:sz w:val="24"/>
        </w:rPr>
        <w:t xml:space="preserve"> </w:t>
      </w:r>
      <w:r>
        <w:rPr>
          <w:sz w:val="24"/>
        </w:rPr>
        <w:t>co</w:t>
      </w:r>
      <w:r>
        <w:rPr>
          <w:spacing w:val="-1"/>
          <w:sz w:val="24"/>
        </w:rPr>
        <w:t>n</w:t>
      </w:r>
      <w:r>
        <w:rPr>
          <w:spacing w:val="1"/>
          <w:sz w:val="24"/>
        </w:rPr>
        <w:t>t</w:t>
      </w:r>
      <w:r>
        <w:rPr>
          <w:sz w:val="24"/>
        </w:rPr>
        <w:t>a</w:t>
      </w:r>
      <w:r>
        <w:rPr>
          <w:spacing w:val="-1"/>
          <w:sz w:val="24"/>
        </w:rPr>
        <w:t>c</w:t>
      </w:r>
      <w:r>
        <w:rPr>
          <w:sz w:val="24"/>
        </w:rPr>
        <w:t>t.</w:t>
      </w:r>
      <w:r>
        <w:rPr>
          <w:spacing w:val="-8"/>
          <w:sz w:val="24"/>
        </w:rPr>
        <w:t xml:space="preserve"> </w:t>
      </w:r>
      <w:r>
        <w:rPr>
          <w:spacing w:val="-1"/>
          <w:sz w:val="24"/>
        </w:rPr>
        <w:t>I</w:t>
      </w:r>
      <w:r>
        <w:rPr>
          <w:sz w:val="24"/>
        </w:rPr>
        <w:t>n addition,</w:t>
      </w:r>
      <w:r>
        <w:rPr>
          <w:spacing w:val="-8"/>
          <w:sz w:val="24"/>
        </w:rPr>
        <w:t xml:space="preserve"> </w:t>
      </w:r>
      <w:r>
        <w:rPr>
          <w:sz w:val="24"/>
        </w:rPr>
        <w:t>as a</w:t>
      </w:r>
      <w:r>
        <w:rPr>
          <w:spacing w:val="-1"/>
          <w:sz w:val="24"/>
        </w:rPr>
        <w:t xml:space="preserve"> </w:t>
      </w:r>
      <w:r>
        <w:rPr>
          <w:sz w:val="24"/>
        </w:rPr>
        <w:t>partici</w:t>
      </w:r>
      <w:r>
        <w:rPr>
          <w:spacing w:val="-1"/>
          <w:sz w:val="24"/>
        </w:rPr>
        <w:t>p</w:t>
      </w:r>
      <w:r>
        <w:rPr>
          <w:sz w:val="24"/>
        </w:rPr>
        <w:t>ation</w:t>
      </w:r>
      <w:r>
        <w:rPr>
          <w:spacing w:val="-12"/>
          <w:sz w:val="24"/>
        </w:rPr>
        <w:t xml:space="preserve"> </w:t>
      </w:r>
      <w:r>
        <w:rPr>
          <w:sz w:val="24"/>
        </w:rPr>
        <w:t>ince</w:t>
      </w:r>
      <w:r>
        <w:rPr>
          <w:spacing w:val="-1"/>
          <w:sz w:val="24"/>
        </w:rPr>
        <w:t>n</w:t>
      </w:r>
      <w:r>
        <w:rPr>
          <w:sz w:val="24"/>
        </w:rPr>
        <w:t>tive</w:t>
      </w:r>
      <w:r>
        <w:rPr>
          <w:spacing w:val="-9"/>
          <w:sz w:val="24"/>
        </w:rPr>
        <w:t xml:space="preserve"> </w:t>
      </w:r>
      <w:r>
        <w:rPr>
          <w:sz w:val="24"/>
        </w:rPr>
        <w:t>in</w:t>
      </w:r>
      <w:r>
        <w:rPr>
          <w:spacing w:val="-2"/>
          <w:sz w:val="24"/>
        </w:rPr>
        <w:t xml:space="preserve"> </w:t>
      </w:r>
      <w:r>
        <w:rPr>
          <w:sz w:val="24"/>
        </w:rPr>
        <w:t>the</w:t>
      </w:r>
      <w:r>
        <w:rPr>
          <w:spacing w:val="-3"/>
          <w:sz w:val="24"/>
        </w:rPr>
        <w:t xml:space="preserve"> </w:t>
      </w:r>
      <w:r>
        <w:rPr>
          <w:sz w:val="24"/>
        </w:rPr>
        <w:t>inter</w:t>
      </w:r>
      <w:r>
        <w:rPr>
          <w:spacing w:val="-1"/>
          <w:sz w:val="24"/>
        </w:rPr>
        <w:t>v</w:t>
      </w:r>
      <w:r>
        <w:rPr>
          <w:sz w:val="24"/>
        </w:rPr>
        <w:t>ention,</w:t>
      </w:r>
      <w:r>
        <w:rPr>
          <w:spacing w:val="-12"/>
          <w:sz w:val="24"/>
        </w:rPr>
        <w:t xml:space="preserve"> </w:t>
      </w:r>
      <w:r>
        <w:rPr>
          <w:sz w:val="24"/>
        </w:rPr>
        <w:t>a</w:t>
      </w:r>
      <w:r>
        <w:rPr>
          <w:spacing w:val="-1"/>
          <w:sz w:val="24"/>
        </w:rPr>
        <w:t xml:space="preserve"> </w:t>
      </w:r>
      <w:r>
        <w:rPr>
          <w:sz w:val="24"/>
        </w:rPr>
        <w:t>monthly</w:t>
      </w:r>
      <w:r>
        <w:rPr>
          <w:spacing w:val="-8"/>
          <w:sz w:val="24"/>
        </w:rPr>
        <w:t xml:space="preserve"> </w:t>
      </w:r>
      <w:r>
        <w:rPr>
          <w:sz w:val="24"/>
        </w:rPr>
        <w:t>lottery</w:t>
      </w:r>
      <w:r>
        <w:rPr>
          <w:spacing w:val="-6"/>
          <w:sz w:val="24"/>
        </w:rPr>
        <w:t xml:space="preserve"> will be offered </w:t>
      </w:r>
      <w:r>
        <w:rPr>
          <w:sz w:val="24"/>
        </w:rPr>
        <w:t>where each</w:t>
      </w:r>
      <w:r>
        <w:rPr>
          <w:spacing w:val="-4"/>
          <w:sz w:val="24"/>
        </w:rPr>
        <w:t xml:space="preserve"> </w:t>
      </w:r>
      <w:r>
        <w:rPr>
          <w:sz w:val="24"/>
        </w:rPr>
        <w:t>week’s atten</w:t>
      </w:r>
      <w:r>
        <w:rPr>
          <w:spacing w:val="-1"/>
          <w:sz w:val="24"/>
        </w:rPr>
        <w:t>d</w:t>
      </w:r>
      <w:r>
        <w:rPr>
          <w:sz w:val="24"/>
        </w:rPr>
        <w:t>ance</w:t>
      </w:r>
      <w:r>
        <w:rPr>
          <w:spacing w:val="-10"/>
          <w:sz w:val="24"/>
        </w:rPr>
        <w:t xml:space="preserve"> </w:t>
      </w:r>
      <w:r>
        <w:rPr>
          <w:sz w:val="24"/>
        </w:rPr>
        <w:t>at</w:t>
      </w:r>
      <w:r>
        <w:rPr>
          <w:spacing w:val="-2"/>
          <w:sz w:val="24"/>
        </w:rPr>
        <w:t xml:space="preserve"> </w:t>
      </w:r>
      <w:r>
        <w:rPr>
          <w:sz w:val="24"/>
        </w:rPr>
        <w:t>a</w:t>
      </w:r>
      <w:r>
        <w:rPr>
          <w:spacing w:val="-1"/>
          <w:sz w:val="24"/>
        </w:rPr>
        <w:t xml:space="preserve"> </w:t>
      </w:r>
      <w:r>
        <w:rPr>
          <w:sz w:val="24"/>
        </w:rPr>
        <w:t>group session and/</w:t>
      </w:r>
      <w:r>
        <w:rPr>
          <w:spacing w:val="-1"/>
          <w:sz w:val="24"/>
        </w:rPr>
        <w:t>o</w:t>
      </w:r>
      <w:r>
        <w:rPr>
          <w:sz w:val="24"/>
        </w:rPr>
        <w:t>r</w:t>
      </w:r>
      <w:r>
        <w:rPr>
          <w:spacing w:val="-5"/>
          <w:sz w:val="24"/>
        </w:rPr>
        <w:t xml:space="preserve"> </w:t>
      </w:r>
      <w:r>
        <w:rPr>
          <w:sz w:val="24"/>
        </w:rPr>
        <w:t>exercise</w:t>
      </w:r>
      <w:r>
        <w:rPr>
          <w:spacing w:val="-8"/>
          <w:sz w:val="24"/>
        </w:rPr>
        <w:t xml:space="preserve"> </w:t>
      </w:r>
      <w:r>
        <w:rPr>
          <w:sz w:val="24"/>
        </w:rPr>
        <w:t>class</w:t>
      </w:r>
      <w:r>
        <w:rPr>
          <w:spacing w:val="-5"/>
          <w:sz w:val="24"/>
        </w:rPr>
        <w:t xml:space="preserve"> </w:t>
      </w:r>
      <w:r>
        <w:rPr>
          <w:sz w:val="24"/>
        </w:rPr>
        <w:t>r</w:t>
      </w:r>
      <w:r>
        <w:rPr>
          <w:spacing w:val="-1"/>
          <w:sz w:val="24"/>
        </w:rPr>
        <w:t>e</w:t>
      </w:r>
      <w:r>
        <w:rPr>
          <w:sz w:val="24"/>
        </w:rPr>
        <w:t>sults</w:t>
      </w:r>
      <w:r>
        <w:rPr>
          <w:spacing w:val="-6"/>
          <w:sz w:val="24"/>
        </w:rPr>
        <w:t xml:space="preserve"> </w:t>
      </w:r>
      <w:r>
        <w:rPr>
          <w:sz w:val="24"/>
        </w:rPr>
        <w:t>in</w:t>
      </w:r>
      <w:r>
        <w:rPr>
          <w:spacing w:val="-2"/>
          <w:sz w:val="24"/>
        </w:rPr>
        <w:t xml:space="preserve"> </w:t>
      </w:r>
      <w:r>
        <w:rPr>
          <w:sz w:val="24"/>
        </w:rPr>
        <w:t>an</w:t>
      </w:r>
      <w:r>
        <w:rPr>
          <w:spacing w:val="-2"/>
          <w:sz w:val="24"/>
        </w:rPr>
        <w:t xml:space="preserve"> </w:t>
      </w:r>
      <w:r>
        <w:rPr>
          <w:sz w:val="24"/>
        </w:rPr>
        <w:t>entry</w:t>
      </w:r>
      <w:r>
        <w:rPr>
          <w:spacing w:val="-5"/>
          <w:sz w:val="24"/>
        </w:rPr>
        <w:t xml:space="preserve"> </w:t>
      </w:r>
      <w:r>
        <w:rPr>
          <w:sz w:val="24"/>
        </w:rPr>
        <w:t>into</w:t>
      </w:r>
      <w:r>
        <w:rPr>
          <w:spacing w:val="-4"/>
          <w:sz w:val="24"/>
        </w:rPr>
        <w:t xml:space="preserve"> </w:t>
      </w:r>
      <w:r>
        <w:rPr>
          <w:w w:val="99"/>
          <w:sz w:val="24"/>
        </w:rPr>
        <w:t>the lottery.</w:t>
      </w:r>
      <w:r>
        <w:rPr>
          <w:sz w:val="24"/>
        </w:rPr>
        <w:t xml:space="preserve"> Lottery</w:t>
      </w:r>
      <w:r>
        <w:rPr>
          <w:spacing w:val="-7"/>
          <w:sz w:val="24"/>
        </w:rPr>
        <w:t xml:space="preserve"> </w:t>
      </w:r>
      <w:r>
        <w:rPr>
          <w:sz w:val="24"/>
        </w:rPr>
        <w:t>prizes</w:t>
      </w:r>
      <w:r>
        <w:rPr>
          <w:spacing w:val="-6"/>
          <w:sz w:val="24"/>
        </w:rPr>
        <w:t xml:space="preserve"> </w:t>
      </w:r>
      <w:r>
        <w:rPr>
          <w:spacing w:val="-2"/>
          <w:sz w:val="24"/>
        </w:rPr>
        <w:t>w</w:t>
      </w:r>
      <w:r>
        <w:rPr>
          <w:sz w:val="24"/>
        </w:rPr>
        <w:t>ill</w:t>
      </w:r>
      <w:r>
        <w:rPr>
          <w:spacing w:val="-2"/>
          <w:sz w:val="24"/>
        </w:rPr>
        <w:t xml:space="preserve"> </w:t>
      </w:r>
      <w:r>
        <w:rPr>
          <w:spacing w:val="-1"/>
          <w:sz w:val="24"/>
        </w:rPr>
        <w:t>b</w:t>
      </w:r>
      <w:r>
        <w:rPr>
          <w:sz w:val="24"/>
        </w:rPr>
        <w:t>e</w:t>
      </w:r>
      <w:r>
        <w:rPr>
          <w:spacing w:val="-1"/>
          <w:sz w:val="24"/>
        </w:rPr>
        <w:t xml:space="preserve"> </w:t>
      </w:r>
      <w:r>
        <w:rPr>
          <w:sz w:val="24"/>
        </w:rPr>
        <w:t>valued</w:t>
      </w:r>
      <w:r>
        <w:rPr>
          <w:spacing w:val="-7"/>
          <w:sz w:val="24"/>
        </w:rPr>
        <w:t xml:space="preserve"> </w:t>
      </w:r>
      <w:r>
        <w:rPr>
          <w:sz w:val="24"/>
        </w:rPr>
        <w:t>at</w:t>
      </w:r>
      <w:r>
        <w:rPr>
          <w:spacing w:val="-2"/>
          <w:sz w:val="24"/>
        </w:rPr>
        <w:t xml:space="preserve"> </w:t>
      </w:r>
      <w:r>
        <w:rPr>
          <w:sz w:val="24"/>
        </w:rPr>
        <w:t>$100 each.</w:t>
      </w:r>
      <w:r>
        <w:rPr>
          <w:spacing w:val="-5"/>
          <w:sz w:val="24"/>
        </w:rPr>
        <w:t xml:space="preserve"> </w:t>
      </w:r>
      <w:r>
        <w:rPr>
          <w:spacing w:val="-2"/>
          <w:sz w:val="24"/>
        </w:rPr>
        <w:t>A</w:t>
      </w:r>
      <w:r>
        <w:rPr>
          <w:spacing w:val="-1"/>
          <w:sz w:val="24"/>
        </w:rPr>
        <w:t xml:space="preserve"> </w:t>
      </w:r>
      <w:r>
        <w:rPr>
          <w:sz w:val="24"/>
        </w:rPr>
        <w:t>com</w:t>
      </w:r>
      <w:r>
        <w:rPr>
          <w:spacing w:val="-2"/>
          <w:sz w:val="24"/>
        </w:rPr>
        <w:t>m</w:t>
      </w:r>
      <w:r>
        <w:rPr>
          <w:sz w:val="24"/>
        </w:rPr>
        <w:t>unity</w:t>
      </w:r>
      <w:r>
        <w:rPr>
          <w:spacing w:val="-11"/>
          <w:sz w:val="24"/>
        </w:rPr>
        <w:t xml:space="preserve"> </w:t>
      </w:r>
      <w:r>
        <w:rPr>
          <w:sz w:val="24"/>
        </w:rPr>
        <w:t>presence will be maintained through</w:t>
      </w:r>
      <w:r>
        <w:rPr>
          <w:spacing w:val="-7"/>
          <w:sz w:val="24"/>
        </w:rPr>
        <w:t xml:space="preserve"> </w:t>
      </w:r>
      <w:r>
        <w:rPr>
          <w:sz w:val="24"/>
        </w:rPr>
        <w:t>our community-based</w:t>
      </w:r>
      <w:r>
        <w:rPr>
          <w:spacing w:val="-17"/>
          <w:sz w:val="24"/>
        </w:rPr>
        <w:t xml:space="preserve"> </w:t>
      </w:r>
      <w:r>
        <w:rPr>
          <w:sz w:val="24"/>
        </w:rPr>
        <w:t>office</w:t>
      </w:r>
      <w:r>
        <w:rPr>
          <w:spacing w:val="-6"/>
          <w:sz w:val="24"/>
        </w:rPr>
        <w:t xml:space="preserve"> </w:t>
      </w:r>
      <w:r>
        <w:rPr>
          <w:sz w:val="24"/>
        </w:rPr>
        <w:t>at</w:t>
      </w:r>
      <w:r>
        <w:rPr>
          <w:spacing w:val="-2"/>
          <w:sz w:val="24"/>
        </w:rPr>
        <w:t xml:space="preserve"> </w:t>
      </w:r>
      <w:r>
        <w:rPr>
          <w:sz w:val="24"/>
        </w:rPr>
        <w:t>LMHS, where</w:t>
      </w:r>
      <w:r>
        <w:rPr>
          <w:spacing w:val="-6"/>
          <w:sz w:val="24"/>
        </w:rPr>
        <w:t xml:space="preserve"> </w:t>
      </w:r>
      <w:r>
        <w:rPr>
          <w:sz w:val="24"/>
        </w:rPr>
        <w:t>participants</w:t>
      </w:r>
      <w:r>
        <w:rPr>
          <w:spacing w:val="-11"/>
          <w:sz w:val="24"/>
        </w:rPr>
        <w:t xml:space="preserve"> </w:t>
      </w:r>
      <w:r>
        <w:rPr>
          <w:sz w:val="24"/>
        </w:rPr>
        <w:t>will</w:t>
      </w:r>
      <w:r>
        <w:rPr>
          <w:spacing w:val="-4"/>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drop-in</w:t>
      </w:r>
      <w:r>
        <w:rPr>
          <w:spacing w:val="-2"/>
          <w:sz w:val="24"/>
        </w:rPr>
        <w:t xml:space="preserve"> </w:t>
      </w:r>
      <w:r>
        <w:rPr>
          <w:sz w:val="24"/>
        </w:rPr>
        <w:t>to connect</w:t>
      </w:r>
      <w:r>
        <w:rPr>
          <w:spacing w:val="-7"/>
          <w:sz w:val="24"/>
        </w:rPr>
        <w:t xml:space="preserve"> </w:t>
      </w:r>
      <w:r>
        <w:rPr>
          <w:sz w:val="24"/>
        </w:rPr>
        <w:t>with</w:t>
      </w:r>
      <w:r>
        <w:rPr>
          <w:spacing w:val="-4"/>
          <w:sz w:val="24"/>
        </w:rPr>
        <w:t xml:space="preserve"> </w:t>
      </w:r>
      <w:r>
        <w:rPr>
          <w:sz w:val="24"/>
        </w:rPr>
        <w:t>study</w:t>
      </w:r>
      <w:r>
        <w:rPr>
          <w:spacing w:val="-5"/>
          <w:sz w:val="24"/>
        </w:rPr>
        <w:t xml:space="preserve"> </w:t>
      </w:r>
      <w:r>
        <w:rPr>
          <w:sz w:val="24"/>
        </w:rPr>
        <w:t>staff.</w:t>
      </w:r>
      <w:r>
        <w:rPr>
          <w:spacing w:val="-5"/>
          <w:sz w:val="24"/>
        </w:rPr>
        <w:t xml:space="preserve"> </w:t>
      </w:r>
      <w:r>
        <w:rPr>
          <w:sz w:val="24"/>
        </w:rPr>
        <w:t>Maintaining</w:t>
      </w:r>
      <w:r>
        <w:rPr>
          <w:spacing w:val="-12"/>
          <w:sz w:val="24"/>
        </w:rPr>
        <w:t xml:space="preserve"> </w:t>
      </w:r>
      <w:r>
        <w:rPr>
          <w:sz w:val="24"/>
        </w:rPr>
        <w:t>relationsh</w:t>
      </w:r>
      <w:r>
        <w:rPr>
          <w:spacing w:val="-1"/>
          <w:sz w:val="24"/>
        </w:rPr>
        <w:t>i</w:t>
      </w:r>
      <w:r>
        <w:rPr>
          <w:sz w:val="24"/>
        </w:rPr>
        <w:t>ps</w:t>
      </w:r>
      <w:r>
        <w:rPr>
          <w:spacing w:val="-10"/>
          <w:sz w:val="24"/>
        </w:rPr>
        <w:t xml:space="preserve"> </w:t>
      </w:r>
      <w:r>
        <w:rPr>
          <w:sz w:val="24"/>
        </w:rPr>
        <w:t>with</w:t>
      </w:r>
      <w:r>
        <w:rPr>
          <w:spacing w:val="-4"/>
          <w:sz w:val="24"/>
        </w:rPr>
        <w:t xml:space="preserve"> </w:t>
      </w:r>
      <w:r>
        <w:rPr>
          <w:sz w:val="24"/>
        </w:rPr>
        <w:t>community</w:t>
      </w:r>
      <w:r>
        <w:rPr>
          <w:spacing w:val="-11"/>
          <w:sz w:val="24"/>
        </w:rPr>
        <w:t xml:space="preserve"> </w:t>
      </w:r>
      <w:r>
        <w:rPr>
          <w:sz w:val="24"/>
        </w:rPr>
        <w:t>agencies</w:t>
      </w:r>
      <w:r>
        <w:rPr>
          <w:spacing w:val="-8"/>
          <w:sz w:val="24"/>
        </w:rPr>
        <w:t xml:space="preserve"> </w:t>
      </w:r>
      <w:r>
        <w:rPr>
          <w:sz w:val="24"/>
        </w:rPr>
        <w:t>that</w:t>
      </w:r>
      <w:r>
        <w:rPr>
          <w:spacing w:val="-4"/>
          <w:sz w:val="24"/>
        </w:rPr>
        <w:t xml:space="preserve"> </w:t>
      </w:r>
      <w:r>
        <w:rPr>
          <w:sz w:val="24"/>
        </w:rPr>
        <w:t>serve</w:t>
      </w:r>
      <w:r>
        <w:rPr>
          <w:spacing w:val="-5"/>
          <w:sz w:val="24"/>
        </w:rPr>
        <w:t xml:space="preserve"> </w:t>
      </w:r>
      <w:r>
        <w:rPr>
          <w:sz w:val="24"/>
        </w:rPr>
        <w:t xml:space="preserve">our </w:t>
      </w:r>
      <w:r>
        <w:rPr>
          <w:w w:val="99"/>
          <w:sz w:val="24"/>
        </w:rPr>
        <w:t>target</w:t>
      </w:r>
      <w:r>
        <w:rPr>
          <w:sz w:val="24"/>
        </w:rPr>
        <w:t xml:space="preserve"> population</w:t>
      </w:r>
      <w:r>
        <w:rPr>
          <w:spacing w:val="-10"/>
          <w:sz w:val="24"/>
        </w:rPr>
        <w:t xml:space="preserve"> </w:t>
      </w:r>
      <w:r>
        <w:rPr>
          <w:sz w:val="24"/>
        </w:rPr>
        <w:t>will</w:t>
      </w:r>
      <w:r>
        <w:rPr>
          <w:spacing w:val="-4"/>
          <w:sz w:val="24"/>
        </w:rPr>
        <w:t xml:space="preserve"> </w:t>
      </w:r>
      <w:r>
        <w:rPr>
          <w:sz w:val="24"/>
        </w:rPr>
        <w:t>enhance</w:t>
      </w:r>
      <w:r>
        <w:rPr>
          <w:spacing w:val="-8"/>
          <w:sz w:val="24"/>
        </w:rPr>
        <w:t xml:space="preserve"> </w:t>
      </w:r>
      <w:r>
        <w:rPr>
          <w:sz w:val="24"/>
        </w:rPr>
        <w:t>our</w:t>
      </w:r>
      <w:r>
        <w:rPr>
          <w:spacing w:val="-1"/>
          <w:sz w:val="24"/>
        </w:rPr>
        <w:t xml:space="preserve"> </w:t>
      </w:r>
      <w:r>
        <w:rPr>
          <w:sz w:val="24"/>
        </w:rPr>
        <w:t>recruit</w:t>
      </w:r>
      <w:r>
        <w:rPr>
          <w:spacing w:val="-2"/>
          <w:sz w:val="24"/>
        </w:rPr>
        <w:t>m</w:t>
      </w:r>
      <w:r>
        <w:rPr>
          <w:sz w:val="24"/>
        </w:rPr>
        <w:t>ent</w:t>
      </w:r>
      <w:r>
        <w:rPr>
          <w:spacing w:val="-11"/>
          <w:sz w:val="24"/>
        </w:rPr>
        <w:t xml:space="preserve"> </w:t>
      </w:r>
      <w:r>
        <w:rPr>
          <w:sz w:val="24"/>
        </w:rPr>
        <w:t>and</w:t>
      </w:r>
      <w:r>
        <w:rPr>
          <w:spacing w:val="-3"/>
          <w:sz w:val="24"/>
        </w:rPr>
        <w:t xml:space="preserve"> </w:t>
      </w:r>
      <w:r>
        <w:rPr>
          <w:sz w:val="24"/>
        </w:rPr>
        <w:t>retention,</w:t>
      </w:r>
      <w:r>
        <w:rPr>
          <w:spacing w:val="-9"/>
          <w:sz w:val="24"/>
        </w:rPr>
        <w:t xml:space="preserve"> </w:t>
      </w:r>
      <w:r>
        <w:rPr>
          <w:sz w:val="24"/>
        </w:rPr>
        <w:t>build</w:t>
      </w:r>
      <w:r>
        <w:rPr>
          <w:spacing w:val="-6"/>
          <w:sz w:val="24"/>
        </w:rPr>
        <w:t xml:space="preserve"> </w:t>
      </w:r>
      <w:r>
        <w:rPr>
          <w:sz w:val="24"/>
        </w:rPr>
        <w:t>trust</w:t>
      </w:r>
      <w:r>
        <w:rPr>
          <w:spacing w:val="-4"/>
          <w:sz w:val="24"/>
        </w:rPr>
        <w:t xml:space="preserve"> </w:t>
      </w:r>
      <w:r>
        <w:rPr>
          <w:spacing w:val="-2"/>
          <w:sz w:val="24"/>
        </w:rPr>
        <w:t>w</w:t>
      </w:r>
      <w:r>
        <w:rPr>
          <w:sz w:val="24"/>
        </w:rPr>
        <w:t>ith</w:t>
      </w:r>
      <w:r>
        <w:rPr>
          <w:spacing w:val="-3"/>
          <w:sz w:val="24"/>
        </w:rPr>
        <w:t xml:space="preserve"> </w:t>
      </w:r>
      <w:r>
        <w:rPr>
          <w:sz w:val="24"/>
        </w:rPr>
        <w:t>participants,</w:t>
      </w:r>
      <w:r>
        <w:rPr>
          <w:spacing w:val="-12"/>
          <w:sz w:val="24"/>
        </w:rPr>
        <w:t xml:space="preserve"> </w:t>
      </w:r>
      <w:r>
        <w:rPr>
          <w:sz w:val="24"/>
        </w:rPr>
        <w:t>and facilitate</w:t>
      </w:r>
      <w:r>
        <w:rPr>
          <w:spacing w:val="-8"/>
          <w:sz w:val="24"/>
        </w:rPr>
        <w:t xml:space="preserve"> </w:t>
      </w:r>
      <w:r>
        <w:rPr>
          <w:sz w:val="24"/>
        </w:rPr>
        <w:t>our ability</w:t>
      </w:r>
      <w:r>
        <w:rPr>
          <w:spacing w:val="-6"/>
          <w:sz w:val="24"/>
        </w:rPr>
        <w:t xml:space="preserve"> </w:t>
      </w:r>
      <w:r>
        <w:rPr>
          <w:sz w:val="24"/>
        </w:rPr>
        <w:t>to</w:t>
      </w:r>
      <w:r>
        <w:rPr>
          <w:spacing w:val="-2"/>
          <w:sz w:val="24"/>
        </w:rPr>
        <w:t xml:space="preserve"> m</w:t>
      </w:r>
      <w:r>
        <w:rPr>
          <w:sz w:val="24"/>
        </w:rPr>
        <w:t>ake</w:t>
      </w:r>
      <w:r>
        <w:rPr>
          <w:spacing w:val="-5"/>
          <w:sz w:val="24"/>
        </w:rPr>
        <w:t xml:space="preserve"> </w:t>
      </w:r>
      <w:r>
        <w:rPr>
          <w:sz w:val="24"/>
        </w:rPr>
        <w:t>any</w:t>
      </w:r>
      <w:r>
        <w:rPr>
          <w:spacing w:val="-3"/>
          <w:sz w:val="24"/>
        </w:rPr>
        <w:t xml:space="preserve"> </w:t>
      </w:r>
      <w:r>
        <w:rPr>
          <w:sz w:val="24"/>
        </w:rPr>
        <w:t>necessary</w:t>
      </w:r>
      <w:r>
        <w:rPr>
          <w:spacing w:val="-9"/>
          <w:sz w:val="24"/>
        </w:rPr>
        <w:t xml:space="preserve"> </w:t>
      </w:r>
      <w:r>
        <w:rPr>
          <w:sz w:val="24"/>
        </w:rPr>
        <w:t>service</w:t>
      </w:r>
      <w:r>
        <w:rPr>
          <w:spacing w:val="-5"/>
          <w:sz w:val="24"/>
        </w:rPr>
        <w:t xml:space="preserve"> </w:t>
      </w:r>
      <w:r>
        <w:rPr>
          <w:sz w:val="24"/>
        </w:rPr>
        <w:t>referrals.</w:t>
      </w:r>
      <w:r>
        <w:rPr>
          <w:spacing w:val="-9"/>
          <w:sz w:val="24"/>
        </w:rPr>
        <w:t xml:space="preserve"> </w:t>
      </w:r>
      <w:r>
        <w:rPr>
          <w:sz w:val="24"/>
        </w:rPr>
        <w:t>R</w:t>
      </w:r>
      <w:r>
        <w:rPr>
          <w:spacing w:val="2"/>
          <w:sz w:val="24"/>
        </w:rPr>
        <w:t>e</w:t>
      </w:r>
      <w:r>
        <w:rPr>
          <w:spacing w:val="-2"/>
          <w:sz w:val="24"/>
        </w:rPr>
        <w:t>m</w:t>
      </w:r>
      <w:r>
        <w:rPr>
          <w:spacing w:val="1"/>
          <w:sz w:val="24"/>
        </w:rPr>
        <w:t>i</w:t>
      </w:r>
      <w:r>
        <w:rPr>
          <w:sz w:val="24"/>
        </w:rPr>
        <w:t>nder</w:t>
      </w:r>
      <w:r>
        <w:rPr>
          <w:spacing w:val="-9"/>
          <w:sz w:val="24"/>
        </w:rPr>
        <w:t xml:space="preserve"> </w:t>
      </w:r>
      <w:r>
        <w:rPr>
          <w:sz w:val="24"/>
        </w:rPr>
        <w:t>telephone</w:t>
      </w:r>
      <w:r>
        <w:rPr>
          <w:spacing w:val="-9"/>
          <w:sz w:val="24"/>
        </w:rPr>
        <w:t xml:space="preserve"> </w:t>
      </w:r>
      <w:r>
        <w:rPr>
          <w:sz w:val="24"/>
        </w:rPr>
        <w:t>calls</w:t>
      </w:r>
      <w:r>
        <w:rPr>
          <w:spacing w:val="-4"/>
          <w:sz w:val="24"/>
        </w:rPr>
        <w:t xml:space="preserve"> </w:t>
      </w:r>
      <w:r>
        <w:rPr>
          <w:sz w:val="24"/>
        </w:rPr>
        <w:t xml:space="preserve">or text </w:t>
      </w:r>
      <w:r>
        <w:rPr>
          <w:spacing w:val="-2"/>
          <w:sz w:val="24"/>
        </w:rPr>
        <w:t>m</w:t>
      </w:r>
      <w:r>
        <w:rPr>
          <w:sz w:val="24"/>
        </w:rPr>
        <w:t>essages</w:t>
      </w:r>
      <w:r>
        <w:rPr>
          <w:spacing w:val="-3"/>
          <w:sz w:val="24"/>
        </w:rPr>
        <w:t xml:space="preserve"> </w:t>
      </w:r>
      <w:r>
        <w:rPr>
          <w:sz w:val="24"/>
        </w:rPr>
        <w:t>will</w:t>
      </w:r>
      <w:r>
        <w:rPr>
          <w:spacing w:val="-4"/>
          <w:sz w:val="24"/>
        </w:rPr>
        <w:t xml:space="preserve"> </w:t>
      </w:r>
      <w:r>
        <w:rPr>
          <w:sz w:val="24"/>
        </w:rPr>
        <w:t>be</w:t>
      </w:r>
      <w:r>
        <w:rPr>
          <w:spacing w:val="-2"/>
          <w:sz w:val="24"/>
        </w:rPr>
        <w:t xml:space="preserve"> m</w:t>
      </w:r>
      <w:r>
        <w:rPr>
          <w:sz w:val="24"/>
        </w:rPr>
        <w:t>ade</w:t>
      </w:r>
      <w:r>
        <w:rPr>
          <w:spacing w:val="-5"/>
          <w:sz w:val="24"/>
        </w:rPr>
        <w:t xml:space="preserve"> </w:t>
      </w:r>
      <w:r>
        <w:rPr>
          <w:sz w:val="24"/>
        </w:rPr>
        <w:t>to</w:t>
      </w:r>
      <w:r>
        <w:rPr>
          <w:spacing w:val="-2"/>
          <w:sz w:val="24"/>
        </w:rPr>
        <w:t xml:space="preserve"> </w:t>
      </w:r>
      <w:r>
        <w:rPr>
          <w:sz w:val="24"/>
        </w:rPr>
        <w:t>try</w:t>
      </w:r>
      <w:r>
        <w:rPr>
          <w:spacing w:val="-3"/>
          <w:sz w:val="24"/>
        </w:rPr>
        <w:t xml:space="preserve"> </w:t>
      </w:r>
      <w:r>
        <w:rPr>
          <w:sz w:val="24"/>
        </w:rPr>
        <w:t>to</w:t>
      </w:r>
      <w:r>
        <w:rPr>
          <w:spacing w:val="-2"/>
          <w:sz w:val="24"/>
        </w:rPr>
        <w:t xml:space="preserve"> </w:t>
      </w:r>
      <w:r>
        <w:rPr>
          <w:spacing w:val="-1"/>
          <w:sz w:val="24"/>
        </w:rPr>
        <w:t>p</w:t>
      </w:r>
      <w:r>
        <w:rPr>
          <w:sz w:val="24"/>
        </w:rPr>
        <w:t>re</w:t>
      </w:r>
      <w:r>
        <w:rPr>
          <w:spacing w:val="-1"/>
          <w:sz w:val="24"/>
        </w:rPr>
        <w:t>v</w:t>
      </w:r>
      <w:r>
        <w:rPr>
          <w:sz w:val="24"/>
        </w:rPr>
        <w:t>ent</w:t>
      </w:r>
      <w:r>
        <w:rPr>
          <w:spacing w:val="-5"/>
          <w:sz w:val="24"/>
        </w:rPr>
        <w:t xml:space="preserve"> </w:t>
      </w:r>
      <w:r>
        <w:rPr>
          <w:sz w:val="24"/>
        </w:rPr>
        <w:t>l</w:t>
      </w:r>
      <w:r>
        <w:rPr>
          <w:spacing w:val="-1"/>
          <w:sz w:val="24"/>
        </w:rPr>
        <w:t>a</w:t>
      </w:r>
      <w:r>
        <w:rPr>
          <w:sz w:val="24"/>
        </w:rPr>
        <w:t>te</w:t>
      </w:r>
      <w:r>
        <w:rPr>
          <w:spacing w:val="-3"/>
          <w:sz w:val="24"/>
        </w:rPr>
        <w:t xml:space="preserve"> </w:t>
      </w:r>
      <w:r>
        <w:rPr>
          <w:sz w:val="24"/>
        </w:rPr>
        <w:t xml:space="preserve">or </w:t>
      </w:r>
      <w:r>
        <w:rPr>
          <w:spacing w:val="-2"/>
          <w:sz w:val="24"/>
        </w:rPr>
        <w:t>m</w:t>
      </w:r>
      <w:r>
        <w:rPr>
          <w:spacing w:val="1"/>
          <w:sz w:val="24"/>
        </w:rPr>
        <w:t>i</w:t>
      </w:r>
      <w:r>
        <w:rPr>
          <w:sz w:val="24"/>
        </w:rPr>
        <w:t>ssed</w:t>
      </w:r>
      <w:r>
        <w:rPr>
          <w:spacing w:val="-3"/>
          <w:sz w:val="24"/>
        </w:rPr>
        <w:t xml:space="preserve"> </w:t>
      </w:r>
      <w:r>
        <w:rPr>
          <w:sz w:val="24"/>
        </w:rPr>
        <w:t>visits.</w:t>
      </w:r>
      <w:r>
        <w:rPr>
          <w:spacing w:val="-6"/>
          <w:sz w:val="24"/>
        </w:rPr>
        <w:t xml:space="preserve"> </w:t>
      </w:r>
      <w:r>
        <w:rPr>
          <w:sz w:val="24"/>
        </w:rPr>
        <w:t>At lea</w:t>
      </w:r>
      <w:r>
        <w:rPr>
          <w:spacing w:val="-1"/>
          <w:sz w:val="24"/>
        </w:rPr>
        <w:t>s</w:t>
      </w:r>
      <w:r>
        <w:rPr>
          <w:sz w:val="24"/>
        </w:rPr>
        <w:t>t</w:t>
      </w:r>
      <w:r>
        <w:rPr>
          <w:spacing w:val="-4"/>
          <w:sz w:val="24"/>
        </w:rPr>
        <w:t xml:space="preserve"> </w:t>
      </w:r>
      <w:r>
        <w:rPr>
          <w:spacing w:val="-1"/>
          <w:sz w:val="24"/>
        </w:rPr>
        <w:t>f</w:t>
      </w:r>
      <w:r>
        <w:rPr>
          <w:spacing w:val="1"/>
          <w:sz w:val="24"/>
        </w:rPr>
        <w:t>i</w:t>
      </w:r>
      <w:r>
        <w:rPr>
          <w:sz w:val="24"/>
        </w:rPr>
        <w:t>ve</w:t>
      </w:r>
      <w:r>
        <w:rPr>
          <w:spacing w:val="-4"/>
          <w:sz w:val="24"/>
        </w:rPr>
        <w:t xml:space="preserve"> </w:t>
      </w:r>
      <w:r>
        <w:rPr>
          <w:sz w:val="24"/>
        </w:rPr>
        <w:t>atte</w:t>
      </w:r>
      <w:r>
        <w:rPr>
          <w:spacing w:val="-2"/>
          <w:sz w:val="24"/>
        </w:rPr>
        <w:t>m</w:t>
      </w:r>
      <w:r>
        <w:rPr>
          <w:sz w:val="24"/>
        </w:rPr>
        <w:t>pts</w:t>
      </w:r>
      <w:r>
        <w:rPr>
          <w:spacing w:val="-7"/>
          <w:sz w:val="24"/>
        </w:rPr>
        <w:t xml:space="preserve"> </w:t>
      </w:r>
      <w:r>
        <w:rPr>
          <w:sz w:val="24"/>
        </w:rPr>
        <w:t>will</w:t>
      </w:r>
      <w:r>
        <w:rPr>
          <w:spacing w:val="-4"/>
          <w:sz w:val="24"/>
        </w:rPr>
        <w:t xml:space="preserve"> </w:t>
      </w:r>
      <w:r>
        <w:rPr>
          <w:sz w:val="24"/>
        </w:rPr>
        <w:t>be</w:t>
      </w:r>
      <w:r>
        <w:rPr>
          <w:spacing w:val="-2"/>
          <w:sz w:val="24"/>
        </w:rPr>
        <w:t xml:space="preserve"> m</w:t>
      </w:r>
      <w:r>
        <w:rPr>
          <w:sz w:val="24"/>
        </w:rPr>
        <w:t>ade to</w:t>
      </w:r>
      <w:r>
        <w:rPr>
          <w:spacing w:val="-2"/>
          <w:sz w:val="24"/>
        </w:rPr>
        <w:t xml:space="preserve"> </w:t>
      </w:r>
      <w:r>
        <w:rPr>
          <w:sz w:val="24"/>
        </w:rPr>
        <w:t>connect</w:t>
      </w:r>
      <w:r>
        <w:rPr>
          <w:spacing w:val="-7"/>
          <w:sz w:val="24"/>
        </w:rPr>
        <w:t xml:space="preserve"> </w:t>
      </w:r>
      <w:r>
        <w:rPr>
          <w:spacing w:val="-1"/>
          <w:sz w:val="24"/>
        </w:rPr>
        <w:t>v</w:t>
      </w:r>
      <w:r>
        <w:rPr>
          <w:spacing w:val="1"/>
          <w:sz w:val="24"/>
        </w:rPr>
        <w:t>i</w:t>
      </w:r>
      <w:r>
        <w:rPr>
          <w:sz w:val="24"/>
        </w:rPr>
        <w:t>a</w:t>
      </w:r>
      <w:r>
        <w:rPr>
          <w:spacing w:val="-2"/>
          <w:sz w:val="24"/>
        </w:rPr>
        <w:t xml:space="preserve"> </w:t>
      </w:r>
      <w:r>
        <w:rPr>
          <w:sz w:val="24"/>
        </w:rPr>
        <w:t>telephone,</w:t>
      </w:r>
      <w:r>
        <w:rPr>
          <w:spacing w:val="-11"/>
          <w:sz w:val="24"/>
        </w:rPr>
        <w:t xml:space="preserve"> </w:t>
      </w:r>
      <w:r>
        <w:rPr>
          <w:sz w:val="24"/>
        </w:rPr>
        <w:t>at</w:t>
      </w:r>
      <w:r>
        <w:rPr>
          <w:spacing w:val="-2"/>
          <w:sz w:val="24"/>
        </w:rPr>
        <w:t xml:space="preserve"> </w:t>
      </w:r>
      <w:r>
        <w:rPr>
          <w:sz w:val="24"/>
        </w:rPr>
        <w:t>which</w:t>
      </w:r>
      <w:r>
        <w:rPr>
          <w:spacing w:val="-6"/>
          <w:sz w:val="24"/>
        </w:rPr>
        <w:t xml:space="preserve"> </w:t>
      </w:r>
      <w:r>
        <w:rPr>
          <w:sz w:val="24"/>
        </w:rPr>
        <w:t>p</w:t>
      </w:r>
      <w:r>
        <w:rPr>
          <w:spacing w:val="-1"/>
          <w:sz w:val="24"/>
        </w:rPr>
        <w:t>o</w:t>
      </w:r>
      <w:r>
        <w:rPr>
          <w:sz w:val="24"/>
        </w:rPr>
        <w:t>int</w:t>
      </w:r>
      <w:r>
        <w:rPr>
          <w:spacing w:val="-3"/>
          <w:sz w:val="24"/>
        </w:rPr>
        <w:t xml:space="preserve"> </w:t>
      </w:r>
      <w:r>
        <w:rPr>
          <w:sz w:val="24"/>
        </w:rPr>
        <w:t>alterna</w:t>
      </w:r>
      <w:r>
        <w:rPr>
          <w:spacing w:val="-2"/>
          <w:sz w:val="24"/>
        </w:rPr>
        <w:t>t</w:t>
      </w:r>
      <w:r>
        <w:rPr>
          <w:sz w:val="24"/>
        </w:rPr>
        <w:t>i</w:t>
      </w:r>
      <w:r>
        <w:rPr>
          <w:spacing w:val="-1"/>
          <w:sz w:val="24"/>
        </w:rPr>
        <w:t>v</w:t>
      </w:r>
      <w:r>
        <w:rPr>
          <w:sz w:val="24"/>
        </w:rPr>
        <w:t>e</w:t>
      </w:r>
      <w:r>
        <w:rPr>
          <w:spacing w:val="-10"/>
          <w:sz w:val="24"/>
        </w:rPr>
        <w:t xml:space="preserve"> </w:t>
      </w:r>
      <w:r>
        <w:rPr>
          <w:sz w:val="24"/>
        </w:rPr>
        <w:t>contact</w:t>
      </w:r>
      <w:r>
        <w:rPr>
          <w:spacing w:val="-7"/>
          <w:sz w:val="24"/>
        </w:rPr>
        <w:t xml:space="preserve"> </w:t>
      </w:r>
      <w:r>
        <w:rPr>
          <w:spacing w:val="-2"/>
          <w:sz w:val="24"/>
        </w:rPr>
        <w:t>m</w:t>
      </w:r>
      <w:r>
        <w:rPr>
          <w:spacing w:val="2"/>
          <w:sz w:val="24"/>
        </w:rPr>
        <w:t>e</w:t>
      </w:r>
      <w:r>
        <w:rPr>
          <w:sz w:val="24"/>
        </w:rPr>
        <w:t>thods</w:t>
      </w:r>
      <w:r>
        <w:rPr>
          <w:spacing w:val="-8"/>
          <w:sz w:val="24"/>
        </w:rPr>
        <w:t xml:space="preserve"> </w:t>
      </w:r>
      <w:r>
        <w:rPr>
          <w:sz w:val="24"/>
        </w:rPr>
        <w:t>(e.g.,</w:t>
      </w:r>
      <w:r>
        <w:rPr>
          <w:spacing w:val="-5"/>
          <w:sz w:val="24"/>
        </w:rPr>
        <w:t xml:space="preserve"> </w:t>
      </w:r>
      <w:r>
        <w:rPr>
          <w:sz w:val="24"/>
        </w:rPr>
        <w:t>ho</w:t>
      </w:r>
      <w:r>
        <w:rPr>
          <w:spacing w:val="-2"/>
          <w:sz w:val="24"/>
        </w:rPr>
        <w:t>m</w:t>
      </w:r>
      <w:r>
        <w:rPr>
          <w:sz w:val="24"/>
        </w:rPr>
        <w:t>e</w:t>
      </w:r>
      <w:r>
        <w:rPr>
          <w:spacing w:val="-5"/>
          <w:sz w:val="24"/>
        </w:rPr>
        <w:t xml:space="preserve"> </w:t>
      </w:r>
      <w:r>
        <w:rPr>
          <w:sz w:val="24"/>
        </w:rPr>
        <w:t>visit</w:t>
      </w:r>
      <w:r>
        <w:rPr>
          <w:spacing w:val="-1"/>
          <w:sz w:val="24"/>
        </w:rPr>
        <w:t>s</w:t>
      </w:r>
      <w:r>
        <w:rPr>
          <w:sz w:val="24"/>
        </w:rPr>
        <w:t>)</w:t>
      </w:r>
      <w:r>
        <w:rPr>
          <w:spacing w:val="-5"/>
          <w:sz w:val="24"/>
        </w:rPr>
        <w:t xml:space="preserve"> </w:t>
      </w:r>
      <w:r>
        <w:rPr>
          <w:sz w:val="24"/>
        </w:rPr>
        <w:t>will</w:t>
      </w:r>
      <w:r>
        <w:rPr>
          <w:spacing w:val="-4"/>
          <w:sz w:val="24"/>
        </w:rPr>
        <w:t xml:space="preserve"> </w:t>
      </w:r>
      <w:r>
        <w:rPr>
          <w:sz w:val="24"/>
        </w:rPr>
        <w:t>be adopted.</w:t>
      </w:r>
    </w:p>
    <w:p w:rsidR="00CC2590" w:rsidRDefault="00CC2590" w:rsidP="00026303">
      <w:pPr>
        <w:ind w:right="208"/>
        <w:rPr>
          <w:sz w:val="24"/>
        </w:rPr>
      </w:pPr>
    </w:p>
    <w:p w:rsidR="00026303" w:rsidRPr="00F17A1C" w:rsidRDefault="00026303" w:rsidP="00026303">
      <w:pPr>
        <w:ind w:left="720"/>
        <w:rPr>
          <w:sz w:val="24"/>
        </w:rPr>
      </w:pPr>
      <w:r>
        <w:rPr>
          <w:sz w:val="24"/>
        </w:rPr>
        <w:t>Additional procedures include</w:t>
      </w:r>
      <w:r w:rsidRPr="00F17A1C">
        <w:rPr>
          <w:sz w:val="24"/>
        </w:rPr>
        <w:t>:</w:t>
      </w:r>
    </w:p>
    <w:p w:rsidR="00026303" w:rsidRPr="00F17A1C" w:rsidRDefault="00026303" w:rsidP="00026303">
      <w:pPr>
        <w:numPr>
          <w:ilvl w:val="0"/>
          <w:numId w:val="4"/>
        </w:numPr>
        <w:rPr>
          <w:sz w:val="24"/>
        </w:rPr>
      </w:pPr>
      <w:r w:rsidRPr="00F17A1C">
        <w:rPr>
          <w:sz w:val="24"/>
        </w:rPr>
        <w:t xml:space="preserve">Potential respondents will be informed about the importance of </w:t>
      </w:r>
      <w:r>
        <w:rPr>
          <w:sz w:val="24"/>
        </w:rPr>
        <w:t xml:space="preserve">this study to improving </w:t>
      </w:r>
      <w:r>
        <w:rPr>
          <w:sz w:val="24"/>
        </w:rPr>
        <w:lastRenderedPageBreak/>
        <w:t xml:space="preserve">the health of lesbian and bisexual women through targeted interventions. It will be explained that participation affords them an opportunity to provide input on this intervention and to contribute to shaping future healthy weight programs that could be offered in </w:t>
      </w:r>
      <w:proofErr w:type="spellStart"/>
      <w:r>
        <w:rPr>
          <w:sz w:val="24"/>
        </w:rPr>
        <w:t>their</w:t>
      </w:r>
      <w:proofErr w:type="spellEnd"/>
      <w:r>
        <w:rPr>
          <w:sz w:val="24"/>
        </w:rPr>
        <w:t xml:space="preserve"> and others’ communities.</w:t>
      </w:r>
    </w:p>
    <w:p w:rsidR="00026303" w:rsidRPr="00F17A1C" w:rsidRDefault="00026303" w:rsidP="00026303">
      <w:pPr>
        <w:numPr>
          <w:ilvl w:val="0"/>
          <w:numId w:val="4"/>
        </w:numPr>
        <w:rPr>
          <w:sz w:val="24"/>
        </w:rPr>
      </w:pPr>
      <w:r w:rsidRPr="00F17A1C">
        <w:rPr>
          <w:sz w:val="24"/>
        </w:rPr>
        <w:t xml:space="preserve">Interviewers will participate in thorough training sessions.  Training topics will include study objectives, question-by-question reviews of data collection instruments, strategies for engaging respondents, role playing, and techniques for fostering respondent </w:t>
      </w:r>
      <w:r>
        <w:rPr>
          <w:sz w:val="24"/>
        </w:rPr>
        <w:t>participation</w:t>
      </w:r>
      <w:r w:rsidRPr="00F17A1C">
        <w:rPr>
          <w:sz w:val="24"/>
        </w:rPr>
        <w:t xml:space="preserve"> and survey completion.</w:t>
      </w:r>
    </w:p>
    <w:p w:rsidR="00026303" w:rsidRDefault="00026303" w:rsidP="00026303">
      <w:pPr>
        <w:numPr>
          <w:ilvl w:val="0"/>
          <w:numId w:val="4"/>
        </w:numPr>
        <w:rPr>
          <w:sz w:val="24"/>
        </w:rPr>
      </w:pPr>
      <w:r w:rsidRPr="00F17A1C">
        <w:rPr>
          <w:sz w:val="24"/>
        </w:rPr>
        <w:t xml:space="preserve">Interview staff will be able to provide respondents with the name and telephone number of an official at </w:t>
      </w:r>
      <w:r>
        <w:rPr>
          <w:sz w:val="24"/>
        </w:rPr>
        <w:t>OWH.</w:t>
      </w:r>
      <w:r w:rsidRPr="00F17A1C">
        <w:rPr>
          <w:sz w:val="24"/>
        </w:rPr>
        <w:t xml:space="preserve">  This official will confirm with respondents the importance of their participation.</w:t>
      </w:r>
    </w:p>
    <w:p w:rsidR="00026303" w:rsidRPr="00F25262" w:rsidRDefault="00026303" w:rsidP="00026303">
      <w:pPr>
        <w:rPr>
          <w:sz w:val="24"/>
        </w:rPr>
      </w:pPr>
    </w:p>
    <w:p w:rsidR="00026303" w:rsidRPr="00F25262" w:rsidRDefault="00026303" w:rsidP="00026303">
      <w:pPr>
        <w:rPr>
          <w:sz w:val="24"/>
        </w:rPr>
      </w:pPr>
      <w:r w:rsidRPr="00F25262">
        <w:rPr>
          <w:sz w:val="24"/>
        </w:rPr>
        <w:t xml:space="preserve">Using these methods that build on our successful recruitment and retention strategies from past research, </w:t>
      </w:r>
      <w:r>
        <w:rPr>
          <w:sz w:val="24"/>
        </w:rPr>
        <w:t xml:space="preserve">the project </w:t>
      </w:r>
      <w:r w:rsidRPr="00F25262">
        <w:rPr>
          <w:sz w:val="24"/>
        </w:rPr>
        <w:t>anticipate</w:t>
      </w:r>
      <w:r>
        <w:rPr>
          <w:sz w:val="24"/>
        </w:rPr>
        <w:t>s</w:t>
      </w:r>
      <w:r w:rsidRPr="00F25262">
        <w:rPr>
          <w:sz w:val="24"/>
        </w:rPr>
        <w:t xml:space="preserve"> achieving a response rate of 80% and aim for 90% retention.  </w:t>
      </w:r>
      <w:r>
        <w:rPr>
          <w:sz w:val="24"/>
        </w:rPr>
        <w:t>There is the possibility of experiencing higher attrition among our Sequence 2 participants during the delayed-control period so will ensure accurate contact information is maintained and communicate with them during this period to remind them of their upcoming intervention start.</w:t>
      </w:r>
      <w:r w:rsidRPr="00F25262">
        <w:rPr>
          <w:sz w:val="24"/>
        </w:rPr>
        <w:t xml:space="preserve"> </w:t>
      </w:r>
      <w:r>
        <w:rPr>
          <w:sz w:val="24"/>
        </w:rPr>
        <w:t>The RTI research team has extensive experience retaining diverse population groups in prospective studies.</w:t>
      </w:r>
    </w:p>
    <w:p w:rsidR="00026303" w:rsidRDefault="00026303" w:rsidP="00026303">
      <w:pPr>
        <w:rPr>
          <w:b/>
          <w:bCs/>
          <w:sz w:val="24"/>
        </w:rPr>
      </w:pPr>
    </w:p>
    <w:p w:rsidR="00026303" w:rsidRDefault="00026303" w:rsidP="00026303">
      <w:pPr>
        <w:rPr>
          <w:b/>
          <w:bCs/>
          <w:sz w:val="24"/>
        </w:rPr>
      </w:pPr>
      <w:r>
        <w:rPr>
          <w:b/>
          <w:bCs/>
          <w:sz w:val="24"/>
        </w:rPr>
        <w:t>4. Tests of Procedures or Methods to be Under Taken</w:t>
      </w:r>
    </w:p>
    <w:p w:rsidR="00026303" w:rsidRDefault="00026303" w:rsidP="00026303">
      <w:pPr>
        <w:rPr>
          <w:sz w:val="24"/>
        </w:rPr>
      </w:pPr>
      <w:r w:rsidRPr="00F17A1C">
        <w:rPr>
          <w:sz w:val="24"/>
        </w:rPr>
        <w:t xml:space="preserve">Before </w:t>
      </w:r>
      <w:r>
        <w:rPr>
          <w:sz w:val="24"/>
        </w:rPr>
        <w:t xml:space="preserve">fielding the study, instruments will be pilot tested for both health systems intervention and the group intervention. </w:t>
      </w:r>
      <w:r w:rsidRPr="00F17A1C">
        <w:rPr>
          <w:sz w:val="24"/>
        </w:rPr>
        <w:t xml:space="preserve">Lessons from the pilot test will be identified, and changes as necessary will be </w:t>
      </w:r>
      <w:r>
        <w:rPr>
          <w:sz w:val="24"/>
        </w:rPr>
        <w:t>incorporated into the instruments and/or data collection procedures</w:t>
      </w:r>
      <w:r w:rsidRPr="00F17A1C">
        <w:rPr>
          <w:sz w:val="24"/>
        </w:rPr>
        <w:t xml:space="preserve">.  All pilot tests will involve </w:t>
      </w:r>
      <w:r>
        <w:rPr>
          <w:sz w:val="24"/>
        </w:rPr>
        <w:t>fewer than 10</w:t>
      </w:r>
      <w:r w:rsidRPr="00F17A1C">
        <w:rPr>
          <w:sz w:val="24"/>
        </w:rPr>
        <w:t xml:space="preserve"> individuals unless OMB clearance is sought for a larger number.</w:t>
      </w:r>
    </w:p>
    <w:p w:rsidR="00026303" w:rsidRDefault="00026303" w:rsidP="00026303">
      <w:pPr>
        <w:ind w:left="720"/>
        <w:rPr>
          <w:sz w:val="24"/>
        </w:rPr>
      </w:pPr>
    </w:p>
    <w:p w:rsidR="00026303" w:rsidRDefault="00026303" w:rsidP="00026303">
      <w:pPr>
        <w:rPr>
          <w:sz w:val="24"/>
        </w:rPr>
      </w:pPr>
      <w:r>
        <w:rPr>
          <w:sz w:val="24"/>
        </w:rPr>
        <w:t>The OMB will be notified of any changes to the evaluation instruments or procedures, should they be deemed necessary, before data collection begins.</w:t>
      </w:r>
      <w:r>
        <w:rPr>
          <w:sz w:val="24"/>
        </w:rPr>
        <w:br/>
      </w:r>
    </w:p>
    <w:p w:rsidR="00026303" w:rsidRDefault="00026303" w:rsidP="00026303">
      <w:pPr>
        <w:rPr>
          <w:sz w:val="24"/>
        </w:rPr>
      </w:pPr>
      <w:r>
        <w:rPr>
          <w:sz w:val="24"/>
        </w:rPr>
        <w:t>Measures included in the questionnaire were selected to ensure rigorous assessment of our study objectives.  Those chosen have been validated and used in previous studies.  They are noted here with question numbers as ordered in the questionnaire included as an attachment:</w:t>
      </w:r>
    </w:p>
    <w:p w:rsidR="00026303" w:rsidRDefault="00026303" w:rsidP="00026303">
      <w:pPr>
        <w:ind w:left="72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4152"/>
        <w:gridCol w:w="3088"/>
      </w:tblGrid>
      <w:tr w:rsidR="00026303" w:rsidRPr="00BD633C" w:rsidTr="00F13B87">
        <w:tc>
          <w:tcPr>
            <w:tcW w:w="1616" w:type="dxa"/>
          </w:tcPr>
          <w:p w:rsidR="00026303" w:rsidRPr="00BD633C" w:rsidRDefault="00026303" w:rsidP="00F13B87">
            <w:pPr>
              <w:rPr>
                <w:sz w:val="24"/>
              </w:rPr>
            </w:pPr>
            <w:r w:rsidRPr="00BD633C">
              <w:rPr>
                <w:sz w:val="24"/>
              </w:rPr>
              <w:t>Question #s</w:t>
            </w:r>
          </w:p>
        </w:tc>
        <w:tc>
          <w:tcPr>
            <w:tcW w:w="4152" w:type="dxa"/>
          </w:tcPr>
          <w:p w:rsidR="00026303" w:rsidRPr="00BD633C" w:rsidRDefault="00026303" w:rsidP="00F13B87">
            <w:pPr>
              <w:rPr>
                <w:sz w:val="24"/>
              </w:rPr>
            </w:pPr>
            <w:r w:rsidRPr="00BD633C">
              <w:rPr>
                <w:sz w:val="24"/>
              </w:rPr>
              <w:t>Measure/Domain</w:t>
            </w:r>
          </w:p>
        </w:tc>
        <w:tc>
          <w:tcPr>
            <w:tcW w:w="3088" w:type="dxa"/>
          </w:tcPr>
          <w:p w:rsidR="00026303" w:rsidRPr="00BD633C" w:rsidRDefault="00026303" w:rsidP="00F13B87">
            <w:pPr>
              <w:rPr>
                <w:sz w:val="24"/>
              </w:rPr>
            </w:pPr>
            <w:r w:rsidRPr="00BD633C">
              <w:rPr>
                <w:sz w:val="24"/>
              </w:rPr>
              <w:t>Source</w:t>
            </w:r>
            <w:r>
              <w:rPr>
                <w:sz w:val="24"/>
              </w:rPr>
              <w:t>s</w:t>
            </w:r>
          </w:p>
        </w:tc>
      </w:tr>
      <w:tr w:rsidR="00026303" w:rsidRPr="00BD633C" w:rsidTr="00F13B87">
        <w:tc>
          <w:tcPr>
            <w:tcW w:w="8856" w:type="dxa"/>
            <w:gridSpan w:val="3"/>
          </w:tcPr>
          <w:p w:rsidR="00026303" w:rsidRPr="003103BD" w:rsidRDefault="00026303" w:rsidP="00F13B87">
            <w:pPr>
              <w:rPr>
                <w:i/>
                <w:iCs/>
                <w:sz w:val="24"/>
              </w:rPr>
            </w:pPr>
            <w:r w:rsidRPr="003103BD">
              <w:rPr>
                <w:i/>
                <w:iCs/>
                <w:sz w:val="24"/>
              </w:rPr>
              <w:t>Demographics</w:t>
            </w:r>
          </w:p>
        </w:tc>
      </w:tr>
      <w:tr w:rsidR="00026303" w:rsidRPr="00BD633C" w:rsidTr="00F13B87">
        <w:tc>
          <w:tcPr>
            <w:tcW w:w="1616" w:type="dxa"/>
          </w:tcPr>
          <w:p w:rsidR="00026303" w:rsidRPr="00BD633C" w:rsidRDefault="00026303" w:rsidP="00F13B87">
            <w:pPr>
              <w:rPr>
                <w:sz w:val="24"/>
              </w:rPr>
            </w:pPr>
            <w:r>
              <w:rPr>
                <w:sz w:val="24"/>
              </w:rPr>
              <w:t>2.3-2.4</w:t>
            </w:r>
          </w:p>
        </w:tc>
        <w:tc>
          <w:tcPr>
            <w:tcW w:w="4152" w:type="dxa"/>
          </w:tcPr>
          <w:p w:rsidR="00026303" w:rsidRPr="00BD633C" w:rsidRDefault="00026303" w:rsidP="00F13B87">
            <w:pPr>
              <w:rPr>
                <w:sz w:val="24"/>
              </w:rPr>
            </w:pPr>
            <w:r>
              <w:rPr>
                <w:sz w:val="24"/>
              </w:rPr>
              <w:t>Ethnicity and race</w:t>
            </w:r>
          </w:p>
        </w:tc>
        <w:tc>
          <w:tcPr>
            <w:tcW w:w="3088" w:type="dxa"/>
          </w:tcPr>
          <w:p w:rsidR="00026303" w:rsidRPr="00BD633C" w:rsidRDefault="00026303" w:rsidP="00F13B87">
            <w:pPr>
              <w:rPr>
                <w:sz w:val="24"/>
              </w:rPr>
            </w:pPr>
            <w:r>
              <w:rPr>
                <w:sz w:val="24"/>
              </w:rPr>
              <w:t>Behavioral Risk Factor Surveillance Survey (BRFSS), 2011</w:t>
            </w:r>
          </w:p>
        </w:tc>
      </w:tr>
      <w:tr w:rsidR="00026303" w:rsidRPr="00BD633C" w:rsidTr="00F13B87">
        <w:tc>
          <w:tcPr>
            <w:tcW w:w="1616" w:type="dxa"/>
          </w:tcPr>
          <w:p w:rsidR="00026303" w:rsidRPr="00BD633C" w:rsidRDefault="00026303" w:rsidP="00F13B87">
            <w:pPr>
              <w:rPr>
                <w:sz w:val="24"/>
              </w:rPr>
            </w:pPr>
            <w:r>
              <w:rPr>
                <w:sz w:val="24"/>
              </w:rPr>
              <w:t>2.5-2.7</w:t>
            </w:r>
          </w:p>
        </w:tc>
        <w:tc>
          <w:tcPr>
            <w:tcW w:w="4152" w:type="dxa"/>
          </w:tcPr>
          <w:p w:rsidR="00026303" w:rsidRPr="00BD633C" w:rsidRDefault="00026303" w:rsidP="00F13B87">
            <w:pPr>
              <w:rPr>
                <w:sz w:val="24"/>
              </w:rPr>
            </w:pPr>
            <w:r>
              <w:rPr>
                <w:sz w:val="24"/>
              </w:rPr>
              <w:t>Socioeconomic status</w:t>
            </w:r>
          </w:p>
        </w:tc>
        <w:tc>
          <w:tcPr>
            <w:tcW w:w="3088" w:type="dxa"/>
          </w:tcPr>
          <w:p w:rsidR="00026303" w:rsidRPr="00BD633C" w:rsidRDefault="00026303" w:rsidP="00F13B87">
            <w:pPr>
              <w:rPr>
                <w:sz w:val="24"/>
              </w:rPr>
            </w:pPr>
            <w:r>
              <w:rPr>
                <w:sz w:val="24"/>
              </w:rPr>
              <w:t xml:space="preserve">National Survey of Family Growth, BRFSS </w:t>
            </w:r>
          </w:p>
        </w:tc>
      </w:tr>
      <w:tr w:rsidR="00026303" w:rsidRPr="00BD633C" w:rsidTr="00F13B87">
        <w:tc>
          <w:tcPr>
            <w:tcW w:w="1616" w:type="dxa"/>
          </w:tcPr>
          <w:p w:rsidR="00026303" w:rsidRPr="00BD633C" w:rsidRDefault="00026303" w:rsidP="00F13B87">
            <w:pPr>
              <w:rPr>
                <w:sz w:val="24"/>
              </w:rPr>
            </w:pPr>
            <w:r>
              <w:rPr>
                <w:sz w:val="24"/>
              </w:rPr>
              <w:t>2.8</w:t>
            </w:r>
          </w:p>
        </w:tc>
        <w:tc>
          <w:tcPr>
            <w:tcW w:w="4152" w:type="dxa"/>
          </w:tcPr>
          <w:p w:rsidR="00026303" w:rsidRPr="00BD633C" w:rsidRDefault="00026303" w:rsidP="00F13B87">
            <w:pPr>
              <w:rPr>
                <w:sz w:val="24"/>
              </w:rPr>
            </w:pPr>
            <w:r>
              <w:rPr>
                <w:sz w:val="24"/>
              </w:rPr>
              <w:t xml:space="preserve">Gender </w:t>
            </w:r>
          </w:p>
        </w:tc>
        <w:tc>
          <w:tcPr>
            <w:tcW w:w="3088" w:type="dxa"/>
          </w:tcPr>
          <w:p w:rsidR="00026303" w:rsidRPr="00BD633C" w:rsidRDefault="00026303" w:rsidP="00F13B87">
            <w:pPr>
              <w:rPr>
                <w:sz w:val="24"/>
              </w:rPr>
            </w:pPr>
            <w:r>
              <w:rPr>
                <w:sz w:val="24"/>
              </w:rPr>
              <w:t>LMHS patient intake form. A substantial proportion of the patient population identifies as transgender, necessitating the inclusion of this gender assessment.</w:t>
            </w:r>
          </w:p>
        </w:tc>
      </w:tr>
      <w:tr w:rsidR="00026303" w:rsidRPr="00BD633C" w:rsidTr="00F13B87">
        <w:tc>
          <w:tcPr>
            <w:tcW w:w="1616" w:type="dxa"/>
          </w:tcPr>
          <w:p w:rsidR="00026303" w:rsidRPr="00BD633C" w:rsidRDefault="00026303" w:rsidP="00F13B87">
            <w:pPr>
              <w:rPr>
                <w:sz w:val="24"/>
              </w:rPr>
            </w:pPr>
            <w:r>
              <w:rPr>
                <w:sz w:val="24"/>
              </w:rPr>
              <w:t>2.9-2.9b</w:t>
            </w:r>
          </w:p>
        </w:tc>
        <w:tc>
          <w:tcPr>
            <w:tcW w:w="4152" w:type="dxa"/>
          </w:tcPr>
          <w:p w:rsidR="00026303" w:rsidRPr="00BD633C" w:rsidRDefault="00026303" w:rsidP="00F13B87">
            <w:pPr>
              <w:rPr>
                <w:sz w:val="24"/>
              </w:rPr>
            </w:pPr>
            <w:r>
              <w:rPr>
                <w:sz w:val="24"/>
              </w:rPr>
              <w:t>Sexual orientation</w:t>
            </w:r>
          </w:p>
        </w:tc>
        <w:tc>
          <w:tcPr>
            <w:tcW w:w="3088" w:type="dxa"/>
          </w:tcPr>
          <w:p w:rsidR="00026303" w:rsidRPr="00BD633C" w:rsidRDefault="00026303" w:rsidP="00F13B87">
            <w:pPr>
              <w:rPr>
                <w:sz w:val="24"/>
              </w:rPr>
            </w:pPr>
            <w:r>
              <w:rPr>
                <w:sz w:val="24"/>
              </w:rPr>
              <w:t xml:space="preserve">National Health Interview </w:t>
            </w:r>
            <w:r>
              <w:rPr>
                <w:sz w:val="24"/>
              </w:rPr>
              <w:lastRenderedPageBreak/>
              <w:t>Survey, 2013</w:t>
            </w:r>
          </w:p>
        </w:tc>
      </w:tr>
      <w:tr w:rsidR="00026303" w:rsidRPr="00BD633C" w:rsidTr="00F13B87">
        <w:tc>
          <w:tcPr>
            <w:tcW w:w="1616" w:type="dxa"/>
          </w:tcPr>
          <w:p w:rsidR="00026303" w:rsidRPr="00BD633C" w:rsidRDefault="00026303" w:rsidP="00F13B87">
            <w:pPr>
              <w:rPr>
                <w:sz w:val="24"/>
              </w:rPr>
            </w:pPr>
            <w:r>
              <w:rPr>
                <w:sz w:val="24"/>
              </w:rPr>
              <w:lastRenderedPageBreak/>
              <w:t>2.11</w:t>
            </w:r>
          </w:p>
        </w:tc>
        <w:tc>
          <w:tcPr>
            <w:tcW w:w="4152" w:type="dxa"/>
          </w:tcPr>
          <w:p w:rsidR="00026303" w:rsidRPr="00BD633C" w:rsidRDefault="00026303" w:rsidP="00F13B87">
            <w:pPr>
              <w:rPr>
                <w:sz w:val="24"/>
              </w:rPr>
            </w:pPr>
            <w:r>
              <w:rPr>
                <w:sz w:val="24"/>
              </w:rPr>
              <w:t>Disability</w:t>
            </w:r>
          </w:p>
        </w:tc>
        <w:tc>
          <w:tcPr>
            <w:tcW w:w="3088" w:type="dxa"/>
          </w:tcPr>
          <w:p w:rsidR="00026303" w:rsidRPr="00E37FC9" w:rsidRDefault="00026303" w:rsidP="00F13B87">
            <w:pPr>
              <w:rPr>
                <w:sz w:val="24"/>
              </w:rPr>
            </w:pPr>
            <w:r w:rsidRPr="00E37FC9">
              <w:rPr>
                <w:sz w:val="24"/>
              </w:rPr>
              <w:t>ADA definition for disabled 29 C.F.R. 1630.2(i)</w:t>
            </w:r>
          </w:p>
        </w:tc>
      </w:tr>
      <w:tr w:rsidR="00026303" w:rsidRPr="00BD633C" w:rsidTr="00F13B87">
        <w:tc>
          <w:tcPr>
            <w:tcW w:w="1616" w:type="dxa"/>
          </w:tcPr>
          <w:p w:rsidR="00026303" w:rsidRPr="00BD633C" w:rsidRDefault="00026303" w:rsidP="00F13B87">
            <w:pPr>
              <w:rPr>
                <w:sz w:val="24"/>
              </w:rPr>
            </w:pPr>
            <w:r>
              <w:rPr>
                <w:sz w:val="24"/>
              </w:rPr>
              <w:t>2.12</w:t>
            </w:r>
          </w:p>
        </w:tc>
        <w:tc>
          <w:tcPr>
            <w:tcW w:w="4152" w:type="dxa"/>
          </w:tcPr>
          <w:p w:rsidR="00026303" w:rsidRPr="00BD633C" w:rsidRDefault="00026303" w:rsidP="00F13B87">
            <w:pPr>
              <w:rPr>
                <w:sz w:val="24"/>
              </w:rPr>
            </w:pPr>
            <w:r>
              <w:rPr>
                <w:sz w:val="24"/>
              </w:rPr>
              <w:t>Health care coverage</w:t>
            </w:r>
          </w:p>
        </w:tc>
        <w:tc>
          <w:tcPr>
            <w:tcW w:w="3088" w:type="dxa"/>
          </w:tcPr>
          <w:p w:rsidR="00026303" w:rsidRPr="00BD633C" w:rsidRDefault="00026303" w:rsidP="00F13B87">
            <w:pPr>
              <w:rPr>
                <w:sz w:val="24"/>
              </w:rPr>
            </w:pPr>
            <w:r>
              <w:rPr>
                <w:sz w:val="24"/>
              </w:rPr>
              <w:t>BRFSS, 2011</w:t>
            </w:r>
          </w:p>
        </w:tc>
      </w:tr>
      <w:tr w:rsidR="00026303" w:rsidRPr="00BD633C" w:rsidTr="00F13B87">
        <w:tc>
          <w:tcPr>
            <w:tcW w:w="8856" w:type="dxa"/>
            <w:gridSpan w:val="3"/>
          </w:tcPr>
          <w:p w:rsidR="00026303" w:rsidRPr="003103BD" w:rsidRDefault="00026303" w:rsidP="00F13B87">
            <w:pPr>
              <w:rPr>
                <w:i/>
                <w:iCs/>
                <w:sz w:val="24"/>
              </w:rPr>
            </w:pPr>
            <w:r w:rsidRPr="003103BD">
              <w:rPr>
                <w:i/>
                <w:iCs/>
                <w:sz w:val="24"/>
              </w:rPr>
              <w:t>Perceived General Health and Well-being</w:t>
            </w:r>
          </w:p>
        </w:tc>
      </w:tr>
      <w:tr w:rsidR="00026303" w:rsidRPr="00BD633C" w:rsidTr="00F13B87">
        <w:tc>
          <w:tcPr>
            <w:tcW w:w="1616" w:type="dxa"/>
          </w:tcPr>
          <w:p w:rsidR="00026303" w:rsidRPr="00BD633C" w:rsidRDefault="00026303" w:rsidP="00F13B87">
            <w:pPr>
              <w:rPr>
                <w:sz w:val="24"/>
              </w:rPr>
            </w:pPr>
            <w:r>
              <w:rPr>
                <w:sz w:val="24"/>
              </w:rPr>
              <w:t>2.13-2.27</w:t>
            </w:r>
          </w:p>
        </w:tc>
        <w:tc>
          <w:tcPr>
            <w:tcW w:w="4152" w:type="dxa"/>
          </w:tcPr>
          <w:p w:rsidR="00026303" w:rsidRDefault="00026303" w:rsidP="00F13B87">
            <w:pPr>
              <w:pStyle w:val="Default"/>
            </w:pPr>
            <w:r>
              <w:t>Health-related quality of life: physical and mental health scores</w:t>
            </w:r>
          </w:p>
          <w:p w:rsidR="00026303" w:rsidRPr="00BD633C" w:rsidRDefault="00026303" w:rsidP="00F13B87">
            <w:pPr>
              <w:rPr>
                <w:sz w:val="24"/>
              </w:rPr>
            </w:pPr>
          </w:p>
        </w:tc>
        <w:tc>
          <w:tcPr>
            <w:tcW w:w="3088" w:type="dxa"/>
          </w:tcPr>
          <w:p w:rsidR="00026303" w:rsidRPr="00BD633C" w:rsidRDefault="00026303" w:rsidP="00F13B87">
            <w:pPr>
              <w:rPr>
                <w:sz w:val="24"/>
              </w:rPr>
            </w:pPr>
            <w:r>
              <w:rPr>
                <w:sz w:val="24"/>
              </w:rPr>
              <w:t xml:space="preserve">Veterans RAND 12-item Health Survey (VR-12). </w:t>
            </w:r>
            <w:r>
              <w:rPr>
                <w:sz w:val="23"/>
                <w:szCs w:val="23"/>
              </w:rPr>
              <w:t xml:space="preserve">The 12 items in the questionnaire correspond to eight principal physical and mental health domains including </w:t>
            </w:r>
            <w:r w:rsidRPr="001260A5">
              <w:rPr>
                <w:sz w:val="23"/>
                <w:szCs w:val="23"/>
              </w:rPr>
              <w:t>general health perceptions; physical functioning; role limitations due to physical and emotional problems; bodily pain; energy-fatigue, social functioning and mental health.</w:t>
            </w:r>
            <w:r>
              <w:rPr>
                <w:sz w:val="23"/>
                <w:szCs w:val="23"/>
              </w:rPr>
              <w:t>. The 12 items are summarized into two scores, a “Physical Health Summary Measure” and a “Mental Health Summary Measure”. These provide an important contrast between physical and psychological health status</w:t>
            </w:r>
            <w:r w:rsidRPr="00593D7E">
              <w:rPr>
                <w:sz w:val="23"/>
                <w:szCs w:val="23"/>
              </w:rPr>
              <w:t>. The Veterans RAND 12 Item Health Survey (VR-12) was developed from the Veterans RAND 36 Item Health Survey (VR-36) which was developed from the MOS RAND SF-36 Version 1.0.</w:t>
            </w:r>
          </w:p>
        </w:tc>
      </w:tr>
      <w:tr w:rsidR="00026303" w:rsidRPr="00BD633C" w:rsidTr="00F13B87">
        <w:tc>
          <w:tcPr>
            <w:tcW w:w="8856" w:type="dxa"/>
            <w:gridSpan w:val="3"/>
          </w:tcPr>
          <w:p w:rsidR="00026303" w:rsidRPr="003103BD" w:rsidRDefault="00026303" w:rsidP="00F13B87">
            <w:pPr>
              <w:rPr>
                <w:i/>
                <w:iCs/>
                <w:sz w:val="24"/>
              </w:rPr>
            </w:pPr>
            <w:r w:rsidRPr="003103BD">
              <w:rPr>
                <w:i/>
                <w:iCs/>
                <w:sz w:val="24"/>
              </w:rPr>
              <w:t>Health Behaviors</w:t>
            </w:r>
          </w:p>
        </w:tc>
      </w:tr>
      <w:tr w:rsidR="00026303" w:rsidRPr="00BD633C" w:rsidTr="00F13B87">
        <w:tc>
          <w:tcPr>
            <w:tcW w:w="1616" w:type="dxa"/>
          </w:tcPr>
          <w:p w:rsidR="00026303" w:rsidRPr="00BD633C" w:rsidRDefault="00026303" w:rsidP="00F13B87">
            <w:pPr>
              <w:rPr>
                <w:sz w:val="24"/>
              </w:rPr>
            </w:pPr>
            <w:r>
              <w:rPr>
                <w:sz w:val="24"/>
              </w:rPr>
              <w:t>3.1-3.7</w:t>
            </w:r>
          </w:p>
        </w:tc>
        <w:tc>
          <w:tcPr>
            <w:tcW w:w="4152" w:type="dxa"/>
          </w:tcPr>
          <w:p w:rsidR="00026303" w:rsidRPr="00BD633C" w:rsidRDefault="00026303" w:rsidP="00F13B87">
            <w:pPr>
              <w:rPr>
                <w:sz w:val="24"/>
              </w:rPr>
            </w:pPr>
            <w:r>
              <w:rPr>
                <w:sz w:val="24"/>
              </w:rPr>
              <w:t>Physical activity</w:t>
            </w:r>
          </w:p>
        </w:tc>
        <w:tc>
          <w:tcPr>
            <w:tcW w:w="3088" w:type="dxa"/>
          </w:tcPr>
          <w:p w:rsidR="00026303" w:rsidRPr="00BD633C" w:rsidRDefault="00026303" w:rsidP="00F13B87">
            <w:pPr>
              <w:rPr>
                <w:sz w:val="24"/>
              </w:rPr>
            </w:pPr>
            <w:r w:rsidRPr="00F079D8">
              <w:rPr>
                <w:sz w:val="24"/>
              </w:rPr>
              <w:t>International Physical Activity Questionnaires-7Q version</w:t>
            </w:r>
            <w:r>
              <w:rPr>
                <w:sz w:val="24"/>
              </w:rPr>
              <w:t xml:space="preserve"> (2002).</w:t>
            </w:r>
            <w:r w:rsidRPr="003C1391">
              <w:rPr>
                <w:sz w:val="24"/>
              </w:rPr>
              <w:t xml:space="preserve"> Validation </w:t>
            </w:r>
            <w:r w:rsidRPr="003103BD">
              <w:rPr>
                <w:sz w:val="24"/>
              </w:rPr>
              <w:t xml:space="preserve">study: </w:t>
            </w:r>
            <w:proofErr w:type="spellStart"/>
            <w:r w:rsidRPr="003103BD">
              <w:rPr>
                <w:sz w:val="24"/>
              </w:rPr>
              <w:t>Hagstromer</w:t>
            </w:r>
            <w:proofErr w:type="spellEnd"/>
            <w:r w:rsidRPr="003103BD">
              <w:rPr>
                <w:sz w:val="24"/>
              </w:rPr>
              <w:t xml:space="preserve"> M, et al. </w:t>
            </w:r>
            <w:r w:rsidRPr="003C1391">
              <w:rPr>
                <w:sz w:val="24"/>
              </w:rPr>
              <w:t>Public Health Nutrition</w:t>
            </w:r>
            <w:r w:rsidRPr="003103BD">
              <w:rPr>
                <w:sz w:val="24"/>
              </w:rPr>
              <w:t>, 2006.</w:t>
            </w:r>
          </w:p>
        </w:tc>
      </w:tr>
      <w:tr w:rsidR="00026303" w:rsidRPr="00BD633C" w:rsidTr="00F13B87">
        <w:tc>
          <w:tcPr>
            <w:tcW w:w="1616" w:type="dxa"/>
          </w:tcPr>
          <w:p w:rsidR="00026303" w:rsidRPr="00BD633C" w:rsidRDefault="00026303" w:rsidP="00F13B87">
            <w:pPr>
              <w:rPr>
                <w:sz w:val="24"/>
              </w:rPr>
            </w:pPr>
            <w:r>
              <w:rPr>
                <w:sz w:val="24"/>
              </w:rPr>
              <w:t>3.8-3.12</w:t>
            </w:r>
          </w:p>
        </w:tc>
        <w:tc>
          <w:tcPr>
            <w:tcW w:w="4152" w:type="dxa"/>
          </w:tcPr>
          <w:p w:rsidR="00026303" w:rsidRPr="00BD633C" w:rsidRDefault="00026303" w:rsidP="00F13B87">
            <w:pPr>
              <w:rPr>
                <w:sz w:val="24"/>
              </w:rPr>
            </w:pPr>
            <w:r w:rsidRPr="00BD633C">
              <w:rPr>
                <w:sz w:val="24"/>
              </w:rPr>
              <w:t>Nutrition</w:t>
            </w:r>
            <w:r>
              <w:rPr>
                <w:sz w:val="24"/>
              </w:rPr>
              <w:t>: Beverages</w:t>
            </w:r>
          </w:p>
        </w:tc>
        <w:tc>
          <w:tcPr>
            <w:tcW w:w="3088" w:type="dxa"/>
          </w:tcPr>
          <w:p w:rsidR="00026303" w:rsidRPr="00BD633C" w:rsidRDefault="00026303" w:rsidP="00F13B87">
            <w:pPr>
              <w:rPr>
                <w:sz w:val="24"/>
              </w:rPr>
            </w:pPr>
            <w:r>
              <w:rPr>
                <w:sz w:val="24"/>
              </w:rPr>
              <w:t>California Health Interview Survey 2009</w:t>
            </w:r>
          </w:p>
        </w:tc>
      </w:tr>
      <w:tr w:rsidR="00026303" w:rsidRPr="00BD633C" w:rsidTr="00F13B87">
        <w:tc>
          <w:tcPr>
            <w:tcW w:w="1616" w:type="dxa"/>
          </w:tcPr>
          <w:p w:rsidR="00026303" w:rsidRPr="00BD633C" w:rsidRDefault="00026303" w:rsidP="00F13B87">
            <w:pPr>
              <w:rPr>
                <w:sz w:val="24"/>
              </w:rPr>
            </w:pPr>
            <w:r>
              <w:rPr>
                <w:sz w:val="24"/>
              </w:rPr>
              <w:t>3.13-3.14</w:t>
            </w:r>
          </w:p>
        </w:tc>
        <w:tc>
          <w:tcPr>
            <w:tcW w:w="4152" w:type="dxa"/>
          </w:tcPr>
          <w:p w:rsidR="00026303" w:rsidRDefault="00026303" w:rsidP="00F13B87">
            <w:pPr>
              <w:rPr>
                <w:sz w:val="24"/>
              </w:rPr>
            </w:pPr>
            <w:r>
              <w:rPr>
                <w:sz w:val="24"/>
              </w:rPr>
              <w:t>Nutrition: water consumption</w:t>
            </w:r>
          </w:p>
        </w:tc>
        <w:tc>
          <w:tcPr>
            <w:tcW w:w="3088" w:type="dxa"/>
          </w:tcPr>
          <w:p w:rsidR="00026303" w:rsidRPr="003103BD" w:rsidRDefault="00026303" w:rsidP="00F13B87">
            <w:pPr>
              <w:rPr>
                <w:sz w:val="24"/>
              </w:rPr>
            </w:pPr>
            <w:r>
              <w:rPr>
                <w:sz w:val="24"/>
              </w:rPr>
              <w:t xml:space="preserve">National Cancer Institute, Diet History Questionnaire. </w:t>
            </w:r>
            <w:r w:rsidRPr="003103BD">
              <w:rPr>
                <w:sz w:val="24"/>
              </w:rPr>
              <w:t>Categories modified to CHIS 2009.</w:t>
            </w:r>
          </w:p>
        </w:tc>
      </w:tr>
      <w:tr w:rsidR="00026303" w:rsidRPr="00BD633C" w:rsidTr="00F13B87">
        <w:tc>
          <w:tcPr>
            <w:tcW w:w="1616" w:type="dxa"/>
          </w:tcPr>
          <w:p w:rsidR="00026303" w:rsidRPr="00BD633C" w:rsidRDefault="00026303" w:rsidP="00F13B87">
            <w:pPr>
              <w:rPr>
                <w:sz w:val="24"/>
              </w:rPr>
            </w:pPr>
            <w:r>
              <w:rPr>
                <w:sz w:val="24"/>
              </w:rPr>
              <w:t>3.15-3.20</w:t>
            </w:r>
          </w:p>
        </w:tc>
        <w:tc>
          <w:tcPr>
            <w:tcW w:w="4152" w:type="dxa"/>
          </w:tcPr>
          <w:p w:rsidR="00026303" w:rsidRPr="00BD633C" w:rsidRDefault="00026303" w:rsidP="00F13B87">
            <w:pPr>
              <w:rPr>
                <w:sz w:val="24"/>
              </w:rPr>
            </w:pPr>
            <w:r>
              <w:rPr>
                <w:sz w:val="24"/>
              </w:rPr>
              <w:t>Nutrition: fruit and vegetable consumption</w:t>
            </w:r>
          </w:p>
        </w:tc>
        <w:tc>
          <w:tcPr>
            <w:tcW w:w="3088" w:type="dxa"/>
          </w:tcPr>
          <w:p w:rsidR="00026303" w:rsidRPr="00BD633C" w:rsidRDefault="00026303" w:rsidP="00F13B87">
            <w:pPr>
              <w:rPr>
                <w:sz w:val="24"/>
              </w:rPr>
            </w:pPr>
            <w:r w:rsidRPr="00BD633C">
              <w:rPr>
                <w:sz w:val="24"/>
              </w:rPr>
              <w:t>Behavioral Risk Factor Surveillance Survey (BRFSS) 2012</w:t>
            </w:r>
          </w:p>
        </w:tc>
      </w:tr>
      <w:tr w:rsidR="00026303" w:rsidRPr="00BD633C" w:rsidTr="00F13B87">
        <w:tc>
          <w:tcPr>
            <w:tcW w:w="1616" w:type="dxa"/>
          </w:tcPr>
          <w:p w:rsidR="00026303" w:rsidRDefault="00026303" w:rsidP="00F13B87">
            <w:pPr>
              <w:tabs>
                <w:tab w:val="left" w:pos="1200"/>
              </w:tabs>
              <w:rPr>
                <w:sz w:val="24"/>
              </w:rPr>
            </w:pPr>
            <w:r>
              <w:rPr>
                <w:sz w:val="24"/>
              </w:rPr>
              <w:lastRenderedPageBreak/>
              <w:t>3.21</w:t>
            </w:r>
          </w:p>
        </w:tc>
        <w:tc>
          <w:tcPr>
            <w:tcW w:w="4152" w:type="dxa"/>
          </w:tcPr>
          <w:p w:rsidR="00026303" w:rsidRPr="00BD633C" w:rsidRDefault="00026303" w:rsidP="00F13B87">
            <w:pPr>
              <w:rPr>
                <w:sz w:val="24"/>
              </w:rPr>
            </w:pPr>
            <w:r>
              <w:rPr>
                <w:sz w:val="24"/>
              </w:rPr>
              <w:t>Nutrition: daily fruit and vegetable servings</w:t>
            </w:r>
          </w:p>
        </w:tc>
        <w:tc>
          <w:tcPr>
            <w:tcW w:w="3088" w:type="dxa"/>
          </w:tcPr>
          <w:p w:rsidR="00026303" w:rsidRPr="00DD291A" w:rsidRDefault="00026303" w:rsidP="00F13B87">
            <w:pPr>
              <w:rPr>
                <w:sz w:val="24"/>
              </w:rPr>
            </w:pPr>
            <w:r w:rsidRPr="003103BD">
              <w:rPr>
                <w:sz w:val="24"/>
              </w:rPr>
              <w:t>America</w:t>
            </w:r>
            <w:r>
              <w:rPr>
                <w:sz w:val="24"/>
              </w:rPr>
              <w:t>n</w:t>
            </w:r>
            <w:r w:rsidRPr="003103BD">
              <w:rPr>
                <w:sz w:val="24"/>
              </w:rPr>
              <w:t xml:space="preserve"> College Health Association, National College Health Assessment II Survey</w:t>
            </w:r>
          </w:p>
        </w:tc>
      </w:tr>
      <w:tr w:rsidR="00026303" w:rsidRPr="00BD633C" w:rsidTr="00F13B87">
        <w:tc>
          <w:tcPr>
            <w:tcW w:w="1616" w:type="dxa"/>
          </w:tcPr>
          <w:p w:rsidR="00026303" w:rsidRPr="00BD633C" w:rsidRDefault="00026303" w:rsidP="00F13B87">
            <w:pPr>
              <w:tabs>
                <w:tab w:val="left" w:pos="1200"/>
              </w:tabs>
              <w:rPr>
                <w:sz w:val="24"/>
              </w:rPr>
            </w:pPr>
            <w:r>
              <w:rPr>
                <w:sz w:val="24"/>
              </w:rPr>
              <w:t>3.22-3.28</w:t>
            </w:r>
            <w:r>
              <w:rPr>
                <w:sz w:val="24"/>
              </w:rPr>
              <w:tab/>
            </w:r>
          </w:p>
        </w:tc>
        <w:tc>
          <w:tcPr>
            <w:tcW w:w="4152" w:type="dxa"/>
          </w:tcPr>
          <w:p w:rsidR="00026303" w:rsidRPr="00BD633C" w:rsidRDefault="00026303" w:rsidP="00F13B87">
            <w:pPr>
              <w:rPr>
                <w:sz w:val="24"/>
              </w:rPr>
            </w:pPr>
            <w:r>
              <w:rPr>
                <w:sz w:val="24"/>
              </w:rPr>
              <w:t>Alcohol, tobacco and marijuana consumption</w:t>
            </w:r>
          </w:p>
        </w:tc>
        <w:tc>
          <w:tcPr>
            <w:tcW w:w="3088" w:type="dxa"/>
          </w:tcPr>
          <w:p w:rsidR="00026303" w:rsidRDefault="00026303" w:rsidP="00F13B87">
            <w:pPr>
              <w:rPr>
                <w:sz w:val="24"/>
              </w:rPr>
            </w:pPr>
            <w:r>
              <w:rPr>
                <w:sz w:val="24"/>
              </w:rPr>
              <w:t>Alcohol: National Institute of Alcohol Abuse and Alcoholism</w:t>
            </w:r>
          </w:p>
          <w:p w:rsidR="00026303" w:rsidRDefault="00026303" w:rsidP="00F13B87">
            <w:pPr>
              <w:rPr>
                <w:sz w:val="24"/>
              </w:rPr>
            </w:pPr>
            <w:r>
              <w:rPr>
                <w:sz w:val="24"/>
              </w:rPr>
              <w:t>Tobacco: 2011 BRFSS, National Cancer Institute</w:t>
            </w:r>
          </w:p>
          <w:p w:rsidR="00026303" w:rsidRPr="00BD633C" w:rsidRDefault="00026303" w:rsidP="00F13B87">
            <w:pPr>
              <w:rPr>
                <w:sz w:val="24"/>
              </w:rPr>
            </w:pPr>
            <w:r>
              <w:rPr>
                <w:sz w:val="24"/>
              </w:rPr>
              <w:t>Marijuana: adapted from 2011 BRFSS and NCI to align with tobacco assessment.</w:t>
            </w:r>
          </w:p>
        </w:tc>
      </w:tr>
      <w:tr w:rsidR="00026303" w:rsidRPr="00BD633C" w:rsidTr="00F13B87">
        <w:tc>
          <w:tcPr>
            <w:tcW w:w="8856" w:type="dxa"/>
            <w:gridSpan w:val="3"/>
          </w:tcPr>
          <w:p w:rsidR="00026303" w:rsidRPr="00DD291A" w:rsidRDefault="00026303" w:rsidP="00F13B87">
            <w:pPr>
              <w:rPr>
                <w:sz w:val="24"/>
              </w:rPr>
            </w:pPr>
            <w:r>
              <w:rPr>
                <w:sz w:val="24"/>
              </w:rPr>
              <w:t>Psychosocial Assessments</w:t>
            </w:r>
          </w:p>
        </w:tc>
      </w:tr>
      <w:tr w:rsidR="00026303" w:rsidRPr="00BD633C" w:rsidTr="00F13B87">
        <w:tc>
          <w:tcPr>
            <w:tcW w:w="1616" w:type="dxa"/>
          </w:tcPr>
          <w:p w:rsidR="00026303" w:rsidRPr="00BD633C" w:rsidRDefault="00026303" w:rsidP="00F13B87">
            <w:pPr>
              <w:rPr>
                <w:sz w:val="24"/>
              </w:rPr>
            </w:pPr>
            <w:r>
              <w:rPr>
                <w:sz w:val="24"/>
              </w:rPr>
              <w:t>4.1-4.15</w:t>
            </w:r>
          </w:p>
        </w:tc>
        <w:tc>
          <w:tcPr>
            <w:tcW w:w="4152" w:type="dxa"/>
          </w:tcPr>
          <w:p w:rsidR="00026303" w:rsidRPr="00BD633C" w:rsidRDefault="00026303" w:rsidP="00F13B87">
            <w:pPr>
              <w:rPr>
                <w:sz w:val="24"/>
              </w:rPr>
            </w:pPr>
            <w:r>
              <w:rPr>
                <w:sz w:val="24"/>
              </w:rPr>
              <w:t>Mindful Eating Q</w:t>
            </w:r>
            <w:r w:rsidRPr="00BD633C">
              <w:rPr>
                <w:sz w:val="24"/>
              </w:rPr>
              <w:t>uestionnaire</w:t>
            </w:r>
          </w:p>
        </w:tc>
        <w:tc>
          <w:tcPr>
            <w:tcW w:w="3088" w:type="dxa"/>
          </w:tcPr>
          <w:p w:rsidR="00026303" w:rsidRPr="00DD291A" w:rsidRDefault="00026303" w:rsidP="00F13B87">
            <w:pPr>
              <w:rPr>
                <w:sz w:val="24"/>
              </w:rPr>
            </w:pPr>
            <w:proofErr w:type="spellStart"/>
            <w:r w:rsidRPr="00DD291A">
              <w:rPr>
                <w:sz w:val="24"/>
              </w:rPr>
              <w:t>Framson</w:t>
            </w:r>
            <w:proofErr w:type="spellEnd"/>
            <w:r w:rsidRPr="00DD291A">
              <w:rPr>
                <w:sz w:val="24"/>
              </w:rPr>
              <w:t xml:space="preserve"> C, </w:t>
            </w:r>
            <w:r>
              <w:rPr>
                <w:sz w:val="24"/>
              </w:rPr>
              <w:t>et al</w:t>
            </w:r>
            <w:r w:rsidRPr="00DD291A">
              <w:rPr>
                <w:sz w:val="24"/>
              </w:rPr>
              <w:t xml:space="preserve">. Development and Validation of the </w:t>
            </w:r>
            <w:proofErr w:type="gramStart"/>
            <w:r w:rsidRPr="00DD291A">
              <w:rPr>
                <w:sz w:val="24"/>
              </w:rPr>
              <w:t>Mindful</w:t>
            </w:r>
            <w:proofErr w:type="gramEnd"/>
            <w:r w:rsidRPr="00DD291A">
              <w:rPr>
                <w:sz w:val="24"/>
              </w:rPr>
              <w:t xml:space="preserve"> Eating Questionnaire. Journal of the American Dietetic Association</w:t>
            </w:r>
            <w:r>
              <w:rPr>
                <w:sz w:val="24"/>
              </w:rPr>
              <w:t>,</w:t>
            </w:r>
            <w:r w:rsidRPr="00DD291A">
              <w:rPr>
                <w:sz w:val="24"/>
              </w:rPr>
              <w:t xml:space="preserve"> 2009</w:t>
            </w:r>
            <w:r>
              <w:rPr>
                <w:sz w:val="24"/>
              </w:rPr>
              <w:t xml:space="preserve">; </w:t>
            </w:r>
            <w:r w:rsidRPr="00DD291A">
              <w:rPr>
                <w:sz w:val="24"/>
              </w:rPr>
              <w:t>109(8):1439–1444.</w:t>
            </w:r>
          </w:p>
        </w:tc>
      </w:tr>
      <w:tr w:rsidR="00026303" w:rsidRPr="00BD633C" w:rsidTr="00F13B87">
        <w:tc>
          <w:tcPr>
            <w:tcW w:w="1616" w:type="dxa"/>
          </w:tcPr>
          <w:p w:rsidR="00026303" w:rsidRPr="00BD633C" w:rsidRDefault="00026303" w:rsidP="00F13B87">
            <w:pPr>
              <w:rPr>
                <w:sz w:val="24"/>
              </w:rPr>
            </w:pPr>
            <w:r>
              <w:rPr>
                <w:sz w:val="24"/>
              </w:rPr>
              <w:t>4.16-4.30</w:t>
            </w:r>
          </w:p>
        </w:tc>
        <w:tc>
          <w:tcPr>
            <w:tcW w:w="4152" w:type="dxa"/>
          </w:tcPr>
          <w:p w:rsidR="00026303" w:rsidRPr="00BD633C" w:rsidRDefault="00026303" w:rsidP="00F13B87">
            <w:pPr>
              <w:rPr>
                <w:sz w:val="24"/>
              </w:rPr>
            </w:pPr>
            <w:r>
              <w:rPr>
                <w:sz w:val="24"/>
              </w:rPr>
              <w:t>Mindfulness Scale</w:t>
            </w:r>
          </w:p>
        </w:tc>
        <w:tc>
          <w:tcPr>
            <w:tcW w:w="3088" w:type="dxa"/>
          </w:tcPr>
          <w:p w:rsidR="00026303" w:rsidRPr="00DD291A" w:rsidRDefault="00026303" w:rsidP="00F13B87">
            <w:pPr>
              <w:rPr>
                <w:sz w:val="24"/>
              </w:rPr>
            </w:pPr>
            <w:r w:rsidRPr="00DD291A">
              <w:rPr>
                <w:sz w:val="24"/>
              </w:rPr>
              <w:t>Carlson LE, Brown KW. Validation of the Mindful Attention Awareness Scale in a cancer popul</w:t>
            </w:r>
            <w:r>
              <w:rPr>
                <w:sz w:val="24"/>
              </w:rPr>
              <w:t xml:space="preserve">ation. J </w:t>
            </w:r>
            <w:proofErr w:type="spellStart"/>
            <w:r>
              <w:rPr>
                <w:sz w:val="24"/>
              </w:rPr>
              <w:t>Psychosom</w:t>
            </w:r>
            <w:proofErr w:type="spellEnd"/>
            <w:r>
              <w:rPr>
                <w:sz w:val="24"/>
              </w:rPr>
              <w:t xml:space="preserve"> Res. 2005; </w:t>
            </w:r>
            <w:r w:rsidRPr="00DD291A">
              <w:rPr>
                <w:sz w:val="24"/>
              </w:rPr>
              <w:t>58(1):29–33.</w:t>
            </w:r>
          </w:p>
        </w:tc>
      </w:tr>
      <w:tr w:rsidR="00026303" w:rsidRPr="00BD633C" w:rsidTr="00F13B87">
        <w:tc>
          <w:tcPr>
            <w:tcW w:w="1616" w:type="dxa"/>
          </w:tcPr>
          <w:p w:rsidR="00026303" w:rsidRPr="00BD633C" w:rsidRDefault="00026303" w:rsidP="00F13B87">
            <w:pPr>
              <w:rPr>
                <w:sz w:val="24"/>
              </w:rPr>
            </w:pPr>
            <w:r>
              <w:rPr>
                <w:sz w:val="24"/>
              </w:rPr>
              <w:t>4.31-4.40</w:t>
            </w:r>
          </w:p>
        </w:tc>
        <w:tc>
          <w:tcPr>
            <w:tcW w:w="4152" w:type="dxa"/>
          </w:tcPr>
          <w:p w:rsidR="00026303" w:rsidRPr="00BD633C" w:rsidRDefault="00026303" w:rsidP="00F13B87">
            <w:pPr>
              <w:rPr>
                <w:sz w:val="24"/>
              </w:rPr>
            </w:pPr>
            <w:r w:rsidRPr="00BD633C">
              <w:rPr>
                <w:sz w:val="24"/>
              </w:rPr>
              <w:t>Perceived stress scale</w:t>
            </w:r>
          </w:p>
        </w:tc>
        <w:tc>
          <w:tcPr>
            <w:tcW w:w="3088" w:type="dxa"/>
          </w:tcPr>
          <w:p w:rsidR="00026303" w:rsidRPr="00BD633C" w:rsidRDefault="00026303" w:rsidP="00F13B87">
            <w:pPr>
              <w:rPr>
                <w:sz w:val="24"/>
              </w:rPr>
            </w:pPr>
            <w:r w:rsidRPr="00DD291A">
              <w:rPr>
                <w:sz w:val="24"/>
              </w:rPr>
              <w:t xml:space="preserve">Cohen S, </w:t>
            </w:r>
            <w:proofErr w:type="spellStart"/>
            <w:r w:rsidRPr="00DD291A">
              <w:rPr>
                <w:sz w:val="24"/>
              </w:rPr>
              <w:t>Kamarck</w:t>
            </w:r>
            <w:proofErr w:type="spellEnd"/>
            <w:r w:rsidRPr="00DD291A">
              <w:rPr>
                <w:sz w:val="24"/>
              </w:rPr>
              <w:t xml:space="preserve"> T, </w:t>
            </w:r>
            <w:proofErr w:type="spellStart"/>
            <w:r w:rsidRPr="00DD291A">
              <w:rPr>
                <w:sz w:val="24"/>
              </w:rPr>
              <w:t>Mermelstein</w:t>
            </w:r>
            <w:proofErr w:type="spellEnd"/>
            <w:r w:rsidRPr="00DD291A">
              <w:rPr>
                <w:sz w:val="24"/>
              </w:rPr>
              <w:t xml:space="preserve"> R. A global measure of perceived stress. Journal of Health and Social Behavior 1963</w:t>
            </w:r>
            <w:proofErr w:type="gramStart"/>
            <w:r w:rsidRPr="00DD291A">
              <w:rPr>
                <w:sz w:val="24"/>
              </w:rPr>
              <w:t>;24:386</w:t>
            </w:r>
            <w:proofErr w:type="gramEnd"/>
            <w:r w:rsidRPr="00DD291A">
              <w:rPr>
                <w:sz w:val="24"/>
              </w:rPr>
              <w:t>–396.</w:t>
            </w:r>
            <w:r>
              <w:rPr>
                <w:sz w:val="24"/>
              </w:rPr>
              <w:t xml:space="preserve"> Widely cited currently.</w:t>
            </w:r>
          </w:p>
        </w:tc>
      </w:tr>
      <w:tr w:rsidR="00026303" w:rsidRPr="00BD633C" w:rsidTr="00F13B87">
        <w:tc>
          <w:tcPr>
            <w:tcW w:w="1616" w:type="dxa"/>
          </w:tcPr>
          <w:p w:rsidR="00026303" w:rsidRPr="00BD633C" w:rsidRDefault="00026303" w:rsidP="00F13B87">
            <w:pPr>
              <w:rPr>
                <w:sz w:val="24"/>
              </w:rPr>
            </w:pPr>
            <w:r>
              <w:rPr>
                <w:sz w:val="24"/>
              </w:rPr>
              <w:t>5.4</w:t>
            </w:r>
          </w:p>
        </w:tc>
        <w:tc>
          <w:tcPr>
            <w:tcW w:w="4152" w:type="dxa"/>
          </w:tcPr>
          <w:p w:rsidR="00026303" w:rsidRPr="00BD633C" w:rsidRDefault="00026303" w:rsidP="00F13B87">
            <w:pPr>
              <w:rPr>
                <w:sz w:val="24"/>
              </w:rPr>
            </w:pPr>
            <w:r>
              <w:rPr>
                <w:sz w:val="24"/>
              </w:rPr>
              <w:t>Partner body size</w:t>
            </w:r>
          </w:p>
        </w:tc>
        <w:tc>
          <w:tcPr>
            <w:tcW w:w="3088" w:type="dxa"/>
          </w:tcPr>
          <w:p w:rsidR="00026303" w:rsidRPr="00BD633C" w:rsidRDefault="00026303" w:rsidP="00F13B87">
            <w:pPr>
              <w:rPr>
                <w:sz w:val="24"/>
              </w:rPr>
            </w:pPr>
            <w:r w:rsidRPr="00F732B5">
              <w:rPr>
                <w:sz w:val="24"/>
              </w:rPr>
              <w:t xml:space="preserve">Images from: </w:t>
            </w:r>
            <w:proofErr w:type="spellStart"/>
            <w:r w:rsidRPr="00F732B5">
              <w:rPr>
                <w:sz w:val="24"/>
              </w:rPr>
              <w:t>Farinah</w:t>
            </w:r>
            <w:proofErr w:type="spellEnd"/>
            <w:r w:rsidRPr="00F732B5">
              <w:rPr>
                <w:sz w:val="24"/>
              </w:rPr>
              <w:t>, S. Dissertation:  Perception of the size, shape, and attractiveness of female body scans relative to body mass index, 2005</w:t>
            </w:r>
          </w:p>
        </w:tc>
      </w:tr>
      <w:tr w:rsidR="00026303" w:rsidRPr="00BD633C" w:rsidTr="00F13B87">
        <w:tc>
          <w:tcPr>
            <w:tcW w:w="1616" w:type="dxa"/>
          </w:tcPr>
          <w:p w:rsidR="00026303" w:rsidRPr="00BD633C" w:rsidRDefault="00026303" w:rsidP="00F13B87">
            <w:pPr>
              <w:rPr>
                <w:sz w:val="24"/>
              </w:rPr>
            </w:pPr>
            <w:r>
              <w:rPr>
                <w:sz w:val="24"/>
              </w:rPr>
              <w:t>5.7-5.12</w:t>
            </w:r>
          </w:p>
        </w:tc>
        <w:tc>
          <w:tcPr>
            <w:tcW w:w="4152" w:type="dxa"/>
          </w:tcPr>
          <w:p w:rsidR="00026303" w:rsidRPr="00BD633C" w:rsidRDefault="00026303" w:rsidP="00F13B87">
            <w:pPr>
              <w:rPr>
                <w:sz w:val="24"/>
              </w:rPr>
            </w:pPr>
            <w:r>
              <w:rPr>
                <w:sz w:val="24"/>
              </w:rPr>
              <w:t>Social Networks/Social Isolation</w:t>
            </w:r>
          </w:p>
        </w:tc>
        <w:tc>
          <w:tcPr>
            <w:tcW w:w="3088" w:type="dxa"/>
          </w:tcPr>
          <w:p w:rsidR="00026303" w:rsidRPr="00BD633C" w:rsidRDefault="00026303" w:rsidP="00F13B87">
            <w:pPr>
              <w:rPr>
                <w:sz w:val="24"/>
              </w:rPr>
            </w:pPr>
            <w:proofErr w:type="spellStart"/>
            <w:r>
              <w:rPr>
                <w:sz w:val="24"/>
              </w:rPr>
              <w:t>Lubben</w:t>
            </w:r>
            <w:proofErr w:type="spellEnd"/>
            <w:r>
              <w:rPr>
                <w:sz w:val="24"/>
              </w:rPr>
              <w:t xml:space="preserve"> Social Network Scale – 6 item, 2006.</w:t>
            </w:r>
          </w:p>
        </w:tc>
      </w:tr>
      <w:tr w:rsidR="00026303" w:rsidRPr="00BD633C" w:rsidTr="00F13B87">
        <w:tc>
          <w:tcPr>
            <w:tcW w:w="1616" w:type="dxa"/>
          </w:tcPr>
          <w:p w:rsidR="00026303" w:rsidRDefault="00026303" w:rsidP="00F13B87">
            <w:pPr>
              <w:rPr>
                <w:sz w:val="24"/>
              </w:rPr>
            </w:pPr>
            <w:r>
              <w:rPr>
                <w:sz w:val="24"/>
              </w:rPr>
              <w:t>6.1 and 6.4</w:t>
            </w:r>
          </w:p>
        </w:tc>
        <w:tc>
          <w:tcPr>
            <w:tcW w:w="4152" w:type="dxa"/>
          </w:tcPr>
          <w:p w:rsidR="00026303" w:rsidRDefault="00026303" w:rsidP="00F13B87">
            <w:pPr>
              <w:rPr>
                <w:sz w:val="24"/>
              </w:rPr>
            </w:pPr>
            <w:r>
              <w:rPr>
                <w:sz w:val="24"/>
              </w:rPr>
              <w:t>Waist to height ratio (calculated from waist circumference and height measurements).</w:t>
            </w:r>
          </w:p>
        </w:tc>
        <w:tc>
          <w:tcPr>
            <w:tcW w:w="3088" w:type="dxa"/>
          </w:tcPr>
          <w:p w:rsidR="00026303" w:rsidRDefault="00026303" w:rsidP="00F13B87">
            <w:pPr>
              <w:rPr>
                <w:sz w:val="24"/>
              </w:rPr>
            </w:pPr>
            <w:r>
              <w:rPr>
                <w:sz w:val="24"/>
              </w:rPr>
              <w:t xml:space="preserve">Browning, Hsieh, </w:t>
            </w:r>
            <w:proofErr w:type="spellStart"/>
            <w:r>
              <w:rPr>
                <w:sz w:val="24"/>
              </w:rPr>
              <w:t>Ashwell</w:t>
            </w:r>
            <w:proofErr w:type="spellEnd"/>
            <w:r>
              <w:rPr>
                <w:sz w:val="24"/>
              </w:rPr>
              <w:t xml:space="preserve">. </w:t>
            </w:r>
            <w:r w:rsidRPr="00814A11">
              <w:rPr>
                <w:sz w:val="24"/>
              </w:rPr>
              <w:t>A systematic review of waist-to-height ratio as a screening tool</w:t>
            </w:r>
            <w:r>
              <w:rPr>
                <w:sz w:val="24"/>
              </w:rPr>
              <w:t xml:space="preserve"> </w:t>
            </w:r>
            <w:r w:rsidRPr="00814A11">
              <w:rPr>
                <w:sz w:val="24"/>
              </w:rPr>
              <w:t xml:space="preserve">for the prediction of cardiovascular disease and </w:t>
            </w:r>
            <w:r w:rsidRPr="00814A11">
              <w:rPr>
                <w:sz w:val="24"/>
              </w:rPr>
              <w:lastRenderedPageBreak/>
              <w:t>diabetes:</w:t>
            </w:r>
            <w:r>
              <w:rPr>
                <w:sz w:val="24"/>
              </w:rPr>
              <w:t xml:space="preserve"> </w:t>
            </w:r>
            <w:r w:rsidRPr="00814A11">
              <w:rPr>
                <w:sz w:val="24"/>
              </w:rPr>
              <w:t>0·5 could be a suitable global boundary value</w:t>
            </w:r>
            <w:r>
              <w:rPr>
                <w:sz w:val="24"/>
              </w:rPr>
              <w:t xml:space="preserve"> Nutrition Research Reviews 2010; 23: 247-269.</w:t>
            </w:r>
          </w:p>
        </w:tc>
      </w:tr>
      <w:tr w:rsidR="00026303" w:rsidRPr="00BD633C" w:rsidTr="00F13B87">
        <w:tc>
          <w:tcPr>
            <w:tcW w:w="1616" w:type="dxa"/>
          </w:tcPr>
          <w:p w:rsidR="00026303" w:rsidRDefault="00026303" w:rsidP="00F13B87">
            <w:pPr>
              <w:rPr>
                <w:sz w:val="24"/>
              </w:rPr>
            </w:pPr>
            <w:r>
              <w:rPr>
                <w:sz w:val="24"/>
              </w:rPr>
              <w:lastRenderedPageBreak/>
              <w:t>6.6</w:t>
            </w:r>
          </w:p>
        </w:tc>
        <w:tc>
          <w:tcPr>
            <w:tcW w:w="4152" w:type="dxa"/>
          </w:tcPr>
          <w:p w:rsidR="00026303" w:rsidRDefault="00026303" w:rsidP="00F13B87">
            <w:pPr>
              <w:rPr>
                <w:sz w:val="24"/>
              </w:rPr>
            </w:pPr>
            <w:r>
              <w:rPr>
                <w:sz w:val="24"/>
              </w:rPr>
              <w:t>Menopausal status</w:t>
            </w:r>
          </w:p>
        </w:tc>
        <w:tc>
          <w:tcPr>
            <w:tcW w:w="3088" w:type="dxa"/>
          </w:tcPr>
          <w:p w:rsidR="00026303" w:rsidRDefault="00026303" w:rsidP="00F13B87">
            <w:pPr>
              <w:rPr>
                <w:sz w:val="24"/>
              </w:rPr>
            </w:pPr>
            <w:r>
              <w:rPr>
                <w:sz w:val="24"/>
              </w:rPr>
              <w:t>NHANES</w:t>
            </w:r>
          </w:p>
        </w:tc>
      </w:tr>
    </w:tbl>
    <w:p w:rsidR="00026303" w:rsidRDefault="00026303" w:rsidP="00026303">
      <w:pPr>
        <w:ind w:left="720"/>
        <w:rPr>
          <w:sz w:val="24"/>
        </w:rPr>
      </w:pPr>
    </w:p>
    <w:p w:rsidR="00026303" w:rsidRDefault="00026303" w:rsidP="00026303">
      <w:pPr>
        <w:ind w:left="720"/>
        <w:rPr>
          <w:b/>
          <w:bCs/>
          <w:sz w:val="24"/>
        </w:rPr>
      </w:pPr>
    </w:p>
    <w:p w:rsidR="00026303" w:rsidRDefault="00026303" w:rsidP="00026303">
      <w:pPr>
        <w:ind w:left="180" w:hanging="180"/>
        <w:rPr>
          <w:b/>
          <w:bCs/>
          <w:sz w:val="24"/>
        </w:rPr>
      </w:pPr>
      <w:r>
        <w:rPr>
          <w:b/>
          <w:bCs/>
          <w:sz w:val="24"/>
        </w:rPr>
        <w:t>5. Individuals Consulted on Statistical Aspects and Individuals Collecting and/or Analyzing Data</w:t>
      </w:r>
    </w:p>
    <w:p w:rsidR="00026303" w:rsidRDefault="00026303" w:rsidP="00026303">
      <w:pPr>
        <w:ind w:left="720"/>
        <w:rPr>
          <w:b/>
          <w:bCs/>
          <w:sz w:val="24"/>
        </w:rPr>
      </w:pPr>
    </w:p>
    <w:p w:rsidR="00026303" w:rsidRDefault="00026303" w:rsidP="00026303">
      <w:pPr>
        <w:ind w:left="1440"/>
        <w:rPr>
          <w:bCs/>
          <w:sz w:val="24"/>
        </w:rPr>
      </w:pPr>
      <w:r>
        <w:rPr>
          <w:bCs/>
          <w:sz w:val="24"/>
        </w:rPr>
        <w:t>Alexandra Minnis, PhD</w:t>
      </w:r>
    </w:p>
    <w:p w:rsidR="00026303" w:rsidRDefault="00026303" w:rsidP="00026303">
      <w:pPr>
        <w:ind w:left="1440"/>
        <w:rPr>
          <w:bCs/>
          <w:sz w:val="24"/>
        </w:rPr>
      </w:pPr>
      <w:r>
        <w:rPr>
          <w:bCs/>
          <w:sz w:val="24"/>
        </w:rPr>
        <w:t>Senior Research Epidemiologist</w:t>
      </w:r>
    </w:p>
    <w:p w:rsidR="00026303" w:rsidRDefault="00026303" w:rsidP="00026303">
      <w:pPr>
        <w:ind w:left="1440"/>
        <w:rPr>
          <w:bCs/>
          <w:sz w:val="24"/>
        </w:rPr>
      </w:pPr>
      <w:r>
        <w:rPr>
          <w:bCs/>
          <w:sz w:val="24"/>
        </w:rPr>
        <w:t>RTI International</w:t>
      </w:r>
    </w:p>
    <w:p w:rsidR="00026303" w:rsidRDefault="00026303" w:rsidP="00026303">
      <w:pPr>
        <w:ind w:left="1440"/>
        <w:rPr>
          <w:bCs/>
          <w:sz w:val="24"/>
        </w:rPr>
      </w:pPr>
      <w:r>
        <w:rPr>
          <w:bCs/>
          <w:sz w:val="24"/>
        </w:rPr>
        <w:t>415-848-1323</w:t>
      </w:r>
    </w:p>
    <w:p w:rsidR="00026303" w:rsidRDefault="00AE6CFF" w:rsidP="00026303">
      <w:pPr>
        <w:ind w:left="1440"/>
        <w:rPr>
          <w:bCs/>
          <w:sz w:val="24"/>
        </w:rPr>
      </w:pPr>
      <w:hyperlink r:id="rId8" w:history="1">
        <w:r w:rsidR="00026303" w:rsidRPr="002F28C7">
          <w:rPr>
            <w:rStyle w:val="Hyperlink"/>
            <w:bCs/>
            <w:sz w:val="24"/>
          </w:rPr>
          <w:t>aminnis@rti.org</w:t>
        </w:r>
      </w:hyperlink>
    </w:p>
    <w:p w:rsidR="00026303" w:rsidRDefault="00026303" w:rsidP="00026303">
      <w:pPr>
        <w:ind w:left="1440"/>
        <w:rPr>
          <w:bCs/>
          <w:sz w:val="24"/>
        </w:rPr>
      </w:pPr>
    </w:p>
    <w:p w:rsidR="00026303" w:rsidRDefault="00026303" w:rsidP="00026303">
      <w:pPr>
        <w:ind w:left="1440"/>
        <w:rPr>
          <w:bCs/>
          <w:sz w:val="24"/>
        </w:rPr>
      </w:pPr>
      <w:r>
        <w:rPr>
          <w:bCs/>
          <w:sz w:val="24"/>
        </w:rPr>
        <w:t xml:space="preserve">Jennifer Lorvick, </w:t>
      </w:r>
      <w:proofErr w:type="spellStart"/>
      <w:r>
        <w:rPr>
          <w:bCs/>
          <w:sz w:val="24"/>
        </w:rPr>
        <w:t>DrPH</w:t>
      </w:r>
      <w:proofErr w:type="spellEnd"/>
    </w:p>
    <w:p w:rsidR="00026303" w:rsidRDefault="00026303" w:rsidP="00026303">
      <w:pPr>
        <w:ind w:left="1440"/>
        <w:rPr>
          <w:bCs/>
          <w:sz w:val="24"/>
        </w:rPr>
      </w:pPr>
      <w:r>
        <w:rPr>
          <w:bCs/>
          <w:sz w:val="24"/>
        </w:rPr>
        <w:t>Senior Public Health Researcher</w:t>
      </w:r>
    </w:p>
    <w:p w:rsidR="00026303" w:rsidRDefault="00026303" w:rsidP="00026303">
      <w:pPr>
        <w:ind w:left="1440"/>
        <w:rPr>
          <w:bCs/>
          <w:sz w:val="24"/>
        </w:rPr>
      </w:pPr>
      <w:r>
        <w:rPr>
          <w:bCs/>
          <w:sz w:val="24"/>
        </w:rPr>
        <w:t>RTI International</w:t>
      </w:r>
    </w:p>
    <w:p w:rsidR="00026303" w:rsidRDefault="00026303" w:rsidP="00026303">
      <w:pPr>
        <w:ind w:left="1440"/>
        <w:rPr>
          <w:bCs/>
          <w:sz w:val="24"/>
        </w:rPr>
      </w:pPr>
      <w:r>
        <w:rPr>
          <w:bCs/>
          <w:sz w:val="24"/>
        </w:rPr>
        <w:t>415-848-1315</w:t>
      </w:r>
    </w:p>
    <w:p w:rsidR="00026303" w:rsidRDefault="00AE6CFF" w:rsidP="00026303">
      <w:pPr>
        <w:ind w:left="1440"/>
        <w:rPr>
          <w:bCs/>
          <w:sz w:val="24"/>
        </w:rPr>
      </w:pPr>
      <w:hyperlink r:id="rId9" w:history="1">
        <w:r w:rsidR="00026303">
          <w:rPr>
            <w:rStyle w:val="Hyperlink"/>
            <w:bCs/>
            <w:sz w:val="24"/>
          </w:rPr>
          <w:t>jlorvick@rti.org</w:t>
        </w:r>
      </w:hyperlink>
    </w:p>
    <w:p w:rsidR="00026303" w:rsidRDefault="00026303" w:rsidP="00026303">
      <w:pPr>
        <w:ind w:left="1440"/>
        <w:rPr>
          <w:bCs/>
          <w:sz w:val="24"/>
        </w:rPr>
      </w:pPr>
    </w:p>
    <w:p w:rsidR="00026303" w:rsidRDefault="00026303" w:rsidP="00026303">
      <w:pPr>
        <w:ind w:left="1440"/>
        <w:rPr>
          <w:bCs/>
          <w:sz w:val="24"/>
        </w:rPr>
      </w:pPr>
      <w:r>
        <w:rPr>
          <w:bCs/>
          <w:sz w:val="24"/>
        </w:rPr>
        <w:t xml:space="preserve">Diane Catellier, </w:t>
      </w:r>
      <w:proofErr w:type="spellStart"/>
      <w:r>
        <w:rPr>
          <w:bCs/>
          <w:sz w:val="24"/>
        </w:rPr>
        <w:t>DrPH</w:t>
      </w:r>
      <w:proofErr w:type="spellEnd"/>
    </w:p>
    <w:p w:rsidR="00026303" w:rsidRDefault="00026303" w:rsidP="00026303">
      <w:pPr>
        <w:ind w:left="1440"/>
        <w:rPr>
          <w:bCs/>
          <w:sz w:val="24"/>
        </w:rPr>
      </w:pPr>
      <w:r>
        <w:rPr>
          <w:bCs/>
          <w:sz w:val="24"/>
        </w:rPr>
        <w:t>Senior Statistician</w:t>
      </w:r>
    </w:p>
    <w:p w:rsidR="00026303" w:rsidRDefault="00026303" w:rsidP="00026303">
      <w:pPr>
        <w:ind w:left="1440"/>
        <w:rPr>
          <w:bCs/>
          <w:sz w:val="24"/>
        </w:rPr>
      </w:pPr>
      <w:r>
        <w:rPr>
          <w:bCs/>
          <w:sz w:val="24"/>
        </w:rPr>
        <w:t>RTI International</w:t>
      </w:r>
    </w:p>
    <w:p w:rsidR="00026303" w:rsidRDefault="00026303" w:rsidP="00026303">
      <w:pPr>
        <w:ind w:left="1440"/>
        <w:rPr>
          <w:bCs/>
          <w:sz w:val="24"/>
        </w:rPr>
      </w:pPr>
      <w:r w:rsidRPr="0084761D">
        <w:rPr>
          <w:bCs/>
          <w:sz w:val="24"/>
        </w:rPr>
        <w:t>919-541-6447</w:t>
      </w:r>
    </w:p>
    <w:p w:rsidR="00026303" w:rsidRDefault="00AE6CFF" w:rsidP="00026303">
      <w:pPr>
        <w:ind w:left="1440"/>
        <w:rPr>
          <w:bCs/>
          <w:sz w:val="24"/>
        </w:rPr>
      </w:pPr>
      <w:hyperlink r:id="rId10" w:history="1">
        <w:r w:rsidR="00026303" w:rsidRPr="002F28C7">
          <w:rPr>
            <w:rStyle w:val="Hyperlink"/>
            <w:bCs/>
            <w:sz w:val="24"/>
          </w:rPr>
          <w:t>dcatellier@rti.org</w:t>
        </w:r>
      </w:hyperlink>
    </w:p>
    <w:p w:rsidR="00026303" w:rsidRDefault="00026303" w:rsidP="00026303">
      <w:pPr>
        <w:ind w:left="1440"/>
        <w:rPr>
          <w:bCs/>
          <w:sz w:val="24"/>
        </w:rPr>
      </w:pPr>
    </w:p>
    <w:p w:rsidR="00026303" w:rsidRDefault="00026303" w:rsidP="00026303">
      <w:pPr>
        <w:ind w:left="1440"/>
        <w:rPr>
          <w:bCs/>
          <w:sz w:val="24"/>
        </w:rPr>
      </w:pPr>
      <w:r>
        <w:rPr>
          <w:bCs/>
          <w:sz w:val="24"/>
        </w:rPr>
        <w:t>Andrea Anater, PhD, MPH</w:t>
      </w:r>
    </w:p>
    <w:p w:rsidR="00026303" w:rsidRDefault="00026303" w:rsidP="00026303">
      <w:pPr>
        <w:ind w:left="1440"/>
        <w:rPr>
          <w:bCs/>
          <w:sz w:val="24"/>
        </w:rPr>
      </w:pPr>
      <w:r>
        <w:rPr>
          <w:bCs/>
          <w:sz w:val="24"/>
        </w:rPr>
        <w:t>Public Health Nutrition Researcher</w:t>
      </w:r>
    </w:p>
    <w:p w:rsidR="00026303" w:rsidRDefault="00026303" w:rsidP="00026303">
      <w:pPr>
        <w:ind w:left="1440"/>
        <w:rPr>
          <w:bCs/>
          <w:sz w:val="24"/>
        </w:rPr>
      </w:pPr>
      <w:r>
        <w:rPr>
          <w:bCs/>
          <w:sz w:val="24"/>
        </w:rPr>
        <w:t>RTI International</w:t>
      </w:r>
    </w:p>
    <w:p w:rsidR="00026303" w:rsidRDefault="00026303" w:rsidP="00026303">
      <w:pPr>
        <w:ind w:left="1440"/>
        <w:rPr>
          <w:bCs/>
          <w:sz w:val="24"/>
        </w:rPr>
      </w:pPr>
      <w:r w:rsidRPr="0084761D">
        <w:rPr>
          <w:bCs/>
          <w:sz w:val="24"/>
        </w:rPr>
        <w:t>919-541-6977</w:t>
      </w:r>
      <w:r w:rsidRPr="00BE0E2B">
        <w:rPr>
          <w:bCs/>
          <w:sz w:val="24"/>
        </w:rPr>
        <w:br/>
      </w:r>
      <w:r>
        <w:rPr>
          <w:bCs/>
          <w:sz w:val="24"/>
        </w:rPr>
        <w:t>aanater@rti.org</w:t>
      </w:r>
    </w:p>
    <w:p w:rsidR="00026303" w:rsidRDefault="00026303" w:rsidP="00026303">
      <w:pPr>
        <w:ind w:left="1440"/>
        <w:rPr>
          <w:bCs/>
          <w:sz w:val="24"/>
        </w:rPr>
      </w:pPr>
    </w:p>
    <w:p w:rsidR="00026303" w:rsidRDefault="00026303" w:rsidP="00026303">
      <w:pPr>
        <w:ind w:left="1440"/>
        <w:rPr>
          <w:bCs/>
          <w:sz w:val="24"/>
        </w:rPr>
      </w:pPr>
      <w:r>
        <w:rPr>
          <w:bCs/>
          <w:sz w:val="24"/>
        </w:rPr>
        <w:t>Todd Rogers, PhD</w:t>
      </w:r>
    </w:p>
    <w:p w:rsidR="00026303" w:rsidRDefault="00026303" w:rsidP="00026303">
      <w:pPr>
        <w:ind w:left="1440"/>
        <w:rPr>
          <w:bCs/>
          <w:sz w:val="24"/>
        </w:rPr>
      </w:pPr>
      <w:r>
        <w:rPr>
          <w:bCs/>
          <w:sz w:val="24"/>
        </w:rPr>
        <w:t>Senior Scientist</w:t>
      </w:r>
    </w:p>
    <w:p w:rsidR="00026303" w:rsidRDefault="00026303" w:rsidP="00026303">
      <w:pPr>
        <w:ind w:left="1440"/>
        <w:rPr>
          <w:bCs/>
          <w:sz w:val="24"/>
        </w:rPr>
      </w:pPr>
      <w:r>
        <w:rPr>
          <w:bCs/>
          <w:sz w:val="24"/>
        </w:rPr>
        <w:t>RTI International</w:t>
      </w:r>
    </w:p>
    <w:p w:rsidR="00026303" w:rsidRDefault="00026303" w:rsidP="00026303">
      <w:pPr>
        <w:ind w:left="1440"/>
        <w:rPr>
          <w:bCs/>
          <w:sz w:val="24"/>
        </w:rPr>
      </w:pPr>
      <w:r w:rsidRPr="0084761D">
        <w:rPr>
          <w:bCs/>
          <w:sz w:val="24"/>
        </w:rPr>
        <w:t>415-848-1374</w:t>
      </w:r>
    </w:p>
    <w:p w:rsidR="00026303" w:rsidRDefault="00AE6CFF" w:rsidP="00026303">
      <w:pPr>
        <w:ind w:left="1440"/>
        <w:rPr>
          <w:bCs/>
          <w:sz w:val="24"/>
        </w:rPr>
      </w:pPr>
      <w:hyperlink r:id="rId11" w:history="1">
        <w:r w:rsidR="00026303" w:rsidRPr="002F28C7">
          <w:rPr>
            <w:rStyle w:val="Hyperlink"/>
            <w:bCs/>
            <w:sz w:val="24"/>
          </w:rPr>
          <w:t>trogers@rti.org</w:t>
        </w:r>
      </w:hyperlink>
    </w:p>
    <w:p w:rsidR="00026303" w:rsidRDefault="00026303" w:rsidP="00026303">
      <w:pPr>
        <w:ind w:left="1440"/>
        <w:rPr>
          <w:bCs/>
          <w:sz w:val="24"/>
        </w:rPr>
      </w:pPr>
    </w:p>
    <w:p w:rsidR="00026303" w:rsidRDefault="00026303" w:rsidP="00026303">
      <w:pPr>
        <w:ind w:left="1440"/>
        <w:rPr>
          <w:bCs/>
          <w:sz w:val="24"/>
        </w:rPr>
      </w:pPr>
      <w:r>
        <w:rPr>
          <w:bCs/>
          <w:sz w:val="24"/>
        </w:rPr>
        <w:t>Dawn Harbatkin, MD</w:t>
      </w:r>
    </w:p>
    <w:p w:rsidR="00CC2590" w:rsidRDefault="00CC2590" w:rsidP="00CC2590">
      <w:pPr>
        <w:ind w:left="1440"/>
        <w:rPr>
          <w:bCs/>
          <w:sz w:val="24"/>
        </w:rPr>
      </w:pPr>
      <w:r>
        <w:rPr>
          <w:bCs/>
          <w:sz w:val="24"/>
        </w:rPr>
        <w:t>Executive Director, Lyon-Martin Health Services</w:t>
      </w:r>
    </w:p>
    <w:p w:rsidR="00026303" w:rsidRDefault="00AE6CFF" w:rsidP="00026303">
      <w:pPr>
        <w:ind w:left="1440"/>
        <w:rPr>
          <w:bCs/>
          <w:sz w:val="24"/>
        </w:rPr>
      </w:pPr>
      <w:hyperlink r:id="rId12" w:history="1">
        <w:r w:rsidR="00026303" w:rsidRPr="002F28C7">
          <w:rPr>
            <w:rStyle w:val="Hyperlink"/>
            <w:bCs/>
            <w:sz w:val="24"/>
          </w:rPr>
          <w:t>dawn@lyon-martin.org</w:t>
        </w:r>
      </w:hyperlink>
    </w:p>
    <w:p w:rsidR="00026303" w:rsidRDefault="00026303" w:rsidP="00026303">
      <w:pPr>
        <w:ind w:left="1440"/>
        <w:rPr>
          <w:bCs/>
          <w:sz w:val="24"/>
        </w:rPr>
      </w:pPr>
    </w:p>
    <w:p w:rsidR="00026303" w:rsidRDefault="00026303" w:rsidP="00026303">
      <w:pPr>
        <w:ind w:left="1440"/>
        <w:rPr>
          <w:bCs/>
          <w:sz w:val="24"/>
        </w:rPr>
      </w:pPr>
      <w:r>
        <w:rPr>
          <w:bCs/>
          <w:sz w:val="24"/>
        </w:rPr>
        <w:t>Natalie Ingraham, MA</w:t>
      </w:r>
    </w:p>
    <w:p w:rsidR="00026303" w:rsidRDefault="00CC2590" w:rsidP="00CC2590">
      <w:pPr>
        <w:ind w:left="1440"/>
        <w:rPr>
          <w:bCs/>
          <w:sz w:val="24"/>
        </w:rPr>
      </w:pPr>
      <w:r>
        <w:rPr>
          <w:bCs/>
          <w:sz w:val="24"/>
        </w:rPr>
        <w:t xml:space="preserve">Project Coordinator, </w:t>
      </w:r>
      <w:r w:rsidR="00026303">
        <w:rPr>
          <w:bCs/>
          <w:sz w:val="24"/>
        </w:rPr>
        <w:t>Lyon-Martin Health Services</w:t>
      </w:r>
    </w:p>
    <w:p w:rsidR="00026303" w:rsidRDefault="00AE6CFF" w:rsidP="00CC2590">
      <w:pPr>
        <w:ind w:left="1440"/>
        <w:rPr>
          <w:bCs/>
          <w:sz w:val="24"/>
        </w:rPr>
      </w:pPr>
      <w:hyperlink r:id="rId13" w:history="1">
        <w:r w:rsidR="00026303" w:rsidRPr="00C510F4">
          <w:rPr>
            <w:rStyle w:val="Hyperlink"/>
            <w:bCs/>
            <w:sz w:val="24"/>
          </w:rPr>
          <w:t>natalie@lyon-martin.org</w:t>
        </w:r>
      </w:hyperlink>
      <w:r w:rsidR="00026303">
        <w:rPr>
          <w:bCs/>
          <w:sz w:val="24"/>
        </w:rPr>
        <w:br w:type="page"/>
      </w:r>
    </w:p>
    <w:p w:rsidR="00026303" w:rsidRDefault="00026303" w:rsidP="00547156">
      <w:pPr>
        <w:rPr>
          <w:bCs/>
          <w:sz w:val="24"/>
        </w:rPr>
      </w:pPr>
    </w:p>
    <w:p w:rsidR="00547156" w:rsidRDefault="00547156" w:rsidP="00547156">
      <w:pPr>
        <w:rPr>
          <w:bCs/>
          <w:sz w:val="24"/>
        </w:rPr>
      </w:pPr>
      <w:r>
        <w:rPr>
          <w:bCs/>
          <w:sz w:val="24"/>
        </w:rPr>
        <w:t>REFERENCES</w:t>
      </w:r>
    </w:p>
    <w:p w:rsidR="00547156" w:rsidRDefault="00547156" w:rsidP="00547156"/>
    <w:p w:rsidR="00547156" w:rsidRPr="00BE4DEF" w:rsidRDefault="00D23669" w:rsidP="00547156">
      <w:pPr>
        <w:pStyle w:val="Bibliography1"/>
        <w:rPr>
          <w:sz w:val="24"/>
        </w:rPr>
      </w:pPr>
      <w:r>
        <w:rPr>
          <w:bCs/>
          <w:sz w:val="24"/>
        </w:rPr>
        <w:fldChar w:fldCharType="begin"/>
      </w:r>
      <w:r w:rsidR="00547156">
        <w:rPr>
          <w:bCs/>
          <w:sz w:val="24"/>
        </w:rPr>
        <w:instrText xml:space="preserve"> ADDIN ZOTERO_BIBL {"custom":[]} CSL_BIBLIOGRAPHY </w:instrText>
      </w:r>
      <w:r>
        <w:rPr>
          <w:bCs/>
          <w:sz w:val="24"/>
        </w:rPr>
        <w:fldChar w:fldCharType="separate"/>
      </w:r>
      <w:r w:rsidR="00547156" w:rsidRPr="00BE4DEF">
        <w:rPr>
          <w:sz w:val="24"/>
        </w:rPr>
        <w:t xml:space="preserve">1. Grossman P, Niemann L, Schmidt S, Walach H. Mindfulness-based stress reduction and health benefits. </w:t>
      </w:r>
      <w:r w:rsidR="00547156" w:rsidRPr="00BE4DEF">
        <w:rPr>
          <w:i/>
          <w:iCs/>
          <w:sz w:val="24"/>
        </w:rPr>
        <w:t>Journal of Psychosomatic Research</w:t>
      </w:r>
      <w:r w:rsidR="00547156" w:rsidRPr="00BE4DEF">
        <w:rPr>
          <w:sz w:val="24"/>
        </w:rPr>
        <w:t>. 2004;57(1):35–43.</w:t>
      </w:r>
    </w:p>
    <w:p w:rsidR="00547156" w:rsidRPr="00BE4DEF" w:rsidRDefault="00547156" w:rsidP="00547156">
      <w:pPr>
        <w:pStyle w:val="Bibliography1"/>
        <w:rPr>
          <w:sz w:val="24"/>
        </w:rPr>
      </w:pPr>
      <w:r w:rsidRPr="00BE4DEF">
        <w:rPr>
          <w:sz w:val="24"/>
        </w:rPr>
        <w:t xml:space="preserve">2. Brown KW, Ryan RM. The benefits of being present: mindfulness and its role in psychological well-being. </w:t>
      </w:r>
      <w:r w:rsidRPr="00BE4DEF">
        <w:rPr>
          <w:i/>
          <w:iCs/>
          <w:sz w:val="24"/>
        </w:rPr>
        <w:t>J Pers Soc Psychol</w:t>
      </w:r>
      <w:r w:rsidRPr="00BE4DEF">
        <w:rPr>
          <w:sz w:val="24"/>
        </w:rPr>
        <w:t>. 2003;84(4):822–848.</w:t>
      </w:r>
    </w:p>
    <w:p w:rsidR="00547156" w:rsidRPr="00BE4DEF" w:rsidRDefault="00547156" w:rsidP="00547156">
      <w:pPr>
        <w:pStyle w:val="Bibliography1"/>
        <w:rPr>
          <w:sz w:val="24"/>
        </w:rPr>
      </w:pPr>
      <w:r w:rsidRPr="00BE4DEF">
        <w:rPr>
          <w:sz w:val="24"/>
        </w:rPr>
        <w:t xml:space="preserve">3. Smith BW, Shelley BM, Leahigh L, Vanleit B. A Preliminary Study of the Effects of a Modified Mindfulness Intervention on Binge Eating. </w:t>
      </w:r>
      <w:r w:rsidRPr="00BE4DEF">
        <w:rPr>
          <w:i/>
          <w:iCs/>
          <w:sz w:val="24"/>
        </w:rPr>
        <w:t>Complementary Health Practice Review</w:t>
      </w:r>
      <w:r w:rsidRPr="00BE4DEF">
        <w:rPr>
          <w:sz w:val="24"/>
        </w:rPr>
        <w:t>. 2006;11(3):133–143.</w:t>
      </w:r>
    </w:p>
    <w:p w:rsidR="00547156" w:rsidRPr="00BE4DEF" w:rsidRDefault="00547156" w:rsidP="00547156">
      <w:pPr>
        <w:pStyle w:val="Bibliography1"/>
        <w:rPr>
          <w:sz w:val="24"/>
        </w:rPr>
      </w:pPr>
      <w:r w:rsidRPr="00BE4DEF">
        <w:rPr>
          <w:sz w:val="24"/>
        </w:rPr>
        <w:t xml:space="preserve">4. IOM (Institute of Medicine). </w:t>
      </w:r>
      <w:r w:rsidRPr="00BE4DEF">
        <w:rPr>
          <w:i/>
          <w:iCs/>
          <w:sz w:val="24"/>
        </w:rPr>
        <w:t>The Health of Lesbian, Gay, Bisexual, and Transgender People: Building a Foundation for Better Understanding.</w:t>
      </w:r>
      <w:r w:rsidRPr="00BE4DEF">
        <w:rPr>
          <w:sz w:val="24"/>
        </w:rPr>
        <w:t xml:space="preserve"> Washington, DC: The National Academies Press; 2011.</w:t>
      </w:r>
    </w:p>
    <w:p w:rsidR="00547156" w:rsidRPr="00BE4DEF" w:rsidRDefault="00547156" w:rsidP="00547156">
      <w:pPr>
        <w:pStyle w:val="Bibliography1"/>
        <w:rPr>
          <w:sz w:val="24"/>
        </w:rPr>
      </w:pPr>
      <w:r w:rsidRPr="00BE4DEF">
        <w:rPr>
          <w:sz w:val="24"/>
        </w:rPr>
        <w:t xml:space="preserve">5. Boehmer U, Bowen DJ, Bauer GR. Overweight and Obesity in Sexual-Minority Women: Evidence From Population-Based Data. </w:t>
      </w:r>
      <w:r w:rsidRPr="00BE4DEF">
        <w:rPr>
          <w:i/>
          <w:iCs/>
          <w:sz w:val="24"/>
        </w:rPr>
        <w:t>American Journal of Public Health</w:t>
      </w:r>
      <w:r w:rsidRPr="00BE4DEF">
        <w:rPr>
          <w:sz w:val="24"/>
        </w:rPr>
        <w:t>. 2007;97(6):1134–1140.</w:t>
      </w:r>
    </w:p>
    <w:p w:rsidR="00547156" w:rsidRPr="00BE4DEF" w:rsidRDefault="00547156" w:rsidP="00547156">
      <w:pPr>
        <w:pStyle w:val="Bibliography1"/>
        <w:rPr>
          <w:sz w:val="24"/>
        </w:rPr>
      </w:pPr>
      <w:r w:rsidRPr="00BE4DEF">
        <w:rPr>
          <w:sz w:val="24"/>
        </w:rPr>
        <w:t xml:space="preserve">6. Case P, Austin SB, Hunter DJ, et al. Sexual orientation, health risk factors, and physical functioning in the Nurses’ Health Study II. </w:t>
      </w:r>
      <w:r w:rsidRPr="00BE4DEF">
        <w:rPr>
          <w:i/>
          <w:iCs/>
          <w:sz w:val="24"/>
        </w:rPr>
        <w:t>J Womens Health (Larchmt)</w:t>
      </w:r>
      <w:r w:rsidRPr="00BE4DEF">
        <w:rPr>
          <w:sz w:val="24"/>
        </w:rPr>
        <w:t>. 2004;13(9):1033–1047.</w:t>
      </w:r>
    </w:p>
    <w:p w:rsidR="00547156" w:rsidRPr="00BE4DEF" w:rsidRDefault="00547156" w:rsidP="00547156">
      <w:pPr>
        <w:pStyle w:val="Bibliography1"/>
        <w:rPr>
          <w:sz w:val="24"/>
        </w:rPr>
      </w:pPr>
      <w:r w:rsidRPr="00BE4DEF">
        <w:rPr>
          <w:sz w:val="24"/>
        </w:rPr>
        <w:t xml:space="preserve">7. Valanis BG, Bowen DJ, Bassford T, et al. Sexual orientation and health: comparisons in the women’s health initiative sample. </w:t>
      </w:r>
      <w:r w:rsidRPr="00BE4DEF">
        <w:rPr>
          <w:i/>
          <w:iCs/>
          <w:sz w:val="24"/>
        </w:rPr>
        <w:t>Arch Fam Med</w:t>
      </w:r>
      <w:r w:rsidRPr="00BE4DEF">
        <w:rPr>
          <w:sz w:val="24"/>
        </w:rPr>
        <w:t>. 2000;9(9):843–853.</w:t>
      </w:r>
    </w:p>
    <w:p w:rsidR="00547156" w:rsidRPr="00BE4DEF" w:rsidRDefault="00547156" w:rsidP="00547156">
      <w:pPr>
        <w:pStyle w:val="Bibliography1"/>
        <w:rPr>
          <w:sz w:val="24"/>
        </w:rPr>
      </w:pPr>
      <w:r w:rsidRPr="00BE4DEF">
        <w:rPr>
          <w:sz w:val="24"/>
        </w:rPr>
        <w:t xml:space="preserve">8. Roberts SA, Dibble SL, Scanlon JL, Paul SM, Davids H. Differences in Risk Factors for Breast Cancer: Lesbian and Heterosexual Women. </w:t>
      </w:r>
      <w:r w:rsidRPr="00BE4DEF">
        <w:rPr>
          <w:i/>
          <w:iCs/>
          <w:sz w:val="24"/>
        </w:rPr>
        <w:t>Journal of the Gay and Lesbian Medical Association</w:t>
      </w:r>
      <w:r w:rsidRPr="00BE4DEF">
        <w:rPr>
          <w:sz w:val="24"/>
        </w:rPr>
        <w:t>. 1998;2(3):93–101.</w:t>
      </w:r>
    </w:p>
    <w:p w:rsidR="00547156" w:rsidRPr="00BE4DEF" w:rsidRDefault="00547156" w:rsidP="00547156">
      <w:pPr>
        <w:pStyle w:val="Bibliography1"/>
        <w:rPr>
          <w:sz w:val="24"/>
        </w:rPr>
      </w:pPr>
      <w:r w:rsidRPr="00BE4DEF">
        <w:rPr>
          <w:sz w:val="24"/>
        </w:rPr>
        <w:t xml:space="preserve">9. Cochran SD, Mays VM. Disclosure of sexual preference to physicians by black lesbian and bisexual women. </w:t>
      </w:r>
      <w:r w:rsidRPr="00BE4DEF">
        <w:rPr>
          <w:i/>
          <w:iCs/>
          <w:sz w:val="24"/>
        </w:rPr>
        <w:t>West. J. Med.</w:t>
      </w:r>
      <w:r w:rsidRPr="00BE4DEF">
        <w:rPr>
          <w:sz w:val="24"/>
        </w:rPr>
        <w:t xml:space="preserve"> 1988;149(5):616–619.</w:t>
      </w:r>
    </w:p>
    <w:p w:rsidR="00547156" w:rsidRPr="00BE4DEF" w:rsidRDefault="00547156" w:rsidP="00547156">
      <w:pPr>
        <w:pStyle w:val="Bibliography1"/>
        <w:rPr>
          <w:sz w:val="24"/>
        </w:rPr>
      </w:pPr>
      <w:r w:rsidRPr="00BE4DEF">
        <w:rPr>
          <w:sz w:val="24"/>
        </w:rPr>
        <w:t>10. Kaiser Permanente National Diversity Council, Kasier Permanete National Diversity Department. A Provider’s Handbook on Culturally Competent Care: Lesbian, Gay, Bisexual and Transgendered Population. 2000.</w:t>
      </w:r>
    </w:p>
    <w:p w:rsidR="00547156" w:rsidRPr="00BE4DEF" w:rsidRDefault="00547156" w:rsidP="00547156">
      <w:pPr>
        <w:pStyle w:val="Bibliography1"/>
        <w:rPr>
          <w:sz w:val="24"/>
        </w:rPr>
      </w:pPr>
      <w:r w:rsidRPr="00BE4DEF">
        <w:rPr>
          <w:sz w:val="24"/>
        </w:rPr>
        <w:t xml:space="preserve">11. Institute of Medicine. </w:t>
      </w:r>
      <w:r w:rsidRPr="00BE4DEF">
        <w:rPr>
          <w:i/>
          <w:iCs/>
          <w:sz w:val="24"/>
        </w:rPr>
        <w:t>Accelerating Progress in Obesity Prevention: Solving the Weight of the Nation</w:t>
      </w:r>
      <w:r w:rsidRPr="00BE4DEF">
        <w:rPr>
          <w:sz w:val="24"/>
        </w:rPr>
        <w:t>. Institute of Medicine; 2012.</w:t>
      </w:r>
    </w:p>
    <w:p w:rsidR="00547156" w:rsidRPr="00BE4DEF" w:rsidRDefault="00547156" w:rsidP="00547156">
      <w:pPr>
        <w:pStyle w:val="Bibliography1"/>
        <w:rPr>
          <w:sz w:val="24"/>
        </w:rPr>
      </w:pPr>
      <w:r w:rsidRPr="00BE4DEF">
        <w:rPr>
          <w:sz w:val="24"/>
        </w:rPr>
        <w:t xml:space="preserve">12. Cochran SD, Mays VM. Relation between Psychiatric Syndromes and Behaviorally Defined Sexual Orientation in a Sample of the US Population. </w:t>
      </w:r>
      <w:r w:rsidRPr="00BE4DEF">
        <w:rPr>
          <w:i/>
          <w:iCs/>
          <w:sz w:val="24"/>
        </w:rPr>
        <w:t>American Journal of Epidemiology</w:t>
      </w:r>
      <w:r w:rsidRPr="00BE4DEF">
        <w:rPr>
          <w:sz w:val="24"/>
        </w:rPr>
        <w:t>. 2000;151(5):516 –523.</w:t>
      </w:r>
    </w:p>
    <w:p w:rsidR="00547156" w:rsidRPr="00BE4DEF" w:rsidRDefault="00547156" w:rsidP="00547156">
      <w:pPr>
        <w:pStyle w:val="Bibliography1"/>
        <w:rPr>
          <w:sz w:val="24"/>
        </w:rPr>
      </w:pPr>
      <w:r w:rsidRPr="00BE4DEF">
        <w:rPr>
          <w:sz w:val="24"/>
        </w:rPr>
        <w:t xml:space="preserve">13. Lewis RJ, Derlega VJ, Brown D, Rose S, Henson JM. Sexual Minority Stress, Depressive Symptoms, and Sexual Orientation Conflict: Focus on the Experiences of Bisexuals. </w:t>
      </w:r>
      <w:r w:rsidRPr="00BE4DEF">
        <w:rPr>
          <w:i/>
          <w:iCs/>
          <w:sz w:val="24"/>
        </w:rPr>
        <w:t>Journal of Social and Clinical Psychology</w:t>
      </w:r>
      <w:r w:rsidRPr="00BE4DEF">
        <w:rPr>
          <w:sz w:val="24"/>
        </w:rPr>
        <w:t>. 2009;28(8):971–992.</w:t>
      </w:r>
    </w:p>
    <w:p w:rsidR="00547156" w:rsidRPr="00BE4DEF" w:rsidRDefault="00547156" w:rsidP="00547156">
      <w:pPr>
        <w:pStyle w:val="Bibliography1"/>
        <w:rPr>
          <w:sz w:val="24"/>
        </w:rPr>
      </w:pPr>
      <w:r w:rsidRPr="00BE4DEF">
        <w:rPr>
          <w:sz w:val="24"/>
        </w:rPr>
        <w:lastRenderedPageBreak/>
        <w:t xml:space="preserve">14. Lewis TT, Kravitz HM, Janssen I, Powell LH. Self-reported Experiences of Discrimination and Visceral Fat in Middle-aged African-American and Caucasian Women. </w:t>
      </w:r>
      <w:r w:rsidRPr="00BE4DEF">
        <w:rPr>
          <w:i/>
          <w:iCs/>
          <w:sz w:val="24"/>
        </w:rPr>
        <w:t>American Journal of Epidemiology</w:t>
      </w:r>
      <w:r w:rsidRPr="00BE4DEF">
        <w:rPr>
          <w:sz w:val="24"/>
        </w:rPr>
        <w:t>. 2011;173(11):1223–1231.</w:t>
      </w:r>
    </w:p>
    <w:p w:rsidR="00547156" w:rsidRPr="00BE4DEF" w:rsidRDefault="00547156" w:rsidP="00547156">
      <w:pPr>
        <w:pStyle w:val="Bibliography1"/>
        <w:rPr>
          <w:sz w:val="24"/>
        </w:rPr>
      </w:pPr>
      <w:r w:rsidRPr="00BE4DEF">
        <w:rPr>
          <w:sz w:val="24"/>
        </w:rPr>
        <w:t xml:space="preserve">15. Gilman SE, Cochran SD, Mays VM, Hughes M, Kessler RC. Risk of psychiatric disorders among individuals reporting same-sex sexual partners in the National Comorbidity Survey. </w:t>
      </w:r>
      <w:r w:rsidRPr="00BE4DEF">
        <w:rPr>
          <w:i/>
          <w:iCs/>
          <w:sz w:val="24"/>
        </w:rPr>
        <w:t>American Journal of Public Health</w:t>
      </w:r>
      <w:r w:rsidRPr="00BE4DEF">
        <w:rPr>
          <w:sz w:val="24"/>
        </w:rPr>
        <w:t>. 2001;91(6):933–030.</w:t>
      </w:r>
    </w:p>
    <w:p w:rsidR="00547156" w:rsidRPr="00BE4DEF" w:rsidRDefault="00547156" w:rsidP="00547156">
      <w:pPr>
        <w:pStyle w:val="Bibliography1"/>
        <w:rPr>
          <w:sz w:val="24"/>
        </w:rPr>
      </w:pPr>
      <w:r w:rsidRPr="00BE4DEF">
        <w:rPr>
          <w:sz w:val="24"/>
        </w:rPr>
        <w:t xml:space="preserve">16. Lewis RJ, Kholodkov T, Derlega VJ. Still Stressful After All These Years: A Review of Lesbians’ and Bisexual Women’s Minority Stress. </w:t>
      </w:r>
      <w:r w:rsidRPr="00BE4DEF">
        <w:rPr>
          <w:i/>
          <w:iCs/>
          <w:sz w:val="24"/>
        </w:rPr>
        <w:t>Journal of Lesbian Studies</w:t>
      </w:r>
      <w:r w:rsidRPr="00BE4DEF">
        <w:rPr>
          <w:sz w:val="24"/>
        </w:rPr>
        <w:t>. 2012;16(1):30–44.</w:t>
      </w:r>
    </w:p>
    <w:p w:rsidR="00547156" w:rsidRPr="00BE4DEF" w:rsidRDefault="00547156" w:rsidP="00547156">
      <w:pPr>
        <w:pStyle w:val="Bibliography1"/>
        <w:rPr>
          <w:sz w:val="24"/>
        </w:rPr>
      </w:pPr>
      <w:r w:rsidRPr="00BE4DEF">
        <w:rPr>
          <w:sz w:val="24"/>
        </w:rPr>
        <w:t xml:space="preserve">17. Barker JC, Herdt G, Vries B. Social support in the lives of lesbians and gay men at midlife and later. </w:t>
      </w:r>
      <w:r w:rsidRPr="00BE4DEF">
        <w:rPr>
          <w:i/>
          <w:iCs/>
          <w:sz w:val="24"/>
        </w:rPr>
        <w:t>Sexuality Research and Social Policy</w:t>
      </w:r>
      <w:r w:rsidRPr="00BE4DEF">
        <w:rPr>
          <w:sz w:val="24"/>
        </w:rPr>
        <w:t>. 2006;3(2):1–23.</w:t>
      </w:r>
    </w:p>
    <w:p w:rsidR="00547156" w:rsidRPr="00BE4DEF" w:rsidRDefault="00547156" w:rsidP="00547156">
      <w:pPr>
        <w:pStyle w:val="Bibliography1"/>
        <w:rPr>
          <w:sz w:val="24"/>
        </w:rPr>
      </w:pPr>
      <w:r w:rsidRPr="00BE4DEF">
        <w:rPr>
          <w:sz w:val="24"/>
        </w:rPr>
        <w:t xml:space="preserve">18. Lehavot K, Simoni JM. The impact of minority stress on mental health and substance use among sexual minority women. </w:t>
      </w:r>
      <w:r w:rsidRPr="00BE4DEF">
        <w:rPr>
          <w:i/>
          <w:iCs/>
          <w:sz w:val="24"/>
        </w:rPr>
        <w:t>Journal of Consulting and Clinical Psychology</w:t>
      </w:r>
      <w:r w:rsidRPr="00BE4DEF">
        <w:rPr>
          <w:sz w:val="24"/>
        </w:rPr>
        <w:t>. 2011;79(2):159–170.</w:t>
      </w:r>
    </w:p>
    <w:p w:rsidR="00547156" w:rsidRPr="00BE4DEF" w:rsidRDefault="00547156" w:rsidP="00547156">
      <w:pPr>
        <w:pStyle w:val="Bibliography1"/>
        <w:rPr>
          <w:sz w:val="24"/>
        </w:rPr>
      </w:pPr>
      <w:r w:rsidRPr="00BE4DEF">
        <w:rPr>
          <w:sz w:val="24"/>
        </w:rPr>
        <w:t xml:space="preserve">19. Suter PM, Hasler E, Vetter W. Effects of Alcohol on Energy Metabolism and Body Weight Regulation: Is Alcohol a Risk Factor for Obesity? </w:t>
      </w:r>
      <w:r w:rsidRPr="00BE4DEF">
        <w:rPr>
          <w:i/>
          <w:iCs/>
          <w:sz w:val="24"/>
        </w:rPr>
        <w:t>Nutrition Reviews</w:t>
      </w:r>
      <w:r w:rsidRPr="00BE4DEF">
        <w:rPr>
          <w:sz w:val="24"/>
        </w:rPr>
        <w:t>. 2009;55(5):157–171.</w:t>
      </w:r>
    </w:p>
    <w:p w:rsidR="00547156" w:rsidRPr="00BE4DEF" w:rsidRDefault="00547156" w:rsidP="00547156">
      <w:pPr>
        <w:pStyle w:val="Bibliography1"/>
        <w:rPr>
          <w:sz w:val="24"/>
        </w:rPr>
      </w:pPr>
      <w:r w:rsidRPr="00BE4DEF">
        <w:rPr>
          <w:sz w:val="24"/>
        </w:rPr>
        <w:t xml:space="preserve">20. Wannamethee SG, Field AE, Colditz GA, Rimm EB. Alcohol intake and 8-year weight gain in women: a prospective study. </w:t>
      </w:r>
      <w:r w:rsidRPr="00BE4DEF">
        <w:rPr>
          <w:i/>
          <w:iCs/>
          <w:sz w:val="24"/>
        </w:rPr>
        <w:t>Obes. Res.</w:t>
      </w:r>
      <w:r w:rsidRPr="00BE4DEF">
        <w:rPr>
          <w:sz w:val="24"/>
        </w:rPr>
        <w:t xml:space="preserve"> 2004;12(9):1386–1396.</w:t>
      </w:r>
    </w:p>
    <w:p w:rsidR="00547156" w:rsidRDefault="00547156" w:rsidP="00547156">
      <w:pPr>
        <w:pStyle w:val="Bibliography1"/>
        <w:rPr>
          <w:sz w:val="24"/>
        </w:rPr>
      </w:pPr>
      <w:r w:rsidRPr="00BE4DEF">
        <w:rPr>
          <w:sz w:val="24"/>
        </w:rPr>
        <w:t xml:space="preserve">21. Greeno CG, Wing RR. Stress-induced eating. </w:t>
      </w:r>
      <w:r w:rsidRPr="00BE4DEF">
        <w:rPr>
          <w:i/>
          <w:iCs/>
          <w:sz w:val="24"/>
        </w:rPr>
        <w:t>Psychol Bull</w:t>
      </w:r>
      <w:r w:rsidRPr="00BE4DEF">
        <w:rPr>
          <w:sz w:val="24"/>
        </w:rPr>
        <w:t>. 1994;115(3):444–464.</w:t>
      </w:r>
    </w:p>
    <w:p w:rsidR="00547156" w:rsidRPr="00D8374C" w:rsidRDefault="00547156" w:rsidP="00547156">
      <w:pPr>
        <w:pStyle w:val="Bibliography1"/>
        <w:rPr>
          <w:sz w:val="24"/>
        </w:rPr>
      </w:pPr>
      <w:r>
        <w:rPr>
          <w:sz w:val="24"/>
        </w:rPr>
        <w:t xml:space="preserve">22. </w:t>
      </w:r>
      <w:r w:rsidRPr="00D8374C">
        <w:rPr>
          <w:sz w:val="24"/>
        </w:rPr>
        <w:t>Paeratakul, S., White, M. A., Williamson, D. A., Ryan, D. H. a</w:t>
      </w:r>
      <w:r>
        <w:rPr>
          <w:sz w:val="24"/>
        </w:rPr>
        <w:t>nd Bray, G. A.</w:t>
      </w:r>
      <w:r w:rsidRPr="00D8374C">
        <w:rPr>
          <w:sz w:val="24"/>
        </w:rPr>
        <w:t xml:space="preserve"> Sex, Race/Ethnicity, Socioeconomic Status, and BMI in Relation to Self-Perception </w:t>
      </w:r>
      <w:r>
        <w:rPr>
          <w:sz w:val="24"/>
        </w:rPr>
        <w:t>of Overweight. Obesity Research.</w:t>
      </w:r>
      <w:r w:rsidRPr="00D8374C">
        <w:rPr>
          <w:sz w:val="24"/>
        </w:rPr>
        <w:t xml:space="preserve"> </w:t>
      </w:r>
      <w:r>
        <w:rPr>
          <w:sz w:val="24"/>
        </w:rPr>
        <w:t xml:space="preserve">2002; </w:t>
      </w:r>
      <w:r w:rsidRPr="00D8374C">
        <w:rPr>
          <w:sz w:val="24"/>
        </w:rPr>
        <w:t>10: 345–350. doi: 10.1038/oby.2002.48</w:t>
      </w:r>
    </w:p>
    <w:p w:rsidR="00547156" w:rsidRDefault="00547156" w:rsidP="00547156">
      <w:pPr>
        <w:pStyle w:val="Bibliography1"/>
        <w:rPr>
          <w:sz w:val="24"/>
        </w:rPr>
      </w:pPr>
      <w:r>
        <w:rPr>
          <w:sz w:val="24"/>
        </w:rPr>
        <w:t xml:space="preserve">23. </w:t>
      </w:r>
      <w:hyperlink r:id="rId14" w:history="1">
        <w:r w:rsidRPr="005714EC">
          <w:rPr>
            <w:sz w:val="24"/>
          </w:rPr>
          <w:t>Yancey AK</w:t>
        </w:r>
      </w:hyperlink>
      <w:r w:rsidRPr="005714EC">
        <w:rPr>
          <w:sz w:val="24"/>
        </w:rPr>
        <w:t xml:space="preserve">, </w:t>
      </w:r>
      <w:hyperlink r:id="rId15" w:history="1">
        <w:r w:rsidRPr="005714EC">
          <w:rPr>
            <w:sz w:val="24"/>
          </w:rPr>
          <w:t>Cochran SD</w:t>
        </w:r>
      </w:hyperlink>
      <w:r w:rsidRPr="005714EC">
        <w:rPr>
          <w:sz w:val="24"/>
        </w:rPr>
        <w:t xml:space="preserve">, </w:t>
      </w:r>
      <w:hyperlink r:id="rId16" w:history="1">
        <w:r w:rsidRPr="005714EC">
          <w:rPr>
            <w:sz w:val="24"/>
          </w:rPr>
          <w:t>Corliss HL</w:t>
        </w:r>
      </w:hyperlink>
      <w:r w:rsidRPr="005714EC">
        <w:rPr>
          <w:sz w:val="24"/>
        </w:rPr>
        <w:t xml:space="preserve">, </w:t>
      </w:r>
      <w:hyperlink r:id="rId17" w:history="1">
        <w:r w:rsidRPr="005714EC">
          <w:rPr>
            <w:sz w:val="24"/>
          </w:rPr>
          <w:t>Mays VM</w:t>
        </w:r>
      </w:hyperlink>
      <w:r w:rsidRPr="005714EC">
        <w:rPr>
          <w:sz w:val="24"/>
        </w:rPr>
        <w:t xml:space="preserve">. Correlates of overweight and obesity among lesbian and bisexual women. </w:t>
      </w:r>
      <w:hyperlink r:id="rId18" w:tooltip="Preventive medicine." w:history="1">
        <w:r w:rsidRPr="005714EC">
          <w:rPr>
            <w:sz w:val="24"/>
          </w:rPr>
          <w:t>Prev Med.</w:t>
        </w:r>
      </w:hyperlink>
      <w:r w:rsidRPr="005714EC">
        <w:rPr>
          <w:sz w:val="24"/>
        </w:rPr>
        <w:t xml:space="preserve"> 2003 Jun;36(6):676-83.</w:t>
      </w:r>
    </w:p>
    <w:p w:rsidR="00547156" w:rsidRPr="00E97DD1" w:rsidRDefault="00547156" w:rsidP="00547156">
      <w:pPr>
        <w:pStyle w:val="Bibliography1"/>
        <w:rPr>
          <w:sz w:val="24"/>
        </w:rPr>
      </w:pPr>
      <w:r>
        <w:rPr>
          <w:sz w:val="24"/>
        </w:rPr>
        <w:t xml:space="preserve">24. </w:t>
      </w:r>
      <w:r w:rsidRPr="00E97DD1">
        <w:rPr>
          <w:sz w:val="24"/>
        </w:rPr>
        <w:t xml:space="preserve">Wang </w:t>
      </w:r>
      <w:r>
        <w:rPr>
          <w:sz w:val="24"/>
        </w:rPr>
        <w:t xml:space="preserve">Y, </w:t>
      </w:r>
      <w:r w:rsidRPr="00E97DD1">
        <w:rPr>
          <w:sz w:val="24"/>
        </w:rPr>
        <w:t>Beydoun</w:t>
      </w:r>
      <w:r>
        <w:rPr>
          <w:sz w:val="24"/>
        </w:rPr>
        <w:t xml:space="preserve"> MA</w:t>
      </w:r>
      <w:r w:rsidRPr="00E97DD1">
        <w:rPr>
          <w:sz w:val="24"/>
        </w:rPr>
        <w:t>. The Obesity Epidemic in the United States—Gender, Age, Socioeconomic, Racial/Ethnic, and Geographic Characteristics: A Systematic Review and Meta-Regression Analysis Epidemiol Rev</w:t>
      </w:r>
      <w:r>
        <w:rPr>
          <w:sz w:val="24"/>
        </w:rPr>
        <w:t>. 2007;</w:t>
      </w:r>
      <w:r w:rsidRPr="00E97DD1">
        <w:rPr>
          <w:sz w:val="24"/>
        </w:rPr>
        <w:t xml:space="preserve"> 29 (1): 6-28.</w:t>
      </w:r>
    </w:p>
    <w:p w:rsidR="00547156" w:rsidRPr="00E97DD1" w:rsidRDefault="00547156" w:rsidP="00547156">
      <w:pPr>
        <w:pStyle w:val="Bibliography1"/>
        <w:rPr>
          <w:sz w:val="24"/>
        </w:rPr>
      </w:pPr>
      <w:r>
        <w:rPr>
          <w:sz w:val="24"/>
        </w:rPr>
        <w:t xml:space="preserve">25. </w:t>
      </w:r>
      <w:r w:rsidRPr="00E97DD1">
        <w:rPr>
          <w:sz w:val="24"/>
        </w:rPr>
        <w:t>Rothblum</w:t>
      </w:r>
      <w:r>
        <w:rPr>
          <w:sz w:val="24"/>
        </w:rPr>
        <w:t xml:space="preserve"> ED</w:t>
      </w:r>
      <w:r w:rsidRPr="00E97DD1">
        <w:rPr>
          <w:sz w:val="24"/>
        </w:rPr>
        <w:t xml:space="preserve">, </w:t>
      </w:r>
      <w:r>
        <w:rPr>
          <w:sz w:val="24"/>
        </w:rPr>
        <w:t>Balsam KF,</w:t>
      </w:r>
      <w:r w:rsidRPr="00E97DD1">
        <w:rPr>
          <w:sz w:val="24"/>
        </w:rPr>
        <w:t xml:space="preserve"> Solomon </w:t>
      </w:r>
      <w:r>
        <w:rPr>
          <w:sz w:val="24"/>
        </w:rPr>
        <w:t xml:space="preserve">S, </w:t>
      </w:r>
      <w:r w:rsidRPr="00E97DD1">
        <w:rPr>
          <w:sz w:val="24"/>
        </w:rPr>
        <w:t>Factor</w:t>
      </w:r>
      <w:r>
        <w:rPr>
          <w:sz w:val="24"/>
        </w:rPr>
        <w:t xml:space="preserve"> RJ</w:t>
      </w:r>
      <w:r w:rsidRPr="00E97DD1">
        <w:rPr>
          <w:sz w:val="24"/>
        </w:rPr>
        <w:t>. Lesbian, gay male, bisexual, and heterosexual siblings: Discrepancies in income and education in three US samples.  In L. Badgett and J. Frank (Eds.) Sexual orientation discrimination: An international perspective (pp. 62-75). NY: Routledge, 2007, pp.62-75.</w:t>
      </w:r>
    </w:p>
    <w:p w:rsidR="00547156" w:rsidRPr="005714EC" w:rsidRDefault="00547156" w:rsidP="00547156">
      <w:pPr>
        <w:pStyle w:val="Bibliography1"/>
        <w:rPr>
          <w:sz w:val="24"/>
        </w:rPr>
      </w:pPr>
      <w:r>
        <w:rPr>
          <w:sz w:val="24"/>
        </w:rPr>
        <w:t>26.</w:t>
      </w:r>
      <w:r w:rsidRPr="00D8374C">
        <w:rPr>
          <w:sz w:val="24"/>
        </w:rPr>
        <w:t>Hu</w:t>
      </w:r>
      <w:r>
        <w:rPr>
          <w:sz w:val="24"/>
        </w:rPr>
        <w:t>ghes, T., &amp; Eliason, M. </w:t>
      </w:r>
      <w:r w:rsidRPr="00D8374C">
        <w:rPr>
          <w:sz w:val="24"/>
        </w:rPr>
        <w:t>Substance use and abuse in lesbian, gay, bisexual, and transgender populations</w:t>
      </w:r>
      <w:r>
        <w:rPr>
          <w:sz w:val="24"/>
        </w:rPr>
        <w:t>. Journal of Primary Prevention. 2002;</w:t>
      </w:r>
      <w:r w:rsidRPr="00D8374C">
        <w:rPr>
          <w:sz w:val="24"/>
        </w:rPr>
        <w:t> 22(3), 261</w:t>
      </w:r>
      <w:r>
        <w:rPr>
          <w:sz w:val="24"/>
        </w:rPr>
        <w:t>-</w:t>
      </w:r>
      <w:r w:rsidRPr="00D8374C">
        <w:rPr>
          <w:sz w:val="24"/>
        </w:rPr>
        <w:t>295.  </w:t>
      </w:r>
    </w:p>
    <w:p w:rsidR="00547156" w:rsidRDefault="00547156" w:rsidP="00547156">
      <w:pPr>
        <w:pStyle w:val="Bibliography1"/>
        <w:rPr>
          <w:sz w:val="24"/>
        </w:rPr>
      </w:pPr>
      <w:r>
        <w:rPr>
          <w:sz w:val="24"/>
        </w:rPr>
        <w:t>27</w:t>
      </w:r>
      <w:r w:rsidRPr="005714EC">
        <w:rPr>
          <w:sz w:val="24"/>
        </w:rPr>
        <w:t>.</w:t>
      </w:r>
      <w:r>
        <w:rPr>
          <w:sz w:val="24"/>
        </w:rPr>
        <w:t xml:space="preserve"> </w:t>
      </w:r>
      <w:r w:rsidRPr="005714EC">
        <w:rPr>
          <w:sz w:val="24"/>
        </w:rPr>
        <w:t>Drabble, L., Trocki, K. F., &amp; Midanik, L. T. Reports of alcohol consumption and alcohol</w:t>
      </w:r>
      <w:r>
        <w:rPr>
          <w:sz w:val="24"/>
        </w:rPr>
        <w:t>-</w:t>
      </w:r>
      <w:r w:rsidRPr="005714EC">
        <w:rPr>
          <w:sz w:val="24"/>
        </w:rPr>
        <w:t>related problems among homosexual, bisexual, and heterosexual</w:t>
      </w:r>
      <w:r>
        <w:rPr>
          <w:sz w:val="24"/>
        </w:rPr>
        <w:t> respondents: Results from the 2</w:t>
      </w:r>
      <w:r w:rsidRPr="005714EC">
        <w:rPr>
          <w:sz w:val="24"/>
        </w:rPr>
        <w:t>000 National Alcohol Survey. Journal of Studies on Alcohol, </w:t>
      </w:r>
      <w:r>
        <w:rPr>
          <w:sz w:val="24"/>
        </w:rPr>
        <w:t>2005; 66:</w:t>
      </w:r>
      <w:r w:rsidRPr="005714EC">
        <w:rPr>
          <w:sz w:val="24"/>
        </w:rPr>
        <w:t> 111</w:t>
      </w:r>
      <w:r>
        <w:rPr>
          <w:sz w:val="24"/>
        </w:rPr>
        <w:t>-</w:t>
      </w:r>
      <w:r w:rsidRPr="005714EC">
        <w:rPr>
          <w:sz w:val="24"/>
        </w:rPr>
        <w:t>120. </w:t>
      </w:r>
    </w:p>
    <w:p w:rsidR="00547156" w:rsidRPr="00E97DD1" w:rsidRDefault="00547156" w:rsidP="00547156">
      <w:pPr>
        <w:pStyle w:val="Bibliography1"/>
        <w:rPr>
          <w:sz w:val="24"/>
        </w:rPr>
      </w:pPr>
      <w:r>
        <w:rPr>
          <w:sz w:val="24"/>
        </w:rPr>
        <w:lastRenderedPageBreak/>
        <w:t xml:space="preserve">28. </w:t>
      </w:r>
      <w:r w:rsidRPr="00D8374C">
        <w:rPr>
          <w:sz w:val="24"/>
        </w:rPr>
        <w:t>McElroy JA, Everett KD, Zaniletti I. An Examination of Smoking Behavior and Opinions About Smokefree Environments in a Large Sample of Sexual and Gender Minority Community  Members, Journal of Nicotine and Tobacco Research. 2011; 13(6): 440-448.</w:t>
      </w:r>
    </w:p>
    <w:p w:rsidR="00547156" w:rsidRPr="00D8374C" w:rsidRDefault="00547156" w:rsidP="00547156">
      <w:pPr>
        <w:rPr>
          <w:sz w:val="24"/>
        </w:rPr>
      </w:pPr>
      <w:r>
        <w:rPr>
          <w:sz w:val="24"/>
        </w:rPr>
        <w:t xml:space="preserve">29. </w:t>
      </w:r>
      <w:r w:rsidRPr="00D8374C">
        <w:rPr>
          <w:sz w:val="24"/>
        </w:rPr>
        <w:t>Gruskin, E. P., Hart, S., Gor</w:t>
      </w:r>
      <w:r>
        <w:rPr>
          <w:sz w:val="24"/>
        </w:rPr>
        <w:t xml:space="preserve">don, N., &amp; Ackerson, L. </w:t>
      </w:r>
      <w:r w:rsidRPr="00D8374C">
        <w:rPr>
          <w:sz w:val="24"/>
        </w:rPr>
        <w:t>Patterns of cigarette smoking and alcohol use among lesbians and bisexual women enrolled in a large health maintenance organization. Am</w:t>
      </w:r>
      <w:r>
        <w:rPr>
          <w:sz w:val="24"/>
        </w:rPr>
        <w:t>erican Journal of Public Health. 2001;</w:t>
      </w:r>
      <w:r w:rsidRPr="00D8374C">
        <w:rPr>
          <w:sz w:val="24"/>
        </w:rPr>
        <w:t xml:space="preserve"> 91, 976-979.</w:t>
      </w:r>
    </w:p>
    <w:p w:rsidR="00547156" w:rsidRDefault="00547156" w:rsidP="00547156">
      <w:pPr>
        <w:rPr>
          <w:sz w:val="24"/>
        </w:rPr>
      </w:pPr>
    </w:p>
    <w:p w:rsidR="00026303" w:rsidRPr="00026303" w:rsidRDefault="00026303" w:rsidP="00026303">
      <w:pPr>
        <w:pStyle w:val="biblio"/>
        <w:numPr>
          <w:ilvl w:val="0"/>
          <w:numId w:val="0"/>
        </w:numPr>
        <w:rPr>
          <w:rFonts w:ascii="Times New Roman" w:eastAsia="Times New Roman" w:hAnsi="Times New Roman" w:cs="Times New Roman"/>
          <w:lang w:val="en-US" w:eastAsia="en-US"/>
        </w:rPr>
      </w:pPr>
      <w:r w:rsidRPr="00026303">
        <w:rPr>
          <w:rFonts w:ascii="Times New Roman" w:eastAsia="Times New Roman" w:hAnsi="Times New Roman" w:cs="Times New Roman"/>
          <w:lang w:val="en-US" w:eastAsia="en-US"/>
        </w:rPr>
        <w:t>30.  Cohen, J. Statistical power analysis for the behavioral sciences (2nd ed.). Hillsdale, NJ: Lawrence Erlbaum Associates, Inc., Publishers, 1988.</w:t>
      </w:r>
    </w:p>
    <w:p w:rsidR="00026303" w:rsidRPr="00D8374C" w:rsidRDefault="00026303" w:rsidP="00547156">
      <w:pPr>
        <w:rPr>
          <w:sz w:val="24"/>
        </w:rPr>
      </w:pPr>
    </w:p>
    <w:p w:rsidR="00547156" w:rsidRPr="005714EC" w:rsidRDefault="00547156" w:rsidP="00547156">
      <w:pPr>
        <w:rPr>
          <w:sz w:val="24"/>
        </w:rPr>
      </w:pPr>
    </w:p>
    <w:p w:rsidR="00547156" w:rsidRPr="005714EC" w:rsidRDefault="00547156" w:rsidP="00547156"/>
    <w:p w:rsidR="00547156" w:rsidRDefault="00D23669" w:rsidP="00547156">
      <w:pPr>
        <w:ind w:left="1440"/>
        <w:rPr>
          <w:bCs/>
          <w:sz w:val="24"/>
        </w:rPr>
      </w:pPr>
      <w:r>
        <w:rPr>
          <w:bCs/>
          <w:sz w:val="24"/>
        </w:rPr>
        <w:fldChar w:fldCharType="end"/>
      </w:r>
    </w:p>
    <w:p w:rsidR="00C01D13" w:rsidRDefault="00547156" w:rsidP="00547156">
      <w:pPr>
        <w:tabs>
          <w:tab w:val="left" w:pos="6870"/>
        </w:tabs>
        <w:ind w:left="-360" w:right="-360"/>
      </w:pPr>
      <w:r>
        <w:tab/>
      </w:r>
    </w:p>
    <w:sectPr w:rsidR="00C01D13" w:rsidSect="00547156">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440" w:right="1170" w:bottom="1440" w:left="1080" w:header="1152"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FF" w:rsidRDefault="00AE6CFF" w:rsidP="00547156">
      <w:r>
        <w:separator/>
      </w:r>
    </w:p>
  </w:endnote>
  <w:endnote w:type="continuationSeparator" w:id="0">
    <w:p w:rsidR="00AE6CFF" w:rsidRDefault="00AE6CFF" w:rsidP="0054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83" w:rsidRDefault="001D7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83" w:rsidRDefault="001D7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83" w:rsidRDefault="001D7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FF" w:rsidRDefault="00AE6CFF" w:rsidP="00547156">
      <w:r>
        <w:separator/>
      </w:r>
    </w:p>
  </w:footnote>
  <w:footnote w:type="continuationSeparator" w:id="0">
    <w:p w:rsidR="00AE6CFF" w:rsidRDefault="00AE6CFF" w:rsidP="00547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83" w:rsidRDefault="001D7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56" w:rsidRDefault="00547156" w:rsidP="001D7A83">
    <w:r w:rsidRPr="003614CF">
      <w:rPr>
        <w:i/>
        <w:sz w:val="22"/>
        <w:szCs w:val="22"/>
      </w:rPr>
      <w:t xml:space="preserve">Office on Women’s Health Information Collection Request  </w:t>
    </w:r>
    <w:r>
      <w:rPr>
        <w:i/>
        <w:sz w:val="22"/>
        <w:szCs w:val="22"/>
      </w:rPr>
      <w:t xml:space="preserve">       </w:t>
    </w:r>
    <w:r w:rsidR="001D7A83">
      <w:rPr>
        <w:i/>
      </w:rPr>
      <w:t>(</w:t>
    </w:r>
    <w:r w:rsidR="001D7A83" w:rsidRPr="0011003D">
      <w:rPr>
        <w:i/>
      </w:rPr>
      <w:t>WHAM) Women’s Health and Mindfulness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83" w:rsidRDefault="001D7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821"/>
    <w:multiLevelType w:val="hybridMultilevel"/>
    <w:tmpl w:val="9C141BF2"/>
    <w:lvl w:ilvl="0" w:tplc="0B285780">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06F75"/>
    <w:multiLevelType w:val="hybridMultilevel"/>
    <w:tmpl w:val="572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Arial"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Arial"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Arial"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
    <w:nsid w:val="3A1571A7"/>
    <w:multiLevelType w:val="hybridMultilevel"/>
    <w:tmpl w:val="E8BE3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ED1B51"/>
    <w:multiLevelType w:val="hybridMultilevel"/>
    <w:tmpl w:val="6A5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3B4E8A"/>
    <w:multiLevelType w:val="hybridMultilevel"/>
    <w:tmpl w:val="F2AC31AA"/>
    <w:lvl w:ilvl="0" w:tplc="533A2F78">
      <w:start w:val="1"/>
      <w:numFmt w:val="bullet"/>
      <w:lvlText w:val=""/>
      <w:lvlJc w:val="left"/>
      <w:pPr>
        <w:ind w:left="72" w:hanging="72"/>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437A12"/>
    <w:multiLevelType w:val="hybridMultilevel"/>
    <w:tmpl w:val="8D709C3A"/>
    <w:lvl w:ilvl="0" w:tplc="0B285780">
      <w:start w:val="1"/>
      <w:numFmt w:val="decimal"/>
      <w:lvlText w:val="%1."/>
      <w:lvlJc w:val="left"/>
      <w:pPr>
        <w:tabs>
          <w:tab w:val="num" w:pos="1080"/>
        </w:tabs>
        <w:ind w:left="1080" w:hanging="360"/>
      </w:pPr>
    </w:lvl>
    <w:lvl w:ilvl="1" w:tplc="3FE00096" w:tentative="1">
      <w:start w:val="1"/>
      <w:numFmt w:val="decimal"/>
      <w:lvlText w:val="%2."/>
      <w:lvlJc w:val="left"/>
      <w:pPr>
        <w:tabs>
          <w:tab w:val="num" w:pos="1800"/>
        </w:tabs>
        <w:ind w:left="1800" w:hanging="360"/>
      </w:pPr>
    </w:lvl>
    <w:lvl w:ilvl="2" w:tplc="D9CE5E30" w:tentative="1">
      <w:start w:val="1"/>
      <w:numFmt w:val="decimal"/>
      <w:lvlText w:val="%3."/>
      <w:lvlJc w:val="left"/>
      <w:pPr>
        <w:tabs>
          <w:tab w:val="num" w:pos="2520"/>
        </w:tabs>
        <w:ind w:left="2520" w:hanging="360"/>
      </w:pPr>
    </w:lvl>
    <w:lvl w:ilvl="3" w:tplc="C6E00780" w:tentative="1">
      <w:start w:val="1"/>
      <w:numFmt w:val="decimal"/>
      <w:lvlText w:val="%4."/>
      <w:lvlJc w:val="left"/>
      <w:pPr>
        <w:tabs>
          <w:tab w:val="num" w:pos="3240"/>
        </w:tabs>
        <w:ind w:left="3240" w:hanging="360"/>
      </w:pPr>
    </w:lvl>
    <w:lvl w:ilvl="4" w:tplc="2462390A" w:tentative="1">
      <w:start w:val="1"/>
      <w:numFmt w:val="decimal"/>
      <w:lvlText w:val="%5."/>
      <w:lvlJc w:val="left"/>
      <w:pPr>
        <w:tabs>
          <w:tab w:val="num" w:pos="3960"/>
        </w:tabs>
        <w:ind w:left="3960" w:hanging="360"/>
      </w:pPr>
    </w:lvl>
    <w:lvl w:ilvl="5" w:tplc="C02AAE72" w:tentative="1">
      <w:start w:val="1"/>
      <w:numFmt w:val="decimal"/>
      <w:lvlText w:val="%6."/>
      <w:lvlJc w:val="left"/>
      <w:pPr>
        <w:tabs>
          <w:tab w:val="num" w:pos="4680"/>
        </w:tabs>
        <w:ind w:left="4680" w:hanging="360"/>
      </w:pPr>
    </w:lvl>
    <w:lvl w:ilvl="6" w:tplc="C6900DB8" w:tentative="1">
      <w:start w:val="1"/>
      <w:numFmt w:val="decimal"/>
      <w:lvlText w:val="%7."/>
      <w:lvlJc w:val="left"/>
      <w:pPr>
        <w:tabs>
          <w:tab w:val="num" w:pos="5400"/>
        </w:tabs>
        <w:ind w:left="5400" w:hanging="360"/>
      </w:pPr>
    </w:lvl>
    <w:lvl w:ilvl="7" w:tplc="AFC24068" w:tentative="1">
      <w:start w:val="1"/>
      <w:numFmt w:val="decimal"/>
      <w:lvlText w:val="%8."/>
      <w:lvlJc w:val="left"/>
      <w:pPr>
        <w:tabs>
          <w:tab w:val="num" w:pos="6120"/>
        </w:tabs>
        <w:ind w:left="6120" w:hanging="360"/>
      </w:pPr>
    </w:lvl>
    <w:lvl w:ilvl="8" w:tplc="60E47142" w:tentative="1">
      <w:start w:val="1"/>
      <w:numFmt w:val="decimal"/>
      <w:lvlText w:val="%9."/>
      <w:lvlJc w:val="left"/>
      <w:pPr>
        <w:tabs>
          <w:tab w:val="num" w:pos="6840"/>
        </w:tabs>
        <w:ind w:left="6840" w:hanging="360"/>
      </w:pPr>
    </w:lvl>
  </w:abstractNum>
  <w:abstractNum w:abstractNumId="8">
    <w:nsid w:val="616071AE"/>
    <w:multiLevelType w:val="hybridMultilevel"/>
    <w:tmpl w:val="BE18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5334F6"/>
    <w:multiLevelType w:val="hybridMultilevel"/>
    <w:tmpl w:val="F2AC31AA"/>
    <w:lvl w:ilvl="0" w:tplc="533A2F78">
      <w:start w:val="1"/>
      <w:numFmt w:val="bullet"/>
      <w:lvlText w:val=""/>
      <w:lvlJc w:val="left"/>
      <w:pPr>
        <w:ind w:left="72" w:hanging="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B93152"/>
    <w:multiLevelType w:val="hybridMultilevel"/>
    <w:tmpl w:val="1D0E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D65FDA"/>
    <w:multiLevelType w:val="hybridMultilevel"/>
    <w:tmpl w:val="BED20A72"/>
    <w:lvl w:ilvl="0" w:tplc="E5209A24">
      <w:start w:val="32"/>
      <w:numFmt w:val="decimal"/>
      <w:pStyle w:val="biblio"/>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5F5AD7"/>
    <w:multiLevelType w:val="hybridMultilevel"/>
    <w:tmpl w:val="58065F0C"/>
    <w:lvl w:ilvl="0" w:tplc="3FAC2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2"/>
  </w:num>
  <w:num w:numId="4">
    <w:abstractNumId w:val="3"/>
  </w:num>
  <w:num w:numId="5">
    <w:abstractNumId w:val="10"/>
  </w:num>
  <w:num w:numId="6">
    <w:abstractNumId w:val="4"/>
  </w:num>
  <w:num w:numId="7">
    <w:abstractNumId w:val="7"/>
  </w:num>
  <w:num w:numId="8">
    <w:abstractNumId w:val="0"/>
  </w:num>
  <w:num w:numId="9">
    <w:abstractNumId w:val="1"/>
  </w:num>
  <w:num w:numId="10">
    <w:abstractNumId w:val="9"/>
  </w:num>
  <w:num w:numId="11">
    <w:abstractNumId w:val="5"/>
  </w:num>
  <w:num w:numId="12">
    <w:abstractNumId w:val="8"/>
  </w:num>
  <w:num w:numId="13">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56"/>
    <w:rsid w:val="00024552"/>
    <w:rsid w:val="00026303"/>
    <w:rsid w:val="00036C1C"/>
    <w:rsid w:val="00051D55"/>
    <w:rsid w:val="00055F4D"/>
    <w:rsid w:val="0007049C"/>
    <w:rsid w:val="00095D0C"/>
    <w:rsid w:val="00097047"/>
    <w:rsid w:val="000B0C05"/>
    <w:rsid w:val="000B5CE5"/>
    <w:rsid w:val="000E2595"/>
    <w:rsid w:val="001604BF"/>
    <w:rsid w:val="001D7A83"/>
    <w:rsid w:val="002524ED"/>
    <w:rsid w:val="002C55D3"/>
    <w:rsid w:val="003337FC"/>
    <w:rsid w:val="0034509D"/>
    <w:rsid w:val="003527A7"/>
    <w:rsid w:val="00372F49"/>
    <w:rsid w:val="00393492"/>
    <w:rsid w:val="003B49D9"/>
    <w:rsid w:val="003E1E14"/>
    <w:rsid w:val="004105A8"/>
    <w:rsid w:val="004509F0"/>
    <w:rsid w:val="00473F75"/>
    <w:rsid w:val="00474D98"/>
    <w:rsid w:val="004A680C"/>
    <w:rsid w:val="00517A29"/>
    <w:rsid w:val="00547156"/>
    <w:rsid w:val="00552B0B"/>
    <w:rsid w:val="005553B6"/>
    <w:rsid w:val="005C125D"/>
    <w:rsid w:val="005C7458"/>
    <w:rsid w:val="00627557"/>
    <w:rsid w:val="006344A0"/>
    <w:rsid w:val="006749B0"/>
    <w:rsid w:val="0069630B"/>
    <w:rsid w:val="006C5924"/>
    <w:rsid w:val="006D5817"/>
    <w:rsid w:val="006E388C"/>
    <w:rsid w:val="00760D5D"/>
    <w:rsid w:val="007C105E"/>
    <w:rsid w:val="007F51D0"/>
    <w:rsid w:val="00837B4F"/>
    <w:rsid w:val="00840053"/>
    <w:rsid w:val="00841DDC"/>
    <w:rsid w:val="008C7067"/>
    <w:rsid w:val="008E3924"/>
    <w:rsid w:val="008F06B2"/>
    <w:rsid w:val="00936B0D"/>
    <w:rsid w:val="00937759"/>
    <w:rsid w:val="009452AD"/>
    <w:rsid w:val="00955D1D"/>
    <w:rsid w:val="0098688B"/>
    <w:rsid w:val="00991069"/>
    <w:rsid w:val="00A252ED"/>
    <w:rsid w:val="00A673A2"/>
    <w:rsid w:val="00AC7243"/>
    <w:rsid w:val="00AE6CFF"/>
    <w:rsid w:val="00B24EDA"/>
    <w:rsid w:val="00B30180"/>
    <w:rsid w:val="00B34214"/>
    <w:rsid w:val="00B9001F"/>
    <w:rsid w:val="00B94AF5"/>
    <w:rsid w:val="00B94E38"/>
    <w:rsid w:val="00BB6732"/>
    <w:rsid w:val="00BB76E5"/>
    <w:rsid w:val="00BC0E9F"/>
    <w:rsid w:val="00BD23EB"/>
    <w:rsid w:val="00C01D13"/>
    <w:rsid w:val="00C1573E"/>
    <w:rsid w:val="00C6300B"/>
    <w:rsid w:val="00C74518"/>
    <w:rsid w:val="00CB4561"/>
    <w:rsid w:val="00CC2590"/>
    <w:rsid w:val="00D0727B"/>
    <w:rsid w:val="00D23669"/>
    <w:rsid w:val="00D472DE"/>
    <w:rsid w:val="00DE45BD"/>
    <w:rsid w:val="00E8076F"/>
    <w:rsid w:val="00ED6185"/>
    <w:rsid w:val="00F04378"/>
    <w:rsid w:val="00F06517"/>
    <w:rsid w:val="00F844AB"/>
    <w:rsid w:val="00FB6CDB"/>
    <w:rsid w:val="00FC1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56"/>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5471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156"/>
    <w:rPr>
      <w:rFonts w:ascii="Times New Roman" w:eastAsia="Times New Roman" w:hAnsi="Times New Roman" w:cs="Times New Roman"/>
      <w:b/>
      <w:bCs/>
      <w:sz w:val="24"/>
      <w:szCs w:val="24"/>
    </w:rPr>
  </w:style>
  <w:style w:type="character" w:styleId="FootnoteReference">
    <w:name w:val="footnote reference"/>
    <w:uiPriority w:val="99"/>
    <w:qFormat/>
    <w:rsid w:val="00547156"/>
  </w:style>
  <w:style w:type="paragraph" w:styleId="BodyTextIndent">
    <w:name w:val="Body Text Indent"/>
    <w:basedOn w:val="Normal"/>
    <w:link w:val="BodyTextIndentChar"/>
    <w:rsid w:val="00547156"/>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547156"/>
    <w:rPr>
      <w:rFonts w:ascii="Baskerville Old Face" w:eastAsia="Times New Roman" w:hAnsi="Baskerville Old Face" w:cs="Times New Roman"/>
      <w:sz w:val="24"/>
      <w:szCs w:val="24"/>
    </w:rPr>
  </w:style>
  <w:style w:type="table" w:styleId="TableGrid">
    <w:name w:val="Table Grid"/>
    <w:basedOn w:val="TableNormal"/>
    <w:rsid w:val="00547156"/>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547156"/>
    <w:rPr>
      <w:szCs w:val="20"/>
    </w:rPr>
  </w:style>
  <w:style w:type="character" w:customStyle="1" w:styleId="FootnoteTextChar">
    <w:name w:val="Footnote Text Char"/>
    <w:basedOn w:val="DefaultParagraphFont"/>
    <w:link w:val="FootnoteText"/>
    <w:uiPriority w:val="99"/>
    <w:rsid w:val="00547156"/>
    <w:rPr>
      <w:rFonts w:ascii="Times New Roman" w:eastAsia="Times New Roman" w:hAnsi="Times New Roman" w:cs="Times New Roman"/>
      <w:sz w:val="20"/>
      <w:szCs w:val="20"/>
    </w:rPr>
  </w:style>
  <w:style w:type="paragraph" w:styleId="EndnoteText">
    <w:name w:val="endnote text"/>
    <w:basedOn w:val="Normal"/>
    <w:link w:val="EndnoteTextChar"/>
    <w:rsid w:val="00547156"/>
    <w:rPr>
      <w:szCs w:val="20"/>
    </w:rPr>
  </w:style>
  <w:style w:type="character" w:customStyle="1" w:styleId="EndnoteTextChar">
    <w:name w:val="Endnote Text Char"/>
    <w:basedOn w:val="DefaultParagraphFont"/>
    <w:link w:val="EndnoteText"/>
    <w:rsid w:val="00547156"/>
    <w:rPr>
      <w:rFonts w:ascii="Times New Roman" w:eastAsia="Times New Roman" w:hAnsi="Times New Roman" w:cs="Times New Roman"/>
      <w:sz w:val="20"/>
      <w:szCs w:val="20"/>
    </w:rPr>
  </w:style>
  <w:style w:type="character" w:styleId="EndnoteReference">
    <w:name w:val="endnote reference"/>
    <w:rsid w:val="00547156"/>
    <w:rPr>
      <w:vertAlign w:val="superscript"/>
    </w:rPr>
  </w:style>
  <w:style w:type="character" w:styleId="CommentReference">
    <w:name w:val="annotation reference"/>
    <w:uiPriority w:val="99"/>
    <w:rsid w:val="00547156"/>
    <w:rPr>
      <w:sz w:val="16"/>
      <w:szCs w:val="16"/>
    </w:rPr>
  </w:style>
  <w:style w:type="paragraph" w:styleId="CommentText">
    <w:name w:val="annotation text"/>
    <w:basedOn w:val="Normal"/>
    <w:link w:val="CommentTextChar"/>
    <w:rsid w:val="00547156"/>
    <w:rPr>
      <w:szCs w:val="20"/>
    </w:rPr>
  </w:style>
  <w:style w:type="character" w:customStyle="1" w:styleId="CommentTextChar">
    <w:name w:val="Comment Text Char"/>
    <w:basedOn w:val="DefaultParagraphFont"/>
    <w:link w:val="CommentText"/>
    <w:rsid w:val="00547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7156"/>
    <w:rPr>
      <w:b/>
      <w:bCs/>
    </w:rPr>
  </w:style>
  <w:style w:type="character" w:customStyle="1" w:styleId="CommentSubjectChar">
    <w:name w:val="Comment Subject Char"/>
    <w:basedOn w:val="CommentTextChar"/>
    <w:link w:val="CommentSubject"/>
    <w:rsid w:val="00547156"/>
    <w:rPr>
      <w:rFonts w:ascii="Times New Roman" w:eastAsia="Times New Roman" w:hAnsi="Times New Roman" w:cs="Times New Roman"/>
      <w:b/>
      <w:bCs/>
      <w:sz w:val="20"/>
      <w:szCs w:val="20"/>
    </w:rPr>
  </w:style>
  <w:style w:type="paragraph" w:styleId="BalloonText">
    <w:name w:val="Balloon Text"/>
    <w:basedOn w:val="Normal"/>
    <w:link w:val="BalloonTextChar"/>
    <w:rsid w:val="00547156"/>
    <w:rPr>
      <w:rFonts w:ascii="Tahoma" w:hAnsi="Tahoma"/>
      <w:sz w:val="16"/>
      <w:szCs w:val="16"/>
    </w:rPr>
  </w:style>
  <w:style w:type="character" w:customStyle="1" w:styleId="BalloonTextChar">
    <w:name w:val="Balloon Text Char"/>
    <w:basedOn w:val="DefaultParagraphFont"/>
    <w:link w:val="BalloonText"/>
    <w:rsid w:val="00547156"/>
    <w:rPr>
      <w:rFonts w:ascii="Tahoma" w:eastAsia="Times New Roman" w:hAnsi="Tahoma" w:cs="Times New Roman"/>
      <w:sz w:val="16"/>
      <w:szCs w:val="16"/>
    </w:rPr>
  </w:style>
  <w:style w:type="character" w:styleId="Hyperlink">
    <w:name w:val="Hyperlink"/>
    <w:rsid w:val="00547156"/>
    <w:rPr>
      <w:color w:val="0000FF"/>
      <w:u w:val="single"/>
    </w:rPr>
  </w:style>
  <w:style w:type="paragraph" w:customStyle="1" w:styleId="Bibliography1">
    <w:name w:val="Bibliography1"/>
    <w:basedOn w:val="Normal"/>
    <w:next w:val="Normal"/>
    <w:rsid w:val="00547156"/>
    <w:pPr>
      <w:spacing w:after="240"/>
    </w:pPr>
  </w:style>
  <w:style w:type="paragraph" w:customStyle="1" w:styleId="text">
    <w:name w:val="text"/>
    <w:basedOn w:val="Normal"/>
    <w:rsid w:val="00547156"/>
    <w:pPr>
      <w:widowControl/>
      <w:adjustRightInd/>
      <w:ind w:firstLine="360"/>
    </w:pPr>
    <w:rPr>
      <w:rFonts w:ascii="Arial" w:hAnsi="Arial" w:cs="Arial"/>
      <w:sz w:val="22"/>
      <w:szCs w:val="22"/>
    </w:rPr>
  </w:style>
  <w:style w:type="paragraph" w:customStyle="1" w:styleId="BodyText1">
    <w:name w:val="Body Text1"/>
    <w:basedOn w:val="Normal"/>
    <w:rsid w:val="00547156"/>
    <w:pPr>
      <w:widowControl/>
      <w:autoSpaceDE/>
      <w:autoSpaceDN/>
      <w:adjustRightInd/>
      <w:spacing w:after="240" w:line="320" w:lineRule="exact"/>
      <w:ind w:firstLine="720"/>
    </w:pPr>
    <w:rPr>
      <w:sz w:val="22"/>
      <w:szCs w:val="20"/>
    </w:rPr>
  </w:style>
  <w:style w:type="paragraph" w:customStyle="1" w:styleId="ExhibitTitle">
    <w:name w:val="Exhibit Title"/>
    <w:link w:val="ExhibitTitleChar"/>
    <w:qFormat/>
    <w:rsid w:val="00547156"/>
    <w:pPr>
      <w:keepNext/>
      <w:keepLines/>
      <w:spacing w:before="240" w:beforeAutospacing="0" w:after="60" w:afterAutospacing="0" w:line="260" w:lineRule="exact"/>
      <w:ind w:left="1627" w:hanging="1627"/>
    </w:pPr>
    <w:rPr>
      <w:rFonts w:ascii="Arial Black" w:eastAsia="Times New Roman" w:hAnsi="Arial Black" w:cs="Times New Roman"/>
      <w:snapToGrid w:val="0"/>
      <w:color w:val="0A357E"/>
      <w:szCs w:val="20"/>
    </w:rPr>
  </w:style>
  <w:style w:type="paragraph" w:customStyle="1" w:styleId="TableHeaders">
    <w:name w:val="Table Headers"/>
    <w:basedOn w:val="Normal"/>
    <w:rsid w:val="00547156"/>
    <w:pPr>
      <w:keepNext/>
      <w:widowControl/>
      <w:autoSpaceDE/>
      <w:autoSpaceDN/>
      <w:adjustRightInd/>
      <w:spacing w:before="80" w:after="80" w:line="240" w:lineRule="exact"/>
      <w:jc w:val="center"/>
    </w:pPr>
    <w:rPr>
      <w:rFonts w:ascii="Arial" w:hAnsi="Arial"/>
      <w:b/>
      <w:snapToGrid w:val="0"/>
      <w:color w:val="FFFFFF"/>
      <w:szCs w:val="20"/>
    </w:rPr>
  </w:style>
  <w:style w:type="paragraph" w:customStyle="1" w:styleId="Tabletext">
    <w:name w:val="Table text"/>
    <w:qFormat/>
    <w:rsid w:val="00547156"/>
    <w:pPr>
      <w:spacing w:before="40" w:beforeAutospacing="0" w:after="40" w:afterAutospacing="0" w:line="240" w:lineRule="auto"/>
    </w:pPr>
    <w:rPr>
      <w:rFonts w:ascii="Arial" w:eastAsia="Times New Roman" w:hAnsi="Arial" w:cs="Times New Roman"/>
      <w:sz w:val="20"/>
      <w:szCs w:val="20"/>
    </w:rPr>
  </w:style>
  <w:style w:type="character" w:customStyle="1" w:styleId="skypepnhprintcontainer1357174616">
    <w:name w:val="skype_pnh_print_container_1357174616"/>
    <w:basedOn w:val="DefaultParagraphFont"/>
    <w:rsid w:val="00547156"/>
  </w:style>
  <w:style w:type="character" w:customStyle="1" w:styleId="ExhibitTitleChar">
    <w:name w:val="Exhibit Title Char"/>
    <w:link w:val="ExhibitTitle"/>
    <w:locked/>
    <w:rsid w:val="00547156"/>
    <w:rPr>
      <w:rFonts w:ascii="Arial Black" w:eastAsia="Times New Roman" w:hAnsi="Arial Black" w:cs="Times New Roman"/>
      <w:snapToGrid w:val="0"/>
      <w:color w:val="0A357E"/>
      <w:szCs w:val="20"/>
    </w:rPr>
  </w:style>
  <w:style w:type="character" w:customStyle="1" w:styleId="Footer1">
    <w:name w:val="Footer1"/>
    <w:rsid w:val="00547156"/>
  </w:style>
  <w:style w:type="paragraph" w:styleId="BodyText">
    <w:name w:val="Body Text"/>
    <w:basedOn w:val="Normal"/>
    <w:link w:val="BodyTextChar"/>
    <w:rsid w:val="00547156"/>
    <w:pPr>
      <w:spacing w:after="120"/>
    </w:pPr>
  </w:style>
  <w:style w:type="character" w:customStyle="1" w:styleId="BodyTextChar">
    <w:name w:val="Body Text Char"/>
    <w:basedOn w:val="DefaultParagraphFont"/>
    <w:link w:val="BodyText"/>
    <w:rsid w:val="00547156"/>
    <w:rPr>
      <w:rFonts w:ascii="Times New Roman" w:eastAsia="Times New Roman" w:hAnsi="Times New Roman" w:cs="Times New Roman"/>
      <w:sz w:val="20"/>
      <w:szCs w:val="24"/>
    </w:rPr>
  </w:style>
  <w:style w:type="table" w:styleId="MediumGrid2-Accent2">
    <w:name w:val="Medium Grid 2 Accent 2"/>
    <w:basedOn w:val="TableNormal"/>
    <w:rsid w:val="00547156"/>
    <w:pPr>
      <w:spacing w:before="0" w:beforeAutospacing="0" w:after="0" w:afterAutospacing="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Header">
    <w:name w:val="header"/>
    <w:basedOn w:val="Normal"/>
    <w:link w:val="HeaderChar"/>
    <w:uiPriority w:val="99"/>
    <w:rsid w:val="00547156"/>
    <w:pPr>
      <w:tabs>
        <w:tab w:val="center" w:pos="4680"/>
        <w:tab w:val="right" w:pos="9360"/>
      </w:tabs>
    </w:pPr>
  </w:style>
  <w:style w:type="character" w:customStyle="1" w:styleId="HeaderChar">
    <w:name w:val="Header Char"/>
    <w:basedOn w:val="DefaultParagraphFont"/>
    <w:link w:val="Header"/>
    <w:uiPriority w:val="99"/>
    <w:rsid w:val="00547156"/>
    <w:rPr>
      <w:rFonts w:ascii="Times New Roman" w:eastAsia="Times New Roman" w:hAnsi="Times New Roman" w:cs="Times New Roman"/>
      <w:sz w:val="20"/>
      <w:szCs w:val="24"/>
    </w:rPr>
  </w:style>
  <w:style w:type="paragraph" w:styleId="Footer">
    <w:name w:val="footer"/>
    <w:basedOn w:val="Normal"/>
    <w:link w:val="FooterChar"/>
    <w:uiPriority w:val="99"/>
    <w:rsid w:val="00547156"/>
    <w:pPr>
      <w:tabs>
        <w:tab w:val="center" w:pos="4680"/>
        <w:tab w:val="right" w:pos="9360"/>
      </w:tabs>
    </w:pPr>
  </w:style>
  <w:style w:type="character" w:customStyle="1" w:styleId="FooterChar">
    <w:name w:val="Footer Char"/>
    <w:basedOn w:val="DefaultParagraphFont"/>
    <w:link w:val="Footer"/>
    <w:uiPriority w:val="99"/>
    <w:rsid w:val="00547156"/>
    <w:rPr>
      <w:rFonts w:ascii="Times New Roman" w:eastAsia="Times New Roman" w:hAnsi="Times New Roman" w:cs="Times New Roman"/>
      <w:sz w:val="20"/>
      <w:szCs w:val="24"/>
    </w:rPr>
  </w:style>
  <w:style w:type="paragraph" w:customStyle="1" w:styleId="Default">
    <w:name w:val="Default"/>
    <w:rsid w:val="00547156"/>
    <w:pPr>
      <w:autoSpaceDE w:val="0"/>
      <w:autoSpaceDN w:val="0"/>
      <w:adjustRightInd w:val="0"/>
      <w:spacing w:before="0" w:beforeAutospacing="0" w:after="0" w:afterAutospacing="0" w:line="240" w:lineRule="auto"/>
    </w:pPr>
    <w:rPr>
      <w:rFonts w:ascii="Times New Roman" w:eastAsia="Times New Roman" w:hAnsi="Times New Roman" w:cs="Times New Roman"/>
      <w:color w:val="000000"/>
      <w:sz w:val="24"/>
      <w:szCs w:val="24"/>
    </w:rPr>
  </w:style>
  <w:style w:type="character" w:customStyle="1" w:styleId="slug-vol">
    <w:name w:val="slug-vol"/>
    <w:basedOn w:val="DefaultParagraphFont"/>
    <w:rsid w:val="00547156"/>
  </w:style>
  <w:style w:type="character" w:customStyle="1" w:styleId="slug-issue">
    <w:name w:val="slug-issue"/>
    <w:basedOn w:val="DefaultParagraphFont"/>
    <w:rsid w:val="00547156"/>
  </w:style>
  <w:style w:type="paragraph" w:customStyle="1" w:styleId="AbtHeadA">
    <w:name w:val="AbtHead A"/>
    <w:basedOn w:val="Normal"/>
    <w:next w:val="BodyText"/>
    <w:rsid w:val="00547156"/>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character" w:customStyle="1" w:styleId="biblioChar">
    <w:name w:val="biblio Char"/>
    <w:link w:val="biblio"/>
    <w:locked/>
    <w:rsid w:val="00026303"/>
    <w:rPr>
      <w:sz w:val="24"/>
      <w:szCs w:val="24"/>
      <w:lang w:val="x-none" w:eastAsia="x-none"/>
    </w:rPr>
  </w:style>
  <w:style w:type="paragraph" w:customStyle="1" w:styleId="biblio">
    <w:name w:val="biblio"/>
    <w:basedOn w:val="Normal"/>
    <w:link w:val="biblioChar"/>
    <w:rsid w:val="00026303"/>
    <w:pPr>
      <w:widowControl/>
      <w:numPr>
        <w:numId w:val="13"/>
      </w:numPr>
      <w:autoSpaceDE/>
      <w:autoSpaceDN/>
      <w:adjustRightInd/>
      <w:spacing w:after="240"/>
    </w:pPr>
    <w:rPr>
      <w:rFonts w:asciiTheme="minorHAnsi" w:eastAsiaTheme="minorHAnsi" w:hAnsiTheme="minorHAnsi" w:cstheme="minorBidi"/>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56"/>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5471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156"/>
    <w:rPr>
      <w:rFonts w:ascii="Times New Roman" w:eastAsia="Times New Roman" w:hAnsi="Times New Roman" w:cs="Times New Roman"/>
      <w:b/>
      <w:bCs/>
      <w:sz w:val="24"/>
      <w:szCs w:val="24"/>
    </w:rPr>
  </w:style>
  <w:style w:type="character" w:styleId="FootnoteReference">
    <w:name w:val="footnote reference"/>
    <w:uiPriority w:val="99"/>
    <w:qFormat/>
    <w:rsid w:val="00547156"/>
  </w:style>
  <w:style w:type="paragraph" w:styleId="BodyTextIndent">
    <w:name w:val="Body Text Indent"/>
    <w:basedOn w:val="Normal"/>
    <w:link w:val="BodyTextIndentChar"/>
    <w:rsid w:val="00547156"/>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547156"/>
    <w:rPr>
      <w:rFonts w:ascii="Baskerville Old Face" w:eastAsia="Times New Roman" w:hAnsi="Baskerville Old Face" w:cs="Times New Roman"/>
      <w:sz w:val="24"/>
      <w:szCs w:val="24"/>
    </w:rPr>
  </w:style>
  <w:style w:type="table" w:styleId="TableGrid">
    <w:name w:val="Table Grid"/>
    <w:basedOn w:val="TableNormal"/>
    <w:rsid w:val="00547156"/>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547156"/>
    <w:rPr>
      <w:szCs w:val="20"/>
    </w:rPr>
  </w:style>
  <w:style w:type="character" w:customStyle="1" w:styleId="FootnoteTextChar">
    <w:name w:val="Footnote Text Char"/>
    <w:basedOn w:val="DefaultParagraphFont"/>
    <w:link w:val="FootnoteText"/>
    <w:uiPriority w:val="99"/>
    <w:rsid w:val="00547156"/>
    <w:rPr>
      <w:rFonts w:ascii="Times New Roman" w:eastAsia="Times New Roman" w:hAnsi="Times New Roman" w:cs="Times New Roman"/>
      <w:sz w:val="20"/>
      <w:szCs w:val="20"/>
    </w:rPr>
  </w:style>
  <w:style w:type="paragraph" w:styleId="EndnoteText">
    <w:name w:val="endnote text"/>
    <w:basedOn w:val="Normal"/>
    <w:link w:val="EndnoteTextChar"/>
    <w:rsid w:val="00547156"/>
    <w:rPr>
      <w:szCs w:val="20"/>
    </w:rPr>
  </w:style>
  <w:style w:type="character" w:customStyle="1" w:styleId="EndnoteTextChar">
    <w:name w:val="Endnote Text Char"/>
    <w:basedOn w:val="DefaultParagraphFont"/>
    <w:link w:val="EndnoteText"/>
    <w:rsid w:val="00547156"/>
    <w:rPr>
      <w:rFonts w:ascii="Times New Roman" w:eastAsia="Times New Roman" w:hAnsi="Times New Roman" w:cs="Times New Roman"/>
      <w:sz w:val="20"/>
      <w:szCs w:val="20"/>
    </w:rPr>
  </w:style>
  <w:style w:type="character" w:styleId="EndnoteReference">
    <w:name w:val="endnote reference"/>
    <w:rsid w:val="00547156"/>
    <w:rPr>
      <w:vertAlign w:val="superscript"/>
    </w:rPr>
  </w:style>
  <w:style w:type="character" w:styleId="CommentReference">
    <w:name w:val="annotation reference"/>
    <w:uiPriority w:val="99"/>
    <w:rsid w:val="00547156"/>
    <w:rPr>
      <w:sz w:val="16"/>
      <w:szCs w:val="16"/>
    </w:rPr>
  </w:style>
  <w:style w:type="paragraph" w:styleId="CommentText">
    <w:name w:val="annotation text"/>
    <w:basedOn w:val="Normal"/>
    <w:link w:val="CommentTextChar"/>
    <w:rsid w:val="00547156"/>
    <w:rPr>
      <w:szCs w:val="20"/>
    </w:rPr>
  </w:style>
  <w:style w:type="character" w:customStyle="1" w:styleId="CommentTextChar">
    <w:name w:val="Comment Text Char"/>
    <w:basedOn w:val="DefaultParagraphFont"/>
    <w:link w:val="CommentText"/>
    <w:rsid w:val="00547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7156"/>
    <w:rPr>
      <w:b/>
      <w:bCs/>
    </w:rPr>
  </w:style>
  <w:style w:type="character" w:customStyle="1" w:styleId="CommentSubjectChar">
    <w:name w:val="Comment Subject Char"/>
    <w:basedOn w:val="CommentTextChar"/>
    <w:link w:val="CommentSubject"/>
    <w:rsid w:val="00547156"/>
    <w:rPr>
      <w:rFonts w:ascii="Times New Roman" w:eastAsia="Times New Roman" w:hAnsi="Times New Roman" w:cs="Times New Roman"/>
      <w:b/>
      <w:bCs/>
      <w:sz w:val="20"/>
      <w:szCs w:val="20"/>
    </w:rPr>
  </w:style>
  <w:style w:type="paragraph" w:styleId="BalloonText">
    <w:name w:val="Balloon Text"/>
    <w:basedOn w:val="Normal"/>
    <w:link w:val="BalloonTextChar"/>
    <w:rsid w:val="00547156"/>
    <w:rPr>
      <w:rFonts w:ascii="Tahoma" w:hAnsi="Tahoma"/>
      <w:sz w:val="16"/>
      <w:szCs w:val="16"/>
    </w:rPr>
  </w:style>
  <w:style w:type="character" w:customStyle="1" w:styleId="BalloonTextChar">
    <w:name w:val="Balloon Text Char"/>
    <w:basedOn w:val="DefaultParagraphFont"/>
    <w:link w:val="BalloonText"/>
    <w:rsid w:val="00547156"/>
    <w:rPr>
      <w:rFonts w:ascii="Tahoma" w:eastAsia="Times New Roman" w:hAnsi="Tahoma" w:cs="Times New Roman"/>
      <w:sz w:val="16"/>
      <w:szCs w:val="16"/>
    </w:rPr>
  </w:style>
  <w:style w:type="character" w:styleId="Hyperlink">
    <w:name w:val="Hyperlink"/>
    <w:rsid w:val="00547156"/>
    <w:rPr>
      <w:color w:val="0000FF"/>
      <w:u w:val="single"/>
    </w:rPr>
  </w:style>
  <w:style w:type="paragraph" w:customStyle="1" w:styleId="Bibliography1">
    <w:name w:val="Bibliography1"/>
    <w:basedOn w:val="Normal"/>
    <w:next w:val="Normal"/>
    <w:rsid w:val="00547156"/>
    <w:pPr>
      <w:spacing w:after="240"/>
    </w:pPr>
  </w:style>
  <w:style w:type="paragraph" w:customStyle="1" w:styleId="text">
    <w:name w:val="text"/>
    <w:basedOn w:val="Normal"/>
    <w:rsid w:val="00547156"/>
    <w:pPr>
      <w:widowControl/>
      <w:adjustRightInd/>
      <w:ind w:firstLine="360"/>
    </w:pPr>
    <w:rPr>
      <w:rFonts w:ascii="Arial" w:hAnsi="Arial" w:cs="Arial"/>
      <w:sz w:val="22"/>
      <w:szCs w:val="22"/>
    </w:rPr>
  </w:style>
  <w:style w:type="paragraph" w:customStyle="1" w:styleId="BodyText1">
    <w:name w:val="Body Text1"/>
    <w:basedOn w:val="Normal"/>
    <w:rsid w:val="00547156"/>
    <w:pPr>
      <w:widowControl/>
      <w:autoSpaceDE/>
      <w:autoSpaceDN/>
      <w:adjustRightInd/>
      <w:spacing w:after="240" w:line="320" w:lineRule="exact"/>
      <w:ind w:firstLine="720"/>
    </w:pPr>
    <w:rPr>
      <w:sz w:val="22"/>
      <w:szCs w:val="20"/>
    </w:rPr>
  </w:style>
  <w:style w:type="paragraph" w:customStyle="1" w:styleId="ExhibitTitle">
    <w:name w:val="Exhibit Title"/>
    <w:link w:val="ExhibitTitleChar"/>
    <w:qFormat/>
    <w:rsid w:val="00547156"/>
    <w:pPr>
      <w:keepNext/>
      <w:keepLines/>
      <w:spacing w:before="240" w:beforeAutospacing="0" w:after="60" w:afterAutospacing="0" w:line="260" w:lineRule="exact"/>
      <w:ind w:left="1627" w:hanging="1627"/>
    </w:pPr>
    <w:rPr>
      <w:rFonts w:ascii="Arial Black" w:eastAsia="Times New Roman" w:hAnsi="Arial Black" w:cs="Times New Roman"/>
      <w:snapToGrid w:val="0"/>
      <w:color w:val="0A357E"/>
      <w:szCs w:val="20"/>
    </w:rPr>
  </w:style>
  <w:style w:type="paragraph" w:customStyle="1" w:styleId="TableHeaders">
    <w:name w:val="Table Headers"/>
    <w:basedOn w:val="Normal"/>
    <w:rsid w:val="00547156"/>
    <w:pPr>
      <w:keepNext/>
      <w:widowControl/>
      <w:autoSpaceDE/>
      <w:autoSpaceDN/>
      <w:adjustRightInd/>
      <w:spacing w:before="80" w:after="80" w:line="240" w:lineRule="exact"/>
      <w:jc w:val="center"/>
    </w:pPr>
    <w:rPr>
      <w:rFonts w:ascii="Arial" w:hAnsi="Arial"/>
      <w:b/>
      <w:snapToGrid w:val="0"/>
      <w:color w:val="FFFFFF"/>
      <w:szCs w:val="20"/>
    </w:rPr>
  </w:style>
  <w:style w:type="paragraph" w:customStyle="1" w:styleId="Tabletext">
    <w:name w:val="Table text"/>
    <w:qFormat/>
    <w:rsid w:val="00547156"/>
    <w:pPr>
      <w:spacing w:before="40" w:beforeAutospacing="0" w:after="40" w:afterAutospacing="0" w:line="240" w:lineRule="auto"/>
    </w:pPr>
    <w:rPr>
      <w:rFonts w:ascii="Arial" w:eastAsia="Times New Roman" w:hAnsi="Arial" w:cs="Times New Roman"/>
      <w:sz w:val="20"/>
      <w:szCs w:val="20"/>
    </w:rPr>
  </w:style>
  <w:style w:type="character" w:customStyle="1" w:styleId="skypepnhprintcontainer1357174616">
    <w:name w:val="skype_pnh_print_container_1357174616"/>
    <w:basedOn w:val="DefaultParagraphFont"/>
    <w:rsid w:val="00547156"/>
  </w:style>
  <w:style w:type="character" w:customStyle="1" w:styleId="ExhibitTitleChar">
    <w:name w:val="Exhibit Title Char"/>
    <w:link w:val="ExhibitTitle"/>
    <w:locked/>
    <w:rsid w:val="00547156"/>
    <w:rPr>
      <w:rFonts w:ascii="Arial Black" w:eastAsia="Times New Roman" w:hAnsi="Arial Black" w:cs="Times New Roman"/>
      <w:snapToGrid w:val="0"/>
      <w:color w:val="0A357E"/>
      <w:szCs w:val="20"/>
    </w:rPr>
  </w:style>
  <w:style w:type="character" w:customStyle="1" w:styleId="Footer1">
    <w:name w:val="Footer1"/>
    <w:rsid w:val="00547156"/>
  </w:style>
  <w:style w:type="paragraph" w:styleId="BodyText">
    <w:name w:val="Body Text"/>
    <w:basedOn w:val="Normal"/>
    <w:link w:val="BodyTextChar"/>
    <w:rsid w:val="00547156"/>
    <w:pPr>
      <w:spacing w:after="120"/>
    </w:pPr>
  </w:style>
  <w:style w:type="character" w:customStyle="1" w:styleId="BodyTextChar">
    <w:name w:val="Body Text Char"/>
    <w:basedOn w:val="DefaultParagraphFont"/>
    <w:link w:val="BodyText"/>
    <w:rsid w:val="00547156"/>
    <w:rPr>
      <w:rFonts w:ascii="Times New Roman" w:eastAsia="Times New Roman" w:hAnsi="Times New Roman" w:cs="Times New Roman"/>
      <w:sz w:val="20"/>
      <w:szCs w:val="24"/>
    </w:rPr>
  </w:style>
  <w:style w:type="table" w:styleId="MediumGrid2-Accent2">
    <w:name w:val="Medium Grid 2 Accent 2"/>
    <w:basedOn w:val="TableNormal"/>
    <w:rsid w:val="00547156"/>
    <w:pPr>
      <w:spacing w:before="0" w:beforeAutospacing="0" w:after="0" w:afterAutospacing="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Header">
    <w:name w:val="header"/>
    <w:basedOn w:val="Normal"/>
    <w:link w:val="HeaderChar"/>
    <w:uiPriority w:val="99"/>
    <w:rsid w:val="00547156"/>
    <w:pPr>
      <w:tabs>
        <w:tab w:val="center" w:pos="4680"/>
        <w:tab w:val="right" w:pos="9360"/>
      </w:tabs>
    </w:pPr>
  </w:style>
  <w:style w:type="character" w:customStyle="1" w:styleId="HeaderChar">
    <w:name w:val="Header Char"/>
    <w:basedOn w:val="DefaultParagraphFont"/>
    <w:link w:val="Header"/>
    <w:uiPriority w:val="99"/>
    <w:rsid w:val="00547156"/>
    <w:rPr>
      <w:rFonts w:ascii="Times New Roman" w:eastAsia="Times New Roman" w:hAnsi="Times New Roman" w:cs="Times New Roman"/>
      <w:sz w:val="20"/>
      <w:szCs w:val="24"/>
    </w:rPr>
  </w:style>
  <w:style w:type="paragraph" w:styleId="Footer">
    <w:name w:val="footer"/>
    <w:basedOn w:val="Normal"/>
    <w:link w:val="FooterChar"/>
    <w:uiPriority w:val="99"/>
    <w:rsid w:val="00547156"/>
    <w:pPr>
      <w:tabs>
        <w:tab w:val="center" w:pos="4680"/>
        <w:tab w:val="right" w:pos="9360"/>
      </w:tabs>
    </w:pPr>
  </w:style>
  <w:style w:type="character" w:customStyle="1" w:styleId="FooterChar">
    <w:name w:val="Footer Char"/>
    <w:basedOn w:val="DefaultParagraphFont"/>
    <w:link w:val="Footer"/>
    <w:uiPriority w:val="99"/>
    <w:rsid w:val="00547156"/>
    <w:rPr>
      <w:rFonts w:ascii="Times New Roman" w:eastAsia="Times New Roman" w:hAnsi="Times New Roman" w:cs="Times New Roman"/>
      <w:sz w:val="20"/>
      <w:szCs w:val="24"/>
    </w:rPr>
  </w:style>
  <w:style w:type="paragraph" w:customStyle="1" w:styleId="Default">
    <w:name w:val="Default"/>
    <w:rsid w:val="00547156"/>
    <w:pPr>
      <w:autoSpaceDE w:val="0"/>
      <w:autoSpaceDN w:val="0"/>
      <w:adjustRightInd w:val="0"/>
      <w:spacing w:before="0" w:beforeAutospacing="0" w:after="0" w:afterAutospacing="0" w:line="240" w:lineRule="auto"/>
    </w:pPr>
    <w:rPr>
      <w:rFonts w:ascii="Times New Roman" w:eastAsia="Times New Roman" w:hAnsi="Times New Roman" w:cs="Times New Roman"/>
      <w:color w:val="000000"/>
      <w:sz w:val="24"/>
      <w:szCs w:val="24"/>
    </w:rPr>
  </w:style>
  <w:style w:type="character" w:customStyle="1" w:styleId="slug-vol">
    <w:name w:val="slug-vol"/>
    <w:basedOn w:val="DefaultParagraphFont"/>
    <w:rsid w:val="00547156"/>
  </w:style>
  <w:style w:type="character" w:customStyle="1" w:styleId="slug-issue">
    <w:name w:val="slug-issue"/>
    <w:basedOn w:val="DefaultParagraphFont"/>
    <w:rsid w:val="00547156"/>
  </w:style>
  <w:style w:type="paragraph" w:customStyle="1" w:styleId="AbtHeadA">
    <w:name w:val="AbtHead A"/>
    <w:basedOn w:val="Normal"/>
    <w:next w:val="BodyText"/>
    <w:rsid w:val="00547156"/>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character" w:customStyle="1" w:styleId="biblioChar">
    <w:name w:val="biblio Char"/>
    <w:link w:val="biblio"/>
    <w:locked/>
    <w:rsid w:val="00026303"/>
    <w:rPr>
      <w:sz w:val="24"/>
      <w:szCs w:val="24"/>
      <w:lang w:val="x-none" w:eastAsia="x-none"/>
    </w:rPr>
  </w:style>
  <w:style w:type="paragraph" w:customStyle="1" w:styleId="biblio">
    <w:name w:val="biblio"/>
    <w:basedOn w:val="Normal"/>
    <w:link w:val="biblioChar"/>
    <w:rsid w:val="00026303"/>
    <w:pPr>
      <w:widowControl/>
      <w:numPr>
        <w:numId w:val="13"/>
      </w:numPr>
      <w:autoSpaceDE/>
      <w:autoSpaceDN/>
      <w:adjustRightInd/>
      <w:spacing w:after="240"/>
    </w:pPr>
    <w:rPr>
      <w:rFonts w:asciiTheme="minorHAnsi" w:eastAsiaTheme="minorHAnsi" w:hAnsiTheme="minorHAnsi" w:cstheme="minorBidi"/>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nnis@rti.org" TargetMode="External"/><Relationship Id="rId13" Type="http://schemas.openxmlformats.org/officeDocument/2006/relationships/hyperlink" Target="mailto:natalie@lyon-martin.org" TargetMode="External"/><Relationship Id="rId18" Type="http://schemas.openxmlformats.org/officeDocument/2006/relationships/hyperlink" Target="http://www.ncbi.nlm.nih.gov/pubmed/1274491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wn@lyon-martin.org" TargetMode="External"/><Relationship Id="rId17" Type="http://schemas.openxmlformats.org/officeDocument/2006/relationships/hyperlink" Target="http://www.ncbi.nlm.nih.gov/pubmed?term=Mays%20VM%5BAuthor%5D&amp;cauthor=true&amp;cauthor_uid=127449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Corliss%20HL%5BAuthor%5D&amp;cauthor=true&amp;cauthor_uid=1274491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ogers@rti.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cbi.nlm.nih.gov/pubmed?term=Cochran%20SD%5BAuthor%5D&amp;cauthor=true&amp;cauthor_uid=12744910" TargetMode="External"/><Relationship Id="rId23" Type="http://schemas.openxmlformats.org/officeDocument/2006/relationships/header" Target="header3.xml"/><Relationship Id="rId10" Type="http://schemas.openxmlformats.org/officeDocument/2006/relationships/hyperlink" Target="mailto:dcatellier@rti.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innis@rti.org" TargetMode="External"/><Relationship Id="rId14" Type="http://schemas.openxmlformats.org/officeDocument/2006/relationships/hyperlink" Target="http://www.ncbi.nlm.nih.gov/pubmed?term=Yancey%20AK%5BAuthor%5D&amp;cauthor=true&amp;cauthor_uid=1274491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Alexandra Minnis</cp:lastModifiedBy>
  <cp:revision>3</cp:revision>
  <dcterms:created xsi:type="dcterms:W3CDTF">2013-06-28T16:59:00Z</dcterms:created>
  <dcterms:modified xsi:type="dcterms:W3CDTF">2013-06-28T17:00:00Z</dcterms:modified>
</cp:coreProperties>
</file>