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51D" w:rsidRDefault="00BA151D" w:rsidP="00B25CE1">
      <w:pPr>
        <w:pStyle w:val="AbtHeadA"/>
        <w:spacing w:after="0" w:line="240" w:lineRule="auto"/>
        <w:ind w:left="720" w:hanging="720"/>
        <w:rPr>
          <w:rFonts w:ascii="Times New Roman" w:hAnsi="Times New Roman"/>
          <w:sz w:val="24"/>
          <w:szCs w:val="24"/>
        </w:rPr>
      </w:pPr>
      <w:r w:rsidRPr="00247B78">
        <w:rPr>
          <w:rFonts w:ascii="Times New Roman" w:hAnsi="Times New Roman"/>
          <w:sz w:val="24"/>
          <w:szCs w:val="24"/>
        </w:rPr>
        <w:t xml:space="preserve">  </w:t>
      </w:r>
      <w:r w:rsidRPr="00247B78">
        <w:rPr>
          <w:rFonts w:ascii="Times New Roman" w:hAnsi="Times New Roman"/>
          <w:sz w:val="24"/>
          <w:szCs w:val="24"/>
        </w:rPr>
        <w:tab/>
      </w:r>
      <w:r>
        <w:rPr>
          <w:rFonts w:ascii="Times New Roman" w:hAnsi="Times New Roman"/>
          <w:sz w:val="24"/>
          <w:szCs w:val="24"/>
        </w:rPr>
        <w:t xml:space="preserve">     </w:t>
      </w:r>
      <w:r w:rsidRPr="00247B78">
        <w:rPr>
          <w:rFonts w:ascii="Times New Roman" w:hAnsi="Times New Roman"/>
          <w:sz w:val="24"/>
          <w:szCs w:val="24"/>
        </w:rPr>
        <w:t>Supporting Statement for Paperwork Reduction Submission:</w:t>
      </w:r>
    </w:p>
    <w:p w:rsidR="00BA151D" w:rsidRDefault="00BA151D" w:rsidP="00B25CE1">
      <w:pPr>
        <w:pStyle w:val="AbtHeadA"/>
        <w:spacing w:after="0" w:line="240" w:lineRule="auto"/>
        <w:ind w:left="720" w:hanging="720"/>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ab/>
      </w:r>
      <w:r w:rsidRPr="00247B78">
        <w:rPr>
          <w:rFonts w:ascii="Times New Roman" w:hAnsi="Times New Roman"/>
          <w:sz w:val="24"/>
          <w:szCs w:val="24"/>
        </w:rPr>
        <w:t xml:space="preserve"> </w:t>
      </w:r>
      <w:r>
        <w:rPr>
          <w:rFonts w:ascii="Times New Roman" w:hAnsi="Times New Roman"/>
          <w:sz w:val="24"/>
          <w:szCs w:val="24"/>
        </w:rPr>
        <w:t xml:space="preserve">                    </w:t>
      </w:r>
      <w:r w:rsidRPr="00247B78">
        <w:rPr>
          <w:rFonts w:ascii="Times New Roman" w:hAnsi="Times New Roman"/>
          <w:i/>
          <w:sz w:val="24"/>
          <w:szCs w:val="24"/>
        </w:rPr>
        <w:t>Out Proud and Healthy Fitness Project</w:t>
      </w:r>
    </w:p>
    <w:p w:rsidR="00BA151D" w:rsidRPr="00B25CE1" w:rsidRDefault="00BA151D" w:rsidP="00B25CE1">
      <w:pPr>
        <w:pStyle w:val="BodyText"/>
      </w:pPr>
    </w:p>
    <w:p w:rsidR="00BA151D" w:rsidRPr="00247B78" w:rsidRDefault="00BA151D" w:rsidP="00B25CE1">
      <w:pPr>
        <w:pStyle w:val="AbtHeadB"/>
        <w:spacing w:after="0"/>
        <w:rPr>
          <w:rFonts w:ascii="Times New Roman" w:hAnsi="Times New Roman"/>
          <w:sz w:val="24"/>
          <w:szCs w:val="24"/>
        </w:rPr>
      </w:pPr>
      <w:bookmarkStart w:id="0" w:name="_Toc128543473"/>
      <w:bookmarkStart w:id="1" w:name="_Toc129770665"/>
      <w:r w:rsidRPr="00247B78">
        <w:rPr>
          <w:rFonts w:ascii="Times New Roman" w:hAnsi="Times New Roman"/>
          <w:sz w:val="24"/>
          <w:szCs w:val="24"/>
        </w:rPr>
        <w:t>A.1.</w:t>
      </w:r>
      <w:r w:rsidRPr="00247B78">
        <w:rPr>
          <w:rFonts w:ascii="Times New Roman" w:hAnsi="Times New Roman"/>
          <w:sz w:val="24"/>
          <w:szCs w:val="24"/>
        </w:rPr>
        <w:tab/>
        <w:t>Circumstances Requiring the Collection of Data</w:t>
      </w:r>
      <w:bookmarkEnd w:id="0"/>
      <w:bookmarkEnd w:id="1"/>
    </w:p>
    <w:p w:rsidR="00BA151D" w:rsidRPr="00F83B01" w:rsidRDefault="00BA151D" w:rsidP="00245F86">
      <w:pPr>
        <w:pStyle w:val="NormalWeb"/>
        <w:rPr>
          <w:rFonts w:eastAsia="Times New Roman"/>
        </w:rPr>
      </w:pPr>
      <w:r w:rsidRPr="00F83B01">
        <w:rPr>
          <w:rFonts w:eastAsia="Times New Roman"/>
        </w:rPr>
        <w:t>In April 2010, President Obama requested that the Department of Health and Human Services (HHS) identify opportunities to improve the health of lesbian, gay, bisexual, and transgender (LGBT) individuals. In response to this request, HHS Secretary Kathleen Sebelius initiated an LGBT Coordinating Committee, tasked with developing objectives and recommended actions to improve LGBT health and well-being. Additionally, in June 2011, Secretary Sebelius announced that HHS would increase its efforts to collect health data on LGBT populations to help identify and address health disparities affecting the LGBT population.</w:t>
      </w:r>
    </w:p>
    <w:p w:rsidR="00BA151D" w:rsidRPr="00F83B01" w:rsidRDefault="00BA151D" w:rsidP="00245F86">
      <w:pPr>
        <w:pStyle w:val="NormalWeb"/>
        <w:rPr>
          <w:rFonts w:eastAsia="Times New Roman"/>
        </w:rPr>
      </w:pPr>
      <w:r w:rsidRPr="00F83B01">
        <w:rPr>
          <w:rFonts w:eastAsia="Times New Roman"/>
        </w:rPr>
        <w:t>To respond to the LGBT Coordinating Committee and HHS’ goal of collecting health data on LGBT populations, HHS recently noted the objective to “identify and test effective and innovative ways of reducing obesity in lesbian and bisexual women”. The Office on Women’s Health (OWH) has contracted with five organizations across the United States to respond to this HHS objective; this information collection review (ICR) details one of the five studies and information collection approaches.</w:t>
      </w:r>
    </w:p>
    <w:p w:rsidR="00BA151D" w:rsidRPr="00F83B01" w:rsidRDefault="00BA151D" w:rsidP="00245F86">
      <w:pPr>
        <w:pStyle w:val="NormalWeb"/>
        <w:rPr>
          <w:rFonts w:eastAsia="Times New Roman"/>
        </w:rPr>
      </w:pPr>
      <w:r w:rsidRPr="00F83B01">
        <w:rPr>
          <w:rFonts w:eastAsia="Times New Roman"/>
        </w:rPr>
        <w:t>Maintaining a healthy weight lowers the risk of heart disease, stroke, diabetes, high blood pressure, various cancers, and early death, and improves quality of life. Yet despite these benefits, almost two-thirds of the women in the U.S. are of an unhealthy weight, and this proportion is even more staggering when looking specifically at lesbian and bisexual (LB) women. For example, studies have identified a higher rate of unhealthy weight among lesbian women (as compared with heterosexual or all women), with one study suggesting more than twice the likelihood of being an unhealthy weight. Unfortunately, there is limited information available on the potential causes of unhealthy weight in LB women, and few programs have been undertaken to improve the issue.</w:t>
      </w:r>
    </w:p>
    <w:p w:rsidR="00BA151D" w:rsidRDefault="00BA151D" w:rsidP="00E1277A">
      <w:pPr>
        <w:pStyle w:val="NormalWeb"/>
      </w:pPr>
      <w:r w:rsidRPr="00F83B01">
        <w:rPr>
          <w:rFonts w:eastAsia="Times New Roman"/>
        </w:rPr>
        <w:t>To respond to this health care issue in older LB women (and lack of related information), OWH</w:t>
      </w:r>
      <w:r>
        <w:rPr>
          <w:rFonts w:eastAsia="Times New Roman"/>
        </w:rPr>
        <w:t xml:space="preserve"> </w:t>
      </w:r>
      <w:r w:rsidRPr="00247B78">
        <w:t xml:space="preserve">is requesting approval for a new data collection on the </w:t>
      </w:r>
      <w:r>
        <w:t xml:space="preserve">effects </w:t>
      </w:r>
      <w:r w:rsidRPr="00247B78">
        <w:t xml:space="preserve">of a </w:t>
      </w:r>
      <w:r w:rsidRPr="005320E9">
        <w:t>randomized prevention study</w:t>
      </w:r>
      <w:r w:rsidRPr="00247B78">
        <w:t xml:space="preserve"> that promotes healthy weight in lesbian and bisexual (LB) women through group support programs and community approaches tailored to sexual minority women for its contractor NORC at the University of Chicago (NORC) and the University of Missouri – Columbia (MU).</w:t>
      </w:r>
      <w:r>
        <w:t xml:space="preserve"> The pilot inventions proposed by NORC and MU</w:t>
      </w:r>
      <w:r w:rsidRPr="00247B78">
        <w:t xml:space="preserve"> are culturally relevant to lesbian and bisexual women through having support groups for social support, addressing stress and its role in lifestyle choices, and providing a safe and welcoming environment for creating change. One intervention involves offering evidence-based personalized exercise routines with a focus on becoming healthier, a gym membership to eliminate any access barrier</w:t>
      </w:r>
      <w:r>
        <w:t>,</w:t>
      </w:r>
      <w:r w:rsidRPr="00247B78">
        <w:t xml:space="preserve"> and encouraging acceptable alternatives to unhealthy food and drink choices. </w:t>
      </w:r>
      <w:r>
        <w:t xml:space="preserve">Another </w:t>
      </w:r>
      <w:r w:rsidRPr="00247B78">
        <w:t>intervention involves providing a cost-effective tool, a smart pedometer, which has been designed to motivate users to increase physical activity through several strategies.</w:t>
      </w:r>
      <w:r>
        <w:t xml:space="preserve">  The final intervention group will receive health-education classes.  </w:t>
      </w:r>
      <w:r w:rsidRPr="00F83B01">
        <w:rPr>
          <w:rFonts w:eastAsia="Times New Roman"/>
        </w:rPr>
        <w:t xml:space="preserve">To measure the effects of the intervention, </w:t>
      </w:r>
      <w:r>
        <w:rPr>
          <w:rFonts w:eastAsia="Times New Roman"/>
        </w:rPr>
        <w:t>the</w:t>
      </w:r>
      <w:r>
        <w:t xml:space="preserve"> intervention groups will be followed over time, with an initial baseline assessment and a 4 and 12 month follow-up assessment </w:t>
      </w:r>
      <w:r w:rsidRPr="00F83B01">
        <w:rPr>
          <w:rFonts w:eastAsia="Times New Roman"/>
        </w:rPr>
        <w:t>(</w:t>
      </w:r>
      <w:r>
        <w:rPr>
          <w:rFonts w:eastAsia="Times New Roman"/>
        </w:rPr>
        <w:t>See Appendix A: Survey Instruments</w:t>
      </w:r>
      <w:r w:rsidRPr="00F83B01">
        <w:rPr>
          <w:rFonts w:eastAsia="Times New Roman"/>
        </w:rPr>
        <w:t>)</w:t>
      </w:r>
      <w:r>
        <w:rPr>
          <w:rFonts w:eastAsia="Times New Roman"/>
        </w:rPr>
        <w:t xml:space="preserve">. A study assessing improved weight and </w:t>
      </w:r>
      <w:r>
        <w:rPr>
          <w:rFonts w:eastAsia="Times New Roman"/>
        </w:rPr>
        <w:lastRenderedPageBreak/>
        <w:t xml:space="preserve">fitness to this extent has not been conducted before among LB women. This demonstration project will help add to the literature on health, weight, and fitness among LB women specifically. </w:t>
      </w:r>
      <w:r w:rsidR="00E1277A">
        <w:t>The cited law for this collection is Section 301 of the Public Health Service Act (42U.S.C.241).</w:t>
      </w:r>
    </w:p>
    <w:p w:rsidR="00BA151D" w:rsidRPr="00247B78" w:rsidRDefault="00BA151D" w:rsidP="00245F86">
      <w:pPr>
        <w:pStyle w:val="AbtHeadB"/>
        <w:rPr>
          <w:rFonts w:ascii="Times New Roman" w:hAnsi="Times New Roman"/>
          <w:sz w:val="24"/>
          <w:szCs w:val="24"/>
        </w:rPr>
      </w:pPr>
      <w:bookmarkStart w:id="2" w:name="_Toc128543474"/>
      <w:bookmarkStart w:id="3" w:name="_Toc129770666"/>
      <w:r w:rsidRPr="00247B78">
        <w:rPr>
          <w:rFonts w:ascii="Times New Roman" w:hAnsi="Times New Roman"/>
          <w:sz w:val="24"/>
          <w:szCs w:val="24"/>
        </w:rPr>
        <w:t>A.2.</w:t>
      </w:r>
      <w:r w:rsidRPr="00247B78">
        <w:rPr>
          <w:rFonts w:ascii="Times New Roman" w:hAnsi="Times New Roman"/>
          <w:sz w:val="24"/>
          <w:szCs w:val="24"/>
        </w:rPr>
        <w:tab/>
        <w:t>Purposes and Uses of the Data</w:t>
      </w:r>
      <w:bookmarkEnd w:id="2"/>
      <w:bookmarkEnd w:id="3"/>
    </w:p>
    <w:p w:rsidR="00BA151D" w:rsidRPr="00247B78" w:rsidRDefault="00BA151D" w:rsidP="00245F86">
      <w:pPr>
        <w:spacing w:line="240" w:lineRule="auto"/>
        <w:rPr>
          <w:sz w:val="24"/>
          <w:szCs w:val="24"/>
        </w:rPr>
      </w:pPr>
      <w:r w:rsidRPr="00247B78">
        <w:rPr>
          <w:sz w:val="24"/>
          <w:szCs w:val="24"/>
        </w:rPr>
        <w:t xml:space="preserve">Secretary of Health and Human Services Kathleen Sebelius established the Department-wide LGBT Issues Coordinating Committee </w:t>
      </w:r>
      <w:r>
        <w:rPr>
          <w:sz w:val="24"/>
          <w:szCs w:val="24"/>
        </w:rPr>
        <w:t>co-</w:t>
      </w:r>
      <w:r w:rsidRPr="00247B78">
        <w:rPr>
          <w:sz w:val="24"/>
          <w:szCs w:val="24"/>
        </w:rPr>
        <w:t xml:space="preserve">chaired by Assistant Secretary of Health and Human Services Dr. Howard </w:t>
      </w:r>
      <w:proofErr w:type="spellStart"/>
      <w:r w:rsidRPr="00247B78">
        <w:rPr>
          <w:sz w:val="24"/>
          <w:szCs w:val="24"/>
        </w:rPr>
        <w:t>Koh</w:t>
      </w:r>
      <w:proofErr w:type="spellEnd"/>
      <w:r>
        <w:rPr>
          <w:sz w:val="24"/>
          <w:szCs w:val="24"/>
        </w:rPr>
        <w:t xml:space="preserve">, </w:t>
      </w:r>
      <w:r w:rsidRPr="006430E6">
        <w:rPr>
          <w:sz w:val="24"/>
          <w:szCs w:val="24"/>
        </w:rPr>
        <w:t xml:space="preserve">Assistant Secretary for Aging Kathy Greenlee, and Deputy General Counsel Ken </w:t>
      </w:r>
      <w:proofErr w:type="spellStart"/>
      <w:r w:rsidRPr="006430E6">
        <w:rPr>
          <w:sz w:val="24"/>
          <w:szCs w:val="24"/>
        </w:rPr>
        <w:t>Choe</w:t>
      </w:r>
      <w:proofErr w:type="spellEnd"/>
      <w:r w:rsidRPr="00247B78">
        <w:rPr>
          <w:sz w:val="24"/>
          <w:szCs w:val="24"/>
        </w:rPr>
        <w:t xml:space="preserve"> to improve the health and well-being of lesbian, gay, bisexual, and transgender (“LGBT”) individuals and families. As part of this initiative, t</w:t>
      </w:r>
      <w:r w:rsidRPr="00247B78">
        <w:rPr>
          <w:bCs/>
          <w:sz w:val="24"/>
          <w:szCs w:val="24"/>
        </w:rPr>
        <w:t xml:space="preserve">he Office of Women’s Health (OWH) contracted with NORC </w:t>
      </w:r>
      <w:r w:rsidRPr="00247B78">
        <w:rPr>
          <w:sz w:val="24"/>
          <w:szCs w:val="24"/>
        </w:rPr>
        <w:t xml:space="preserve">and its subcontractor, the University of Missouri – Columbia (MU), </w:t>
      </w:r>
      <w:r w:rsidRPr="00247B78">
        <w:rPr>
          <w:bCs/>
          <w:sz w:val="24"/>
          <w:szCs w:val="24"/>
        </w:rPr>
        <w:t xml:space="preserve">to </w:t>
      </w:r>
      <w:r w:rsidRPr="00247B78">
        <w:rPr>
          <w:sz w:val="24"/>
          <w:szCs w:val="24"/>
        </w:rPr>
        <w:t xml:space="preserve">develop and pilot test interventions that promote healthy weight in lesbian and bisexual (LB) women through group support programs and community approaches tailored to sexual minority women as part of the contract, “Healthy Weight in Lesbian and Bisexual Women: Striving for a Healthy Community.” NORC </w:t>
      </w:r>
      <w:r>
        <w:rPr>
          <w:sz w:val="24"/>
          <w:szCs w:val="24"/>
        </w:rPr>
        <w:t xml:space="preserve">and MU </w:t>
      </w:r>
      <w:r w:rsidRPr="00247B78">
        <w:rPr>
          <w:sz w:val="24"/>
          <w:szCs w:val="24"/>
        </w:rPr>
        <w:t>ha</w:t>
      </w:r>
      <w:r>
        <w:rPr>
          <w:sz w:val="24"/>
          <w:szCs w:val="24"/>
        </w:rPr>
        <w:t>ve</w:t>
      </w:r>
      <w:r w:rsidRPr="00247B78">
        <w:rPr>
          <w:sz w:val="24"/>
          <w:szCs w:val="24"/>
        </w:rPr>
        <w:t xml:space="preserve"> developed a </w:t>
      </w:r>
      <w:r w:rsidRPr="005320E9">
        <w:rPr>
          <w:sz w:val="24"/>
          <w:szCs w:val="24"/>
        </w:rPr>
        <w:t>randomized prevention study</w:t>
      </w:r>
      <w:r w:rsidRPr="00247B78">
        <w:rPr>
          <w:sz w:val="24"/>
          <w:szCs w:val="24"/>
        </w:rPr>
        <w:t xml:space="preserve"> including a Full Gym Intervention Group, Smart Pedometer Intervention Group, and an Attention Control Group. Data will be collected at Baseline, Month 4 and Month 12 through direct assessments and surveys of the participants. </w:t>
      </w:r>
    </w:p>
    <w:p w:rsidR="00BA151D" w:rsidRPr="00247B78" w:rsidRDefault="00BA151D" w:rsidP="00245F86">
      <w:pPr>
        <w:spacing w:line="240" w:lineRule="auto"/>
        <w:rPr>
          <w:bCs/>
          <w:sz w:val="24"/>
          <w:szCs w:val="24"/>
        </w:rPr>
      </w:pPr>
    </w:p>
    <w:p w:rsidR="00BA151D" w:rsidRDefault="00BA151D" w:rsidP="00245F86">
      <w:pPr>
        <w:pStyle w:val="BodyText"/>
        <w:rPr>
          <w:sz w:val="24"/>
          <w:szCs w:val="24"/>
        </w:rPr>
      </w:pPr>
      <w:r>
        <w:rPr>
          <w:sz w:val="24"/>
          <w:szCs w:val="24"/>
        </w:rPr>
        <w:t>The project will aim to obtain the following primary and secondary SMART objectives:</w:t>
      </w:r>
    </w:p>
    <w:p w:rsidR="00BA151D" w:rsidRDefault="00BA151D" w:rsidP="00245F86">
      <w:pPr>
        <w:numPr>
          <w:ilvl w:val="0"/>
          <w:numId w:val="2"/>
        </w:numPr>
        <w:spacing w:line="240" w:lineRule="auto"/>
        <w:rPr>
          <w:b/>
          <w:sz w:val="24"/>
          <w:szCs w:val="24"/>
          <w:u w:val="single"/>
        </w:rPr>
      </w:pPr>
      <w:r>
        <w:rPr>
          <w:b/>
          <w:sz w:val="24"/>
          <w:szCs w:val="24"/>
          <w:u w:val="single"/>
        </w:rPr>
        <w:t xml:space="preserve">PRIMARY </w:t>
      </w:r>
    </w:p>
    <w:p w:rsidR="00BA151D" w:rsidRDefault="00BA151D" w:rsidP="00245F86">
      <w:pPr>
        <w:numPr>
          <w:ilvl w:val="0"/>
          <w:numId w:val="3"/>
        </w:numPr>
        <w:spacing w:line="240" w:lineRule="auto"/>
        <w:rPr>
          <w:sz w:val="24"/>
          <w:szCs w:val="24"/>
        </w:rPr>
      </w:pPr>
      <w:r>
        <w:rPr>
          <w:b/>
          <w:sz w:val="24"/>
          <w:szCs w:val="24"/>
        </w:rPr>
        <w:t>Weight Goal 1:  Reduction in BMI of LB women</w:t>
      </w:r>
      <w:r>
        <w:rPr>
          <w:sz w:val="24"/>
          <w:szCs w:val="24"/>
        </w:rPr>
        <w:t xml:space="preserve">  </w:t>
      </w:r>
    </w:p>
    <w:p w:rsidR="00BA151D" w:rsidRDefault="00BA151D" w:rsidP="00245F86">
      <w:pPr>
        <w:numPr>
          <w:ilvl w:val="1"/>
          <w:numId w:val="2"/>
        </w:numPr>
        <w:spacing w:line="240" w:lineRule="auto"/>
        <w:rPr>
          <w:sz w:val="24"/>
          <w:szCs w:val="24"/>
        </w:rPr>
      </w:pPr>
      <w:r>
        <w:rPr>
          <w:sz w:val="24"/>
          <w:szCs w:val="24"/>
        </w:rPr>
        <w:t xml:space="preserve">Objective 1.1:  The gym intervention group will have a 10% decrease in BMI from baseline to final evaluation (~12 months post baseline).  </w:t>
      </w:r>
    </w:p>
    <w:p w:rsidR="00BA151D" w:rsidRDefault="00BA151D" w:rsidP="00245F86">
      <w:pPr>
        <w:numPr>
          <w:ilvl w:val="1"/>
          <w:numId w:val="2"/>
        </w:numPr>
        <w:spacing w:line="240" w:lineRule="auto"/>
        <w:rPr>
          <w:sz w:val="24"/>
          <w:szCs w:val="24"/>
        </w:rPr>
      </w:pPr>
      <w:r>
        <w:rPr>
          <w:sz w:val="24"/>
          <w:szCs w:val="24"/>
        </w:rPr>
        <w:t xml:space="preserve">Objective 1.2:  The smart pedometer intervention group will have a 7% decrease in BMI from baseline to final evaluation (~12 months post baseline).                                                                                                                                                                                                                                                                                                        </w:t>
      </w:r>
    </w:p>
    <w:p w:rsidR="00BA151D" w:rsidRDefault="00BA151D" w:rsidP="00245F86">
      <w:pPr>
        <w:numPr>
          <w:ilvl w:val="0"/>
          <w:numId w:val="3"/>
        </w:numPr>
        <w:spacing w:line="240" w:lineRule="auto"/>
        <w:rPr>
          <w:b/>
          <w:sz w:val="24"/>
          <w:szCs w:val="24"/>
        </w:rPr>
      </w:pPr>
      <w:r>
        <w:rPr>
          <w:b/>
          <w:sz w:val="24"/>
          <w:szCs w:val="24"/>
        </w:rPr>
        <w:t>Weight Goal 2:  Reduction in waist circumference to height ratio of LB women</w:t>
      </w:r>
    </w:p>
    <w:p w:rsidR="00BA151D" w:rsidRDefault="00BA151D" w:rsidP="00245F86">
      <w:pPr>
        <w:numPr>
          <w:ilvl w:val="1"/>
          <w:numId w:val="2"/>
        </w:numPr>
        <w:spacing w:line="240" w:lineRule="auto"/>
        <w:rPr>
          <w:sz w:val="24"/>
          <w:szCs w:val="24"/>
        </w:rPr>
      </w:pPr>
      <w:r>
        <w:rPr>
          <w:sz w:val="24"/>
          <w:szCs w:val="24"/>
        </w:rPr>
        <w:t xml:space="preserve">Objective 2.1:  The gym intervention group will have a 5% decrease in waist circumference to height ratio (WCHR) from baseline to final evaluation (~12 months post baseline).  </w:t>
      </w:r>
    </w:p>
    <w:p w:rsidR="00BA151D" w:rsidRDefault="00BA151D" w:rsidP="00245F86">
      <w:pPr>
        <w:numPr>
          <w:ilvl w:val="0"/>
          <w:numId w:val="3"/>
        </w:numPr>
        <w:spacing w:line="240" w:lineRule="auto"/>
        <w:rPr>
          <w:b/>
          <w:sz w:val="24"/>
          <w:szCs w:val="24"/>
        </w:rPr>
      </w:pPr>
      <w:r>
        <w:rPr>
          <w:b/>
          <w:sz w:val="24"/>
          <w:szCs w:val="24"/>
        </w:rPr>
        <w:t>Fitness Goal:  Improved fitness in LB women</w:t>
      </w:r>
    </w:p>
    <w:p w:rsidR="00BA151D" w:rsidRDefault="00BA151D" w:rsidP="00245F86">
      <w:pPr>
        <w:numPr>
          <w:ilvl w:val="1"/>
          <w:numId w:val="2"/>
        </w:numPr>
        <w:spacing w:line="240" w:lineRule="auto"/>
        <w:rPr>
          <w:sz w:val="24"/>
          <w:szCs w:val="24"/>
        </w:rPr>
      </w:pPr>
      <w:r>
        <w:rPr>
          <w:sz w:val="24"/>
          <w:szCs w:val="24"/>
        </w:rPr>
        <w:t>Objective 3.1:  The gym intervention group will have an increase in VO</w:t>
      </w:r>
      <w:r w:rsidRPr="00276C7A">
        <w:rPr>
          <w:sz w:val="24"/>
          <w:szCs w:val="24"/>
        </w:rPr>
        <w:t xml:space="preserve">2 </w:t>
      </w:r>
      <w:r>
        <w:rPr>
          <w:sz w:val="24"/>
          <w:szCs w:val="24"/>
        </w:rPr>
        <w:t xml:space="preserve">max of 20% from baseline to final evaluation (~12 months post baseline).  </w:t>
      </w:r>
    </w:p>
    <w:p w:rsidR="00BA151D" w:rsidRPr="00276C7A" w:rsidRDefault="00BA151D" w:rsidP="00245F86">
      <w:pPr>
        <w:numPr>
          <w:ilvl w:val="1"/>
          <w:numId w:val="2"/>
        </w:numPr>
        <w:spacing w:line="240" w:lineRule="auto"/>
        <w:rPr>
          <w:sz w:val="24"/>
          <w:szCs w:val="24"/>
        </w:rPr>
      </w:pPr>
      <w:r w:rsidRPr="00276C7A">
        <w:rPr>
          <w:sz w:val="24"/>
          <w:szCs w:val="24"/>
        </w:rPr>
        <w:t xml:space="preserve">Objective 3.2:  The smart pedometer intervention group will have an increase in VO2 max of 5% from baseline to final evaluation (~12 months post baseline).  </w:t>
      </w:r>
    </w:p>
    <w:p w:rsidR="00BA151D" w:rsidRDefault="00BA151D" w:rsidP="00245F86">
      <w:pPr>
        <w:numPr>
          <w:ilvl w:val="0"/>
          <w:numId w:val="2"/>
        </w:numPr>
        <w:spacing w:line="240" w:lineRule="auto"/>
        <w:rPr>
          <w:b/>
          <w:sz w:val="24"/>
          <w:szCs w:val="24"/>
          <w:u w:val="single"/>
        </w:rPr>
      </w:pPr>
      <w:r>
        <w:rPr>
          <w:b/>
          <w:sz w:val="24"/>
          <w:szCs w:val="24"/>
          <w:u w:val="single"/>
        </w:rPr>
        <w:t>SECONDARY</w:t>
      </w:r>
    </w:p>
    <w:p w:rsidR="00BA151D" w:rsidRDefault="00BA151D" w:rsidP="00245F86">
      <w:pPr>
        <w:numPr>
          <w:ilvl w:val="0"/>
          <w:numId w:val="3"/>
        </w:numPr>
        <w:spacing w:line="240" w:lineRule="auto"/>
        <w:rPr>
          <w:b/>
          <w:sz w:val="24"/>
          <w:szCs w:val="24"/>
        </w:rPr>
      </w:pPr>
      <w:r>
        <w:rPr>
          <w:b/>
          <w:sz w:val="24"/>
          <w:szCs w:val="24"/>
        </w:rPr>
        <w:t>Diet Goal: Increase healthy diet of LB women</w:t>
      </w:r>
    </w:p>
    <w:p w:rsidR="00BA151D" w:rsidRDefault="00BA151D" w:rsidP="00245F86">
      <w:pPr>
        <w:numPr>
          <w:ilvl w:val="1"/>
          <w:numId w:val="2"/>
        </w:numPr>
        <w:spacing w:line="240" w:lineRule="auto"/>
        <w:rPr>
          <w:sz w:val="24"/>
          <w:szCs w:val="24"/>
        </w:rPr>
      </w:pPr>
      <w:r>
        <w:rPr>
          <w:sz w:val="24"/>
          <w:szCs w:val="24"/>
        </w:rPr>
        <w:t xml:space="preserve">Objective 4.1:  The combined intervention groups will have a 25% reduction in consumption of sugar-sweetened beverages from baseline to final evaluation (~12 months post baseline).  </w:t>
      </w:r>
    </w:p>
    <w:p w:rsidR="00BA151D" w:rsidRDefault="00BA151D" w:rsidP="00245F86">
      <w:pPr>
        <w:numPr>
          <w:ilvl w:val="1"/>
          <w:numId w:val="2"/>
        </w:numPr>
        <w:spacing w:line="240" w:lineRule="auto"/>
        <w:rPr>
          <w:sz w:val="24"/>
          <w:szCs w:val="24"/>
        </w:rPr>
      </w:pPr>
      <w:r>
        <w:rPr>
          <w:sz w:val="24"/>
          <w:szCs w:val="24"/>
        </w:rPr>
        <w:t xml:space="preserve">Objective 4.2:  The combined intervention groups will have a 10% reduction in consumption of alcohol from baseline to final evaluation (~12 months post baseline).  </w:t>
      </w:r>
    </w:p>
    <w:p w:rsidR="00BA151D" w:rsidRDefault="00BA151D" w:rsidP="00245F86">
      <w:pPr>
        <w:numPr>
          <w:ilvl w:val="1"/>
          <w:numId w:val="2"/>
        </w:numPr>
        <w:spacing w:line="240" w:lineRule="auto"/>
        <w:rPr>
          <w:sz w:val="24"/>
          <w:szCs w:val="24"/>
        </w:rPr>
      </w:pPr>
      <w:r>
        <w:rPr>
          <w:sz w:val="24"/>
          <w:szCs w:val="24"/>
        </w:rPr>
        <w:lastRenderedPageBreak/>
        <w:t xml:space="preserve">Objective 4.3:  The combined intervention groups will have a 10% increase in fruit and vegetable consumption from baseline to final evaluation (~12 months post baseline).                                                                                                                                                                              </w:t>
      </w:r>
    </w:p>
    <w:p w:rsidR="00BA151D" w:rsidRDefault="00BA151D" w:rsidP="00245F86">
      <w:pPr>
        <w:numPr>
          <w:ilvl w:val="0"/>
          <w:numId w:val="3"/>
        </w:numPr>
        <w:spacing w:line="240" w:lineRule="auto"/>
        <w:rPr>
          <w:b/>
          <w:sz w:val="24"/>
          <w:szCs w:val="24"/>
        </w:rPr>
      </w:pPr>
      <w:r>
        <w:rPr>
          <w:b/>
          <w:sz w:val="24"/>
          <w:szCs w:val="24"/>
        </w:rPr>
        <w:t>Physical Activity Goal: Increase physical activity in LB women</w:t>
      </w:r>
    </w:p>
    <w:p w:rsidR="00BA151D" w:rsidRDefault="00BA151D" w:rsidP="00245F86">
      <w:pPr>
        <w:numPr>
          <w:ilvl w:val="1"/>
          <w:numId w:val="2"/>
        </w:numPr>
        <w:spacing w:line="240" w:lineRule="auto"/>
        <w:rPr>
          <w:sz w:val="24"/>
          <w:szCs w:val="24"/>
        </w:rPr>
      </w:pPr>
      <w:r>
        <w:rPr>
          <w:sz w:val="24"/>
          <w:szCs w:val="24"/>
        </w:rPr>
        <w:t xml:space="preserve">Objective 5.1:  The combined intervention groups will increase the proportion by 75% of LB women meeting or exceeding the 2008 Physical Activity Guideline for Americans of 150 minutes of moderate-intensity or 75 minutes of vigorous intensity physical activity per week, or an equivalent combination of moderate- and vigorous-intensity activity from baseline measurement to final evaluation (~12 months post baseline).  </w:t>
      </w:r>
    </w:p>
    <w:p w:rsidR="00BA151D" w:rsidRDefault="00BA151D" w:rsidP="00245F86">
      <w:pPr>
        <w:spacing w:line="240" w:lineRule="auto"/>
        <w:ind w:left="1440"/>
        <w:rPr>
          <w:sz w:val="24"/>
          <w:szCs w:val="24"/>
        </w:rPr>
      </w:pPr>
    </w:p>
    <w:p w:rsidR="00BA151D" w:rsidRPr="00247B78" w:rsidRDefault="00BA151D" w:rsidP="00245F86">
      <w:pPr>
        <w:pStyle w:val="AbtHeadB"/>
        <w:rPr>
          <w:rFonts w:ascii="Times New Roman" w:hAnsi="Times New Roman"/>
          <w:sz w:val="24"/>
          <w:szCs w:val="24"/>
        </w:rPr>
      </w:pPr>
      <w:bookmarkStart w:id="4" w:name="_Toc128543475"/>
      <w:bookmarkStart w:id="5" w:name="_Toc129770667"/>
      <w:r w:rsidRPr="00247B78">
        <w:rPr>
          <w:rFonts w:ascii="Times New Roman" w:hAnsi="Times New Roman"/>
          <w:sz w:val="24"/>
          <w:szCs w:val="24"/>
        </w:rPr>
        <w:t>A.3.</w:t>
      </w:r>
      <w:r w:rsidRPr="00247B78">
        <w:rPr>
          <w:rFonts w:ascii="Times New Roman" w:hAnsi="Times New Roman"/>
          <w:sz w:val="24"/>
          <w:szCs w:val="24"/>
        </w:rPr>
        <w:tab/>
        <w:t>Use of Information Technology to Reduce Burden</w:t>
      </w:r>
      <w:bookmarkEnd w:id="4"/>
      <w:bookmarkEnd w:id="5"/>
    </w:p>
    <w:p w:rsidR="00BA151D" w:rsidRDefault="00BA151D" w:rsidP="00245F86">
      <w:pPr>
        <w:pStyle w:val="BodyText"/>
        <w:rPr>
          <w:sz w:val="24"/>
          <w:szCs w:val="24"/>
        </w:rPr>
      </w:pPr>
      <w:r w:rsidRPr="00247B78">
        <w:rPr>
          <w:sz w:val="24"/>
          <w:szCs w:val="24"/>
        </w:rPr>
        <w:t>This study will use</w:t>
      </w:r>
      <w:r>
        <w:rPr>
          <w:sz w:val="24"/>
          <w:szCs w:val="24"/>
        </w:rPr>
        <w:t xml:space="preserve"> a NORC-proprietary software application t</w:t>
      </w:r>
      <w:r w:rsidRPr="00247B78">
        <w:rPr>
          <w:sz w:val="24"/>
          <w:szCs w:val="24"/>
        </w:rPr>
        <w:t>o collect and store data.</w:t>
      </w:r>
      <w:r>
        <w:rPr>
          <w:sz w:val="24"/>
          <w:szCs w:val="24"/>
        </w:rPr>
        <w:t xml:space="preserve">  It is a data tool to build a web-based portal for surveys, assessments, and administrative data.    Participants will benefit from completing the surveys using the system because it will allow for faster and more convenient self-reporting. For example, participants who would like to complete the survey online, and have access to a computer and internet will be provided with a secure log-in to complete the survey online as opposed to waiting to receive a hardcopy in the mail.  Participants who do not have computer and/or internet access but would like to complete the survey online will be provided with a secure log-in with the option to come into a location (i.e., the community center) where a computer station is available to complete the survey online.  Lastly, for participants who may not feel comfortable completing the survey online will have the option to fill out a hardcopy of the survey.  When participants complete the survey via hardcopy, project staff will enter their information into the online system.  It is expected that the majority of the participants will opt for completing the survey electronically, which will significantly reduce response burden with the elimination of having to follow specific skip patters and/or fill out a hardcopy form in a specific way.  The electronic, web-based survey will have skip patterns built-in and will provide the respondent with minimal distraction from the question on the screen.  Additionally, completing the survey online will eliminate the burden of having to mail-in the survey upon filling out the hardcopy version.    </w:t>
      </w:r>
    </w:p>
    <w:p w:rsidR="00BA151D" w:rsidRPr="00247B78" w:rsidRDefault="00BA151D" w:rsidP="00245F86">
      <w:pPr>
        <w:pStyle w:val="BodyText"/>
        <w:rPr>
          <w:sz w:val="24"/>
          <w:szCs w:val="24"/>
        </w:rPr>
      </w:pPr>
      <w:r>
        <w:rPr>
          <w:sz w:val="24"/>
          <w:szCs w:val="24"/>
        </w:rPr>
        <w:br/>
      </w:r>
      <w:bookmarkStart w:id="6" w:name="_Toc128543476"/>
      <w:bookmarkStart w:id="7" w:name="_Toc129770668"/>
      <w:r w:rsidRPr="008F682F">
        <w:rPr>
          <w:b/>
          <w:sz w:val="24"/>
          <w:szCs w:val="24"/>
        </w:rPr>
        <w:t>A.4.</w:t>
      </w:r>
      <w:r w:rsidRPr="008F682F">
        <w:rPr>
          <w:b/>
          <w:sz w:val="24"/>
          <w:szCs w:val="24"/>
        </w:rPr>
        <w:tab/>
        <w:t>Efforts to Identify Duplication</w:t>
      </w:r>
      <w:bookmarkEnd w:id="6"/>
      <w:bookmarkEnd w:id="7"/>
    </w:p>
    <w:p w:rsidR="00BA151D" w:rsidRPr="00247B78" w:rsidRDefault="00BA151D" w:rsidP="00245F86">
      <w:pPr>
        <w:pStyle w:val="BodyText"/>
        <w:rPr>
          <w:sz w:val="24"/>
          <w:szCs w:val="24"/>
        </w:rPr>
      </w:pPr>
      <w:r w:rsidRPr="00247B78">
        <w:rPr>
          <w:sz w:val="24"/>
          <w:szCs w:val="24"/>
        </w:rPr>
        <w:t>OWH has consulted with other federal agencies and no other project is being funded to collect data on LB overweight women by other agencies such as the Centers for Disease Control and Prevention (CDC), Health Resources and Services Administration (HRSA), and the National Institutes of Health (NIH).</w:t>
      </w:r>
    </w:p>
    <w:p w:rsidR="00BA151D" w:rsidRPr="00247B78" w:rsidRDefault="00BA151D" w:rsidP="00245F86">
      <w:pPr>
        <w:pStyle w:val="BodyText"/>
        <w:rPr>
          <w:sz w:val="24"/>
          <w:szCs w:val="24"/>
        </w:rPr>
      </w:pPr>
    </w:p>
    <w:p w:rsidR="00BA151D" w:rsidRPr="00247B78" w:rsidRDefault="00BA151D" w:rsidP="00245F86">
      <w:pPr>
        <w:pStyle w:val="AbtHeadB"/>
        <w:rPr>
          <w:rFonts w:ascii="Times New Roman" w:hAnsi="Times New Roman"/>
          <w:sz w:val="24"/>
          <w:szCs w:val="24"/>
        </w:rPr>
      </w:pPr>
      <w:bookmarkStart w:id="8" w:name="_Toc128543477"/>
      <w:bookmarkStart w:id="9" w:name="_Toc129770669"/>
      <w:r w:rsidRPr="00247B78">
        <w:rPr>
          <w:rFonts w:ascii="Times New Roman" w:hAnsi="Times New Roman"/>
          <w:sz w:val="24"/>
          <w:szCs w:val="24"/>
        </w:rPr>
        <w:t>A.5.</w:t>
      </w:r>
      <w:r w:rsidRPr="00247B78">
        <w:rPr>
          <w:rFonts w:ascii="Times New Roman" w:hAnsi="Times New Roman"/>
          <w:sz w:val="24"/>
          <w:szCs w:val="24"/>
        </w:rPr>
        <w:tab/>
        <w:t>Small Business</w:t>
      </w:r>
      <w:bookmarkEnd w:id="8"/>
      <w:bookmarkEnd w:id="9"/>
    </w:p>
    <w:p w:rsidR="00BA151D" w:rsidRPr="00247B78" w:rsidRDefault="00BA151D" w:rsidP="00245F86">
      <w:pPr>
        <w:pStyle w:val="BodyText"/>
        <w:rPr>
          <w:sz w:val="24"/>
          <w:szCs w:val="24"/>
        </w:rPr>
      </w:pPr>
      <w:r w:rsidRPr="00247B78">
        <w:rPr>
          <w:sz w:val="24"/>
          <w:szCs w:val="24"/>
        </w:rPr>
        <w:t xml:space="preserve">No small businesses are involved as participants in the proposed data collection effort. </w:t>
      </w:r>
    </w:p>
    <w:p w:rsidR="00BA151D" w:rsidRPr="00247B78" w:rsidRDefault="00BA151D" w:rsidP="00245F86">
      <w:pPr>
        <w:pStyle w:val="BodyText"/>
        <w:rPr>
          <w:sz w:val="24"/>
          <w:szCs w:val="24"/>
        </w:rPr>
      </w:pPr>
      <w:r w:rsidRPr="00247B78">
        <w:rPr>
          <w:sz w:val="24"/>
          <w:szCs w:val="24"/>
        </w:rPr>
        <w:t xml:space="preserve"> </w:t>
      </w:r>
    </w:p>
    <w:p w:rsidR="00BA151D" w:rsidRPr="00247B78" w:rsidRDefault="00BA151D" w:rsidP="00245F86">
      <w:pPr>
        <w:pStyle w:val="AbtHeadB"/>
        <w:rPr>
          <w:rFonts w:ascii="Times New Roman" w:hAnsi="Times New Roman"/>
          <w:sz w:val="24"/>
          <w:szCs w:val="24"/>
        </w:rPr>
      </w:pPr>
      <w:bookmarkStart w:id="10" w:name="_Toc128543478"/>
      <w:bookmarkStart w:id="11" w:name="_Toc129770670"/>
      <w:r w:rsidRPr="00247B78">
        <w:rPr>
          <w:rFonts w:ascii="Times New Roman" w:hAnsi="Times New Roman"/>
          <w:sz w:val="24"/>
          <w:szCs w:val="24"/>
        </w:rPr>
        <w:lastRenderedPageBreak/>
        <w:t>A.6.</w:t>
      </w:r>
      <w:r w:rsidRPr="00247B78">
        <w:rPr>
          <w:rFonts w:ascii="Times New Roman" w:hAnsi="Times New Roman"/>
          <w:sz w:val="24"/>
          <w:szCs w:val="24"/>
        </w:rPr>
        <w:tab/>
        <w:t>Consequences of Not Collecting the Information</w:t>
      </w:r>
      <w:bookmarkEnd w:id="10"/>
      <w:bookmarkEnd w:id="11"/>
    </w:p>
    <w:p w:rsidR="00BA151D" w:rsidRDefault="00BA151D" w:rsidP="00245F86">
      <w:pPr>
        <w:pStyle w:val="BodyText"/>
        <w:tabs>
          <w:tab w:val="clear" w:pos="720"/>
        </w:tabs>
        <w:rPr>
          <w:sz w:val="24"/>
          <w:szCs w:val="24"/>
        </w:rPr>
      </w:pPr>
      <w:r w:rsidRPr="00247B78">
        <w:rPr>
          <w:sz w:val="24"/>
          <w:szCs w:val="24"/>
        </w:rPr>
        <w:t xml:space="preserve">This submission is </w:t>
      </w:r>
      <w:r w:rsidRPr="00247B78">
        <w:rPr>
          <w:bCs/>
          <w:sz w:val="24"/>
          <w:szCs w:val="24"/>
        </w:rPr>
        <w:t xml:space="preserve">to collect data for a </w:t>
      </w:r>
      <w:r w:rsidRPr="00247B78">
        <w:rPr>
          <w:sz w:val="24"/>
          <w:szCs w:val="24"/>
        </w:rPr>
        <w:t xml:space="preserve">pilot test intervention that promotes healthy weight in lesbian and bisexual (LB) women. Without these data, we will not be able to determine the </w:t>
      </w:r>
      <w:r>
        <w:rPr>
          <w:sz w:val="24"/>
          <w:szCs w:val="24"/>
        </w:rPr>
        <w:t xml:space="preserve">results </w:t>
      </w:r>
      <w:r w:rsidRPr="00247B78">
        <w:rPr>
          <w:sz w:val="24"/>
          <w:szCs w:val="24"/>
        </w:rPr>
        <w:t>and effectiveness of the intervention on weight loss, physical activity, healthy eating, and social support aimed at LB women. These data will help add to the scant literature on healthy weight interventions specifically tailored for lesbian and bisexual women and will help develop interventions that support weight loss, physical activity, healthy eating, and social specifically tailored to LB women.</w:t>
      </w:r>
      <w:r>
        <w:rPr>
          <w:sz w:val="24"/>
          <w:szCs w:val="24"/>
        </w:rPr>
        <w:t xml:space="preserve">  The de-identified data will be shared, upon request, with individuals and groups with the research community in order to continue to enhance the literature.  In addition to sharing the data, the research protocols and intervention criteria will be available in order for others in the research community to replicate an already tested intervention.  Further, once all data analyses are complete, the data will be archived in a data archive consortium, such as ICPSR.   </w:t>
      </w:r>
      <w:r w:rsidRPr="00247B78">
        <w:rPr>
          <w:sz w:val="24"/>
          <w:szCs w:val="24"/>
        </w:rPr>
        <w:t xml:space="preserve">  </w:t>
      </w:r>
    </w:p>
    <w:p w:rsidR="00BA151D" w:rsidRDefault="00BA151D" w:rsidP="00245F86">
      <w:pPr>
        <w:pStyle w:val="BodyText"/>
        <w:tabs>
          <w:tab w:val="clear" w:pos="720"/>
        </w:tabs>
        <w:rPr>
          <w:sz w:val="24"/>
          <w:szCs w:val="24"/>
        </w:rPr>
      </w:pPr>
    </w:p>
    <w:p w:rsidR="00BA151D" w:rsidRPr="008C5F76" w:rsidRDefault="00BA151D" w:rsidP="00245F86">
      <w:pPr>
        <w:pStyle w:val="BodyText"/>
        <w:tabs>
          <w:tab w:val="clear" w:pos="720"/>
        </w:tabs>
        <w:rPr>
          <w:sz w:val="24"/>
          <w:szCs w:val="24"/>
        </w:rPr>
      </w:pPr>
      <w:r w:rsidRPr="008C5F76">
        <w:rPr>
          <w:sz w:val="24"/>
          <w:szCs w:val="24"/>
        </w:rPr>
        <w:t xml:space="preserve">Tested intervention materials from this project will be provided to other LB community members. For example, at the conclusion of the project, NORC staff will produce the workout routines into a visually appealing (and culturally relevant), easy to download format for other community members to use.  This will be disseminated on the study website as well as on partner websites and distributed to LB communities via </w:t>
      </w:r>
      <w:proofErr w:type="spellStart"/>
      <w:r w:rsidRPr="008C5F76">
        <w:rPr>
          <w:sz w:val="24"/>
          <w:szCs w:val="24"/>
        </w:rPr>
        <w:t>listservs</w:t>
      </w:r>
      <w:proofErr w:type="spellEnd"/>
      <w:r w:rsidRPr="008C5F76">
        <w:rPr>
          <w:sz w:val="24"/>
          <w:szCs w:val="24"/>
        </w:rPr>
        <w:t xml:space="preserve"> and distribution lists.  Additionally, the LB community partner sites will post a resource guide containing information about LB friendly gyms and recreational facilities where staff has completed LB cultural competency training; offer gay teams and/or competitions; and low cost or free options for physical activities.  The reach of the data and protocols in the research community as well as the reach of the intervention and materials to the OB community has the capability to be disseminated to thousands of individuals.   </w:t>
      </w:r>
    </w:p>
    <w:p w:rsidR="00BA151D" w:rsidRPr="00247B78" w:rsidRDefault="00BA151D" w:rsidP="00245F86">
      <w:pPr>
        <w:pStyle w:val="BodyText"/>
        <w:rPr>
          <w:sz w:val="24"/>
          <w:szCs w:val="24"/>
        </w:rPr>
      </w:pPr>
    </w:p>
    <w:p w:rsidR="00BA151D" w:rsidRPr="00247B78" w:rsidRDefault="00BA151D" w:rsidP="00245F86">
      <w:pPr>
        <w:pStyle w:val="AbtHeadB"/>
        <w:rPr>
          <w:rFonts w:ascii="Times New Roman" w:hAnsi="Times New Roman"/>
          <w:sz w:val="24"/>
          <w:szCs w:val="24"/>
        </w:rPr>
      </w:pPr>
      <w:bookmarkStart w:id="12" w:name="_Toc128543479"/>
      <w:bookmarkStart w:id="13" w:name="_Toc129770671"/>
      <w:r w:rsidRPr="00247B78">
        <w:rPr>
          <w:rFonts w:ascii="Times New Roman" w:hAnsi="Times New Roman"/>
          <w:sz w:val="24"/>
          <w:szCs w:val="24"/>
        </w:rPr>
        <w:t>A.7.</w:t>
      </w:r>
      <w:r w:rsidRPr="00247B78">
        <w:rPr>
          <w:rFonts w:ascii="Times New Roman" w:hAnsi="Times New Roman"/>
          <w:sz w:val="24"/>
          <w:szCs w:val="24"/>
        </w:rPr>
        <w:tab/>
        <w:t xml:space="preserve">Special Circumstances Justifying Inconsistencies </w:t>
      </w:r>
      <w:proofErr w:type="gramStart"/>
      <w:r w:rsidRPr="00247B78">
        <w:rPr>
          <w:rFonts w:ascii="Times New Roman" w:hAnsi="Times New Roman"/>
          <w:sz w:val="24"/>
          <w:szCs w:val="24"/>
        </w:rPr>
        <w:t>With</w:t>
      </w:r>
      <w:proofErr w:type="gramEnd"/>
      <w:r w:rsidRPr="00247B78">
        <w:rPr>
          <w:rFonts w:ascii="Times New Roman" w:hAnsi="Times New Roman"/>
          <w:sz w:val="24"/>
          <w:szCs w:val="24"/>
        </w:rPr>
        <w:t xml:space="preserve"> Guidelines in 5 CFR 1320.6</w:t>
      </w:r>
      <w:bookmarkEnd w:id="12"/>
      <w:bookmarkEnd w:id="13"/>
      <w:r w:rsidRPr="00247B78">
        <w:rPr>
          <w:rFonts w:ascii="Times New Roman" w:hAnsi="Times New Roman"/>
          <w:sz w:val="24"/>
          <w:szCs w:val="24"/>
        </w:rPr>
        <w:t xml:space="preserve">  </w:t>
      </w:r>
    </w:p>
    <w:p w:rsidR="00BA151D" w:rsidRPr="00247B78" w:rsidRDefault="00BA151D" w:rsidP="00245F86">
      <w:pPr>
        <w:pStyle w:val="BodyText"/>
        <w:rPr>
          <w:sz w:val="24"/>
          <w:szCs w:val="24"/>
        </w:rPr>
      </w:pPr>
      <w:r w:rsidRPr="00247B78">
        <w:rPr>
          <w:sz w:val="24"/>
          <w:szCs w:val="24"/>
        </w:rPr>
        <w:t>There are no special circumstances required for the collection of information in this baseline data collection.</w:t>
      </w:r>
    </w:p>
    <w:p w:rsidR="00BA151D" w:rsidRPr="00247B78" w:rsidRDefault="00BA151D" w:rsidP="00245F86">
      <w:pPr>
        <w:pStyle w:val="BodyText"/>
        <w:rPr>
          <w:sz w:val="24"/>
          <w:szCs w:val="24"/>
        </w:rPr>
      </w:pPr>
    </w:p>
    <w:p w:rsidR="00BA151D" w:rsidRPr="00247B78" w:rsidRDefault="00BA151D" w:rsidP="00245F86">
      <w:pPr>
        <w:pStyle w:val="AbtHeadB"/>
        <w:rPr>
          <w:rFonts w:ascii="Times New Roman" w:hAnsi="Times New Roman"/>
          <w:sz w:val="24"/>
          <w:szCs w:val="24"/>
        </w:rPr>
      </w:pPr>
      <w:bookmarkStart w:id="14" w:name="_Toc128543480"/>
      <w:bookmarkStart w:id="15" w:name="_Toc129770672"/>
      <w:r w:rsidRPr="00247B78">
        <w:rPr>
          <w:rFonts w:ascii="Times New Roman" w:hAnsi="Times New Roman"/>
          <w:sz w:val="24"/>
          <w:szCs w:val="24"/>
        </w:rPr>
        <w:t>A.8.</w:t>
      </w:r>
      <w:r w:rsidRPr="00247B78">
        <w:rPr>
          <w:rFonts w:ascii="Times New Roman" w:hAnsi="Times New Roman"/>
          <w:sz w:val="24"/>
          <w:szCs w:val="24"/>
        </w:rPr>
        <w:tab/>
        <w:t xml:space="preserve">Consultation </w:t>
      </w:r>
      <w:proofErr w:type="gramStart"/>
      <w:r w:rsidRPr="00247B78">
        <w:rPr>
          <w:rFonts w:ascii="Times New Roman" w:hAnsi="Times New Roman"/>
          <w:sz w:val="24"/>
          <w:szCs w:val="24"/>
        </w:rPr>
        <w:t>Outside</w:t>
      </w:r>
      <w:proofErr w:type="gramEnd"/>
      <w:r w:rsidRPr="00247B78">
        <w:rPr>
          <w:rFonts w:ascii="Times New Roman" w:hAnsi="Times New Roman"/>
          <w:sz w:val="24"/>
          <w:szCs w:val="24"/>
        </w:rPr>
        <w:t xml:space="preserve"> the Agency</w:t>
      </w:r>
      <w:bookmarkEnd w:id="14"/>
      <w:bookmarkEnd w:id="15"/>
    </w:p>
    <w:p w:rsidR="00BA151D" w:rsidRPr="00247B78" w:rsidRDefault="00BA151D" w:rsidP="00245F86">
      <w:pPr>
        <w:pStyle w:val="BodyText"/>
        <w:rPr>
          <w:sz w:val="24"/>
          <w:szCs w:val="24"/>
        </w:rPr>
      </w:pPr>
      <w:r w:rsidRPr="00247B78">
        <w:rPr>
          <w:sz w:val="24"/>
          <w:szCs w:val="24"/>
        </w:rPr>
        <w:t xml:space="preserve">In accordance with the paperwork Reduction Act of 1995, OWH published a notice in the </w:t>
      </w:r>
      <w:r w:rsidRPr="00247B78">
        <w:rPr>
          <w:i/>
          <w:iCs/>
          <w:sz w:val="24"/>
          <w:szCs w:val="24"/>
        </w:rPr>
        <w:t xml:space="preserve">Federal Register </w:t>
      </w:r>
      <w:r w:rsidRPr="00247B78">
        <w:rPr>
          <w:sz w:val="24"/>
          <w:szCs w:val="24"/>
        </w:rPr>
        <w:t xml:space="preserve">announcing the agency’s intention to request an OMB review of data collection activities.  This notice was published on </w:t>
      </w:r>
      <w:r w:rsidR="00EB1C22" w:rsidRPr="00EB1C22">
        <w:rPr>
          <w:sz w:val="24"/>
          <w:szCs w:val="24"/>
        </w:rPr>
        <w:t>March 22, 2013</w:t>
      </w:r>
      <w:r w:rsidR="00EB1C22">
        <w:rPr>
          <w:sz w:val="24"/>
          <w:szCs w:val="24"/>
        </w:rPr>
        <w:t>,</w:t>
      </w:r>
      <w:r w:rsidRPr="00EB1C22">
        <w:rPr>
          <w:sz w:val="24"/>
          <w:szCs w:val="24"/>
        </w:rPr>
        <w:t xml:space="preserve"> in volume </w:t>
      </w:r>
      <w:r w:rsidR="00EB1C22" w:rsidRPr="00EB1C22">
        <w:rPr>
          <w:sz w:val="24"/>
          <w:szCs w:val="24"/>
        </w:rPr>
        <w:t xml:space="preserve">78, </w:t>
      </w:r>
      <w:r w:rsidRPr="00EB1C22">
        <w:rPr>
          <w:sz w:val="24"/>
          <w:szCs w:val="24"/>
        </w:rPr>
        <w:t xml:space="preserve">pages </w:t>
      </w:r>
      <w:r w:rsidR="00EB1C22">
        <w:rPr>
          <w:sz w:val="24"/>
          <w:szCs w:val="24"/>
        </w:rPr>
        <w:t>17674</w:t>
      </w:r>
      <w:r w:rsidRPr="00247B78">
        <w:rPr>
          <w:sz w:val="24"/>
          <w:szCs w:val="24"/>
        </w:rPr>
        <w:t xml:space="preserve"> and provided a 60-day period for public comments.  </w:t>
      </w:r>
      <w:r w:rsidR="00EB1C22">
        <w:rPr>
          <w:sz w:val="24"/>
          <w:szCs w:val="24"/>
        </w:rPr>
        <w:t>There no p</w:t>
      </w:r>
      <w:r>
        <w:rPr>
          <w:sz w:val="24"/>
          <w:szCs w:val="24"/>
        </w:rPr>
        <w:t>ublic comments</w:t>
      </w:r>
      <w:r w:rsidR="00EB1C22">
        <w:rPr>
          <w:sz w:val="24"/>
          <w:szCs w:val="24"/>
        </w:rPr>
        <w:t xml:space="preserve"> received.</w:t>
      </w:r>
      <w:bookmarkStart w:id="16" w:name="_GoBack"/>
      <w:bookmarkEnd w:id="16"/>
      <w:r>
        <w:rPr>
          <w:sz w:val="24"/>
          <w:szCs w:val="24"/>
        </w:rPr>
        <w:t xml:space="preserve"> </w:t>
      </w:r>
    </w:p>
    <w:p w:rsidR="00BA151D" w:rsidRPr="00247B78" w:rsidRDefault="00BA151D" w:rsidP="00245F86">
      <w:pPr>
        <w:pStyle w:val="BodyText"/>
        <w:rPr>
          <w:sz w:val="24"/>
          <w:szCs w:val="24"/>
        </w:rPr>
      </w:pPr>
    </w:p>
    <w:p w:rsidR="00BA151D" w:rsidRDefault="00BA151D" w:rsidP="00245F86">
      <w:pPr>
        <w:pStyle w:val="BodyText"/>
        <w:rPr>
          <w:sz w:val="24"/>
          <w:szCs w:val="24"/>
        </w:rPr>
      </w:pPr>
      <w:r w:rsidRPr="00247B78">
        <w:rPr>
          <w:sz w:val="24"/>
          <w:szCs w:val="24"/>
        </w:rPr>
        <w:t xml:space="preserve">The research project utilizes several national and existing standardized and validated instruments which are listed in the Table of Measures in Appendix A. NORC worked with </w:t>
      </w:r>
      <w:r>
        <w:rPr>
          <w:sz w:val="24"/>
          <w:szCs w:val="24"/>
        </w:rPr>
        <w:t xml:space="preserve">Catherine </w:t>
      </w:r>
      <w:proofErr w:type="spellStart"/>
      <w:r>
        <w:rPr>
          <w:sz w:val="24"/>
          <w:szCs w:val="24"/>
        </w:rPr>
        <w:t>Jefcoat</w:t>
      </w:r>
      <w:proofErr w:type="spellEnd"/>
      <w:r>
        <w:rPr>
          <w:sz w:val="24"/>
          <w:szCs w:val="24"/>
        </w:rPr>
        <w:t xml:space="preserve"> (LB Intervention Specialist), </w:t>
      </w:r>
      <w:r>
        <w:t xml:space="preserve">Sherrill Wayland (SAGE St. Louis), and invited advisory group members (see Table 1 below) to develop the measures and forms being used in the interventions.  NORC also </w:t>
      </w:r>
      <w:r>
        <w:lastRenderedPageBreak/>
        <w:t xml:space="preserve">worked with </w:t>
      </w:r>
      <w:r w:rsidRPr="00247B78">
        <w:rPr>
          <w:sz w:val="24"/>
          <w:szCs w:val="24"/>
        </w:rPr>
        <w:t>the project sites</w:t>
      </w:r>
      <w:r>
        <w:rPr>
          <w:sz w:val="24"/>
          <w:szCs w:val="24"/>
        </w:rPr>
        <w:t xml:space="preserve"> (</w:t>
      </w:r>
      <w:r w:rsidRPr="00247B78">
        <w:rPr>
          <w:sz w:val="24"/>
          <w:szCs w:val="24"/>
        </w:rPr>
        <w:t xml:space="preserve">The Lab Gym and </w:t>
      </w:r>
      <w:proofErr w:type="spellStart"/>
      <w:r w:rsidRPr="00247B78">
        <w:rPr>
          <w:sz w:val="24"/>
          <w:szCs w:val="24"/>
        </w:rPr>
        <w:t>Optimus</w:t>
      </w:r>
      <w:proofErr w:type="spellEnd"/>
      <w:r>
        <w:rPr>
          <w:sz w:val="24"/>
          <w:szCs w:val="24"/>
        </w:rPr>
        <w:t>) in order</w:t>
      </w:r>
      <w:r w:rsidRPr="00247B78">
        <w:rPr>
          <w:sz w:val="24"/>
          <w:szCs w:val="24"/>
        </w:rPr>
        <w:t xml:space="preserve"> to obtain several of their fitness assessment measures and intake forms.  </w:t>
      </w:r>
    </w:p>
    <w:p w:rsidR="00BA151D" w:rsidRDefault="00BA151D" w:rsidP="00245F86">
      <w:pPr>
        <w:pStyle w:val="BodyText"/>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5"/>
        <w:gridCol w:w="4954"/>
      </w:tblGrid>
      <w:tr w:rsidR="00BA151D" w:rsidRPr="00E47AB6" w:rsidTr="007B5FFE">
        <w:trPr>
          <w:jc w:val="center"/>
        </w:trPr>
        <w:tc>
          <w:tcPr>
            <w:tcW w:w="7569" w:type="dxa"/>
            <w:gridSpan w:val="2"/>
            <w:shd w:val="clear" w:color="auto" w:fill="auto"/>
          </w:tcPr>
          <w:p w:rsidR="00BA151D" w:rsidRPr="00E47AB6" w:rsidRDefault="00BA151D" w:rsidP="007B5FFE">
            <w:pPr>
              <w:pStyle w:val="BodyText"/>
              <w:jc w:val="center"/>
              <w:rPr>
                <w:b/>
                <w:sz w:val="24"/>
                <w:szCs w:val="24"/>
              </w:rPr>
            </w:pPr>
            <w:r w:rsidRPr="00E47AB6">
              <w:rPr>
                <w:b/>
                <w:sz w:val="24"/>
                <w:szCs w:val="24"/>
              </w:rPr>
              <w:t xml:space="preserve">Table </w:t>
            </w:r>
            <w:r>
              <w:rPr>
                <w:b/>
                <w:sz w:val="24"/>
                <w:szCs w:val="24"/>
              </w:rPr>
              <w:t>1</w:t>
            </w:r>
            <w:r w:rsidRPr="00E47AB6">
              <w:rPr>
                <w:b/>
                <w:sz w:val="24"/>
                <w:szCs w:val="24"/>
              </w:rPr>
              <w:t>:  Invited Advisory Group Members*</w:t>
            </w:r>
          </w:p>
        </w:tc>
      </w:tr>
      <w:tr w:rsidR="00BA151D" w:rsidRPr="00E47AB6" w:rsidTr="007B5FFE">
        <w:trPr>
          <w:jc w:val="center"/>
        </w:trPr>
        <w:tc>
          <w:tcPr>
            <w:tcW w:w="2615" w:type="dxa"/>
            <w:shd w:val="clear" w:color="auto" w:fill="auto"/>
          </w:tcPr>
          <w:p w:rsidR="00BA151D" w:rsidRPr="00E47AB6" w:rsidRDefault="00BA151D" w:rsidP="007B5FFE">
            <w:pPr>
              <w:pStyle w:val="BodyText"/>
              <w:jc w:val="center"/>
              <w:rPr>
                <w:b/>
                <w:sz w:val="24"/>
                <w:szCs w:val="24"/>
              </w:rPr>
            </w:pPr>
            <w:r w:rsidRPr="00E47AB6">
              <w:rPr>
                <w:b/>
                <w:sz w:val="24"/>
                <w:szCs w:val="24"/>
              </w:rPr>
              <w:t>Name</w:t>
            </w:r>
          </w:p>
        </w:tc>
        <w:tc>
          <w:tcPr>
            <w:tcW w:w="4954" w:type="dxa"/>
            <w:shd w:val="clear" w:color="auto" w:fill="auto"/>
          </w:tcPr>
          <w:p w:rsidR="00BA151D" w:rsidRPr="00E47AB6" w:rsidRDefault="00BA151D" w:rsidP="007B5FFE">
            <w:pPr>
              <w:pStyle w:val="BodyText"/>
              <w:jc w:val="center"/>
              <w:rPr>
                <w:b/>
                <w:sz w:val="24"/>
                <w:szCs w:val="24"/>
              </w:rPr>
            </w:pPr>
            <w:r w:rsidRPr="00E47AB6">
              <w:rPr>
                <w:b/>
                <w:sz w:val="24"/>
                <w:szCs w:val="24"/>
              </w:rPr>
              <w:t>Affiliation</w:t>
            </w:r>
          </w:p>
        </w:tc>
      </w:tr>
      <w:tr w:rsidR="00BA151D" w:rsidRPr="00E47AB6" w:rsidTr="007B5FFE">
        <w:trPr>
          <w:jc w:val="center"/>
        </w:trPr>
        <w:tc>
          <w:tcPr>
            <w:tcW w:w="2615" w:type="dxa"/>
            <w:shd w:val="clear" w:color="auto" w:fill="auto"/>
            <w:vAlign w:val="center"/>
          </w:tcPr>
          <w:p w:rsidR="00BA151D" w:rsidRPr="00E47AB6" w:rsidRDefault="00BA151D" w:rsidP="007B5FFE">
            <w:pPr>
              <w:pStyle w:val="BodyText"/>
              <w:rPr>
                <w:szCs w:val="22"/>
              </w:rPr>
            </w:pPr>
            <w:r w:rsidRPr="00E47AB6">
              <w:rPr>
                <w:szCs w:val="22"/>
              </w:rPr>
              <w:t>Jeanette Mott Oxford</w:t>
            </w:r>
          </w:p>
        </w:tc>
        <w:tc>
          <w:tcPr>
            <w:tcW w:w="4954" w:type="dxa"/>
            <w:shd w:val="clear" w:color="auto" w:fill="auto"/>
            <w:vAlign w:val="center"/>
          </w:tcPr>
          <w:p w:rsidR="00BA151D" w:rsidRPr="00E47AB6" w:rsidRDefault="00BA151D" w:rsidP="007B5FFE">
            <w:pPr>
              <w:pStyle w:val="BodyText"/>
              <w:rPr>
                <w:szCs w:val="22"/>
              </w:rPr>
            </w:pPr>
            <w:r w:rsidRPr="00E47AB6">
              <w:rPr>
                <w:szCs w:val="22"/>
              </w:rPr>
              <w:t>Former State Representative</w:t>
            </w:r>
          </w:p>
        </w:tc>
      </w:tr>
      <w:tr w:rsidR="00BA151D" w:rsidRPr="00E47AB6" w:rsidTr="007B5FFE">
        <w:trPr>
          <w:jc w:val="center"/>
        </w:trPr>
        <w:tc>
          <w:tcPr>
            <w:tcW w:w="2615" w:type="dxa"/>
            <w:shd w:val="clear" w:color="auto" w:fill="auto"/>
            <w:vAlign w:val="center"/>
          </w:tcPr>
          <w:p w:rsidR="00BA151D" w:rsidRPr="00E47AB6" w:rsidRDefault="00BA151D" w:rsidP="007B5FFE">
            <w:pPr>
              <w:pStyle w:val="BodyText"/>
              <w:rPr>
                <w:szCs w:val="22"/>
              </w:rPr>
            </w:pPr>
            <w:r w:rsidRPr="00E47AB6">
              <w:rPr>
                <w:szCs w:val="22"/>
              </w:rPr>
              <w:t>Nancy Novak</w:t>
            </w:r>
          </w:p>
        </w:tc>
        <w:tc>
          <w:tcPr>
            <w:tcW w:w="4954" w:type="dxa"/>
            <w:shd w:val="clear" w:color="auto" w:fill="auto"/>
            <w:vAlign w:val="center"/>
          </w:tcPr>
          <w:p w:rsidR="00BA151D" w:rsidRPr="00E47AB6" w:rsidRDefault="00BA151D" w:rsidP="007B5FFE">
            <w:pPr>
              <w:pStyle w:val="BodyText"/>
              <w:rPr>
                <w:szCs w:val="22"/>
              </w:rPr>
            </w:pPr>
            <w:r w:rsidRPr="00E47AB6">
              <w:rPr>
                <w:szCs w:val="22"/>
              </w:rPr>
              <w:t>Bar Owner  (Lesbian bar)</w:t>
            </w:r>
          </w:p>
        </w:tc>
      </w:tr>
      <w:tr w:rsidR="00BA151D" w:rsidRPr="00E47AB6" w:rsidTr="007B5FFE">
        <w:trPr>
          <w:jc w:val="center"/>
        </w:trPr>
        <w:tc>
          <w:tcPr>
            <w:tcW w:w="2615" w:type="dxa"/>
            <w:shd w:val="clear" w:color="auto" w:fill="auto"/>
            <w:vAlign w:val="center"/>
          </w:tcPr>
          <w:p w:rsidR="00BA151D" w:rsidRPr="00E47AB6" w:rsidRDefault="00BA151D" w:rsidP="007B5FFE">
            <w:pPr>
              <w:pStyle w:val="BodyText"/>
              <w:rPr>
                <w:szCs w:val="22"/>
              </w:rPr>
            </w:pPr>
            <w:r w:rsidRPr="00E47AB6">
              <w:rPr>
                <w:szCs w:val="22"/>
              </w:rPr>
              <w:t xml:space="preserve">Mo </w:t>
            </w:r>
            <w:proofErr w:type="spellStart"/>
            <w:r w:rsidRPr="00E47AB6">
              <w:rPr>
                <w:szCs w:val="22"/>
              </w:rPr>
              <w:t>Costella</w:t>
            </w:r>
            <w:proofErr w:type="spellEnd"/>
          </w:p>
        </w:tc>
        <w:tc>
          <w:tcPr>
            <w:tcW w:w="4954" w:type="dxa"/>
            <w:shd w:val="clear" w:color="auto" w:fill="auto"/>
            <w:vAlign w:val="center"/>
          </w:tcPr>
          <w:p w:rsidR="00BA151D" w:rsidRPr="00E47AB6" w:rsidRDefault="00BA151D" w:rsidP="007B5FFE">
            <w:pPr>
              <w:pStyle w:val="BodyText"/>
              <w:rPr>
                <w:szCs w:val="22"/>
              </w:rPr>
            </w:pPr>
            <w:r w:rsidRPr="00E47AB6">
              <w:rPr>
                <w:szCs w:val="22"/>
              </w:rPr>
              <w:t xml:space="preserve">Owner of </w:t>
            </w:r>
            <w:proofErr w:type="spellStart"/>
            <w:r w:rsidRPr="00E47AB6">
              <w:rPr>
                <w:szCs w:val="22"/>
              </w:rPr>
              <w:t>MoKaBe's</w:t>
            </w:r>
            <w:proofErr w:type="spellEnd"/>
            <w:r w:rsidRPr="00E47AB6">
              <w:rPr>
                <w:szCs w:val="22"/>
              </w:rPr>
              <w:t>  (SGM hang out spot)</w:t>
            </w:r>
          </w:p>
        </w:tc>
      </w:tr>
      <w:tr w:rsidR="00BA151D" w:rsidRPr="00E47AB6" w:rsidTr="007B5FFE">
        <w:trPr>
          <w:jc w:val="center"/>
        </w:trPr>
        <w:tc>
          <w:tcPr>
            <w:tcW w:w="2615" w:type="dxa"/>
            <w:shd w:val="clear" w:color="auto" w:fill="auto"/>
            <w:vAlign w:val="center"/>
          </w:tcPr>
          <w:p w:rsidR="00BA151D" w:rsidRPr="00E47AB6" w:rsidRDefault="00BA151D" w:rsidP="007B5FFE">
            <w:pPr>
              <w:pStyle w:val="BodyText"/>
              <w:rPr>
                <w:szCs w:val="22"/>
              </w:rPr>
            </w:pPr>
            <w:r w:rsidRPr="00E47AB6">
              <w:rPr>
                <w:szCs w:val="22"/>
              </w:rPr>
              <w:t>Nancy Fowler Larsen</w:t>
            </w:r>
          </w:p>
        </w:tc>
        <w:tc>
          <w:tcPr>
            <w:tcW w:w="4954" w:type="dxa"/>
            <w:shd w:val="clear" w:color="auto" w:fill="auto"/>
            <w:vAlign w:val="center"/>
          </w:tcPr>
          <w:p w:rsidR="00BA151D" w:rsidRPr="00E47AB6" w:rsidRDefault="00BA151D" w:rsidP="007B5FFE">
            <w:pPr>
              <w:pStyle w:val="BodyText"/>
              <w:rPr>
                <w:szCs w:val="22"/>
              </w:rPr>
            </w:pPr>
            <w:r w:rsidRPr="00E47AB6">
              <w:rPr>
                <w:szCs w:val="22"/>
              </w:rPr>
              <w:t>Reporter with the Beacon</w:t>
            </w:r>
          </w:p>
        </w:tc>
      </w:tr>
      <w:tr w:rsidR="00BA151D" w:rsidRPr="00E47AB6" w:rsidTr="007B5FFE">
        <w:trPr>
          <w:jc w:val="center"/>
        </w:trPr>
        <w:tc>
          <w:tcPr>
            <w:tcW w:w="2615" w:type="dxa"/>
            <w:shd w:val="clear" w:color="auto" w:fill="auto"/>
            <w:vAlign w:val="center"/>
          </w:tcPr>
          <w:p w:rsidR="00BA151D" w:rsidRPr="00E47AB6" w:rsidRDefault="00BA151D" w:rsidP="007B5FFE">
            <w:pPr>
              <w:pStyle w:val="BodyText"/>
              <w:rPr>
                <w:szCs w:val="22"/>
              </w:rPr>
            </w:pPr>
            <w:r w:rsidRPr="00E47AB6">
              <w:rPr>
                <w:szCs w:val="22"/>
              </w:rPr>
              <w:t>Carol Robinson</w:t>
            </w:r>
          </w:p>
        </w:tc>
        <w:tc>
          <w:tcPr>
            <w:tcW w:w="4954" w:type="dxa"/>
            <w:shd w:val="clear" w:color="auto" w:fill="auto"/>
            <w:vAlign w:val="center"/>
          </w:tcPr>
          <w:p w:rsidR="00BA151D" w:rsidRPr="00E47AB6" w:rsidRDefault="00BA151D" w:rsidP="007B5FFE">
            <w:pPr>
              <w:pStyle w:val="BodyText"/>
              <w:rPr>
                <w:szCs w:val="22"/>
              </w:rPr>
            </w:pPr>
            <w:r w:rsidRPr="00E47AB6">
              <w:rPr>
                <w:szCs w:val="22"/>
              </w:rPr>
              <w:t>Lesbian of Color Community Advocate</w:t>
            </w:r>
          </w:p>
        </w:tc>
      </w:tr>
      <w:tr w:rsidR="00BA151D" w:rsidRPr="00E47AB6" w:rsidTr="007B5FFE">
        <w:trPr>
          <w:jc w:val="center"/>
        </w:trPr>
        <w:tc>
          <w:tcPr>
            <w:tcW w:w="2615" w:type="dxa"/>
            <w:shd w:val="clear" w:color="auto" w:fill="auto"/>
            <w:vAlign w:val="center"/>
          </w:tcPr>
          <w:p w:rsidR="00BA151D" w:rsidRPr="00E47AB6" w:rsidRDefault="00BA151D" w:rsidP="007B5FFE">
            <w:pPr>
              <w:pStyle w:val="BodyText"/>
              <w:rPr>
                <w:szCs w:val="22"/>
              </w:rPr>
            </w:pPr>
            <w:r w:rsidRPr="00E47AB6">
              <w:rPr>
                <w:szCs w:val="22"/>
              </w:rPr>
              <w:t xml:space="preserve">Marcia </w:t>
            </w:r>
            <w:proofErr w:type="spellStart"/>
            <w:r w:rsidRPr="00E47AB6">
              <w:rPr>
                <w:szCs w:val="22"/>
              </w:rPr>
              <w:t>Daab</w:t>
            </w:r>
            <w:proofErr w:type="spellEnd"/>
          </w:p>
        </w:tc>
        <w:tc>
          <w:tcPr>
            <w:tcW w:w="4954" w:type="dxa"/>
            <w:shd w:val="clear" w:color="auto" w:fill="auto"/>
            <w:vAlign w:val="center"/>
          </w:tcPr>
          <w:p w:rsidR="00BA151D" w:rsidRPr="00E47AB6" w:rsidRDefault="00BA151D" w:rsidP="007B5FFE">
            <w:pPr>
              <w:pStyle w:val="BodyText"/>
              <w:rPr>
                <w:szCs w:val="22"/>
              </w:rPr>
            </w:pPr>
            <w:r w:rsidRPr="00E47AB6">
              <w:rPr>
                <w:szCs w:val="22"/>
              </w:rPr>
              <w:t>SAGE Board Member</w:t>
            </w:r>
          </w:p>
        </w:tc>
      </w:tr>
      <w:tr w:rsidR="00BA151D" w:rsidRPr="00E47AB6" w:rsidTr="007B5FFE">
        <w:trPr>
          <w:jc w:val="center"/>
        </w:trPr>
        <w:tc>
          <w:tcPr>
            <w:tcW w:w="2615" w:type="dxa"/>
            <w:shd w:val="clear" w:color="auto" w:fill="auto"/>
            <w:vAlign w:val="center"/>
          </w:tcPr>
          <w:p w:rsidR="00BA151D" w:rsidRPr="00E47AB6" w:rsidRDefault="00BA151D" w:rsidP="007B5FFE">
            <w:pPr>
              <w:pStyle w:val="BodyText"/>
              <w:rPr>
                <w:szCs w:val="22"/>
              </w:rPr>
            </w:pPr>
            <w:r w:rsidRPr="00E47AB6">
              <w:rPr>
                <w:szCs w:val="22"/>
              </w:rPr>
              <w:t>Audrey Pearson</w:t>
            </w:r>
          </w:p>
        </w:tc>
        <w:tc>
          <w:tcPr>
            <w:tcW w:w="4954" w:type="dxa"/>
            <w:shd w:val="clear" w:color="auto" w:fill="auto"/>
            <w:vAlign w:val="center"/>
          </w:tcPr>
          <w:p w:rsidR="00BA151D" w:rsidRPr="00E47AB6" w:rsidRDefault="00BA151D" w:rsidP="007B5FFE">
            <w:pPr>
              <w:pStyle w:val="BodyText"/>
              <w:rPr>
                <w:szCs w:val="22"/>
              </w:rPr>
            </w:pPr>
            <w:r w:rsidRPr="00E47AB6">
              <w:rPr>
                <w:szCs w:val="22"/>
              </w:rPr>
              <w:t>Lesbian of Color and Community Advocate </w:t>
            </w:r>
          </w:p>
        </w:tc>
      </w:tr>
      <w:tr w:rsidR="00BA151D" w:rsidRPr="00E47AB6" w:rsidTr="007B5FFE">
        <w:trPr>
          <w:jc w:val="center"/>
        </w:trPr>
        <w:tc>
          <w:tcPr>
            <w:tcW w:w="2615" w:type="dxa"/>
            <w:shd w:val="clear" w:color="auto" w:fill="auto"/>
            <w:vAlign w:val="center"/>
          </w:tcPr>
          <w:p w:rsidR="00BA151D" w:rsidRPr="00E47AB6" w:rsidRDefault="00BA151D" w:rsidP="007B5FFE">
            <w:pPr>
              <w:pStyle w:val="BodyText"/>
              <w:rPr>
                <w:szCs w:val="22"/>
              </w:rPr>
            </w:pPr>
            <w:r w:rsidRPr="00E47AB6">
              <w:rPr>
                <w:szCs w:val="22"/>
              </w:rPr>
              <w:t xml:space="preserve">Christina </w:t>
            </w:r>
            <w:proofErr w:type="spellStart"/>
            <w:r w:rsidRPr="00E47AB6">
              <w:rPr>
                <w:szCs w:val="22"/>
              </w:rPr>
              <w:t>Meneses</w:t>
            </w:r>
            <w:proofErr w:type="spellEnd"/>
          </w:p>
        </w:tc>
        <w:tc>
          <w:tcPr>
            <w:tcW w:w="4954" w:type="dxa"/>
            <w:shd w:val="clear" w:color="auto" w:fill="auto"/>
            <w:vAlign w:val="center"/>
          </w:tcPr>
          <w:p w:rsidR="00BA151D" w:rsidRPr="00E47AB6" w:rsidRDefault="00BA151D" w:rsidP="007B5FFE">
            <w:pPr>
              <w:pStyle w:val="BodyText"/>
              <w:rPr>
                <w:szCs w:val="22"/>
              </w:rPr>
            </w:pPr>
            <w:r w:rsidRPr="00E47AB6">
              <w:rPr>
                <w:szCs w:val="22"/>
              </w:rPr>
              <w:t>YWCA rape crisis center</w:t>
            </w:r>
          </w:p>
        </w:tc>
      </w:tr>
      <w:tr w:rsidR="00BA151D" w:rsidRPr="00E47AB6" w:rsidTr="007B5FFE">
        <w:trPr>
          <w:jc w:val="center"/>
        </w:trPr>
        <w:tc>
          <w:tcPr>
            <w:tcW w:w="2615" w:type="dxa"/>
            <w:shd w:val="clear" w:color="auto" w:fill="auto"/>
            <w:vAlign w:val="center"/>
          </w:tcPr>
          <w:p w:rsidR="00BA151D" w:rsidRPr="00E47AB6" w:rsidRDefault="00BA151D" w:rsidP="007B5FFE">
            <w:pPr>
              <w:pStyle w:val="BodyText"/>
              <w:rPr>
                <w:szCs w:val="22"/>
              </w:rPr>
            </w:pPr>
            <w:r w:rsidRPr="00E47AB6">
              <w:rPr>
                <w:szCs w:val="22"/>
              </w:rPr>
              <w:t>Stacy Snow</w:t>
            </w:r>
          </w:p>
        </w:tc>
        <w:tc>
          <w:tcPr>
            <w:tcW w:w="4954" w:type="dxa"/>
            <w:shd w:val="clear" w:color="auto" w:fill="auto"/>
            <w:vAlign w:val="center"/>
          </w:tcPr>
          <w:p w:rsidR="00BA151D" w:rsidRPr="00E47AB6" w:rsidRDefault="00BA151D" w:rsidP="007B5FFE">
            <w:pPr>
              <w:pStyle w:val="BodyText"/>
              <w:rPr>
                <w:szCs w:val="22"/>
              </w:rPr>
            </w:pPr>
            <w:r w:rsidRPr="00E47AB6">
              <w:rPr>
                <w:szCs w:val="22"/>
              </w:rPr>
              <w:t>Community Member</w:t>
            </w:r>
          </w:p>
        </w:tc>
      </w:tr>
      <w:tr w:rsidR="00BA151D" w:rsidRPr="00E47AB6" w:rsidTr="007B5FFE">
        <w:trPr>
          <w:jc w:val="center"/>
        </w:trPr>
        <w:tc>
          <w:tcPr>
            <w:tcW w:w="2615" w:type="dxa"/>
            <w:shd w:val="clear" w:color="auto" w:fill="auto"/>
            <w:vAlign w:val="center"/>
          </w:tcPr>
          <w:p w:rsidR="00BA151D" w:rsidRPr="00E47AB6" w:rsidRDefault="00BA151D" w:rsidP="007B5FFE">
            <w:pPr>
              <w:pStyle w:val="BodyText"/>
              <w:rPr>
                <w:szCs w:val="22"/>
              </w:rPr>
            </w:pPr>
            <w:r w:rsidRPr="00E47AB6">
              <w:rPr>
                <w:szCs w:val="22"/>
              </w:rPr>
              <w:t>Leigh Lockhart</w:t>
            </w:r>
          </w:p>
        </w:tc>
        <w:tc>
          <w:tcPr>
            <w:tcW w:w="4954" w:type="dxa"/>
            <w:shd w:val="clear" w:color="auto" w:fill="auto"/>
            <w:vAlign w:val="center"/>
          </w:tcPr>
          <w:p w:rsidR="00BA151D" w:rsidRPr="00E47AB6" w:rsidRDefault="00BA151D" w:rsidP="007B5FFE">
            <w:pPr>
              <w:pStyle w:val="BodyText"/>
              <w:rPr>
                <w:szCs w:val="22"/>
              </w:rPr>
            </w:pPr>
            <w:r w:rsidRPr="00E47AB6">
              <w:rPr>
                <w:szCs w:val="22"/>
              </w:rPr>
              <w:t>Main Squeeze</w:t>
            </w:r>
          </w:p>
        </w:tc>
      </w:tr>
      <w:tr w:rsidR="00BA151D" w:rsidRPr="00E47AB6" w:rsidTr="007B5FFE">
        <w:trPr>
          <w:jc w:val="center"/>
        </w:trPr>
        <w:tc>
          <w:tcPr>
            <w:tcW w:w="2615" w:type="dxa"/>
            <w:shd w:val="clear" w:color="auto" w:fill="auto"/>
            <w:vAlign w:val="center"/>
          </w:tcPr>
          <w:p w:rsidR="00BA151D" w:rsidRPr="00E47AB6" w:rsidRDefault="00BA151D" w:rsidP="007B5FFE">
            <w:pPr>
              <w:pStyle w:val="BodyText"/>
              <w:rPr>
                <w:szCs w:val="22"/>
              </w:rPr>
            </w:pPr>
            <w:r w:rsidRPr="00E47AB6">
              <w:rPr>
                <w:szCs w:val="22"/>
              </w:rPr>
              <w:t>Mandy Schick</w:t>
            </w:r>
          </w:p>
        </w:tc>
        <w:tc>
          <w:tcPr>
            <w:tcW w:w="4954" w:type="dxa"/>
            <w:shd w:val="clear" w:color="auto" w:fill="auto"/>
            <w:vAlign w:val="center"/>
          </w:tcPr>
          <w:p w:rsidR="00BA151D" w:rsidRPr="00E47AB6" w:rsidRDefault="00BA151D" w:rsidP="007B5FFE">
            <w:pPr>
              <w:pStyle w:val="BodyText"/>
              <w:rPr>
                <w:szCs w:val="22"/>
              </w:rPr>
            </w:pPr>
            <w:r w:rsidRPr="00E47AB6">
              <w:rPr>
                <w:szCs w:val="22"/>
              </w:rPr>
              <w:t>Schick Training</w:t>
            </w:r>
          </w:p>
        </w:tc>
      </w:tr>
      <w:tr w:rsidR="00BA151D" w:rsidRPr="00E47AB6" w:rsidTr="007B5FFE">
        <w:trPr>
          <w:jc w:val="center"/>
        </w:trPr>
        <w:tc>
          <w:tcPr>
            <w:tcW w:w="2615" w:type="dxa"/>
            <w:shd w:val="clear" w:color="auto" w:fill="auto"/>
            <w:vAlign w:val="center"/>
          </w:tcPr>
          <w:p w:rsidR="00BA151D" w:rsidRPr="00E47AB6" w:rsidRDefault="00BA151D" w:rsidP="007B5FFE">
            <w:pPr>
              <w:pStyle w:val="BodyText"/>
              <w:rPr>
                <w:szCs w:val="22"/>
              </w:rPr>
            </w:pPr>
            <w:r w:rsidRPr="00E47AB6">
              <w:rPr>
                <w:szCs w:val="22"/>
              </w:rPr>
              <w:t xml:space="preserve">Melinda </w:t>
            </w:r>
            <w:proofErr w:type="spellStart"/>
            <w:r w:rsidRPr="00E47AB6">
              <w:rPr>
                <w:szCs w:val="22"/>
              </w:rPr>
              <w:t>Hemmelgarn</w:t>
            </w:r>
            <w:proofErr w:type="spellEnd"/>
          </w:p>
        </w:tc>
        <w:tc>
          <w:tcPr>
            <w:tcW w:w="4954" w:type="dxa"/>
            <w:shd w:val="clear" w:color="auto" w:fill="auto"/>
            <w:vAlign w:val="center"/>
          </w:tcPr>
          <w:p w:rsidR="00BA151D" w:rsidRPr="00E47AB6" w:rsidRDefault="00BA151D" w:rsidP="007B5FFE">
            <w:pPr>
              <w:pStyle w:val="BodyText"/>
              <w:rPr>
                <w:szCs w:val="22"/>
              </w:rPr>
            </w:pPr>
            <w:r w:rsidRPr="00E47AB6">
              <w:rPr>
                <w:szCs w:val="22"/>
              </w:rPr>
              <w:t>Food Sleuth LLC</w:t>
            </w:r>
          </w:p>
        </w:tc>
      </w:tr>
      <w:tr w:rsidR="00BA151D" w:rsidRPr="00E47AB6" w:rsidTr="007B5FFE">
        <w:trPr>
          <w:jc w:val="center"/>
        </w:trPr>
        <w:tc>
          <w:tcPr>
            <w:tcW w:w="2615" w:type="dxa"/>
            <w:shd w:val="clear" w:color="auto" w:fill="auto"/>
            <w:vAlign w:val="center"/>
          </w:tcPr>
          <w:p w:rsidR="00BA151D" w:rsidRPr="00E47AB6" w:rsidRDefault="00BA151D" w:rsidP="007B5FFE">
            <w:pPr>
              <w:pStyle w:val="BodyText"/>
              <w:rPr>
                <w:szCs w:val="22"/>
              </w:rPr>
            </w:pPr>
            <w:r w:rsidRPr="00E47AB6">
              <w:rPr>
                <w:szCs w:val="22"/>
              </w:rPr>
              <w:t>Annette Triplett</w:t>
            </w:r>
          </w:p>
        </w:tc>
        <w:tc>
          <w:tcPr>
            <w:tcW w:w="4954" w:type="dxa"/>
            <w:shd w:val="clear" w:color="auto" w:fill="auto"/>
            <w:vAlign w:val="center"/>
          </w:tcPr>
          <w:p w:rsidR="00BA151D" w:rsidRPr="00E47AB6" w:rsidRDefault="00BA151D" w:rsidP="007B5FFE">
            <w:pPr>
              <w:pStyle w:val="BodyText"/>
              <w:rPr>
                <w:szCs w:val="22"/>
              </w:rPr>
            </w:pPr>
            <w:proofErr w:type="spellStart"/>
            <w:r w:rsidRPr="00E47AB6">
              <w:rPr>
                <w:szCs w:val="22"/>
              </w:rPr>
              <w:t>PedNet</w:t>
            </w:r>
            <w:proofErr w:type="spellEnd"/>
            <w:r w:rsidRPr="00E47AB6">
              <w:rPr>
                <w:szCs w:val="22"/>
              </w:rPr>
              <w:t xml:space="preserve"> Coalition</w:t>
            </w:r>
          </w:p>
        </w:tc>
      </w:tr>
      <w:tr w:rsidR="00BA151D" w:rsidRPr="00E47AB6" w:rsidTr="007B5FFE">
        <w:trPr>
          <w:jc w:val="center"/>
        </w:trPr>
        <w:tc>
          <w:tcPr>
            <w:tcW w:w="2615" w:type="dxa"/>
            <w:shd w:val="clear" w:color="auto" w:fill="auto"/>
            <w:vAlign w:val="center"/>
          </w:tcPr>
          <w:p w:rsidR="00BA151D" w:rsidRPr="00E47AB6" w:rsidRDefault="00BA151D" w:rsidP="007B5FFE">
            <w:pPr>
              <w:pStyle w:val="BodyText"/>
              <w:rPr>
                <w:szCs w:val="22"/>
              </w:rPr>
            </w:pPr>
            <w:r w:rsidRPr="00E47AB6">
              <w:rPr>
                <w:szCs w:val="22"/>
              </w:rPr>
              <w:t>Marshall Newman</w:t>
            </w:r>
          </w:p>
        </w:tc>
        <w:tc>
          <w:tcPr>
            <w:tcW w:w="4954" w:type="dxa"/>
            <w:shd w:val="clear" w:color="auto" w:fill="auto"/>
            <w:vAlign w:val="center"/>
          </w:tcPr>
          <w:p w:rsidR="00BA151D" w:rsidRPr="00E47AB6" w:rsidRDefault="00BA151D" w:rsidP="007B5FFE">
            <w:pPr>
              <w:pStyle w:val="BodyText"/>
              <w:rPr>
                <w:szCs w:val="22"/>
              </w:rPr>
            </w:pPr>
            <w:proofErr w:type="spellStart"/>
            <w:r w:rsidRPr="00E47AB6">
              <w:rPr>
                <w:szCs w:val="22"/>
              </w:rPr>
              <w:t>SoCo</w:t>
            </w:r>
            <w:proofErr w:type="spellEnd"/>
            <w:r w:rsidRPr="00E47AB6">
              <w:rPr>
                <w:szCs w:val="22"/>
              </w:rPr>
              <w:t xml:space="preserve"> Club</w:t>
            </w:r>
          </w:p>
        </w:tc>
      </w:tr>
      <w:tr w:rsidR="00BA151D" w:rsidRPr="00E47AB6" w:rsidTr="007B5FFE">
        <w:trPr>
          <w:jc w:val="center"/>
        </w:trPr>
        <w:tc>
          <w:tcPr>
            <w:tcW w:w="2615" w:type="dxa"/>
            <w:shd w:val="clear" w:color="auto" w:fill="auto"/>
            <w:vAlign w:val="center"/>
          </w:tcPr>
          <w:p w:rsidR="00BA151D" w:rsidRPr="00E47AB6" w:rsidRDefault="00BA151D" w:rsidP="007B5FFE">
            <w:pPr>
              <w:pStyle w:val="BodyText"/>
              <w:rPr>
                <w:szCs w:val="22"/>
              </w:rPr>
            </w:pPr>
            <w:r w:rsidRPr="00E47AB6">
              <w:rPr>
                <w:szCs w:val="22"/>
              </w:rPr>
              <w:t xml:space="preserve">Ellen </w:t>
            </w:r>
            <w:proofErr w:type="spellStart"/>
            <w:r w:rsidRPr="00E47AB6">
              <w:rPr>
                <w:szCs w:val="22"/>
              </w:rPr>
              <w:t>Dugger</w:t>
            </w:r>
            <w:proofErr w:type="spellEnd"/>
          </w:p>
        </w:tc>
        <w:tc>
          <w:tcPr>
            <w:tcW w:w="4954" w:type="dxa"/>
            <w:shd w:val="clear" w:color="auto" w:fill="auto"/>
            <w:vAlign w:val="center"/>
          </w:tcPr>
          <w:p w:rsidR="00BA151D" w:rsidRPr="00E47AB6" w:rsidRDefault="00BA151D" w:rsidP="007B5FFE">
            <w:pPr>
              <w:pStyle w:val="BodyText"/>
              <w:rPr>
                <w:szCs w:val="22"/>
              </w:rPr>
            </w:pPr>
            <w:r w:rsidRPr="00E47AB6">
              <w:rPr>
                <w:szCs w:val="22"/>
              </w:rPr>
              <w:t>Community Member</w:t>
            </w:r>
          </w:p>
        </w:tc>
      </w:tr>
      <w:tr w:rsidR="00BA151D" w:rsidRPr="00E47AB6" w:rsidTr="007B5FFE">
        <w:trPr>
          <w:jc w:val="center"/>
        </w:trPr>
        <w:tc>
          <w:tcPr>
            <w:tcW w:w="2615" w:type="dxa"/>
            <w:shd w:val="clear" w:color="auto" w:fill="auto"/>
            <w:vAlign w:val="center"/>
          </w:tcPr>
          <w:p w:rsidR="00BA151D" w:rsidRPr="00E47AB6" w:rsidRDefault="00BA151D" w:rsidP="007B5FFE">
            <w:pPr>
              <w:pStyle w:val="BodyText"/>
              <w:rPr>
                <w:szCs w:val="22"/>
              </w:rPr>
            </w:pPr>
            <w:r w:rsidRPr="00E47AB6">
              <w:rPr>
                <w:szCs w:val="22"/>
              </w:rPr>
              <w:t>Martha Pickens</w:t>
            </w:r>
          </w:p>
        </w:tc>
        <w:tc>
          <w:tcPr>
            <w:tcW w:w="4954" w:type="dxa"/>
            <w:shd w:val="clear" w:color="auto" w:fill="auto"/>
            <w:vAlign w:val="center"/>
          </w:tcPr>
          <w:p w:rsidR="00BA151D" w:rsidRPr="00E47AB6" w:rsidRDefault="00BA151D" w:rsidP="007B5FFE">
            <w:pPr>
              <w:pStyle w:val="BodyText"/>
              <w:rPr>
                <w:szCs w:val="22"/>
              </w:rPr>
            </w:pPr>
            <w:r w:rsidRPr="00E47AB6">
              <w:rPr>
                <w:szCs w:val="22"/>
              </w:rPr>
              <w:t>Community Member</w:t>
            </w:r>
          </w:p>
        </w:tc>
      </w:tr>
      <w:tr w:rsidR="00BA151D" w:rsidRPr="00E47AB6" w:rsidTr="007B5FFE">
        <w:trPr>
          <w:jc w:val="center"/>
        </w:trPr>
        <w:tc>
          <w:tcPr>
            <w:tcW w:w="2615" w:type="dxa"/>
            <w:shd w:val="clear" w:color="auto" w:fill="auto"/>
            <w:vAlign w:val="center"/>
          </w:tcPr>
          <w:p w:rsidR="00BA151D" w:rsidRPr="00E47AB6" w:rsidRDefault="00BA151D" w:rsidP="007B5FFE">
            <w:pPr>
              <w:pStyle w:val="BodyText"/>
              <w:rPr>
                <w:szCs w:val="22"/>
              </w:rPr>
            </w:pPr>
            <w:proofErr w:type="spellStart"/>
            <w:r w:rsidRPr="00E47AB6">
              <w:rPr>
                <w:szCs w:val="22"/>
              </w:rPr>
              <w:t>Stacia</w:t>
            </w:r>
            <w:proofErr w:type="spellEnd"/>
            <w:r w:rsidRPr="00E47AB6">
              <w:rPr>
                <w:szCs w:val="22"/>
              </w:rPr>
              <w:t xml:space="preserve"> Riley</w:t>
            </w:r>
          </w:p>
        </w:tc>
        <w:tc>
          <w:tcPr>
            <w:tcW w:w="4954" w:type="dxa"/>
            <w:shd w:val="clear" w:color="auto" w:fill="auto"/>
            <w:vAlign w:val="center"/>
          </w:tcPr>
          <w:p w:rsidR="00BA151D" w:rsidRPr="00E47AB6" w:rsidRDefault="00BA151D" w:rsidP="007B5FFE">
            <w:pPr>
              <w:pStyle w:val="BodyText"/>
              <w:rPr>
                <w:szCs w:val="22"/>
              </w:rPr>
            </w:pPr>
            <w:r w:rsidRPr="00E47AB6">
              <w:rPr>
                <w:szCs w:val="22"/>
              </w:rPr>
              <w:t>Health Department</w:t>
            </w:r>
          </w:p>
        </w:tc>
      </w:tr>
      <w:tr w:rsidR="00BA151D" w:rsidRPr="00E47AB6" w:rsidTr="007B5FFE">
        <w:trPr>
          <w:jc w:val="center"/>
        </w:trPr>
        <w:tc>
          <w:tcPr>
            <w:tcW w:w="2615" w:type="dxa"/>
            <w:shd w:val="clear" w:color="auto" w:fill="auto"/>
            <w:vAlign w:val="center"/>
          </w:tcPr>
          <w:p w:rsidR="00BA151D" w:rsidRPr="00E47AB6" w:rsidRDefault="00BA151D" w:rsidP="007B5FFE">
            <w:pPr>
              <w:pStyle w:val="BodyText"/>
              <w:rPr>
                <w:szCs w:val="22"/>
              </w:rPr>
            </w:pPr>
            <w:r w:rsidRPr="00E47AB6">
              <w:rPr>
                <w:szCs w:val="22"/>
              </w:rPr>
              <w:t xml:space="preserve">Linda </w:t>
            </w:r>
            <w:proofErr w:type="spellStart"/>
            <w:r w:rsidRPr="00E47AB6">
              <w:rPr>
                <w:szCs w:val="22"/>
              </w:rPr>
              <w:t>Cooperstock</w:t>
            </w:r>
            <w:proofErr w:type="spellEnd"/>
          </w:p>
        </w:tc>
        <w:tc>
          <w:tcPr>
            <w:tcW w:w="4954" w:type="dxa"/>
            <w:shd w:val="clear" w:color="auto" w:fill="auto"/>
            <w:vAlign w:val="center"/>
          </w:tcPr>
          <w:p w:rsidR="00BA151D" w:rsidRPr="00E47AB6" w:rsidRDefault="00BA151D" w:rsidP="007B5FFE">
            <w:pPr>
              <w:pStyle w:val="BodyText"/>
              <w:rPr>
                <w:szCs w:val="22"/>
              </w:rPr>
            </w:pPr>
            <w:r w:rsidRPr="00E47AB6">
              <w:rPr>
                <w:szCs w:val="22"/>
              </w:rPr>
              <w:t>Health Department</w:t>
            </w:r>
          </w:p>
        </w:tc>
      </w:tr>
      <w:tr w:rsidR="00BA151D" w:rsidRPr="00E47AB6" w:rsidTr="007B5FFE">
        <w:trPr>
          <w:jc w:val="center"/>
        </w:trPr>
        <w:tc>
          <w:tcPr>
            <w:tcW w:w="2615" w:type="dxa"/>
            <w:shd w:val="clear" w:color="auto" w:fill="auto"/>
            <w:vAlign w:val="center"/>
          </w:tcPr>
          <w:p w:rsidR="00BA151D" w:rsidRPr="00E47AB6" w:rsidRDefault="00BA151D" w:rsidP="007B5FFE">
            <w:pPr>
              <w:pStyle w:val="BodyText"/>
              <w:rPr>
                <w:szCs w:val="22"/>
              </w:rPr>
            </w:pPr>
            <w:r w:rsidRPr="00E47AB6">
              <w:rPr>
                <w:szCs w:val="22"/>
              </w:rPr>
              <w:t xml:space="preserve">Kerri </w:t>
            </w:r>
            <w:proofErr w:type="spellStart"/>
            <w:r w:rsidRPr="00E47AB6">
              <w:rPr>
                <w:szCs w:val="22"/>
              </w:rPr>
              <w:t>yost</w:t>
            </w:r>
            <w:proofErr w:type="spellEnd"/>
          </w:p>
        </w:tc>
        <w:tc>
          <w:tcPr>
            <w:tcW w:w="4954" w:type="dxa"/>
            <w:shd w:val="clear" w:color="auto" w:fill="auto"/>
            <w:vAlign w:val="center"/>
          </w:tcPr>
          <w:p w:rsidR="00BA151D" w:rsidRPr="00E47AB6" w:rsidRDefault="00BA151D" w:rsidP="007B5FFE">
            <w:pPr>
              <w:pStyle w:val="BodyText"/>
              <w:rPr>
                <w:szCs w:val="22"/>
              </w:rPr>
            </w:pPr>
            <w:r w:rsidRPr="00E47AB6">
              <w:rPr>
                <w:szCs w:val="22"/>
              </w:rPr>
              <w:t>Citizen Jane Film Festival</w:t>
            </w:r>
          </w:p>
        </w:tc>
      </w:tr>
      <w:tr w:rsidR="00BA151D" w:rsidRPr="00E47AB6" w:rsidTr="007B5FFE">
        <w:trPr>
          <w:jc w:val="center"/>
        </w:trPr>
        <w:tc>
          <w:tcPr>
            <w:tcW w:w="2615" w:type="dxa"/>
            <w:shd w:val="clear" w:color="auto" w:fill="auto"/>
            <w:vAlign w:val="center"/>
          </w:tcPr>
          <w:p w:rsidR="00BA151D" w:rsidRPr="00E47AB6" w:rsidRDefault="00BA151D" w:rsidP="007B5FFE">
            <w:pPr>
              <w:pStyle w:val="BodyText"/>
              <w:rPr>
                <w:szCs w:val="22"/>
              </w:rPr>
            </w:pPr>
            <w:proofErr w:type="spellStart"/>
            <w:r w:rsidRPr="00E47AB6">
              <w:rPr>
                <w:szCs w:val="22"/>
              </w:rPr>
              <w:t>Lise</w:t>
            </w:r>
            <w:proofErr w:type="spellEnd"/>
            <w:r w:rsidRPr="00E47AB6">
              <w:rPr>
                <w:szCs w:val="22"/>
              </w:rPr>
              <w:t xml:space="preserve"> </w:t>
            </w:r>
            <w:proofErr w:type="spellStart"/>
            <w:r w:rsidRPr="00E47AB6">
              <w:rPr>
                <w:szCs w:val="22"/>
              </w:rPr>
              <w:t>Saffran</w:t>
            </w:r>
            <w:proofErr w:type="spellEnd"/>
          </w:p>
        </w:tc>
        <w:tc>
          <w:tcPr>
            <w:tcW w:w="4954" w:type="dxa"/>
            <w:shd w:val="clear" w:color="auto" w:fill="auto"/>
            <w:vAlign w:val="center"/>
          </w:tcPr>
          <w:p w:rsidR="00BA151D" w:rsidRPr="00E47AB6" w:rsidRDefault="00BA151D" w:rsidP="007B5FFE">
            <w:pPr>
              <w:pStyle w:val="BodyText"/>
              <w:rPr>
                <w:szCs w:val="22"/>
              </w:rPr>
            </w:pPr>
            <w:r w:rsidRPr="00E47AB6">
              <w:rPr>
                <w:szCs w:val="22"/>
              </w:rPr>
              <w:t>MU Masters of Public Health Program</w:t>
            </w:r>
          </w:p>
        </w:tc>
      </w:tr>
      <w:tr w:rsidR="00BA151D" w:rsidRPr="00E47AB6" w:rsidTr="007B5FFE">
        <w:trPr>
          <w:jc w:val="center"/>
        </w:trPr>
        <w:tc>
          <w:tcPr>
            <w:tcW w:w="2615" w:type="dxa"/>
            <w:shd w:val="clear" w:color="auto" w:fill="auto"/>
            <w:vAlign w:val="center"/>
          </w:tcPr>
          <w:p w:rsidR="00BA151D" w:rsidRPr="00E47AB6" w:rsidRDefault="00BA151D" w:rsidP="007B5FFE">
            <w:pPr>
              <w:pStyle w:val="BodyText"/>
              <w:rPr>
                <w:szCs w:val="22"/>
              </w:rPr>
            </w:pPr>
            <w:r w:rsidRPr="00E47AB6">
              <w:rPr>
                <w:szCs w:val="22"/>
              </w:rPr>
              <w:t>Anna Lingo</w:t>
            </w:r>
          </w:p>
        </w:tc>
        <w:tc>
          <w:tcPr>
            <w:tcW w:w="4954" w:type="dxa"/>
            <w:shd w:val="clear" w:color="auto" w:fill="auto"/>
            <w:vAlign w:val="center"/>
          </w:tcPr>
          <w:p w:rsidR="00BA151D" w:rsidRPr="00E47AB6" w:rsidRDefault="00BA151D" w:rsidP="007B5FFE">
            <w:pPr>
              <w:pStyle w:val="BodyText"/>
              <w:rPr>
                <w:szCs w:val="22"/>
              </w:rPr>
            </w:pPr>
            <w:r w:rsidRPr="00E47AB6">
              <w:rPr>
                <w:szCs w:val="22"/>
              </w:rPr>
              <w:t>Markel &amp; Lingo Law Firm</w:t>
            </w:r>
          </w:p>
        </w:tc>
      </w:tr>
      <w:tr w:rsidR="00BA151D" w:rsidRPr="00E47AB6" w:rsidTr="007B5FFE">
        <w:trPr>
          <w:jc w:val="center"/>
        </w:trPr>
        <w:tc>
          <w:tcPr>
            <w:tcW w:w="2615" w:type="dxa"/>
            <w:shd w:val="clear" w:color="auto" w:fill="auto"/>
            <w:vAlign w:val="center"/>
          </w:tcPr>
          <w:p w:rsidR="00BA151D" w:rsidRPr="00E47AB6" w:rsidRDefault="00BA151D" w:rsidP="007B5FFE">
            <w:pPr>
              <w:pStyle w:val="BodyText"/>
              <w:rPr>
                <w:szCs w:val="22"/>
              </w:rPr>
            </w:pPr>
            <w:r w:rsidRPr="00E47AB6">
              <w:rPr>
                <w:szCs w:val="22"/>
              </w:rPr>
              <w:t>Linda Hayes</w:t>
            </w:r>
          </w:p>
        </w:tc>
        <w:tc>
          <w:tcPr>
            <w:tcW w:w="4954" w:type="dxa"/>
            <w:shd w:val="clear" w:color="auto" w:fill="auto"/>
            <w:vAlign w:val="center"/>
          </w:tcPr>
          <w:p w:rsidR="00BA151D" w:rsidRPr="00E47AB6" w:rsidRDefault="00BA151D" w:rsidP="007B5FFE">
            <w:pPr>
              <w:pStyle w:val="BodyText"/>
              <w:rPr>
                <w:szCs w:val="22"/>
              </w:rPr>
            </w:pPr>
            <w:r w:rsidRPr="00E47AB6">
              <w:rPr>
                <w:szCs w:val="22"/>
              </w:rPr>
              <w:t>PFLAG</w:t>
            </w:r>
          </w:p>
        </w:tc>
      </w:tr>
      <w:tr w:rsidR="00BA151D" w:rsidRPr="00E47AB6" w:rsidTr="007B5FFE">
        <w:trPr>
          <w:jc w:val="center"/>
        </w:trPr>
        <w:tc>
          <w:tcPr>
            <w:tcW w:w="2615" w:type="dxa"/>
            <w:shd w:val="clear" w:color="auto" w:fill="auto"/>
            <w:vAlign w:val="center"/>
          </w:tcPr>
          <w:p w:rsidR="00BA151D" w:rsidRPr="00E47AB6" w:rsidRDefault="00BA151D" w:rsidP="007B5FFE">
            <w:pPr>
              <w:pStyle w:val="BodyText"/>
              <w:rPr>
                <w:szCs w:val="22"/>
              </w:rPr>
            </w:pPr>
            <w:r w:rsidRPr="00E47AB6">
              <w:rPr>
                <w:szCs w:val="22"/>
              </w:rPr>
              <w:t>Cindy Foley</w:t>
            </w:r>
          </w:p>
        </w:tc>
        <w:tc>
          <w:tcPr>
            <w:tcW w:w="4954" w:type="dxa"/>
            <w:shd w:val="clear" w:color="auto" w:fill="auto"/>
            <w:vAlign w:val="center"/>
          </w:tcPr>
          <w:p w:rsidR="00BA151D" w:rsidRPr="00E47AB6" w:rsidRDefault="00BA151D" w:rsidP="007B5FFE">
            <w:pPr>
              <w:pStyle w:val="BodyText"/>
              <w:rPr>
                <w:szCs w:val="22"/>
              </w:rPr>
            </w:pPr>
            <w:r w:rsidRPr="00E47AB6">
              <w:rPr>
                <w:szCs w:val="22"/>
              </w:rPr>
              <w:t>Wellness Resource Center</w:t>
            </w:r>
          </w:p>
        </w:tc>
      </w:tr>
      <w:tr w:rsidR="00BA151D" w:rsidRPr="00E47AB6" w:rsidTr="007B5FFE">
        <w:trPr>
          <w:jc w:val="center"/>
        </w:trPr>
        <w:tc>
          <w:tcPr>
            <w:tcW w:w="2615" w:type="dxa"/>
            <w:shd w:val="clear" w:color="auto" w:fill="auto"/>
            <w:vAlign w:val="center"/>
          </w:tcPr>
          <w:p w:rsidR="00BA151D" w:rsidRPr="00E47AB6" w:rsidRDefault="00BA151D" w:rsidP="007B5FFE">
            <w:pPr>
              <w:pStyle w:val="BodyText"/>
              <w:rPr>
                <w:szCs w:val="22"/>
              </w:rPr>
            </w:pPr>
            <w:r w:rsidRPr="00E47AB6">
              <w:rPr>
                <w:szCs w:val="22"/>
              </w:rPr>
              <w:t>Patty Clover</w:t>
            </w:r>
          </w:p>
        </w:tc>
        <w:tc>
          <w:tcPr>
            <w:tcW w:w="4954" w:type="dxa"/>
            <w:shd w:val="clear" w:color="auto" w:fill="auto"/>
            <w:vAlign w:val="center"/>
          </w:tcPr>
          <w:p w:rsidR="00BA151D" w:rsidRPr="00E47AB6" w:rsidRDefault="00BA151D" w:rsidP="007B5FFE">
            <w:pPr>
              <w:pStyle w:val="BodyText"/>
              <w:rPr>
                <w:szCs w:val="22"/>
              </w:rPr>
            </w:pPr>
            <w:r w:rsidRPr="00E47AB6">
              <w:rPr>
                <w:szCs w:val="22"/>
              </w:rPr>
              <w:t>Clovers</w:t>
            </w:r>
          </w:p>
        </w:tc>
      </w:tr>
      <w:tr w:rsidR="00BA151D" w:rsidRPr="00E47AB6" w:rsidTr="007B5FFE">
        <w:trPr>
          <w:jc w:val="center"/>
        </w:trPr>
        <w:tc>
          <w:tcPr>
            <w:tcW w:w="2615" w:type="dxa"/>
            <w:shd w:val="clear" w:color="auto" w:fill="auto"/>
            <w:vAlign w:val="center"/>
          </w:tcPr>
          <w:p w:rsidR="00BA151D" w:rsidRPr="00E47AB6" w:rsidRDefault="00BA151D" w:rsidP="007B5FFE">
            <w:pPr>
              <w:pStyle w:val="BodyText"/>
              <w:rPr>
                <w:szCs w:val="22"/>
              </w:rPr>
            </w:pPr>
            <w:r w:rsidRPr="00E47AB6">
              <w:rPr>
                <w:szCs w:val="22"/>
              </w:rPr>
              <w:t xml:space="preserve">Laura </w:t>
            </w:r>
            <w:proofErr w:type="spellStart"/>
            <w:r w:rsidRPr="00E47AB6">
              <w:rPr>
                <w:szCs w:val="22"/>
              </w:rPr>
              <w:t>Hacquard</w:t>
            </w:r>
            <w:proofErr w:type="spellEnd"/>
          </w:p>
        </w:tc>
        <w:tc>
          <w:tcPr>
            <w:tcW w:w="4954" w:type="dxa"/>
            <w:shd w:val="clear" w:color="auto" w:fill="auto"/>
            <w:vAlign w:val="center"/>
          </w:tcPr>
          <w:p w:rsidR="00BA151D" w:rsidRPr="00E47AB6" w:rsidRDefault="00BA151D" w:rsidP="007B5FFE">
            <w:pPr>
              <w:pStyle w:val="BodyText"/>
              <w:rPr>
                <w:szCs w:val="22"/>
              </w:rPr>
            </w:pPr>
            <w:r w:rsidRPr="00E47AB6">
              <w:rPr>
                <w:szCs w:val="22"/>
              </w:rPr>
              <w:t>MU Women’s Center</w:t>
            </w:r>
          </w:p>
        </w:tc>
      </w:tr>
      <w:tr w:rsidR="00BA151D" w:rsidRPr="00E47AB6" w:rsidTr="007B5FFE">
        <w:trPr>
          <w:jc w:val="center"/>
        </w:trPr>
        <w:tc>
          <w:tcPr>
            <w:tcW w:w="2615" w:type="dxa"/>
            <w:shd w:val="clear" w:color="auto" w:fill="auto"/>
            <w:vAlign w:val="center"/>
          </w:tcPr>
          <w:p w:rsidR="00BA151D" w:rsidRPr="00E47AB6" w:rsidRDefault="00BA151D" w:rsidP="007B5FFE">
            <w:pPr>
              <w:pStyle w:val="BodyText"/>
              <w:rPr>
                <w:szCs w:val="22"/>
              </w:rPr>
            </w:pPr>
            <w:r w:rsidRPr="00E47AB6">
              <w:rPr>
                <w:szCs w:val="22"/>
              </w:rPr>
              <w:t xml:space="preserve">Sara </w:t>
            </w:r>
            <w:proofErr w:type="spellStart"/>
            <w:r w:rsidRPr="00E47AB6">
              <w:rPr>
                <w:szCs w:val="22"/>
              </w:rPr>
              <w:t>Mitchelle</w:t>
            </w:r>
            <w:proofErr w:type="spellEnd"/>
          </w:p>
        </w:tc>
        <w:tc>
          <w:tcPr>
            <w:tcW w:w="4954" w:type="dxa"/>
            <w:shd w:val="clear" w:color="auto" w:fill="auto"/>
            <w:vAlign w:val="center"/>
          </w:tcPr>
          <w:p w:rsidR="00BA151D" w:rsidRPr="00E47AB6" w:rsidRDefault="00BA151D" w:rsidP="007B5FFE">
            <w:pPr>
              <w:pStyle w:val="BodyText"/>
              <w:rPr>
                <w:szCs w:val="22"/>
              </w:rPr>
            </w:pPr>
            <w:r w:rsidRPr="00E47AB6">
              <w:rPr>
                <w:szCs w:val="22"/>
              </w:rPr>
              <w:t>The Center Project</w:t>
            </w:r>
          </w:p>
        </w:tc>
      </w:tr>
      <w:tr w:rsidR="00BA151D" w:rsidRPr="00E47AB6" w:rsidTr="007B5FFE">
        <w:trPr>
          <w:jc w:val="center"/>
        </w:trPr>
        <w:tc>
          <w:tcPr>
            <w:tcW w:w="7569" w:type="dxa"/>
            <w:gridSpan w:val="2"/>
            <w:shd w:val="clear" w:color="auto" w:fill="auto"/>
            <w:vAlign w:val="center"/>
          </w:tcPr>
          <w:p w:rsidR="00BA151D" w:rsidRPr="00E47AB6" w:rsidRDefault="00BA151D" w:rsidP="007B5FFE">
            <w:pPr>
              <w:pStyle w:val="BodyText"/>
              <w:rPr>
                <w:szCs w:val="22"/>
              </w:rPr>
            </w:pPr>
            <w:r w:rsidRPr="00E47AB6">
              <w:rPr>
                <w:szCs w:val="22"/>
              </w:rPr>
              <w:t>*This list is the group of individuals who have been invited to participate on the Advisory Group; but have not yet confirmed their participation.</w:t>
            </w:r>
          </w:p>
        </w:tc>
      </w:tr>
    </w:tbl>
    <w:p w:rsidR="00BA151D" w:rsidRPr="00247B78" w:rsidRDefault="00BA151D" w:rsidP="00245F86">
      <w:pPr>
        <w:pStyle w:val="BodyText"/>
        <w:rPr>
          <w:sz w:val="24"/>
          <w:szCs w:val="24"/>
        </w:rPr>
      </w:pPr>
    </w:p>
    <w:p w:rsidR="00BA151D" w:rsidRPr="00247B78" w:rsidRDefault="00BA151D" w:rsidP="00245F86">
      <w:pPr>
        <w:pStyle w:val="AbtHeadB"/>
        <w:rPr>
          <w:rFonts w:ascii="Times New Roman" w:hAnsi="Times New Roman"/>
          <w:sz w:val="24"/>
          <w:szCs w:val="24"/>
        </w:rPr>
      </w:pPr>
      <w:bookmarkStart w:id="17" w:name="_Toc128543481"/>
      <w:bookmarkStart w:id="18" w:name="_Toc129770673"/>
      <w:r w:rsidRPr="00247B78">
        <w:rPr>
          <w:rFonts w:ascii="Times New Roman" w:hAnsi="Times New Roman"/>
          <w:sz w:val="24"/>
          <w:szCs w:val="24"/>
        </w:rPr>
        <w:t>A.9.</w:t>
      </w:r>
      <w:r w:rsidRPr="00247B78">
        <w:rPr>
          <w:rFonts w:ascii="Times New Roman" w:hAnsi="Times New Roman"/>
          <w:sz w:val="24"/>
          <w:szCs w:val="24"/>
        </w:rPr>
        <w:tab/>
        <w:t>Payments or Gifts to Respondents</w:t>
      </w:r>
      <w:bookmarkEnd w:id="17"/>
      <w:bookmarkEnd w:id="18"/>
      <w:r w:rsidRPr="00247B78">
        <w:rPr>
          <w:rFonts w:ascii="Times New Roman" w:hAnsi="Times New Roman"/>
          <w:sz w:val="24"/>
          <w:szCs w:val="24"/>
        </w:rPr>
        <w:t xml:space="preserve">  </w:t>
      </w:r>
    </w:p>
    <w:p w:rsidR="00BA151D" w:rsidRPr="002340E6" w:rsidRDefault="00BA151D" w:rsidP="002340E6">
      <w:pPr>
        <w:spacing w:line="240" w:lineRule="auto"/>
        <w:rPr>
          <w:bCs/>
          <w:sz w:val="24"/>
          <w:szCs w:val="24"/>
        </w:rPr>
      </w:pPr>
      <w:r w:rsidRPr="00247B78">
        <w:rPr>
          <w:bCs/>
          <w:sz w:val="24"/>
          <w:szCs w:val="24"/>
        </w:rPr>
        <w:t>Church found in a meta-analysis of 38 experimental and quasi-experimental studies that implemented some form of mail survey that those surveys that included monetary or non-monetary rewards in the initial mailing yielded statistically significant participant response rates.</w:t>
      </w:r>
      <w:r w:rsidRPr="00E31D3B">
        <w:rPr>
          <w:bCs/>
          <w:noProof/>
          <w:sz w:val="24"/>
          <w:szCs w:val="24"/>
          <w:vertAlign w:val="superscript"/>
        </w:rPr>
        <w:t>1</w:t>
      </w:r>
      <w:r w:rsidRPr="00247B78">
        <w:rPr>
          <w:bCs/>
          <w:sz w:val="24"/>
          <w:szCs w:val="24"/>
        </w:rPr>
        <w:t xml:space="preserve"> </w:t>
      </w:r>
      <w:proofErr w:type="gramStart"/>
      <w:r w:rsidRPr="00247B78">
        <w:rPr>
          <w:bCs/>
          <w:sz w:val="24"/>
          <w:szCs w:val="24"/>
        </w:rPr>
        <w:t>We</w:t>
      </w:r>
      <w:proofErr w:type="gramEnd"/>
      <w:r w:rsidRPr="00247B78">
        <w:rPr>
          <w:bCs/>
          <w:sz w:val="24"/>
          <w:szCs w:val="24"/>
        </w:rPr>
        <w:t xml:space="preserve"> will be offering monetary incentives to the participants to complete assessments for the intervention. </w:t>
      </w:r>
      <w:r>
        <w:rPr>
          <w:bCs/>
          <w:sz w:val="24"/>
          <w:szCs w:val="24"/>
        </w:rPr>
        <w:t xml:space="preserve">The CDC also mentioned the importance of using incentives in its July 2010 evaluation brief, </w:t>
      </w:r>
      <w:r w:rsidRPr="00D304C7">
        <w:rPr>
          <w:bCs/>
          <w:i/>
          <w:sz w:val="24"/>
          <w:szCs w:val="24"/>
        </w:rPr>
        <w:t>Using Incentives to Boost Response Rates</w:t>
      </w:r>
      <w:r>
        <w:rPr>
          <w:bCs/>
          <w:sz w:val="24"/>
          <w:szCs w:val="24"/>
        </w:rPr>
        <w:t xml:space="preserve">, to: Improve response rates; </w:t>
      </w:r>
      <w:r w:rsidRPr="002340E6">
        <w:rPr>
          <w:bCs/>
          <w:sz w:val="24"/>
          <w:szCs w:val="24"/>
        </w:rPr>
        <w:t xml:space="preserve">Demonstrate respect and appreciation for </w:t>
      </w:r>
      <w:r>
        <w:rPr>
          <w:bCs/>
          <w:sz w:val="24"/>
          <w:szCs w:val="24"/>
        </w:rPr>
        <w:t xml:space="preserve">respondent time and effort; and </w:t>
      </w:r>
      <w:r w:rsidRPr="002340E6">
        <w:rPr>
          <w:bCs/>
          <w:sz w:val="24"/>
          <w:szCs w:val="24"/>
        </w:rPr>
        <w:t>Convey trust that the respondent will complete the survey.</w:t>
      </w:r>
    </w:p>
    <w:p w:rsidR="00BA151D" w:rsidRDefault="00BA151D" w:rsidP="00245F86">
      <w:pPr>
        <w:spacing w:line="240" w:lineRule="auto"/>
        <w:rPr>
          <w:bCs/>
          <w:sz w:val="24"/>
          <w:szCs w:val="24"/>
        </w:rPr>
      </w:pPr>
    </w:p>
    <w:p w:rsidR="00BA151D" w:rsidRPr="00247B78" w:rsidRDefault="00BA151D" w:rsidP="00245F86">
      <w:pPr>
        <w:spacing w:line="240" w:lineRule="auto"/>
        <w:rPr>
          <w:bCs/>
          <w:sz w:val="24"/>
          <w:szCs w:val="24"/>
        </w:rPr>
      </w:pPr>
      <w:r w:rsidRPr="00247B78">
        <w:rPr>
          <w:bCs/>
          <w:sz w:val="24"/>
          <w:szCs w:val="24"/>
        </w:rPr>
        <w:t xml:space="preserve">The attention control group </w:t>
      </w:r>
      <w:r w:rsidRPr="00247B78">
        <w:rPr>
          <w:sz w:val="24"/>
          <w:szCs w:val="24"/>
        </w:rPr>
        <w:t>will</w:t>
      </w:r>
      <w:r>
        <w:rPr>
          <w:sz w:val="24"/>
          <w:szCs w:val="24"/>
        </w:rPr>
        <w:t xml:space="preserve"> </w:t>
      </w:r>
      <w:r w:rsidRPr="00247B78">
        <w:rPr>
          <w:sz w:val="24"/>
          <w:szCs w:val="24"/>
        </w:rPr>
        <w:t>receive $25 for completing each fitness assessment (at baseline, at the end of the intervention phase (16-weeks), and at the end of the study (12-months), totaling $75.</w:t>
      </w:r>
      <w:r>
        <w:rPr>
          <w:sz w:val="24"/>
          <w:szCs w:val="24"/>
        </w:rPr>
        <w:t xml:space="preserve">  There will be a post-intervention focus group in which up to 20 individuals across intervention groups will be invited to participate.  The focus group participants will receive $25 for their participation.</w:t>
      </w:r>
      <w:r w:rsidRPr="00247B78">
        <w:rPr>
          <w:sz w:val="24"/>
          <w:szCs w:val="24"/>
        </w:rPr>
        <w:t xml:space="preserve"> </w:t>
      </w:r>
      <w:r w:rsidRPr="00391495">
        <w:rPr>
          <w:b/>
          <w:bCs/>
          <w:i/>
          <w:sz w:val="24"/>
          <w:szCs w:val="24"/>
        </w:rPr>
        <w:t>Therefore</w:t>
      </w:r>
      <w:r>
        <w:rPr>
          <w:b/>
          <w:bCs/>
          <w:i/>
          <w:sz w:val="24"/>
          <w:szCs w:val="24"/>
        </w:rPr>
        <w:t>, the total compensation for each</w:t>
      </w:r>
      <w:r w:rsidRPr="00391495">
        <w:rPr>
          <w:b/>
          <w:bCs/>
          <w:i/>
          <w:sz w:val="24"/>
          <w:szCs w:val="24"/>
        </w:rPr>
        <w:t xml:space="preserve"> attention control group participant is $</w:t>
      </w:r>
      <w:r>
        <w:rPr>
          <w:b/>
          <w:bCs/>
          <w:i/>
          <w:sz w:val="24"/>
          <w:szCs w:val="24"/>
        </w:rPr>
        <w:t>75 with a maximum total of $100(for those who participate in the focus group)</w:t>
      </w:r>
      <w:r w:rsidRPr="00391495">
        <w:rPr>
          <w:b/>
          <w:bCs/>
          <w:i/>
          <w:sz w:val="24"/>
          <w:szCs w:val="24"/>
        </w:rPr>
        <w:t>.</w:t>
      </w:r>
      <w:r w:rsidRPr="00247B78">
        <w:rPr>
          <w:sz w:val="24"/>
          <w:szCs w:val="24"/>
        </w:rPr>
        <w:t xml:space="preserve"> </w:t>
      </w:r>
      <w:r>
        <w:rPr>
          <w:sz w:val="24"/>
          <w:szCs w:val="24"/>
        </w:rPr>
        <w:t xml:space="preserve"> </w:t>
      </w:r>
      <w:r w:rsidRPr="00247B78">
        <w:rPr>
          <w:sz w:val="24"/>
          <w:szCs w:val="24"/>
        </w:rPr>
        <w:t>No other compensation will be provided.</w:t>
      </w:r>
    </w:p>
    <w:p w:rsidR="00BA151D" w:rsidRPr="00247B78" w:rsidRDefault="00BA151D" w:rsidP="00245F86">
      <w:pPr>
        <w:spacing w:line="240" w:lineRule="auto"/>
        <w:rPr>
          <w:bCs/>
          <w:sz w:val="24"/>
          <w:szCs w:val="24"/>
        </w:rPr>
      </w:pPr>
    </w:p>
    <w:p w:rsidR="00BA151D" w:rsidRDefault="00BA151D" w:rsidP="00245F86">
      <w:pPr>
        <w:spacing w:line="240" w:lineRule="auto"/>
        <w:rPr>
          <w:bCs/>
          <w:sz w:val="24"/>
          <w:szCs w:val="24"/>
        </w:rPr>
      </w:pPr>
      <w:r w:rsidRPr="00247B78">
        <w:rPr>
          <w:bCs/>
          <w:sz w:val="24"/>
          <w:szCs w:val="24"/>
        </w:rPr>
        <w:t xml:space="preserve">Participants in the Smart Pedometer Group will receive $25 for completing the 12 month follow-up </w:t>
      </w:r>
      <w:r>
        <w:rPr>
          <w:bCs/>
          <w:sz w:val="24"/>
          <w:szCs w:val="24"/>
        </w:rPr>
        <w:t>evaluation</w:t>
      </w:r>
      <w:r w:rsidRPr="00247B78">
        <w:rPr>
          <w:bCs/>
          <w:sz w:val="24"/>
          <w:szCs w:val="24"/>
        </w:rPr>
        <w:t xml:space="preserve">. </w:t>
      </w:r>
      <w:r>
        <w:rPr>
          <w:sz w:val="24"/>
          <w:szCs w:val="24"/>
        </w:rPr>
        <w:t>There will be a post-intervention focus group in which up to 20 individuals across intervention groups will be invited to participate.  The focus group participants will receive $25 for their participation.</w:t>
      </w:r>
      <w:r w:rsidRPr="00247B78">
        <w:rPr>
          <w:sz w:val="24"/>
          <w:szCs w:val="24"/>
        </w:rPr>
        <w:t xml:space="preserve"> </w:t>
      </w:r>
      <w:r w:rsidRPr="00391495">
        <w:rPr>
          <w:b/>
          <w:bCs/>
          <w:i/>
          <w:sz w:val="24"/>
          <w:szCs w:val="24"/>
        </w:rPr>
        <w:t xml:space="preserve">Therefore, the </w:t>
      </w:r>
      <w:r>
        <w:rPr>
          <w:b/>
          <w:bCs/>
          <w:i/>
          <w:sz w:val="24"/>
          <w:szCs w:val="24"/>
        </w:rPr>
        <w:t>total</w:t>
      </w:r>
      <w:r w:rsidRPr="00391495">
        <w:rPr>
          <w:b/>
          <w:bCs/>
          <w:i/>
          <w:sz w:val="24"/>
          <w:szCs w:val="24"/>
        </w:rPr>
        <w:t xml:space="preserve"> compensation for </w:t>
      </w:r>
      <w:r>
        <w:rPr>
          <w:b/>
          <w:bCs/>
          <w:i/>
          <w:sz w:val="24"/>
          <w:szCs w:val="24"/>
        </w:rPr>
        <w:t>each</w:t>
      </w:r>
      <w:r w:rsidRPr="00391495">
        <w:rPr>
          <w:b/>
          <w:bCs/>
          <w:i/>
          <w:sz w:val="24"/>
          <w:szCs w:val="24"/>
        </w:rPr>
        <w:t xml:space="preserve"> Smart Pedometer Group participant is $</w:t>
      </w:r>
      <w:r>
        <w:rPr>
          <w:b/>
          <w:bCs/>
          <w:i/>
          <w:sz w:val="24"/>
          <w:szCs w:val="24"/>
        </w:rPr>
        <w:t>25with a maximum total of $50 (for those who participate in the focus group)</w:t>
      </w:r>
      <w:r>
        <w:rPr>
          <w:bCs/>
          <w:sz w:val="24"/>
          <w:szCs w:val="24"/>
        </w:rPr>
        <w:t xml:space="preserve">.  </w:t>
      </w:r>
      <w:r w:rsidRPr="00247B78">
        <w:rPr>
          <w:bCs/>
          <w:sz w:val="24"/>
          <w:szCs w:val="24"/>
        </w:rPr>
        <w:t>No other compensation will be provided.</w:t>
      </w:r>
    </w:p>
    <w:p w:rsidR="00BA151D" w:rsidRDefault="00BA151D" w:rsidP="00245F86">
      <w:pPr>
        <w:spacing w:line="240" w:lineRule="auto"/>
        <w:rPr>
          <w:bCs/>
          <w:sz w:val="24"/>
          <w:szCs w:val="24"/>
        </w:rPr>
      </w:pPr>
    </w:p>
    <w:p w:rsidR="00BA151D" w:rsidRDefault="00BA151D" w:rsidP="00245F86">
      <w:pPr>
        <w:spacing w:line="240" w:lineRule="auto"/>
        <w:rPr>
          <w:bCs/>
          <w:sz w:val="24"/>
          <w:szCs w:val="24"/>
        </w:rPr>
      </w:pPr>
      <w:r w:rsidRPr="00247B78">
        <w:rPr>
          <w:bCs/>
          <w:sz w:val="24"/>
          <w:szCs w:val="24"/>
        </w:rPr>
        <w:t xml:space="preserve">Participants in the Full Gym Intervention Group will receive $25 for completing the 12 month follow-up </w:t>
      </w:r>
      <w:r>
        <w:rPr>
          <w:bCs/>
          <w:sz w:val="24"/>
          <w:szCs w:val="24"/>
        </w:rPr>
        <w:t>evaluation</w:t>
      </w:r>
      <w:r w:rsidRPr="00247B78">
        <w:rPr>
          <w:bCs/>
          <w:sz w:val="24"/>
          <w:szCs w:val="24"/>
        </w:rPr>
        <w:t>.</w:t>
      </w:r>
      <w:r>
        <w:rPr>
          <w:bCs/>
          <w:sz w:val="24"/>
          <w:szCs w:val="24"/>
        </w:rPr>
        <w:t xml:space="preserve">  </w:t>
      </w:r>
      <w:r>
        <w:rPr>
          <w:sz w:val="24"/>
          <w:szCs w:val="24"/>
        </w:rPr>
        <w:t>There will be a post-intervention focus group in which up to 20 individuals across intervention groups will be invited to participate.  The focus group participants will receive $25 for their participation.</w:t>
      </w:r>
      <w:r w:rsidRPr="00247B78">
        <w:rPr>
          <w:sz w:val="24"/>
          <w:szCs w:val="24"/>
        </w:rPr>
        <w:t xml:space="preserve"> </w:t>
      </w:r>
      <w:r w:rsidRPr="00391495">
        <w:rPr>
          <w:b/>
          <w:bCs/>
          <w:i/>
          <w:sz w:val="24"/>
          <w:szCs w:val="24"/>
        </w:rPr>
        <w:t xml:space="preserve">Therefore, the </w:t>
      </w:r>
      <w:r>
        <w:rPr>
          <w:b/>
          <w:bCs/>
          <w:i/>
          <w:sz w:val="24"/>
          <w:szCs w:val="24"/>
        </w:rPr>
        <w:t>total</w:t>
      </w:r>
      <w:r w:rsidRPr="00391495">
        <w:rPr>
          <w:b/>
          <w:bCs/>
          <w:i/>
          <w:sz w:val="24"/>
          <w:szCs w:val="24"/>
        </w:rPr>
        <w:t xml:space="preserve"> compensation for each Full Gym Intervention Group participant is $</w:t>
      </w:r>
      <w:r>
        <w:rPr>
          <w:b/>
          <w:bCs/>
          <w:i/>
          <w:sz w:val="24"/>
          <w:szCs w:val="24"/>
        </w:rPr>
        <w:t>25 with a maximum of $50 (for those who participate in the focus group)</w:t>
      </w:r>
      <w:r>
        <w:rPr>
          <w:bCs/>
          <w:sz w:val="24"/>
          <w:szCs w:val="24"/>
        </w:rPr>
        <w:t xml:space="preserve">.  </w:t>
      </w:r>
      <w:r w:rsidRPr="00247B78">
        <w:rPr>
          <w:bCs/>
          <w:sz w:val="24"/>
          <w:szCs w:val="24"/>
        </w:rPr>
        <w:t>No other compensation will be provided.</w:t>
      </w:r>
    </w:p>
    <w:p w:rsidR="00BA151D" w:rsidRDefault="00BA151D" w:rsidP="00245F86">
      <w:pPr>
        <w:spacing w:line="240" w:lineRule="auto"/>
        <w:rPr>
          <w:bCs/>
          <w:sz w:val="24"/>
          <w:szCs w:val="24"/>
        </w:rPr>
      </w:pPr>
    </w:p>
    <w:p w:rsidR="00BA151D" w:rsidRPr="00247B78" w:rsidRDefault="00BA151D" w:rsidP="00245F86">
      <w:pPr>
        <w:pStyle w:val="AbtHeadB"/>
        <w:rPr>
          <w:rFonts w:ascii="Times New Roman" w:hAnsi="Times New Roman"/>
          <w:sz w:val="24"/>
          <w:szCs w:val="24"/>
        </w:rPr>
      </w:pPr>
      <w:bookmarkStart w:id="19" w:name="_Toc128543482"/>
      <w:bookmarkStart w:id="20" w:name="_Toc129770674"/>
      <w:r w:rsidRPr="00247B78">
        <w:rPr>
          <w:rFonts w:ascii="Times New Roman" w:hAnsi="Times New Roman"/>
          <w:sz w:val="24"/>
          <w:szCs w:val="24"/>
        </w:rPr>
        <w:t>A.10.</w:t>
      </w:r>
      <w:r w:rsidRPr="00247B78">
        <w:rPr>
          <w:rFonts w:ascii="Times New Roman" w:hAnsi="Times New Roman"/>
          <w:sz w:val="24"/>
          <w:szCs w:val="24"/>
        </w:rPr>
        <w:tab/>
        <w:t>Assurance of Confidentiality</w:t>
      </w:r>
      <w:bookmarkEnd w:id="19"/>
      <w:bookmarkEnd w:id="20"/>
    </w:p>
    <w:p w:rsidR="00BA151D" w:rsidRPr="00247B78" w:rsidRDefault="00BA151D" w:rsidP="00245F86">
      <w:pPr>
        <w:pStyle w:val="BodyText"/>
        <w:rPr>
          <w:sz w:val="24"/>
          <w:szCs w:val="24"/>
        </w:rPr>
      </w:pPr>
      <w:r w:rsidRPr="00247B78">
        <w:rPr>
          <w:sz w:val="24"/>
          <w:szCs w:val="24"/>
        </w:rPr>
        <w:t xml:space="preserve">The data collection plan </w:t>
      </w:r>
      <w:r>
        <w:rPr>
          <w:sz w:val="24"/>
          <w:szCs w:val="24"/>
        </w:rPr>
        <w:t>has been submitted</w:t>
      </w:r>
      <w:r w:rsidRPr="00247B78">
        <w:rPr>
          <w:sz w:val="24"/>
          <w:szCs w:val="24"/>
        </w:rPr>
        <w:t xml:space="preserve"> for approval by the NORC at the University of Chicago</w:t>
      </w:r>
      <w:r>
        <w:rPr>
          <w:sz w:val="24"/>
          <w:szCs w:val="24"/>
        </w:rPr>
        <w:t xml:space="preserve"> (NORC)</w:t>
      </w:r>
      <w:r w:rsidRPr="00247B78">
        <w:rPr>
          <w:sz w:val="24"/>
          <w:szCs w:val="24"/>
        </w:rPr>
        <w:t xml:space="preserve"> and University of Missouri – </w:t>
      </w:r>
      <w:r>
        <w:rPr>
          <w:sz w:val="24"/>
          <w:szCs w:val="24"/>
        </w:rPr>
        <w:t>Columbia</w:t>
      </w:r>
      <w:r w:rsidRPr="00247B78">
        <w:rPr>
          <w:sz w:val="24"/>
          <w:szCs w:val="24"/>
        </w:rPr>
        <w:t xml:space="preserve"> Institutional Review Boards. Every effort will be made to maintain the privacy and confidentiality of respondents. Data will be kept private to the extent allowed by law. The confidentiality procedures adopted for this study during baseline data collection, data processing, and analysis will consist of the following:</w:t>
      </w:r>
    </w:p>
    <w:p w:rsidR="00BA151D" w:rsidRPr="00247B78" w:rsidRDefault="00BA151D" w:rsidP="00245F86">
      <w:pPr>
        <w:pStyle w:val="BodyText"/>
        <w:rPr>
          <w:sz w:val="24"/>
          <w:szCs w:val="24"/>
        </w:rPr>
      </w:pPr>
    </w:p>
    <w:p w:rsidR="00BA151D" w:rsidRPr="00247B78" w:rsidRDefault="00BA151D" w:rsidP="00245F86">
      <w:pPr>
        <w:pStyle w:val="BodyText"/>
        <w:numPr>
          <w:ilvl w:val="0"/>
          <w:numId w:val="1"/>
        </w:numPr>
        <w:tabs>
          <w:tab w:val="clear" w:pos="1440"/>
        </w:tabs>
        <w:spacing w:after="120"/>
        <w:rPr>
          <w:sz w:val="24"/>
          <w:szCs w:val="24"/>
        </w:rPr>
      </w:pPr>
      <w:r w:rsidRPr="00247B78">
        <w:rPr>
          <w:sz w:val="24"/>
          <w:szCs w:val="24"/>
        </w:rPr>
        <w:t>All baseline study respondents will be assured that participation in the study is voluntary and the information they provide is confidential and will be used only for the purpose of this research. Each participant will be assigned a subject ID</w:t>
      </w:r>
      <w:r>
        <w:rPr>
          <w:sz w:val="24"/>
          <w:szCs w:val="24"/>
        </w:rPr>
        <w:t xml:space="preserve"> for the purposes of data collection and storage</w:t>
      </w:r>
      <w:r w:rsidRPr="00247B78">
        <w:rPr>
          <w:sz w:val="24"/>
          <w:szCs w:val="24"/>
        </w:rPr>
        <w:t xml:space="preserve">. All participant information received through the </w:t>
      </w:r>
      <w:r>
        <w:rPr>
          <w:sz w:val="24"/>
          <w:szCs w:val="24"/>
        </w:rPr>
        <w:t>online data collection</w:t>
      </w:r>
      <w:r w:rsidRPr="00247B78">
        <w:rPr>
          <w:sz w:val="24"/>
          <w:szCs w:val="24"/>
        </w:rPr>
        <w:t xml:space="preserve"> </w:t>
      </w:r>
      <w:r>
        <w:rPr>
          <w:sz w:val="24"/>
          <w:szCs w:val="24"/>
        </w:rPr>
        <w:t xml:space="preserve">and storage </w:t>
      </w:r>
      <w:r w:rsidRPr="00247B78">
        <w:rPr>
          <w:sz w:val="24"/>
          <w:szCs w:val="24"/>
        </w:rPr>
        <w:t xml:space="preserve">system will be stored using this subject ID. </w:t>
      </w:r>
    </w:p>
    <w:p w:rsidR="00BA151D" w:rsidRPr="00247B78" w:rsidRDefault="00BA151D" w:rsidP="00245F86">
      <w:pPr>
        <w:pStyle w:val="BodyText"/>
        <w:numPr>
          <w:ilvl w:val="0"/>
          <w:numId w:val="1"/>
        </w:numPr>
        <w:spacing w:after="120"/>
        <w:rPr>
          <w:sz w:val="24"/>
          <w:szCs w:val="24"/>
        </w:rPr>
      </w:pPr>
      <w:r w:rsidRPr="00247B78">
        <w:rPr>
          <w:sz w:val="24"/>
          <w:szCs w:val="24"/>
        </w:rPr>
        <w:t xml:space="preserve">To ensure data security, all individuals hired by the NORC at the University of Chicago and University of Missouri – </w:t>
      </w:r>
      <w:r>
        <w:rPr>
          <w:sz w:val="24"/>
          <w:szCs w:val="24"/>
        </w:rPr>
        <w:t>Columbia</w:t>
      </w:r>
      <w:r w:rsidRPr="00247B78">
        <w:rPr>
          <w:sz w:val="24"/>
          <w:szCs w:val="24"/>
        </w:rPr>
        <w:t>, are held to strict standards and are required to sign an oath of confidentiality as a condition of employment.</w:t>
      </w:r>
    </w:p>
    <w:p w:rsidR="00BA151D" w:rsidRPr="00247B78" w:rsidRDefault="00BA151D" w:rsidP="00245F86">
      <w:pPr>
        <w:pStyle w:val="BodyText"/>
        <w:numPr>
          <w:ilvl w:val="0"/>
          <w:numId w:val="1"/>
        </w:numPr>
        <w:spacing w:after="120"/>
        <w:rPr>
          <w:sz w:val="24"/>
          <w:szCs w:val="24"/>
        </w:rPr>
      </w:pPr>
      <w:r w:rsidRPr="00247B78">
        <w:rPr>
          <w:sz w:val="24"/>
          <w:szCs w:val="24"/>
        </w:rPr>
        <w:t>Hard-copy data collection forms will be delivered to a locked area for receipt and processing</w:t>
      </w:r>
      <w:r>
        <w:rPr>
          <w:sz w:val="24"/>
          <w:szCs w:val="24"/>
        </w:rPr>
        <w:t xml:space="preserve"> at NORC</w:t>
      </w:r>
      <w:r w:rsidRPr="00247B78">
        <w:rPr>
          <w:sz w:val="24"/>
          <w:szCs w:val="24"/>
        </w:rPr>
        <w:t xml:space="preserve">. </w:t>
      </w:r>
      <w:r>
        <w:rPr>
          <w:sz w:val="24"/>
          <w:szCs w:val="24"/>
        </w:rPr>
        <w:t xml:space="preserve">These will be entered into online data collection and storage system by an authorized research staff member. The hardcopy forms will be destroyed and disposed of once they have been entered electronically. </w:t>
      </w:r>
      <w:r w:rsidRPr="00247B78">
        <w:rPr>
          <w:sz w:val="24"/>
          <w:szCs w:val="24"/>
        </w:rPr>
        <w:t xml:space="preserve">NORC at the </w:t>
      </w:r>
      <w:r w:rsidRPr="00247B78">
        <w:rPr>
          <w:sz w:val="24"/>
          <w:szCs w:val="24"/>
        </w:rPr>
        <w:lastRenderedPageBreak/>
        <w:t xml:space="preserve">University of Chicago and University of Missouri – </w:t>
      </w:r>
      <w:r>
        <w:rPr>
          <w:sz w:val="24"/>
          <w:szCs w:val="24"/>
        </w:rPr>
        <w:t>Columbia</w:t>
      </w:r>
      <w:r w:rsidRPr="00247B78">
        <w:rPr>
          <w:sz w:val="24"/>
          <w:szCs w:val="24"/>
        </w:rPr>
        <w:t xml:space="preserve"> maintain restricted access to all data preparation areas (rec</w:t>
      </w:r>
      <w:r>
        <w:rPr>
          <w:sz w:val="24"/>
          <w:szCs w:val="24"/>
        </w:rPr>
        <w:t xml:space="preserve">eipt, coding, and data entry). </w:t>
      </w:r>
      <w:r w:rsidRPr="00247B78">
        <w:rPr>
          <w:sz w:val="24"/>
          <w:szCs w:val="24"/>
        </w:rPr>
        <w:t>All data files on multi-user systems will be under the control of a database manager, with access limited to project staff on a “need-to-know” basis only.</w:t>
      </w:r>
    </w:p>
    <w:p w:rsidR="00BA151D" w:rsidRPr="00247B78" w:rsidRDefault="00BA151D" w:rsidP="00245F86">
      <w:pPr>
        <w:pStyle w:val="BodyText"/>
        <w:numPr>
          <w:ilvl w:val="0"/>
          <w:numId w:val="1"/>
        </w:numPr>
        <w:spacing w:after="120"/>
        <w:rPr>
          <w:sz w:val="24"/>
          <w:szCs w:val="24"/>
        </w:rPr>
      </w:pPr>
      <w:r w:rsidRPr="00247B78">
        <w:rPr>
          <w:sz w:val="24"/>
          <w:szCs w:val="24"/>
        </w:rPr>
        <w:t xml:space="preserve">Individuals identifying information will be maintained separately from completed data collection forms and from computerized data files used for analysis. </w:t>
      </w:r>
    </w:p>
    <w:p w:rsidR="00BA151D" w:rsidRDefault="00BA151D" w:rsidP="00245F86">
      <w:pPr>
        <w:pStyle w:val="BodyText"/>
        <w:numPr>
          <w:ilvl w:val="0"/>
          <w:numId w:val="1"/>
        </w:numPr>
        <w:spacing w:after="120"/>
        <w:rPr>
          <w:strike/>
          <w:sz w:val="24"/>
          <w:szCs w:val="24"/>
        </w:rPr>
      </w:pPr>
      <w:r>
        <w:rPr>
          <w:sz w:val="24"/>
          <w:szCs w:val="24"/>
        </w:rPr>
        <w:t xml:space="preserve">All data will be collected and stored using a NORC-built software application.  Participants will have the option to complete the survey online or via hard copy.  To complete the survey online, participants will be provide with a secure log-in.  </w:t>
      </w:r>
      <w:r w:rsidRPr="00247B78">
        <w:rPr>
          <w:sz w:val="24"/>
          <w:szCs w:val="24"/>
        </w:rPr>
        <w:t xml:space="preserve">For </w:t>
      </w:r>
      <w:r>
        <w:rPr>
          <w:sz w:val="24"/>
          <w:szCs w:val="24"/>
        </w:rPr>
        <w:t xml:space="preserve">participants who complete the survey via </w:t>
      </w:r>
      <w:r w:rsidRPr="00247B78">
        <w:rPr>
          <w:sz w:val="24"/>
          <w:szCs w:val="24"/>
        </w:rPr>
        <w:t xml:space="preserve">hardcopy, authorized project staff will replace participant names with the assigned participant ID numbers. The data on the hardcopy form will then be entered into the </w:t>
      </w:r>
      <w:r>
        <w:rPr>
          <w:sz w:val="24"/>
          <w:szCs w:val="24"/>
        </w:rPr>
        <w:t>online</w:t>
      </w:r>
      <w:r w:rsidRPr="00247B78">
        <w:rPr>
          <w:sz w:val="24"/>
          <w:szCs w:val="24"/>
        </w:rPr>
        <w:t xml:space="preserve"> system</w:t>
      </w:r>
      <w:r>
        <w:rPr>
          <w:sz w:val="24"/>
          <w:szCs w:val="24"/>
        </w:rPr>
        <w:t xml:space="preserve"> by project staff</w:t>
      </w:r>
      <w:r w:rsidRPr="00247B78">
        <w:rPr>
          <w:sz w:val="24"/>
          <w:szCs w:val="24"/>
        </w:rPr>
        <w:t>. Once the data has been transferred to electronic format, the hardcopy data will be destroyed and disposed of properly.</w:t>
      </w:r>
      <w:r>
        <w:rPr>
          <w:sz w:val="24"/>
          <w:szCs w:val="24"/>
        </w:rPr>
        <w:t xml:space="preserve"> </w:t>
      </w:r>
      <w:r w:rsidRPr="00247B78">
        <w:rPr>
          <w:sz w:val="24"/>
          <w:szCs w:val="24"/>
        </w:rPr>
        <w:t xml:space="preserve"> </w:t>
      </w:r>
      <w:r>
        <w:rPr>
          <w:strike/>
          <w:sz w:val="24"/>
          <w:szCs w:val="24"/>
        </w:rPr>
        <w:t xml:space="preserve"> </w:t>
      </w:r>
    </w:p>
    <w:p w:rsidR="00BA151D" w:rsidRPr="00247B78" w:rsidRDefault="00BA151D" w:rsidP="00245F86">
      <w:pPr>
        <w:pStyle w:val="BodyText"/>
        <w:numPr>
          <w:ilvl w:val="0"/>
          <w:numId w:val="1"/>
        </w:numPr>
        <w:rPr>
          <w:sz w:val="24"/>
          <w:szCs w:val="24"/>
        </w:rPr>
      </w:pPr>
      <w:r w:rsidRPr="00247B78">
        <w:rPr>
          <w:sz w:val="24"/>
          <w:szCs w:val="24"/>
        </w:rPr>
        <w:t>All direct identifiers between the participants and the ID numbers will be encrypted before they are stored in the database</w:t>
      </w:r>
      <w:r>
        <w:rPr>
          <w:sz w:val="24"/>
          <w:szCs w:val="24"/>
        </w:rPr>
        <w:t xml:space="preserve"> to ensure that the information is not accessed by unauthorized users</w:t>
      </w:r>
      <w:r w:rsidRPr="00247B78">
        <w:rPr>
          <w:sz w:val="24"/>
          <w:szCs w:val="24"/>
        </w:rPr>
        <w:t xml:space="preserve">. </w:t>
      </w:r>
    </w:p>
    <w:p w:rsidR="00BA151D" w:rsidRDefault="00BA151D" w:rsidP="00245F86">
      <w:pPr>
        <w:pStyle w:val="BodyText"/>
        <w:numPr>
          <w:ilvl w:val="0"/>
          <w:numId w:val="1"/>
        </w:numPr>
        <w:rPr>
          <w:sz w:val="24"/>
          <w:szCs w:val="24"/>
        </w:rPr>
      </w:pPr>
      <w:r w:rsidRPr="00D913A7">
        <w:rPr>
          <w:sz w:val="24"/>
          <w:szCs w:val="24"/>
        </w:rPr>
        <w:t>All database servers are password protected and only a select few authorized research staff and NORC developers will be able to obtain access to the data. Project staff at the project sites, including personal trainers and support group facilitators, project participants, and research staff will have the ability to en</w:t>
      </w:r>
      <w:r w:rsidRPr="007C2333">
        <w:rPr>
          <w:sz w:val="24"/>
          <w:szCs w:val="24"/>
        </w:rPr>
        <w:t>ter data into the Liberty system, although each type of user will have varying levels of read/write access to the system. The different users of the Liberty system wil</w:t>
      </w:r>
      <w:r w:rsidRPr="00987610">
        <w:rPr>
          <w:sz w:val="24"/>
          <w:szCs w:val="24"/>
        </w:rPr>
        <w:t xml:space="preserve">l be provided with either admin-level access, respondent-level access, or site-level access to ensure that </w:t>
      </w:r>
      <w:r>
        <w:rPr>
          <w:sz w:val="24"/>
          <w:szCs w:val="24"/>
        </w:rPr>
        <w:t xml:space="preserve">only authorized users can view </w:t>
      </w:r>
      <w:r w:rsidRPr="00D913A7">
        <w:rPr>
          <w:sz w:val="24"/>
          <w:szCs w:val="24"/>
        </w:rPr>
        <w:t xml:space="preserve">direct identifiers </w:t>
      </w:r>
      <w:r>
        <w:rPr>
          <w:sz w:val="24"/>
          <w:szCs w:val="24"/>
        </w:rPr>
        <w:t>to help ensure that</w:t>
      </w:r>
      <w:r w:rsidRPr="00D913A7">
        <w:rPr>
          <w:sz w:val="24"/>
          <w:szCs w:val="24"/>
        </w:rPr>
        <w:t xml:space="preserve"> data remain confidential. Each user will be able to use their credentials to log-in to the system. They will only have access to the information that they are authorized to view, which is granted by their user-level access. </w:t>
      </w:r>
    </w:p>
    <w:p w:rsidR="00BA151D" w:rsidRPr="00D913A7" w:rsidRDefault="00BA151D" w:rsidP="00245F86">
      <w:pPr>
        <w:pStyle w:val="BodyText"/>
        <w:rPr>
          <w:sz w:val="24"/>
          <w:szCs w:val="24"/>
        </w:rPr>
      </w:pPr>
    </w:p>
    <w:p w:rsidR="00BA151D" w:rsidRPr="00247B78" w:rsidRDefault="00BA151D" w:rsidP="00245F86">
      <w:pPr>
        <w:pStyle w:val="AbtHeadB"/>
        <w:rPr>
          <w:rFonts w:ascii="Times New Roman" w:hAnsi="Times New Roman"/>
          <w:sz w:val="24"/>
          <w:szCs w:val="24"/>
        </w:rPr>
      </w:pPr>
      <w:bookmarkStart w:id="21" w:name="_Toc128543483"/>
      <w:bookmarkStart w:id="22" w:name="_Toc129770675"/>
      <w:r w:rsidRPr="00DF3A9B">
        <w:rPr>
          <w:rFonts w:ascii="Times New Roman" w:hAnsi="Times New Roman"/>
          <w:sz w:val="24"/>
          <w:szCs w:val="24"/>
        </w:rPr>
        <w:t>A.11.</w:t>
      </w:r>
      <w:r w:rsidRPr="00DF3A9B">
        <w:rPr>
          <w:rFonts w:ascii="Times New Roman" w:hAnsi="Times New Roman"/>
          <w:sz w:val="24"/>
          <w:szCs w:val="24"/>
        </w:rPr>
        <w:tab/>
        <w:t>Questions of a Sensitive Nature</w:t>
      </w:r>
      <w:bookmarkEnd w:id="21"/>
      <w:bookmarkEnd w:id="22"/>
    </w:p>
    <w:p w:rsidR="00BA151D" w:rsidRPr="00DF3A9B" w:rsidRDefault="00BA151D" w:rsidP="00245F86">
      <w:pPr>
        <w:pStyle w:val="BodyText"/>
        <w:rPr>
          <w:sz w:val="24"/>
          <w:szCs w:val="24"/>
        </w:rPr>
      </w:pPr>
      <w:r w:rsidRPr="00DF3A9B">
        <w:rPr>
          <w:sz w:val="24"/>
          <w:szCs w:val="24"/>
        </w:rPr>
        <w:t>Some of the OPAH Fitness Project research topics related to fitness and weight include potentially sensitive questions.  In the informed consent procedure, all sample persons are advised of the voluntary nature of their participation in the survey or any of its components.  Participants are informed that they can choose not to answer any individual questions and may stop the interview at any time. To avoid fear of disclosure of sensitive information, participants will be told that all data provided by participants will be treated in a secure manner and will not be disclosed, unless otherwise compelled by law. All questions and</w:t>
      </w:r>
      <w:r>
        <w:rPr>
          <w:sz w:val="24"/>
          <w:szCs w:val="24"/>
        </w:rPr>
        <w:t xml:space="preserve"> procedures are reviewed by NORC at the University of Chicago </w:t>
      </w:r>
      <w:r w:rsidRPr="00DF3A9B">
        <w:rPr>
          <w:sz w:val="24"/>
          <w:szCs w:val="24"/>
        </w:rPr>
        <w:t xml:space="preserve">and University of Missouri Research Ethics Review Board for issues of sensitivity. The potential sensitivity of questions was an evaluation criterion in determining content of the survey. </w:t>
      </w:r>
    </w:p>
    <w:p w:rsidR="00BA151D" w:rsidRDefault="00BA151D" w:rsidP="00245F86">
      <w:pPr>
        <w:pStyle w:val="BodyText"/>
        <w:rPr>
          <w:sz w:val="24"/>
          <w:szCs w:val="24"/>
        </w:rPr>
      </w:pPr>
    </w:p>
    <w:p w:rsidR="00BA151D" w:rsidRPr="00DF3A9B" w:rsidRDefault="00BA151D" w:rsidP="00245F86">
      <w:pPr>
        <w:pStyle w:val="BodyText"/>
        <w:rPr>
          <w:sz w:val="24"/>
          <w:szCs w:val="24"/>
        </w:rPr>
      </w:pPr>
      <w:r w:rsidRPr="00DF3A9B">
        <w:rPr>
          <w:sz w:val="24"/>
          <w:szCs w:val="24"/>
        </w:rPr>
        <w:t>The following questions are thought to be of a sensitive nature</w:t>
      </w:r>
    </w:p>
    <w:p w:rsidR="00BA151D" w:rsidRDefault="00BA151D" w:rsidP="00245F86">
      <w:pPr>
        <w:tabs>
          <w:tab w:val="left" w:pos="-324"/>
          <w:tab w:val="left" w:pos="108"/>
          <w:tab w:val="left" w:pos="3420"/>
        </w:tabs>
        <w:ind w:left="-180"/>
        <w:rPr>
          <w:bCs/>
        </w:rPr>
      </w:pPr>
    </w:p>
    <w:p w:rsidR="00BA151D" w:rsidRPr="00DF3A9B" w:rsidRDefault="00BA151D" w:rsidP="00245F86">
      <w:pPr>
        <w:pStyle w:val="BodyText"/>
        <w:rPr>
          <w:sz w:val="24"/>
          <w:szCs w:val="24"/>
        </w:rPr>
      </w:pPr>
      <w:r w:rsidRPr="00DF3A9B">
        <w:rPr>
          <w:sz w:val="24"/>
          <w:szCs w:val="24"/>
          <w:u w:val="single"/>
        </w:rPr>
        <w:t>Alcohol Use:</w:t>
      </w:r>
      <w:r w:rsidRPr="00DF3A9B">
        <w:rPr>
          <w:sz w:val="24"/>
          <w:szCs w:val="24"/>
        </w:rPr>
        <w:t xml:space="preserve">  </w:t>
      </w:r>
      <w:r>
        <w:rPr>
          <w:sz w:val="24"/>
          <w:szCs w:val="24"/>
        </w:rPr>
        <w:t>When LB</w:t>
      </w:r>
      <w:r w:rsidRPr="00DF3A9B">
        <w:rPr>
          <w:sz w:val="24"/>
          <w:szCs w:val="24"/>
        </w:rPr>
        <w:t xml:space="preserve"> population status is ascertained in population-based studies, lesbians and bisexual women drink at higher rates</w:t>
      </w:r>
      <w:r>
        <w:rPr>
          <w:sz w:val="24"/>
          <w:szCs w:val="24"/>
        </w:rPr>
        <w:t xml:space="preserve"> than the general population.</w:t>
      </w:r>
      <w:r w:rsidRPr="00E31D3B">
        <w:rPr>
          <w:noProof/>
          <w:sz w:val="24"/>
          <w:szCs w:val="24"/>
          <w:vertAlign w:val="superscript"/>
        </w:rPr>
        <w:t>2-5</w:t>
      </w:r>
      <w:r>
        <w:rPr>
          <w:sz w:val="24"/>
          <w:szCs w:val="24"/>
        </w:rPr>
        <w:t xml:space="preserve"> </w:t>
      </w:r>
      <w:proofErr w:type="gramStart"/>
      <w:r w:rsidRPr="00DF3A9B">
        <w:rPr>
          <w:sz w:val="24"/>
          <w:szCs w:val="24"/>
        </w:rPr>
        <w:t>One</w:t>
      </w:r>
      <w:proofErr w:type="gramEnd"/>
      <w:r w:rsidRPr="00DF3A9B">
        <w:rPr>
          <w:sz w:val="24"/>
          <w:szCs w:val="24"/>
        </w:rPr>
        <w:t xml:space="preserve"> primary goal of the study is to reduce caloric intake from alcohol among the participants. The three alcohol questions are recommended by the National Institutes of Health’s National Institute on Alcohol Abuse and Alcoholism.   </w:t>
      </w:r>
    </w:p>
    <w:p w:rsidR="00BA151D" w:rsidRPr="00DF3A9B" w:rsidRDefault="00BA151D" w:rsidP="00245F86">
      <w:pPr>
        <w:pStyle w:val="BodyText"/>
        <w:rPr>
          <w:sz w:val="24"/>
          <w:szCs w:val="24"/>
        </w:rPr>
      </w:pPr>
    </w:p>
    <w:p w:rsidR="00BA151D" w:rsidRPr="00DF3A9B" w:rsidRDefault="00BA151D" w:rsidP="00245F86">
      <w:pPr>
        <w:pStyle w:val="BodyText"/>
        <w:rPr>
          <w:sz w:val="24"/>
          <w:szCs w:val="24"/>
        </w:rPr>
      </w:pPr>
      <w:r w:rsidRPr="00DF3A9B">
        <w:rPr>
          <w:sz w:val="24"/>
          <w:szCs w:val="24"/>
          <w:u w:val="single"/>
        </w:rPr>
        <w:t>Tobacco Use:</w:t>
      </w:r>
      <w:r w:rsidRPr="00DF3A9B">
        <w:rPr>
          <w:sz w:val="24"/>
          <w:szCs w:val="24"/>
        </w:rPr>
        <w:t xml:space="preserve">  Smoking prevalence in the SGM population has been reported up to twice that of the heterosexual population</w:t>
      </w:r>
      <w:r>
        <w:rPr>
          <w:sz w:val="24"/>
          <w:szCs w:val="24"/>
        </w:rPr>
        <w:t>.</w:t>
      </w:r>
      <w:r w:rsidRPr="00E31D3B">
        <w:rPr>
          <w:noProof/>
          <w:sz w:val="24"/>
          <w:szCs w:val="24"/>
          <w:vertAlign w:val="superscript"/>
        </w:rPr>
        <w:t>6-10</w:t>
      </w:r>
      <w:r>
        <w:rPr>
          <w:sz w:val="24"/>
          <w:szCs w:val="24"/>
        </w:rPr>
        <w:t xml:space="preserve"> Smoking has been linked to an increase in </w:t>
      </w:r>
      <w:r w:rsidRPr="00DF3A9B">
        <w:rPr>
          <w:sz w:val="24"/>
          <w:szCs w:val="24"/>
        </w:rPr>
        <w:t>individual’s body fat distribution, weight, and risk of metabolic syndrome</w:t>
      </w:r>
      <w:r>
        <w:rPr>
          <w:sz w:val="24"/>
          <w:szCs w:val="24"/>
        </w:rPr>
        <w:t>.</w:t>
      </w:r>
      <w:r w:rsidRPr="00E31D3B">
        <w:rPr>
          <w:noProof/>
          <w:sz w:val="24"/>
          <w:szCs w:val="24"/>
          <w:vertAlign w:val="superscript"/>
        </w:rPr>
        <w:t>11</w:t>
      </w:r>
      <w:hyperlink w:anchor="_ENREF_1" w:tooltip="Chiolero, 2008 #56" w:history="1"/>
      <w:r w:rsidRPr="00DF3A9B">
        <w:rPr>
          <w:sz w:val="24"/>
          <w:szCs w:val="24"/>
        </w:rPr>
        <w:t xml:space="preserve"> Some studies have shown smoking, and particularly heavy smoking, may be related to weight gain, contrary to the population opinion.</w:t>
      </w:r>
      <w:r w:rsidRPr="00E31D3B">
        <w:rPr>
          <w:noProof/>
          <w:sz w:val="24"/>
          <w:szCs w:val="24"/>
          <w:vertAlign w:val="superscript"/>
        </w:rPr>
        <w:t>12</w:t>
      </w:r>
      <w:r>
        <w:rPr>
          <w:sz w:val="24"/>
          <w:szCs w:val="24"/>
        </w:rPr>
        <w:t xml:space="preserve"> </w:t>
      </w:r>
      <w:r w:rsidRPr="00DF3A9B">
        <w:rPr>
          <w:sz w:val="24"/>
          <w:szCs w:val="24"/>
        </w:rPr>
        <w:t>Smoking status will be included to characterize our population and as a potential co</w:t>
      </w:r>
      <w:r>
        <w:rPr>
          <w:sz w:val="24"/>
          <w:szCs w:val="24"/>
        </w:rPr>
        <w:t>variate</w:t>
      </w:r>
      <w:r w:rsidRPr="00DF3A9B">
        <w:rPr>
          <w:sz w:val="24"/>
          <w:szCs w:val="24"/>
        </w:rPr>
        <w:t xml:space="preserve"> in models used to explain project outcome of weight loss or improved fitness. The two smoking questions will obtain information to determine smoking status (current, former, never) and these questions are recommended by the Centers for Disease Control and Prevention.</w:t>
      </w:r>
    </w:p>
    <w:p w:rsidR="00BA151D" w:rsidRDefault="00BA151D" w:rsidP="00245F86">
      <w:pPr>
        <w:tabs>
          <w:tab w:val="left" w:pos="-324"/>
          <w:tab w:val="left" w:pos="108"/>
          <w:tab w:val="left" w:pos="3420"/>
        </w:tabs>
        <w:ind w:left="-180"/>
        <w:rPr>
          <w:u w:val="single"/>
        </w:rPr>
      </w:pPr>
    </w:p>
    <w:p w:rsidR="00BA151D" w:rsidRPr="00DF3A9B" w:rsidRDefault="00BA151D" w:rsidP="00245F86">
      <w:pPr>
        <w:tabs>
          <w:tab w:val="left" w:pos="-324"/>
          <w:tab w:val="left" w:pos="108"/>
          <w:tab w:val="left" w:pos="3420"/>
        </w:tabs>
        <w:rPr>
          <w:sz w:val="24"/>
          <w:szCs w:val="24"/>
        </w:rPr>
      </w:pPr>
      <w:r>
        <w:rPr>
          <w:u w:val="single"/>
        </w:rPr>
        <w:t>Mental health</w:t>
      </w:r>
      <w:r>
        <w:t xml:space="preserve">:  </w:t>
      </w:r>
      <w:r w:rsidRPr="00DF3A9B">
        <w:rPr>
          <w:sz w:val="24"/>
          <w:szCs w:val="24"/>
        </w:rPr>
        <w:t>Another area of strong positive correlation is depression and unhealthy weight in the general population of women</w:t>
      </w:r>
      <w:r w:rsidRPr="00E31D3B">
        <w:rPr>
          <w:noProof/>
          <w:sz w:val="24"/>
          <w:szCs w:val="24"/>
          <w:vertAlign w:val="superscript"/>
        </w:rPr>
        <w:t>13</w:t>
      </w:r>
      <w:r w:rsidRPr="00DF3A9B">
        <w:rPr>
          <w:sz w:val="24"/>
          <w:szCs w:val="24"/>
        </w:rPr>
        <w:t xml:space="preserve"> and in a population-based studies of sisters, with one being lesbian or bisexual, </w:t>
      </w:r>
      <w:r w:rsidRPr="00B262D7">
        <w:rPr>
          <w:sz w:val="24"/>
          <w:szCs w:val="24"/>
        </w:rPr>
        <w:t>the bisexual sister experienced higher prevalence of depression than their heterosexual sister.</w:t>
      </w:r>
      <w:r w:rsidRPr="00E31D3B">
        <w:rPr>
          <w:noProof/>
          <w:sz w:val="24"/>
          <w:szCs w:val="24"/>
          <w:vertAlign w:val="superscript"/>
        </w:rPr>
        <w:t>14</w:t>
      </w:r>
      <w:r w:rsidRPr="00B262D7">
        <w:rPr>
          <w:sz w:val="24"/>
          <w:szCs w:val="24"/>
        </w:rPr>
        <w:t xml:space="preserve"> Lesbian and Bisexual women also tend to have a greater prevalence of generalized anxiety disorder than heterosexual women</w:t>
      </w:r>
      <w:r>
        <w:rPr>
          <w:sz w:val="24"/>
          <w:szCs w:val="24"/>
        </w:rPr>
        <w:t>;</w:t>
      </w:r>
      <w:r w:rsidRPr="00E31D3B">
        <w:rPr>
          <w:noProof/>
          <w:sz w:val="24"/>
          <w:szCs w:val="24"/>
          <w:vertAlign w:val="superscript"/>
        </w:rPr>
        <w:t>15</w:t>
      </w:r>
      <w:r w:rsidRPr="00B262D7">
        <w:rPr>
          <w:sz w:val="24"/>
          <w:szCs w:val="24"/>
        </w:rPr>
        <w:t xml:space="preserve"> however, in a study comparing gay men to lesbian women, gay men have lower depression and high anxiety than lesbian women</w:t>
      </w:r>
      <w:r>
        <w:rPr>
          <w:sz w:val="24"/>
          <w:szCs w:val="24"/>
        </w:rPr>
        <w:t>,</w:t>
      </w:r>
      <w:r w:rsidRPr="00E31D3B">
        <w:rPr>
          <w:noProof/>
          <w:sz w:val="24"/>
          <w:szCs w:val="24"/>
          <w:vertAlign w:val="superscript"/>
        </w:rPr>
        <w:t>16</w:t>
      </w:r>
      <w:r w:rsidRPr="00B262D7">
        <w:rPr>
          <w:sz w:val="24"/>
          <w:szCs w:val="24"/>
        </w:rPr>
        <w:t xml:space="preserve">  indicating that lesbian women suffer from higher rates of depression compared to gay men.  Participants will take a 4-question established depression screening module called the Center for Epidemiology Studies Depression Scale (CES-D). Depressive symptoms score will be included to characterize our population and as a potential covariate in models used to</w:t>
      </w:r>
      <w:r w:rsidRPr="00DF3A9B">
        <w:rPr>
          <w:sz w:val="24"/>
          <w:szCs w:val="24"/>
        </w:rPr>
        <w:t xml:space="preserve"> explain project outcome of weight loss or improved fitness. The participants will complete the questionnaire before their respective sports physical evaluation. They will then have an opportunity to discuss any health issues with their health care provider.  </w:t>
      </w:r>
    </w:p>
    <w:p w:rsidR="00BA151D" w:rsidRDefault="00BA151D" w:rsidP="00245F86">
      <w:pPr>
        <w:tabs>
          <w:tab w:val="left" w:pos="-324"/>
          <w:tab w:val="left" w:pos="108"/>
          <w:tab w:val="left" w:pos="3420"/>
        </w:tabs>
        <w:ind w:left="-180"/>
      </w:pPr>
    </w:p>
    <w:p w:rsidR="00BA151D" w:rsidRPr="00DF3A9B" w:rsidRDefault="00BA151D" w:rsidP="00245F86">
      <w:pPr>
        <w:tabs>
          <w:tab w:val="left" w:pos="-324"/>
          <w:tab w:val="left" w:pos="108"/>
          <w:tab w:val="left" w:pos="3420"/>
        </w:tabs>
        <w:rPr>
          <w:sz w:val="24"/>
          <w:szCs w:val="24"/>
        </w:rPr>
      </w:pPr>
      <w:r>
        <w:rPr>
          <w:bCs/>
          <w:u w:val="single"/>
        </w:rPr>
        <w:t>Sexual and Gender Minority (SGM) status</w:t>
      </w:r>
      <w:r>
        <w:rPr>
          <w:bCs/>
        </w:rPr>
        <w:t xml:space="preserve">: </w:t>
      </w:r>
      <w:r w:rsidRPr="00DF3A9B">
        <w:rPr>
          <w:sz w:val="24"/>
          <w:szCs w:val="24"/>
        </w:rPr>
        <w:t xml:space="preserve">Eligibility criterion to participant in this project requires self-reported sexual orientation as lesbian or bisexual female.  Further, </w:t>
      </w:r>
      <w:proofErr w:type="spellStart"/>
      <w:r w:rsidRPr="00DF3A9B">
        <w:rPr>
          <w:sz w:val="24"/>
          <w:szCs w:val="24"/>
        </w:rPr>
        <w:t>VanKim</w:t>
      </w:r>
      <w:proofErr w:type="spellEnd"/>
      <w:r w:rsidRPr="00DF3A9B">
        <w:rPr>
          <w:sz w:val="24"/>
          <w:szCs w:val="24"/>
        </w:rPr>
        <w:t xml:space="preserve"> et al (in the New Mexico’s routine statewide public health survey: Behavioral Risk Factor Surveillance Study) tested the refusal rate of asking SGM status compared to other known sensitive questions and found refusal rates as similar to refusal rates for race/ethnicity and significantly lower than rates fo</w:t>
      </w:r>
      <w:r>
        <w:rPr>
          <w:sz w:val="24"/>
          <w:szCs w:val="24"/>
        </w:rPr>
        <w:t>r questions on household income.</w:t>
      </w:r>
      <w:r w:rsidRPr="00E31D3B">
        <w:rPr>
          <w:noProof/>
          <w:sz w:val="24"/>
          <w:szCs w:val="24"/>
          <w:vertAlign w:val="superscript"/>
        </w:rPr>
        <w:t>17</w:t>
      </w:r>
      <w:r w:rsidRPr="00DF3A9B">
        <w:rPr>
          <w:sz w:val="24"/>
          <w:szCs w:val="24"/>
        </w:rPr>
        <w:t xml:space="preserve"> The National Health Interview Study has included extensively tested SGM status question in their 2013 survey and we are usin</w:t>
      </w:r>
      <w:r>
        <w:rPr>
          <w:sz w:val="24"/>
          <w:szCs w:val="24"/>
        </w:rPr>
        <w:t>g these in our screening module.</w:t>
      </w:r>
      <w:r w:rsidRPr="00E31D3B">
        <w:rPr>
          <w:noProof/>
          <w:sz w:val="24"/>
          <w:szCs w:val="24"/>
          <w:vertAlign w:val="superscript"/>
        </w:rPr>
        <w:t>18</w:t>
      </w:r>
    </w:p>
    <w:p w:rsidR="00BA151D" w:rsidRPr="00DF3A9B" w:rsidRDefault="00BA151D" w:rsidP="00245F86">
      <w:pPr>
        <w:tabs>
          <w:tab w:val="left" w:pos="-324"/>
          <w:tab w:val="left" w:pos="108"/>
          <w:tab w:val="left" w:pos="3420"/>
        </w:tabs>
        <w:rPr>
          <w:sz w:val="24"/>
          <w:szCs w:val="24"/>
        </w:rPr>
      </w:pPr>
    </w:p>
    <w:p w:rsidR="00BA151D" w:rsidRPr="00DF3A9B" w:rsidRDefault="00BA151D" w:rsidP="00245F86">
      <w:pPr>
        <w:tabs>
          <w:tab w:val="left" w:pos="-324"/>
          <w:tab w:val="left" w:pos="108"/>
          <w:tab w:val="left" w:pos="3420"/>
        </w:tabs>
        <w:rPr>
          <w:sz w:val="24"/>
          <w:szCs w:val="24"/>
        </w:rPr>
      </w:pPr>
      <w:r>
        <w:rPr>
          <w:bCs/>
          <w:u w:val="single"/>
        </w:rPr>
        <w:t>Race/Ethnicity:</w:t>
      </w:r>
      <w:r>
        <w:rPr>
          <w:bCs/>
        </w:rPr>
        <w:t xml:space="preserve">  </w:t>
      </w:r>
      <w:r w:rsidRPr="00DF3A9B">
        <w:rPr>
          <w:sz w:val="24"/>
          <w:szCs w:val="24"/>
        </w:rPr>
        <w:t xml:space="preserve">Race and ethnicity differences are associated with perceptions of healthy weight and self-reported </w:t>
      </w:r>
      <w:r w:rsidRPr="00B262D7">
        <w:rPr>
          <w:sz w:val="24"/>
          <w:szCs w:val="24"/>
        </w:rPr>
        <w:t>weight</w:t>
      </w:r>
      <w:r w:rsidRPr="00E31D3B">
        <w:rPr>
          <w:noProof/>
          <w:sz w:val="24"/>
          <w:szCs w:val="24"/>
          <w:vertAlign w:val="superscript"/>
        </w:rPr>
        <w:t>19,20</w:t>
      </w:r>
      <w:r w:rsidRPr="00B262D7">
        <w:rPr>
          <w:sz w:val="24"/>
          <w:szCs w:val="24"/>
        </w:rPr>
        <w:t xml:space="preserve"> with non</w:t>
      </w:r>
      <w:r w:rsidRPr="00DF3A9B">
        <w:rPr>
          <w:sz w:val="24"/>
          <w:szCs w:val="24"/>
        </w:rPr>
        <w:t xml:space="preserve">-White women more likely to report a healthy weight with </w:t>
      </w:r>
      <w:r w:rsidRPr="00DF3A9B">
        <w:rPr>
          <w:sz w:val="24"/>
          <w:szCs w:val="24"/>
        </w:rPr>
        <w:lastRenderedPageBreak/>
        <w:t>a higher body mass index (BMI: weight/height2</w:t>
      </w:r>
      <w:r>
        <w:rPr>
          <w:sz w:val="24"/>
          <w:szCs w:val="24"/>
        </w:rPr>
        <w:t>).</w:t>
      </w:r>
      <w:r w:rsidRPr="00E31D3B">
        <w:rPr>
          <w:noProof/>
          <w:sz w:val="24"/>
          <w:szCs w:val="24"/>
          <w:vertAlign w:val="superscript"/>
        </w:rPr>
        <w:t>21</w:t>
      </w:r>
      <w:r>
        <w:rPr>
          <w:sz w:val="24"/>
          <w:szCs w:val="24"/>
        </w:rPr>
        <w:t xml:space="preserve"> </w:t>
      </w:r>
      <w:r w:rsidRPr="00DF3A9B">
        <w:rPr>
          <w:sz w:val="24"/>
          <w:szCs w:val="24"/>
        </w:rPr>
        <w:t>Prevalence of overweight and obesity among lesbians varie</w:t>
      </w:r>
      <w:r>
        <w:rPr>
          <w:sz w:val="24"/>
          <w:szCs w:val="24"/>
        </w:rPr>
        <w:t>s</w:t>
      </w:r>
      <w:r w:rsidRPr="00DF3A9B">
        <w:rPr>
          <w:sz w:val="24"/>
          <w:szCs w:val="24"/>
        </w:rPr>
        <w:t xml:space="preserve"> by race/ethnicity.</w:t>
      </w:r>
      <w:r w:rsidRPr="00E31D3B">
        <w:rPr>
          <w:noProof/>
          <w:sz w:val="24"/>
          <w:szCs w:val="24"/>
          <w:vertAlign w:val="superscript"/>
        </w:rPr>
        <w:t>22</w:t>
      </w:r>
      <w:r w:rsidRPr="00DF3A9B">
        <w:rPr>
          <w:sz w:val="24"/>
          <w:szCs w:val="24"/>
        </w:rPr>
        <w:t xml:space="preserve"> Race and ethnicity will be included to characterize our population and as a potential </w:t>
      </w:r>
      <w:r>
        <w:rPr>
          <w:sz w:val="24"/>
          <w:szCs w:val="24"/>
        </w:rPr>
        <w:t>covariate</w:t>
      </w:r>
      <w:r w:rsidRPr="00DF3A9B">
        <w:rPr>
          <w:sz w:val="24"/>
          <w:szCs w:val="24"/>
        </w:rPr>
        <w:t xml:space="preserve"> in models used to explain project outcome of weight loss or improved fitness.  In addition, this is a very important characteristic to describe the proportion of study participants by race and ethnicity.  Per the OMB standards, race and ethnicity are separate questions and we are using the National Health and Nutritional Examination Survey’s (NHANES) race and ethnicity questions.</w:t>
      </w:r>
    </w:p>
    <w:p w:rsidR="00BA151D" w:rsidRPr="00DF3A9B" w:rsidRDefault="00BA151D" w:rsidP="00245F86">
      <w:pPr>
        <w:tabs>
          <w:tab w:val="left" w:pos="-324"/>
          <w:tab w:val="left" w:pos="108"/>
          <w:tab w:val="left" w:pos="3420"/>
        </w:tabs>
        <w:rPr>
          <w:sz w:val="24"/>
          <w:szCs w:val="24"/>
        </w:rPr>
      </w:pPr>
    </w:p>
    <w:p w:rsidR="00BA151D" w:rsidRPr="00DF3A9B" w:rsidRDefault="00BA151D" w:rsidP="00245F86">
      <w:pPr>
        <w:tabs>
          <w:tab w:val="left" w:pos="-324"/>
          <w:tab w:val="left" w:pos="108"/>
          <w:tab w:val="left" w:pos="3420"/>
        </w:tabs>
        <w:rPr>
          <w:sz w:val="24"/>
          <w:szCs w:val="24"/>
        </w:rPr>
      </w:pPr>
      <w:r>
        <w:rPr>
          <w:bCs/>
          <w:u w:val="single"/>
        </w:rPr>
        <w:t>Income:</w:t>
      </w:r>
      <w:r>
        <w:rPr>
          <w:bCs/>
        </w:rPr>
        <w:t xml:space="preserve">  </w:t>
      </w:r>
      <w:r w:rsidRPr="00DF3A9B">
        <w:rPr>
          <w:sz w:val="24"/>
          <w:szCs w:val="24"/>
        </w:rPr>
        <w:t xml:space="preserve">Income is commonly used to assess a person’s socio-economic position.  It is also possibly the most sensitive of commonly asked demographic questions.  </w:t>
      </w:r>
      <w:proofErr w:type="spellStart"/>
      <w:r w:rsidRPr="00DF3A9B">
        <w:rPr>
          <w:sz w:val="24"/>
          <w:szCs w:val="24"/>
        </w:rPr>
        <w:t>Paeratakul</w:t>
      </w:r>
      <w:proofErr w:type="spellEnd"/>
      <w:r w:rsidRPr="00DF3A9B">
        <w:rPr>
          <w:sz w:val="24"/>
          <w:szCs w:val="24"/>
        </w:rPr>
        <w:t xml:space="preserve"> et al reported weight difference by socio-economic status.</w:t>
      </w:r>
      <w:r w:rsidRPr="00E31D3B">
        <w:rPr>
          <w:noProof/>
          <w:sz w:val="24"/>
          <w:szCs w:val="24"/>
          <w:vertAlign w:val="superscript"/>
        </w:rPr>
        <w:t>19</w:t>
      </w:r>
      <w:r w:rsidRPr="00DF3A9B">
        <w:rPr>
          <w:sz w:val="24"/>
          <w:szCs w:val="24"/>
        </w:rPr>
        <w:t xml:space="preserve"> Using NHANES data, Wang reported that low-socioeconomic status groups are heavier</w:t>
      </w:r>
      <w:r>
        <w:rPr>
          <w:sz w:val="24"/>
          <w:szCs w:val="24"/>
        </w:rPr>
        <w:t>.</w:t>
      </w:r>
      <w:r w:rsidRPr="00E31D3B">
        <w:rPr>
          <w:noProof/>
          <w:sz w:val="24"/>
          <w:szCs w:val="24"/>
          <w:vertAlign w:val="superscript"/>
        </w:rPr>
        <w:t>23</w:t>
      </w:r>
      <w:r w:rsidRPr="00DF3A9B">
        <w:rPr>
          <w:sz w:val="24"/>
          <w:szCs w:val="24"/>
        </w:rPr>
        <w:t xml:space="preserve"> Although SGM women may be more likely to have higher education attainment, </w:t>
      </w:r>
      <w:proofErr w:type="spellStart"/>
      <w:r w:rsidRPr="00DF3A9B">
        <w:rPr>
          <w:sz w:val="24"/>
          <w:szCs w:val="24"/>
        </w:rPr>
        <w:t>Rothblum</w:t>
      </w:r>
      <w:proofErr w:type="spellEnd"/>
      <w:r w:rsidRPr="00DF3A9B">
        <w:rPr>
          <w:sz w:val="24"/>
          <w:szCs w:val="24"/>
        </w:rPr>
        <w:t xml:space="preserve"> reported that this does not translate into higher income.</w:t>
      </w:r>
      <w:r w:rsidRPr="00E31D3B">
        <w:rPr>
          <w:noProof/>
          <w:sz w:val="24"/>
          <w:szCs w:val="24"/>
          <w:vertAlign w:val="superscript"/>
        </w:rPr>
        <w:t>24</w:t>
      </w:r>
      <w:r w:rsidRPr="00DF3A9B">
        <w:rPr>
          <w:sz w:val="24"/>
          <w:szCs w:val="24"/>
        </w:rPr>
        <w:t xml:space="preserve"> Income levels will be included to characterize our population and as a potential </w:t>
      </w:r>
      <w:r>
        <w:rPr>
          <w:sz w:val="24"/>
          <w:szCs w:val="24"/>
        </w:rPr>
        <w:t>covariate</w:t>
      </w:r>
      <w:r w:rsidRPr="00DF3A9B">
        <w:rPr>
          <w:sz w:val="24"/>
          <w:szCs w:val="24"/>
        </w:rPr>
        <w:t xml:space="preserve"> in models used to explain project outcome of weight loss or improved fitness.  The one income question uses a standardized question and to improve participation proportion, provides closed-categories to increase response rate.</w:t>
      </w:r>
      <w:r w:rsidRPr="00A275BF">
        <w:rPr>
          <w:noProof/>
          <w:sz w:val="24"/>
          <w:szCs w:val="24"/>
          <w:vertAlign w:val="superscript"/>
        </w:rPr>
        <w:t>25</w:t>
      </w:r>
      <w:r w:rsidRPr="00DF3A9B">
        <w:rPr>
          <w:sz w:val="24"/>
          <w:szCs w:val="24"/>
        </w:rPr>
        <w:t xml:space="preserve"> Further, a self-administered survey, used in this project, compared to face-to-face interviews has also been shown to improve the response rate.</w:t>
      </w:r>
      <w:r w:rsidRPr="00A275BF">
        <w:rPr>
          <w:noProof/>
          <w:sz w:val="24"/>
          <w:szCs w:val="24"/>
          <w:vertAlign w:val="superscript"/>
        </w:rPr>
        <w:t>26</w:t>
      </w:r>
    </w:p>
    <w:p w:rsidR="00BA151D" w:rsidRPr="00DF3A9B" w:rsidRDefault="00BA151D" w:rsidP="00245F86">
      <w:pPr>
        <w:tabs>
          <w:tab w:val="left" w:pos="-324"/>
          <w:tab w:val="left" w:pos="108"/>
          <w:tab w:val="left" w:pos="3420"/>
        </w:tabs>
        <w:rPr>
          <w:sz w:val="24"/>
          <w:szCs w:val="24"/>
        </w:rPr>
      </w:pPr>
    </w:p>
    <w:p w:rsidR="00BA151D" w:rsidRPr="00DF3A9B" w:rsidRDefault="00BA151D" w:rsidP="00245F86">
      <w:pPr>
        <w:tabs>
          <w:tab w:val="left" w:pos="-324"/>
          <w:tab w:val="left" w:pos="108"/>
          <w:tab w:val="left" w:pos="3420"/>
        </w:tabs>
        <w:rPr>
          <w:sz w:val="24"/>
          <w:szCs w:val="24"/>
        </w:rPr>
      </w:pPr>
      <w:r>
        <w:rPr>
          <w:bCs/>
          <w:u w:val="single"/>
        </w:rPr>
        <w:t>Weight history:</w:t>
      </w:r>
      <w:r>
        <w:rPr>
          <w:bCs/>
        </w:rPr>
        <w:t xml:space="preserve">  </w:t>
      </w:r>
      <w:r w:rsidRPr="00DF3A9B">
        <w:rPr>
          <w:sz w:val="24"/>
          <w:szCs w:val="24"/>
        </w:rPr>
        <w:t>History of weight cycling, repeated loss and regain of weight have been shown to be associated with weight regain after weight loss intervention.</w:t>
      </w:r>
      <w:r w:rsidRPr="008C018B">
        <w:rPr>
          <w:noProof/>
          <w:sz w:val="24"/>
          <w:szCs w:val="24"/>
          <w:vertAlign w:val="superscript"/>
        </w:rPr>
        <w:t>27-</w:t>
      </w:r>
      <w:proofErr w:type="gramStart"/>
      <w:r w:rsidRPr="008C018B">
        <w:rPr>
          <w:noProof/>
          <w:sz w:val="24"/>
          <w:szCs w:val="24"/>
          <w:vertAlign w:val="superscript"/>
        </w:rPr>
        <w:t>29</w:t>
      </w:r>
      <w:r w:rsidRPr="00DF3A9B">
        <w:rPr>
          <w:sz w:val="24"/>
          <w:szCs w:val="24"/>
        </w:rPr>
        <w:t xml:space="preserve">  We</w:t>
      </w:r>
      <w:proofErr w:type="gramEnd"/>
      <w:r w:rsidRPr="00DF3A9B">
        <w:rPr>
          <w:sz w:val="24"/>
          <w:szCs w:val="24"/>
        </w:rPr>
        <w:t xml:space="preserve"> are unaware of any published studies on evaluating weight cycling in the lesbian and bisexual female population though we would expect weight cycling to be equally predictive of weight loss maintenance as found in the general population. Weight history will be included to characterize our population and as a potential </w:t>
      </w:r>
      <w:r>
        <w:rPr>
          <w:sz w:val="24"/>
          <w:szCs w:val="24"/>
        </w:rPr>
        <w:t>covariate</w:t>
      </w:r>
      <w:r w:rsidRPr="00DF3A9B">
        <w:rPr>
          <w:sz w:val="24"/>
          <w:szCs w:val="24"/>
        </w:rPr>
        <w:t xml:space="preserve"> in models used to explain project outcome of weight loss or improved fitness.  We are using the 14 NHANES’ weight history questions. </w:t>
      </w:r>
    </w:p>
    <w:p w:rsidR="00BA151D" w:rsidRPr="00DF3A9B" w:rsidRDefault="00BA151D" w:rsidP="00245F86">
      <w:pPr>
        <w:tabs>
          <w:tab w:val="left" w:pos="-324"/>
          <w:tab w:val="left" w:pos="108"/>
          <w:tab w:val="left" w:pos="3420"/>
        </w:tabs>
        <w:rPr>
          <w:sz w:val="24"/>
          <w:szCs w:val="24"/>
        </w:rPr>
      </w:pPr>
    </w:p>
    <w:p w:rsidR="00BA151D" w:rsidRPr="00DF3A9B" w:rsidRDefault="00BA151D" w:rsidP="00245F86">
      <w:pPr>
        <w:tabs>
          <w:tab w:val="left" w:pos="-324"/>
          <w:tab w:val="left" w:pos="108"/>
          <w:tab w:val="left" w:pos="3420"/>
        </w:tabs>
        <w:rPr>
          <w:sz w:val="24"/>
          <w:szCs w:val="24"/>
        </w:rPr>
      </w:pPr>
      <w:r>
        <w:rPr>
          <w:bCs/>
          <w:u w:val="single"/>
        </w:rPr>
        <w:t>Disability Status:</w:t>
      </w:r>
      <w:r>
        <w:rPr>
          <w:bCs/>
        </w:rPr>
        <w:t xml:space="preserve">  </w:t>
      </w:r>
      <w:r w:rsidRPr="00DF3A9B">
        <w:rPr>
          <w:sz w:val="24"/>
          <w:szCs w:val="24"/>
        </w:rPr>
        <w:t xml:space="preserve">As noted in the US Department of Health and Human Services’ Assessing the Need for a National Disability Survey: Final Report (2011), </w:t>
      </w:r>
      <w:r>
        <w:rPr>
          <w:sz w:val="24"/>
          <w:szCs w:val="24"/>
        </w:rPr>
        <w:t xml:space="preserve">there is a lack of valid standardized questions to use for assessment of disability status. As a result, we created two questions </w:t>
      </w:r>
      <w:r w:rsidRPr="00DF3A9B">
        <w:rPr>
          <w:sz w:val="24"/>
          <w:szCs w:val="24"/>
        </w:rPr>
        <w:t>to capture disability status by using the Americans with Disability Act regulations’ (29 C.F.R. 1630.2(i).) definition</w:t>
      </w:r>
      <w:r>
        <w:rPr>
          <w:sz w:val="24"/>
          <w:szCs w:val="24"/>
        </w:rPr>
        <w:t>, “a physical or mental impairment that substantially limits a major life activity</w:t>
      </w:r>
      <w:r w:rsidRPr="00DF3A9B">
        <w:rPr>
          <w:sz w:val="24"/>
          <w:szCs w:val="24"/>
        </w:rPr>
        <w:t>.</w:t>
      </w:r>
      <w:r>
        <w:rPr>
          <w:sz w:val="24"/>
          <w:szCs w:val="24"/>
        </w:rPr>
        <w:t>”</w:t>
      </w:r>
      <w:r w:rsidRPr="00DF3A9B">
        <w:rPr>
          <w:sz w:val="24"/>
          <w:szCs w:val="24"/>
        </w:rPr>
        <w:t xml:space="preserve">  Have one or more self-reported disability (e.g.,</w:t>
      </w:r>
      <w:r>
        <w:rPr>
          <w:sz w:val="24"/>
          <w:szCs w:val="24"/>
        </w:rPr>
        <w:t xml:space="preserve"> limitations in lifting or carrying groceries; climbing several flights of stairs; bending, kneeling or stooping; walking for several blocks; and walking for one block) w</w:t>
      </w:r>
      <w:r w:rsidRPr="00DF3A9B">
        <w:rPr>
          <w:sz w:val="24"/>
          <w:szCs w:val="24"/>
        </w:rPr>
        <w:t xml:space="preserve">ill be included to characterize our population and may be included as a potential </w:t>
      </w:r>
      <w:r>
        <w:rPr>
          <w:sz w:val="24"/>
          <w:szCs w:val="24"/>
        </w:rPr>
        <w:t>covariate</w:t>
      </w:r>
      <w:r w:rsidRPr="00DF3A9B">
        <w:rPr>
          <w:sz w:val="24"/>
          <w:szCs w:val="24"/>
        </w:rPr>
        <w:t xml:space="preserve"> in models used to explain project outcome of weight loss or improved fitness. </w:t>
      </w:r>
    </w:p>
    <w:p w:rsidR="00BA151D" w:rsidRPr="00DF3A9B" w:rsidRDefault="00BA151D" w:rsidP="00245F86">
      <w:pPr>
        <w:tabs>
          <w:tab w:val="left" w:pos="-324"/>
          <w:tab w:val="left" w:pos="108"/>
          <w:tab w:val="left" w:pos="3420"/>
        </w:tabs>
        <w:rPr>
          <w:sz w:val="24"/>
          <w:szCs w:val="24"/>
        </w:rPr>
      </w:pPr>
    </w:p>
    <w:p w:rsidR="00BA151D" w:rsidRPr="00DF3A9B" w:rsidRDefault="00BA151D" w:rsidP="00245F86">
      <w:pPr>
        <w:tabs>
          <w:tab w:val="left" w:pos="-324"/>
          <w:tab w:val="left" w:pos="108"/>
          <w:tab w:val="left" w:pos="3420"/>
        </w:tabs>
        <w:rPr>
          <w:sz w:val="24"/>
          <w:szCs w:val="24"/>
        </w:rPr>
      </w:pPr>
      <w:r>
        <w:rPr>
          <w:u w:val="single"/>
        </w:rPr>
        <w:t>Lesbian Internalized Homophobia Scale:</w:t>
      </w:r>
      <w:r>
        <w:t xml:space="preserve">  </w:t>
      </w:r>
      <w:r w:rsidRPr="00DF3A9B">
        <w:rPr>
          <w:sz w:val="24"/>
          <w:szCs w:val="24"/>
        </w:rPr>
        <w:t>Szymanski developed an internalized homophobia scale for use in the lesbian population.  It is intended to measure the extent to which negative attitudes and beliefs about homosexuality are internalized and integrated into one’s self-image and identity as SGM.</w:t>
      </w:r>
      <w:r w:rsidRPr="006534B4">
        <w:rPr>
          <w:noProof/>
          <w:sz w:val="24"/>
          <w:szCs w:val="24"/>
          <w:vertAlign w:val="superscript"/>
        </w:rPr>
        <w:t>30</w:t>
      </w:r>
      <w:r w:rsidRPr="00DF3A9B">
        <w:rPr>
          <w:sz w:val="24"/>
          <w:szCs w:val="24"/>
        </w:rPr>
        <w:t xml:space="preserve"> </w:t>
      </w:r>
      <w:proofErr w:type="spellStart"/>
      <w:r w:rsidRPr="00DF3A9B">
        <w:rPr>
          <w:sz w:val="24"/>
          <w:szCs w:val="24"/>
        </w:rPr>
        <w:t>Shidlo</w:t>
      </w:r>
      <w:proofErr w:type="spellEnd"/>
      <w:r w:rsidRPr="00DF3A9B">
        <w:rPr>
          <w:sz w:val="24"/>
          <w:szCs w:val="24"/>
        </w:rPr>
        <w:t xml:space="preserve"> suggests one reason to assess one’s internalized homophobia is </w:t>
      </w:r>
      <w:r w:rsidRPr="00DF3A9B">
        <w:rPr>
          <w:sz w:val="24"/>
          <w:szCs w:val="24"/>
        </w:rPr>
        <w:lastRenderedPageBreak/>
        <w:t>because this is an important cause of psychological distress.</w:t>
      </w:r>
      <w:r w:rsidRPr="006534B4">
        <w:rPr>
          <w:noProof/>
          <w:sz w:val="24"/>
          <w:szCs w:val="24"/>
          <w:vertAlign w:val="superscript"/>
        </w:rPr>
        <w:t>31</w:t>
      </w:r>
      <w:r w:rsidRPr="00DF3A9B">
        <w:rPr>
          <w:sz w:val="24"/>
          <w:szCs w:val="24"/>
        </w:rPr>
        <w:t xml:space="preserve"> Levels of psychological distress have been shown to be associated with abdominal adiposity and weight</w:t>
      </w:r>
      <w:r w:rsidRPr="006534B4">
        <w:rPr>
          <w:noProof/>
          <w:sz w:val="24"/>
          <w:szCs w:val="24"/>
          <w:vertAlign w:val="superscript"/>
        </w:rPr>
        <w:t>32,33</w:t>
      </w:r>
      <w:r w:rsidRPr="00DF3A9B">
        <w:rPr>
          <w:sz w:val="24"/>
          <w:szCs w:val="24"/>
        </w:rPr>
        <w:t xml:space="preserve"> as well as poorer weight loss treatment outcomes in intervention studies. </w:t>
      </w:r>
      <w:r w:rsidRPr="006534B4">
        <w:rPr>
          <w:noProof/>
          <w:sz w:val="24"/>
          <w:szCs w:val="24"/>
          <w:vertAlign w:val="superscript"/>
        </w:rPr>
        <w:t>34</w:t>
      </w:r>
      <w:r w:rsidRPr="00DF3A9B">
        <w:rPr>
          <w:sz w:val="24"/>
          <w:szCs w:val="24"/>
        </w:rPr>
        <w:t xml:space="preserve"> Scores on this validated scale will be included to characterize our population and as a potential confounder in models used to explain project outcome of weight loss or improved fitness.  </w:t>
      </w:r>
      <w:r>
        <w:rPr>
          <w:sz w:val="24"/>
          <w:szCs w:val="24"/>
        </w:rPr>
        <w:t xml:space="preserve"> </w:t>
      </w:r>
    </w:p>
    <w:p w:rsidR="00BA151D" w:rsidRPr="00DF3A9B" w:rsidRDefault="00BA151D" w:rsidP="00245F86">
      <w:pPr>
        <w:tabs>
          <w:tab w:val="left" w:pos="-324"/>
          <w:tab w:val="left" w:pos="108"/>
          <w:tab w:val="left" w:pos="3420"/>
        </w:tabs>
        <w:rPr>
          <w:sz w:val="24"/>
          <w:szCs w:val="24"/>
        </w:rPr>
      </w:pPr>
    </w:p>
    <w:p w:rsidR="00BA151D" w:rsidRPr="00DF3A9B" w:rsidRDefault="00BA151D" w:rsidP="00245F86">
      <w:pPr>
        <w:tabs>
          <w:tab w:val="left" w:pos="-324"/>
          <w:tab w:val="left" w:pos="108"/>
          <w:tab w:val="left" w:pos="3420"/>
        </w:tabs>
        <w:rPr>
          <w:sz w:val="24"/>
          <w:szCs w:val="24"/>
        </w:rPr>
      </w:pPr>
      <w:r>
        <w:rPr>
          <w:u w:val="single"/>
        </w:rPr>
        <w:t>Discrimination Scale:</w:t>
      </w:r>
      <w:r>
        <w:t xml:space="preserve"> </w:t>
      </w:r>
      <w:r w:rsidRPr="00DF3A9B">
        <w:rPr>
          <w:sz w:val="24"/>
          <w:szCs w:val="24"/>
        </w:rPr>
        <w:t>Perception of discrimination is strongly associated with stress.  Whether the causal pathway is related to biochemical change (e.g., red blood cell oxidative stress</w:t>
      </w:r>
      <w:r w:rsidRPr="002668F2">
        <w:rPr>
          <w:noProof/>
          <w:sz w:val="24"/>
          <w:szCs w:val="24"/>
          <w:vertAlign w:val="superscript"/>
        </w:rPr>
        <w:t>35</w:t>
      </w:r>
      <w:r w:rsidRPr="00DF3A9B">
        <w:rPr>
          <w:sz w:val="24"/>
          <w:szCs w:val="24"/>
        </w:rPr>
        <w:t>) or excessive eating as a mal-adaptive coping strategy</w:t>
      </w:r>
      <w:r>
        <w:rPr>
          <w:sz w:val="24"/>
          <w:szCs w:val="24"/>
        </w:rPr>
        <w:t>,</w:t>
      </w:r>
      <w:r w:rsidRPr="002668F2">
        <w:rPr>
          <w:noProof/>
          <w:sz w:val="24"/>
          <w:szCs w:val="24"/>
          <w:vertAlign w:val="superscript"/>
        </w:rPr>
        <w:t>36</w:t>
      </w:r>
      <w:r>
        <w:rPr>
          <w:sz w:val="24"/>
          <w:szCs w:val="24"/>
        </w:rPr>
        <w:t xml:space="preserve"> </w:t>
      </w:r>
      <w:r w:rsidRPr="00DF3A9B">
        <w:rPr>
          <w:sz w:val="24"/>
          <w:szCs w:val="24"/>
        </w:rPr>
        <w:t>stress is pos</w:t>
      </w:r>
      <w:r>
        <w:rPr>
          <w:sz w:val="24"/>
          <w:szCs w:val="24"/>
        </w:rPr>
        <w:t>itively associated with obesity</w:t>
      </w:r>
      <w:r w:rsidRPr="00DF3A9B">
        <w:rPr>
          <w:sz w:val="24"/>
          <w:szCs w:val="24"/>
        </w:rPr>
        <w:t>.</w:t>
      </w:r>
      <w:r w:rsidRPr="002668F2">
        <w:rPr>
          <w:noProof/>
          <w:sz w:val="24"/>
          <w:szCs w:val="24"/>
          <w:vertAlign w:val="superscript"/>
        </w:rPr>
        <w:t>37,38</w:t>
      </w:r>
      <w:r w:rsidRPr="00DF3A9B">
        <w:rPr>
          <w:sz w:val="24"/>
          <w:szCs w:val="24"/>
        </w:rPr>
        <w:t xml:space="preserve">  Meyer and others have posited that</w:t>
      </w:r>
      <w:r>
        <w:rPr>
          <w:sz w:val="24"/>
          <w:szCs w:val="24"/>
        </w:rPr>
        <w:t xml:space="preserve"> LB</w:t>
      </w:r>
      <w:r w:rsidRPr="00DF3A9B">
        <w:rPr>
          <w:sz w:val="24"/>
          <w:szCs w:val="24"/>
        </w:rPr>
        <w:t xml:space="preserve"> individuals face stigma-related prejudice and discrimination, also known as minority stress, which constitutes chronicall</w:t>
      </w:r>
      <w:r>
        <w:rPr>
          <w:sz w:val="24"/>
          <w:szCs w:val="24"/>
        </w:rPr>
        <w:t>y stressful events</w:t>
      </w:r>
      <w:r w:rsidRPr="00DF3A9B">
        <w:rPr>
          <w:sz w:val="24"/>
          <w:szCs w:val="24"/>
        </w:rPr>
        <w:t>.</w:t>
      </w:r>
      <w:r w:rsidRPr="002668F2">
        <w:rPr>
          <w:noProof/>
          <w:sz w:val="24"/>
          <w:szCs w:val="24"/>
          <w:vertAlign w:val="superscript"/>
        </w:rPr>
        <w:t>39</w:t>
      </w:r>
      <w:r w:rsidRPr="00DF3A9B">
        <w:rPr>
          <w:sz w:val="24"/>
          <w:szCs w:val="24"/>
        </w:rPr>
        <w:t xml:space="preserve">  Scores from this validated scale will be included to characterize our population and as a potential confounder in models used to explain project outcome of weight loss or improved fitness.  </w:t>
      </w:r>
    </w:p>
    <w:p w:rsidR="00BA151D" w:rsidRDefault="00BA151D" w:rsidP="00245F86">
      <w:pPr>
        <w:tabs>
          <w:tab w:val="left" w:pos="-324"/>
          <w:tab w:val="left" w:pos="108"/>
          <w:tab w:val="left" w:pos="3420"/>
        </w:tabs>
        <w:rPr>
          <w:sz w:val="24"/>
          <w:szCs w:val="24"/>
        </w:rPr>
      </w:pPr>
    </w:p>
    <w:p w:rsidR="00BA151D" w:rsidRDefault="00BA151D" w:rsidP="00245F86">
      <w:pPr>
        <w:tabs>
          <w:tab w:val="left" w:pos="-324"/>
          <w:tab w:val="left" w:pos="108"/>
          <w:tab w:val="left" w:pos="3420"/>
        </w:tabs>
        <w:rPr>
          <w:sz w:val="24"/>
          <w:szCs w:val="24"/>
        </w:rPr>
      </w:pPr>
      <w:r w:rsidRPr="000C2402">
        <w:rPr>
          <w:sz w:val="24"/>
          <w:szCs w:val="24"/>
          <w:u w:val="single"/>
        </w:rPr>
        <w:t>Medical questions:</w:t>
      </w:r>
      <w:r w:rsidRPr="00C91F66">
        <w:rPr>
          <w:sz w:val="24"/>
          <w:szCs w:val="24"/>
        </w:rPr>
        <w:t xml:space="preserve">  Participants will be asked to obtain medical clearance to participate in the study.  To assess their health status, one of our family doctors at University of Missouri Family and Community Medicine Department provided the medical form of pertinent information she felt was needed to assess the patient for medical clearance.  In addition to her specific questions about the patient’s and patient’s family medical and psychosocial history, a few other questions were added to this form since these questions fit well within the health history. For example the Center for Epidemiology Studies Depression Scale (CES-D) was placed within this instrument.  Place of these kinds of questions within this instrument also allowed the patient to discuss any questions or concerns that might arise from answering the questions with her physician.</w:t>
      </w:r>
    </w:p>
    <w:p w:rsidR="00BA151D" w:rsidRPr="00247B78" w:rsidRDefault="00BA151D" w:rsidP="00245F86">
      <w:pPr>
        <w:tabs>
          <w:tab w:val="left" w:pos="-324"/>
          <w:tab w:val="left" w:pos="108"/>
          <w:tab w:val="left" w:pos="3420"/>
        </w:tabs>
        <w:rPr>
          <w:sz w:val="24"/>
          <w:szCs w:val="24"/>
        </w:rPr>
      </w:pPr>
    </w:p>
    <w:p w:rsidR="00BA151D" w:rsidRPr="00247B78" w:rsidRDefault="00BA151D" w:rsidP="00245F86">
      <w:pPr>
        <w:pStyle w:val="AbtHeadB"/>
        <w:rPr>
          <w:rFonts w:ascii="Times New Roman" w:hAnsi="Times New Roman"/>
          <w:sz w:val="24"/>
          <w:szCs w:val="24"/>
        </w:rPr>
      </w:pPr>
      <w:bookmarkStart w:id="23" w:name="_Toc128543484"/>
      <w:bookmarkStart w:id="24" w:name="_Toc129770676"/>
      <w:r w:rsidRPr="00247B78">
        <w:rPr>
          <w:rFonts w:ascii="Times New Roman" w:hAnsi="Times New Roman"/>
          <w:sz w:val="24"/>
          <w:szCs w:val="24"/>
        </w:rPr>
        <w:t>A.12.</w:t>
      </w:r>
      <w:r w:rsidRPr="00247B78">
        <w:rPr>
          <w:rFonts w:ascii="Times New Roman" w:hAnsi="Times New Roman"/>
          <w:sz w:val="24"/>
          <w:szCs w:val="24"/>
        </w:rPr>
        <w:tab/>
        <w:t>Estimate of Response Burden</w:t>
      </w:r>
      <w:bookmarkEnd w:id="23"/>
      <w:bookmarkEnd w:id="24"/>
      <w:r w:rsidRPr="00247B78">
        <w:rPr>
          <w:rFonts w:ascii="Times New Roman" w:hAnsi="Times New Roman"/>
          <w:sz w:val="24"/>
          <w:szCs w:val="24"/>
        </w:rPr>
        <w:t xml:space="preserve"> </w:t>
      </w:r>
    </w:p>
    <w:p w:rsidR="00BA151D" w:rsidRPr="00247B78" w:rsidRDefault="00BA151D" w:rsidP="00245F86">
      <w:pPr>
        <w:pStyle w:val="AbtHeadC"/>
        <w:rPr>
          <w:rFonts w:ascii="Times New Roman" w:hAnsi="Times New Roman"/>
          <w:sz w:val="24"/>
          <w:szCs w:val="24"/>
        </w:rPr>
      </w:pPr>
      <w:r w:rsidRPr="00247B78">
        <w:rPr>
          <w:rFonts w:ascii="Times New Roman" w:hAnsi="Times New Roman"/>
          <w:sz w:val="24"/>
          <w:szCs w:val="24"/>
        </w:rPr>
        <w:t xml:space="preserve">Number of Respondents, Frequency of Response, and Annual Hour Burden </w:t>
      </w:r>
    </w:p>
    <w:p w:rsidR="00BA151D" w:rsidRPr="00247B78" w:rsidRDefault="00BA151D" w:rsidP="00245F86">
      <w:pPr>
        <w:pStyle w:val="BodyText"/>
        <w:rPr>
          <w:sz w:val="24"/>
          <w:szCs w:val="24"/>
        </w:rPr>
      </w:pPr>
      <w:r w:rsidRPr="00247B78">
        <w:rPr>
          <w:sz w:val="24"/>
          <w:szCs w:val="24"/>
        </w:rPr>
        <w:t>Approximately</w:t>
      </w:r>
      <w:r>
        <w:rPr>
          <w:sz w:val="24"/>
          <w:szCs w:val="24"/>
        </w:rPr>
        <w:t xml:space="preserve">, </w:t>
      </w:r>
      <w:r w:rsidRPr="00247B78">
        <w:rPr>
          <w:sz w:val="24"/>
          <w:szCs w:val="24"/>
        </w:rPr>
        <w:t>1</w:t>
      </w:r>
      <w:r>
        <w:rPr>
          <w:sz w:val="24"/>
          <w:szCs w:val="24"/>
        </w:rPr>
        <w:t>6</w:t>
      </w:r>
      <w:r w:rsidRPr="00247B78">
        <w:rPr>
          <w:sz w:val="24"/>
          <w:szCs w:val="24"/>
        </w:rPr>
        <w:t xml:space="preserve">0 lesbians and bisexual women will be enrolled in the study for a target number </w:t>
      </w:r>
      <w:r w:rsidRPr="00903743">
        <w:rPr>
          <w:sz w:val="24"/>
          <w:szCs w:val="24"/>
        </w:rPr>
        <w:t>of 120 individuals completing all phases of the intervention. We estimate an attrition rate of approximately 17%. Each participant will respond to survey questions at four time periods (enrollment, baseline, 4-month, and 12-month).  The estimated annual hour burden per respondent is 3.08 hours.  Time estimates are based on previous studies with the LB population and a pre-test of the measures with</w:t>
      </w:r>
      <w:r w:rsidRPr="00247B78">
        <w:rPr>
          <w:sz w:val="24"/>
          <w:szCs w:val="24"/>
        </w:rPr>
        <w:t xml:space="preserve"> 5 adults.</w:t>
      </w:r>
    </w:p>
    <w:p w:rsidR="00BA151D" w:rsidRPr="00247B78" w:rsidRDefault="00BA151D" w:rsidP="00245F86">
      <w:pPr>
        <w:pStyle w:val="BodyText"/>
        <w:jc w:val="both"/>
        <w:rPr>
          <w:sz w:val="24"/>
          <w:szCs w:val="24"/>
        </w:rPr>
      </w:pPr>
    </w:p>
    <w:p w:rsidR="00BA151D" w:rsidRPr="00247B78" w:rsidRDefault="00BA151D" w:rsidP="00245F86">
      <w:pPr>
        <w:pStyle w:val="AbtHeadC"/>
        <w:rPr>
          <w:rFonts w:ascii="Times New Roman" w:hAnsi="Times New Roman"/>
          <w:sz w:val="24"/>
          <w:szCs w:val="24"/>
        </w:rPr>
      </w:pPr>
      <w:r w:rsidRPr="00247B78">
        <w:rPr>
          <w:rFonts w:ascii="Times New Roman" w:hAnsi="Times New Roman"/>
          <w:sz w:val="24"/>
          <w:szCs w:val="24"/>
        </w:rPr>
        <w:t>Hour Burden Estimates by Each Form and Aggregate Hour Burdens</w:t>
      </w:r>
    </w:p>
    <w:p w:rsidR="00BA151D" w:rsidRPr="00247B78" w:rsidRDefault="00BA151D" w:rsidP="00245F86">
      <w:pPr>
        <w:pStyle w:val="BodyText"/>
        <w:rPr>
          <w:sz w:val="24"/>
          <w:szCs w:val="24"/>
        </w:rPr>
      </w:pPr>
      <w:r>
        <w:rPr>
          <w:sz w:val="24"/>
          <w:szCs w:val="24"/>
        </w:rPr>
        <w:t>At enrollment, t</w:t>
      </w:r>
      <w:r w:rsidRPr="00247B78">
        <w:rPr>
          <w:sz w:val="24"/>
          <w:szCs w:val="24"/>
        </w:rPr>
        <w:t xml:space="preserve">he eligibility screener will be given to 160 individuals and will take an average </w:t>
      </w:r>
      <w:r>
        <w:rPr>
          <w:sz w:val="24"/>
          <w:szCs w:val="24"/>
        </w:rPr>
        <w:t>of 8</w:t>
      </w:r>
      <w:r w:rsidRPr="00247B78">
        <w:rPr>
          <w:sz w:val="24"/>
          <w:szCs w:val="24"/>
        </w:rPr>
        <w:t xml:space="preserve"> minutes (.1</w:t>
      </w:r>
      <w:r>
        <w:rPr>
          <w:sz w:val="24"/>
          <w:szCs w:val="24"/>
        </w:rPr>
        <w:t>3</w:t>
      </w:r>
      <w:r w:rsidRPr="00247B78">
        <w:rPr>
          <w:sz w:val="24"/>
          <w:szCs w:val="24"/>
        </w:rPr>
        <w:t xml:space="preserve"> hours) to complete. The eligibility screener will be administered one time.</w:t>
      </w:r>
      <w:r>
        <w:rPr>
          <w:sz w:val="24"/>
          <w:szCs w:val="24"/>
        </w:rPr>
        <w:t xml:space="preserve"> The individuals will also complete a physical at enrollment that will take approximately 20 minutes (.33 hours) and a blood panel that will take approximately 10 minutes (.16 hours) Total time at enrollment is .62 hours.  </w:t>
      </w:r>
    </w:p>
    <w:p w:rsidR="00BA151D" w:rsidRPr="00247B78" w:rsidRDefault="00BA151D" w:rsidP="00245F86">
      <w:pPr>
        <w:pStyle w:val="BodyText"/>
        <w:rPr>
          <w:sz w:val="24"/>
          <w:szCs w:val="24"/>
        </w:rPr>
      </w:pPr>
    </w:p>
    <w:p w:rsidR="00BA151D" w:rsidRPr="00247B78" w:rsidRDefault="00BA151D" w:rsidP="00245F86">
      <w:pPr>
        <w:pStyle w:val="BodyText"/>
        <w:rPr>
          <w:sz w:val="24"/>
          <w:szCs w:val="24"/>
        </w:rPr>
      </w:pPr>
      <w:r w:rsidRPr="00247B78">
        <w:rPr>
          <w:sz w:val="24"/>
          <w:szCs w:val="24"/>
        </w:rPr>
        <w:lastRenderedPageBreak/>
        <w:t xml:space="preserve">The baseline assessments will be given to </w:t>
      </w:r>
      <w:r>
        <w:rPr>
          <w:sz w:val="24"/>
          <w:szCs w:val="24"/>
        </w:rPr>
        <w:t xml:space="preserve">approximately </w:t>
      </w:r>
      <w:r w:rsidRPr="00247B78">
        <w:rPr>
          <w:sz w:val="24"/>
          <w:szCs w:val="24"/>
        </w:rPr>
        <w:t>1</w:t>
      </w:r>
      <w:r>
        <w:rPr>
          <w:sz w:val="24"/>
          <w:szCs w:val="24"/>
        </w:rPr>
        <w:t>5</w:t>
      </w:r>
      <w:r w:rsidRPr="00247B78">
        <w:rPr>
          <w:sz w:val="24"/>
          <w:szCs w:val="24"/>
        </w:rPr>
        <w:t xml:space="preserve">0 individuals and will take an average </w:t>
      </w:r>
      <w:r>
        <w:rPr>
          <w:sz w:val="24"/>
          <w:szCs w:val="24"/>
        </w:rPr>
        <w:t xml:space="preserve">of </w:t>
      </w:r>
      <w:r w:rsidRPr="00247B78">
        <w:rPr>
          <w:sz w:val="24"/>
          <w:szCs w:val="24"/>
        </w:rPr>
        <w:t>23 minutes (.</w:t>
      </w:r>
      <w:r>
        <w:rPr>
          <w:sz w:val="24"/>
          <w:szCs w:val="24"/>
        </w:rPr>
        <w:t xml:space="preserve">4 </w:t>
      </w:r>
      <w:r w:rsidRPr="00247B78">
        <w:rPr>
          <w:sz w:val="24"/>
          <w:szCs w:val="24"/>
        </w:rPr>
        <w:t>hours) to complete. Several of the baseline measures will be administered again at the 4-month and 12-month follow up assessments although the baseline assessment will only be administered once.</w:t>
      </w:r>
      <w:r>
        <w:rPr>
          <w:sz w:val="24"/>
          <w:szCs w:val="24"/>
        </w:rPr>
        <w:t xml:space="preserve"> The direct physical fitness assessments will take approximately 30 minutes to complete (.5 hours). In addition, the participants will set up access to a social media site for the intervention groups (approximately 5 minutes, .1 hours).  Total time at baseline is 1.0 hours. </w:t>
      </w:r>
    </w:p>
    <w:p w:rsidR="00BA151D" w:rsidRPr="00247B78" w:rsidRDefault="00BA151D" w:rsidP="00245F86">
      <w:pPr>
        <w:pStyle w:val="BodyText"/>
        <w:rPr>
          <w:sz w:val="24"/>
          <w:szCs w:val="24"/>
        </w:rPr>
      </w:pPr>
    </w:p>
    <w:p w:rsidR="00BA151D" w:rsidRDefault="00BA151D" w:rsidP="00245F86">
      <w:pPr>
        <w:pStyle w:val="BodyText"/>
        <w:rPr>
          <w:sz w:val="24"/>
          <w:szCs w:val="24"/>
        </w:rPr>
      </w:pPr>
      <w:r w:rsidRPr="00247B78">
        <w:rPr>
          <w:sz w:val="24"/>
          <w:szCs w:val="24"/>
        </w:rPr>
        <w:t xml:space="preserve">The 4-month follow up assessment will be given to 120 individuals and will take an average </w:t>
      </w:r>
      <w:r>
        <w:rPr>
          <w:sz w:val="24"/>
          <w:szCs w:val="24"/>
        </w:rPr>
        <w:t>of 5</w:t>
      </w:r>
      <w:r w:rsidRPr="00247B78">
        <w:rPr>
          <w:sz w:val="24"/>
          <w:szCs w:val="24"/>
        </w:rPr>
        <w:t xml:space="preserve"> minutes (.</w:t>
      </w:r>
      <w:r>
        <w:rPr>
          <w:sz w:val="24"/>
          <w:szCs w:val="24"/>
        </w:rPr>
        <w:t>1</w:t>
      </w:r>
      <w:r w:rsidRPr="00247B78">
        <w:rPr>
          <w:sz w:val="24"/>
          <w:szCs w:val="24"/>
        </w:rPr>
        <w:t xml:space="preserve"> hours</w:t>
      </w:r>
      <w:r>
        <w:rPr>
          <w:sz w:val="24"/>
          <w:szCs w:val="24"/>
        </w:rPr>
        <w:t>)</w:t>
      </w:r>
      <w:r w:rsidRPr="00247B78">
        <w:rPr>
          <w:sz w:val="24"/>
          <w:szCs w:val="24"/>
        </w:rPr>
        <w:t xml:space="preserve"> to complete. Several of the measures included in these assessments will be administered again at the 12-month follow up assessments although the 4-month follow-up assessment will only be administered once. </w:t>
      </w:r>
      <w:r>
        <w:rPr>
          <w:sz w:val="24"/>
          <w:szCs w:val="24"/>
        </w:rPr>
        <w:t xml:space="preserve">The direct physical fitness assessments will take approximately 30 minutes to complete (.50 hours) and a blood panel that will take approximately 10 minutes (.16 hours). Total time at baseline is .76 hours. </w:t>
      </w:r>
    </w:p>
    <w:p w:rsidR="00BA151D" w:rsidRDefault="00BA151D" w:rsidP="00245F86">
      <w:pPr>
        <w:pStyle w:val="BodyText"/>
        <w:rPr>
          <w:sz w:val="24"/>
          <w:szCs w:val="24"/>
        </w:rPr>
      </w:pPr>
    </w:p>
    <w:p w:rsidR="00BA151D" w:rsidRPr="00103DA9" w:rsidRDefault="00BA151D" w:rsidP="00245F86">
      <w:pPr>
        <w:pStyle w:val="BodyText"/>
        <w:rPr>
          <w:sz w:val="24"/>
          <w:szCs w:val="24"/>
        </w:rPr>
      </w:pPr>
      <w:r>
        <w:rPr>
          <w:sz w:val="24"/>
          <w:szCs w:val="24"/>
        </w:rPr>
        <w:t>The focus group will occur after the 4-month assessment and prior to the 12-month assessment and will ask only a subset of the study individuals (up to 20 individuals) to participate in a post-intervention focus group.  The post-intervention focus group will ask about the strengths and weaknesses of the intervention.  This focus group will include up to 20 individuals and the total time will be up to 1.50 hours.</w:t>
      </w:r>
    </w:p>
    <w:p w:rsidR="00BA151D" w:rsidRPr="00247B78" w:rsidRDefault="00BA151D" w:rsidP="00245F86">
      <w:pPr>
        <w:pStyle w:val="BodyText"/>
        <w:rPr>
          <w:sz w:val="24"/>
          <w:szCs w:val="24"/>
        </w:rPr>
      </w:pPr>
    </w:p>
    <w:p w:rsidR="00BA151D" w:rsidRPr="00247B78" w:rsidRDefault="00BA151D" w:rsidP="00245F86">
      <w:pPr>
        <w:pStyle w:val="BodyText"/>
        <w:rPr>
          <w:sz w:val="24"/>
          <w:szCs w:val="24"/>
        </w:rPr>
      </w:pPr>
      <w:r w:rsidRPr="00247B78">
        <w:rPr>
          <w:sz w:val="24"/>
          <w:szCs w:val="24"/>
        </w:rPr>
        <w:t xml:space="preserve">The 12-month follow-up assessment will be given to 120 individuals and will take an average </w:t>
      </w:r>
      <w:r>
        <w:rPr>
          <w:sz w:val="24"/>
          <w:szCs w:val="24"/>
        </w:rPr>
        <w:t>of 12</w:t>
      </w:r>
      <w:r w:rsidRPr="00247B78">
        <w:rPr>
          <w:sz w:val="24"/>
          <w:szCs w:val="24"/>
        </w:rPr>
        <w:t xml:space="preserve"> minutes (.</w:t>
      </w:r>
      <w:r>
        <w:rPr>
          <w:sz w:val="24"/>
          <w:szCs w:val="24"/>
        </w:rPr>
        <w:t>2</w:t>
      </w:r>
      <w:r w:rsidRPr="00247B78">
        <w:rPr>
          <w:sz w:val="24"/>
          <w:szCs w:val="24"/>
        </w:rPr>
        <w:t xml:space="preserve">) hours to complete. The 12-month follow-up assessment will only be administered once. </w:t>
      </w:r>
      <w:r>
        <w:rPr>
          <w:sz w:val="24"/>
          <w:szCs w:val="24"/>
        </w:rPr>
        <w:t xml:space="preserve">The direct physical fitness assessments will take approximately 30 minutes to complete (.5 hours). Total time at baseline is .7 hours. </w:t>
      </w:r>
    </w:p>
    <w:p w:rsidR="00BA151D" w:rsidRPr="00247B78" w:rsidRDefault="00BA151D" w:rsidP="00245F86">
      <w:pPr>
        <w:pStyle w:val="BodyText"/>
        <w:rPr>
          <w:sz w:val="24"/>
          <w:szCs w:val="24"/>
        </w:rPr>
      </w:pPr>
    </w:p>
    <w:p w:rsidR="00BA151D" w:rsidRDefault="00BA151D" w:rsidP="00245F86">
      <w:pPr>
        <w:pStyle w:val="AbtHeadC"/>
        <w:rPr>
          <w:rFonts w:ascii="Times New Roman" w:hAnsi="Times New Roman"/>
          <w:sz w:val="24"/>
          <w:szCs w:val="24"/>
        </w:rPr>
      </w:pPr>
      <w:r>
        <w:rPr>
          <w:rFonts w:ascii="Times New Roman" w:hAnsi="Times New Roman"/>
          <w:sz w:val="24"/>
          <w:szCs w:val="24"/>
        </w:rPr>
        <w:t>1</w:t>
      </w:r>
      <w:r w:rsidRPr="00247B78">
        <w:rPr>
          <w:rFonts w:ascii="Times New Roman" w:hAnsi="Times New Roman"/>
          <w:sz w:val="24"/>
          <w:szCs w:val="24"/>
        </w:rPr>
        <w:t>2A Estimated Annualized Burden Hours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18"/>
        <w:gridCol w:w="1170"/>
        <w:gridCol w:w="1440"/>
        <w:gridCol w:w="1800"/>
        <w:gridCol w:w="2700"/>
      </w:tblGrid>
      <w:tr w:rsidR="00BA151D" w:rsidRPr="00247B78" w:rsidTr="00B40AFC">
        <w:trPr>
          <w:jc w:val="center"/>
        </w:trPr>
        <w:tc>
          <w:tcPr>
            <w:tcW w:w="1818" w:type="dxa"/>
            <w:vAlign w:val="center"/>
          </w:tcPr>
          <w:p w:rsidR="00BA151D" w:rsidRPr="00247B78" w:rsidRDefault="00BA151D" w:rsidP="00D304C7">
            <w:pPr>
              <w:jc w:val="center"/>
              <w:rPr>
                <w:b/>
                <w:bCs/>
                <w:sz w:val="24"/>
                <w:szCs w:val="24"/>
              </w:rPr>
            </w:pPr>
            <w:r w:rsidRPr="00247B78">
              <w:rPr>
                <w:b/>
                <w:bCs/>
                <w:sz w:val="24"/>
                <w:szCs w:val="24"/>
              </w:rPr>
              <w:t>Form</w:t>
            </w:r>
          </w:p>
          <w:p w:rsidR="00BA151D" w:rsidRPr="00247B78" w:rsidRDefault="00BA151D" w:rsidP="00D304C7">
            <w:pPr>
              <w:jc w:val="center"/>
              <w:rPr>
                <w:b/>
                <w:bCs/>
                <w:sz w:val="24"/>
                <w:szCs w:val="24"/>
              </w:rPr>
            </w:pPr>
            <w:r w:rsidRPr="00247B78">
              <w:rPr>
                <w:b/>
                <w:bCs/>
                <w:sz w:val="24"/>
                <w:szCs w:val="24"/>
              </w:rPr>
              <w:t>Name</w:t>
            </w:r>
          </w:p>
          <w:p w:rsidR="00BA151D" w:rsidRPr="00247B78" w:rsidRDefault="00BA151D" w:rsidP="00D304C7">
            <w:pPr>
              <w:jc w:val="center"/>
              <w:rPr>
                <w:b/>
                <w:bCs/>
                <w:sz w:val="24"/>
                <w:szCs w:val="24"/>
              </w:rPr>
            </w:pPr>
          </w:p>
        </w:tc>
        <w:tc>
          <w:tcPr>
            <w:tcW w:w="1170" w:type="dxa"/>
            <w:vAlign w:val="center"/>
          </w:tcPr>
          <w:p w:rsidR="00BA151D" w:rsidRPr="00247B78" w:rsidRDefault="00BA151D" w:rsidP="00D304C7">
            <w:pPr>
              <w:jc w:val="center"/>
              <w:rPr>
                <w:b/>
                <w:bCs/>
                <w:sz w:val="24"/>
                <w:szCs w:val="24"/>
              </w:rPr>
            </w:pPr>
            <w:r w:rsidRPr="00247B78">
              <w:rPr>
                <w:b/>
                <w:bCs/>
                <w:sz w:val="24"/>
                <w:szCs w:val="24"/>
              </w:rPr>
              <w:t>No. of</w:t>
            </w:r>
          </w:p>
          <w:p w:rsidR="00BA151D" w:rsidRPr="00247B78" w:rsidRDefault="00BA151D" w:rsidP="00D304C7">
            <w:pPr>
              <w:jc w:val="center"/>
              <w:rPr>
                <w:b/>
                <w:bCs/>
                <w:sz w:val="24"/>
                <w:szCs w:val="24"/>
              </w:rPr>
            </w:pPr>
            <w:r w:rsidRPr="00247B78">
              <w:rPr>
                <w:b/>
                <w:bCs/>
                <w:sz w:val="24"/>
                <w:szCs w:val="24"/>
              </w:rPr>
              <w:t>Respondents</w:t>
            </w:r>
          </w:p>
        </w:tc>
        <w:tc>
          <w:tcPr>
            <w:tcW w:w="1440" w:type="dxa"/>
            <w:vAlign w:val="center"/>
          </w:tcPr>
          <w:p w:rsidR="00BA151D" w:rsidRPr="00247B78" w:rsidRDefault="00BA151D" w:rsidP="00D304C7">
            <w:pPr>
              <w:jc w:val="center"/>
              <w:rPr>
                <w:b/>
                <w:bCs/>
                <w:sz w:val="24"/>
                <w:szCs w:val="24"/>
              </w:rPr>
            </w:pPr>
            <w:r w:rsidRPr="00247B78">
              <w:rPr>
                <w:b/>
                <w:bCs/>
                <w:sz w:val="24"/>
                <w:szCs w:val="24"/>
              </w:rPr>
              <w:t>No.</w:t>
            </w:r>
          </w:p>
          <w:p w:rsidR="00BA151D" w:rsidRPr="00247B78" w:rsidRDefault="00BA151D" w:rsidP="00D304C7">
            <w:pPr>
              <w:jc w:val="center"/>
              <w:rPr>
                <w:b/>
                <w:bCs/>
                <w:sz w:val="24"/>
                <w:szCs w:val="24"/>
              </w:rPr>
            </w:pPr>
            <w:r w:rsidRPr="00247B78">
              <w:rPr>
                <w:b/>
                <w:bCs/>
                <w:sz w:val="24"/>
                <w:szCs w:val="24"/>
              </w:rPr>
              <w:t>Responses</w:t>
            </w:r>
          </w:p>
          <w:p w:rsidR="00BA151D" w:rsidRPr="00247B78" w:rsidRDefault="00BA151D" w:rsidP="00D304C7">
            <w:pPr>
              <w:jc w:val="center"/>
              <w:rPr>
                <w:b/>
                <w:bCs/>
                <w:sz w:val="24"/>
                <w:szCs w:val="24"/>
              </w:rPr>
            </w:pPr>
            <w:r w:rsidRPr="00247B78">
              <w:rPr>
                <w:b/>
                <w:bCs/>
                <w:sz w:val="24"/>
                <w:szCs w:val="24"/>
              </w:rPr>
              <w:t>per</w:t>
            </w:r>
          </w:p>
          <w:p w:rsidR="00BA151D" w:rsidRPr="00247B78" w:rsidRDefault="00BA151D" w:rsidP="00D304C7">
            <w:pPr>
              <w:jc w:val="center"/>
              <w:rPr>
                <w:b/>
                <w:bCs/>
                <w:sz w:val="24"/>
                <w:szCs w:val="24"/>
              </w:rPr>
            </w:pPr>
            <w:r w:rsidRPr="00247B78">
              <w:rPr>
                <w:b/>
                <w:bCs/>
                <w:sz w:val="24"/>
                <w:szCs w:val="24"/>
              </w:rPr>
              <w:t>Respondent</w:t>
            </w:r>
          </w:p>
        </w:tc>
        <w:tc>
          <w:tcPr>
            <w:tcW w:w="1800" w:type="dxa"/>
            <w:vAlign w:val="center"/>
          </w:tcPr>
          <w:p w:rsidR="00BA151D" w:rsidRPr="00247B78" w:rsidRDefault="00BA151D" w:rsidP="00D304C7">
            <w:pPr>
              <w:jc w:val="center"/>
              <w:rPr>
                <w:b/>
                <w:bCs/>
                <w:sz w:val="24"/>
                <w:szCs w:val="24"/>
              </w:rPr>
            </w:pPr>
            <w:r w:rsidRPr="00247B78">
              <w:rPr>
                <w:b/>
                <w:bCs/>
                <w:sz w:val="24"/>
                <w:szCs w:val="24"/>
              </w:rPr>
              <w:t>Average</w:t>
            </w:r>
          </w:p>
          <w:p w:rsidR="00BA151D" w:rsidRPr="00247B78" w:rsidRDefault="00BA151D" w:rsidP="00D304C7">
            <w:pPr>
              <w:jc w:val="center"/>
              <w:rPr>
                <w:b/>
                <w:bCs/>
                <w:sz w:val="24"/>
                <w:szCs w:val="24"/>
              </w:rPr>
            </w:pPr>
            <w:r w:rsidRPr="00247B78">
              <w:rPr>
                <w:b/>
                <w:bCs/>
                <w:sz w:val="24"/>
                <w:szCs w:val="24"/>
              </w:rPr>
              <w:t>Burden per</w:t>
            </w:r>
          </w:p>
          <w:p w:rsidR="00BA151D" w:rsidRPr="00247B78" w:rsidRDefault="00BA151D" w:rsidP="00D304C7">
            <w:pPr>
              <w:jc w:val="center"/>
              <w:rPr>
                <w:b/>
                <w:bCs/>
                <w:sz w:val="24"/>
                <w:szCs w:val="24"/>
              </w:rPr>
            </w:pPr>
            <w:r w:rsidRPr="00247B78">
              <w:rPr>
                <w:b/>
                <w:bCs/>
                <w:sz w:val="24"/>
                <w:szCs w:val="24"/>
              </w:rPr>
              <w:t>Response</w:t>
            </w:r>
          </w:p>
          <w:p w:rsidR="00BA151D" w:rsidRPr="00247B78" w:rsidRDefault="00BA151D" w:rsidP="00D304C7">
            <w:pPr>
              <w:jc w:val="center"/>
              <w:rPr>
                <w:b/>
                <w:bCs/>
                <w:sz w:val="24"/>
                <w:szCs w:val="24"/>
              </w:rPr>
            </w:pPr>
            <w:r w:rsidRPr="00247B78">
              <w:rPr>
                <w:b/>
                <w:bCs/>
                <w:sz w:val="24"/>
                <w:szCs w:val="24"/>
              </w:rPr>
              <w:t>(in hours)</w:t>
            </w:r>
          </w:p>
        </w:tc>
        <w:tc>
          <w:tcPr>
            <w:tcW w:w="2700" w:type="dxa"/>
            <w:vAlign w:val="center"/>
          </w:tcPr>
          <w:p w:rsidR="00BA151D" w:rsidRPr="00247B78" w:rsidRDefault="00BA151D" w:rsidP="00D304C7">
            <w:pPr>
              <w:jc w:val="center"/>
              <w:rPr>
                <w:b/>
                <w:bCs/>
                <w:sz w:val="24"/>
                <w:szCs w:val="24"/>
              </w:rPr>
            </w:pPr>
            <w:r w:rsidRPr="00247B78">
              <w:rPr>
                <w:b/>
                <w:bCs/>
                <w:sz w:val="24"/>
                <w:szCs w:val="24"/>
              </w:rPr>
              <w:t>Total Burden Hours</w:t>
            </w:r>
          </w:p>
        </w:tc>
      </w:tr>
      <w:tr w:rsidR="00BA151D" w:rsidRPr="00247B78" w:rsidTr="00B40AFC">
        <w:trPr>
          <w:jc w:val="center"/>
        </w:trPr>
        <w:tc>
          <w:tcPr>
            <w:tcW w:w="1818" w:type="dxa"/>
            <w:vAlign w:val="center"/>
          </w:tcPr>
          <w:p w:rsidR="00BA151D" w:rsidRPr="00247B78" w:rsidRDefault="00BA151D" w:rsidP="007B5FFE">
            <w:pPr>
              <w:rPr>
                <w:b/>
                <w:bCs/>
                <w:sz w:val="24"/>
                <w:szCs w:val="24"/>
              </w:rPr>
            </w:pPr>
            <w:r>
              <w:rPr>
                <w:sz w:val="24"/>
                <w:szCs w:val="24"/>
              </w:rPr>
              <w:t>Enrollment Survey</w:t>
            </w:r>
          </w:p>
        </w:tc>
        <w:tc>
          <w:tcPr>
            <w:tcW w:w="1170" w:type="dxa"/>
            <w:vAlign w:val="center"/>
          </w:tcPr>
          <w:p w:rsidR="00BA151D" w:rsidRDefault="00BA151D" w:rsidP="0052065F">
            <w:pPr>
              <w:jc w:val="center"/>
              <w:rPr>
                <w:color w:val="000000"/>
                <w:sz w:val="24"/>
                <w:szCs w:val="24"/>
              </w:rPr>
            </w:pPr>
            <w:r>
              <w:rPr>
                <w:color w:val="000000"/>
              </w:rPr>
              <w:t>160</w:t>
            </w:r>
          </w:p>
        </w:tc>
        <w:tc>
          <w:tcPr>
            <w:tcW w:w="1440" w:type="dxa"/>
            <w:vAlign w:val="center"/>
          </w:tcPr>
          <w:p w:rsidR="00BA151D" w:rsidRDefault="00BA151D" w:rsidP="0052065F">
            <w:pPr>
              <w:jc w:val="center"/>
              <w:rPr>
                <w:color w:val="000000"/>
                <w:sz w:val="24"/>
                <w:szCs w:val="24"/>
              </w:rPr>
            </w:pPr>
            <w:r>
              <w:rPr>
                <w:color w:val="000000"/>
              </w:rPr>
              <w:t>1</w:t>
            </w:r>
          </w:p>
        </w:tc>
        <w:tc>
          <w:tcPr>
            <w:tcW w:w="1800" w:type="dxa"/>
            <w:vAlign w:val="center"/>
          </w:tcPr>
          <w:p w:rsidR="00BA151D" w:rsidRPr="008D34E5" w:rsidRDefault="00BA151D" w:rsidP="007B5FFE">
            <w:pPr>
              <w:jc w:val="center"/>
              <w:rPr>
                <w:szCs w:val="22"/>
              </w:rPr>
            </w:pPr>
            <w:r>
              <w:rPr>
                <w:szCs w:val="22"/>
              </w:rPr>
              <w:t>37/60</w:t>
            </w:r>
          </w:p>
        </w:tc>
        <w:tc>
          <w:tcPr>
            <w:tcW w:w="2700" w:type="dxa"/>
            <w:vAlign w:val="center"/>
          </w:tcPr>
          <w:p w:rsidR="00BA151D" w:rsidRDefault="00BA151D" w:rsidP="0052065F">
            <w:pPr>
              <w:jc w:val="center"/>
              <w:rPr>
                <w:color w:val="000000"/>
                <w:szCs w:val="22"/>
              </w:rPr>
            </w:pPr>
            <w:r>
              <w:rPr>
                <w:bCs/>
                <w:color w:val="000000"/>
                <w:szCs w:val="22"/>
              </w:rPr>
              <w:t>99</w:t>
            </w:r>
          </w:p>
        </w:tc>
      </w:tr>
      <w:tr w:rsidR="00BA151D" w:rsidRPr="00247B78" w:rsidTr="00B40AFC">
        <w:trPr>
          <w:jc w:val="center"/>
        </w:trPr>
        <w:tc>
          <w:tcPr>
            <w:tcW w:w="1818" w:type="dxa"/>
            <w:vAlign w:val="center"/>
          </w:tcPr>
          <w:p w:rsidR="00BA151D" w:rsidRPr="00247B78" w:rsidRDefault="00BA151D" w:rsidP="007B5FFE">
            <w:pPr>
              <w:rPr>
                <w:b/>
                <w:bCs/>
                <w:sz w:val="24"/>
                <w:szCs w:val="24"/>
              </w:rPr>
            </w:pPr>
            <w:r>
              <w:rPr>
                <w:sz w:val="24"/>
                <w:szCs w:val="24"/>
              </w:rPr>
              <w:t>Baseline Survey</w:t>
            </w:r>
          </w:p>
        </w:tc>
        <w:tc>
          <w:tcPr>
            <w:tcW w:w="1170" w:type="dxa"/>
            <w:vAlign w:val="center"/>
          </w:tcPr>
          <w:p w:rsidR="00BA151D" w:rsidRDefault="00BA151D" w:rsidP="0052065F">
            <w:pPr>
              <w:jc w:val="center"/>
              <w:rPr>
                <w:color w:val="000000"/>
                <w:sz w:val="24"/>
                <w:szCs w:val="24"/>
              </w:rPr>
            </w:pPr>
            <w:r>
              <w:rPr>
                <w:color w:val="000000"/>
              </w:rPr>
              <w:t>150</w:t>
            </w:r>
          </w:p>
        </w:tc>
        <w:tc>
          <w:tcPr>
            <w:tcW w:w="1440" w:type="dxa"/>
            <w:vAlign w:val="center"/>
          </w:tcPr>
          <w:p w:rsidR="00BA151D" w:rsidRDefault="00BA151D" w:rsidP="0052065F">
            <w:pPr>
              <w:jc w:val="center"/>
              <w:rPr>
                <w:color w:val="000000"/>
                <w:sz w:val="24"/>
                <w:szCs w:val="24"/>
              </w:rPr>
            </w:pPr>
            <w:r>
              <w:rPr>
                <w:color w:val="000000"/>
              </w:rPr>
              <w:t>1</w:t>
            </w:r>
          </w:p>
        </w:tc>
        <w:tc>
          <w:tcPr>
            <w:tcW w:w="1800" w:type="dxa"/>
            <w:vAlign w:val="center"/>
          </w:tcPr>
          <w:p w:rsidR="00BA151D" w:rsidRPr="008D34E5" w:rsidRDefault="00BA151D" w:rsidP="007B5FFE">
            <w:pPr>
              <w:jc w:val="center"/>
              <w:rPr>
                <w:szCs w:val="22"/>
              </w:rPr>
            </w:pPr>
            <w:r>
              <w:rPr>
                <w:szCs w:val="22"/>
              </w:rPr>
              <w:t>60/60</w:t>
            </w:r>
          </w:p>
        </w:tc>
        <w:tc>
          <w:tcPr>
            <w:tcW w:w="2700" w:type="dxa"/>
            <w:vAlign w:val="center"/>
          </w:tcPr>
          <w:p w:rsidR="00BA151D" w:rsidRDefault="00BA151D" w:rsidP="0052065F">
            <w:pPr>
              <w:jc w:val="center"/>
              <w:rPr>
                <w:color w:val="000000"/>
                <w:szCs w:val="22"/>
              </w:rPr>
            </w:pPr>
            <w:r>
              <w:rPr>
                <w:color w:val="000000"/>
                <w:szCs w:val="22"/>
              </w:rPr>
              <w:t>150</w:t>
            </w:r>
          </w:p>
        </w:tc>
      </w:tr>
      <w:tr w:rsidR="00BA151D" w:rsidRPr="00247B78" w:rsidTr="00B40AFC">
        <w:trPr>
          <w:jc w:val="center"/>
        </w:trPr>
        <w:tc>
          <w:tcPr>
            <w:tcW w:w="1818" w:type="dxa"/>
            <w:vAlign w:val="center"/>
          </w:tcPr>
          <w:p w:rsidR="00BA151D" w:rsidRDefault="00BA151D" w:rsidP="006477FE">
            <w:pPr>
              <w:rPr>
                <w:sz w:val="24"/>
                <w:szCs w:val="24"/>
              </w:rPr>
            </w:pPr>
            <w:r w:rsidRPr="00247B78">
              <w:rPr>
                <w:sz w:val="24"/>
                <w:szCs w:val="24"/>
              </w:rPr>
              <w:t>4-month</w:t>
            </w:r>
            <w:r>
              <w:rPr>
                <w:sz w:val="24"/>
                <w:szCs w:val="24"/>
              </w:rPr>
              <w:t xml:space="preserve"> Follow-up</w:t>
            </w:r>
          </w:p>
          <w:p w:rsidR="00BA151D" w:rsidRPr="00247B78" w:rsidRDefault="00BA151D" w:rsidP="006477FE">
            <w:pPr>
              <w:rPr>
                <w:sz w:val="24"/>
                <w:szCs w:val="24"/>
              </w:rPr>
            </w:pPr>
            <w:r>
              <w:rPr>
                <w:sz w:val="24"/>
                <w:szCs w:val="24"/>
              </w:rPr>
              <w:t>Assessment Survey</w:t>
            </w:r>
          </w:p>
        </w:tc>
        <w:tc>
          <w:tcPr>
            <w:tcW w:w="1170" w:type="dxa"/>
            <w:vAlign w:val="center"/>
          </w:tcPr>
          <w:p w:rsidR="00BA151D" w:rsidRDefault="00BA151D" w:rsidP="0052065F">
            <w:pPr>
              <w:jc w:val="center"/>
              <w:rPr>
                <w:color w:val="000000"/>
                <w:sz w:val="24"/>
                <w:szCs w:val="24"/>
              </w:rPr>
            </w:pPr>
            <w:r>
              <w:rPr>
                <w:color w:val="000000"/>
              </w:rPr>
              <w:t>140</w:t>
            </w:r>
          </w:p>
        </w:tc>
        <w:tc>
          <w:tcPr>
            <w:tcW w:w="1440" w:type="dxa"/>
            <w:vAlign w:val="center"/>
          </w:tcPr>
          <w:p w:rsidR="00BA151D" w:rsidRDefault="00BA151D" w:rsidP="0052065F">
            <w:pPr>
              <w:jc w:val="center"/>
              <w:rPr>
                <w:color w:val="000000"/>
                <w:sz w:val="24"/>
                <w:szCs w:val="24"/>
              </w:rPr>
            </w:pPr>
            <w:r>
              <w:rPr>
                <w:color w:val="000000"/>
              </w:rPr>
              <w:t>1</w:t>
            </w:r>
          </w:p>
        </w:tc>
        <w:tc>
          <w:tcPr>
            <w:tcW w:w="1800" w:type="dxa"/>
            <w:vAlign w:val="center"/>
          </w:tcPr>
          <w:p w:rsidR="00BA151D" w:rsidRPr="008D34E5" w:rsidRDefault="00BA151D" w:rsidP="007B5FFE">
            <w:pPr>
              <w:jc w:val="center"/>
              <w:rPr>
                <w:szCs w:val="22"/>
              </w:rPr>
            </w:pPr>
            <w:r>
              <w:rPr>
                <w:szCs w:val="22"/>
              </w:rPr>
              <w:t>46/60</w:t>
            </w:r>
          </w:p>
        </w:tc>
        <w:tc>
          <w:tcPr>
            <w:tcW w:w="2700" w:type="dxa"/>
            <w:vAlign w:val="center"/>
          </w:tcPr>
          <w:p w:rsidR="00BA151D" w:rsidRDefault="00BA151D" w:rsidP="0052065F">
            <w:pPr>
              <w:jc w:val="center"/>
              <w:rPr>
                <w:color w:val="000000"/>
                <w:szCs w:val="22"/>
              </w:rPr>
            </w:pPr>
            <w:r>
              <w:rPr>
                <w:color w:val="000000"/>
                <w:szCs w:val="22"/>
              </w:rPr>
              <w:t>106</w:t>
            </w:r>
          </w:p>
        </w:tc>
      </w:tr>
      <w:tr w:rsidR="00BA151D" w:rsidRPr="00247B78" w:rsidTr="00B40AFC">
        <w:trPr>
          <w:jc w:val="center"/>
        </w:trPr>
        <w:tc>
          <w:tcPr>
            <w:tcW w:w="1818" w:type="dxa"/>
            <w:vAlign w:val="center"/>
          </w:tcPr>
          <w:p w:rsidR="00BA151D" w:rsidRDefault="00BA151D" w:rsidP="00443FCC">
            <w:pPr>
              <w:rPr>
                <w:sz w:val="24"/>
                <w:szCs w:val="24"/>
              </w:rPr>
            </w:pPr>
            <w:r>
              <w:rPr>
                <w:sz w:val="24"/>
                <w:szCs w:val="24"/>
              </w:rPr>
              <w:t>Post</w:t>
            </w:r>
          </w:p>
          <w:p w:rsidR="00BA151D" w:rsidRDefault="00BA151D" w:rsidP="00443FCC">
            <w:pPr>
              <w:rPr>
                <w:sz w:val="24"/>
                <w:szCs w:val="24"/>
              </w:rPr>
            </w:pPr>
            <w:r>
              <w:rPr>
                <w:sz w:val="24"/>
                <w:szCs w:val="24"/>
              </w:rPr>
              <w:t>Intervention</w:t>
            </w:r>
          </w:p>
          <w:p w:rsidR="00BA151D" w:rsidRPr="00103DA9" w:rsidRDefault="00BA151D" w:rsidP="00443FCC">
            <w:pPr>
              <w:rPr>
                <w:sz w:val="24"/>
                <w:szCs w:val="24"/>
              </w:rPr>
            </w:pPr>
            <w:r w:rsidRPr="00103DA9">
              <w:rPr>
                <w:sz w:val="24"/>
                <w:szCs w:val="24"/>
              </w:rPr>
              <w:t>Focus Group</w:t>
            </w:r>
          </w:p>
        </w:tc>
        <w:tc>
          <w:tcPr>
            <w:tcW w:w="1170" w:type="dxa"/>
            <w:vAlign w:val="center"/>
          </w:tcPr>
          <w:p w:rsidR="00BA151D" w:rsidRPr="00103DA9" w:rsidRDefault="00BA151D" w:rsidP="0052065F">
            <w:pPr>
              <w:jc w:val="center"/>
              <w:rPr>
                <w:color w:val="000000"/>
              </w:rPr>
            </w:pPr>
            <w:r w:rsidRPr="00103DA9">
              <w:rPr>
                <w:color w:val="000000"/>
              </w:rPr>
              <w:t>20</w:t>
            </w:r>
          </w:p>
        </w:tc>
        <w:tc>
          <w:tcPr>
            <w:tcW w:w="1440" w:type="dxa"/>
            <w:vAlign w:val="center"/>
          </w:tcPr>
          <w:p w:rsidR="00BA151D" w:rsidRPr="00103DA9" w:rsidRDefault="00BA151D" w:rsidP="0052065F">
            <w:pPr>
              <w:jc w:val="center"/>
              <w:rPr>
                <w:color w:val="000000"/>
              </w:rPr>
            </w:pPr>
            <w:r w:rsidRPr="00103DA9">
              <w:rPr>
                <w:color w:val="000000"/>
              </w:rPr>
              <w:t>1</w:t>
            </w:r>
          </w:p>
        </w:tc>
        <w:tc>
          <w:tcPr>
            <w:tcW w:w="1800" w:type="dxa"/>
            <w:vAlign w:val="center"/>
          </w:tcPr>
          <w:p w:rsidR="00BA151D" w:rsidRPr="008D34E5" w:rsidRDefault="00BA151D" w:rsidP="007B5FFE">
            <w:pPr>
              <w:jc w:val="center"/>
              <w:rPr>
                <w:szCs w:val="22"/>
              </w:rPr>
            </w:pPr>
            <w:r>
              <w:rPr>
                <w:szCs w:val="22"/>
              </w:rPr>
              <w:t>90/60</w:t>
            </w:r>
          </w:p>
        </w:tc>
        <w:tc>
          <w:tcPr>
            <w:tcW w:w="2700" w:type="dxa"/>
            <w:vAlign w:val="center"/>
          </w:tcPr>
          <w:p w:rsidR="00BA151D" w:rsidRPr="00103DA9" w:rsidRDefault="00BA151D" w:rsidP="0052065F">
            <w:pPr>
              <w:jc w:val="center"/>
              <w:rPr>
                <w:color w:val="000000"/>
                <w:szCs w:val="22"/>
              </w:rPr>
            </w:pPr>
            <w:r w:rsidRPr="00103DA9">
              <w:rPr>
                <w:color w:val="000000"/>
                <w:szCs w:val="22"/>
              </w:rPr>
              <w:t>30</w:t>
            </w:r>
          </w:p>
        </w:tc>
      </w:tr>
      <w:tr w:rsidR="00BA151D" w:rsidRPr="00247B78" w:rsidTr="00B40AFC">
        <w:trPr>
          <w:jc w:val="center"/>
        </w:trPr>
        <w:tc>
          <w:tcPr>
            <w:tcW w:w="1818" w:type="dxa"/>
            <w:vAlign w:val="center"/>
          </w:tcPr>
          <w:p w:rsidR="00BA151D" w:rsidRDefault="00BA151D" w:rsidP="007B5FFE">
            <w:pPr>
              <w:rPr>
                <w:sz w:val="24"/>
                <w:szCs w:val="24"/>
              </w:rPr>
            </w:pPr>
            <w:r w:rsidRPr="00247B78">
              <w:rPr>
                <w:sz w:val="24"/>
                <w:szCs w:val="24"/>
              </w:rPr>
              <w:lastRenderedPageBreak/>
              <w:t>12-month</w:t>
            </w:r>
          </w:p>
          <w:p w:rsidR="00BA151D" w:rsidRDefault="00BA151D" w:rsidP="007B5FFE">
            <w:pPr>
              <w:rPr>
                <w:sz w:val="24"/>
                <w:szCs w:val="24"/>
              </w:rPr>
            </w:pPr>
            <w:r>
              <w:rPr>
                <w:sz w:val="24"/>
                <w:szCs w:val="24"/>
              </w:rPr>
              <w:t>Follow-up</w:t>
            </w:r>
          </w:p>
          <w:p w:rsidR="00BA151D" w:rsidRPr="00247B78" w:rsidRDefault="00BA151D" w:rsidP="007B5FFE">
            <w:pPr>
              <w:rPr>
                <w:sz w:val="24"/>
                <w:szCs w:val="24"/>
              </w:rPr>
            </w:pPr>
            <w:r>
              <w:rPr>
                <w:sz w:val="24"/>
                <w:szCs w:val="24"/>
              </w:rPr>
              <w:t>Assessment Survey</w:t>
            </w:r>
          </w:p>
        </w:tc>
        <w:tc>
          <w:tcPr>
            <w:tcW w:w="1170" w:type="dxa"/>
            <w:vAlign w:val="center"/>
          </w:tcPr>
          <w:p w:rsidR="00BA151D" w:rsidRDefault="00BA151D" w:rsidP="0052065F">
            <w:pPr>
              <w:jc w:val="center"/>
              <w:rPr>
                <w:color w:val="000000"/>
                <w:sz w:val="24"/>
                <w:szCs w:val="24"/>
              </w:rPr>
            </w:pPr>
            <w:r>
              <w:rPr>
                <w:color w:val="000000"/>
              </w:rPr>
              <w:t>120</w:t>
            </w:r>
          </w:p>
        </w:tc>
        <w:tc>
          <w:tcPr>
            <w:tcW w:w="1440" w:type="dxa"/>
            <w:vAlign w:val="center"/>
          </w:tcPr>
          <w:p w:rsidR="00BA151D" w:rsidRDefault="00BA151D" w:rsidP="0052065F">
            <w:pPr>
              <w:jc w:val="center"/>
              <w:rPr>
                <w:color w:val="000000"/>
                <w:sz w:val="24"/>
                <w:szCs w:val="24"/>
              </w:rPr>
            </w:pPr>
            <w:r>
              <w:rPr>
                <w:color w:val="000000"/>
              </w:rPr>
              <w:t>1</w:t>
            </w:r>
          </w:p>
        </w:tc>
        <w:tc>
          <w:tcPr>
            <w:tcW w:w="1800" w:type="dxa"/>
            <w:vAlign w:val="center"/>
          </w:tcPr>
          <w:p w:rsidR="00BA151D" w:rsidRPr="008D34E5" w:rsidRDefault="00BA151D" w:rsidP="007B5FFE">
            <w:pPr>
              <w:jc w:val="center"/>
              <w:rPr>
                <w:szCs w:val="22"/>
              </w:rPr>
            </w:pPr>
            <w:r>
              <w:rPr>
                <w:szCs w:val="22"/>
              </w:rPr>
              <w:t>42/60</w:t>
            </w:r>
          </w:p>
        </w:tc>
        <w:tc>
          <w:tcPr>
            <w:tcW w:w="2700" w:type="dxa"/>
            <w:vAlign w:val="center"/>
          </w:tcPr>
          <w:p w:rsidR="00BA151D" w:rsidRDefault="00BA151D" w:rsidP="0052065F">
            <w:pPr>
              <w:jc w:val="center"/>
              <w:rPr>
                <w:color w:val="000000"/>
                <w:szCs w:val="22"/>
              </w:rPr>
            </w:pPr>
            <w:r>
              <w:rPr>
                <w:color w:val="000000"/>
                <w:szCs w:val="22"/>
              </w:rPr>
              <w:t>84</w:t>
            </w:r>
          </w:p>
        </w:tc>
      </w:tr>
      <w:tr w:rsidR="00BA151D" w:rsidRPr="00247B78" w:rsidTr="00B40AFC">
        <w:trPr>
          <w:jc w:val="center"/>
        </w:trPr>
        <w:tc>
          <w:tcPr>
            <w:tcW w:w="1818" w:type="dxa"/>
            <w:vAlign w:val="center"/>
          </w:tcPr>
          <w:p w:rsidR="00BA151D" w:rsidRPr="0052065F" w:rsidRDefault="00BA151D" w:rsidP="007B5FFE">
            <w:pPr>
              <w:rPr>
                <w:b/>
                <w:sz w:val="24"/>
                <w:szCs w:val="24"/>
              </w:rPr>
            </w:pPr>
            <w:r w:rsidRPr="0052065F">
              <w:rPr>
                <w:b/>
                <w:sz w:val="24"/>
                <w:szCs w:val="24"/>
              </w:rPr>
              <w:t>Total</w:t>
            </w:r>
          </w:p>
        </w:tc>
        <w:tc>
          <w:tcPr>
            <w:tcW w:w="1170" w:type="dxa"/>
            <w:vAlign w:val="center"/>
          </w:tcPr>
          <w:p w:rsidR="00BA151D" w:rsidRDefault="00BA151D" w:rsidP="0052065F">
            <w:pPr>
              <w:jc w:val="center"/>
              <w:rPr>
                <w:b/>
                <w:bCs/>
                <w:color w:val="000000"/>
                <w:sz w:val="24"/>
                <w:szCs w:val="24"/>
              </w:rPr>
            </w:pPr>
          </w:p>
        </w:tc>
        <w:tc>
          <w:tcPr>
            <w:tcW w:w="1440" w:type="dxa"/>
            <w:vAlign w:val="center"/>
          </w:tcPr>
          <w:p w:rsidR="00BA151D" w:rsidRDefault="00BA151D" w:rsidP="0052065F">
            <w:pPr>
              <w:jc w:val="center"/>
              <w:rPr>
                <w:b/>
                <w:bCs/>
                <w:color w:val="000000"/>
                <w:sz w:val="24"/>
                <w:szCs w:val="24"/>
              </w:rPr>
            </w:pPr>
          </w:p>
        </w:tc>
        <w:tc>
          <w:tcPr>
            <w:tcW w:w="1800" w:type="dxa"/>
            <w:vAlign w:val="center"/>
          </w:tcPr>
          <w:p w:rsidR="00BA151D" w:rsidRDefault="00BA151D" w:rsidP="0052065F">
            <w:pPr>
              <w:jc w:val="center"/>
              <w:rPr>
                <w:b/>
                <w:bCs/>
                <w:color w:val="000000"/>
                <w:szCs w:val="22"/>
              </w:rPr>
            </w:pPr>
          </w:p>
        </w:tc>
        <w:tc>
          <w:tcPr>
            <w:tcW w:w="2700" w:type="dxa"/>
            <w:vAlign w:val="center"/>
          </w:tcPr>
          <w:p w:rsidR="00BA151D" w:rsidRDefault="00BA151D" w:rsidP="0052065F">
            <w:pPr>
              <w:jc w:val="center"/>
              <w:rPr>
                <w:b/>
                <w:bCs/>
                <w:color w:val="000000"/>
                <w:szCs w:val="22"/>
              </w:rPr>
            </w:pPr>
            <w:r>
              <w:rPr>
                <w:b/>
                <w:bCs/>
                <w:color w:val="000000"/>
                <w:szCs w:val="22"/>
              </w:rPr>
              <w:t>470</w:t>
            </w:r>
          </w:p>
        </w:tc>
      </w:tr>
    </w:tbl>
    <w:p w:rsidR="00BA151D" w:rsidRPr="00247B78" w:rsidRDefault="00BA151D" w:rsidP="00245F86">
      <w:pPr>
        <w:pStyle w:val="BodyText"/>
        <w:rPr>
          <w:sz w:val="24"/>
          <w:szCs w:val="24"/>
        </w:rPr>
      </w:pPr>
    </w:p>
    <w:p w:rsidR="00BA151D" w:rsidRPr="00247B78" w:rsidRDefault="00BA151D" w:rsidP="00245F86">
      <w:pPr>
        <w:pStyle w:val="AbtHeadC"/>
        <w:rPr>
          <w:rFonts w:ascii="Times New Roman" w:hAnsi="Times New Roman"/>
          <w:sz w:val="24"/>
          <w:szCs w:val="24"/>
        </w:rPr>
      </w:pPr>
      <w:r w:rsidRPr="00247B78">
        <w:rPr>
          <w:rFonts w:ascii="Times New Roman" w:hAnsi="Times New Roman"/>
          <w:sz w:val="24"/>
          <w:szCs w:val="24"/>
        </w:rPr>
        <w:t>12B</w:t>
      </w:r>
      <w:r w:rsidRPr="00247B78">
        <w:rPr>
          <w:rFonts w:ascii="Times New Roman" w:hAnsi="Times New Roman"/>
          <w:sz w:val="24"/>
          <w:szCs w:val="24"/>
        </w:rPr>
        <w:tab/>
        <w:t>Estimates of Annualized Cost to Respondents for the Hour Burdens</w:t>
      </w:r>
    </w:p>
    <w:p w:rsidR="00BA151D" w:rsidRDefault="00BA151D" w:rsidP="00245F86">
      <w:pPr>
        <w:pStyle w:val="BodyText"/>
        <w:rPr>
          <w:sz w:val="24"/>
          <w:szCs w:val="24"/>
        </w:rPr>
      </w:pPr>
      <w:r>
        <w:rPr>
          <w:sz w:val="24"/>
          <w:szCs w:val="24"/>
        </w:rPr>
        <w:t xml:space="preserve">There are no annualized monetary costs to the respondents for participating in this study other than the time it will take to complete the surveys and assessments. Respondents are able to complete the surveys at their convenience. </w:t>
      </w:r>
    </w:p>
    <w:p w:rsidR="00BA151D" w:rsidRPr="00247B78" w:rsidRDefault="00BA151D" w:rsidP="00245F86">
      <w:pPr>
        <w:pStyle w:val="BodyText"/>
        <w:rPr>
          <w:sz w:val="24"/>
          <w:szCs w:val="24"/>
        </w:rPr>
      </w:pPr>
    </w:p>
    <w:p w:rsidR="00BA151D" w:rsidRPr="00247B78" w:rsidRDefault="00BA151D" w:rsidP="00245F86">
      <w:pPr>
        <w:pStyle w:val="AbtHeadB"/>
        <w:rPr>
          <w:rFonts w:ascii="Times New Roman" w:hAnsi="Times New Roman"/>
          <w:sz w:val="24"/>
          <w:szCs w:val="24"/>
        </w:rPr>
      </w:pPr>
      <w:bookmarkStart w:id="25" w:name="_Toc128543485"/>
      <w:bookmarkStart w:id="26" w:name="_Toc129770677"/>
      <w:r w:rsidRPr="00247B78">
        <w:rPr>
          <w:rFonts w:ascii="Times New Roman" w:hAnsi="Times New Roman"/>
          <w:sz w:val="24"/>
          <w:szCs w:val="24"/>
        </w:rPr>
        <w:t>A.13.</w:t>
      </w:r>
      <w:r w:rsidRPr="00247B78">
        <w:rPr>
          <w:rFonts w:ascii="Times New Roman" w:hAnsi="Times New Roman"/>
          <w:sz w:val="24"/>
          <w:szCs w:val="24"/>
        </w:rPr>
        <w:tab/>
        <w:t>Estimate of Total Capital and Startup Costs/Operation and Maintenance Costs to Respondents or Record-Keeper</w:t>
      </w:r>
      <w:bookmarkEnd w:id="25"/>
      <w:bookmarkEnd w:id="26"/>
      <w:r w:rsidRPr="00247B78">
        <w:rPr>
          <w:rFonts w:ascii="Times New Roman" w:hAnsi="Times New Roman"/>
          <w:sz w:val="24"/>
          <w:szCs w:val="24"/>
        </w:rPr>
        <w:t xml:space="preserve"> </w:t>
      </w:r>
    </w:p>
    <w:p w:rsidR="00BA151D" w:rsidRPr="00247B78" w:rsidRDefault="00BA151D" w:rsidP="00245F86">
      <w:pPr>
        <w:pStyle w:val="BodyText"/>
        <w:rPr>
          <w:sz w:val="24"/>
          <w:szCs w:val="24"/>
        </w:rPr>
      </w:pPr>
      <w:r w:rsidRPr="00247B78">
        <w:rPr>
          <w:sz w:val="24"/>
          <w:szCs w:val="24"/>
        </w:rPr>
        <w:t xml:space="preserve">There </w:t>
      </w:r>
      <w:proofErr w:type="gramStart"/>
      <w:r w:rsidRPr="00247B78">
        <w:rPr>
          <w:sz w:val="24"/>
          <w:szCs w:val="24"/>
        </w:rPr>
        <w:t>are</w:t>
      </w:r>
      <w:proofErr w:type="gramEnd"/>
      <w:r w:rsidRPr="00247B78">
        <w:rPr>
          <w:sz w:val="24"/>
          <w:szCs w:val="24"/>
        </w:rPr>
        <w:t xml:space="preserve"> no annualized capital/startup or ongoing operation and maintenance costs involved in collecting the information. Other than their time to complete the surveys,</w:t>
      </w:r>
      <w:r>
        <w:rPr>
          <w:sz w:val="24"/>
          <w:szCs w:val="24"/>
        </w:rPr>
        <w:t xml:space="preserve"> which is estimated in Exhibit 1</w:t>
      </w:r>
      <w:r w:rsidRPr="00247B78">
        <w:rPr>
          <w:sz w:val="24"/>
          <w:szCs w:val="24"/>
        </w:rPr>
        <w:t xml:space="preserve">, there are no direct monetary costs to respondents.  </w:t>
      </w:r>
    </w:p>
    <w:p w:rsidR="00BA151D" w:rsidRPr="00247B78" w:rsidRDefault="00BA151D" w:rsidP="00245F86">
      <w:pPr>
        <w:pStyle w:val="BodyText"/>
        <w:rPr>
          <w:sz w:val="24"/>
          <w:szCs w:val="24"/>
        </w:rPr>
      </w:pPr>
    </w:p>
    <w:p w:rsidR="00BA151D" w:rsidRPr="00247B78" w:rsidRDefault="00BA151D" w:rsidP="00245F86">
      <w:pPr>
        <w:pStyle w:val="AbtHeadB"/>
        <w:rPr>
          <w:rFonts w:ascii="Times New Roman" w:hAnsi="Times New Roman"/>
          <w:sz w:val="24"/>
          <w:szCs w:val="24"/>
        </w:rPr>
      </w:pPr>
      <w:bookmarkStart w:id="27" w:name="_Toc128543486"/>
      <w:bookmarkStart w:id="28" w:name="_Toc129770678"/>
      <w:r w:rsidRPr="00247B78">
        <w:rPr>
          <w:rFonts w:ascii="Times New Roman" w:hAnsi="Times New Roman"/>
          <w:sz w:val="24"/>
          <w:szCs w:val="24"/>
        </w:rPr>
        <w:t>A.14.</w:t>
      </w:r>
      <w:r w:rsidRPr="00247B78">
        <w:rPr>
          <w:rFonts w:ascii="Times New Roman" w:hAnsi="Times New Roman"/>
          <w:sz w:val="24"/>
          <w:szCs w:val="24"/>
        </w:rPr>
        <w:tab/>
        <w:t>Estimates of Costs to the Federal Government</w:t>
      </w:r>
      <w:bookmarkEnd w:id="27"/>
      <w:bookmarkEnd w:id="28"/>
    </w:p>
    <w:p w:rsidR="00BA151D" w:rsidRPr="00247B78" w:rsidRDefault="00BA151D" w:rsidP="00245F86">
      <w:pPr>
        <w:pStyle w:val="BodyText"/>
        <w:rPr>
          <w:sz w:val="24"/>
          <w:szCs w:val="24"/>
        </w:rPr>
      </w:pPr>
      <w:r w:rsidRPr="00247B78">
        <w:rPr>
          <w:sz w:val="24"/>
          <w:szCs w:val="24"/>
        </w:rPr>
        <w:t xml:space="preserve">The estimated cost to the Federal Government for the </w:t>
      </w:r>
      <w:r w:rsidRPr="00247B78">
        <w:rPr>
          <w:i/>
          <w:sz w:val="24"/>
          <w:szCs w:val="24"/>
        </w:rPr>
        <w:t>Out Proud and Healthy Fitness Project</w:t>
      </w:r>
      <w:r w:rsidRPr="00247B78">
        <w:rPr>
          <w:sz w:val="24"/>
          <w:szCs w:val="24"/>
        </w:rPr>
        <w:t xml:space="preserve"> data collection activities is</w:t>
      </w:r>
      <w:r>
        <w:rPr>
          <w:sz w:val="24"/>
          <w:szCs w:val="24"/>
        </w:rPr>
        <w:t xml:space="preserve"> </w:t>
      </w:r>
      <w:r w:rsidRPr="00247B78">
        <w:rPr>
          <w:sz w:val="24"/>
          <w:szCs w:val="24"/>
        </w:rPr>
        <w:t>$</w:t>
      </w:r>
      <w:r>
        <w:rPr>
          <w:sz w:val="24"/>
          <w:szCs w:val="24"/>
        </w:rPr>
        <w:t>21,</w:t>
      </w:r>
      <w:r w:rsidRPr="00247B78">
        <w:rPr>
          <w:sz w:val="24"/>
          <w:szCs w:val="24"/>
        </w:rPr>
        <w:t>600</w:t>
      </w:r>
      <w:r>
        <w:rPr>
          <w:sz w:val="24"/>
          <w:szCs w:val="24"/>
        </w:rPr>
        <w:t xml:space="preserve"> for 2 staff members at 10% FTE each</w:t>
      </w:r>
      <w:r w:rsidRPr="00247B78">
        <w:rPr>
          <w:sz w:val="24"/>
          <w:szCs w:val="24"/>
        </w:rPr>
        <w:t>.</w:t>
      </w:r>
    </w:p>
    <w:p w:rsidR="00BA151D" w:rsidRPr="00247B78" w:rsidRDefault="00BA151D" w:rsidP="00245F86">
      <w:pPr>
        <w:pStyle w:val="BodyText"/>
        <w:rPr>
          <w:sz w:val="24"/>
          <w:szCs w:val="24"/>
        </w:rPr>
      </w:pPr>
    </w:p>
    <w:p w:rsidR="00BA151D" w:rsidRPr="00247B78" w:rsidRDefault="00BA151D" w:rsidP="00245F86">
      <w:pPr>
        <w:pStyle w:val="AbtHeadB"/>
        <w:rPr>
          <w:rFonts w:ascii="Times New Roman" w:hAnsi="Times New Roman"/>
          <w:sz w:val="24"/>
          <w:szCs w:val="24"/>
        </w:rPr>
      </w:pPr>
      <w:bookmarkStart w:id="29" w:name="_Toc128543487"/>
      <w:bookmarkStart w:id="30" w:name="_Toc129770679"/>
      <w:r w:rsidRPr="00247B78">
        <w:rPr>
          <w:rFonts w:ascii="Times New Roman" w:hAnsi="Times New Roman"/>
          <w:sz w:val="24"/>
          <w:szCs w:val="24"/>
        </w:rPr>
        <w:t>A.15.</w:t>
      </w:r>
      <w:r w:rsidRPr="00247B78">
        <w:rPr>
          <w:rFonts w:ascii="Times New Roman" w:hAnsi="Times New Roman"/>
          <w:sz w:val="24"/>
          <w:szCs w:val="24"/>
        </w:rPr>
        <w:tab/>
      </w:r>
      <w:bookmarkEnd w:id="29"/>
      <w:bookmarkEnd w:id="30"/>
      <w:r w:rsidRPr="00247B78">
        <w:rPr>
          <w:rFonts w:ascii="Times New Roman" w:hAnsi="Times New Roman"/>
          <w:sz w:val="24"/>
          <w:szCs w:val="24"/>
        </w:rPr>
        <w:t>Explanation for Program Changes or Adjustments</w:t>
      </w:r>
    </w:p>
    <w:p w:rsidR="00BA151D" w:rsidRPr="00247B78" w:rsidRDefault="00BA151D" w:rsidP="00245F86">
      <w:pPr>
        <w:pStyle w:val="BodyText"/>
        <w:rPr>
          <w:sz w:val="24"/>
          <w:szCs w:val="24"/>
        </w:rPr>
      </w:pPr>
      <w:r w:rsidRPr="00247B78">
        <w:rPr>
          <w:sz w:val="24"/>
          <w:szCs w:val="24"/>
        </w:rPr>
        <w:t>No change in burden is requested. This submission to OMB is for an initial request for approval.</w:t>
      </w:r>
    </w:p>
    <w:p w:rsidR="00BA151D" w:rsidRPr="00247B78" w:rsidRDefault="00BA151D" w:rsidP="00245F86">
      <w:pPr>
        <w:pStyle w:val="BodyText"/>
        <w:rPr>
          <w:sz w:val="24"/>
          <w:szCs w:val="24"/>
        </w:rPr>
      </w:pPr>
    </w:p>
    <w:p w:rsidR="00BA151D" w:rsidRPr="00247B78" w:rsidRDefault="00BA151D" w:rsidP="00245F86">
      <w:pPr>
        <w:pStyle w:val="AbtHeadB"/>
        <w:rPr>
          <w:rFonts w:ascii="Times New Roman" w:hAnsi="Times New Roman"/>
          <w:sz w:val="24"/>
          <w:szCs w:val="24"/>
        </w:rPr>
      </w:pPr>
      <w:bookmarkStart w:id="31" w:name="_Toc128543488"/>
      <w:bookmarkStart w:id="32" w:name="_Toc129770680"/>
      <w:r w:rsidRPr="00247B78">
        <w:rPr>
          <w:rFonts w:ascii="Times New Roman" w:hAnsi="Times New Roman"/>
          <w:sz w:val="24"/>
          <w:szCs w:val="24"/>
        </w:rPr>
        <w:t>A.16.</w:t>
      </w:r>
      <w:r w:rsidRPr="00247B78">
        <w:rPr>
          <w:rFonts w:ascii="Times New Roman" w:hAnsi="Times New Roman"/>
          <w:sz w:val="24"/>
          <w:szCs w:val="24"/>
        </w:rPr>
        <w:tab/>
        <w:t>Plans for Publication, Analysis, and Schedule</w:t>
      </w:r>
      <w:bookmarkEnd w:id="31"/>
      <w:bookmarkEnd w:id="32"/>
    </w:p>
    <w:p w:rsidR="00BA151D" w:rsidRPr="00247B78" w:rsidRDefault="00BA151D" w:rsidP="00245F86">
      <w:pPr>
        <w:pStyle w:val="BodyText"/>
        <w:rPr>
          <w:sz w:val="24"/>
          <w:szCs w:val="24"/>
        </w:rPr>
      </w:pPr>
      <w:r w:rsidRPr="00247B78">
        <w:rPr>
          <w:sz w:val="24"/>
          <w:szCs w:val="24"/>
        </w:rPr>
        <w:t xml:space="preserve">NORC at the University of Chicago and the University of Missouri – Columbia in conjunction with OWH will develop several reports and manuscripts based on the project’s findings. </w:t>
      </w:r>
    </w:p>
    <w:p w:rsidR="00BA151D" w:rsidRPr="00247B78" w:rsidRDefault="00BA151D" w:rsidP="00245F86">
      <w:pPr>
        <w:pStyle w:val="BodyText"/>
        <w:rPr>
          <w:sz w:val="24"/>
          <w:szCs w:val="24"/>
        </w:rPr>
      </w:pPr>
    </w:p>
    <w:p w:rsidR="00BA151D" w:rsidRPr="00247B78" w:rsidRDefault="00BA151D" w:rsidP="00245F86">
      <w:pPr>
        <w:pStyle w:val="BodyText"/>
        <w:rPr>
          <w:sz w:val="24"/>
          <w:szCs w:val="24"/>
        </w:rPr>
      </w:pPr>
      <w:r w:rsidRPr="00247B78">
        <w:rPr>
          <w:sz w:val="24"/>
          <w:szCs w:val="24"/>
        </w:rPr>
        <w:t xml:space="preserve">In year one, NORC, MU, and OWH will develop the first manuscript which will describe the methodology and results of the focus groups during the design phase of the project. </w:t>
      </w:r>
    </w:p>
    <w:p w:rsidR="00BA151D" w:rsidRPr="00247B78" w:rsidRDefault="00BA151D" w:rsidP="00245F86">
      <w:pPr>
        <w:pStyle w:val="BodyText"/>
        <w:rPr>
          <w:sz w:val="24"/>
          <w:szCs w:val="24"/>
        </w:rPr>
      </w:pPr>
    </w:p>
    <w:p w:rsidR="00BA151D" w:rsidRPr="00247B78" w:rsidRDefault="00BA151D" w:rsidP="00245F86">
      <w:pPr>
        <w:pStyle w:val="BodyText"/>
        <w:rPr>
          <w:sz w:val="24"/>
          <w:szCs w:val="24"/>
        </w:rPr>
      </w:pPr>
      <w:r w:rsidRPr="00247B78">
        <w:rPr>
          <w:sz w:val="24"/>
          <w:szCs w:val="24"/>
        </w:rPr>
        <w:t xml:space="preserve">In year two, NORC, MU, and OWH will develop the following publications. The second manuscript will describe the final protocol for the proposed interventions. The third paper will descriptively describe the rationale, methods and materials used for the intervention. The fourth paper will describe the results from the evaluation of the intervention including the evaluation method, results, lessons learned, and prospects for sustainability. </w:t>
      </w:r>
    </w:p>
    <w:p w:rsidR="00BA151D" w:rsidRPr="00247B78" w:rsidRDefault="00BA151D" w:rsidP="00245F86">
      <w:pPr>
        <w:pStyle w:val="BodyText"/>
        <w:rPr>
          <w:sz w:val="24"/>
          <w:szCs w:val="24"/>
        </w:rPr>
      </w:pPr>
    </w:p>
    <w:p w:rsidR="00BA151D" w:rsidRPr="00247B78" w:rsidRDefault="00BA151D" w:rsidP="00245F86">
      <w:pPr>
        <w:pStyle w:val="BodyText"/>
        <w:rPr>
          <w:sz w:val="24"/>
          <w:szCs w:val="24"/>
        </w:rPr>
      </w:pPr>
      <w:r w:rsidRPr="00247B78">
        <w:rPr>
          <w:sz w:val="24"/>
          <w:szCs w:val="24"/>
        </w:rPr>
        <w:lastRenderedPageBreak/>
        <w:t>In addition, our team will present the findings from this study at key professional conferences such as Gay and Lesbian Medical Association (GLMA), American Public Health Association (APHA), and Society of Epidemiology Research (SER) during year two.</w:t>
      </w:r>
    </w:p>
    <w:p w:rsidR="00BA151D" w:rsidRPr="00247B78" w:rsidRDefault="00BA151D" w:rsidP="00245F86">
      <w:pPr>
        <w:pStyle w:val="BodyText"/>
        <w:rPr>
          <w:sz w:val="24"/>
          <w:szCs w:val="24"/>
        </w:rPr>
      </w:pPr>
    </w:p>
    <w:p w:rsidR="00BA151D" w:rsidRPr="00247B78" w:rsidRDefault="00BA151D" w:rsidP="00245F86">
      <w:pPr>
        <w:pStyle w:val="AbtHeadB"/>
        <w:rPr>
          <w:rFonts w:ascii="Times New Roman" w:hAnsi="Times New Roman"/>
          <w:sz w:val="24"/>
          <w:szCs w:val="24"/>
        </w:rPr>
      </w:pPr>
      <w:bookmarkStart w:id="33" w:name="_Toc128543489"/>
      <w:bookmarkStart w:id="34" w:name="_Toc129770681"/>
      <w:r w:rsidRPr="00247B78">
        <w:rPr>
          <w:rFonts w:ascii="Times New Roman" w:hAnsi="Times New Roman"/>
          <w:sz w:val="24"/>
          <w:szCs w:val="24"/>
        </w:rPr>
        <w:t>A.17.</w:t>
      </w:r>
      <w:r w:rsidRPr="00247B78">
        <w:rPr>
          <w:rFonts w:ascii="Times New Roman" w:hAnsi="Times New Roman"/>
          <w:sz w:val="24"/>
          <w:szCs w:val="24"/>
        </w:rPr>
        <w:tab/>
        <w:t>Approval to Not Display Expiration Date</w:t>
      </w:r>
      <w:bookmarkEnd w:id="33"/>
      <w:bookmarkEnd w:id="34"/>
    </w:p>
    <w:p w:rsidR="00BA151D" w:rsidRPr="00247B78" w:rsidRDefault="00BA151D" w:rsidP="00245F86">
      <w:pPr>
        <w:pStyle w:val="BodyText"/>
        <w:rPr>
          <w:sz w:val="24"/>
          <w:szCs w:val="24"/>
        </w:rPr>
      </w:pPr>
      <w:r w:rsidRPr="00247B78">
        <w:rPr>
          <w:sz w:val="24"/>
          <w:szCs w:val="24"/>
        </w:rPr>
        <w:t>No exemption is requested.</w:t>
      </w:r>
    </w:p>
    <w:p w:rsidR="00BA151D" w:rsidRPr="00247B78" w:rsidRDefault="00BA151D" w:rsidP="00245F86">
      <w:pPr>
        <w:pStyle w:val="BodyText"/>
        <w:rPr>
          <w:sz w:val="24"/>
          <w:szCs w:val="24"/>
        </w:rPr>
      </w:pPr>
    </w:p>
    <w:p w:rsidR="00BA151D" w:rsidRPr="00247B78" w:rsidRDefault="00BA151D" w:rsidP="00245F86">
      <w:pPr>
        <w:pStyle w:val="AbtHeadB"/>
        <w:rPr>
          <w:rFonts w:ascii="Times New Roman" w:hAnsi="Times New Roman"/>
          <w:sz w:val="24"/>
          <w:szCs w:val="24"/>
        </w:rPr>
      </w:pPr>
      <w:bookmarkStart w:id="35" w:name="_Toc128543490"/>
      <w:bookmarkStart w:id="36" w:name="_Toc129770682"/>
      <w:r w:rsidRPr="00247B78">
        <w:rPr>
          <w:rFonts w:ascii="Times New Roman" w:hAnsi="Times New Roman"/>
          <w:sz w:val="24"/>
          <w:szCs w:val="24"/>
        </w:rPr>
        <w:t>A.18.</w:t>
      </w:r>
      <w:r w:rsidRPr="00247B78">
        <w:rPr>
          <w:rFonts w:ascii="Times New Roman" w:hAnsi="Times New Roman"/>
          <w:sz w:val="24"/>
          <w:szCs w:val="24"/>
        </w:rPr>
        <w:tab/>
        <w:t>Exceptions to Item 19 of OMB Form 83-1</w:t>
      </w:r>
      <w:bookmarkEnd w:id="35"/>
      <w:bookmarkEnd w:id="36"/>
    </w:p>
    <w:p w:rsidR="00BA151D" w:rsidRPr="00247B78" w:rsidRDefault="00BA151D" w:rsidP="00245F86">
      <w:pPr>
        <w:pStyle w:val="BodyText"/>
        <w:rPr>
          <w:sz w:val="24"/>
          <w:szCs w:val="24"/>
        </w:rPr>
      </w:pPr>
      <w:r w:rsidRPr="00247B78">
        <w:rPr>
          <w:sz w:val="24"/>
          <w:szCs w:val="24"/>
        </w:rPr>
        <w:t>This submission describing data collection requests no exceptions to the Certificate for Paperwork Reduction Act (5</w:t>
      </w:r>
      <w:r w:rsidRPr="00247B78">
        <w:rPr>
          <w:smallCaps/>
          <w:sz w:val="24"/>
          <w:szCs w:val="24"/>
        </w:rPr>
        <w:t xml:space="preserve"> </w:t>
      </w:r>
      <w:proofErr w:type="spellStart"/>
      <w:r w:rsidRPr="00247B78">
        <w:rPr>
          <w:smallCaps/>
          <w:sz w:val="24"/>
          <w:szCs w:val="24"/>
        </w:rPr>
        <w:t>cfr</w:t>
      </w:r>
      <w:proofErr w:type="spellEnd"/>
      <w:r w:rsidRPr="00247B78">
        <w:rPr>
          <w:sz w:val="24"/>
          <w:szCs w:val="24"/>
        </w:rPr>
        <w:t xml:space="preserve"> 1320.9). </w:t>
      </w:r>
    </w:p>
    <w:p w:rsidR="00BA151D" w:rsidRPr="00411D8A" w:rsidRDefault="00BA151D" w:rsidP="006D084A">
      <w:pPr>
        <w:rPr>
          <w:b/>
          <w:sz w:val="24"/>
          <w:szCs w:val="24"/>
        </w:rPr>
      </w:pPr>
      <w:r w:rsidRPr="00247B78">
        <w:rPr>
          <w:sz w:val="24"/>
          <w:szCs w:val="24"/>
        </w:rPr>
        <w:br w:type="page"/>
      </w:r>
      <w:r w:rsidRPr="00411D8A">
        <w:rPr>
          <w:b/>
          <w:sz w:val="24"/>
          <w:szCs w:val="24"/>
        </w:rPr>
        <w:lastRenderedPageBreak/>
        <w:t>Table of Measures</w:t>
      </w:r>
    </w:p>
    <w:tbl>
      <w:tblPr>
        <w:tblStyle w:val="TableGrid"/>
        <w:tblW w:w="10800" w:type="dxa"/>
        <w:tblInd w:w="-612" w:type="dxa"/>
        <w:tblLayout w:type="fixed"/>
        <w:tblLook w:val="04A0"/>
      </w:tblPr>
      <w:tblGrid>
        <w:gridCol w:w="2692"/>
        <w:gridCol w:w="947"/>
        <w:gridCol w:w="948"/>
        <w:gridCol w:w="947"/>
        <w:gridCol w:w="948"/>
        <w:gridCol w:w="2135"/>
        <w:gridCol w:w="2183"/>
      </w:tblGrid>
      <w:tr w:rsidR="00BA151D" w:rsidRPr="00D73A0D" w:rsidTr="006D084A">
        <w:trPr>
          <w:trHeight w:val="160"/>
        </w:trPr>
        <w:tc>
          <w:tcPr>
            <w:tcW w:w="2692" w:type="dxa"/>
            <w:shd w:val="clear" w:color="auto" w:fill="A6A6A6" w:themeFill="background1" w:themeFillShade="A6"/>
            <w:vAlign w:val="bottom"/>
          </w:tcPr>
          <w:p w:rsidR="00BA151D" w:rsidRPr="00D73A0D" w:rsidRDefault="00BA151D" w:rsidP="007B5FFE">
            <w:pPr>
              <w:jc w:val="center"/>
              <w:rPr>
                <w:b/>
                <w:sz w:val="20"/>
              </w:rPr>
            </w:pPr>
            <w:r w:rsidRPr="00D73A0D">
              <w:rPr>
                <w:b/>
                <w:sz w:val="20"/>
              </w:rPr>
              <w:t>Measure</w:t>
            </w:r>
          </w:p>
        </w:tc>
        <w:tc>
          <w:tcPr>
            <w:tcW w:w="947" w:type="dxa"/>
            <w:shd w:val="clear" w:color="auto" w:fill="A6A6A6" w:themeFill="background1" w:themeFillShade="A6"/>
            <w:vAlign w:val="bottom"/>
          </w:tcPr>
          <w:p w:rsidR="00BA151D" w:rsidRPr="00D73A0D" w:rsidRDefault="00BA151D" w:rsidP="007B5FFE">
            <w:pPr>
              <w:jc w:val="center"/>
              <w:rPr>
                <w:b/>
                <w:sz w:val="20"/>
              </w:rPr>
            </w:pPr>
            <w:r>
              <w:rPr>
                <w:b/>
                <w:sz w:val="20"/>
              </w:rPr>
              <w:t>Enrollment</w:t>
            </w:r>
          </w:p>
        </w:tc>
        <w:tc>
          <w:tcPr>
            <w:tcW w:w="948" w:type="dxa"/>
            <w:shd w:val="clear" w:color="auto" w:fill="A6A6A6" w:themeFill="background1" w:themeFillShade="A6"/>
            <w:vAlign w:val="bottom"/>
          </w:tcPr>
          <w:p w:rsidR="00BA151D" w:rsidRPr="00D73A0D" w:rsidRDefault="00BA151D" w:rsidP="007B5FFE">
            <w:pPr>
              <w:jc w:val="center"/>
              <w:rPr>
                <w:b/>
                <w:sz w:val="20"/>
              </w:rPr>
            </w:pPr>
            <w:r w:rsidRPr="00D73A0D">
              <w:rPr>
                <w:b/>
                <w:sz w:val="20"/>
              </w:rPr>
              <w:t>Baseline</w:t>
            </w:r>
          </w:p>
        </w:tc>
        <w:tc>
          <w:tcPr>
            <w:tcW w:w="947" w:type="dxa"/>
            <w:shd w:val="clear" w:color="auto" w:fill="A6A6A6" w:themeFill="background1" w:themeFillShade="A6"/>
            <w:vAlign w:val="bottom"/>
          </w:tcPr>
          <w:p w:rsidR="00BA151D" w:rsidRPr="00D73A0D" w:rsidRDefault="00BA151D" w:rsidP="007B5FFE">
            <w:pPr>
              <w:jc w:val="center"/>
              <w:rPr>
                <w:b/>
                <w:sz w:val="20"/>
              </w:rPr>
            </w:pPr>
            <w:r w:rsidRPr="00D73A0D">
              <w:rPr>
                <w:b/>
                <w:sz w:val="20"/>
              </w:rPr>
              <w:t>4 Month Follow-up</w:t>
            </w:r>
          </w:p>
        </w:tc>
        <w:tc>
          <w:tcPr>
            <w:tcW w:w="948" w:type="dxa"/>
            <w:shd w:val="clear" w:color="auto" w:fill="A6A6A6" w:themeFill="background1" w:themeFillShade="A6"/>
            <w:vAlign w:val="bottom"/>
          </w:tcPr>
          <w:p w:rsidR="00BA151D" w:rsidRPr="00D73A0D" w:rsidRDefault="00BA151D" w:rsidP="007B5FFE">
            <w:pPr>
              <w:jc w:val="center"/>
              <w:rPr>
                <w:b/>
                <w:sz w:val="20"/>
              </w:rPr>
            </w:pPr>
            <w:r w:rsidRPr="00D73A0D">
              <w:rPr>
                <w:b/>
                <w:sz w:val="20"/>
              </w:rPr>
              <w:t>12 Month Follow-up</w:t>
            </w:r>
          </w:p>
        </w:tc>
        <w:tc>
          <w:tcPr>
            <w:tcW w:w="2135" w:type="dxa"/>
            <w:shd w:val="clear" w:color="auto" w:fill="A6A6A6" w:themeFill="background1" w:themeFillShade="A6"/>
            <w:vAlign w:val="bottom"/>
          </w:tcPr>
          <w:p w:rsidR="00BA151D" w:rsidRPr="00D73A0D" w:rsidRDefault="00BA151D" w:rsidP="007B5FFE">
            <w:pPr>
              <w:jc w:val="center"/>
              <w:rPr>
                <w:b/>
                <w:sz w:val="20"/>
              </w:rPr>
            </w:pPr>
            <w:r w:rsidRPr="00D73A0D">
              <w:rPr>
                <w:b/>
                <w:sz w:val="20"/>
              </w:rPr>
              <w:t>Respondent</w:t>
            </w:r>
          </w:p>
        </w:tc>
        <w:tc>
          <w:tcPr>
            <w:tcW w:w="2183" w:type="dxa"/>
            <w:shd w:val="clear" w:color="auto" w:fill="A6A6A6" w:themeFill="background1" w:themeFillShade="A6"/>
            <w:vAlign w:val="bottom"/>
          </w:tcPr>
          <w:p w:rsidR="00BA151D" w:rsidRPr="00D73A0D" w:rsidRDefault="00BA151D" w:rsidP="007B5FFE">
            <w:pPr>
              <w:jc w:val="center"/>
              <w:rPr>
                <w:b/>
                <w:sz w:val="20"/>
              </w:rPr>
            </w:pPr>
            <w:r>
              <w:rPr>
                <w:b/>
                <w:sz w:val="20"/>
              </w:rPr>
              <w:t>Source</w:t>
            </w:r>
          </w:p>
        </w:tc>
      </w:tr>
      <w:tr w:rsidR="00BA151D" w:rsidRPr="00D73A0D" w:rsidTr="006D084A">
        <w:trPr>
          <w:trHeight w:val="90"/>
        </w:trPr>
        <w:tc>
          <w:tcPr>
            <w:tcW w:w="6482" w:type="dxa"/>
            <w:gridSpan w:val="5"/>
            <w:shd w:val="clear" w:color="auto" w:fill="BFBFBF" w:themeFill="background1" w:themeFillShade="BF"/>
            <w:vAlign w:val="center"/>
          </w:tcPr>
          <w:p w:rsidR="00BA151D" w:rsidRPr="00D73A0D" w:rsidRDefault="00BA151D" w:rsidP="007B5FFE">
            <w:pPr>
              <w:rPr>
                <w:b/>
                <w:i/>
              </w:rPr>
            </w:pPr>
            <w:r w:rsidRPr="00D73A0D">
              <w:rPr>
                <w:b/>
                <w:i/>
              </w:rPr>
              <w:t>Fitness Measures</w:t>
            </w:r>
          </w:p>
        </w:tc>
        <w:tc>
          <w:tcPr>
            <w:tcW w:w="2135" w:type="dxa"/>
            <w:shd w:val="clear" w:color="auto" w:fill="BFBFBF" w:themeFill="background1" w:themeFillShade="BF"/>
            <w:vAlign w:val="center"/>
          </w:tcPr>
          <w:p w:rsidR="00BA151D" w:rsidRPr="00D73A0D" w:rsidRDefault="00BA151D" w:rsidP="007B5FFE">
            <w:pPr>
              <w:jc w:val="center"/>
              <w:rPr>
                <w:b/>
                <w:sz w:val="20"/>
              </w:rPr>
            </w:pPr>
          </w:p>
        </w:tc>
        <w:tc>
          <w:tcPr>
            <w:tcW w:w="2183" w:type="dxa"/>
            <w:shd w:val="clear" w:color="auto" w:fill="BFBFBF" w:themeFill="background1" w:themeFillShade="BF"/>
            <w:vAlign w:val="center"/>
          </w:tcPr>
          <w:p w:rsidR="00BA151D" w:rsidRPr="00D73A0D" w:rsidRDefault="00BA151D" w:rsidP="007B5FFE">
            <w:pPr>
              <w:rPr>
                <w:b/>
                <w:sz w:val="20"/>
              </w:rPr>
            </w:pPr>
          </w:p>
        </w:tc>
      </w:tr>
      <w:tr w:rsidR="00BA151D" w:rsidRPr="00D73A0D" w:rsidTr="006D084A">
        <w:trPr>
          <w:trHeight w:val="80"/>
        </w:trPr>
        <w:tc>
          <w:tcPr>
            <w:tcW w:w="2692" w:type="dxa"/>
            <w:vAlign w:val="center"/>
          </w:tcPr>
          <w:p w:rsidR="00BA151D" w:rsidRPr="00D73A0D" w:rsidRDefault="00BA151D" w:rsidP="007B5FFE">
            <w:pPr>
              <w:rPr>
                <w:sz w:val="20"/>
              </w:rPr>
            </w:pPr>
            <w:r w:rsidRPr="00D73A0D">
              <w:rPr>
                <w:sz w:val="20"/>
              </w:rPr>
              <w:t>Height</w:t>
            </w:r>
          </w:p>
        </w:tc>
        <w:tc>
          <w:tcPr>
            <w:tcW w:w="947" w:type="dxa"/>
            <w:vAlign w:val="center"/>
          </w:tcPr>
          <w:p w:rsidR="00BA151D" w:rsidRPr="00D73A0D" w:rsidRDefault="00BA151D" w:rsidP="007B5FFE">
            <w:pPr>
              <w:jc w:val="center"/>
              <w:rPr>
                <w:rFonts w:cstheme="minorHAnsi"/>
                <w:sz w:val="20"/>
              </w:rPr>
            </w:pPr>
          </w:p>
        </w:tc>
        <w:tc>
          <w:tcPr>
            <w:tcW w:w="948" w:type="dxa"/>
            <w:vAlign w:val="center"/>
          </w:tcPr>
          <w:p w:rsidR="00BA151D" w:rsidRPr="00D73A0D" w:rsidRDefault="00BA151D" w:rsidP="007B5FFE">
            <w:pPr>
              <w:jc w:val="center"/>
              <w:rPr>
                <w:sz w:val="20"/>
              </w:rPr>
            </w:pPr>
            <w:r w:rsidRPr="00D73A0D">
              <w:rPr>
                <w:rFonts w:cstheme="minorHAnsi"/>
                <w:sz w:val="20"/>
              </w:rPr>
              <w:t>•</w:t>
            </w:r>
          </w:p>
        </w:tc>
        <w:tc>
          <w:tcPr>
            <w:tcW w:w="947" w:type="dxa"/>
            <w:vAlign w:val="center"/>
          </w:tcPr>
          <w:p w:rsidR="00BA151D" w:rsidRPr="00D73A0D" w:rsidRDefault="00BA151D" w:rsidP="007B5FFE">
            <w:pPr>
              <w:jc w:val="center"/>
              <w:rPr>
                <w:sz w:val="20"/>
              </w:rPr>
            </w:pPr>
            <w:r w:rsidRPr="00D73A0D">
              <w:rPr>
                <w:rFonts w:cstheme="minorHAnsi"/>
                <w:sz w:val="20"/>
              </w:rPr>
              <w:t>•</w:t>
            </w:r>
          </w:p>
        </w:tc>
        <w:tc>
          <w:tcPr>
            <w:tcW w:w="948" w:type="dxa"/>
            <w:vAlign w:val="center"/>
          </w:tcPr>
          <w:p w:rsidR="00BA151D" w:rsidRPr="00D73A0D" w:rsidRDefault="00BA151D" w:rsidP="007B5FFE">
            <w:pPr>
              <w:jc w:val="center"/>
              <w:rPr>
                <w:sz w:val="20"/>
              </w:rPr>
            </w:pPr>
            <w:r w:rsidRPr="00D73A0D">
              <w:rPr>
                <w:rFonts w:cstheme="minorHAnsi"/>
                <w:sz w:val="20"/>
              </w:rPr>
              <w:t>•</w:t>
            </w:r>
          </w:p>
        </w:tc>
        <w:tc>
          <w:tcPr>
            <w:tcW w:w="2135" w:type="dxa"/>
            <w:vAlign w:val="center"/>
          </w:tcPr>
          <w:p w:rsidR="00BA151D" w:rsidRPr="00D73A0D" w:rsidRDefault="00BA151D" w:rsidP="007B5FFE">
            <w:pPr>
              <w:jc w:val="center"/>
              <w:rPr>
                <w:rFonts w:cstheme="minorHAnsi"/>
                <w:sz w:val="20"/>
              </w:rPr>
            </w:pPr>
            <w:r w:rsidRPr="00D73A0D">
              <w:rPr>
                <w:sz w:val="20"/>
              </w:rPr>
              <w:t>Direct Assessment (gym staff)</w:t>
            </w:r>
          </w:p>
        </w:tc>
        <w:tc>
          <w:tcPr>
            <w:tcW w:w="2183" w:type="dxa"/>
            <w:vAlign w:val="center"/>
          </w:tcPr>
          <w:p w:rsidR="00BA151D" w:rsidRPr="00D73A0D" w:rsidRDefault="00BA151D" w:rsidP="007B5FFE">
            <w:pPr>
              <w:rPr>
                <w:sz w:val="20"/>
              </w:rPr>
            </w:pPr>
            <w:r>
              <w:rPr>
                <w:rFonts w:cstheme="minorHAnsi"/>
                <w:sz w:val="20"/>
              </w:rPr>
              <w:t>Standardized Measurement Protocols</w:t>
            </w:r>
          </w:p>
        </w:tc>
      </w:tr>
      <w:tr w:rsidR="00BA151D" w:rsidRPr="00D73A0D" w:rsidTr="006D084A">
        <w:trPr>
          <w:trHeight w:val="80"/>
        </w:trPr>
        <w:tc>
          <w:tcPr>
            <w:tcW w:w="2692" w:type="dxa"/>
            <w:vAlign w:val="center"/>
          </w:tcPr>
          <w:p w:rsidR="00BA151D" w:rsidRPr="00D73A0D" w:rsidRDefault="00BA151D" w:rsidP="007B5FFE">
            <w:pPr>
              <w:rPr>
                <w:sz w:val="20"/>
              </w:rPr>
            </w:pPr>
            <w:r w:rsidRPr="00D73A0D">
              <w:rPr>
                <w:sz w:val="20"/>
              </w:rPr>
              <w:t>Weight</w:t>
            </w:r>
          </w:p>
        </w:tc>
        <w:tc>
          <w:tcPr>
            <w:tcW w:w="947" w:type="dxa"/>
            <w:vAlign w:val="center"/>
          </w:tcPr>
          <w:p w:rsidR="00BA151D" w:rsidRPr="00D73A0D" w:rsidRDefault="00BA151D" w:rsidP="007B5FFE">
            <w:pPr>
              <w:jc w:val="center"/>
              <w:rPr>
                <w:rFonts w:cstheme="minorHAnsi"/>
                <w:sz w:val="20"/>
              </w:rPr>
            </w:pPr>
          </w:p>
        </w:tc>
        <w:tc>
          <w:tcPr>
            <w:tcW w:w="948" w:type="dxa"/>
            <w:vAlign w:val="center"/>
          </w:tcPr>
          <w:p w:rsidR="00BA151D" w:rsidRPr="00D73A0D" w:rsidRDefault="00BA151D" w:rsidP="007B5FFE">
            <w:pPr>
              <w:jc w:val="center"/>
              <w:rPr>
                <w:sz w:val="20"/>
              </w:rPr>
            </w:pPr>
            <w:r w:rsidRPr="00D73A0D">
              <w:rPr>
                <w:rFonts w:cstheme="minorHAnsi"/>
                <w:sz w:val="20"/>
              </w:rPr>
              <w:t>•</w:t>
            </w:r>
          </w:p>
        </w:tc>
        <w:tc>
          <w:tcPr>
            <w:tcW w:w="947" w:type="dxa"/>
            <w:vAlign w:val="center"/>
          </w:tcPr>
          <w:p w:rsidR="00BA151D" w:rsidRPr="00D73A0D" w:rsidRDefault="00BA151D" w:rsidP="007B5FFE">
            <w:pPr>
              <w:jc w:val="center"/>
              <w:rPr>
                <w:sz w:val="20"/>
              </w:rPr>
            </w:pPr>
            <w:r w:rsidRPr="00D73A0D">
              <w:rPr>
                <w:rFonts w:cstheme="minorHAnsi"/>
                <w:sz w:val="20"/>
              </w:rPr>
              <w:t>•</w:t>
            </w:r>
          </w:p>
        </w:tc>
        <w:tc>
          <w:tcPr>
            <w:tcW w:w="948" w:type="dxa"/>
            <w:vAlign w:val="center"/>
          </w:tcPr>
          <w:p w:rsidR="00BA151D" w:rsidRPr="00D73A0D" w:rsidRDefault="00BA151D" w:rsidP="007B5FFE">
            <w:pPr>
              <w:jc w:val="center"/>
              <w:rPr>
                <w:sz w:val="20"/>
              </w:rPr>
            </w:pPr>
            <w:r w:rsidRPr="00D73A0D">
              <w:rPr>
                <w:rFonts w:cstheme="minorHAnsi"/>
                <w:sz w:val="20"/>
              </w:rPr>
              <w:t>•</w:t>
            </w:r>
          </w:p>
        </w:tc>
        <w:tc>
          <w:tcPr>
            <w:tcW w:w="2135" w:type="dxa"/>
            <w:vAlign w:val="center"/>
          </w:tcPr>
          <w:p w:rsidR="00BA151D" w:rsidRPr="00D73A0D" w:rsidRDefault="00BA151D" w:rsidP="007B5FFE">
            <w:pPr>
              <w:jc w:val="center"/>
            </w:pPr>
            <w:r w:rsidRPr="00D73A0D">
              <w:rPr>
                <w:sz w:val="20"/>
              </w:rPr>
              <w:t>Direct Assessment (gym staff)</w:t>
            </w:r>
          </w:p>
        </w:tc>
        <w:tc>
          <w:tcPr>
            <w:tcW w:w="2183" w:type="dxa"/>
            <w:vAlign w:val="center"/>
          </w:tcPr>
          <w:p w:rsidR="00BA151D" w:rsidRPr="00D73A0D" w:rsidRDefault="00BA151D" w:rsidP="007B5FFE">
            <w:pPr>
              <w:rPr>
                <w:sz w:val="20"/>
              </w:rPr>
            </w:pPr>
            <w:r>
              <w:rPr>
                <w:rFonts w:cstheme="minorHAnsi"/>
                <w:sz w:val="20"/>
              </w:rPr>
              <w:t>Standardized Measurement Protocols</w:t>
            </w:r>
          </w:p>
        </w:tc>
      </w:tr>
      <w:tr w:rsidR="00BA151D" w:rsidRPr="00D73A0D" w:rsidTr="006D084A">
        <w:trPr>
          <w:trHeight w:val="80"/>
        </w:trPr>
        <w:tc>
          <w:tcPr>
            <w:tcW w:w="2692" w:type="dxa"/>
            <w:vAlign w:val="center"/>
          </w:tcPr>
          <w:p w:rsidR="00BA151D" w:rsidRPr="00D73A0D" w:rsidRDefault="00BA151D" w:rsidP="007B5FFE">
            <w:pPr>
              <w:rPr>
                <w:sz w:val="20"/>
              </w:rPr>
            </w:pPr>
            <w:r w:rsidRPr="00D73A0D">
              <w:rPr>
                <w:sz w:val="20"/>
              </w:rPr>
              <w:t>VO2 Max</w:t>
            </w:r>
          </w:p>
        </w:tc>
        <w:tc>
          <w:tcPr>
            <w:tcW w:w="947" w:type="dxa"/>
            <w:vAlign w:val="center"/>
          </w:tcPr>
          <w:p w:rsidR="00BA151D" w:rsidRPr="00D73A0D" w:rsidRDefault="00BA151D" w:rsidP="007B5FFE">
            <w:pPr>
              <w:jc w:val="center"/>
              <w:rPr>
                <w:rFonts w:cstheme="minorHAnsi"/>
                <w:sz w:val="20"/>
              </w:rPr>
            </w:pPr>
          </w:p>
        </w:tc>
        <w:tc>
          <w:tcPr>
            <w:tcW w:w="948" w:type="dxa"/>
            <w:vAlign w:val="center"/>
          </w:tcPr>
          <w:p w:rsidR="00BA151D" w:rsidRPr="00D73A0D" w:rsidRDefault="00BA151D" w:rsidP="007B5FFE">
            <w:pPr>
              <w:jc w:val="center"/>
              <w:rPr>
                <w:sz w:val="20"/>
              </w:rPr>
            </w:pPr>
            <w:r w:rsidRPr="00D73A0D">
              <w:rPr>
                <w:rFonts w:cstheme="minorHAnsi"/>
                <w:sz w:val="20"/>
              </w:rPr>
              <w:t>•</w:t>
            </w:r>
          </w:p>
        </w:tc>
        <w:tc>
          <w:tcPr>
            <w:tcW w:w="947" w:type="dxa"/>
            <w:vAlign w:val="center"/>
          </w:tcPr>
          <w:p w:rsidR="00BA151D" w:rsidRPr="00D73A0D" w:rsidRDefault="00BA151D" w:rsidP="007B5FFE">
            <w:pPr>
              <w:jc w:val="center"/>
              <w:rPr>
                <w:sz w:val="20"/>
              </w:rPr>
            </w:pPr>
            <w:r w:rsidRPr="00D73A0D">
              <w:rPr>
                <w:rFonts w:cstheme="minorHAnsi"/>
                <w:sz w:val="20"/>
              </w:rPr>
              <w:t>•</w:t>
            </w:r>
          </w:p>
        </w:tc>
        <w:tc>
          <w:tcPr>
            <w:tcW w:w="948" w:type="dxa"/>
            <w:vAlign w:val="center"/>
          </w:tcPr>
          <w:p w:rsidR="00BA151D" w:rsidRPr="00D73A0D" w:rsidRDefault="00BA151D" w:rsidP="007B5FFE">
            <w:pPr>
              <w:jc w:val="center"/>
              <w:rPr>
                <w:sz w:val="20"/>
              </w:rPr>
            </w:pPr>
            <w:r w:rsidRPr="00D73A0D">
              <w:rPr>
                <w:rFonts w:cstheme="minorHAnsi"/>
                <w:sz w:val="20"/>
              </w:rPr>
              <w:t>•</w:t>
            </w:r>
          </w:p>
        </w:tc>
        <w:tc>
          <w:tcPr>
            <w:tcW w:w="2135" w:type="dxa"/>
            <w:vAlign w:val="center"/>
          </w:tcPr>
          <w:p w:rsidR="00BA151D" w:rsidRPr="00D73A0D" w:rsidRDefault="00BA151D" w:rsidP="007B5FFE">
            <w:pPr>
              <w:jc w:val="center"/>
            </w:pPr>
            <w:r w:rsidRPr="00D73A0D">
              <w:rPr>
                <w:sz w:val="20"/>
              </w:rPr>
              <w:t>Direct Assessment (gym staff)</w:t>
            </w:r>
          </w:p>
        </w:tc>
        <w:tc>
          <w:tcPr>
            <w:tcW w:w="2183" w:type="dxa"/>
            <w:vAlign w:val="center"/>
          </w:tcPr>
          <w:p w:rsidR="00BA151D" w:rsidRPr="00D73A0D" w:rsidRDefault="00BA151D" w:rsidP="007B5FFE">
            <w:pPr>
              <w:rPr>
                <w:sz w:val="20"/>
              </w:rPr>
            </w:pPr>
            <w:r>
              <w:rPr>
                <w:rFonts w:cstheme="minorHAnsi"/>
                <w:sz w:val="20"/>
              </w:rPr>
              <w:t>Standardized Measurement Protocols</w:t>
            </w:r>
          </w:p>
        </w:tc>
      </w:tr>
      <w:tr w:rsidR="00BA151D" w:rsidRPr="00D73A0D" w:rsidTr="006D084A">
        <w:trPr>
          <w:trHeight w:val="80"/>
        </w:trPr>
        <w:tc>
          <w:tcPr>
            <w:tcW w:w="2692" w:type="dxa"/>
            <w:vAlign w:val="center"/>
          </w:tcPr>
          <w:p w:rsidR="00BA151D" w:rsidRPr="00D73A0D" w:rsidRDefault="00BA151D" w:rsidP="007B5FFE">
            <w:pPr>
              <w:rPr>
                <w:sz w:val="20"/>
              </w:rPr>
            </w:pPr>
            <w:r w:rsidRPr="00D73A0D">
              <w:rPr>
                <w:sz w:val="20"/>
              </w:rPr>
              <w:t>Blood Pressure</w:t>
            </w:r>
          </w:p>
        </w:tc>
        <w:tc>
          <w:tcPr>
            <w:tcW w:w="947" w:type="dxa"/>
            <w:vAlign w:val="center"/>
          </w:tcPr>
          <w:p w:rsidR="00BA151D" w:rsidRPr="00D73A0D" w:rsidRDefault="00BA151D" w:rsidP="007B5FFE">
            <w:pPr>
              <w:jc w:val="center"/>
              <w:rPr>
                <w:rFonts w:cstheme="minorHAnsi"/>
                <w:sz w:val="20"/>
              </w:rPr>
            </w:pPr>
          </w:p>
        </w:tc>
        <w:tc>
          <w:tcPr>
            <w:tcW w:w="948" w:type="dxa"/>
            <w:vAlign w:val="center"/>
          </w:tcPr>
          <w:p w:rsidR="00BA151D" w:rsidRPr="00D73A0D" w:rsidRDefault="00BA151D" w:rsidP="007B5FFE">
            <w:pPr>
              <w:jc w:val="center"/>
              <w:rPr>
                <w:sz w:val="20"/>
              </w:rPr>
            </w:pPr>
            <w:r w:rsidRPr="00D73A0D">
              <w:rPr>
                <w:rFonts w:cstheme="minorHAnsi"/>
                <w:sz w:val="20"/>
              </w:rPr>
              <w:t>•</w:t>
            </w:r>
          </w:p>
        </w:tc>
        <w:tc>
          <w:tcPr>
            <w:tcW w:w="947" w:type="dxa"/>
            <w:vAlign w:val="center"/>
          </w:tcPr>
          <w:p w:rsidR="00BA151D" w:rsidRPr="00D73A0D" w:rsidRDefault="00BA151D" w:rsidP="007B5FFE">
            <w:pPr>
              <w:jc w:val="center"/>
              <w:rPr>
                <w:sz w:val="20"/>
              </w:rPr>
            </w:pPr>
            <w:r w:rsidRPr="00D73A0D">
              <w:rPr>
                <w:rFonts w:cstheme="minorHAnsi"/>
                <w:sz w:val="20"/>
              </w:rPr>
              <w:t>•</w:t>
            </w:r>
          </w:p>
        </w:tc>
        <w:tc>
          <w:tcPr>
            <w:tcW w:w="948" w:type="dxa"/>
            <w:vAlign w:val="center"/>
          </w:tcPr>
          <w:p w:rsidR="00BA151D" w:rsidRPr="00D73A0D" w:rsidRDefault="00BA151D" w:rsidP="007B5FFE">
            <w:pPr>
              <w:jc w:val="center"/>
              <w:rPr>
                <w:sz w:val="20"/>
              </w:rPr>
            </w:pPr>
            <w:r w:rsidRPr="00D73A0D">
              <w:rPr>
                <w:rFonts w:cstheme="minorHAnsi"/>
                <w:sz w:val="20"/>
              </w:rPr>
              <w:t>•</w:t>
            </w:r>
          </w:p>
        </w:tc>
        <w:tc>
          <w:tcPr>
            <w:tcW w:w="2135" w:type="dxa"/>
            <w:vAlign w:val="center"/>
          </w:tcPr>
          <w:p w:rsidR="00BA151D" w:rsidRPr="00D73A0D" w:rsidRDefault="00BA151D" w:rsidP="007B5FFE">
            <w:pPr>
              <w:jc w:val="center"/>
            </w:pPr>
            <w:r w:rsidRPr="00D73A0D">
              <w:rPr>
                <w:sz w:val="20"/>
              </w:rPr>
              <w:t>Direct Assessment (gym staff)</w:t>
            </w:r>
          </w:p>
        </w:tc>
        <w:tc>
          <w:tcPr>
            <w:tcW w:w="2183" w:type="dxa"/>
            <w:vAlign w:val="center"/>
          </w:tcPr>
          <w:p w:rsidR="00BA151D" w:rsidRDefault="00BA151D" w:rsidP="007B5FFE">
            <w:r>
              <w:rPr>
                <w:rFonts w:cstheme="minorHAnsi"/>
                <w:sz w:val="20"/>
              </w:rPr>
              <w:t>Standardized Measurement Protocols</w:t>
            </w:r>
          </w:p>
        </w:tc>
      </w:tr>
      <w:tr w:rsidR="00BA151D" w:rsidRPr="00D73A0D" w:rsidTr="006D084A">
        <w:trPr>
          <w:trHeight w:val="80"/>
        </w:trPr>
        <w:tc>
          <w:tcPr>
            <w:tcW w:w="2692" w:type="dxa"/>
            <w:vAlign w:val="center"/>
          </w:tcPr>
          <w:p w:rsidR="00BA151D" w:rsidRPr="00D73A0D" w:rsidRDefault="00BA151D" w:rsidP="007B5FFE">
            <w:pPr>
              <w:rPr>
                <w:sz w:val="20"/>
              </w:rPr>
            </w:pPr>
            <w:r w:rsidRPr="00D73A0D">
              <w:rPr>
                <w:sz w:val="20"/>
              </w:rPr>
              <w:t>Waist Circumference</w:t>
            </w:r>
          </w:p>
        </w:tc>
        <w:tc>
          <w:tcPr>
            <w:tcW w:w="947" w:type="dxa"/>
            <w:vAlign w:val="center"/>
          </w:tcPr>
          <w:p w:rsidR="00BA151D" w:rsidRPr="00D73A0D" w:rsidRDefault="00BA151D" w:rsidP="007B5FFE">
            <w:pPr>
              <w:jc w:val="center"/>
              <w:rPr>
                <w:rFonts w:cstheme="minorHAnsi"/>
                <w:sz w:val="20"/>
              </w:rPr>
            </w:pPr>
          </w:p>
        </w:tc>
        <w:tc>
          <w:tcPr>
            <w:tcW w:w="948" w:type="dxa"/>
            <w:vAlign w:val="center"/>
          </w:tcPr>
          <w:p w:rsidR="00BA151D" w:rsidRPr="00D73A0D" w:rsidRDefault="00BA151D" w:rsidP="007B5FFE">
            <w:pPr>
              <w:jc w:val="center"/>
              <w:rPr>
                <w:sz w:val="20"/>
              </w:rPr>
            </w:pPr>
            <w:r w:rsidRPr="00D73A0D">
              <w:rPr>
                <w:rFonts w:cstheme="minorHAnsi"/>
                <w:sz w:val="20"/>
              </w:rPr>
              <w:t>•</w:t>
            </w:r>
          </w:p>
        </w:tc>
        <w:tc>
          <w:tcPr>
            <w:tcW w:w="947" w:type="dxa"/>
            <w:vAlign w:val="center"/>
          </w:tcPr>
          <w:p w:rsidR="00BA151D" w:rsidRPr="00D73A0D" w:rsidRDefault="00BA151D" w:rsidP="007B5FFE">
            <w:pPr>
              <w:jc w:val="center"/>
              <w:rPr>
                <w:sz w:val="20"/>
              </w:rPr>
            </w:pPr>
            <w:r w:rsidRPr="00D73A0D">
              <w:rPr>
                <w:rFonts w:cstheme="minorHAnsi"/>
                <w:sz w:val="20"/>
              </w:rPr>
              <w:t>•</w:t>
            </w:r>
          </w:p>
        </w:tc>
        <w:tc>
          <w:tcPr>
            <w:tcW w:w="948" w:type="dxa"/>
            <w:vAlign w:val="center"/>
          </w:tcPr>
          <w:p w:rsidR="00BA151D" w:rsidRPr="00D73A0D" w:rsidRDefault="00BA151D" w:rsidP="007B5FFE">
            <w:pPr>
              <w:jc w:val="center"/>
              <w:rPr>
                <w:sz w:val="20"/>
              </w:rPr>
            </w:pPr>
            <w:r w:rsidRPr="00D73A0D">
              <w:rPr>
                <w:rFonts w:cstheme="minorHAnsi"/>
                <w:sz w:val="20"/>
              </w:rPr>
              <w:t>•</w:t>
            </w:r>
          </w:p>
        </w:tc>
        <w:tc>
          <w:tcPr>
            <w:tcW w:w="2135" w:type="dxa"/>
            <w:vAlign w:val="center"/>
          </w:tcPr>
          <w:p w:rsidR="00BA151D" w:rsidRPr="00D73A0D" w:rsidRDefault="00BA151D" w:rsidP="007B5FFE">
            <w:pPr>
              <w:jc w:val="center"/>
            </w:pPr>
            <w:r w:rsidRPr="00D73A0D">
              <w:rPr>
                <w:sz w:val="20"/>
              </w:rPr>
              <w:t>Direct Assessment (gym staff)</w:t>
            </w:r>
          </w:p>
        </w:tc>
        <w:tc>
          <w:tcPr>
            <w:tcW w:w="2183" w:type="dxa"/>
            <w:vAlign w:val="center"/>
          </w:tcPr>
          <w:p w:rsidR="00BA151D" w:rsidRDefault="00BA151D" w:rsidP="007B5FFE">
            <w:r>
              <w:rPr>
                <w:rFonts w:cstheme="minorHAnsi"/>
                <w:sz w:val="20"/>
              </w:rPr>
              <w:t>Standardized Measurement Protocols</w:t>
            </w:r>
          </w:p>
        </w:tc>
      </w:tr>
      <w:tr w:rsidR="00BA151D" w:rsidRPr="00D73A0D" w:rsidTr="006D084A">
        <w:trPr>
          <w:trHeight w:val="80"/>
        </w:trPr>
        <w:tc>
          <w:tcPr>
            <w:tcW w:w="2692" w:type="dxa"/>
            <w:vAlign w:val="center"/>
          </w:tcPr>
          <w:p w:rsidR="00BA151D" w:rsidRPr="00D73A0D" w:rsidRDefault="00BA151D" w:rsidP="007B5FFE">
            <w:pPr>
              <w:rPr>
                <w:sz w:val="20"/>
              </w:rPr>
            </w:pPr>
            <w:r>
              <w:rPr>
                <w:sz w:val="20"/>
              </w:rPr>
              <w:t>Heart rate training zones</w:t>
            </w:r>
          </w:p>
        </w:tc>
        <w:tc>
          <w:tcPr>
            <w:tcW w:w="947" w:type="dxa"/>
            <w:vAlign w:val="center"/>
          </w:tcPr>
          <w:p w:rsidR="00BA151D" w:rsidRPr="00D73A0D" w:rsidRDefault="00BA151D" w:rsidP="007B5FFE">
            <w:pPr>
              <w:jc w:val="center"/>
              <w:rPr>
                <w:rFonts w:cstheme="minorHAnsi"/>
                <w:sz w:val="20"/>
              </w:rPr>
            </w:pPr>
          </w:p>
        </w:tc>
        <w:tc>
          <w:tcPr>
            <w:tcW w:w="948" w:type="dxa"/>
            <w:vAlign w:val="center"/>
          </w:tcPr>
          <w:p w:rsidR="00BA151D" w:rsidRPr="00D73A0D" w:rsidRDefault="00BA151D" w:rsidP="007B5FFE">
            <w:pPr>
              <w:jc w:val="center"/>
              <w:rPr>
                <w:sz w:val="20"/>
              </w:rPr>
            </w:pPr>
            <w:r w:rsidRPr="00D73A0D">
              <w:rPr>
                <w:rFonts w:cstheme="minorHAnsi"/>
                <w:sz w:val="20"/>
              </w:rPr>
              <w:t>•</w:t>
            </w:r>
          </w:p>
        </w:tc>
        <w:tc>
          <w:tcPr>
            <w:tcW w:w="947" w:type="dxa"/>
            <w:vAlign w:val="center"/>
          </w:tcPr>
          <w:p w:rsidR="00BA151D" w:rsidRPr="00D73A0D" w:rsidRDefault="00BA151D" w:rsidP="007B5FFE">
            <w:pPr>
              <w:jc w:val="center"/>
              <w:rPr>
                <w:sz w:val="20"/>
              </w:rPr>
            </w:pPr>
            <w:r w:rsidRPr="00D73A0D">
              <w:rPr>
                <w:rFonts w:cstheme="minorHAnsi"/>
                <w:sz w:val="20"/>
              </w:rPr>
              <w:t>•</w:t>
            </w:r>
          </w:p>
        </w:tc>
        <w:tc>
          <w:tcPr>
            <w:tcW w:w="948" w:type="dxa"/>
            <w:vAlign w:val="center"/>
          </w:tcPr>
          <w:p w:rsidR="00BA151D" w:rsidRPr="00D73A0D" w:rsidRDefault="00BA151D" w:rsidP="007B5FFE">
            <w:pPr>
              <w:jc w:val="center"/>
              <w:rPr>
                <w:sz w:val="20"/>
              </w:rPr>
            </w:pPr>
            <w:r w:rsidRPr="00D73A0D">
              <w:rPr>
                <w:rFonts w:cstheme="minorHAnsi"/>
                <w:sz w:val="20"/>
              </w:rPr>
              <w:t>•</w:t>
            </w:r>
          </w:p>
        </w:tc>
        <w:tc>
          <w:tcPr>
            <w:tcW w:w="2135" w:type="dxa"/>
            <w:vAlign w:val="center"/>
          </w:tcPr>
          <w:p w:rsidR="00BA151D" w:rsidRPr="00D73A0D" w:rsidRDefault="00BA151D" w:rsidP="007B5FFE">
            <w:pPr>
              <w:jc w:val="center"/>
            </w:pPr>
            <w:r w:rsidRPr="00D73A0D">
              <w:rPr>
                <w:sz w:val="20"/>
              </w:rPr>
              <w:t>Direct Assessment (gym staff)</w:t>
            </w:r>
          </w:p>
        </w:tc>
        <w:tc>
          <w:tcPr>
            <w:tcW w:w="2183" w:type="dxa"/>
            <w:vAlign w:val="center"/>
          </w:tcPr>
          <w:p w:rsidR="00BA151D" w:rsidRDefault="00BA151D" w:rsidP="007B5FFE">
            <w:r>
              <w:rPr>
                <w:rFonts w:cstheme="minorHAnsi"/>
                <w:sz w:val="20"/>
              </w:rPr>
              <w:t>Standardized Measurement Protocols</w:t>
            </w:r>
          </w:p>
        </w:tc>
      </w:tr>
      <w:tr w:rsidR="00BA151D" w:rsidRPr="00135988" w:rsidTr="006D084A">
        <w:trPr>
          <w:trHeight w:val="160"/>
        </w:trPr>
        <w:tc>
          <w:tcPr>
            <w:tcW w:w="2692" w:type="dxa"/>
            <w:vAlign w:val="center"/>
          </w:tcPr>
          <w:p w:rsidR="00BA151D" w:rsidRPr="00D73A0D" w:rsidRDefault="00BA151D" w:rsidP="007B5FFE">
            <w:pPr>
              <w:rPr>
                <w:sz w:val="20"/>
              </w:rPr>
            </w:pPr>
            <w:r>
              <w:rPr>
                <w:sz w:val="20"/>
              </w:rPr>
              <w:t>Body Fat Percent/Body lean percent</w:t>
            </w:r>
          </w:p>
        </w:tc>
        <w:tc>
          <w:tcPr>
            <w:tcW w:w="947" w:type="dxa"/>
            <w:vAlign w:val="center"/>
          </w:tcPr>
          <w:p w:rsidR="00BA151D" w:rsidRPr="00D73A0D" w:rsidRDefault="00BA151D" w:rsidP="007B5FFE">
            <w:pPr>
              <w:jc w:val="center"/>
              <w:rPr>
                <w:rFonts w:cstheme="minorHAnsi"/>
                <w:sz w:val="20"/>
              </w:rPr>
            </w:pPr>
          </w:p>
        </w:tc>
        <w:tc>
          <w:tcPr>
            <w:tcW w:w="948" w:type="dxa"/>
            <w:vAlign w:val="center"/>
          </w:tcPr>
          <w:p w:rsidR="00BA151D" w:rsidRPr="00D73A0D" w:rsidRDefault="00BA151D" w:rsidP="007B5FFE">
            <w:pPr>
              <w:jc w:val="center"/>
              <w:rPr>
                <w:sz w:val="20"/>
              </w:rPr>
            </w:pPr>
            <w:r w:rsidRPr="00D73A0D">
              <w:rPr>
                <w:rFonts w:cstheme="minorHAnsi"/>
                <w:sz w:val="20"/>
              </w:rPr>
              <w:t>•</w:t>
            </w:r>
          </w:p>
        </w:tc>
        <w:tc>
          <w:tcPr>
            <w:tcW w:w="947" w:type="dxa"/>
            <w:vAlign w:val="center"/>
          </w:tcPr>
          <w:p w:rsidR="00BA151D" w:rsidRPr="00D73A0D" w:rsidRDefault="00BA151D" w:rsidP="007B5FFE">
            <w:pPr>
              <w:jc w:val="center"/>
              <w:rPr>
                <w:sz w:val="20"/>
              </w:rPr>
            </w:pPr>
            <w:r w:rsidRPr="00D73A0D">
              <w:rPr>
                <w:rFonts w:cstheme="minorHAnsi"/>
                <w:sz w:val="20"/>
              </w:rPr>
              <w:t>•</w:t>
            </w:r>
          </w:p>
        </w:tc>
        <w:tc>
          <w:tcPr>
            <w:tcW w:w="948" w:type="dxa"/>
            <w:vAlign w:val="center"/>
          </w:tcPr>
          <w:p w:rsidR="00BA151D" w:rsidRPr="00D73A0D" w:rsidRDefault="00BA151D" w:rsidP="007B5FFE">
            <w:pPr>
              <w:jc w:val="center"/>
              <w:rPr>
                <w:sz w:val="20"/>
              </w:rPr>
            </w:pPr>
            <w:r w:rsidRPr="00D73A0D">
              <w:rPr>
                <w:rFonts w:cstheme="minorHAnsi"/>
                <w:sz w:val="20"/>
              </w:rPr>
              <w:t>•</w:t>
            </w:r>
          </w:p>
        </w:tc>
        <w:tc>
          <w:tcPr>
            <w:tcW w:w="2135" w:type="dxa"/>
            <w:vAlign w:val="center"/>
          </w:tcPr>
          <w:p w:rsidR="00BA151D" w:rsidRPr="00D73A0D" w:rsidRDefault="00BA151D" w:rsidP="007B5FFE">
            <w:pPr>
              <w:jc w:val="center"/>
            </w:pPr>
            <w:r w:rsidRPr="00D73A0D">
              <w:rPr>
                <w:sz w:val="20"/>
              </w:rPr>
              <w:t>Direct Assessment (gym staff)</w:t>
            </w:r>
          </w:p>
        </w:tc>
        <w:tc>
          <w:tcPr>
            <w:tcW w:w="2183" w:type="dxa"/>
            <w:vAlign w:val="center"/>
          </w:tcPr>
          <w:p w:rsidR="00BA151D" w:rsidRDefault="00BA151D" w:rsidP="007B5FFE">
            <w:r>
              <w:rPr>
                <w:rFonts w:cstheme="minorHAnsi"/>
                <w:sz w:val="20"/>
              </w:rPr>
              <w:t>Standardized Measurement Protocols</w:t>
            </w:r>
          </w:p>
        </w:tc>
      </w:tr>
      <w:tr w:rsidR="00BA151D" w:rsidRPr="00135988" w:rsidTr="006D084A">
        <w:trPr>
          <w:trHeight w:val="80"/>
        </w:trPr>
        <w:tc>
          <w:tcPr>
            <w:tcW w:w="2692" w:type="dxa"/>
            <w:vAlign w:val="center"/>
          </w:tcPr>
          <w:p w:rsidR="00BA151D" w:rsidRDefault="00BA151D" w:rsidP="007B5FFE">
            <w:pPr>
              <w:rPr>
                <w:sz w:val="20"/>
              </w:rPr>
            </w:pPr>
            <w:r>
              <w:rPr>
                <w:sz w:val="20"/>
              </w:rPr>
              <w:t xml:space="preserve">Trunk Flexion </w:t>
            </w:r>
          </w:p>
        </w:tc>
        <w:tc>
          <w:tcPr>
            <w:tcW w:w="947" w:type="dxa"/>
            <w:vAlign w:val="center"/>
          </w:tcPr>
          <w:p w:rsidR="00BA151D" w:rsidRPr="00D73A0D" w:rsidRDefault="00BA151D" w:rsidP="007B5FFE">
            <w:pPr>
              <w:jc w:val="center"/>
              <w:rPr>
                <w:rFonts w:cstheme="minorHAnsi"/>
                <w:sz w:val="20"/>
              </w:rPr>
            </w:pPr>
          </w:p>
        </w:tc>
        <w:tc>
          <w:tcPr>
            <w:tcW w:w="948" w:type="dxa"/>
            <w:vAlign w:val="center"/>
          </w:tcPr>
          <w:p w:rsidR="00BA151D" w:rsidRPr="00D73A0D" w:rsidRDefault="00BA151D" w:rsidP="007B5FFE">
            <w:pPr>
              <w:jc w:val="center"/>
              <w:rPr>
                <w:sz w:val="20"/>
              </w:rPr>
            </w:pPr>
            <w:r w:rsidRPr="00D73A0D">
              <w:rPr>
                <w:rFonts w:cstheme="minorHAnsi"/>
                <w:sz w:val="20"/>
              </w:rPr>
              <w:t>•</w:t>
            </w:r>
          </w:p>
        </w:tc>
        <w:tc>
          <w:tcPr>
            <w:tcW w:w="947" w:type="dxa"/>
            <w:vAlign w:val="center"/>
          </w:tcPr>
          <w:p w:rsidR="00BA151D" w:rsidRPr="00D73A0D" w:rsidRDefault="00BA151D" w:rsidP="007B5FFE">
            <w:pPr>
              <w:jc w:val="center"/>
              <w:rPr>
                <w:sz w:val="20"/>
              </w:rPr>
            </w:pPr>
            <w:r w:rsidRPr="00D73A0D">
              <w:rPr>
                <w:rFonts w:cstheme="minorHAnsi"/>
                <w:sz w:val="20"/>
              </w:rPr>
              <w:t>•</w:t>
            </w:r>
          </w:p>
        </w:tc>
        <w:tc>
          <w:tcPr>
            <w:tcW w:w="948" w:type="dxa"/>
            <w:vAlign w:val="center"/>
          </w:tcPr>
          <w:p w:rsidR="00BA151D" w:rsidRPr="00D73A0D" w:rsidRDefault="00BA151D" w:rsidP="007B5FFE">
            <w:pPr>
              <w:jc w:val="center"/>
              <w:rPr>
                <w:sz w:val="20"/>
              </w:rPr>
            </w:pPr>
            <w:r w:rsidRPr="00D73A0D">
              <w:rPr>
                <w:rFonts w:cstheme="minorHAnsi"/>
                <w:sz w:val="20"/>
              </w:rPr>
              <w:t>•</w:t>
            </w:r>
          </w:p>
        </w:tc>
        <w:tc>
          <w:tcPr>
            <w:tcW w:w="2135" w:type="dxa"/>
            <w:vAlign w:val="center"/>
          </w:tcPr>
          <w:p w:rsidR="00BA151D" w:rsidRPr="00D73A0D" w:rsidRDefault="00BA151D" w:rsidP="007B5FFE">
            <w:pPr>
              <w:jc w:val="center"/>
              <w:rPr>
                <w:sz w:val="20"/>
              </w:rPr>
            </w:pPr>
            <w:r w:rsidRPr="00D73A0D">
              <w:rPr>
                <w:sz w:val="20"/>
              </w:rPr>
              <w:t>Direct Assessment (gym staff)</w:t>
            </w:r>
          </w:p>
        </w:tc>
        <w:tc>
          <w:tcPr>
            <w:tcW w:w="2183" w:type="dxa"/>
            <w:vAlign w:val="center"/>
          </w:tcPr>
          <w:p w:rsidR="00BA151D" w:rsidRDefault="00BA151D" w:rsidP="007B5FFE">
            <w:r>
              <w:rPr>
                <w:rFonts w:cstheme="minorHAnsi"/>
                <w:sz w:val="20"/>
              </w:rPr>
              <w:t>Standardized Measurement Protocols</w:t>
            </w:r>
          </w:p>
        </w:tc>
      </w:tr>
      <w:tr w:rsidR="00BA151D" w:rsidRPr="00135988" w:rsidTr="006D084A">
        <w:trPr>
          <w:trHeight w:val="80"/>
        </w:trPr>
        <w:tc>
          <w:tcPr>
            <w:tcW w:w="2692" w:type="dxa"/>
            <w:vAlign w:val="center"/>
          </w:tcPr>
          <w:p w:rsidR="00BA151D" w:rsidRDefault="00BA151D" w:rsidP="007B5FFE">
            <w:pPr>
              <w:rPr>
                <w:sz w:val="20"/>
              </w:rPr>
            </w:pPr>
            <w:r>
              <w:rPr>
                <w:sz w:val="20"/>
              </w:rPr>
              <w:t>Grip Strength</w:t>
            </w:r>
          </w:p>
        </w:tc>
        <w:tc>
          <w:tcPr>
            <w:tcW w:w="947" w:type="dxa"/>
            <w:vAlign w:val="center"/>
          </w:tcPr>
          <w:p w:rsidR="00BA151D" w:rsidRPr="00D73A0D" w:rsidRDefault="00BA151D" w:rsidP="007B5FFE">
            <w:pPr>
              <w:jc w:val="center"/>
              <w:rPr>
                <w:rFonts w:cstheme="minorHAnsi"/>
                <w:sz w:val="20"/>
              </w:rPr>
            </w:pPr>
          </w:p>
        </w:tc>
        <w:tc>
          <w:tcPr>
            <w:tcW w:w="948" w:type="dxa"/>
            <w:vAlign w:val="center"/>
          </w:tcPr>
          <w:p w:rsidR="00BA151D" w:rsidRPr="00D73A0D" w:rsidRDefault="00BA151D" w:rsidP="007B5FFE">
            <w:pPr>
              <w:jc w:val="center"/>
              <w:rPr>
                <w:sz w:val="20"/>
              </w:rPr>
            </w:pPr>
            <w:r w:rsidRPr="00D73A0D">
              <w:rPr>
                <w:rFonts w:cstheme="minorHAnsi"/>
                <w:sz w:val="20"/>
              </w:rPr>
              <w:t>•</w:t>
            </w:r>
          </w:p>
        </w:tc>
        <w:tc>
          <w:tcPr>
            <w:tcW w:w="947" w:type="dxa"/>
            <w:vAlign w:val="center"/>
          </w:tcPr>
          <w:p w:rsidR="00BA151D" w:rsidRPr="00D73A0D" w:rsidRDefault="00BA151D" w:rsidP="007B5FFE">
            <w:pPr>
              <w:jc w:val="center"/>
              <w:rPr>
                <w:sz w:val="20"/>
              </w:rPr>
            </w:pPr>
            <w:r w:rsidRPr="00D73A0D">
              <w:rPr>
                <w:rFonts w:cstheme="minorHAnsi"/>
                <w:sz w:val="20"/>
              </w:rPr>
              <w:t>•</w:t>
            </w:r>
          </w:p>
        </w:tc>
        <w:tc>
          <w:tcPr>
            <w:tcW w:w="948" w:type="dxa"/>
            <w:vAlign w:val="center"/>
          </w:tcPr>
          <w:p w:rsidR="00BA151D" w:rsidRPr="00D73A0D" w:rsidRDefault="00BA151D" w:rsidP="007B5FFE">
            <w:pPr>
              <w:jc w:val="center"/>
              <w:rPr>
                <w:sz w:val="20"/>
              </w:rPr>
            </w:pPr>
            <w:r w:rsidRPr="00D73A0D">
              <w:rPr>
                <w:rFonts w:cstheme="minorHAnsi"/>
                <w:sz w:val="20"/>
              </w:rPr>
              <w:t>•</w:t>
            </w:r>
          </w:p>
        </w:tc>
        <w:tc>
          <w:tcPr>
            <w:tcW w:w="2135" w:type="dxa"/>
            <w:vAlign w:val="center"/>
          </w:tcPr>
          <w:p w:rsidR="00BA151D" w:rsidRPr="00D73A0D" w:rsidRDefault="00BA151D" w:rsidP="007B5FFE">
            <w:pPr>
              <w:jc w:val="center"/>
              <w:rPr>
                <w:sz w:val="20"/>
              </w:rPr>
            </w:pPr>
            <w:r w:rsidRPr="00D73A0D">
              <w:rPr>
                <w:sz w:val="20"/>
              </w:rPr>
              <w:t>Direct Assessment (gym staff)</w:t>
            </w:r>
          </w:p>
        </w:tc>
        <w:tc>
          <w:tcPr>
            <w:tcW w:w="2183" w:type="dxa"/>
            <w:vAlign w:val="center"/>
          </w:tcPr>
          <w:p w:rsidR="00BA151D" w:rsidRDefault="00BA151D" w:rsidP="007B5FFE">
            <w:r>
              <w:rPr>
                <w:rFonts w:cstheme="minorHAnsi"/>
                <w:sz w:val="20"/>
              </w:rPr>
              <w:t>Standardized Measurement Protocols</w:t>
            </w:r>
          </w:p>
        </w:tc>
      </w:tr>
      <w:tr w:rsidR="00BA151D" w:rsidRPr="00135988" w:rsidTr="006D084A">
        <w:trPr>
          <w:trHeight w:val="90"/>
        </w:trPr>
        <w:tc>
          <w:tcPr>
            <w:tcW w:w="6482" w:type="dxa"/>
            <w:gridSpan w:val="5"/>
            <w:shd w:val="clear" w:color="auto" w:fill="A6A6A6" w:themeFill="background1" w:themeFillShade="A6"/>
            <w:vAlign w:val="center"/>
          </w:tcPr>
          <w:p w:rsidR="00BA151D" w:rsidRPr="00D73A0D" w:rsidRDefault="00BA151D" w:rsidP="007B5FFE">
            <w:pPr>
              <w:rPr>
                <w:rFonts w:cstheme="minorHAnsi"/>
                <w:b/>
                <w:i/>
                <w:sz w:val="20"/>
              </w:rPr>
            </w:pPr>
            <w:r w:rsidRPr="00D73A0D">
              <w:rPr>
                <w:rFonts w:cstheme="minorHAnsi"/>
                <w:b/>
                <w:i/>
              </w:rPr>
              <w:t>Respondent Surveys/Forms</w:t>
            </w:r>
          </w:p>
        </w:tc>
        <w:tc>
          <w:tcPr>
            <w:tcW w:w="2135" w:type="dxa"/>
            <w:shd w:val="clear" w:color="auto" w:fill="A6A6A6" w:themeFill="background1" w:themeFillShade="A6"/>
            <w:vAlign w:val="center"/>
          </w:tcPr>
          <w:p w:rsidR="00BA151D" w:rsidRPr="00D73A0D" w:rsidRDefault="00BA151D" w:rsidP="007B5FFE">
            <w:pPr>
              <w:jc w:val="center"/>
              <w:rPr>
                <w:sz w:val="20"/>
              </w:rPr>
            </w:pPr>
          </w:p>
        </w:tc>
        <w:tc>
          <w:tcPr>
            <w:tcW w:w="2183" w:type="dxa"/>
            <w:shd w:val="clear" w:color="auto" w:fill="A6A6A6" w:themeFill="background1" w:themeFillShade="A6"/>
            <w:vAlign w:val="center"/>
          </w:tcPr>
          <w:p w:rsidR="00BA151D" w:rsidRPr="00D73A0D" w:rsidRDefault="00BA151D" w:rsidP="007B5FFE">
            <w:pPr>
              <w:rPr>
                <w:sz w:val="20"/>
              </w:rPr>
            </w:pPr>
          </w:p>
        </w:tc>
      </w:tr>
      <w:tr w:rsidR="00BA151D" w:rsidRPr="00135988" w:rsidTr="006D084A">
        <w:trPr>
          <w:trHeight w:val="80"/>
        </w:trPr>
        <w:tc>
          <w:tcPr>
            <w:tcW w:w="2692" w:type="dxa"/>
            <w:shd w:val="clear" w:color="auto" w:fill="auto"/>
            <w:vAlign w:val="center"/>
          </w:tcPr>
          <w:p w:rsidR="00BA151D" w:rsidRPr="001839DD" w:rsidRDefault="00BA151D" w:rsidP="007B5FFE">
            <w:pPr>
              <w:rPr>
                <w:sz w:val="20"/>
              </w:rPr>
            </w:pPr>
            <w:r>
              <w:rPr>
                <w:sz w:val="20"/>
              </w:rPr>
              <w:t>Screening Questionnaire</w:t>
            </w:r>
          </w:p>
        </w:tc>
        <w:tc>
          <w:tcPr>
            <w:tcW w:w="947" w:type="dxa"/>
            <w:vAlign w:val="center"/>
          </w:tcPr>
          <w:p w:rsidR="00BA151D" w:rsidRDefault="00BA151D" w:rsidP="007B5FFE">
            <w:pPr>
              <w:jc w:val="center"/>
              <w:rPr>
                <w:sz w:val="20"/>
              </w:rPr>
            </w:pPr>
            <w:r w:rsidRPr="00D73A0D">
              <w:rPr>
                <w:rFonts w:cstheme="minorHAnsi"/>
                <w:sz w:val="20"/>
              </w:rPr>
              <w:t>•</w:t>
            </w:r>
          </w:p>
        </w:tc>
        <w:tc>
          <w:tcPr>
            <w:tcW w:w="948" w:type="dxa"/>
            <w:shd w:val="clear" w:color="auto" w:fill="auto"/>
            <w:vAlign w:val="center"/>
          </w:tcPr>
          <w:p w:rsidR="00BA151D" w:rsidRDefault="00BA151D" w:rsidP="007B5FFE">
            <w:pPr>
              <w:jc w:val="center"/>
              <w:rPr>
                <w:sz w:val="20"/>
              </w:rPr>
            </w:pPr>
          </w:p>
        </w:tc>
        <w:tc>
          <w:tcPr>
            <w:tcW w:w="947" w:type="dxa"/>
            <w:shd w:val="clear" w:color="auto" w:fill="auto"/>
            <w:vAlign w:val="center"/>
          </w:tcPr>
          <w:p w:rsidR="00BA151D" w:rsidRPr="00B936D3" w:rsidRDefault="00BA151D" w:rsidP="007B5FFE">
            <w:pPr>
              <w:jc w:val="center"/>
              <w:rPr>
                <w:rFonts w:cstheme="minorHAnsi"/>
                <w:sz w:val="20"/>
              </w:rPr>
            </w:pPr>
          </w:p>
        </w:tc>
        <w:tc>
          <w:tcPr>
            <w:tcW w:w="948" w:type="dxa"/>
            <w:shd w:val="clear" w:color="auto" w:fill="auto"/>
            <w:vAlign w:val="center"/>
          </w:tcPr>
          <w:p w:rsidR="00BA151D" w:rsidRPr="00B936D3" w:rsidRDefault="00BA151D" w:rsidP="007B5FFE">
            <w:pPr>
              <w:jc w:val="center"/>
              <w:rPr>
                <w:rFonts w:cstheme="minorHAnsi"/>
                <w:sz w:val="20"/>
              </w:rPr>
            </w:pPr>
          </w:p>
        </w:tc>
        <w:tc>
          <w:tcPr>
            <w:tcW w:w="2135" w:type="dxa"/>
            <w:shd w:val="clear" w:color="auto" w:fill="auto"/>
            <w:vAlign w:val="center"/>
          </w:tcPr>
          <w:p w:rsidR="00BA151D" w:rsidRPr="00B936D3" w:rsidRDefault="00BA151D" w:rsidP="007B5FFE">
            <w:pPr>
              <w:jc w:val="center"/>
              <w:rPr>
                <w:rFonts w:cstheme="minorHAnsi"/>
                <w:sz w:val="20"/>
              </w:rPr>
            </w:pPr>
            <w:r w:rsidRPr="00B936D3">
              <w:rPr>
                <w:rFonts w:cstheme="minorHAnsi"/>
                <w:sz w:val="20"/>
              </w:rPr>
              <w:t>Self-respondent</w:t>
            </w:r>
          </w:p>
        </w:tc>
        <w:tc>
          <w:tcPr>
            <w:tcW w:w="2183" w:type="dxa"/>
            <w:vAlign w:val="center"/>
          </w:tcPr>
          <w:p w:rsidR="00BA151D" w:rsidRPr="00B936D3" w:rsidRDefault="00BA151D" w:rsidP="007B5FFE">
            <w:pPr>
              <w:rPr>
                <w:rFonts w:cstheme="minorHAnsi"/>
                <w:sz w:val="20"/>
              </w:rPr>
            </w:pPr>
            <w:r w:rsidRPr="00B936D3">
              <w:rPr>
                <w:rFonts w:cstheme="minorHAnsi"/>
                <w:sz w:val="20"/>
              </w:rPr>
              <w:t>NHIS 2013</w:t>
            </w:r>
          </w:p>
        </w:tc>
      </w:tr>
      <w:tr w:rsidR="00BA151D" w:rsidRPr="00135988" w:rsidTr="006D084A">
        <w:trPr>
          <w:trHeight w:val="80"/>
        </w:trPr>
        <w:tc>
          <w:tcPr>
            <w:tcW w:w="2692" w:type="dxa"/>
            <w:shd w:val="clear" w:color="auto" w:fill="auto"/>
            <w:vAlign w:val="center"/>
          </w:tcPr>
          <w:p w:rsidR="00BA151D" w:rsidRPr="001839DD" w:rsidRDefault="00BA151D" w:rsidP="007B5FFE">
            <w:pPr>
              <w:rPr>
                <w:sz w:val="20"/>
              </w:rPr>
            </w:pPr>
            <w:r w:rsidRPr="001839DD">
              <w:rPr>
                <w:sz w:val="20"/>
              </w:rPr>
              <w:t>Contact Information Form</w:t>
            </w:r>
          </w:p>
        </w:tc>
        <w:tc>
          <w:tcPr>
            <w:tcW w:w="947" w:type="dxa"/>
            <w:vAlign w:val="center"/>
          </w:tcPr>
          <w:p w:rsidR="00BA151D" w:rsidRDefault="00BA151D" w:rsidP="007B5FFE">
            <w:pPr>
              <w:jc w:val="center"/>
              <w:rPr>
                <w:sz w:val="20"/>
              </w:rPr>
            </w:pPr>
            <w:r w:rsidRPr="00D73A0D">
              <w:rPr>
                <w:rFonts w:cstheme="minorHAnsi"/>
                <w:sz w:val="20"/>
              </w:rPr>
              <w:t>•</w:t>
            </w:r>
          </w:p>
        </w:tc>
        <w:tc>
          <w:tcPr>
            <w:tcW w:w="948" w:type="dxa"/>
            <w:shd w:val="clear" w:color="auto" w:fill="auto"/>
            <w:vAlign w:val="center"/>
          </w:tcPr>
          <w:p w:rsidR="00BA151D" w:rsidRPr="00135988" w:rsidRDefault="00BA151D" w:rsidP="007B5FFE">
            <w:pPr>
              <w:jc w:val="center"/>
              <w:rPr>
                <w:sz w:val="20"/>
              </w:rPr>
            </w:pPr>
          </w:p>
        </w:tc>
        <w:tc>
          <w:tcPr>
            <w:tcW w:w="947" w:type="dxa"/>
            <w:shd w:val="clear" w:color="auto" w:fill="auto"/>
            <w:vAlign w:val="center"/>
          </w:tcPr>
          <w:p w:rsidR="00BA151D" w:rsidRPr="00B936D3" w:rsidRDefault="00BA151D" w:rsidP="007B5FFE">
            <w:pPr>
              <w:jc w:val="center"/>
              <w:rPr>
                <w:rFonts w:cstheme="minorHAnsi"/>
                <w:sz w:val="20"/>
              </w:rPr>
            </w:pPr>
          </w:p>
        </w:tc>
        <w:tc>
          <w:tcPr>
            <w:tcW w:w="948" w:type="dxa"/>
            <w:shd w:val="clear" w:color="auto" w:fill="auto"/>
            <w:vAlign w:val="center"/>
          </w:tcPr>
          <w:p w:rsidR="00BA151D" w:rsidRPr="00B936D3" w:rsidRDefault="00BA151D" w:rsidP="007B5FFE">
            <w:pPr>
              <w:jc w:val="center"/>
              <w:rPr>
                <w:rFonts w:cstheme="minorHAnsi"/>
                <w:sz w:val="20"/>
              </w:rPr>
            </w:pPr>
          </w:p>
        </w:tc>
        <w:tc>
          <w:tcPr>
            <w:tcW w:w="2135" w:type="dxa"/>
            <w:shd w:val="clear" w:color="auto" w:fill="auto"/>
            <w:vAlign w:val="center"/>
          </w:tcPr>
          <w:p w:rsidR="00BA151D" w:rsidRPr="00B936D3" w:rsidRDefault="00BA151D" w:rsidP="007B5FFE">
            <w:pPr>
              <w:jc w:val="center"/>
              <w:rPr>
                <w:rFonts w:cstheme="minorHAnsi"/>
                <w:sz w:val="20"/>
              </w:rPr>
            </w:pPr>
            <w:r w:rsidRPr="00B936D3">
              <w:rPr>
                <w:rFonts w:cstheme="minorHAnsi"/>
                <w:sz w:val="20"/>
              </w:rPr>
              <w:t>Self-respondent</w:t>
            </w:r>
          </w:p>
        </w:tc>
        <w:tc>
          <w:tcPr>
            <w:tcW w:w="2183" w:type="dxa"/>
            <w:vAlign w:val="center"/>
          </w:tcPr>
          <w:p w:rsidR="00BA151D" w:rsidRPr="00B936D3" w:rsidRDefault="00BA151D" w:rsidP="007B5FFE">
            <w:pPr>
              <w:rPr>
                <w:rFonts w:cstheme="minorHAnsi"/>
                <w:sz w:val="20"/>
              </w:rPr>
            </w:pPr>
            <w:r>
              <w:rPr>
                <w:rFonts w:cstheme="minorHAnsi"/>
                <w:sz w:val="20"/>
              </w:rPr>
              <w:t>Not Applicable</w:t>
            </w:r>
          </w:p>
        </w:tc>
      </w:tr>
      <w:tr w:rsidR="00BA151D" w:rsidRPr="00135988" w:rsidTr="006D084A">
        <w:trPr>
          <w:trHeight w:val="170"/>
        </w:trPr>
        <w:tc>
          <w:tcPr>
            <w:tcW w:w="2692" w:type="dxa"/>
            <w:shd w:val="clear" w:color="auto" w:fill="auto"/>
            <w:vAlign w:val="center"/>
          </w:tcPr>
          <w:p w:rsidR="00BA151D" w:rsidRPr="001839DD" w:rsidRDefault="00BA151D" w:rsidP="007B5FFE">
            <w:pPr>
              <w:rPr>
                <w:sz w:val="20"/>
              </w:rPr>
            </w:pPr>
            <w:r>
              <w:rPr>
                <w:sz w:val="20"/>
              </w:rPr>
              <w:t>Medical History Form</w:t>
            </w:r>
          </w:p>
        </w:tc>
        <w:tc>
          <w:tcPr>
            <w:tcW w:w="947" w:type="dxa"/>
            <w:vAlign w:val="center"/>
          </w:tcPr>
          <w:p w:rsidR="00BA151D" w:rsidRDefault="00BA151D" w:rsidP="007B5FFE">
            <w:pPr>
              <w:jc w:val="center"/>
              <w:rPr>
                <w:sz w:val="20"/>
              </w:rPr>
            </w:pPr>
            <w:r w:rsidRPr="00D73A0D">
              <w:rPr>
                <w:rFonts w:cstheme="minorHAnsi"/>
                <w:sz w:val="20"/>
              </w:rPr>
              <w:t>•</w:t>
            </w:r>
          </w:p>
        </w:tc>
        <w:tc>
          <w:tcPr>
            <w:tcW w:w="948" w:type="dxa"/>
            <w:shd w:val="clear" w:color="auto" w:fill="auto"/>
            <w:vAlign w:val="center"/>
          </w:tcPr>
          <w:p w:rsidR="00BA151D" w:rsidRDefault="00BA151D" w:rsidP="007B5FFE">
            <w:pPr>
              <w:jc w:val="center"/>
              <w:rPr>
                <w:sz w:val="20"/>
              </w:rPr>
            </w:pPr>
          </w:p>
        </w:tc>
        <w:tc>
          <w:tcPr>
            <w:tcW w:w="947" w:type="dxa"/>
            <w:shd w:val="clear" w:color="auto" w:fill="auto"/>
            <w:vAlign w:val="center"/>
          </w:tcPr>
          <w:p w:rsidR="00BA151D" w:rsidRPr="00B936D3" w:rsidRDefault="00BA151D" w:rsidP="007B5FFE">
            <w:pPr>
              <w:jc w:val="center"/>
              <w:rPr>
                <w:rFonts w:cstheme="minorHAnsi"/>
                <w:sz w:val="20"/>
              </w:rPr>
            </w:pPr>
          </w:p>
        </w:tc>
        <w:tc>
          <w:tcPr>
            <w:tcW w:w="948" w:type="dxa"/>
            <w:shd w:val="clear" w:color="auto" w:fill="auto"/>
            <w:vAlign w:val="center"/>
          </w:tcPr>
          <w:p w:rsidR="00BA151D" w:rsidRPr="00B936D3" w:rsidRDefault="00BA151D" w:rsidP="007B5FFE">
            <w:pPr>
              <w:jc w:val="center"/>
              <w:rPr>
                <w:rFonts w:cstheme="minorHAnsi"/>
                <w:sz w:val="20"/>
              </w:rPr>
            </w:pPr>
          </w:p>
        </w:tc>
        <w:tc>
          <w:tcPr>
            <w:tcW w:w="2135" w:type="dxa"/>
            <w:shd w:val="clear" w:color="auto" w:fill="auto"/>
            <w:vAlign w:val="center"/>
          </w:tcPr>
          <w:p w:rsidR="00BA151D" w:rsidRPr="00B936D3" w:rsidRDefault="00BA151D" w:rsidP="007B5FFE">
            <w:pPr>
              <w:jc w:val="center"/>
              <w:rPr>
                <w:rFonts w:cstheme="minorHAnsi"/>
                <w:sz w:val="20"/>
              </w:rPr>
            </w:pPr>
            <w:r w:rsidRPr="00B936D3">
              <w:rPr>
                <w:rFonts w:cstheme="minorHAnsi"/>
                <w:sz w:val="20"/>
              </w:rPr>
              <w:t>Self-respondent and signed by physician</w:t>
            </w:r>
          </w:p>
        </w:tc>
        <w:tc>
          <w:tcPr>
            <w:tcW w:w="2183" w:type="dxa"/>
            <w:vAlign w:val="center"/>
          </w:tcPr>
          <w:p w:rsidR="00BA151D" w:rsidRPr="00B936D3" w:rsidRDefault="00BA151D" w:rsidP="007B5FFE">
            <w:pPr>
              <w:rPr>
                <w:rFonts w:cstheme="minorHAnsi"/>
                <w:sz w:val="20"/>
              </w:rPr>
            </w:pPr>
            <w:r w:rsidRPr="00B936D3">
              <w:rPr>
                <w:rFonts w:cstheme="minorHAnsi"/>
                <w:sz w:val="20"/>
              </w:rPr>
              <w:t>University of Miss</w:t>
            </w:r>
            <w:r>
              <w:rPr>
                <w:rFonts w:cstheme="minorHAnsi"/>
                <w:sz w:val="20"/>
              </w:rPr>
              <w:t>ouri Health System Medical Form</w:t>
            </w:r>
            <w:r w:rsidRPr="00B936D3">
              <w:rPr>
                <w:rFonts w:cstheme="minorHAnsi"/>
                <w:sz w:val="20"/>
              </w:rPr>
              <w:t xml:space="preserve"> </w:t>
            </w:r>
          </w:p>
        </w:tc>
      </w:tr>
      <w:tr w:rsidR="00BA151D" w:rsidRPr="00135988" w:rsidTr="006D084A">
        <w:trPr>
          <w:trHeight w:val="325"/>
        </w:trPr>
        <w:tc>
          <w:tcPr>
            <w:tcW w:w="2692" w:type="dxa"/>
            <w:shd w:val="clear" w:color="auto" w:fill="auto"/>
            <w:vAlign w:val="center"/>
          </w:tcPr>
          <w:p w:rsidR="00BA151D" w:rsidRPr="001839DD" w:rsidRDefault="00BA151D" w:rsidP="007B5FFE">
            <w:pPr>
              <w:rPr>
                <w:sz w:val="20"/>
              </w:rPr>
            </w:pPr>
            <w:r w:rsidRPr="001839DD">
              <w:rPr>
                <w:sz w:val="20"/>
              </w:rPr>
              <w:t>Demographics</w:t>
            </w:r>
            <w:r>
              <w:rPr>
                <w:sz w:val="20"/>
              </w:rPr>
              <w:t xml:space="preserve"> Questionnaire</w:t>
            </w:r>
          </w:p>
        </w:tc>
        <w:tc>
          <w:tcPr>
            <w:tcW w:w="947" w:type="dxa"/>
            <w:vAlign w:val="center"/>
          </w:tcPr>
          <w:p w:rsidR="00BA151D" w:rsidRPr="00135988" w:rsidRDefault="00BA151D" w:rsidP="007B5FFE">
            <w:pPr>
              <w:jc w:val="center"/>
              <w:rPr>
                <w:rFonts w:cstheme="minorHAnsi"/>
                <w:sz w:val="20"/>
              </w:rPr>
            </w:pPr>
            <w:r w:rsidRPr="00135988">
              <w:rPr>
                <w:rFonts w:cstheme="minorHAnsi"/>
                <w:sz w:val="20"/>
              </w:rPr>
              <w:t>•</w:t>
            </w:r>
          </w:p>
        </w:tc>
        <w:tc>
          <w:tcPr>
            <w:tcW w:w="948" w:type="dxa"/>
            <w:shd w:val="clear" w:color="auto" w:fill="auto"/>
            <w:vAlign w:val="center"/>
          </w:tcPr>
          <w:p w:rsidR="00BA151D" w:rsidRPr="00135988" w:rsidRDefault="00BA151D" w:rsidP="007B5FFE">
            <w:pPr>
              <w:jc w:val="center"/>
              <w:rPr>
                <w:sz w:val="20"/>
              </w:rPr>
            </w:pPr>
          </w:p>
        </w:tc>
        <w:tc>
          <w:tcPr>
            <w:tcW w:w="947" w:type="dxa"/>
            <w:shd w:val="clear" w:color="auto" w:fill="auto"/>
            <w:vAlign w:val="center"/>
          </w:tcPr>
          <w:p w:rsidR="00BA151D" w:rsidRPr="00B936D3" w:rsidRDefault="00BA151D" w:rsidP="007B5FFE">
            <w:pPr>
              <w:jc w:val="center"/>
              <w:rPr>
                <w:rFonts w:cstheme="minorHAnsi"/>
                <w:sz w:val="20"/>
              </w:rPr>
            </w:pPr>
          </w:p>
        </w:tc>
        <w:tc>
          <w:tcPr>
            <w:tcW w:w="948" w:type="dxa"/>
            <w:shd w:val="clear" w:color="auto" w:fill="auto"/>
            <w:vAlign w:val="center"/>
          </w:tcPr>
          <w:p w:rsidR="00BA151D" w:rsidRPr="00B936D3" w:rsidRDefault="00BA151D" w:rsidP="007B5FFE">
            <w:pPr>
              <w:jc w:val="center"/>
              <w:rPr>
                <w:rFonts w:cstheme="minorHAnsi"/>
                <w:sz w:val="20"/>
              </w:rPr>
            </w:pPr>
          </w:p>
        </w:tc>
        <w:tc>
          <w:tcPr>
            <w:tcW w:w="2135" w:type="dxa"/>
            <w:shd w:val="clear" w:color="auto" w:fill="auto"/>
            <w:vAlign w:val="center"/>
          </w:tcPr>
          <w:p w:rsidR="00BA151D" w:rsidRPr="00B936D3" w:rsidRDefault="00BA151D" w:rsidP="007B5FFE">
            <w:pPr>
              <w:jc w:val="center"/>
              <w:rPr>
                <w:rFonts w:cstheme="minorHAnsi"/>
                <w:sz w:val="20"/>
              </w:rPr>
            </w:pPr>
            <w:r w:rsidRPr="00B936D3">
              <w:rPr>
                <w:rFonts w:cstheme="minorHAnsi"/>
                <w:sz w:val="20"/>
              </w:rPr>
              <w:t>Self-respondent</w:t>
            </w:r>
          </w:p>
        </w:tc>
        <w:tc>
          <w:tcPr>
            <w:tcW w:w="2183" w:type="dxa"/>
            <w:vAlign w:val="center"/>
          </w:tcPr>
          <w:p w:rsidR="00BA151D" w:rsidRPr="00B936D3" w:rsidRDefault="00BA151D" w:rsidP="007B5FFE">
            <w:pPr>
              <w:rPr>
                <w:rFonts w:cstheme="minorHAnsi"/>
                <w:sz w:val="20"/>
              </w:rPr>
            </w:pPr>
            <w:r w:rsidRPr="00B936D3">
              <w:rPr>
                <w:rFonts w:cstheme="minorHAnsi"/>
                <w:sz w:val="20"/>
              </w:rPr>
              <w:t>BRFSS 2011; National Lesbian Health Care Survey, http://www.icpsr.umich.edu/icpsrweb/ICPSR/studies/8991</w:t>
            </w:r>
          </w:p>
        </w:tc>
      </w:tr>
      <w:tr w:rsidR="00BA151D" w:rsidRPr="00135988" w:rsidTr="006D084A">
        <w:trPr>
          <w:trHeight w:val="85"/>
        </w:trPr>
        <w:tc>
          <w:tcPr>
            <w:tcW w:w="6482" w:type="dxa"/>
            <w:gridSpan w:val="5"/>
            <w:shd w:val="clear" w:color="auto" w:fill="D9D9D9" w:themeFill="background1" w:themeFillShade="D9"/>
            <w:vAlign w:val="center"/>
          </w:tcPr>
          <w:p w:rsidR="00BA151D" w:rsidRPr="00B936D3" w:rsidRDefault="00BA151D" w:rsidP="007B5FFE">
            <w:pPr>
              <w:rPr>
                <w:rFonts w:cstheme="minorHAnsi"/>
                <w:b/>
                <w:sz w:val="20"/>
              </w:rPr>
            </w:pPr>
            <w:r w:rsidRPr="00B936D3">
              <w:rPr>
                <w:rFonts w:cstheme="minorHAnsi"/>
                <w:b/>
                <w:sz w:val="20"/>
              </w:rPr>
              <w:t>Stress &amp; Resiliency</w:t>
            </w:r>
          </w:p>
        </w:tc>
        <w:tc>
          <w:tcPr>
            <w:tcW w:w="2135" w:type="dxa"/>
            <w:shd w:val="clear" w:color="auto" w:fill="D9D9D9" w:themeFill="background1" w:themeFillShade="D9"/>
            <w:vAlign w:val="center"/>
          </w:tcPr>
          <w:p w:rsidR="00BA151D" w:rsidRPr="00B936D3" w:rsidRDefault="00BA151D" w:rsidP="007B5FFE">
            <w:pPr>
              <w:jc w:val="center"/>
              <w:rPr>
                <w:rFonts w:cstheme="minorHAnsi"/>
                <w:b/>
                <w:sz w:val="20"/>
              </w:rPr>
            </w:pPr>
          </w:p>
        </w:tc>
        <w:tc>
          <w:tcPr>
            <w:tcW w:w="2183" w:type="dxa"/>
            <w:shd w:val="clear" w:color="auto" w:fill="D9D9D9" w:themeFill="background1" w:themeFillShade="D9"/>
            <w:vAlign w:val="center"/>
          </w:tcPr>
          <w:p w:rsidR="00BA151D" w:rsidRPr="00B936D3" w:rsidRDefault="00BA151D" w:rsidP="007B5FFE">
            <w:pPr>
              <w:rPr>
                <w:rFonts w:cstheme="minorHAnsi"/>
                <w:b/>
                <w:sz w:val="20"/>
              </w:rPr>
            </w:pPr>
          </w:p>
        </w:tc>
      </w:tr>
      <w:tr w:rsidR="00BA151D" w:rsidRPr="00135988" w:rsidTr="006D084A">
        <w:trPr>
          <w:trHeight w:val="48"/>
        </w:trPr>
        <w:tc>
          <w:tcPr>
            <w:tcW w:w="2692" w:type="dxa"/>
            <w:vAlign w:val="center"/>
          </w:tcPr>
          <w:p w:rsidR="00BA151D" w:rsidRPr="00135988" w:rsidRDefault="00BA151D" w:rsidP="007B5FFE">
            <w:pPr>
              <w:rPr>
                <w:sz w:val="20"/>
              </w:rPr>
            </w:pPr>
            <w:r>
              <w:rPr>
                <w:sz w:val="20"/>
              </w:rPr>
              <w:t>Center for Epidemiologic Studies Depression (CES-D) Scale</w:t>
            </w:r>
          </w:p>
        </w:tc>
        <w:tc>
          <w:tcPr>
            <w:tcW w:w="947" w:type="dxa"/>
            <w:vAlign w:val="center"/>
          </w:tcPr>
          <w:p w:rsidR="00BA151D" w:rsidRPr="00135988" w:rsidRDefault="00BA151D" w:rsidP="007B5FFE">
            <w:pPr>
              <w:jc w:val="center"/>
              <w:rPr>
                <w:rFonts w:cstheme="minorHAnsi"/>
                <w:sz w:val="20"/>
              </w:rPr>
            </w:pPr>
            <w:r w:rsidRPr="00135988">
              <w:rPr>
                <w:rFonts w:cstheme="minorHAnsi"/>
                <w:sz w:val="20"/>
              </w:rPr>
              <w:t>•</w:t>
            </w:r>
          </w:p>
        </w:tc>
        <w:tc>
          <w:tcPr>
            <w:tcW w:w="948" w:type="dxa"/>
            <w:vAlign w:val="center"/>
          </w:tcPr>
          <w:p w:rsidR="00BA151D" w:rsidRPr="00135988" w:rsidRDefault="00BA151D" w:rsidP="007B5FFE">
            <w:pPr>
              <w:jc w:val="center"/>
              <w:rPr>
                <w:rFonts w:cstheme="minorHAnsi"/>
                <w:sz w:val="20"/>
              </w:rPr>
            </w:pPr>
          </w:p>
        </w:tc>
        <w:tc>
          <w:tcPr>
            <w:tcW w:w="947" w:type="dxa"/>
            <w:vAlign w:val="center"/>
          </w:tcPr>
          <w:p w:rsidR="00BA151D" w:rsidRPr="00B936D3" w:rsidRDefault="00BA151D" w:rsidP="007B5FFE">
            <w:pPr>
              <w:jc w:val="center"/>
              <w:rPr>
                <w:rFonts w:cstheme="minorHAnsi"/>
                <w:sz w:val="20"/>
              </w:rPr>
            </w:pPr>
            <w:r w:rsidRPr="00135988">
              <w:rPr>
                <w:rFonts w:cstheme="minorHAnsi"/>
                <w:sz w:val="20"/>
              </w:rPr>
              <w:t>•</w:t>
            </w:r>
          </w:p>
        </w:tc>
        <w:tc>
          <w:tcPr>
            <w:tcW w:w="948" w:type="dxa"/>
            <w:vAlign w:val="center"/>
          </w:tcPr>
          <w:p w:rsidR="00BA151D" w:rsidRPr="00B936D3" w:rsidRDefault="00BA151D" w:rsidP="007B5FFE">
            <w:pPr>
              <w:jc w:val="center"/>
              <w:rPr>
                <w:rFonts w:cstheme="minorHAnsi"/>
                <w:sz w:val="20"/>
              </w:rPr>
            </w:pPr>
            <w:r w:rsidRPr="00135988">
              <w:rPr>
                <w:rFonts w:cstheme="minorHAnsi"/>
                <w:sz w:val="20"/>
              </w:rPr>
              <w:t>•</w:t>
            </w:r>
          </w:p>
        </w:tc>
        <w:tc>
          <w:tcPr>
            <w:tcW w:w="2135" w:type="dxa"/>
            <w:vAlign w:val="center"/>
          </w:tcPr>
          <w:p w:rsidR="00BA151D" w:rsidRPr="00B936D3" w:rsidRDefault="00BA151D" w:rsidP="007B5FFE">
            <w:pPr>
              <w:jc w:val="center"/>
              <w:rPr>
                <w:rFonts w:cstheme="minorHAnsi"/>
                <w:sz w:val="20"/>
              </w:rPr>
            </w:pPr>
            <w:r>
              <w:rPr>
                <w:rFonts w:cstheme="minorHAnsi"/>
                <w:sz w:val="20"/>
              </w:rPr>
              <w:t>Self-respondent</w:t>
            </w:r>
          </w:p>
        </w:tc>
        <w:tc>
          <w:tcPr>
            <w:tcW w:w="2183" w:type="dxa"/>
            <w:vAlign w:val="center"/>
          </w:tcPr>
          <w:p w:rsidR="00BA151D" w:rsidRPr="00B936D3" w:rsidRDefault="00BA151D" w:rsidP="007B5FFE">
            <w:pPr>
              <w:rPr>
                <w:rFonts w:cstheme="minorHAnsi"/>
                <w:sz w:val="20"/>
              </w:rPr>
            </w:pPr>
            <w:proofErr w:type="spellStart"/>
            <w:r>
              <w:rPr>
                <w:rFonts w:cstheme="minorHAnsi"/>
                <w:sz w:val="20"/>
              </w:rPr>
              <w:t>Radloff</w:t>
            </w:r>
            <w:proofErr w:type="spellEnd"/>
            <w:r>
              <w:rPr>
                <w:rFonts w:cstheme="minorHAnsi"/>
                <w:sz w:val="20"/>
              </w:rPr>
              <w:t xml:space="preserve">, LS. A Self-Report Depression Scale for Research in the General Population. Applied Psychological Measurement, 1(3), 385-401. </w:t>
            </w:r>
          </w:p>
        </w:tc>
      </w:tr>
      <w:tr w:rsidR="00BA151D" w:rsidRPr="00135988" w:rsidTr="006D084A">
        <w:trPr>
          <w:trHeight w:val="48"/>
        </w:trPr>
        <w:tc>
          <w:tcPr>
            <w:tcW w:w="2692" w:type="dxa"/>
            <w:vAlign w:val="center"/>
          </w:tcPr>
          <w:p w:rsidR="00BA151D" w:rsidRPr="00135988" w:rsidRDefault="00BA151D" w:rsidP="007B5FFE">
            <w:pPr>
              <w:rPr>
                <w:sz w:val="20"/>
              </w:rPr>
            </w:pPr>
            <w:r w:rsidRPr="00135988">
              <w:rPr>
                <w:sz w:val="20"/>
              </w:rPr>
              <w:t xml:space="preserve">Stress Jackson Heart Study </w:t>
            </w:r>
          </w:p>
        </w:tc>
        <w:tc>
          <w:tcPr>
            <w:tcW w:w="947" w:type="dxa"/>
            <w:vAlign w:val="center"/>
          </w:tcPr>
          <w:p w:rsidR="00BA151D" w:rsidRPr="00135988" w:rsidRDefault="00BA151D" w:rsidP="007B5FFE">
            <w:pPr>
              <w:jc w:val="center"/>
              <w:rPr>
                <w:rFonts w:cstheme="minorHAnsi"/>
                <w:sz w:val="20"/>
              </w:rPr>
            </w:pPr>
          </w:p>
        </w:tc>
        <w:tc>
          <w:tcPr>
            <w:tcW w:w="948" w:type="dxa"/>
            <w:vAlign w:val="center"/>
          </w:tcPr>
          <w:p w:rsidR="00BA151D" w:rsidRPr="00135988" w:rsidRDefault="00BA151D" w:rsidP="007B5FFE">
            <w:pPr>
              <w:jc w:val="center"/>
              <w:rPr>
                <w:sz w:val="20"/>
              </w:rPr>
            </w:pPr>
            <w:r w:rsidRPr="00135988">
              <w:rPr>
                <w:rFonts w:cstheme="minorHAnsi"/>
                <w:sz w:val="20"/>
              </w:rPr>
              <w:t>•</w:t>
            </w:r>
          </w:p>
        </w:tc>
        <w:tc>
          <w:tcPr>
            <w:tcW w:w="947" w:type="dxa"/>
            <w:vAlign w:val="center"/>
          </w:tcPr>
          <w:p w:rsidR="00BA151D" w:rsidRPr="00B936D3" w:rsidRDefault="00BA151D" w:rsidP="007B5FFE">
            <w:pPr>
              <w:jc w:val="center"/>
              <w:rPr>
                <w:rFonts w:cstheme="minorHAnsi"/>
                <w:sz w:val="20"/>
              </w:rPr>
            </w:pPr>
          </w:p>
        </w:tc>
        <w:tc>
          <w:tcPr>
            <w:tcW w:w="948" w:type="dxa"/>
            <w:vAlign w:val="center"/>
          </w:tcPr>
          <w:p w:rsidR="00BA151D" w:rsidRPr="00B936D3" w:rsidRDefault="00BA151D" w:rsidP="007B5FFE">
            <w:pPr>
              <w:jc w:val="center"/>
              <w:rPr>
                <w:rFonts w:cstheme="minorHAnsi"/>
                <w:b/>
                <w:sz w:val="20"/>
              </w:rPr>
            </w:pPr>
            <w:r w:rsidRPr="00B936D3">
              <w:rPr>
                <w:rFonts w:cstheme="minorHAnsi"/>
                <w:sz w:val="20"/>
              </w:rPr>
              <w:t>•</w:t>
            </w:r>
          </w:p>
        </w:tc>
        <w:tc>
          <w:tcPr>
            <w:tcW w:w="2135" w:type="dxa"/>
            <w:vAlign w:val="center"/>
          </w:tcPr>
          <w:p w:rsidR="00BA151D" w:rsidRPr="00B936D3" w:rsidRDefault="00BA151D" w:rsidP="007B5FFE">
            <w:pPr>
              <w:jc w:val="center"/>
              <w:rPr>
                <w:rFonts w:cstheme="minorHAnsi"/>
                <w:sz w:val="20"/>
              </w:rPr>
            </w:pPr>
            <w:r w:rsidRPr="00B936D3">
              <w:rPr>
                <w:rFonts w:cstheme="minorHAnsi"/>
                <w:sz w:val="20"/>
              </w:rPr>
              <w:t>Self-respondent</w:t>
            </w:r>
          </w:p>
        </w:tc>
        <w:tc>
          <w:tcPr>
            <w:tcW w:w="2183" w:type="dxa"/>
            <w:vAlign w:val="center"/>
          </w:tcPr>
          <w:p w:rsidR="00BA151D" w:rsidRPr="00B936D3" w:rsidRDefault="00BA151D" w:rsidP="007B5FFE">
            <w:pPr>
              <w:rPr>
                <w:rFonts w:cstheme="minorHAnsi"/>
                <w:sz w:val="20"/>
              </w:rPr>
            </w:pPr>
            <w:r w:rsidRPr="00B936D3">
              <w:rPr>
                <w:rFonts w:cstheme="minorHAnsi"/>
                <w:sz w:val="20"/>
              </w:rPr>
              <w:t>Jackson Heart Study; instrument available on NHLB (National Heart Lung and Blood Institute:  http://www.nhlbi.nih.go</w:t>
            </w:r>
            <w:r w:rsidRPr="00B936D3">
              <w:rPr>
                <w:rFonts w:cstheme="minorHAnsi"/>
                <w:sz w:val="20"/>
              </w:rPr>
              <w:lastRenderedPageBreak/>
              <w:t>v/resources/obesity/pop-studies/jhs.htm http://jhs.jsums.edu/jhsinfo/Portals/0/pdf/form1/Home%20Induction_Exam%201.pdf</w:t>
            </w:r>
          </w:p>
        </w:tc>
      </w:tr>
      <w:tr w:rsidR="00BA151D" w:rsidRPr="00135988" w:rsidTr="006D084A">
        <w:trPr>
          <w:trHeight w:val="48"/>
        </w:trPr>
        <w:tc>
          <w:tcPr>
            <w:tcW w:w="2692" w:type="dxa"/>
            <w:vAlign w:val="center"/>
          </w:tcPr>
          <w:p w:rsidR="00BA151D" w:rsidRPr="00135988" w:rsidRDefault="00BA151D" w:rsidP="007B5FFE">
            <w:pPr>
              <w:rPr>
                <w:sz w:val="20"/>
              </w:rPr>
            </w:pPr>
            <w:r w:rsidRPr="00135988">
              <w:rPr>
                <w:sz w:val="20"/>
              </w:rPr>
              <w:lastRenderedPageBreak/>
              <w:t>The Lesbian Internalized Homophobia Scale</w:t>
            </w:r>
          </w:p>
        </w:tc>
        <w:tc>
          <w:tcPr>
            <w:tcW w:w="947" w:type="dxa"/>
            <w:vAlign w:val="center"/>
          </w:tcPr>
          <w:p w:rsidR="00BA151D" w:rsidRPr="00135988" w:rsidRDefault="00BA151D" w:rsidP="007B5FFE">
            <w:pPr>
              <w:jc w:val="center"/>
              <w:rPr>
                <w:rFonts w:cstheme="minorHAnsi"/>
                <w:sz w:val="20"/>
              </w:rPr>
            </w:pPr>
          </w:p>
        </w:tc>
        <w:tc>
          <w:tcPr>
            <w:tcW w:w="948" w:type="dxa"/>
            <w:vAlign w:val="center"/>
          </w:tcPr>
          <w:p w:rsidR="00BA151D" w:rsidRPr="00135988" w:rsidRDefault="00BA151D" w:rsidP="007B5FFE">
            <w:pPr>
              <w:jc w:val="center"/>
              <w:rPr>
                <w:rFonts w:cstheme="minorHAnsi"/>
                <w:sz w:val="20"/>
              </w:rPr>
            </w:pPr>
            <w:r w:rsidRPr="00135988">
              <w:rPr>
                <w:rFonts w:cstheme="minorHAnsi"/>
                <w:sz w:val="20"/>
              </w:rPr>
              <w:t>•</w:t>
            </w:r>
          </w:p>
        </w:tc>
        <w:tc>
          <w:tcPr>
            <w:tcW w:w="947" w:type="dxa"/>
            <w:vAlign w:val="center"/>
          </w:tcPr>
          <w:p w:rsidR="00BA151D" w:rsidRPr="00B936D3" w:rsidRDefault="00BA151D" w:rsidP="007B5FFE">
            <w:pPr>
              <w:jc w:val="center"/>
              <w:rPr>
                <w:rFonts w:cstheme="minorHAnsi"/>
                <w:sz w:val="20"/>
              </w:rPr>
            </w:pPr>
          </w:p>
        </w:tc>
        <w:tc>
          <w:tcPr>
            <w:tcW w:w="948" w:type="dxa"/>
            <w:vAlign w:val="center"/>
          </w:tcPr>
          <w:p w:rsidR="00BA151D" w:rsidRPr="00B936D3" w:rsidRDefault="00BA151D" w:rsidP="007B5FFE">
            <w:pPr>
              <w:jc w:val="center"/>
              <w:rPr>
                <w:rFonts w:cstheme="minorHAnsi"/>
                <w:sz w:val="20"/>
              </w:rPr>
            </w:pPr>
          </w:p>
        </w:tc>
        <w:tc>
          <w:tcPr>
            <w:tcW w:w="2135" w:type="dxa"/>
            <w:vAlign w:val="center"/>
          </w:tcPr>
          <w:p w:rsidR="00BA151D" w:rsidRPr="00B936D3" w:rsidRDefault="00BA151D" w:rsidP="007B5FFE">
            <w:pPr>
              <w:jc w:val="center"/>
              <w:rPr>
                <w:rFonts w:cstheme="minorHAnsi"/>
                <w:sz w:val="20"/>
              </w:rPr>
            </w:pPr>
            <w:r w:rsidRPr="00B936D3">
              <w:rPr>
                <w:rFonts w:cstheme="minorHAnsi"/>
                <w:sz w:val="20"/>
              </w:rPr>
              <w:t>Self-respondent</w:t>
            </w:r>
          </w:p>
        </w:tc>
        <w:tc>
          <w:tcPr>
            <w:tcW w:w="2183" w:type="dxa"/>
            <w:vAlign w:val="center"/>
          </w:tcPr>
          <w:p w:rsidR="00BA151D" w:rsidRPr="00B936D3" w:rsidRDefault="00DD3271" w:rsidP="007B5FFE">
            <w:pPr>
              <w:rPr>
                <w:rFonts w:cstheme="minorHAnsi"/>
                <w:sz w:val="20"/>
              </w:rPr>
            </w:pPr>
            <w:hyperlink r:id="rId7" w:tooltip="Journal of homosexuality." w:history="1">
              <w:r w:rsidR="00BA151D" w:rsidRPr="00B936D3">
                <w:rPr>
                  <w:rFonts w:cstheme="minorHAnsi"/>
                  <w:sz w:val="20"/>
                </w:rPr>
                <w:t xml:space="preserve">J </w:t>
              </w:r>
              <w:proofErr w:type="spellStart"/>
              <w:r w:rsidR="00BA151D" w:rsidRPr="00B936D3">
                <w:rPr>
                  <w:rFonts w:cstheme="minorHAnsi"/>
                  <w:sz w:val="20"/>
                </w:rPr>
                <w:t>Homosex</w:t>
              </w:r>
              <w:proofErr w:type="spellEnd"/>
              <w:r w:rsidR="00BA151D" w:rsidRPr="00B936D3">
                <w:rPr>
                  <w:rFonts w:cstheme="minorHAnsi"/>
                  <w:sz w:val="20"/>
                </w:rPr>
                <w:t>.</w:t>
              </w:r>
            </w:hyperlink>
            <w:r w:rsidR="00BA151D" w:rsidRPr="00B936D3">
              <w:rPr>
                <w:rFonts w:cstheme="minorHAnsi"/>
                <w:sz w:val="20"/>
              </w:rPr>
              <w:t xml:space="preserve"> 2001</w:t>
            </w:r>
            <w:proofErr w:type="gramStart"/>
            <w:r w:rsidR="00BA151D" w:rsidRPr="00B936D3">
              <w:rPr>
                <w:rFonts w:cstheme="minorHAnsi"/>
                <w:sz w:val="20"/>
              </w:rPr>
              <w:t>;41</w:t>
            </w:r>
            <w:proofErr w:type="gramEnd"/>
            <w:r w:rsidR="00BA151D" w:rsidRPr="00B936D3">
              <w:rPr>
                <w:rFonts w:cstheme="minorHAnsi"/>
                <w:sz w:val="20"/>
              </w:rPr>
              <w:t xml:space="preserve">(2):37-52.  </w:t>
            </w:r>
            <w:r w:rsidR="00BA151D" w:rsidRPr="00B936D3">
              <w:rPr>
                <w:rFonts w:cstheme="minorHAnsi"/>
                <w:bCs/>
                <w:kern w:val="36"/>
                <w:sz w:val="20"/>
              </w:rPr>
              <w:t xml:space="preserve">The Lesbian Internalized Homophobia Scale: a rational/theoretical approach.  </w:t>
            </w:r>
            <w:hyperlink r:id="rId8" w:history="1">
              <w:r w:rsidR="00BA151D" w:rsidRPr="00B936D3">
                <w:rPr>
                  <w:rFonts w:cstheme="minorHAnsi"/>
                  <w:sz w:val="20"/>
                </w:rPr>
                <w:t>Szymanski DM</w:t>
              </w:r>
            </w:hyperlink>
            <w:r w:rsidR="00BA151D" w:rsidRPr="00B936D3">
              <w:rPr>
                <w:rFonts w:cstheme="minorHAnsi"/>
                <w:sz w:val="20"/>
              </w:rPr>
              <w:t xml:space="preserve">, </w:t>
            </w:r>
            <w:hyperlink r:id="rId9" w:history="1">
              <w:r w:rsidR="00BA151D" w:rsidRPr="00B936D3">
                <w:rPr>
                  <w:rFonts w:cstheme="minorHAnsi"/>
                  <w:sz w:val="20"/>
                </w:rPr>
                <w:t>Chung YB</w:t>
              </w:r>
            </w:hyperlink>
            <w:r w:rsidR="00BA151D" w:rsidRPr="00B936D3">
              <w:rPr>
                <w:rFonts w:cstheme="minorHAnsi"/>
                <w:sz w:val="20"/>
              </w:rPr>
              <w:t>.</w:t>
            </w:r>
          </w:p>
        </w:tc>
      </w:tr>
      <w:tr w:rsidR="00BA151D" w:rsidRPr="00135988" w:rsidTr="006D084A">
        <w:trPr>
          <w:trHeight w:val="48"/>
        </w:trPr>
        <w:tc>
          <w:tcPr>
            <w:tcW w:w="2692" w:type="dxa"/>
            <w:vAlign w:val="center"/>
          </w:tcPr>
          <w:p w:rsidR="00BA151D" w:rsidRPr="00135988" w:rsidRDefault="00BA151D" w:rsidP="007B5FFE">
            <w:pPr>
              <w:rPr>
                <w:sz w:val="20"/>
              </w:rPr>
            </w:pPr>
            <w:r>
              <w:rPr>
                <w:sz w:val="20"/>
              </w:rPr>
              <w:t>Perceived Stress Scale</w:t>
            </w:r>
          </w:p>
        </w:tc>
        <w:tc>
          <w:tcPr>
            <w:tcW w:w="947" w:type="dxa"/>
            <w:vAlign w:val="center"/>
          </w:tcPr>
          <w:p w:rsidR="00BA151D" w:rsidRPr="00135988" w:rsidRDefault="00BA151D" w:rsidP="007B5FFE">
            <w:pPr>
              <w:jc w:val="center"/>
              <w:rPr>
                <w:rFonts w:cstheme="minorHAnsi"/>
                <w:sz w:val="20"/>
              </w:rPr>
            </w:pPr>
          </w:p>
        </w:tc>
        <w:tc>
          <w:tcPr>
            <w:tcW w:w="948" w:type="dxa"/>
            <w:vAlign w:val="center"/>
          </w:tcPr>
          <w:p w:rsidR="00BA151D" w:rsidRPr="00135988" w:rsidRDefault="00BA151D" w:rsidP="007B5FFE">
            <w:pPr>
              <w:jc w:val="center"/>
              <w:rPr>
                <w:sz w:val="20"/>
              </w:rPr>
            </w:pPr>
            <w:r w:rsidRPr="00135988">
              <w:rPr>
                <w:rFonts w:cstheme="minorHAnsi"/>
                <w:sz w:val="20"/>
              </w:rPr>
              <w:t>•</w:t>
            </w:r>
          </w:p>
        </w:tc>
        <w:tc>
          <w:tcPr>
            <w:tcW w:w="947" w:type="dxa"/>
            <w:vAlign w:val="center"/>
          </w:tcPr>
          <w:p w:rsidR="00BA151D" w:rsidRPr="00B936D3" w:rsidRDefault="00BA151D" w:rsidP="007B5FFE">
            <w:pPr>
              <w:jc w:val="center"/>
              <w:rPr>
                <w:rFonts w:cstheme="minorHAnsi"/>
                <w:sz w:val="20"/>
              </w:rPr>
            </w:pPr>
            <w:r w:rsidRPr="00B936D3">
              <w:rPr>
                <w:rFonts w:cstheme="minorHAnsi"/>
                <w:sz w:val="20"/>
              </w:rPr>
              <w:t>•</w:t>
            </w:r>
          </w:p>
        </w:tc>
        <w:tc>
          <w:tcPr>
            <w:tcW w:w="948" w:type="dxa"/>
            <w:vAlign w:val="center"/>
          </w:tcPr>
          <w:p w:rsidR="00BA151D" w:rsidRPr="00B936D3" w:rsidRDefault="00BA151D" w:rsidP="007B5FFE">
            <w:pPr>
              <w:jc w:val="center"/>
              <w:rPr>
                <w:rFonts w:cstheme="minorHAnsi"/>
                <w:sz w:val="20"/>
              </w:rPr>
            </w:pPr>
            <w:r w:rsidRPr="00B936D3">
              <w:rPr>
                <w:rFonts w:cstheme="minorHAnsi"/>
                <w:sz w:val="20"/>
              </w:rPr>
              <w:t>•</w:t>
            </w:r>
          </w:p>
        </w:tc>
        <w:tc>
          <w:tcPr>
            <w:tcW w:w="2135" w:type="dxa"/>
            <w:vAlign w:val="center"/>
          </w:tcPr>
          <w:p w:rsidR="00BA151D" w:rsidRPr="00B936D3" w:rsidRDefault="00BA151D" w:rsidP="007B5FFE">
            <w:pPr>
              <w:jc w:val="center"/>
              <w:rPr>
                <w:rFonts w:cstheme="minorHAnsi"/>
                <w:sz w:val="20"/>
              </w:rPr>
            </w:pPr>
            <w:r w:rsidRPr="00B936D3">
              <w:rPr>
                <w:rFonts w:cstheme="minorHAnsi"/>
                <w:sz w:val="20"/>
              </w:rPr>
              <w:t>Self-respondent</w:t>
            </w:r>
          </w:p>
        </w:tc>
        <w:tc>
          <w:tcPr>
            <w:tcW w:w="2183" w:type="dxa"/>
            <w:vAlign w:val="center"/>
          </w:tcPr>
          <w:p w:rsidR="00BA151D" w:rsidRPr="00B936D3" w:rsidRDefault="00BA151D" w:rsidP="007B5FFE">
            <w:pPr>
              <w:pStyle w:val="NormalWeb"/>
              <w:rPr>
                <w:rFonts w:asciiTheme="minorHAnsi" w:hAnsiTheme="minorHAnsi" w:cstheme="minorHAnsi"/>
                <w:sz w:val="20"/>
                <w:szCs w:val="20"/>
              </w:rPr>
            </w:pPr>
            <w:r w:rsidRPr="00B936D3">
              <w:rPr>
                <w:rFonts w:asciiTheme="minorHAnsi" w:hAnsiTheme="minorHAnsi" w:cstheme="minorHAnsi"/>
                <w:sz w:val="20"/>
                <w:szCs w:val="20"/>
              </w:rPr>
              <w:t xml:space="preserve">Cohen, S., &amp; </w:t>
            </w:r>
            <w:proofErr w:type="spellStart"/>
            <w:r w:rsidRPr="00B936D3">
              <w:rPr>
                <w:rFonts w:asciiTheme="minorHAnsi" w:hAnsiTheme="minorHAnsi" w:cstheme="minorHAnsi"/>
                <w:sz w:val="20"/>
                <w:szCs w:val="20"/>
              </w:rPr>
              <w:t>Janicki-Deverts</w:t>
            </w:r>
            <w:proofErr w:type="spellEnd"/>
            <w:r w:rsidRPr="00B936D3">
              <w:rPr>
                <w:rFonts w:asciiTheme="minorHAnsi" w:hAnsiTheme="minorHAnsi" w:cstheme="minorHAnsi"/>
                <w:sz w:val="20"/>
                <w:szCs w:val="20"/>
              </w:rPr>
              <w:t xml:space="preserve">, D. (2012). </w:t>
            </w:r>
            <w:r w:rsidRPr="00D304C7">
              <w:rPr>
                <w:rFonts w:asciiTheme="minorHAnsi" w:hAnsiTheme="minorHAnsi" w:cstheme="minorHAnsi"/>
                <w:sz w:val="20"/>
                <w:szCs w:val="20"/>
              </w:rPr>
              <w:t>Who's stressed? Distributions of psychological stress in the United States in probability samples from 1983, 2006 and 2009</w:t>
            </w:r>
            <w:r w:rsidRPr="00B936D3">
              <w:rPr>
                <w:rFonts w:asciiTheme="minorHAnsi" w:hAnsiTheme="minorHAnsi" w:cstheme="minorHAnsi"/>
                <w:sz w:val="20"/>
                <w:szCs w:val="20"/>
              </w:rPr>
              <w:t xml:space="preserve">.  Journal of Applied Social Psychology.   This article provides </w:t>
            </w:r>
            <w:r w:rsidRPr="00B936D3">
              <w:rPr>
                <w:rFonts w:asciiTheme="minorHAnsi" w:hAnsiTheme="minorHAnsi" w:cstheme="minorHAnsi"/>
                <w:b/>
                <w:bCs/>
                <w:sz w:val="20"/>
                <w:szCs w:val="20"/>
              </w:rPr>
              <w:t>NORMATIVE DATA</w:t>
            </w:r>
            <w:r w:rsidRPr="00B936D3">
              <w:rPr>
                <w:rFonts w:asciiTheme="minorHAnsi" w:hAnsiTheme="minorHAnsi" w:cstheme="minorHAnsi"/>
                <w:sz w:val="20"/>
                <w:szCs w:val="20"/>
              </w:rPr>
              <w:t xml:space="preserve"> for the PSS-10 from large 2006 and 2009 probability samples of the U.S.</w:t>
            </w:r>
            <w:r w:rsidRPr="00B936D3">
              <w:rPr>
                <w:rFonts w:asciiTheme="minorHAnsi" w:hAnsiTheme="minorHAnsi" w:cstheme="minorHAnsi"/>
                <w:i/>
                <w:iCs/>
                <w:sz w:val="20"/>
                <w:szCs w:val="20"/>
              </w:rPr>
              <w:t xml:space="preserve">   </w:t>
            </w:r>
            <w:r w:rsidRPr="00B936D3">
              <w:rPr>
                <w:rFonts w:asciiTheme="minorHAnsi" w:hAnsiTheme="minorHAnsi" w:cstheme="minorHAnsi"/>
                <w:sz w:val="20"/>
                <w:szCs w:val="20"/>
              </w:rPr>
              <w:br/>
              <w:t xml:space="preserve">(2.) Cohen, S., </w:t>
            </w:r>
            <w:proofErr w:type="spellStart"/>
            <w:r w:rsidRPr="00B936D3">
              <w:rPr>
                <w:rFonts w:asciiTheme="minorHAnsi" w:hAnsiTheme="minorHAnsi" w:cstheme="minorHAnsi"/>
                <w:sz w:val="20"/>
                <w:szCs w:val="20"/>
              </w:rPr>
              <w:t>Kamarck</w:t>
            </w:r>
            <w:proofErr w:type="spellEnd"/>
            <w:r w:rsidRPr="00B936D3">
              <w:rPr>
                <w:rFonts w:asciiTheme="minorHAnsi" w:hAnsiTheme="minorHAnsi" w:cstheme="minorHAnsi"/>
                <w:sz w:val="20"/>
                <w:szCs w:val="20"/>
              </w:rPr>
              <w:t xml:space="preserve">, T., &amp; </w:t>
            </w:r>
            <w:proofErr w:type="spellStart"/>
            <w:r w:rsidRPr="00B936D3">
              <w:rPr>
                <w:rFonts w:asciiTheme="minorHAnsi" w:hAnsiTheme="minorHAnsi" w:cstheme="minorHAnsi"/>
                <w:sz w:val="20"/>
                <w:szCs w:val="20"/>
              </w:rPr>
              <w:t>Mermelstein</w:t>
            </w:r>
            <w:proofErr w:type="spellEnd"/>
            <w:r w:rsidRPr="00B936D3">
              <w:rPr>
                <w:rFonts w:asciiTheme="minorHAnsi" w:hAnsiTheme="minorHAnsi" w:cstheme="minorHAnsi"/>
                <w:sz w:val="20"/>
                <w:szCs w:val="20"/>
              </w:rPr>
              <w:t xml:space="preserve">, R. (1983). </w:t>
            </w:r>
            <w:r w:rsidRPr="00D304C7">
              <w:rPr>
                <w:rFonts w:asciiTheme="minorHAnsi" w:hAnsiTheme="minorHAnsi" w:cstheme="minorHAnsi"/>
                <w:sz w:val="20"/>
                <w:szCs w:val="20"/>
              </w:rPr>
              <w:t>A global measure of perceived stress</w:t>
            </w:r>
            <w:r w:rsidRPr="00B936D3">
              <w:rPr>
                <w:rFonts w:asciiTheme="minorHAnsi" w:hAnsiTheme="minorHAnsi" w:cstheme="minorHAnsi"/>
                <w:sz w:val="20"/>
                <w:szCs w:val="20"/>
              </w:rPr>
              <w:t xml:space="preserve">. Journal of Health and Social Behavior, 24, 385-396. </w:t>
            </w:r>
            <w:r w:rsidRPr="00B936D3">
              <w:rPr>
                <w:rFonts w:asciiTheme="minorHAnsi" w:hAnsiTheme="minorHAnsi" w:cstheme="minorHAnsi"/>
                <w:sz w:val="20"/>
                <w:szCs w:val="20"/>
              </w:rPr>
              <w:br/>
              <w:t>(</w:t>
            </w:r>
            <w:proofErr w:type="gramStart"/>
            <w:r w:rsidRPr="00B936D3">
              <w:rPr>
                <w:rFonts w:asciiTheme="minorHAnsi" w:hAnsiTheme="minorHAnsi" w:cstheme="minorHAnsi"/>
                <w:sz w:val="20"/>
                <w:szCs w:val="20"/>
              </w:rPr>
              <w:t>provides</w:t>
            </w:r>
            <w:proofErr w:type="gramEnd"/>
            <w:r w:rsidRPr="00B936D3">
              <w:rPr>
                <w:rFonts w:asciiTheme="minorHAnsi" w:hAnsiTheme="minorHAnsi" w:cstheme="minorHAnsi"/>
                <w:sz w:val="20"/>
                <w:szCs w:val="20"/>
              </w:rPr>
              <w:t xml:space="preserve"> </w:t>
            </w:r>
            <w:r w:rsidRPr="00B936D3">
              <w:rPr>
                <w:rFonts w:asciiTheme="minorHAnsi" w:hAnsiTheme="minorHAnsi" w:cstheme="minorHAnsi"/>
                <w:b/>
                <w:bCs/>
                <w:sz w:val="20"/>
                <w:szCs w:val="20"/>
              </w:rPr>
              <w:t xml:space="preserve">RELIABILITY and VALIDITY </w:t>
            </w:r>
            <w:r w:rsidRPr="00B936D3">
              <w:rPr>
                <w:rFonts w:asciiTheme="minorHAnsi" w:hAnsiTheme="minorHAnsi" w:cstheme="minorHAnsi"/>
                <w:sz w:val="20"/>
                <w:szCs w:val="20"/>
              </w:rPr>
              <w:t xml:space="preserve">(3.) Cohen, S., &amp; Williamson, G. (1988). </w:t>
            </w:r>
            <w:r w:rsidRPr="00D304C7">
              <w:rPr>
                <w:rFonts w:asciiTheme="minorHAnsi" w:hAnsiTheme="minorHAnsi" w:cstheme="minorHAnsi"/>
                <w:sz w:val="20"/>
                <w:szCs w:val="20"/>
              </w:rPr>
              <w:t>Perceived stress in a probability sample of the U.S.</w:t>
            </w:r>
            <w:r w:rsidRPr="00B936D3">
              <w:rPr>
                <w:rFonts w:asciiTheme="minorHAnsi" w:hAnsiTheme="minorHAnsi" w:cstheme="minorHAnsi"/>
                <w:sz w:val="20"/>
                <w:szCs w:val="20"/>
              </w:rPr>
              <w:t xml:space="preserve"> In S. </w:t>
            </w:r>
            <w:proofErr w:type="spellStart"/>
            <w:r w:rsidRPr="00B936D3">
              <w:rPr>
                <w:rFonts w:asciiTheme="minorHAnsi" w:hAnsiTheme="minorHAnsi" w:cstheme="minorHAnsi"/>
                <w:sz w:val="20"/>
                <w:szCs w:val="20"/>
              </w:rPr>
              <w:t>Spacapam</w:t>
            </w:r>
            <w:proofErr w:type="spellEnd"/>
            <w:r w:rsidRPr="00B936D3">
              <w:rPr>
                <w:rFonts w:asciiTheme="minorHAnsi" w:hAnsiTheme="minorHAnsi" w:cstheme="minorHAnsi"/>
                <w:sz w:val="20"/>
                <w:szCs w:val="20"/>
              </w:rPr>
              <w:t xml:space="preserve"> &amp; S. </w:t>
            </w:r>
            <w:proofErr w:type="spellStart"/>
            <w:r w:rsidRPr="00B936D3">
              <w:rPr>
                <w:rFonts w:asciiTheme="minorHAnsi" w:hAnsiTheme="minorHAnsi" w:cstheme="minorHAnsi"/>
                <w:sz w:val="20"/>
                <w:szCs w:val="20"/>
              </w:rPr>
              <w:t>Oskamp</w:t>
            </w:r>
            <w:proofErr w:type="spellEnd"/>
            <w:r w:rsidRPr="00B936D3">
              <w:rPr>
                <w:rFonts w:asciiTheme="minorHAnsi" w:hAnsiTheme="minorHAnsi" w:cstheme="minorHAnsi"/>
                <w:sz w:val="20"/>
                <w:szCs w:val="20"/>
              </w:rPr>
              <w:t xml:space="preserve"> (Eds.), The social psychology of health: Claremont Symposium on Applied Social Psychology. Newbury Park, CA: Sage. </w:t>
            </w:r>
            <w:r w:rsidRPr="00B936D3">
              <w:rPr>
                <w:rFonts w:asciiTheme="minorHAnsi" w:hAnsiTheme="minorHAnsi" w:cstheme="minorHAnsi"/>
                <w:sz w:val="20"/>
                <w:szCs w:val="20"/>
              </w:rPr>
              <w:br/>
              <w:t xml:space="preserve">(provides </w:t>
            </w:r>
            <w:r w:rsidRPr="00B936D3">
              <w:rPr>
                <w:rFonts w:asciiTheme="minorHAnsi" w:hAnsiTheme="minorHAnsi" w:cstheme="minorHAnsi"/>
                <w:b/>
                <w:bCs/>
                <w:sz w:val="20"/>
                <w:szCs w:val="20"/>
              </w:rPr>
              <w:t xml:space="preserve">NORMATIVE </w:t>
            </w:r>
            <w:r w:rsidRPr="00B936D3">
              <w:rPr>
                <w:rFonts w:asciiTheme="minorHAnsi" w:hAnsiTheme="minorHAnsi" w:cstheme="minorHAnsi"/>
                <w:b/>
                <w:bCs/>
                <w:sz w:val="20"/>
                <w:szCs w:val="20"/>
              </w:rPr>
              <w:lastRenderedPageBreak/>
              <w:t>DATA</w:t>
            </w:r>
            <w:r w:rsidRPr="00B936D3">
              <w:rPr>
                <w:rFonts w:asciiTheme="minorHAnsi" w:hAnsiTheme="minorHAnsi" w:cstheme="minorHAnsi"/>
                <w:sz w:val="20"/>
                <w:szCs w:val="20"/>
              </w:rPr>
              <w:t xml:space="preserve"> from a large U.S. sample) </w:t>
            </w:r>
          </w:p>
        </w:tc>
      </w:tr>
      <w:tr w:rsidR="00BA151D" w:rsidRPr="00135988" w:rsidTr="006D084A">
        <w:trPr>
          <w:trHeight w:val="48"/>
        </w:trPr>
        <w:tc>
          <w:tcPr>
            <w:tcW w:w="2692" w:type="dxa"/>
            <w:vAlign w:val="center"/>
          </w:tcPr>
          <w:p w:rsidR="00BA151D" w:rsidRDefault="00BA151D" w:rsidP="007B5FFE">
            <w:pPr>
              <w:rPr>
                <w:sz w:val="20"/>
              </w:rPr>
            </w:pPr>
            <w:proofErr w:type="spellStart"/>
            <w:r>
              <w:rPr>
                <w:sz w:val="20"/>
              </w:rPr>
              <w:lastRenderedPageBreak/>
              <w:t>Lubben</w:t>
            </w:r>
            <w:proofErr w:type="spellEnd"/>
            <w:r>
              <w:rPr>
                <w:sz w:val="20"/>
              </w:rPr>
              <w:t xml:space="preserve"> Social Network Scale</w:t>
            </w:r>
          </w:p>
        </w:tc>
        <w:tc>
          <w:tcPr>
            <w:tcW w:w="947" w:type="dxa"/>
            <w:vAlign w:val="center"/>
          </w:tcPr>
          <w:p w:rsidR="00BA151D" w:rsidRPr="00135988" w:rsidRDefault="00BA151D" w:rsidP="007B5FFE">
            <w:pPr>
              <w:jc w:val="center"/>
              <w:rPr>
                <w:rFonts w:cstheme="minorHAnsi"/>
                <w:sz w:val="20"/>
              </w:rPr>
            </w:pPr>
          </w:p>
        </w:tc>
        <w:tc>
          <w:tcPr>
            <w:tcW w:w="948" w:type="dxa"/>
            <w:vAlign w:val="center"/>
          </w:tcPr>
          <w:p w:rsidR="00BA151D" w:rsidRPr="00135988" w:rsidRDefault="00BA151D" w:rsidP="007B5FFE">
            <w:pPr>
              <w:jc w:val="center"/>
              <w:rPr>
                <w:rFonts w:cstheme="minorHAnsi"/>
                <w:sz w:val="20"/>
              </w:rPr>
            </w:pPr>
            <w:r w:rsidRPr="00135988">
              <w:rPr>
                <w:rFonts w:cstheme="minorHAnsi"/>
                <w:sz w:val="20"/>
              </w:rPr>
              <w:t>•</w:t>
            </w:r>
          </w:p>
        </w:tc>
        <w:tc>
          <w:tcPr>
            <w:tcW w:w="947" w:type="dxa"/>
            <w:vAlign w:val="center"/>
          </w:tcPr>
          <w:p w:rsidR="00BA151D" w:rsidRPr="00B936D3" w:rsidRDefault="00BA151D" w:rsidP="007B5FFE">
            <w:pPr>
              <w:jc w:val="center"/>
              <w:rPr>
                <w:rFonts w:cstheme="minorHAnsi"/>
                <w:sz w:val="20"/>
              </w:rPr>
            </w:pPr>
          </w:p>
        </w:tc>
        <w:tc>
          <w:tcPr>
            <w:tcW w:w="948" w:type="dxa"/>
            <w:vAlign w:val="center"/>
          </w:tcPr>
          <w:p w:rsidR="00BA151D" w:rsidRPr="00B936D3" w:rsidRDefault="00BA151D" w:rsidP="007B5FFE">
            <w:pPr>
              <w:jc w:val="center"/>
              <w:rPr>
                <w:rFonts w:cstheme="minorHAnsi"/>
                <w:sz w:val="20"/>
              </w:rPr>
            </w:pPr>
          </w:p>
        </w:tc>
        <w:tc>
          <w:tcPr>
            <w:tcW w:w="2135" w:type="dxa"/>
            <w:vAlign w:val="center"/>
          </w:tcPr>
          <w:p w:rsidR="00BA151D" w:rsidRPr="00B936D3" w:rsidRDefault="00BA151D" w:rsidP="007B5FFE">
            <w:pPr>
              <w:jc w:val="center"/>
              <w:rPr>
                <w:rFonts w:cstheme="minorHAnsi"/>
                <w:sz w:val="20"/>
              </w:rPr>
            </w:pPr>
          </w:p>
        </w:tc>
        <w:tc>
          <w:tcPr>
            <w:tcW w:w="2183" w:type="dxa"/>
            <w:vAlign w:val="center"/>
          </w:tcPr>
          <w:p w:rsidR="00BA151D" w:rsidRPr="0045676E" w:rsidRDefault="00BA151D" w:rsidP="007B5FFE">
            <w:pPr>
              <w:rPr>
                <w:rFonts w:cstheme="minorHAnsi"/>
                <w:sz w:val="20"/>
              </w:rPr>
            </w:pPr>
            <w:r w:rsidRPr="0045676E">
              <w:rPr>
                <w:rFonts w:cstheme="minorHAnsi"/>
                <w:sz w:val="20"/>
              </w:rPr>
              <w:t xml:space="preserve">Assessing social networks among elderly populations. </w:t>
            </w:r>
          </w:p>
          <w:p w:rsidR="00BA151D" w:rsidRPr="0045676E" w:rsidRDefault="00BA151D" w:rsidP="007B5FFE">
            <w:pPr>
              <w:rPr>
                <w:rFonts w:cstheme="minorHAnsi"/>
                <w:sz w:val="20"/>
              </w:rPr>
            </w:pPr>
            <w:proofErr w:type="spellStart"/>
            <w:r w:rsidRPr="0045676E">
              <w:rPr>
                <w:rFonts w:cstheme="minorHAnsi"/>
                <w:sz w:val="20"/>
              </w:rPr>
              <w:t>Lubben</w:t>
            </w:r>
            <w:proofErr w:type="spellEnd"/>
            <w:r w:rsidRPr="0045676E">
              <w:rPr>
                <w:rFonts w:cstheme="minorHAnsi"/>
                <w:sz w:val="20"/>
              </w:rPr>
              <w:t xml:space="preserve">, James E. </w:t>
            </w:r>
          </w:p>
          <w:p w:rsidR="00BA151D" w:rsidRPr="00B936D3" w:rsidRDefault="00BA151D" w:rsidP="007B5FFE">
            <w:pPr>
              <w:rPr>
                <w:rFonts w:cstheme="minorHAnsi"/>
                <w:sz w:val="20"/>
              </w:rPr>
            </w:pPr>
            <w:r w:rsidRPr="0045676E">
              <w:rPr>
                <w:rFonts w:cstheme="minorHAnsi"/>
                <w:sz w:val="20"/>
              </w:rPr>
              <w:t xml:space="preserve">Family &amp; Community Health: The Journal of Health Promotion &amp; Maintenance, </w:t>
            </w:r>
            <w:proofErr w:type="spellStart"/>
            <w:r w:rsidRPr="0045676E">
              <w:rPr>
                <w:rFonts w:cstheme="minorHAnsi"/>
                <w:sz w:val="20"/>
              </w:rPr>
              <w:t>Vol</w:t>
            </w:r>
            <w:proofErr w:type="spellEnd"/>
            <w:r w:rsidRPr="0045676E">
              <w:rPr>
                <w:rFonts w:cstheme="minorHAnsi"/>
                <w:sz w:val="20"/>
              </w:rPr>
              <w:t xml:space="preserve"> 11(3), Nov 1988, 42-52. </w:t>
            </w:r>
          </w:p>
        </w:tc>
      </w:tr>
      <w:tr w:rsidR="00BA151D" w:rsidRPr="00135988" w:rsidTr="006D084A">
        <w:trPr>
          <w:trHeight w:val="48"/>
        </w:trPr>
        <w:tc>
          <w:tcPr>
            <w:tcW w:w="2692" w:type="dxa"/>
            <w:vAlign w:val="center"/>
          </w:tcPr>
          <w:p w:rsidR="00BA151D" w:rsidRPr="00135988" w:rsidRDefault="00BA151D" w:rsidP="007B5FFE">
            <w:pPr>
              <w:rPr>
                <w:sz w:val="20"/>
              </w:rPr>
            </w:pPr>
            <w:r>
              <w:rPr>
                <w:sz w:val="20"/>
              </w:rPr>
              <w:t>Connor-Davidson Resiliency Scale (CD-RISC)</w:t>
            </w:r>
          </w:p>
        </w:tc>
        <w:tc>
          <w:tcPr>
            <w:tcW w:w="947" w:type="dxa"/>
            <w:vAlign w:val="center"/>
          </w:tcPr>
          <w:p w:rsidR="00BA151D" w:rsidRPr="00135988" w:rsidRDefault="00BA151D" w:rsidP="007B5FFE">
            <w:pPr>
              <w:jc w:val="center"/>
              <w:rPr>
                <w:rFonts w:cstheme="minorHAnsi"/>
                <w:sz w:val="20"/>
              </w:rPr>
            </w:pPr>
          </w:p>
        </w:tc>
        <w:tc>
          <w:tcPr>
            <w:tcW w:w="948" w:type="dxa"/>
            <w:vAlign w:val="center"/>
          </w:tcPr>
          <w:p w:rsidR="00BA151D" w:rsidRPr="00135988" w:rsidRDefault="00BA151D" w:rsidP="007B5FFE">
            <w:pPr>
              <w:jc w:val="center"/>
              <w:rPr>
                <w:rFonts w:cstheme="minorHAnsi"/>
                <w:sz w:val="20"/>
              </w:rPr>
            </w:pPr>
            <w:r w:rsidRPr="00135988">
              <w:rPr>
                <w:rFonts w:cstheme="minorHAnsi"/>
                <w:sz w:val="20"/>
              </w:rPr>
              <w:t>•</w:t>
            </w:r>
          </w:p>
        </w:tc>
        <w:tc>
          <w:tcPr>
            <w:tcW w:w="947" w:type="dxa"/>
            <w:vAlign w:val="center"/>
          </w:tcPr>
          <w:p w:rsidR="00BA151D" w:rsidRPr="00B936D3" w:rsidRDefault="00BA151D" w:rsidP="007B5FFE">
            <w:pPr>
              <w:jc w:val="center"/>
              <w:rPr>
                <w:rFonts w:cstheme="minorHAnsi"/>
                <w:sz w:val="20"/>
              </w:rPr>
            </w:pPr>
            <w:r w:rsidRPr="00B936D3">
              <w:rPr>
                <w:rFonts w:cstheme="minorHAnsi"/>
                <w:sz w:val="20"/>
              </w:rPr>
              <w:t>•</w:t>
            </w:r>
          </w:p>
        </w:tc>
        <w:tc>
          <w:tcPr>
            <w:tcW w:w="948" w:type="dxa"/>
            <w:vAlign w:val="center"/>
          </w:tcPr>
          <w:p w:rsidR="00BA151D" w:rsidRPr="00B936D3" w:rsidRDefault="00BA151D" w:rsidP="007B5FFE">
            <w:pPr>
              <w:jc w:val="center"/>
              <w:rPr>
                <w:rFonts w:cstheme="minorHAnsi"/>
                <w:sz w:val="20"/>
              </w:rPr>
            </w:pPr>
            <w:r w:rsidRPr="00B936D3">
              <w:rPr>
                <w:rFonts w:cstheme="minorHAnsi"/>
                <w:sz w:val="20"/>
              </w:rPr>
              <w:t>•</w:t>
            </w:r>
          </w:p>
        </w:tc>
        <w:tc>
          <w:tcPr>
            <w:tcW w:w="2135" w:type="dxa"/>
            <w:vAlign w:val="center"/>
          </w:tcPr>
          <w:p w:rsidR="00BA151D" w:rsidRPr="00B936D3" w:rsidRDefault="00BA151D" w:rsidP="007B5FFE">
            <w:pPr>
              <w:jc w:val="center"/>
              <w:rPr>
                <w:rFonts w:cstheme="minorHAnsi"/>
                <w:sz w:val="20"/>
              </w:rPr>
            </w:pPr>
            <w:r w:rsidRPr="00B936D3">
              <w:rPr>
                <w:rFonts w:cstheme="minorHAnsi"/>
                <w:sz w:val="20"/>
              </w:rPr>
              <w:t>Self-respondent</w:t>
            </w:r>
          </w:p>
        </w:tc>
        <w:tc>
          <w:tcPr>
            <w:tcW w:w="2183" w:type="dxa"/>
            <w:vAlign w:val="center"/>
          </w:tcPr>
          <w:p w:rsidR="00BA151D" w:rsidRPr="00B936D3" w:rsidRDefault="00BA151D" w:rsidP="007B5FFE">
            <w:pPr>
              <w:rPr>
                <w:rFonts w:cstheme="minorHAnsi"/>
                <w:sz w:val="20"/>
              </w:rPr>
            </w:pPr>
            <w:r w:rsidRPr="00D304C7">
              <w:rPr>
                <w:rFonts w:eastAsiaTheme="majorEastAsia" w:cstheme="minorHAnsi"/>
                <w:sz w:val="20"/>
              </w:rPr>
              <w:t>Depress Anxiety.</w:t>
            </w:r>
            <w:r w:rsidRPr="00B936D3">
              <w:rPr>
                <w:rFonts w:cstheme="minorHAnsi"/>
                <w:sz w:val="20"/>
              </w:rPr>
              <w:t xml:space="preserve"> 2003</w:t>
            </w:r>
            <w:proofErr w:type="gramStart"/>
            <w:r w:rsidRPr="00B936D3">
              <w:rPr>
                <w:rFonts w:cstheme="minorHAnsi"/>
                <w:sz w:val="20"/>
              </w:rPr>
              <w:t>;18</w:t>
            </w:r>
            <w:proofErr w:type="gramEnd"/>
            <w:r w:rsidRPr="00B936D3">
              <w:rPr>
                <w:rFonts w:cstheme="minorHAnsi"/>
                <w:sz w:val="20"/>
              </w:rPr>
              <w:t>(2):76-82.</w:t>
            </w:r>
          </w:p>
          <w:p w:rsidR="00BA151D" w:rsidRPr="00B936D3" w:rsidRDefault="00BA151D" w:rsidP="007B5FFE">
            <w:pPr>
              <w:rPr>
                <w:rFonts w:cstheme="minorHAnsi"/>
                <w:sz w:val="20"/>
              </w:rPr>
            </w:pPr>
            <w:r w:rsidRPr="00B936D3">
              <w:rPr>
                <w:rFonts w:cstheme="minorHAnsi"/>
                <w:sz w:val="20"/>
              </w:rPr>
              <w:t xml:space="preserve">Development of a new resilience scale: the Connor-Davidson Resilience Scale (CD-RISC).  </w:t>
            </w:r>
            <w:r w:rsidRPr="00D304C7">
              <w:rPr>
                <w:rFonts w:eastAsiaTheme="majorEastAsia" w:cstheme="minorHAnsi"/>
                <w:sz w:val="20"/>
              </w:rPr>
              <w:t>Connor KM</w:t>
            </w:r>
            <w:r w:rsidRPr="00B936D3">
              <w:rPr>
                <w:rFonts w:cstheme="minorHAnsi"/>
                <w:sz w:val="20"/>
              </w:rPr>
              <w:t xml:space="preserve">, </w:t>
            </w:r>
            <w:r w:rsidRPr="00D304C7">
              <w:rPr>
                <w:rFonts w:eastAsiaTheme="majorEastAsia" w:cstheme="minorHAnsi"/>
                <w:sz w:val="20"/>
              </w:rPr>
              <w:t>Davidson JR</w:t>
            </w:r>
            <w:r w:rsidRPr="00B936D3">
              <w:rPr>
                <w:rFonts w:cstheme="minorHAnsi"/>
                <w:sz w:val="20"/>
              </w:rPr>
              <w:t xml:space="preserve">.; </w:t>
            </w:r>
            <w:proofErr w:type="spellStart"/>
            <w:r w:rsidRPr="00D304C7">
              <w:rPr>
                <w:rFonts w:eastAsiaTheme="majorEastAsia" w:cstheme="minorHAnsi"/>
                <w:sz w:val="20"/>
              </w:rPr>
              <w:t>PLoS</w:t>
            </w:r>
            <w:proofErr w:type="spellEnd"/>
            <w:r w:rsidRPr="00D304C7">
              <w:rPr>
                <w:rFonts w:eastAsiaTheme="majorEastAsia" w:cstheme="minorHAnsi"/>
                <w:sz w:val="20"/>
              </w:rPr>
              <w:t xml:space="preserve"> One.</w:t>
            </w:r>
            <w:r w:rsidRPr="00B936D3">
              <w:rPr>
                <w:rFonts w:cstheme="minorHAnsi"/>
                <w:sz w:val="20"/>
              </w:rPr>
              <w:t xml:space="preserve"> 2012</w:t>
            </w:r>
            <w:proofErr w:type="gramStart"/>
            <w:r w:rsidRPr="00B936D3">
              <w:rPr>
                <w:rFonts w:cstheme="minorHAnsi"/>
                <w:sz w:val="20"/>
              </w:rPr>
              <w:t>;7</w:t>
            </w:r>
            <w:proofErr w:type="gramEnd"/>
            <w:r w:rsidRPr="00B936D3">
              <w:rPr>
                <w:rFonts w:cstheme="minorHAnsi"/>
                <w:sz w:val="20"/>
              </w:rPr>
              <w:t xml:space="preserve">(6):e39879. </w:t>
            </w:r>
            <w:proofErr w:type="spellStart"/>
            <w:proofErr w:type="gramStart"/>
            <w:r w:rsidRPr="00B936D3">
              <w:rPr>
                <w:rFonts w:cstheme="minorHAnsi"/>
                <w:sz w:val="20"/>
              </w:rPr>
              <w:t>doi</w:t>
            </w:r>
            <w:proofErr w:type="spellEnd"/>
            <w:proofErr w:type="gramEnd"/>
            <w:r w:rsidRPr="00B936D3">
              <w:rPr>
                <w:rFonts w:cstheme="minorHAnsi"/>
                <w:sz w:val="20"/>
              </w:rPr>
              <w:t xml:space="preserve">: 10.1371/journal.pone.0039879. </w:t>
            </w:r>
            <w:proofErr w:type="spellStart"/>
            <w:r w:rsidRPr="00B936D3">
              <w:rPr>
                <w:rFonts w:cstheme="minorHAnsi"/>
                <w:sz w:val="20"/>
              </w:rPr>
              <w:t>Epub</w:t>
            </w:r>
            <w:proofErr w:type="spellEnd"/>
            <w:r w:rsidRPr="00B936D3">
              <w:rPr>
                <w:rFonts w:cstheme="minorHAnsi"/>
                <w:sz w:val="20"/>
              </w:rPr>
              <w:t xml:space="preserve"> 2012 Jun 29. Measuring resilience in adult women using the 10-items Connor-Davidson Resilience Scale (CD-RISC). Role of trauma exposure and anxiety disorders.</w:t>
            </w:r>
          </w:p>
          <w:p w:rsidR="00BA151D" w:rsidRPr="00B936D3" w:rsidRDefault="00BA151D" w:rsidP="007B5FFE">
            <w:pPr>
              <w:pStyle w:val="Title1"/>
              <w:spacing w:before="0" w:beforeAutospacing="0" w:after="0" w:afterAutospacing="0"/>
              <w:rPr>
                <w:rFonts w:asciiTheme="minorHAnsi" w:hAnsiTheme="minorHAnsi" w:cstheme="minorHAnsi"/>
                <w:sz w:val="20"/>
                <w:szCs w:val="20"/>
              </w:rPr>
            </w:pPr>
            <w:proofErr w:type="spellStart"/>
            <w:r w:rsidRPr="00D304C7">
              <w:rPr>
                <w:rFonts w:asciiTheme="minorHAnsi" w:eastAsiaTheme="majorEastAsia" w:hAnsiTheme="minorHAnsi" w:cstheme="minorHAnsi"/>
                <w:sz w:val="20"/>
                <w:szCs w:val="20"/>
              </w:rPr>
              <w:t>Scali</w:t>
            </w:r>
            <w:proofErr w:type="spellEnd"/>
            <w:r w:rsidRPr="00D304C7">
              <w:rPr>
                <w:rFonts w:asciiTheme="minorHAnsi" w:eastAsiaTheme="majorEastAsia" w:hAnsiTheme="minorHAnsi" w:cstheme="minorHAnsi"/>
                <w:sz w:val="20"/>
                <w:szCs w:val="20"/>
              </w:rPr>
              <w:t xml:space="preserve"> J</w:t>
            </w:r>
            <w:r w:rsidRPr="00B936D3">
              <w:rPr>
                <w:rFonts w:asciiTheme="minorHAnsi" w:hAnsiTheme="minorHAnsi" w:cstheme="minorHAnsi"/>
                <w:sz w:val="20"/>
                <w:szCs w:val="20"/>
              </w:rPr>
              <w:t xml:space="preserve">, </w:t>
            </w:r>
            <w:proofErr w:type="spellStart"/>
            <w:r w:rsidRPr="00D304C7">
              <w:rPr>
                <w:rFonts w:asciiTheme="minorHAnsi" w:eastAsiaTheme="majorEastAsia" w:hAnsiTheme="minorHAnsi" w:cstheme="minorHAnsi"/>
                <w:sz w:val="20"/>
                <w:szCs w:val="20"/>
              </w:rPr>
              <w:t>Gandubert</w:t>
            </w:r>
            <w:proofErr w:type="spellEnd"/>
            <w:r w:rsidRPr="00D304C7">
              <w:rPr>
                <w:rFonts w:asciiTheme="minorHAnsi" w:eastAsiaTheme="majorEastAsia" w:hAnsiTheme="minorHAnsi" w:cstheme="minorHAnsi"/>
                <w:sz w:val="20"/>
                <w:szCs w:val="20"/>
              </w:rPr>
              <w:t xml:space="preserve"> C</w:t>
            </w:r>
            <w:r w:rsidRPr="00B936D3">
              <w:rPr>
                <w:rFonts w:asciiTheme="minorHAnsi" w:hAnsiTheme="minorHAnsi" w:cstheme="minorHAnsi"/>
                <w:sz w:val="20"/>
                <w:szCs w:val="20"/>
              </w:rPr>
              <w:t xml:space="preserve">, </w:t>
            </w:r>
            <w:r w:rsidRPr="00D304C7">
              <w:rPr>
                <w:rFonts w:asciiTheme="minorHAnsi" w:eastAsiaTheme="majorEastAsia" w:hAnsiTheme="minorHAnsi" w:cstheme="minorHAnsi"/>
                <w:sz w:val="20"/>
                <w:szCs w:val="20"/>
              </w:rPr>
              <w:t>Ritchie K</w:t>
            </w:r>
            <w:r w:rsidRPr="00B936D3">
              <w:rPr>
                <w:rFonts w:asciiTheme="minorHAnsi" w:hAnsiTheme="minorHAnsi" w:cstheme="minorHAnsi"/>
                <w:sz w:val="20"/>
                <w:szCs w:val="20"/>
              </w:rPr>
              <w:t xml:space="preserve">, </w:t>
            </w:r>
            <w:proofErr w:type="spellStart"/>
            <w:r w:rsidRPr="00D304C7">
              <w:rPr>
                <w:rFonts w:asciiTheme="minorHAnsi" w:eastAsiaTheme="majorEastAsia" w:hAnsiTheme="minorHAnsi" w:cstheme="minorHAnsi"/>
                <w:sz w:val="20"/>
                <w:szCs w:val="20"/>
              </w:rPr>
              <w:t>Soulier</w:t>
            </w:r>
            <w:proofErr w:type="spellEnd"/>
            <w:r w:rsidRPr="00D304C7">
              <w:rPr>
                <w:rFonts w:asciiTheme="minorHAnsi" w:eastAsiaTheme="majorEastAsia" w:hAnsiTheme="minorHAnsi" w:cstheme="minorHAnsi"/>
                <w:sz w:val="20"/>
                <w:szCs w:val="20"/>
              </w:rPr>
              <w:t xml:space="preserve"> M</w:t>
            </w:r>
            <w:r w:rsidRPr="00B936D3">
              <w:rPr>
                <w:rFonts w:asciiTheme="minorHAnsi" w:hAnsiTheme="minorHAnsi" w:cstheme="minorHAnsi"/>
                <w:sz w:val="20"/>
                <w:szCs w:val="20"/>
              </w:rPr>
              <w:t xml:space="preserve">, </w:t>
            </w:r>
            <w:proofErr w:type="spellStart"/>
            <w:r w:rsidRPr="00D304C7">
              <w:rPr>
                <w:rFonts w:asciiTheme="minorHAnsi" w:eastAsiaTheme="majorEastAsia" w:hAnsiTheme="minorHAnsi" w:cstheme="minorHAnsi"/>
                <w:sz w:val="20"/>
                <w:szCs w:val="20"/>
              </w:rPr>
              <w:t>Ancelin</w:t>
            </w:r>
            <w:proofErr w:type="spellEnd"/>
            <w:r w:rsidRPr="00D304C7">
              <w:rPr>
                <w:rFonts w:asciiTheme="minorHAnsi" w:eastAsiaTheme="majorEastAsia" w:hAnsiTheme="minorHAnsi" w:cstheme="minorHAnsi"/>
                <w:sz w:val="20"/>
                <w:szCs w:val="20"/>
              </w:rPr>
              <w:t xml:space="preserve"> ML</w:t>
            </w:r>
            <w:r w:rsidRPr="00B936D3">
              <w:rPr>
                <w:rFonts w:asciiTheme="minorHAnsi" w:hAnsiTheme="minorHAnsi" w:cstheme="minorHAnsi"/>
                <w:sz w:val="20"/>
                <w:szCs w:val="20"/>
              </w:rPr>
              <w:t xml:space="preserve">, </w:t>
            </w:r>
            <w:proofErr w:type="spellStart"/>
            <w:r w:rsidRPr="00D304C7">
              <w:rPr>
                <w:rFonts w:asciiTheme="minorHAnsi" w:eastAsiaTheme="majorEastAsia" w:hAnsiTheme="minorHAnsi" w:cstheme="minorHAnsi"/>
                <w:sz w:val="20"/>
                <w:szCs w:val="20"/>
              </w:rPr>
              <w:t>Chaudieu</w:t>
            </w:r>
            <w:proofErr w:type="spellEnd"/>
            <w:r w:rsidRPr="00D304C7">
              <w:rPr>
                <w:rFonts w:asciiTheme="minorHAnsi" w:eastAsiaTheme="majorEastAsia" w:hAnsiTheme="minorHAnsi" w:cstheme="minorHAnsi"/>
                <w:sz w:val="20"/>
                <w:szCs w:val="20"/>
              </w:rPr>
              <w:t xml:space="preserve"> I</w:t>
            </w:r>
            <w:r w:rsidRPr="00B936D3">
              <w:rPr>
                <w:rFonts w:asciiTheme="minorHAnsi" w:hAnsiTheme="minorHAnsi" w:cstheme="minorHAnsi"/>
                <w:sz w:val="20"/>
                <w:szCs w:val="20"/>
              </w:rPr>
              <w:t xml:space="preserve">.; </w:t>
            </w:r>
            <w:r w:rsidRPr="00D304C7">
              <w:rPr>
                <w:rFonts w:asciiTheme="minorHAnsi" w:eastAsiaTheme="majorEastAsia" w:hAnsiTheme="minorHAnsi" w:cstheme="minorHAnsi"/>
                <w:sz w:val="20"/>
                <w:szCs w:val="20"/>
              </w:rPr>
              <w:t>A methodological review of resilience measurement scales.</w:t>
            </w:r>
            <w:r w:rsidRPr="00B936D3">
              <w:rPr>
                <w:rFonts w:asciiTheme="minorHAnsi" w:hAnsiTheme="minorHAnsi" w:cstheme="minorHAnsi"/>
                <w:sz w:val="20"/>
                <w:szCs w:val="20"/>
              </w:rPr>
              <w:t xml:space="preserve"> </w:t>
            </w:r>
            <w:proofErr w:type="spellStart"/>
            <w:r w:rsidRPr="00B936D3">
              <w:rPr>
                <w:rFonts w:asciiTheme="minorHAnsi" w:hAnsiTheme="minorHAnsi" w:cstheme="minorHAnsi"/>
                <w:sz w:val="20"/>
                <w:szCs w:val="20"/>
              </w:rPr>
              <w:t>Windle</w:t>
            </w:r>
            <w:proofErr w:type="spellEnd"/>
            <w:r w:rsidRPr="00B936D3">
              <w:rPr>
                <w:rFonts w:asciiTheme="minorHAnsi" w:hAnsiTheme="minorHAnsi" w:cstheme="minorHAnsi"/>
                <w:sz w:val="20"/>
                <w:szCs w:val="20"/>
              </w:rPr>
              <w:t xml:space="preserve"> G, Bennett KM, Noyes J. </w:t>
            </w:r>
            <w:r w:rsidRPr="00B936D3">
              <w:rPr>
                <w:rStyle w:val="jrnl"/>
                <w:rFonts w:asciiTheme="minorHAnsi" w:hAnsiTheme="minorHAnsi" w:cstheme="minorHAnsi"/>
                <w:sz w:val="20"/>
                <w:szCs w:val="20"/>
              </w:rPr>
              <w:t xml:space="preserve">Health </w:t>
            </w:r>
            <w:proofErr w:type="spellStart"/>
            <w:r w:rsidRPr="00B936D3">
              <w:rPr>
                <w:rStyle w:val="jrnl"/>
                <w:rFonts w:asciiTheme="minorHAnsi" w:hAnsiTheme="minorHAnsi" w:cstheme="minorHAnsi"/>
                <w:sz w:val="20"/>
                <w:szCs w:val="20"/>
              </w:rPr>
              <w:t>Qual</w:t>
            </w:r>
            <w:proofErr w:type="spellEnd"/>
            <w:r w:rsidRPr="00B936D3">
              <w:rPr>
                <w:rStyle w:val="jrnl"/>
                <w:rFonts w:asciiTheme="minorHAnsi" w:hAnsiTheme="minorHAnsi" w:cstheme="minorHAnsi"/>
                <w:sz w:val="20"/>
                <w:szCs w:val="20"/>
              </w:rPr>
              <w:t xml:space="preserve"> Life Outcomes</w:t>
            </w:r>
            <w:r w:rsidRPr="00B936D3">
              <w:rPr>
                <w:rFonts w:asciiTheme="minorHAnsi" w:hAnsiTheme="minorHAnsi" w:cstheme="minorHAnsi"/>
                <w:sz w:val="20"/>
                <w:szCs w:val="20"/>
              </w:rPr>
              <w:t>. 2011 Feb 4</w:t>
            </w:r>
            <w:proofErr w:type="gramStart"/>
            <w:r w:rsidRPr="00B936D3">
              <w:rPr>
                <w:rFonts w:asciiTheme="minorHAnsi" w:hAnsiTheme="minorHAnsi" w:cstheme="minorHAnsi"/>
                <w:sz w:val="20"/>
                <w:szCs w:val="20"/>
              </w:rPr>
              <w:t>;9:8</w:t>
            </w:r>
            <w:proofErr w:type="gramEnd"/>
            <w:r w:rsidRPr="00B936D3">
              <w:rPr>
                <w:rFonts w:asciiTheme="minorHAnsi" w:hAnsiTheme="minorHAnsi" w:cstheme="minorHAnsi"/>
                <w:sz w:val="20"/>
                <w:szCs w:val="20"/>
              </w:rPr>
              <w:t xml:space="preserve">. </w:t>
            </w:r>
            <w:proofErr w:type="spellStart"/>
            <w:proofErr w:type="gramStart"/>
            <w:r w:rsidRPr="00B936D3">
              <w:rPr>
                <w:rFonts w:asciiTheme="minorHAnsi" w:hAnsiTheme="minorHAnsi" w:cstheme="minorHAnsi"/>
                <w:sz w:val="20"/>
                <w:szCs w:val="20"/>
              </w:rPr>
              <w:t>doi</w:t>
            </w:r>
            <w:proofErr w:type="spellEnd"/>
            <w:proofErr w:type="gramEnd"/>
            <w:r w:rsidRPr="00B936D3">
              <w:rPr>
                <w:rFonts w:asciiTheme="minorHAnsi" w:hAnsiTheme="minorHAnsi" w:cstheme="minorHAnsi"/>
                <w:sz w:val="20"/>
                <w:szCs w:val="20"/>
              </w:rPr>
              <w:t>: 10.1186/1477-7525-9-8.</w:t>
            </w:r>
          </w:p>
        </w:tc>
      </w:tr>
      <w:tr w:rsidR="00BA151D" w:rsidRPr="00135988" w:rsidTr="006D084A">
        <w:trPr>
          <w:trHeight w:val="48"/>
        </w:trPr>
        <w:tc>
          <w:tcPr>
            <w:tcW w:w="2692" w:type="dxa"/>
            <w:vAlign w:val="center"/>
          </w:tcPr>
          <w:p w:rsidR="00BA151D" w:rsidRPr="00135988" w:rsidRDefault="00BA151D" w:rsidP="007B5FFE">
            <w:pPr>
              <w:rPr>
                <w:sz w:val="20"/>
              </w:rPr>
            </w:pPr>
            <w:r w:rsidRPr="00135988">
              <w:rPr>
                <w:sz w:val="20"/>
              </w:rPr>
              <w:t xml:space="preserve">Discrimination </w:t>
            </w:r>
            <w:r>
              <w:rPr>
                <w:sz w:val="20"/>
              </w:rPr>
              <w:t>Questionnaire</w:t>
            </w:r>
          </w:p>
        </w:tc>
        <w:tc>
          <w:tcPr>
            <w:tcW w:w="947" w:type="dxa"/>
            <w:vAlign w:val="center"/>
          </w:tcPr>
          <w:p w:rsidR="00BA151D" w:rsidRPr="00135988" w:rsidRDefault="00BA151D" w:rsidP="007B5FFE">
            <w:pPr>
              <w:jc w:val="center"/>
              <w:rPr>
                <w:rFonts w:cstheme="minorHAnsi"/>
                <w:sz w:val="20"/>
              </w:rPr>
            </w:pPr>
          </w:p>
        </w:tc>
        <w:tc>
          <w:tcPr>
            <w:tcW w:w="948" w:type="dxa"/>
            <w:vAlign w:val="center"/>
          </w:tcPr>
          <w:p w:rsidR="00BA151D" w:rsidRPr="00135988" w:rsidRDefault="00BA151D" w:rsidP="007B5FFE">
            <w:pPr>
              <w:jc w:val="center"/>
              <w:rPr>
                <w:rFonts w:cstheme="minorHAnsi"/>
                <w:sz w:val="20"/>
              </w:rPr>
            </w:pPr>
            <w:r w:rsidRPr="00135988">
              <w:rPr>
                <w:rFonts w:cstheme="minorHAnsi"/>
                <w:sz w:val="20"/>
              </w:rPr>
              <w:t>•</w:t>
            </w:r>
          </w:p>
        </w:tc>
        <w:tc>
          <w:tcPr>
            <w:tcW w:w="947" w:type="dxa"/>
            <w:vAlign w:val="center"/>
          </w:tcPr>
          <w:p w:rsidR="00BA151D" w:rsidRPr="00B936D3" w:rsidRDefault="00BA151D" w:rsidP="007B5FFE">
            <w:pPr>
              <w:jc w:val="center"/>
              <w:rPr>
                <w:rFonts w:cstheme="minorHAnsi"/>
                <w:sz w:val="20"/>
              </w:rPr>
            </w:pPr>
          </w:p>
        </w:tc>
        <w:tc>
          <w:tcPr>
            <w:tcW w:w="948" w:type="dxa"/>
            <w:vAlign w:val="center"/>
          </w:tcPr>
          <w:p w:rsidR="00BA151D" w:rsidRPr="00B936D3" w:rsidRDefault="00BA151D" w:rsidP="007B5FFE">
            <w:pPr>
              <w:jc w:val="center"/>
              <w:rPr>
                <w:rFonts w:cstheme="minorHAnsi"/>
                <w:sz w:val="20"/>
              </w:rPr>
            </w:pPr>
          </w:p>
        </w:tc>
        <w:tc>
          <w:tcPr>
            <w:tcW w:w="2135" w:type="dxa"/>
            <w:vAlign w:val="center"/>
          </w:tcPr>
          <w:p w:rsidR="00BA151D" w:rsidRPr="00B936D3" w:rsidRDefault="00BA151D" w:rsidP="007B5FFE">
            <w:pPr>
              <w:jc w:val="center"/>
              <w:rPr>
                <w:rFonts w:cstheme="minorHAnsi"/>
                <w:sz w:val="20"/>
              </w:rPr>
            </w:pPr>
            <w:r w:rsidRPr="00B936D3">
              <w:rPr>
                <w:rFonts w:cstheme="minorHAnsi"/>
                <w:sz w:val="20"/>
              </w:rPr>
              <w:t>Self-respondent</w:t>
            </w:r>
          </w:p>
        </w:tc>
        <w:tc>
          <w:tcPr>
            <w:tcW w:w="2183" w:type="dxa"/>
            <w:vAlign w:val="center"/>
          </w:tcPr>
          <w:p w:rsidR="00BA151D" w:rsidRPr="00B936D3" w:rsidRDefault="00BA151D" w:rsidP="007B5FFE">
            <w:pPr>
              <w:rPr>
                <w:rFonts w:cstheme="minorHAnsi"/>
                <w:sz w:val="20"/>
              </w:rPr>
            </w:pPr>
            <w:r w:rsidRPr="00D304C7">
              <w:rPr>
                <w:rFonts w:eastAsiaTheme="majorEastAsia" w:cstheme="minorHAnsi"/>
                <w:sz w:val="20"/>
              </w:rPr>
              <w:t xml:space="preserve">Soc </w:t>
            </w:r>
            <w:proofErr w:type="spellStart"/>
            <w:r w:rsidRPr="00D304C7">
              <w:rPr>
                <w:rFonts w:eastAsiaTheme="majorEastAsia" w:cstheme="minorHAnsi"/>
                <w:sz w:val="20"/>
              </w:rPr>
              <w:t>Sci</w:t>
            </w:r>
            <w:proofErr w:type="spellEnd"/>
            <w:r w:rsidRPr="00D304C7">
              <w:rPr>
                <w:rFonts w:eastAsiaTheme="majorEastAsia" w:cstheme="minorHAnsi"/>
                <w:sz w:val="20"/>
              </w:rPr>
              <w:t xml:space="preserve"> Med.</w:t>
            </w:r>
            <w:r w:rsidRPr="00B936D3">
              <w:rPr>
                <w:rFonts w:cstheme="minorHAnsi"/>
                <w:sz w:val="20"/>
              </w:rPr>
              <w:t xml:space="preserve"> 2005 Oct</w:t>
            </w:r>
            <w:proofErr w:type="gramStart"/>
            <w:r w:rsidRPr="00B936D3">
              <w:rPr>
                <w:rFonts w:cstheme="minorHAnsi"/>
                <w:sz w:val="20"/>
              </w:rPr>
              <w:t>;61</w:t>
            </w:r>
            <w:proofErr w:type="gramEnd"/>
            <w:r w:rsidRPr="00B936D3">
              <w:rPr>
                <w:rFonts w:cstheme="minorHAnsi"/>
                <w:sz w:val="20"/>
              </w:rPr>
              <w:t xml:space="preserve">(7):1576-96. </w:t>
            </w:r>
            <w:proofErr w:type="spellStart"/>
            <w:r w:rsidRPr="00B936D3">
              <w:rPr>
                <w:rFonts w:cstheme="minorHAnsi"/>
                <w:sz w:val="20"/>
              </w:rPr>
              <w:t>Epub</w:t>
            </w:r>
            <w:proofErr w:type="spellEnd"/>
            <w:r w:rsidRPr="00B936D3">
              <w:rPr>
                <w:rFonts w:cstheme="minorHAnsi"/>
                <w:sz w:val="20"/>
              </w:rPr>
              <w:t xml:space="preserve"> 2005 Apr 21. Experiences of discrimination: validity and reliability of a self-report measure for population health </w:t>
            </w:r>
            <w:r w:rsidRPr="00B936D3">
              <w:rPr>
                <w:rFonts w:cstheme="minorHAnsi"/>
                <w:sz w:val="20"/>
              </w:rPr>
              <w:lastRenderedPageBreak/>
              <w:t>research on racism and health.</w:t>
            </w:r>
            <w:r w:rsidRPr="00B936D3">
              <w:rPr>
                <w:rFonts w:cstheme="minorHAnsi"/>
                <w:b/>
                <w:sz w:val="20"/>
              </w:rPr>
              <w:t xml:space="preserve">  </w:t>
            </w:r>
            <w:r w:rsidRPr="00D304C7">
              <w:rPr>
                <w:rFonts w:eastAsiaTheme="majorEastAsia" w:cstheme="minorHAnsi"/>
                <w:sz w:val="20"/>
              </w:rPr>
              <w:t>Krieger N</w:t>
            </w:r>
            <w:r w:rsidRPr="00B936D3">
              <w:rPr>
                <w:rFonts w:cstheme="minorHAnsi"/>
                <w:sz w:val="20"/>
              </w:rPr>
              <w:t xml:space="preserve">, </w:t>
            </w:r>
            <w:r w:rsidRPr="00D304C7">
              <w:rPr>
                <w:rFonts w:eastAsiaTheme="majorEastAsia" w:cstheme="minorHAnsi"/>
                <w:sz w:val="20"/>
              </w:rPr>
              <w:t>Smith K</w:t>
            </w:r>
            <w:r w:rsidRPr="00B936D3">
              <w:rPr>
                <w:rFonts w:cstheme="minorHAnsi"/>
                <w:sz w:val="20"/>
              </w:rPr>
              <w:t xml:space="preserve">, </w:t>
            </w:r>
            <w:proofErr w:type="spellStart"/>
            <w:r w:rsidRPr="00D304C7">
              <w:rPr>
                <w:rFonts w:eastAsiaTheme="majorEastAsia" w:cstheme="minorHAnsi"/>
                <w:sz w:val="20"/>
              </w:rPr>
              <w:t>Naishadham</w:t>
            </w:r>
            <w:proofErr w:type="spellEnd"/>
            <w:r w:rsidRPr="00D304C7">
              <w:rPr>
                <w:rFonts w:eastAsiaTheme="majorEastAsia" w:cstheme="minorHAnsi"/>
                <w:sz w:val="20"/>
              </w:rPr>
              <w:t xml:space="preserve"> D</w:t>
            </w:r>
            <w:r w:rsidRPr="00B936D3">
              <w:rPr>
                <w:rFonts w:cstheme="minorHAnsi"/>
                <w:sz w:val="20"/>
              </w:rPr>
              <w:t xml:space="preserve">, </w:t>
            </w:r>
            <w:r w:rsidRPr="00D304C7">
              <w:rPr>
                <w:rFonts w:eastAsiaTheme="majorEastAsia" w:cstheme="minorHAnsi"/>
                <w:sz w:val="20"/>
              </w:rPr>
              <w:t>Hartman C</w:t>
            </w:r>
            <w:r w:rsidRPr="00B936D3">
              <w:rPr>
                <w:rFonts w:cstheme="minorHAnsi"/>
                <w:sz w:val="20"/>
              </w:rPr>
              <w:t xml:space="preserve">, </w:t>
            </w:r>
            <w:proofErr w:type="spellStart"/>
            <w:r w:rsidRPr="00D304C7">
              <w:rPr>
                <w:rFonts w:eastAsiaTheme="majorEastAsia" w:cstheme="minorHAnsi"/>
                <w:sz w:val="20"/>
              </w:rPr>
              <w:t>Barbeau</w:t>
            </w:r>
            <w:proofErr w:type="spellEnd"/>
            <w:r w:rsidRPr="00D304C7">
              <w:rPr>
                <w:rFonts w:eastAsiaTheme="majorEastAsia" w:cstheme="minorHAnsi"/>
                <w:sz w:val="20"/>
              </w:rPr>
              <w:t xml:space="preserve"> EM</w:t>
            </w:r>
            <w:r w:rsidRPr="00B936D3">
              <w:rPr>
                <w:rFonts w:cstheme="minorHAnsi"/>
                <w:sz w:val="20"/>
              </w:rPr>
              <w:t>.</w:t>
            </w:r>
          </w:p>
          <w:p w:rsidR="00BA151D" w:rsidRPr="00B936D3" w:rsidRDefault="00BA151D" w:rsidP="007B5FFE">
            <w:pPr>
              <w:rPr>
                <w:rFonts w:cstheme="minorHAnsi"/>
                <w:sz w:val="20"/>
              </w:rPr>
            </w:pPr>
          </w:p>
        </w:tc>
      </w:tr>
      <w:tr w:rsidR="00BA151D" w:rsidRPr="00135988" w:rsidTr="006D084A">
        <w:trPr>
          <w:trHeight w:val="48"/>
        </w:trPr>
        <w:tc>
          <w:tcPr>
            <w:tcW w:w="2692" w:type="dxa"/>
            <w:vAlign w:val="center"/>
          </w:tcPr>
          <w:p w:rsidR="00BA151D" w:rsidRPr="00135988" w:rsidRDefault="00BA151D" w:rsidP="007B5FFE">
            <w:pPr>
              <w:rPr>
                <w:sz w:val="20"/>
              </w:rPr>
            </w:pPr>
            <w:r>
              <w:rPr>
                <w:sz w:val="20"/>
              </w:rPr>
              <w:lastRenderedPageBreak/>
              <w:t>Social Support for Diet and Exercise Behaviors</w:t>
            </w:r>
          </w:p>
        </w:tc>
        <w:tc>
          <w:tcPr>
            <w:tcW w:w="947" w:type="dxa"/>
            <w:vAlign w:val="center"/>
          </w:tcPr>
          <w:p w:rsidR="00BA151D" w:rsidRPr="00135988" w:rsidRDefault="00BA151D" w:rsidP="007B5FFE">
            <w:pPr>
              <w:jc w:val="center"/>
              <w:rPr>
                <w:rFonts w:cstheme="minorHAnsi"/>
                <w:sz w:val="20"/>
              </w:rPr>
            </w:pPr>
          </w:p>
        </w:tc>
        <w:tc>
          <w:tcPr>
            <w:tcW w:w="948" w:type="dxa"/>
            <w:vAlign w:val="center"/>
          </w:tcPr>
          <w:p w:rsidR="00BA151D" w:rsidRPr="00135988" w:rsidRDefault="00BA151D" w:rsidP="007B5FFE">
            <w:pPr>
              <w:jc w:val="center"/>
              <w:rPr>
                <w:rFonts w:cstheme="minorHAnsi"/>
                <w:sz w:val="20"/>
              </w:rPr>
            </w:pPr>
          </w:p>
        </w:tc>
        <w:tc>
          <w:tcPr>
            <w:tcW w:w="947" w:type="dxa"/>
            <w:vAlign w:val="center"/>
          </w:tcPr>
          <w:p w:rsidR="00BA151D" w:rsidRPr="00B936D3" w:rsidRDefault="00BA151D" w:rsidP="007B5FFE">
            <w:pPr>
              <w:jc w:val="center"/>
              <w:rPr>
                <w:rFonts w:cstheme="minorHAnsi"/>
                <w:sz w:val="20"/>
              </w:rPr>
            </w:pPr>
          </w:p>
        </w:tc>
        <w:tc>
          <w:tcPr>
            <w:tcW w:w="948" w:type="dxa"/>
            <w:vAlign w:val="center"/>
          </w:tcPr>
          <w:p w:rsidR="00BA151D" w:rsidRPr="00B936D3" w:rsidRDefault="00BA151D" w:rsidP="007B5FFE">
            <w:pPr>
              <w:jc w:val="center"/>
              <w:rPr>
                <w:rFonts w:cstheme="minorHAnsi"/>
                <w:sz w:val="20"/>
              </w:rPr>
            </w:pPr>
            <w:r w:rsidRPr="00B936D3">
              <w:rPr>
                <w:rFonts w:cstheme="minorHAnsi"/>
                <w:sz w:val="20"/>
              </w:rPr>
              <w:t>•</w:t>
            </w:r>
          </w:p>
        </w:tc>
        <w:tc>
          <w:tcPr>
            <w:tcW w:w="2135" w:type="dxa"/>
            <w:vAlign w:val="center"/>
          </w:tcPr>
          <w:p w:rsidR="00BA151D" w:rsidRPr="00B936D3" w:rsidRDefault="00BA151D" w:rsidP="007B5FFE">
            <w:pPr>
              <w:jc w:val="center"/>
              <w:rPr>
                <w:rFonts w:cstheme="minorHAnsi"/>
                <w:sz w:val="20"/>
              </w:rPr>
            </w:pPr>
            <w:r w:rsidRPr="00B936D3">
              <w:rPr>
                <w:rFonts w:cstheme="minorHAnsi"/>
                <w:sz w:val="20"/>
              </w:rPr>
              <w:t>Self-respondent</w:t>
            </w:r>
          </w:p>
        </w:tc>
        <w:tc>
          <w:tcPr>
            <w:tcW w:w="2183" w:type="dxa"/>
            <w:vAlign w:val="center"/>
          </w:tcPr>
          <w:p w:rsidR="00BA151D" w:rsidRPr="00B936D3" w:rsidRDefault="00BA151D" w:rsidP="007B5FFE">
            <w:pPr>
              <w:pStyle w:val="Title1"/>
              <w:rPr>
                <w:rFonts w:asciiTheme="minorHAnsi" w:hAnsiTheme="minorHAnsi" w:cstheme="minorHAnsi"/>
                <w:sz w:val="20"/>
                <w:szCs w:val="20"/>
              </w:rPr>
            </w:pPr>
            <w:proofErr w:type="spellStart"/>
            <w:r w:rsidRPr="00B936D3">
              <w:rPr>
                <w:rFonts w:asciiTheme="minorHAnsi" w:hAnsiTheme="minorHAnsi" w:cstheme="minorHAnsi"/>
                <w:sz w:val="20"/>
                <w:szCs w:val="20"/>
              </w:rPr>
              <w:t>Sallis</w:t>
            </w:r>
            <w:proofErr w:type="spellEnd"/>
            <w:r w:rsidRPr="00B936D3">
              <w:rPr>
                <w:rFonts w:asciiTheme="minorHAnsi" w:hAnsiTheme="minorHAnsi" w:cstheme="minorHAnsi"/>
                <w:sz w:val="20"/>
                <w:szCs w:val="20"/>
              </w:rPr>
              <w:t xml:space="preserve"> JF, Grossman RM, </w:t>
            </w:r>
            <w:proofErr w:type="spellStart"/>
            <w:r w:rsidRPr="00B936D3">
              <w:rPr>
                <w:rFonts w:asciiTheme="minorHAnsi" w:hAnsiTheme="minorHAnsi" w:cstheme="minorHAnsi"/>
                <w:sz w:val="20"/>
                <w:szCs w:val="20"/>
              </w:rPr>
              <w:t>Pinski</w:t>
            </w:r>
            <w:proofErr w:type="spellEnd"/>
            <w:r w:rsidRPr="00B936D3">
              <w:rPr>
                <w:rFonts w:asciiTheme="minorHAnsi" w:hAnsiTheme="minorHAnsi" w:cstheme="minorHAnsi"/>
                <w:sz w:val="20"/>
                <w:szCs w:val="20"/>
              </w:rPr>
              <w:t xml:space="preserve"> RB, Patterson TL, Nader PR.  </w:t>
            </w:r>
            <w:proofErr w:type="spellStart"/>
            <w:r w:rsidRPr="00B936D3">
              <w:rPr>
                <w:rStyle w:val="jrnl"/>
                <w:rFonts w:asciiTheme="minorHAnsi" w:hAnsiTheme="minorHAnsi" w:cstheme="minorHAnsi"/>
                <w:sz w:val="20"/>
                <w:szCs w:val="20"/>
              </w:rPr>
              <w:t>Prev</w:t>
            </w:r>
            <w:proofErr w:type="spellEnd"/>
            <w:r w:rsidRPr="00B936D3">
              <w:rPr>
                <w:rStyle w:val="jrnl"/>
                <w:rFonts w:asciiTheme="minorHAnsi" w:hAnsiTheme="minorHAnsi" w:cstheme="minorHAnsi"/>
                <w:sz w:val="20"/>
                <w:szCs w:val="20"/>
              </w:rPr>
              <w:t xml:space="preserve"> Med</w:t>
            </w:r>
            <w:r w:rsidRPr="00B936D3">
              <w:rPr>
                <w:rFonts w:asciiTheme="minorHAnsi" w:hAnsiTheme="minorHAnsi" w:cstheme="minorHAnsi"/>
                <w:sz w:val="20"/>
                <w:szCs w:val="20"/>
              </w:rPr>
              <w:t>. 1987 Nov</w:t>
            </w:r>
            <w:proofErr w:type="gramStart"/>
            <w:r w:rsidRPr="00B936D3">
              <w:rPr>
                <w:rFonts w:asciiTheme="minorHAnsi" w:hAnsiTheme="minorHAnsi" w:cstheme="minorHAnsi"/>
                <w:sz w:val="20"/>
                <w:szCs w:val="20"/>
              </w:rPr>
              <w:t>;16</w:t>
            </w:r>
            <w:proofErr w:type="gramEnd"/>
            <w:r w:rsidRPr="00B936D3">
              <w:rPr>
                <w:rFonts w:asciiTheme="minorHAnsi" w:hAnsiTheme="minorHAnsi" w:cstheme="minorHAnsi"/>
                <w:sz w:val="20"/>
                <w:szCs w:val="20"/>
              </w:rPr>
              <w:t>(6):825-36.</w:t>
            </w:r>
          </w:p>
        </w:tc>
      </w:tr>
      <w:tr w:rsidR="00BA151D" w:rsidRPr="00135988" w:rsidTr="006D084A">
        <w:trPr>
          <w:trHeight w:val="48"/>
        </w:trPr>
        <w:tc>
          <w:tcPr>
            <w:tcW w:w="2692" w:type="dxa"/>
          </w:tcPr>
          <w:p w:rsidR="00BA151D" w:rsidRPr="00135988" w:rsidRDefault="00BA151D" w:rsidP="007B5FFE">
            <w:pPr>
              <w:rPr>
                <w:sz w:val="20"/>
              </w:rPr>
            </w:pPr>
            <w:r>
              <w:rPr>
                <w:sz w:val="20"/>
              </w:rPr>
              <w:t>Multidimensional Body-Self Relations Questionnaire</w:t>
            </w:r>
          </w:p>
        </w:tc>
        <w:tc>
          <w:tcPr>
            <w:tcW w:w="947" w:type="dxa"/>
          </w:tcPr>
          <w:p w:rsidR="00BA151D" w:rsidRPr="00135988" w:rsidRDefault="00BA151D" w:rsidP="007B5FFE">
            <w:pPr>
              <w:jc w:val="center"/>
              <w:rPr>
                <w:rFonts w:cstheme="minorHAnsi"/>
                <w:sz w:val="20"/>
              </w:rPr>
            </w:pPr>
          </w:p>
        </w:tc>
        <w:tc>
          <w:tcPr>
            <w:tcW w:w="948" w:type="dxa"/>
          </w:tcPr>
          <w:p w:rsidR="00BA151D" w:rsidRPr="00135988" w:rsidRDefault="00BA151D" w:rsidP="007B5FFE">
            <w:pPr>
              <w:jc w:val="center"/>
              <w:rPr>
                <w:sz w:val="20"/>
              </w:rPr>
            </w:pPr>
            <w:r w:rsidRPr="00135988">
              <w:rPr>
                <w:rFonts w:cstheme="minorHAnsi"/>
                <w:sz w:val="20"/>
              </w:rPr>
              <w:t>•</w:t>
            </w:r>
          </w:p>
        </w:tc>
        <w:tc>
          <w:tcPr>
            <w:tcW w:w="947" w:type="dxa"/>
          </w:tcPr>
          <w:p w:rsidR="00BA151D" w:rsidRPr="00B936D3" w:rsidRDefault="00BA151D" w:rsidP="007B5FFE">
            <w:pPr>
              <w:jc w:val="center"/>
              <w:rPr>
                <w:rFonts w:cstheme="minorHAnsi"/>
                <w:sz w:val="20"/>
              </w:rPr>
            </w:pPr>
          </w:p>
        </w:tc>
        <w:tc>
          <w:tcPr>
            <w:tcW w:w="948" w:type="dxa"/>
          </w:tcPr>
          <w:p w:rsidR="00BA151D" w:rsidRPr="00B936D3" w:rsidRDefault="00BA151D" w:rsidP="007B5FFE">
            <w:pPr>
              <w:jc w:val="center"/>
              <w:rPr>
                <w:rFonts w:cstheme="minorHAnsi"/>
                <w:sz w:val="20"/>
              </w:rPr>
            </w:pPr>
          </w:p>
        </w:tc>
        <w:tc>
          <w:tcPr>
            <w:tcW w:w="2135" w:type="dxa"/>
            <w:vAlign w:val="center"/>
          </w:tcPr>
          <w:p w:rsidR="00BA151D" w:rsidRPr="00B936D3" w:rsidRDefault="00BA151D" w:rsidP="007B5FFE">
            <w:pPr>
              <w:jc w:val="center"/>
              <w:rPr>
                <w:rFonts w:cstheme="minorHAnsi"/>
                <w:sz w:val="20"/>
              </w:rPr>
            </w:pPr>
            <w:r w:rsidRPr="00B936D3">
              <w:rPr>
                <w:rFonts w:cstheme="minorHAnsi"/>
                <w:sz w:val="20"/>
              </w:rPr>
              <w:t>Self-respondent</w:t>
            </w:r>
          </w:p>
        </w:tc>
        <w:tc>
          <w:tcPr>
            <w:tcW w:w="2183" w:type="dxa"/>
            <w:vAlign w:val="center"/>
          </w:tcPr>
          <w:p w:rsidR="00BA151D" w:rsidRPr="00E54BAC" w:rsidRDefault="00BA151D" w:rsidP="007B5FFE">
            <w:pPr>
              <w:rPr>
                <w:rFonts w:cstheme="minorHAnsi"/>
                <w:sz w:val="20"/>
                <w:lang w:val="es-ES"/>
              </w:rPr>
            </w:pPr>
            <w:r w:rsidRPr="00E54BAC">
              <w:rPr>
                <w:rFonts w:cstheme="minorHAnsi"/>
                <w:sz w:val="20"/>
                <w:lang w:val="es-ES"/>
              </w:rPr>
              <w:t>MBSRQ; http://www.body-images.com/assessments/mbsrq.html</w:t>
            </w:r>
          </w:p>
          <w:p w:rsidR="00BA151D" w:rsidRPr="00B936D3" w:rsidRDefault="00BA151D" w:rsidP="007B5FFE">
            <w:pPr>
              <w:rPr>
                <w:rFonts w:cstheme="minorHAnsi"/>
                <w:sz w:val="20"/>
              </w:rPr>
            </w:pPr>
            <w:r w:rsidRPr="00B936D3">
              <w:rPr>
                <w:rFonts w:cstheme="minorHAnsi"/>
                <w:sz w:val="20"/>
              </w:rPr>
              <w:t xml:space="preserve">Cash &amp; </w:t>
            </w:r>
            <w:proofErr w:type="spellStart"/>
            <w:r w:rsidRPr="00B936D3">
              <w:rPr>
                <w:rFonts w:cstheme="minorHAnsi"/>
                <w:sz w:val="20"/>
              </w:rPr>
              <w:t>Pruzinsky</w:t>
            </w:r>
            <w:proofErr w:type="spellEnd"/>
            <w:r w:rsidRPr="00B936D3">
              <w:rPr>
                <w:rFonts w:cstheme="minorHAnsi"/>
                <w:sz w:val="20"/>
              </w:rPr>
              <w:t>, 1990</w:t>
            </w:r>
            <w:proofErr w:type="gramStart"/>
            <w:r w:rsidRPr="00B936D3">
              <w:rPr>
                <w:rFonts w:cstheme="minorHAnsi"/>
                <w:sz w:val="20"/>
              </w:rPr>
              <w:t>)  Only</w:t>
            </w:r>
            <w:proofErr w:type="gramEnd"/>
            <w:r w:rsidRPr="00B936D3">
              <w:rPr>
                <w:rFonts w:cstheme="minorHAnsi"/>
                <w:sz w:val="20"/>
              </w:rPr>
              <w:t xml:space="preserve"> two of the MBSRQ subscales were used in this study.  Appearance evaluation (7 items; range = 1-5; alpha = .83) assesses satisfaction with one’s appearance; higher scores reflect greater satisfaction.  Appearance orientation (12 items; range = 1-5; alpha = .85) assesses the extent to which one believes physical appearance is important and the extent to which one engages in appearance-related activities; higher scores reflect stronger beliefs and greater activity.  </w:t>
            </w:r>
          </w:p>
        </w:tc>
      </w:tr>
      <w:tr w:rsidR="00BA151D" w:rsidRPr="00135988" w:rsidTr="006D084A">
        <w:trPr>
          <w:trHeight w:val="48"/>
        </w:trPr>
        <w:tc>
          <w:tcPr>
            <w:tcW w:w="6482" w:type="dxa"/>
            <w:gridSpan w:val="5"/>
            <w:shd w:val="clear" w:color="auto" w:fill="D9D9D9" w:themeFill="background1" w:themeFillShade="D9"/>
            <w:vAlign w:val="center"/>
          </w:tcPr>
          <w:p w:rsidR="00BA151D" w:rsidRPr="00B936D3" w:rsidRDefault="00BA151D" w:rsidP="007B5FFE">
            <w:pPr>
              <w:rPr>
                <w:rFonts w:cstheme="minorHAnsi"/>
                <w:b/>
                <w:sz w:val="20"/>
              </w:rPr>
            </w:pPr>
            <w:r w:rsidRPr="00B936D3">
              <w:rPr>
                <w:rFonts w:cstheme="minorHAnsi"/>
                <w:b/>
                <w:sz w:val="20"/>
              </w:rPr>
              <w:t>Physical Activity Questionnaires</w:t>
            </w:r>
          </w:p>
        </w:tc>
        <w:tc>
          <w:tcPr>
            <w:tcW w:w="2135" w:type="dxa"/>
            <w:shd w:val="clear" w:color="auto" w:fill="D9D9D9" w:themeFill="background1" w:themeFillShade="D9"/>
            <w:vAlign w:val="center"/>
          </w:tcPr>
          <w:p w:rsidR="00BA151D" w:rsidRPr="00B936D3" w:rsidRDefault="00BA151D" w:rsidP="007B5FFE">
            <w:pPr>
              <w:jc w:val="center"/>
              <w:rPr>
                <w:rFonts w:cstheme="minorHAnsi"/>
                <w:b/>
                <w:sz w:val="20"/>
              </w:rPr>
            </w:pPr>
          </w:p>
        </w:tc>
        <w:tc>
          <w:tcPr>
            <w:tcW w:w="2183" w:type="dxa"/>
            <w:shd w:val="clear" w:color="auto" w:fill="D9D9D9" w:themeFill="background1" w:themeFillShade="D9"/>
            <w:vAlign w:val="center"/>
          </w:tcPr>
          <w:p w:rsidR="00BA151D" w:rsidRPr="00B936D3" w:rsidRDefault="00BA151D" w:rsidP="007B5FFE">
            <w:pPr>
              <w:rPr>
                <w:rFonts w:cstheme="minorHAnsi"/>
                <w:b/>
                <w:sz w:val="20"/>
              </w:rPr>
            </w:pPr>
          </w:p>
        </w:tc>
      </w:tr>
      <w:tr w:rsidR="00BA151D" w:rsidRPr="00135988" w:rsidTr="006D084A">
        <w:trPr>
          <w:trHeight w:val="48"/>
        </w:trPr>
        <w:tc>
          <w:tcPr>
            <w:tcW w:w="2692" w:type="dxa"/>
            <w:vAlign w:val="center"/>
          </w:tcPr>
          <w:p w:rsidR="00BA151D" w:rsidRPr="00135988" w:rsidRDefault="00BA151D" w:rsidP="007B5FFE">
            <w:pPr>
              <w:rPr>
                <w:sz w:val="20"/>
              </w:rPr>
            </w:pPr>
            <w:r w:rsidRPr="00135988">
              <w:rPr>
                <w:sz w:val="20"/>
              </w:rPr>
              <w:t>International Physica</w:t>
            </w:r>
            <w:r>
              <w:rPr>
                <w:sz w:val="20"/>
              </w:rPr>
              <w:t>l Activity Questionnaire (IPAQ)- Short</w:t>
            </w:r>
          </w:p>
        </w:tc>
        <w:tc>
          <w:tcPr>
            <w:tcW w:w="947" w:type="dxa"/>
            <w:vAlign w:val="center"/>
          </w:tcPr>
          <w:p w:rsidR="00BA151D" w:rsidRPr="00135988" w:rsidRDefault="00BA151D" w:rsidP="007B5FFE">
            <w:pPr>
              <w:jc w:val="center"/>
              <w:rPr>
                <w:rFonts w:cstheme="minorHAnsi"/>
                <w:sz w:val="20"/>
              </w:rPr>
            </w:pPr>
          </w:p>
        </w:tc>
        <w:tc>
          <w:tcPr>
            <w:tcW w:w="948" w:type="dxa"/>
            <w:vAlign w:val="center"/>
          </w:tcPr>
          <w:p w:rsidR="00BA151D" w:rsidRPr="00135988" w:rsidRDefault="00BA151D" w:rsidP="007B5FFE">
            <w:pPr>
              <w:jc w:val="center"/>
              <w:rPr>
                <w:sz w:val="20"/>
              </w:rPr>
            </w:pPr>
            <w:r w:rsidRPr="00135988">
              <w:rPr>
                <w:rFonts w:cstheme="minorHAnsi"/>
                <w:sz w:val="20"/>
              </w:rPr>
              <w:t>•</w:t>
            </w:r>
          </w:p>
        </w:tc>
        <w:tc>
          <w:tcPr>
            <w:tcW w:w="947" w:type="dxa"/>
            <w:vAlign w:val="center"/>
          </w:tcPr>
          <w:p w:rsidR="00BA151D" w:rsidRPr="00B936D3" w:rsidRDefault="00BA151D" w:rsidP="007B5FFE">
            <w:pPr>
              <w:jc w:val="center"/>
              <w:rPr>
                <w:rFonts w:cstheme="minorHAnsi"/>
                <w:sz w:val="20"/>
              </w:rPr>
            </w:pPr>
            <w:r w:rsidRPr="00B936D3">
              <w:rPr>
                <w:rFonts w:cstheme="minorHAnsi"/>
                <w:sz w:val="20"/>
              </w:rPr>
              <w:t>•</w:t>
            </w:r>
          </w:p>
        </w:tc>
        <w:tc>
          <w:tcPr>
            <w:tcW w:w="948" w:type="dxa"/>
            <w:vAlign w:val="center"/>
          </w:tcPr>
          <w:p w:rsidR="00BA151D" w:rsidRPr="00B936D3" w:rsidRDefault="00BA151D" w:rsidP="007B5FFE">
            <w:pPr>
              <w:jc w:val="center"/>
              <w:rPr>
                <w:rFonts w:cstheme="minorHAnsi"/>
                <w:sz w:val="20"/>
              </w:rPr>
            </w:pPr>
            <w:r w:rsidRPr="00B936D3">
              <w:rPr>
                <w:rFonts w:cstheme="minorHAnsi"/>
                <w:sz w:val="20"/>
              </w:rPr>
              <w:t>•</w:t>
            </w:r>
          </w:p>
        </w:tc>
        <w:tc>
          <w:tcPr>
            <w:tcW w:w="2135" w:type="dxa"/>
            <w:vAlign w:val="center"/>
          </w:tcPr>
          <w:p w:rsidR="00BA151D" w:rsidRPr="00B936D3" w:rsidRDefault="00BA151D" w:rsidP="007B5FFE">
            <w:pPr>
              <w:jc w:val="center"/>
              <w:rPr>
                <w:rFonts w:cstheme="minorHAnsi"/>
                <w:sz w:val="20"/>
              </w:rPr>
            </w:pPr>
            <w:r w:rsidRPr="00B936D3">
              <w:rPr>
                <w:rFonts w:cstheme="minorHAnsi"/>
                <w:sz w:val="20"/>
              </w:rPr>
              <w:t>Self-respondent</w:t>
            </w:r>
          </w:p>
        </w:tc>
        <w:tc>
          <w:tcPr>
            <w:tcW w:w="2183" w:type="dxa"/>
            <w:vAlign w:val="center"/>
          </w:tcPr>
          <w:p w:rsidR="00BA151D" w:rsidRPr="00B936D3" w:rsidRDefault="00BA151D" w:rsidP="007B5FFE">
            <w:pPr>
              <w:shd w:val="clear" w:color="auto" w:fill="FFFFFF"/>
              <w:rPr>
                <w:rFonts w:cstheme="minorHAnsi"/>
                <w:sz w:val="20"/>
              </w:rPr>
            </w:pPr>
            <w:r w:rsidRPr="00B936D3">
              <w:rPr>
                <w:rFonts w:cstheme="minorHAnsi"/>
                <w:sz w:val="20"/>
              </w:rPr>
              <w:t xml:space="preserve">RAPA intro text (definition), University of Washington; </w:t>
            </w:r>
            <w:proofErr w:type="spellStart"/>
            <w:r w:rsidRPr="00B936D3">
              <w:rPr>
                <w:rFonts w:cstheme="minorHAnsi"/>
                <w:sz w:val="20"/>
              </w:rPr>
              <w:t>Topolski</w:t>
            </w:r>
            <w:proofErr w:type="spellEnd"/>
            <w:r w:rsidRPr="00B936D3">
              <w:rPr>
                <w:rFonts w:cstheme="minorHAnsi"/>
                <w:sz w:val="20"/>
              </w:rPr>
              <w:t xml:space="preserve"> TD, </w:t>
            </w:r>
            <w:proofErr w:type="spellStart"/>
            <w:r w:rsidRPr="00B936D3">
              <w:rPr>
                <w:rFonts w:cstheme="minorHAnsi"/>
                <w:sz w:val="20"/>
              </w:rPr>
              <w:t>LoGerfo</w:t>
            </w:r>
            <w:proofErr w:type="spellEnd"/>
            <w:r w:rsidRPr="00B936D3">
              <w:rPr>
                <w:rFonts w:cstheme="minorHAnsi"/>
                <w:sz w:val="20"/>
              </w:rPr>
              <w:t xml:space="preserve"> J, Patrick DL, Williams B, </w:t>
            </w:r>
            <w:proofErr w:type="spellStart"/>
            <w:r w:rsidRPr="00B936D3">
              <w:rPr>
                <w:rFonts w:cstheme="minorHAnsi"/>
                <w:sz w:val="20"/>
              </w:rPr>
              <w:t>Walwick</w:t>
            </w:r>
            <w:proofErr w:type="spellEnd"/>
            <w:r w:rsidRPr="00B936D3">
              <w:rPr>
                <w:rFonts w:cstheme="minorHAnsi"/>
                <w:sz w:val="20"/>
              </w:rPr>
              <w:t xml:space="preserve"> J, Patrick MB. </w:t>
            </w:r>
            <w:hyperlink r:id="rId10" w:history="1">
              <w:r w:rsidRPr="00B936D3">
                <w:rPr>
                  <w:rFonts w:cstheme="minorHAnsi"/>
                  <w:bCs/>
                  <w:sz w:val="20"/>
                </w:rPr>
                <w:t>The Rapid Assessment of Physical Activity (RAPA) among older adults.</w:t>
              </w:r>
            </w:hyperlink>
            <w:r w:rsidRPr="00B936D3">
              <w:rPr>
                <w:rFonts w:cstheme="minorHAnsi"/>
                <w:sz w:val="20"/>
              </w:rPr>
              <w:t xml:space="preserve"> </w:t>
            </w:r>
            <w:proofErr w:type="spellStart"/>
            <w:r w:rsidRPr="00B936D3">
              <w:rPr>
                <w:rFonts w:cstheme="minorHAnsi"/>
                <w:sz w:val="20"/>
              </w:rPr>
              <w:t>Prev</w:t>
            </w:r>
            <w:proofErr w:type="spellEnd"/>
            <w:r w:rsidRPr="00B936D3">
              <w:rPr>
                <w:rFonts w:cstheme="minorHAnsi"/>
                <w:sz w:val="20"/>
              </w:rPr>
              <w:t xml:space="preserve"> Chronic </w:t>
            </w:r>
            <w:proofErr w:type="spellStart"/>
            <w:r w:rsidRPr="00B936D3">
              <w:rPr>
                <w:rFonts w:cstheme="minorHAnsi"/>
                <w:sz w:val="20"/>
              </w:rPr>
              <w:t>Dis</w:t>
            </w:r>
            <w:proofErr w:type="spellEnd"/>
            <w:r w:rsidRPr="00B936D3">
              <w:rPr>
                <w:rFonts w:cstheme="minorHAnsi"/>
                <w:sz w:val="20"/>
              </w:rPr>
              <w:t xml:space="preserve"> 2006;3(4):A118.; Q1-7 International Physical </w:t>
            </w:r>
            <w:r w:rsidRPr="00B936D3">
              <w:rPr>
                <w:rFonts w:cstheme="minorHAnsi"/>
                <w:sz w:val="20"/>
              </w:rPr>
              <w:lastRenderedPageBreak/>
              <w:t xml:space="preserve">Activity Questionnaire (IPAQ)  </w:t>
            </w:r>
            <w:r w:rsidRPr="00D304C7">
              <w:rPr>
                <w:rFonts w:eastAsiaTheme="majorEastAsia" w:cstheme="minorHAnsi"/>
                <w:sz w:val="20"/>
              </w:rPr>
              <w:t>https://sites.google.com/site/theipaq/home</w:t>
            </w:r>
            <w:r w:rsidRPr="00B936D3">
              <w:rPr>
                <w:rFonts w:cstheme="minorHAnsi"/>
                <w:sz w:val="20"/>
              </w:rPr>
              <w:t xml:space="preserve"> </w:t>
            </w:r>
          </w:p>
          <w:p w:rsidR="00BA151D" w:rsidRPr="00B936D3" w:rsidRDefault="00BA151D" w:rsidP="007B5FFE">
            <w:pPr>
              <w:rPr>
                <w:rFonts w:cstheme="minorHAnsi"/>
                <w:sz w:val="20"/>
              </w:rPr>
            </w:pPr>
          </w:p>
        </w:tc>
      </w:tr>
      <w:tr w:rsidR="00BA151D" w:rsidRPr="00135988" w:rsidTr="006D084A">
        <w:trPr>
          <w:trHeight w:val="48"/>
        </w:trPr>
        <w:tc>
          <w:tcPr>
            <w:tcW w:w="2692" w:type="dxa"/>
            <w:vAlign w:val="center"/>
          </w:tcPr>
          <w:p w:rsidR="00BA151D" w:rsidRPr="00135988" w:rsidRDefault="00BA151D" w:rsidP="007B5FFE">
            <w:pPr>
              <w:rPr>
                <w:sz w:val="20"/>
              </w:rPr>
            </w:pPr>
            <w:r>
              <w:rPr>
                <w:sz w:val="20"/>
              </w:rPr>
              <w:lastRenderedPageBreak/>
              <w:t>Stage of Exercise</w:t>
            </w:r>
          </w:p>
        </w:tc>
        <w:tc>
          <w:tcPr>
            <w:tcW w:w="947" w:type="dxa"/>
            <w:vAlign w:val="center"/>
          </w:tcPr>
          <w:p w:rsidR="00BA151D" w:rsidRPr="00135988" w:rsidRDefault="00BA151D" w:rsidP="007B5FFE">
            <w:pPr>
              <w:jc w:val="center"/>
              <w:rPr>
                <w:rFonts w:cstheme="minorHAnsi"/>
                <w:sz w:val="20"/>
              </w:rPr>
            </w:pPr>
          </w:p>
        </w:tc>
        <w:tc>
          <w:tcPr>
            <w:tcW w:w="948" w:type="dxa"/>
            <w:vAlign w:val="center"/>
          </w:tcPr>
          <w:p w:rsidR="00BA151D" w:rsidRPr="00135988" w:rsidRDefault="00BA151D" w:rsidP="007B5FFE">
            <w:pPr>
              <w:jc w:val="center"/>
              <w:rPr>
                <w:rFonts w:cstheme="minorHAnsi"/>
                <w:sz w:val="20"/>
              </w:rPr>
            </w:pPr>
            <w:r w:rsidRPr="00135988">
              <w:rPr>
                <w:rFonts w:cstheme="minorHAnsi"/>
                <w:sz w:val="20"/>
              </w:rPr>
              <w:t>•</w:t>
            </w:r>
          </w:p>
        </w:tc>
        <w:tc>
          <w:tcPr>
            <w:tcW w:w="947" w:type="dxa"/>
            <w:vAlign w:val="center"/>
          </w:tcPr>
          <w:p w:rsidR="00BA151D" w:rsidRPr="00B936D3" w:rsidRDefault="00BA151D" w:rsidP="007B5FFE">
            <w:pPr>
              <w:jc w:val="center"/>
              <w:rPr>
                <w:rFonts w:cstheme="minorHAnsi"/>
                <w:sz w:val="20"/>
              </w:rPr>
            </w:pPr>
          </w:p>
        </w:tc>
        <w:tc>
          <w:tcPr>
            <w:tcW w:w="948" w:type="dxa"/>
            <w:vAlign w:val="center"/>
          </w:tcPr>
          <w:p w:rsidR="00BA151D" w:rsidRPr="00B936D3" w:rsidRDefault="00BA151D" w:rsidP="007B5FFE">
            <w:pPr>
              <w:jc w:val="center"/>
              <w:rPr>
                <w:rFonts w:cstheme="minorHAnsi"/>
                <w:sz w:val="20"/>
              </w:rPr>
            </w:pPr>
          </w:p>
        </w:tc>
        <w:tc>
          <w:tcPr>
            <w:tcW w:w="2135" w:type="dxa"/>
            <w:vAlign w:val="center"/>
          </w:tcPr>
          <w:p w:rsidR="00BA151D" w:rsidRPr="00B936D3" w:rsidRDefault="00BA151D" w:rsidP="007B5FFE">
            <w:pPr>
              <w:jc w:val="center"/>
              <w:rPr>
                <w:rFonts w:cstheme="minorHAnsi"/>
                <w:sz w:val="20"/>
              </w:rPr>
            </w:pPr>
            <w:r w:rsidRPr="00B936D3">
              <w:rPr>
                <w:rFonts w:cstheme="minorHAnsi"/>
                <w:sz w:val="20"/>
              </w:rPr>
              <w:t>Self-respondent</w:t>
            </w:r>
          </w:p>
        </w:tc>
        <w:tc>
          <w:tcPr>
            <w:tcW w:w="2183" w:type="dxa"/>
            <w:vAlign w:val="center"/>
          </w:tcPr>
          <w:p w:rsidR="00BA151D" w:rsidRPr="00B936D3" w:rsidRDefault="00DD3271" w:rsidP="007B5FFE">
            <w:pPr>
              <w:rPr>
                <w:rFonts w:cstheme="minorHAnsi"/>
                <w:color w:val="000000" w:themeColor="text1"/>
                <w:sz w:val="20"/>
              </w:rPr>
            </w:pPr>
            <w:hyperlink r:id="rId11" w:tooltip="Research quarterly for exercise and sport." w:history="1">
              <w:r w:rsidR="00BA151D" w:rsidRPr="00B936D3">
                <w:rPr>
                  <w:rStyle w:val="Hyperlink"/>
                  <w:rFonts w:eastAsiaTheme="majorEastAsia" w:cstheme="minorHAnsi"/>
                  <w:color w:val="000000" w:themeColor="text1"/>
                  <w:sz w:val="20"/>
                </w:rPr>
                <w:t xml:space="preserve">Res Q </w:t>
              </w:r>
              <w:proofErr w:type="spellStart"/>
              <w:r w:rsidR="00BA151D" w:rsidRPr="00B936D3">
                <w:rPr>
                  <w:rStyle w:val="Hyperlink"/>
                  <w:rFonts w:eastAsiaTheme="majorEastAsia" w:cstheme="minorHAnsi"/>
                  <w:color w:val="000000" w:themeColor="text1"/>
                  <w:sz w:val="20"/>
                </w:rPr>
                <w:t>Exerc</w:t>
              </w:r>
              <w:proofErr w:type="spellEnd"/>
              <w:r w:rsidR="00BA151D" w:rsidRPr="00B936D3">
                <w:rPr>
                  <w:rStyle w:val="Hyperlink"/>
                  <w:rFonts w:eastAsiaTheme="majorEastAsia" w:cstheme="minorHAnsi"/>
                  <w:color w:val="000000" w:themeColor="text1"/>
                  <w:sz w:val="20"/>
                </w:rPr>
                <w:t xml:space="preserve"> Sport.</w:t>
              </w:r>
            </w:hyperlink>
            <w:r w:rsidR="00BA151D" w:rsidRPr="00B936D3">
              <w:rPr>
                <w:rFonts w:cstheme="minorHAnsi"/>
                <w:color w:val="000000" w:themeColor="text1"/>
                <w:sz w:val="20"/>
              </w:rPr>
              <w:t xml:space="preserve"> 1992 Mar</w:t>
            </w:r>
            <w:proofErr w:type="gramStart"/>
            <w:r w:rsidR="00BA151D" w:rsidRPr="00B936D3">
              <w:rPr>
                <w:rFonts w:cstheme="minorHAnsi"/>
                <w:color w:val="000000" w:themeColor="text1"/>
                <w:sz w:val="20"/>
              </w:rPr>
              <w:t>;63</w:t>
            </w:r>
            <w:proofErr w:type="gramEnd"/>
            <w:r w:rsidR="00BA151D" w:rsidRPr="00B936D3">
              <w:rPr>
                <w:rFonts w:cstheme="minorHAnsi"/>
                <w:color w:val="000000" w:themeColor="text1"/>
                <w:sz w:val="20"/>
              </w:rPr>
              <w:t>(1):60-6.</w:t>
            </w:r>
          </w:p>
          <w:p w:rsidR="00BA151D" w:rsidRPr="00B936D3" w:rsidRDefault="00BA151D" w:rsidP="007B5FFE">
            <w:pPr>
              <w:pStyle w:val="Heading1"/>
              <w:spacing w:before="0"/>
              <w:outlineLvl w:val="0"/>
              <w:rPr>
                <w:rFonts w:asciiTheme="minorHAnsi" w:hAnsiTheme="minorHAnsi" w:cstheme="minorHAnsi"/>
                <w:b w:val="0"/>
                <w:color w:val="000000" w:themeColor="text1"/>
                <w:sz w:val="20"/>
                <w:szCs w:val="20"/>
              </w:rPr>
            </w:pPr>
            <w:r w:rsidRPr="00B936D3">
              <w:rPr>
                <w:rFonts w:asciiTheme="minorHAnsi" w:hAnsiTheme="minorHAnsi" w:cstheme="minorHAnsi"/>
                <w:b w:val="0"/>
                <w:color w:val="000000" w:themeColor="text1"/>
                <w:sz w:val="20"/>
                <w:szCs w:val="20"/>
              </w:rPr>
              <w:t>Self-efficacy and the stages of exercise behavior change.</w:t>
            </w:r>
          </w:p>
          <w:p w:rsidR="00BA151D" w:rsidRPr="00B936D3" w:rsidRDefault="00DD3271" w:rsidP="007B5FFE">
            <w:pPr>
              <w:rPr>
                <w:rFonts w:cstheme="minorHAnsi"/>
                <w:color w:val="000000" w:themeColor="text1"/>
                <w:sz w:val="20"/>
              </w:rPr>
            </w:pPr>
            <w:hyperlink r:id="rId12" w:history="1">
              <w:r w:rsidR="00BA151D" w:rsidRPr="00B936D3">
                <w:rPr>
                  <w:rStyle w:val="Hyperlink"/>
                  <w:rFonts w:eastAsiaTheme="majorEastAsia" w:cstheme="minorHAnsi"/>
                  <w:color w:val="000000" w:themeColor="text1"/>
                  <w:sz w:val="20"/>
                </w:rPr>
                <w:t>Marcus BH</w:t>
              </w:r>
            </w:hyperlink>
            <w:r w:rsidR="00BA151D" w:rsidRPr="00B936D3">
              <w:rPr>
                <w:rFonts w:cstheme="minorHAnsi"/>
                <w:color w:val="000000" w:themeColor="text1"/>
                <w:sz w:val="20"/>
              </w:rPr>
              <w:t xml:space="preserve">, </w:t>
            </w:r>
            <w:hyperlink r:id="rId13" w:history="1">
              <w:r w:rsidR="00BA151D" w:rsidRPr="00B936D3">
                <w:rPr>
                  <w:rStyle w:val="Hyperlink"/>
                  <w:rFonts w:eastAsiaTheme="majorEastAsia" w:cstheme="minorHAnsi"/>
                  <w:color w:val="000000" w:themeColor="text1"/>
                  <w:sz w:val="20"/>
                </w:rPr>
                <w:t>Selby VC</w:t>
              </w:r>
            </w:hyperlink>
            <w:r w:rsidR="00BA151D" w:rsidRPr="00B936D3">
              <w:rPr>
                <w:rFonts w:cstheme="minorHAnsi"/>
                <w:color w:val="000000" w:themeColor="text1"/>
                <w:sz w:val="20"/>
              </w:rPr>
              <w:t xml:space="preserve">, </w:t>
            </w:r>
            <w:hyperlink r:id="rId14" w:history="1">
              <w:proofErr w:type="spellStart"/>
              <w:r w:rsidR="00BA151D" w:rsidRPr="00B936D3">
                <w:rPr>
                  <w:rStyle w:val="Hyperlink"/>
                  <w:rFonts w:eastAsiaTheme="majorEastAsia" w:cstheme="minorHAnsi"/>
                  <w:color w:val="000000" w:themeColor="text1"/>
                  <w:sz w:val="20"/>
                </w:rPr>
                <w:t>Niaura</w:t>
              </w:r>
              <w:proofErr w:type="spellEnd"/>
              <w:r w:rsidR="00BA151D" w:rsidRPr="00B936D3">
                <w:rPr>
                  <w:rStyle w:val="Hyperlink"/>
                  <w:rFonts w:eastAsiaTheme="majorEastAsia" w:cstheme="minorHAnsi"/>
                  <w:color w:val="000000" w:themeColor="text1"/>
                  <w:sz w:val="20"/>
                </w:rPr>
                <w:t xml:space="preserve"> RS</w:t>
              </w:r>
            </w:hyperlink>
            <w:r w:rsidR="00BA151D" w:rsidRPr="00B936D3">
              <w:rPr>
                <w:rFonts w:cstheme="minorHAnsi"/>
                <w:color w:val="000000" w:themeColor="text1"/>
                <w:sz w:val="20"/>
              </w:rPr>
              <w:t xml:space="preserve">, </w:t>
            </w:r>
            <w:hyperlink r:id="rId15" w:history="1">
              <w:r w:rsidR="00BA151D" w:rsidRPr="00B936D3">
                <w:rPr>
                  <w:rStyle w:val="Hyperlink"/>
                  <w:rFonts w:eastAsiaTheme="majorEastAsia" w:cstheme="minorHAnsi"/>
                  <w:color w:val="000000" w:themeColor="text1"/>
                  <w:sz w:val="20"/>
                </w:rPr>
                <w:t>Rossi JS</w:t>
              </w:r>
            </w:hyperlink>
            <w:r w:rsidR="00BA151D" w:rsidRPr="00B936D3">
              <w:rPr>
                <w:rFonts w:cstheme="minorHAnsi"/>
                <w:color w:val="000000" w:themeColor="text1"/>
                <w:sz w:val="20"/>
              </w:rPr>
              <w:t>.</w:t>
            </w:r>
          </w:p>
        </w:tc>
      </w:tr>
      <w:tr w:rsidR="00BA151D" w:rsidRPr="00135988" w:rsidTr="006D084A">
        <w:trPr>
          <w:trHeight w:val="48"/>
        </w:trPr>
        <w:tc>
          <w:tcPr>
            <w:tcW w:w="2692" w:type="dxa"/>
            <w:vAlign w:val="center"/>
          </w:tcPr>
          <w:p w:rsidR="00BA151D" w:rsidRDefault="00BA151D" w:rsidP="007B5FFE">
            <w:pPr>
              <w:rPr>
                <w:sz w:val="20"/>
              </w:rPr>
            </w:pPr>
            <w:r>
              <w:rPr>
                <w:sz w:val="20"/>
              </w:rPr>
              <w:t>Exercise Self-Efficacy</w:t>
            </w:r>
          </w:p>
        </w:tc>
        <w:tc>
          <w:tcPr>
            <w:tcW w:w="947" w:type="dxa"/>
            <w:vAlign w:val="center"/>
          </w:tcPr>
          <w:p w:rsidR="00BA151D" w:rsidRPr="00135988" w:rsidRDefault="00BA151D" w:rsidP="007B5FFE">
            <w:pPr>
              <w:jc w:val="center"/>
              <w:rPr>
                <w:rFonts w:cstheme="minorHAnsi"/>
                <w:sz w:val="20"/>
              </w:rPr>
            </w:pPr>
          </w:p>
        </w:tc>
        <w:tc>
          <w:tcPr>
            <w:tcW w:w="948" w:type="dxa"/>
            <w:vAlign w:val="center"/>
          </w:tcPr>
          <w:p w:rsidR="00BA151D" w:rsidRPr="00135988" w:rsidRDefault="00BA151D" w:rsidP="007B5FFE">
            <w:pPr>
              <w:jc w:val="center"/>
              <w:rPr>
                <w:rFonts w:cstheme="minorHAnsi"/>
                <w:sz w:val="20"/>
              </w:rPr>
            </w:pPr>
            <w:r w:rsidRPr="00B936D3">
              <w:rPr>
                <w:rFonts w:cstheme="minorHAnsi"/>
                <w:sz w:val="20"/>
              </w:rPr>
              <w:t>•</w:t>
            </w:r>
          </w:p>
        </w:tc>
        <w:tc>
          <w:tcPr>
            <w:tcW w:w="947" w:type="dxa"/>
            <w:vAlign w:val="center"/>
          </w:tcPr>
          <w:p w:rsidR="00BA151D" w:rsidRPr="00B936D3" w:rsidRDefault="00BA151D" w:rsidP="007B5FFE">
            <w:pPr>
              <w:jc w:val="center"/>
              <w:rPr>
                <w:rFonts w:cstheme="minorHAnsi"/>
                <w:sz w:val="20"/>
              </w:rPr>
            </w:pPr>
          </w:p>
        </w:tc>
        <w:tc>
          <w:tcPr>
            <w:tcW w:w="948" w:type="dxa"/>
            <w:vAlign w:val="center"/>
          </w:tcPr>
          <w:p w:rsidR="00BA151D" w:rsidRPr="00B936D3" w:rsidRDefault="00BA151D" w:rsidP="007B5FFE">
            <w:pPr>
              <w:jc w:val="center"/>
              <w:rPr>
                <w:rFonts w:cstheme="minorHAnsi"/>
                <w:sz w:val="20"/>
              </w:rPr>
            </w:pPr>
            <w:r w:rsidRPr="00B936D3">
              <w:rPr>
                <w:rFonts w:cstheme="minorHAnsi"/>
                <w:sz w:val="20"/>
              </w:rPr>
              <w:t>•</w:t>
            </w:r>
          </w:p>
        </w:tc>
        <w:tc>
          <w:tcPr>
            <w:tcW w:w="2135" w:type="dxa"/>
            <w:vAlign w:val="center"/>
          </w:tcPr>
          <w:p w:rsidR="00BA151D" w:rsidRPr="00B936D3" w:rsidRDefault="00BA151D" w:rsidP="007B5FFE">
            <w:pPr>
              <w:jc w:val="center"/>
              <w:rPr>
                <w:rFonts w:cstheme="minorHAnsi"/>
                <w:sz w:val="20"/>
              </w:rPr>
            </w:pPr>
            <w:r w:rsidRPr="00B936D3">
              <w:rPr>
                <w:rFonts w:cstheme="minorHAnsi"/>
                <w:sz w:val="20"/>
              </w:rPr>
              <w:t>Self-respondent</w:t>
            </w:r>
          </w:p>
        </w:tc>
        <w:tc>
          <w:tcPr>
            <w:tcW w:w="2183" w:type="dxa"/>
            <w:vAlign w:val="center"/>
          </w:tcPr>
          <w:p w:rsidR="00BA151D" w:rsidRPr="00B936D3" w:rsidRDefault="00BA151D" w:rsidP="007B5FFE">
            <w:pPr>
              <w:rPr>
                <w:rFonts w:cstheme="minorHAnsi"/>
                <w:sz w:val="20"/>
              </w:rPr>
            </w:pPr>
            <w:proofErr w:type="spellStart"/>
            <w:r>
              <w:rPr>
                <w:rFonts w:cstheme="minorHAnsi"/>
                <w:sz w:val="20"/>
              </w:rPr>
              <w:t>Sallis</w:t>
            </w:r>
            <w:proofErr w:type="spellEnd"/>
            <w:r>
              <w:rPr>
                <w:rFonts w:cstheme="minorHAnsi"/>
                <w:sz w:val="20"/>
              </w:rPr>
              <w:t xml:space="preserve"> 1996</w:t>
            </w:r>
          </w:p>
        </w:tc>
      </w:tr>
      <w:tr w:rsidR="00BA151D" w:rsidRPr="00135988" w:rsidTr="006D084A">
        <w:trPr>
          <w:trHeight w:val="48"/>
        </w:trPr>
        <w:tc>
          <w:tcPr>
            <w:tcW w:w="2692" w:type="dxa"/>
            <w:vAlign w:val="center"/>
          </w:tcPr>
          <w:p w:rsidR="00BA151D" w:rsidRDefault="00BA151D" w:rsidP="007B5FFE">
            <w:pPr>
              <w:rPr>
                <w:sz w:val="20"/>
              </w:rPr>
            </w:pPr>
            <w:r>
              <w:rPr>
                <w:sz w:val="20"/>
              </w:rPr>
              <w:t>Barriers to Exercise Scale</w:t>
            </w:r>
          </w:p>
        </w:tc>
        <w:tc>
          <w:tcPr>
            <w:tcW w:w="947" w:type="dxa"/>
            <w:vAlign w:val="center"/>
          </w:tcPr>
          <w:p w:rsidR="00BA151D" w:rsidRPr="00135988" w:rsidRDefault="00BA151D" w:rsidP="007B5FFE">
            <w:pPr>
              <w:jc w:val="center"/>
              <w:rPr>
                <w:rFonts w:cstheme="minorHAnsi"/>
                <w:sz w:val="20"/>
              </w:rPr>
            </w:pPr>
          </w:p>
        </w:tc>
        <w:tc>
          <w:tcPr>
            <w:tcW w:w="948" w:type="dxa"/>
            <w:vAlign w:val="center"/>
          </w:tcPr>
          <w:p w:rsidR="00BA151D" w:rsidRPr="00135988" w:rsidRDefault="00BA151D" w:rsidP="007B5FFE">
            <w:pPr>
              <w:jc w:val="center"/>
              <w:rPr>
                <w:rFonts w:cstheme="minorHAnsi"/>
                <w:sz w:val="20"/>
              </w:rPr>
            </w:pPr>
            <w:r w:rsidRPr="00B936D3">
              <w:rPr>
                <w:rFonts w:cstheme="minorHAnsi"/>
                <w:sz w:val="20"/>
              </w:rPr>
              <w:t>•</w:t>
            </w:r>
          </w:p>
        </w:tc>
        <w:tc>
          <w:tcPr>
            <w:tcW w:w="947" w:type="dxa"/>
            <w:vAlign w:val="center"/>
          </w:tcPr>
          <w:p w:rsidR="00BA151D" w:rsidRPr="00B936D3" w:rsidRDefault="00BA151D" w:rsidP="007B5FFE">
            <w:pPr>
              <w:jc w:val="center"/>
              <w:rPr>
                <w:rFonts w:cstheme="minorHAnsi"/>
                <w:sz w:val="20"/>
              </w:rPr>
            </w:pPr>
          </w:p>
        </w:tc>
        <w:tc>
          <w:tcPr>
            <w:tcW w:w="948" w:type="dxa"/>
            <w:vAlign w:val="center"/>
          </w:tcPr>
          <w:p w:rsidR="00BA151D" w:rsidRPr="00B936D3" w:rsidRDefault="00BA151D" w:rsidP="007B5FFE">
            <w:pPr>
              <w:jc w:val="center"/>
              <w:rPr>
                <w:rFonts w:cstheme="minorHAnsi"/>
                <w:sz w:val="20"/>
              </w:rPr>
            </w:pPr>
            <w:r w:rsidRPr="00B936D3">
              <w:rPr>
                <w:rFonts w:cstheme="minorHAnsi"/>
                <w:sz w:val="20"/>
              </w:rPr>
              <w:t>•</w:t>
            </w:r>
          </w:p>
        </w:tc>
        <w:tc>
          <w:tcPr>
            <w:tcW w:w="2135" w:type="dxa"/>
            <w:vAlign w:val="center"/>
          </w:tcPr>
          <w:p w:rsidR="00BA151D" w:rsidRPr="00B936D3" w:rsidRDefault="00BA151D" w:rsidP="007B5FFE">
            <w:pPr>
              <w:jc w:val="center"/>
              <w:rPr>
                <w:rFonts w:cstheme="minorHAnsi"/>
                <w:sz w:val="20"/>
              </w:rPr>
            </w:pPr>
            <w:r w:rsidRPr="00B936D3">
              <w:rPr>
                <w:rFonts w:cstheme="minorHAnsi"/>
                <w:sz w:val="20"/>
              </w:rPr>
              <w:t>Self-respondent</w:t>
            </w:r>
          </w:p>
        </w:tc>
        <w:tc>
          <w:tcPr>
            <w:tcW w:w="2183" w:type="dxa"/>
            <w:vAlign w:val="center"/>
          </w:tcPr>
          <w:p w:rsidR="00BA151D" w:rsidRDefault="00BA151D" w:rsidP="007B5FFE">
            <w:pPr>
              <w:rPr>
                <w:rFonts w:cstheme="minorHAnsi"/>
                <w:sz w:val="20"/>
              </w:rPr>
            </w:pPr>
            <w:proofErr w:type="spellStart"/>
            <w:r>
              <w:rPr>
                <w:rFonts w:cstheme="minorHAnsi"/>
                <w:sz w:val="20"/>
              </w:rPr>
              <w:t>McAuley</w:t>
            </w:r>
            <w:proofErr w:type="spellEnd"/>
            <w:r>
              <w:rPr>
                <w:rFonts w:cstheme="minorHAnsi"/>
                <w:sz w:val="20"/>
              </w:rPr>
              <w:t xml:space="preserve"> 1992</w:t>
            </w:r>
          </w:p>
        </w:tc>
      </w:tr>
      <w:tr w:rsidR="00BA151D" w:rsidRPr="00135988" w:rsidTr="006D084A">
        <w:trPr>
          <w:trHeight w:val="48"/>
        </w:trPr>
        <w:tc>
          <w:tcPr>
            <w:tcW w:w="2692" w:type="dxa"/>
            <w:vAlign w:val="center"/>
          </w:tcPr>
          <w:p w:rsidR="00BA151D" w:rsidRDefault="00BA151D" w:rsidP="007B5FFE">
            <w:pPr>
              <w:rPr>
                <w:sz w:val="20"/>
              </w:rPr>
            </w:pPr>
            <w:r>
              <w:rPr>
                <w:sz w:val="20"/>
              </w:rPr>
              <w:t>Motivation for Exercise</w:t>
            </w:r>
          </w:p>
        </w:tc>
        <w:tc>
          <w:tcPr>
            <w:tcW w:w="947" w:type="dxa"/>
            <w:vAlign w:val="center"/>
          </w:tcPr>
          <w:p w:rsidR="00BA151D" w:rsidRPr="00135988" w:rsidRDefault="00BA151D" w:rsidP="007B5FFE">
            <w:pPr>
              <w:jc w:val="center"/>
              <w:rPr>
                <w:rFonts w:cstheme="minorHAnsi"/>
                <w:sz w:val="20"/>
              </w:rPr>
            </w:pPr>
          </w:p>
        </w:tc>
        <w:tc>
          <w:tcPr>
            <w:tcW w:w="948" w:type="dxa"/>
            <w:vAlign w:val="center"/>
          </w:tcPr>
          <w:p w:rsidR="00BA151D" w:rsidRPr="00135988" w:rsidRDefault="00BA151D" w:rsidP="007B5FFE">
            <w:pPr>
              <w:jc w:val="center"/>
              <w:rPr>
                <w:rFonts w:cstheme="minorHAnsi"/>
                <w:sz w:val="20"/>
              </w:rPr>
            </w:pPr>
            <w:r w:rsidRPr="00135988">
              <w:rPr>
                <w:rFonts w:cstheme="minorHAnsi"/>
                <w:sz w:val="20"/>
              </w:rPr>
              <w:t>•</w:t>
            </w:r>
          </w:p>
        </w:tc>
        <w:tc>
          <w:tcPr>
            <w:tcW w:w="947" w:type="dxa"/>
            <w:vAlign w:val="center"/>
          </w:tcPr>
          <w:p w:rsidR="00BA151D" w:rsidRPr="00B936D3" w:rsidRDefault="00BA151D" w:rsidP="007B5FFE">
            <w:pPr>
              <w:jc w:val="center"/>
              <w:rPr>
                <w:rFonts w:cstheme="minorHAnsi"/>
                <w:sz w:val="20"/>
              </w:rPr>
            </w:pPr>
          </w:p>
        </w:tc>
        <w:tc>
          <w:tcPr>
            <w:tcW w:w="948" w:type="dxa"/>
            <w:vAlign w:val="center"/>
          </w:tcPr>
          <w:p w:rsidR="00BA151D" w:rsidRPr="00B936D3" w:rsidRDefault="00BA151D" w:rsidP="007B5FFE">
            <w:pPr>
              <w:jc w:val="center"/>
              <w:rPr>
                <w:rFonts w:cstheme="minorHAnsi"/>
                <w:sz w:val="20"/>
              </w:rPr>
            </w:pPr>
            <w:r w:rsidRPr="00B936D3">
              <w:rPr>
                <w:rFonts w:cstheme="minorHAnsi"/>
                <w:sz w:val="20"/>
              </w:rPr>
              <w:t>•</w:t>
            </w:r>
          </w:p>
        </w:tc>
        <w:tc>
          <w:tcPr>
            <w:tcW w:w="2135" w:type="dxa"/>
            <w:vAlign w:val="center"/>
          </w:tcPr>
          <w:p w:rsidR="00BA151D" w:rsidRPr="00B936D3" w:rsidRDefault="00BA151D" w:rsidP="007B5FFE">
            <w:pPr>
              <w:jc w:val="center"/>
              <w:rPr>
                <w:rFonts w:cstheme="minorHAnsi"/>
                <w:sz w:val="20"/>
              </w:rPr>
            </w:pPr>
            <w:r w:rsidRPr="00B936D3">
              <w:rPr>
                <w:rFonts w:cstheme="minorHAnsi"/>
                <w:sz w:val="20"/>
              </w:rPr>
              <w:t>Self-respondent</w:t>
            </w:r>
          </w:p>
        </w:tc>
        <w:tc>
          <w:tcPr>
            <w:tcW w:w="2183" w:type="dxa"/>
            <w:vAlign w:val="center"/>
          </w:tcPr>
          <w:p w:rsidR="00BA151D" w:rsidRPr="00B936D3" w:rsidRDefault="00BA151D" w:rsidP="007B5FFE">
            <w:pPr>
              <w:rPr>
                <w:rFonts w:cstheme="minorHAnsi"/>
                <w:sz w:val="20"/>
              </w:rPr>
            </w:pPr>
            <w:r w:rsidRPr="00B936D3">
              <w:rPr>
                <w:rFonts w:cstheme="minorHAnsi"/>
                <w:sz w:val="20"/>
              </w:rPr>
              <w:t xml:space="preserve">Ryan‚ R. M.‚ Frederick‚ C. M.‚ </w:t>
            </w:r>
            <w:proofErr w:type="spellStart"/>
            <w:r w:rsidRPr="00B936D3">
              <w:rPr>
                <w:rFonts w:cstheme="minorHAnsi"/>
                <w:sz w:val="20"/>
              </w:rPr>
              <w:t>Lepes</w:t>
            </w:r>
            <w:proofErr w:type="spellEnd"/>
            <w:r w:rsidRPr="00B936D3">
              <w:rPr>
                <w:rFonts w:cstheme="minorHAnsi"/>
                <w:sz w:val="20"/>
              </w:rPr>
              <w:t xml:space="preserve">‚ D.‚ Rubio‚ N.‚ &amp; Sheldon‚ K. M. (1997). Intrinsic motivation and exercise adherence. </w:t>
            </w:r>
            <w:r w:rsidRPr="00B936D3">
              <w:rPr>
                <w:rFonts w:cstheme="minorHAnsi"/>
                <w:iCs/>
                <w:sz w:val="20"/>
              </w:rPr>
              <w:t>International Journal of Sport Psychology</w:t>
            </w:r>
            <w:r w:rsidRPr="00B936D3">
              <w:rPr>
                <w:rFonts w:cstheme="minorHAnsi"/>
                <w:sz w:val="20"/>
              </w:rPr>
              <w:t>‚ 28‚ 335-354.</w:t>
            </w:r>
          </w:p>
        </w:tc>
      </w:tr>
      <w:tr w:rsidR="00BA151D" w:rsidRPr="00135988" w:rsidTr="006D084A">
        <w:trPr>
          <w:trHeight w:val="48"/>
        </w:trPr>
        <w:tc>
          <w:tcPr>
            <w:tcW w:w="2692" w:type="dxa"/>
            <w:vAlign w:val="center"/>
          </w:tcPr>
          <w:p w:rsidR="00BA151D" w:rsidRPr="00135988" w:rsidRDefault="00BA151D" w:rsidP="007B5FFE">
            <w:pPr>
              <w:rPr>
                <w:sz w:val="20"/>
              </w:rPr>
            </w:pPr>
            <w:r>
              <w:rPr>
                <w:sz w:val="20"/>
              </w:rPr>
              <w:t>Sustainability Questions</w:t>
            </w:r>
          </w:p>
        </w:tc>
        <w:tc>
          <w:tcPr>
            <w:tcW w:w="3790" w:type="dxa"/>
            <w:gridSpan w:val="4"/>
            <w:vAlign w:val="center"/>
          </w:tcPr>
          <w:p w:rsidR="00BA151D" w:rsidRPr="00B936D3" w:rsidRDefault="00BA151D" w:rsidP="007B5FFE">
            <w:pPr>
              <w:jc w:val="center"/>
              <w:rPr>
                <w:rFonts w:cstheme="minorHAnsi"/>
                <w:sz w:val="20"/>
              </w:rPr>
            </w:pPr>
            <w:r w:rsidRPr="00B936D3">
              <w:rPr>
                <w:rFonts w:cstheme="minorHAnsi"/>
                <w:sz w:val="20"/>
              </w:rPr>
              <w:t>Data will be collected through informal discussion at celebratory event.</w:t>
            </w:r>
          </w:p>
        </w:tc>
        <w:tc>
          <w:tcPr>
            <w:tcW w:w="2135" w:type="dxa"/>
            <w:vAlign w:val="center"/>
          </w:tcPr>
          <w:p w:rsidR="00BA151D" w:rsidRPr="00B936D3" w:rsidRDefault="00BA151D" w:rsidP="007B5FFE">
            <w:pPr>
              <w:jc w:val="center"/>
              <w:rPr>
                <w:rFonts w:cstheme="minorHAnsi"/>
                <w:sz w:val="20"/>
              </w:rPr>
            </w:pPr>
            <w:r w:rsidRPr="00B936D3">
              <w:rPr>
                <w:rFonts w:cstheme="minorHAnsi"/>
                <w:sz w:val="20"/>
              </w:rPr>
              <w:t>Self-respondent</w:t>
            </w:r>
          </w:p>
        </w:tc>
        <w:tc>
          <w:tcPr>
            <w:tcW w:w="2183" w:type="dxa"/>
            <w:vAlign w:val="center"/>
          </w:tcPr>
          <w:p w:rsidR="00BA151D" w:rsidRPr="00B936D3" w:rsidRDefault="00BA151D" w:rsidP="007B5FFE">
            <w:pPr>
              <w:rPr>
                <w:rFonts w:cstheme="minorHAnsi"/>
                <w:sz w:val="20"/>
              </w:rPr>
            </w:pPr>
            <w:r>
              <w:rPr>
                <w:rFonts w:cstheme="minorHAnsi"/>
                <w:sz w:val="20"/>
              </w:rPr>
              <w:t>Not Applicable</w:t>
            </w:r>
          </w:p>
        </w:tc>
      </w:tr>
      <w:tr w:rsidR="00BA151D" w:rsidRPr="00135988" w:rsidTr="006D084A">
        <w:trPr>
          <w:trHeight w:val="48"/>
        </w:trPr>
        <w:tc>
          <w:tcPr>
            <w:tcW w:w="2692" w:type="dxa"/>
            <w:vAlign w:val="center"/>
          </w:tcPr>
          <w:p w:rsidR="00BA151D" w:rsidRPr="00135988" w:rsidRDefault="00BA151D" w:rsidP="007B5FFE">
            <w:pPr>
              <w:rPr>
                <w:sz w:val="20"/>
              </w:rPr>
            </w:pPr>
            <w:r w:rsidRPr="00135988">
              <w:rPr>
                <w:sz w:val="20"/>
              </w:rPr>
              <w:t xml:space="preserve">Accelerometer Data </w:t>
            </w:r>
            <w:r>
              <w:rPr>
                <w:sz w:val="20"/>
              </w:rPr>
              <w:t>Download</w:t>
            </w:r>
          </w:p>
        </w:tc>
        <w:tc>
          <w:tcPr>
            <w:tcW w:w="3790" w:type="dxa"/>
            <w:gridSpan w:val="4"/>
            <w:vAlign w:val="center"/>
          </w:tcPr>
          <w:p w:rsidR="00BA151D" w:rsidRPr="00B936D3" w:rsidRDefault="00BA151D" w:rsidP="007B5FFE">
            <w:pPr>
              <w:jc w:val="center"/>
              <w:rPr>
                <w:rFonts w:cstheme="minorHAnsi"/>
                <w:sz w:val="20"/>
              </w:rPr>
            </w:pPr>
            <w:r w:rsidRPr="00B936D3">
              <w:rPr>
                <w:rFonts w:cstheme="minorHAnsi"/>
                <w:sz w:val="20"/>
              </w:rPr>
              <w:t>Data downloaded at each support group meeting.</w:t>
            </w:r>
          </w:p>
        </w:tc>
        <w:tc>
          <w:tcPr>
            <w:tcW w:w="2135" w:type="dxa"/>
            <w:vAlign w:val="center"/>
          </w:tcPr>
          <w:p w:rsidR="00BA151D" w:rsidRPr="00B936D3" w:rsidRDefault="00BA151D" w:rsidP="007B5FFE">
            <w:pPr>
              <w:jc w:val="center"/>
              <w:rPr>
                <w:rFonts w:cstheme="minorHAnsi"/>
                <w:sz w:val="20"/>
              </w:rPr>
            </w:pPr>
            <w:r w:rsidRPr="00B936D3">
              <w:rPr>
                <w:rFonts w:cstheme="minorHAnsi"/>
                <w:sz w:val="20"/>
              </w:rPr>
              <w:t>Self-respondent</w:t>
            </w:r>
          </w:p>
        </w:tc>
        <w:tc>
          <w:tcPr>
            <w:tcW w:w="2183" w:type="dxa"/>
            <w:vAlign w:val="center"/>
          </w:tcPr>
          <w:p w:rsidR="00BA151D" w:rsidRPr="00B936D3" w:rsidRDefault="00BA151D" w:rsidP="007B5FFE">
            <w:pPr>
              <w:rPr>
                <w:rFonts w:cstheme="minorHAnsi"/>
                <w:sz w:val="20"/>
              </w:rPr>
            </w:pPr>
            <w:r>
              <w:rPr>
                <w:rFonts w:cstheme="minorHAnsi"/>
                <w:sz w:val="20"/>
              </w:rPr>
              <w:t>Not Applicable</w:t>
            </w:r>
          </w:p>
        </w:tc>
      </w:tr>
      <w:tr w:rsidR="00BA151D" w:rsidRPr="00135988" w:rsidTr="006D084A">
        <w:trPr>
          <w:trHeight w:val="48"/>
        </w:trPr>
        <w:tc>
          <w:tcPr>
            <w:tcW w:w="6482" w:type="dxa"/>
            <w:gridSpan w:val="5"/>
            <w:shd w:val="clear" w:color="auto" w:fill="D9D9D9" w:themeFill="background1" w:themeFillShade="D9"/>
            <w:vAlign w:val="center"/>
          </w:tcPr>
          <w:p w:rsidR="00BA151D" w:rsidRPr="00B936D3" w:rsidRDefault="00BA151D" w:rsidP="007B5FFE">
            <w:pPr>
              <w:rPr>
                <w:rFonts w:cstheme="minorHAnsi"/>
                <w:b/>
                <w:sz w:val="20"/>
              </w:rPr>
            </w:pPr>
            <w:r w:rsidRPr="00B936D3">
              <w:rPr>
                <w:rFonts w:cstheme="minorHAnsi"/>
                <w:b/>
                <w:sz w:val="20"/>
              </w:rPr>
              <w:t>General Health</w:t>
            </w:r>
          </w:p>
        </w:tc>
        <w:tc>
          <w:tcPr>
            <w:tcW w:w="2135" w:type="dxa"/>
            <w:shd w:val="clear" w:color="auto" w:fill="D9D9D9" w:themeFill="background1" w:themeFillShade="D9"/>
            <w:vAlign w:val="center"/>
          </w:tcPr>
          <w:p w:rsidR="00BA151D" w:rsidRPr="00B936D3" w:rsidRDefault="00BA151D" w:rsidP="007B5FFE">
            <w:pPr>
              <w:jc w:val="center"/>
              <w:rPr>
                <w:rFonts w:cstheme="minorHAnsi"/>
                <w:b/>
                <w:sz w:val="20"/>
              </w:rPr>
            </w:pPr>
          </w:p>
        </w:tc>
        <w:tc>
          <w:tcPr>
            <w:tcW w:w="2183" w:type="dxa"/>
            <w:shd w:val="clear" w:color="auto" w:fill="D9D9D9" w:themeFill="background1" w:themeFillShade="D9"/>
            <w:vAlign w:val="center"/>
          </w:tcPr>
          <w:p w:rsidR="00BA151D" w:rsidRPr="00B936D3" w:rsidRDefault="00BA151D" w:rsidP="007B5FFE">
            <w:pPr>
              <w:rPr>
                <w:rFonts w:cstheme="minorHAnsi"/>
                <w:b/>
                <w:sz w:val="20"/>
              </w:rPr>
            </w:pPr>
          </w:p>
        </w:tc>
      </w:tr>
      <w:tr w:rsidR="00BA151D" w:rsidRPr="00135988" w:rsidTr="006D084A">
        <w:trPr>
          <w:trHeight w:val="48"/>
        </w:trPr>
        <w:tc>
          <w:tcPr>
            <w:tcW w:w="2692" w:type="dxa"/>
            <w:vAlign w:val="center"/>
          </w:tcPr>
          <w:p w:rsidR="00BA151D" w:rsidRPr="00135988" w:rsidRDefault="00BA151D" w:rsidP="007B5FFE">
            <w:pPr>
              <w:rPr>
                <w:sz w:val="20"/>
              </w:rPr>
            </w:pPr>
            <w:r>
              <w:rPr>
                <w:sz w:val="20"/>
              </w:rPr>
              <w:t xml:space="preserve">Veterans RAND 36 Item Health Survey (VR-36) </w:t>
            </w:r>
          </w:p>
        </w:tc>
        <w:tc>
          <w:tcPr>
            <w:tcW w:w="947" w:type="dxa"/>
            <w:vAlign w:val="center"/>
          </w:tcPr>
          <w:p w:rsidR="00BA151D" w:rsidRPr="00135988" w:rsidRDefault="00BA151D" w:rsidP="007B5FFE">
            <w:pPr>
              <w:jc w:val="center"/>
              <w:rPr>
                <w:rFonts w:cstheme="minorHAnsi"/>
                <w:sz w:val="20"/>
              </w:rPr>
            </w:pPr>
          </w:p>
        </w:tc>
        <w:tc>
          <w:tcPr>
            <w:tcW w:w="948" w:type="dxa"/>
            <w:vAlign w:val="center"/>
          </w:tcPr>
          <w:p w:rsidR="00BA151D" w:rsidRPr="00135988" w:rsidRDefault="00BA151D" w:rsidP="007B5FFE">
            <w:pPr>
              <w:jc w:val="center"/>
              <w:rPr>
                <w:sz w:val="20"/>
              </w:rPr>
            </w:pPr>
            <w:r w:rsidRPr="00135988">
              <w:rPr>
                <w:rFonts w:cstheme="minorHAnsi"/>
                <w:sz w:val="20"/>
              </w:rPr>
              <w:t>•</w:t>
            </w:r>
          </w:p>
        </w:tc>
        <w:tc>
          <w:tcPr>
            <w:tcW w:w="947" w:type="dxa"/>
            <w:vAlign w:val="center"/>
          </w:tcPr>
          <w:p w:rsidR="00BA151D" w:rsidRPr="00B936D3" w:rsidRDefault="00BA151D" w:rsidP="007B5FFE">
            <w:pPr>
              <w:jc w:val="center"/>
              <w:rPr>
                <w:rFonts w:cstheme="minorHAnsi"/>
                <w:sz w:val="20"/>
              </w:rPr>
            </w:pPr>
          </w:p>
        </w:tc>
        <w:tc>
          <w:tcPr>
            <w:tcW w:w="948" w:type="dxa"/>
            <w:vAlign w:val="center"/>
          </w:tcPr>
          <w:p w:rsidR="00BA151D" w:rsidRPr="00B936D3" w:rsidRDefault="00BA151D" w:rsidP="007B5FFE">
            <w:pPr>
              <w:jc w:val="center"/>
              <w:rPr>
                <w:rFonts w:cstheme="minorHAnsi"/>
                <w:sz w:val="20"/>
              </w:rPr>
            </w:pPr>
            <w:r w:rsidRPr="00B936D3">
              <w:rPr>
                <w:rFonts w:cstheme="minorHAnsi"/>
                <w:sz w:val="20"/>
              </w:rPr>
              <w:t>•</w:t>
            </w:r>
          </w:p>
        </w:tc>
        <w:tc>
          <w:tcPr>
            <w:tcW w:w="2135" w:type="dxa"/>
            <w:vAlign w:val="center"/>
          </w:tcPr>
          <w:p w:rsidR="00BA151D" w:rsidRPr="00B936D3" w:rsidRDefault="00BA151D" w:rsidP="007B5FFE">
            <w:pPr>
              <w:jc w:val="center"/>
              <w:rPr>
                <w:rFonts w:cstheme="minorHAnsi"/>
                <w:sz w:val="20"/>
              </w:rPr>
            </w:pPr>
            <w:r w:rsidRPr="00B936D3">
              <w:rPr>
                <w:rFonts w:cstheme="minorHAnsi"/>
                <w:sz w:val="20"/>
              </w:rPr>
              <w:t>Self-respondent</w:t>
            </w:r>
          </w:p>
        </w:tc>
        <w:tc>
          <w:tcPr>
            <w:tcW w:w="2183" w:type="dxa"/>
            <w:vAlign w:val="center"/>
          </w:tcPr>
          <w:p w:rsidR="00BA151D" w:rsidRPr="00DE23F8" w:rsidRDefault="00BA151D" w:rsidP="007B5FFE">
            <w:pPr>
              <w:pStyle w:val="NormalWeb"/>
              <w:rPr>
                <w:rFonts w:asciiTheme="minorHAnsi" w:hAnsiTheme="minorHAnsi" w:cstheme="minorHAnsi"/>
                <w:sz w:val="20"/>
                <w:szCs w:val="20"/>
              </w:rPr>
            </w:pPr>
            <w:r w:rsidRPr="00DE23F8">
              <w:rPr>
                <w:rFonts w:asciiTheme="minorHAnsi" w:hAnsiTheme="minorHAnsi" w:cstheme="minorHAnsi"/>
                <w:sz w:val="20"/>
                <w:szCs w:val="20"/>
              </w:rPr>
              <w:t xml:space="preserve">Hays RD, </w:t>
            </w:r>
            <w:proofErr w:type="spellStart"/>
            <w:r w:rsidRPr="00DE23F8">
              <w:rPr>
                <w:rFonts w:asciiTheme="minorHAnsi" w:hAnsiTheme="minorHAnsi" w:cstheme="minorHAnsi"/>
                <w:sz w:val="20"/>
                <w:szCs w:val="20"/>
              </w:rPr>
              <w:t>Sherbourne</w:t>
            </w:r>
            <w:proofErr w:type="spellEnd"/>
            <w:r w:rsidRPr="00DE23F8">
              <w:rPr>
                <w:rFonts w:asciiTheme="minorHAnsi" w:hAnsiTheme="minorHAnsi" w:cstheme="minorHAnsi"/>
                <w:sz w:val="20"/>
                <w:szCs w:val="20"/>
              </w:rPr>
              <w:t xml:space="preserve"> CD, and </w:t>
            </w:r>
            <w:proofErr w:type="spellStart"/>
            <w:r w:rsidRPr="00DE23F8">
              <w:rPr>
                <w:rFonts w:asciiTheme="minorHAnsi" w:hAnsiTheme="minorHAnsi" w:cstheme="minorHAnsi"/>
                <w:sz w:val="20"/>
                <w:szCs w:val="20"/>
              </w:rPr>
              <w:t>Mazel</w:t>
            </w:r>
            <w:proofErr w:type="spellEnd"/>
            <w:r w:rsidRPr="00DE23F8">
              <w:rPr>
                <w:rFonts w:asciiTheme="minorHAnsi" w:hAnsiTheme="minorHAnsi" w:cstheme="minorHAnsi"/>
                <w:sz w:val="20"/>
                <w:szCs w:val="20"/>
              </w:rPr>
              <w:t xml:space="preserve"> RM. The RAND 36-Item Health Survey 1.0. Health Economics </w:t>
            </w:r>
            <w:proofErr w:type="gramStart"/>
            <w:r w:rsidRPr="00DE23F8">
              <w:rPr>
                <w:rFonts w:asciiTheme="minorHAnsi" w:hAnsiTheme="minorHAnsi" w:cstheme="minorHAnsi"/>
                <w:sz w:val="20"/>
                <w:szCs w:val="20"/>
              </w:rPr>
              <w:t>1993  2</w:t>
            </w:r>
            <w:proofErr w:type="gramEnd"/>
            <w:r w:rsidRPr="00DE23F8">
              <w:rPr>
                <w:rFonts w:asciiTheme="minorHAnsi" w:hAnsiTheme="minorHAnsi" w:cstheme="minorHAnsi"/>
                <w:sz w:val="20"/>
                <w:szCs w:val="20"/>
              </w:rPr>
              <w:t>: 217-227.</w:t>
            </w:r>
          </w:p>
        </w:tc>
      </w:tr>
      <w:tr w:rsidR="00BA151D" w:rsidRPr="00135988" w:rsidTr="006D084A">
        <w:trPr>
          <w:trHeight w:val="48"/>
        </w:trPr>
        <w:tc>
          <w:tcPr>
            <w:tcW w:w="2692" w:type="dxa"/>
            <w:vAlign w:val="center"/>
          </w:tcPr>
          <w:p w:rsidR="00BA151D" w:rsidRPr="00135988" w:rsidRDefault="00BA151D" w:rsidP="007B5FFE">
            <w:pPr>
              <w:rPr>
                <w:sz w:val="20"/>
              </w:rPr>
            </w:pPr>
            <w:r w:rsidRPr="00135988">
              <w:rPr>
                <w:sz w:val="20"/>
              </w:rPr>
              <w:t>NHANES Weight History</w:t>
            </w:r>
          </w:p>
        </w:tc>
        <w:tc>
          <w:tcPr>
            <w:tcW w:w="947" w:type="dxa"/>
            <w:vAlign w:val="center"/>
          </w:tcPr>
          <w:p w:rsidR="00BA151D" w:rsidRPr="00135988" w:rsidRDefault="00BA151D" w:rsidP="007B5FFE">
            <w:pPr>
              <w:jc w:val="center"/>
              <w:rPr>
                <w:rFonts w:cstheme="minorHAnsi"/>
                <w:sz w:val="20"/>
              </w:rPr>
            </w:pPr>
          </w:p>
        </w:tc>
        <w:tc>
          <w:tcPr>
            <w:tcW w:w="948" w:type="dxa"/>
            <w:vAlign w:val="center"/>
          </w:tcPr>
          <w:p w:rsidR="00BA151D" w:rsidRPr="00135988" w:rsidRDefault="00BA151D" w:rsidP="007B5FFE">
            <w:pPr>
              <w:jc w:val="center"/>
              <w:rPr>
                <w:rFonts w:cstheme="minorHAnsi"/>
                <w:sz w:val="20"/>
              </w:rPr>
            </w:pPr>
            <w:r w:rsidRPr="00135988">
              <w:rPr>
                <w:rFonts w:cstheme="minorHAnsi"/>
                <w:sz w:val="20"/>
              </w:rPr>
              <w:t>•</w:t>
            </w:r>
          </w:p>
        </w:tc>
        <w:tc>
          <w:tcPr>
            <w:tcW w:w="947" w:type="dxa"/>
            <w:vAlign w:val="center"/>
          </w:tcPr>
          <w:p w:rsidR="00BA151D" w:rsidRPr="00B936D3" w:rsidRDefault="00BA151D" w:rsidP="007B5FFE">
            <w:pPr>
              <w:jc w:val="center"/>
              <w:rPr>
                <w:rFonts w:cstheme="minorHAnsi"/>
                <w:sz w:val="20"/>
              </w:rPr>
            </w:pPr>
          </w:p>
        </w:tc>
        <w:tc>
          <w:tcPr>
            <w:tcW w:w="948" w:type="dxa"/>
            <w:vAlign w:val="center"/>
          </w:tcPr>
          <w:p w:rsidR="00BA151D" w:rsidRPr="00B936D3" w:rsidRDefault="00BA151D" w:rsidP="007B5FFE">
            <w:pPr>
              <w:jc w:val="center"/>
              <w:rPr>
                <w:rFonts w:cstheme="minorHAnsi"/>
                <w:sz w:val="20"/>
              </w:rPr>
            </w:pPr>
          </w:p>
        </w:tc>
        <w:tc>
          <w:tcPr>
            <w:tcW w:w="2135" w:type="dxa"/>
            <w:vAlign w:val="center"/>
          </w:tcPr>
          <w:p w:rsidR="00BA151D" w:rsidRPr="00B936D3" w:rsidRDefault="00BA151D" w:rsidP="007B5FFE">
            <w:pPr>
              <w:jc w:val="center"/>
              <w:rPr>
                <w:rFonts w:cstheme="minorHAnsi"/>
                <w:sz w:val="20"/>
              </w:rPr>
            </w:pPr>
            <w:r w:rsidRPr="00B936D3">
              <w:rPr>
                <w:rFonts w:cstheme="minorHAnsi"/>
                <w:sz w:val="20"/>
              </w:rPr>
              <w:t>Self-respondent</w:t>
            </w:r>
          </w:p>
        </w:tc>
        <w:tc>
          <w:tcPr>
            <w:tcW w:w="2183" w:type="dxa"/>
            <w:vAlign w:val="center"/>
          </w:tcPr>
          <w:p w:rsidR="00BA151D" w:rsidRPr="00B936D3" w:rsidRDefault="00BA151D" w:rsidP="007B5FFE">
            <w:pPr>
              <w:rPr>
                <w:rFonts w:cstheme="minorHAnsi"/>
                <w:sz w:val="20"/>
              </w:rPr>
            </w:pPr>
            <w:r w:rsidRPr="00B936D3">
              <w:rPr>
                <w:rFonts w:cstheme="minorHAnsi"/>
                <w:sz w:val="20"/>
              </w:rPr>
              <w:t xml:space="preserve">NHANES 2011, http://www.cdc.gov/nchs/nhanes/nhanes2011-2012/nhanes11_12.htm </w:t>
            </w:r>
          </w:p>
        </w:tc>
      </w:tr>
      <w:tr w:rsidR="00BA151D" w:rsidRPr="00135988" w:rsidTr="006D084A">
        <w:trPr>
          <w:trHeight w:val="48"/>
        </w:trPr>
        <w:tc>
          <w:tcPr>
            <w:tcW w:w="6482" w:type="dxa"/>
            <w:gridSpan w:val="5"/>
            <w:shd w:val="clear" w:color="auto" w:fill="D9D9D9" w:themeFill="background1" w:themeFillShade="D9"/>
            <w:vAlign w:val="center"/>
          </w:tcPr>
          <w:p w:rsidR="00BA151D" w:rsidRPr="00B936D3" w:rsidRDefault="00BA151D" w:rsidP="007B5FFE">
            <w:pPr>
              <w:rPr>
                <w:rFonts w:cstheme="minorHAnsi"/>
                <w:b/>
                <w:sz w:val="20"/>
              </w:rPr>
            </w:pPr>
            <w:r w:rsidRPr="00B936D3">
              <w:rPr>
                <w:rFonts w:cstheme="minorHAnsi"/>
                <w:b/>
                <w:sz w:val="20"/>
              </w:rPr>
              <w:t>Diet/Food Intake</w:t>
            </w:r>
          </w:p>
        </w:tc>
        <w:tc>
          <w:tcPr>
            <w:tcW w:w="2135" w:type="dxa"/>
            <w:shd w:val="clear" w:color="auto" w:fill="D9D9D9" w:themeFill="background1" w:themeFillShade="D9"/>
            <w:vAlign w:val="center"/>
          </w:tcPr>
          <w:p w:rsidR="00BA151D" w:rsidRPr="00B936D3" w:rsidRDefault="00BA151D" w:rsidP="007B5FFE">
            <w:pPr>
              <w:jc w:val="center"/>
              <w:rPr>
                <w:rFonts w:cstheme="minorHAnsi"/>
                <w:b/>
                <w:sz w:val="20"/>
              </w:rPr>
            </w:pPr>
          </w:p>
        </w:tc>
        <w:tc>
          <w:tcPr>
            <w:tcW w:w="2183" w:type="dxa"/>
            <w:shd w:val="clear" w:color="auto" w:fill="D9D9D9" w:themeFill="background1" w:themeFillShade="D9"/>
            <w:vAlign w:val="center"/>
          </w:tcPr>
          <w:p w:rsidR="00BA151D" w:rsidRPr="00B936D3" w:rsidRDefault="00BA151D" w:rsidP="007B5FFE">
            <w:pPr>
              <w:rPr>
                <w:rFonts w:cstheme="minorHAnsi"/>
                <w:b/>
                <w:sz w:val="20"/>
              </w:rPr>
            </w:pPr>
          </w:p>
        </w:tc>
      </w:tr>
      <w:tr w:rsidR="00BA151D" w:rsidRPr="00135988" w:rsidTr="006D084A">
        <w:trPr>
          <w:trHeight w:val="48"/>
        </w:trPr>
        <w:tc>
          <w:tcPr>
            <w:tcW w:w="2692" w:type="dxa"/>
            <w:vAlign w:val="center"/>
          </w:tcPr>
          <w:p w:rsidR="00BA151D" w:rsidRPr="00135988" w:rsidRDefault="00BA151D" w:rsidP="007B5FFE">
            <w:pPr>
              <w:rPr>
                <w:sz w:val="20"/>
              </w:rPr>
            </w:pPr>
            <w:r>
              <w:rPr>
                <w:sz w:val="20"/>
              </w:rPr>
              <w:t>Eating Out and Food/Drink Consumption Questions</w:t>
            </w:r>
          </w:p>
        </w:tc>
        <w:tc>
          <w:tcPr>
            <w:tcW w:w="947" w:type="dxa"/>
            <w:vAlign w:val="center"/>
          </w:tcPr>
          <w:p w:rsidR="00BA151D" w:rsidRPr="00135988" w:rsidRDefault="00BA151D" w:rsidP="007B5FFE">
            <w:pPr>
              <w:jc w:val="center"/>
              <w:rPr>
                <w:rFonts w:cstheme="minorHAnsi"/>
                <w:sz w:val="20"/>
              </w:rPr>
            </w:pPr>
          </w:p>
        </w:tc>
        <w:tc>
          <w:tcPr>
            <w:tcW w:w="948" w:type="dxa"/>
            <w:vAlign w:val="center"/>
          </w:tcPr>
          <w:p w:rsidR="00BA151D" w:rsidRPr="00135988" w:rsidRDefault="00BA151D" w:rsidP="007B5FFE">
            <w:pPr>
              <w:jc w:val="center"/>
              <w:rPr>
                <w:sz w:val="20"/>
              </w:rPr>
            </w:pPr>
            <w:r w:rsidRPr="00135988">
              <w:rPr>
                <w:rFonts w:cstheme="minorHAnsi"/>
                <w:sz w:val="20"/>
              </w:rPr>
              <w:t>•</w:t>
            </w:r>
          </w:p>
        </w:tc>
        <w:tc>
          <w:tcPr>
            <w:tcW w:w="947" w:type="dxa"/>
            <w:vAlign w:val="center"/>
          </w:tcPr>
          <w:p w:rsidR="00BA151D" w:rsidRPr="00B936D3" w:rsidRDefault="00BA151D" w:rsidP="007B5FFE">
            <w:pPr>
              <w:jc w:val="center"/>
              <w:rPr>
                <w:rFonts w:cstheme="minorHAnsi"/>
                <w:sz w:val="20"/>
              </w:rPr>
            </w:pPr>
            <w:r w:rsidRPr="00B936D3">
              <w:rPr>
                <w:rFonts w:cstheme="minorHAnsi"/>
                <w:sz w:val="20"/>
              </w:rPr>
              <w:t>•</w:t>
            </w:r>
          </w:p>
        </w:tc>
        <w:tc>
          <w:tcPr>
            <w:tcW w:w="948" w:type="dxa"/>
            <w:vAlign w:val="center"/>
          </w:tcPr>
          <w:p w:rsidR="00BA151D" w:rsidRPr="00B936D3" w:rsidRDefault="00BA151D" w:rsidP="007B5FFE">
            <w:pPr>
              <w:jc w:val="center"/>
              <w:rPr>
                <w:rFonts w:cstheme="minorHAnsi"/>
                <w:sz w:val="20"/>
              </w:rPr>
            </w:pPr>
            <w:r w:rsidRPr="00B936D3">
              <w:rPr>
                <w:rFonts w:cstheme="minorHAnsi"/>
                <w:sz w:val="20"/>
              </w:rPr>
              <w:t>•</w:t>
            </w:r>
          </w:p>
        </w:tc>
        <w:tc>
          <w:tcPr>
            <w:tcW w:w="2135" w:type="dxa"/>
            <w:vAlign w:val="center"/>
          </w:tcPr>
          <w:p w:rsidR="00BA151D" w:rsidRPr="00B936D3" w:rsidRDefault="00BA151D" w:rsidP="007B5FFE">
            <w:pPr>
              <w:jc w:val="center"/>
              <w:rPr>
                <w:rFonts w:cstheme="minorHAnsi"/>
                <w:sz w:val="20"/>
              </w:rPr>
            </w:pPr>
            <w:r w:rsidRPr="00B936D3">
              <w:rPr>
                <w:rFonts w:cstheme="minorHAnsi"/>
                <w:sz w:val="20"/>
              </w:rPr>
              <w:t>Self-respondent</w:t>
            </w:r>
          </w:p>
        </w:tc>
        <w:tc>
          <w:tcPr>
            <w:tcW w:w="2183" w:type="dxa"/>
            <w:vAlign w:val="center"/>
          </w:tcPr>
          <w:p w:rsidR="00BA151D" w:rsidRPr="00B936D3" w:rsidRDefault="00BA151D" w:rsidP="007B5FFE">
            <w:pPr>
              <w:rPr>
                <w:rFonts w:cstheme="minorHAnsi"/>
                <w:sz w:val="20"/>
              </w:rPr>
            </w:pPr>
            <w:r w:rsidRPr="00B936D3">
              <w:rPr>
                <w:rFonts w:cstheme="minorHAnsi"/>
                <w:sz w:val="20"/>
              </w:rPr>
              <w:t>Q1-4:  NHANES 2009-2011 Flexible consumer behavior survey; Q5-</w:t>
            </w:r>
            <w:r>
              <w:rPr>
                <w:rFonts w:cstheme="minorHAnsi"/>
                <w:sz w:val="20"/>
              </w:rPr>
              <w:t>9</w:t>
            </w:r>
            <w:r w:rsidRPr="00B936D3">
              <w:rPr>
                <w:rFonts w:cstheme="minorHAnsi"/>
                <w:sz w:val="20"/>
              </w:rPr>
              <w:t>: BRFSS 2011, CDC; Q1</w:t>
            </w:r>
            <w:r>
              <w:rPr>
                <w:rFonts w:cstheme="minorHAnsi"/>
                <w:sz w:val="20"/>
              </w:rPr>
              <w:t xml:space="preserve">0 </w:t>
            </w:r>
            <w:r w:rsidRPr="0085476A">
              <w:rPr>
                <w:rFonts w:cstheme="minorHAnsi"/>
                <w:sz w:val="20"/>
              </w:rPr>
              <w:t xml:space="preserve">Hedrick VE, </w:t>
            </w:r>
            <w:proofErr w:type="spellStart"/>
            <w:r w:rsidRPr="0085476A">
              <w:rPr>
                <w:rFonts w:cstheme="minorHAnsi"/>
                <w:sz w:val="20"/>
              </w:rPr>
              <w:t>Savla</w:t>
            </w:r>
            <w:proofErr w:type="spellEnd"/>
            <w:r w:rsidRPr="0085476A">
              <w:rPr>
                <w:rFonts w:cstheme="minorHAnsi"/>
                <w:sz w:val="20"/>
              </w:rPr>
              <w:t xml:space="preserve"> J, Comber DL, Flack KD, </w:t>
            </w:r>
            <w:proofErr w:type="spellStart"/>
            <w:r w:rsidRPr="0085476A">
              <w:rPr>
                <w:rFonts w:cstheme="minorHAnsi"/>
                <w:sz w:val="20"/>
              </w:rPr>
              <w:t>Estabrooks</w:t>
            </w:r>
            <w:proofErr w:type="spellEnd"/>
            <w:r w:rsidRPr="0085476A">
              <w:rPr>
                <w:rFonts w:cstheme="minorHAnsi"/>
                <w:sz w:val="20"/>
              </w:rPr>
              <w:t xml:space="preserve"> PA, </w:t>
            </w:r>
            <w:proofErr w:type="spellStart"/>
            <w:r w:rsidRPr="0085476A">
              <w:rPr>
                <w:rFonts w:cstheme="minorHAnsi"/>
                <w:sz w:val="20"/>
              </w:rPr>
              <w:t>Nsiah-Kumi</w:t>
            </w:r>
            <w:proofErr w:type="spellEnd"/>
            <w:r w:rsidRPr="0085476A">
              <w:rPr>
                <w:rFonts w:cstheme="minorHAnsi"/>
                <w:sz w:val="20"/>
              </w:rPr>
              <w:t xml:space="preserve"> PA, </w:t>
            </w:r>
            <w:proofErr w:type="spellStart"/>
            <w:r w:rsidRPr="0085476A">
              <w:rPr>
                <w:rFonts w:cstheme="minorHAnsi"/>
                <w:sz w:val="20"/>
              </w:rPr>
              <w:t>Ortmeier</w:t>
            </w:r>
            <w:proofErr w:type="spellEnd"/>
            <w:r w:rsidRPr="0085476A">
              <w:rPr>
                <w:rFonts w:cstheme="minorHAnsi"/>
                <w:sz w:val="20"/>
              </w:rPr>
              <w:t xml:space="preserve"> S, Davy BM. Development of a Brief Questionnaire to Assess </w:t>
            </w:r>
            <w:r w:rsidRPr="0085476A">
              <w:rPr>
                <w:rFonts w:cstheme="minorHAnsi"/>
                <w:sz w:val="20"/>
              </w:rPr>
              <w:lastRenderedPageBreak/>
              <w:t xml:space="preserve">Habitual Beverage Intake (BEVQ-15): Sugar-Sweetened Beverages and Total Beverage Energy Intake. J </w:t>
            </w:r>
            <w:proofErr w:type="spellStart"/>
            <w:r w:rsidRPr="0085476A">
              <w:rPr>
                <w:rFonts w:cstheme="minorHAnsi"/>
                <w:sz w:val="20"/>
              </w:rPr>
              <w:t>Acad</w:t>
            </w:r>
            <w:proofErr w:type="spellEnd"/>
            <w:r w:rsidRPr="0085476A">
              <w:rPr>
                <w:rFonts w:cstheme="minorHAnsi"/>
                <w:sz w:val="20"/>
              </w:rPr>
              <w:t xml:space="preserve"> </w:t>
            </w:r>
            <w:proofErr w:type="spellStart"/>
            <w:r w:rsidRPr="0085476A">
              <w:rPr>
                <w:rFonts w:cstheme="minorHAnsi"/>
                <w:sz w:val="20"/>
              </w:rPr>
              <w:t>Nutr</w:t>
            </w:r>
            <w:proofErr w:type="spellEnd"/>
            <w:r w:rsidRPr="0085476A">
              <w:rPr>
                <w:rFonts w:cstheme="minorHAnsi"/>
                <w:sz w:val="20"/>
              </w:rPr>
              <w:t xml:space="preserve"> Diet. 2012; 112:840-849. </w:t>
            </w:r>
            <w:r>
              <w:rPr>
                <w:rFonts w:cstheme="minorHAnsi"/>
                <w:sz w:val="20"/>
              </w:rPr>
              <w:t xml:space="preserve"> Q11 </w:t>
            </w:r>
            <w:r w:rsidRPr="00B936D3">
              <w:rPr>
                <w:rFonts w:cstheme="minorHAnsi"/>
                <w:sz w:val="20"/>
              </w:rPr>
              <w:t>ACHA (American College Health Association) National College Health Assessment II, 2008; Q12-15: CHIS (California Health Interview Survey) 2009; Q16: CDC recommended question; Q17-19: NIH-NIAAA (National Institute on Alcohol Abuse and Alcoholism)</w:t>
            </w:r>
          </w:p>
        </w:tc>
      </w:tr>
      <w:tr w:rsidR="00BA151D" w:rsidRPr="00135988" w:rsidTr="006D084A">
        <w:trPr>
          <w:trHeight w:val="48"/>
        </w:trPr>
        <w:tc>
          <w:tcPr>
            <w:tcW w:w="2692" w:type="dxa"/>
            <w:vAlign w:val="center"/>
          </w:tcPr>
          <w:p w:rsidR="00BA151D" w:rsidRPr="00135988" w:rsidRDefault="00BA151D" w:rsidP="007B5FFE">
            <w:pPr>
              <w:rPr>
                <w:sz w:val="20"/>
              </w:rPr>
            </w:pPr>
            <w:r>
              <w:rPr>
                <w:sz w:val="20"/>
              </w:rPr>
              <w:lastRenderedPageBreak/>
              <w:t>Eating Patterns</w:t>
            </w:r>
          </w:p>
        </w:tc>
        <w:tc>
          <w:tcPr>
            <w:tcW w:w="947" w:type="dxa"/>
            <w:vAlign w:val="center"/>
          </w:tcPr>
          <w:p w:rsidR="00BA151D" w:rsidRPr="00135988" w:rsidRDefault="00BA151D" w:rsidP="007B5FFE">
            <w:pPr>
              <w:jc w:val="center"/>
              <w:rPr>
                <w:rFonts w:cstheme="minorHAnsi"/>
                <w:sz w:val="20"/>
              </w:rPr>
            </w:pPr>
          </w:p>
        </w:tc>
        <w:tc>
          <w:tcPr>
            <w:tcW w:w="948" w:type="dxa"/>
            <w:vAlign w:val="center"/>
          </w:tcPr>
          <w:p w:rsidR="00BA151D" w:rsidRPr="00135988" w:rsidRDefault="00BA151D" w:rsidP="007B5FFE">
            <w:pPr>
              <w:jc w:val="center"/>
              <w:rPr>
                <w:rFonts w:cstheme="minorHAnsi"/>
                <w:sz w:val="20"/>
              </w:rPr>
            </w:pPr>
            <w:r w:rsidRPr="00135988">
              <w:rPr>
                <w:rFonts w:cstheme="minorHAnsi"/>
                <w:sz w:val="20"/>
              </w:rPr>
              <w:t>•</w:t>
            </w:r>
          </w:p>
        </w:tc>
        <w:tc>
          <w:tcPr>
            <w:tcW w:w="947" w:type="dxa"/>
            <w:vAlign w:val="center"/>
          </w:tcPr>
          <w:p w:rsidR="00BA151D" w:rsidRPr="00B936D3" w:rsidRDefault="00BA151D" w:rsidP="007B5FFE">
            <w:pPr>
              <w:jc w:val="center"/>
              <w:rPr>
                <w:rFonts w:cstheme="minorHAnsi"/>
                <w:sz w:val="20"/>
              </w:rPr>
            </w:pPr>
          </w:p>
        </w:tc>
        <w:tc>
          <w:tcPr>
            <w:tcW w:w="948" w:type="dxa"/>
            <w:vAlign w:val="center"/>
          </w:tcPr>
          <w:p w:rsidR="00BA151D" w:rsidRPr="00B936D3" w:rsidRDefault="00BA151D" w:rsidP="007B5FFE">
            <w:pPr>
              <w:jc w:val="center"/>
              <w:rPr>
                <w:rFonts w:cstheme="minorHAnsi"/>
                <w:sz w:val="20"/>
              </w:rPr>
            </w:pPr>
          </w:p>
        </w:tc>
        <w:tc>
          <w:tcPr>
            <w:tcW w:w="2135" w:type="dxa"/>
            <w:vAlign w:val="center"/>
          </w:tcPr>
          <w:p w:rsidR="00BA151D" w:rsidRPr="00B936D3" w:rsidRDefault="00BA151D" w:rsidP="007B5FFE">
            <w:pPr>
              <w:jc w:val="center"/>
              <w:rPr>
                <w:rFonts w:cstheme="minorHAnsi"/>
                <w:sz w:val="20"/>
              </w:rPr>
            </w:pPr>
            <w:r w:rsidRPr="00B936D3">
              <w:rPr>
                <w:rFonts w:cstheme="minorHAnsi"/>
                <w:sz w:val="20"/>
              </w:rPr>
              <w:t>Self-respondent</w:t>
            </w:r>
          </w:p>
        </w:tc>
        <w:tc>
          <w:tcPr>
            <w:tcW w:w="2183" w:type="dxa"/>
            <w:vAlign w:val="center"/>
          </w:tcPr>
          <w:p w:rsidR="00BA151D" w:rsidRPr="00B936D3" w:rsidRDefault="00BA151D" w:rsidP="007B5FFE">
            <w:pPr>
              <w:pStyle w:val="Heading3"/>
              <w:spacing w:before="0" w:after="0"/>
              <w:outlineLvl w:val="2"/>
              <w:rPr>
                <w:rFonts w:asciiTheme="minorHAnsi" w:hAnsiTheme="minorHAnsi" w:cstheme="minorHAnsi"/>
                <w:b w:val="0"/>
                <w:sz w:val="20"/>
                <w:szCs w:val="20"/>
              </w:rPr>
            </w:pPr>
            <w:proofErr w:type="gramStart"/>
            <w:r w:rsidRPr="00B936D3">
              <w:rPr>
                <w:rFonts w:asciiTheme="minorHAnsi" w:hAnsiTheme="minorHAnsi" w:cstheme="minorHAnsi"/>
                <w:b w:val="0"/>
                <w:sz w:val="20"/>
                <w:szCs w:val="20"/>
              </w:rPr>
              <w:t>The Lab Gym client dietary assessment.</w:t>
            </w:r>
            <w:proofErr w:type="gramEnd"/>
            <w:r w:rsidRPr="00B936D3">
              <w:rPr>
                <w:rFonts w:asciiTheme="minorHAnsi" w:hAnsiTheme="minorHAnsi" w:cstheme="minorHAnsi"/>
                <w:b w:val="0"/>
                <w:sz w:val="20"/>
                <w:szCs w:val="20"/>
              </w:rPr>
              <w:t xml:space="preserve">  St Louis MO.  </w:t>
            </w:r>
            <w:proofErr w:type="gramStart"/>
            <w:r w:rsidRPr="00B936D3">
              <w:rPr>
                <w:rFonts w:asciiTheme="minorHAnsi" w:hAnsiTheme="minorHAnsi" w:cstheme="minorHAnsi"/>
                <w:b w:val="0"/>
                <w:sz w:val="20"/>
                <w:szCs w:val="20"/>
              </w:rPr>
              <w:t>Compiled by Justin Thacker, MS, RD, LD, HFS, USAW, CSCS, CES, owner of the Lab Gym.</w:t>
            </w:r>
            <w:proofErr w:type="gramEnd"/>
          </w:p>
        </w:tc>
      </w:tr>
      <w:tr w:rsidR="00BA151D" w:rsidRPr="00135988" w:rsidTr="006D084A">
        <w:trPr>
          <w:trHeight w:val="48"/>
        </w:trPr>
        <w:tc>
          <w:tcPr>
            <w:tcW w:w="2692" w:type="dxa"/>
            <w:shd w:val="clear" w:color="auto" w:fill="auto"/>
            <w:vAlign w:val="center"/>
          </w:tcPr>
          <w:p w:rsidR="00BA151D" w:rsidRPr="00556857" w:rsidRDefault="00BA151D" w:rsidP="007B5FFE">
            <w:pPr>
              <w:rPr>
                <w:sz w:val="20"/>
              </w:rPr>
            </w:pPr>
            <w:r w:rsidRPr="00556857">
              <w:rPr>
                <w:sz w:val="20"/>
              </w:rPr>
              <w:t>Food Log</w:t>
            </w:r>
          </w:p>
        </w:tc>
        <w:tc>
          <w:tcPr>
            <w:tcW w:w="947" w:type="dxa"/>
            <w:shd w:val="clear" w:color="auto" w:fill="auto"/>
            <w:vAlign w:val="center"/>
          </w:tcPr>
          <w:p w:rsidR="00BA151D" w:rsidRPr="00556857" w:rsidRDefault="00BA151D" w:rsidP="007B5FFE">
            <w:pPr>
              <w:jc w:val="center"/>
              <w:rPr>
                <w:rFonts w:cstheme="minorHAnsi"/>
                <w:sz w:val="20"/>
              </w:rPr>
            </w:pPr>
          </w:p>
        </w:tc>
        <w:tc>
          <w:tcPr>
            <w:tcW w:w="948" w:type="dxa"/>
            <w:shd w:val="clear" w:color="auto" w:fill="auto"/>
            <w:vAlign w:val="center"/>
          </w:tcPr>
          <w:p w:rsidR="00BA151D" w:rsidRPr="00556857" w:rsidRDefault="00BA151D" w:rsidP="007B5FFE">
            <w:pPr>
              <w:jc w:val="center"/>
              <w:rPr>
                <w:rFonts w:cstheme="minorHAnsi"/>
                <w:sz w:val="20"/>
              </w:rPr>
            </w:pPr>
            <w:r w:rsidRPr="00556857">
              <w:rPr>
                <w:rFonts w:cstheme="minorHAnsi"/>
                <w:sz w:val="20"/>
              </w:rPr>
              <w:t>•</w:t>
            </w:r>
          </w:p>
        </w:tc>
        <w:tc>
          <w:tcPr>
            <w:tcW w:w="947" w:type="dxa"/>
            <w:shd w:val="clear" w:color="auto" w:fill="auto"/>
            <w:vAlign w:val="center"/>
          </w:tcPr>
          <w:p w:rsidR="00BA151D" w:rsidRPr="00B936D3" w:rsidRDefault="00BA151D" w:rsidP="007B5FFE">
            <w:pPr>
              <w:jc w:val="center"/>
              <w:rPr>
                <w:rFonts w:cstheme="minorHAnsi"/>
                <w:sz w:val="20"/>
              </w:rPr>
            </w:pPr>
          </w:p>
        </w:tc>
        <w:tc>
          <w:tcPr>
            <w:tcW w:w="948" w:type="dxa"/>
            <w:shd w:val="clear" w:color="auto" w:fill="auto"/>
            <w:vAlign w:val="center"/>
          </w:tcPr>
          <w:p w:rsidR="00BA151D" w:rsidRPr="00B936D3" w:rsidRDefault="00BA151D" w:rsidP="007B5FFE">
            <w:pPr>
              <w:jc w:val="center"/>
              <w:rPr>
                <w:rFonts w:cstheme="minorHAnsi"/>
                <w:sz w:val="20"/>
              </w:rPr>
            </w:pPr>
          </w:p>
        </w:tc>
        <w:tc>
          <w:tcPr>
            <w:tcW w:w="2135" w:type="dxa"/>
            <w:shd w:val="clear" w:color="auto" w:fill="auto"/>
            <w:vAlign w:val="center"/>
          </w:tcPr>
          <w:p w:rsidR="00BA151D" w:rsidRPr="00B936D3" w:rsidRDefault="00BA151D" w:rsidP="007B5FFE">
            <w:pPr>
              <w:jc w:val="center"/>
              <w:rPr>
                <w:rFonts w:cstheme="minorHAnsi"/>
                <w:sz w:val="20"/>
              </w:rPr>
            </w:pPr>
            <w:r w:rsidRPr="00B936D3">
              <w:rPr>
                <w:rFonts w:cstheme="minorHAnsi"/>
                <w:sz w:val="20"/>
              </w:rPr>
              <w:t>Self-respondent</w:t>
            </w:r>
          </w:p>
        </w:tc>
        <w:tc>
          <w:tcPr>
            <w:tcW w:w="2183" w:type="dxa"/>
            <w:vAlign w:val="center"/>
          </w:tcPr>
          <w:p w:rsidR="00BA151D" w:rsidRPr="00B936D3" w:rsidRDefault="00BA151D" w:rsidP="007B5FFE">
            <w:pPr>
              <w:rPr>
                <w:rFonts w:cstheme="minorHAnsi"/>
                <w:sz w:val="20"/>
              </w:rPr>
            </w:pPr>
            <w:r w:rsidRPr="00B936D3">
              <w:rPr>
                <w:rFonts w:cstheme="minorHAnsi"/>
                <w:sz w:val="20"/>
              </w:rPr>
              <w:t>http://www.realsimple.com/static/pdfs/foodjournal.pdf</w:t>
            </w:r>
          </w:p>
        </w:tc>
      </w:tr>
    </w:tbl>
    <w:p w:rsidR="00BA151D" w:rsidRDefault="00BA151D" w:rsidP="006D084A"/>
    <w:p w:rsidR="00BA151D" w:rsidRPr="00F81A6B" w:rsidRDefault="00BA151D" w:rsidP="006D084A">
      <w:pPr>
        <w:rPr>
          <w:b/>
          <w:u w:val="single"/>
        </w:rPr>
      </w:pPr>
      <w:r w:rsidRPr="00F81A6B">
        <w:rPr>
          <w:b/>
          <w:u w:val="single"/>
        </w:rPr>
        <w:t>Total Number of Items per Survey</w:t>
      </w:r>
    </w:p>
    <w:tbl>
      <w:tblPr>
        <w:tblStyle w:val="TableGrid"/>
        <w:tblW w:w="0" w:type="auto"/>
        <w:tblLook w:val="04A0"/>
      </w:tblPr>
      <w:tblGrid>
        <w:gridCol w:w="3528"/>
        <w:gridCol w:w="1800"/>
      </w:tblGrid>
      <w:tr w:rsidR="00BA151D" w:rsidRPr="00117186" w:rsidTr="007B5FFE">
        <w:trPr>
          <w:trHeight w:val="278"/>
        </w:trPr>
        <w:tc>
          <w:tcPr>
            <w:tcW w:w="3528" w:type="dxa"/>
          </w:tcPr>
          <w:p w:rsidR="00BA151D" w:rsidRPr="00117186" w:rsidRDefault="00BA151D" w:rsidP="007B5FFE">
            <w:pPr>
              <w:rPr>
                <w:b/>
                <w:i/>
                <w:sz w:val="20"/>
              </w:rPr>
            </w:pPr>
            <w:r>
              <w:rPr>
                <w:b/>
                <w:i/>
                <w:sz w:val="20"/>
              </w:rPr>
              <w:t>Time point/ Survey</w:t>
            </w:r>
          </w:p>
        </w:tc>
        <w:tc>
          <w:tcPr>
            <w:tcW w:w="1800" w:type="dxa"/>
          </w:tcPr>
          <w:p w:rsidR="00BA151D" w:rsidRPr="00117186" w:rsidRDefault="00BA151D" w:rsidP="007B5FFE">
            <w:pPr>
              <w:rPr>
                <w:b/>
                <w:i/>
                <w:sz w:val="20"/>
              </w:rPr>
            </w:pPr>
            <w:r w:rsidRPr="00117186">
              <w:rPr>
                <w:b/>
                <w:i/>
                <w:sz w:val="20"/>
              </w:rPr>
              <w:t>Number of Items</w:t>
            </w:r>
          </w:p>
        </w:tc>
      </w:tr>
      <w:tr w:rsidR="00BA151D" w:rsidRPr="00117186" w:rsidTr="007B5FFE">
        <w:trPr>
          <w:trHeight w:val="278"/>
        </w:trPr>
        <w:tc>
          <w:tcPr>
            <w:tcW w:w="3528" w:type="dxa"/>
          </w:tcPr>
          <w:p w:rsidR="00BA151D" w:rsidRDefault="00BA151D" w:rsidP="007B5FFE">
            <w:pPr>
              <w:rPr>
                <w:sz w:val="20"/>
              </w:rPr>
            </w:pPr>
            <w:r>
              <w:rPr>
                <w:sz w:val="20"/>
              </w:rPr>
              <w:t>Enrollment</w:t>
            </w:r>
          </w:p>
          <w:p w:rsidR="00BA151D" w:rsidRDefault="00BA151D" w:rsidP="006D084A">
            <w:pPr>
              <w:pStyle w:val="ListParagraph"/>
              <w:numPr>
                <w:ilvl w:val="0"/>
                <w:numId w:val="4"/>
              </w:numPr>
              <w:spacing w:after="0" w:line="240" w:lineRule="auto"/>
              <w:rPr>
                <w:sz w:val="20"/>
                <w:szCs w:val="20"/>
              </w:rPr>
            </w:pPr>
            <w:r>
              <w:rPr>
                <w:sz w:val="20"/>
                <w:szCs w:val="20"/>
              </w:rPr>
              <w:t>Screening Questionnaire (4)</w:t>
            </w:r>
          </w:p>
          <w:p w:rsidR="00BA151D" w:rsidRDefault="00BA151D" w:rsidP="006D084A">
            <w:pPr>
              <w:pStyle w:val="ListParagraph"/>
              <w:numPr>
                <w:ilvl w:val="0"/>
                <w:numId w:val="4"/>
              </w:numPr>
              <w:spacing w:after="0" w:line="240" w:lineRule="auto"/>
              <w:rPr>
                <w:sz w:val="20"/>
                <w:szCs w:val="20"/>
              </w:rPr>
            </w:pPr>
            <w:r>
              <w:rPr>
                <w:sz w:val="20"/>
                <w:szCs w:val="20"/>
              </w:rPr>
              <w:t>Contact Information Form (11)</w:t>
            </w:r>
          </w:p>
          <w:p w:rsidR="00BA151D" w:rsidRDefault="00BA151D" w:rsidP="006D084A">
            <w:pPr>
              <w:pStyle w:val="ListParagraph"/>
              <w:numPr>
                <w:ilvl w:val="0"/>
                <w:numId w:val="4"/>
              </w:numPr>
              <w:spacing w:after="0" w:line="240" w:lineRule="auto"/>
              <w:rPr>
                <w:sz w:val="20"/>
                <w:szCs w:val="20"/>
              </w:rPr>
            </w:pPr>
            <w:r>
              <w:rPr>
                <w:sz w:val="20"/>
                <w:szCs w:val="20"/>
              </w:rPr>
              <w:t>Medical History Form (55)</w:t>
            </w:r>
          </w:p>
          <w:p w:rsidR="00BA151D" w:rsidRPr="006C2EC6" w:rsidRDefault="00BA151D" w:rsidP="006D084A">
            <w:pPr>
              <w:pStyle w:val="ListParagraph"/>
              <w:numPr>
                <w:ilvl w:val="0"/>
                <w:numId w:val="4"/>
              </w:numPr>
              <w:spacing w:after="0" w:line="240" w:lineRule="auto"/>
              <w:rPr>
                <w:sz w:val="20"/>
                <w:szCs w:val="20"/>
              </w:rPr>
            </w:pPr>
            <w:r>
              <w:rPr>
                <w:sz w:val="20"/>
                <w:szCs w:val="20"/>
              </w:rPr>
              <w:t>Demographics Questionnaire (12)</w:t>
            </w:r>
          </w:p>
        </w:tc>
        <w:tc>
          <w:tcPr>
            <w:tcW w:w="1800" w:type="dxa"/>
          </w:tcPr>
          <w:p w:rsidR="00BA151D" w:rsidRPr="006C2EC6" w:rsidRDefault="00BA151D" w:rsidP="007B5FFE">
            <w:pPr>
              <w:rPr>
                <w:sz w:val="20"/>
              </w:rPr>
            </w:pPr>
            <w:r>
              <w:rPr>
                <w:sz w:val="20"/>
              </w:rPr>
              <w:t>82</w:t>
            </w:r>
          </w:p>
        </w:tc>
      </w:tr>
      <w:tr w:rsidR="00BA151D" w:rsidRPr="00117186" w:rsidTr="007B5FFE">
        <w:tc>
          <w:tcPr>
            <w:tcW w:w="3528" w:type="dxa"/>
          </w:tcPr>
          <w:p w:rsidR="00BA151D" w:rsidRDefault="00BA151D" w:rsidP="007B5FFE">
            <w:pPr>
              <w:rPr>
                <w:sz w:val="20"/>
              </w:rPr>
            </w:pPr>
            <w:r>
              <w:rPr>
                <w:sz w:val="20"/>
              </w:rPr>
              <w:t>Baseline Survey</w:t>
            </w:r>
          </w:p>
          <w:p w:rsidR="00BA151D" w:rsidRDefault="00BA151D" w:rsidP="006D084A">
            <w:pPr>
              <w:pStyle w:val="ListParagraph"/>
              <w:numPr>
                <w:ilvl w:val="0"/>
                <w:numId w:val="5"/>
              </w:numPr>
              <w:spacing w:after="0" w:line="240" w:lineRule="auto"/>
              <w:rPr>
                <w:sz w:val="20"/>
                <w:szCs w:val="20"/>
              </w:rPr>
            </w:pPr>
            <w:r>
              <w:rPr>
                <w:sz w:val="20"/>
                <w:szCs w:val="20"/>
              </w:rPr>
              <w:t>At Fitness Assessment (183)</w:t>
            </w:r>
          </w:p>
          <w:p w:rsidR="00BA151D" w:rsidRPr="00CB0C29" w:rsidRDefault="00BA151D" w:rsidP="006D084A">
            <w:pPr>
              <w:pStyle w:val="ListParagraph"/>
              <w:numPr>
                <w:ilvl w:val="0"/>
                <w:numId w:val="5"/>
              </w:numPr>
              <w:spacing w:after="0" w:line="240" w:lineRule="auto"/>
              <w:rPr>
                <w:sz w:val="20"/>
                <w:szCs w:val="20"/>
              </w:rPr>
            </w:pPr>
            <w:r>
              <w:rPr>
                <w:sz w:val="20"/>
                <w:szCs w:val="20"/>
              </w:rPr>
              <w:t>At First Meeting (76)</w:t>
            </w:r>
          </w:p>
        </w:tc>
        <w:tc>
          <w:tcPr>
            <w:tcW w:w="1800" w:type="dxa"/>
          </w:tcPr>
          <w:p w:rsidR="00BA151D" w:rsidRPr="00CB0C29" w:rsidRDefault="00BA151D" w:rsidP="007B5FFE">
            <w:pPr>
              <w:rPr>
                <w:sz w:val="20"/>
              </w:rPr>
            </w:pPr>
            <w:r>
              <w:rPr>
                <w:sz w:val="20"/>
              </w:rPr>
              <w:t>259</w:t>
            </w:r>
          </w:p>
        </w:tc>
      </w:tr>
      <w:tr w:rsidR="00BA151D" w:rsidRPr="00117186" w:rsidTr="007B5FFE">
        <w:tc>
          <w:tcPr>
            <w:tcW w:w="3528" w:type="dxa"/>
          </w:tcPr>
          <w:p w:rsidR="00BA151D" w:rsidRPr="00117186" w:rsidRDefault="00BA151D" w:rsidP="007B5FFE">
            <w:pPr>
              <w:rPr>
                <w:sz w:val="20"/>
              </w:rPr>
            </w:pPr>
            <w:r>
              <w:rPr>
                <w:sz w:val="20"/>
              </w:rPr>
              <w:t>4-Month Post Intervention Survey</w:t>
            </w:r>
          </w:p>
        </w:tc>
        <w:tc>
          <w:tcPr>
            <w:tcW w:w="1800" w:type="dxa"/>
          </w:tcPr>
          <w:p w:rsidR="00BA151D" w:rsidRPr="00CB0C29" w:rsidRDefault="00BA151D" w:rsidP="007B5FFE">
            <w:pPr>
              <w:rPr>
                <w:sz w:val="20"/>
              </w:rPr>
            </w:pPr>
            <w:r>
              <w:rPr>
                <w:sz w:val="20"/>
              </w:rPr>
              <w:t>52</w:t>
            </w:r>
          </w:p>
        </w:tc>
      </w:tr>
      <w:tr w:rsidR="00BA151D" w:rsidRPr="00117186" w:rsidTr="007B5FFE">
        <w:tc>
          <w:tcPr>
            <w:tcW w:w="3528" w:type="dxa"/>
          </w:tcPr>
          <w:p w:rsidR="00BA151D" w:rsidRDefault="00BA151D" w:rsidP="007B5FFE">
            <w:pPr>
              <w:rPr>
                <w:sz w:val="20"/>
              </w:rPr>
            </w:pPr>
            <w:r>
              <w:rPr>
                <w:sz w:val="20"/>
              </w:rPr>
              <w:t>12-Month End of Study Survey</w:t>
            </w:r>
          </w:p>
        </w:tc>
        <w:tc>
          <w:tcPr>
            <w:tcW w:w="1800" w:type="dxa"/>
          </w:tcPr>
          <w:p w:rsidR="00BA151D" w:rsidRPr="00CB0C29" w:rsidRDefault="00BA151D" w:rsidP="007B5FFE">
            <w:pPr>
              <w:rPr>
                <w:sz w:val="20"/>
              </w:rPr>
            </w:pPr>
            <w:r>
              <w:rPr>
                <w:sz w:val="20"/>
              </w:rPr>
              <w:t>146</w:t>
            </w:r>
          </w:p>
        </w:tc>
      </w:tr>
    </w:tbl>
    <w:p w:rsidR="00BA151D" w:rsidRPr="007B7BD8" w:rsidRDefault="00BA151D" w:rsidP="006D084A">
      <w:pPr>
        <w:shd w:val="clear" w:color="auto" w:fill="FFFFFF"/>
        <w:spacing w:line="240" w:lineRule="auto"/>
        <w:textAlignment w:val="baseline"/>
        <w:rPr>
          <w:rFonts w:cstheme="minorHAnsi"/>
        </w:rPr>
      </w:pPr>
      <w:r w:rsidRPr="00A5724B">
        <w:rPr>
          <w:rFonts w:cstheme="minorHAnsi"/>
        </w:rPr>
        <w:br/>
      </w:r>
    </w:p>
    <w:p w:rsidR="00BA151D" w:rsidRDefault="00BA151D" w:rsidP="00245F86"/>
    <w:p w:rsidR="00BA151D" w:rsidRDefault="00BA151D" w:rsidP="00245F86"/>
    <w:p w:rsidR="00BA151D" w:rsidRDefault="00BA151D" w:rsidP="00245F86"/>
    <w:p w:rsidR="00BA151D" w:rsidRPr="00E85F41" w:rsidRDefault="00BA151D" w:rsidP="00E85F41">
      <w:pPr>
        <w:jc w:val="center"/>
        <w:rPr>
          <w:b/>
        </w:rPr>
      </w:pPr>
      <w:r w:rsidRPr="00E85F41">
        <w:rPr>
          <w:b/>
        </w:rPr>
        <w:lastRenderedPageBreak/>
        <w:t>References</w:t>
      </w:r>
    </w:p>
    <w:p w:rsidR="00BA151D" w:rsidRDefault="00BA151D" w:rsidP="002668F2">
      <w:pPr>
        <w:spacing w:line="240" w:lineRule="auto"/>
        <w:rPr>
          <w:noProof/>
        </w:rPr>
      </w:pPr>
      <w:bookmarkStart w:id="37" w:name="_ENREF_1"/>
      <w:r>
        <w:rPr>
          <w:noProof/>
        </w:rPr>
        <w:tab/>
        <w:t>(1)</w:t>
      </w:r>
      <w:r>
        <w:rPr>
          <w:noProof/>
        </w:rPr>
        <w:tab/>
      </w:r>
      <w:r w:rsidR="009E6807">
        <w:rPr>
          <w:noProof/>
        </w:rPr>
        <w:tab/>
      </w:r>
      <w:r>
        <w:rPr>
          <w:noProof/>
        </w:rPr>
        <w:t xml:space="preserve">Church, A. H. </w:t>
      </w:r>
      <w:r w:rsidRPr="002668F2">
        <w:rPr>
          <w:i/>
          <w:noProof/>
        </w:rPr>
        <w:t>Public Opinion Quarterly</w:t>
      </w:r>
      <w:r>
        <w:rPr>
          <w:noProof/>
        </w:rPr>
        <w:t xml:space="preserve"> </w:t>
      </w:r>
      <w:r w:rsidRPr="002668F2">
        <w:rPr>
          <w:b/>
          <w:noProof/>
        </w:rPr>
        <w:t>1993</w:t>
      </w:r>
      <w:r>
        <w:rPr>
          <w:noProof/>
        </w:rPr>
        <w:t xml:space="preserve">, </w:t>
      </w:r>
      <w:r w:rsidRPr="002668F2">
        <w:rPr>
          <w:i/>
          <w:noProof/>
        </w:rPr>
        <w:t>57</w:t>
      </w:r>
      <w:r>
        <w:rPr>
          <w:noProof/>
        </w:rPr>
        <w:t>, 62-79.</w:t>
      </w:r>
      <w:bookmarkEnd w:id="37"/>
    </w:p>
    <w:p w:rsidR="00BA151D" w:rsidRDefault="00BA151D" w:rsidP="002668F2">
      <w:pPr>
        <w:spacing w:line="240" w:lineRule="auto"/>
        <w:rPr>
          <w:noProof/>
        </w:rPr>
      </w:pPr>
      <w:bookmarkStart w:id="38" w:name="_ENREF_2"/>
      <w:r>
        <w:rPr>
          <w:noProof/>
        </w:rPr>
        <w:tab/>
        <w:t>(2)</w:t>
      </w:r>
      <w:r>
        <w:rPr>
          <w:noProof/>
        </w:rPr>
        <w:tab/>
      </w:r>
      <w:r w:rsidR="009E6807">
        <w:rPr>
          <w:noProof/>
        </w:rPr>
        <w:tab/>
      </w:r>
      <w:r>
        <w:rPr>
          <w:noProof/>
        </w:rPr>
        <w:t xml:space="preserve">Hughes, T.; Eliason, M. </w:t>
      </w:r>
      <w:r w:rsidRPr="002668F2">
        <w:rPr>
          <w:i/>
          <w:noProof/>
        </w:rPr>
        <w:t>The Journal of Primary Prevention</w:t>
      </w:r>
      <w:r>
        <w:rPr>
          <w:noProof/>
        </w:rPr>
        <w:t xml:space="preserve"> </w:t>
      </w:r>
      <w:r w:rsidRPr="002668F2">
        <w:rPr>
          <w:b/>
          <w:noProof/>
        </w:rPr>
        <w:t>2002</w:t>
      </w:r>
      <w:r>
        <w:rPr>
          <w:noProof/>
        </w:rPr>
        <w:t xml:space="preserve">, </w:t>
      </w:r>
      <w:r w:rsidRPr="002668F2">
        <w:rPr>
          <w:i/>
          <w:noProof/>
        </w:rPr>
        <w:t>22</w:t>
      </w:r>
      <w:r>
        <w:rPr>
          <w:noProof/>
        </w:rPr>
        <w:t>, 263-298.</w:t>
      </w:r>
      <w:bookmarkEnd w:id="38"/>
    </w:p>
    <w:p w:rsidR="00BA151D" w:rsidRDefault="00BA151D" w:rsidP="009E6807">
      <w:pPr>
        <w:spacing w:line="240" w:lineRule="auto"/>
        <w:ind w:left="1080" w:hanging="1080"/>
        <w:rPr>
          <w:noProof/>
        </w:rPr>
      </w:pPr>
      <w:bookmarkStart w:id="39" w:name="_ENREF_3"/>
      <w:r>
        <w:rPr>
          <w:noProof/>
        </w:rPr>
        <w:tab/>
        <w:t>(3)</w:t>
      </w:r>
      <w:r>
        <w:rPr>
          <w:noProof/>
        </w:rPr>
        <w:tab/>
      </w:r>
      <w:r w:rsidR="009E6807">
        <w:rPr>
          <w:noProof/>
        </w:rPr>
        <w:tab/>
      </w:r>
      <w:r>
        <w:rPr>
          <w:noProof/>
        </w:rPr>
        <w:t xml:space="preserve">Cochran, S. D.; Keenan, C.; Schober, C.; Mays, V. M. </w:t>
      </w:r>
      <w:r w:rsidRPr="002668F2">
        <w:rPr>
          <w:i/>
          <w:noProof/>
        </w:rPr>
        <w:t xml:space="preserve">Journal of Consulting and Clinical </w:t>
      </w:r>
      <w:r w:rsidR="009E6807">
        <w:rPr>
          <w:i/>
          <w:noProof/>
        </w:rPr>
        <w:tab/>
      </w:r>
      <w:r w:rsidRPr="002668F2">
        <w:rPr>
          <w:i/>
          <w:noProof/>
        </w:rPr>
        <w:t>Psychology</w:t>
      </w:r>
      <w:r>
        <w:rPr>
          <w:noProof/>
        </w:rPr>
        <w:t xml:space="preserve"> </w:t>
      </w:r>
      <w:r w:rsidRPr="002668F2">
        <w:rPr>
          <w:b/>
          <w:noProof/>
        </w:rPr>
        <w:t>2000</w:t>
      </w:r>
      <w:r>
        <w:rPr>
          <w:noProof/>
        </w:rPr>
        <w:t xml:space="preserve">, </w:t>
      </w:r>
      <w:r w:rsidRPr="002668F2">
        <w:rPr>
          <w:i/>
          <w:noProof/>
        </w:rPr>
        <w:t>68</w:t>
      </w:r>
      <w:r>
        <w:rPr>
          <w:noProof/>
        </w:rPr>
        <w:t>, 1062-1071.</w:t>
      </w:r>
      <w:bookmarkEnd w:id="39"/>
    </w:p>
    <w:p w:rsidR="00BA151D" w:rsidRDefault="00BA151D" w:rsidP="002668F2">
      <w:pPr>
        <w:spacing w:line="240" w:lineRule="auto"/>
        <w:rPr>
          <w:noProof/>
        </w:rPr>
      </w:pPr>
      <w:bookmarkStart w:id="40" w:name="_ENREF_4"/>
      <w:r>
        <w:rPr>
          <w:noProof/>
        </w:rPr>
        <w:tab/>
        <w:t>(4)</w:t>
      </w:r>
      <w:r>
        <w:rPr>
          <w:noProof/>
        </w:rPr>
        <w:tab/>
      </w:r>
      <w:r w:rsidR="009E6807">
        <w:rPr>
          <w:noProof/>
        </w:rPr>
        <w:tab/>
      </w:r>
      <w:r>
        <w:rPr>
          <w:noProof/>
        </w:rPr>
        <w:t xml:space="preserve">Cochran, S. D.; Mays, V. M. </w:t>
      </w:r>
      <w:r w:rsidRPr="002668F2">
        <w:rPr>
          <w:i/>
          <w:noProof/>
        </w:rPr>
        <w:t>American Journal of Epidemiology</w:t>
      </w:r>
      <w:r>
        <w:rPr>
          <w:noProof/>
        </w:rPr>
        <w:t xml:space="preserve"> </w:t>
      </w:r>
      <w:r w:rsidRPr="002668F2">
        <w:rPr>
          <w:b/>
          <w:noProof/>
        </w:rPr>
        <w:t>2000</w:t>
      </w:r>
      <w:r>
        <w:rPr>
          <w:noProof/>
        </w:rPr>
        <w:t xml:space="preserve">, </w:t>
      </w:r>
      <w:r w:rsidRPr="002668F2">
        <w:rPr>
          <w:i/>
          <w:noProof/>
        </w:rPr>
        <w:t>151</w:t>
      </w:r>
      <w:r>
        <w:rPr>
          <w:noProof/>
        </w:rPr>
        <w:t>, 516-523.</w:t>
      </w:r>
      <w:bookmarkEnd w:id="40"/>
    </w:p>
    <w:p w:rsidR="00BA151D" w:rsidRDefault="00BA151D" w:rsidP="002668F2">
      <w:pPr>
        <w:spacing w:line="240" w:lineRule="auto"/>
        <w:rPr>
          <w:noProof/>
        </w:rPr>
      </w:pPr>
      <w:bookmarkStart w:id="41" w:name="_ENREF_5"/>
      <w:r>
        <w:rPr>
          <w:noProof/>
        </w:rPr>
        <w:tab/>
        <w:t>(5)</w:t>
      </w:r>
      <w:r>
        <w:rPr>
          <w:noProof/>
        </w:rPr>
        <w:tab/>
      </w:r>
      <w:r w:rsidR="009E6807">
        <w:rPr>
          <w:noProof/>
        </w:rPr>
        <w:tab/>
      </w:r>
      <w:r>
        <w:rPr>
          <w:noProof/>
        </w:rPr>
        <w:t xml:space="preserve">Drabble, L.; Midanik, L. T.; Trocki, K. </w:t>
      </w:r>
      <w:r w:rsidRPr="002668F2">
        <w:rPr>
          <w:i/>
          <w:noProof/>
        </w:rPr>
        <w:t>Journal of Studies on Alcohol and Drugs</w:t>
      </w:r>
      <w:r>
        <w:rPr>
          <w:noProof/>
        </w:rPr>
        <w:t xml:space="preserve"> </w:t>
      </w:r>
      <w:r w:rsidRPr="002668F2">
        <w:rPr>
          <w:b/>
          <w:noProof/>
        </w:rPr>
        <w:t>2005</w:t>
      </w:r>
      <w:r>
        <w:rPr>
          <w:noProof/>
        </w:rPr>
        <w:t xml:space="preserve">, </w:t>
      </w:r>
      <w:r w:rsidR="009E6807">
        <w:rPr>
          <w:noProof/>
        </w:rPr>
        <w:tab/>
      </w:r>
      <w:r w:rsidR="009E6807">
        <w:rPr>
          <w:noProof/>
        </w:rPr>
        <w:tab/>
      </w:r>
      <w:r w:rsidR="009E6807">
        <w:rPr>
          <w:noProof/>
        </w:rPr>
        <w:tab/>
      </w:r>
      <w:r w:rsidR="009E6807">
        <w:rPr>
          <w:noProof/>
        </w:rPr>
        <w:tab/>
      </w:r>
      <w:r w:rsidRPr="002668F2">
        <w:rPr>
          <w:i/>
          <w:noProof/>
        </w:rPr>
        <w:t>66</w:t>
      </w:r>
      <w:r>
        <w:rPr>
          <w:noProof/>
        </w:rPr>
        <w:t>,</w:t>
      </w:r>
      <w:r w:rsidR="009E6807">
        <w:rPr>
          <w:noProof/>
        </w:rPr>
        <w:tab/>
      </w:r>
      <w:r>
        <w:rPr>
          <w:noProof/>
        </w:rPr>
        <w:t>111-120.</w:t>
      </w:r>
      <w:bookmarkEnd w:id="41"/>
    </w:p>
    <w:p w:rsidR="00BA151D" w:rsidRDefault="00BA151D" w:rsidP="002668F2">
      <w:pPr>
        <w:spacing w:line="240" w:lineRule="auto"/>
        <w:rPr>
          <w:noProof/>
        </w:rPr>
      </w:pPr>
      <w:bookmarkStart w:id="42" w:name="_ENREF_6"/>
      <w:r>
        <w:rPr>
          <w:noProof/>
        </w:rPr>
        <w:tab/>
        <w:t>(6)</w:t>
      </w:r>
      <w:r>
        <w:rPr>
          <w:noProof/>
        </w:rPr>
        <w:tab/>
      </w:r>
      <w:r w:rsidR="009E6807">
        <w:rPr>
          <w:noProof/>
        </w:rPr>
        <w:tab/>
      </w:r>
      <w:r>
        <w:rPr>
          <w:noProof/>
        </w:rPr>
        <w:t xml:space="preserve">Diamant, A. L.; Wold, C.; Spritzer, K.; Gelberg, L. </w:t>
      </w:r>
      <w:r w:rsidRPr="002668F2">
        <w:rPr>
          <w:i/>
          <w:noProof/>
        </w:rPr>
        <w:t>Archives of Family Medicine</w:t>
      </w:r>
      <w:r>
        <w:rPr>
          <w:noProof/>
        </w:rPr>
        <w:t xml:space="preserve"> </w:t>
      </w:r>
      <w:r w:rsidRPr="002668F2">
        <w:rPr>
          <w:b/>
          <w:noProof/>
        </w:rPr>
        <w:t>2000</w:t>
      </w:r>
      <w:r>
        <w:rPr>
          <w:noProof/>
        </w:rPr>
        <w:t xml:space="preserve">, </w:t>
      </w:r>
      <w:r w:rsidRPr="002668F2">
        <w:rPr>
          <w:i/>
          <w:noProof/>
        </w:rPr>
        <w:t>9</w:t>
      </w:r>
      <w:r>
        <w:rPr>
          <w:noProof/>
        </w:rPr>
        <w:t xml:space="preserve">, </w:t>
      </w:r>
      <w:r w:rsidR="009E6807">
        <w:rPr>
          <w:noProof/>
        </w:rPr>
        <w:tab/>
      </w:r>
      <w:r w:rsidR="009E6807">
        <w:rPr>
          <w:noProof/>
        </w:rPr>
        <w:tab/>
      </w:r>
      <w:r w:rsidR="009E6807">
        <w:rPr>
          <w:noProof/>
        </w:rPr>
        <w:tab/>
      </w:r>
      <w:r>
        <w:rPr>
          <w:noProof/>
        </w:rPr>
        <w:t>1043-51.</w:t>
      </w:r>
      <w:bookmarkEnd w:id="42"/>
    </w:p>
    <w:p w:rsidR="00BA151D" w:rsidRDefault="00BA151D" w:rsidP="002668F2">
      <w:pPr>
        <w:spacing w:line="240" w:lineRule="auto"/>
        <w:rPr>
          <w:noProof/>
        </w:rPr>
      </w:pPr>
      <w:bookmarkStart w:id="43" w:name="_ENREF_7"/>
      <w:r>
        <w:rPr>
          <w:noProof/>
        </w:rPr>
        <w:tab/>
        <w:t>(7)</w:t>
      </w:r>
      <w:r>
        <w:rPr>
          <w:noProof/>
        </w:rPr>
        <w:tab/>
      </w:r>
      <w:r w:rsidR="009E6807">
        <w:rPr>
          <w:noProof/>
        </w:rPr>
        <w:tab/>
      </w:r>
      <w:r>
        <w:rPr>
          <w:noProof/>
        </w:rPr>
        <w:t xml:space="preserve">Valanis, B. G.; Bowen, D. J.; Bassford, T.; Whitlock, E.; Charney, P.; Carter, R. A. </w:t>
      </w:r>
      <w:r w:rsidR="009E6807">
        <w:rPr>
          <w:noProof/>
        </w:rPr>
        <w:tab/>
      </w:r>
      <w:r w:rsidR="009E6807">
        <w:rPr>
          <w:noProof/>
        </w:rPr>
        <w:tab/>
      </w:r>
      <w:r w:rsidR="009E6807">
        <w:rPr>
          <w:noProof/>
        </w:rPr>
        <w:tab/>
      </w:r>
      <w:r w:rsidR="009E6807">
        <w:rPr>
          <w:noProof/>
        </w:rPr>
        <w:tab/>
      </w:r>
      <w:r w:rsidRPr="002668F2">
        <w:rPr>
          <w:i/>
          <w:noProof/>
        </w:rPr>
        <w:t>Archives of Family Medicine</w:t>
      </w:r>
      <w:r>
        <w:rPr>
          <w:noProof/>
        </w:rPr>
        <w:t xml:space="preserve"> </w:t>
      </w:r>
      <w:r w:rsidRPr="002668F2">
        <w:rPr>
          <w:b/>
          <w:noProof/>
        </w:rPr>
        <w:t>2000</w:t>
      </w:r>
      <w:r>
        <w:rPr>
          <w:noProof/>
        </w:rPr>
        <w:t xml:space="preserve">, </w:t>
      </w:r>
      <w:r w:rsidRPr="002668F2">
        <w:rPr>
          <w:i/>
          <w:noProof/>
        </w:rPr>
        <w:t>9</w:t>
      </w:r>
      <w:r>
        <w:rPr>
          <w:noProof/>
        </w:rPr>
        <w:t>, 843-53.</w:t>
      </w:r>
      <w:bookmarkEnd w:id="43"/>
    </w:p>
    <w:p w:rsidR="00BA151D" w:rsidRDefault="00BA151D" w:rsidP="002668F2">
      <w:pPr>
        <w:spacing w:line="240" w:lineRule="auto"/>
        <w:rPr>
          <w:noProof/>
        </w:rPr>
      </w:pPr>
      <w:bookmarkStart w:id="44" w:name="_ENREF_8"/>
      <w:r>
        <w:rPr>
          <w:noProof/>
        </w:rPr>
        <w:tab/>
        <w:t>(8)</w:t>
      </w:r>
      <w:r>
        <w:rPr>
          <w:noProof/>
        </w:rPr>
        <w:tab/>
      </w:r>
      <w:r w:rsidR="009E6807">
        <w:rPr>
          <w:noProof/>
        </w:rPr>
        <w:tab/>
      </w:r>
      <w:r>
        <w:rPr>
          <w:noProof/>
        </w:rPr>
        <w:t xml:space="preserve">Lee, J. G. L.; Griffin, G. K.; Melvin, C. L. </w:t>
      </w:r>
      <w:r w:rsidRPr="002668F2">
        <w:rPr>
          <w:i/>
          <w:noProof/>
        </w:rPr>
        <w:t>Tobacco Control</w:t>
      </w:r>
      <w:r>
        <w:rPr>
          <w:noProof/>
        </w:rPr>
        <w:t xml:space="preserve"> </w:t>
      </w:r>
      <w:r w:rsidRPr="002668F2">
        <w:rPr>
          <w:b/>
          <w:noProof/>
        </w:rPr>
        <w:t>2009</w:t>
      </w:r>
      <w:r>
        <w:rPr>
          <w:noProof/>
        </w:rPr>
        <w:t xml:space="preserve">, </w:t>
      </w:r>
      <w:r w:rsidRPr="002668F2">
        <w:rPr>
          <w:i/>
          <w:noProof/>
        </w:rPr>
        <w:t>18</w:t>
      </w:r>
      <w:r>
        <w:rPr>
          <w:noProof/>
        </w:rPr>
        <w:t>, 275-282.</w:t>
      </w:r>
      <w:bookmarkEnd w:id="44"/>
    </w:p>
    <w:p w:rsidR="00BA151D" w:rsidRDefault="00BA151D" w:rsidP="002668F2">
      <w:pPr>
        <w:spacing w:line="240" w:lineRule="auto"/>
        <w:rPr>
          <w:noProof/>
        </w:rPr>
      </w:pPr>
      <w:bookmarkStart w:id="45" w:name="_ENREF_9"/>
      <w:r>
        <w:rPr>
          <w:noProof/>
        </w:rPr>
        <w:tab/>
        <w:t>(9)</w:t>
      </w:r>
      <w:r>
        <w:rPr>
          <w:noProof/>
        </w:rPr>
        <w:tab/>
      </w:r>
      <w:r w:rsidR="009E6807">
        <w:rPr>
          <w:noProof/>
        </w:rPr>
        <w:tab/>
      </w:r>
      <w:r>
        <w:rPr>
          <w:noProof/>
        </w:rPr>
        <w:t xml:space="preserve">Pizacani, B. A.; Rohde, K.; Bushore, C.; Stark, M. J.; Maher, J. E.; Dilley, J. A.; Boysun, </w:t>
      </w:r>
      <w:r w:rsidR="009E6807">
        <w:rPr>
          <w:noProof/>
        </w:rPr>
        <w:tab/>
      </w:r>
      <w:r w:rsidR="009E6807">
        <w:rPr>
          <w:noProof/>
        </w:rPr>
        <w:tab/>
      </w:r>
      <w:r w:rsidR="009E6807">
        <w:rPr>
          <w:noProof/>
        </w:rPr>
        <w:tab/>
      </w:r>
      <w:r w:rsidR="009E6807">
        <w:rPr>
          <w:noProof/>
        </w:rPr>
        <w:tab/>
      </w:r>
      <w:r>
        <w:rPr>
          <w:noProof/>
        </w:rPr>
        <w:t xml:space="preserve">M.J. </w:t>
      </w:r>
      <w:r w:rsidRPr="002668F2">
        <w:rPr>
          <w:i/>
          <w:noProof/>
        </w:rPr>
        <w:t>Preventive medicine</w:t>
      </w:r>
      <w:r>
        <w:rPr>
          <w:noProof/>
        </w:rPr>
        <w:t xml:space="preserve"> </w:t>
      </w:r>
      <w:r w:rsidRPr="002668F2">
        <w:rPr>
          <w:b/>
          <w:noProof/>
        </w:rPr>
        <w:t>2009</w:t>
      </w:r>
      <w:r>
        <w:rPr>
          <w:noProof/>
        </w:rPr>
        <w:t xml:space="preserve">, </w:t>
      </w:r>
      <w:r w:rsidRPr="002668F2">
        <w:rPr>
          <w:i/>
          <w:noProof/>
        </w:rPr>
        <w:t>48</w:t>
      </w:r>
      <w:r>
        <w:rPr>
          <w:noProof/>
        </w:rPr>
        <w:t>, 555-561.</w:t>
      </w:r>
      <w:bookmarkEnd w:id="45"/>
    </w:p>
    <w:p w:rsidR="00BA151D" w:rsidRDefault="00BA151D" w:rsidP="009E6807">
      <w:pPr>
        <w:spacing w:line="240" w:lineRule="auto"/>
        <w:rPr>
          <w:noProof/>
        </w:rPr>
      </w:pPr>
      <w:bookmarkStart w:id="46" w:name="_ENREF_10"/>
      <w:r>
        <w:rPr>
          <w:noProof/>
        </w:rPr>
        <w:tab/>
        <w:t>(10)</w:t>
      </w:r>
      <w:r>
        <w:rPr>
          <w:noProof/>
        </w:rPr>
        <w:tab/>
        <w:t xml:space="preserve">McElroy, J. A.; Everett, K. D.; Zaniletti, I. </w:t>
      </w:r>
      <w:r w:rsidRPr="002668F2">
        <w:rPr>
          <w:i/>
          <w:noProof/>
        </w:rPr>
        <w:t>Nicotine &amp; Tobacco Research</w:t>
      </w:r>
      <w:r>
        <w:rPr>
          <w:noProof/>
        </w:rPr>
        <w:t xml:space="preserve"> </w:t>
      </w:r>
      <w:r w:rsidRPr="002668F2">
        <w:rPr>
          <w:b/>
          <w:noProof/>
        </w:rPr>
        <w:t>2011</w:t>
      </w:r>
      <w:r>
        <w:rPr>
          <w:noProof/>
        </w:rPr>
        <w:t xml:space="preserve">, </w:t>
      </w:r>
      <w:r w:rsidRPr="002668F2">
        <w:rPr>
          <w:i/>
          <w:noProof/>
        </w:rPr>
        <w:t>13</w:t>
      </w:r>
      <w:r>
        <w:rPr>
          <w:noProof/>
        </w:rPr>
        <w:t>, 440-</w:t>
      </w:r>
      <w:r w:rsidR="009E6807">
        <w:rPr>
          <w:noProof/>
        </w:rPr>
        <w:tab/>
      </w:r>
      <w:r w:rsidR="009E6807">
        <w:rPr>
          <w:noProof/>
        </w:rPr>
        <w:tab/>
      </w:r>
      <w:r w:rsidR="009E6807">
        <w:rPr>
          <w:noProof/>
        </w:rPr>
        <w:tab/>
      </w:r>
      <w:r w:rsidR="009E6807">
        <w:rPr>
          <w:noProof/>
        </w:rPr>
        <w:tab/>
      </w:r>
      <w:r>
        <w:rPr>
          <w:noProof/>
        </w:rPr>
        <w:t>448.</w:t>
      </w:r>
      <w:bookmarkEnd w:id="46"/>
    </w:p>
    <w:p w:rsidR="00BA151D" w:rsidRDefault="00BA151D" w:rsidP="002668F2">
      <w:pPr>
        <w:spacing w:line="240" w:lineRule="auto"/>
        <w:rPr>
          <w:noProof/>
        </w:rPr>
      </w:pPr>
      <w:bookmarkStart w:id="47" w:name="_ENREF_11"/>
      <w:r>
        <w:rPr>
          <w:noProof/>
        </w:rPr>
        <w:tab/>
        <w:t>(11)</w:t>
      </w:r>
      <w:r>
        <w:rPr>
          <w:noProof/>
        </w:rPr>
        <w:tab/>
        <w:t xml:space="preserve">Chiolero, A.; Faeh, D.; Paccaud, F.; Cornuz, J. </w:t>
      </w:r>
      <w:r w:rsidRPr="002668F2">
        <w:rPr>
          <w:i/>
          <w:noProof/>
        </w:rPr>
        <w:t>American Journal of Clinical Nutrition</w:t>
      </w:r>
      <w:r>
        <w:rPr>
          <w:noProof/>
        </w:rPr>
        <w:t xml:space="preserve"> </w:t>
      </w:r>
      <w:r w:rsidR="009E6807">
        <w:rPr>
          <w:noProof/>
        </w:rPr>
        <w:tab/>
      </w:r>
      <w:r w:rsidR="009E6807">
        <w:rPr>
          <w:noProof/>
        </w:rPr>
        <w:tab/>
      </w:r>
      <w:r w:rsidR="009E6807">
        <w:rPr>
          <w:noProof/>
        </w:rPr>
        <w:tab/>
      </w:r>
      <w:r w:rsidR="009E6807">
        <w:rPr>
          <w:noProof/>
        </w:rPr>
        <w:tab/>
      </w:r>
      <w:r w:rsidRPr="002668F2">
        <w:rPr>
          <w:b/>
          <w:noProof/>
        </w:rPr>
        <w:t>2008</w:t>
      </w:r>
      <w:r>
        <w:rPr>
          <w:noProof/>
        </w:rPr>
        <w:t xml:space="preserve">, </w:t>
      </w:r>
      <w:r w:rsidRPr="002668F2">
        <w:rPr>
          <w:i/>
          <w:noProof/>
        </w:rPr>
        <w:t>87</w:t>
      </w:r>
      <w:r>
        <w:rPr>
          <w:noProof/>
        </w:rPr>
        <w:t>, 801-809.</w:t>
      </w:r>
      <w:bookmarkEnd w:id="47"/>
    </w:p>
    <w:p w:rsidR="00BA151D" w:rsidRDefault="00BA151D" w:rsidP="002668F2">
      <w:pPr>
        <w:spacing w:line="240" w:lineRule="auto"/>
        <w:rPr>
          <w:noProof/>
        </w:rPr>
      </w:pPr>
      <w:bookmarkStart w:id="48" w:name="_ENREF_12"/>
      <w:r>
        <w:rPr>
          <w:noProof/>
        </w:rPr>
        <w:tab/>
        <w:t>(12)</w:t>
      </w:r>
      <w:r>
        <w:rPr>
          <w:noProof/>
        </w:rPr>
        <w:tab/>
        <w:t xml:space="preserve">Colditz, G. A., Segal, M. R., Myers, A. H., Stampfer, M. J., Willett, W., &amp; Speizer, F. E. </w:t>
      </w:r>
      <w:r w:rsidR="009E6807">
        <w:rPr>
          <w:noProof/>
        </w:rPr>
        <w:tab/>
      </w:r>
      <w:r w:rsidR="009E6807">
        <w:rPr>
          <w:noProof/>
        </w:rPr>
        <w:tab/>
      </w:r>
      <w:r w:rsidR="009E6807">
        <w:rPr>
          <w:noProof/>
        </w:rPr>
        <w:tab/>
      </w:r>
      <w:r w:rsidR="009E6807">
        <w:rPr>
          <w:noProof/>
        </w:rPr>
        <w:tab/>
      </w:r>
      <w:r w:rsidRPr="002668F2">
        <w:rPr>
          <w:i/>
          <w:noProof/>
        </w:rPr>
        <w:t>Journal of Smoking Related Diseases</w:t>
      </w:r>
      <w:r>
        <w:rPr>
          <w:noProof/>
        </w:rPr>
        <w:t xml:space="preserve"> </w:t>
      </w:r>
      <w:r w:rsidRPr="002668F2">
        <w:rPr>
          <w:b/>
          <w:noProof/>
        </w:rPr>
        <w:t>1992</w:t>
      </w:r>
      <w:r>
        <w:rPr>
          <w:noProof/>
        </w:rPr>
        <w:t xml:space="preserve">, </w:t>
      </w:r>
      <w:r w:rsidRPr="002668F2">
        <w:rPr>
          <w:i/>
          <w:noProof/>
        </w:rPr>
        <w:t>3</w:t>
      </w:r>
      <w:r>
        <w:rPr>
          <w:noProof/>
        </w:rPr>
        <w:t>, 145-153.</w:t>
      </w:r>
      <w:bookmarkEnd w:id="48"/>
    </w:p>
    <w:p w:rsidR="00BA151D" w:rsidRDefault="00BA151D" w:rsidP="002668F2">
      <w:pPr>
        <w:spacing w:line="240" w:lineRule="auto"/>
        <w:rPr>
          <w:noProof/>
        </w:rPr>
      </w:pPr>
      <w:bookmarkStart w:id="49" w:name="_ENREF_13"/>
      <w:r>
        <w:rPr>
          <w:noProof/>
        </w:rPr>
        <w:tab/>
        <w:t>(13)</w:t>
      </w:r>
      <w:r>
        <w:rPr>
          <w:noProof/>
        </w:rPr>
        <w:tab/>
        <w:t xml:space="preserve">Onyike, C. U.; Crum, R. M.; Lee, H. B.; Lyketsos, C. G.; Eaton, W. W. </w:t>
      </w:r>
      <w:r w:rsidRPr="002668F2">
        <w:rPr>
          <w:i/>
          <w:noProof/>
        </w:rPr>
        <w:t xml:space="preserve">American </w:t>
      </w:r>
      <w:r w:rsidR="009E6807">
        <w:rPr>
          <w:i/>
          <w:noProof/>
        </w:rPr>
        <w:tab/>
      </w:r>
      <w:r w:rsidR="009E6807">
        <w:rPr>
          <w:i/>
          <w:noProof/>
        </w:rPr>
        <w:tab/>
      </w:r>
      <w:r w:rsidR="009E6807">
        <w:rPr>
          <w:i/>
          <w:noProof/>
        </w:rPr>
        <w:tab/>
      </w:r>
      <w:r w:rsidR="009E6807">
        <w:rPr>
          <w:i/>
          <w:noProof/>
        </w:rPr>
        <w:tab/>
      </w:r>
      <w:r w:rsidRPr="002668F2">
        <w:rPr>
          <w:i/>
          <w:noProof/>
        </w:rPr>
        <w:t>Journal of Epidemiology</w:t>
      </w:r>
      <w:r>
        <w:rPr>
          <w:noProof/>
        </w:rPr>
        <w:t xml:space="preserve"> </w:t>
      </w:r>
      <w:r w:rsidRPr="002668F2">
        <w:rPr>
          <w:b/>
          <w:noProof/>
        </w:rPr>
        <w:t>2003</w:t>
      </w:r>
      <w:r>
        <w:rPr>
          <w:noProof/>
        </w:rPr>
        <w:t xml:space="preserve">, </w:t>
      </w:r>
      <w:r w:rsidRPr="002668F2">
        <w:rPr>
          <w:i/>
          <w:noProof/>
        </w:rPr>
        <w:t>158</w:t>
      </w:r>
      <w:r>
        <w:rPr>
          <w:noProof/>
        </w:rPr>
        <w:t>, 1139-1147.</w:t>
      </w:r>
      <w:bookmarkEnd w:id="49"/>
    </w:p>
    <w:p w:rsidR="00BA151D" w:rsidRDefault="00BA151D" w:rsidP="002668F2">
      <w:pPr>
        <w:spacing w:line="240" w:lineRule="auto"/>
        <w:rPr>
          <w:noProof/>
        </w:rPr>
      </w:pPr>
      <w:bookmarkStart w:id="50" w:name="_ENREF_14"/>
      <w:r>
        <w:rPr>
          <w:noProof/>
        </w:rPr>
        <w:tab/>
        <w:t>(14)</w:t>
      </w:r>
      <w:r>
        <w:rPr>
          <w:noProof/>
        </w:rPr>
        <w:tab/>
        <w:t xml:space="preserve">Rothblum, E. D.; Factor, R. </w:t>
      </w:r>
      <w:r w:rsidRPr="002668F2">
        <w:rPr>
          <w:i/>
          <w:noProof/>
        </w:rPr>
        <w:t>Psychological Science</w:t>
      </w:r>
      <w:r>
        <w:rPr>
          <w:noProof/>
        </w:rPr>
        <w:t xml:space="preserve"> </w:t>
      </w:r>
      <w:r w:rsidRPr="002668F2">
        <w:rPr>
          <w:b/>
          <w:noProof/>
        </w:rPr>
        <w:t>2001</w:t>
      </w:r>
      <w:r>
        <w:rPr>
          <w:noProof/>
        </w:rPr>
        <w:t xml:space="preserve">, </w:t>
      </w:r>
      <w:r w:rsidRPr="002668F2">
        <w:rPr>
          <w:i/>
          <w:noProof/>
        </w:rPr>
        <w:t>12</w:t>
      </w:r>
      <w:r>
        <w:rPr>
          <w:noProof/>
        </w:rPr>
        <w:t>, 63-69.</w:t>
      </w:r>
      <w:bookmarkEnd w:id="50"/>
    </w:p>
    <w:p w:rsidR="00BA151D" w:rsidRDefault="00BA151D" w:rsidP="002668F2">
      <w:pPr>
        <w:spacing w:line="240" w:lineRule="auto"/>
        <w:rPr>
          <w:noProof/>
        </w:rPr>
      </w:pPr>
      <w:bookmarkStart w:id="51" w:name="_ENREF_15"/>
      <w:r>
        <w:rPr>
          <w:noProof/>
        </w:rPr>
        <w:tab/>
        <w:t>(15)</w:t>
      </w:r>
      <w:r>
        <w:rPr>
          <w:noProof/>
        </w:rPr>
        <w:tab/>
        <w:t xml:space="preserve">Cochran, S. D.; Sullivan, J. G.; Mays, V. M. </w:t>
      </w:r>
      <w:r w:rsidRPr="002668F2">
        <w:rPr>
          <w:i/>
          <w:noProof/>
        </w:rPr>
        <w:t xml:space="preserve">Journal of Consulting and Clinical </w:t>
      </w:r>
      <w:r w:rsidR="009E6807">
        <w:rPr>
          <w:i/>
          <w:noProof/>
        </w:rPr>
        <w:tab/>
      </w:r>
      <w:r w:rsidR="009E6807">
        <w:rPr>
          <w:i/>
          <w:noProof/>
        </w:rPr>
        <w:tab/>
      </w:r>
      <w:r w:rsidR="009E6807">
        <w:rPr>
          <w:i/>
          <w:noProof/>
        </w:rPr>
        <w:tab/>
      </w:r>
      <w:r w:rsidR="009E6807">
        <w:rPr>
          <w:i/>
          <w:noProof/>
        </w:rPr>
        <w:tab/>
      </w:r>
      <w:r w:rsidR="009E6807">
        <w:rPr>
          <w:i/>
          <w:noProof/>
        </w:rPr>
        <w:tab/>
      </w:r>
      <w:r w:rsidRPr="002668F2">
        <w:rPr>
          <w:i/>
          <w:noProof/>
        </w:rPr>
        <w:t>Psychology</w:t>
      </w:r>
      <w:r>
        <w:rPr>
          <w:noProof/>
        </w:rPr>
        <w:t xml:space="preserve"> </w:t>
      </w:r>
      <w:r w:rsidRPr="002668F2">
        <w:rPr>
          <w:b/>
          <w:noProof/>
        </w:rPr>
        <w:t>2003</w:t>
      </w:r>
      <w:r>
        <w:rPr>
          <w:noProof/>
        </w:rPr>
        <w:t xml:space="preserve">, </w:t>
      </w:r>
      <w:r w:rsidRPr="002668F2">
        <w:rPr>
          <w:i/>
          <w:noProof/>
        </w:rPr>
        <w:t>71</w:t>
      </w:r>
      <w:r>
        <w:rPr>
          <w:noProof/>
        </w:rPr>
        <w:t>, 53-61.</w:t>
      </w:r>
      <w:bookmarkEnd w:id="51"/>
    </w:p>
    <w:p w:rsidR="00BA151D" w:rsidRDefault="00BA151D" w:rsidP="002668F2">
      <w:pPr>
        <w:spacing w:line="240" w:lineRule="auto"/>
        <w:rPr>
          <w:noProof/>
        </w:rPr>
      </w:pPr>
      <w:bookmarkStart w:id="52" w:name="_ENREF_16"/>
      <w:r>
        <w:rPr>
          <w:noProof/>
        </w:rPr>
        <w:tab/>
        <w:t>(16)</w:t>
      </w:r>
      <w:r>
        <w:rPr>
          <w:noProof/>
        </w:rPr>
        <w:tab/>
        <w:t xml:space="preserve">Cochran, S. D.; Mays, V. M. </w:t>
      </w:r>
      <w:r w:rsidRPr="002668F2">
        <w:rPr>
          <w:i/>
          <w:noProof/>
        </w:rPr>
        <w:t>Journal of Abnormal Psychology</w:t>
      </w:r>
      <w:r>
        <w:rPr>
          <w:noProof/>
        </w:rPr>
        <w:t xml:space="preserve"> </w:t>
      </w:r>
      <w:r w:rsidRPr="002668F2">
        <w:rPr>
          <w:b/>
          <w:noProof/>
        </w:rPr>
        <w:t>2009</w:t>
      </w:r>
      <w:r>
        <w:rPr>
          <w:noProof/>
        </w:rPr>
        <w:t xml:space="preserve">, </w:t>
      </w:r>
      <w:r w:rsidRPr="002668F2">
        <w:rPr>
          <w:i/>
          <w:noProof/>
        </w:rPr>
        <w:t>118</w:t>
      </w:r>
      <w:r>
        <w:rPr>
          <w:noProof/>
        </w:rPr>
        <w:t>, 647-658.</w:t>
      </w:r>
      <w:bookmarkEnd w:id="52"/>
    </w:p>
    <w:p w:rsidR="00BA151D" w:rsidRDefault="00BA151D" w:rsidP="002668F2">
      <w:pPr>
        <w:spacing w:line="240" w:lineRule="auto"/>
        <w:rPr>
          <w:noProof/>
        </w:rPr>
      </w:pPr>
      <w:bookmarkStart w:id="53" w:name="_ENREF_17"/>
      <w:r>
        <w:rPr>
          <w:noProof/>
        </w:rPr>
        <w:tab/>
        <w:t>(17)</w:t>
      </w:r>
      <w:r>
        <w:rPr>
          <w:noProof/>
        </w:rPr>
        <w:tab/>
        <w:t xml:space="preserve">VanKim, N. A.; Padilla, J. L.; Lee, J. G.; Goldstein, A. O. </w:t>
      </w:r>
      <w:r w:rsidRPr="002668F2">
        <w:rPr>
          <w:i/>
          <w:noProof/>
        </w:rPr>
        <w:t xml:space="preserve">American Journal of Public </w:t>
      </w:r>
      <w:r w:rsidR="009E6807">
        <w:rPr>
          <w:i/>
          <w:noProof/>
        </w:rPr>
        <w:tab/>
      </w:r>
      <w:r w:rsidR="009E6807">
        <w:rPr>
          <w:i/>
          <w:noProof/>
        </w:rPr>
        <w:tab/>
      </w:r>
      <w:r w:rsidR="009E6807">
        <w:rPr>
          <w:i/>
          <w:noProof/>
        </w:rPr>
        <w:tab/>
      </w:r>
      <w:r w:rsidR="009E6807">
        <w:rPr>
          <w:i/>
          <w:noProof/>
        </w:rPr>
        <w:tab/>
      </w:r>
      <w:r w:rsidRPr="002668F2">
        <w:rPr>
          <w:i/>
          <w:noProof/>
        </w:rPr>
        <w:t>Health</w:t>
      </w:r>
      <w:r>
        <w:rPr>
          <w:noProof/>
        </w:rPr>
        <w:t xml:space="preserve"> </w:t>
      </w:r>
      <w:r w:rsidRPr="002668F2">
        <w:rPr>
          <w:b/>
          <w:noProof/>
        </w:rPr>
        <w:t>2010</w:t>
      </w:r>
      <w:r>
        <w:rPr>
          <w:noProof/>
        </w:rPr>
        <w:t xml:space="preserve">, </w:t>
      </w:r>
      <w:r w:rsidRPr="002668F2">
        <w:rPr>
          <w:i/>
          <w:noProof/>
        </w:rPr>
        <w:t>100</w:t>
      </w:r>
      <w:r>
        <w:rPr>
          <w:noProof/>
        </w:rPr>
        <w:t>, 2392–2396.</w:t>
      </w:r>
      <w:bookmarkEnd w:id="53"/>
    </w:p>
    <w:p w:rsidR="00BA151D" w:rsidRDefault="00BA151D" w:rsidP="002668F2">
      <w:pPr>
        <w:spacing w:line="240" w:lineRule="auto"/>
        <w:rPr>
          <w:noProof/>
        </w:rPr>
      </w:pPr>
      <w:bookmarkStart w:id="54" w:name="_ENREF_18"/>
      <w:r>
        <w:rPr>
          <w:noProof/>
        </w:rPr>
        <w:tab/>
        <w:t>(18)</w:t>
      </w:r>
      <w:r>
        <w:rPr>
          <w:noProof/>
        </w:rPr>
        <w:tab/>
        <w:t xml:space="preserve">Cain, V. S. In </w:t>
      </w:r>
      <w:r w:rsidRPr="002668F2">
        <w:rPr>
          <w:i/>
          <w:noProof/>
        </w:rPr>
        <w:t xml:space="preserve">European Conference on Quality in Official Statistics- Q2012, Session 29: </w:t>
      </w:r>
      <w:r w:rsidR="009E6807">
        <w:rPr>
          <w:i/>
          <w:noProof/>
        </w:rPr>
        <w:tab/>
      </w:r>
      <w:r w:rsidR="009E6807">
        <w:rPr>
          <w:i/>
          <w:noProof/>
        </w:rPr>
        <w:tab/>
      </w:r>
      <w:r w:rsidR="009E6807">
        <w:rPr>
          <w:i/>
          <w:noProof/>
        </w:rPr>
        <w:tab/>
      </w:r>
      <w:r w:rsidR="009E6807">
        <w:rPr>
          <w:i/>
          <w:noProof/>
        </w:rPr>
        <w:tab/>
      </w:r>
      <w:r w:rsidRPr="002668F2">
        <w:rPr>
          <w:i/>
          <w:noProof/>
        </w:rPr>
        <w:t>Measurement Error</w:t>
      </w:r>
      <w:r>
        <w:rPr>
          <w:noProof/>
        </w:rPr>
        <w:t>: Athens Greece, 2012.</w:t>
      </w:r>
      <w:bookmarkEnd w:id="54"/>
    </w:p>
    <w:p w:rsidR="00BA151D" w:rsidRDefault="00BA151D" w:rsidP="002668F2">
      <w:pPr>
        <w:spacing w:line="240" w:lineRule="auto"/>
        <w:rPr>
          <w:noProof/>
        </w:rPr>
      </w:pPr>
      <w:bookmarkStart w:id="55" w:name="_ENREF_19"/>
      <w:r>
        <w:rPr>
          <w:noProof/>
        </w:rPr>
        <w:tab/>
        <w:t>(19)</w:t>
      </w:r>
      <w:r>
        <w:rPr>
          <w:noProof/>
        </w:rPr>
        <w:tab/>
        <w:t xml:space="preserve">Paeratakul, S.; White, M. A.; Williamson, D. A.; Ryan, D. H.; Bray, G. A. </w:t>
      </w:r>
      <w:r w:rsidRPr="002668F2">
        <w:rPr>
          <w:i/>
          <w:noProof/>
        </w:rPr>
        <w:t xml:space="preserve">Obesity </w:t>
      </w:r>
      <w:r w:rsidR="009E6807">
        <w:rPr>
          <w:i/>
          <w:noProof/>
        </w:rPr>
        <w:tab/>
      </w:r>
      <w:r w:rsidR="009E6807">
        <w:rPr>
          <w:i/>
          <w:noProof/>
        </w:rPr>
        <w:tab/>
      </w:r>
      <w:r w:rsidR="009E6807">
        <w:rPr>
          <w:i/>
          <w:noProof/>
        </w:rPr>
        <w:tab/>
      </w:r>
      <w:r w:rsidR="009E6807">
        <w:rPr>
          <w:i/>
          <w:noProof/>
        </w:rPr>
        <w:tab/>
      </w:r>
      <w:r w:rsidRPr="002668F2">
        <w:rPr>
          <w:i/>
          <w:noProof/>
        </w:rPr>
        <w:t>Research</w:t>
      </w:r>
      <w:r>
        <w:rPr>
          <w:noProof/>
        </w:rPr>
        <w:t xml:space="preserve"> </w:t>
      </w:r>
      <w:r w:rsidRPr="002668F2">
        <w:rPr>
          <w:b/>
          <w:noProof/>
        </w:rPr>
        <w:t>2002</w:t>
      </w:r>
      <w:r>
        <w:rPr>
          <w:noProof/>
        </w:rPr>
        <w:t xml:space="preserve">, </w:t>
      </w:r>
      <w:r w:rsidRPr="002668F2">
        <w:rPr>
          <w:i/>
          <w:noProof/>
        </w:rPr>
        <w:t>10</w:t>
      </w:r>
      <w:r>
        <w:rPr>
          <w:noProof/>
        </w:rPr>
        <w:t>, 345-350.</w:t>
      </w:r>
      <w:bookmarkEnd w:id="55"/>
    </w:p>
    <w:p w:rsidR="00BA151D" w:rsidRDefault="00BA151D" w:rsidP="002668F2">
      <w:pPr>
        <w:spacing w:line="240" w:lineRule="auto"/>
        <w:rPr>
          <w:noProof/>
        </w:rPr>
      </w:pPr>
      <w:bookmarkStart w:id="56" w:name="_ENREF_20"/>
      <w:r>
        <w:rPr>
          <w:noProof/>
        </w:rPr>
        <w:tab/>
        <w:t>(20)</w:t>
      </w:r>
      <w:r>
        <w:rPr>
          <w:noProof/>
        </w:rPr>
        <w:tab/>
        <w:t xml:space="preserve">Dibble, S. L.; Eliason, M. J.; Crawford, B. </w:t>
      </w:r>
      <w:r w:rsidRPr="002668F2">
        <w:rPr>
          <w:i/>
          <w:noProof/>
        </w:rPr>
        <w:t>Journal of Homosexuality</w:t>
      </w:r>
      <w:r>
        <w:rPr>
          <w:noProof/>
        </w:rPr>
        <w:t xml:space="preserve"> </w:t>
      </w:r>
      <w:r w:rsidRPr="002668F2">
        <w:rPr>
          <w:b/>
          <w:noProof/>
        </w:rPr>
        <w:t>2012</w:t>
      </w:r>
      <w:r>
        <w:rPr>
          <w:noProof/>
        </w:rPr>
        <w:t xml:space="preserve">, </w:t>
      </w:r>
      <w:r w:rsidRPr="002668F2">
        <w:rPr>
          <w:i/>
          <w:noProof/>
        </w:rPr>
        <w:t>59</w:t>
      </w:r>
      <w:r>
        <w:rPr>
          <w:noProof/>
        </w:rPr>
        <w:t>, 820-838.</w:t>
      </w:r>
      <w:bookmarkEnd w:id="56"/>
    </w:p>
    <w:p w:rsidR="00BA151D" w:rsidRDefault="00BA151D" w:rsidP="002668F2">
      <w:pPr>
        <w:spacing w:line="240" w:lineRule="auto"/>
        <w:rPr>
          <w:noProof/>
        </w:rPr>
      </w:pPr>
      <w:bookmarkStart w:id="57" w:name="_ENREF_21"/>
      <w:r>
        <w:rPr>
          <w:noProof/>
        </w:rPr>
        <w:tab/>
        <w:t>(21)</w:t>
      </w:r>
      <w:r>
        <w:rPr>
          <w:noProof/>
        </w:rPr>
        <w:tab/>
        <w:t xml:space="preserve">Villanueva, E. </w:t>
      </w:r>
      <w:r w:rsidRPr="002668F2">
        <w:rPr>
          <w:i/>
          <w:noProof/>
        </w:rPr>
        <w:t>BMC public health</w:t>
      </w:r>
      <w:r>
        <w:rPr>
          <w:noProof/>
        </w:rPr>
        <w:t xml:space="preserve"> </w:t>
      </w:r>
      <w:r w:rsidRPr="002668F2">
        <w:rPr>
          <w:b/>
          <w:noProof/>
        </w:rPr>
        <w:t>2001</w:t>
      </w:r>
      <w:r>
        <w:rPr>
          <w:noProof/>
        </w:rPr>
        <w:t xml:space="preserve">, </w:t>
      </w:r>
      <w:r w:rsidRPr="002668F2">
        <w:rPr>
          <w:i/>
          <w:noProof/>
        </w:rPr>
        <w:t>1</w:t>
      </w:r>
      <w:r>
        <w:rPr>
          <w:noProof/>
        </w:rPr>
        <w:t>.</w:t>
      </w:r>
      <w:bookmarkEnd w:id="57"/>
    </w:p>
    <w:p w:rsidR="00BA151D" w:rsidRDefault="00BA151D" w:rsidP="002668F2">
      <w:pPr>
        <w:spacing w:line="240" w:lineRule="auto"/>
        <w:rPr>
          <w:noProof/>
        </w:rPr>
      </w:pPr>
      <w:bookmarkStart w:id="58" w:name="_ENREF_22"/>
      <w:r>
        <w:rPr>
          <w:noProof/>
        </w:rPr>
        <w:tab/>
        <w:t>(22)</w:t>
      </w:r>
      <w:r>
        <w:rPr>
          <w:noProof/>
        </w:rPr>
        <w:tab/>
        <w:t xml:space="preserve">Yancey, A. K.; Cochran, S. D.; Corliss, H. L.; Mays, V. M. </w:t>
      </w:r>
      <w:r w:rsidRPr="002668F2">
        <w:rPr>
          <w:i/>
          <w:noProof/>
        </w:rPr>
        <w:t>Preventive medicine</w:t>
      </w:r>
      <w:r>
        <w:rPr>
          <w:noProof/>
        </w:rPr>
        <w:t xml:space="preserve"> </w:t>
      </w:r>
      <w:r w:rsidRPr="002668F2">
        <w:rPr>
          <w:b/>
          <w:noProof/>
        </w:rPr>
        <w:t>2003</w:t>
      </w:r>
      <w:r>
        <w:rPr>
          <w:noProof/>
        </w:rPr>
        <w:t xml:space="preserve">, </w:t>
      </w:r>
      <w:r w:rsidR="009E6807">
        <w:rPr>
          <w:noProof/>
        </w:rPr>
        <w:tab/>
      </w:r>
      <w:r w:rsidR="009E6807">
        <w:rPr>
          <w:noProof/>
        </w:rPr>
        <w:tab/>
      </w:r>
      <w:r w:rsidR="009E6807">
        <w:rPr>
          <w:noProof/>
        </w:rPr>
        <w:tab/>
      </w:r>
      <w:r w:rsidR="009E6807">
        <w:rPr>
          <w:noProof/>
        </w:rPr>
        <w:tab/>
      </w:r>
      <w:r w:rsidRPr="002668F2">
        <w:rPr>
          <w:i/>
          <w:noProof/>
        </w:rPr>
        <w:t>36</w:t>
      </w:r>
      <w:r>
        <w:rPr>
          <w:noProof/>
        </w:rPr>
        <w:t>, 676-683.</w:t>
      </w:r>
      <w:bookmarkEnd w:id="58"/>
    </w:p>
    <w:p w:rsidR="00BA151D" w:rsidRDefault="00BA151D" w:rsidP="002668F2">
      <w:pPr>
        <w:spacing w:line="240" w:lineRule="auto"/>
        <w:rPr>
          <w:noProof/>
        </w:rPr>
      </w:pPr>
      <w:bookmarkStart w:id="59" w:name="_ENREF_23"/>
      <w:r>
        <w:rPr>
          <w:noProof/>
        </w:rPr>
        <w:tab/>
        <w:t>(23)</w:t>
      </w:r>
      <w:r>
        <w:rPr>
          <w:noProof/>
        </w:rPr>
        <w:tab/>
        <w:t xml:space="preserve">Wang, Y.; Beydoun, M. A. </w:t>
      </w:r>
      <w:r w:rsidRPr="002668F2">
        <w:rPr>
          <w:i/>
          <w:noProof/>
        </w:rPr>
        <w:t>Epidemiologic Reviews</w:t>
      </w:r>
      <w:r>
        <w:rPr>
          <w:noProof/>
        </w:rPr>
        <w:t xml:space="preserve"> </w:t>
      </w:r>
      <w:r w:rsidRPr="002668F2">
        <w:rPr>
          <w:b/>
          <w:noProof/>
        </w:rPr>
        <w:t>2007</w:t>
      </w:r>
      <w:r>
        <w:rPr>
          <w:noProof/>
        </w:rPr>
        <w:t xml:space="preserve">, </w:t>
      </w:r>
      <w:r w:rsidRPr="002668F2">
        <w:rPr>
          <w:i/>
          <w:noProof/>
        </w:rPr>
        <w:t>29</w:t>
      </w:r>
      <w:r>
        <w:rPr>
          <w:noProof/>
        </w:rPr>
        <w:t>, 6-28.</w:t>
      </w:r>
      <w:bookmarkEnd w:id="59"/>
    </w:p>
    <w:p w:rsidR="00BA151D" w:rsidRDefault="00BA151D" w:rsidP="002668F2">
      <w:pPr>
        <w:spacing w:line="240" w:lineRule="auto"/>
        <w:rPr>
          <w:noProof/>
        </w:rPr>
      </w:pPr>
      <w:bookmarkStart w:id="60" w:name="_ENREF_24"/>
      <w:r>
        <w:rPr>
          <w:noProof/>
        </w:rPr>
        <w:tab/>
        <w:t>(24)</w:t>
      </w:r>
      <w:r>
        <w:rPr>
          <w:noProof/>
        </w:rPr>
        <w:tab/>
        <w:t xml:space="preserve">Rothblum, E. D.; Balsam, K. F.; Solomon, S. E.; Factor, R. J. </w:t>
      </w:r>
      <w:r w:rsidRPr="002668F2">
        <w:rPr>
          <w:i/>
          <w:noProof/>
        </w:rPr>
        <w:t xml:space="preserve">Lesbian, gay male, </w:t>
      </w:r>
      <w:r w:rsidR="009E6807">
        <w:rPr>
          <w:i/>
          <w:noProof/>
        </w:rPr>
        <w:tab/>
      </w:r>
      <w:r w:rsidR="009E6807">
        <w:rPr>
          <w:i/>
          <w:noProof/>
        </w:rPr>
        <w:tab/>
      </w:r>
      <w:r w:rsidR="009E6807">
        <w:rPr>
          <w:i/>
          <w:noProof/>
        </w:rPr>
        <w:tab/>
      </w:r>
      <w:r w:rsidR="009E6807">
        <w:rPr>
          <w:i/>
          <w:noProof/>
        </w:rPr>
        <w:tab/>
      </w:r>
      <w:r w:rsidR="009E6807">
        <w:rPr>
          <w:i/>
          <w:noProof/>
        </w:rPr>
        <w:tab/>
      </w:r>
      <w:r w:rsidRPr="002668F2">
        <w:rPr>
          <w:i/>
          <w:noProof/>
        </w:rPr>
        <w:t xml:space="preserve">bisexual, and heterosexual siblings Discrepancies in income and education in three US </w:t>
      </w:r>
      <w:r w:rsidR="009E6807">
        <w:rPr>
          <w:i/>
          <w:noProof/>
        </w:rPr>
        <w:tab/>
      </w:r>
      <w:r w:rsidR="009E6807">
        <w:rPr>
          <w:i/>
          <w:noProof/>
        </w:rPr>
        <w:tab/>
      </w:r>
      <w:r w:rsidR="009E6807">
        <w:rPr>
          <w:i/>
          <w:noProof/>
        </w:rPr>
        <w:tab/>
      </w:r>
      <w:r w:rsidR="009E6807">
        <w:rPr>
          <w:i/>
          <w:noProof/>
        </w:rPr>
        <w:tab/>
      </w:r>
      <w:r w:rsidRPr="002668F2">
        <w:rPr>
          <w:i/>
          <w:noProof/>
        </w:rPr>
        <w:t>samples</w:t>
      </w:r>
      <w:r>
        <w:rPr>
          <w:noProof/>
        </w:rPr>
        <w:t>, 2007; Vol. 4.</w:t>
      </w:r>
      <w:bookmarkEnd w:id="60"/>
    </w:p>
    <w:p w:rsidR="00BA151D" w:rsidRDefault="00BA151D" w:rsidP="002668F2">
      <w:pPr>
        <w:spacing w:line="240" w:lineRule="auto"/>
        <w:rPr>
          <w:noProof/>
        </w:rPr>
      </w:pPr>
      <w:bookmarkStart w:id="61" w:name="_ENREF_25"/>
      <w:r>
        <w:rPr>
          <w:noProof/>
        </w:rPr>
        <w:tab/>
        <w:t>(25)</w:t>
      </w:r>
      <w:r>
        <w:rPr>
          <w:noProof/>
        </w:rPr>
        <w:tab/>
        <w:t xml:space="preserve">Galobardes, B.; Demarest, S. </w:t>
      </w:r>
      <w:r w:rsidRPr="002668F2">
        <w:rPr>
          <w:i/>
          <w:noProof/>
        </w:rPr>
        <w:t>Soz.-Präventivmed.</w:t>
      </w:r>
      <w:r>
        <w:rPr>
          <w:noProof/>
        </w:rPr>
        <w:t xml:space="preserve"> </w:t>
      </w:r>
      <w:r w:rsidRPr="002668F2">
        <w:rPr>
          <w:b/>
          <w:noProof/>
        </w:rPr>
        <w:t>2003</w:t>
      </w:r>
      <w:r>
        <w:rPr>
          <w:noProof/>
        </w:rPr>
        <w:t xml:space="preserve">, </w:t>
      </w:r>
      <w:r w:rsidRPr="002668F2">
        <w:rPr>
          <w:i/>
          <w:noProof/>
        </w:rPr>
        <w:t>48</w:t>
      </w:r>
      <w:r>
        <w:rPr>
          <w:noProof/>
        </w:rPr>
        <w:t>, 70-72.</w:t>
      </w:r>
      <w:bookmarkEnd w:id="61"/>
    </w:p>
    <w:p w:rsidR="00BA151D" w:rsidRDefault="00BA151D" w:rsidP="002668F2">
      <w:pPr>
        <w:spacing w:line="240" w:lineRule="auto"/>
        <w:rPr>
          <w:noProof/>
        </w:rPr>
      </w:pPr>
      <w:bookmarkStart w:id="62" w:name="_ENREF_26"/>
      <w:r>
        <w:rPr>
          <w:noProof/>
        </w:rPr>
        <w:tab/>
        <w:t>(26)</w:t>
      </w:r>
      <w:r>
        <w:rPr>
          <w:noProof/>
        </w:rPr>
        <w:tab/>
        <w:t xml:space="preserve">Turrell, G. </w:t>
      </w:r>
      <w:r w:rsidRPr="002668F2">
        <w:rPr>
          <w:i/>
          <w:noProof/>
        </w:rPr>
        <w:t>Journal of Epidemiology and Community Health</w:t>
      </w:r>
      <w:r>
        <w:rPr>
          <w:noProof/>
        </w:rPr>
        <w:t xml:space="preserve"> </w:t>
      </w:r>
      <w:r w:rsidRPr="002668F2">
        <w:rPr>
          <w:b/>
          <w:noProof/>
        </w:rPr>
        <w:t>2000</w:t>
      </w:r>
      <w:r>
        <w:rPr>
          <w:noProof/>
        </w:rPr>
        <w:t xml:space="preserve">, </w:t>
      </w:r>
      <w:r w:rsidRPr="002668F2">
        <w:rPr>
          <w:i/>
          <w:noProof/>
        </w:rPr>
        <w:t>54</w:t>
      </w:r>
      <w:r>
        <w:rPr>
          <w:noProof/>
        </w:rPr>
        <w:t>, 207-214.</w:t>
      </w:r>
      <w:bookmarkEnd w:id="62"/>
    </w:p>
    <w:p w:rsidR="00BA151D" w:rsidRDefault="00BA151D" w:rsidP="002668F2">
      <w:pPr>
        <w:spacing w:line="240" w:lineRule="auto"/>
        <w:rPr>
          <w:noProof/>
        </w:rPr>
      </w:pPr>
      <w:bookmarkStart w:id="63" w:name="_ENREF_27"/>
      <w:r>
        <w:rPr>
          <w:noProof/>
        </w:rPr>
        <w:tab/>
        <w:t>(27)</w:t>
      </w:r>
      <w:r>
        <w:rPr>
          <w:noProof/>
        </w:rPr>
        <w:tab/>
        <w:t xml:space="preserve">McGuire, M. T.; Wing, R. R.; Klem, M. L.; Lang, W.; Hill, J. O. </w:t>
      </w:r>
      <w:r w:rsidRPr="002668F2">
        <w:rPr>
          <w:i/>
          <w:noProof/>
        </w:rPr>
        <w:t xml:space="preserve">Journal of Consulting </w:t>
      </w:r>
      <w:r w:rsidR="009E6807">
        <w:rPr>
          <w:i/>
          <w:noProof/>
        </w:rPr>
        <w:tab/>
      </w:r>
      <w:r w:rsidR="009E6807">
        <w:rPr>
          <w:i/>
          <w:noProof/>
        </w:rPr>
        <w:tab/>
      </w:r>
      <w:r w:rsidR="009E6807">
        <w:rPr>
          <w:i/>
          <w:noProof/>
        </w:rPr>
        <w:tab/>
      </w:r>
      <w:r w:rsidR="009E6807">
        <w:rPr>
          <w:i/>
          <w:noProof/>
        </w:rPr>
        <w:tab/>
      </w:r>
      <w:r w:rsidRPr="002668F2">
        <w:rPr>
          <w:i/>
          <w:noProof/>
        </w:rPr>
        <w:t>and Clinical Psychology</w:t>
      </w:r>
      <w:r>
        <w:rPr>
          <w:noProof/>
        </w:rPr>
        <w:t xml:space="preserve"> </w:t>
      </w:r>
      <w:r w:rsidRPr="002668F2">
        <w:rPr>
          <w:b/>
          <w:noProof/>
        </w:rPr>
        <w:t>1999</w:t>
      </w:r>
      <w:r>
        <w:rPr>
          <w:noProof/>
        </w:rPr>
        <w:t xml:space="preserve">, </w:t>
      </w:r>
      <w:r w:rsidRPr="002668F2">
        <w:rPr>
          <w:i/>
          <w:noProof/>
        </w:rPr>
        <w:t>67</w:t>
      </w:r>
      <w:r>
        <w:rPr>
          <w:noProof/>
        </w:rPr>
        <w:t>, 177-185.</w:t>
      </w:r>
      <w:bookmarkEnd w:id="63"/>
    </w:p>
    <w:p w:rsidR="00BA151D" w:rsidRDefault="00BA151D" w:rsidP="002668F2">
      <w:pPr>
        <w:spacing w:line="240" w:lineRule="auto"/>
        <w:rPr>
          <w:noProof/>
        </w:rPr>
      </w:pPr>
      <w:bookmarkStart w:id="64" w:name="_ENREF_28"/>
      <w:r>
        <w:rPr>
          <w:noProof/>
        </w:rPr>
        <w:tab/>
        <w:t>(28)</w:t>
      </w:r>
      <w:r>
        <w:rPr>
          <w:noProof/>
        </w:rPr>
        <w:tab/>
        <w:t xml:space="preserve">Garip, G.; Yardley, L. </w:t>
      </w:r>
      <w:r w:rsidRPr="002668F2">
        <w:rPr>
          <w:i/>
          <w:noProof/>
        </w:rPr>
        <w:t>Clinical Obesity</w:t>
      </w:r>
      <w:r>
        <w:rPr>
          <w:noProof/>
        </w:rPr>
        <w:t xml:space="preserve"> </w:t>
      </w:r>
      <w:r w:rsidRPr="002668F2">
        <w:rPr>
          <w:b/>
          <w:noProof/>
        </w:rPr>
        <w:t>2011</w:t>
      </w:r>
      <w:r>
        <w:rPr>
          <w:noProof/>
        </w:rPr>
        <w:t xml:space="preserve">, </w:t>
      </w:r>
      <w:r w:rsidRPr="002668F2">
        <w:rPr>
          <w:i/>
          <w:noProof/>
        </w:rPr>
        <w:t>1</w:t>
      </w:r>
      <w:r>
        <w:rPr>
          <w:noProof/>
        </w:rPr>
        <w:t>, 110-126.</w:t>
      </w:r>
      <w:bookmarkEnd w:id="64"/>
    </w:p>
    <w:p w:rsidR="00BA151D" w:rsidRDefault="00BA151D" w:rsidP="002668F2">
      <w:pPr>
        <w:spacing w:line="240" w:lineRule="auto"/>
        <w:rPr>
          <w:noProof/>
        </w:rPr>
      </w:pPr>
      <w:bookmarkStart w:id="65" w:name="_ENREF_29"/>
      <w:r>
        <w:rPr>
          <w:noProof/>
        </w:rPr>
        <w:tab/>
        <w:t>(29)</w:t>
      </w:r>
      <w:r>
        <w:rPr>
          <w:noProof/>
        </w:rPr>
        <w:tab/>
        <w:t xml:space="preserve">Kroke, A.; Liese, A. D.; Schulz, M.; Bergmann, M. M.; Klipstein-Grobusch, K.; </w:t>
      </w:r>
      <w:r w:rsidR="009E6807">
        <w:rPr>
          <w:noProof/>
        </w:rPr>
        <w:tab/>
      </w:r>
      <w:r w:rsidR="009E6807">
        <w:rPr>
          <w:noProof/>
        </w:rPr>
        <w:tab/>
      </w:r>
      <w:r w:rsidR="009E6807">
        <w:rPr>
          <w:noProof/>
        </w:rPr>
        <w:tab/>
      </w:r>
      <w:r w:rsidR="009E6807">
        <w:rPr>
          <w:noProof/>
        </w:rPr>
        <w:tab/>
      </w:r>
      <w:r w:rsidR="009E6807">
        <w:rPr>
          <w:noProof/>
        </w:rPr>
        <w:tab/>
      </w:r>
      <w:r>
        <w:rPr>
          <w:noProof/>
        </w:rPr>
        <w:t xml:space="preserve">Hoffmann, K.; Boeing, H. </w:t>
      </w:r>
      <w:r w:rsidRPr="002668F2">
        <w:rPr>
          <w:i/>
          <w:noProof/>
        </w:rPr>
        <w:t xml:space="preserve">International journal of obesity and related metabolic </w:t>
      </w:r>
      <w:r w:rsidR="009E6807">
        <w:rPr>
          <w:i/>
          <w:noProof/>
        </w:rPr>
        <w:tab/>
      </w:r>
      <w:r w:rsidR="009E6807">
        <w:rPr>
          <w:i/>
          <w:noProof/>
        </w:rPr>
        <w:tab/>
      </w:r>
      <w:r w:rsidR="009E6807">
        <w:rPr>
          <w:i/>
          <w:noProof/>
        </w:rPr>
        <w:tab/>
      </w:r>
      <w:r w:rsidR="009E6807">
        <w:rPr>
          <w:i/>
          <w:noProof/>
        </w:rPr>
        <w:tab/>
      </w:r>
      <w:r w:rsidR="009E6807">
        <w:rPr>
          <w:i/>
          <w:noProof/>
        </w:rPr>
        <w:tab/>
      </w:r>
      <w:r w:rsidRPr="002668F2">
        <w:rPr>
          <w:i/>
          <w:noProof/>
        </w:rPr>
        <w:t>disorders : journal of the International Association for the Study of Obesity</w:t>
      </w:r>
      <w:r>
        <w:rPr>
          <w:noProof/>
        </w:rPr>
        <w:t xml:space="preserve"> </w:t>
      </w:r>
      <w:r w:rsidRPr="002668F2">
        <w:rPr>
          <w:b/>
          <w:noProof/>
        </w:rPr>
        <w:t>2002</w:t>
      </w:r>
      <w:r>
        <w:rPr>
          <w:noProof/>
        </w:rPr>
        <w:t xml:space="preserve">, </w:t>
      </w:r>
      <w:r w:rsidRPr="002668F2">
        <w:rPr>
          <w:i/>
          <w:noProof/>
        </w:rPr>
        <w:t>26</w:t>
      </w:r>
      <w:r>
        <w:rPr>
          <w:noProof/>
        </w:rPr>
        <w:t xml:space="preserve">, </w:t>
      </w:r>
      <w:r w:rsidR="009E6807">
        <w:rPr>
          <w:noProof/>
        </w:rPr>
        <w:tab/>
      </w:r>
      <w:r w:rsidR="009E6807">
        <w:rPr>
          <w:noProof/>
        </w:rPr>
        <w:tab/>
      </w:r>
      <w:r w:rsidR="009E6807">
        <w:rPr>
          <w:noProof/>
        </w:rPr>
        <w:tab/>
      </w:r>
      <w:r w:rsidR="009E6807">
        <w:rPr>
          <w:noProof/>
        </w:rPr>
        <w:tab/>
      </w:r>
      <w:r>
        <w:rPr>
          <w:noProof/>
        </w:rPr>
        <w:t>403-409.</w:t>
      </w:r>
      <w:bookmarkEnd w:id="65"/>
    </w:p>
    <w:p w:rsidR="00BA151D" w:rsidRDefault="00BA151D" w:rsidP="002668F2">
      <w:pPr>
        <w:spacing w:line="240" w:lineRule="auto"/>
        <w:rPr>
          <w:noProof/>
        </w:rPr>
      </w:pPr>
      <w:bookmarkStart w:id="66" w:name="_ENREF_30"/>
      <w:r>
        <w:rPr>
          <w:noProof/>
        </w:rPr>
        <w:tab/>
        <w:t>(30)</w:t>
      </w:r>
      <w:r>
        <w:rPr>
          <w:noProof/>
        </w:rPr>
        <w:tab/>
        <w:t xml:space="preserve">Szymanski, D. M.; Chung, Y. B. </w:t>
      </w:r>
      <w:r w:rsidRPr="002668F2">
        <w:rPr>
          <w:i/>
          <w:noProof/>
        </w:rPr>
        <w:t>Journal of Homosexuality</w:t>
      </w:r>
      <w:r>
        <w:rPr>
          <w:noProof/>
        </w:rPr>
        <w:t xml:space="preserve"> </w:t>
      </w:r>
      <w:r w:rsidRPr="002668F2">
        <w:rPr>
          <w:b/>
          <w:noProof/>
        </w:rPr>
        <w:t>2001</w:t>
      </w:r>
      <w:r>
        <w:rPr>
          <w:noProof/>
        </w:rPr>
        <w:t xml:space="preserve">, </w:t>
      </w:r>
      <w:r w:rsidRPr="002668F2">
        <w:rPr>
          <w:i/>
          <w:noProof/>
        </w:rPr>
        <w:t>41</w:t>
      </w:r>
      <w:r>
        <w:rPr>
          <w:noProof/>
        </w:rPr>
        <w:t>, 37-52.</w:t>
      </w:r>
      <w:bookmarkEnd w:id="66"/>
    </w:p>
    <w:p w:rsidR="00BA151D" w:rsidRDefault="00BA151D" w:rsidP="002668F2">
      <w:pPr>
        <w:spacing w:line="240" w:lineRule="auto"/>
        <w:rPr>
          <w:noProof/>
        </w:rPr>
      </w:pPr>
      <w:bookmarkStart w:id="67" w:name="_ENREF_31"/>
      <w:r>
        <w:rPr>
          <w:noProof/>
        </w:rPr>
        <w:lastRenderedPageBreak/>
        <w:tab/>
        <w:t>(31)</w:t>
      </w:r>
      <w:r>
        <w:rPr>
          <w:noProof/>
        </w:rPr>
        <w:tab/>
        <w:t xml:space="preserve">Shidlo, A. In </w:t>
      </w:r>
      <w:r w:rsidRPr="002668F2">
        <w:rPr>
          <w:i/>
          <w:noProof/>
        </w:rPr>
        <w:t>Lesbian and gay psychology: Theory, research, and clinical applications</w:t>
      </w:r>
      <w:r>
        <w:rPr>
          <w:noProof/>
        </w:rPr>
        <w:t xml:space="preserve">; </w:t>
      </w:r>
      <w:r w:rsidR="009E6807">
        <w:rPr>
          <w:noProof/>
        </w:rPr>
        <w:tab/>
      </w:r>
      <w:r w:rsidR="009E6807">
        <w:rPr>
          <w:noProof/>
        </w:rPr>
        <w:tab/>
      </w:r>
      <w:r w:rsidR="009E6807">
        <w:rPr>
          <w:noProof/>
        </w:rPr>
        <w:tab/>
      </w:r>
      <w:r w:rsidR="009E6807">
        <w:rPr>
          <w:noProof/>
        </w:rPr>
        <w:tab/>
        <w:t>In</w:t>
      </w:r>
      <w:r>
        <w:rPr>
          <w:noProof/>
        </w:rPr>
        <w:t xml:space="preserve">ternalized homophobia, C., empirical issues in measurement, B. G. G. M. H., Eds.; </w:t>
      </w:r>
      <w:r w:rsidR="009E6807">
        <w:rPr>
          <w:noProof/>
        </w:rPr>
        <w:tab/>
      </w:r>
      <w:r w:rsidR="009E6807">
        <w:rPr>
          <w:noProof/>
        </w:rPr>
        <w:tab/>
      </w:r>
      <w:r w:rsidR="009E6807">
        <w:rPr>
          <w:noProof/>
        </w:rPr>
        <w:tab/>
      </w:r>
      <w:r w:rsidR="009E6807">
        <w:rPr>
          <w:noProof/>
        </w:rPr>
        <w:tab/>
      </w:r>
      <w:r>
        <w:rPr>
          <w:noProof/>
        </w:rPr>
        <w:t>Sage Publications, Inc: Thousand Oaks, CA, US, 1994; pp 176-205.</w:t>
      </w:r>
      <w:bookmarkEnd w:id="67"/>
    </w:p>
    <w:p w:rsidR="00BA151D" w:rsidRDefault="00BA151D" w:rsidP="002668F2">
      <w:pPr>
        <w:spacing w:line="240" w:lineRule="auto"/>
        <w:rPr>
          <w:noProof/>
        </w:rPr>
      </w:pPr>
      <w:bookmarkStart w:id="68" w:name="_ENREF_32"/>
      <w:r>
        <w:rPr>
          <w:noProof/>
        </w:rPr>
        <w:tab/>
        <w:t>(32)</w:t>
      </w:r>
      <w:r>
        <w:rPr>
          <w:noProof/>
        </w:rPr>
        <w:tab/>
        <w:t xml:space="preserve">Kilkkinen, A.; Kao-Philpot, A.; O'Neil, A.; Philpot, B.; Reddy, P.; Bunker, S.; Dunbar, J. </w:t>
      </w:r>
      <w:r w:rsidR="009E6807">
        <w:rPr>
          <w:noProof/>
        </w:rPr>
        <w:tab/>
      </w:r>
      <w:r w:rsidR="009E6807">
        <w:rPr>
          <w:noProof/>
        </w:rPr>
        <w:tab/>
      </w:r>
      <w:r w:rsidR="009E6807">
        <w:rPr>
          <w:noProof/>
        </w:rPr>
        <w:tab/>
      </w:r>
      <w:r w:rsidR="009E6807">
        <w:rPr>
          <w:noProof/>
        </w:rPr>
        <w:tab/>
      </w:r>
      <w:r w:rsidRPr="002668F2">
        <w:rPr>
          <w:i/>
          <w:noProof/>
        </w:rPr>
        <w:t>Australian Journal of Rural Health</w:t>
      </w:r>
      <w:r>
        <w:rPr>
          <w:noProof/>
        </w:rPr>
        <w:t xml:space="preserve"> </w:t>
      </w:r>
      <w:r w:rsidRPr="002668F2">
        <w:rPr>
          <w:b/>
          <w:noProof/>
        </w:rPr>
        <w:t>2007</w:t>
      </w:r>
      <w:r>
        <w:rPr>
          <w:noProof/>
        </w:rPr>
        <w:t xml:space="preserve">, </w:t>
      </w:r>
      <w:r w:rsidRPr="002668F2">
        <w:rPr>
          <w:i/>
          <w:noProof/>
        </w:rPr>
        <w:t>15</w:t>
      </w:r>
      <w:r>
        <w:rPr>
          <w:noProof/>
        </w:rPr>
        <w:t>, 114-119.</w:t>
      </w:r>
      <w:bookmarkEnd w:id="68"/>
    </w:p>
    <w:p w:rsidR="00BA151D" w:rsidRDefault="00BA151D" w:rsidP="002668F2">
      <w:pPr>
        <w:spacing w:line="240" w:lineRule="auto"/>
        <w:rPr>
          <w:noProof/>
        </w:rPr>
      </w:pPr>
      <w:bookmarkStart w:id="69" w:name="_ENREF_33"/>
      <w:r>
        <w:rPr>
          <w:noProof/>
        </w:rPr>
        <w:tab/>
        <w:t>(33)</w:t>
      </w:r>
      <w:r>
        <w:rPr>
          <w:noProof/>
        </w:rPr>
        <w:tab/>
        <w:t xml:space="preserve">Atlantis, E.; Ball, K. </w:t>
      </w:r>
      <w:r w:rsidRPr="002668F2">
        <w:rPr>
          <w:i/>
          <w:noProof/>
        </w:rPr>
        <w:t>International Journal of Obesity</w:t>
      </w:r>
      <w:r>
        <w:rPr>
          <w:noProof/>
        </w:rPr>
        <w:t xml:space="preserve"> </w:t>
      </w:r>
      <w:r w:rsidRPr="002668F2">
        <w:rPr>
          <w:b/>
          <w:noProof/>
        </w:rPr>
        <w:t>2008</w:t>
      </w:r>
      <w:r>
        <w:rPr>
          <w:noProof/>
        </w:rPr>
        <w:t xml:space="preserve">, </w:t>
      </w:r>
      <w:r w:rsidRPr="002668F2">
        <w:rPr>
          <w:i/>
          <w:noProof/>
        </w:rPr>
        <w:t>32</w:t>
      </w:r>
      <w:r>
        <w:rPr>
          <w:noProof/>
        </w:rPr>
        <w:t>, 715–721.</w:t>
      </w:r>
      <w:bookmarkEnd w:id="69"/>
    </w:p>
    <w:p w:rsidR="00BA151D" w:rsidRDefault="00BA151D" w:rsidP="002668F2">
      <w:pPr>
        <w:spacing w:line="240" w:lineRule="auto"/>
        <w:rPr>
          <w:noProof/>
        </w:rPr>
      </w:pPr>
      <w:bookmarkStart w:id="70" w:name="_ENREF_34"/>
      <w:r>
        <w:rPr>
          <w:noProof/>
        </w:rPr>
        <w:tab/>
        <w:t>(34)</w:t>
      </w:r>
      <w:r>
        <w:rPr>
          <w:noProof/>
        </w:rPr>
        <w:tab/>
        <w:t xml:space="preserve">Wott, C. B.; Carels, R. A. </w:t>
      </w:r>
      <w:r w:rsidRPr="002668F2">
        <w:rPr>
          <w:i/>
          <w:noProof/>
        </w:rPr>
        <w:t>Journal of Health Psychology</w:t>
      </w:r>
      <w:r>
        <w:rPr>
          <w:noProof/>
        </w:rPr>
        <w:t xml:space="preserve"> </w:t>
      </w:r>
      <w:r w:rsidRPr="002668F2">
        <w:rPr>
          <w:b/>
          <w:noProof/>
        </w:rPr>
        <w:t>2010</w:t>
      </w:r>
      <w:r>
        <w:rPr>
          <w:noProof/>
        </w:rPr>
        <w:t xml:space="preserve">, </w:t>
      </w:r>
      <w:r w:rsidRPr="002668F2">
        <w:rPr>
          <w:i/>
          <w:noProof/>
        </w:rPr>
        <w:t>15</w:t>
      </w:r>
      <w:r>
        <w:rPr>
          <w:noProof/>
        </w:rPr>
        <w:t>, 608-614.</w:t>
      </w:r>
      <w:bookmarkEnd w:id="70"/>
    </w:p>
    <w:p w:rsidR="00BA151D" w:rsidRDefault="00BA151D" w:rsidP="002668F2">
      <w:pPr>
        <w:spacing w:line="240" w:lineRule="auto"/>
        <w:rPr>
          <w:noProof/>
        </w:rPr>
      </w:pPr>
      <w:bookmarkStart w:id="71" w:name="_ENREF_35"/>
      <w:r>
        <w:rPr>
          <w:noProof/>
        </w:rPr>
        <w:tab/>
        <w:t>(35)</w:t>
      </w:r>
      <w:r>
        <w:rPr>
          <w:noProof/>
        </w:rPr>
        <w:tab/>
        <w:t xml:space="preserve">Szanton, S.; Rifkind, J.; Mohanty, J.; Miller, E., III; Thorpe, R.; Nagababu, E.; Epel, E.; </w:t>
      </w:r>
      <w:r w:rsidR="009E6807">
        <w:rPr>
          <w:noProof/>
        </w:rPr>
        <w:tab/>
      </w:r>
      <w:r w:rsidR="009E6807">
        <w:rPr>
          <w:noProof/>
        </w:rPr>
        <w:tab/>
      </w:r>
      <w:r w:rsidR="009E6807">
        <w:rPr>
          <w:noProof/>
        </w:rPr>
        <w:tab/>
      </w:r>
      <w:r w:rsidR="009E6807">
        <w:rPr>
          <w:noProof/>
        </w:rPr>
        <w:tab/>
      </w:r>
      <w:r>
        <w:rPr>
          <w:noProof/>
        </w:rPr>
        <w:t xml:space="preserve">Zonderman, A.; Evans, M. </w:t>
      </w:r>
      <w:r w:rsidRPr="002668F2">
        <w:rPr>
          <w:i/>
          <w:noProof/>
        </w:rPr>
        <w:t>Int.J. Behav. Med.</w:t>
      </w:r>
      <w:r>
        <w:rPr>
          <w:noProof/>
        </w:rPr>
        <w:t xml:space="preserve"> </w:t>
      </w:r>
      <w:r w:rsidRPr="002668F2">
        <w:rPr>
          <w:b/>
          <w:noProof/>
        </w:rPr>
        <w:t>2012</w:t>
      </w:r>
      <w:r>
        <w:rPr>
          <w:noProof/>
        </w:rPr>
        <w:t xml:space="preserve">, </w:t>
      </w:r>
      <w:r w:rsidRPr="002668F2">
        <w:rPr>
          <w:i/>
          <w:noProof/>
        </w:rPr>
        <w:t>19</w:t>
      </w:r>
      <w:r>
        <w:rPr>
          <w:noProof/>
        </w:rPr>
        <w:t>, 489-495.</w:t>
      </w:r>
      <w:bookmarkEnd w:id="71"/>
    </w:p>
    <w:p w:rsidR="00BA151D" w:rsidRDefault="00BA151D" w:rsidP="002668F2">
      <w:pPr>
        <w:spacing w:line="240" w:lineRule="auto"/>
        <w:rPr>
          <w:noProof/>
        </w:rPr>
      </w:pPr>
      <w:bookmarkStart w:id="72" w:name="_ENREF_36"/>
      <w:r>
        <w:rPr>
          <w:noProof/>
        </w:rPr>
        <w:tab/>
        <w:t>(36)</w:t>
      </w:r>
      <w:r>
        <w:rPr>
          <w:noProof/>
        </w:rPr>
        <w:tab/>
        <w:t xml:space="preserve">Solomon, M. R. </w:t>
      </w:r>
      <w:r w:rsidRPr="002668F2">
        <w:rPr>
          <w:i/>
          <w:noProof/>
        </w:rPr>
        <w:t>Journal of Advanced Nursing</w:t>
      </w:r>
      <w:r>
        <w:rPr>
          <w:noProof/>
        </w:rPr>
        <w:t xml:space="preserve"> </w:t>
      </w:r>
      <w:r w:rsidRPr="002668F2">
        <w:rPr>
          <w:b/>
          <w:noProof/>
        </w:rPr>
        <w:t>2001</w:t>
      </w:r>
      <w:r>
        <w:rPr>
          <w:noProof/>
        </w:rPr>
        <w:t xml:space="preserve">, </w:t>
      </w:r>
      <w:r w:rsidRPr="002668F2">
        <w:rPr>
          <w:i/>
          <w:noProof/>
        </w:rPr>
        <w:t>36</w:t>
      </w:r>
      <w:r>
        <w:rPr>
          <w:noProof/>
        </w:rPr>
        <w:t>, 563-572.</w:t>
      </w:r>
      <w:bookmarkEnd w:id="72"/>
    </w:p>
    <w:p w:rsidR="00BA151D" w:rsidRDefault="00BA151D" w:rsidP="002668F2">
      <w:pPr>
        <w:spacing w:line="240" w:lineRule="auto"/>
        <w:rPr>
          <w:noProof/>
        </w:rPr>
      </w:pPr>
      <w:bookmarkStart w:id="73" w:name="_ENREF_37"/>
      <w:r>
        <w:rPr>
          <w:noProof/>
        </w:rPr>
        <w:tab/>
        <w:t>(37)</w:t>
      </w:r>
      <w:r>
        <w:rPr>
          <w:noProof/>
        </w:rPr>
        <w:tab/>
        <w:t xml:space="preserve">Torres, S. J.; Nowson, C. A. </w:t>
      </w:r>
      <w:r w:rsidRPr="002668F2">
        <w:rPr>
          <w:i/>
          <w:noProof/>
        </w:rPr>
        <w:t>Nutrition</w:t>
      </w:r>
      <w:r>
        <w:rPr>
          <w:noProof/>
        </w:rPr>
        <w:t xml:space="preserve"> </w:t>
      </w:r>
      <w:r w:rsidRPr="002668F2">
        <w:rPr>
          <w:b/>
          <w:noProof/>
        </w:rPr>
        <w:t>2007</w:t>
      </w:r>
      <w:r>
        <w:rPr>
          <w:noProof/>
        </w:rPr>
        <w:t xml:space="preserve">, </w:t>
      </w:r>
      <w:r w:rsidRPr="002668F2">
        <w:rPr>
          <w:i/>
          <w:noProof/>
        </w:rPr>
        <w:t>23</w:t>
      </w:r>
      <w:r>
        <w:rPr>
          <w:noProof/>
        </w:rPr>
        <w:t>, 887-894.</w:t>
      </w:r>
      <w:bookmarkEnd w:id="73"/>
    </w:p>
    <w:p w:rsidR="00BA151D" w:rsidRDefault="00BA151D" w:rsidP="002668F2">
      <w:pPr>
        <w:spacing w:line="240" w:lineRule="auto"/>
        <w:rPr>
          <w:noProof/>
        </w:rPr>
      </w:pPr>
      <w:bookmarkStart w:id="74" w:name="_ENREF_38"/>
      <w:r>
        <w:rPr>
          <w:noProof/>
        </w:rPr>
        <w:tab/>
        <w:t>(38)</w:t>
      </w:r>
      <w:r>
        <w:rPr>
          <w:noProof/>
        </w:rPr>
        <w:tab/>
        <w:t xml:space="preserve">Groesz, L. M.; McCoy, S.; Carl, J.; Saslow, L.; Stewart, J.; Adler, N.; Laraia, B.; Epel, E. </w:t>
      </w:r>
      <w:r w:rsidR="009E6807">
        <w:rPr>
          <w:noProof/>
        </w:rPr>
        <w:tab/>
      </w:r>
      <w:r w:rsidR="009E6807">
        <w:rPr>
          <w:noProof/>
        </w:rPr>
        <w:tab/>
      </w:r>
      <w:r w:rsidR="009E6807">
        <w:rPr>
          <w:noProof/>
        </w:rPr>
        <w:tab/>
      </w:r>
      <w:r w:rsidRPr="002668F2">
        <w:rPr>
          <w:i/>
          <w:noProof/>
        </w:rPr>
        <w:t>Appetite</w:t>
      </w:r>
      <w:r>
        <w:rPr>
          <w:noProof/>
        </w:rPr>
        <w:t xml:space="preserve"> </w:t>
      </w:r>
      <w:r w:rsidRPr="002668F2">
        <w:rPr>
          <w:b/>
          <w:noProof/>
        </w:rPr>
        <w:t>2012</w:t>
      </w:r>
      <w:r>
        <w:rPr>
          <w:noProof/>
        </w:rPr>
        <w:t xml:space="preserve">, </w:t>
      </w:r>
      <w:r w:rsidRPr="002668F2">
        <w:rPr>
          <w:i/>
          <w:noProof/>
        </w:rPr>
        <w:t>58</w:t>
      </w:r>
      <w:r>
        <w:rPr>
          <w:noProof/>
        </w:rPr>
        <w:t>, 717-721.</w:t>
      </w:r>
      <w:bookmarkEnd w:id="74"/>
    </w:p>
    <w:p w:rsidR="00BA151D" w:rsidRDefault="00BA151D" w:rsidP="002668F2">
      <w:pPr>
        <w:spacing w:line="240" w:lineRule="auto"/>
        <w:rPr>
          <w:noProof/>
        </w:rPr>
      </w:pPr>
      <w:bookmarkStart w:id="75" w:name="_ENREF_39"/>
      <w:r>
        <w:rPr>
          <w:noProof/>
        </w:rPr>
        <w:tab/>
        <w:t>(39)</w:t>
      </w:r>
      <w:r>
        <w:rPr>
          <w:noProof/>
        </w:rPr>
        <w:tab/>
        <w:t xml:space="preserve">Meyer, I. H. </w:t>
      </w:r>
      <w:r w:rsidRPr="002668F2">
        <w:rPr>
          <w:i/>
          <w:noProof/>
        </w:rPr>
        <w:t>Psychological Bulletin</w:t>
      </w:r>
      <w:r>
        <w:rPr>
          <w:noProof/>
        </w:rPr>
        <w:t xml:space="preserve"> </w:t>
      </w:r>
      <w:r w:rsidRPr="002668F2">
        <w:rPr>
          <w:b/>
          <w:noProof/>
        </w:rPr>
        <w:t>2003</w:t>
      </w:r>
      <w:r>
        <w:rPr>
          <w:noProof/>
        </w:rPr>
        <w:t xml:space="preserve">, </w:t>
      </w:r>
      <w:r w:rsidRPr="002668F2">
        <w:rPr>
          <w:i/>
          <w:noProof/>
        </w:rPr>
        <w:t>129</w:t>
      </w:r>
      <w:r>
        <w:rPr>
          <w:noProof/>
        </w:rPr>
        <w:t>, 674-697.</w:t>
      </w:r>
      <w:bookmarkEnd w:id="75"/>
    </w:p>
    <w:p w:rsidR="00BA151D" w:rsidRDefault="00BA151D" w:rsidP="002668F2">
      <w:pPr>
        <w:spacing w:line="240" w:lineRule="auto"/>
        <w:rPr>
          <w:noProof/>
        </w:rPr>
      </w:pPr>
    </w:p>
    <w:p w:rsidR="00BA151D" w:rsidRDefault="00BA151D" w:rsidP="00245F86"/>
    <w:p w:rsidR="0058412C" w:rsidRDefault="008153A9"/>
    <w:sectPr w:rsidR="0058412C" w:rsidSect="00C01D13">
      <w:head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3A9" w:rsidRDefault="008153A9">
      <w:pPr>
        <w:spacing w:line="240" w:lineRule="auto"/>
      </w:pPr>
      <w:r>
        <w:separator/>
      </w:r>
    </w:p>
  </w:endnote>
  <w:endnote w:type="continuationSeparator" w:id="0">
    <w:p w:rsidR="008153A9" w:rsidRDefault="008153A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3A9" w:rsidRDefault="008153A9">
      <w:pPr>
        <w:spacing w:line="240" w:lineRule="auto"/>
      </w:pPr>
      <w:r>
        <w:separator/>
      </w:r>
    </w:p>
  </w:footnote>
  <w:footnote w:type="continuationSeparator" w:id="0">
    <w:p w:rsidR="008153A9" w:rsidRDefault="008153A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5B0" w:rsidRDefault="009E6807" w:rsidP="00B25CE1">
    <w:pPr>
      <w:pStyle w:val="Header"/>
      <w:ind w:left="-540"/>
    </w:pPr>
    <w:r w:rsidRPr="00877CEE">
      <w:rPr>
        <w:i/>
      </w:rPr>
      <w:t>Office on Women’s Health Information Collection Request</w:t>
    </w:r>
    <w:r>
      <w:rPr>
        <w:i/>
      </w:rPr>
      <w:t xml:space="preserve">                </w:t>
    </w:r>
    <w:r w:rsidRPr="00247B78">
      <w:rPr>
        <w:i/>
        <w:sz w:val="24"/>
        <w:szCs w:val="24"/>
      </w:rPr>
      <w:t>Out</w:t>
    </w:r>
    <w:r>
      <w:rPr>
        <w:i/>
        <w:sz w:val="24"/>
        <w:szCs w:val="24"/>
      </w:rPr>
      <w:t xml:space="preserve"> </w:t>
    </w:r>
    <w:r w:rsidRPr="00247B78">
      <w:rPr>
        <w:i/>
        <w:sz w:val="24"/>
        <w:szCs w:val="24"/>
      </w:rPr>
      <w:t>Proud and Healthy Fitness Project</w:t>
    </w:r>
  </w:p>
  <w:p w:rsidR="00A265B0" w:rsidRDefault="008153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608E0"/>
    <w:multiLevelType w:val="hybridMultilevel"/>
    <w:tmpl w:val="3BC68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3D7818"/>
    <w:multiLevelType w:val="hybridMultilevel"/>
    <w:tmpl w:val="FDAA18A8"/>
    <w:lvl w:ilvl="0" w:tplc="56265E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A7922D2"/>
    <w:multiLevelType w:val="hybridMultilevel"/>
    <w:tmpl w:val="6D84B9CE"/>
    <w:lvl w:ilvl="0" w:tplc="28B05D9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31E3651"/>
    <w:multiLevelType w:val="hybridMultilevel"/>
    <w:tmpl w:val="E3501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0904C5"/>
    <w:multiLevelType w:val="hybridMultilevel"/>
    <w:tmpl w:val="46188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s>
  <w:rsids>
    <w:rsidRoot w:val="00BA151D"/>
    <w:rsid w:val="008153A9"/>
    <w:rsid w:val="009E6807"/>
    <w:rsid w:val="00A60D31"/>
    <w:rsid w:val="00B40AFC"/>
    <w:rsid w:val="00BA151D"/>
    <w:rsid w:val="00DD3271"/>
    <w:rsid w:val="00E1277A"/>
    <w:rsid w:val="00EB1C22"/>
    <w:rsid w:val="00F071DE"/>
    <w:rsid w:val="00F323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51D"/>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BA151D"/>
    <w:pPr>
      <w:keepNext/>
      <w:keepLines/>
      <w:tabs>
        <w:tab w:val="clear" w:pos="720"/>
        <w:tab w:val="clear" w:pos="1080"/>
        <w:tab w:val="clear" w:pos="1440"/>
        <w:tab w:val="clear" w:pos="1800"/>
      </w:tab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nhideWhenUsed/>
    <w:qFormat/>
    <w:rsid w:val="00BA151D"/>
    <w:pPr>
      <w:keepNext/>
      <w:tabs>
        <w:tab w:val="clear" w:pos="720"/>
        <w:tab w:val="clear" w:pos="1080"/>
        <w:tab w:val="clear" w:pos="1440"/>
        <w:tab w:val="clear" w:pos="1800"/>
      </w:tabs>
      <w:spacing w:before="240" w:after="60" w:line="240"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51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BA151D"/>
    <w:rPr>
      <w:rFonts w:ascii="Cambria" w:eastAsia="Times New Roman" w:hAnsi="Cambria" w:cs="Times New Roman"/>
      <w:b/>
      <w:bCs/>
      <w:sz w:val="26"/>
      <w:szCs w:val="26"/>
    </w:rPr>
  </w:style>
  <w:style w:type="paragraph" w:customStyle="1" w:styleId="AbtHeadA">
    <w:name w:val="AbtHead A"/>
    <w:basedOn w:val="Normal"/>
    <w:next w:val="BodyText"/>
    <w:rsid w:val="00BA151D"/>
    <w:pPr>
      <w:keepNext/>
      <w:keepLines/>
      <w:spacing w:after="360"/>
      <w:outlineLvl w:val="0"/>
    </w:pPr>
    <w:rPr>
      <w:rFonts w:ascii="Arial" w:hAnsi="Arial"/>
      <w:b/>
      <w:sz w:val="36"/>
    </w:rPr>
  </w:style>
  <w:style w:type="paragraph" w:customStyle="1" w:styleId="AbtHeadB">
    <w:name w:val="AbtHead B"/>
    <w:basedOn w:val="Normal"/>
    <w:next w:val="BodyText"/>
    <w:rsid w:val="00BA151D"/>
    <w:pPr>
      <w:keepNext/>
      <w:keepLines/>
      <w:spacing w:after="280"/>
      <w:ind w:left="720" w:hanging="720"/>
      <w:outlineLvl w:val="1"/>
    </w:pPr>
    <w:rPr>
      <w:rFonts w:ascii="Arial" w:hAnsi="Arial"/>
      <w:b/>
      <w:sz w:val="28"/>
    </w:rPr>
  </w:style>
  <w:style w:type="paragraph" w:customStyle="1" w:styleId="AbtHeadC">
    <w:name w:val="AbtHead C"/>
    <w:basedOn w:val="Normal"/>
    <w:next w:val="BodyText"/>
    <w:rsid w:val="00BA151D"/>
    <w:pPr>
      <w:keepNext/>
      <w:keepLines/>
      <w:spacing w:after="240"/>
      <w:outlineLvl w:val="2"/>
    </w:pPr>
    <w:rPr>
      <w:rFonts w:ascii="Arial" w:hAnsi="Arial"/>
      <w:b/>
      <w:sz w:val="20"/>
    </w:rPr>
  </w:style>
  <w:style w:type="paragraph" w:styleId="BodyText">
    <w:name w:val="Body Text"/>
    <w:basedOn w:val="Normal"/>
    <w:link w:val="BodyTextChar"/>
    <w:semiHidden/>
    <w:rsid w:val="00BA151D"/>
  </w:style>
  <w:style w:type="character" w:customStyle="1" w:styleId="BodyTextChar">
    <w:name w:val="Body Text Char"/>
    <w:basedOn w:val="DefaultParagraphFont"/>
    <w:link w:val="BodyText"/>
    <w:semiHidden/>
    <w:rsid w:val="00BA151D"/>
    <w:rPr>
      <w:rFonts w:ascii="Times New Roman" w:eastAsia="Times New Roman" w:hAnsi="Times New Roman" w:cs="Times New Roman"/>
      <w:szCs w:val="20"/>
    </w:rPr>
  </w:style>
  <w:style w:type="paragraph" w:styleId="NormalWeb">
    <w:name w:val="Normal (Web)"/>
    <w:basedOn w:val="Normal"/>
    <w:uiPriority w:val="99"/>
    <w:unhideWhenUsed/>
    <w:rsid w:val="00BA151D"/>
    <w:pPr>
      <w:tabs>
        <w:tab w:val="clear" w:pos="720"/>
        <w:tab w:val="clear" w:pos="1080"/>
        <w:tab w:val="clear" w:pos="1440"/>
        <w:tab w:val="clear" w:pos="1800"/>
      </w:tabs>
      <w:spacing w:before="100" w:beforeAutospacing="1" w:after="100" w:afterAutospacing="1" w:line="240" w:lineRule="auto"/>
    </w:pPr>
    <w:rPr>
      <w:rFonts w:eastAsia="Calibri"/>
      <w:sz w:val="24"/>
      <w:szCs w:val="24"/>
    </w:rPr>
  </w:style>
  <w:style w:type="paragraph" w:styleId="Header">
    <w:name w:val="header"/>
    <w:basedOn w:val="Normal"/>
    <w:link w:val="HeaderChar"/>
    <w:uiPriority w:val="99"/>
    <w:unhideWhenUsed/>
    <w:rsid w:val="00BA151D"/>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BA151D"/>
    <w:rPr>
      <w:rFonts w:ascii="Times New Roman" w:eastAsia="Times New Roman" w:hAnsi="Times New Roman" w:cs="Times New Roman"/>
      <w:szCs w:val="20"/>
    </w:rPr>
  </w:style>
  <w:style w:type="paragraph" w:styleId="Footer">
    <w:name w:val="footer"/>
    <w:basedOn w:val="Normal"/>
    <w:link w:val="FooterChar"/>
    <w:uiPriority w:val="99"/>
    <w:semiHidden/>
    <w:unhideWhenUsed/>
    <w:rsid w:val="00BA151D"/>
    <w:pPr>
      <w:tabs>
        <w:tab w:val="clear" w:pos="720"/>
        <w:tab w:val="clear" w:pos="1080"/>
        <w:tab w:val="clear" w:pos="1440"/>
        <w:tab w:val="clear" w:pos="1800"/>
        <w:tab w:val="center" w:pos="4680"/>
        <w:tab w:val="right" w:pos="9360"/>
      </w:tabs>
      <w:spacing w:line="240" w:lineRule="auto"/>
    </w:pPr>
  </w:style>
  <w:style w:type="character" w:customStyle="1" w:styleId="FooterChar">
    <w:name w:val="Footer Char"/>
    <w:basedOn w:val="DefaultParagraphFont"/>
    <w:link w:val="Footer"/>
    <w:uiPriority w:val="99"/>
    <w:semiHidden/>
    <w:rsid w:val="00BA151D"/>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BA15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51D"/>
    <w:rPr>
      <w:rFonts w:ascii="Tahoma" w:eastAsia="Times New Roman" w:hAnsi="Tahoma" w:cs="Tahoma"/>
      <w:sz w:val="16"/>
      <w:szCs w:val="16"/>
    </w:rPr>
  </w:style>
  <w:style w:type="paragraph" w:styleId="ListParagraph">
    <w:name w:val="List Paragraph"/>
    <w:basedOn w:val="Normal"/>
    <w:uiPriority w:val="34"/>
    <w:qFormat/>
    <w:rsid w:val="00BA151D"/>
    <w:pPr>
      <w:tabs>
        <w:tab w:val="clear" w:pos="720"/>
        <w:tab w:val="clear" w:pos="1080"/>
        <w:tab w:val="clear" w:pos="1440"/>
        <w:tab w:val="clear" w:pos="1800"/>
      </w:tabs>
      <w:spacing w:after="200" w:line="276" w:lineRule="auto"/>
      <w:ind w:left="720"/>
      <w:contextualSpacing/>
    </w:pPr>
    <w:rPr>
      <w:rFonts w:asciiTheme="minorHAnsi" w:eastAsiaTheme="minorHAnsi" w:hAnsiTheme="minorHAnsi" w:cstheme="minorBidi"/>
      <w:szCs w:val="22"/>
    </w:rPr>
  </w:style>
  <w:style w:type="table" w:styleId="TableGrid">
    <w:name w:val="Table Grid"/>
    <w:basedOn w:val="TableNormal"/>
    <w:uiPriority w:val="59"/>
    <w:rsid w:val="00BA15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BA151D"/>
    <w:rPr>
      <w:color w:val="0000FF"/>
      <w:u w:val="single"/>
    </w:rPr>
  </w:style>
  <w:style w:type="paragraph" w:customStyle="1" w:styleId="Title1">
    <w:name w:val="Title1"/>
    <w:basedOn w:val="Normal"/>
    <w:rsid w:val="00BA151D"/>
    <w:pPr>
      <w:tabs>
        <w:tab w:val="clear" w:pos="720"/>
        <w:tab w:val="clear" w:pos="1080"/>
        <w:tab w:val="clear" w:pos="1440"/>
        <w:tab w:val="clear" w:pos="1800"/>
      </w:tabs>
      <w:spacing w:before="100" w:beforeAutospacing="1" w:after="100" w:afterAutospacing="1" w:line="240" w:lineRule="auto"/>
    </w:pPr>
    <w:rPr>
      <w:sz w:val="24"/>
      <w:szCs w:val="24"/>
    </w:rPr>
  </w:style>
  <w:style w:type="character" w:customStyle="1" w:styleId="jrnl">
    <w:name w:val="jrnl"/>
    <w:basedOn w:val="DefaultParagraphFont"/>
    <w:rsid w:val="00BA15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51D"/>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BA151D"/>
    <w:pPr>
      <w:keepNext/>
      <w:keepLines/>
      <w:tabs>
        <w:tab w:val="clear" w:pos="720"/>
        <w:tab w:val="clear" w:pos="1080"/>
        <w:tab w:val="clear" w:pos="1440"/>
        <w:tab w:val="clear" w:pos="1800"/>
      </w:tab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nhideWhenUsed/>
    <w:qFormat/>
    <w:rsid w:val="00BA151D"/>
    <w:pPr>
      <w:keepNext/>
      <w:tabs>
        <w:tab w:val="clear" w:pos="720"/>
        <w:tab w:val="clear" w:pos="1080"/>
        <w:tab w:val="clear" w:pos="1440"/>
        <w:tab w:val="clear" w:pos="1800"/>
      </w:tabs>
      <w:spacing w:before="240" w:after="60" w:line="240"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51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BA151D"/>
    <w:rPr>
      <w:rFonts w:ascii="Cambria" w:eastAsia="Times New Roman" w:hAnsi="Cambria" w:cs="Times New Roman"/>
      <w:b/>
      <w:bCs/>
      <w:sz w:val="26"/>
      <w:szCs w:val="26"/>
    </w:rPr>
  </w:style>
  <w:style w:type="paragraph" w:customStyle="1" w:styleId="AbtHeadA">
    <w:name w:val="AbtHead A"/>
    <w:basedOn w:val="Normal"/>
    <w:next w:val="BodyText"/>
    <w:rsid w:val="00BA151D"/>
    <w:pPr>
      <w:keepNext/>
      <w:keepLines/>
      <w:spacing w:after="360"/>
      <w:outlineLvl w:val="0"/>
    </w:pPr>
    <w:rPr>
      <w:rFonts w:ascii="Arial" w:hAnsi="Arial"/>
      <w:b/>
      <w:sz w:val="36"/>
    </w:rPr>
  </w:style>
  <w:style w:type="paragraph" w:customStyle="1" w:styleId="AbtHeadB">
    <w:name w:val="AbtHead B"/>
    <w:basedOn w:val="Normal"/>
    <w:next w:val="BodyText"/>
    <w:rsid w:val="00BA151D"/>
    <w:pPr>
      <w:keepNext/>
      <w:keepLines/>
      <w:spacing w:after="280"/>
      <w:ind w:left="720" w:hanging="720"/>
      <w:outlineLvl w:val="1"/>
    </w:pPr>
    <w:rPr>
      <w:rFonts w:ascii="Arial" w:hAnsi="Arial"/>
      <w:b/>
      <w:sz w:val="28"/>
    </w:rPr>
  </w:style>
  <w:style w:type="paragraph" w:customStyle="1" w:styleId="AbtHeadC">
    <w:name w:val="AbtHead C"/>
    <w:basedOn w:val="Normal"/>
    <w:next w:val="BodyText"/>
    <w:rsid w:val="00BA151D"/>
    <w:pPr>
      <w:keepNext/>
      <w:keepLines/>
      <w:spacing w:after="240"/>
      <w:outlineLvl w:val="2"/>
    </w:pPr>
    <w:rPr>
      <w:rFonts w:ascii="Arial" w:hAnsi="Arial"/>
      <w:b/>
      <w:sz w:val="20"/>
    </w:rPr>
  </w:style>
  <w:style w:type="paragraph" w:styleId="BodyText">
    <w:name w:val="Body Text"/>
    <w:basedOn w:val="Normal"/>
    <w:link w:val="BodyTextChar"/>
    <w:semiHidden/>
    <w:rsid w:val="00BA151D"/>
  </w:style>
  <w:style w:type="character" w:customStyle="1" w:styleId="BodyTextChar">
    <w:name w:val="Body Text Char"/>
    <w:basedOn w:val="DefaultParagraphFont"/>
    <w:link w:val="BodyText"/>
    <w:semiHidden/>
    <w:rsid w:val="00BA151D"/>
    <w:rPr>
      <w:rFonts w:ascii="Times New Roman" w:eastAsia="Times New Roman" w:hAnsi="Times New Roman" w:cs="Times New Roman"/>
      <w:szCs w:val="20"/>
    </w:rPr>
  </w:style>
  <w:style w:type="paragraph" w:styleId="NormalWeb">
    <w:name w:val="Normal (Web)"/>
    <w:basedOn w:val="Normal"/>
    <w:uiPriority w:val="99"/>
    <w:unhideWhenUsed/>
    <w:rsid w:val="00BA151D"/>
    <w:pPr>
      <w:tabs>
        <w:tab w:val="clear" w:pos="720"/>
        <w:tab w:val="clear" w:pos="1080"/>
        <w:tab w:val="clear" w:pos="1440"/>
        <w:tab w:val="clear" w:pos="1800"/>
      </w:tabs>
      <w:spacing w:before="100" w:beforeAutospacing="1" w:after="100" w:afterAutospacing="1" w:line="240" w:lineRule="auto"/>
    </w:pPr>
    <w:rPr>
      <w:rFonts w:eastAsia="Calibri"/>
      <w:sz w:val="24"/>
      <w:szCs w:val="24"/>
    </w:rPr>
  </w:style>
  <w:style w:type="paragraph" w:styleId="Header">
    <w:name w:val="header"/>
    <w:basedOn w:val="Normal"/>
    <w:link w:val="HeaderChar"/>
    <w:uiPriority w:val="99"/>
    <w:unhideWhenUsed/>
    <w:rsid w:val="00BA151D"/>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BA151D"/>
    <w:rPr>
      <w:rFonts w:ascii="Times New Roman" w:eastAsia="Times New Roman" w:hAnsi="Times New Roman" w:cs="Times New Roman"/>
      <w:szCs w:val="20"/>
    </w:rPr>
  </w:style>
  <w:style w:type="paragraph" w:styleId="Footer">
    <w:name w:val="footer"/>
    <w:basedOn w:val="Normal"/>
    <w:link w:val="FooterChar"/>
    <w:uiPriority w:val="99"/>
    <w:semiHidden/>
    <w:unhideWhenUsed/>
    <w:rsid w:val="00BA151D"/>
    <w:pPr>
      <w:tabs>
        <w:tab w:val="clear" w:pos="720"/>
        <w:tab w:val="clear" w:pos="1080"/>
        <w:tab w:val="clear" w:pos="1440"/>
        <w:tab w:val="clear" w:pos="1800"/>
        <w:tab w:val="center" w:pos="4680"/>
        <w:tab w:val="right" w:pos="9360"/>
      </w:tabs>
      <w:spacing w:line="240" w:lineRule="auto"/>
    </w:pPr>
  </w:style>
  <w:style w:type="character" w:customStyle="1" w:styleId="FooterChar">
    <w:name w:val="Footer Char"/>
    <w:basedOn w:val="DefaultParagraphFont"/>
    <w:link w:val="Footer"/>
    <w:uiPriority w:val="99"/>
    <w:semiHidden/>
    <w:rsid w:val="00BA151D"/>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BA15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51D"/>
    <w:rPr>
      <w:rFonts w:ascii="Tahoma" w:eastAsia="Times New Roman" w:hAnsi="Tahoma" w:cs="Tahoma"/>
      <w:sz w:val="16"/>
      <w:szCs w:val="16"/>
    </w:rPr>
  </w:style>
  <w:style w:type="paragraph" w:styleId="ListParagraph">
    <w:name w:val="List Paragraph"/>
    <w:basedOn w:val="Normal"/>
    <w:uiPriority w:val="34"/>
    <w:qFormat/>
    <w:rsid w:val="00BA151D"/>
    <w:pPr>
      <w:tabs>
        <w:tab w:val="clear" w:pos="720"/>
        <w:tab w:val="clear" w:pos="1080"/>
        <w:tab w:val="clear" w:pos="1440"/>
        <w:tab w:val="clear" w:pos="1800"/>
      </w:tabs>
      <w:spacing w:after="200" w:line="276" w:lineRule="auto"/>
      <w:ind w:left="720"/>
      <w:contextualSpacing/>
    </w:pPr>
    <w:rPr>
      <w:rFonts w:asciiTheme="minorHAnsi" w:eastAsiaTheme="minorHAnsi" w:hAnsiTheme="minorHAnsi" w:cstheme="minorBidi"/>
      <w:szCs w:val="22"/>
    </w:rPr>
  </w:style>
  <w:style w:type="table" w:styleId="TableGrid">
    <w:name w:val="Table Grid"/>
    <w:basedOn w:val="TableNormal"/>
    <w:uiPriority w:val="59"/>
    <w:rsid w:val="00BA15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BA151D"/>
    <w:rPr>
      <w:color w:val="0000FF"/>
      <w:u w:val="single"/>
    </w:rPr>
  </w:style>
  <w:style w:type="paragraph" w:customStyle="1" w:styleId="Title1">
    <w:name w:val="Title1"/>
    <w:basedOn w:val="Normal"/>
    <w:rsid w:val="00BA151D"/>
    <w:pPr>
      <w:tabs>
        <w:tab w:val="clear" w:pos="720"/>
        <w:tab w:val="clear" w:pos="1080"/>
        <w:tab w:val="clear" w:pos="1440"/>
        <w:tab w:val="clear" w:pos="1800"/>
      </w:tabs>
      <w:spacing w:before="100" w:beforeAutospacing="1" w:after="100" w:afterAutospacing="1" w:line="240" w:lineRule="auto"/>
    </w:pPr>
    <w:rPr>
      <w:sz w:val="24"/>
      <w:szCs w:val="24"/>
    </w:rPr>
  </w:style>
  <w:style w:type="character" w:customStyle="1" w:styleId="jrnl">
    <w:name w:val="jrnl"/>
    <w:basedOn w:val="DefaultParagraphFont"/>
    <w:rsid w:val="00BA151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Szymanski%20DM%5BAuthor%5D&amp;cauthor=true&amp;cauthor_uid=11482427" TargetMode="External"/><Relationship Id="rId13" Type="http://schemas.openxmlformats.org/officeDocument/2006/relationships/hyperlink" Target="http://www.ncbi.nlm.nih.gov/pubmed?term=Selby%20VC%5BAuthor%5D&amp;cauthor=true&amp;cauthor_uid=157466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cbi.nlm.nih.gov/pubmed/11482427" TargetMode="External"/><Relationship Id="rId12" Type="http://schemas.openxmlformats.org/officeDocument/2006/relationships/hyperlink" Target="http://www.ncbi.nlm.nih.gov/pubmed?term=Marcus%20BH%5BAuthor%5D&amp;cauthor=true&amp;cauthor_uid=157466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1574662" TargetMode="External"/><Relationship Id="rId5" Type="http://schemas.openxmlformats.org/officeDocument/2006/relationships/footnotes" Target="footnotes.xml"/><Relationship Id="rId15" Type="http://schemas.openxmlformats.org/officeDocument/2006/relationships/hyperlink" Target="http://www.ncbi.nlm.nih.gov/pubmed?term=Rossi%20JS%5BAuthor%5D&amp;cauthor=true&amp;cauthor_uid=1574662" TargetMode="External"/><Relationship Id="rId10" Type="http://schemas.openxmlformats.org/officeDocument/2006/relationships/hyperlink" Target="http://www.cdc.gov/pcd/issues/2006/oct/06_0001.htm"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ncbi.nlm.nih.gov/pubmed?term=Chung%20YB%5BAuthor%5D&amp;cauthor=true&amp;cauthor_uid=11482427" TargetMode="External"/><Relationship Id="rId14" Type="http://schemas.openxmlformats.org/officeDocument/2006/relationships/hyperlink" Target="http://www.ncbi.nlm.nih.gov/pubmed?term=Niaura%20RS%5BAuthor%5D&amp;cauthor=true&amp;cauthor_uid=15746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7247</Words>
  <Characters>41311</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48462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Meyer</dc:creator>
  <cp:lastModifiedBy>Department of Health and Human Services</cp:lastModifiedBy>
  <cp:revision>3</cp:revision>
  <dcterms:created xsi:type="dcterms:W3CDTF">2013-07-12T20:56:00Z</dcterms:created>
  <dcterms:modified xsi:type="dcterms:W3CDTF">2013-07-19T18:15:00Z</dcterms:modified>
</cp:coreProperties>
</file>