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CD7" w:rsidRDefault="00D72CD7" w:rsidP="00D72CD7">
      <w:pPr>
        <w:spacing w:before="60" w:after="120" w:line="240" w:lineRule="auto"/>
        <w:rPr>
          <w:b/>
          <w:sz w:val="24"/>
        </w:rPr>
      </w:pPr>
      <w:r>
        <w:rPr>
          <w:b/>
          <w:sz w:val="24"/>
        </w:rPr>
        <w:t xml:space="preserve">The following anthropometric and health indicators will be measured for each individual (respondent) involved in the intervention. </w:t>
      </w:r>
    </w:p>
    <w:tbl>
      <w:tblPr>
        <w:tblStyle w:val="TableGrid"/>
        <w:tblW w:w="0" w:type="auto"/>
        <w:tblLook w:val="04A0"/>
      </w:tblPr>
      <w:tblGrid>
        <w:gridCol w:w="2343"/>
        <w:gridCol w:w="8673"/>
      </w:tblGrid>
      <w:tr w:rsidR="00E94F2F" w:rsidTr="00E94F2F">
        <w:tc>
          <w:tcPr>
            <w:tcW w:w="2343" w:type="dxa"/>
            <w:tcBorders>
              <w:left w:val="nil"/>
            </w:tcBorders>
            <w:shd w:val="clear" w:color="auto" w:fill="002060"/>
          </w:tcPr>
          <w:p w:rsidR="00E94F2F" w:rsidRPr="00E94F2F" w:rsidRDefault="00F35333" w:rsidP="00E94F2F">
            <w:pPr>
              <w:spacing w:before="60" w:after="120"/>
              <w:rPr>
                <w:b/>
                <w:sz w:val="26"/>
                <w:szCs w:val="26"/>
              </w:rPr>
            </w:pPr>
            <w:r w:rsidRPr="00E94F2F">
              <w:rPr>
                <w:b/>
                <w:sz w:val="26"/>
                <w:szCs w:val="26"/>
              </w:rPr>
              <w:t>MEASUREMENT</w:t>
            </w:r>
          </w:p>
        </w:tc>
        <w:tc>
          <w:tcPr>
            <w:tcW w:w="8673" w:type="dxa"/>
            <w:tcBorders>
              <w:right w:val="nil"/>
            </w:tcBorders>
            <w:shd w:val="clear" w:color="auto" w:fill="002060"/>
          </w:tcPr>
          <w:p w:rsidR="00E94F2F" w:rsidRPr="00E94F2F" w:rsidRDefault="00F35333" w:rsidP="00D72CD7">
            <w:pPr>
              <w:spacing w:before="60" w:after="120"/>
              <w:rPr>
                <w:b/>
                <w:sz w:val="26"/>
                <w:szCs w:val="26"/>
              </w:rPr>
            </w:pPr>
            <w:r w:rsidRPr="00E94F2F">
              <w:rPr>
                <w:b/>
                <w:sz w:val="26"/>
                <w:szCs w:val="26"/>
              </w:rPr>
              <w:t>APPROACH</w:t>
            </w:r>
          </w:p>
        </w:tc>
      </w:tr>
      <w:tr w:rsidR="00E94F2F" w:rsidTr="00E94F2F">
        <w:tc>
          <w:tcPr>
            <w:tcW w:w="2343" w:type="dxa"/>
            <w:tcBorders>
              <w:left w:val="nil"/>
            </w:tcBorders>
          </w:tcPr>
          <w:p w:rsidR="00E94F2F" w:rsidRPr="00E94F2F" w:rsidRDefault="00E94F2F" w:rsidP="00E94F2F">
            <w:pPr>
              <w:pStyle w:val="ListParagraph"/>
              <w:numPr>
                <w:ilvl w:val="0"/>
                <w:numId w:val="27"/>
              </w:numPr>
              <w:spacing w:before="60" w:after="120"/>
              <w:ind w:left="450"/>
              <w:rPr>
                <w:b/>
                <w:sz w:val="24"/>
              </w:rPr>
            </w:pPr>
            <w:r w:rsidRPr="00E94F2F">
              <w:rPr>
                <w:b/>
                <w:sz w:val="24"/>
              </w:rPr>
              <w:t>Waist Circumference</w:t>
            </w:r>
          </w:p>
        </w:tc>
        <w:tc>
          <w:tcPr>
            <w:tcW w:w="8673" w:type="dxa"/>
            <w:tcBorders>
              <w:right w:val="nil"/>
            </w:tcBorders>
          </w:tcPr>
          <w:p w:rsidR="00E94F2F" w:rsidRDefault="00E94F2F" w:rsidP="00D72CD7">
            <w:pPr>
              <w:spacing w:before="60" w:after="120"/>
              <w:rPr>
                <w:b/>
                <w:sz w:val="24"/>
              </w:rPr>
            </w:pPr>
            <w:r>
              <w:rPr>
                <w:i/>
                <w:sz w:val="24"/>
              </w:rPr>
              <w:t>As</w:t>
            </w:r>
            <w:r w:rsidRPr="00D35C50">
              <w:rPr>
                <w:i/>
                <w:sz w:val="24"/>
              </w:rPr>
              <w:t xml:space="preserve"> discussed in Centers for Disease Control and Prevention (CDC). National Health and Nutrition Exam</w:t>
            </w:r>
            <w:bookmarkStart w:id="0" w:name="_GoBack"/>
            <w:bookmarkEnd w:id="0"/>
            <w:r w:rsidRPr="00D35C50">
              <w:rPr>
                <w:i/>
                <w:sz w:val="24"/>
              </w:rPr>
              <w:t>ination Survey. Anthropometry Procedures Manual, January 2009</w:t>
            </w:r>
          </w:p>
        </w:tc>
      </w:tr>
      <w:tr w:rsidR="00E94F2F" w:rsidTr="00E94F2F">
        <w:tc>
          <w:tcPr>
            <w:tcW w:w="2343" w:type="dxa"/>
            <w:tcBorders>
              <w:left w:val="nil"/>
            </w:tcBorders>
          </w:tcPr>
          <w:p w:rsidR="00E94F2F" w:rsidRPr="00E94F2F" w:rsidRDefault="00E94F2F" w:rsidP="00E94F2F">
            <w:pPr>
              <w:pStyle w:val="ListParagraph"/>
              <w:numPr>
                <w:ilvl w:val="0"/>
                <w:numId w:val="27"/>
              </w:numPr>
              <w:spacing w:before="60" w:after="120"/>
              <w:ind w:left="450"/>
              <w:rPr>
                <w:b/>
                <w:sz w:val="24"/>
              </w:rPr>
            </w:pPr>
            <w:r w:rsidRPr="00E94F2F">
              <w:rPr>
                <w:b/>
                <w:sz w:val="24"/>
              </w:rPr>
              <w:t>Weight</w:t>
            </w:r>
          </w:p>
        </w:tc>
        <w:tc>
          <w:tcPr>
            <w:tcW w:w="8673" w:type="dxa"/>
            <w:tcBorders>
              <w:right w:val="nil"/>
            </w:tcBorders>
          </w:tcPr>
          <w:p w:rsidR="00E94F2F" w:rsidRDefault="00E94F2F" w:rsidP="00D72CD7">
            <w:pPr>
              <w:spacing w:before="60" w:after="120"/>
              <w:rPr>
                <w:b/>
                <w:sz w:val="24"/>
              </w:rPr>
            </w:pPr>
            <w:r>
              <w:rPr>
                <w:i/>
                <w:sz w:val="24"/>
              </w:rPr>
              <w:t>As</w:t>
            </w:r>
            <w:r w:rsidRPr="00D35C50">
              <w:rPr>
                <w:i/>
                <w:sz w:val="24"/>
              </w:rPr>
              <w:t xml:space="preserve"> discussed in Centers for Disease Control and Prevention (CDC). National Health and Nutrition Examination Survey. Anthropometry Procedures Manual, January 2009</w:t>
            </w:r>
          </w:p>
        </w:tc>
      </w:tr>
      <w:tr w:rsidR="00E94F2F" w:rsidTr="00E94F2F">
        <w:tc>
          <w:tcPr>
            <w:tcW w:w="2343" w:type="dxa"/>
            <w:tcBorders>
              <w:left w:val="nil"/>
            </w:tcBorders>
          </w:tcPr>
          <w:p w:rsidR="00E94F2F" w:rsidRPr="00E94F2F" w:rsidRDefault="00E94F2F" w:rsidP="00E94F2F">
            <w:pPr>
              <w:pStyle w:val="ListParagraph"/>
              <w:numPr>
                <w:ilvl w:val="0"/>
                <w:numId w:val="27"/>
              </w:numPr>
              <w:spacing w:before="60" w:after="120"/>
              <w:ind w:left="450"/>
              <w:rPr>
                <w:b/>
                <w:sz w:val="24"/>
              </w:rPr>
            </w:pPr>
            <w:r w:rsidRPr="00E94F2F">
              <w:rPr>
                <w:b/>
                <w:sz w:val="24"/>
              </w:rPr>
              <w:t>Height</w:t>
            </w:r>
          </w:p>
        </w:tc>
        <w:tc>
          <w:tcPr>
            <w:tcW w:w="8673" w:type="dxa"/>
            <w:tcBorders>
              <w:right w:val="nil"/>
            </w:tcBorders>
          </w:tcPr>
          <w:p w:rsidR="00E94F2F" w:rsidRDefault="00E94F2F" w:rsidP="00D72CD7">
            <w:pPr>
              <w:spacing w:before="60" w:after="120"/>
              <w:rPr>
                <w:b/>
                <w:sz w:val="24"/>
              </w:rPr>
            </w:pPr>
            <w:r>
              <w:rPr>
                <w:i/>
                <w:sz w:val="24"/>
              </w:rPr>
              <w:t>As</w:t>
            </w:r>
            <w:r w:rsidRPr="00D35C50">
              <w:rPr>
                <w:i/>
                <w:sz w:val="24"/>
              </w:rPr>
              <w:t xml:space="preserve"> discussed in Centers for Disease Control and Prevention (CDC). National Health and Nutrition Examination Survey. Anthropometry Procedures Manual, January 2009</w:t>
            </w:r>
          </w:p>
        </w:tc>
      </w:tr>
      <w:tr w:rsidR="00E94F2F" w:rsidTr="00E94F2F">
        <w:tc>
          <w:tcPr>
            <w:tcW w:w="2343" w:type="dxa"/>
            <w:tcBorders>
              <w:left w:val="nil"/>
            </w:tcBorders>
          </w:tcPr>
          <w:p w:rsidR="00E94F2F" w:rsidRPr="00E94F2F" w:rsidRDefault="00E94F2F" w:rsidP="00E94F2F">
            <w:pPr>
              <w:pStyle w:val="ListParagraph"/>
              <w:numPr>
                <w:ilvl w:val="0"/>
                <w:numId w:val="27"/>
              </w:numPr>
              <w:spacing w:before="60" w:after="120"/>
              <w:ind w:left="450"/>
              <w:rPr>
                <w:b/>
                <w:sz w:val="24"/>
              </w:rPr>
            </w:pPr>
            <w:r w:rsidRPr="00E94F2F">
              <w:rPr>
                <w:b/>
                <w:sz w:val="24"/>
              </w:rPr>
              <w:t>Blood Pressure</w:t>
            </w:r>
          </w:p>
        </w:tc>
        <w:tc>
          <w:tcPr>
            <w:tcW w:w="8673" w:type="dxa"/>
            <w:tcBorders>
              <w:right w:val="nil"/>
            </w:tcBorders>
          </w:tcPr>
          <w:p w:rsidR="00E94F2F" w:rsidRDefault="00E94F2F" w:rsidP="00D72CD7">
            <w:pPr>
              <w:spacing w:before="60" w:after="120"/>
              <w:rPr>
                <w:b/>
                <w:sz w:val="24"/>
              </w:rPr>
            </w:pPr>
            <w:r w:rsidRPr="00E94F2F">
              <w:rPr>
                <w:i/>
                <w:sz w:val="24"/>
              </w:rPr>
              <w:t>Measure</w:t>
            </w:r>
            <w:r>
              <w:rPr>
                <w:i/>
                <w:sz w:val="24"/>
              </w:rPr>
              <w:t>d</w:t>
            </w:r>
            <w:r w:rsidRPr="00E94F2F">
              <w:rPr>
                <w:i/>
                <w:sz w:val="24"/>
              </w:rPr>
              <w:t xml:space="preserve"> using a sphygmomanometer</w:t>
            </w:r>
          </w:p>
        </w:tc>
      </w:tr>
      <w:tr w:rsidR="00E94F2F" w:rsidTr="00E94F2F">
        <w:tc>
          <w:tcPr>
            <w:tcW w:w="2343" w:type="dxa"/>
            <w:tcBorders>
              <w:left w:val="nil"/>
            </w:tcBorders>
          </w:tcPr>
          <w:p w:rsidR="00E94F2F" w:rsidRPr="00E94F2F" w:rsidRDefault="00E94F2F" w:rsidP="00E94F2F">
            <w:pPr>
              <w:pStyle w:val="ListParagraph"/>
              <w:numPr>
                <w:ilvl w:val="0"/>
                <w:numId w:val="27"/>
              </w:numPr>
              <w:spacing w:before="60" w:after="120"/>
              <w:ind w:left="450"/>
              <w:rPr>
                <w:b/>
                <w:sz w:val="24"/>
              </w:rPr>
            </w:pPr>
            <w:r w:rsidRPr="00E94F2F">
              <w:rPr>
                <w:b/>
                <w:sz w:val="24"/>
              </w:rPr>
              <w:t>Body Fat Percentage</w:t>
            </w:r>
          </w:p>
        </w:tc>
        <w:tc>
          <w:tcPr>
            <w:tcW w:w="8673" w:type="dxa"/>
            <w:tcBorders>
              <w:right w:val="nil"/>
            </w:tcBorders>
          </w:tcPr>
          <w:p w:rsidR="00E94F2F" w:rsidRDefault="00E94F2F" w:rsidP="00973541">
            <w:pPr>
              <w:spacing w:before="60" w:after="120"/>
              <w:rPr>
                <w:b/>
                <w:sz w:val="24"/>
              </w:rPr>
            </w:pPr>
            <w:r>
              <w:rPr>
                <w:i/>
                <w:sz w:val="24"/>
              </w:rPr>
              <w:t>As</w:t>
            </w:r>
            <w:r w:rsidRPr="00D35C50">
              <w:rPr>
                <w:i/>
                <w:sz w:val="24"/>
              </w:rPr>
              <w:t xml:space="preserve"> discussed in Centers for Disease Control and Prevention (CDC). National Health and Nutrition Examination Survey. Anthropometry Procedures Manual, January 2009</w:t>
            </w:r>
          </w:p>
        </w:tc>
      </w:tr>
      <w:tr w:rsidR="00E94F2F" w:rsidTr="00E94F2F">
        <w:tc>
          <w:tcPr>
            <w:tcW w:w="2343" w:type="dxa"/>
            <w:tcBorders>
              <w:left w:val="nil"/>
            </w:tcBorders>
          </w:tcPr>
          <w:p w:rsidR="00E94F2F" w:rsidRPr="00E94F2F" w:rsidRDefault="00E94F2F" w:rsidP="00E94F2F">
            <w:pPr>
              <w:pStyle w:val="ListParagraph"/>
              <w:numPr>
                <w:ilvl w:val="0"/>
                <w:numId w:val="27"/>
              </w:numPr>
              <w:spacing w:before="60" w:after="120"/>
              <w:ind w:left="450"/>
              <w:rPr>
                <w:b/>
                <w:sz w:val="24"/>
              </w:rPr>
            </w:pPr>
            <w:r w:rsidRPr="00E94F2F">
              <w:rPr>
                <w:b/>
                <w:sz w:val="24"/>
              </w:rPr>
              <w:t>Flexibility</w:t>
            </w:r>
          </w:p>
        </w:tc>
        <w:tc>
          <w:tcPr>
            <w:tcW w:w="8673" w:type="dxa"/>
            <w:tcBorders>
              <w:right w:val="nil"/>
            </w:tcBorders>
          </w:tcPr>
          <w:p w:rsidR="00E94F2F" w:rsidRDefault="00E94F2F" w:rsidP="00E94F2F">
            <w:pPr>
              <w:spacing w:before="60" w:after="120"/>
              <w:rPr>
                <w:b/>
                <w:sz w:val="24"/>
              </w:rPr>
            </w:pPr>
            <w:r w:rsidRPr="00D72CD7">
              <w:rPr>
                <w:i/>
                <w:sz w:val="24"/>
              </w:rPr>
              <w:t>Measured using the Sit and Reach test, YMCA Fitness Testing and Assessment Manual, 4th edition, 2000, 60606</w:t>
            </w:r>
          </w:p>
        </w:tc>
      </w:tr>
      <w:tr w:rsidR="00E94F2F" w:rsidTr="00E94F2F">
        <w:tc>
          <w:tcPr>
            <w:tcW w:w="2343" w:type="dxa"/>
            <w:tcBorders>
              <w:left w:val="nil"/>
            </w:tcBorders>
          </w:tcPr>
          <w:p w:rsidR="00E94F2F" w:rsidRPr="00E94F2F" w:rsidRDefault="00E94F2F" w:rsidP="00E94F2F">
            <w:pPr>
              <w:pStyle w:val="ListParagraph"/>
              <w:numPr>
                <w:ilvl w:val="0"/>
                <w:numId w:val="27"/>
              </w:numPr>
              <w:spacing w:before="60" w:after="120"/>
              <w:ind w:left="450"/>
              <w:rPr>
                <w:b/>
                <w:sz w:val="24"/>
              </w:rPr>
            </w:pPr>
            <w:r w:rsidRPr="00E94F2F">
              <w:rPr>
                <w:b/>
                <w:sz w:val="24"/>
              </w:rPr>
              <w:t>Balance/Fall-risk</w:t>
            </w:r>
          </w:p>
        </w:tc>
        <w:tc>
          <w:tcPr>
            <w:tcW w:w="8673" w:type="dxa"/>
            <w:tcBorders>
              <w:right w:val="nil"/>
            </w:tcBorders>
          </w:tcPr>
          <w:p w:rsidR="00E94F2F" w:rsidRDefault="00E94F2F" w:rsidP="00D72CD7">
            <w:pPr>
              <w:spacing w:before="60" w:after="120"/>
              <w:rPr>
                <w:b/>
                <w:sz w:val="24"/>
              </w:rPr>
            </w:pPr>
            <w:r w:rsidRPr="00D72CD7">
              <w:rPr>
                <w:i/>
                <w:sz w:val="24"/>
              </w:rPr>
              <w:t xml:space="preserve">Measured using the 8 ft up and go test. Rose DJ, Jones CJ, </w:t>
            </w:r>
            <w:proofErr w:type="spellStart"/>
            <w:r w:rsidRPr="00D72CD7">
              <w:rPr>
                <w:i/>
                <w:sz w:val="24"/>
              </w:rPr>
              <w:t>Lucchese</w:t>
            </w:r>
            <w:proofErr w:type="spellEnd"/>
            <w:r w:rsidRPr="00D72CD7">
              <w:rPr>
                <w:i/>
                <w:sz w:val="24"/>
              </w:rPr>
              <w:t xml:space="preserve"> N. Predicting the probability of falls in community-residing older adults using the 8-foot up and go: A new measure of functional mobility. J Aging Phys Activity. 2002:10:466-75</w:t>
            </w:r>
          </w:p>
        </w:tc>
      </w:tr>
      <w:tr w:rsidR="00E94F2F" w:rsidTr="00E94F2F">
        <w:tc>
          <w:tcPr>
            <w:tcW w:w="2343" w:type="dxa"/>
            <w:tcBorders>
              <w:left w:val="nil"/>
            </w:tcBorders>
          </w:tcPr>
          <w:p w:rsidR="00E94F2F" w:rsidRPr="00E94F2F" w:rsidRDefault="00E94F2F" w:rsidP="00E94F2F">
            <w:pPr>
              <w:pStyle w:val="ListParagraph"/>
              <w:numPr>
                <w:ilvl w:val="0"/>
                <w:numId w:val="27"/>
              </w:numPr>
              <w:spacing w:before="60" w:after="120"/>
              <w:ind w:left="450"/>
              <w:rPr>
                <w:b/>
                <w:sz w:val="24"/>
              </w:rPr>
            </w:pPr>
            <w:r w:rsidRPr="00E94F2F">
              <w:rPr>
                <w:b/>
                <w:sz w:val="24"/>
              </w:rPr>
              <w:t>Cardiovascular Step Test</w:t>
            </w:r>
          </w:p>
        </w:tc>
        <w:tc>
          <w:tcPr>
            <w:tcW w:w="8673" w:type="dxa"/>
            <w:tcBorders>
              <w:right w:val="nil"/>
            </w:tcBorders>
          </w:tcPr>
          <w:p w:rsidR="00E94F2F" w:rsidRDefault="00E94F2F" w:rsidP="00D72CD7">
            <w:pPr>
              <w:spacing w:before="60" w:after="120"/>
              <w:rPr>
                <w:b/>
                <w:sz w:val="24"/>
              </w:rPr>
            </w:pPr>
            <w:r w:rsidRPr="00D72CD7">
              <w:rPr>
                <w:i/>
                <w:sz w:val="24"/>
              </w:rPr>
              <w:t>Measured using the YMCA Step Test Protocol. Discussed in Hyde CL. Fitness Instructor Training Guide, Fourth Edition. American Association for Active Lifestyles and Fitness. 2002</w:t>
            </w:r>
          </w:p>
        </w:tc>
      </w:tr>
    </w:tbl>
    <w:p w:rsidR="00F024D9" w:rsidRPr="00D72CD7" w:rsidRDefault="00F024D9" w:rsidP="00E94F2F">
      <w:pPr>
        <w:spacing w:before="60" w:after="120"/>
      </w:pPr>
    </w:p>
    <w:sectPr w:rsidR="00F024D9" w:rsidRPr="00D72CD7" w:rsidSect="0055110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261" w:rsidRDefault="001C5261" w:rsidP="00824F49">
      <w:pPr>
        <w:spacing w:after="0" w:line="240" w:lineRule="auto"/>
      </w:pPr>
      <w:r>
        <w:separator/>
      </w:r>
    </w:p>
  </w:endnote>
  <w:endnote w:type="continuationSeparator" w:id="0">
    <w:p w:rsidR="001C5261" w:rsidRDefault="001C5261" w:rsidP="00824F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265" w:rsidRPr="006034F8" w:rsidRDefault="006034F8" w:rsidP="006034F8">
    <w:pPr>
      <w:pStyle w:val="NormalWeb"/>
      <w:spacing w:before="60" w:beforeAutospacing="0" w:line="160" w:lineRule="atLeast"/>
      <w:rPr>
        <w:color w:val="000000"/>
        <w:sz w:val="14"/>
      </w:rPr>
    </w:pPr>
    <w:r w:rsidRPr="006034F8">
      <w:rPr>
        <w:color w:val="000000"/>
        <w:sz w:val="14"/>
      </w:rPr>
      <w:t>According to the Paperwork Reduction Act of 1995, no persons are required to respond to a collection of information unless it displays a valid OMB control number. The valid OMB control number for this information collection is 0990-</w:t>
    </w:r>
    <w:proofErr w:type="gramStart"/>
    <w:r w:rsidRPr="006034F8">
      <w:rPr>
        <w:color w:val="000000"/>
        <w:sz w:val="14"/>
      </w:rPr>
      <w:t>xxxx .</w:t>
    </w:r>
    <w:proofErr w:type="gramEnd"/>
    <w:r w:rsidRPr="006034F8">
      <w:rPr>
        <w:color w:val="000000"/>
        <w:sz w:val="14"/>
      </w:rPr>
      <w:t xml:space="preserve">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261" w:rsidRDefault="001C5261" w:rsidP="00824F49">
      <w:pPr>
        <w:spacing w:after="0" w:line="240" w:lineRule="auto"/>
      </w:pPr>
      <w:r>
        <w:separator/>
      </w:r>
    </w:p>
  </w:footnote>
  <w:footnote w:type="continuationSeparator" w:id="0">
    <w:p w:rsidR="001C5261" w:rsidRDefault="001C5261" w:rsidP="00824F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4F8" w:rsidRDefault="006034F8" w:rsidP="006034F8">
    <w:pPr>
      <w:pStyle w:val="Header"/>
      <w:jc w:val="right"/>
      <w:rPr>
        <w:rFonts w:ascii="Arial" w:hAnsi="Arial" w:cs="Arial"/>
        <w:sz w:val="16"/>
        <w:szCs w:val="16"/>
      </w:rPr>
    </w:pPr>
    <w:r>
      <w:rPr>
        <w:rFonts w:ascii="Arial" w:hAnsi="Arial" w:cs="Arial"/>
        <w:sz w:val="16"/>
        <w:szCs w:val="16"/>
      </w:rPr>
      <w:t>Form Approved</w:t>
    </w:r>
  </w:p>
  <w:p w:rsidR="006034F8" w:rsidRDefault="006034F8" w:rsidP="006034F8">
    <w:pPr>
      <w:pStyle w:val="Header"/>
      <w:jc w:val="right"/>
      <w:rPr>
        <w:rFonts w:ascii="Arial" w:hAnsi="Arial" w:cs="Arial"/>
        <w:sz w:val="16"/>
        <w:szCs w:val="16"/>
      </w:rPr>
    </w:pPr>
    <w:r>
      <w:rPr>
        <w:rFonts w:ascii="Arial" w:hAnsi="Arial" w:cs="Arial"/>
        <w:sz w:val="16"/>
        <w:szCs w:val="16"/>
      </w:rPr>
      <w:t xml:space="preserve">   OMB No. 0990-</w:t>
    </w:r>
  </w:p>
  <w:p w:rsidR="00824F49" w:rsidRDefault="006034F8" w:rsidP="0077788E">
    <w:pPr>
      <w:pStyle w:val="Header"/>
      <w:spacing w:after="240"/>
      <w:jc w:val="right"/>
      <w:rPr>
        <w:rFonts w:ascii="Arial" w:hAnsi="Arial" w:cs="Arial"/>
        <w:sz w:val="16"/>
        <w:szCs w:val="16"/>
      </w:rPr>
    </w:pPr>
    <w:r>
      <w:rPr>
        <w:rFonts w:ascii="Arial" w:hAnsi="Arial" w:cs="Arial"/>
        <w:sz w:val="16"/>
        <w:szCs w:val="16"/>
      </w:rPr>
      <w:t xml:space="preserve">   Exp. Date XX/XX/20XX</w:t>
    </w:r>
  </w:p>
  <w:p w:rsidR="006034F8" w:rsidRPr="0077788E" w:rsidRDefault="0077788E" w:rsidP="0077788E">
    <w:pPr>
      <w:pStyle w:val="Header"/>
      <w:spacing w:after="120"/>
      <w:rPr>
        <w:rFonts w:cs="Times New Roman"/>
        <w:sz w:val="24"/>
        <w:szCs w:val="16"/>
      </w:rPr>
    </w:pPr>
    <w:r w:rsidRPr="0077788E">
      <w:rPr>
        <w:rFonts w:cs="Times New Roman"/>
        <w:sz w:val="24"/>
        <w:szCs w:val="16"/>
      </w:rPr>
      <w:t>O</w:t>
    </w:r>
    <w:r w:rsidR="00D72CD7">
      <w:rPr>
        <w:rFonts w:cs="Times New Roman"/>
        <w:sz w:val="24"/>
        <w:szCs w:val="16"/>
      </w:rPr>
      <w:t>ffice on Women’s Health (OWH)</w:t>
    </w:r>
    <w:r w:rsidRPr="0077788E">
      <w:rPr>
        <w:rFonts w:cs="Times New Roman"/>
        <w:sz w:val="24"/>
        <w:szCs w:val="16"/>
      </w:rPr>
      <w:t xml:space="preserve"> </w:t>
    </w:r>
    <w:r w:rsidR="00D72CD7">
      <w:rPr>
        <w:rFonts w:cs="Times New Roman"/>
        <w:sz w:val="24"/>
        <w:szCs w:val="16"/>
      </w:rPr>
      <w:tab/>
    </w:r>
    <w:r w:rsidR="00D72CD7">
      <w:rPr>
        <w:rFonts w:cs="Times New Roman"/>
        <w:sz w:val="24"/>
        <w:szCs w:val="16"/>
      </w:rPr>
      <w:tab/>
      <w:t xml:space="preserve">                                                  </w:t>
    </w:r>
    <w:r w:rsidRPr="0077788E">
      <w:rPr>
        <w:rFonts w:cs="Times New Roman"/>
        <w:sz w:val="24"/>
        <w:szCs w:val="16"/>
      </w:rPr>
      <w:t>Living Healthier, Living Longer</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46A7"/>
    <w:multiLevelType w:val="hybridMultilevel"/>
    <w:tmpl w:val="76B6C34A"/>
    <w:lvl w:ilvl="0" w:tplc="5A0AA2A0">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
    <w:nsid w:val="07323BF8"/>
    <w:multiLevelType w:val="hybridMultilevel"/>
    <w:tmpl w:val="B0BA4EFE"/>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C20FF"/>
    <w:multiLevelType w:val="hybridMultilevel"/>
    <w:tmpl w:val="32CE6D58"/>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64332"/>
    <w:multiLevelType w:val="hybridMultilevel"/>
    <w:tmpl w:val="1E1A1682"/>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04930"/>
    <w:multiLevelType w:val="hybridMultilevel"/>
    <w:tmpl w:val="76B6C34A"/>
    <w:lvl w:ilvl="0" w:tplc="5A0AA2A0">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5">
    <w:nsid w:val="1031613F"/>
    <w:multiLevelType w:val="hybridMultilevel"/>
    <w:tmpl w:val="DA06D614"/>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A348B"/>
    <w:multiLevelType w:val="hybridMultilevel"/>
    <w:tmpl w:val="E78C880E"/>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E61BFC"/>
    <w:multiLevelType w:val="hybridMultilevel"/>
    <w:tmpl w:val="8E62E618"/>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EA2A9E"/>
    <w:multiLevelType w:val="hybridMultilevel"/>
    <w:tmpl w:val="34922748"/>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F033F3"/>
    <w:multiLevelType w:val="hybridMultilevel"/>
    <w:tmpl w:val="60ECDCD2"/>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F92E79"/>
    <w:multiLevelType w:val="hybridMultilevel"/>
    <w:tmpl w:val="3C260776"/>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7434E5"/>
    <w:multiLevelType w:val="hybridMultilevel"/>
    <w:tmpl w:val="DDB4C054"/>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BA435A"/>
    <w:multiLevelType w:val="hybridMultilevel"/>
    <w:tmpl w:val="4F6A2594"/>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9B5B07"/>
    <w:multiLevelType w:val="hybridMultilevel"/>
    <w:tmpl w:val="B5527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F14C33"/>
    <w:multiLevelType w:val="hybridMultilevel"/>
    <w:tmpl w:val="1BCA724E"/>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D368A9"/>
    <w:multiLevelType w:val="hybridMultilevel"/>
    <w:tmpl w:val="AC24951E"/>
    <w:lvl w:ilvl="0" w:tplc="FD16BFC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6F1C75"/>
    <w:multiLevelType w:val="hybridMultilevel"/>
    <w:tmpl w:val="4566B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4D004E"/>
    <w:multiLevelType w:val="hybridMultilevel"/>
    <w:tmpl w:val="CCF0A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D703F7"/>
    <w:multiLevelType w:val="hybridMultilevel"/>
    <w:tmpl w:val="76B6C34A"/>
    <w:lvl w:ilvl="0" w:tplc="5A0AA2A0">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9">
    <w:nsid w:val="63FF67FD"/>
    <w:multiLevelType w:val="hybridMultilevel"/>
    <w:tmpl w:val="3D00AB50"/>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EF60DA"/>
    <w:multiLevelType w:val="hybridMultilevel"/>
    <w:tmpl w:val="76B6C34A"/>
    <w:lvl w:ilvl="0" w:tplc="5A0AA2A0">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1">
    <w:nsid w:val="74861486"/>
    <w:multiLevelType w:val="hybridMultilevel"/>
    <w:tmpl w:val="E00CCA12"/>
    <w:lvl w:ilvl="0" w:tplc="FD16BFC4">
      <w:start w:val="1"/>
      <w:numFmt w:val="bullet"/>
      <w:lvlText w:val="o"/>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74A47F99"/>
    <w:multiLevelType w:val="hybridMultilevel"/>
    <w:tmpl w:val="BDA617C6"/>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31381C"/>
    <w:multiLevelType w:val="hybridMultilevel"/>
    <w:tmpl w:val="B2923C24"/>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CD2E7E"/>
    <w:multiLevelType w:val="hybridMultilevel"/>
    <w:tmpl w:val="76B6C34A"/>
    <w:lvl w:ilvl="0" w:tplc="5A0AA2A0">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5">
    <w:nsid w:val="7C406EDE"/>
    <w:multiLevelType w:val="hybridMultilevel"/>
    <w:tmpl w:val="11D67F18"/>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251C92"/>
    <w:multiLevelType w:val="hybridMultilevel"/>
    <w:tmpl w:val="2486A462"/>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23"/>
  </w:num>
  <w:num w:numId="4">
    <w:abstractNumId w:val="7"/>
  </w:num>
  <w:num w:numId="5">
    <w:abstractNumId w:val="2"/>
  </w:num>
  <w:num w:numId="6">
    <w:abstractNumId w:val="5"/>
  </w:num>
  <w:num w:numId="7">
    <w:abstractNumId w:val="10"/>
  </w:num>
  <w:num w:numId="8">
    <w:abstractNumId w:val="9"/>
  </w:num>
  <w:num w:numId="9">
    <w:abstractNumId w:val="11"/>
  </w:num>
  <w:num w:numId="10">
    <w:abstractNumId w:val="12"/>
  </w:num>
  <w:num w:numId="11">
    <w:abstractNumId w:val="8"/>
  </w:num>
  <w:num w:numId="12">
    <w:abstractNumId w:val="22"/>
  </w:num>
  <w:num w:numId="13">
    <w:abstractNumId w:val="1"/>
  </w:num>
  <w:num w:numId="14">
    <w:abstractNumId w:val="6"/>
  </w:num>
  <w:num w:numId="15">
    <w:abstractNumId w:val="26"/>
  </w:num>
  <w:num w:numId="16">
    <w:abstractNumId w:val="25"/>
  </w:num>
  <w:num w:numId="17">
    <w:abstractNumId w:val="14"/>
  </w:num>
  <w:num w:numId="18">
    <w:abstractNumId w:val="16"/>
  </w:num>
  <w:num w:numId="19">
    <w:abstractNumId w:val="17"/>
  </w:num>
  <w:num w:numId="20">
    <w:abstractNumId w:val="19"/>
  </w:num>
  <w:num w:numId="21">
    <w:abstractNumId w:val="21"/>
  </w:num>
  <w:num w:numId="22">
    <w:abstractNumId w:val="24"/>
  </w:num>
  <w:num w:numId="23">
    <w:abstractNumId w:val="20"/>
  </w:num>
  <w:num w:numId="24">
    <w:abstractNumId w:val="0"/>
  </w:num>
  <w:num w:numId="25">
    <w:abstractNumId w:val="4"/>
  </w:num>
  <w:num w:numId="26">
    <w:abstractNumId w:val="18"/>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rsids>
    <w:rsidRoot w:val="00824F49"/>
    <w:rsid w:val="000007D2"/>
    <w:rsid w:val="0002023F"/>
    <w:rsid w:val="00023E6D"/>
    <w:rsid w:val="000311D5"/>
    <w:rsid w:val="000409D5"/>
    <w:rsid w:val="00045D1F"/>
    <w:rsid w:val="000707E0"/>
    <w:rsid w:val="00071B38"/>
    <w:rsid w:val="00072F5B"/>
    <w:rsid w:val="00073ABE"/>
    <w:rsid w:val="000A324D"/>
    <w:rsid w:val="000D5265"/>
    <w:rsid w:val="000E46BC"/>
    <w:rsid w:val="00121D20"/>
    <w:rsid w:val="00161B13"/>
    <w:rsid w:val="00170834"/>
    <w:rsid w:val="001954BF"/>
    <w:rsid w:val="001A4D20"/>
    <w:rsid w:val="001B60A1"/>
    <w:rsid w:val="001C5261"/>
    <w:rsid w:val="00201878"/>
    <w:rsid w:val="00213C08"/>
    <w:rsid w:val="00233837"/>
    <w:rsid w:val="00252D74"/>
    <w:rsid w:val="00261BDF"/>
    <w:rsid w:val="00266E71"/>
    <w:rsid w:val="00273A78"/>
    <w:rsid w:val="002950DB"/>
    <w:rsid w:val="002C40AF"/>
    <w:rsid w:val="002D3DFC"/>
    <w:rsid w:val="002E2448"/>
    <w:rsid w:val="00321658"/>
    <w:rsid w:val="00323C40"/>
    <w:rsid w:val="00325136"/>
    <w:rsid w:val="00327929"/>
    <w:rsid w:val="00367430"/>
    <w:rsid w:val="00382B8D"/>
    <w:rsid w:val="00382D04"/>
    <w:rsid w:val="00392066"/>
    <w:rsid w:val="003A685A"/>
    <w:rsid w:val="003A6E09"/>
    <w:rsid w:val="003B3CDA"/>
    <w:rsid w:val="003E764D"/>
    <w:rsid w:val="003F62C3"/>
    <w:rsid w:val="00406580"/>
    <w:rsid w:val="00436946"/>
    <w:rsid w:val="00446BE8"/>
    <w:rsid w:val="00460B3B"/>
    <w:rsid w:val="00474016"/>
    <w:rsid w:val="00474899"/>
    <w:rsid w:val="00485151"/>
    <w:rsid w:val="004A3B23"/>
    <w:rsid w:val="004B533A"/>
    <w:rsid w:val="004C1F4D"/>
    <w:rsid w:val="004C1FE7"/>
    <w:rsid w:val="004C7AFD"/>
    <w:rsid w:val="004D06B6"/>
    <w:rsid w:val="004D22D4"/>
    <w:rsid w:val="004E4FA1"/>
    <w:rsid w:val="004F39CA"/>
    <w:rsid w:val="004F4C38"/>
    <w:rsid w:val="005126D1"/>
    <w:rsid w:val="0055110C"/>
    <w:rsid w:val="0056415E"/>
    <w:rsid w:val="00572153"/>
    <w:rsid w:val="00591202"/>
    <w:rsid w:val="00592C8C"/>
    <w:rsid w:val="006034F8"/>
    <w:rsid w:val="00607631"/>
    <w:rsid w:val="00665EE0"/>
    <w:rsid w:val="006676D0"/>
    <w:rsid w:val="00695F55"/>
    <w:rsid w:val="006A2079"/>
    <w:rsid w:val="006E62A6"/>
    <w:rsid w:val="007034D2"/>
    <w:rsid w:val="00727B3C"/>
    <w:rsid w:val="00746859"/>
    <w:rsid w:val="00753D42"/>
    <w:rsid w:val="00762203"/>
    <w:rsid w:val="0077788E"/>
    <w:rsid w:val="00783BF8"/>
    <w:rsid w:val="00787ABE"/>
    <w:rsid w:val="007B38E6"/>
    <w:rsid w:val="007C4518"/>
    <w:rsid w:val="007D55A3"/>
    <w:rsid w:val="007D57FF"/>
    <w:rsid w:val="007E0F47"/>
    <w:rsid w:val="007F5320"/>
    <w:rsid w:val="007F6E73"/>
    <w:rsid w:val="007F7ADB"/>
    <w:rsid w:val="00801D84"/>
    <w:rsid w:val="0080352B"/>
    <w:rsid w:val="0081209E"/>
    <w:rsid w:val="00822EA4"/>
    <w:rsid w:val="00824F49"/>
    <w:rsid w:val="0082584C"/>
    <w:rsid w:val="008326F7"/>
    <w:rsid w:val="00872D71"/>
    <w:rsid w:val="00875312"/>
    <w:rsid w:val="00897DF2"/>
    <w:rsid w:val="008B1F9C"/>
    <w:rsid w:val="009173FE"/>
    <w:rsid w:val="009322E4"/>
    <w:rsid w:val="00942A18"/>
    <w:rsid w:val="00944C6C"/>
    <w:rsid w:val="009711E4"/>
    <w:rsid w:val="0097371B"/>
    <w:rsid w:val="009824E3"/>
    <w:rsid w:val="00994AE6"/>
    <w:rsid w:val="009A615C"/>
    <w:rsid w:val="009C419E"/>
    <w:rsid w:val="009F4492"/>
    <w:rsid w:val="00A36244"/>
    <w:rsid w:val="00A45BC4"/>
    <w:rsid w:val="00A70578"/>
    <w:rsid w:val="00AB1200"/>
    <w:rsid w:val="00AD6EE4"/>
    <w:rsid w:val="00B04A3D"/>
    <w:rsid w:val="00B22345"/>
    <w:rsid w:val="00B238DE"/>
    <w:rsid w:val="00B248D6"/>
    <w:rsid w:val="00B314C3"/>
    <w:rsid w:val="00B3340E"/>
    <w:rsid w:val="00B41B24"/>
    <w:rsid w:val="00B43D8B"/>
    <w:rsid w:val="00B66F57"/>
    <w:rsid w:val="00B96F35"/>
    <w:rsid w:val="00BA3929"/>
    <w:rsid w:val="00BB524A"/>
    <w:rsid w:val="00BD617E"/>
    <w:rsid w:val="00BD6FF4"/>
    <w:rsid w:val="00BF3A8C"/>
    <w:rsid w:val="00C1636B"/>
    <w:rsid w:val="00C30842"/>
    <w:rsid w:val="00C322D0"/>
    <w:rsid w:val="00C37870"/>
    <w:rsid w:val="00C4229A"/>
    <w:rsid w:val="00C511C5"/>
    <w:rsid w:val="00C5326E"/>
    <w:rsid w:val="00C8662F"/>
    <w:rsid w:val="00C963A4"/>
    <w:rsid w:val="00CA0E8D"/>
    <w:rsid w:val="00CA2A0F"/>
    <w:rsid w:val="00CE6D39"/>
    <w:rsid w:val="00CF61D6"/>
    <w:rsid w:val="00D047DD"/>
    <w:rsid w:val="00D16E75"/>
    <w:rsid w:val="00D24467"/>
    <w:rsid w:val="00D35C50"/>
    <w:rsid w:val="00D45017"/>
    <w:rsid w:val="00D65114"/>
    <w:rsid w:val="00D72CD7"/>
    <w:rsid w:val="00D76539"/>
    <w:rsid w:val="00D87ADD"/>
    <w:rsid w:val="00DA0D0B"/>
    <w:rsid w:val="00DA2F19"/>
    <w:rsid w:val="00DA4D11"/>
    <w:rsid w:val="00DC7D43"/>
    <w:rsid w:val="00DD0ADA"/>
    <w:rsid w:val="00E1157E"/>
    <w:rsid w:val="00E5312D"/>
    <w:rsid w:val="00E56ED5"/>
    <w:rsid w:val="00E94F2F"/>
    <w:rsid w:val="00E96537"/>
    <w:rsid w:val="00EB28E9"/>
    <w:rsid w:val="00EB2E34"/>
    <w:rsid w:val="00EF022D"/>
    <w:rsid w:val="00EF187F"/>
    <w:rsid w:val="00F024D9"/>
    <w:rsid w:val="00F13FBF"/>
    <w:rsid w:val="00F351F8"/>
    <w:rsid w:val="00F35333"/>
    <w:rsid w:val="00F42D23"/>
    <w:rsid w:val="00F65BA8"/>
    <w:rsid w:val="00F90D93"/>
    <w:rsid w:val="00FC6FD9"/>
    <w:rsid w:val="00FD34FC"/>
    <w:rsid w:val="00FD711A"/>
    <w:rsid w:val="00FE22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55"/>
    <w:rPr>
      <w:rFonts w:ascii="Times New Roman" w:hAnsi="Times New Roman"/>
    </w:rPr>
  </w:style>
  <w:style w:type="paragraph" w:styleId="Heading1">
    <w:name w:val="heading 1"/>
    <w:basedOn w:val="Normal"/>
    <w:next w:val="Normal"/>
    <w:link w:val="Heading1Char1"/>
    <w:uiPriority w:val="9"/>
    <w:qFormat/>
    <w:rsid w:val="00695F55"/>
    <w:pPr>
      <w:keepNext/>
      <w:keepLines/>
      <w:spacing w:before="480" w:after="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1"/>
    <w:uiPriority w:val="10"/>
    <w:qFormat/>
    <w:rsid w:val="00695F55"/>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uiPriority w:val="10"/>
    <w:rsid w:val="00695F55"/>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rsid w:val="00695F55"/>
    <w:rPr>
      <w:rFonts w:ascii="Times New Roman" w:eastAsiaTheme="majorEastAsia" w:hAnsi="Times New Roman" w:cstheme="majorBidi"/>
      <w:color w:val="17365D" w:themeColor="text2" w:themeShade="BF"/>
      <w:spacing w:val="5"/>
      <w:kern w:val="28"/>
      <w:sz w:val="28"/>
      <w:szCs w:val="52"/>
    </w:rPr>
  </w:style>
  <w:style w:type="character" w:customStyle="1" w:styleId="Heading1Char">
    <w:name w:val="Heading 1 Char"/>
    <w:basedOn w:val="DefaultParagraphFont"/>
    <w:uiPriority w:val="9"/>
    <w:rsid w:val="00695F5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uiPriority w:val="9"/>
    <w:rsid w:val="00695F55"/>
    <w:rPr>
      <w:rFonts w:ascii="Times New Roman" w:eastAsiaTheme="majorEastAsia" w:hAnsi="Times New Roman" w:cstheme="majorBidi"/>
      <w:b/>
      <w:bCs/>
      <w:color w:val="365F91" w:themeColor="accent1" w:themeShade="BF"/>
      <w:sz w:val="28"/>
      <w:szCs w:val="28"/>
    </w:rPr>
  </w:style>
  <w:style w:type="paragraph" w:styleId="Header">
    <w:name w:val="header"/>
    <w:basedOn w:val="Normal"/>
    <w:link w:val="HeaderChar"/>
    <w:unhideWhenUsed/>
    <w:rsid w:val="00824F49"/>
    <w:pPr>
      <w:tabs>
        <w:tab w:val="center" w:pos="4680"/>
        <w:tab w:val="right" w:pos="9360"/>
      </w:tabs>
      <w:spacing w:after="0" w:line="240" w:lineRule="auto"/>
    </w:pPr>
  </w:style>
  <w:style w:type="character" w:customStyle="1" w:styleId="HeaderChar">
    <w:name w:val="Header Char"/>
    <w:basedOn w:val="DefaultParagraphFont"/>
    <w:link w:val="Header"/>
    <w:rsid w:val="00824F49"/>
    <w:rPr>
      <w:rFonts w:ascii="Times New Roman" w:hAnsi="Times New Roman"/>
    </w:rPr>
  </w:style>
  <w:style w:type="paragraph" w:styleId="Footer">
    <w:name w:val="footer"/>
    <w:basedOn w:val="Normal"/>
    <w:link w:val="FooterChar"/>
    <w:uiPriority w:val="99"/>
    <w:unhideWhenUsed/>
    <w:rsid w:val="00824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F49"/>
    <w:rPr>
      <w:rFonts w:ascii="Times New Roman" w:hAnsi="Times New Roman"/>
    </w:rPr>
  </w:style>
  <w:style w:type="paragraph" w:styleId="BalloonText">
    <w:name w:val="Balloon Text"/>
    <w:basedOn w:val="Normal"/>
    <w:link w:val="BalloonTextChar"/>
    <w:uiPriority w:val="99"/>
    <w:semiHidden/>
    <w:unhideWhenUsed/>
    <w:rsid w:val="00824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F49"/>
    <w:rPr>
      <w:rFonts w:ascii="Tahoma" w:hAnsi="Tahoma" w:cs="Tahoma"/>
      <w:sz w:val="16"/>
      <w:szCs w:val="16"/>
    </w:rPr>
  </w:style>
  <w:style w:type="table" w:styleId="TableGrid">
    <w:name w:val="Table Grid"/>
    <w:basedOn w:val="TableNormal"/>
    <w:uiPriority w:val="59"/>
    <w:rsid w:val="00C53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326E"/>
    <w:pPr>
      <w:ind w:left="720"/>
      <w:contextualSpacing/>
    </w:pPr>
  </w:style>
  <w:style w:type="paragraph" w:styleId="NormalWeb">
    <w:name w:val="Normal (Web)"/>
    <w:basedOn w:val="Normal"/>
    <w:rsid w:val="006034F8"/>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55"/>
    <w:rPr>
      <w:rFonts w:ascii="Times New Roman" w:hAnsi="Times New Roman"/>
    </w:rPr>
  </w:style>
  <w:style w:type="paragraph" w:styleId="Heading1">
    <w:name w:val="heading 1"/>
    <w:basedOn w:val="Normal"/>
    <w:next w:val="Normal"/>
    <w:link w:val="Heading1Char1"/>
    <w:uiPriority w:val="9"/>
    <w:qFormat/>
    <w:rsid w:val="00695F55"/>
    <w:pPr>
      <w:keepNext/>
      <w:keepLines/>
      <w:spacing w:before="480" w:after="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1"/>
    <w:uiPriority w:val="10"/>
    <w:qFormat/>
    <w:rsid w:val="00695F55"/>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uiPriority w:val="10"/>
    <w:rsid w:val="00695F55"/>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rsid w:val="00695F55"/>
    <w:rPr>
      <w:rFonts w:ascii="Times New Roman" w:eastAsiaTheme="majorEastAsia" w:hAnsi="Times New Roman" w:cstheme="majorBidi"/>
      <w:color w:val="17365D" w:themeColor="text2" w:themeShade="BF"/>
      <w:spacing w:val="5"/>
      <w:kern w:val="28"/>
      <w:sz w:val="28"/>
      <w:szCs w:val="52"/>
    </w:rPr>
  </w:style>
  <w:style w:type="character" w:customStyle="1" w:styleId="Heading1Char">
    <w:name w:val="Heading 1 Char"/>
    <w:basedOn w:val="DefaultParagraphFont"/>
    <w:uiPriority w:val="9"/>
    <w:rsid w:val="00695F5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uiPriority w:val="9"/>
    <w:rsid w:val="00695F55"/>
    <w:rPr>
      <w:rFonts w:ascii="Times New Roman" w:eastAsiaTheme="majorEastAsia" w:hAnsi="Times New Roman" w:cstheme="majorBidi"/>
      <w:b/>
      <w:bCs/>
      <w:color w:val="365F91" w:themeColor="accent1" w:themeShade="BF"/>
      <w:sz w:val="28"/>
      <w:szCs w:val="28"/>
    </w:rPr>
  </w:style>
  <w:style w:type="paragraph" w:styleId="Header">
    <w:name w:val="header"/>
    <w:basedOn w:val="Normal"/>
    <w:link w:val="HeaderChar"/>
    <w:unhideWhenUsed/>
    <w:rsid w:val="00824F49"/>
    <w:pPr>
      <w:tabs>
        <w:tab w:val="center" w:pos="4680"/>
        <w:tab w:val="right" w:pos="9360"/>
      </w:tabs>
      <w:spacing w:after="0" w:line="240" w:lineRule="auto"/>
    </w:pPr>
  </w:style>
  <w:style w:type="character" w:customStyle="1" w:styleId="HeaderChar">
    <w:name w:val="Header Char"/>
    <w:basedOn w:val="DefaultParagraphFont"/>
    <w:link w:val="Header"/>
    <w:rsid w:val="00824F49"/>
    <w:rPr>
      <w:rFonts w:ascii="Times New Roman" w:hAnsi="Times New Roman"/>
    </w:rPr>
  </w:style>
  <w:style w:type="paragraph" w:styleId="Footer">
    <w:name w:val="footer"/>
    <w:basedOn w:val="Normal"/>
    <w:link w:val="FooterChar"/>
    <w:uiPriority w:val="99"/>
    <w:unhideWhenUsed/>
    <w:rsid w:val="00824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F49"/>
    <w:rPr>
      <w:rFonts w:ascii="Times New Roman" w:hAnsi="Times New Roman"/>
    </w:rPr>
  </w:style>
  <w:style w:type="paragraph" w:styleId="BalloonText">
    <w:name w:val="Balloon Text"/>
    <w:basedOn w:val="Normal"/>
    <w:link w:val="BalloonTextChar"/>
    <w:uiPriority w:val="99"/>
    <w:semiHidden/>
    <w:unhideWhenUsed/>
    <w:rsid w:val="00824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F49"/>
    <w:rPr>
      <w:rFonts w:ascii="Tahoma" w:hAnsi="Tahoma" w:cs="Tahoma"/>
      <w:sz w:val="16"/>
      <w:szCs w:val="16"/>
    </w:rPr>
  </w:style>
  <w:style w:type="table" w:styleId="TableGrid">
    <w:name w:val="Table Grid"/>
    <w:basedOn w:val="TableNormal"/>
    <w:uiPriority w:val="59"/>
    <w:rsid w:val="00C53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326E"/>
    <w:pPr>
      <w:ind w:left="720"/>
      <w:contextualSpacing/>
    </w:pPr>
  </w:style>
  <w:style w:type="paragraph" w:styleId="NormalWeb">
    <w:name w:val="Normal (Web)"/>
    <w:basedOn w:val="Normal"/>
    <w:rsid w:val="006034F8"/>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Rizer, Allison</dc:creator>
  <cp:keywords/>
  <dc:description/>
  <cp:lastModifiedBy>Department of Health and Human Services</cp:lastModifiedBy>
  <cp:revision>2</cp:revision>
  <cp:lastPrinted>2013-01-16T15:29:00Z</cp:lastPrinted>
  <dcterms:created xsi:type="dcterms:W3CDTF">2013-03-07T15:30:00Z</dcterms:created>
  <dcterms:modified xsi:type="dcterms:W3CDTF">2013-03-07T15:30:00Z</dcterms:modified>
</cp:coreProperties>
</file>