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EE" w:rsidRDefault="00D107EE" w:rsidP="00F0775F">
      <w:pPr>
        <w:pStyle w:val="AppHeading1"/>
      </w:pPr>
      <w:bookmarkStart w:id="0" w:name="_Toc356292696"/>
      <w:bookmarkStart w:id="1" w:name="_GoBack"/>
      <w:bookmarkEnd w:id="1"/>
      <w:r>
        <w:t>Attachment A</w:t>
      </w:r>
      <w:proofErr w:type="gramStart"/>
      <w:r>
        <w:t>:</w:t>
      </w:r>
      <w:proofErr w:type="gramEnd"/>
      <w:r>
        <w:br/>
      </w:r>
      <w:proofErr w:type="spellStart"/>
      <w:r>
        <w:t>ICH</w:t>
      </w:r>
      <w:proofErr w:type="spellEnd"/>
      <w:r>
        <w:t xml:space="preserve"> </w:t>
      </w:r>
      <w:proofErr w:type="spellStart"/>
      <w:r>
        <w:t>CAHPS</w:t>
      </w:r>
      <w:proofErr w:type="spellEnd"/>
      <w:r>
        <w:t xml:space="preserve"> Pilot Test Summary Report</w:t>
      </w:r>
      <w:bookmarkEnd w:id="0"/>
    </w:p>
    <w:p w:rsidR="00D107EE" w:rsidRPr="00D107EE" w:rsidRDefault="00D107EE" w:rsidP="00D107EE">
      <w:pPr>
        <w:pStyle w:val="Title"/>
        <w:rPr>
          <w:rFonts w:ascii="Verdana" w:hAnsi="Verdana"/>
          <w:sz w:val="24"/>
        </w:rPr>
      </w:pPr>
      <w:proofErr w:type="spellStart"/>
      <w:r w:rsidRPr="00D107EE">
        <w:rPr>
          <w:rFonts w:ascii="Verdana" w:hAnsi="Verdana"/>
          <w:sz w:val="24"/>
        </w:rPr>
        <w:t>ICH</w:t>
      </w:r>
      <w:proofErr w:type="spellEnd"/>
      <w:r w:rsidRPr="00D107EE">
        <w:rPr>
          <w:rFonts w:ascii="Verdana" w:hAnsi="Verdana"/>
          <w:sz w:val="24"/>
        </w:rPr>
        <w:t xml:space="preserve"> </w:t>
      </w:r>
      <w:proofErr w:type="spellStart"/>
      <w:r w:rsidRPr="00D107EE">
        <w:rPr>
          <w:rFonts w:ascii="Verdana" w:hAnsi="Verdana"/>
          <w:sz w:val="24"/>
        </w:rPr>
        <w:t>CAHPS</w:t>
      </w:r>
      <w:proofErr w:type="spellEnd"/>
      <w:r w:rsidRPr="00D107EE">
        <w:rPr>
          <w:rFonts w:ascii="Verdana" w:hAnsi="Verdana"/>
          <w:sz w:val="24"/>
        </w:rPr>
        <w:t xml:space="preserve"> Pilot Test</w:t>
      </w:r>
    </w:p>
    <w:p w:rsidR="00D107EE" w:rsidRPr="00D42CFA" w:rsidRDefault="00D107EE" w:rsidP="00D107EE">
      <w:pPr>
        <w:pStyle w:val="Subtitle"/>
      </w:pPr>
      <w:r w:rsidRPr="00D42CFA">
        <w:t>Summary Report</w:t>
      </w:r>
    </w:p>
    <w:p w:rsidR="00D107EE" w:rsidRPr="00D107EE" w:rsidRDefault="00D107EE" w:rsidP="00D107EE">
      <w:pPr>
        <w:pStyle w:val="BodyTextAppA"/>
        <w:rPr>
          <w:snapToGrid/>
        </w:rPr>
      </w:pPr>
      <w:r w:rsidRPr="00D107EE">
        <w:rPr>
          <w:snapToGrid/>
        </w:rPr>
        <w:t>Beginning in October 2004, the RAND team drew a sample of 30 facilities in accordance with the criteria identified in the field test protocol. The grantees then worked closely with CMS and the Networks to determine the best way in which to draw an accurate sample of dialysis patients from each of the participating facilities. Because it was close to the Christmas holiday season by the time OMB clearance was received and a strategy for drawing the patient sample reached, the team agreed to start the field test of the instrument in mid-January 2005. Field test operations were completed in early April 2005.</w:t>
      </w:r>
    </w:p>
    <w:p w:rsidR="00D107EE" w:rsidRPr="00D42CFA" w:rsidRDefault="00D107EE" w:rsidP="00D107EE">
      <w:pPr>
        <w:pStyle w:val="BodyTextAppA"/>
      </w:pPr>
      <w:r w:rsidRPr="00D42CFA">
        <w:t xml:space="preserve">The purpose of the pilot test was to examine the reliability and validity of the draft </w:t>
      </w:r>
      <w:proofErr w:type="spellStart"/>
      <w:r w:rsidRPr="00D42CFA">
        <w:t>ICH</w:t>
      </w:r>
      <w:proofErr w:type="spellEnd"/>
      <w:r w:rsidRPr="00D42CFA">
        <w:t xml:space="preserve"> </w:t>
      </w:r>
      <w:proofErr w:type="spellStart"/>
      <w:r w:rsidRPr="00D42CFA">
        <w:t>CAHPS</w:t>
      </w:r>
      <w:proofErr w:type="spellEnd"/>
      <w:r w:rsidRPr="00D42CFA">
        <w:t xml:space="preserve"> questions, identify those questions most robust for public reporting and those most appropriate for internal quality improvement, and evaluate different data collection strategies (including a comparison of telephone with mixed mode—mail plus telephone follow-up). The pilot test included patients sampled from total 32 facilities. These facilities were drawn from a list with at least 10 annual cases, and which are not more than 50% pediatric. The criteria for facility selection included:</w:t>
      </w:r>
    </w:p>
    <w:p w:rsidR="00D107EE" w:rsidRPr="00D107EE" w:rsidRDefault="00D107EE" w:rsidP="00D107EE">
      <w:pPr>
        <w:pStyle w:val="ListBullet"/>
        <w:tabs>
          <w:tab w:val="clear" w:pos="1080"/>
        </w:tabs>
        <w:spacing w:after="160"/>
        <w:ind w:left="720"/>
        <w:rPr>
          <w:rFonts w:ascii="Verdana" w:hAnsi="Verdana"/>
          <w:sz w:val="20"/>
        </w:rPr>
      </w:pPr>
      <w:r w:rsidRPr="00D107EE">
        <w:rPr>
          <w:rFonts w:ascii="Verdana" w:hAnsi="Verdana"/>
          <w:sz w:val="20"/>
        </w:rPr>
        <w:t>Region of country (NE, South, Midwest, West)</w:t>
      </w:r>
    </w:p>
    <w:p w:rsidR="00D107EE" w:rsidRPr="00D107EE" w:rsidRDefault="00D107EE" w:rsidP="00D107EE">
      <w:pPr>
        <w:pStyle w:val="ListBullet"/>
        <w:tabs>
          <w:tab w:val="clear" w:pos="1080"/>
        </w:tabs>
        <w:spacing w:after="160"/>
        <w:ind w:left="720"/>
        <w:rPr>
          <w:rFonts w:ascii="Verdana" w:hAnsi="Verdana"/>
          <w:sz w:val="20"/>
        </w:rPr>
      </w:pPr>
      <w:r w:rsidRPr="00D107EE">
        <w:rPr>
          <w:rFonts w:ascii="Verdana" w:hAnsi="Verdana"/>
          <w:sz w:val="20"/>
        </w:rPr>
        <w:t>Rural versus urban location (</w:t>
      </w:r>
      <w:proofErr w:type="spellStart"/>
      <w:r w:rsidRPr="00D107EE">
        <w:rPr>
          <w:rFonts w:ascii="Verdana" w:hAnsi="Verdana"/>
          <w:sz w:val="20"/>
        </w:rPr>
        <w:t>RUCA</w:t>
      </w:r>
      <w:proofErr w:type="spellEnd"/>
      <w:r w:rsidRPr="00D107EE">
        <w:rPr>
          <w:rFonts w:ascii="Verdana" w:hAnsi="Verdana"/>
          <w:sz w:val="20"/>
        </w:rPr>
        <w:t xml:space="preserve"> 1, 2–4-, 5–10)</w:t>
      </w:r>
    </w:p>
    <w:p w:rsidR="00D107EE" w:rsidRPr="00D107EE" w:rsidRDefault="00D107EE" w:rsidP="00D107EE">
      <w:pPr>
        <w:pStyle w:val="ListBullet"/>
        <w:tabs>
          <w:tab w:val="clear" w:pos="1080"/>
        </w:tabs>
        <w:spacing w:after="160"/>
        <w:ind w:left="720"/>
        <w:rPr>
          <w:rFonts w:ascii="Verdana" w:hAnsi="Verdana"/>
          <w:sz w:val="20"/>
        </w:rPr>
      </w:pPr>
      <w:r w:rsidRPr="00D107EE">
        <w:rPr>
          <w:rFonts w:ascii="Verdana" w:hAnsi="Verdana"/>
          <w:sz w:val="20"/>
        </w:rPr>
        <w:t>Size of facility—very small (10–24 patients), small to medium (25–59), medium to large (60–119), and very large (120 or more).</w:t>
      </w:r>
    </w:p>
    <w:p w:rsidR="00D107EE" w:rsidRPr="00D107EE" w:rsidRDefault="00D107EE" w:rsidP="00D107EE">
      <w:pPr>
        <w:pStyle w:val="ListBullet"/>
        <w:tabs>
          <w:tab w:val="clear" w:pos="1080"/>
        </w:tabs>
        <w:spacing w:after="160"/>
        <w:ind w:left="720"/>
        <w:rPr>
          <w:rFonts w:ascii="Verdana" w:hAnsi="Verdana"/>
          <w:sz w:val="20"/>
        </w:rPr>
      </w:pPr>
      <w:r w:rsidRPr="00D107EE">
        <w:rPr>
          <w:rFonts w:ascii="Verdana" w:hAnsi="Verdana"/>
          <w:sz w:val="20"/>
        </w:rPr>
        <w:t>Facilities that are part of a large dialysis organization (</w:t>
      </w:r>
      <w:proofErr w:type="spellStart"/>
      <w:r w:rsidRPr="00D107EE">
        <w:rPr>
          <w:rFonts w:ascii="Verdana" w:hAnsi="Verdana"/>
          <w:sz w:val="20"/>
        </w:rPr>
        <w:t>LDO</w:t>
      </w:r>
      <w:proofErr w:type="spellEnd"/>
      <w:r w:rsidRPr="00D107EE">
        <w:rPr>
          <w:rFonts w:ascii="Verdana" w:hAnsi="Verdana"/>
          <w:sz w:val="20"/>
        </w:rPr>
        <w:t>)</w:t>
      </w:r>
    </w:p>
    <w:p w:rsidR="00D107EE" w:rsidRPr="00D107EE" w:rsidRDefault="00D107EE" w:rsidP="00D107EE">
      <w:pPr>
        <w:pStyle w:val="ListBullet"/>
        <w:tabs>
          <w:tab w:val="clear" w:pos="1080"/>
        </w:tabs>
        <w:spacing w:after="160"/>
        <w:ind w:left="720"/>
        <w:rPr>
          <w:rFonts w:ascii="Verdana" w:hAnsi="Verdana"/>
          <w:sz w:val="20"/>
        </w:rPr>
      </w:pPr>
      <w:r w:rsidRPr="00D107EE">
        <w:rPr>
          <w:rFonts w:ascii="Verdana" w:hAnsi="Verdana"/>
          <w:sz w:val="20"/>
        </w:rPr>
        <w:t>Hospital-based versus non-hospital based facilities (the latter divided into profit non non-profit)</w:t>
      </w:r>
    </w:p>
    <w:p w:rsidR="00D107EE" w:rsidRPr="00D107EE" w:rsidRDefault="00D107EE" w:rsidP="00D107EE">
      <w:pPr>
        <w:pStyle w:val="ListBullet"/>
        <w:tabs>
          <w:tab w:val="clear" w:pos="1080"/>
        </w:tabs>
        <w:spacing w:after="160"/>
        <w:ind w:left="720"/>
        <w:rPr>
          <w:rFonts w:ascii="Verdana" w:hAnsi="Verdana"/>
          <w:sz w:val="20"/>
        </w:rPr>
      </w:pPr>
      <w:r w:rsidRPr="00D107EE">
        <w:rPr>
          <w:rFonts w:ascii="Verdana" w:hAnsi="Verdana"/>
          <w:sz w:val="20"/>
        </w:rPr>
        <w:t>Racial/ethnic mix of facilities’ patients (i.e., oversampling of high Hispanic facilities to achieve sufficient Spanish completes)</w:t>
      </w:r>
    </w:p>
    <w:p w:rsidR="00D107EE" w:rsidRPr="00D42CFA" w:rsidRDefault="00D107EE" w:rsidP="00D107EE">
      <w:pPr>
        <w:pStyle w:val="BodyTextAppA"/>
      </w:pPr>
      <w:r w:rsidRPr="00D42CFA">
        <w:t>The facilities were allocated to regions proportionately to their number: 11 Midwest, 9 South, 5 Northeast, and 5 West. Two facilities were later added to the original total of 30.</w:t>
      </w:r>
    </w:p>
    <w:p w:rsidR="00D107EE" w:rsidRPr="00D42CFA" w:rsidRDefault="00D107EE" w:rsidP="00D107EE">
      <w:pPr>
        <w:pStyle w:val="BodyTextAppA"/>
      </w:pPr>
      <w:r w:rsidRPr="00D42CFA">
        <w:t>All currently dialyzing in-center hemodialysis patients with at least 3 months of experience on hemodialysis at their current facility were eligible for the survey. The number of patients sampled for the pilot was 3143.</w:t>
      </w:r>
    </w:p>
    <w:p w:rsidR="00D107EE" w:rsidRPr="00D42CFA" w:rsidRDefault="00D107EE" w:rsidP="00D107EE">
      <w:pPr>
        <w:pStyle w:val="BodyTextAppA"/>
      </w:pPr>
      <w:r w:rsidRPr="00D42CFA">
        <w:t xml:space="preserve">For purposes of the pilot study, for facilities with up to 200 patients, a census of patients were drawn, for facilities with more than 200 patients, a systematic random sample of 200 </w:t>
      </w:r>
      <w:r w:rsidRPr="00D42CFA">
        <w:lastRenderedPageBreak/>
        <w:t>patients were drawn. Patient lists were drawn from each facility. The sampling frame included: name, address, telephone number, gender, race-ethnicity, total time on in-center hemodialysis at the facility and total time at the current center.</w:t>
      </w:r>
    </w:p>
    <w:p w:rsidR="00D107EE" w:rsidRPr="00D42CFA" w:rsidRDefault="00D107EE" w:rsidP="00D107EE">
      <w:pPr>
        <w:pStyle w:val="BodyTextAppA"/>
      </w:pPr>
      <w:r w:rsidRPr="00D42CFA">
        <w:t>The survey methodology included two conditions to which the patients were randomly assigned by facility:</w:t>
      </w:r>
    </w:p>
    <w:p w:rsidR="00D107EE" w:rsidRPr="00D107EE" w:rsidRDefault="00D107EE" w:rsidP="005E767D">
      <w:pPr>
        <w:pStyle w:val="ListNumber"/>
        <w:numPr>
          <w:ilvl w:val="0"/>
          <w:numId w:val="7"/>
        </w:numPr>
        <w:spacing w:after="160"/>
        <w:ind w:left="720"/>
        <w:rPr>
          <w:rFonts w:ascii="Verdana" w:hAnsi="Verdana"/>
          <w:sz w:val="20"/>
        </w:rPr>
      </w:pPr>
      <w:r w:rsidRPr="00D107EE">
        <w:rPr>
          <w:rFonts w:ascii="Verdana" w:hAnsi="Verdana"/>
          <w:sz w:val="20"/>
        </w:rPr>
        <w:t>Telephone only</w:t>
      </w:r>
    </w:p>
    <w:p w:rsidR="00D107EE" w:rsidRPr="00D107EE" w:rsidRDefault="00D107EE" w:rsidP="005E767D">
      <w:pPr>
        <w:pStyle w:val="ListNumber"/>
        <w:numPr>
          <w:ilvl w:val="0"/>
          <w:numId w:val="7"/>
        </w:numPr>
        <w:spacing w:after="160"/>
        <w:ind w:left="720"/>
        <w:rPr>
          <w:rFonts w:ascii="Verdana" w:hAnsi="Verdana"/>
          <w:sz w:val="20"/>
        </w:rPr>
      </w:pPr>
      <w:r w:rsidRPr="00D107EE">
        <w:rPr>
          <w:rFonts w:ascii="Verdana" w:hAnsi="Verdana"/>
          <w:sz w:val="20"/>
        </w:rPr>
        <w:t>Mixed mode (i.e., two mailings with telephone follow-up)</w:t>
      </w:r>
    </w:p>
    <w:p w:rsidR="00D107EE" w:rsidRPr="00D42CFA" w:rsidRDefault="00D107EE" w:rsidP="00D107EE">
      <w:pPr>
        <w:pStyle w:val="BodyTextAppA"/>
      </w:pPr>
      <w:r w:rsidRPr="00D42CFA">
        <w:t xml:space="preserve">For both modes an introductory letter explaining the purpose of the survey and the conditions of participation was sent out to all sampled patients. For patients surveyed by telephone, </w:t>
      </w:r>
      <w:proofErr w:type="spellStart"/>
      <w:r w:rsidRPr="00D42CFA">
        <w:t>CATI</w:t>
      </w:r>
      <w:proofErr w:type="spellEnd"/>
      <w:r w:rsidRPr="00D42CFA">
        <w:t xml:space="preserve"> was used; up to 10 attempts were made to reach respondents at different times of days and days of the week. In the mixed mode, a survey was mailed out about 1 week after the pre-notification letter was sent. About two weeks after that, a reminder/thank you sealed letter was mailed. A second survey was mailed about four weeks after the initial one was sent. After four weeks, telephone interviews were conducted.</w:t>
      </w:r>
    </w:p>
    <w:p w:rsidR="00D107EE" w:rsidRPr="00D42CFA" w:rsidRDefault="00D107EE" w:rsidP="00D107EE">
      <w:pPr>
        <w:pStyle w:val="BodyTextAppA"/>
      </w:pPr>
      <w:r w:rsidRPr="00D42CFA">
        <w:t>Because of the visual problems, fatigue, literacy, and/or other cognitive difficulties prevalent in this population, and based on information from other patient surveys conducted with dialysis patients, the team estimated a likely response rate of about 40%.</w:t>
      </w:r>
    </w:p>
    <w:p w:rsidR="00D107EE" w:rsidRPr="00D42CFA" w:rsidRDefault="00D107EE" w:rsidP="00D107EE">
      <w:pPr>
        <w:pStyle w:val="BodyTextAppA"/>
      </w:pPr>
      <w:r w:rsidRPr="00D42CFA">
        <w:t>The final number of respondents was 1454, with an overall response rate of 46%; 56% responded by telephone, while 44% responded by mail. The field test showed that the vast majority of items on the survey performed well in the field; based on psychometric criteria, only 4 items were recommended for deletion.</w:t>
      </w:r>
    </w:p>
    <w:tbl>
      <w:tblPr>
        <w:tblW w:w="9360" w:type="dxa"/>
        <w:tblInd w:w="86" w:type="dxa"/>
        <w:tblLayout w:type="fixed"/>
        <w:tblCellMar>
          <w:left w:w="115" w:type="dxa"/>
          <w:right w:w="115" w:type="dxa"/>
        </w:tblCellMar>
        <w:tblLook w:val="0000" w:firstRow="0" w:lastRow="0" w:firstColumn="0" w:lastColumn="0" w:noHBand="0" w:noVBand="0"/>
      </w:tblPr>
      <w:tblGrid>
        <w:gridCol w:w="6679"/>
        <w:gridCol w:w="1340"/>
        <w:gridCol w:w="1341"/>
      </w:tblGrid>
      <w:tr w:rsidR="00D107EE" w:rsidRPr="00D107EE" w:rsidTr="00D107EE">
        <w:trPr>
          <w:cantSplit/>
          <w:tblHeader/>
        </w:trPr>
        <w:tc>
          <w:tcPr>
            <w:tcW w:w="667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bottom"/>
          </w:tcPr>
          <w:p w:rsidR="00D107EE" w:rsidRPr="00D107EE" w:rsidRDefault="00D107EE" w:rsidP="00D107EE">
            <w:pPr>
              <w:pStyle w:val="TableHeaders"/>
              <w:rPr>
                <w:rFonts w:ascii="Verdana" w:hAnsi="Verdana"/>
                <w:sz w:val="18"/>
                <w:szCs w:val="18"/>
              </w:rPr>
            </w:pPr>
            <w:r w:rsidRPr="00D107EE">
              <w:rPr>
                <w:rFonts w:ascii="Verdana" w:hAnsi="Verdana"/>
                <w:sz w:val="18"/>
                <w:szCs w:val="18"/>
              </w:rPr>
              <w:t>Description</w:t>
            </w:r>
          </w:p>
        </w:tc>
        <w:tc>
          <w:tcPr>
            <w:tcW w:w="1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107EE" w:rsidRPr="00D107EE" w:rsidRDefault="00D107EE" w:rsidP="00D107EE">
            <w:pPr>
              <w:pStyle w:val="TableHeaders"/>
              <w:rPr>
                <w:rFonts w:ascii="Verdana" w:hAnsi="Verdana"/>
                <w:sz w:val="18"/>
                <w:szCs w:val="18"/>
              </w:rPr>
            </w:pPr>
            <w:r w:rsidRPr="00D107EE">
              <w:rPr>
                <w:rFonts w:ascii="Verdana" w:hAnsi="Verdana"/>
                <w:sz w:val="18"/>
                <w:szCs w:val="18"/>
              </w:rPr>
              <w:t>Number</w:t>
            </w:r>
          </w:p>
        </w:tc>
        <w:tc>
          <w:tcPr>
            <w:tcW w:w="134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107EE" w:rsidRPr="00D107EE" w:rsidRDefault="00D107EE" w:rsidP="00D107EE">
            <w:pPr>
              <w:pStyle w:val="TableHeaders"/>
              <w:rPr>
                <w:rFonts w:ascii="Verdana" w:hAnsi="Verdana"/>
                <w:sz w:val="18"/>
                <w:szCs w:val="18"/>
              </w:rPr>
            </w:pPr>
            <w:r w:rsidRPr="00D107EE">
              <w:rPr>
                <w:rFonts w:ascii="Verdana" w:hAnsi="Verdana"/>
                <w:sz w:val="18"/>
                <w:szCs w:val="18"/>
              </w:rPr>
              <w:t>Percent</w:t>
            </w:r>
          </w:p>
        </w:tc>
      </w:tr>
      <w:tr w:rsidR="00D107EE" w:rsidRPr="00D107EE" w:rsidTr="00D107EE">
        <w:trPr>
          <w:cantSplit/>
        </w:trPr>
        <w:tc>
          <w:tcPr>
            <w:tcW w:w="667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107EE" w:rsidRPr="00D107EE" w:rsidRDefault="00D107EE" w:rsidP="00D107EE">
            <w:pPr>
              <w:pStyle w:val="TableText"/>
              <w:keepNext/>
              <w:rPr>
                <w:rFonts w:ascii="Verdana" w:eastAsia="Arial Unicode MS" w:hAnsi="Verdana"/>
                <w:b/>
                <w:sz w:val="18"/>
                <w:szCs w:val="18"/>
              </w:rPr>
            </w:pPr>
            <w:r w:rsidRPr="00D107EE">
              <w:rPr>
                <w:rFonts w:ascii="Verdana" w:hAnsi="Verdana"/>
                <w:b/>
                <w:sz w:val="18"/>
                <w:szCs w:val="18"/>
              </w:rPr>
              <w:t>Total Sample</w:t>
            </w:r>
          </w:p>
        </w:tc>
        <w:tc>
          <w:tcPr>
            <w:tcW w:w="134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b/>
                <w:sz w:val="18"/>
                <w:szCs w:val="18"/>
              </w:rPr>
            </w:pPr>
            <w:r w:rsidRPr="00D107EE">
              <w:rPr>
                <w:rFonts w:ascii="Verdana" w:hAnsi="Verdana"/>
                <w:b/>
                <w:sz w:val="18"/>
                <w:szCs w:val="18"/>
              </w:rPr>
              <w:t>3,143</w:t>
            </w:r>
          </w:p>
        </w:tc>
        <w:tc>
          <w:tcPr>
            <w:tcW w:w="134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b/>
                <w:sz w:val="18"/>
                <w:szCs w:val="18"/>
              </w:rPr>
            </w:pPr>
            <w:r w:rsidRPr="00D107EE">
              <w:rPr>
                <w:rFonts w:ascii="Verdana" w:hAnsi="Verdana"/>
                <w:b/>
                <w:sz w:val="18"/>
                <w:szCs w:val="18"/>
              </w:rPr>
              <w:t>—</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Phone</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1,781</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56.7</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Mixed Mode</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1,362</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43.3</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rPr>
                <w:rFonts w:ascii="Verdana" w:eastAsia="Arial Unicode MS" w:hAnsi="Verdana"/>
                <w:b/>
                <w:sz w:val="18"/>
                <w:szCs w:val="18"/>
              </w:rPr>
            </w:pPr>
            <w:r w:rsidRPr="00D107EE">
              <w:rPr>
                <w:rFonts w:ascii="Verdana" w:hAnsi="Verdana"/>
                <w:b/>
                <w:sz w:val="18"/>
                <w:szCs w:val="18"/>
              </w:rPr>
              <w:t>Total Completes</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b/>
                <w:sz w:val="18"/>
                <w:szCs w:val="18"/>
              </w:rPr>
            </w:pPr>
            <w:r w:rsidRPr="00D107EE">
              <w:rPr>
                <w:rFonts w:ascii="Verdana" w:hAnsi="Verdana"/>
                <w:b/>
                <w:sz w:val="18"/>
                <w:szCs w:val="18"/>
              </w:rPr>
              <w:t>1,454</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b/>
                <w:sz w:val="18"/>
                <w:szCs w:val="18"/>
              </w:rPr>
            </w:pPr>
            <w:r w:rsidRPr="00D107EE">
              <w:rPr>
                <w:rFonts w:ascii="Verdana" w:hAnsi="Verdana"/>
                <w:b/>
                <w:sz w:val="18"/>
                <w:szCs w:val="18"/>
              </w:rPr>
              <w:t>46.3</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Completes by phone</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818</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56.3</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Completes by mail</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636</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43.7</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rPr>
                <w:rFonts w:ascii="Verdana" w:eastAsia="Arial Unicode MS" w:hAnsi="Verdana"/>
                <w:b/>
                <w:i/>
                <w:iCs/>
                <w:sz w:val="18"/>
                <w:szCs w:val="18"/>
              </w:rPr>
            </w:pPr>
            <w:r w:rsidRPr="00D107EE">
              <w:rPr>
                <w:rFonts w:ascii="Verdana" w:hAnsi="Verdana"/>
                <w:b/>
                <w:i/>
                <w:iCs/>
                <w:sz w:val="18"/>
                <w:szCs w:val="18"/>
              </w:rPr>
              <w:t>Completes by Mode Assignment</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b/>
                <w:sz w:val="18"/>
                <w:szCs w:val="18"/>
              </w:rPr>
            </w:pPr>
            <w:r w:rsidRPr="00D107EE">
              <w:rPr>
                <w:rFonts w:ascii="Verdana" w:hAnsi="Verdana"/>
                <w:b/>
                <w:sz w:val="18"/>
                <w:szCs w:val="18"/>
              </w:rPr>
              <w:t>—</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b/>
                <w:sz w:val="18"/>
                <w:szCs w:val="18"/>
              </w:rPr>
            </w:pPr>
            <w:r w:rsidRPr="00D107EE">
              <w:rPr>
                <w:rFonts w:ascii="Verdana" w:hAnsi="Verdana"/>
                <w:b/>
                <w:sz w:val="18"/>
                <w:szCs w:val="18"/>
              </w:rPr>
              <w:t>—</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keepNext/>
              <w:rPr>
                <w:rFonts w:eastAsia="Arial Unicode MS"/>
                <w:i/>
                <w:szCs w:val="18"/>
              </w:rPr>
            </w:pPr>
            <w:r w:rsidRPr="00D107EE">
              <w:rPr>
                <w:i/>
                <w:szCs w:val="18"/>
              </w:rPr>
              <w:t>Phone</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i/>
                <w:iCs/>
                <w:sz w:val="18"/>
                <w:szCs w:val="18"/>
              </w:rPr>
            </w:pPr>
            <w:r w:rsidRPr="00D107EE">
              <w:rPr>
                <w:rFonts w:ascii="Verdana" w:hAnsi="Verdana"/>
                <w:i/>
                <w:iCs/>
                <w:sz w:val="18"/>
                <w:szCs w:val="18"/>
              </w:rPr>
              <w:t>695</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i/>
                <w:iCs/>
                <w:sz w:val="18"/>
                <w:szCs w:val="18"/>
              </w:rPr>
            </w:pPr>
            <w:r w:rsidRPr="00D107EE">
              <w:rPr>
                <w:rFonts w:ascii="Verdana" w:hAnsi="Verdana"/>
                <w:i/>
                <w:iCs/>
                <w:sz w:val="18"/>
                <w:szCs w:val="18"/>
              </w:rPr>
              <w:t>39.0</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ind w:left="490"/>
              <w:rPr>
                <w:rFonts w:eastAsia="Arial Unicode MS"/>
                <w:szCs w:val="18"/>
              </w:rPr>
            </w:pPr>
            <w:r w:rsidRPr="00D107EE">
              <w:rPr>
                <w:szCs w:val="18"/>
              </w:rPr>
              <w:t>Assigned to phone/Completed by phone</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655</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36.8</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ind w:left="490"/>
              <w:rPr>
                <w:rFonts w:eastAsia="Arial Unicode MS"/>
                <w:szCs w:val="18"/>
              </w:rPr>
            </w:pPr>
            <w:r w:rsidRPr="00D107EE">
              <w:rPr>
                <w:szCs w:val="18"/>
              </w:rPr>
              <w:t>Assigned to phone/Completed by mail</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40</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2.2</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keepNext/>
              <w:rPr>
                <w:rFonts w:eastAsia="Arial Unicode MS"/>
                <w:i/>
                <w:szCs w:val="18"/>
              </w:rPr>
            </w:pPr>
            <w:r w:rsidRPr="00D107EE">
              <w:rPr>
                <w:i/>
                <w:szCs w:val="18"/>
              </w:rPr>
              <w:t>Mixed Mode</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i/>
                <w:iCs/>
                <w:sz w:val="18"/>
                <w:szCs w:val="18"/>
              </w:rPr>
            </w:pPr>
            <w:r w:rsidRPr="00D107EE">
              <w:rPr>
                <w:rFonts w:ascii="Verdana" w:hAnsi="Verdana"/>
                <w:i/>
                <w:iCs/>
                <w:sz w:val="18"/>
                <w:szCs w:val="18"/>
              </w:rPr>
              <w:t>759</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keepNext/>
              <w:ind w:right="288"/>
              <w:jc w:val="right"/>
              <w:rPr>
                <w:rFonts w:ascii="Verdana" w:eastAsia="Arial Unicode MS" w:hAnsi="Verdana"/>
                <w:i/>
                <w:iCs/>
                <w:sz w:val="18"/>
                <w:szCs w:val="18"/>
              </w:rPr>
            </w:pPr>
            <w:r w:rsidRPr="00D107EE">
              <w:rPr>
                <w:rFonts w:ascii="Verdana" w:hAnsi="Verdana"/>
                <w:i/>
                <w:iCs/>
                <w:sz w:val="18"/>
                <w:szCs w:val="18"/>
              </w:rPr>
              <w:t>55.7</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ind w:left="490"/>
              <w:rPr>
                <w:rFonts w:eastAsia="Arial Unicode MS"/>
                <w:szCs w:val="18"/>
              </w:rPr>
            </w:pPr>
            <w:r w:rsidRPr="00D107EE">
              <w:rPr>
                <w:szCs w:val="18"/>
              </w:rPr>
              <w:t>Assigned to mixed mode/Completed by mail</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596</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43.8</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Indent1"/>
              <w:ind w:left="490"/>
              <w:rPr>
                <w:rFonts w:eastAsia="Arial Unicode MS"/>
                <w:szCs w:val="18"/>
              </w:rPr>
            </w:pPr>
            <w:r w:rsidRPr="00D107EE">
              <w:rPr>
                <w:szCs w:val="18"/>
              </w:rPr>
              <w:t>Assigned to mixed mode/Completed by phone</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163</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12.0</w:t>
            </w:r>
          </w:p>
        </w:tc>
      </w:tr>
    </w:tbl>
    <w:p w:rsidR="00D107EE" w:rsidRPr="00F0775F" w:rsidRDefault="00D107EE" w:rsidP="00D107EE">
      <w:pPr>
        <w:jc w:val="right"/>
        <w:rPr>
          <w:rFonts w:ascii="Verdana" w:hAnsi="Verdana"/>
          <w:sz w:val="18"/>
        </w:rPr>
      </w:pPr>
      <w:r w:rsidRPr="00F0775F">
        <w:rPr>
          <w:rFonts w:ascii="Verdana" w:hAnsi="Verdana"/>
          <w:sz w:val="18"/>
        </w:rPr>
        <w:t>(continued on next page)</w:t>
      </w:r>
    </w:p>
    <w:tbl>
      <w:tblPr>
        <w:tblW w:w="9360" w:type="dxa"/>
        <w:tblInd w:w="86" w:type="dxa"/>
        <w:tblLayout w:type="fixed"/>
        <w:tblCellMar>
          <w:left w:w="115" w:type="dxa"/>
          <w:right w:w="115" w:type="dxa"/>
        </w:tblCellMar>
        <w:tblLook w:val="0000" w:firstRow="0" w:lastRow="0" w:firstColumn="0" w:lastColumn="0" w:noHBand="0" w:noVBand="0"/>
      </w:tblPr>
      <w:tblGrid>
        <w:gridCol w:w="6679"/>
        <w:gridCol w:w="1340"/>
        <w:gridCol w:w="1341"/>
      </w:tblGrid>
      <w:tr w:rsidR="00D107EE" w:rsidRPr="00D107EE" w:rsidTr="00D107EE">
        <w:trPr>
          <w:cantSplit/>
          <w:tblHeader/>
        </w:trPr>
        <w:tc>
          <w:tcPr>
            <w:tcW w:w="667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bottom"/>
          </w:tcPr>
          <w:p w:rsidR="00D107EE" w:rsidRPr="00D107EE" w:rsidRDefault="00D107EE" w:rsidP="00F0775F">
            <w:pPr>
              <w:pStyle w:val="TableHeaders"/>
              <w:rPr>
                <w:rFonts w:ascii="Verdana" w:hAnsi="Verdana"/>
                <w:sz w:val="18"/>
                <w:szCs w:val="18"/>
              </w:rPr>
            </w:pPr>
            <w:r w:rsidRPr="00D107EE">
              <w:rPr>
                <w:rFonts w:ascii="Verdana" w:hAnsi="Verdana"/>
                <w:sz w:val="18"/>
                <w:szCs w:val="18"/>
              </w:rPr>
              <w:lastRenderedPageBreak/>
              <w:t>Description</w:t>
            </w:r>
          </w:p>
        </w:tc>
        <w:tc>
          <w:tcPr>
            <w:tcW w:w="1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107EE" w:rsidRPr="00D107EE" w:rsidRDefault="00D107EE" w:rsidP="00F0775F">
            <w:pPr>
              <w:pStyle w:val="TableHeaders"/>
              <w:rPr>
                <w:rFonts w:ascii="Verdana" w:hAnsi="Verdana"/>
                <w:sz w:val="18"/>
                <w:szCs w:val="18"/>
              </w:rPr>
            </w:pPr>
            <w:r w:rsidRPr="00D107EE">
              <w:rPr>
                <w:rFonts w:ascii="Verdana" w:hAnsi="Verdana"/>
                <w:sz w:val="18"/>
                <w:szCs w:val="18"/>
              </w:rPr>
              <w:t>Number</w:t>
            </w:r>
          </w:p>
        </w:tc>
        <w:tc>
          <w:tcPr>
            <w:tcW w:w="134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107EE" w:rsidRPr="00D107EE" w:rsidRDefault="00D107EE" w:rsidP="00F0775F">
            <w:pPr>
              <w:pStyle w:val="TableHeaders"/>
              <w:rPr>
                <w:rFonts w:ascii="Verdana" w:hAnsi="Verdana"/>
                <w:sz w:val="18"/>
                <w:szCs w:val="18"/>
              </w:rPr>
            </w:pPr>
            <w:r w:rsidRPr="00D107EE">
              <w:rPr>
                <w:rFonts w:ascii="Verdana" w:hAnsi="Verdana"/>
                <w:sz w:val="18"/>
                <w:szCs w:val="18"/>
              </w:rPr>
              <w:t>Percent</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107EE" w:rsidRPr="00D107EE" w:rsidRDefault="00D107EE" w:rsidP="00F0775F">
            <w:pPr>
              <w:pStyle w:val="TableText"/>
              <w:keepNext/>
              <w:rPr>
                <w:rFonts w:ascii="Verdana" w:eastAsia="Arial Unicode MS" w:hAnsi="Verdana"/>
                <w:b/>
                <w:sz w:val="18"/>
                <w:szCs w:val="18"/>
              </w:rPr>
            </w:pPr>
            <w:r w:rsidRPr="00D107EE">
              <w:rPr>
                <w:rFonts w:ascii="Verdana" w:hAnsi="Verdana"/>
                <w:b/>
                <w:sz w:val="18"/>
                <w:szCs w:val="18"/>
              </w:rPr>
              <w:t>Total Non-Completes</w:t>
            </w:r>
          </w:p>
        </w:tc>
        <w:tc>
          <w:tcPr>
            <w:tcW w:w="1340"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F0775F">
            <w:pPr>
              <w:pStyle w:val="TableText"/>
              <w:keepNext/>
              <w:ind w:right="288"/>
              <w:jc w:val="right"/>
              <w:rPr>
                <w:rFonts w:ascii="Verdana" w:eastAsia="Arial Unicode MS" w:hAnsi="Verdana"/>
                <w:b/>
                <w:sz w:val="18"/>
                <w:szCs w:val="18"/>
              </w:rPr>
            </w:pPr>
            <w:r w:rsidRPr="00D107EE">
              <w:rPr>
                <w:rFonts w:ascii="Verdana" w:hAnsi="Verdana"/>
                <w:b/>
                <w:sz w:val="18"/>
                <w:szCs w:val="18"/>
              </w:rPr>
              <w:t>1,689</w:t>
            </w:r>
          </w:p>
        </w:tc>
        <w:tc>
          <w:tcPr>
            <w:tcW w:w="1341" w:type="dxa"/>
            <w:tcBorders>
              <w:top w:val="nil"/>
              <w:left w:val="nil"/>
              <w:bottom w:val="single" w:sz="4" w:space="0" w:color="auto"/>
              <w:right w:val="single" w:sz="4" w:space="0" w:color="auto"/>
            </w:tcBorders>
            <w:tcMar>
              <w:top w:w="15" w:type="dxa"/>
              <w:left w:w="15" w:type="dxa"/>
              <w:bottom w:w="0" w:type="dxa"/>
              <w:right w:w="15" w:type="dxa"/>
            </w:tcMar>
          </w:tcPr>
          <w:p w:rsidR="00D107EE" w:rsidRPr="00D107EE" w:rsidRDefault="00D107EE" w:rsidP="00F0775F">
            <w:pPr>
              <w:pStyle w:val="TableText"/>
              <w:keepNext/>
              <w:ind w:right="288"/>
              <w:jc w:val="right"/>
              <w:rPr>
                <w:rFonts w:ascii="Verdana" w:eastAsia="Arial Unicode MS" w:hAnsi="Verdana"/>
                <w:b/>
                <w:sz w:val="18"/>
                <w:szCs w:val="18"/>
              </w:rPr>
            </w:pPr>
            <w:r w:rsidRPr="00D107EE">
              <w:rPr>
                <w:rFonts w:ascii="Verdana" w:hAnsi="Verdana"/>
                <w:b/>
                <w:sz w:val="18"/>
                <w:szCs w:val="18"/>
              </w:rPr>
              <w:t>54.0</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F0775F">
            <w:pPr>
              <w:pStyle w:val="TableTextIndent1"/>
              <w:keepNext/>
              <w:rPr>
                <w:rFonts w:eastAsia="Arial Unicode MS"/>
                <w:szCs w:val="18"/>
              </w:rPr>
            </w:pPr>
            <w:r w:rsidRPr="00D107EE">
              <w:rPr>
                <w:szCs w:val="18"/>
              </w:rPr>
              <w:t>Final Refusal</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F0775F">
            <w:pPr>
              <w:pStyle w:val="TableText"/>
              <w:keepNext/>
              <w:ind w:right="288"/>
              <w:jc w:val="right"/>
              <w:rPr>
                <w:rFonts w:ascii="Verdana" w:eastAsia="Arial Unicode MS" w:hAnsi="Verdana"/>
                <w:sz w:val="18"/>
                <w:szCs w:val="18"/>
              </w:rPr>
            </w:pPr>
            <w:r w:rsidRPr="00D107EE">
              <w:rPr>
                <w:rFonts w:ascii="Verdana" w:hAnsi="Verdana"/>
                <w:sz w:val="18"/>
                <w:szCs w:val="18"/>
              </w:rPr>
              <w:t>2</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F0775F">
            <w:pPr>
              <w:pStyle w:val="TableText"/>
              <w:keepNext/>
              <w:ind w:right="288"/>
              <w:jc w:val="right"/>
              <w:rPr>
                <w:rFonts w:ascii="Verdana" w:eastAsia="Arial Unicode MS" w:hAnsi="Verdana"/>
                <w:sz w:val="18"/>
                <w:szCs w:val="18"/>
              </w:rPr>
            </w:pPr>
            <w:r w:rsidRPr="00D107EE">
              <w:rPr>
                <w:rFonts w:ascii="Verdana" w:hAnsi="Verdana"/>
                <w:sz w:val="18"/>
                <w:szCs w:val="18"/>
              </w:rPr>
              <w:t>0.1</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Refuse to confirm number</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35</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2.1</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Respondent refusal</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148</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8.8</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Household refusal</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3</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0.2</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Break-off</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6</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0.4</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Deceased</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98</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5.8</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Ill or Incapable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160</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9.5</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Respondent language barrier</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29</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1.7</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Respondent away for duration of study</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9</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0.5</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Ineligible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22</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1.3</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Strange noise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0.1</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Field period ended</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425</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25.2</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Wrong number</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122</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7.2</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Computer line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12</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0.7</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Not in service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284</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16.8</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Temporarily not in service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41</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2.4</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Unpublished</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47</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2.8</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Mail survey/Ineligible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17</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1.0</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Mail survey/Deceased</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9</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0.5</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Mail survey/Ill or Incapable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1</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0.1</w:t>
            </w:r>
          </w:p>
        </w:tc>
      </w:tr>
      <w:tr w:rsidR="00D107EE" w:rsidRPr="00D107EE" w:rsidTr="00D107EE">
        <w:trPr>
          <w:cantSplit/>
        </w:trPr>
        <w:tc>
          <w:tcPr>
            <w:tcW w:w="667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Indent1"/>
              <w:rPr>
                <w:rFonts w:eastAsia="Arial Unicode MS"/>
                <w:szCs w:val="18"/>
              </w:rPr>
            </w:pPr>
            <w:r w:rsidRPr="00D107EE">
              <w:rPr>
                <w:szCs w:val="18"/>
              </w:rPr>
              <w:t>Mail survey/Undeliverable</w:t>
            </w:r>
          </w:p>
        </w:tc>
        <w:tc>
          <w:tcPr>
            <w:tcW w:w="1340"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eastAsia="Arial Unicode MS" w:hAnsi="Verdana"/>
                <w:sz w:val="18"/>
                <w:szCs w:val="18"/>
              </w:rPr>
            </w:pPr>
            <w:r w:rsidRPr="00D107EE">
              <w:rPr>
                <w:rFonts w:ascii="Verdana" w:hAnsi="Verdana"/>
                <w:sz w:val="18"/>
                <w:szCs w:val="18"/>
              </w:rPr>
              <w:t>218</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tcPr>
          <w:p w:rsidR="00D107EE" w:rsidRPr="00D107EE" w:rsidRDefault="00D107EE" w:rsidP="00D107EE">
            <w:pPr>
              <w:pStyle w:val="TableText"/>
              <w:ind w:right="288"/>
              <w:jc w:val="right"/>
              <w:rPr>
                <w:rFonts w:ascii="Verdana" w:hAnsi="Verdana"/>
                <w:sz w:val="18"/>
                <w:szCs w:val="18"/>
              </w:rPr>
            </w:pPr>
            <w:r w:rsidRPr="00D107EE">
              <w:rPr>
                <w:rFonts w:ascii="Verdana" w:hAnsi="Verdana"/>
                <w:sz w:val="18"/>
                <w:szCs w:val="18"/>
              </w:rPr>
              <w:t>12.9</w:t>
            </w:r>
          </w:p>
        </w:tc>
      </w:tr>
    </w:tbl>
    <w:p w:rsidR="00D107EE" w:rsidRPr="00D42CFA" w:rsidRDefault="00D107EE" w:rsidP="00D107EE">
      <w:pPr>
        <w:pStyle w:val="Source1"/>
      </w:pPr>
    </w:p>
    <w:p w:rsidR="00D107EE" w:rsidRPr="00D42CFA" w:rsidRDefault="00D107EE" w:rsidP="00D107EE">
      <w:pPr>
        <w:pStyle w:val="BodyTextAppA"/>
      </w:pPr>
      <w:r w:rsidRPr="00D42CFA">
        <w:t>The instrument team will revise the survey in accordance with the findings of the analysis team, and feedback from Networks and facilities involved in a quality improvement project based on the results obtained from the pilot test of the survey.</w:t>
      </w:r>
    </w:p>
    <w:p w:rsidR="00D107EE" w:rsidRPr="00D42CFA" w:rsidRDefault="00D107EE" w:rsidP="00F0775F">
      <w:pPr>
        <w:pStyle w:val="AppAHeading2"/>
      </w:pPr>
      <w:r w:rsidRPr="00D42CFA">
        <w:t>Findings</w:t>
      </w:r>
    </w:p>
    <w:p w:rsidR="00D107EE" w:rsidRPr="00D42CFA" w:rsidRDefault="00D107EE" w:rsidP="00D107EE">
      <w:pPr>
        <w:pStyle w:val="BodyTextAppA"/>
      </w:pPr>
      <w:r w:rsidRPr="00D42CFA">
        <w:t xml:space="preserve">The nine composite structure suggested by the </w:t>
      </w:r>
      <w:proofErr w:type="spellStart"/>
      <w:r w:rsidRPr="00D42CFA">
        <w:t>CAHPS</w:t>
      </w:r>
      <w:proofErr w:type="spellEnd"/>
      <w:r w:rsidRPr="00D42CFA">
        <w:t xml:space="preserve"> survey topic headings to measure the experience of In-Center Hemodialysis (CH) patients was not confirmed by statistical analysis. Both a three- and four-composite structure were confirmed. Structures with an intermediate number of composites were also not confirmed. The measurement properties of the three-composite structure were better than those of the four-composite structure.</w:t>
      </w:r>
    </w:p>
    <w:p w:rsidR="00D107EE" w:rsidRPr="00D42CFA" w:rsidRDefault="00D107EE" w:rsidP="00F0775F">
      <w:pPr>
        <w:pStyle w:val="AppAHeading2"/>
      </w:pPr>
      <w:r w:rsidRPr="00D42CFA">
        <w:lastRenderedPageBreak/>
        <w:t>Background</w:t>
      </w:r>
    </w:p>
    <w:p w:rsidR="00D107EE" w:rsidRPr="00D42CFA" w:rsidRDefault="00D107EE" w:rsidP="00D107EE">
      <w:pPr>
        <w:pStyle w:val="BodyTextAppA"/>
      </w:pPr>
      <w:r w:rsidRPr="00D42CFA">
        <w:t>The Agency for Healthcare Research and Quality (</w:t>
      </w:r>
      <w:proofErr w:type="spellStart"/>
      <w:r w:rsidRPr="00D42CFA">
        <w:t>AHRQ</w:t>
      </w:r>
      <w:proofErr w:type="spellEnd"/>
      <w:r w:rsidRPr="00D42CFA">
        <w:t xml:space="preserve">) and the Centers for Medicare &amp; Medicaid Services (CMS) co-sponsored the development of a </w:t>
      </w:r>
      <w:proofErr w:type="spellStart"/>
      <w:r w:rsidRPr="00D42CFA">
        <w:t>CAHPS</w:t>
      </w:r>
      <w:proofErr w:type="spellEnd"/>
      <w:r w:rsidRPr="00D42CFA">
        <w:t xml:space="preserve"> survey designed to measure quality of care rendered by in-center hemodialysis </w:t>
      </w:r>
      <w:proofErr w:type="spellStart"/>
      <w:r w:rsidRPr="00D42CFA">
        <w:t>ICH</w:t>
      </w:r>
      <w:proofErr w:type="spellEnd"/>
      <w:r w:rsidRPr="00D42CFA">
        <w:t>) facilities via patient surveys (</w:t>
      </w:r>
      <w:proofErr w:type="spellStart"/>
      <w:r w:rsidRPr="00D42CFA">
        <w:t>ICH-CAHPS</w:t>
      </w:r>
      <w:proofErr w:type="spellEnd"/>
      <w:r w:rsidRPr="00D42CFA">
        <w:t>). A total of 3,143 hemodialysis patients were randomly selected from 32 facilities that participated in a field test of this survey. RAND collected the survey data and created the SAS data set used in the analysis of the field test findings. Analyses are based on the total final updated SAS data file observations (N = 1454) sent to AIR by RAND on the evening of May 16, 2005. The purpose of the analyses reported was to assess the general psychometric properties of the 41 report items without regard to subgroups. Thus, analyses according to subgroups defined by mode of administration (telephone versus mixed mode) or language of survey (English versus Spanish) are not reported here.</w:t>
      </w:r>
    </w:p>
    <w:p w:rsidR="00D107EE" w:rsidRPr="00F0775F" w:rsidRDefault="00D107EE" w:rsidP="00F0775F">
      <w:pPr>
        <w:pStyle w:val="AppAHeading3"/>
      </w:pPr>
      <w:r w:rsidRPr="00F0775F">
        <w:t>Analytic Methods</w:t>
      </w:r>
    </w:p>
    <w:p w:rsidR="00D107EE" w:rsidRPr="00D42CFA" w:rsidRDefault="00D107EE" w:rsidP="00D107EE">
      <w:pPr>
        <w:pStyle w:val="BodyTextAppA"/>
      </w:pPr>
      <w:r w:rsidRPr="00D42CFA">
        <w:t>We used both confirmatory and exploratory methods to describe the structure underlying responses to the 41 quality report items. After the structure was described we evaluated the measurement properties of the composites therein according to classical psychometric methods (restriction of range, item-total correlations, internal consistency reliability, and power of item and composite scores to discriminate among facilities).</w:t>
      </w:r>
    </w:p>
    <w:p w:rsidR="00D107EE" w:rsidRPr="00F0775F" w:rsidRDefault="00D107EE" w:rsidP="00F0775F">
      <w:pPr>
        <w:pStyle w:val="ListParagraph"/>
        <w:spacing w:after="240"/>
        <w:rPr>
          <w:rFonts w:ascii="Verdana" w:hAnsi="Verdana"/>
          <w:sz w:val="20"/>
          <w:szCs w:val="20"/>
        </w:rPr>
      </w:pPr>
      <w:r w:rsidRPr="00F0775F">
        <w:rPr>
          <w:rFonts w:ascii="Verdana" w:hAnsi="Verdana"/>
          <w:b/>
          <w:sz w:val="20"/>
          <w:szCs w:val="20"/>
        </w:rPr>
        <w:t>Confirmation of hypothesized composite structure</w:t>
      </w:r>
      <w:r w:rsidRPr="00F0775F">
        <w:rPr>
          <w:rFonts w:ascii="Verdana" w:hAnsi="Verdana"/>
          <w:sz w:val="20"/>
          <w:szCs w:val="20"/>
        </w:rPr>
        <w:t xml:space="preserve">. Observations were computed as the means of five imputations calculated by SAS </w:t>
      </w:r>
      <w:proofErr w:type="spellStart"/>
      <w:r w:rsidRPr="00F0775F">
        <w:rPr>
          <w:rFonts w:ascii="Verdana" w:hAnsi="Verdana"/>
          <w:sz w:val="20"/>
          <w:szCs w:val="20"/>
        </w:rPr>
        <w:t>PROC</w:t>
      </w:r>
      <w:proofErr w:type="spellEnd"/>
      <w:r w:rsidRPr="00F0775F">
        <w:rPr>
          <w:rFonts w:ascii="Verdana" w:hAnsi="Verdana"/>
          <w:sz w:val="20"/>
          <w:szCs w:val="20"/>
        </w:rPr>
        <w:t xml:space="preserve"> MI, rounded to the nearest legitimate whole number. We compared the correlation of each item to the composite it was hypothesized to belong to, with its correlations to all the scales that it was not hypothesized to belong to. In this analysis, our concern was with the Type II error (that we might prematurely reject a possible structure) and so we used liberal criteria in determining whether the structure was confirmed. We deemed as acceptable, items that were more highly correlated with their scale whether or not this correlation was significantly higher.</w:t>
      </w:r>
    </w:p>
    <w:p w:rsidR="00D107EE" w:rsidRPr="00F0775F" w:rsidRDefault="00D107EE" w:rsidP="00F0775F">
      <w:pPr>
        <w:pStyle w:val="ListParagraph"/>
        <w:spacing w:after="240"/>
        <w:rPr>
          <w:rFonts w:ascii="Verdana" w:hAnsi="Verdana"/>
          <w:sz w:val="20"/>
          <w:szCs w:val="20"/>
        </w:rPr>
      </w:pPr>
      <w:r w:rsidRPr="00F0775F">
        <w:rPr>
          <w:rFonts w:ascii="Verdana" w:hAnsi="Verdana"/>
          <w:b/>
          <w:sz w:val="20"/>
          <w:szCs w:val="20"/>
        </w:rPr>
        <w:t>Identification of composite structure</w:t>
      </w:r>
      <w:r w:rsidRPr="00F0775F">
        <w:rPr>
          <w:rFonts w:ascii="Verdana" w:hAnsi="Verdana"/>
          <w:sz w:val="20"/>
          <w:szCs w:val="20"/>
        </w:rPr>
        <w:t xml:space="preserve">. In the absence of confirmation for the hypothesized structure, we used standard </w:t>
      </w:r>
      <w:proofErr w:type="spellStart"/>
      <w:r w:rsidRPr="00F0775F">
        <w:rPr>
          <w:rFonts w:ascii="Verdana" w:hAnsi="Verdana"/>
          <w:sz w:val="20"/>
          <w:szCs w:val="20"/>
        </w:rPr>
        <w:t>CAHPS</w:t>
      </w:r>
      <w:proofErr w:type="spellEnd"/>
      <w:r w:rsidRPr="00F0775F">
        <w:rPr>
          <w:rFonts w:ascii="Verdana" w:hAnsi="Verdana"/>
          <w:sz w:val="20"/>
          <w:szCs w:val="20"/>
        </w:rPr>
        <w:t xml:space="preserve"> methods for conducting the exploratory factor analysis” principal factor analysis, with oblique (</w:t>
      </w:r>
      <w:proofErr w:type="spellStart"/>
      <w:r w:rsidRPr="00F0775F">
        <w:rPr>
          <w:rFonts w:ascii="Verdana" w:hAnsi="Verdana"/>
          <w:sz w:val="20"/>
          <w:szCs w:val="20"/>
        </w:rPr>
        <w:t>Promax</w:t>
      </w:r>
      <w:proofErr w:type="spellEnd"/>
      <w:r w:rsidRPr="00F0775F">
        <w:rPr>
          <w:rFonts w:ascii="Verdana" w:hAnsi="Verdana"/>
          <w:sz w:val="20"/>
          <w:szCs w:val="20"/>
        </w:rPr>
        <w:t xml:space="preserve">) rotation to simple structure. The covariance matrix was computed using a maximum likelihood procedure to estimate variance for missing data (the multiple imputation procedure from SAS with the </w:t>
      </w:r>
      <w:proofErr w:type="spellStart"/>
      <w:r w:rsidRPr="00F0775F">
        <w:rPr>
          <w:rFonts w:ascii="Verdana" w:hAnsi="Verdana"/>
          <w:sz w:val="20"/>
          <w:szCs w:val="20"/>
        </w:rPr>
        <w:t>EM</w:t>
      </w:r>
      <w:proofErr w:type="spellEnd"/>
      <w:r w:rsidRPr="00F0775F">
        <w:rPr>
          <w:rFonts w:ascii="Verdana" w:hAnsi="Verdana"/>
          <w:sz w:val="20"/>
          <w:szCs w:val="20"/>
        </w:rPr>
        <w:t xml:space="preserve"> function). The default method in SAS for identifying the number of composites in the structure underlying item responses is the proportion criterion. Because this criterion is controversial, we also examined the scree plot of the eigenvalues.</w:t>
      </w:r>
    </w:p>
    <w:p w:rsidR="00D107EE" w:rsidRPr="00F0775F" w:rsidRDefault="00D107EE" w:rsidP="00F0775F">
      <w:pPr>
        <w:pStyle w:val="ListParagraph"/>
        <w:spacing w:after="240"/>
        <w:rPr>
          <w:rFonts w:ascii="Verdana" w:hAnsi="Verdana"/>
          <w:sz w:val="20"/>
          <w:szCs w:val="20"/>
        </w:rPr>
      </w:pPr>
      <w:r w:rsidRPr="00F0775F">
        <w:rPr>
          <w:rFonts w:ascii="Verdana" w:hAnsi="Verdana"/>
          <w:b/>
          <w:sz w:val="20"/>
          <w:szCs w:val="20"/>
        </w:rPr>
        <w:t xml:space="preserve">Evaluation of Composite Measure Properties. </w:t>
      </w:r>
      <w:r w:rsidRPr="00F0775F">
        <w:rPr>
          <w:rFonts w:ascii="Verdana" w:hAnsi="Verdana"/>
          <w:sz w:val="20"/>
          <w:szCs w:val="20"/>
        </w:rPr>
        <w:t xml:space="preserve">For each composite, we computed the item-total correlations, the percent of respondents at the highest- and lowest- possible composite score, and </w:t>
      </w:r>
      <w:proofErr w:type="spellStart"/>
      <w:r w:rsidRPr="00F0775F">
        <w:rPr>
          <w:rFonts w:ascii="Verdana" w:hAnsi="Verdana"/>
          <w:sz w:val="20"/>
          <w:szCs w:val="20"/>
        </w:rPr>
        <w:t>Cronbach’s</w:t>
      </w:r>
      <w:proofErr w:type="spellEnd"/>
      <w:r w:rsidRPr="00F0775F">
        <w:rPr>
          <w:rFonts w:ascii="Verdana" w:hAnsi="Verdana"/>
          <w:sz w:val="20"/>
          <w:szCs w:val="20"/>
        </w:rPr>
        <w:t xml:space="preserve"> α (an estimate of internal consistency and reliability). For each item and composite, we estimated the ability of the score to discriminate among facilities using standard </w:t>
      </w:r>
      <w:proofErr w:type="spellStart"/>
      <w:r w:rsidRPr="00F0775F">
        <w:rPr>
          <w:rFonts w:ascii="Verdana" w:hAnsi="Verdana"/>
          <w:sz w:val="20"/>
          <w:szCs w:val="20"/>
        </w:rPr>
        <w:t>CAHPS</w:t>
      </w:r>
      <w:proofErr w:type="spellEnd"/>
      <w:r w:rsidRPr="00F0775F">
        <w:rPr>
          <w:rFonts w:ascii="Verdana" w:hAnsi="Verdana"/>
          <w:sz w:val="20"/>
          <w:szCs w:val="20"/>
        </w:rPr>
        <w:t xml:space="preserve"> methods for computing unit-level (in this case, center-level) reliability. Center-level reliability is based on the F-</w:t>
      </w:r>
      <w:r w:rsidRPr="00F0775F">
        <w:rPr>
          <w:rFonts w:ascii="Verdana" w:hAnsi="Verdana"/>
          <w:sz w:val="20"/>
          <w:szCs w:val="20"/>
        </w:rPr>
        <w:lastRenderedPageBreak/>
        <w:t xml:space="preserve">statistic for testing differences among centers on an item or composite. We used the </w:t>
      </w:r>
      <w:proofErr w:type="spellStart"/>
      <w:r w:rsidRPr="00F0775F">
        <w:rPr>
          <w:rFonts w:ascii="Verdana" w:hAnsi="Verdana"/>
          <w:sz w:val="20"/>
          <w:szCs w:val="20"/>
        </w:rPr>
        <w:t>CAHPS</w:t>
      </w:r>
      <w:proofErr w:type="spellEnd"/>
      <w:r w:rsidRPr="00F0775F">
        <w:rPr>
          <w:rFonts w:ascii="Verdana" w:hAnsi="Verdana"/>
          <w:sz w:val="20"/>
          <w:szCs w:val="20"/>
        </w:rPr>
        <w:t xml:space="preserve"> macro (version </w:t>
      </w:r>
      <w:proofErr w:type="spellStart"/>
      <w:r w:rsidRPr="00F0775F">
        <w:rPr>
          <w:rFonts w:ascii="Verdana" w:hAnsi="Verdana"/>
          <w:sz w:val="20"/>
          <w:szCs w:val="20"/>
        </w:rPr>
        <w:t>34b</w:t>
      </w:r>
      <w:proofErr w:type="spellEnd"/>
      <w:r w:rsidRPr="00F0775F">
        <w:rPr>
          <w:rFonts w:ascii="Verdana" w:hAnsi="Verdana"/>
          <w:sz w:val="20"/>
          <w:szCs w:val="20"/>
        </w:rPr>
        <w:t xml:space="preserve">), with </w:t>
      </w:r>
      <w:proofErr w:type="spellStart"/>
      <w:r w:rsidRPr="00F0775F">
        <w:rPr>
          <w:rFonts w:ascii="Verdana" w:hAnsi="Verdana"/>
          <w:sz w:val="20"/>
          <w:szCs w:val="20"/>
        </w:rPr>
        <w:t>unimputed</w:t>
      </w:r>
      <w:proofErr w:type="spellEnd"/>
      <w:r w:rsidRPr="00F0775F">
        <w:rPr>
          <w:rFonts w:ascii="Verdana" w:hAnsi="Verdana"/>
          <w:sz w:val="20"/>
          <w:szCs w:val="20"/>
        </w:rPr>
        <w:t xml:space="preserve"> data as input, to calculate the global F-test, which is intended to determine whether there is evidence for differences among center means. The F-statistic provides a summary of the ratio of between-center variance (numerator) and with-center variance (denominator). The more real differences there are among centers, relative to random variation, the larger the F-statistic is expected to be. We transformed the F value using the formula (f-1)/F in order to obtain the inter-unit reliability (</w:t>
      </w:r>
      <w:proofErr w:type="spellStart"/>
      <w:r w:rsidRPr="00F0775F">
        <w:rPr>
          <w:rFonts w:ascii="Verdana" w:hAnsi="Verdana"/>
          <w:sz w:val="20"/>
          <w:szCs w:val="20"/>
        </w:rPr>
        <w:t>IUR</w:t>
      </w:r>
      <w:proofErr w:type="spellEnd"/>
      <w:r w:rsidRPr="00F0775F">
        <w:rPr>
          <w:rFonts w:ascii="Verdana" w:hAnsi="Verdana"/>
          <w:sz w:val="20"/>
          <w:szCs w:val="20"/>
        </w:rPr>
        <w:t xml:space="preserve">). The </w:t>
      </w:r>
      <w:proofErr w:type="spellStart"/>
      <w:r w:rsidRPr="00F0775F">
        <w:rPr>
          <w:rFonts w:ascii="Verdana" w:hAnsi="Verdana"/>
          <w:sz w:val="20"/>
          <w:szCs w:val="20"/>
        </w:rPr>
        <w:t>IUR</w:t>
      </w:r>
      <w:proofErr w:type="spellEnd"/>
      <w:r w:rsidRPr="00F0775F">
        <w:rPr>
          <w:rFonts w:ascii="Verdana" w:hAnsi="Verdana"/>
          <w:sz w:val="20"/>
          <w:szCs w:val="20"/>
        </w:rPr>
        <w:t xml:space="preserve"> score indicates the fraction of the variation among center scores that is due to real differences rather than chance.</w:t>
      </w:r>
    </w:p>
    <w:p w:rsidR="00D107EE" w:rsidRPr="00D42CFA" w:rsidRDefault="00D107EE" w:rsidP="00F0775F">
      <w:pPr>
        <w:pStyle w:val="AppAHeading2"/>
      </w:pPr>
      <w:r w:rsidRPr="00D42CFA">
        <w:t>Results</w:t>
      </w:r>
    </w:p>
    <w:p w:rsidR="00D107EE" w:rsidRPr="00D42CFA" w:rsidRDefault="00D107EE" w:rsidP="00D107EE">
      <w:pPr>
        <w:pStyle w:val="BodyTextAppA"/>
      </w:pPr>
      <w:r w:rsidRPr="00D42CFA">
        <w:t>Here we describe our results in the chronological order of the structures that we evaluated so that the reader can follow our logic.</w:t>
      </w:r>
    </w:p>
    <w:p w:rsidR="00D107EE" w:rsidRPr="00F0775F" w:rsidRDefault="00D107EE" w:rsidP="00F0775F">
      <w:pPr>
        <w:pStyle w:val="ListParagraph"/>
        <w:spacing w:after="160"/>
        <w:rPr>
          <w:rFonts w:ascii="Verdana" w:hAnsi="Verdana"/>
          <w:sz w:val="20"/>
          <w:szCs w:val="20"/>
        </w:rPr>
      </w:pPr>
      <w:r w:rsidRPr="00F0775F">
        <w:rPr>
          <w:rFonts w:ascii="Verdana" w:hAnsi="Verdana"/>
          <w:b/>
          <w:sz w:val="20"/>
          <w:szCs w:val="20"/>
        </w:rPr>
        <w:t>Nine composites</w:t>
      </w:r>
      <w:r w:rsidRPr="00F0775F">
        <w:rPr>
          <w:rFonts w:ascii="Verdana" w:hAnsi="Verdana"/>
          <w:sz w:val="20"/>
          <w:szCs w:val="20"/>
        </w:rPr>
        <w:t xml:space="preserve"> (number of items, “i” = 41). We conducted confirmatory analysis of the composite structure defined by the </w:t>
      </w:r>
      <w:proofErr w:type="spellStart"/>
      <w:r w:rsidRPr="00F0775F">
        <w:rPr>
          <w:rFonts w:ascii="Verdana" w:hAnsi="Verdana"/>
          <w:sz w:val="20"/>
          <w:szCs w:val="20"/>
        </w:rPr>
        <w:t>ICH</w:t>
      </w:r>
      <w:proofErr w:type="spellEnd"/>
      <w:r w:rsidRPr="00F0775F">
        <w:rPr>
          <w:rFonts w:ascii="Verdana" w:hAnsi="Verdana"/>
          <w:sz w:val="20"/>
          <w:szCs w:val="20"/>
        </w:rPr>
        <w:t xml:space="preserve"> </w:t>
      </w:r>
      <w:proofErr w:type="spellStart"/>
      <w:r w:rsidRPr="00F0775F">
        <w:rPr>
          <w:rFonts w:ascii="Verdana" w:hAnsi="Verdana"/>
          <w:sz w:val="20"/>
          <w:szCs w:val="20"/>
        </w:rPr>
        <w:t>CAHPS</w:t>
      </w:r>
      <w:proofErr w:type="spellEnd"/>
      <w:r w:rsidRPr="00F0775F">
        <w:rPr>
          <w:rFonts w:ascii="Verdana" w:hAnsi="Verdana"/>
          <w:sz w:val="20"/>
          <w:szCs w:val="20"/>
        </w:rPr>
        <w:t xml:space="preserve"> questionnaire headings using the procedure described in the second paragraph under Analytic Methods.</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Kidney Doctor communication (i = 7)</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Staff Communication (i = 8)</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Privacy (i = 2)</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Complaints (i = 3)</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Staff Professionalism (i = 6)</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Patient Involvement (i = 6)</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Patient Education (i = 3)</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Patient Safety (i = 6)</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Patient Rights (i = 2)</w:t>
      </w:r>
    </w:p>
    <w:p w:rsidR="00D107EE" w:rsidRPr="00F0775F" w:rsidRDefault="00D107EE" w:rsidP="00F0775F">
      <w:pPr>
        <w:pStyle w:val="ListParagraph"/>
        <w:spacing w:after="160"/>
        <w:rPr>
          <w:rFonts w:ascii="Verdana" w:hAnsi="Verdana"/>
          <w:sz w:val="20"/>
          <w:szCs w:val="20"/>
        </w:rPr>
      </w:pPr>
      <w:r w:rsidRPr="00F0775F">
        <w:rPr>
          <w:rFonts w:ascii="Verdana" w:hAnsi="Verdana"/>
          <w:sz w:val="20"/>
          <w:szCs w:val="20"/>
        </w:rPr>
        <w:t xml:space="preserve">The nine composite structure was not supported. Seven of the nine composites contained items that correlated more highly with a competing scale than their own. Since the structure was not confirmed, we do not discuss measurement properties of these composites but they are summarized in Table 1. We also found that almost everyone responded that they had not made a complaint to item </w:t>
      </w:r>
      <w:proofErr w:type="spellStart"/>
      <w:r w:rsidRPr="00F0775F">
        <w:rPr>
          <w:rFonts w:ascii="Verdana" w:hAnsi="Verdana"/>
          <w:sz w:val="20"/>
          <w:szCs w:val="20"/>
        </w:rPr>
        <w:t>Q53</w:t>
      </w:r>
      <w:proofErr w:type="spellEnd"/>
      <w:r w:rsidRPr="00F0775F">
        <w:rPr>
          <w:rFonts w:ascii="Verdana" w:hAnsi="Verdana"/>
          <w:sz w:val="20"/>
          <w:szCs w:val="20"/>
        </w:rPr>
        <w:t xml:space="preserve"> “in the last 12 months, did you make a complaint to any …agencies?” Due to the lack of variability, this item was not included in subsequent analyses.</w:t>
      </w:r>
    </w:p>
    <w:p w:rsidR="00D107EE" w:rsidRPr="00F0775F" w:rsidRDefault="00D107EE" w:rsidP="00F0775F">
      <w:pPr>
        <w:pStyle w:val="ListParagraph"/>
        <w:spacing w:after="160"/>
        <w:rPr>
          <w:rFonts w:ascii="Verdana" w:hAnsi="Verdana"/>
          <w:sz w:val="20"/>
          <w:szCs w:val="20"/>
        </w:rPr>
      </w:pPr>
      <w:r w:rsidRPr="00F0775F">
        <w:rPr>
          <w:rFonts w:ascii="Verdana" w:hAnsi="Verdana"/>
          <w:b/>
          <w:sz w:val="20"/>
          <w:szCs w:val="20"/>
        </w:rPr>
        <w:t>Three composites.</w:t>
      </w:r>
      <w:r w:rsidRPr="00F0775F">
        <w:rPr>
          <w:rFonts w:ascii="Verdana" w:hAnsi="Verdana"/>
          <w:sz w:val="20"/>
          <w:szCs w:val="20"/>
        </w:rPr>
        <w:t xml:space="preserve"> (i = 40) We conducted exploratory factor analysis (</w:t>
      </w:r>
      <w:proofErr w:type="spellStart"/>
      <w:r w:rsidRPr="00F0775F">
        <w:rPr>
          <w:rFonts w:ascii="Verdana" w:hAnsi="Verdana"/>
          <w:sz w:val="20"/>
          <w:szCs w:val="20"/>
        </w:rPr>
        <w:t>EFA</w:t>
      </w:r>
      <w:proofErr w:type="spellEnd"/>
      <w:r w:rsidRPr="00F0775F">
        <w:rPr>
          <w:rFonts w:ascii="Verdana" w:hAnsi="Verdana"/>
          <w:sz w:val="20"/>
          <w:szCs w:val="20"/>
        </w:rPr>
        <w:t>) to identify an alternative to the failed 9 composite structure. The scree plot of the eigenvalues supported this three composite solution.</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Kidney Doctor Communication (i = 7)</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Dialysis Facility Care and Operations (i = 22)</w:t>
      </w:r>
    </w:p>
    <w:p w:rsidR="00D107EE" w:rsidRPr="00F0775F" w:rsidRDefault="00D107EE" w:rsidP="00F0775F">
      <w:pPr>
        <w:pStyle w:val="ListBullet3"/>
        <w:tabs>
          <w:tab w:val="clear" w:pos="1080"/>
        </w:tabs>
        <w:spacing w:after="120"/>
        <w:ind w:left="1440"/>
        <w:contextualSpacing w:val="0"/>
        <w:rPr>
          <w:rFonts w:ascii="Verdana" w:hAnsi="Verdana"/>
          <w:sz w:val="20"/>
          <w:szCs w:val="20"/>
        </w:rPr>
      </w:pPr>
      <w:r w:rsidRPr="00F0775F">
        <w:rPr>
          <w:rFonts w:ascii="Verdana" w:hAnsi="Verdana"/>
          <w:sz w:val="20"/>
          <w:szCs w:val="20"/>
        </w:rPr>
        <w:t>Patient Empowerment (i = 11)</w:t>
      </w:r>
    </w:p>
    <w:p w:rsidR="00D107EE" w:rsidRPr="00F0775F" w:rsidRDefault="00D107EE" w:rsidP="00F0775F">
      <w:pPr>
        <w:pStyle w:val="ListParagraph"/>
        <w:spacing w:after="160"/>
        <w:rPr>
          <w:rFonts w:ascii="Verdana" w:hAnsi="Verdana"/>
          <w:sz w:val="20"/>
          <w:szCs w:val="20"/>
        </w:rPr>
      </w:pPr>
      <w:r w:rsidRPr="00F0775F">
        <w:rPr>
          <w:rFonts w:ascii="Verdana" w:hAnsi="Verdana"/>
          <w:sz w:val="20"/>
          <w:szCs w:val="20"/>
        </w:rPr>
        <w:t xml:space="preserve">We then evaluated the measurement properties of the composite structure, which were found to be quite good. The item total correlations for Kidney Doctor Communication were all above 0.40. Nineteen of the 22 item-total correlations for Dialysis Facility Care and Operations were above 0.40. Six of the 11 item-total correlations for Patient Empowerment were above 0.40. Internal consistency </w:t>
      </w:r>
      <w:r w:rsidRPr="00F0775F">
        <w:rPr>
          <w:rFonts w:ascii="Verdana" w:hAnsi="Verdana"/>
          <w:sz w:val="20"/>
          <w:szCs w:val="20"/>
        </w:rPr>
        <w:lastRenderedPageBreak/>
        <w:t>reliabilities for the three scales ranged from 0.75 to 0.93. Thirty percent of respondents received the highest score on the Kidney Doctor Communication composite, but less than 10% were at the ceiling on the other two composites. Although the Kidney Doctor Communication composite will not be especially good at differentiating among the higher quality facilities, the other two composites will provide information on those facilities.</w:t>
      </w:r>
    </w:p>
    <w:p w:rsidR="0093026C" w:rsidRDefault="00D107EE" w:rsidP="00F0775F">
      <w:pPr>
        <w:pStyle w:val="ListParagraph"/>
        <w:spacing w:after="160"/>
        <w:rPr>
          <w:rFonts w:ascii="Verdana" w:hAnsi="Verdana"/>
          <w:sz w:val="20"/>
          <w:szCs w:val="20"/>
        </w:rPr>
      </w:pPr>
      <w:r w:rsidRPr="00F0775F">
        <w:rPr>
          <w:rFonts w:ascii="Verdana" w:hAnsi="Verdana"/>
          <w:b/>
          <w:sz w:val="20"/>
          <w:szCs w:val="20"/>
        </w:rPr>
        <w:t xml:space="preserve">Summary. </w:t>
      </w:r>
      <w:r w:rsidRPr="00F0775F">
        <w:rPr>
          <w:rFonts w:ascii="Verdana" w:hAnsi="Verdana"/>
          <w:sz w:val="20"/>
          <w:szCs w:val="20"/>
        </w:rPr>
        <w:t xml:space="preserve">In Table 1 we summarize the results above and in Table 2, we present detailed results at the item and composite level of the psychometric analyses related to the three-composite structure identified by </w:t>
      </w:r>
      <w:proofErr w:type="spellStart"/>
      <w:r w:rsidRPr="00F0775F">
        <w:rPr>
          <w:rFonts w:ascii="Verdana" w:hAnsi="Verdana"/>
          <w:sz w:val="20"/>
          <w:szCs w:val="20"/>
        </w:rPr>
        <w:t>EFA</w:t>
      </w:r>
      <w:proofErr w:type="spellEnd"/>
      <w:r w:rsidRPr="00F0775F">
        <w:rPr>
          <w:rFonts w:ascii="Verdana" w:hAnsi="Verdana"/>
          <w:sz w:val="20"/>
          <w:szCs w:val="20"/>
        </w:rPr>
        <w:t>.</w:t>
      </w:r>
    </w:p>
    <w:p w:rsidR="00F0775F" w:rsidRPr="00D42CFA" w:rsidRDefault="00F0775F" w:rsidP="00F0775F">
      <w:pPr>
        <w:pStyle w:val="TableTitlecont"/>
      </w:pPr>
      <w:r w:rsidRPr="00D42CFA">
        <w:t>Table 1.</w:t>
      </w:r>
      <w:r w:rsidRPr="00D42CFA">
        <w:tab/>
        <w:t>Psychometric Evaluation of Alternative Composite Structures</w:t>
      </w:r>
    </w:p>
    <w:tbl>
      <w:tblPr>
        <w:tblStyle w:val="TableGrid"/>
        <w:tblW w:w="9360" w:type="dxa"/>
        <w:tblInd w:w="86" w:type="dxa"/>
        <w:tblLayout w:type="fixed"/>
        <w:tblCellMar>
          <w:left w:w="115" w:type="dxa"/>
          <w:right w:w="115" w:type="dxa"/>
        </w:tblCellMar>
        <w:tblLook w:val="04A0" w:firstRow="1" w:lastRow="0" w:firstColumn="1" w:lastColumn="0" w:noHBand="0" w:noVBand="1"/>
      </w:tblPr>
      <w:tblGrid>
        <w:gridCol w:w="3899"/>
        <w:gridCol w:w="1092"/>
        <w:gridCol w:w="1092"/>
        <w:gridCol w:w="1092"/>
        <w:gridCol w:w="1092"/>
        <w:gridCol w:w="1093"/>
      </w:tblGrid>
      <w:tr w:rsidR="00D107EE" w:rsidRPr="00F0775F" w:rsidTr="00D107EE">
        <w:trPr>
          <w:cantSplit/>
          <w:tblHeader/>
        </w:trPr>
        <w:tc>
          <w:tcPr>
            <w:tcW w:w="3899" w:type="dxa"/>
            <w:vMerge w:val="restart"/>
            <w:vAlign w:val="bottom"/>
          </w:tcPr>
          <w:p w:rsidR="00D107EE" w:rsidRPr="00F0775F" w:rsidRDefault="00D107EE" w:rsidP="00D107EE">
            <w:pPr>
              <w:pStyle w:val="TableHeaders"/>
              <w:spacing w:before="50" w:after="50"/>
              <w:rPr>
                <w:rFonts w:ascii="Verdana" w:hAnsi="Verdana"/>
                <w:sz w:val="18"/>
                <w:szCs w:val="18"/>
              </w:rPr>
            </w:pPr>
            <w:r w:rsidRPr="00F0775F">
              <w:rPr>
                <w:rFonts w:ascii="Verdana" w:hAnsi="Verdana"/>
                <w:sz w:val="18"/>
                <w:szCs w:val="18"/>
              </w:rPr>
              <w:t>Psychometric Criteria</w:t>
            </w:r>
          </w:p>
        </w:tc>
        <w:tc>
          <w:tcPr>
            <w:tcW w:w="5461" w:type="dxa"/>
            <w:gridSpan w:val="5"/>
            <w:vAlign w:val="bottom"/>
          </w:tcPr>
          <w:p w:rsidR="00D107EE" w:rsidRPr="00F0775F" w:rsidRDefault="00D107EE" w:rsidP="00D107EE">
            <w:pPr>
              <w:pStyle w:val="TableHeaders"/>
              <w:spacing w:before="50" w:after="50"/>
              <w:rPr>
                <w:rFonts w:ascii="Verdana" w:hAnsi="Verdana"/>
                <w:sz w:val="18"/>
                <w:szCs w:val="18"/>
              </w:rPr>
            </w:pPr>
            <w:r w:rsidRPr="00F0775F">
              <w:rPr>
                <w:rFonts w:ascii="Verdana" w:hAnsi="Verdana"/>
                <w:sz w:val="18"/>
                <w:szCs w:val="18"/>
              </w:rPr>
              <w:t>Number of Composites</w:t>
            </w:r>
          </w:p>
        </w:tc>
      </w:tr>
      <w:tr w:rsidR="00D107EE" w:rsidRPr="00F0775F" w:rsidTr="00D107EE">
        <w:trPr>
          <w:cantSplit/>
          <w:tblHeader/>
        </w:trPr>
        <w:tc>
          <w:tcPr>
            <w:tcW w:w="3899" w:type="dxa"/>
            <w:vMerge/>
            <w:vAlign w:val="bottom"/>
          </w:tcPr>
          <w:p w:rsidR="00D107EE" w:rsidRPr="00F0775F" w:rsidRDefault="00D107EE" w:rsidP="00D107EE">
            <w:pPr>
              <w:pStyle w:val="TableHeaders"/>
              <w:spacing w:before="50" w:after="50"/>
              <w:rPr>
                <w:rFonts w:ascii="Verdana" w:hAnsi="Verdana"/>
                <w:sz w:val="18"/>
                <w:szCs w:val="18"/>
              </w:rPr>
            </w:pPr>
          </w:p>
        </w:tc>
        <w:tc>
          <w:tcPr>
            <w:tcW w:w="1092" w:type="dxa"/>
            <w:vAlign w:val="bottom"/>
          </w:tcPr>
          <w:p w:rsidR="00D107EE" w:rsidRPr="00F0775F" w:rsidRDefault="00D107EE" w:rsidP="00D107EE">
            <w:pPr>
              <w:pStyle w:val="TableHeaders"/>
              <w:spacing w:before="50" w:after="50"/>
              <w:rPr>
                <w:rFonts w:ascii="Verdana" w:hAnsi="Verdana"/>
                <w:sz w:val="18"/>
                <w:szCs w:val="18"/>
              </w:rPr>
            </w:pPr>
            <w:r w:rsidRPr="00F0775F">
              <w:rPr>
                <w:rFonts w:ascii="Verdana" w:hAnsi="Verdana"/>
                <w:sz w:val="18"/>
                <w:szCs w:val="18"/>
              </w:rPr>
              <w:t>9</w:t>
            </w:r>
          </w:p>
        </w:tc>
        <w:tc>
          <w:tcPr>
            <w:tcW w:w="1092" w:type="dxa"/>
            <w:vAlign w:val="bottom"/>
          </w:tcPr>
          <w:p w:rsidR="00D107EE" w:rsidRPr="00F0775F" w:rsidRDefault="00D107EE" w:rsidP="00D107EE">
            <w:pPr>
              <w:pStyle w:val="TableHeaders"/>
              <w:spacing w:before="50" w:after="50"/>
              <w:rPr>
                <w:rFonts w:ascii="Verdana" w:hAnsi="Verdana"/>
                <w:sz w:val="18"/>
                <w:szCs w:val="18"/>
              </w:rPr>
            </w:pPr>
            <w:r w:rsidRPr="00F0775F">
              <w:rPr>
                <w:rFonts w:ascii="Verdana" w:hAnsi="Verdana"/>
                <w:sz w:val="18"/>
                <w:szCs w:val="18"/>
              </w:rPr>
              <w:t>6</w:t>
            </w:r>
          </w:p>
        </w:tc>
        <w:tc>
          <w:tcPr>
            <w:tcW w:w="1092" w:type="dxa"/>
            <w:vAlign w:val="bottom"/>
          </w:tcPr>
          <w:p w:rsidR="00D107EE" w:rsidRPr="00F0775F" w:rsidRDefault="00D107EE" w:rsidP="00D107EE">
            <w:pPr>
              <w:pStyle w:val="TableHeaders"/>
              <w:spacing w:before="50" w:after="50"/>
              <w:rPr>
                <w:rFonts w:ascii="Verdana" w:hAnsi="Verdana"/>
                <w:sz w:val="18"/>
                <w:szCs w:val="18"/>
              </w:rPr>
            </w:pPr>
            <w:r w:rsidRPr="00F0775F">
              <w:rPr>
                <w:rFonts w:ascii="Verdana" w:hAnsi="Verdana"/>
                <w:sz w:val="18"/>
                <w:szCs w:val="18"/>
              </w:rPr>
              <w:t>5</w:t>
            </w:r>
          </w:p>
        </w:tc>
        <w:tc>
          <w:tcPr>
            <w:tcW w:w="1092" w:type="dxa"/>
            <w:vAlign w:val="bottom"/>
          </w:tcPr>
          <w:p w:rsidR="00D107EE" w:rsidRPr="00F0775F" w:rsidRDefault="00D107EE" w:rsidP="00D107EE">
            <w:pPr>
              <w:pStyle w:val="TableHeaders"/>
              <w:spacing w:before="50" w:after="50"/>
              <w:rPr>
                <w:rFonts w:ascii="Verdana" w:hAnsi="Verdana"/>
                <w:sz w:val="18"/>
                <w:szCs w:val="18"/>
              </w:rPr>
            </w:pPr>
            <w:r w:rsidRPr="00F0775F">
              <w:rPr>
                <w:rFonts w:ascii="Verdana" w:hAnsi="Verdana"/>
                <w:sz w:val="18"/>
                <w:szCs w:val="18"/>
              </w:rPr>
              <w:t>4</w:t>
            </w:r>
          </w:p>
        </w:tc>
        <w:tc>
          <w:tcPr>
            <w:tcW w:w="1093" w:type="dxa"/>
            <w:vAlign w:val="bottom"/>
          </w:tcPr>
          <w:p w:rsidR="00D107EE" w:rsidRPr="00F0775F" w:rsidRDefault="00D107EE" w:rsidP="00D107EE">
            <w:pPr>
              <w:pStyle w:val="TableHeaders"/>
              <w:spacing w:before="50" w:after="50"/>
              <w:rPr>
                <w:rFonts w:ascii="Verdana" w:hAnsi="Verdana"/>
                <w:sz w:val="18"/>
                <w:szCs w:val="18"/>
              </w:rPr>
            </w:pPr>
            <w:r w:rsidRPr="00F0775F">
              <w:rPr>
                <w:rFonts w:ascii="Verdana" w:hAnsi="Verdana"/>
                <w:sz w:val="18"/>
                <w:szCs w:val="18"/>
              </w:rPr>
              <w:t>3</w:t>
            </w:r>
          </w:p>
        </w:tc>
      </w:tr>
      <w:tr w:rsidR="00D107EE" w:rsidRPr="00F0775F" w:rsidTr="00D107EE">
        <w:trPr>
          <w:cantSplit/>
        </w:trPr>
        <w:tc>
          <w:tcPr>
            <w:tcW w:w="3899" w:type="dxa"/>
          </w:tcPr>
          <w:p w:rsidR="00D107EE" w:rsidRPr="00F0775F" w:rsidRDefault="00D107EE" w:rsidP="00D107EE">
            <w:pPr>
              <w:pStyle w:val="TableText"/>
              <w:spacing w:before="50" w:after="50"/>
              <w:rPr>
                <w:rFonts w:ascii="Verdana" w:hAnsi="Verdana"/>
                <w:sz w:val="18"/>
                <w:szCs w:val="18"/>
              </w:rPr>
            </w:pPr>
            <w:r w:rsidRPr="00F0775F">
              <w:rPr>
                <w:rFonts w:ascii="Verdana" w:hAnsi="Verdana"/>
                <w:sz w:val="18"/>
                <w:szCs w:val="18"/>
              </w:rPr>
              <w:t>Composite Structure Confirmed?</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N</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N</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N</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Y</w:t>
            </w:r>
          </w:p>
        </w:tc>
        <w:tc>
          <w:tcPr>
            <w:tcW w:w="1093"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Y</w:t>
            </w:r>
          </w:p>
        </w:tc>
      </w:tr>
      <w:tr w:rsidR="00D107EE" w:rsidRPr="00F0775F" w:rsidTr="00D107EE">
        <w:trPr>
          <w:cantSplit/>
        </w:trPr>
        <w:tc>
          <w:tcPr>
            <w:tcW w:w="3899" w:type="dxa"/>
          </w:tcPr>
          <w:p w:rsidR="00D107EE" w:rsidRPr="00F0775F" w:rsidRDefault="00D107EE" w:rsidP="00D107EE">
            <w:pPr>
              <w:pStyle w:val="TableText"/>
              <w:spacing w:before="50" w:after="50"/>
              <w:rPr>
                <w:rFonts w:ascii="Verdana" w:hAnsi="Verdana"/>
                <w:sz w:val="18"/>
                <w:szCs w:val="18"/>
              </w:rPr>
            </w:pPr>
            <w:r w:rsidRPr="00F0775F">
              <w:rPr>
                <w:rFonts w:ascii="Verdana" w:hAnsi="Verdana"/>
                <w:sz w:val="18"/>
                <w:szCs w:val="18"/>
              </w:rPr>
              <w:t>Range of Possible Composite Scores(α)</w:t>
            </w:r>
            <w:r w:rsidRPr="00F0775F">
              <w:rPr>
                <w:rFonts w:ascii="Verdana" w:hAnsi="Verdana"/>
                <w:sz w:val="18"/>
                <w:szCs w:val="18"/>
                <w:vertAlign w:val="superscript"/>
              </w:rPr>
              <w:t>1</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0%</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33%</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40%</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25%</w:t>
            </w:r>
          </w:p>
        </w:tc>
        <w:tc>
          <w:tcPr>
            <w:tcW w:w="1093"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66%</w:t>
            </w:r>
          </w:p>
        </w:tc>
      </w:tr>
      <w:tr w:rsidR="00D107EE" w:rsidRPr="00F0775F" w:rsidTr="00D107EE">
        <w:trPr>
          <w:cantSplit/>
        </w:trPr>
        <w:tc>
          <w:tcPr>
            <w:tcW w:w="3899" w:type="dxa"/>
          </w:tcPr>
          <w:p w:rsidR="00D107EE" w:rsidRPr="00F0775F" w:rsidRDefault="00D107EE" w:rsidP="00D107EE">
            <w:pPr>
              <w:pStyle w:val="TableText"/>
              <w:spacing w:before="50" w:after="50"/>
              <w:rPr>
                <w:rFonts w:ascii="Verdana" w:hAnsi="Verdana"/>
                <w:sz w:val="18"/>
                <w:szCs w:val="18"/>
              </w:rPr>
            </w:pPr>
            <w:r w:rsidRPr="00F0775F">
              <w:rPr>
                <w:rFonts w:ascii="Verdana" w:hAnsi="Verdana"/>
                <w:sz w:val="18"/>
                <w:szCs w:val="18"/>
              </w:rPr>
              <w:t xml:space="preserve">Internal Consistency of </w:t>
            </w:r>
            <w:proofErr w:type="spellStart"/>
            <w:r w:rsidRPr="00F0775F">
              <w:rPr>
                <w:rFonts w:ascii="Verdana" w:hAnsi="Verdana"/>
                <w:sz w:val="18"/>
                <w:szCs w:val="18"/>
              </w:rPr>
              <w:t>Composite</w:t>
            </w:r>
            <w:r w:rsidRPr="00F0775F">
              <w:rPr>
                <w:rFonts w:ascii="Verdana" w:hAnsi="Verdana"/>
                <w:sz w:val="18"/>
                <w:szCs w:val="18"/>
                <w:vertAlign w:val="superscript"/>
              </w:rPr>
              <w:t>2</w:t>
            </w:r>
            <w:proofErr w:type="spellEnd"/>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44%</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83%</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80%</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75%</w:t>
            </w:r>
          </w:p>
        </w:tc>
        <w:tc>
          <w:tcPr>
            <w:tcW w:w="1093"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100%</w:t>
            </w:r>
          </w:p>
        </w:tc>
      </w:tr>
      <w:tr w:rsidR="00D107EE" w:rsidRPr="00F0775F" w:rsidTr="00D107EE">
        <w:trPr>
          <w:cantSplit/>
        </w:trPr>
        <w:tc>
          <w:tcPr>
            <w:tcW w:w="3899" w:type="dxa"/>
          </w:tcPr>
          <w:p w:rsidR="00D107EE" w:rsidRPr="00F0775F" w:rsidRDefault="00D107EE" w:rsidP="00D107EE">
            <w:pPr>
              <w:pStyle w:val="TableText"/>
              <w:spacing w:before="50" w:after="50"/>
              <w:rPr>
                <w:rFonts w:ascii="Verdana" w:hAnsi="Verdana"/>
                <w:sz w:val="18"/>
                <w:szCs w:val="18"/>
              </w:rPr>
            </w:pPr>
            <w:r w:rsidRPr="00F0775F">
              <w:rPr>
                <w:rFonts w:ascii="Verdana" w:hAnsi="Verdana"/>
                <w:sz w:val="18"/>
                <w:szCs w:val="18"/>
              </w:rPr>
              <w:t xml:space="preserve">Composite Score </w:t>
            </w:r>
            <w:proofErr w:type="spellStart"/>
            <w:r w:rsidRPr="00F0775F">
              <w:rPr>
                <w:rFonts w:ascii="Verdana" w:hAnsi="Verdana"/>
                <w:sz w:val="18"/>
                <w:szCs w:val="18"/>
              </w:rPr>
              <w:t>Reliability</w:t>
            </w:r>
            <w:r w:rsidRPr="00F0775F">
              <w:rPr>
                <w:rFonts w:ascii="Verdana" w:hAnsi="Verdana"/>
                <w:sz w:val="18"/>
                <w:szCs w:val="18"/>
                <w:vertAlign w:val="superscript"/>
              </w:rPr>
              <w:t>3</w:t>
            </w:r>
            <w:proofErr w:type="spellEnd"/>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100%</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100%</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100%</w:t>
            </w:r>
          </w:p>
        </w:tc>
        <w:tc>
          <w:tcPr>
            <w:tcW w:w="1092"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100%</w:t>
            </w:r>
          </w:p>
        </w:tc>
        <w:tc>
          <w:tcPr>
            <w:tcW w:w="1093" w:type="dxa"/>
          </w:tcPr>
          <w:p w:rsidR="00D107EE" w:rsidRPr="00F0775F" w:rsidRDefault="00D107EE" w:rsidP="00D107EE">
            <w:pPr>
              <w:pStyle w:val="TableText"/>
              <w:spacing w:before="50" w:after="50"/>
              <w:jc w:val="center"/>
              <w:rPr>
                <w:rFonts w:ascii="Verdana" w:hAnsi="Verdana"/>
                <w:sz w:val="18"/>
                <w:szCs w:val="18"/>
              </w:rPr>
            </w:pPr>
            <w:r w:rsidRPr="00F0775F">
              <w:rPr>
                <w:rFonts w:ascii="Verdana" w:hAnsi="Verdana"/>
                <w:sz w:val="18"/>
                <w:szCs w:val="18"/>
              </w:rPr>
              <w:t>100%</w:t>
            </w:r>
          </w:p>
        </w:tc>
      </w:tr>
    </w:tbl>
    <w:p w:rsidR="00D107EE" w:rsidRPr="00D42CFA" w:rsidRDefault="00D107EE" w:rsidP="00D107EE">
      <w:pPr>
        <w:pStyle w:val="Source1"/>
        <w:spacing w:after="0"/>
      </w:pPr>
      <w:r w:rsidRPr="00D42CFA">
        <w:t xml:space="preserve">Table Key: “Y” is better than “N”. For </w:t>
      </w:r>
      <w:proofErr w:type="spellStart"/>
      <w:r w:rsidRPr="00D42CFA">
        <w:t>percents</w:t>
      </w:r>
      <w:proofErr w:type="spellEnd"/>
      <w:r w:rsidRPr="00D42CFA">
        <w:t>, higher is better than lower.</w:t>
      </w:r>
    </w:p>
    <w:p w:rsidR="00D107EE" w:rsidRPr="00D42CFA" w:rsidRDefault="00D107EE" w:rsidP="00D107EE">
      <w:pPr>
        <w:pStyle w:val="Source1"/>
        <w:spacing w:before="60" w:after="0"/>
      </w:pPr>
      <w:proofErr w:type="spellStart"/>
      <w:r w:rsidRPr="00D42CFA">
        <w:rPr>
          <w:vertAlign w:val="superscript"/>
        </w:rPr>
        <w:t>1</w:t>
      </w:r>
      <w:r w:rsidRPr="00D42CFA">
        <w:t>Percentage</w:t>
      </w:r>
      <w:proofErr w:type="spellEnd"/>
      <w:r w:rsidRPr="00D42CFA">
        <w:t xml:space="preserve"> of scales with &lt;10% of respondents at the ceiling.</w:t>
      </w:r>
    </w:p>
    <w:p w:rsidR="00D107EE" w:rsidRPr="00D42CFA" w:rsidRDefault="00D107EE" w:rsidP="00D107EE">
      <w:pPr>
        <w:pStyle w:val="Source1"/>
        <w:spacing w:before="60" w:after="0"/>
      </w:pPr>
      <w:proofErr w:type="spellStart"/>
      <w:r w:rsidRPr="00D42CFA">
        <w:rPr>
          <w:vertAlign w:val="superscript"/>
        </w:rPr>
        <w:t>2</w:t>
      </w:r>
      <w:r w:rsidRPr="00D42CFA">
        <w:t>Percentage</w:t>
      </w:r>
      <w:proofErr w:type="spellEnd"/>
      <w:r w:rsidRPr="00D42CFA">
        <w:t xml:space="preserve"> of scales with internal consistency reliabilities &gt;0.70</w:t>
      </w:r>
    </w:p>
    <w:p w:rsidR="00D107EE" w:rsidRPr="00D42CFA" w:rsidRDefault="00D107EE" w:rsidP="00D107EE">
      <w:pPr>
        <w:pStyle w:val="Source1"/>
      </w:pPr>
      <w:proofErr w:type="spellStart"/>
      <w:r w:rsidRPr="00D42CFA">
        <w:rPr>
          <w:vertAlign w:val="superscript"/>
        </w:rPr>
        <w:t>3</w:t>
      </w:r>
      <w:r w:rsidRPr="00D42CFA">
        <w:t>Percentage</w:t>
      </w:r>
      <w:proofErr w:type="spellEnd"/>
      <w:r w:rsidRPr="00D42CFA">
        <w:t xml:space="preserve"> of scales with </w:t>
      </w:r>
      <w:proofErr w:type="spellStart"/>
      <w:r w:rsidRPr="00D42CFA">
        <w:t>ICH</w:t>
      </w:r>
      <w:proofErr w:type="spellEnd"/>
      <w:r w:rsidRPr="00D42CFA">
        <w:t>-reliability &gt;0.50</w:t>
      </w:r>
    </w:p>
    <w:p w:rsidR="00D107EE" w:rsidRPr="00F0775F" w:rsidRDefault="00D107EE" w:rsidP="00D107EE">
      <w:pPr>
        <w:pStyle w:val="ListContinue"/>
        <w:rPr>
          <w:rFonts w:ascii="Verdana" w:hAnsi="Verdana"/>
          <w:sz w:val="20"/>
          <w:szCs w:val="20"/>
        </w:rPr>
      </w:pPr>
      <w:r w:rsidRPr="00F0775F">
        <w:rPr>
          <w:rFonts w:ascii="Verdana" w:hAnsi="Verdana"/>
          <w:sz w:val="20"/>
          <w:szCs w:val="20"/>
        </w:rPr>
        <w:t>Table 1 demonstrates that the 3-composite structure had the best measurement properties overall. Table 2 provides more detail on that structure.</w:t>
      </w:r>
    </w:p>
    <w:p w:rsidR="00D107EE" w:rsidRPr="00D42CFA" w:rsidRDefault="00D107EE" w:rsidP="00F0775F">
      <w:pPr>
        <w:pStyle w:val="TableTitlecont"/>
      </w:pPr>
      <w:r w:rsidRPr="00D42CFA">
        <w:t xml:space="preserve">Table </w:t>
      </w:r>
      <w:proofErr w:type="spellStart"/>
      <w:r w:rsidRPr="00D42CFA">
        <w:t>2a</w:t>
      </w:r>
      <w:proofErr w:type="spellEnd"/>
      <w:r w:rsidRPr="00D42CFA">
        <w:t>.</w:t>
      </w:r>
      <w:r w:rsidRPr="00D42CFA">
        <w:tab/>
      </w:r>
      <w:proofErr w:type="spellStart"/>
      <w:r w:rsidRPr="00D42CFA">
        <w:t>ICH</w:t>
      </w:r>
      <w:proofErr w:type="spellEnd"/>
      <w:r w:rsidRPr="00D42CFA">
        <w:t xml:space="preserve"> </w:t>
      </w:r>
      <w:proofErr w:type="spellStart"/>
      <w:r w:rsidRPr="00D42CFA">
        <w:t>CAHPS</w:t>
      </w:r>
      <w:proofErr w:type="spellEnd"/>
      <w:r w:rsidRPr="00D42CFA">
        <w:t>—Field Test Data: 3-Composite Structure—Kidney Doctor</w:t>
      </w:r>
    </w:p>
    <w:tbl>
      <w:tblPr>
        <w:tblStyle w:val="TableGrid"/>
        <w:tblW w:w="9360" w:type="dxa"/>
        <w:tblInd w:w="86" w:type="dxa"/>
        <w:tblLayout w:type="fixed"/>
        <w:tblLook w:val="04A0" w:firstRow="1" w:lastRow="0" w:firstColumn="1" w:lastColumn="0" w:noHBand="0" w:noVBand="1"/>
      </w:tblPr>
      <w:tblGrid>
        <w:gridCol w:w="1079"/>
        <w:gridCol w:w="3893"/>
        <w:gridCol w:w="1462"/>
        <w:gridCol w:w="1463"/>
        <w:gridCol w:w="1463"/>
      </w:tblGrid>
      <w:tr w:rsidR="00D107EE" w:rsidRPr="00F0775F" w:rsidTr="00D107EE">
        <w:trPr>
          <w:cantSplit/>
          <w:tblHeader/>
        </w:trPr>
        <w:tc>
          <w:tcPr>
            <w:tcW w:w="1079" w:type="dxa"/>
            <w:vAlign w:val="bottom"/>
          </w:tcPr>
          <w:p w:rsidR="00D107EE" w:rsidRPr="00F0775F" w:rsidRDefault="00D107EE" w:rsidP="00F0775F">
            <w:pPr>
              <w:pStyle w:val="TableHeaders"/>
              <w:spacing w:before="50" w:after="50"/>
              <w:rPr>
                <w:rFonts w:ascii="Verdana" w:hAnsi="Verdana"/>
                <w:sz w:val="18"/>
                <w:szCs w:val="18"/>
              </w:rPr>
            </w:pPr>
            <w:r w:rsidRPr="00F0775F">
              <w:rPr>
                <w:rFonts w:ascii="Verdana" w:hAnsi="Verdana"/>
                <w:sz w:val="18"/>
                <w:szCs w:val="18"/>
              </w:rPr>
              <w:t>Q#</w:t>
            </w:r>
          </w:p>
        </w:tc>
        <w:tc>
          <w:tcPr>
            <w:tcW w:w="3893" w:type="dxa"/>
            <w:vAlign w:val="bottom"/>
          </w:tcPr>
          <w:p w:rsidR="00D107EE" w:rsidRPr="00F0775F" w:rsidRDefault="00D107EE" w:rsidP="00F0775F">
            <w:pPr>
              <w:pStyle w:val="TableHeaders"/>
              <w:spacing w:before="50" w:after="50"/>
              <w:rPr>
                <w:rFonts w:ascii="Verdana" w:hAnsi="Verdana"/>
                <w:sz w:val="18"/>
                <w:szCs w:val="18"/>
              </w:rPr>
            </w:pPr>
            <w:r w:rsidRPr="00F0775F">
              <w:rPr>
                <w:rFonts w:ascii="Verdana" w:hAnsi="Verdana"/>
                <w:sz w:val="18"/>
                <w:szCs w:val="18"/>
              </w:rPr>
              <w:t>Kidney Doctor</w:t>
            </w:r>
          </w:p>
        </w:tc>
        <w:tc>
          <w:tcPr>
            <w:tcW w:w="1462" w:type="dxa"/>
            <w:vAlign w:val="bottom"/>
          </w:tcPr>
          <w:p w:rsidR="00D107EE" w:rsidRPr="00F0775F" w:rsidRDefault="00D107EE" w:rsidP="00F0775F">
            <w:pPr>
              <w:pStyle w:val="TableHeaders"/>
              <w:spacing w:before="50" w:after="50"/>
              <w:rPr>
                <w:rFonts w:ascii="Verdana" w:hAnsi="Verdana"/>
                <w:sz w:val="18"/>
                <w:szCs w:val="18"/>
              </w:rPr>
            </w:pPr>
            <w:proofErr w:type="spellStart"/>
            <w:r w:rsidRPr="00F0775F">
              <w:rPr>
                <w:rFonts w:ascii="Verdana" w:hAnsi="Verdana"/>
                <w:sz w:val="18"/>
                <w:szCs w:val="18"/>
              </w:rPr>
              <w:t>ICHr</w:t>
            </w:r>
            <w:proofErr w:type="spellEnd"/>
            <w:r w:rsidRPr="00F0775F">
              <w:rPr>
                <w:rFonts w:ascii="Verdana" w:hAnsi="Verdana"/>
                <w:sz w:val="18"/>
                <w:szCs w:val="18"/>
              </w:rPr>
              <w:t xml:space="preserve"> −0.64</w:t>
            </w:r>
          </w:p>
        </w:tc>
        <w:tc>
          <w:tcPr>
            <w:tcW w:w="1463" w:type="dxa"/>
            <w:vAlign w:val="bottom"/>
          </w:tcPr>
          <w:p w:rsidR="00D107EE" w:rsidRPr="00F0775F" w:rsidRDefault="00D107EE" w:rsidP="00F0775F">
            <w:pPr>
              <w:pStyle w:val="TableHeaders"/>
              <w:spacing w:before="50" w:after="50"/>
              <w:rPr>
                <w:rFonts w:ascii="Verdana" w:hAnsi="Verdana"/>
                <w:sz w:val="18"/>
                <w:szCs w:val="18"/>
              </w:rPr>
            </w:pPr>
            <w:r w:rsidRPr="00F0775F">
              <w:rPr>
                <w:rFonts w:ascii="Verdana" w:hAnsi="Verdana"/>
                <w:sz w:val="18"/>
                <w:szCs w:val="18"/>
              </w:rPr>
              <w:t>%@Ceiling = 30.1</w:t>
            </w:r>
          </w:p>
        </w:tc>
        <w:tc>
          <w:tcPr>
            <w:tcW w:w="1463" w:type="dxa"/>
            <w:vAlign w:val="bottom"/>
          </w:tcPr>
          <w:p w:rsidR="00D107EE" w:rsidRPr="00F0775F" w:rsidRDefault="00D107EE" w:rsidP="00F0775F">
            <w:pPr>
              <w:pStyle w:val="TableHeaders"/>
              <w:spacing w:before="50" w:after="50"/>
              <w:rPr>
                <w:rFonts w:ascii="Verdana" w:hAnsi="Verdana"/>
                <w:sz w:val="18"/>
                <w:szCs w:val="18"/>
              </w:rPr>
            </w:pPr>
            <w:r w:rsidRPr="00F0775F">
              <w:rPr>
                <w:rFonts w:ascii="Verdana" w:hAnsi="Verdana"/>
                <w:sz w:val="18"/>
                <w:szCs w:val="18"/>
              </w:rPr>
              <w:t>Alpha = 0.89</w:t>
            </w:r>
          </w:p>
        </w:tc>
      </w:tr>
      <w:tr w:rsidR="00D107EE" w:rsidRPr="00F0775F" w:rsidTr="00D107EE">
        <w:trPr>
          <w:cantSplit/>
        </w:trPr>
        <w:tc>
          <w:tcPr>
            <w:tcW w:w="1079" w:type="dxa"/>
          </w:tcPr>
          <w:p w:rsidR="00D107EE" w:rsidRPr="00F0775F" w:rsidRDefault="00D107EE" w:rsidP="00F0775F">
            <w:pPr>
              <w:pStyle w:val="TableText"/>
              <w:keepNext/>
              <w:spacing w:before="50" w:after="50"/>
              <w:jc w:val="center"/>
              <w:rPr>
                <w:rFonts w:ascii="Verdana" w:hAnsi="Verdana"/>
                <w:sz w:val="18"/>
                <w:szCs w:val="18"/>
              </w:rPr>
            </w:pPr>
            <w:proofErr w:type="spellStart"/>
            <w:r w:rsidRPr="00F0775F">
              <w:rPr>
                <w:rFonts w:ascii="Verdana" w:hAnsi="Verdana"/>
                <w:sz w:val="18"/>
                <w:szCs w:val="18"/>
              </w:rPr>
              <w:t>Q3</w:t>
            </w:r>
            <w:proofErr w:type="spellEnd"/>
          </w:p>
        </w:tc>
        <w:tc>
          <w:tcPr>
            <w:tcW w:w="3893" w:type="dxa"/>
          </w:tcPr>
          <w:p w:rsidR="00D107EE" w:rsidRPr="00F0775F" w:rsidRDefault="00D107EE" w:rsidP="00F0775F">
            <w:pPr>
              <w:pStyle w:val="TableText"/>
              <w:keepNext/>
              <w:spacing w:before="50" w:after="50"/>
              <w:rPr>
                <w:rFonts w:ascii="Verdana" w:hAnsi="Verdana"/>
                <w:sz w:val="18"/>
                <w:szCs w:val="18"/>
              </w:rPr>
            </w:pPr>
            <w:r w:rsidRPr="00F0775F">
              <w:rPr>
                <w:rFonts w:ascii="Verdana" w:hAnsi="Verdana"/>
                <w:sz w:val="18"/>
                <w:szCs w:val="18"/>
              </w:rPr>
              <w:t>Dr. Listen</w:t>
            </w:r>
          </w:p>
        </w:tc>
        <w:tc>
          <w:tcPr>
            <w:tcW w:w="1462"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0.68</w:t>
            </w:r>
          </w:p>
        </w:tc>
        <w:tc>
          <w:tcPr>
            <w:tcW w:w="1463" w:type="dxa"/>
          </w:tcPr>
          <w:p w:rsidR="00D107EE" w:rsidRPr="00F0775F" w:rsidRDefault="00D107EE" w:rsidP="00F0775F">
            <w:pPr>
              <w:pStyle w:val="TableText"/>
              <w:keepNext/>
              <w:spacing w:before="50" w:after="50"/>
              <w:jc w:val="center"/>
              <w:rPr>
                <w:rFonts w:ascii="Verdana" w:hAnsi="Verdana"/>
                <w:sz w:val="18"/>
                <w:szCs w:val="18"/>
              </w:rPr>
            </w:pPr>
          </w:p>
        </w:tc>
        <w:tc>
          <w:tcPr>
            <w:tcW w:w="1463"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0.78</w:t>
            </w:r>
          </w:p>
        </w:tc>
      </w:tr>
      <w:tr w:rsidR="00D107EE" w:rsidRPr="00F0775F" w:rsidTr="00D107EE">
        <w:trPr>
          <w:cantSplit/>
        </w:trPr>
        <w:tc>
          <w:tcPr>
            <w:tcW w:w="1079" w:type="dxa"/>
          </w:tcPr>
          <w:p w:rsidR="00D107EE" w:rsidRPr="00F0775F" w:rsidRDefault="00D107EE" w:rsidP="00F0775F">
            <w:pPr>
              <w:pStyle w:val="TableText"/>
              <w:keepNext/>
              <w:spacing w:before="50" w:after="50"/>
              <w:jc w:val="center"/>
              <w:rPr>
                <w:rFonts w:ascii="Verdana" w:hAnsi="Verdana"/>
                <w:sz w:val="18"/>
                <w:szCs w:val="18"/>
              </w:rPr>
            </w:pPr>
            <w:proofErr w:type="spellStart"/>
            <w:r w:rsidRPr="00F0775F">
              <w:rPr>
                <w:rFonts w:ascii="Verdana" w:hAnsi="Verdana"/>
                <w:sz w:val="18"/>
                <w:szCs w:val="18"/>
              </w:rPr>
              <w:t>Q4</w:t>
            </w:r>
            <w:proofErr w:type="spellEnd"/>
          </w:p>
        </w:tc>
        <w:tc>
          <w:tcPr>
            <w:tcW w:w="3893" w:type="dxa"/>
          </w:tcPr>
          <w:p w:rsidR="00D107EE" w:rsidRPr="00F0775F" w:rsidRDefault="00D107EE" w:rsidP="00F0775F">
            <w:pPr>
              <w:pStyle w:val="TableText"/>
              <w:keepNext/>
              <w:spacing w:before="50" w:after="50"/>
              <w:rPr>
                <w:rFonts w:ascii="Verdana" w:hAnsi="Verdana"/>
                <w:sz w:val="18"/>
                <w:szCs w:val="18"/>
              </w:rPr>
            </w:pPr>
            <w:r w:rsidRPr="00F0775F">
              <w:rPr>
                <w:rFonts w:ascii="Verdana" w:hAnsi="Verdana"/>
                <w:sz w:val="18"/>
                <w:szCs w:val="18"/>
              </w:rPr>
              <w:t>Dr. Explain</w:t>
            </w:r>
          </w:p>
        </w:tc>
        <w:tc>
          <w:tcPr>
            <w:tcW w:w="1462"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0.58</w:t>
            </w:r>
          </w:p>
        </w:tc>
        <w:tc>
          <w:tcPr>
            <w:tcW w:w="1463" w:type="dxa"/>
          </w:tcPr>
          <w:p w:rsidR="00D107EE" w:rsidRPr="00F0775F" w:rsidRDefault="00D107EE" w:rsidP="00F0775F">
            <w:pPr>
              <w:pStyle w:val="TableText"/>
              <w:keepNext/>
              <w:spacing w:before="50" w:after="50"/>
              <w:jc w:val="center"/>
              <w:rPr>
                <w:rFonts w:ascii="Verdana" w:hAnsi="Verdana"/>
                <w:sz w:val="18"/>
                <w:szCs w:val="18"/>
              </w:rPr>
            </w:pPr>
          </w:p>
        </w:tc>
        <w:tc>
          <w:tcPr>
            <w:tcW w:w="1463"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0.74</w:t>
            </w:r>
          </w:p>
        </w:tc>
      </w:tr>
      <w:tr w:rsidR="00D107EE" w:rsidRPr="00F0775F" w:rsidTr="00D107EE">
        <w:trPr>
          <w:cantSplit/>
        </w:trPr>
        <w:tc>
          <w:tcPr>
            <w:tcW w:w="1079" w:type="dxa"/>
          </w:tcPr>
          <w:p w:rsidR="00D107EE" w:rsidRPr="00F0775F" w:rsidRDefault="00D107EE" w:rsidP="00F0775F">
            <w:pPr>
              <w:pStyle w:val="TableText"/>
              <w:keepNext/>
              <w:spacing w:before="50" w:after="50"/>
              <w:jc w:val="center"/>
              <w:rPr>
                <w:rFonts w:ascii="Verdana" w:hAnsi="Verdana"/>
                <w:sz w:val="18"/>
                <w:szCs w:val="18"/>
              </w:rPr>
            </w:pPr>
            <w:proofErr w:type="spellStart"/>
            <w:r w:rsidRPr="00F0775F">
              <w:rPr>
                <w:rFonts w:ascii="Verdana" w:hAnsi="Verdana"/>
                <w:sz w:val="18"/>
                <w:szCs w:val="18"/>
              </w:rPr>
              <w:t>Q5</w:t>
            </w:r>
            <w:proofErr w:type="spellEnd"/>
          </w:p>
        </w:tc>
        <w:tc>
          <w:tcPr>
            <w:tcW w:w="3893" w:type="dxa"/>
          </w:tcPr>
          <w:p w:rsidR="00D107EE" w:rsidRPr="00F0775F" w:rsidRDefault="00D107EE" w:rsidP="00F0775F">
            <w:pPr>
              <w:pStyle w:val="TableText"/>
              <w:keepNext/>
              <w:spacing w:before="50" w:after="50"/>
              <w:rPr>
                <w:rFonts w:ascii="Verdana" w:hAnsi="Verdana"/>
                <w:sz w:val="18"/>
                <w:szCs w:val="18"/>
              </w:rPr>
            </w:pPr>
            <w:r w:rsidRPr="00F0775F">
              <w:rPr>
                <w:rFonts w:ascii="Verdana" w:hAnsi="Verdana"/>
                <w:sz w:val="18"/>
                <w:szCs w:val="18"/>
              </w:rPr>
              <w:t>Dr. Respect</w:t>
            </w:r>
          </w:p>
        </w:tc>
        <w:tc>
          <w:tcPr>
            <w:tcW w:w="1462"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0.65</w:t>
            </w:r>
          </w:p>
        </w:tc>
        <w:tc>
          <w:tcPr>
            <w:tcW w:w="1463" w:type="dxa"/>
          </w:tcPr>
          <w:p w:rsidR="00D107EE" w:rsidRPr="00F0775F" w:rsidRDefault="00D107EE" w:rsidP="00F0775F">
            <w:pPr>
              <w:pStyle w:val="TableText"/>
              <w:keepNext/>
              <w:spacing w:before="50" w:after="50"/>
              <w:jc w:val="center"/>
              <w:rPr>
                <w:rFonts w:ascii="Verdana" w:hAnsi="Verdana"/>
                <w:sz w:val="18"/>
                <w:szCs w:val="18"/>
              </w:rPr>
            </w:pPr>
          </w:p>
        </w:tc>
        <w:tc>
          <w:tcPr>
            <w:tcW w:w="1463"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0.76</w:t>
            </w:r>
          </w:p>
        </w:tc>
      </w:tr>
      <w:tr w:rsidR="00D107EE" w:rsidRPr="00F0775F" w:rsidTr="00D107EE">
        <w:trPr>
          <w:cantSplit/>
        </w:trPr>
        <w:tc>
          <w:tcPr>
            <w:tcW w:w="1079" w:type="dxa"/>
          </w:tcPr>
          <w:p w:rsidR="00D107EE" w:rsidRPr="00F0775F" w:rsidRDefault="00D107EE" w:rsidP="00F0775F">
            <w:pPr>
              <w:pStyle w:val="TableText"/>
              <w:keepNext/>
              <w:spacing w:before="50" w:after="50"/>
              <w:jc w:val="center"/>
              <w:rPr>
                <w:rFonts w:ascii="Verdana" w:hAnsi="Verdana"/>
                <w:sz w:val="18"/>
                <w:szCs w:val="18"/>
              </w:rPr>
            </w:pPr>
            <w:proofErr w:type="spellStart"/>
            <w:r w:rsidRPr="00F0775F">
              <w:rPr>
                <w:rFonts w:ascii="Verdana" w:hAnsi="Verdana"/>
                <w:sz w:val="18"/>
                <w:szCs w:val="18"/>
              </w:rPr>
              <w:t>Q6</w:t>
            </w:r>
            <w:proofErr w:type="spellEnd"/>
          </w:p>
        </w:tc>
        <w:tc>
          <w:tcPr>
            <w:tcW w:w="3893" w:type="dxa"/>
          </w:tcPr>
          <w:p w:rsidR="00D107EE" w:rsidRPr="00F0775F" w:rsidRDefault="00D107EE" w:rsidP="00F0775F">
            <w:pPr>
              <w:pStyle w:val="TableText"/>
              <w:keepNext/>
              <w:spacing w:before="50" w:after="50"/>
              <w:rPr>
                <w:rFonts w:ascii="Verdana" w:hAnsi="Verdana"/>
                <w:sz w:val="18"/>
                <w:szCs w:val="18"/>
              </w:rPr>
            </w:pPr>
            <w:r w:rsidRPr="00F0775F">
              <w:rPr>
                <w:rFonts w:ascii="Verdana" w:hAnsi="Verdana"/>
                <w:sz w:val="18"/>
                <w:szCs w:val="18"/>
              </w:rPr>
              <w:t>Dr. Spend Time</w:t>
            </w:r>
          </w:p>
        </w:tc>
        <w:tc>
          <w:tcPr>
            <w:tcW w:w="1462"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0.70</w:t>
            </w:r>
          </w:p>
        </w:tc>
        <w:tc>
          <w:tcPr>
            <w:tcW w:w="1463" w:type="dxa"/>
          </w:tcPr>
          <w:p w:rsidR="00D107EE" w:rsidRPr="00F0775F" w:rsidRDefault="00D107EE" w:rsidP="00F0775F">
            <w:pPr>
              <w:pStyle w:val="TableText"/>
              <w:keepNext/>
              <w:spacing w:before="50" w:after="50"/>
              <w:jc w:val="center"/>
              <w:rPr>
                <w:rFonts w:ascii="Verdana" w:hAnsi="Verdana"/>
                <w:sz w:val="18"/>
                <w:szCs w:val="18"/>
              </w:rPr>
            </w:pPr>
          </w:p>
        </w:tc>
        <w:tc>
          <w:tcPr>
            <w:tcW w:w="1463"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0.75</w:t>
            </w:r>
          </w:p>
        </w:tc>
      </w:tr>
      <w:tr w:rsidR="00D107EE" w:rsidRPr="00F0775F" w:rsidTr="00D107EE">
        <w:trPr>
          <w:cantSplit/>
        </w:trPr>
        <w:tc>
          <w:tcPr>
            <w:tcW w:w="1079" w:type="dxa"/>
          </w:tcPr>
          <w:p w:rsidR="00D107EE" w:rsidRPr="00F0775F" w:rsidRDefault="00D107EE" w:rsidP="00F0775F">
            <w:pPr>
              <w:pStyle w:val="TableText"/>
              <w:keepNext/>
              <w:spacing w:before="50" w:after="50"/>
              <w:jc w:val="center"/>
              <w:rPr>
                <w:rFonts w:ascii="Verdana" w:hAnsi="Verdana"/>
                <w:sz w:val="18"/>
                <w:szCs w:val="18"/>
              </w:rPr>
            </w:pPr>
            <w:proofErr w:type="spellStart"/>
            <w:r w:rsidRPr="00F0775F">
              <w:rPr>
                <w:rFonts w:ascii="Verdana" w:hAnsi="Verdana"/>
                <w:sz w:val="18"/>
                <w:szCs w:val="18"/>
              </w:rPr>
              <w:t>Q7</w:t>
            </w:r>
            <w:proofErr w:type="spellEnd"/>
          </w:p>
        </w:tc>
        <w:tc>
          <w:tcPr>
            <w:tcW w:w="3893" w:type="dxa"/>
          </w:tcPr>
          <w:p w:rsidR="00D107EE" w:rsidRPr="00F0775F" w:rsidRDefault="00D107EE" w:rsidP="00F0775F">
            <w:pPr>
              <w:pStyle w:val="TableText"/>
              <w:keepNext/>
              <w:spacing w:before="50" w:after="50"/>
              <w:rPr>
                <w:rFonts w:ascii="Verdana" w:hAnsi="Verdana"/>
                <w:sz w:val="18"/>
                <w:szCs w:val="18"/>
              </w:rPr>
            </w:pPr>
            <w:r w:rsidRPr="00F0775F">
              <w:rPr>
                <w:rFonts w:ascii="Verdana" w:hAnsi="Verdana"/>
                <w:sz w:val="18"/>
                <w:szCs w:val="18"/>
              </w:rPr>
              <w:t>Dr. Cared</w:t>
            </w:r>
          </w:p>
        </w:tc>
        <w:tc>
          <w:tcPr>
            <w:tcW w:w="1462"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0.69</w:t>
            </w:r>
          </w:p>
        </w:tc>
        <w:tc>
          <w:tcPr>
            <w:tcW w:w="1463" w:type="dxa"/>
          </w:tcPr>
          <w:p w:rsidR="00D107EE" w:rsidRPr="00F0775F" w:rsidRDefault="00D107EE" w:rsidP="00F0775F">
            <w:pPr>
              <w:pStyle w:val="TableText"/>
              <w:keepNext/>
              <w:spacing w:before="50" w:after="50"/>
              <w:jc w:val="center"/>
              <w:rPr>
                <w:rFonts w:ascii="Verdana" w:hAnsi="Verdana"/>
                <w:sz w:val="18"/>
                <w:szCs w:val="18"/>
              </w:rPr>
            </w:pPr>
          </w:p>
        </w:tc>
        <w:tc>
          <w:tcPr>
            <w:tcW w:w="1463"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0.78</w:t>
            </w:r>
          </w:p>
        </w:tc>
      </w:tr>
      <w:tr w:rsidR="00D107EE" w:rsidRPr="00F0775F" w:rsidTr="00D107EE">
        <w:trPr>
          <w:cantSplit/>
        </w:trPr>
        <w:tc>
          <w:tcPr>
            <w:tcW w:w="1079" w:type="dxa"/>
          </w:tcPr>
          <w:p w:rsidR="00D107EE" w:rsidRPr="00F0775F" w:rsidRDefault="00D107EE" w:rsidP="00F0775F">
            <w:pPr>
              <w:pStyle w:val="TableText"/>
              <w:keepNext/>
              <w:spacing w:before="50" w:after="50"/>
              <w:jc w:val="center"/>
              <w:rPr>
                <w:rFonts w:ascii="Verdana" w:hAnsi="Verdana"/>
                <w:sz w:val="18"/>
                <w:szCs w:val="18"/>
              </w:rPr>
            </w:pPr>
            <w:proofErr w:type="spellStart"/>
            <w:r w:rsidRPr="00F0775F">
              <w:rPr>
                <w:rFonts w:ascii="Verdana" w:hAnsi="Verdana"/>
                <w:sz w:val="18"/>
                <w:szCs w:val="18"/>
              </w:rPr>
              <w:t>Q8</w:t>
            </w:r>
            <w:proofErr w:type="spellEnd"/>
          </w:p>
        </w:tc>
        <w:tc>
          <w:tcPr>
            <w:tcW w:w="3893" w:type="dxa"/>
          </w:tcPr>
          <w:p w:rsidR="00D107EE" w:rsidRPr="00F0775F" w:rsidRDefault="00D107EE" w:rsidP="00F0775F">
            <w:pPr>
              <w:pStyle w:val="TableText"/>
              <w:keepNext/>
              <w:spacing w:before="50" w:after="50"/>
              <w:rPr>
                <w:rFonts w:ascii="Verdana" w:hAnsi="Verdana"/>
                <w:sz w:val="18"/>
                <w:szCs w:val="18"/>
              </w:rPr>
            </w:pPr>
            <w:r w:rsidRPr="00F0775F">
              <w:rPr>
                <w:rFonts w:ascii="Verdana" w:hAnsi="Verdana"/>
                <w:sz w:val="18"/>
                <w:szCs w:val="18"/>
              </w:rPr>
              <w:t>Dr. Keep You Informed</w:t>
            </w:r>
          </w:p>
        </w:tc>
        <w:tc>
          <w:tcPr>
            <w:tcW w:w="1462"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0.60</w:t>
            </w:r>
          </w:p>
        </w:tc>
        <w:tc>
          <w:tcPr>
            <w:tcW w:w="1463" w:type="dxa"/>
          </w:tcPr>
          <w:p w:rsidR="00D107EE" w:rsidRPr="00F0775F" w:rsidRDefault="00D107EE" w:rsidP="00F0775F">
            <w:pPr>
              <w:pStyle w:val="TableText"/>
              <w:keepNext/>
              <w:spacing w:before="50" w:after="50"/>
              <w:jc w:val="center"/>
              <w:rPr>
                <w:rFonts w:ascii="Verdana" w:hAnsi="Verdana"/>
                <w:sz w:val="18"/>
                <w:szCs w:val="18"/>
              </w:rPr>
            </w:pPr>
          </w:p>
        </w:tc>
        <w:tc>
          <w:tcPr>
            <w:tcW w:w="1463"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0.61</w:t>
            </w:r>
          </w:p>
        </w:tc>
      </w:tr>
      <w:tr w:rsidR="00D107EE" w:rsidRPr="00F0775F" w:rsidTr="00D107EE">
        <w:trPr>
          <w:cantSplit/>
        </w:trPr>
        <w:tc>
          <w:tcPr>
            <w:tcW w:w="1079" w:type="dxa"/>
          </w:tcPr>
          <w:p w:rsidR="00D107EE" w:rsidRPr="00F0775F" w:rsidRDefault="00D107EE" w:rsidP="00F0775F">
            <w:pPr>
              <w:pStyle w:val="TableText"/>
              <w:keepNext/>
              <w:spacing w:before="50" w:after="50"/>
              <w:jc w:val="center"/>
              <w:rPr>
                <w:rFonts w:ascii="Verdana" w:hAnsi="Verdana"/>
                <w:sz w:val="18"/>
                <w:szCs w:val="18"/>
              </w:rPr>
            </w:pPr>
            <w:proofErr w:type="spellStart"/>
            <w:r w:rsidRPr="00F0775F">
              <w:rPr>
                <w:rFonts w:ascii="Verdana" w:hAnsi="Verdana"/>
                <w:sz w:val="18"/>
                <w:szCs w:val="18"/>
              </w:rPr>
              <w:t>Q10</w:t>
            </w:r>
            <w:proofErr w:type="spellEnd"/>
          </w:p>
        </w:tc>
        <w:tc>
          <w:tcPr>
            <w:tcW w:w="3893" w:type="dxa"/>
          </w:tcPr>
          <w:p w:rsidR="00D107EE" w:rsidRPr="00F0775F" w:rsidRDefault="00D107EE" w:rsidP="00F0775F">
            <w:pPr>
              <w:pStyle w:val="TableText"/>
              <w:keepNext/>
              <w:spacing w:before="50" w:after="50"/>
              <w:rPr>
                <w:rFonts w:ascii="Verdana" w:hAnsi="Verdana"/>
                <w:sz w:val="18"/>
                <w:szCs w:val="18"/>
              </w:rPr>
            </w:pPr>
            <w:r w:rsidRPr="00F0775F">
              <w:rPr>
                <w:rFonts w:ascii="Verdana" w:hAnsi="Verdana"/>
                <w:sz w:val="18"/>
                <w:szCs w:val="18"/>
              </w:rPr>
              <w:t>Dr. Informed</w:t>
            </w:r>
          </w:p>
        </w:tc>
        <w:tc>
          <w:tcPr>
            <w:tcW w:w="1462"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0.61</w:t>
            </w:r>
          </w:p>
        </w:tc>
        <w:tc>
          <w:tcPr>
            <w:tcW w:w="1463" w:type="dxa"/>
          </w:tcPr>
          <w:p w:rsidR="00D107EE" w:rsidRPr="00F0775F" w:rsidRDefault="00D107EE" w:rsidP="00F0775F">
            <w:pPr>
              <w:pStyle w:val="TableText"/>
              <w:keepNext/>
              <w:spacing w:before="50" w:after="50"/>
              <w:jc w:val="center"/>
              <w:rPr>
                <w:rFonts w:ascii="Verdana" w:hAnsi="Verdana"/>
                <w:sz w:val="18"/>
                <w:szCs w:val="18"/>
              </w:rPr>
            </w:pPr>
          </w:p>
        </w:tc>
        <w:tc>
          <w:tcPr>
            <w:tcW w:w="1463" w:type="dxa"/>
          </w:tcPr>
          <w:p w:rsidR="00D107EE" w:rsidRPr="00F0775F" w:rsidRDefault="00D107EE" w:rsidP="00F0775F">
            <w:pPr>
              <w:pStyle w:val="TableText"/>
              <w:keepNext/>
              <w:spacing w:before="50" w:after="50"/>
              <w:jc w:val="center"/>
              <w:rPr>
                <w:rFonts w:ascii="Verdana" w:hAnsi="Verdana"/>
                <w:sz w:val="18"/>
                <w:szCs w:val="18"/>
              </w:rPr>
            </w:pPr>
            <w:r w:rsidRPr="00F0775F">
              <w:rPr>
                <w:rFonts w:ascii="Verdana" w:hAnsi="Verdana"/>
                <w:sz w:val="18"/>
                <w:szCs w:val="18"/>
              </w:rPr>
              <w:t>0.56</w:t>
            </w:r>
          </w:p>
        </w:tc>
      </w:tr>
    </w:tbl>
    <w:p w:rsidR="00D107EE" w:rsidRPr="00D42CFA" w:rsidRDefault="00D107EE" w:rsidP="00D107EE">
      <w:pPr>
        <w:pStyle w:val="Source1"/>
      </w:pPr>
    </w:p>
    <w:p w:rsidR="00D107EE" w:rsidRPr="00D42CFA" w:rsidRDefault="00D107EE" w:rsidP="00F0775F">
      <w:pPr>
        <w:pStyle w:val="TableTitlecont"/>
      </w:pPr>
      <w:r w:rsidRPr="00D42CFA">
        <w:lastRenderedPageBreak/>
        <w:t xml:space="preserve">Table </w:t>
      </w:r>
      <w:proofErr w:type="spellStart"/>
      <w:r w:rsidRPr="00D42CFA">
        <w:t>2b</w:t>
      </w:r>
      <w:proofErr w:type="spellEnd"/>
      <w:r w:rsidRPr="00D42CFA">
        <w:t>.</w:t>
      </w:r>
      <w:r w:rsidRPr="00D42CFA">
        <w:tab/>
      </w:r>
      <w:proofErr w:type="spellStart"/>
      <w:r w:rsidRPr="00D42CFA">
        <w:t>ICH</w:t>
      </w:r>
      <w:proofErr w:type="spellEnd"/>
      <w:r w:rsidRPr="00D42CFA">
        <w:t xml:space="preserve"> </w:t>
      </w:r>
      <w:proofErr w:type="spellStart"/>
      <w:r w:rsidRPr="00D42CFA">
        <w:t>CAHPS</w:t>
      </w:r>
      <w:proofErr w:type="spellEnd"/>
      <w:r w:rsidRPr="00D42CFA">
        <w:t>—Field Test Data: 3-Composite Structure—Dialysis Facility Care &amp; Ops</w:t>
      </w:r>
    </w:p>
    <w:tbl>
      <w:tblPr>
        <w:tblStyle w:val="TableGrid"/>
        <w:tblW w:w="9360" w:type="dxa"/>
        <w:tblInd w:w="86" w:type="dxa"/>
        <w:tblLayout w:type="fixed"/>
        <w:tblLook w:val="04A0" w:firstRow="1" w:lastRow="0" w:firstColumn="1" w:lastColumn="0" w:noHBand="0" w:noVBand="1"/>
      </w:tblPr>
      <w:tblGrid>
        <w:gridCol w:w="1079"/>
        <w:gridCol w:w="3893"/>
        <w:gridCol w:w="1462"/>
        <w:gridCol w:w="1463"/>
        <w:gridCol w:w="1463"/>
      </w:tblGrid>
      <w:tr w:rsidR="00D107EE" w:rsidRPr="00F0775F" w:rsidTr="00D107EE">
        <w:trPr>
          <w:cantSplit/>
          <w:tblHeader/>
        </w:trPr>
        <w:tc>
          <w:tcPr>
            <w:tcW w:w="1079" w:type="dxa"/>
            <w:vAlign w:val="bottom"/>
          </w:tcPr>
          <w:p w:rsidR="00D107EE" w:rsidRPr="00F0775F" w:rsidRDefault="00D107EE" w:rsidP="00F0775F">
            <w:pPr>
              <w:pStyle w:val="TableHeaders"/>
              <w:spacing w:before="20" w:after="20"/>
              <w:rPr>
                <w:rFonts w:ascii="Verdana" w:hAnsi="Verdana"/>
                <w:sz w:val="18"/>
                <w:szCs w:val="18"/>
              </w:rPr>
            </w:pPr>
            <w:r w:rsidRPr="00F0775F">
              <w:rPr>
                <w:rFonts w:ascii="Verdana" w:hAnsi="Verdana"/>
                <w:sz w:val="18"/>
                <w:szCs w:val="18"/>
              </w:rPr>
              <w:t>Q#</w:t>
            </w:r>
          </w:p>
        </w:tc>
        <w:tc>
          <w:tcPr>
            <w:tcW w:w="3893" w:type="dxa"/>
            <w:vAlign w:val="bottom"/>
          </w:tcPr>
          <w:p w:rsidR="00D107EE" w:rsidRPr="00F0775F" w:rsidRDefault="00D107EE" w:rsidP="00F0775F">
            <w:pPr>
              <w:pStyle w:val="TableHeaders"/>
              <w:spacing w:before="20" w:after="20"/>
              <w:rPr>
                <w:rFonts w:ascii="Verdana" w:hAnsi="Verdana"/>
                <w:sz w:val="18"/>
                <w:szCs w:val="18"/>
              </w:rPr>
            </w:pPr>
            <w:r w:rsidRPr="00F0775F">
              <w:rPr>
                <w:rFonts w:ascii="Verdana" w:hAnsi="Verdana"/>
                <w:sz w:val="18"/>
                <w:szCs w:val="18"/>
              </w:rPr>
              <w:t>Dialysis Facility Care &amp; Ops</w:t>
            </w:r>
          </w:p>
        </w:tc>
        <w:tc>
          <w:tcPr>
            <w:tcW w:w="1462" w:type="dxa"/>
            <w:vAlign w:val="bottom"/>
          </w:tcPr>
          <w:p w:rsidR="00D107EE" w:rsidRPr="00F0775F" w:rsidRDefault="00D107EE" w:rsidP="00F0775F">
            <w:pPr>
              <w:pStyle w:val="TableHeaders"/>
              <w:spacing w:before="20" w:after="20"/>
              <w:rPr>
                <w:rFonts w:ascii="Verdana" w:hAnsi="Verdana"/>
                <w:sz w:val="18"/>
                <w:szCs w:val="18"/>
              </w:rPr>
            </w:pPr>
            <w:proofErr w:type="spellStart"/>
            <w:r w:rsidRPr="00F0775F">
              <w:rPr>
                <w:rFonts w:ascii="Verdana" w:hAnsi="Verdana"/>
                <w:sz w:val="18"/>
                <w:szCs w:val="18"/>
              </w:rPr>
              <w:t>ICHr</w:t>
            </w:r>
            <w:proofErr w:type="spellEnd"/>
            <w:r w:rsidRPr="00F0775F">
              <w:rPr>
                <w:rFonts w:ascii="Verdana" w:hAnsi="Verdana"/>
                <w:sz w:val="18"/>
                <w:szCs w:val="18"/>
              </w:rPr>
              <w:t xml:space="preserve"> = 0.51</w:t>
            </w:r>
          </w:p>
        </w:tc>
        <w:tc>
          <w:tcPr>
            <w:tcW w:w="1463" w:type="dxa"/>
            <w:vAlign w:val="bottom"/>
          </w:tcPr>
          <w:p w:rsidR="00D107EE" w:rsidRPr="00F0775F" w:rsidRDefault="00102CF2" w:rsidP="00F0775F">
            <w:pPr>
              <w:pStyle w:val="TableHeaders"/>
              <w:spacing w:before="20" w:after="20"/>
              <w:rPr>
                <w:rFonts w:ascii="Verdana" w:hAnsi="Verdana"/>
                <w:sz w:val="18"/>
                <w:szCs w:val="18"/>
              </w:rPr>
            </w:pPr>
            <w:hyperlink r:id="rId14" w:history="1">
              <w:r w:rsidR="00D107EE" w:rsidRPr="00F0775F">
                <w:rPr>
                  <w:rStyle w:val="Hyperlink"/>
                  <w:rFonts w:ascii="Verdana" w:hAnsi="Verdana"/>
                  <w:color w:val="auto"/>
                  <w:sz w:val="18"/>
                  <w:szCs w:val="18"/>
                </w:rPr>
                <w:t>%@Ceiling = 2.7</w:t>
              </w:r>
            </w:hyperlink>
          </w:p>
        </w:tc>
        <w:tc>
          <w:tcPr>
            <w:tcW w:w="1463" w:type="dxa"/>
            <w:vAlign w:val="bottom"/>
          </w:tcPr>
          <w:p w:rsidR="00D107EE" w:rsidRPr="00F0775F" w:rsidRDefault="00D107EE" w:rsidP="00F0775F">
            <w:pPr>
              <w:pStyle w:val="TableHeaders"/>
              <w:spacing w:before="20" w:after="20"/>
              <w:rPr>
                <w:rFonts w:ascii="Verdana" w:hAnsi="Verdana"/>
                <w:sz w:val="18"/>
                <w:szCs w:val="18"/>
              </w:rPr>
            </w:pPr>
            <w:r w:rsidRPr="00F0775F">
              <w:rPr>
                <w:rFonts w:ascii="Verdana" w:hAnsi="Verdana"/>
                <w:sz w:val="18"/>
                <w:szCs w:val="18"/>
              </w:rPr>
              <w:t>Alpha = 0.93</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Q11</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Staff Listen</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0.62</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0.77</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Q12</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Explain</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0.64</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0.74</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Q13</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Respect</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0.67</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0.77</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Q14</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Spend Time</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0.68</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0.76</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Q15</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Cared</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0.75</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0.79</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Q16</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Make you Comfortable</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0.70</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0.75</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Q17</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Keep Info Private</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014</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0.37</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Q19</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Cover You</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0.70</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0.48</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Q20</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Comfortable Asking Staff</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0.31</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0.49</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Q24</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Insert Needle w/o Pain</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0.37</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0.44</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Q25</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Check You</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0.62</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0.70</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Q27</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Respond to Problems</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0.43</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0.76</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Q28</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Manage Problems</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0.03</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0.70</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Q29</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Professional</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0.72</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0.72</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Q30</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Change Gloves</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0.33</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Q31</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Explain Tests</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0.65</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0.56</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Q32</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Discuss Diet</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0.39</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0.37</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Q38</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Staff Include Family</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0.50</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0.46</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Q40</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On Machine within 15 minutes</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0.86</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0.46</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Q41</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Center calm and quiet</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0.67</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0.53</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Q42</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Center Clean</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0.76</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0.50</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Q51</w:t>
            </w:r>
            <w:proofErr w:type="spellEnd"/>
          </w:p>
        </w:tc>
        <w:tc>
          <w:tcPr>
            <w:tcW w:w="3893" w:type="dxa"/>
          </w:tcPr>
          <w:p w:rsidR="00D107EE" w:rsidRPr="00F0775F" w:rsidRDefault="00D107EE" w:rsidP="00F0775F">
            <w:pPr>
              <w:pStyle w:val="TableText"/>
              <w:spacing w:before="20" w:after="20"/>
              <w:rPr>
                <w:rFonts w:ascii="Verdana" w:hAnsi="Verdana"/>
                <w:sz w:val="18"/>
                <w:szCs w:val="18"/>
              </w:rPr>
            </w:pPr>
            <w:r w:rsidRPr="00F0775F">
              <w:rPr>
                <w:rFonts w:ascii="Verdana" w:hAnsi="Verdana"/>
                <w:sz w:val="18"/>
                <w:szCs w:val="18"/>
              </w:rPr>
              <w:t>Satisfied with Problems Handled</w:t>
            </w:r>
          </w:p>
        </w:tc>
        <w:tc>
          <w:tcPr>
            <w:tcW w:w="1462"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w:t>
            </w:r>
          </w:p>
        </w:tc>
        <w:tc>
          <w:tcPr>
            <w:tcW w:w="1463" w:type="dxa"/>
          </w:tcPr>
          <w:p w:rsidR="00D107EE" w:rsidRPr="00F0775F" w:rsidRDefault="00D107EE" w:rsidP="00F0775F">
            <w:pPr>
              <w:pStyle w:val="TableText"/>
              <w:spacing w:before="20" w:after="20"/>
              <w:jc w:val="center"/>
              <w:rPr>
                <w:rFonts w:ascii="Verdana" w:hAnsi="Verdana"/>
                <w:sz w:val="18"/>
                <w:szCs w:val="18"/>
              </w:rPr>
            </w:pPr>
          </w:p>
        </w:tc>
        <w:tc>
          <w:tcPr>
            <w:tcW w:w="1463" w:type="dxa"/>
          </w:tcPr>
          <w:p w:rsidR="00D107EE" w:rsidRPr="00F0775F" w:rsidRDefault="00D107EE" w:rsidP="00F0775F">
            <w:pPr>
              <w:pStyle w:val="TableText"/>
              <w:spacing w:before="20" w:after="20"/>
              <w:jc w:val="center"/>
              <w:rPr>
                <w:rFonts w:ascii="Verdana" w:hAnsi="Verdana"/>
                <w:sz w:val="18"/>
                <w:szCs w:val="18"/>
              </w:rPr>
            </w:pPr>
            <w:r w:rsidRPr="00F0775F">
              <w:rPr>
                <w:rFonts w:ascii="Verdana" w:hAnsi="Verdana"/>
                <w:sz w:val="18"/>
                <w:szCs w:val="18"/>
              </w:rPr>
              <w:t>0.71</w:t>
            </w:r>
          </w:p>
        </w:tc>
      </w:tr>
    </w:tbl>
    <w:p w:rsidR="00D107EE" w:rsidRPr="00D42CFA" w:rsidRDefault="00D107EE" w:rsidP="00D107EE">
      <w:pPr>
        <w:pStyle w:val="Source1"/>
      </w:pPr>
    </w:p>
    <w:p w:rsidR="00D107EE" w:rsidRPr="00D42CFA" w:rsidRDefault="00D107EE" w:rsidP="00F0775F">
      <w:pPr>
        <w:pStyle w:val="TableTitlecont"/>
      </w:pPr>
      <w:r w:rsidRPr="00D42CFA">
        <w:t xml:space="preserve">Table </w:t>
      </w:r>
      <w:proofErr w:type="spellStart"/>
      <w:r w:rsidRPr="00D42CFA">
        <w:t>2c</w:t>
      </w:r>
      <w:proofErr w:type="spellEnd"/>
      <w:r w:rsidRPr="00D42CFA">
        <w:t>.</w:t>
      </w:r>
      <w:r w:rsidRPr="00D42CFA">
        <w:tab/>
      </w:r>
      <w:proofErr w:type="spellStart"/>
      <w:r w:rsidRPr="00D42CFA">
        <w:t>ICH</w:t>
      </w:r>
      <w:proofErr w:type="spellEnd"/>
      <w:r w:rsidRPr="00D42CFA">
        <w:t xml:space="preserve"> </w:t>
      </w:r>
      <w:proofErr w:type="spellStart"/>
      <w:r w:rsidRPr="00D42CFA">
        <w:t>CAHPS</w:t>
      </w:r>
      <w:proofErr w:type="spellEnd"/>
      <w:r w:rsidRPr="00D42CFA">
        <w:t>—Field Test Data: 3-Composite Structure—Patient Empowerment</w:t>
      </w:r>
    </w:p>
    <w:tbl>
      <w:tblPr>
        <w:tblStyle w:val="TableGrid"/>
        <w:tblW w:w="9360" w:type="dxa"/>
        <w:tblInd w:w="86" w:type="dxa"/>
        <w:tblLayout w:type="fixed"/>
        <w:tblLook w:val="04A0" w:firstRow="1" w:lastRow="0" w:firstColumn="1" w:lastColumn="0" w:noHBand="0" w:noVBand="1"/>
      </w:tblPr>
      <w:tblGrid>
        <w:gridCol w:w="1079"/>
        <w:gridCol w:w="3893"/>
        <w:gridCol w:w="1462"/>
        <w:gridCol w:w="1463"/>
        <w:gridCol w:w="1463"/>
      </w:tblGrid>
      <w:tr w:rsidR="00D107EE" w:rsidRPr="00F0775F" w:rsidTr="00D107EE">
        <w:trPr>
          <w:cantSplit/>
          <w:tblHeader/>
        </w:trPr>
        <w:tc>
          <w:tcPr>
            <w:tcW w:w="1079" w:type="dxa"/>
            <w:vAlign w:val="bottom"/>
          </w:tcPr>
          <w:p w:rsidR="00D107EE" w:rsidRPr="00F0775F" w:rsidRDefault="00D107EE" w:rsidP="00F0775F">
            <w:pPr>
              <w:pStyle w:val="TableHeaders"/>
              <w:spacing w:before="20" w:after="20"/>
              <w:rPr>
                <w:rFonts w:ascii="Verdana" w:hAnsi="Verdana"/>
                <w:sz w:val="18"/>
                <w:szCs w:val="18"/>
              </w:rPr>
            </w:pPr>
            <w:r w:rsidRPr="00F0775F">
              <w:rPr>
                <w:rFonts w:ascii="Verdana" w:hAnsi="Verdana"/>
                <w:sz w:val="18"/>
                <w:szCs w:val="18"/>
              </w:rPr>
              <w:t>Q#</w:t>
            </w:r>
          </w:p>
        </w:tc>
        <w:tc>
          <w:tcPr>
            <w:tcW w:w="3893" w:type="dxa"/>
            <w:vAlign w:val="bottom"/>
          </w:tcPr>
          <w:p w:rsidR="00D107EE" w:rsidRPr="00F0775F" w:rsidRDefault="00D107EE" w:rsidP="00F0775F">
            <w:pPr>
              <w:pStyle w:val="TableHeaders"/>
              <w:spacing w:before="20" w:after="20"/>
              <w:rPr>
                <w:rFonts w:ascii="Verdana" w:hAnsi="Verdana"/>
                <w:sz w:val="18"/>
                <w:szCs w:val="18"/>
              </w:rPr>
            </w:pPr>
            <w:r w:rsidRPr="00F0775F">
              <w:rPr>
                <w:rFonts w:ascii="Verdana" w:hAnsi="Verdana"/>
                <w:sz w:val="18"/>
                <w:szCs w:val="18"/>
              </w:rPr>
              <w:t>Patient Empowerment</w:t>
            </w:r>
          </w:p>
        </w:tc>
        <w:tc>
          <w:tcPr>
            <w:tcW w:w="1462" w:type="dxa"/>
            <w:vAlign w:val="bottom"/>
          </w:tcPr>
          <w:p w:rsidR="00D107EE" w:rsidRPr="00F0775F" w:rsidRDefault="00D107EE" w:rsidP="00F0775F">
            <w:pPr>
              <w:pStyle w:val="TableHeaders"/>
              <w:spacing w:before="20" w:after="20"/>
              <w:rPr>
                <w:rFonts w:ascii="Verdana" w:hAnsi="Verdana"/>
                <w:sz w:val="18"/>
                <w:szCs w:val="18"/>
              </w:rPr>
            </w:pPr>
            <w:proofErr w:type="spellStart"/>
            <w:r w:rsidRPr="00F0775F">
              <w:rPr>
                <w:rFonts w:ascii="Verdana" w:hAnsi="Verdana"/>
                <w:sz w:val="18"/>
                <w:szCs w:val="18"/>
              </w:rPr>
              <w:t>ICHr</w:t>
            </w:r>
            <w:proofErr w:type="spellEnd"/>
            <w:r w:rsidRPr="00F0775F">
              <w:rPr>
                <w:rFonts w:ascii="Verdana" w:hAnsi="Verdana"/>
                <w:sz w:val="18"/>
                <w:szCs w:val="18"/>
              </w:rPr>
              <w:t xml:space="preserve"> = 0.53</w:t>
            </w:r>
          </w:p>
        </w:tc>
        <w:tc>
          <w:tcPr>
            <w:tcW w:w="1463" w:type="dxa"/>
            <w:vAlign w:val="bottom"/>
          </w:tcPr>
          <w:p w:rsidR="00D107EE" w:rsidRPr="00F0775F" w:rsidRDefault="00102CF2" w:rsidP="00F0775F">
            <w:pPr>
              <w:pStyle w:val="TableHeaders"/>
              <w:spacing w:before="20" w:after="20"/>
              <w:rPr>
                <w:rFonts w:ascii="Verdana" w:hAnsi="Verdana"/>
                <w:sz w:val="18"/>
                <w:szCs w:val="18"/>
              </w:rPr>
            </w:pPr>
            <w:hyperlink r:id="rId15" w:history="1">
              <w:r w:rsidR="00D107EE" w:rsidRPr="00F0775F">
                <w:rPr>
                  <w:rFonts w:ascii="Verdana" w:hAnsi="Verdana"/>
                  <w:sz w:val="18"/>
                  <w:szCs w:val="18"/>
                </w:rPr>
                <w:t>%@Ceiling = 8.7</w:t>
              </w:r>
            </w:hyperlink>
          </w:p>
        </w:tc>
        <w:tc>
          <w:tcPr>
            <w:tcW w:w="1463" w:type="dxa"/>
            <w:vAlign w:val="bottom"/>
          </w:tcPr>
          <w:p w:rsidR="00D107EE" w:rsidRPr="00F0775F" w:rsidRDefault="00D107EE" w:rsidP="00F0775F">
            <w:pPr>
              <w:pStyle w:val="TableHeaders"/>
              <w:spacing w:before="20" w:after="20"/>
              <w:rPr>
                <w:rFonts w:ascii="Verdana" w:hAnsi="Verdana"/>
                <w:sz w:val="18"/>
                <w:szCs w:val="18"/>
              </w:rPr>
            </w:pPr>
            <w:r w:rsidRPr="00F0775F">
              <w:rPr>
                <w:rFonts w:ascii="Verdana" w:hAnsi="Verdana"/>
                <w:sz w:val="18"/>
                <w:szCs w:val="18"/>
              </w:rPr>
              <w:t>Alpha = 0.75</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Q22</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Know How to Care for Self</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0.29</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0.33</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Q33</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Staff Give Patient Rights</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0.60</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0.39</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Q34</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Staff Review Patient Rights</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0.58</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0.46</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Q35</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Staff Talk About Your Health</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0.38</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0.44</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Q36</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Know How to Get off machine</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0.80</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0.23</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Q52</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Info about Complaints Process</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0.65</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0.43</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Q21</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 xml:space="preserve">Staff Ask about How </w:t>
            </w:r>
            <w:proofErr w:type="spellStart"/>
            <w:r w:rsidRPr="00F0775F">
              <w:rPr>
                <w:rFonts w:ascii="Verdana" w:hAnsi="Verdana"/>
                <w:sz w:val="18"/>
                <w:szCs w:val="18"/>
              </w:rPr>
              <w:t>ESRD</w:t>
            </w:r>
            <w:proofErr w:type="spellEnd"/>
            <w:r w:rsidRPr="00F0775F">
              <w:rPr>
                <w:rFonts w:ascii="Verdana" w:hAnsi="Verdana"/>
                <w:sz w:val="18"/>
                <w:szCs w:val="18"/>
              </w:rPr>
              <w:t xml:space="preserve"> Affect Life</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0.58</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0.35</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Q44</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Dr./Staff Talk about Treatment</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0.53</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0.56</w:t>
            </w:r>
          </w:p>
        </w:tc>
      </w:tr>
      <w:tr w:rsidR="00D107EE" w:rsidRPr="00F0775F" w:rsidTr="00D107EE">
        <w:trPr>
          <w:cantSplit/>
        </w:trPr>
        <w:tc>
          <w:tcPr>
            <w:tcW w:w="1079" w:type="dxa"/>
          </w:tcPr>
          <w:p w:rsidR="00D107EE" w:rsidRPr="00F0775F" w:rsidRDefault="00D107EE" w:rsidP="00F0775F">
            <w:pPr>
              <w:pStyle w:val="TableText"/>
              <w:keepNext/>
              <w:spacing w:before="20" w:after="20"/>
              <w:jc w:val="center"/>
              <w:rPr>
                <w:rFonts w:ascii="Verdana" w:hAnsi="Verdana"/>
                <w:sz w:val="18"/>
                <w:szCs w:val="18"/>
              </w:rPr>
            </w:pPr>
            <w:proofErr w:type="spellStart"/>
            <w:r w:rsidRPr="00F0775F">
              <w:rPr>
                <w:rFonts w:ascii="Verdana" w:hAnsi="Verdana"/>
                <w:sz w:val="18"/>
                <w:szCs w:val="18"/>
              </w:rPr>
              <w:t>Q46</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Dr./Staff Explain Transplant</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0.30</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0.46</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Q47</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Dr./Staff Talk about Peritoneal</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0.68</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0.33</w:t>
            </w:r>
          </w:p>
        </w:tc>
      </w:tr>
      <w:tr w:rsidR="00D107EE" w:rsidRPr="00F0775F" w:rsidTr="00D107EE">
        <w:trPr>
          <w:cantSplit/>
        </w:trPr>
        <w:tc>
          <w:tcPr>
            <w:tcW w:w="1079" w:type="dxa"/>
          </w:tcPr>
          <w:p w:rsidR="00D107EE" w:rsidRPr="00F0775F" w:rsidRDefault="00D107EE" w:rsidP="00F0775F">
            <w:pPr>
              <w:pStyle w:val="TableText"/>
              <w:spacing w:before="20" w:after="20"/>
              <w:jc w:val="center"/>
              <w:rPr>
                <w:rFonts w:ascii="Verdana" w:hAnsi="Verdana"/>
                <w:sz w:val="18"/>
                <w:szCs w:val="18"/>
              </w:rPr>
            </w:pPr>
            <w:proofErr w:type="spellStart"/>
            <w:r w:rsidRPr="00F0775F">
              <w:rPr>
                <w:rFonts w:ascii="Verdana" w:hAnsi="Verdana"/>
                <w:sz w:val="18"/>
                <w:szCs w:val="18"/>
              </w:rPr>
              <w:t>Q48</w:t>
            </w:r>
            <w:proofErr w:type="spellEnd"/>
          </w:p>
        </w:tc>
        <w:tc>
          <w:tcPr>
            <w:tcW w:w="3893" w:type="dxa"/>
          </w:tcPr>
          <w:p w:rsidR="00D107EE" w:rsidRPr="00F0775F" w:rsidRDefault="00D107EE" w:rsidP="00F0775F">
            <w:pPr>
              <w:pStyle w:val="TableText"/>
              <w:keepNext/>
              <w:spacing w:before="20" w:after="20"/>
              <w:rPr>
                <w:rFonts w:ascii="Verdana" w:hAnsi="Verdana"/>
                <w:sz w:val="18"/>
                <w:szCs w:val="18"/>
              </w:rPr>
            </w:pPr>
            <w:r w:rsidRPr="00F0775F">
              <w:rPr>
                <w:rFonts w:ascii="Verdana" w:hAnsi="Verdana"/>
                <w:sz w:val="18"/>
                <w:szCs w:val="18"/>
              </w:rPr>
              <w:t>You’re Involved in Choosing Treatment</w:t>
            </w:r>
          </w:p>
        </w:tc>
        <w:tc>
          <w:tcPr>
            <w:tcW w:w="1462"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0.44</w:t>
            </w:r>
          </w:p>
        </w:tc>
        <w:tc>
          <w:tcPr>
            <w:tcW w:w="1463" w:type="dxa"/>
          </w:tcPr>
          <w:p w:rsidR="00D107EE" w:rsidRPr="00F0775F" w:rsidRDefault="00D107EE" w:rsidP="00F0775F">
            <w:pPr>
              <w:pStyle w:val="TableText"/>
              <w:keepNext/>
              <w:spacing w:before="20" w:after="20"/>
              <w:jc w:val="center"/>
              <w:rPr>
                <w:rFonts w:ascii="Verdana" w:hAnsi="Verdana"/>
                <w:sz w:val="18"/>
                <w:szCs w:val="18"/>
              </w:rPr>
            </w:pPr>
          </w:p>
        </w:tc>
        <w:tc>
          <w:tcPr>
            <w:tcW w:w="1463" w:type="dxa"/>
          </w:tcPr>
          <w:p w:rsidR="00D107EE" w:rsidRPr="00F0775F" w:rsidRDefault="00D107EE" w:rsidP="00F0775F">
            <w:pPr>
              <w:pStyle w:val="TableText"/>
              <w:keepNext/>
              <w:spacing w:before="20" w:after="20"/>
              <w:jc w:val="center"/>
              <w:rPr>
                <w:rFonts w:ascii="Verdana" w:hAnsi="Verdana"/>
                <w:sz w:val="18"/>
                <w:szCs w:val="18"/>
              </w:rPr>
            </w:pPr>
            <w:r w:rsidRPr="00F0775F">
              <w:rPr>
                <w:rFonts w:ascii="Verdana" w:hAnsi="Verdana"/>
                <w:sz w:val="18"/>
                <w:szCs w:val="18"/>
              </w:rPr>
              <w:t>0.45</w:t>
            </w:r>
          </w:p>
        </w:tc>
      </w:tr>
    </w:tbl>
    <w:p w:rsidR="00385DA7" w:rsidRDefault="00385DA7" w:rsidP="00D107EE">
      <w:pPr>
        <w:rPr>
          <w:szCs w:val="20"/>
        </w:rPr>
      </w:pPr>
    </w:p>
    <w:sectPr w:rsidR="00385DA7" w:rsidSect="006403AD">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4E4"/>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02CF2"/>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2965"/>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3AD"/>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25@Ceiling=8.7"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25@Ceiling=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2BA1F-0088-400B-A7D7-096CDF1817D2}">
  <ds:schemaRefs>
    <ds:schemaRef ds:uri="http://schemas.openxmlformats.org/officeDocument/2006/bibliography"/>
  </ds:schemaRefs>
</ds:datastoreItem>
</file>

<file path=customXml/itemProps2.xml><?xml version="1.0" encoding="utf-8"?>
<ds:datastoreItem xmlns:ds="http://schemas.openxmlformats.org/officeDocument/2006/customXml" ds:itemID="{2E37DF31-180E-463A-8B3E-05CAF351471C}">
  <ds:schemaRefs>
    <ds:schemaRef ds:uri="http://schemas.openxmlformats.org/officeDocument/2006/bibliography"/>
  </ds:schemaRefs>
</ds:datastoreItem>
</file>

<file path=customXml/itemProps3.xml><?xml version="1.0" encoding="utf-8"?>
<ds:datastoreItem xmlns:ds="http://schemas.openxmlformats.org/officeDocument/2006/customXml" ds:itemID="{34BE8EC8-0091-4E85-A1BC-5DBA15A0E876}">
  <ds:schemaRefs>
    <ds:schemaRef ds:uri="http://schemas.openxmlformats.org/officeDocument/2006/bibliography"/>
  </ds:schemaRefs>
</ds:datastoreItem>
</file>

<file path=customXml/itemProps4.xml><?xml version="1.0" encoding="utf-8"?>
<ds:datastoreItem xmlns:ds="http://schemas.openxmlformats.org/officeDocument/2006/customXml" ds:itemID="{62F396E8-C90B-47E2-A1C9-7F11D7953AAA}">
  <ds:schemaRefs>
    <ds:schemaRef ds:uri="http://schemas.openxmlformats.org/officeDocument/2006/bibliography"/>
  </ds:schemaRefs>
</ds:datastoreItem>
</file>

<file path=customXml/itemProps5.xml><?xml version="1.0" encoding="utf-8"?>
<ds:datastoreItem xmlns:ds="http://schemas.openxmlformats.org/officeDocument/2006/customXml" ds:itemID="{CE25CB73-6DAF-4F47-A8F4-8024E3FE9EA8}">
  <ds:schemaRefs>
    <ds:schemaRef ds:uri="http://schemas.openxmlformats.org/officeDocument/2006/bibliography"/>
  </ds:schemaRefs>
</ds:datastoreItem>
</file>

<file path=customXml/itemProps6.xml><?xml version="1.0" encoding="utf-8"?>
<ds:datastoreItem xmlns:ds="http://schemas.openxmlformats.org/officeDocument/2006/customXml" ds:itemID="{DA3977C2-C337-450A-BC14-1E2922FB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15055</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5</cp:revision>
  <cp:lastPrinted>2013-05-17T17:43:00Z</cp:lastPrinted>
  <dcterms:created xsi:type="dcterms:W3CDTF">2013-07-03T13:53:00Z</dcterms:created>
  <dcterms:modified xsi:type="dcterms:W3CDTF">2013-07-05T11:09:00Z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