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Pr="00BF609D" w:rsidRDefault="00490720">
      <w:pPr>
        <w:widowControl/>
        <w:autoSpaceDE/>
        <w:autoSpaceDN/>
        <w:adjustRightInd/>
        <w:rPr>
          <w:b/>
          <w:bCs/>
          <w:color w:val="000000" w:themeColor="text1"/>
          <w:sz w:val="32"/>
          <w:szCs w:val="32"/>
        </w:rPr>
      </w:pPr>
      <w:bookmarkStart w:id="0" w:name="_GoBack"/>
      <w:bookmarkEnd w:id="0"/>
    </w:p>
    <w:p w:rsidR="00BA1A0C" w:rsidRPr="00BF609D" w:rsidRDefault="009B3794" w:rsidP="00D33CEB">
      <w:pPr>
        <w:tabs>
          <w:tab w:val="center" w:pos="4680"/>
        </w:tabs>
        <w:spacing w:before="120"/>
        <w:jc w:val="center"/>
        <w:rPr>
          <w:b/>
          <w:bCs/>
          <w:color w:val="000000" w:themeColor="text1"/>
          <w:sz w:val="32"/>
          <w:szCs w:val="32"/>
        </w:rPr>
      </w:pPr>
      <w:r w:rsidRPr="00BF609D">
        <w:rPr>
          <w:b/>
          <w:bCs/>
          <w:color w:val="000000" w:themeColor="text1"/>
          <w:sz w:val="32"/>
          <w:szCs w:val="32"/>
        </w:rPr>
        <w:t xml:space="preserve">Supporting Statement </w:t>
      </w:r>
      <w:r w:rsidR="00BA1A0C" w:rsidRPr="00BF609D">
        <w:rPr>
          <w:b/>
          <w:bCs/>
          <w:color w:val="000000" w:themeColor="text1"/>
          <w:sz w:val="32"/>
          <w:szCs w:val="32"/>
        </w:rPr>
        <w:t>A</w:t>
      </w:r>
    </w:p>
    <w:p w:rsidR="00D33CEB" w:rsidRPr="00BF609D" w:rsidRDefault="00D33CEB" w:rsidP="00D33CEB">
      <w:pPr>
        <w:tabs>
          <w:tab w:val="center" w:pos="4680"/>
        </w:tabs>
        <w:spacing w:before="120"/>
        <w:jc w:val="center"/>
        <w:rPr>
          <w:b/>
          <w:bCs/>
          <w:color w:val="000000" w:themeColor="text1"/>
          <w:sz w:val="32"/>
          <w:szCs w:val="32"/>
        </w:rPr>
      </w:pPr>
    </w:p>
    <w:p w:rsidR="00BA1A0C" w:rsidRPr="00BF609D" w:rsidRDefault="00D33CEB" w:rsidP="00D33CEB">
      <w:pPr>
        <w:tabs>
          <w:tab w:val="center" w:pos="4680"/>
        </w:tabs>
        <w:spacing w:before="120"/>
        <w:jc w:val="center"/>
        <w:rPr>
          <w:b/>
          <w:bCs/>
          <w:color w:val="000000" w:themeColor="text1"/>
          <w:sz w:val="32"/>
          <w:szCs w:val="32"/>
        </w:rPr>
      </w:pPr>
      <w:r w:rsidRPr="00BF609D">
        <w:rPr>
          <w:b/>
          <w:bCs/>
          <w:color w:val="000000" w:themeColor="text1"/>
          <w:sz w:val="32"/>
          <w:szCs w:val="32"/>
        </w:rPr>
        <w:t>Evaluating the Impact of 1115 Medicaid Waivers on Ryan White HIV/AIDS Program and Its Clients and Providers</w:t>
      </w:r>
    </w:p>
    <w:p w:rsidR="00724BFB" w:rsidRPr="00BF609D" w:rsidRDefault="00724BFB" w:rsidP="00D33CEB">
      <w:pPr>
        <w:tabs>
          <w:tab w:val="center" w:pos="4680"/>
        </w:tabs>
        <w:spacing w:before="120"/>
        <w:jc w:val="center"/>
        <w:rPr>
          <w:b/>
          <w:bCs/>
          <w:color w:val="000000" w:themeColor="text1"/>
          <w:sz w:val="32"/>
          <w:szCs w:val="32"/>
        </w:rPr>
      </w:pPr>
    </w:p>
    <w:p w:rsidR="00724BFB" w:rsidRPr="00BF609D" w:rsidRDefault="00724BFB" w:rsidP="00D33CEB">
      <w:pPr>
        <w:tabs>
          <w:tab w:val="center" w:pos="4680"/>
        </w:tabs>
        <w:spacing w:before="120"/>
        <w:jc w:val="center"/>
        <w:rPr>
          <w:b/>
          <w:bCs/>
          <w:color w:val="000000" w:themeColor="text1"/>
          <w:sz w:val="32"/>
          <w:szCs w:val="32"/>
        </w:rPr>
      </w:pPr>
      <w:r w:rsidRPr="00BF609D">
        <w:rPr>
          <w:b/>
          <w:bCs/>
          <w:color w:val="000000" w:themeColor="text1"/>
          <w:sz w:val="32"/>
          <w:szCs w:val="32"/>
        </w:rPr>
        <w:t>Ver</w:t>
      </w:r>
      <w:r w:rsidRPr="001927F0">
        <w:rPr>
          <w:b/>
          <w:bCs/>
          <w:color w:val="000000" w:themeColor="text1"/>
          <w:sz w:val="32"/>
          <w:szCs w:val="32"/>
        </w:rPr>
        <w:t xml:space="preserve">sion: June </w:t>
      </w:r>
      <w:r w:rsidR="001927F0" w:rsidRPr="001927F0">
        <w:rPr>
          <w:b/>
          <w:bCs/>
          <w:color w:val="000000" w:themeColor="text1"/>
          <w:sz w:val="32"/>
          <w:szCs w:val="32"/>
        </w:rPr>
        <w:t>2</w:t>
      </w:r>
      <w:r w:rsidR="001C0B13">
        <w:rPr>
          <w:b/>
          <w:bCs/>
          <w:color w:val="000000" w:themeColor="text1"/>
          <w:sz w:val="32"/>
          <w:szCs w:val="32"/>
        </w:rPr>
        <w:t>4</w:t>
      </w:r>
      <w:r w:rsidRPr="001927F0">
        <w:rPr>
          <w:b/>
          <w:bCs/>
          <w:color w:val="000000" w:themeColor="text1"/>
          <w:sz w:val="32"/>
          <w:szCs w:val="32"/>
        </w:rPr>
        <w:t>, 2013</w:t>
      </w:r>
    </w:p>
    <w:p w:rsidR="00D33CEB" w:rsidRPr="00BF609D" w:rsidRDefault="00D33CEB" w:rsidP="00CE5AA9">
      <w:pPr>
        <w:tabs>
          <w:tab w:val="center" w:pos="4680"/>
        </w:tabs>
        <w:spacing w:before="120"/>
        <w:jc w:val="center"/>
        <w:rPr>
          <w:b/>
          <w:bCs/>
          <w:color w:val="000000" w:themeColor="text1"/>
          <w:sz w:val="32"/>
          <w:szCs w:val="32"/>
        </w:rPr>
      </w:pPr>
    </w:p>
    <w:p w:rsidR="00A211C2" w:rsidRPr="00BF609D" w:rsidRDefault="00A211C2" w:rsidP="00CE5AA9">
      <w:pPr>
        <w:tabs>
          <w:tab w:val="center" w:pos="4680"/>
        </w:tabs>
        <w:spacing w:before="120"/>
        <w:jc w:val="center"/>
        <w:rPr>
          <w:b/>
          <w:bCs/>
          <w:color w:val="000000" w:themeColor="text1"/>
          <w:sz w:val="32"/>
          <w:szCs w:val="32"/>
        </w:rPr>
      </w:pPr>
      <w:r w:rsidRPr="00BF609D">
        <w:rPr>
          <w:b/>
          <w:bCs/>
          <w:color w:val="000000" w:themeColor="text1"/>
          <w:sz w:val="32"/>
          <w:szCs w:val="32"/>
        </w:rPr>
        <w:t>Health Resources and Services Administration</w:t>
      </w:r>
    </w:p>
    <w:p w:rsidR="00A211C2" w:rsidRPr="00BF609D" w:rsidRDefault="00A211C2" w:rsidP="00CE5AA9">
      <w:pPr>
        <w:tabs>
          <w:tab w:val="center" w:pos="4680"/>
        </w:tabs>
        <w:spacing w:before="120"/>
        <w:jc w:val="center"/>
        <w:rPr>
          <w:b/>
          <w:bCs/>
          <w:color w:val="000000" w:themeColor="text1"/>
          <w:sz w:val="32"/>
          <w:szCs w:val="32"/>
        </w:rPr>
      </w:pPr>
      <w:r w:rsidRPr="00BF609D">
        <w:rPr>
          <w:b/>
          <w:bCs/>
          <w:color w:val="000000" w:themeColor="text1"/>
          <w:sz w:val="32"/>
          <w:szCs w:val="32"/>
        </w:rPr>
        <w:t>HIV/AIDS Bureau</w:t>
      </w:r>
    </w:p>
    <w:p w:rsidR="00A211C2" w:rsidRPr="00BF609D" w:rsidRDefault="00A211C2" w:rsidP="00CE5AA9">
      <w:pPr>
        <w:tabs>
          <w:tab w:val="center" w:pos="4680"/>
        </w:tabs>
        <w:spacing w:before="120"/>
        <w:jc w:val="center"/>
        <w:rPr>
          <w:b/>
          <w:bCs/>
          <w:color w:val="000000" w:themeColor="text1"/>
          <w:sz w:val="32"/>
          <w:szCs w:val="32"/>
        </w:rPr>
      </w:pPr>
    </w:p>
    <w:p w:rsidR="00BA1A0C" w:rsidRPr="00BF609D" w:rsidRDefault="00BA1A0C" w:rsidP="00CE5AA9">
      <w:pPr>
        <w:tabs>
          <w:tab w:val="center" w:pos="4680"/>
        </w:tabs>
        <w:spacing w:before="120"/>
        <w:jc w:val="center"/>
        <w:rPr>
          <w:b/>
          <w:bCs/>
          <w:color w:val="000000" w:themeColor="text1"/>
          <w:sz w:val="32"/>
          <w:szCs w:val="32"/>
        </w:rPr>
      </w:pPr>
      <w:r w:rsidRPr="00BF609D">
        <w:rPr>
          <w:b/>
          <w:bCs/>
          <w:color w:val="000000" w:themeColor="text1"/>
          <w:sz w:val="32"/>
          <w:szCs w:val="32"/>
        </w:rPr>
        <w:t>OMB Control No. 09</w:t>
      </w:r>
      <w:r w:rsidR="00E34A1F" w:rsidRPr="00BF609D">
        <w:rPr>
          <w:b/>
          <w:bCs/>
          <w:color w:val="000000" w:themeColor="text1"/>
          <w:sz w:val="32"/>
          <w:szCs w:val="32"/>
        </w:rPr>
        <w:t>15</w:t>
      </w:r>
      <w:r w:rsidRPr="00BF609D">
        <w:rPr>
          <w:b/>
          <w:bCs/>
          <w:color w:val="000000" w:themeColor="text1"/>
          <w:sz w:val="32"/>
          <w:szCs w:val="32"/>
        </w:rPr>
        <w:t>-XXXX</w:t>
      </w:r>
    </w:p>
    <w:p w:rsidR="00BA1A0C" w:rsidRPr="00BF609D" w:rsidRDefault="00BA1A0C" w:rsidP="00CE5AA9">
      <w:pPr>
        <w:tabs>
          <w:tab w:val="center" w:pos="4680"/>
        </w:tabs>
        <w:spacing w:before="120"/>
        <w:jc w:val="center"/>
        <w:rPr>
          <w:b/>
          <w:bCs/>
          <w:color w:val="000000" w:themeColor="text1"/>
          <w:sz w:val="32"/>
          <w:szCs w:val="32"/>
        </w:rPr>
      </w:pPr>
    </w:p>
    <w:p w:rsidR="009B3794" w:rsidRPr="00BF609D" w:rsidRDefault="009B3794" w:rsidP="00CE5AA9">
      <w:pPr>
        <w:tabs>
          <w:tab w:val="center" w:pos="4680"/>
        </w:tabs>
        <w:spacing w:before="120"/>
        <w:jc w:val="center"/>
        <w:rPr>
          <w:b/>
          <w:bCs/>
          <w:color w:val="000000" w:themeColor="text1"/>
          <w:sz w:val="32"/>
          <w:szCs w:val="32"/>
        </w:rPr>
      </w:pPr>
    </w:p>
    <w:p w:rsidR="00A211C2" w:rsidRPr="00BF609D" w:rsidRDefault="00A211C2" w:rsidP="00CE5AA9">
      <w:pPr>
        <w:spacing w:before="120"/>
        <w:rPr>
          <w:color w:val="000000" w:themeColor="text1"/>
          <w:sz w:val="24"/>
        </w:rPr>
      </w:pPr>
    </w:p>
    <w:p w:rsidR="00A211C2" w:rsidRPr="00BF609D" w:rsidRDefault="00A211C2" w:rsidP="00CE5AA9">
      <w:pPr>
        <w:spacing w:before="120"/>
        <w:rPr>
          <w:color w:val="000000" w:themeColor="text1"/>
          <w:sz w:val="24"/>
        </w:rPr>
      </w:pPr>
    </w:p>
    <w:p w:rsidR="00A211C2" w:rsidRPr="00BF609D" w:rsidRDefault="00A211C2" w:rsidP="00CE5AA9">
      <w:pPr>
        <w:spacing w:before="120"/>
        <w:rPr>
          <w:color w:val="000000" w:themeColor="text1"/>
          <w:sz w:val="24"/>
        </w:rPr>
      </w:pPr>
    </w:p>
    <w:p w:rsidR="00F675BA" w:rsidRPr="00BF609D" w:rsidRDefault="00F675BA" w:rsidP="00CE5AA9">
      <w:pPr>
        <w:spacing w:before="120"/>
        <w:rPr>
          <w:color w:val="000000" w:themeColor="text1"/>
          <w:sz w:val="24"/>
        </w:rPr>
      </w:pPr>
    </w:p>
    <w:p w:rsidR="00A211C2" w:rsidRPr="00BF609D" w:rsidRDefault="00A211C2" w:rsidP="00CE5AA9">
      <w:pPr>
        <w:spacing w:before="120"/>
        <w:rPr>
          <w:color w:val="000000" w:themeColor="text1"/>
          <w:sz w:val="24"/>
        </w:rPr>
      </w:pPr>
    </w:p>
    <w:p w:rsidR="00A211C2" w:rsidRPr="00BF609D" w:rsidRDefault="00A211C2" w:rsidP="00CE5AA9">
      <w:pPr>
        <w:spacing w:before="120"/>
        <w:rPr>
          <w:color w:val="000000" w:themeColor="text1"/>
          <w:sz w:val="24"/>
        </w:rPr>
      </w:pPr>
    </w:p>
    <w:p w:rsidR="009B2FAE" w:rsidRPr="00BF609D" w:rsidRDefault="00BC42BA" w:rsidP="00CE5AA9">
      <w:pPr>
        <w:spacing w:before="120"/>
        <w:rPr>
          <w:color w:val="000000" w:themeColor="text1"/>
          <w:sz w:val="24"/>
        </w:rPr>
      </w:pPr>
      <w:r w:rsidRPr="00BF609D">
        <w:rPr>
          <w:color w:val="000000" w:themeColor="text1"/>
          <w:sz w:val="24"/>
        </w:rPr>
        <w:t xml:space="preserve">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724BFB" w:rsidRPr="00BF609D">
        <w:rPr>
          <w:color w:val="000000" w:themeColor="text1"/>
          <w:sz w:val="24"/>
        </w:rPr>
        <w:t>two</w:t>
      </w:r>
      <w:r w:rsidRPr="00BF609D">
        <w:rPr>
          <w:color w:val="000000" w:themeColor="text1"/>
          <w:sz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F92604" w:rsidRDefault="00F92604" w:rsidP="00F92604">
      <w:pPr>
        <w:widowControl/>
        <w:autoSpaceDE/>
        <w:autoSpaceDN/>
        <w:adjustRightInd/>
        <w:rPr>
          <w:color w:val="000000" w:themeColor="text1"/>
          <w:sz w:val="24"/>
        </w:rPr>
      </w:pPr>
    </w:p>
    <w:p w:rsidR="00F92604" w:rsidRDefault="00F92604" w:rsidP="00F92604">
      <w:pPr>
        <w:widowControl/>
        <w:autoSpaceDE/>
        <w:autoSpaceDN/>
        <w:adjustRightInd/>
        <w:rPr>
          <w:color w:val="000000" w:themeColor="text1"/>
          <w:sz w:val="24"/>
        </w:rPr>
      </w:pPr>
    </w:p>
    <w:p w:rsidR="00F92604" w:rsidRDefault="00F92604" w:rsidP="00F92604">
      <w:pPr>
        <w:widowControl/>
        <w:autoSpaceDE/>
        <w:autoSpaceDN/>
        <w:adjustRightInd/>
        <w:rPr>
          <w:color w:val="000000" w:themeColor="text1"/>
          <w:sz w:val="24"/>
        </w:rPr>
      </w:pPr>
    </w:p>
    <w:p w:rsidR="00BC42BA" w:rsidRPr="00F92604" w:rsidRDefault="009B2FAE" w:rsidP="00F92604">
      <w:pPr>
        <w:widowControl/>
        <w:autoSpaceDE/>
        <w:autoSpaceDN/>
        <w:adjustRightInd/>
        <w:jc w:val="center"/>
        <w:rPr>
          <w:color w:val="000000" w:themeColor="text1"/>
          <w:sz w:val="24"/>
        </w:rPr>
      </w:pPr>
      <w:r w:rsidRPr="00BF609D">
        <w:rPr>
          <w:b/>
          <w:i/>
          <w:color w:val="000000" w:themeColor="text1"/>
          <w:sz w:val="24"/>
        </w:rPr>
        <w:lastRenderedPageBreak/>
        <w:t>Table of Contents</w:t>
      </w:r>
    </w:p>
    <w:p w:rsidR="00830825" w:rsidRPr="00BF38C0" w:rsidRDefault="00830825" w:rsidP="0075442A">
      <w:pPr>
        <w:tabs>
          <w:tab w:val="right" w:leader="dot" w:pos="9360"/>
        </w:tabs>
        <w:spacing w:line="360" w:lineRule="auto"/>
        <w:rPr>
          <w:bCs/>
          <w:color w:val="000000" w:themeColor="text1"/>
          <w:sz w:val="24"/>
        </w:rPr>
      </w:pPr>
      <w:r w:rsidRPr="00BF38C0">
        <w:rPr>
          <w:bCs/>
          <w:color w:val="000000" w:themeColor="text1"/>
          <w:sz w:val="24"/>
        </w:rPr>
        <w:t>Justification</w:t>
      </w:r>
      <w:r w:rsidR="00BF38C0">
        <w:rPr>
          <w:bCs/>
          <w:color w:val="000000" w:themeColor="text1"/>
          <w:sz w:val="24"/>
        </w:rPr>
        <w:tab/>
        <w:t>3</w:t>
      </w:r>
    </w:p>
    <w:p w:rsidR="00BF38C0" w:rsidRDefault="00830825" w:rsidP="0075442A">
      <w:pPr>
        <w:tabs>
          <w:tab w:val="right" w:leader="dot" w:pos="9360"/>
        </w:tabs>
        <w:spacing w:line="360" w:lineRule="auto"/>
        <w:rPr>
          <w:color w:val="000000" w:themeColor="text1"/>
          <w:sz w:val="24"/>
        </w:rPr>
      </w:pPr>
      <w:r w:rsidRPr="00BF38C0">
        <w:rPr>
          <w:color w:val="000000" w:themeColor="text1"/>
          <w:sz w:val="24"/>
        </w:rPr>
        <w:t>Circumstances Making the Collection of Information Necessary</w:t>
      </w:r>
      <w:r w:rsidR="00BF38C0">
        <w:rPr>
          <w:color w:val="000000" w:themeColor="text1"/>
          <w:sz w:val="24"/>
        </w:rPr>
        <w:tab/>
        <w:t xml:space="preserve">3 </w:t>
      </w:r>
    </w:p>
    <w:p w:rsidR="00830825" w:rsidRPr="00BF38C0" w:rsidRDefault="00830825" w:rsidP="0075442A">
      <w:pPr>
        <w:tabs>
          <w:tab w:val="right" w:leader="dot" w:pos="9360"/>
        </w:tabs>
        <w:spacing w:line="360" w:lineRule="auto"/>
      </w:pPr>
      <w:r w:rsidRPr="00BF38C0">
        <w:rPr>
          <w:color w:val="000000" w:themeColor="text1"/>
          <w:sz w:val="24"/>
        </w:rPr>
        <w:t>Purpose and Use of Information Collection</w:t>
      </w:r>
      <w:r w:rsidR="00BF38C0">
        <w:rPr>
          <w:color w:val="000000" w:themeColor="text1"/>
          <w:sz w:val="24"/>
        </w:rPr>
        <w:tab/>
        <w:t>4</w:t>
      </w:r>
    </w:p>
    <w:p w:rsidR="00830825" w:rsidRPr="00BF38C0" w:rsidRDefault="00830825" w:rsidP="0075442A">
      <w:pPr>
        <w:tabs>
          <w:tab w:val="right" w:leader="dot" w:pos="9360"/>
        </w:tabs>
        <w:spacing w:line="360" w:lineRule="auto"/>
        <w:rPr>
          <w:color w:val="000000" w:themeColor="text1"/>
          <w:sz w:val="24"/>
        </w:rPr>
      </w:pPr>
      <w:r w:rsidRPr="00BF38C0">
        <w:rPr>
          <w:color w:val="000000" w:themeColor="text1"/>
          <w:sz w:val="24"/>
        </w:rPr>
        <w:t>Use of Improved Information Technology and Burden Reduction</w:t>
      </w:r>
      <w:r w:rsidR="00BF38C0">
        <w:rPr>
          <w:color w:val="000000" w:themeColor="text1"/>
          <w:sz w:val="24"/>
        </w:rPr>
        <w:tab/>
        <w:t>4</w:t>
      </w:r>
    </w:p>
    <w:p w:rsidR="00830825" w:rsidRPr="00BF38C0" w:rsidRDefault="00BF38C0" w:rsidP="0075442A">
      <w:pPr>
        <w:tabs>
          <w:tab w:val="right" w:leader="dot" w:pos="9360"/>
        </w:tabs>
        <w:spacing w:line="360" w:lineRule="auto"/>
        <w:rPr>
          <w:color w:val="000000" w:themeColor="text1"/>
          <w:sz w:val="24"/>
        </w:rPr>
      </w:pPr>
      <w:r>
        <w:rPr>
          <w:color w:val="000000" w:themeColor="text1"/>
          <w:sz w:val="24"/>
        </w:rPr>
        <w:t xml:space="preserve">Efforts to </w:t>
      </w:r>
      <w:r w:rsidR="00830825" w:rsidRPr="00BF38C0">
        <w:rPr>
          <w:color w:val="000000" w:themeColor="text1"/>
          <w:sz w:val="24"/>
        </w:rPr>
        <w:t>Identify Duplication and Use of Similar Information</w:t>
      </w:r>
      <w:r>
        <w:rPr>
          <w:color w:val="000000" w:themeColor="text1"/>
          <w:sz w:val="24"/>
        </w:rPr>
        <w:tab/>
        <w:t>5</w:t>
      </w:r>
    </w:p>
    <w:p w:rsidR="00830825" w:rsidRPr="00BF38C0" w:rsidRDefault="00830825" w:rsidP="0075442A">
      <w:pPr>
        <w:tabs>
          <w:tab w:val="right" w:leader="dot" w:pos="9360"/>
        </w:tabs>
        <w:spacing w:line="360" w:lineRule="auto"/>
        <w:rPr>
          <w:color w:val="000000" w:themeColor="text1"/>
          <w:sz w:val="24"/>
        </w:rPr>
      </w:pPr>
      <w:r w:rsidRPr="00BF38C0">
        <w:rPr>
          <w:color w:val="000000" w:themeColor="text1"/>
          <w:sz w:val="24"/>
        </w:rPr>
        <w:t>Impact on Small Businesses or Other Small Entities</w:t>
      </w:r>
      <w:r w:rsidR="00BF38C0">
        <w:rPr>
          <w:color w:val="000000" w:themeColor="text1"/>
          <w:sz w:val="24"/>
        </w:rPr>
        <w:tab/>
        <w:t>5</w:t>
      </w:r>
    </w:p>
    <w:p w:rsidR="00830825" w:rsidRPr="00BF38C0" w:rsidRDefault="00830825" w:rsidP="0075442A">
      <w:pPr>
        <w:tabs>
          <w:tab w:val="right" w:leader="dot" w:pos="9360"/>
        </w:tabs>
        <w:spacing w:line="360" w:lineRule="auto"/>
        <w:rPr>
          <w:color w:val="000000" w:themeColor="text1"/>
          <w:sz w:val="24"/>
        </w:rPr>
      </w:pPr>
      <w:r w:rsidRPr="00BF38C0">
        <w:rPr>
          <w:color w:val="000000" w:themeColor="text1"/>
          <w:sz w:val="24"/>
        </w:rPr>
        <w:t>Consequences of Collecting the Information Less Frequently</w:t>
      </w:r>
      <w:r w:rsidR="00BF38C0">
        <w:rPr>
          <w:color w:val="000000" w:themeColor="text1"/>
          <w:sz w:val="24"/>
        </w:rPr>
        <w:tab/>
        <w:t>5</w:t>
      </w:r>
    </w:p>
    <w:p w:rsidR="00830825" w:rsidRPr="00BF38C0" w:rsidRDefault="00830825" w:rsidP="0075442A">
      <w:pPr>
        <w:tabs>
          <w:tab w:val="right" w:leader="dot" w:pos="9360"/>
        </w:tabs>
        <w:spacing w:line="360" w:lineRule="auto"/>
        <w:rPr>
          <w:color w:val="000000" w:themeColor="text1"/>
          <w:sz w:val="24"/>
        </w:rPr>
      </w:pPr>
      <w:r w:rsidRPr="00BF38C0">
        <w:rPr>
          <w:color w:val="000000" w:themeColor="text1"/>
          <w:sz w:val="24"/>
        </w:rPr>
        <w:t>Special Circumstances Relating to the Guidelines of 5 CFR 1320.5</w:t>
      </w:r>
      <w:r w:rsidR="00BF38C0">
        <w:rPr>
          <w:color w:val="000000" w:themeColor="text1"/>
          <w:sz w:val="24"/>
        </w:rPr>
        <w:tab/>
        <w:t>5</w:t>
      </w:r>
    </w:p>
    <w:p w:rsidR="00830825" w:rsidRPr="00BF38C0" w:rsidRDefault="00830825" w:rsidP="0075442A">
      <w:pPr>
        <w:tabs>
          <w:tab w:val="right" w:leader="dot" w:pos="9360"/>
        </w:tabs>
        <w:spacing w:line="360" w:lineRule="auto"/>
        <w:rPr>
          <w:color w:val="000000" w:themeColor="text1"/>
          <w:sz w:val="24"/>
        </w:rPr>
      </w:pPr>
      <w:r w:rsidRPr="00BF38C0">
        <w:rPr>
          <w:iCs/>
          <w:color w:val="000000" w:themeColor="text1"/>
          <w:sz w:val="24"/>
        </w:rPr>
        <w:t>Comments in Response to the Federal Register</w:t>
      </w:r>
      <w:r w:rsidRPr="00BF38C0">
        <w:rPr>
          <w:color w:val="000000" w:themeColor="text1"/>
          <w:sz w:val="24"/>
        </w:rPr>
        <w:t xml:space="preserve"> Notice/Outside Consultation</w:t>
      </w:r>
      <w:r w:rsidR="00BF38C0">
        <w:rPr>
          <w:color w:val="000000" w:themeColor="text1"/>
          <w:sz w:val="24"/>
        </w:rPr>
        <w:tab/>
      </w:r>
      <w:r w:rsidR="00E524C2">
        <w:rPr>
          <w:color w:val="000000" w:themeColor="text1"/>
          <w:sz w:val="24"/>
        </w:rPr>
        <w:t>6</w:t>
      </w:r>
    </w:p>
    <w:p w:rsidR="00830825" w:rsidRPr="00BF38C0" w:rsidRDefault="00830825" w:rsidP="0075442A">
      <w:pPr>
        <w:tabs>
          <w:tab w:val="right" w:leader="dot" w:pos="9360"/>
        </w:tabs>
        <w:spacing w:line="360" w:lineRule="auto"/>
      </w:pPr>
      <w:r w:rsidRPr="00BF38C0">
        <w:rPr>
          <w:color w:val="000000" w:themeColor="text1"/>
          <w:sz w:val="24"/>
        </w:rPr>
        <w:t>Explanation of any Payment/Gift to Respondents</w:t>
      </w:r>
      <w:r w:rsidR="00BF38C0">
        <w:rPr>
          <w:color w:val="000000" w:themeColor="text1"/>
          <w:sz w:val="24"/>
        </w:rPr>
        <w:t xml:space="preserve"> </w:t>
      </w:r>
      <w:r w:rsidRPr="00BF38C0">
        <w:rPr>
          <w:color w:val="000000" w:themeColor="text1"/>
          <w:sz w:val="24"/>
        </w:rPr>
        <w:t>Assurance of Confidentiality Provided to Respondents</w:t>
      </w:r>
      <w:r w:rsidR="00770A7C">
        <w:rPr>
          <w:color w:val="000000" w:themeColor="text1"/>
          <w:sz w:val="24"/>
        </w:rPr>
        <w:tab/>
        <w:t>6</w:t>
      </w:r>
    </w:p>
    <w:p w:rsidR="00830825" w:rsidRPr="00BF38C0" w:rsidRDefault="00830825" w:rsidP="0075442A">
      <w:pPr>
        <w:tabs>
          <w:tab w:val="right" w:leader="dot" w:pos="9360"/>
        </w:tabs>
        <w:spacing w:line="360" w:lineRule="auto"/>
        <w:rPr>
          <w:color w:val="000000" w:themeColor="text1"/>
          <w:sz w:val="24"/>
        </w:rPr>
      </w:pPr>
      <w:r w:rsidRPr="00BF38C0">
        <w:rPr>
          <w:color w:val="000000" w:themeColor="text1"/>
          <w:sz w:val="24"/>
        </w:rPr>
        <w:t>Justification for Sensitive Questions</w:t>
      </w:r>
      <w:r w:rsidR="00770A7C">
        <w:rPr>
          <w:color w:val="000000" w:themeColor="text1"/>
          <w:sz w:val="24"/>
        </w:rPr>
        <w:tab/>
        <w:t>6</w:t>
      </w:r>
    </w:p>
    <w:p w:rsidR="00830825" w:rsidRPr="00BF38C0" w:rsidRDefault="00830825" w:rsidP="0075442A">
      <w:pPr>
        <w:tabs>
          <w:tab w:val="right" w:leader="dot" w:pos="9360"/>
        </w:tabs>
        <w:spacing w:line="360" w:lineRule="auto"/>
        <w:rPr>
          <w:color w:val="000000" w:themeColor="text1"/>
          <w:sz w:val="24"/>
        </w:rPr>
      </w:pPr>
      <w:r w:rsidRPr="00BF38C0">
        <w:rPr>
          <w:color w:val="000000" w:themeColor="text1"/>
          <w:sz w:val="24"/>
        </w:rPr>
        <w:t>Estimates of Annualized Hour and Cost Burden</w:t>
      </w:r>
      <w:r w:rsidR="00770A7C">
        <w:rPr>
          <w:color w:val="000000" w:themeColor="text1"/>
          <w:sz w:val="24"/>
        </w:rPr>
        <w:tab/>
        <w:t>6</w:t>
      </w:r>
      <w:r w:rsidRPr="00BF38C0">
        <w:rPr>
          <w:color w:val="000000" w:themeColor="text1"/>
          <w:sz w:val="24"/>
        </w:rPr>
        <w:t xml:space="preserve">  </w:t>
      </w:r>
    </w:p>
    <w:p w:rsidR="00BF38C0" w:rsidRPr="00BF38C0" w:rsidRDefault="00BF38C0" w:rsidP="0075442A">
      <w:pPr>
        <w:tabs>
          <w:tab w:val="right" w:leader="dot" w:pos="9360"/>
        </w:tabs>
        <w:spacing w:line="360" w:lineRule="auto"/>
        <w:rPr>
          <w:color w:val="000000" w:themeColor="text1"/>
          <w:sz w:val="24"/>
        </w:rPr>
      </w:pPr>
      <w:r w:rsidRPr="00BF38C0">
        <w:rPr>
          <w:color w:val="000000" w:themeColor="text1"/>
          <w:sz w:val="24"/>
        </w:rPr>
        <w:t xml:space="preserve">Estimates of other Total Annual Cost Burden to Respondents or </w:t>
      </w:r>
      <w:proofErr w:type="spellStart"/>
      <w:r w:rsidRPr="00BF38C0">
        <w:rPr>
          <w:color w:val="000000" w:themeColor="text1"/>
          <w:sz w:val="24"/>
        </w:rPr>
        <w:t>Recordkeepers</w:t>
      </w:r>
      <w:proofErr w:type="spellEnd"/>
      <w:r w:rsidRPr="00BF38C0">
        <w:rPr>
          <w:color w:val="000000" w:themeColor="text1"/>
          <w:sz w:val="24"/>
        </w:rPr>
        <w:t>/Capital Costs</w:t>
      </w:r>
      <w:r w:rsidR="00770A7C">
        <w:rPr>
          <w:color w:val="000000" w:themeColor="text1"/>
          <w:sz w:val="24"/>
        </w:rPr>
        <w:tab/>
        <w:t>8</w:t>
      </w:r>
    </w:p>
    <w:p w:rsidR="00BF38C0" w:rsidRPr="00BF38C0" w:rsidRDefault="00BF38C0" w:rsidP="0075442A">
      <w:pPr>
        <w:tabs>
          <w:tab w:val="right" w:leader="dot" w:pos="9360"/>
        </w:tabs>
        <w:spacing w:line="360" w:lineRule="auto"/>
      </w:pPr>
      <w:r w:rsidRPr="00BF38C0">
        <w:rPr>
          <w:color w:val="000000" w:themeColor="text1"/>
          <w:sz w:val="24"/>
        </w:rPr>
        <w:t>Annualized Cost to Federal Government</w:t>
      </w:r>
      <w:r w:rsidR="00770A7C">
        <w:rPr>
          <w:color w:val="000000" w:themeColor="text1"/>
          <w:sz w:val="24"/>
        </w:rPr>
        <w:tab/>
        <w:t>8</w:t>
      </w:r>
    </w:p>
    <w:p w:rsidR="00BF38C0" w:rsidRPr="00BF38C0" w:rsidRDefault="00BF38C0" w:rsidP="0075442A">
      <w:pPr>
        <w:tabs>
          <w:tab w:val="right" w:leader="dot" w:pos="9360"/>
        </w:tabs>
        <w:spacing w:line="360" w:lineRule="auto"/>
        <w:rPr>
          <w:color w:val="000000" w:themeColor="text1"/>
          <w:sz w:val="24"/>
        </w:rPr>
      </w:pPr>
      <w:r w:rsidRPr="00BF38C0">
        <w:rPr>
          <w:color w:val="000000" w:themeColor="text1"/>
          <w:sz w:val="24"/>
        </w:rPr>
        <w:t>Explanation for Program Changes or Adjustments</w:t>
      </w:r>
      <w:r w:rsidR="00770A7C">
        <w:rPr>
          <w:color w:val="000000" w:themeColor="text1"/>
          <w:sz w:val="24"/>
        </w:rPr>
        <w:tab/>
        <w:t>8</w:t>
      </w:r>
    </w:p>
    <w:p w:rsidR="00BF38C0" w:rsidRPr="00BF38C0" w:rsidRDefault="00BF38C0" w:rsidP="0075442A">
      <w:pPr>
        <w:tabs>
          <w:tab w:val="right" w:leader="dot" w:pos="9360"/>
        </w:tabs>
        <w:spacing w:line="360" w:lineRule="auto"/>
        <w:rPr>
          <w:color w:val="000000" w:themeColor="text1"/>
          <w:sz w:val="24"/>
        </w:rPr>
      </w:pPr>
      <w:r w:rsidRPr="00BF38C0">
        <w:rPr>
          <w:color w:val="000000" w:themeColor="text1"/>
          <w:sz w:val="24"/>
        </w:rPr>
        <w:t>Plans for Tabulation, Publication, and Project Time Schedule</w:t>
      </w:r>
      <w:r w:rsidR="00770A7C">
        <w:rPr>
          <w:color w:val="000000" w:themeColor="text1"/>
          <w:sz w:val="24"/>
        </w:rPr>
        <w:tab/>
        <w:t>8</w:t>
      </w:r>
    </w:p>
    <w:p w:rsidR="00BF38C0" w:rsidRPr="00BF38C0" w:rsidRDefault="00BF38C0" w:rsidP="0075442A">
      <w:pPr>
        <w:tabs>
          <w:tab w:val="right" w:leader="dot" w:pos="9360"/>
        </w:tabs>
        <w:spacing w:line="360" w:lineRule="auto"/>
        <w:rPr>
          <w:color w:val="000000" w:themeColor="text1"/>
          <w:sz w:val="24"/>
        </w:rPr>
      </w:pPr>
      <w:r w:rsidRPr="00BF38C0">
        <w:rPr>
          <w:color w:val="000000" w:themeColor="text1"/>
          <w:sz w:val="24"/>
        </w:rPr>
        <w:t>Reason(s) Display of OMB Expiration Date is Inappropriate</w:t>
      </w:r>
      <w:r w:rsidR="00770A7C">
        <w:rPr>
          <w:color w:val="000000" w:themeColor="text1"/>
          <w:sz w:val="24"/>
        </w:rPr>
        <w:tab/>
        <w:t>10</w:t>
      </w:r>
    </w:p>
    <w:p w:rsidR="0075442A" w:rsidRDefault="00BF38C0" w:rsidP="0075442A">
      <w:pPr>
        <w:tabs>
          <w:tab w:val="right" w:leader="dot" w:pos="9360"/>
        </w:tabs>
        <w:spacing w:line="360" w:lineRule="auto"/>
        <w:rPr>
          <w:color w:val="000000" w:themeColor="text1"/>
          <w:sz w:val="24"/>
        </w:rPr>
      </w:pPr>
      <w:r w:rsidRPr="00BF38C0">
        <w:rPr>
          <w:color w:val="000000" w:themeColor="text1"/>
          <w:sz w:val="24"/>
        </w:rPr>
        <w:t>Exceptions to Certification for Paperwork Reduction Act Submissions</w:t>
      </w:r>
      <w:r w:rsidR="00770A7C">
        <w:rPr>
          <w:color w:val="000000" w:themeColor="text1"/>
          <w:sz w:val="24"/>
        </w:rPr>
        <w:tab/>
        <w:t>10</w:t>
      </w:r>
    </w:p>
    <w:p w:rsidR="00BF38C0" w:rsidRDefault="00BF38C0" w:rsidP="0075442A">
      <w:pPr>
        <w:tabs>
          <w:tab w:val="right" w:leader="dot" w:pos="9360"/>
        </w:tabs>
        <w:spacing w:after="240" w:line="360" w:lineRule="auto"/>
        <w:rPr>
          <w:color w:val="000000" w:themeColor="text1"/>
          <w:sz w:val="24"/>
        </w:rPr>
      </w:pPr>
      <w:r>
        <w:rPr>
          <w:color w:val="000000" w:themeColor="text1"/>
          <w:sz w:val="24"/>
        </w:rPr>
        <w:t>Attachments</w:t>
      </w:r>
      <w:r w:rsidR="00770A7C">
        <w:rPr>
          <w:color w:val="000000" w:themeColor="text1"/>
          <w:sz w:val="24"/>
        </w:rPr>
        <w:tab/>
        <w:t>11</w:t>
      </w:r>
    </w:p>
    <w:p w:rsidR="00770A7C" w:rsidRDefault="00770A7C" w:rsidP="00770A7C">
      <w:pPr>
        <w:rPr>
          <w:i/>
          <w:color w:val="000000" w:themeColor="text1"/>
          <w:sz w:val="24"/>
        </w:rPr>
      </w:pPr>
    </w:p>
    <w:p w:rsidR="00BF38C0" w:rsidRDefault="00BF38C0" w:rsidP="006C22C0">
      <w:pPr>
        <w:jc w:val="center"/>
        <w:rPr>
          <w:i/>
          <w:color w:val="000000" w:themeColor="text1"/>
          <w:sz w:val="24"/>
        </w:rPr>
      </w:pPr>
      <w:r w:rsidRPr="00BF38C0">
        <w:rPr>
          <w:i/>
          <w:color w:val="000000" w:themeColor="text1"/>
          <w:sz w:val="24"/>
        </w:rPr>
        <w:t>Tables</w:t>
      </w:r>
    </w:p>
    <w:p w:rsidR="006C22C0" w:rsidRPr="00F92604" w:rsidRDefault="00F92604" w:rsidP="0075442A">
      <w:pPr>
        <w:tabs>
          <w:tab w:val="right" w:leader="dot" w:pos="9360"/>
        </w:tabs>
        <w:rPr>
          <w:i/>
          <w:color w:val="000000" w:themeColor="text1"/>
          <w:sz w:val="24"/>
        </w:rPr>
      </w:pPr>
      <w:r w:rsidRPr="00F92604">
        <w:rPr>
          <w:color w:val="000000" w:themeColor="text1"/>
          <w:sz w:val="24"/>
        </w:rPr>
        <w:t>Exhibit 12-A: Estimated Annualized Burden Hours</w:t>
      </w:r>
      <w:r>
        <w:rPr>
          <w:color w:val="000000" w:themeColor="text1"/>
          <w:sz w:val="24"/>
        </w:rPr>
        <w:tab/>
        <w:t>6</w:t>
      </w:r>
    </w:p>
    <w:p w:rsidR="00F92604" w:rsidRPr="00F92604" w:rsidRDefault="00F92604" w:rsidP="0075442A">
      <w:pPr>
        <w:widowControl/>
        <w:tabs>
          <w:tab w:val="right" w:leader="dot" w:pos="9360"/>
        </w:tabs>
        <w:spacing w:before="120"/>
        <w:rPr>
          <w:color w:val="000000" w:themeColor="text1"/>
          <w:sz w:val="24"/>
        </w:rPr>
      </w:pPr>
      <w:r w:rsidRPr="00F92604">
        <w:rPr>
          <w:color w:val="000000" w:themeColor="text1"/>
          <w:sz w:val="24"/>
        </w:rPr>
        <w:t>Exhibit 12-B: Estimated Annualized Burden Costs</w:t>
      </w:r>
      <w:r>
        <w:rPr>
          <w:color w:val="000000" w:themeColor="text1"/>
          <w:sz w:val="24"/>
        </w:rPr>
        <w:tab/>
        <w:t>7</w:t>
      </w:r>
    </w:p>
    <w:p w:rsidR="00F92604" w:rsidRPr="00F92604" w:rsidRDefault="00F92604" w:rsidP="0075442A">
      <w:pPr>
        <w:pStyle w:val="BodyTextIndent"/>
        <w:tabs>
          <w:tab w:val="right" w:leader="dot" w:pos="9360"/>
        </w:tabs>
        <w:spacing w:before="120"/>
        <w:ind w:left="0"/>
        <w:rPr>
          <w:rFonts w:ascii="Times New Roman" w:hAnsi="Times New Roman"/>
          <w:color w:val="000000" w:themeColor="text1"/>
        </w:rPr>
      </w:pPr>
      <w:r w:rsidRPr="00F92604">
        <w:rPr>
          <w:rFonts w:ascii="Times New Roman" w:hAnsi="Times New Roman"/>
          <w:color w:val="000000" w:themeColor="text1"/>
        </w:rPr>
        <w:t xml:space="preserve">Exhibit </w:t>
      </w:r>
      <w:proofErr w:type="gramStart"/>
      <w:r w:rsidRPr="00F92604">
        <w:rPr>
          <w:rFonts w:ascii="Times New Roman" w:hAnsi="Times New Roman"/>
          <w:color w:val="000000" w:themeColor="text1"/>
        </w:rPr>
        <w:t>A-</w:t>
      </w:r>
      <w:proofErr w:type="gramEnd"/>
      <w:r w:rsidRPr="00F92604">
        <w:rPr>
          <w:rFonts w:ascii="Times New Roman" w:hAnsi="Times New Roman"/>
          <w:color w:val="000000" w:themeColor="text1"/>
        </w:rPr>
        <w:t>14: Estimated Annual and Total Cost</w:t>
      </w:r>
      <w:r w:rsidRPr="00F92604">
        <w:rPr>
          <w:rFonts w:ascii="Times New Roman" w:hAnsi="Times New Roman"/>
          <w:color w:val="000000" w:themeColor="text1"/>
        </w:rPr>
        <w:tab/>
        <w:t>8</w:t>
      </w:r>
    </w:p>
    <w:p w:rsidR="00F92604" w:rsidRPr="00F92604" w:rsidRDefault="00F92604" w:rsidP="0075442A">
      <w:pPr>
        <w:pStyle w:val="BodyTextIndent"/>
        <w:tabs>
          <w:tab w:val="right" w:leader="dot" w:pos="9360"/>
        </w:tabs>
        <w:spacing w:before="120"/>
        <w:ind w:left="0"/>
        <w:rPr>
          <w:rFonts w:ascii="Times New Roman" w:hAnsi="Times New Roman"/>
          <w:color w:val="000000" w:themeColor="text1"/>
        </w:rPr>
      </w:pPr>
      <w:r w:rsidRPr="00F92604">
        <w:rPr>
          <w:rFonts w:ascii="Times New Roman" w:hAnsi="Times New Roman"/>
          <w:color w:val="000000" w:themeColor="text1"/>
        </w:rPr>
        <w:t>Exhibit A-16: Project Time Schedule</w:t>
      </w:r>
      <w:r w:rsidRPr="00F92604">
        <w:rPr>
          <w:rFonts w:ascii="Times New Roman" w:hAnsi="Times New Roman"/>
          <w:color w:val="000000" w:themeColor="text1"/>
        </w:rPr>
        <w:tab/>
        <w:t>9</w:t>
      </w:r>
    </w:p>
    <w:p w:rsidR="0075442A" w:rsidRDefault="0075442A" w:rsidP="00CE5AA9">
      <w:pPr>
        <w:spacing w:before="120"/>
        <w:rPr>
          <w:b/>
          <w:color w:val="000000" w:themeColor="text1"/>
          <w:sz w:val="24"/>
        </w:rPr>
      </w:pPr>
    </w:p>
    <w:p w:rsidR="0075442A" w:rsidRDefault="0075442A" w:rsidP="00CE5AA9">
      <w:pPr>
        <w:spacing w:before="120"/>
        <w:rPr>
          <w:b/>
          <w:color w:val="000000" w:themeColor="text1"/>
          <w:sz w:val="24"/>
        </w:rPr>
      </w:pPr>
    </w:p>
    <w:p w:rsidR="0075442A" w:rsidRDefault="0075442A" w:rsidP="00CE5AA9">
      <w:pPr>
        <w:spacing w:before="120"/>
        <w:rPr>
          <w:b/>
          <w:color w:val="000000" w:themeColor="text1"/>
          <w:sz w:val="24"/>
        </w:rPr>
      </w:pPr>
    </w:p>
    <w:p w:rsidR="009B3794" w:rsidRPr="00BF609D" w:rsidRDefault="00DE3A45" w:rsidP="00CE5AA9">
      <w:pPr>
        <w:spacing w:before="120"/>
        <w:rPr>
          <w:b/>
          <w:color w:val="000000" w:themeColor="text1"/>
          <w:sz w:val="24"/>
        </w:rPr>
      </w:pPr>
      <w:r w:rsidRPr="00BF609D">
        <w:rPr>
          <w:b/>
          <w:color w:val="000000" w:themeColor="text1"/>
          <w:sz w:val="24"/>
        </w:rPr>
        <w:lastRenderedPageBreak/>
        <w:t>Terms of Clearance</w:t>
      </w:r>
      <w:r w:rsidR="00BA1A0C" w:rsidRPr="00BF609D">
        <w:rPr>
          <w:b/>
          <w:color w:val="000000" w:themeColor="text1"/>
          <w:sz w:val="24"/>
        </w:rPr>
        <w:t>:</w:t>
      </w:r>
      <w:r w:rsidR="00BA1A0C" w:rsidRPr="00BF609D">
        <w:rPr>
          <w:color w:val="000000" w:themeColor="text1"/>
          <w:sz w:val="24"/>
        </w:rPr>
        <w:t xml:space="preserve">  </w:t>
      </w:r>
      <w:r w:rsidRPr="00BF609D">
        <w:rPr>
          <w:color w:val="000000" w:themeColor="text1"/>
          <w:sz w:val="24"/>
        </w:rPr>
        <w:t>None.</w:t>
      </w:r>
      <w:r w:rsidR="00BA1A0C" w:rsidRPr="00BF609D">
        <w:rPr>
          <w:b/>
          <w:color w:val="000000" w:themeColor="text1"/>
          <w:sz w:val="24"/>
        </w:rPr>
        <w:t xml:space="preserve"> </w:t>
      </w:r>
    </w:p>
    <w:p w:rsidR="009B3794" w:rsidRPr="00BF609D" w:rsidRDefault="009B3794" w:rsidP="00CA3DA6">
      <w:pPr>
        <w:spacing w:before="120"/>
        <w:rPr>
          <w:b/>
          <w:bCs/>
          <w:color w:val="000000" w:themeColor="text1"/>
          <w:sz w:val="24"/>
        </w:rPr>
      </w:pPr>
      <w:r w:rsidRPr="00BF609D">
        <w:rPr>
          <w:b/>
          <w:bCs/>
          <w:color w:val="000000" w:themeColor="text1"/>
          <w:sz w:val="24"/>
        </w:rPr>
        <w:t>A.</w:t>
      </w:r>
      <w:r w:rsidRPr="00BF609D">
        <w:rPr>
          <w:b/>
          <w:bCs/>
          <w:color w:val="000000" w:themeColor="text1"/>
          <w:sz w:val="24"/>
        </w:rPr>
        <w:tab/>
        <w:t>Justification</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Circumstances Making the Collection of Information Necessary</w:t>
      </w:r>
    </w:p>
    <w:p w:rsidR="0071767C" w:rsidRPr="00BF609D" w:rsidRDefault="00F833A6" w:rsidP="003029A2">
      <w:pPr>
        <w:spacing w:before="120"/>
        <w:rPr>
          <w:color w:val="000000" w:themeColor="text1"/>
          <w:sz w:val="24"/>
        </w:rPr>
      </w:pPr>
      <w:r w:rsidRPr="00BF609D">
        <w:rPr>
          <w:color w:val="000000" w:themeColor="text1"/>
          <w:sz w:val="24"/>
        </w:rPr>
        <w:t xml:space="preserve">In 2010, Congress enacted the Patient Protection and Affordable Care Act (ACA), a groundbreaking effort to assure health care access for all Americans. In response to challenges, the U.S. Supreme Court ruled in June 2012 to uphold the major provisions. However, the Court limited the enforcement mechanism of one critical element of the health care reform strategy, holding that states will not be at risk of losing all federal Medicaid funds if they do not comply with the 2014 expansion of Medicaid to individuals with income up to 133% of federal poverty (around $15,400 per year for an individual). The ACA’s national health care reform has the potential to create an AIDS-free generation by dramatically expanding access to medical care, life-saving HIV treatment, and screening. The National HIV/AIDS Strategy, our country’s first, sets a new course for an AIDS-free generation, but its success may be in jeopardy without full implementation of the Medicaid expansion. </w:t>
      </w:r>
    </w:p>
    <w:p w:rsidR="00F833A6" w:rsidRPr="00BF609D" w:rsidRDefault="00F833A6" w:rsidP="003029A2">
      <w:pPr>
        <w:spacing w:before="120"/>
        <w:rPr>
          <w:color w:val="000000" w:themeColor="text1"/>
          <w:sz w:val="24"/>
        </w:rPr>
      </w:pPr>
      <w:r w:rsidRPr="00BF609D">
        <w:rPr>
          <w:color w:val="000000" w:themeColor="text1"/>
          <w:sz w:val="24"/>
        </w:rPr>
        <w:t>The expansion of Medicaid will have a profound impact on Ryan White HIV/AIDS Program clients. A large proportion of current AIDS Drug Assistance Program (ADAP) and Ryan White Program clients have incomes of 133% federal poverty level (FPL) or below and are not currently insured. According to the most recent ADAP Monitoring Report, 56% of ADAP clients served in June 2011 had incomes of 133% FPL or below and 60% were uninsured.</w:t>
      </w:r>
    </w:p>
    <w:p w:rsidR="0071767C" w:rsidRPr="00BF609D" w:rsidRDefault="0071767C" w:rsidP="0071767C">
      <w:pPr>
        <w:spacing w:before="120"/>
        <w:rPr>
          <w:color w:val="000000" w:themeColor="text1"/>
          <w:sz w:val="24"/>
        </w:rPr>
      </w:pPr>
      <w:r w:rsidRPr="00BF609D">
        <w:rPr>
          <w:color w:val="000000" w:themeColor="text1"/>
          <w:sz w:val="24"/>
        </w:rPr>
        <w:t>Section 1115 of the Social Security Act allows the Secretary of Health and Human Services to waive certain provisions of title XIX of the Social Security Act for experimental, pilot, or demonstration projects. Section 1115 waivers allow states to develop, test, and implement new approaches to providing Medicaid coverage outside of federal program rules, leading up to full implementation of the ACA. Many states have used these waivers to expand Medicaid eligibility to populations beyond those established in federal Medicaid law. A section 1115 Medicaid waiver gives states the flexibility to expand access to PLWH (either through a population specific waiver or a broader waiver that encompasses otherwise ineligible PLWH) and permit eligibility for services without having to be permanently disabled due to an AIDS diagnosis. Provision of these services to PLWH earlier in their HIV disease promotes health and improved health outcomes for this population, while reducing the risk of further transmission of HIV.</w:t>
      </w:r>
    </w:p>
    <w:p w:rsidR="003029A2" w:rsidRPr="00BF609D" w:rsidRDefault="003029A2" w:rsidP="003029A2">
      <w:pPr>
        <w:spacing w:before="120"/>
        <w:rPr>
          <w:color w:val="000000" w:themeColor="text1"/>
          <w:sz w:val="24"/>
        </w:rPr>
      </w:pPr>
      <w:r w:rsidRPr="00BF609D">
        <w:rPr>
          <w:color w:val="000000" w:themeColor="text1"/>
          <w:sz w:val="24"/>
        </w:rPr>
        <w:t xml:space="preserve">The US Department of Health and Human Services, Health Resources and Services Administration (HRSA), HIV/AIDS Bureau has asked John Snow, Inc. (JSI) to study the implementation of 1115 Medicaid waivers that have expanded Medicaid eligibility for PLWH. </w:t>
      </w:r>
    </w:p>
    <w:p w:rsidR="003029A2" w:rsidRPr="001927F0" w:rsidRDefault="003029A2" w:rsidP="003029A2">
      <w:pPr>
        <w:spacing w:before="120"/>
        <w:rPr>
          <w:color w:val="000000" w:themeColor="text1"/>
          <w:sz w:val="24"/>
        </w:rPr>
      </w:pPr>
      <w:r w:rsidRPr="00BF609D">
        <w:rPr>
          <w:color w:val="000000" w:themeColor="text1"/>
          <w:sz w:val="24"/>
        </w:rPr>
        <w:t xml:space="preserve">The purpose of these discussions will be to learn more about the waivers in place here in a diverse array of states that have implemented these waivers in the past. Discussions are not designed to evaluate individual programs or agencies, but rather to learn more about the waivers in practice. The goal is to understand how Medicaid expansion and the 1115 Medicaid waivers will affect the Ryan White Program as well as PLWH, and how the waivers have prepared states for implementation of the Affordable Care Act. Specifically, discussions will focus on states’ experiences with the waiver process, from application to implementation, and practice. JSI will </w:t>
      </w:r>
      <w:r w:rsidRPr="001927F0">
        <w:rPr>
          <w:color w:val="000000" w:themeColor="text1"/>
          <w:sz w:val="24"/>
        </w:rPr>
        <w:lastRenderedPageBreak/>
        <w:t>be holding similar discussion groups with Medicaid and Ryan White Program staff in a total of eight states that have implemented these waivers. Participation in these discussions is completely voluntary.</w:t>
      </w:r>
    </w:p>
    <w:p w:rsidR="00D33CEB" w:rsidRPr="001927F0" w:rsidRDefault="00D33CEB" w:rsidP="003029A2">
      <w:pPr>
        <w:spacing w:before="120"/>
        <w:rPr>
          <w:color w:val="000000" w:themeColor="text1"/>
          <w:sz w:val="24"/>
        </w:rPr>
      </w:pPr>
      <w:r w:rsidRPr="001927F0">
        <w:rPr>
          <w:color w:val="000000" w:themeColor="text1"/>
          <w:sz w:val="24"/>
        </w:rPr>
        <w:t xml:space="preserve">The collection of this information is authorized under Section 301 of the Public Health Service Act (42 U.S.C.241), </w:t>
      </w:r>
      <w:r w:rsidR="00C1623E" w:rsidRPr="001927F0">
        <w:rPr>
          <w:color w:val="000000" w:themeColor="text1"/>
          <w:sz w:val="24"/>
        </w:rPr>
        <w:t>included as</w:t>
      </w:r>
      <w:r w:rsidRPr="001927F0">
        <w:rPr>
          <w:color w:val="000000" w:themeColor="text1"/>
          <w:sz w:val="24"/>
        </w:rPr>
        <w:t xml:space="preserve"> Attachment </w:t>
      </w:r>
      <w:r w:rsidR="00C1623E" w:rsidRPr="001927F0">
        <w:rPr>
          <w:color w:val="000000" w:themeColor="text1"/>
          <w:sz w:val="24"/>
        </w:rPr>
        <w:t>A</w:t>
      </w:r>
      <w:r w:rsidRPr="001927F0">
        <w:rPr>
          <w:color w:val="000000" w:themeColor="text1"/>
          <w:sz w:val="24"/>
        </w:rPr>
        <w:t>.</w:t>
      </w:r>
    </w:p>
    <w:p w:rsidR="009B3794" w:rsidRPr="001927F0" w:rsidRDefault="009B3794" w:rsidP="00CA3DA6">
      <w:pPr>
        <w:numPr>
          <w:ilvl w:val="0"/>
          <w:numId w:val="2"/>
        </w:numPr>
        <w:spacing w:before="240"/>
        <w:rPr>
          <w:b/>
          <w:color w:val="000000" w:themeColor="text1"/>
          <w:sz w:val="24"/>
        </w:rPr>
      </w:pPr>
      <w:r w:rsidRPr="001927F0">
        <w:rPr>
          <w:b/>
          <w:color w:val="000000" w:themeColor="text1"/>
          <w:sz w:val="24"/>
          <w:u w:val="single"/>
        </w:rPr>
        <w:t>Purpose and Use of Information Collection</w:t>
      </w:r>
    </w:p>
    <w:p w:rsidR="00F6447A" w:rsidRPr="001927F0" w:rsidRDefault="0036675E" w:rsidP="003029A2">
      <w:pPr>
        <w:widowControl/>
        <w:autoSpaceDE/>
        <w:autoSpaceDN/>
        <w:adjustRightInd/>
        <w:spacing w:before="120"/>
        <w:rPr>
          <w:color w:val="000000" w:themeColor="text1"/>
          <w:sz w:val="24"/>
        </w:rPr>
      </w:pPr>
      <w:r w:rsidRPr="001927F0">
        <w:rPr>
          <w:color w:val="000000" w:themeColor="text1"/>
          <w:sz w:val="24"/>
        </w:rPr>
        <w:t>Leading up to full implementation of the Affordable Care Act, states have begun to use Section 1115 Medicaid demonstration waivers as a ‘‘bridge’’ to 2014. This project will examine 1115 Medicaid waivers that have expanded eligibility to specifically include PLWH who are not otherwise eligible for Medicaid services. Given the important role of the Ryan White Program and Medicaid in meeting the health care needs of PLWH, there is a need to better understand how Medicaid expansion and the 1115 Medicaid waivers will affect the RWHAP and how the waivers have prepared states for implementation of the Affordable Care Act.</w:t>
      </w:r>
      <w:r w:rsidR="006F742B" w:rsidRPr="001927F0">
        <w:rPr>
          <w:color w:val="000000" w:themeColor="text1"/>
          <w:sz w:val="24"/>
        </w:rPr>
        <w:t xml:space="preserve"> Analysis of</w:t>
      </w:r>
      <w:r w:rsidR="00043C50" w:rsidRPr="001927F0">
        <w:rPr>
          <w:color w:val="000000" w:themeColor="text1"/>
          <w:sz w:val="24"/>
        </w:rPr>
        <w:t xml:space="preserve"> the scope of coverage under the Medicaid waiver </w:t>
      </w:r>
      <w:r w:rsidR="00B91FFF" w:rsidRPr="001927F0">
        <w:rPr>
          <w:color w:val="000000" w:themeColor="text1"/>
          <w:sz w:val="24"/>
        </w:rPr>
        <w:t>and the extent to which essential HIV/AIDS treatment and services are covered will help state policy makers to identify potential gaps</w:t>
      </w:r>
      <w:r w:rsidR="007F77F6" w:rsidRPr="001927F0">
        <w:rPr>
          <w:color w:val="000000" w:themeColor="text1"/>
          <w:sz w:val="24"/>
        </w:rPr>
        <w:t xml:space="preserve"> and to assess how Ryan White Program services </w:t>
      </w:r>
      <w:r w:rsidR="00E06481" w:rsidRPr="001927F0">
        <w:rPr>
          <w:color w:val="000000" w:themeColor="text1"/>
          <w:sz w:val="24"/>
        </w:rPr>
        <w:t>work in conjunction with Medicaid coverage</w:t>
      </w:r>
      <w:r w:rsidR="00B91FFF" w:rsidRPr="001927F0">
        <w:rPr>
          <w:color w:val="000000" w:themeColor="text1"/>
          <w:sz w:val="24"/>
        </w:rPr>
        <w:t xml:space="preserve"> </w:t>
      </w:r>
      <w:r w:rsidR="000D1F75" w:rsidRPr="001927F0">
        <w:rPr>
          <w:color w:val="000000" w:themeColor="text1"/>
          <w:sz w:val="24"/>
        </w:rPr>
        <w:t xml:space="preserve">as states prepare for the ACA’s Medicaid expansion. </w:t>
      </w:r>
      <w:r w:rsidR="003379C4" w:rsidRPr="001927F0">
        <w:rPr>
          <w:color w:val="000000" w:themeColor="text1"/>
          <w:sz w:val="24"/>
        </w:rPr>
        <w:t xml:space="preserve">This information will inform Ryan White Program planning </w:t>
      </w:r>
      <w:r w:rsidR="006F742B" w:rsidRPr="001927F0">
        <w:rPr>
          <w:color w:val="000000" w:themeColor="text1"/>
          <w:sz w:val="24"/>
        </w:rPr>
        <w:t xml:space="preserve">and coordination with Medicaid coverage </w:t>
      </w:r>
      <w:r w:rsidR="003379C4" w:rsidRPr="001927F0">
        <w:rPr>
          <w:color w:val="000000" w:themeColor="text1"/>
          <w:sz w:val="24"/>
        </w:rPr>
        <w:t xml:space="preserve">to ensure that even as people </w:t>
      </w:r>
      <w:proofErr w:type="gramStart"/>
      <w:r w:rsidR="003379C4" w:rsidRPr="001927F0">
        <w:rPr>
          <w:color w:val="000000" w:themeColor="text1"/>
          <w:sz w:val="24"/>
        </w:rPr>
        <w:t>move</w:t>
      </w:r>
      <w:proofErr w:type="gramEnd"/>
      <w:r w:rsidR="003379C4" w:rsidRPr="001927F0">
        <w:rPr>
          <w:color w:val="000000" w:themeColor="text1"/>
          <w:sz w:val="24"/>
        </w:rPr>
        <w:t xml:space="preserve"> into Medicaid, they are still able to receive the vital enabling services that may not be covered through Medicaid.</w:t>
      </w:r>
    </w:p>
    <w:p w:rsidR="00BA4734" w:rsidRPr="001927F0" w:rsidRDefault="003029A2" w:rsidP="003029A2">
      <w:pPr>
        <w:widowControl/>
        <w:autoSpaceDE/>
        <w:autoSpaceDN/>
        <w:adjustRightInd/>
        <w:spacing w:before="120"/>
        <w:rPr>
          <w:color w:val="000000" w:themeColor="text1"/>
          <w:sz w:val="24"/>
        </w:rPr>
      </w:pPr>
      <w:r w:rsidRPr="001927F0">
        <w:rPr>
          <w:color w:val="000000" w:themeColor="text1"/>
          <w:sz w:val="24"/>
        </w:rPr>
        <w:t xml:space="preserve">The results of these discussions will be used to develop individual case studies for each jurisdiction. </w:t>
      </w:r>
      <w:r w:rsidR="00F6447A" w:rsidRPr="001927F0">
        <w:rPr>
          <w:color w:val="000000" w:themeColor="text1"/>
          <w:sz w:val="24"/>
        </w:rPr>
        <w:t xml:space="preserve">Case studies will explore whether and how the 1115 Medicaid waivers have helped states and RWHAP grantees and providers prepare for implementation of the Affordable Care Act, including providing insights into Medicaid expansion. </w:t>
      </w:r>
      <w:r w:rsidRPr="001927F0">
        <w:rPr>
          <w:color w:val="000000" w:themeColor="text1"/>
          <w:sz w:val="24"/>
        </w:rPr>
        <w:t>All case studies will then be analyzed as a group. A final report will be prepared</w:t>
      </w:r>
      <w:r w:rsidR="00BA4734" w:rsidRPr="001927F0">
        <w:rPr>
          <w:color w:val="000000" w:themeColor="text1"/>
          <w:sz w:val="24"/>
        </w:rPr>
        <w:t xml:space="preserve"> for HRSA</w:t>
      </w:r>
      <w:r w:rsidRPr="001927F0">
        <w:rPr>
          <w:color w:val="000000" w:themeColor="text1"/>
          <w:sz w:val="24"/>
        </w:rPr>
        <w:t xml:space="preserve"> that identifies key themes across the sites, unique challenges and successes, and any lessons learned that could affect the Affordable Care Act implementation as well as help </w:t>
      </w:r>
      <w:r w:rsidR="00BA4734" w:rsidRPr="001927F0">
        <w:rPr>
          <w:color w:val="000000" w:themeColor="text1"/>
          <w:sz w:val="24"/>
        </w:rPr>
        <w:t>policymakers</w:t>
      </w:r>
      <w:r w:rsidRPr="001927F0">
        <w:rPr>
          <w:color w:val="000000" w:themeColor="text1"/>
          <w:sz w:val="24"/>
        </w:rPr>
        <w:t xml:space="preserve"> understand how Medicaid expansion will affect </w:t>
      </w:r>
      <w:r w:rsidR="00F833A6" w:rsidRPr="001927F0">
        <w:rPr>
          <w:color w:val="000000" w:themeColor="text1"/>
          <w:sz w:val="24"/>
        </w:rPr>
        <w:t>the Ryan White Program</w:t>
      </w:r>
      <w:r w:rsidRPr="001927F0">
        <w:rPr>
          <w:color w:val="000000" w:themeColor="text1"/>
          <w:sz w:val="24"/>
        </w:rPr>
        <w:t xml:space="preserve"> and PLWH in the future.</w:t>
      </w:r>
    </w:p>
    <w:p w:rsidR="009B3794" w:rsidRPr="001927F0" w:rsidRDefault="009B3794" w:rsidP="00CA3DA6">
      <w:pPr>
        <w:numPr>
          <w:ilvl w:val="0"/>
          <w:numId w:val="2"/>
        </w:numPr>
        <w:spacing w:before="240"/>
        <w:rPr>
          <w:color w:val="000000" w:themeColor="text1"/>
          <w:sz w:val="24"/>
        </w:rPr>
      </w:pPr>
      <w:r w:rsidRPr="001927F0">
        <w:rPr>
          <w:b/>
          <w:color w:val="000000" w:themeColor="text1"/>
          <w:sz w:val="24"/>
          <w:u w:val="single"/>
        </w:rPr>
        <w:t>Use of Improved Information Technology and Burden Reduction</w:t>
      </w:r>
    </w:p>
    <w:p w:rsidR="004F1950" w:rsidRPr="001927F0" w:rsidRDefault="00CF1556" w:rsidP="00CF1556">
      <w:pPr>
        <w:widowControl/>
        <w:spacing w:before="120"/>
        <w:rPr>
          <w:color w:val="000000" w:themeColor="text1"/>
          <w:sz w:val="24"/>
        </w:rPr>
      </w:pPr>
      <w:r w:rsidRPr="001927F0">
        <w:rPr>
          <w:color w:val="000000" w:themeColor="text1"/>
          <w:sz w:val="24"/>
        </w:rPr>
        <w:t>Information technology solutions can often reduce burden and streamline data collection in cases where data are collected more than once. In this case, however, data will be collected only once, and collection time is estimated to be less than two hours</w:t>
      </w:r>
      <w:r w:rsidR="007B5B46" w:rsidRPr="001927F0">
        <w:rPr>
          <w:color w:val="000000" w:themeColor="text1"/>
          <w:sz w:val="24"/>
        </w:rPr>
        <w:t xml:space="preserve"> per participant</w:t>
      </w:r>
      <w:r w:rsidRPr="001927F0">
        <w:rPr>
          <w:color w:val="000000" w:themeColor="text1"/>
          <w:sz w:val="24"/>
        </w:rPr>
        <w:t xml:space="preserve">. </w:t>
      </w:r>
    </w:p>
    <w:p w:rsidR="004F1950" w:rsidRPr="001927F0" w:rsidRDefault="004F1950" w:rsidP="004F1950">
      <w:pPr>
        <w:widowControl/>
        <w:spacing w:before="120"/>
        <w:rPr>
          <w:color w:val="000000" w:themeColor="text1"/>
          <w:sz w:val="24"/>
        </w:rPr>
      </w:pPr>
      <w:r w:rsidRPr="001927F0">
        <w:rPr>
          <w:color w:val="000000" w:themeColor="text1"/>
          <w:sz w:val="24"/>
        </w:rPr>
        <w:t>We will collect only the minimum information necessary for the purposes of the project. In this case, respondent burden will be minimized through a pilot-tested tool that includes on the minimum information necessary, and data will instead be collected through in-person or telephone-based interviews (included as Attachments B, C, D and E).</w:t>
      </w:r>
    </w:p>
    <w:p w:rsidR="004F1950" w:rsidRPr="001927F0" w:rsidRDefault="004F1950" w:rsidP="004F1950">
      <w:pPr>
        <w:widowControl/>
        <w:spacing w:before="120"/>
        <w:rPr>
          <w:color w:val="000000" w:themeColor="text1"/>
          <w:sz w:val="24"/>
        </w:rPr>
      </w:pPr>
      <w:r w:rsidRPr="001927F0">
        <w:rPr>
          <w:color w:val="000000" w:themeColor="text1"/>
          <w:sz w:val="24"/>
        </w:rPr>
        <w:t>Data collection has been</w:t>
      </w:r>
      <w:r w:rsidR="00A37B0E" w:rsidRPr="001927F0">
        <w:rPr>
          <w:color w:val="000000" w:themeColor="text1"/>
          <w:sz w:val="24"/>
        </w:rPr>
        <w:t xml:space="preserve"> further </w:t>
      </w:r>
      <w:r w:rsidRPr="001927F0">
        <w:rPr>
          <w:color w:val="000000" w:themeColor="text1"/>
          <w:sz w:val="24"/>
        </w:rPr>
        <w:t>minimized through in-depth review of how each state has implemented their waiver, and as such our interviewers will not collect information from participants if it is already publically available.</w:t>
      </w:r>
    </w:p>
    <w:p w:rsidR="007B5B46" w:rsidRPr="001927F0" w:rsidRDefault="004F1950" w:rsidP="00CF1556">
      <w:pPr>
        <w:widowControl/>
        <w:spacing w:before="120"/>
        <w:rPr>
          <w:color w:val="000000" w:themeColor="text1"/>
          <w:sz w:val="24"/>
        </w:rPr>
      </w:pPr>
      <w:r w:rsidRPr="001927F0">
        <w:rPr>
          <w:color w:val="000000" w:themeColor="text1"/>
          <w:sz w:val="24"/>
        </w:rPr>
        <w:lastRenderedPageBreak/>
        <w:t>The</w:t>
      </w:r>
      <w:r w:rsidR="00C75BA0" w:rsidRPr="001927F0">
        <w:rPr>
          <w:color w:val="000000" w:themeColor="text1"/>
          <w:sz w:val="24"/>
        </w:rPr>
        <w:t xml:space="preserve"> purpose of these interviews is to gather data on the variety of ways that states that have implemented 1115 Medicaid waivers, and as such (because experiences are expected to vary widely) </w:t>
      </w:r>
      <w:r w:rsidRPr="001927F0">
        <w:rPr>
          <w:color w:val="000000" w:themeColor="text1"/>
          <w:sz w:val="24"/>
        </w:rPr>
        <w:t>the data collection process must be flexible, and we have determined that in-person interviews will be the most effective use of participants’ time, and also the most efficient way to capture this information</w:t>
      </w:r>
      <w:r w:rsidR="00C75BA0" w:rsidRPr="001927F0">
        <w:rPr>
          <w:color w:val="000000" w:themeColor="text1"/>
          <w:sz w:val="24"/>
        </w:rPr>
        <w:t>.</w:t>
      </w:r>
      <w:r w:rsidRPr="001927F0">
        <w:rPr>
          <w:color w:val="000000" w:themeColor="text1"/>
          <w:sz w:val="24"/>
        </w:rPr>
        <w:t xml:space="preserve"> Finally, information to be gathered will be based on participants’ programmatic experience, and as such is not available from existing electronic or other records.</w:t>
      </w:r>
    </w:p>
    <w:p w:rsidR="009B3794" w:rsidRPr="001927F0" w:rsidRDefault="009B3794" w:rsidP="00CA3DA6">
      <w:pPr>
        <w:numPr>
          <w:ilvl w:val="0"/>
          <w:numId w:val="2"/>
        </w:numPr>
        <w:spacing w:before="240"/>
        <w:rPr>
          <w:b/>
          <w:color w:val="000000" w:themeColor="text1"/>
          <w:sz w:val="24"/>
        </w:rPr>
      </w:pPr>
      <w:r w:rsidRPr="001927F0">
        <w:rPr>
          <w:b/>
          <w:color w:val="000000" w:themeColor="text1"/>
          <w:sz w:val="24"/>
          <w:u w:val="single"/>
        </w:rPr>
        <w:t>Efforts to  Identify Duplication and Use of Similar Information</w:t>
      </w:r>
    </w:p>
    <w:p w:rsidR="00EE373D" w:rsidRPr="00BF609D" w:rsidRDefault="00EE373D" w:rsidP="00CA3DA6">
      <w:pPr>
        <w:spacing w:before="120"/>
        <w:rPr>
          <w:b/>
          <w:color w:val="000000" w:themeColor="text1"/>
          <w:sz w:val="24"/>
        </w:rPr>
      </w:pPr>
      <w:r w:rsidRPr="001927F0">
        <w:rPr>
          <w:color w:val="000000" w:themeColor="text1"/>
          <w:sz w:val="24"/>
        </w:rPr>
        <w:t>To date, no oth</w:t>
      </w:r>
      <w:r w:rsidR="00F72DD1" w:rsidRPr="001927F0">
        <w:rPr>
          <w:color w:val="000000" w:themeColor="text1"/>
          <w:sz w:val="24"/>
        </w:rPr>
        <w:t xml:space="preserve">er federal research </w:t>
      </w:r>
      <w:r w:rsidRPr="001927F0">
        <w:rPr>
          <w:color w:val="000000" w:themeColor="text1"/>
          <w:sz w:val="24"/>
        </w:rPr>
        <w:t xml:space="preserve">project </w:t>
      </w:r>
      <w:r w:rsidR="00F72DD1" w:rsidRPr="001927F0">
        <w:rPr>
          <w:color w:val="000000" w:themeColor="text1"/>
          <w:sz w:val="24"/>
        </w:rPr>
        <w:t>has analyzed</w:t>
      </w:r>
      <w:r w:rsidRPr="001927F0">
        <w:rPr>
          <w:color w:val="000000" w:themeColor="text1"/>
          <w:sz w:val="24"/>
        </w:rPr>
        <w:t xml:space="preserve"> </w:t>
      </w:r>
      <w:r w:rsidR="00963CF7" w:rsidRPr="001927F0">
        <w:rPr>
          <w:color w:val="000000" w:themeColor="text1"/>
          <w:sz w:val="24"/>
        </w:rPr>
        <w:t xml:space="preserve">a national sample of </w:t>
      </w:r>
      <w:r w:rsidRPr="001927F0">
        <w:rPr>
          <w:color w:val="000000" w:themeColor="text1"/>
          <w:sz w:val="24"/>
        </w:rPr>
        <w:t xml:space="preserve">1115 </w:t>
      </w:r>
      <w:r w:rsidR="00963CF7" w:rsidRPr="001927F0">
        <w:rPr>
          <w:color w:val="000000" w:themeColor="text1"/>
          <w:sz w:val="24"/>
        </w:rPr>
        <w:t xml:space="preserve">Medicaid </w:t>
      </w:r>
      <w:r w:rsidRPr="001927F0">
        <w:rPr>
          <w:color w:val="000000" w:themeColor="text1"/>
          <w:sz w:val="24"/>
        </w:rPr>
        <w:t xml:space="preserve">waivers </w:t>
      </w:r>
      <w:r w:rsidR="00963CF7" w:rsidRPr="001927F0">
        <w:rPr>
          <w:color w:val="000000" w:themeColor="text1"/>
          <w:sz w:val="24"/>
        </w:rPr>
        <w:t>to assess</w:t>
      </w:r>
      <w:r w:rsidRPr="001927F0">
        <w:rPr>
          <w:color w:val="000000" w:themeColor="text1"/>
          <w:sz w:val="24"/>
        </w:rPr>
        <w:t xml:space="preserve"> impact </w:t>
      </w:r>
      <w:r w:rsidR="00963CF7" w:rsidRPr="001927F0">
        <w:rPr>
          <w:color w:val="000000" w:themeColor="text1"/>
          <w:sz w:val="24"/>
        </w:rPr>
        <w:t>on</w:t>
      </w:r>
      <w:r w:rsidRPr="001927F0">
        <w:rPr>
          <w:color w:val="000000" w:themeColor="text1"/>
          <w:sz w:val="24"/>
        </w:rPr>
        <w:t xml:space="preserve"> </w:t>
      </w:r>
      <w:r w:rsidR="00E67EBD" w:rsidRPr="001927F0">
        <w:rPr>
          <w:color w:val="000000" w:themeColor="text1"/>
          <w:sz w:val="24"/>
        </w:rPr>
        <w:t xml:space="preserve">Ryan White Program funded </w:t>
      </w:r>
      <w:r w:rsidRPr="001927F0">
        <w:rPr>
          <w:color w:val="000000" w:themeColor="text1"/>
          <w:sz w:val="24"/>
        </w:rPr>
        <w:t xml:space="preserve">services. </w:t>
      </w:r>
      <w:r w:rsidR="00A5645D" w:rsidRPr="001927F0">
        <w:rPr>
          <w:color w:val="000000" w:themeColor="text1"/>
          <w:sz w:val="24"/>
        </w:rPr>
        <w:t>The research team has conducted an e</w:t>
      </w:r>
      <w:r w:rsidR="00F72DD1" w:rsidRPr="001927F0">
        <w:rPr>
          <w:color w:val="000000" w:themeColor="text1"/>
          <w:sz w:val="24"/>
        </w:rPr>
        <w:t xml:space="preserve">xtensive review of existing literature </w:t>
      </w:r>
      <w:r w:rsidR="00A5645D" w:rsidRPr="001927F0">
        <w:rPr>
          <w:color w:val="000000" w:themeColor="text1"/>
          <w:sz w:val="24"/>
        </w:rPr>
        <w:t>on 1</w:t>
      </w:r>
      <w:r w:rsidR="00B15B83" w:rsidRPr="001927F0">
        <w:rPr>
          <w:color w:val="000000" w:themeColor="text1"/>
          <w:sz w:val="24"/>
        </w:rPr>
        <w:t>115 Medicaid waivers. Research in this area has focused on</w:t>
      </w:r>
      <w:r w:rsidR="00A5645D" w:rsidRPr="001927F0">
        <w:rPr>
          <w:color w:val="000000" w:themeColor="text1"/>
          <w:sz w:val="24"/>
        </w:rPr>
        <w:t xml:space="preserve"> how </w:t>
      </w:r>
      <w:r w:rsidR="00B15B83" w:rsidRPr="001927F0">
        <w:rPr>
          <w:color w:val="000000" w:themeColor="text1"/>
          <w:sz w:val="24"/>
        </w:rPr>
        <w:t>1115</w:t>
      </w:r>
      <w:r w:rsidR="00A5645D" w:rsidRPr="001927F0">
        <w:rPr>
          <w:color w:val="000000" w:themeColor="text1"/>
          <w:sz w:val="24"/>
        </w:rPr>
        <w:t xml:space="preserve"> waivers have been structured</w:t>
      </w:r>
      <w:r w:rsidR="002A1273" w:rsidRPr="001927F0">
        <w:rPr>
          <w:color w:val="000000" w:themeColor="text1"/>
          <w:sz w:val="24"/>
        </w:rPr>
        <w:t xml:space="preserve"> and funded</w:t>
      </w:r>
      <w:r w:rsidR="00697384" w:rsidRPr="001927F0">
        <w:rPr>
          <w:color w:val="000000" w:themeColor="text1"/>
          <w:sz w:val="24"/>
        </w:rPr>
        <w:t>;</w:t>
      </w:r>
      <w:r w:rsidR="0092189C" w:rsidRPr="001927F0">
        <w:rPr>
          <w:color w:val="000000" w:themeColor="text1"/>
          <w:sz w:val="24"/>
        </w:rPr>
        <w:t xml:space="preserve"> however, </w:t>
      </w:r>
      <w:r w:rsidR="002A6738" w:rsidRPr="001927F0">
        <w:rPr>
          <w:color w:val="000000" w:themeColor="text1"/>
          <w:sz w:val="24"/>
        </w:rPr>
        <w:t xml:space="preserve">there has been very little analysis of </w:t>
      </w:r>
      <w:r w:rsidR="0092189C" w:rsidRPr="001927F0">
        <w:rPr>
          <w:color w:val="000000" w:themeColor="text1"/>
          <w:sz w:val="24"/>
        </w:rPr>
        <w:t>the</w:t>
      </w:r>
      <w:r w:rsidR="00AD232C" w:rsidRPr="001927F0">
        <w:rPr>
          <w:color w:val="000000" w:themeColor="text1"/>
          <w:sz w:val="24"/>
        </w:rPr>
        <w:t xml:space="preserve"> </w:t>
      </w:r>
      <w:r w:rsidR="0092189C" w:rsidRPr="001927F0">
        <w:rPr>
          <w:color w:val="000000" w:themeColor="text1"/>
          <w:sz w:val="24"/>
        </w:rPr>
        <w:t>waivers’</w:t>
      </w:r>
      <w:r w:rsidR="002A6738" w:rsidRPr="001927F0">
        <w:rPr>
          <w:color w:val="000000" w:themeColor="text1"/>
          <w:sz w:val="24"/>
        </w:rPr>
        <w:t xml:space="preserve"> impact on specific populations</w:t>
      </w:r>
      <w:r w:rsidR="0092189C" w:rsidRPr="001927F0">
        <w:rPr>
          <w:color w:val="000000" w:themeColor="text1"/>
          <w:sz w:val="24"/>
        </w:rPr>
        <w:t xml:space="preserve"> or their impact on other safety net programs</w:t>
      </w:r>
      <w:r w:rsidR="002A1273" w:rsidRPr="001927F0">
        <w:rPr>
          <w:color w:val="000000" w:themeColor="text1"/>
          <w:sz w:val="24"/>
        </w:rPr>
        <w:t xml:space="preserve"> such as the Ryan White Program</w:t>
      </w:r>
      <w:r w:rsidR="002A6738" w:rsidRPr="001927F0">
        <w:rPr>
          <w:color w:val="000000" w:themeColor="text1"/>
          <w:sz w:val="24"/>
        </w:rPr>
        <w:t xml:space="preserve">. </w:t>
      </w:r>
      <w:r w:rsidR="00BA52BA" w:rsidRPr="001927F0">
        <w:rPr>
          <w:color w:val="000000" w:themeColor="text1"/>
          <w:sz w:val="24"/>
        </w:rPr>
        <w:t xml:space="preserve">While </w:t>
      </w:r>
      <w:r w:rsidR="00AD232C" w:rsidRPr="001927F0">
        <w:rPr>
          <w:color w:val="000000" w:themeColor="text1"/>
          <w:sz w:val="24"/>
        </w:rPr>
        <w:t>we are aware of</w:t>
      </w:r>
      <w:r w:rsidR="00BA52BA" w:rsidRPr="001927F0">
        <w:rPr>
          <w:color w:val="000000" w:themeColor="text1"/>
          <w:sz w:val="24"/>
        </w:rPr>
        <w:t xml:space="preserve"> several ongoing projects examining the California </w:t>
      </w:r>
      <w:r w:rsidR="00AD232C" w:rsidRPr="001927F0">
        <w:rPr>
          <w:color w:val="000000" w:themeColor="text1"/>
          <w:sz w:val="24"/>
        </w:rPr>
        <w:t xml:space="preserve">1115 </w:t>
      </w:r>
      <w:r w:rsidR="00BA52BA" w:rsidRPr="001927F0">
        <w:rPr>
          <w:color w:val="000000" w:themeColor="text1"/>
          <w:sz w:val="24"/>
        </w:rPr>
        <w:t>waiver in particular, these projects</w:t>
      </w:r>
      <w:r w:rsidR="00BA52BA" w:rsidRPr="00BF609D">
        <w:rPr>
          <w:color w:val="000000" w:themeColor="text1"/>
          <w:sz w:val="24"/>
        </w:rPr>
        <w:t xml:space="preserve"> focus only on California and have not compared the California experience across o</w:t>
      </w:r>
      <w:r w:rsidR="00AD232C" w:rsidRPr="00BF609D">
        <w:rPr>
          <w:color w:val="000000" w:themeColor="text1"/>
          <w:sz w:val="24"/>
        </w:rPr>
        <w:t>ther states and waiver designs.</w:t>
      </w:r>
      <w:r w:rsidR="00E961D2" w:rsidRPr="00BF609D">
        <w:rPr>
          <w:color w:val="000000" w:themeColor="text1"/>
          <w:sz w:val="24"/>
        </w:rPr>
        <w:t xml:space="preserve"> </w:t>
      </w:r>
      <w:r w:rsidR="00697384" w:rsidRPr="00BF609D">
        <w:rPr>
          <w:color w:val="000000" w:themeColor="text1"/>
          <w:sz w:val="24"/>
        </w:rPr>
        <w:t>Further, t</w:t>
      </w:r>
      <w:r w:rsidR="00E961D2" w:rsidRPr="00BF609D">
        <w:rPr>
          <w:color w:val="000000" w:themeColor="text1"/>
          <w:sz w:val="24"/>
        </w:rPr>
        <w:t>hese projects have also not included informant interviews with the state HIV/AIDS program (i.e., the state’s AIDS Director and AIDS Drug Assistance Program Coordinator)</w:t>
      </w:r>
      <w:r w:rsidR="004E1668" w:rsidRPr="00BF609D">
        <w:rPr>
          <w:color w:val="000000" w:themeColor="text1"/>
          <w:sz w:val="24"/>
        </w:rPr>
        <w:t xml:space="preserve">, which is a key </w:t>
      </w:r>
      <w:r w:rsidR="00E961D2" w:rsidRPr="00BF609D">
        <w:rPr>
          <w:color w:val="000000" w:themeColor="text1"/>
          <w:sz w:val="24"/>
        </w:rPr>
        <w:t xml:space="preserve">part of our </w:t>
      </w:r>
      <w:r w:rsidR="004E1668" w:rsidRPr="00BF609D">
        <w:rPr>
          <w:color w:val="000000" w:themeColor="text1"/>
          <w:sz w:val="24"/>
        </w:rPr>
        <w:t>interview</w:t>
      </w:r>
      <w:r w:rsidR="00E961D2" w:rsidRPr="00BF609D">
        <w:rPr>
          <w:color w:val="000000" w:themeColor="text1"/>
          <w:sz w:val="24"/>
        </w:rPr>
        <w:t xml:space="preserve"> </w:t>
      </w:r>
      <w:r w:rsidR="00F90D1A" w:rsidRPr="00BF609D">
        <w:rPr>
          <w:color w:val="000000" w:themeColor="text1"/>
          <w:sz w:val="24"/>
        </w:rPr>
        <w:t>plan.</w:t>
      </w:r>
      <w:r w:rsidR="00E961D2" w:rsidRPr="00BF609D">
        <w:rPr>
          <w:color w:val="000000" w:themeColor="text1"/>
          <w:sz w:val="24"/>
        </w:rPr>
        <w:t xml:space="preserve"> </w:t>
      </w:r>
      <w:r w:rsidR="00F90D1A" w:rsidRPr="00BF609D">
        <w:rPr>
          <w:color w:val="000000" w:themeColor="text1"/>
          <w:sz w:val="24"/>
        </w:rPr>
        <w:t>We have</w:t>
      </w:r>
      <w:r w:rsidR="00C04041" w:rsidRPr="00BF609D">
        <w:rPr>
          <w:color w:val="000000" w:themeColor="text1"/>
          <w:sz w:val="24"/>
        </w:rPr>
        <w:t xml:space="preserve"> also been in conversation with </w:t>
      </w:r>
      <w:r w:rsidR="004E1668" w:rsidRPr="00BF609D">
        <w:rPr>
          <w:color w:val="000000" w:themeColor="text1"/>
          <w:sz w:val="24"/>
        </w:rPr>
        <w:t xml:space="preserve">a range of additional </w:t>
      </w:r>
      <w:r w:rsidR="00C04041" w:rsidRPr="00BF609D">
        <w:rPr>
          <w:color w:val="000000" w:themeColor="text1"/>
          <w:sz w:val="24"/>
        </w:rPr>
        <w:t xml:space="preserve">stakeholders, including the National Alliance of State </w:t>
      </w:r>
      <w:r w:rsidR="00783D3A" w:rsidRPr="00BF609D">
        <w:rPr>
          <w:color w:val="000000" w:themeColor="text1"/>
          <w:sz w:val="24"/>
        </w:rPr>
        <w:t xml:space="preserve">and Territorial AIDS Directors </w:t>
      </w:r>
      <w:r w:rsidR="00C04041" w:rsidRPr="00BF609D">
        <w:rPr>
          <w:color w:val="000000" w:themeColor="text1"/>
          <w:sz w:val="24"/>
        </w:rPr>
        <w:t xml:space="preserve">and state </w:t>
      </w:r>
      <w:r w:rsidR="00783D3A" w:rsidRPr="00BF609D">
        <w:rPr>
          <w:color w:val="000000" w:themeColor="text1"/>
          <w:sz w:val="24"/>
        </w:rPr>
        <w:t xml:space="preserve">HIV/AIDS </w:t>
      </w:r>
      <w:r w:rsidR="00C04041" w:rsidRPr="00BF609D">
        <w:rPr>
          <w:color w:val="000000" w:themeColor="text1"/>
          <w:sz w:val="24"/>
        </w:rPr>
        <w:t xml:space="preserve">advocates </w:t>
      </w:r>
      <w:r w:rsidR="00962BB0" w:rsidRPr="00BF609D">
        <w:rPr>
          <w:color w:val="000000" w:themeColor="text1"/>
          <w:sz w:val="24"/>
        </w:rPr>
        <w:t xml:space="preserve">to monitor any similar research efforts </w:t>
      </w:r>
      <w:r w:rsidR="00C04041" w:rsidRPr="00BF609D">
        <w:rPr>
          <w:color w:val="000000" w:themeColor="text1"/>
          <w:sz w:val="24"/>
        </w:rPr>
        <w:t xml:space="preserve">and will continue to collaborate with </w:t>
      </w:r>
      <w:r w:rsidR="00962BB0" w:rsidRPr="00BF609D">
        <w:rPr>
          <w:color w:val="000000" w:themeColor="text1"/>
          <w:sz w:val="24"/>
        </w:rPr>
        <w:t xml:space="preserve">these </w:t>
      </w:r>
      <w:r w:rsidR="00C04041" w:rsidRPr="00BF609D">
        <w:rPr>
          <w:color w:val="000000" w:themeColor="text1"/>
          <w:sz w:val="24"/>
        </w:rPr>
        <w:t>stakeholders moving forward.</w:t>
      </w:r>
    </w:p>
    <w:p w:rsidR="009B3794" w:rsidRPr="00BF609D" w:rsidRDefault="009B3794" w:rsidP="00CA3DA6">
      <w:pPr>
        <w:numPr>
          <w:ilvl w:val="0"/>
          <w:numId w:val="2"/>
        </w:numPr>
        <w:spacing w:before="240"/>
        <w:rPr>
          <w:color w:val="000000" w:themeColor="text1"/>
          <w:sz w:val="24"/>
        </w:rPr>
      </w:pPr>
      <w:r w:rsidRPr="00BF609D">
        <w:rPr>
          <w:b/>
          <w:color w:val="000000" w:themeColor="text1"/>
          <w:sz w:val="24"/>
          <w:u w:val="single"/>
        </w:rPr>
        <w:t>Impact on Small Businesses or Other Small Entities</w:t>
      </w:r>
    </w:p>
    <w:p w:rsidR="00FA0F76" w:rsidRPr="00BF609D" w:rsidRDefault="00FA0F76" w:rsidP="00D84F6F">
      <w:pPr>
        <w:spacing w:before="120"/>
        <w:rPr>
          <w:color w:val="000000" w:themeColor="text1"/>
          <w:sz w:val="24"/>
        </w:rPr>
      </w:pPr>
      <w:r w:rsidRPr="00BF609D">
        <w:rPr>
          <w:color w:val="000000" w:themeColor="text1"/>
          <w:sz w:val="24"/>
        </w:rPr>
        <w:t>No small businesses will be involved in this study.</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Consequences of Collecting the Information Less Frequent</w:t>
      </w:r>
      <w:r w:rsidR="001325B2" w:rsidRPr="00BF609D">
        <w:rPr>
          <w:b/>
          <w:color w:val="000000" w:themeColor="text1"/>
          <w:sz w:val="24"/>
          <w:u w:val="single"/>
        </w:rPr>
        <w:t>ly</w:t>
      </w:r>
    </w:p>
    <w:p w:rsidR="00A37B0E" w:rsidRPr="00BF609D" w:rsidRDefault="00A37B0E" w:rsidP="00D2358B">
      <w:pPr>
        <w:widowControl/>
        <w:autoSpaceDE/>
        <w:autoSpaceDN/>
        <w:adjustRightInd/>
        <w:spacing w:before="120"/>
        <w:rPr>
          <w:color w:val="000000" w:themeColor="text1"/>
          <w:sz w:val="24"/>
        </w:rPr>
      </w:pPr>
      <w:r w:rsidRPr="00BF609D">
        <w:rPr>
          <w:color w:val="000000" w:themeColor="text1"/>
          <w:sz w:val="24"/>
        </w:rPr>
        <w:t xml:space="preserve">Failure to collect the data and information described above will hamper our ability to effectively analyze the impact of 1115 waivers on the Ryan White Program. Informant interviews are necessary to assess transition to Medicaid coverage, the extent to which gaps in essential services exist even with Medicaid coverage, and the role that the Ryan White Program plays in coordinating with Medicaid coverage to ensure access to comprehensive HIV/AIDS care and treatment. This information will inform state implementation of the ACA’s Medicaid expansion to ensure that Medicaid works in coordination with the Ryan White Program and will inform the future of the Ryan White Program in a post-ACA environment more broadly. </w:t>
      </w:r>
    </w:p>
    <w:p w:rsidR="00A37B0E" w:rsidRPr="00BF609D" w:rsidRDefault="00A37B0E" w:rsidP="00D2358B">
      <w:pPr>
        <w:widowControl/>
        <w:autoSpaceDE/>
        <w:autoSpaceDN/>
        <w:adjustRightInd/>
        <w:spacing w:before="120"/>
        <w:rPr>
          <w:color w:val="000000" w:themeColor="text1"/>
          <w:sz w:val="24"/>
        </w:rPr>
      </w:pPr>
      <w:r w:rsidRPr="00BF609D">
        <w:rPr>
          <w:color w:val="000000" w:themeColor="text1"/>
          <w:sz w:val="24"/>
        </w:rPr>
        <w:t xml:space="preserve">Data will be collected only once per participant. </w:t>
      </w:r>
    </w:p>
    <w:p w:rsidR="00D2358B" w:rsidRPr="00BF609D" w:rsidRDefault="00D2358B" w:rsidP="00D2358B">
      <w:pPr>
        <w:widowControl/>
        <w:autoSpaceDE/>
        <w:autoSpaceDN/>
        <w:adjustRightInd/>
        <w:spacing w:before="120"/>
        <w:rPr>
          <w:color w:val="000000" w:themeColor="text1"/>
          <w:sz w:val="24"/>
        </w:rPr>
      </w:pPr>
      <w:r w:rsidRPr="00BF609D">
        <w:rPr>
          <w:color w:val="000000" w:themeColor="text1"/>
          <w:sz w:val="24"/>
        </w:rPr>
        <w:t>There are no legal obstacles to reduce the burden.</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Special Circumstances Relating to the Guidelines of 5 CFR 1320.5</w:t>
      </w:r>
    </w:p>
    <w:p w:rsidR="009047C6" w:rsidRPr="00BF609D" w:rsidRDefault="009047C6" w:rsidP="009047C6">
      <w:pPr>
        <w:widowControl/>
        <w:spacing w:before="120"/>
        <w:rPr>
          <w:color w:val="000000" w:themeColor="text1"/>
          <w:sz w:val="24"/>
        </w:rPr>
      </w:pPr>
      <w:r w:rsidRPr="00BF609D">
        <w:rPr>
          <w:color w:val="000000" w:themeColor="text1"/>
          <w:sz w:val="24"/>
        </w:rPr>
        <w:t>This request is consistent with the general information collection guidelines of 5 CFR 1320.5(d</w:t>
      </w:r>
      <w:proofErr w:type="gramStart"/>
      <w:r w:rsidRPr="00BF609D">
        <w:rPr>
          <w:color w:val="000000" w:themeColor="text1"/>
          <w:sz w:val="24"/>
        </w:rPr>
        <w:t>)(</w:t>
      </w:r>
      <w:proofErr w:type="gramEnd"/>
      <w:r w:rsidRPr="00BF609D">
        <w:rPr>
          <w:color w:val="000000" w:themeColor="text1"/>
          <w:sz w:val="24"/>
        </w:rPr>
        <w:t>2).  No other special circumstances apply.</w:t>
      </w:r>
    </w:p>
    <w:p w:rsidR="009B3794" w:rsidRPr="00BF609D" w:rsidRDefault="009B3794" w:rsidP="00CA3DA6">
      <w:pPr>
        <w:numPr>
          <w:ilvl w:val="0"/>
          <w:numId w:val="2"/>
        </w:numPr>
        <w:spacing w:before="240"/>
        <w:rPr>
          <w:b/>
          <w:color w:val="000000" w:themeColor="text1"/>
          <w:sz w:val="24"/>
        </w:rPr>
      </w:pPr>
      <w:r w:rsidRPr="00BF609D">
        <w:rPr>
          <w:b/>
          <w:iCs/>
          <w:color w:val="000000" w:themeColor="text1"/>
          <w:sz w:val="24"/>
          <w:u w:val="single"/>
        </w:rPr>
        <w:lastRenderedPageBreak/>
        <w:t>Comments in Response to the Federal Register</w:t>
      </w:r>
      <w:r w:rsidRPr="00BF609D">
        <w:rPr>
          <w:b/>
          <w:color w:val="000000" w:themeColor="text1"/>
          <w:sz w:val="24"/>
          <w:u w:val="single"/>
        </w:rPr>
        <w:t xml:space="preserve"> Notice/Outside Consultation</w:t>
      </w:r>
    </w:p>
    <w:p w:rsidR="009047C6" w:rsidRPr="00BF609D" w:rsidRDefault="00DE3A45" w:rsidP="00435EBE">
      <w:pPr>
        <w:contextualSpacing/>
        <w:rPr>
          <w:b/>
          <w:color w:val="000000" w:themeColor="text1"/>
          <w:sz w:val="24"/>
        </w:rPr>
      </w:pPr>
      <w:r w:rsidRPr="00BF609D">
        <w:rPr>
          <w:b/>
          <w:color w:val="000000" w:themeColor="text1"/>
          <w:sz w:val="24"/>
        </w:rPr>
        <w:t>Section 8A:</w:t>
      </w:r>
      <w:r w:rsidR="00A37B0E" w:rsidRPr="00BF609D">
        <w:rPr>
          <w:b/>
          <w:color w:val="000000" w:themeColor="text1"/>
          <w:sz w:val="24"/>
        </w:rPr>
        <w:t xml:space="preserve"> </w:t>
      </w:r>
      <w:r w:rsidR="009047C6" w:rsidRPr="00BF609D">
        <w:rPr>
          <w:color w:val="000000" w:themeColor="text1"/>
          <w:sz w:val="24"/>
        </w:rPr>
        <w:t xml:space="preserve">A 60-day Federal Register Notice was published in the </w:t>
      </w:r>
      <w:r w:rsidR="009047C6" w:rsidRPr="00BF609D">
        <w:rPr>
          <w:i/>
          <w:iCs/>
          <w:color w:val="000000" w:themeColor="text1"/>
          <w:sz w:val="24"/>
        </w:rPr>
        <w:t xml:space="preserve">Federal Register </w:t>
      </w:r>
      <w:r w:rsidR="009047C6" w:rsidRPr="00BF609D">
        <w:rPr>
          <w:color w:val="000000" w:themeColor="text1"/>
          <w:sz w:val="24"/>
        </w:rPr>
        <w:t xml:space="preserve">on </w:t>
      </w:r>
      <w:r w:rsidR="006E089B" w:rsidRPr="00BF609D">
        <w:rPr>
          <w:color w:val="000000" w:themeColor="text1"/>
          <w:sz w:val="24"/>
        </w:rPr>
        <w:t>April 19, 2013</w:t>
      </w:r>
      <w:r w:rsidR="009047C6" w:rsidRPr="00BF609D">
        <w:rPr>
          <w:color w:val="000000" w:themeColor="text1"/>
          <w:sz w:val="24"/>
        </w:rPr>
        <w:t xml:space="preserve">, vol. </w:t>
      </w:r>
      <w:r w:rsidR="006E089B" w:rsidRPr="00BF609D">
        <w:rPr>
          <w:color w:val="000000" w:themeColor="text1"/>
          <w:sz w:val="24"/>
        </w:rPr>
        <w:t>78</w:t>
      </w:r>
      <w:r w:rsidR="009047C6" w:rsidRPr="00BF609D">
        <w:rPr>
          <w:color w:val="000000" w:themeColor="text1"/>
          <w:sz w:val="24"/>
        </w:rPr>
        <w:t xml:space="preserve">, No. </w:t>
      </w:r>
      <w:r w:rsidR="006E089B" w:rsidRPr="00BF609D">
        <w:rPr>
          <w:color w:val="000000" w:themeColor="text1"/>
          <w:sz w:val="24"/>
        </w:rPr>
        <w:t>76</w:t>
      </w:r>
      <w:r w:rsidR="009047C6" w:rsidRPr="00BF609D">
        <w:rPr>
          <w:color w:val="000000" w:themeColor="text1"/>
          <w:sz w:val="24"/>
        </w:rPr>
        <w:t xml:space="preserve">; pp. </w:t>
      </w:r>
      <w:r w:rsidR="006E089B" w:rsidRPr="00BF609D">
        <w:rPr>
          <w:color w:val="000000" w:themeColor="text1"/>
          <w:sz w:val="24"/>
        </w:rPr>
        <w:t>23570</w:t>
      </w:r>
      <w:r w:rsidR="006E089B" w:rsidRPr="001927F0">
        <w:rPr>
          <w:color w:val="000000" w:themeColor="text1"/>
          <w:sz w:val="24"/>
        </w:rPr>
        <w:t xml:space="preserve">-23571 </w:t>
      </w:r>
      <w:r w:rsidR="009047C6" w:rsidRPr="001927F0">
        <w:rPr>
          <w:color w:val="000000" w:themeColor="text1"/>
          <w:sz w:val="24"/>
        </w:rPr>
        <w:t>(</w:t>
      </w:r>
      <w:r w:rsidR="00C1623E" w:rsidRPr="001927F0">
        <w:rPr>
          <w:color w:val="000000" w:themeColor="text1"/>
          <w:sz w:val="24"/>
        </w:rPr>
        <w:t>included as A</w:t>
      </w:r>
      <w:r w:rsidR="009047C6" w:rsidRPr="001927F0">
        <w:rPr>
          <w:color w:val="000000" w:themeColor="text1"/>
          <w:sz w:val="24"/>
        </w:rPr>
        <w:t xml:space="preserve">ttachment </w:t>
      </w:r>
      <w:r w:rsidR="00C1623E" w:rsidRPr="001927F0">
        <w:rPr>
          <w:color w:val="000000" w:themeColor="text1"/>
          <w:sz w:val="24"/>
        </w:rPr>
        <w:t>F</w:t>
      </w:r>
      <w:r w:rsidR="009047C6" w:rsidRPr="001927F0">
        <w:rPr>
          <w:color w:val="000000" w:themeColor="text1"/>
          <w:sz w:val="24"/>
        </w:rPr>
        <w:t xml:space="preserve">). </w:t>
      </w:r>
      <w:r w:rsidR="00BB366A" w:rsidRPr="001927F0">
        <w:rPr>
          <w:color w:val="000000" w:themeColor="text1"/>
          <w:sz w:val="24"/>
        </w:rPr>
        <w:t xml:space="preserve">Two </w:t>
      </w:r>
      <w:r w:rsidR="00BB366A" w:rsidRPr="001927F0">
        <w:rPr>
          <w:rFonts w:ascii="Times" w:hAnsi="Times"/>
          <w:sz w:val="24"/>
        </w:rPr>
        <w:t>comm</w:t>
      </w:r>
      <w:r w:rsidR="00BB366A" w:rsidRPr="00BB366A">
        <w:rPr>
          <w:rFonts w:ascii="Times" w:hAnsi="Times"/>
          <w:sz w:val="24"/>
        </w:rPr>
        <w:t>ent</w:t>
      </w:r>
      <w:r w:rsidR="00BB366A">
        <w:rPr>
          <w:rFonts w:ascii="Times" w:hAnsi="Times"/>
          <w:sz w:val="24"/>
        </w:rPr>
        <w:t>s were</w:t>
      </w:r>
      <w:r w:rsidR="00BB366A" w:rsidRPr="00BB366A">
        <w:rPr>
          <w:rFonts w:ascii="Times" w:hAnsi="Times"/>
          <w:sz w:val="24"/>
        </w:rPr>
        <w:t xml:space="preserve"> received </w:t>
      </w:r>
      <w:r w:rsidR="006B1C1D">
        <w:rPr>
          <w:rFonts w:ascii="Times" w:hAnsi="Times"/>
          <w:sz w:val="24"/>
        </w:rPr>
        <w:t xml:space="preserve">in support of the project.  One </w:t>
      </w:r>
      <w:r w:rsidR="00BB366A" w:rsidRPr="00BB366A">
        <w:rPr>
          <w:rFonts w:ascii="Times" w:hAnsi="Times"/>
          <w:sz w:val="24"/>
        </w:rPr>
        <w:t xml:space="preserve">correspondent </w:t>
      </w:r>
      <w:r w:rsidR="006B1C1D">
        <w:rPr>
          <w:rFonts w:ascii="Times" w:hAnsi="Times"/>
          <w:sz w:val="24"/>
        </w:rPr>
        <w:t>expressed an interest in her organization being involved in the project and re</w:t>
      </w:r>
      <w:r w:rsidR="0017020B">
        <w:rPr>
          <w:rFonts w:ascii="Times" w:hAnsi="Times"/>
          <w:sz w:val="24"/>
        </w:rPr>
        <w:t xml:space="preserve">quested more information on the project.  Information on the project including potential sites for the project was provided.  The second correspondent confirmed the need for and potential value of the proposed evaluation.  </w:t>
      </w:r>
      <w:r w:rsidR="00435EBE">
        <w:rPr>
          <w:rFonts w:ascii="Times" w:hAnsi="Times"/>
          <w:sz w:val="24"/>
        </w:rPr>
        <w:t xml:space="preserve">Support for the use of qualitative interviews also was provided.  The correspondent’s support was acknowledged in a response.  </w:t>
      </w:r>
    </w:p>
    <w:p w:rsidR="0039684D" w:rsidRDefault="00DE3A45" w:rsidP="005D5FE6">
      <w:pPr>
        <w:spacing w:before="120"/>
        <w:rPr>
          <w:color w:val="000000" w:themeColor="text1"/>
          <w:sz w:val="24"/>
        </w:rPr>
      </w:pPr>
      <w:r w:rsidRPr="00BF609D">
        <w:rPr>
          <w:b/>
          <w:color w:val="000000" w:themeColor="text1"/>
          <w:sz w:val="24"/>
        </w:rPr>
        <w:t>Section 8B:</w:t>
      </w:r>
      <w:r w:rsidR="00A37B0E" w:rsidRPr="00BF609D">
        <w:rPr>
          <w:b/>
          <w:color w:val="000000" w:themeColor="text1"/>
          <w:sz w:val="24"/>
        </w:rPr>
        <w:t xml:space="preserve"> </w:t>
      </w:r>
      <w:r w:rsidR="0039684D">
        <w:rPr>
          <w:color w:val="000000" w:themeColor="text1"/>
          <w:sz w:val="24"/>
        </w:rPr>
        <w:t>The individuals below were directly consulted on the interview tools, and participated in a pilot test of the instrument</w:t>
      </w:r>
      <w:r w:rsidR="00EB744B">
        <w:rPr>
          <w:color w:val="000000" w:themeColor="text1"/>
          <w:sz w:val="24"/>
        </w:rPr>
        <w:t>s</w:t>
      </w:r>
      <w:r w:rsidR="0039684D">
        <w:rPr>
          <w:color w:val="000000" w:themeColor="text1"/>
          <w:sz w:val="24"/>
        </w:rPr>
        <w:t xml:space="preserve">. All consultations occurred in May and June 2013, and no </w:t>
      </w:r>
      <w:r w:rsidR="001C0B13">
        <w:rPr>
          <w:color w:val="000000" w:themeColor="text1"/>
          <w:sz w:val="24"/>
        </w:rPr>
        <w:t xml:space="preserve">major </w:t>
      </w:r>
      <w:r w:rsidR="0039684D">
        <w:rPr>
          <w:color w:val="000000" w:themeColor="text1"/>
          <w:sz w:val="24"/>
        </w:rPr>
        <w:t>problems were identified.</w:t>
      </w:r>
      <w:r w:rsidR="006D03AA">
        <w:rPr>
          <w:color w:val="000000" w:themeColor="text1"/>
          <w:sz w:val="24"/>
        </w:rPr>
        <w:t xml:space="preserve"> </w:t>
      </w:r>
      <w:proofErr w:type="gramStart"/>
      <w:r w:rsidR="006D03AA">
        <w:rPr>
          <w:color w:val="000000" w:themeColor="text1"/>
          <w:sz w:val="24"/>
        </w:rPr>
        <w:t xml:space="preserve">Other </w:t>
      </w:r>
      <w:r w:rsidR="001C0B13">
        <w:rPr>
          <w:color w:val="000000" w:themeColor="text1"/>
          <w:sz w:val="24"/>
        </w:rPr>
        <w:t>than the public comments noted in</w:t>
      </w:r>
      <w:r w:rsidR="006D03AA">
        <w:rPr>
          <w:color w:val="000000" w:themeColor="text1"/>
          <w:sz w:val="24"/>
        </w:rPr>
        <w:t xml:space="preserve"> Section 8A above</w:t>
      </w:r>
      <w:r w:rsidR="00C042EA">
        <w:rPr>
          <w:color w:val="000000" w:themeColor="text1"/>
          <w:sz w:val="24"/>
        </w:rPr>
        <w:t xml:space="preserve"> and the individuals consulted below</w:t>
      </w:r>
      <w:r w:rsidR="001C0B13">
        <w:rPr>
          <w:color w:val="000000" w:themeColor="text1"/>
          <w:sz w:val="24"/>
        </w:rPr>
        <w:t xml:space="preserve">, no additional </w:t>
      </w:r>
      <w:r w:rsidR="00D3536A" w:rsidRPr="00D3536A">
        <w:rPr>
          <w:color w:val="000000" w:themeColor="text1"/>
          <w:sz w:val="24"/>
        </w:rPr>
        <w:t>public contacts or opportunities for comment were conducted</w:t>
      </w:r>
      <w:r w:rsidR="006D03AA">
        <w:rPr>
          <w:color w:val="000000" w:themeColor="text1"/>
          <w:sz w:val="24"/>
        </w:rPr>
        <w:t>.</w:t>
      </w:r>
      <w:proofErr w:type="gramEnd"/>
      <w:r w:rsidR="006D03AA">
        <w:rPr>
          <w:color w:val="000000" w:themeColor="text1"/>
          <w:sz w:val="24"/>
        </w:rPr>
        <w:t xml:space="preserve"> </w:t>
      </w:r>
    </w:p>
    <w:p w:rsidR="0039684D" w:rsidRDefault="0039684D" w:rsidP="0039684D">
      <w:pPr>
        <w:pStyle w:val="ListParagraph"/>
        <w:numPr>
          <w:ilvl w:val="0"/>
          <w:numId w:val="57"/>
        </w:numPr>
        <w:spacing w:before="120"/>
        <w:rPr>
          <w:color w:val="000000" w:themeColor="text1"/>
          <w:sz w:val="24"/>
        </w:rPr>
      </w:pPr>
      <w:r w:rsidRPr="0039684D">
        <w:rPr>
          <w:color w:val="000000" w:themeColor="text1"/>
          <w:sz w:val="24"/>
        </w:rPr>
        <w:t xml:space="preserve">Michael </w:t>
      </w:r>
      <w:proofErr w:type="spellStart"/>
      <w:r w:rsidRPr="0039684D">
        <w:rPr>
          <w:color w:val="000000" w:themeColor="text1"/>
          <w:sz w:val="24"/>
        </w:rPr>
        <w:t>Goldrosen</w:t>
      </w:r>
      <w:proofErr w:type="spellEnd"/>
      <w:r w:rsidRPr="0039684D">
        <w:rPr>
          <w:color w:val="000000" w:themeColor="text1"/>
          <w:sz w:val="24"/>
        </w:rPr>
        <w:t xml:space="preserve">, Director, </w:t>
      </w:r>
      <w:r>
        <w:rPr>
          <w:color w:val="000000" w:themeColor="text1"/>
          <w:sz w:val="24"/>
        </w:rPr>
        <w:t>HIV/</w:t>
      </w:r>
      <w:r w:rsidRPr="0039684D">
        <w:rPr>
          <w:color w:val="000000" w:themeColor="text1"/>
          <w:sz w:val="24"/>
        </w:rPr>
        <w:t xml:space="preserve">AIDS </w:t>
      </w:r>
      <w:r>
        <w:rPr>
          <w:color w:val="000000" w:themeColor="text1"/>
          <w:sz w:val="24"/>
        </w:rPr>
        <w:t xml:space="preserve">Services </w:t>
      </w:r>
      <w:r w:rsidRPr="0039684D">
        <w:rPr>
          <w:color w:val="000000" w:themeColor="text1"/>
          <w:sz w:val="24"/>
        </w:rPr>
        <w:t xml:space="preserve">Division, </w:t>
      </w:r>
      <w:r>
        <w:rPr>
          <w:color w:val="000000" w:themeColor="text1"/>
          <w:sz w:val="24"/>
        </w:rPr>
        <w:t xml:space="preserve">Infectious Disease Bureau, </w:t>
      </w:r>
      <w:r w:rsidRPr="0039684D">
        <w:rPr>
          <w:color w:val="000000" w:themeColor="text1"/>
          <w:sz w:val="24"/>
        </w:rPr>
        <w:t xml:space="preserve">Boston Public Health Commission, </w:t>
      </w:r>
      <w:hyperlink r:id="rId9" w:history="1">
        <w:r w:rsidRPr="0039684D">
          <w:rPr>
            <w:rStyle w:val="Hyperlink"/>
            <w:sz w:val="24"/>
          </w:rPr>
          <w:t>mgoldrosen@bphc.org</w:t>
        </w:r>
      </w:hyperlink>
      <w:r w:rsidRPr="0039684D">
        <w:rPr>
          <w:color w:val="000000" w:themeColor="text1"/>
          <w:sz w:val="24"/>
        </w:rPr>
        <w:t>, 617.</w:t>
      </w:r>
      <w:r>
        <w:rPr>
          <w:color w:val="000000" w:themeColor="text1"/>
          <w:sz w:val="24"/>
        </w:rPr>
        <w:t>534.2370.</w:t>
      </w:r>
    </w:p>
    <w:p w:rsidR="0039684D" w:rsidRDefault="0039684D" w:rsidP="0039684D">
      <w:pPr>
        <w:pStyle w:val="ListParagraph"/>
        <w:numPr>
          <w:ilvl w:val="0"/>
          <w:numId w:val="57"/>
        </w:numPr>
        <w:spacing w:before="120"/>
        <w:rPr>
          <w:color w:val="000000" w:themeColor="text1"/>
          <w:sz w:val="24"/>
        </w:rPr>
      </w:pPr>
      <w:r>
        <w:rPr>
          <w:color w:val="000000" w:themeColor="text1"/>
          <w:sz w:val="24"/>
        </w:rPr>
        <w:t xml:space="preserve">Craig Wells, Deputy Executive Director and HIV Drug Assistance Program Director, Community Research Initiative of New England, </w:t>
      </w:r>
      <w:hyperlink r:id="rId10" w:history="1">
        <w:r w:rsidRPr="006F5DF8">
          <w:rPr>
            <w:rStyle w:val="Hyperlink"/>
            <w:sz w:val="24"/>
          </w:rPr>
          <w:t>cwells@crine.org</w:t>
        </w:r>
      </w:hyperlink>
      <w:r>
        <w:rPr>
          <w:color w:val="000000" w:themeColor="text1"/>
          <w:sz w:val="24"/>
        </w:rPr>
        <w:t>, 617.502.1734.</w:t>
      </w:r>
    </w:p>
    <w:p w:rsidR="00EB744B" w:rsidRDefault="00EB744B" w:rsidP="0039684D">
      <w:pPr>
        <w:pStyle w:val="ListParagraph"/>
        <w:numPr>
          <w:ilvl w:val="0"/>
          <w:numId w:val="57"/>
        </w:numPr>
        <w:spacing w:before="120"/>
        <w:rPr>
          <w:color w:val="000000" w:themeColor="text1"/>
          <w:sz w:val="24"/>
        </w:rPr>
      </w:pPr>
      <w:r>
        <w:rPr>
          <w:color w:val="000000" w:themeColor="text1"/>
          <w:sz w:val="24"/>
        </w:rPr>
        <w:t xml:space="preserve">Kathleen </w:t>
      </w:r>
      <w:proofErr w:type="spellStart"/>
      <w:r>
        <w:rPr>
          <w:color w:val="000000" w:themeColor="text1"/>
          <w:sz w:val="24"/>
        </w:rPr>
        <w:t>Clanon</w:t>
      </w:r>
      <w:proofErr w:type="spellEnd"/>
      <w:r>
        <w:rPr>
          <w:color w:val="000000" w:themeColor="text1"/>
          <w:sz w:val="24"/>
        </w:rPr>
        <w:t xml:space="preserve">, MD, Interim Chief Medical Officer, Alameda County Health Care Services Agency, </w:t>
      </w:r>
      <w:hyperlink r:id="rId11" w:history="1">
        <w:r w:rsidRPr="001E2F7C">
          <w:rPr>
            <w:rStyle w:val="Hyperlink"/>
            <w:sz w:val="24"/>
          </w:rPr>
          <w:t>Kathleen.Clanon@acgov.org</w:t>
        </w:r>
      </w:hyperlink>
      <w:r>
        <w:rPr>
          <w:color w:val="000000" w:themeColor="text1"/>
          <w:sz w:val="24"/>
        </w:rPr>
        <w:t xml:space="preserve">, </w:t>
      </w:r>
      <w:r w:rsidR="00D3536A">
        <w:rPr>
          <w:color w:val="000000" w:themeColor="text1"/>
          <w:sz w:val="24"/>
        </w:rPr>
        <w:t>510.618.3452.</w:t>
      </w:r>
    </w:p>
    <w:p w:rsidR="0039684D" w:rsidRDefault="00EB744B" w:rsidP="005D5FE6">
      <w:pPr>
        <w:pStyle w:val="ListParagraph"/>
        <w:numPr>
          <w:ilvl w:val="0"/>
          <w:numId w:val="57"/>
        </w:numPr>
        <w:spacing w:before="120"/>
        <w:rPr>
          <w:color w:val="000000" w:themeColor="text1"/>
          <w:sz w:val="24"/>
        </w:rPr>
      </w:pPr>
      <w:proofErr w:type="spellStart"/>
      <w:r>
        <w:rPr>
          <w:color w:val="000000" w:themeColor="text1"/>
          <w:sz w:val="24"/>
        </w:rPr>
        <w:t>Sophy</w:t>
      </w:r>
      <w:proofErr w:type="spellEnd"/>
      <w:r>
        <w:rPr>
          <w:color w:val="000000" w:themeColor="text1"/>
          <w:sz w:val="24"/>
        </w:rPr>
        <w:t xml:space="preserve"> Wong, Medical Director, Alameda Health Consortium, </w:t>
      </w:r>
      <w:hyperlink r:id="rId12" w:history="1">
        <w:r w:rsidRPr="001E2F7C">
          <w:rPr>
            <w:rStyle w:val="Hyperlink"/>
            <w:sz w:val="24"/>
          </w:rPr>
          <w:t>sophy.wong@gmail.com</w:t>
        </w:r>
      </w:hyperlink>
      <w:r>
        <w:rPr>
          <w:color w:val="000000" w:themeColor="text1"/>
          <w:sz w:val="24"/>
        </w:rPr>
        <w:t xml:space="preserve">, 510.297.0233. </w:t>
      </w:r>
    </w:p>
    <w:p w:rsidR="00EB744B" w:rsidRDefault="00EB744B" w:rsidP="005D5FE6">
      <w:pPr>
        <w:pStyle w:val="ListParagraph"/>
        <w:numPr>
          <w:ilvl w:val="0"/>
          <w:numId w:val="57"/>
        </w:numPr>
        <w:spacing w:before="120"/>
        <w:rPr>
          <w:color w:val="000000" w:themeColor="text1"/>
          <w:sz w:val="24"/>
        </w:rPr>
      </w:pPr>
      <w:r>
        <w:rPr>
          <w:color w:val="000000" w:themeColor="text1"/>
          <w:sz w:val="24"/>
        </w:rPr>
        <w:t xml:space="preserve">Karen Mark, Interim Chief, Office of AIDS, </w:t>
      </w:r>
      <w:r w:rsidR="006C26F7">
        <w:rPr>
          <w:color w:val="000000" w:themeColor="text1"/>
          <w:sz w:val="24"/>
        </w:rPr>
        <w:t xml:space="preserve">California Department of Health, </w:t>
      </w:r>
      <w:hyperlink r:id="rId13" w:history="1">
        <w:r w:rsidR="006C26F7" w:rsidRPr="001E2F7C">
          <w:rPr>
            <w:rStyle w:val="Hyperlink"/>
            <w:sz w:val="24"/>
          </w:rPr>
          <w:t>karen.mark@cdph.ca.gov</w:t>
        </w:r>
      </w:hyperlink>
      <w:r w:rsidR="006C26F7">
        <w:rPr>
          <w:color w:val="000000" w:themeColor="text1"/>
          <w:sz w:val="24"/>
        </w:rPr>
        <w:t>, 916.449.5905</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Explanation of any Payment/Gift to Respondents</w:t>
      </w:r>
    </w:p>
    <w:p w:rsidR="00B85657" w:rsidRPr="00BF609D" w:rsidRDefault="00B85657" w:rsidP="00B85657">
      <w:pPr>
        <w:spacing w:before="120"/>
        <w:rPr>
          <w:color w:val="000000" w:themeColor="text1"/>
          <w:sz w:val="24"/>
        </w:rPr>
      </w:pPr>
      <w:r w:rsidRPr="00BF609D">
        <w:rPr>
          <w:color w:val="000000" w:themeColor="text1"/>
          <w:sz w:val="24"/>
        </w:rPr>
        <w:t>No payments or gifts will be provided to respondents.</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Assurance of Confidentiality Provided to Respondents</w:t>
      </w:r>
    </w:p>
    <w:p w:rsidR="0028758F" w:rsidRPr="001927F0" w:rsidRDefault="00B70FF5" w:rsidP="00B70FF5">
      <w:pPr>
        <w:widowControl/>
        <w:spacing w:before="120"/>
        <w:rPr>
          <w:color w:val="000000" w:themeColor="text1"/>
          <w:sz w:val="24"/>
        </w:rPr>
      </w:pPr>
      <w:r w:rsidRPr="00BF609D">
        <w:rPr>
          <w:color w:val="000000" w:themeColor="text1"/>
          <w:sz w:val="24"/>
        </w:rPr>
        <w:t xml:space="preserve">At the beginning of each interview, the participant will be informed that information collected during interviews will not attributed to any individual by name, but that the final report will include the names of all individuals who participated in the study, and may include examples of the waivers’ impact </w:t>
      </w:r>
      <w:r w:rsidRPr="001927F0">
        <w:rPr>
          <w:color w:val="000000" w:themeColor="text1"/>
          <w:sz w:val="24"/>
        </w:rPr>
        <w:t>in specific locations.</w:t>
      </w:r>
    </w:p>
    <w:p w:rsidR="00B70FF5" w:rsidRPr="001927F0" w:rsidRDefault="0028758F" w:rsidP="00B70FF5">
      <w:pPr>
        <w:widowControl/>
        <w:spacing w:before="120"/>
        <w:rPr>
          <w:color w:val="000000" w:themeColor="text1"/>
          <w:sz w:val="24"/>
        </w:rPr>
      </w:pPr>
      <w:r w:rsidRPr="001927F0">
        <w:rPr>
          <w:color w:val="000000" w:themeColor="text1"/>
          <w:sz w:val="24"/>
        </w:rPr>
        <w:t xml:space="preserve">The project has been reviewed by the JSI IRB and is exempt from human </w:t>
      </w:r>
      <w:proofErr w:type="gramStart"/>
      <w:r w:rsidRPr="001927F0">
        <w:rPr>
          <w:color w:val="000000" w:themeColor="text1"/>
          <w:sz w:val="24"/>
        </w:rPr>
        <w:t>subjects</w:t>
      </w:r>
      <w:proofErr w:type="gramEnd"/>
      <w:r w:rsidRPr="001927F0">
        <w:rPr>
          <w:color w:val="000000" w:themeColor="text1"/>
          <w:sz w:val="24"/>
        </w:rPr>
        <w:t xml:space="preserve"> protection oversight as permitted in CFR </w:t>
      </w:r>
      <w:r w:rsidR="008F76DD" w:rsidRPr="001927F0">
        <w:rPr>
          <w:color w:val="000000" w:themeColor="text1"/>
          <w:sz w:val="24"/>
        </w:rPr>
        <w:t>46.101 (b) 2. With the current methodology, no further IRB involvement or approval is required (</w:t>
      </w:r>
      <w:r w:rsidR="00C1623E" w:rsidRPr="001927F0">
        <w:rPr>
          <w:color w:val="000000" w:themeColor="text1"/>
          <w:sz w:val="24"/>
        </w:rPr>
        <w:t>included as A</w:t>
      </w:r>
      <w:r w:rsidR="00601DFF" w:rsidRPr="001927F0">
        <w:rPr>
          <w:color w:val="000000" w:themeColor="text1"/>
          <w:sz w:val="24"/>
        </w:rPr>
        <w:t xml:space="preserve">ttachment </w:t>
      </w:r>
      <w:r w:rsidR="00C1623E" w:rsidRPr="001927F0">
        <w:rPr>
          <w:color w:val="000000" w:themeColor="text1"/>
          <w:sz w:val="24"/>
        </w:rPr>
        <w:t>G</w:t>
      </w:r>
      <w:r w:rsidR="00601DFF" w:rsidRPr="001927F0">
        <w:rPr>
          <w:color w:val="000000" w:themeColor="text1"/>
          <w:sz w:val="24"/>
        </w:rPr>
        <w:t xml:space="preserve">: </w:t>
      </w:r>
      <w:r w:rsidR="00C1623E" w:rsidRPr="001927F0">
        <w:rPr>
          <w:color w:val="000000" w:themeColor="text1"/>
          <w:sz w:val="24"/>
        </w:rPr>
        <w:t>IRB</w:t>
      </w:r>
      <w:r w:rsidR="00697384" w:rsidRPr="001927F0">
        <w:rPr>
          <w:color w:val="000000" w:themeColor="text1"/>
          <w:sz w:val="24"/>
        </w:rPr>
        <w:t xml:space="preserve"> </w:t>
      </w:r>
      <w:r w:rsidR="00601DFF" w:rsidRPr="001927F0">
        <w:rPr>
          <w:color w:val="000000" w:themeColor="text1"/>
          <w:sz w:val="24"/>
        </w:rPr>
        <w:t>W</w:t>
      </w:r>
      <w:r w:rsidR="00697384" w:rsidRPr="001927F0">
        <w:rPr>
          <w:color w:val="000000" w:themeColor="text1"/>
          <w:sz w:val="24"/>
        </w:rPr>
        <w:t xml:space="preserve">aiver </w:t>
      </w:r>
      <w:r w:rsidR="00601DFF" w:rsidRPr="001927F0">
        <w:rPr>
          <w:color w:val="000000" w:themeColor="text1"/>
          <w:sz w:val="24"/>
        </w:rPr>
        <w:t>L</w:t>
      </w:r>
      <w:r w:rsidR="00697384" w:rsidRPr="001927F0">
        <w:rPr>
          <w:color w:val="000000" w:themeColor="text1"/>
          <w:sz w:val="24"/>
        </w:rPr>
        <w:t>etter).</w:t>
      </w:r>
    </w:p>
    <w:p w:rsidR="009B3794" w:rsidRPr="001927F0" w:rsidRDefault="009B3794" w:rsidP="00CA3DA6">
      <w:pPr>
        <w:numPr>
          <w:ilvl w:val="0"/>
          <w:numId w:val="2"/>
        </w:numPr>
        <w:spacing w:before="240"/>
        <w:rPr>
          <w:b/>
          <w:color w:val="000000" w:themeColor="text1"/>
          <w:sz w:val="24"/>
        </w:rPr>
      </w:pPr>
      <w:r w:rsidRPr="001927F0">
        <w:rPr>
          <w:b/>
          <w:color w:val="000000" w:themeColor="text1"/>
          <w:sz w:val="24"/>
          <w:u w:val="single"/>
        </w:rPr>
        <w:t>Justification for Sensitive Questions</w:t>
      </w:r>
    </w:p>
    <w:p w:rsidR="00661319" w:rsidRPr="00BF609D" w:rsidRDefault="00B85657" w:rsidP="00661319">
      <w:pPr>
        <w:widowControl/>
        <w:spacing w:before="120"/>
        <w:rPr>
          <w:color w:val="000000" w:themeColor="text1"/>
          <w:sz w:val="24"/>
        </w:rPr>
      </w:pPr>
      <w:r w:rsidRPr="00BF609D">
        <w:rPr>
          <w:color w:val="000000" w:themeColor="text1"/>
          <w:sz w:val="24"/>
        </w:rPr>
        <w:lastRenderedPageBreak/>
        <w:t xml:space="preserve">None of the interview questions are of a personal, sensitive or private nature. Participants will be asked only about their programmatic experience of implementing the 1115 Medicaid waiver in their jurisdiction or at their organization. </w:t>
      </w:r>
      <w:r w:rsidR="00661319" w:rsidRPr="00BF609D">
        <w:rPr>
          <w:color w:val="000000" w:themeColor="text1"/>
          <w:sz w:val="24"/>
        </w:rPr>
        <w:t>Information collected during interviews will not attributed to any individual by name. However, the final report will include the names of all individuals who participated in the study, and may include examples of the waivers’ impact in specific locations.</w:t>
      </w:r>
    </w:p>
    <w:p w:rsidR="009B3794" w:rsidRPr="00BF609D" w:rsidRDefault="009B3794" w:rsidP="00CA3DA6">
      <w:pPr>
        <w:numPr>
          <w:ilvl w:val="0"/>
          <w:numId w:val="2"/>
        </w:numPr>
        <w:spacing w:before="240"/>
        <w:rPr>
          <w:color w:val="000000" w:themeColor="text1"/>
          <w:sz w:val="24"/>
        </w:rPr>
      </w:pPr>
      <w:r w:rsidRPr="00BF609D">
        <w:rPr>
          <w:b/>
          <w:color w:val="000000" w:themeColor="text1"/>
          <w:sz w:val="24"/>
          <w:u w:val="single"/>
        </w:rPr>
        <w:t xml:space="preserve">Estimates of Annualized Hour and Cost Burden  </w:t>
      </w:r>
    </w:p>
    <w:p w:rsidR="00F1609E" w:rsidRPr="00BF609D" w:rsidRDefault="009B3794" w:rsidP="00CA3DA6">
      <w:pPr>
        <w:widowControl/>
        <w:tabs>
          <w:tab w:val="num" w:pos="720"/>
        </w:tabs>
        <w:spacing w:before="120"/>
        <w:rPr>
          <w:color w:val="000000" w:themeColor="text1"/>
          <w:sz w:val="24"/>
        </w:rPr>
      </w:pPr>
      <w:r w:rsidRPr="00BF609D">
        <w:rPr>
          <w:b/>
          <w:color w:val="000000" w:themeColor="text1"/>
          <w:sz w:val="24"/>
        </w:rPr>
        <w:t>12A.</w:t>
      </w:r>
      <w:r w:rsidRPr="00BF609D">
        <w:rPr>
          <w:color w:val="000000" w:themeColor="text1"/>
          <w:sz w:val="24"/>
        </w:rPr>
        <w:t xml:space="preserve">        </w:t>
      </w:r>
    </w:p>
    <w:p w:rsidR="00C1688C" w:rsidRPr="00435EBE" w:rsidRDefault="00F1609E" w:rsidP="00CA3DA6">
      <w:pPr>
        <w:widowControl/>
        <w:tabs>
          <w:tab w:val="num" w:pos="720"/>
        </w:tabs>
        <w:spacing w:before="120"/>
        <w:rPr>
          <w:b/>
          <w:color w:val="000000" w:themeColor="text1"/>
          <w:sz w:val="22"/>
          <w:szCs w:val="22"/>
        </w:rPr>
      </w:pPr>
      <w:r w:rsidRPr="00435EBE">
        <w:rPr>
          <w:b/>
          <w:color w:val="000000" w:themeColor="text1"/>
          <w:sz w:val="22"/>
          <w:szCs w:val="22"/>
        </w:rPr>
        <w:t>Exhibit 12</w:t>
      </w:r>
      <w:r w:rsidR="00382BD1" w:rsidRPr="00435EBE">
        <w:rPr>
          <w:b/>
          <w:color w:val="000000" w:themeColor="text1"/>
          <w:sz w:val="22"/>
          <w:szCs w:val="22"/>
        </w:rPr>
        <w:t>-</w:t>
      </w:r>
      <w:r w:rsidRPr="00435EBE">
        <w:rPr>
          <w:b/>
          <w:color w:val="000000" w:themeColor="text1"/>
          <w:sz w:val="22"/>
          <w:szCs w:val="22"/>
        </w:rPr>
        <w:t>A</w:t>
      </w:r>
      <w:r w:rsidR="005C42F5" w:rsidRPr="00435EBE">
        <w:rPr>
          <w:b/>
          <w:color w:val="000000" w:themeColor="text1"/>
          <w:sz w:val="22"/>
          <w:szCs w:val="22"/>
        </w:rPr>
        <w:t xml:space="preserve">: </w:t>
      </w:r>
      <w:r w:rsidR="009B3794" w:rsidRPr="00435EBE">
        <w:rPr>
          <w:b/>
          <w:color w:val="000000" w:themeColor="text1"/>
          <w:sz w:val="22"/>
          <w:szCs w:val="22"/>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250"/>
        <w:gridCol w:w="1440"/>
        <w:gridCol w:w="1350"/>
        <w:gridCol w:w="1260"/>
        <w:gridCol w:w="993"/>
      </w:tblGrid>
      <w:tr w:rsidR="00BF609D" w:rsidRPr="00435EBE" w:rsidTr="00382BD1">
        <w:trPr>
          <w:trHeight w:val="1250"/>
        </w:trPr>
        <w:tc>
          <w:tcPr>
            <w:tcW w:w="1872" w:type="dxa"/>
          </w:tcPr>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Type of</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Respondent</w:t>
            </w:r>
          </w:p>
          <w:p w:rsidR="00CA3DA6" w:rsidRPr="00435EBE" w:rsidRDefault="00CA3DA6" w:rsidP="00B15527">
            <w:pPr>
              <w:widowControl/>
              <w:tabs>
                <w:tab w:val="num" w:pos="1080"/>
              </w:tabs>
              <w:rPr>
                <w:b/>
                <w:bCs/>
                <w:color w:val="000000" w:themeColor="text1"/>
                <w:sz w:val="22"/>
                <w:szCs w:val="22"/>
              </w:rPr>
            </w:pPr>
          </w:p>
        </w:tc>
        <w:tc>
          <w:tcPr>
            <w:tcW w:w="2250" w:type="dxa"/>
          </w:tcPr>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Form</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Name</w:t>
            </w:r>
          </w:p>
          <w:p w:rsidR="00CA3DA6" w:rsidRPr="00435EBE" w:rsidRDefault="00CA3DA6" w:rsidP="00B15527">
            <w:pPr>
              <w:widowControl/>
              <w:tabs>
                <w:tab w:val="num" w:pos="1080"/>
              </w:tabs>
              <w:rPr>
                <w:b/>
                <w:bCs/>
                <w:color w:val="000000" w:themeColor="text1"/>
                <w:sz w:val="22"/>
                <w:szCs w:val="22"/>
              </w:rPr>
            </w:pPr>
          </w:p>
        </w:tc>
        <w:tc>
          <w:tcPr>
            <w:tcW w:w="1440" w:type="dxa"/>
          </w:tcPr>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No. of</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Respondents</w:t>
            </w:r>
          </w:p>
        </w:tc>
        <w:tc>
          <w:tcPr>
            <w:tcW w:w="1350" w:type="dxa"/>
          </w:tcPr>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No.</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Responses</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per</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Respondent</w:t>
            </w:r>
          </w:p>
        </w:tc>
        <w:tc>
          <w:tcPr>
            <w:tcW w:w="1260" w:type="dxa"/>
          </w:tcPr>
          <w:p w:rsidR="00CA3DA6" w:rsidRPr="00435EBE" w:rsidRDefault="00B15527" w:rsidP="00B15527">
            <w:pPr>
              <w:widowControl/>
              <w:tabs>
                <w:tab w:val="num" w:pos="1080"/>
              </w:tabs>
              <w:rPr>
                <w:b/>
                <w:bCs/>
                <w:color w:val="000000" w:themeColor="text1"/>
                <w:sz w:val="22"/>
                <w:szCs w:val="22"/>
              </w:rPr>
            </w:pPr>
            <w:r w:rsidRPr="00435EBE">
              <w:rPr>
                <w:b/>
                <w:bCs/>
                <w:color w:val="000000" w:themeColor="text1"/>
                <w:sz w:val="22"/>
                <w:szCs w:val="22"/>
              </w:rPr>
              <w:t>Average</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Burden per</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Response</w:t>
            </w:r>
          </w:p>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(in hours)</w:t>
            </w:r>
          </w:p>
        </w:tc>
        <w:tc>
          <w:tcPr>
            <w:tcW w:w="993" w:type="dxa"/>
          </w:tcPr>
          <w:p w:rsidR="00CA3DA6" w:rsidRPr="00435EBE" w:rsidRDefault="00CA3DA6" w:rsidP="00B15527">
            <w:pPr>
              <w:widowControl/>
              <w:tabs>
                <w:tab w:val="num" w:pos="1080"/>
              </w:tabs>
              <w:rPr>
                <w:b/>
                <w:bCs/>
                <w:color w:val="000000" w:themeColor="text1"/>
                <w:sz w:val="22"/>
                <w:szCs w:val="22"/>
              </w:rPr>
            </w:pPr>
            <w:r w:rsidRPr="00435EBE">
              <w:rPr>
                <w:b/>
                <w:bCs/>
                <w:color w:val="000000" w:themeColor="text1"/>
                <w:sz w:val="22"/>
                <w:szCs w:val="22"/>
              </w:rPr>
              <w:t>Total Burden Hours</w:t>
            </w:r>
          </w:p>
        </w:tc>
      </w:tr>
      <w:tr w:rsidR="00BF609D" w:rsidRPr="00435EBE" w:rsidTr="00382BD1">
        <w:trPr>
          <w:trHeight w:val="679"/>
        </w:trPr>
        <w:tc>
          <w:tcPr>
            <w:tcW w:w="1872" w:type="dxa"/>
          </w:tcPr>
          <w:p w:rsidR="00B15527" w:rsidRPr="00435EBE" w:rsidRDefault="00B15527" w:rsidP="00B15527">
            <w:pPr>
              <w:widowControl/>
              <w:tabs>
                <w:tab w:val="num" w:pos="1080"/>
              </w:tabs>
              <w:spacing w:before="120"/>
              <w:rPr>
                <w:b/>
                <w:bCs/>
                <w:color w:val="000000" w:themeColor="text1"/>
                <w:sz w:val="22"/>
                <w:szCs w:val="22"/>
              </w:rPr>
            </w:pPr>
            <w:r w:rsidRPr="00435EBE">
              <w:rPr>
                <w:b/>
                <w:bCs/>
                <w:color w:val="000000" w:themeColor="text1"/>
                <w:sz w:val="22"/>
                <w:szCs w:val="22"/>
              </w:rPr>
              <w:t>State Medicaid agency representatives</w:t>
            </w:r>
          </w:p>
        </w:tc>
        <w:tc>
          <w:tcPr>
            <w:tcW w:w="2250" w:type="dxa"/>
          </w:tcPr>
          <w:p w:rsidR="00B15527" w:rsidRPr="00435EBE" w:rsidRDefault="00B15527" w:rsidP="00B15527">
            <w:pPr>
              <w:widowControl/>
              <w:tabs>
                <w:tab w:val="num" w:pos="1080"/>
              </w:tabs>
              <w:spacing w:before="120"/>
              <w:rPr>
                <w:b/>
                <w:bCs/>
                <w:color w:val="000000" w:themeColor="text1"/>
                <w:sz w:val="22"/>
                <w:szCs w:val="22"/>
              </w:rPr>
            </w:pPr>
            <w:r w:rsidRPr="00435EBE">
              <w:rPr>
                <w:color w:val="000000" w:themeColor="text1"/>
                <w:sz w:val="22"/>
                <w:szCs w:val="22"/>
              </w:rPr>
              <w:t>Qualitative Interview Data Collection Tool for State Medicaid Agency Groups</w:t>
            </w:r>
          </w:p>
        </w:tc>
        <w:tc>
          <w:tcPr>
            <w:tcW w:w="1440" w:type="dxa"/>
          </w:tcPr>
          <w:p w:rsidR="00492D5A" w:rsidRPr="00435EBE" w:rsidRDefault="00B15527" w:rsidP="00B15527">
            <w:pPr>
              <w:widowControl/>
              <w:tabs>
                <w:tab w:val="num" w:pos="1080"/>
              </w:tabs>
              <w:spacing w:before="120"/>
              <w:rPr>
                <w:b/>
                <w:bCs/>
                <w:color w:val="000000" w:themeColor="text1"/>
                <w:sz w:val="22"/>
                <w:szCs w:val="22"/>
              </w:rPr>
            </w:pPr>
            <w:r w:rsidRPr="00435EBE">
              <w:rPr>
                <w:color w:val="000000" w:themeColor="text1"/>
                <w:sz w:val="22"/>
                <w:szCs w:val="22"/>
              </w:rPr>
              <w:t>40</w:t>
            </w:r>
          </w:p>
          <w:p w:rsidR="00B15527" w:rsidRPr="00435EBE" w:rsidRDefault="00B15527" w:rsidP="00492D5A">
            <w:pPr>
              <w:jc w:val="center"/>
              <w:rPr>
                <w:color w:val="000000" w:themeColor="text1"/>
                <w:sz w:val="22"/>
                <w:szCs w:val="22"/>
              </w:rPr>
            </w:pPr>
          </w:p>
        </w:tc>
        <w:tc>
          <w:tcPr>
            <w:tcW w:w="1350" w:type="dxa"/>
          </w:tcPr>
          <w:p w:rsidR="00B15527" w:rsidRPr="00435EBE" w:rsidRDefault="00B15527" w:rsidP="00B15527">
            <w:pPr>
              <w:widowControl/>
              <w:tabs>
                <w:tab w:val="num" w:pos="1080"/>
              </w:tabs>
              <w:spacing w:before="120"/>
              <w:rPr>
                <w:b/>
                <w:bCs/>
                <w:color w:val="000000" w:themeColor="text1"/>
                <w:sz w:val="22"/>
                <w:szCs w:val="22"/>
              </w:rPr>
            </w:pPr>
            <w:r w:rsidRPr="00435EBE">
              <w:rPr>
                <w:color w:val="000000" w:themeColor="text1"/>
                <w:sz w:val="22"/>
                <w:szCs w:val="22"/>
              </w:rPr>
              <w:t>1</w:t>
            </w:r>
          </w:p>
        </w:tc>
        <w:tc>
          <w:tcPr>
            <w:tcW w:w="1260" w:type="dxa"/>
          </w:tcPr>
          <w:p w:rsidR="00B15527" w:rsidRPr="00435EBE" w:rsidRDefault="00B15527" w:rsidP="00B15527">
            <w:pPr>
              <w:widowControl/>
              <w:tabs>
                <w:tab w:val="num" w:pos="1080"/>
              </w:tabs>
              <w:spacing w:before="120"/>
              <w:rPr>
                <w:bCs/>
                <w:color w:val="000000" w:themeColor="text1"/>
                <w:sz w:val="22"/>
                <w:szCs w:val="22"/>
              </w:rPr>
            </w:pPr>
            <w:r w:rsidRPr="00435EBE">
              <w:rPr>
                <w:color w:val="000000" w:themeColor="text1"/>
                <w:sz w:val="22"/>
                <w:szCs w:val="22"/>
              </w:rPr>
              <w:t>2</w:t>
            </w:r>
          </w:p>
        </w:tc>
        <w:tc>
          <w:tcPr>
            <w:tcW w:w="993" w:type="dxa"/>
          </w:tcPr>
          <w:p w:rsidR="00B15527" w:rsidRPr="00435EBE" w:rsidRDefault="00B15527" w:rsidP="00B15527">
            <w:pPr>
              <w:widowControl/>
              <w:tabs>
                <w:tab w:val="num" w:pos="1080"/>
              </w:tabs>
              <w:spacing w:before="120"/>
              <w:rPr>
                <w:b/>
                <w:bCs/>
                <w:color w:val="000000" w:themeColor="text1"/>
                <w:sz w:val="22"/>
                <w:szCs w:val="22"/>
              </w:rPr>
            </w:pPr>
            <w:r w:rsidRPr="00435EBE">
              <w:rPr>
                <w:b/>
                <w:bCs/>
                <w:color w:val="000000" w:themeColor="text1"/>
                <w:sz w:val="22"/>
                <w:szCs w:val="22"/>
              </w:rPr>
              <w:t>80</w:t>
            </w:r>
          </w:p>
        </w:tc>
      </w:tr>
      <w:tr w:rsidR="00BF609D" w:rsidRPr="00435EBE" w:rsidTr="00382BD1">
        <w:trPr>
          <w:trHeight w:val="800"/>
        </w:trPr>
        <w:tc>
          <w:tcPr>
            <w:tcW w:w="1872" w:type="dxa"/>
          </w:tcPr>
          <w:p w:rsidR="00B15527" w:rsidRPr="00435EBE" w:rsidRDefault="00492D5A" w:rsidP="00CC110B">
            <w:pPr>
              <w:widowControl/>
              <w:tabs>
                <w:tab w:val="num" w:pos="1080"/>
              </w:tabs>
              <w:spacing w:before="120"/>
              <w:rPr>
                <w:b/>
                <w:bCs/>
                <w:color w:val="000000" w:themeColor="text1"/>
                <w:sz w:val="22"/>
                <w:szCs w:val="22"/>
              </w:rPr>
            </w:pPr>
            <w:r w:rsidRPr="00435EBE">
              <w:rPr>
                <w:b/>
                <w:bCs/>
                <w:color w:val="000000" w:themeColor="text1"/>
                <w:sz w:val="22"/>
                <w:szCs w:val="22"/>
              </w:rPr>
              <w:t>Ryan White</w:t>
            </w:r>
            <w:r w:rsidR="00B15527" w:rsidRPr="00435EBE">
              <w:rPr>
                <w:b/>
                <w:bCs/>
                <w:color w:val="000000" w:themeColor="text1"/>
                <w:sz w:val="22"/>
                <w:szCs w:val="22"/>
              </w:rPr>
              <w:t xml:space="preserve"> Part A </w:t>
            </w:r>
            <w:r w:rsidR="00CC110B" w:rsidRPr="00435EBE">
              <w:rPr>
                <w:b/>
                <w:bCs/>
                <w:color w:val="000000" w:themeColor="text1"/>
                <w:sz w:val="22"/>
                <w:szCs w:val="22"/>
              </w:rPr>
              <w:t>a</w:t>
            </w:r>
            <w:r w:rsidR="00B15527" w:rsidRPr="00435EBE">
              <w:rPr>
                <w:b/>
                <w:bCs/>
                <w:color w:val="000000" w:themeColor="text1"/>
                <w:sz w:val="22"/>
                <w:szCs w:val="22"/>
              </w:rPr>
              <w:t xml:space="preserve">dministrators </w:t>
            </w:r>
          </w:p>
        </w:tc>
        <w:tc>
          <w:tcPr>
            <w:tcW w:w="2250" w:type="dxa"/>
          </w:tcPr>
          <w:p w:rsidR="00B15527" w:rsidRPr="00435EBE" w:rsidRDefault="00B15527" w:rsidP="00B15527">
            <w:pPr>
              <w:widowControl/>
              <w:tabs>
                <w:tab w:val="num" w:pos="1080"/>
              </w:tabs>
              <w:spacing w:before="120"/>
              <w:rPr>
                <w:b/>
                <w:bCs/>
                <w:color w:val="000000" w:themeColor="text1"/>
                <w:sz w:val="22"/>
                <w:szCs w:val="22"/>
              </w:rPr>
            </w:pPr>
            <w:r w:rsidRPr="00435EBE">
              <w:rPr>
                <w:color w:val="000000" w:themeColor="text1"/>
                <w:sz w:val="22"/>
                <w:szCs w:val="22"/>
              </w:rPr>
              <w:t>Qualitative Interview Data Collection Tool for Ryan White Part A Administrators and Members of Planning Councils</w:t>
            </w:r>
          </w:p>
        </w:tc>
        <w:tc>
          <w:tcPr>
            <w:tcW w:w="1440" w:type="dxa"/>
          </w:tcPr>
          <w:p w:rsidR="00B15527" w:rsidRPr="00435EBE" w:rsidRDefault="00492D5A" w:rsidP="00B15527">
            <w:pPr>
              <w:widowControl/>
              <w:tabs>
                <w:tab w:val="num" w:pos="1080"/>
              </w:tabs>
              <w:spacing w:before="120"/>
              <w:rPr>
                <w:b/>
                <w:bCs/>
                <w:color w:val="000000" w:themeColor="text1"/>
                <w:sz w:val="22"/>
                <w:szCs w:val="22"/>
              </w:rPr>
            </w:pPr>
            <w:r w:rsidRPr="00435EBE">
              <w:rPr>
                <w:color w:val="000000" w:themeColor="text1"/>
                <w:sz w:val="22"/>
                <w:szCs w:val="22"/>
              </w:rPr>
              <w:t>64</w:t>
            </w:r>
          </w:p>
        </w:tc>
        <w:tc>
          <w:tcPr>
            <w:tcW w:w="1350" w:type="dxa"/>
          </w:tcPr>
          <w:p w:rsidR="00B15527" w:rsidRPr="00435EBE" w:rsidRDefault="00B15527" w:rsidP="00B15527">
            <w:pPr>
              <w:widowControl/>
              <w:tabs>
                <w:tab w:val="num" w:pos="1080"/>
              </w:tabs>
              <w:spacing w:before="120"/>
              <w:rPr>
                <w:b/>
                <w:bCs/>
                <w:color w:val="000000" w:themeColor="text1"/>
                <w:sz w:val="22"/>
                <w:szCs w:val="22"/>
              </w:rPr>
            </w:pPr>
            <w:r w:rsidRPr="00435EBE">
              <w:rPr>
                <w:color w:val="000000" w:themeColor="text1"/>
                <w:sz w:val="22"/>
                <w:szCs w:val="22"/>
              </w:rPr>
              <w:t>1</w:t>
            </w:r>
          </w:p>
        </w:tc>
        <w:tc>
          <w:tcPr>
            <w:tcW w:w="1260" w:type="dxa"/>
          </w:tcPr>
          <w:p w:rsidR="00B15527" w:rsidRPr="00435EBE" w:rsidRDefault="00B15527" w:rsidP="00B15527">
            <w:pPr>
              <w:widowControl/>
              <w:tabs>
                <w:tab w:val="num" w:pos="1080"/>
              </w:tabs>
              <w:spacing w:before="120"/>
              <w:rPr>
                <w:bCs/>
                <w:color w:val="000000" w:themeColor="text1"/>
                <w:sz w:val="22"/>
                <w:szCs w:val="22"/>
              </w:rPr>
            </w:pPr>
            <w:r w:rsidRPr="00435EBE">
              <w:rPr>
                <w:color w:val="000000" w:themeColor="text1"/>
                <w:sz w:val="22"/>
                <w:szCs w:val="22"/>
              </w:rPr>
              <w:t>2</w:t>
            </w:r>
          </w:p>
        </w:tc>
        <w:tc>
          <w:tcPr>
            <w:tcW w:w="993" w:type="dxa"/>
          </w:tcPr>
          <w:p w:rsidR="00B15527" w:rsidRPr="00435EBE" w:rsidRDefault="00492D5A" w:rsidP="00B15527">
            <w:pPr>
              <w:widowControl/>
              <w:tabs>
                <w:tab w:val="num" w:pos="1080"/>
              </w:tabs>
              <w:spacing w:before="120"/>
              <w:rPr>
                <w:b/>
                <w:bCs/>
                <w:color w:val="000000" w:themeColor="text1"/>
                <w:sz w:val="22"/>
                <w:szCs w:val="22"/>
              </w:rPr>
            </w:pPr>
            <w:r w:rsidRPr="00435EBE">
              <w:rPr>
                <w:b/>
                <w:bCs/>
                <w:color w:val="000000" w:themeColor="text1"/>
                <w:sz w:val="22"/>
                <w:szCs w:val="22"/>
              </w:rPr>
              <w:t>128</w:t>
            </w:r>
          </w:p>
        </w:tc>
      </w:tr>
      <w:tr w:rsidR="00BF609D" w:rsidRPr="00435EBE" w:rsidTr="00382BD1">
        <w:trPr>
          <w:trHeight w:val="815"/>
        </w:trPr>
        <w:tc>
          <w:tcPr>
            <w:tcW w:w="1872" w:type="dxa"/>
          </w:tcPr>
          <w:p w:rsidR="00492D5A" w:rsidRPr="00435EBE" w:rsidRDefault="00492D5A" w:rsidP="00492D5A">
            <w:pPr>
              <w:widowControl/>
              <w:tabs>
                <w:tab w:val="num" w:pos="1080"/>
              </w:tabs>
              <w:spacing w:before="120"/>
              <w:rPr>
                <w:b/>
                <w:bCs/>
                <w:color w:val="000000" w:themeColor="text1"/>
                <w:sz w:val="22"/>
                <w:szCs w:val="22"/>
              </w:rPr>
            </w:pPr>
            <w:r w:rsidRPr="00435EBE">
              <w:rPr>
                <w:b/>
                <w:bCs/>
                <w:color w:val="000000" w:themeColor="text1"/>
                <w:sz w:val="22"/>
                <w:szCs w:val="22"/>
              </w:rPr>
              <w:t>Ryan White Part A planning council members</w:t>
            </w:r>
            <w:r w:rsidR="00B70FF5" w:rsidRPr="00435EBE">
              <w:rPr>
                <w:b/>
                <w:bCs/>
                <w:color w:val="000000" w:themeColor="text1"/>
                <w:sz w:val="22"/>
                <w:szCs w:val="22"/>
              </w:rPr>
              <w:t>*</w:t>
            </w:r>
          </w:p>
        </w:tc>
        <w:tc>
          <w:tcPr>
            <w:tcW w:w="2250" w:type="dxa"/>
          </w:tcPr>
          <w:p w:rsidR="00492D5A" w:rsidRPr="00435EBE" w:rsidRDefault="00492D5A" w:rsidP="00492D5A">
            <w:pPr>
              <w:widowControl/>
              <w:tabs>
                <w:tab w:val="num" w:pos="1080"/>
              </w:tabs>
              <w:spacing w:before="120"/>
              <w:rPr>
                <w:color w:val="000000" w:themeColor="text1"/>
                <w:sz w:val="22"/>
                <w:szCs w:val="22"/>
              </w:rPr>
            </w:pPr>
            <w:r w:rsidRPr="00435EBE">
              <w:rPr>
                <w:color w:val="000000" w:themeColor="text1"/>
                <w:sz w:val="22"/>
                <w:szCs w:val="22"/>
              </w:rPr>
              <w:t>Qualitative Interview Data Collection Tool for Ryan White Part A Administrators and Members of Planning Councils</w:t>
            </w:r>
          </w:p>
        </w:tc>
        <w:tc>
          <w:tcPr>
            <w:tcW w:w="1440" w:type="dxa"/>
          </w:tcPr>
          <w:p w:rsidR="00492D5A" w:rsidRPr="00435EBE" w:rsidRDefault="00492D5A" w:rsidP="00492D5A">
            <w:pPr>
              <w:widowControl/>
              <w:tabs>
                <w:tab w:val="num" w:pos="1080"/>
              </w:tabs>
              <w:spacing w:before="120"/>
              <w:rPr>
                <w:color w:val="000000" w:themeColor="text1"/>
                <w:sz w:val="22"/>
                <w:szCs w:val="22"/>
              </w:rPr>
            </w:pPr>
            <w:r w:rsidRPr="00435EBE">
              <w:rPr>
                <w:color w:val="000000" w:themeColor="text1"/>
                <w:sz w:val="22"/>
                <w:szCs w:val="22"/>
              </w:rPr>
              <w:t>16</w:t>
            </w:r>
          </w:p>
        </w:tc>
        <w:tc>
          <w:tcPr>
            <w:tcW w:w="1350" w:type="dxa"/>
          </w:tcPr>
          <w:p w:rsidR="00492D5A" w:rsidRPr="00435EBE" w:rsidRDefault="00492D5A" w:rsidP="00492D5A">
            <w:pPr>
              <w:widowControl/>
              <w:tabs>
                <w:tab w:val="num" w:pos="1080"/>
              </w:tabs>
              <w:spacing w:before="120"/>
              <w:rPr>
                <w:b/>
                <w:bCs/>
                <w:color w:val="000000" w:themeColor="text1"/>
                <w:sz w:val="22"/>
                <w:szCs w:val="22"/>
              </w:rPr>
            </w:pPr>
            <w:r w:rsidRPr="00435EBE">
              <w:rPr>
                <w:color w:val="000000" w:themeColor="text1"/>
                <w:sz w:val="22"/>
                <w:szCs w:val="22"/>
              </w:rPr>
              <w:t>1</w:t>
            </w:r>
          </w:p>
        </w:tc>
        <w:tc>
          <w:tcPr>
            <w:tcW w:w="1260" w:type="dxa"/>
          </w:tcPr>
          <w:p w:rsidR="00492D5A" w:rsidRPr="00435EBE" w:rsidRDefault="00492D5A" w:rsidP="00492D5A">
            <w:pPr>
              <w:widowControl/>
              <w:tabs>
                <w:tab w:val="num" w:pos="1080"/>
              </w:tabs>
              <w:spacing w:before="120"/>
              <w:rPr>
                <w:bCs/>
                <w:color w:val="000000" w:themeColor="text1"/>
                <w:sz w:val="22"/>
                <w:szCs w:val="22"/>
              </w:rPr>
            </w:pPr>
            <w:r w:rsidRPr="00435EBE">
              <w:rPr>
                <w:color w:val="000000" w:themeColor="text1"/>
                <w:sz w:val="22"/>
                <w:szCs w:val="22"/>
              </w:rPr>
              <w:t>2</w:t>
            </w:r>
          </w:p>
        </w:tc>
        <w:tc>
          <w:tcPr>
            <w:tcW w:w="993" w:type="dxa"/>
          </w:tcPr>
          <w:p w:rsidR="00492D5A" w:rsidRPr="00435EBE" w:rsidRDefault="00492D5A" w:rsidP="00492D5A">
            <w:pPr>
              <w:widowControl/>
              <w:tabs>
                <w:tab w:val="num" w:pos="1080"/>
              </w:tabs>
              <w:spacing w:before="120"/>
              <w:rPr>
                <w:b/>
                <w:color w:val="000000" w:themeColor="text1"/>
                <w:sz w:val="22"/>
                <w:szCs w:val="22"/>
              </w:rPr>
            </w:pPr>
            <w:r w:rsidRPr="00435EBE">
              <w:rPr>
                <w:b/>
                <w:color w:val="000000" w:themeColor="text1"/>
                <w:sz w:val="22"/>
                <w:szCs w:val="22"/>
              </w:rPr>
              <w:t>32</w:t>
            </w:r>
          </w:p>
        </w:tc>
      </w:tr>
      <w:tr w:rsidR="00BF609D" w:rsidRPr="00435EBE" w:rsidTr="00382BD1">
        <w:trPr>
          <w:trHeight w:val="815"/>
        </w:trPr>
        <w:tc>
          <w:tcPr>
            <w:tcW w:w="1872" w:type="dxa"/>
          </w:tcPr>
          <w:p w:rsidR="00492D5A" w:rsidRPr="00435EBE" w:rsidRDefault="00492D5A" w:rsidP="00492D5A">
            <w:pPr>
              <w:widowControl/>
              <w:tabs>
                <w:tab w:val="num" w:pos="1080"/>
              </w:tabs>
              <w:spacing w:before="120"/>
              <w:rPr>
                <w:b/>
                <w:bCs/>
                <w:color w:val="000000" w:themeColor="text1"/>
                <w:sz w:val="22"/>
                <w:szCs w:val="22"/>
              </w:rPr>
            </w:pPr>
            <w:r w:rsidRPr="00435EBE">
              <w:rPr>
                <w:b/>
                <w:bCs/>
                <w:color w:val="000000" w:themeColor="text1"/>
                <w:sz w:val="22"/>
                <w:szCs w:val="22"/>
              </w:rPr>
              <w:t>Ryan White Part B and ADAP directors</w:t>
            </w:r>
          </w:p>
        </w:tc>
        <w:tc>
          <w:tcPr>
            <w:tcW w:w="2250" w:type="dxa"/>
          </w:tcPr>
          <w:p w:rsidR="00492D5A" w:rsidRPr="00435EBE" w:rsidRDefault="00492D5A" w:rsidP="00492D5A">
            <w:pPr>
              <w:widowControl/>
              <w:tabs>
                <w:tab w:val="num" w:pos="1080"/>
              </w:tabs>
              <w:spacing w:before="120"/>
              <w:rPr>
                <w:color w:val="000000" w:themeColor="text1"/>
                <w:sz w:val="22"/>
                <w:szCs w:val="22"/>
              </w:rPr>
            </w:pPr>
            <w:r w:rsidRPr="00435EBE">
              <w:rPr>
                <w:color w:val="000000" w:themeColor="text1"/>
                <w:sz w:val="22"/>
                <w:szCs w:val="22"/>
              </w:rPr>
              <w:t>Qualitative Interview Data Collection Tool for Ryan White Part B and ADAP (AIDS Directors, Part B Coordinators and ADAP Coordinators)</w:t>
            </w:r>
          </w:p>
        </w:tc>
        <w:tc>
          <w:tcPr>
            <w:tcW w:w="1440" w:type="dxa"/>
          </w:tcPr>
          <w:p w:rsidR="00492D5A" w:rsidRPr="00435EBE" w:rsidRDefault="00492D5A" w:rsidP="00492D5A">
            <w:pPr>
              <w:widowControl/>
              <w:tabs>
                <w:tab w:val="num" w:pos="1080"/>
              </w:tabs>
              <w:spacing w:before="120"/>
              <w:rPr>
                <w:color w:val="000000" w:themeColor="text1"/>
                <w:sz w:val="22"/>
                <w:szCs w:val="22"/>
              </w:rPr>
            </w:pPr>
            <w:r w:rsidRPr="00435EBE">
              <w:rPr>
                <w:color w:val="000000" w:themeColor="text1"/>
                <w:sz w:val="22"/>
                <w:szCs w:val="22"/>
              </w:rPr>
              <w:t>80</w:t>
            </w:r>
          </w:p>
        </w:tc>
        <w:tc>
          <w:tcPr>
            <w:tcW w:w="1350" w:type="dxa"/>
          </w:tcPr>
          <w:p w:rsidR="00492D5A" w:rsidRPr="00435EBE" w:rsidRDefault="00492D5A" w:rsidP="00492D5A">
            <w:pPr>
              <w:widowControl/>
              <w:tabs>
                <w:tab w:val="num" w:pos="1080"/>
              </w:tabs>
              <w:spacing w:before="120"/>
              <w:rPr>
                <w:b/>
                <w:bCs/>
                <w:color w:val="000000" w:themeColor="text1"/>
                <w:sz w:val="22"/>
                <w:szCs w:val="22"/>
              </w:rPr>
            </w:pPr>
            <w:r w:rsidRPr="00435EBE">
              <w:rPr>
                <w:color w:val="000000" w:themeColor="text1"/>
                <w:sz w:val="22"/>
                <w:szCs w:val="22"/>
              </w:rPr>
              <w:t>1</w:t>
            </w:r>
          </w:p>
        </w:tc>
        <w:tc>
          <w:tcPr>
            <w:tcW w:w="1260" w:type="dxa"/>
          </w:tcPr>
          <w:p w:rsidR="00492D5A" w:rsidRPr="00435EBE" w:rsidRDefault="00492D5A" w:rsidP="00492D5A">
            <w:pPr>
              <w:widowControl/>
              <w:tabs>
                <w:tab w:val="num" w:pos="1080"/>
              </w:tabs>
              <w:spacing w:before="120"/>
              <w:rPr>
                <w:color w:val="000000" w:themeColor="text1"/>
                <w:sz w:val="22"/>
                <w:szCs w:val="22"/>
              </w:rPr>
            </w:pPr>
            <w:r w:rsidRPr="00435EBE">
              <w:rPr>
                <w:bCs/>
                <w:color w:val="000000" w:themeColor="text1"/>
                <w:sz w:val="22"/>
                <w:szCs w:val="22"/>
              </w:rPr>
              <w:t>2</w:t>
            </w:r>
          </w:p>
          <w:p w:rsidR="00492D5A" w:rsidRPr="00435EBE" w:rsidRDefault="00492D5A" w:rsidP="00492D5A">
            <w:pPr>
              <w:widowControl/>
              <w:tabs>
                <w:tab w:val="num" w:pos="1080"/>
              </w:tabs>
              <w:spacing w:before="120"/>
              <w:rPr>
                <w:color w:val="000000" w:themeColor="text1"/>
                <w:sz w:val="22"/>
                <w:szCs w:val="22"/>
              </w:rPr>
            </w:pPr>
          </w:p>
        </w:tc>
        <w:tc>
          <w:tcPr>
            <w:tcW w:w="993" w:type="dxa"/>
          </w:tcPr>
          <w:p w:rsidR="00492D5A" w:rsidRPr="00435EBE" w:rsidRDefault="00492D5A" w:rsidP="00492D5A">
            <w:pPr>
              <w:widowControl/>
              <w:tabs>
                <w:tab w:val="num" w:pos="1080"/>
              </w:tabs>
              <w:spacing w:before="120"/>
              <w:rPr>
                <w:b/>
                <w:color w:val="000000" w:themeColor="text1"/>
                <w:sz w:val="22"/>
                <w:szCs w:val="22"/>
              </w:rPr>
            </w:pPr>
            <w:r w:rsidRPr="00435EBE">
              <w:rPr>
                <w:b/>
                <w:color w:val="000000" w:themeColor="text1"/>
                <w:sz w:val="22"/>
                <w:szCs w:val="22"/>
              </w:rPr>
              <w:t>160</w:t>
            </w:r>
          </w:p>
        </w:tc>
      </w:tr>
      <w:tr w:rsidR="00BF609D" w:rsidRPr="00435EBE" w:rsidTr="00382BD1">
        <w:trPr>
          <w:trHeight w:val="815"/>
        </w:trPr>
        <w:tc>
          <w:tcPr>
            <w:tcW w:w="1872" w:type="dxa"/>
          </w:tcPr>
          <w:p w:rsidR="00492D5A" w:rsidRPr="00435EBE" w:rsidRDefault="00492D5A" w:rsidP="00492D5A">
            <w:pPr>
              <w:widowControl/>
              <w:tabs>
                <w:tab w:val="num" w:pos="1080"/>
              </w:tabs>
              <w:spacing w:before="120"/>
              <w:rPr>
                <w:b/>
                <w:bCs/>
                <w:color w:val="000000" w:themeColor="text1"/>
                <w:sz w:val="22"/>
                <w:szCs w:val="22"/>
              </w:rPr>
            </w:pPr>
            <w:r w:rsidRPr="00435EBE">
              <w:rPr>
                <w:b/>
                <w:bCs/>
                <w:color w:val="000000" w:themeColor="text1"/>
                <w:sz w:val="22"/>
                <w:szCs w:val="22"/>
              </w:rPr>
              <w:t>Ryan White Part C grantees and similar clinical providers</w:t>
            </w:r>
          </w:p>
        </w:tc>
        <w:tc>
          <w:tcPr>
            <w:tcW w:w="2250" w:type="dxa"/>
          </w:tcPr>
          <w:p w:rsidR="00492D5A" w:rsidRPr="00435EBE" w:rsidRDefault="00492D5A" w:rsidP="00492D5A">
            <w:pPr>
              <w:widowControl/>
              <w:tabs>
                <w:tab w:val="num" w:pos="1080"/>
              </w:tabs>
              <w:spacing w:before="120"/>
              <w:rPr>
                <w:color w:val="000000" w:themeColor="text1"/>
                <w:sz w:val="22"/>
                <w:szCs w:val="22"/>
              </w:rPr>
            </w:pPr>
            <w:r w:rsidRPr="00435EBE">
              <w:rPr>
                <w:color w:val="000000" w:themeColor="text1"/>
                <w:sz w:val="22"/>
                <w:szCs w:val="22"/>
              </w:rPr>
              <w:t xml:space="preserve">Qualitative Interview Data Collection Tool for Ryan White Clinical Providers (RW Part C Grantees </w:t>
            </w:r>
            <w:r w:rsidRPr="00435EBE">
              <w:rPr>
                <w:color w:val="000000" w:themeColor="text1"/>
                <w:sz w:val="22"/>
                <w:szCs w:val="22"/>
              </w:rPr>
              <w:lastRenderedPageBreak/>
              <w:t>in clinical settings or Similar Clinical Care Providers)</w:t>
            </w:r>
          </w:p>
        </w:tc>
        <w:tc>
          <w:tcPr>
            <w:tcW w:w="1440" w:type="dxa"/>
          </w:tcPr>
          <w:p w:rsidR="00492D5A" w:rsidRPr="00435EBE" w:rsidRDefault="00492D5A" w:rsidP="00492D5A">
            <w:pPr>
              <w:widowControl/>
              <w:tabs>
                <w:tab w:val="num" w:pos="1080"/>
              </w:tabs>
              <w:spacing w:before="120"/>
              <w:rPr>
                <w:color w:val="000000" w:themeColor="text1"/>
                <w:sz w:val="22"/>
                <w:szCs w:val="22"/>
              </w:rPr>
            </w:pPr>
            <w:r w:rsidRPr="00435EBE">
              <w:rPr>
                <w:color w:val="000000" w:themeColor="text1"/>
                <w:sz w:val="22"/>
                <w:szCs w:val="22"/>
              </w:rPr>
              <w:lastRenderedPageBreak/>
              <w:t>80</w:t>
            </w:r>
          </w:p>
        </w:tc>
        <w:tc>
          <w:tcPr>
            <w:tcW w:w="1350" w:type="dxa"/>
          </w:tcPr>
          <w:p w:rsidR="00492D5A" w:rsidRPr="00435EBE" w:rsidRDefault="00492D5A" w:rsidP="00492D5A">
            <w:pPr>
              <w:widowControl/>
              <w:tabs>
                <w:tab w:val="num" w:pos="1080"/>
              </w:tabs>
              <w:spacing w:before="120"/>
              <w:rPr>
                <w:b/>
                <w:bCs/>
                <w:color w:val="000000" w:themeColor="text1"/>
                <w:sz w:val="22"/>
                <w:szCs w:val="22"/>
              </w:rPr>
            </w:pPr>
            <w:r w:rsidRPr="00435EBE">
              <w:rPr>
                <w:color w:val="000000" w:themeColor="text1"/>
                <w:sz w:val="22"/>
                <w:szCs w:val="22"/>
              </w:rPr>
              <w:t>1</w:t>
            </w:r>
          </w:p>
        </w:tc>
        <w:tc>
          <w:tcPr>
            <w:tcW w:w="1260" w:type="dxa"/>
          </w:tcPr>
          <w:p w:rsidR="00492D5A" w:rsidRPr="00435EBE" w:rsidRDefault="00492D5A" w:rsidP="00492D5A">
            <w:pPr>
              <w:widowControl/>
              <w:tabs>
                <w:tab w:val="num" w:pos="1080"/>
              </w:tabs>
              <w:spacing w:before="120"/>
              <w:rPr>
                <w:bCs/>
                <w:color w:val="000000" w:themeColor="text1"/>
                <w:sz w:val="22"/>
                <w:szCs w:val="22"/>
              </w:rPr>
            </w:pPr>
            <w:r w:rsidRPr="00435EBE">
              <w:rPr>
                <w:bCs/>
                <w:color w:val="000000" w:themeColor="text1"/>
                <w:sz w:val="22"/>
                <w:szCs w:val="22"/>
              </w:rPr>
              <w:t>2</w:t>
            </w:r>
          </w:p>
        </w:tc>
        <w:tc>
          <w:tcPr>
            <w:tcW w:w="993" w:type="dxa"/>
          </w:tcPr>
          <w:p w:rsidR="00492D5A" w:rsidRPr="00435EBE" w:rsidRDefault="00492D5A" w:rsidP="00492D5A">
            <w:pPr>
              <w:widowControl/>
              <w:tabs>
                <w:tab w:val="num" w:pos="1080"/>
              </w:tabs>
              <w:spacing w:before="120"/>
              <w:rPr>
                <w:b/>
                <w:bCs/>
                <w:color w:val="000000" w:themeColor="text1"/>
                <w:sz w:val="22"/>
                <w:szCs w:val="22"/>
              </w:rPr>
            </w:pPr>
            <w:r w:rsidRPr="00435EBE">
              <w:rPr>
                <w:b/>
                <w:bCs/>
                <w:color w:val="000000" w:themeColor="text1"/>
                <w:sz w:val="22"/>
                <w:szCs w:val="22"/>
              </w:rPr>
              <w:t>160</w:t>
            </w:r>
          </w:p>
        </w:tc>
      </w:tr>
      <w:tr w:rsidR="00BF609D" w:rsidRPr="00435EBE" w:rsidTr="00382BD1">
        <w:trPr>
          <w:trHeight w:val="815"/>
        </w:trPr>
        <w:tc>
          <w:tcPr>
            <w:tcW w:w="1872" w:type="dxa"/>
          </w:tcPr>
          <w:p w:rsidR="00492D5A" w:rsidRPr="00435EBE" w:rsidRDefault="00492D5A" w:rsidP="00492D5A">
            <w:pPr>
              <w:widowControl/>
              <w:tabs>
                <w:tab w:val="num" w:pos="1080"/>
              </w:tabs>
              <w:spacing w:before="120"/>
              <w:rPr>
                <w:b/>
                <w:bCs/>
                <w:color w:val="000000" w:themeColor="text1"/>
                <w:sz w:val="22"/>
                <w:szCs w:val="22"/>
              </w:rPr>
            </w:pPr>
            <w:r w:rsidRPr="00435EBE">
              <w:rPr>
                <w:b/>
                <w:bCs/>
                <w:color w:val="000000" w:themeColor="text1"/>
                <w:sz w:val="22"/>
                <w:szCs w:val="22"/>
              </w:rPr>
              <w:lastRenderedPageBreak/>
              <w:t>Total</w:t>
            </w:r>
          </w:p>
        </w:tc>
        <w:tc>
          <w:tcPr>
            <w:tcW w:w="2250" w:type="dxa"/>
          </w:tcPr>
          <w:p w:rsidR="00492D5A" w:rsidRPr="00435EBE" w:rsidRDefault="00492D5A" w:rsidP="00492D5A">
            <w:pPr>
              <w:widowControl/>
              <w:tabs>
                <w:tab w:val="num" w:pos="1080"/>
              </w:tabs>
              <w:spacing w:before="120"/>
              <w:rPr>
                <w:color w:val="000000" w:themeColor="text1"/>
                <w:sz w:val="22"/>
                <w:szCs w:val="22"/>
              </w:rPr>
            </w:pPr>
          </w:p>
        </w:tc>
        <w:tc>
          <w:tcPr>
            <w:tcW w:w="1440" w:type="dxa"/>
          </w:tcPr>
          <w:p w:rsidR="00492D5A" w:rsidRPr="00435EBE" w:rsidRDefault="00492D5A" w:rsidP="00492D5A">
            <w:pPr>
              <w:widowControl/>
              <w:tabs>
                <w:tab w:val="num" w:pos="1080"/>
              </w:tabs>
              <w:spacing w:before="120"/>
              <w:rPr>
                <w:b/>
                <w:color w:val="000000" w:themeColor="text1"/>
                <w:sz w:val="22"/>
                <w:szCs w:val="22"/>
              </w:rPr>
            </w:pPr>
            <w:r w:rsidRPr="00435EBE">
              <w:rPr>
                <w:b/>
                <w:color w:val="000000" w:themeColor="text1"/>
                <w:sz w:val="22"/>
                <w:szCs w:val="22"/>
              </w:rPr>
              <w:t>280</w:t>
            </w:r>
          </w:p>
        </w:tc>
        <w:tc>
          <w:tcPr>
            <w:tcW w:w="1350" w:type="dxa"/>
          </w:tcPr>
          <w:p w:rsidR="00492D5A" w:rsidRPr="00435EBE" w:rsidRDefault="00492D5A" w:rsidP="00492D5A">
            <w:pPr>
              <w:widowControl/>
              <w:tabs>
                <w:tab w:val="num" w:pos="1080"/>
              </w:tabs>
              <w:spacing w:before="120"/>
              <w:rPr>
                <w:color w:val="000000" w:themeColor="text1"/>
                <w:sz w:val="22"/>
                <w:szCs w:val="22"/>
              </w:rPr>
            </w:pPr>
          </w:p>
        </w:tc>
        <w:tc>
          <w:tcPr>
            <w:tcW w:w="1260" w:type="dxa"/>
          </w:tcPr>
          <w:p w:rsidR="00492D5A" w:rsidRPr="00435EBE" w:rsidRDefault="00492D5A" w:rsidP="00492D5A">
            <w:pPr>
              <w:widowControl/>
              <w:tabs>
                <w:tab w:val="num" w:pos="1080"/>
              </w:tabs>
              <w:spacing w:before="120"/>
              <w:rPr>
                <w:color w:val="000000" w:themeColor="text1"/>
                <w:sz w:val="22"/>
                <w:szCs w:val="22"/>
              </w:rPr>
            </w:pPr>
          </w:p>
        </w:tc>
        <w:tc>
          <w:tcPr>
            <w:tcW w:w="993" w:type="dxa"/>
          </w:tcPr>
          <w:p w:rsidR="00492D5A" w:rsidRPr="00435EBE" w:rsidRDefault="00492D5A" w:rsidP="00492D5A">
            <w:pPr>
              <w:widowControl/>
              <w:tabs>
                <w:tab w:val="num" w:pos="1080"/>
              </w:tabs>
              <w:spacing w:before="120"/>
              <w:rPr>
                <w:b/>
                <w:bCs/>
                <w:color w:val="000000" w:themeColor="text1"/>
                <w:sz w:val="22"/>
                <w:szCs w:val="22"/>
              </w:rPr>
            </w:pPr>
            <w:r w:rsidRPr="00435EBE">
              <w:rPr>
                <w:b/>
                <w:bCs/>
                <w:color w:val="000000" w:themeColor="text1"/>
                <w:sz w:val="22"/>
                <w:szCs w:val="22"/>
              </w:rPr>
              <w:t>560</w:t>
            </w:r>
          </w:p>
        </w:tc>
      </w:tr>
    </w:tbl>
    <w:p w:rsidR="009B3794" w:rsidRPr="00BF609D" w:rsidRDefault="00B70FF5" w:rsidP="00B70FF5">
      <w:pPr>
        <w:widowControl/>
        <w:tabs>
          <w:tab w:val="num" w:pos="1080"/>
        </w:tabs>
        <w:spacing w:before="120"/>
        <w:ind w:left="270"/>
        <w:rPr>
          <w:bCs/>
          <w:color w:val="000000" w:themeColor="text1"/>
          <w:sz w:val="24"/>
        </w:rPr>
      </w:pPr>
      <w:r w:rsidRPr="00BF609D">
        <w:rPr>
          <w:bCs/>
          <w:color w:val="000000" w:themeColor="text1"/>
          <w:sz w:val="24"/>
        </w:rPr>
        <w:t>*</w:t>
      </w:r>
      <w:r w:rsidRPr="00BF609D">
        <w:rPr>
          <w:color w:val="000000" w:themeColor="text1"/>
          <w:sz w:val="24"/>
        </w:rPr>
        <w:t xml:space="preserve"> </w:t>
      </w:r>
      <w:r w:rsidRPr="00BF609D">
        <w:rPr>
          <w:bCs/>
          <w:color w:val="000000" w:themeColor="text1"/>
          <w:sz w:val="24"/>
        </w:rPr>
        <w:t xml:space="preserve">We will interview 10 individuals for each state’s Part A program. Of these, we estimate that </w:t>
      </w:r>
      <w:r w:rsidR="00BF609D">
        <w:rPr>
          <w:bCs/>
          <w:color w:val="000000" w:themeColor="text1"/>
          <w:sz w:val="24"/>
        </w:rPr>
        <w:t>two</w:t>
      </w:r>
      <w:r w:rsidRPr="00BF609D">
        <w:rPr>
          <w:bCs/>
          <w:color w:val="000000" w:themeColor="text1"/>
          <w:sz w:val="24"/>
        </w:rPr>
        <w:t xml:space="preserve"> will be planning council members.</w:t>
      </w:r>
    </w:p>
    <w:p w:rsidR="00F1609E" w:rsidRPr="00BF609D" w:rsidRDefault="009B3794" w:rsidP="00CC110B">
      <w:pPr>
        <w:widowControl/>
        <w:spacing w:before="120"/>
        <w:rPr>
          <w:color w:val="000000" w:themeColor="text1"/>
          <w:sz w:val="24"/>
        </w:rPr>
      </w:pPr>
      <w:r w:rsidRPr="00BF609D">
        <w:rPr>
          <w:b/>
          <w:color w:val="000000" w:themeColor="text1"/>
          <w:sz w:val="24"/>
        </w:rPr>
        <w:t>12B</w:t>
      </w:r>
      <w:r w:rsidRPr="00BF609D">
        <w:rPr>
          <w:color w:val="000000" w:themeColor="text1"/>
          <w:sz w:val="24"/>
        </w:rPr>
        <w:t xml:space="preserve">.  </w:t>
      </w:r>
    </w:p>
    <w:p w:rsidR="009B3794" w:rsidRPr="00BF609D" w:rsidRDefault="00F1609E" w:rsidP="00CC110B">
      <w:pPr>
        <w:widowControl/>
        <w:spacing w:before="120"/>
        <w:rPr>
          <w:b/>
          <w:color w:val="000000" w:themeColor="text1"/>
          <w:sz w:val="24"/>
        </w:rPr>
      </w:pPr>
      <w:r w:rsidRPr="00BF609D">
        <w:rPr>
          <w:b/>
          <w:color w:val="000000" w:themeColor="text1"/>
          <w:sz w:val="24"/>
        </w:rPr>
        <w:t>Exhibit 12</w:t>
      </w:r>
      <w:r w:rsidR="00382BD1" w:rsidRPr="00BF609D">
        <w:rPr>
          <w:b/>
          <w:color w:val="000000" w:themeColor="text1"/>
          <w:sz w:val="24"/>
        </w:rPr>
        <w:t>-</w:t>
      </w:r>
      <w:r w:rsidRPr="00BF609D">
        <w:rPr>
          <w:b/>
          <w:color w:val="000000" w:themeColor="text1"/>
          <w:sz w:val="24"/>
        </w:rPr>
        <w:t>B</w:t>
      </w:r>
      <w:r w:rsidR="005C42F5" w:rsidRPr="00BF609D">
        <w:rPr>
          <w:b/>
          <w:color w:val="000000" w:themeColor="text1"/>
          <w:sz w:val="24"/>
        </w:rPr>
        <w:t xml:space="preserve">: </w:t>
      </w:r>
      <w:r w:rsidR="009B3794" w:rsidRPr="00BF609D">
        <w:rPr>
          <w:b/>
          <w:color w:val="000000" w:themeColor="text1"/>
          <w:sz w:val="24"/>
        </w:rPr>
        <w:t>Estimated Annualized Burden Costs</w:t>
      </w:r>
    </w:p>
    <w:tbl>
      <w:tblPr>
        <w:tblStyle w:val="TableGrid"/>
        <w:tblW w:w="0" w:type="auto"/>
        <w:tblInd w:w="108" w:type="dxa"/>
        <w:tblLook w:val="04A0" w:firstRow="1" w:lastRow="0" w:firstColumn="1" w:lastColumn="0" w:noHBand="0" w:noVBand="1"/>
      </w:tblPr>
      <w:tblGrid>
        <w:gridCol w:w="2340"/>
        <w:gridCol w:w="2520"/>
        <w:gridCol w:w="2304"/>
        <w:gridCol w:w="2106"/>
      </w:tblGrid>
      <w:tr w:rsidR="00BF609D" w:rsidRPr="00BF609D" w:rsidTr="00382BD1">
        <w:tc>
          <w:tcPr>
            <w:tcW w:w="2340" w:type="dxa"/>
          </w:tcPr>
          <w:p w:rsidR="00F4076D" w:rsidRPr="00BF609D" w:rsidRDefault="00F4076D" w:rsidP="003752AE">
            <w:pPr>
              <w:widowControl/>
              <w:spacing w:before="120"/>
              <w:rPr>
                <w:b/>
                <w:bCs/>
                <w:color w:val="000000" w:themeColor="text1"/>
                <w:sz w:val="24"/>
              </w:rPr>
            </w:pPr>
            <w:r w:rsidRPr="00BF609D">
              <w:rPr>
                <w:b/>
                <w:bCs/>
                <w:color w:val="000000" w:themeColor="text1"/>
                <w:sz w:val="24"/>
              </w:rPr>
              <w:t>Type of</w:t>
            </w:r>
          </w:p>
          <w:p w:rsidR="00F4076D" w:rsidRPr="00BF609D" w:rsidRDefault="00F4076D" w:rsidP="003752AE">
            <w:pPr>
              <w:widowControl/>
              <w:spacing w:before="120"/>
              <w:rPr>
                <w:color w:val="000000" w:themeColor="text1"/>
                <w:sz w:val="24"/>
              </w:rPr>
            </w:pPr>
            <w:r w:rsidRPr="00BF609D">
              <w:rPr>
                <w:b/>
                <w:bCs/>
                <w:color w:val="000000" w:themeColor="text1"/>
                <w:sz w:val="24"/>
              </w:rPr>
              <w:t>Respondent</w:t>
            </w:r>
          </w:p>
        </w:tc>
        <w:tc>
          <w:tcPr>
            <w:tcW w:w="2520" w:type="dxa"/>
          </w:tcPr>
          <w:p w:rsidR="00F4076D" w:rsidRPr="00BF609D" w:rsidRDefault="00F4076D" w:rsidP="003752AE">
            <w:pPr>
              <w:widowControl/>
              <w:spacing w:before="120"/>
              <w:rPr>
                <w:b/>
                <w:bCs/>
                <w:color w:val="000000" w:themeColor="text1"/>
                <w:sz w:val="24"/>
              </w:rPr>
            </w:pPr>
            <w:r w:rsidRPr="00BF609D">
              <w:rPr>
                <w:b/>
                <w:bCs/>
                <w:color w:val="000000" w:themeColor="text1"/>
                <w:sz w:val="24"/>
              </w:rPr>
              <w:t>Total Burden</w:t>
            </w:r>
          </w:p>
          <w:p w:rsidR="00F4076D" w:rsidRPr="00BF609D" w:rsidRDefault="00F4076D" w:rsidP="003752AE">
            <w:pPr>
              <w:widowControl/>
              <w:spacing w:before="120"/>
              <w:rPr>
                <w:color w:val="000000" w:themeColor="text1"/>
                <w:sz w:val="24"/>
              </w:rPr>
            </w:pPr>
            <w:r w:rsidRPr="00BF609D">
              <w:rPr>
                <w:b/>
                <w:bCs/>
                <w:color w:val="000000" w:themeColor="text1"/>
                <w:sz w:val="24"/>
              </w:rPr>
              <w:t>Hours</w:t>
            </w:r>
          </w:p>
        </w:tc>
        <w:tc>
          <w:tcPr>
            <w:tcW w:w="2304" w:type="dxa"/>
          </w:tcPr>
          <w:p w:rsidR="00F4076D" w:rsidRPr="00BF609D" w:rsidRDefault="00F4076D" w:rsidP="003752AE">
            <w:pPr>
              <w:widowControl/>
              <w:spacing w:before="120"/>
              <w:rPr>
                <w:b/>
                <w:bCs/>
                <w:color w:val="000000" w:themeColor="text1"/>
                <w:sz w:val="24"/>
              </w:rPr>
            </w:pPr>
            <w:r w:rsidRPr="00BF609D">
              <w:rPr>
                <w:b/>
                <w:bCs/>
                <w:color w:val="000000" w:themeColor="text1"/>
                <w:sz w:val="24"/>
              </w:rPr>
              <w:t>Hourly</w:t>
            </w:r>
          </w:p>
          <w:p w:rsidR="00F4076D" w:rsidRPr="00BF609D" w:rsidRDefault="00F4076D" w:rsidP="003752AE">
            <w:pPr>
              <w:widowControl/>
              <w:spacing w:before="120"/>
              <w:rPr>
                <w:color w:val="000000" w:themeColor="text1"/>
                <w:sz w:val="24"/>
              </w:rPr>
            </w:pPr>
            <w:r w:rsidRPr="00BF609D">
              <w:rPr>
                <w:b/>
                <w:bCs/>
                <w:color w:val="000000" w:themeColor="text1"/>
                <w:sz w:val="24"/>
              </w:rPr>
              <w:t>Wage Rate</w:t>
            </w:r>
          </w:p>
        </w:tc>
        <w:tc>
          <w:tcPr>
            <w:tcW w:w="2106" w:type="dxa"/>
          </w:tcPr>
          <w:p w:rsidR="00F4076D" w:rsidRPr="00BF609D" w:rsidRDefault="00F4076D" w:rsidP="003752AE">
            <w:pPr>
              <w:widowControl/>
              <w:spacing w:before="120"/>
              <w:rPr>
                <w:color w:val="000000" w:themeColor="text1"/>
                <w:sz w:val="24"/>
              </w:rPr>
            </w:pPr>
            <w:r w:rsidRPr="00BF609D">
              <w:rPr>
                <w:b/>
                <w:bCs/>
                <w:color w:val="000000" w:themeColor="text1"/>
                <w:sz w:val="24"/>
              </w:rPr>
              <w:t>Total Respondent Costs</w:t>
            </w:r>
          </w:p>
        </w:tc>
      </w:tr>
      <w:tr w:rsidR="00BF609D" w:rsidRPr="00BF609D" w:rsidTr="00382BD1">
        <w:trPr>
          <w:trHeight w:val="728"/>
        </w:trPr>
        <w:tc>
          <w:tcPr>
            <w:tcW w:w="2340" w:type="dxa"/>
          </w:tcPr>
          <w:p w:rsidR="00F34A1B" w:rsidRPr="00BF609D" w:rsidRDefault="00F34A1B" w:rsidP="00492D5A">
            <w:pPr>
              <w:widowControl/>
              <w:tabs>
                <w:tab w:val="num" w:pos="1080"/>
              </w:tabs>
              <w:spacing w:before="120"/>
              <w:rPr>
                <w:b/>
                <w:bCs/>
                <w:color w:val="000000" w:themeColor="text1"/>
                <w:sz w:val="24"/>
              </w:rPr>
            </w:pPr>
            <w:r w:rsidRPr="00BF609D">
              <w:rPr>
                <w:color w:val="000000" w:themeColor="text1"/>
                <w:sz w:val="24"/>
              </w:rPr>
              <w:t>State Medicaid agency representatives</w:t>
            </w:r>
          </w:p>
        </w:tc>
        <w:tc>
          <w:tcPr>
            <w:tcW w:w="2520" w:type="dxa"/>
          </w:tcPr>
          <w:p w:rsidR="00F34A1B" w:rsidRPr="00BF609D" w:rsidRDefault="00F34A1B" w:rsidP="00492D5A">
            <w:pPr>
              <w:widowControl/>
              <w:tabs>
                <w:tab w:val="num" w:pos="1080"/>
              </w:tabs>
              <w:spacing w:before="120"/>
              <w:rPr>
                <w:b/>
                <w:bCs/>
                <w:color w:val="000000" w:themeColor="text1"/>
                <w:sz w:val="24"/>
              </w:rPr>
            </w:pPr>
            <w:r w:rsidRPr="00BF609D">
              <w:rPr>
                <w:b/>
                <w:bCs/>
                <w:color w:val="000000" w:themeColor="text1"/>
                <w:sz w:val="24"/>
              </w:rPr>
              <w:t>80</w:t>
            </w:r>
          </w:p>
        </w:tc>
        <w:tc>
          <w:tcPr>
            <w:tcW w:w="2304" w:type="dxa"/>
          </w:tcPr>
          <w:p w:rsidR="00F34A1B" w:rsidRPr="00BF609D" w:rsidRDefault="00F34A1B" w:rsidP="00492D5A">
            <w:pPr>
              <w:spacing w:before="240"/>
              <w:rPr>
                <w:b/>
                <w:color w:val="000000" w:themeColor="text1"/>
                <w:sz w:val="24"/>
              </w:rPr>
            </w:pPr>
            <w:r w:rsidRPr="00BF609D">
              <w:rPr>
                <w:b/>
                <w:color w:val="000000" w:themeColor="text1"/>
                <w:sz w:val="24"/>
              </w:rPr>
              <w:t>$36.42</w:t>
            </w:r>
          </w:p>
        </w:tc>
        <w:tc>
          <w:tcPr>
            <w:tcW w:w="2106" w:type="dxa"/>
            <w:vAlign w:val="center"/>
          </w:tcPr>
          <w:p w:rsidR="00F34A1B" w:rsidRPr="00BF609D" w:rsidRDefault="00F34A1B">
            <w:pPr>
              <w:jc w:val="right"/>
              <w:rPr>
                <w:b/>
                <w:bCs/>
                <w:color w:val="000000" w:themeColor="text1"/>
                <w:sz w:val="24"/>
              </w:rPr>
            </w:pPr>
            <w:r w:rsidRPr="00BF609D">
              <w:rPr>
                <w:b/>
                <w:bCs/>
                <w:color w:val="000000" w:themeColor="text1"/>
                <w:sz w:val="24"/>
              </w:rPr>
              <w:t xml:space="preserve">$2,913.60 </w:t>
            </w:r>
          </w:p>
        </w:tc>
      </w:tr>
      <w:tr w:rsidR="00BF609D" w:rsidRPr="00BF609D" w:rsidTr="00382BD1">
        <w:tc>
          <w:tcPr>
            <w:tcW w:w="2340" w:type="dxa"/>
          </w:tcPr>
          <w:p w:rsidR="00F34A1B" w:rsidRPr="00BF609D" w:rsidRDefault="00F34A1B" w:rsidP="00492D5A">
            <w:pPr>
              <w:widowControl/>
              <w:tabs>
                <w:tab w:val="num" w:pos="1080"/>
              </w:tabs>
              <w:spacing w:before="120"/>
              <w:rPr>
                <w:b/>
                <w:bCs/>
                <w:color w:val="000000" w:themeColor="text1"/>
                <w:sz w:val="24"/>
              </w:rPr>
            </w:pPr>
            <w:r w:rsidRPr="00BF609D">
              <w:rPr>
                <w:color w:val="000000" w:themeColor="text1"/>
                <w:sz w:val="24"/>
              </w:rPr>
              <w:t xml:space="preserve">Ryan White Part A administrators </w:t>
            </w:r>
          </w:p>
        </w:tc>
        <w:tc>
          <w:tcPr>
            <w:tcW w:w="2520" w:type="dxa"/>
          </w:tcPr>
          <w:p w:rsidR="00F34A1B" w:rsidRPr="00BF609D" w:rsidRDefault="00F34A1B" w:rsidP="00492D5A">
            <w:pPr>
              <w:widowControl/>
              <w:tabs>
                <w:tab w:val="num" w:pos="1080"/>
              </w:tabs>
              <w:spacing w:before="120"/>
              <w:rPr>
                <w:b/>
                <w:bCs/>
                <w:color w:val="000000" w:themeColor="text1"/>
                <w:sz w:val="24"/>
              </w:rPr>
            </w:pPr>
            <w:r w:rsidRPr="00BF609D">
              <w:rPr>
                <w:b/>
                <w:bCs/>
                <w:color w:val="000000" w:themeColor="text1"/>
                <w:sz w:val="24"/>
              </w:rPr>
              <w:t>128</w:t>
            </w:r>
          </w:p>
        </w:tc>
        <w:tc>
          <w:tcPr>
            <w:tcW w:w="2304" w:type="dxa"/>
          </w:tcPr>
          <w:p w:rsidR="00F34A1B" w:rsidRPr="00BF609D" w:rsidRDefault="00F34A1B" w:rsidP="00492D5A">
            <w:pPr>
              <w:spacing w:before="240"/>
              <w:rPr>
                <w:b/>
                <w:color w:val="000000" w:themeColor="text1"/>
                <w:sz w:val="24"/>
              </w:rPr>
            </w:pPr>
            <w:r w:rsidRPr="00BF609D">
              <w:rPr>
                <w:b/>
                <w:color w:val="000000" w:themeColor="text1"/>
                <w:sz w:val="24"/>
              </w:rPr>
              <w:t>$39.86</w:t>
            </w:r>
          </w:p>
        </w:tc>
        <w:tc>
          <w:tcPr>
            <w:tcW w:w="2106" w:type="dxa"/>
            <w:vAlign w:val="center"/>
          </w:tcPr>
          <w:p w:rsidR="00F34A1B" w:rsidRPr="00BF609D" w:rsidRDefault="00F34A1B">
            <w:pPr>
              <w:jc w:val="right"/>
              <w:rPr>
                <w:b/>
                <w:bCs/>
                <w:color w:val="000000" w:themeColor="text1"/>
                <w:sz w:val="24"/>
              </w:rPr>
            </w:pPr>
            <w:r w:rsidRPr="00BF609D">
              <w:rPr>
                <w:b/>
                <w:bCs/>
                <w:color w:val="000000" w:themeColor="text1"/>
                <w:sz w:val="24"/>
              </w:rPr>
              <w:t xml:space="preserve">$5,102.08 </w:t>
            </w:r>
          </w:p>
        </w:tc>
      </w:tr>
      <w:tr w:rsidR="00BF609D" w:rsidRPr="00BF609D" w:rsidTr="00382BD1">
        <w:tc>
          <w:tcPr>
            <w:tcW w:w="2340" w:type="dxa"/>
          </w:tcPr>
          <w:p w:rsidR="00F34A1B" w:rsidRPr="00BF609D" w:rsidRDefault="00F34A1B" w:rsidP="00492D5A">
            <w:pPr>
              <w:widowControl/>
              <w:tabs>
                <w:tab w:val="num" w:pos="1080"/>
              </w:tabs>
              <w:spacing w:before="120"/>
              <w:rPr>
                <w:color w:val="000000" w:themeColor="text1"/>
                <w:sz w:val="24"/>
              </w:rPr>
            </w:pPr>
            <w:r w:rsidRPr="00BF609D">
              <w:rPr>
                <w:color w:val="000000" w:themeColor="text1"/>
                <w:sz w:val="24"/>
              </w:rPr>
              <w:t>Ryan White Part A planning council members</w:t>
            </w:r>
          </w:p>
        </w:tc>
        <w:tc>
          <w:tcPr>
            <w:tcW w:w="2520" w:type="dxa"/>
          </w:tcPr>
          <w:p w:rsidR="00F34A1B" w:rsidRPr="00BF609D" w:rsidRDefault="00F34A1B" w:rsidP="00492D5A">
            <w:pPr>
              <w:widowControl/>
              <w:tabs>
                <w:tab w:val="num" w:pos="1080"/>
              </w:tabs>
              <w:spacing w:before="120"/>
              <w:rPr>
                <w:b/>
                <w:color w:val="000000" w:themeColor="text1"/>
                <w:sz w:val="24"/>
              </w:rPr>
            </w:pPr>
            <w:r w:rsidRPr="00BF609D">
              <w:rPr>
                <w:b/>
                <w:color w:val="000000" w:themeColor="text1"/>
                <w:sz w:val="24"/>
              </w:rPr>
              <w:t>32</w:t>
            </w:r>
          </w:p>
        </w:tc>
        <w:tc>
          <w:tcPr>
            <w:tcW w:w="2304" w:type="dxa"/>
          </w:tcPr>
          <w:p w:rsidR="00F34A1B" w:rsidRPr="00BF609D" w:rsidRDefault="00F34A1B" w:rsidP="00492D5A">
            <w:pPr>
              <w:spacing w:before="240"/>
              <w:rPr>
                <w:b/>
                <w:color w:val="000000" w:themeColor="text1"/>
                <w:sz w:val="24"/>
              </w:rPr>
            </w:pPr>
            <w:r w:rsidRPr="00BF609D">
              <w:rPr>
                <w:b/>
                <w:color w:val="000000" w:themeColor="text1"/>
                <w:sz w:val="24"/>
              </w:rPr>
              <w:t>$0 (volunteer)</w:t>
            </w:r>
          </w:p>
        </w:tc>
        <w:tc>
          <w:tcPr>
            <w:tcW w:w="2106" w:type="dxa"/>
            <w:vAlign w:val="center"/>
          </w:tcPr>
          <w:p w:rsidR="00F34A1B" w:rsidRPr="00BF609D" w:rsidRDefault="00F34A1B">
            <w:pPr>
              <w:jc w:val="right"/>
              <w:rPr>
                <w:b/>
                <w:bCs/>
                <w:color w:val="000000" w:themeColor="text1"/>
                <w:sz w:val="24"/>
              </w:rPr>
            </w:pPr>
            <w:r w:rsidRPr="00BF609D">
              <w:rPr>
                <w:b/>
                <w:bCs/>
                <w:color w:val="000000" w:themeColor="text1"/>
                <w:sz w:val="24"/>
              </w:rPr>
              <w:t xml:space="preserve">$0.00 </w:t>
            </w:r>
          </w:p>
        </w:tc>
      </w:tr>
      <w:tr w:rsidR="00BF609D" w:rsidRPr="00BF609D" w:rsidTr="00382BD1">
        <w:tc>
          <w:tcPr>
            <w:tcW w:w="2340" w:type="dxa"/>
          </w:tcPr>
          <w:p w:rsidR="00F34A1B" w:rsidRPr="00BF609D" w:rsidRDefault="00F34A1B" w:rsidP="00492D5A">
            <w:pPr>
              <w:widowControl/>
              <w:tabs>
                <w:tab w:val="num" w:pos="1080"/>
              </w:tabs>
              <w:spacing w:before="120"/>
              <w:rPr>
                <w:color w:val="000000" w:themeColor="text1"/>
                <w:sz w:val="24"/>
              </w:rPr>
            </w:pPr>
            <w:r w:rsidRPr="00BF609D">
              <w:rPr>
                <w:color w:val="000000" w:themeColor="text1"/>
                <w:sz w:val="24"/>
              </w:rPr>
              <w:t>Ryan White Part B and ADAP directors</w:t>
            </w:r>
          </w:p>
        </w:tc>
        <w:tc>
          <w:tcPr>
            <w:tcW w:w="2520" w:type="dxa"/>
          </w:tcPr>
          <w:p w:rsidR="00F34A1B" w:rsidRPr="00BF609D" w:rsidRDefault="00F34A1B" w:rsidP="00492D5A">
            <w:pPr>
              <w:widowControl/>
              <w:tabs>
                <w:tab w:val="num" w:pos="1080"/>
              </w:tabs>
              <w:spacing w:before="120"/>
              <w:rPr>
                <w:b/>
                <w:color w:val="000000" w:themeColor="text1"/>
                <w:sz w:val="24"/>
              </w:rPr>
            </w:pPr>
            <w:r w:rsidRPr="00BF609D">
              <w:rPr>
                <w:b/>
                <w:color w:val="000000" w:themeColor="text1"/>
                <w:sz w:val="24"/>
              </w:rPr>
              <w:t>160</w:t>
            </w:r>
          </w:p>
        </w:tc>
        <w:tc>
          <w:tcPr>
            <w:tcW w:w="2304" w:type="dxa"/>
          </w:tcPr>
          <w:p w:rsidR="00F34A1B" w:rsidRPr="00BF609D" w:rsidRDefault="00F34A1B" w:rsidP="00492D5A">
            <w:pPr>
              <w:spacing w:before="240"/>
              <w:rPr>
                <w:b/>
                <w:color w:val="000000" w:themeColor="text1"/>
                <w:sz w:val="24"/>
              </w:rPr>
            </w:pPr>
            <w:r w:rsidRPr="00BF609D">
              <w:rPr>
                <w:b/>
                <w:color w:val="000000" w:themeColor="text1"/>
                <w:sz w:val="24"/>
              </w:rPr>
              <w:t>$36.42</w:t>
            </w:r>
          </w:p>
        </w:tc>
        <w:tc>
          <w:tcPr>
            <w:tcW w:w="2106" w:type="dxa"/>
            <w:vAlign w:val="center"/>
          </w:tcPr>
          <w:p w:rsidR="00F34A1B" w:rsidRPr="00BF609D" w:rsidRDefault="00F34A1B">
            <w:pPr>
              <w:jc w:val="right"/>
              <w:rPr>
                <w:b/>
                <w:bCs/>
                <w:color w:val="000000" w:themeColor="text1"/>
                <w:sz w:val="24"/>
              </w:rPr>
            </w:pPr>
            <w:r w:rsidRPr="00BF609D">
              <w:rPr>
                <w:b/>
                <w:bCs/>
                <w:color w:val="000000" w:themeColor="text1"/>
                <w:sz w:val="24"/>
              </w:rPr>
              <w:t xml:space="preserve">$5,827.20 </w:t>
            </w:r>
          </w:p>
        </w:tc>
      </w:tr>
      <w:tr w:rsidR="00BF609D" w:rsidRPr="00BF609D" w:rsidTr="00382BD1">
        <w:tc>
          <w:tcPr>
            <w:tcW w:w="2340" w:type="dxa"/>
          </w:tcPr>
          <w:p w:rsidR="00F34A1B" w:rsidRPr="00BF609D" w:rsidRDefault="00F34A1B" w:rsidP="00492D5A">
            <w:pPr>
              <w:widowControl/>
              <w:tabs>
                <w:tab w:val="num" w:pos="1080"/>
              </w:tabs>
              <w:spacing w:before="120"/>
              <w:rPr>
                <w:color w:val="000000" w:themeColor="text1"/>
                <w:sz w:val="24"/>
              </w:rPr>
            </w:pPr>
            <w:r w:rsidRPr="00BF609D">
              <w:rPr>
                <w:color w:val="000000" w:themeColor="text1"/>
                <w:sz w:val="24"/>
              </w:rPr>
              <w:t>RW Part C grantees and clinical providers</w:t>
            </w:r>
          </w:p>
        </w:tc>
        <w:tc>
          <w:tcPr>
            <w:tcW w:w="2520" w:type="dxa"/>
          </w:tcPr>
          <w:p w:rsidR="00F34A1B" w:rsidRPr="00BF609D" w:rsidRDefault="00F34A1B" w:rsidP="00492D5A">
            <w:pPr>
              <w:widowControl/>
              <w:tabs>
                <w:tab w:val="num" w:pos="1080"/>
              </w:tabs>
              <w:spacing w:before="120"/>
              <w:rPr>
                <w:b/>
                <w:bCs/>
                <w:color w:val="000000" w:themeColor="text1"/>
                <w:sz w:val="24"/>
              </w:rPr>
            </w:pPr>
            <w:r w:rsidRPr="00BF609D">
              <w:rPr>
                <w:b/>
                <w:bCs/>
                <w:color w:val="000000" w:themeColor="text1"/>
                <w:sz w:val="24"/>
              </w:rPr>
              <w:t>160</w:t>
            </w:r>
          </w:p>
        </w:tc>
        <w:tc>
          <w:tcPr>
            <w:tcW w:w="2304" w:type="dxa"/>
          </w:tcPr>
          <w:p w:rsidR="00F34A1B" w:rsidRPr="00BF609D" w:rsidRDefault="00F34A1B" w:rsidP="00492D5A">
            <w:pPr>
              <w:spacing w:before="240"/>
              <w:rPr>
                <w:b/>
                <w:color w:val="000000" w:themeColor="text1"/>
                <w:sz w:val="24"/>
              </w:rPr>
            </w:pPr>
            <w:r w:rsidRPr="00BF609D">
              <w:rPr>
                <w:b/>
                <w:color w:val="000000" w:themeColor="text1"/>
                <w:sz w:val="24"/>
              </w:rPr>
              <w:t>$45.54</w:t>
            </w:r>
          </w:p>
        </w:tc>
        <w:tc>
          <w:tcPr>
            <w:tcW w:w="2106" w:type="dxa"/>
            <w:vAlign w:val="center"/>
          </w:tcPr>
          <w:p w:rsidR="00F34A1B" w:rsidRPr="00BF609D" w:rsidRDefault="00F34A1B">
            <w:pPr>
              <w:jc w:val="right"/>
              <w:rPr>
                <w:b/>
                <w:bCs/>
                <w:color w:val="000000" w:themeColor="text1"/>
                <w:sz w:val="24"/>
              </w:rPr>
            </w:pPr>
            <w:r w:rsidRPr="00BF609D">
              <w:rPr>
                <w:b/>
                <w:bCs/>
                <w:color w:val="000000" w:themeColor="text1"/>
                <w:sz w:val="24"/>
              </w:rPr>
              <w:t xml:space="preserve">$7,286.40 </w:t>
            </w:r>
          </w:p>
        </w:tc>
      </w:tr>
      <w:tr w:rsidR="00BF609D" w:rsidRPr="00BF609D" w:rsidTr="00382BD1">
        <w:tc>
          <w:tcPr>
            <w:tcW w:w="2340" w:type="dxa"/>
          </w:tcPr>
          <w:p w:rsidR="00F34A1B" w:rsidRPr="00BF609D" w:rsidRDefault="00F34A1B" w:rsidP="00F4076D">
            <w:pPr>
              <w:widowControl/>
              <w:tabs>
                <w:tab w:val="num" w:pos="1080"/>
              </w:tabs>
              <w:spacing w:before="120"/>
              <w:rPr>
                <w:b/>
                <w:color w:val="000000" w:themeColor="text1"/>
                <w:sz w:val="24"/>
              </w:rPr>
            </w:pPr>
            <w:r w:rsidRPr="00BF609D">
              <w:rPr>
                <w:b/>
                <w:color w:val="000000" w:themeColor="text1"/>
                <w:sz w:val="24"/>
              </w:rPr>
              <w:t>Total</w:t>
            </w:r>
          </w:p>
        </w:tc>
        <w:tc>
          <w:tcPr>
            <w:tcW w:w="2520" w:type="dxa"/>
          </w:tcPr>
          <w:p w:rsidR="00F34A1B" w:rsidRPr="00BF609D" w:rsidRDefault="00F34A1B" w:rsidP="00F4076D">
            <w:pPr>
              <w:spacing w:before="240"/>
              <w:rPr>
                <w:b/>
                <w:color w:val="000000" w:themeColor="text1"/>
                <w:sz w:val="24"/>
              </w:rPr>
            </w:pPr>
          </w:p>
        </w:tc>
        <w:tc>
          <w:tcPr>
            <w:tcW w:w="2304" w:type="dxa"/>
          </w:tcPr>
          <w:p w:rsidR="00F34A1B" w:rsidRPr="00BF609D" w:rsidRDefault="00F34A1B" w:rsidP="00F4076D">
            <w:pPr>
              <w:spacing w:before="240"/>
              <w:rPr>
                <w:b/>
                <w:color w:val="000000" w:themeColor="text1"/>
                <w:sz w:val="24"/>
              </w:rPr>
            </w:pPr>
          </w:p>
        </w:tc>
        <w:tc>
          <w:tcPr>
            <w:tcW w:w="2106" w:type="dxa"/>
            <w:vAlign w:val="center"/>
          </w:tcPr>
          <w:p w:rsidR="00F34A1B" w:rsidRPr="00BF609D" w:rsidRDefault="00F34A1B">
            <w:pPr>
              <w:jc w:val="right"/>
              <w:rPr>
                <w:b/>
                <w:bCs/>
                <w:color w:val="000000" w:themeColor="text1"/>
                <w:sz w:val="24"/>
              </w:rPr>
            </w:pPr>
            <w:r w:rsidRPr="00BF609D">
              <w:rPr>
                <w:b/>
                <w:bCs/>
                <w:color w:val="000000" w:themeColor="text1"/>
                <w:sz w:val="24"/>
              </w:rPr>
              <w:t xml:space="preserve">$21,129.28 </w:t>
            </w:r>
          </w:p>
        </w:tc>
      </w:tr>
    </w:tbl>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 xml:space="preserve">Estimates of other Total Annual Cost Burden to Respondents or </w:t>
      </w:r>
      <w:proofErr w:type="spellStart"/>
      <w:r w:rsidRPr="00BF609D">
        <w:rPr>
          <w:b/>
          <w:color w:val="000000" w:themeColor="text1"/>
          <w:sz w:val="24"/>
          <w:u w:val="single"/>
        </w:rPr>
        <w:t>Recordkeepers</w:t>
      </w:r>
      <w:proofErr w:type="spellEnd"/>
      <w:r w:rsidRPr="00BF609D">
        <w:rPr>
          <w:b/>
          <w:color w:val="000000" w:themeColor="text1"/>
          <w:sz w:val="24"/>
          <w:u w:val="single"/>
        </w:rPr>
        <w:t>/Capital Costs</w:t>
      </w:r>
    </w:p>
    <w:p w:rsidR="00CE7E61" w:rsidRPr="00BF609D" w:rsidRDefault="00CE7E61" w:rsidP="00CE7E61">
      <w:pPr>
        <w:pStyle w:val="BodyTextIndent"/>
        <w:spacing w:before="120"/>
        <w:ind w:left="0"/>
        <w:rPr>
          <w:rFonts w:ascii="Times New Roman" w:hAnsi="Times New Roman"/>
          <w:color w:val="000000" w:themeColor="text1"/>
        </w:rPr>
      </w:pPr>
      <w:r w:rsidRPr="00BF609D">
        <w:rPr>
          <w:rFonts w:ascii="Times New Roman" w:hAnsi="Times New Roman"/>
          <w:color w:val="000000" w:themeColor="text1"/>
        </w:rPr>
        <w:t>There are no direct costs to respondents other than their time to participate in the study.</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Annualized Cost to Federal Government</w:t>
      </w:r>
    </w:p>
    <w:p w:rsidR="00DE3761" w:rsidRPr="00154C28" w:rsidRDefault="00DE3761" w:rsidP="002677EB">
      <w:pPr>
        <w:pStyle w:val="BodyTextIndent"/>
        <w:spacing w:before="120"/>
        <w:ind w:left="0"/>
        <w:rPr>
          <w:rFonts w:ascii="Times New Roman" w:hAnsi="Times New Roman"/>
          <w:color w:val="000000" w:themeColor="text1"/>
        </w:rPr>
      </w:pPr>
      <w:r w:rsidRPr="00154C28">
        <w:rPr>
          <w:rFonts w:ascii="Times New Roman" w:hAnsi="Times New Roman"/>
          <w:color w:val="000000" w:themeColor="text1"/>
        </w:rPr>
        <w:t>The total project</w:t>
      </w:r>
      <w:r w:rsidR="00435EBE" w:rsidRPr="00154C28">
        <w:rPr>
          <w:rFonts w:ascii="Times New Roman" w:hAnsi="Times New Roman"/>
          <w:color w:val="000000" w:themeColor="text1"/>
        </w:rPr>
        <w:t xml:space="preserve"> </w:t>
      </w:r>
      <w:r w:rsidRPr="00154C28">
        <w:rPr>
          <w:rFonts w:ascii="Times New Roman" w:hAnsi="Times New Roman"/>
          <w:color w:val="000000" w:themeColor="text1"/>
        </w:rPr>
        <w:t xml:space="preserve">budget is $496,450. The estimated total cost of the data collection-related tasks of this activity to the government are estimated to be 72% of overall project costs, or $357,444. </w:t>
      </w:r>
    </w:p>
    <w:p w:rsidR="00920767" w:rsidRPr="00154C28" w:rsidRDefault="00324E6D" w:rsidP="00920767">
      <w:pPr>
        <w:pStyle w:val="BodyTextIndent"/>
        <w:spacing w:before="120"/>
        <w:ind w:left="0"/>
        <w:rPr>
          <w:rFonts w:ascii="Times New Roman" w:hAnsi="Times New Roman"/>
        </w:rPr>
      </w:pPr>
      <w:r w:rsidRPr="00154C28">
        <w:rPr>
          <w:rFonts w:ascii="Times New Roman" w:hAnsi="Times New Roman"/>
          <w:color w:val="000000" w:themeColor="text1"/>
        </w:rPr>
        <w:t>The estimated annual and total cost</w:t>
      </w:r>
      <w:r w:rsidR="00DE3761" w:rsidRPr="00154C28">
        <w:rPr>
          <w:rFonts w:ascii="Times New Roman" w:hAnsi="Times New Roman"/>
          <w:color w:val="000000" w:themeColor="text1"/>
        </w:rPr>
        <w:t>s</w:t>
      </w:r>
      <w:r w:rsidRPr="00154C28">
        <w:rPr>
          <w:rFonts w:ascii="Times New Roman" w:hAnsi="Times New Roman"/>
          <w:color w:val="000000" w:themeColor="text1"/>
        </w:rPr>
        <w:t xml:space="preserve"> listed </w:t>
      </w:r>
      <w:r w:rsidR="00DE3761" w:rsidRPr="00154C28">
        <w:rPr>
          <w:rFonts w:ascii="Times New Roman" w:hAnsi="Times New Roman"/>
          <w:color w:val="000000" w:themeColor="text1"/>
        </w:rPr>
        <w:t xml:space="preserve">in </w:t>
      </w:r>
      <w:r w:rsidR="00CC110B" w:rsidRPr="00154C28">
        <w:rPr>
          <w:rFonts w:ascii="Times New Roman" w:hAnsi="Times New Roman"/>
          <w:color w:val="000000" w:themeColor="text1"/>
        </w:rPr>
        <w:t>the table below</w:t>
      </w:r>
      <w:r w:rsidR="00DE3761" w:rsidRPr="00154C28">
        <w:rPr>
          <w:rFonts w:ascii="Times New Roman" w:hAnsi="Times New Roman"/>
          <w:color w:val="000000" w:themeColor="text1"/>
        </w:rPr>
        <w:t xml:space="preserve"> </w:t>
      </w:r>
      <w:r w:rsidRPr="00154C28">
        <w:rPr>
          <w:rFonts w:ascii="Times New Roman" w:hAnsi="Times New Roman"/>
          <w:color w:val="000000" w:themeColor="text1"/>
        </w:rPr>
        <w:t xml:space="preserve">correspond to the cost of the primary data collection component of this project. </w:t>
      </w:r>
      <w:r w:rsidR="00D97F40" w:rsidRPr="00154C28">
        <w:rPr>
          <w:rFonts w:ascii="Times New Roman" w:hAnsi="Times New Roman"/>
          <w:color w:val="000000" w:themeColor="text1"/>
        </w:rPr>
        <w:t>All data collection activities will occur within nine months following OMB clearance; therefore the estimated annual cost will also be $357,444.</w:t>
      </w:r>
      <w:r w:rsidR="00920767" w:rsidRPr="00154C28">
        <w:rPr>
          <w:rFonts w:ascii="Times New Roman" w:hAnsi="Times New Roman"/>
          <w:color w:val="000000" w:themeColor="text1"/>
        </w:rPr>
        <w:t xml:space="preserve">  </w:t>
      </w:r>
      <w:r w:rsidR="00920767" w:rsidRPr="00154C28">
        <w:rPr>
          <w:rFonts w:ascii="Times New Roman" w:hAnsi="Times New Roman"/>
        </w:rPr>
        <w:t xml:space="preserve">The annualized contractual cost as well as the annualized federal cost to support the </w:t>
      </w:r>
      <w:r w:rsidR="00920767" w:rsidRPr="00154C28">
        <w:rPr>
          <w:rFonts w:ascii="Times New Roman" w:hAnsi="Times New Roman"/>
        </w:rPr>
        <w:lastRenderedPageBreak/>
        <w:t>HRSA Contracts Officer Representative (COR) and Health Scientist is provided in the table below.</w:t>
      </w:r>
    </w:p>
    <w:p w:rsidR="00DE3761" w:rsidRPr="00992DC8" w:rsidRDefault="00F1609E" w:rsidP="002677EB">
      <w:pPr>
        <w:pStyle w:val="BodyTextIndent"/>
        <w:spacing w:before="120"/>
        <w:ind w:left="0"/>
        <w:rPr>
          <w:rFonts w:ascii="Times New Roman" w:hAnsi="Times New Roman"/>
          <w:b/>
          <w:color w:val="000000" w:themeColor="text1"/>
          <w:sz w:val="22"/>
        </w:rPr>
      </w:pPr>
      <w:r w:rsidRPr="00992DC8">
        <w:rPr>
          <w:rFonts w:ascii="Times New Roman" w:hAnsi="Times New Roman"/>
          <w:b/>
          <w:color w:val="000000" w:themeColor="text1"/>
          <w:sz w:val="22"/>
        </w:rPr>
        <w:t xml:space="preserve">Exhibit </w:t>
      </w:r>
      <w:proofErr w:type="gramStart"/>
      <w:r w:rsidR="00382BD1" w:rsidRPr="00992DC8">
        <w:rPr>
          <w:rFonts w:ascii="Times New Roman" w:hAnsi="Times New Roman"/>
          <w:b/>
          <w:color w:val="000000" w:themeColor="text1"/>
          <w:sz w:val="22"/>
        </w:rPr>
        <w:t>A-</w:t>
      </w:r>
      <w:proofErr w:type="gramEnd"/>
      <w:r w:rsidRPr="00992DC8">
        <w:rPr>
          <w:rFonts w:ascii="Times New Roman" w:hAnsi="Times New Roman"/>
          <w:b/>
          <w:color w:val="000000" w:themeColor="text1"/>
          <w:sz w:val="22"/>
        </w:rPr>
        <w:t>14</w:t>
      </w:r>
      <w:r w:rsidR="005C42F5" w:rsidRPr="00992DC8">
        <w:rPr>
          <w:rFonts w:ascii="Times New Roman" w:hAnsi="Times New Roman"/>
          <w:b/>
          <w:color w:val="000000" w:themeColor="text1"/>
          <w:sz w:val="22"/>
        </w:rPr>
        <w:t xml:space="preserve">: </w:t>
      </w:r>
      <w:r w:rsidR="00DE3761" w:rsidRPr="00992DC8">
        <w:rPr>
          <w:rFonts w:ascii="Times New Roman" w:hAnsi="Times New Roman"/>
          <w:b/>
          <w:color w:val="000000" w:themeColor="text1"/>
          <w:sz w:val="22"/>
        </w:rPr>
        <w:t xml:space="preserve">Estimated Annual and Total Cost </w:t>
      </w:r>
    </w:p>
    <w:tbl>
      <w:tblPr>
        <w:tblStyle w:val="TableGrid"/>
        <w:tblW w:w="8370" w:type="dxa"/>
        <w:tblInd w:w="108" w:type="dxa"/>
        <w:tblLook w:val="04A0" w:firstRow="1" w:lastRow="0" w:firstColumn="1" w:lastColumn="0" w:noHBand="0" w:noVBand="1"/>
      </w:tblPr>
      <w:tblGrid>
        <w:gridCol w:w="2880"/>
        <w:gridCol w:w="1710"/>
        <w:gridCol w:w="1440"/>
        <w:gridCol w:w="2340"/>
      </w:tblGrid>
      <w:tr w:rsidR="00920767" w:rsidRPr="00992DC8" w:rsidTr="002331B5">
        <w:trPr>
          <w:trHeight w:val="800"/>
        </w:trPr>
        <w:tc>
          <w:tcPr>
            <w:tcW w:w="2880" w:type="dxa"/>
          </w:tcPr>
          <w:p w:rsidR="00920767" w:rsidRPr="00992DC8" w:rsidRDefault="00920767" w:rsidP="002677EB">
            <w:pPr>
              <w:pStyle w:val="BodyTextIndent"/>
              <w:spacing w:before="120"/>
              <w:ind w:left="0"/>
              <w:rPr>
                <w:rFonts w:ascii="Times New Roman" w:hAnsi="Times New Roman"/>
                <w:color w:val="000000" w:themeColor="text1"/>
                <w:sz w:val="22"/>
              </w:rPr>
            </w:pPr>
            <w:r w:rsidRPr="00992DC8">
              <w:rPr>
                <w:rFonts w:ascii="Times New Roman" w:hAnsi="Times New Roman"/>
                <w:b/>
                <w:color w:val="000000" w:themeColor="text1"/>
                <w:sz w:val="22"/>
              </w:rPr>
              <w:t>Task/Activity</w:t>
            </w:r>
          </w:p>
        </w:tc>
        <w:tc>
          <w:tcPr>
            <w:tcW w:w="1710" w:type="dxa"/>
          </w:tcPr>
          <w:p w:rsidR="00920767" w:rsidRPr="002331B5" w:rsidRDefault="00C8038D" w:rsidP="00C8038D">
            <w:pPr>
              <w:pStyle w:val="BodyTextIndent"/>
              <w:spacing w:before="120"/>
              <w:ind w:left="0"/>
              <w:jc w:val="center"/>
              <w:rPr>
                <w:rFonts w:ascii="Times New Roman" w:hAnsi="Times New Roman"/>
                <w:b/>
                <w:color w:val="000000" w:themeColor="text1"/>
                <w:sz w:val="22"/>
              </w:rPr>
            </w:pPr>
            <w:r w:rsidRPr="002331B5">
              <w:rPr>
                <w:rFonts w:ascii="Times New Roman" w:hAnsi="Times New Roman"/>
                <w:b/>
                <w:color w:val="000000" w:themeColor="text1"/>
                <w:sz w:val="22"/>
              </w:rPr>
              <w:t>Federal Salary Grade</w:t>
            </w:r>
          </w:p>
        </w:tc>
        <w:tc>
          <w:tcPr>
            <w:tcW w:w="1440" w:type="dxa"/>
          </w:tcPr>
          <w:p w:rsidR="00C8038D" w:rsidRPr="00992DC8" w:rsidRDefault="00C8038D" w:rsidP="002331B5">
            <w:pPr>
              <w:pStyle w:val="BodyTextIndent"/>
              <w:spacing w:before="120"/>
              <w:ind w:left="0"/>
              <w:jc w:val="center"/>
              <w:rPr>
                <w:rFonts w:ascii="Times New Roman" w:hAnsi="Times New Roman"/>
                <w:b/>
                <w:color w:val="000000" w:themeColor="text1"/>
                <w:sz w:val="22"/>
              </w:rPr>
            </w:pPr>
            <w:r>
              <w:rPr>
                <w:rFonts w:ascii="Times New Roman" w:hAnsi="Times New Roman"/>
                <w:b/>
                <w:color w:val="000000" w:themeColor="text1"/>
                <w:sz w:val="22"/>
              </w:rPr>
              <w:t>Percent Effort</w:t>
            </w:r>
          </w:p>
        </w:tc>
        <w:tc>
          <w:tcPr>
            <w:tcW w:w="2340" w:type="dxa"/>
          </w:tcPr>
          <w:p w:rsidR="00920767" w:rsidRPr="00992DC8" w:rsidRDefault="00C8038D" w:rsidP="002331B5">
            <w:pPr>
              <w:pStyle w:val="BodyTextIndent"/>
              <w:spacing w:before="120"/>
              <w:ind w:left="0"/>
              <w:jc w:val="center"/>
              <w:rPr>
                <w:rFonts w:ascii="Times New Roman" w:hAnsi="Times New Roman"/>
                <w:b/>
                <w:color w:val="000000" w:themeColor="text1"/>
                <w:sz w:val="22"/>
              </w:rPr>
            </w:pPr>
            <w:r>
              <w:rPr>
                <w:rFonts w:ascii="Times New Roman" w:hAnsi="Times New Roman"/>
                <w:b/>
                <w:color w:val="000000" w:themeColor="text1"/>
                <w:sz w:val="22"/>
              </w:rPr>
              <w:t>Annualized Cost</w:t>
            </w:r>
          </w:p>
        </w:tc>
      </w:tr>
      <w:tr w:rsidR="00920767" w:rsidRPr="00992DC8" w:rsidTr="002331B5">
        <w:tc>
          <w:tcPr>
            <w:tcW w:w="2880" w:type="dxa"/>
          </w:tcPr>
          <w:p w:rsidR="00920767" w:rsidRPr="00992DC8" w:rsidRDefault="00920767" w:rsidP="002677EB">
            <w:pPr>
              <w:pStyle w:val="BodyTextIndent"/>
              <w:spacing w:before="120"/>
              <w:ind w:left="0"/>
              <w:rPr>
                <w:rFonts w:ascii="Times New Roman" w:hAnsi="Times New Roman"/>
                <w:color w:val="000000" w:themeColor="text1"/>
                <w:sz w:val="22"/>
              </w:rPr>
            </w:pPr>
            <w:r w:rsidRPr="00992DC8">
              <w:rPr>
                <w:rFonts w:ascii="Times New Roman" w:hAnsi="Times New Roman"/>
                <w:color w:val="000000" w:themeColor="text1"/>
                <w:sz w:val="22"/>
              </w:rPr>
              <w:t>Data collection and data entry</w:t>
            </w:r>
          </w:p>
        </w:tc>
        <w:tc>
          <w:tcPr>
            <w:tcW w:w="1710" w:type="dxa"/>
            <w:shd w:val="clear" w:color="auto" w:fill="595959" w:themeFill="text1" w:themeFillTint="A6"/>
          </w:tcPr>
          <w:p w:rsidR="00920767" w:rsidRPr="00992DC8" w:rsidRDefault="00920767" w:rsidP="002677EB">
            <w:pPr>
              <w:pStyle w:val="BodyTextIndent"/>
              <w:spacing w:before="120"/>
              <w:ind w:left="0"/>
              <w:rPr>
                <w:rFonts w:ascii="Times New Roman" w:hAnsi="Times New Roman"/>
                <w:color w:val="000000" w:themeColor="text1"/>
                <w:sz w:val="22"/>
              </w:rPr>
            </w:pPr>
          </w:p>
        </w:tc>
        <w:tc>
          <w:tcPr>
            <w:tcW w:w="1440" w:type="dxa"/>
            <w:shd w:val="clear" w:color="auto" w:fill="595959" w:themeFill="text1" w:themeFillTint="A6"/>
          </w:tcPr>
          <w:p w:rsidR="00920767" w:rsidRPr="00992DC8" w:rsidRDefault="00920767" w:rsidP="002677EB">
            <w:pPr>
              <w:pStyle w:val="BodyTextIndent"/>
              <w:spacing w:before="120"/>
              <w:ind w:left="0"/>
              <w:rPr>
                <w:rFonts w:ascii="Times New Roman" w:hAnsi="Times New Roman"/>
                <w:color w:val="000000" w:themeColor="text1"/>
                <w:sz w:val="22"/>
              </w:rPr>
            </w:pPr>
          </w:p>
        </w:tc>
        <w:tc>
          <w:tcPr>
            <w:tcW w:w="2340" w:type="dxa"/>
          </w:tcPr>
          <w:p w:rsidR="00920767" w:rsidRPr="00992DC8" w:rsidRDefault="00920767" w:rsidP="002331B5">
            <w:pPr>
              <w:pStyle w:val="BodyTextIndent"/>
              <w:spacing w:before="120"/>
              <w:ind w:left="0"/>
              <w:jc w:val="right"/>
              <w:rPr>
                <w:rFonts w:ascii="Times New Roman" w:hAnsi="Times New Roman"/>
                <w:color w:val="000000" w:themeColor="text1"/>
                <w:sz w:val="22"/>
              </w:rPr>
            </w:pPr>
            <w:r w:rsidRPr="00992DC8">
              <w:rPr>
                <w:rFonts w:ascii="Times New Roman" w:hAnsi="Times New Roman"/>
                <w:color w:val="000000" w:themeColor="text1"/>
                <w:sz w:val="22"/>
              </w:rPr>
              <w:t>$294,124</w:t>
            </w:r>
          </w:p>
        </w:tc>
      </w:tr>
      <w:tr w:rsidR="00920767" w:rsidRPr="00992DC8" w:rsidTr="002331B5">
        <w:trPr>
          <w:trHeight w:val="413"/>
        </w:trPr>
        <w:tc>
          <w:tcPr>
            <w:tcW w:w="2880" w:type="dxa"/>
          </w:tcPr>
          <w:p w:rsidR="00920767" w:rsidRPr="00992DC8" w:rsidRDefault="00920767" w:rsidP="00324E6D">
            <w:pPr>
              <w:pStyle w:val="BodyTextIndent"/>
              <w:spacing w:before="120"/>
              <w:ind w:left="0"/>
              <w:rPr>
                <w:rFonts w:ascii="Times New Roman" w:hAnsi="Times New Roman"/>
                <w:color w:val="000000" w:themeColor="text1"/>
                <w:sz w:val="22"/>
              </w:rPr>
            </w:pPr>
            <w:r w:rsidRPr="00992DC8">
              <w:rPr>
                <w:rFonts w:ascii="Times New Roman" w:hAnsi="Times New Roman"/>
                <w:color w:val="000000" w:themeColor="text1"/>
                <w:sz w:val="22"/>
              </w:rPr>
              <w:t>Data analysis and reporting</w:t>
            </w:r>
          </w:p>
        </w:tc>
        <w:tc>
          <w:tcPr>
            <w:tcW w:w="1710" w:type="dxa"/>
            <w:shd w:val="clear" w:color="auto" w:fill="595959" w:themeFill="text1" w:themeFillTint="A6"/>
          </w:tcPr>
          <w:p w:rsidR="00920767" w:rsidRPr="00992DC8" w:rsidRDefault="00920767" w:rsidP="00DE3761">
            <w:pPr>
              <w:pStyle w:val="BodyTextIndent"/>
              <w:spacing w:before="120"/>
              <w:ind w:left="0"/>
              <w:rPr>
                <w:rFonts w:ascii="Times New Roman" w:hAnsi="Times New Roman"/>
                <w:color w:val="000000" w:themeColor="text1"/>
                <w:sz w:val="22"/>
              </w:rPr>
            </w:pPr>
          </w:p>
        </w:tc>
        <w:tc>
          <w:tcPr>
            <w:tcW w:w="1440" w:type="dxa"/>
            <w:shd w:val="clear" w:color="auto" w:fill="595959" w:themeFill="text1" w:themeFillTint="A6"/>
          </w:tcPr>
          <w:p w:rsidR="00920767" w:rsidRPr="00992DC8" w:rsidRDefault="00920767" w:rsidP="00992DC8">
            <w:pPr>
              <w:pStyle w:val="BodyTextIndent"/>
              <w:spacing w:before="120"/>
              <w:ind w:left="0"/>
              <w:rPr>
                <w:rFonts w:ascii="Times New Roman" w:hAnsi="Times New Roman"/>
                <w:color w:val="000000" w:themeColor="text1"/>
                <w:sz w:val="22"/>
              </w:rPr>
            </w:pPr>
          </w:p>
        </w:tc>
        <w:tc>
          <w:tcPr>
            <w:tcW w:w="2340" w:type="dxa"/>
          </w:tcPr>
          <w:p w:rsidR="00920767" w:rsidRPr="00992DC8" w:rsidRDefault="00920767" w:rsidP="002331B5">
            <w:pPr>
              <w:pStyle w:val="BodyTextIndent"/>
              <w:spacing w:before="120"/>
              <w:ind w:left="0"/>
              <w:jc w:val="right"/>
              <w:rPr>
                <w:rFonts w:ascii="Times New Roman" w:hAnsi="Times New Roman"/>
                <w:color w:val="000000" w:themeColor="text1"/>
                <w:sz w:val="22"/>
              </w:rPr>
            </w:pPr>
            <w:r w:rsidRPr="00992DC8">
              <w:rPr>
                <w:rFonts w:ascii="Times New Roman" w:hAnsi="Times New Roman"/>
                <w:color w:val="000000" w:themeColor="text1"/>
                <w:sz w:val="22"/>
              </w:rPr>
              <w:t>$63,320</w:t>
            </w:r>
          </w:p>
        </w:tc>
      </w:tr>
      <w:tr w:rsidR="00920767" w:rsidRPr="00992DC8" w:rsidTr="002331B5">
        <w:tc>
          <w:tcPr>
            <w:tcW w:w="2880" w:type="dxa"/>
          </w:tcPr>
          <w:p w:rsidR="00920767" w:rsidRPr="00992DC8" w:rsidRDefault="00920767" w:rsidP="00C8038D">
            <w:pPr>
              <w:pStyle w:val="BodyTextIndent"/>
              <w:spacing w:before="120"/>
              <w:ind w:left="0"/>
              <w:rPr>
                <w:rFonts w:ascii="Times New Roman" w:hAnsi="Times New Roman"/>
                <w:b/>
                <w:color w:val="000000" w:themeColor="text1"/>
                <w:sz w:val="22"/>
              </w:rPr>
            </w:pPr>
            <w:r w:rsidRPr="00992DC8">
              <w:rPr>
                <w:rFonts w:ascii="Times New Roman" w:hAnsi="Times New Roman"/>
                <w:sz w:val="22"/>
                <w:lang w:val="pt-BR"/>
              </w:rPr>
              <w:t xml:space="preserve">HRSA </w:t>
            </w:r>
            <w:r w:rsidR="00C8038D">
              <w:rPr>
                <w:rFonts w:ascii="Times New Roman" w:hAnsi="Times New Roman"/>
                <w:sz w:val="22"/>
                <w:lang w:val="pt-BR"/>
              </w:rPr>
              <w:t>COR</w:t>
            </w:r>
          </w:p>
        </w:tc>
        <w:tc>
          <w:tcPr>
            <w:tcW w:w="1710" w:type="dxa"/>
          </w:tcPr>
          <w:p w:rsidR="00920767" w:rsidRPr="00992DC8" w:rsidRDefault="00C8038D" w:rsidP="00C8038D">
            <w:pPr>
              <w:pStyle w:val="BodyTextIndent"/>
              <w:spacing w:before="120"/>
              <w:ind w:left="0"/>
              <w:jc w:val="center"/>
              <w:rPr>
                <w:rFonts w:ascii="Times New Roman" w:hAnsi="Times New Roman"/>
                <w:color w:val="000000" w:themeColor="text1"/>
                <w:sz w:val="22"/>
              </w:rPr>
            </w:pPr>
            <w:r>
              <w:rPr>
                <w:rFonts w:ascii="Times New Roman" w:hAnsi="Times New Roman"/>
                <w:color w:val="000000" w:themeColor="text1"/>
                <w:sz w:val="22"/>
              </w:rPr>
              <w:t>GS-15-9</w:t>
            </w:r>
          </w:p>
        </w:tc>
        <w:tc>
          <w:tcPr>
            <w:tcW w:w="1440" w:type="dxa"/>
          </w:tcPr>
          <w:p w:rsidR="00920767" w:rsidRPr="00992DC8" w:rsidRDefault="00C8038D" w:rsidP="00C8038D">
            <w:pPr>
              <w:pStyle w:val="BodyTextIndent"/>
              <w:spacing w:before="120"/>
              <w:ind w:left="0"/>
              <w:jc w:val="center"/>
              <w:rPr>
                <w:rFonts w:ascii="Times New Roman" w:hAnsi="Times New Roman"/>
                <w:sz w:val="22"/>
                <w:lang w:val="pt-BR"/>
              </w:rPr>
            </w:pPr>
            <w:r>
              <w:rPr>
                <w:rFonts w:ascii="Times New Roman" w:hAnsi="Times New Roman"/>
                <w:sz w:val="22"/>
                <w:lang w:val="pt-BR"/>
              </w:rPr>
              <w:t>7%</w:t>
            </w:r>
          </w:p>
        </w:tc>
        <w:tc>
          <w:tcPr>
            <w:tcW w:w="2340" w:type="dxa"/>
          </w:tcPr>
          <w:p w:rsidR="00920767" w:rsidRPr="00992DC8" w:rsidRDefault="002331B5" w:rsidP="002331B5">
            <w:pPr>
              <w:pStyle w:val="BodyTextIndent"/>
              <w:spacing w:before="120"/>
              <w:ind w:left="0"/>
              <w:jc w:val="right"/>
              <w:rPr>
                <w:rFonts w:ascii="Times New Roman" w:hAnsi="Times New Roman"/>
                <w:sz w:val="22"/>
                <w:lang w:val="pt-BR"/>
              </w:rPr>
            </w:pPr>
            <w:r>
              <w:rPr>
                <w:rFonts w:ascii="Times New Roman" w:hAnsi="Times New Roman"/>
                <w:sz w:val="22"/>
                <w:lang w:val="pt-BR"/>
              </w:rPr>
              <w:t>$10,885</w:t>
            </w:r>
          </w:p>
        </w:tc>
      </w:tr>
      <w:tr w:rsidR="00920767" w:rsidRPr="00992DC8" w:rsidTr="002331B5">
        <w:tc>
          <w:tcPr>
            <w:tcW w:w="2880" w:type="dxa"/>
          </w:tcPr>
          <w:p w:rsidR="00920767" w:rsidRPr="00992DC8" w:rsidRDefault="00920767" w:rsidP="00C8038D">
            <w:pPr>
              <w:pStyle w:val="BodyTextIndent"/>
              <w:spacing w:before="120"/>
              <w:ind w:left="0"/>
              <w:rPr>
                <w:rFonts w:ascii="Times New Roman" w:hAnsi="Times New Roman"/>
                <w:b/>
                <w:color w:val="000000" w:themeColor="text1"/>
                <w:sz w:val="22"/>
              </w:rPr>
            </w:pPr>
            <w:r w:rsidRPr="00992DC8">
              <w:rPr>
                <w:rFonts w:ascii="Times New Roman" w:hAnsi="Times New Roman"/>
                <w:sz w:val="22"/>
                <w:lang w:val="pt-BR"/>
              </w:rPr>
              <w:t xml:space="preserve">HRSA </w:t>
            </w:r>
            <w:r w:rsidR="00C8038D">
              <w:rPr>
                <w:rFonts w:ascii="Times New Roman" w:hAnsi="Times New Roman"/>
                <w:sz w:val="22"/>
                <w:lang w:val="pt-BR"/>
              </w:rPr>
              <w:t>Health Scientist</w:t>
            </w:r>
          </w:p>
        </w:tc>
        <w:tc>
          <w:tcPr>
            <w:tcW w:w="1710" w:type="dxa"/>
          </w:tcPr>
          <w:p w:rsidR="00920767" w:rsidRPr="00992DC8" w:rsidRDefault="00C8038D" w:rsidP="00C8038D">
            <w:pPr>
              <w:pStyle w:val="BodyTextIndent"/>
              <w:spacing w:before="120"/>
              <w:ind w:left="0"/>
              <w:jc w:val="center"/>
              <w:rPr>
                <w:rFonts w:ascii="Times New Roman" w:hAnsi="Times New Roman"/>
                <w:color w:val="000000" w:themeColor="text1"/>
                <w:sz w:val="22"/>
              </w:rPr>
            </w:pPr>
            <w:r>
              <w:rPr>
                <w:rFonts w:ascii="Times New Roman" w:hAnsi="Times New Roman"/>
                <w:color w:val="000000" w:themeColor="text1"/>
                <w:sz w:val="22"/>
              </w:rPr>
              <w:t>GS-14-10</w:t>
            </w:r>
          </w:p>
        </w:tc>
        <w:tc>
          <w:tcPr>
            <w:tcW w:w="1440" w:type="dxa"/>
          </w:tcPr>
          <w:p w:rsidR="00920767" w:rsidRPr="00992DC8" w:rsidRDefault="00C8038D" w:rsidP="00C8038D">
            <w:pPr>
              <w:pStyle w:val="BodyTextIndent"/>
              <w:spacing w:before="120"/>
              <w:ind w:left="0"/>
              <w:jc w:val="center"/>
              <w:rPr>
                <w:rFonts w:ascii="Times New Roman" w:hAnsi="Times New Roman"/>
                <w:sz w:val="22"/>
                <w:lang w:val="pt-BR"/>
              </w:rPr>
            </w:pPr>
            <w:r>
              <w:rPr>
                <w:rFonts w:ascii="Times New Roman" w:hAnsi="Times New Roman"/>
                <w:sz w:val="22"/>
                <w:lang w:val="pt-BR"/>
              </w:rPr>
              <w:t>7%</w:t>
            </w:r>
          </w:p>
        </w:tc>
        <w:tc>
          <w:tcPr>
            <w:tcW w:w="2340" w:type="dxa"/>
          </w:tcPr>
          <w:p w:rsidR="00920767" w:rsidRPr="00992DC8" w:rsidRDefault="002331B5" w:rsidP="002331B5">
            <w:pPr>
              <w:pStyle w:val="BodyTextIndent"/>
              <w:spacing w:before="120"/>
              <w:ind w:left="0"/>
              <w:jc w:val="right"/>
              <w:rPr>
                <w:rFonts w:ascii="Times New Roman" w:hAnsi="Times New Roman"/>
                <w:sz w:val="22"/>
                <w:lang w:val="pt-BR"/>
              </w:rPr>
            </w:pPr>
            <w:r>
              <w:rPr>
                <w:rFonts w:ascii="Times New Roman" w:hAnsi="Times New Roman"/>
                <w:sz w:val="22"/>
                <w:lang w:val="pt-BR"/>
              </w:rPr>
              <w:t>$9,574</w:t>
            </w:r>
          </w:p>
        </w:tc>
      </w:tr>
      <w:tr w:rsidR="00920767" w:rsidRPr="00992DC8" w:rsidTr="002331B5">
        <w:tc>
          <w:tcPr>
            <w:tcW w:w="2880" w:type="dxa"/>
          </w:tcPr>
          <w:p w:rsidR="00920767" w:rsidRPr="00992DC8" w:rsidRDefault="00C8038D" w:rsidP="002677EB">
            <w:pPr>
              <w:pStyle w:val="BodyTextIndent"/>
              <w:spacing w:before="120"/>
              <w:ind w:left="0"/>
              <w:rPr>
                <w:rFonts w:ascii="Times New Roman" w:hAnsi="Times New Roman"/>
                <w:sz w:val="22"/>
                <w:lang w:val="pt-BR"/>
              </w:rPr>
            </w:pPr>
            <w:r>
              <w:rPr>
                <w:rFonts w:ascii="Times New Roman" w:hAnsi="Times New Roman"/>
                <w:sz w:val="22"/>
                <w:lang w:val="pt-BR"/>
              </w:rPr>
              <w:t>Total Annualized Cost</w:t>
            </w:r>
          </w:p>
        </w:tc>
        <w:tc>
          <w:tcPr>
            <w:tcW w:w="1710" w:type="dxa"/>
            <w:shd w:val="clear" w:color="auto" w:fill="595959" w:themeFill="text1" w:themeFillTint="A6"/>
          </w:tcPr>
          <w:p w:rsidR="00920767" w:rsidRPr="00992DC8" w:rsidRDefault="00920767" w:rsidP="00C8038D">
            <w:pPr>
              <w:pStyle w:val="BodyTextIndent"/>
              <w:spacing w:before="120"/>
              <w:ind w:left="0"/>
              <w:jc w:val="center"/>
              <w:rPr>
                <w:rFonts w:ascii="Times New Roman" w:hAnsi="Times New Roman"/>
                <w:sz w:val="22"/>
                <w:lang w:val="pt-BR"/>
              </w:rPr>
            </w:pPr>
          </w:p>
        </w:tc>
        <w:tc>
          <w:tcPr>
            <w:tcW w:w="1440" w:type="dxa"/>
            <w:shd w:val="clear" w:color="auto" w:fill="595959" w:themeFill="text1" w:themeFillTint="A6"/>
          </w:tcPr>
          <w:p w:rsidR="00920767" w:rsidRPr="00992DC8" w:rsidRDefault="00920767" w:rsidP="001C678F">
            <w:pPr>
              <w:pStyle w:val="BodyTextIndent"/>
              <w:spacing w:before="120"/>
              <w:ind w:left="0"/>
              <w:rPr>
                <w:rFonts w:ascii="Times New Roman" w:hAnsi="Times New Roman"/>
                <w:sz w:val="22"/>
                <w:lang w:val="pt-BR"/>
              </w:rPr>
            </w:pPr>
          </w:p>
        </w:tc>
        <w:tc>
          <w:tcPr>
            <w:tcW w:w="2340" w:type="dxa"/>
          </w:tcPr>
          <w:p w:rsidR="00920767" w:rsidRPr="00992DC8" w:rsidRDefault="00A86D3A" w:rsidP="002331B5">
            <w:pPr>
              <w:pStyle w:val="BodyTextIndent"/>
              <w:spacing w:before="120"/>
              <w:ind w:left="0"/>
              <w:jc w:val="right"/>
              <w:rPr>
                <w:rFonts w:ascii="Times New Roman" w:hAnsi="Times New Roman"/>
                <w:sz w:val="22"/>
                <w:lang w:val="pt-BR"/>
              </w:rPr>
            </w:pPr>
            <w:r>
              <w:rPr>
                <w:rFonts w:ascii="Times New Roman" w:hAnsi="Times New Roman"/>
                <w:sz w:val="22"/>
                <w:lang w:val="pt-BR"/>
              </w:rPr>
              <w:t>$377,903</w:t>
            </w:r>
          </w:p>
        </w:tc>
      </w:tr>
    </w:tbl>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Explanation for Program Changes or Adjustments</w:t>
      </w:r>
    </w:p>
    <w:p w:rsidR="00CE7E61" w:rsidRPr="00BF609D" w:rsidRDefault="00CE7E61" w:rsidP="00CC110B">
      <w:pPr>
        <w:pStyle w:val="BodyTextIndent"/>
        <w:spacing w:before="120"/>
        <w:ind w:left="0"/>
        <w:rPr>
          <w:rFonts w:ascii="Times New Roman" w:hAnsi="Times New Roman"/>
          <w:color w:val="000000" w:themeColor="text1"/>
        </w:rPr>
      </w:pPr>
      <w:r w:rsidRPr="00BF609D">
        <w:rPr>
          <w:rFonts w:ascii="Times New Roman" w:hAnsi="Times New Roman"/>
          <w:color w:val="000000" w:themeColor="text1"/>
        </w:rPr>
        <w:t xml:space="preserve">This is a new </w:t>
      </w:r>
      <w:r w:rsidR="00CC110B" w:rsidRPr="00BF609D">
        <w:rPr>
          <w:rFonts w:ascii="Times New Roman" w:hAnsi="Times New Roman"/>
          <w:color w:val="000000" w:themeColor="text1"/>
        </w:rPr>
        <w:t>data collection</w:t>
      </w:r>
      <w:r w:rsidRPr="00BF609D">
        <w:rPr>
          <w:rFonts w:ascii="Times New Roman" w:hAnsi="Times New Roman"/>
          <w:color w:val="000000" w:themeColor="text1"/>
        </w:rPr>
        <w:t>.</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Plans for Tabulation</w:t>
      </w:r>
      <w:r w:rsidR="002118B4" w:rsidRPr="00BF609D">
        <w:rPr>
          <w:b/>
          <w:color w:val="000000" w:themeColor="text1"/>
          <w:sz w:val="24"/>
          <w:u w:val="single"/>
        </w:rPr>
        <w:t xml:space="preserve">, </w:t>
      </w:r>
      <w:r w:rsidRPr="00BF609D">
        <w:rPr>
          <w:b/>
          <w:color w:val="000000" w:themeColor="text1"/>
          <w:sz w:val="24"/>
          <w:u w:val="single"/>
        </w:rPr>
        <w:t>Publication</w:t>
      </w:r>
      <w:r w:rsidR="002118B4" w:rsidRPr="00BF609D">
        <w:rPr>
          <w:b/>
          <w:color w:val="000000" w:themeColor="text1"/>
          <w:sz w:val="24"/>
          <w:u w:val="single"/>
        </w:rPr>
        <w:t>,</w:t>
      </w:r>
      <w:r w:rsidRPr="00BF609D">
        <w:rPr>
          <w:b/>
          <w:color w:val="000000" w:themeColor="text1"/>
          <w:sz w:val="24"/>
          <w:u w:val="single"/>
        </w:rPr>
        <w:t xml:space="preserve"> and Project Time Schedule</w:t>
      </w:r>
    </w:p>
    <w:p w:rsidR="003B0847" w:rsidRPr="00BF609D" w:rsidRDefault="003B0847" w:rsidP="00CC110B">
      <w:pPr>
        <w:widowControl/>
        <w:tabs>
          <w:tab w:val="left" w:pos="0"/>
        </w:tabs>
        <w:rPr>
          <w:color w:val="000000" w:themeColor="text1"/>
          <w:sz w:val="24"/>
        </w:rPr>
      </w:pPr>
      <w:r w:rsidRPr="00BF609D">
        <w:rPr>
          <w:color w:val="000000" w:themeColor="text1"/>
          <w:sz w:val="24"/>
        </w:rPr>
        <w:t xml:space="preserve">Qualitative data gathered from state Medicaid programs and RWHAP participants will be the foundation for the case studies JSI will develop for HAB. These data will be collected during discussions with individuals and groups in each state.  </w:t>
      </w:r>
    </w:p>
    <w:p w:rsidR="003B0847" w:rsidRPr="00BF609D" w:rsidRDefault="003B0847" w:rsidP="00CC110B">
      <w:pPr>
        <w:widowControl/>
        <w:tabs>
          <w:tab w:val="left" w:pos="0"/>
        </w:tabs>
        <w:rPr>
          <w:color w:val="000000" w:themeColor="text1"/>
          <w:sz w:val="24"/>
        </w:rPr>
      </w:pPr>
    </w:p>
    <w:p w:rsidR="003B0847" w:rsidRPr="00BF609D" w:rsidRDefault="003B0847" w:rsidP="00CC110B">
      <w:pPr>
        <w:widowControl/>
        <w:tabs>
          <w:tab w:val="left" w:pos="0"/>
        </w:tabs>
        <w:rPr>
          <w:color w:val="000000" w:themeColor="text1"/>
          <w:sz w:val="24"/>
        </w:rPr>
      </w:pPr>
      <w:r w:rsidRPr="00BF609D">
        <w:rPr>
          <w:color w:val="000000" w:themeColor="text1"/>
          <w:sz w:val="24"/>
        </w:rPr>
        <w:t xml:space="preserve">All discussions will be audio recorded, and notes will be taken by a member of the JSI research team.  A final set of notes for each discussion will be prepared in Word® format, using the audio recordings for confirmation and verification. These notes will then be compiled into a single document for each state, representing the raw qualitative data. Using the compiled data for a state, the JSI research team members who participated in the discussions in that state will develop a case study that summarizes the Medicaid expansion and its impact on the RWHAP.  </w:t>
      </w:r>
    </w:p>
    <w:p w:rsidR="003B0847" w:rsidRPr="00BF609D" w:rsidRDefault="003B0847" w:rsidP="00CC110B">
      <w:pPr>
        <w:widowControl/>
        <w:tabs>
          <w:tab w:val="left" w:pos="0"/>
        </w:tabs>
        <w:rPr>
          <w:color w:val="000000" w:themeColor="text1"/>
          <w:sz w:val="24"/>
        </w:rPr>
      </w:pPr>
    </w:p>
    <w:p w:rsidR="003B0847" w:rsidRPr="00BF609D" w:rsidRDefault="003B0847" w:rsidP="00CC110B">
      <w:pPr>
        <w:widowControl/>
        <w:tabs>
          <w:tab w:val="left" w:pos="0"/>
        </w:tabs>
        <w:rPr>
          <w:color w:val="000000" w:themeColor="text1"/>
          <w:sz w:val="24"/>
        </w:rPr>
      </w:pPr>
      <w:r w:rsidRPr="00BF609D">
        <w:rPr>
          <w:color w:val="000000" w:themeColor="text1"/>
          <w:sz w:val="24"/>
        </w:rPr>
        <w:t xml:space="preserve">The state-specific case studies will be developed using standard qualitative techniques. First, the team will review the compiled notes document, and during a facilitated group process, develop a list of preliminary themes and subthemes. These will be derived primarily through analysis of concept repetition (meaning, how often similar ideas were expressed across the different experts) and through investigator triangulation (meaning that themes were identified and confirmed independently by more than two members of the team). Concept repetition will be facilitated using standard manual or digital coding and search functions within Word/Adobe software platforms. It is not anticipated that qualitative data analysis software will be needed.  However, if the team feels that its analysis and case studies will be enhanced by such software, the identified themes will be used as the basis for coding the compiled notes in </w:t>
      </w:r>
      <w:proofErr w:type="spellStart"/>
      <w:r w:rsidRPr="00BF609D">
        <w:rPr>
          <w:color w:val="000000" w:themeColor="text1"/>
          <w:sz w:val="24"/>
        </w:rPr>
        <w:t>NVivo</w:t>
      </w:r>
      <w:proofErr w:type="spellEnd"/>
      <w:r w:rsidRPr="00BF609D">
        <w:rPr>
          <w:color w:val="000000" w:themeColor="text1"/>
          <w:sz w:val="24"/>
        </w:rPr>
        <w:t xml:space="preserve">® (Version 9.0, QSR International; Cambridge, MA). </w:t>
      </w:r>
    </w:p>
    <w:p w:rsidR="003B0847" w:rsidRPr="00BF609D" w:rsidRDefault="003B0847" w:rsidP="00CC110B">
      <w:pPr>
        <w:widowControl/>
        <w:tabs>
          <w:tab w:val="left" w:pos="0"/>
        </w:tabs>
        <w:rPr>
          <w:color w:val="000000" w:themeColor="text1"/>
          <w:sz w:val="24"/>
        </w:rPr>
      </w:pPr>
    </w:p>
    <w:p w:rsidR="003B0847" w:rsidRPr="00BF609D" w:rsidRDefault="003B0847" w:rsidP="00CC110B">
      <w:pPr>
        <w:widowControl/>
        <w:tabs>
          <w:tab w:val="left" w:pos="0"/>
        </w:tabs>
        <w:rPr>
          <w:color w:val="000000" w:themeColor="text1"/>
          <w:sz w:val="24"/>
        </w:rPr>
      </w:pPr>
      <w:r w:rsidRPr="00BF609D">
        <w:rPr>
          <w:color w:val="000000" w:themeColor="text1"/>
          <w:sz w:val="24"/>
        </w:rPr>
        <w:t xml:space="preserve">In addition to individual case studies, JSI will prepare a final report that synthesizes across the case studies to identify common themes, unique findings, best practices, lessons learned, </w:t>
      </w:r>
      <w:r w:rsidRPr="00BF609D">
        <w:rPr>
          <w:color w:val="000000" w:themeColor="text1"/>
          <w:sz w:val="24"/>
        </w:rPr>
        <w:lastRenderedPageBreak/>
        <w:t>missteps, successes, and challenges. This final report will be developed similarly to the individual case studies. The case study documents will be reviewed by the entire team, and common and unique themes will be identified using a facilitated group process.</w:t>
      </w:r>
    </w:p>
    <w:p w:rsidR="003B0847" w:rsidRPr="00BF609D" w:rsidRDefault="003B0847" w:rsidP="00CC110B">
      <w:pPr>
        <w:widowControl/>
        <w:tabs>
          <w:tab w:val="left" w:pos="0"/>
        </w:tabs>
        <w:rPr>
          <w:color w:val="000000" w:themeColor="text1"/>
          <w:sz w:val="24"/>
        </w:rPr>
      </w:pPr>
    </w:p>
    <w:p w:rsidR="00BA3497" w:rsidRPr="00BF609D" w:rsidRDefault="00BA3497" w:rsidP="00CC110B">
      <w:pPr>
        <w:widowControl/>
        <w:tabs>
          <w:tab w:val="left" w:pos="0"/>
        </w:tabs>
        <w:rPr>
          <w:color w:val="000000" w:themeColor="text1"/>
          <w:sz w:val="24"/>
        </w:rPr>
      </w:pPr>
      <w:r w:rsidRPr="00BF609D">
        <w:rPr>
          <w:color w:val="000000" w:themeColor="text1"/>
          <w:sz w:val="24"/>
        </w:rPr>
        <w:t xml:space="preserve">Information collection will not use statistical methods such as sampling, imputation, or other statistical estimation techniques.  </w:t>
      </w:r>
      <w:r w:rsidR="000009A3" w:rsidRPr="00BF609D">
        <w:rPr>
          <w:color w:val="000000" w:themeColor="text1"/>
          <w:sz w:val="24"/>
        </w:rPr>
        <w:t>As such, Supporting Statement B is not included with this submission.</w:t>
      </w:r>
    </w:p>
    <w:p w:rsidR="00BA3497" w:rsidRPr="00BF609D" w:rsidRDefault="00BA3497" w:rsidP="00CC110B">
      <w:pPr>
        <w:widowControl/>
        <w:tabs>
          <w:tab w:val="left" w:pos="0"/>
        </w:tabs>
        <w:rPr>
          <w:color w:val="000000" w:themeColor="text1"/>
          <w:sz w:val="24"/>
        </w:rPr>
      </w:pPr>
    </w:p>
    <w:p w:rsidR="002C0D72" w:rsidRPr="00BF609D" w:rsidRDefault="00BE4DE6" w:rsidP="00CC110B">
      <w:pPr>
        <w:widowControl/>
        <w:tabs>
          <w:tab w:val="left" w:pos="0"/>
        </w:tabs>
        <w:rPr>
          <w:color w:val="000000" w:themeColor="text1"/>
          <w:sz w:val="24"/>
        </w:rPr>
      </w:pPr>
      <w:r w:rsidRPr="00BF609D">
        <w:rPr>
          <w:color w:val="000000" w:themeColor="text1"/>
          <w:sz w:val="24"/>
        </w:rPr>
        <w:t xml:space="preserve">Our scope of work does not entail dissemination of results, other than presentation within HRSA. </w:t>
      </w:r>
      <w:r w:rsidR="002C0D72" w:rsidRPr="00BF609D">
        <w:rPr>
          <w:color w:val="000000" w:themeColor="text1"/>
          <w:sz w:val="24"/>
        </w:rPr>
        <w:t xml:space="preserve">Data collection will be completed </w:t>
      </w:r>
      <w:r w:rsidRPr="00BF609D">
        <w:rPr>
          <w:color w:val="000000" w:themeColor="text1"/>
          <w:sz w:val="24"/>
        </w:rPr>
        <w:t>within six months</w:t>
      </w:r>
      <w:r w:rsidR="002C0D72" w:rsidRPr="00BF609D">
        <w:rPr>
          <w:color w:val="000000" w:themeColor="text1"/>
          <w:sz w:val="24"/>
        </w:rPr>
        <w:t xml:space="preserve"> after OMB approval is granted. Data collection, data analysis, and report of findings will be completed </w:t>
      </w:r>
      <w:r w:rsidRPr="00BF609D">
        <w:rPr>
          <w:color w:val="000000" w:themeColor="text1"/>
          <w:sz w:val="24"/>
        </w:rPr>
        <w:t xml:space="preserve">within </w:t>
      </w:r>
      <w:r w:rsidR="00BA3497" w:rsidRPr="00BF609D">
        <w:rPr>
          <w:color w:val="000000" w:themeColor="text1"/>
          <w:sz w:val="24"/>
        </w:rPr>
        <w:t>nine</w:t>
      </w:r>
      <w:r w:rsidRPr="00BF609D">
        <w:rPr>
          <w:color w:val="000000" w:themeColor="text1"/>
          <w:sz w:val="24"/>
        </w:rPr>
        <w:t xml:space="preserve"> </w:t>
      </w:r>
      <w:r w:rsidR="002C0D72" w:rsidRPr="00BF609D">
        <w:rPr>
          <w:color w:val="000000" w:themeColor="text1"/>
          <w:sz w:val="24"/>
        </w:rPr>
        <w:t>months after approval.</w:t>
      </w:r>
    </w:p>
    <w:p w:rsidR="00BA3497" w:rsidRPr="00BF609D" w:rsidRDefault="00BA3497" w:rsidP="00CC110B">
      <w:pPr>
        <w:widowControl/>
        <w:tabs>
          <w:tab w:val="left" w:pos="0"/>
        </w:tabs>
        <w:rPr>
          <w:color w:val="000000" w:themeColor="text1"/>
          <w:sz w:val="24"/>
        </w:rPr>
      </w:pPr>
    </w:p>
    <w:p w:rsidR="00A86D3A" w:rsidRDefault="00A86D3A">
      <w:pPr>
        <w:widowControl/>
        <w:autoSpaceDE/>
        <w:autoSpaceDN/>
        <w:adjustRightInd/>
        <w:rPr>
          <w:b/>
          <w:color w:val="000000" w:themeColor="text1"/>
          <w:sz w:val="24"/>
        </w:rPr>
      </w:pPr>
      <w:r>
        <w:rPr>
          <w:b/>
          <w:color w:val="000000" w:themeColor="text1"/>
          <w:sz w:val="24"/>
        </w:rPr>
        <w:br w:type="page"/>
      </w:r>
    </w:p>
    <w:p w:rsidR="002C0D72" w:rsidRPr="00BF609D" w:rsidRDefault="00382BD1" w:rsidP="00382BD1">
      <w:pPr>
        <w:widowControl/>
        <w:tabs>
          <w:tab w:val="left" w:pos="0"/>
        </w:tabs>
        <w:autoSpaceDE/>
        <w:autoSpaceDN/>
        <w:adjustRightInd/>
        <w:rPr>
          <w:b/>
          <w:color w:val="000000" w:themeColor="text1"/>
          <w:sz w:val="24"/>
        </w:rPr>
      </w:pPr>
      <w:r w:rsidRPr="00BF609D">
        <w:rPr>
          <w:b/>
          <w:color w:val="000000" w:themeColor="text1"/>
          <w:sz w:val="24"/>
        </w:rPr>
        <w:lastRenderedPageBreak/>
        <w:t>Exhibit A-16</w:t>
      </w:r>
      <w:r w:rsidR="00BE4DE6" w:rsidRPr="00BF609D">
        <w:rPr>
          <w:b/>
          <w:color w:val="000000" w:themeColor="text1"/>
          <w:sz w:val="24"/>
        </w:rPr>
        <w:t xml:space="preserve">: </w:t>
      </w:r>
      <w:r w:rsidR="002C0D72" w:rsidRPr="00BF609D">
        <w:rPr>
          <w:b/>
          <w:color w:val="000000" w:themeColor="text1"/>
          <w:sz w:val="24"/>
        </w:rPr>
        <w:t>Project Time Schedule</w:t>
      </w:r>
    </w:p>
    <w:tbl>
      <w:tblPr>
        <w:tblStyle w:val="TableGrid1"/>
        <w:tblW w:w="0" w:type="auto"/>
        <w:tblInd w:w="108" w:type="dxa"/>
        <w:tblLook w:val="01E0" w:firstRow="1" w:lastRow="1" w:firstColumn="1" w:lastColumn="1" w:noHBand="0" w:noVBand="0"/>
      </w:tblPr>
      <w:tblGrid>
        <w:gridCol w:w="5040"/>
        <w:gridCol w:w="4140"/>
      </w:tblGrid>
      <w:tr w:rsidR="00BF609D" w:rsidRPr="00BF609D" w:rsidTr="00CC110B">
        <w:tc>
          <w:tcPr>
            <w:tcW w:w="5040" w:type="dxa"/>
            <w:shd w:val="clear" w:color="auto" w:fill="C0C0C0"/>
          </w:tcPr>
          <w:p w:rsidR="002C0D72" w:rsidRPr="00BF609D" w:rsidRDefault="002C0D72" w:rsidP="00CC110B">
            <w:pPr>
              <w:widowControl/>
              <w:tabs>
                <w:tab w:val="left" w:pos="360"/>
              </w:tabs>
              <w:autoSpaceDE/>
              <w:autoSpaceDN/>
              <w:adjustRightInd/>
              <w:ind w:left="72"/>
              <w:rPr>
                <w:b/>
                <w:color w:val="000000" w:themeColor="text1"/>
                <w:sz w:val="24"/>
              </w:rPr>
            </w:pPr>
            <w:r w:rsidRPr="00BF609D">
              <w:rPr>
                <w:b/>
                <w:color w:val="000000" w:themeColor="text1"/>
                <w:sz w:val="24"/>
              </w:rPr>
              <w:t>Activi</w:t>
            </w:r>
            <w:r w:rsidR="00BE4DE6" w:rsidRPr="00BF609D">
              <w:rPr>
                <w:b/>
                <w:color w:val="000000" w:themeColor="text1"/>
                <w:sz w:val="24"/>
              </w:rPr>
              <w:t>ty</w:t>
            </w:r>
          </w:p>
        </w:tc>
        <w:tc>
          <w:tcPr>
            <w:tcW w:w="4140" w:type="dxa"/>
            <w:shd w:val="clear" w:color="auto" w:fill="C0C0C0"/>
          </w:tcPr>
          <w:p w:rsidR="002C0D72" w:rsidRPr="00BF609D" w:rsidRDefault="002C0D72" w:rsidP="00CC110B">
            <w:pPr>
              <w:widowControl/>
              <w:tabs>
                <w:tab w:val="left" w:pos="360"/>
              </w:tabs>
              <w:autoSpaceDE/>
              <w:autoSpaceDN/>
              <w:adjustRightInd/>
              <w:ind w:left="162"/>
              <w:rPr>
                <w:b/>
                <w:color w:val="000000" w:themeColor="text1"/>
                <w:sz w:val="24"/>
              </w:rPr>
            </w:pPr>
            <w:r w:rsidRPr="00BF609D">
              <w:rPr>
                <w:b/>
                <w:color w:val="000000" w:themeColor="text1"/>
                <w:sz w:val="24"/>
              </w:rPr>
              <w:t>Time Schedule</w:t>
            </w:r>
          </w:p>
        </w:tc>
      </w:tr>
      <w:tr w:rsidR="00BF609D" w:rsidRPr="00BF609D" w:rsidTr="00CC110B">
        <w:tc>
          <w:tcPr>
            <w:tcW w:w="5040" w:type="dxa"/>
          </w:tcPr>
          <w:p w:rsidR="002C0D72" w:rsidRPr="00BF609D" w:rsidRDefault="00BE4DE6" w:rsidP="00CC110B">
            <w:pPr>
              <w:widowControl/>
              <w:tabs>
                <w:tab w:val="left" w:pos="360"/>
              </w:tabs>
              <w:autoSpaceDE/>
              <w:autoSpaceDN/>
              <w:adjustRightInd/>
              <w:ind w:left="72"/>
              <w:rPr>
                <w:color w:val="000000" w:themeColor="text1"/>
                <w:sz w:val="24"/>
              </w:rPr>
            </w:pPr>
            <w:r w:rsidRPr="00BF609D">
              <w:rPr>
                <w:color w:val="000000" w:themeColor="text1"/>
                <w:sz w:val="24"/>
              </w:rPr>
              <w:t>Data collection and data entry</w:t>
            </w:r>
          </w:p>
        </w:tc>
        <w:tc>
          <w:tcPr>
            <w:tcW w:w="4140" w:type="dxa"/>
          </w:tcPr>
          <w:p w:rsidR="002C0D72" w:rsidRPr="00BF609D" w:rsidRDefault="00BE4DE6" w:rsidP="00CC110B">
            <w:pPr>
              <w:widowControl/>
              <w:tabs>
                <w:tab w:val="left" w:pos="360"/>
              </w:tabs>
              <w:autoSpaceDE/>
              <w:autoSpaceDN/>
              <w:adjustRightInd/>
              <w:ind w:left="162"/>
              <w:rPr>
                <w:color w:val="000000" w:themeColor="text1"/>
                <w:sz w:val="24"/>
              </w:rPr>
            </w:pPr>
            <w:r w:rsidRPr="00BF609D">
              <w:rPr>
                <w:color w:val="000000" w:themeColor="text1"/>
                <w:sz w:val="24"/>
              </w:rPr>
              <w:t>Beginning 1 month post OMB approval, ending 6 months post OMB approval</w:t>
            </w:r>
          </w:p>
        </w:tc>
      </w:tr>
      <w:tr w:rsidR="00BF609D" w:rsidRPr="00BF609D" w:rsidTr="00CC110B">
        <w:tc>
          <w:tcPr>
            <w:tcW w:w="5040" w:type="dxa"/>
          </w:tcPr>
          <w:p w:rsidR="002C0D72" w:rsidRPr="00BF609D" w:rsidRDefault="00BE4DE6" w:rsidP="00CC110B">
            <w:pPr>
              <w:widowControl/>
              <w:tabs>
                <w:tab w:val="left" w:pos="360"/>
              </w:tabs>
              <w:autoSpaceDE/>
              <w:autoSpaceDN/>
              <w:adjustRightInd/>
              <w:ind w:left="72"/>
              <w:rPr>
                <w:color w:val="000000" w:themeColor="text1"/>
                <w:sz w:val="24"/>
              </w:rPr>
            </w:pPr>
            <w:r w:rsidRPr="00BF609D">
              <w:rPr>
                <w:color w:val="000000" w:themeColor="text1"/>
                <w:sz w:val="24"/>
              </w:rPr>
              <w:t>Data analysis, drafting of case study reports</w:t>
            </w:r>
          </w:p>
        </w:tc>
        <w:tc>
          <w:tcPr>
            <w:tcW w:w="4140" w:type="dxa"/>
          </w:tcPr>
          <w:p w:rsidR="002C0D72" w:rsidRPr="00BF609D" w:rsidRDefault="00BE4DE6" w:rsidP="00CC110B">
            <w:pPr>
              <w:widowControl/>
              <w:tabs>
                <w:tab w:val="left" w:pos="360"/>
              </w:tabs>
              <w:autoSpaceDE/>
              <w:autoSpaceDN/>
              <w:adjustRightInd/>
              <w:ind w:left="162"/>
              <w:rPr>
                <w:color w:val="000000" w:themeColor="text1"/>
                <w:sz w:val="24"/>
              </w:rPr>
            </w:pPr>
            <w:r w:rsidRPr="00BF609D">
              <w:rPr>
                <w:color w:val="000000" w:themeColor="text1"/>
                <w:sz w:val="24"/>
              </w:rPr>
              <w:t>Beginning 2 months post OMB approval, ending 6 months post OMB approval</w:t>
            </w:r>
          </w:p>
        </w:tc>
      </w:tr>
      <w:tr w:rsidR="00BF609D" w:rsidRPr="00BF609D" w:rsidTr="00CC110B">
        <w:tc>
          <w:tcPr>
            <w:tcW w:w="5040" w:type="dxa"/>
          </w:tcPr>
          <w:p w:rsidR="002C0D72" w:rsidRPr="00BF609D" w:rsidRDefault="00BE4DE6" w:rsidP="00CC110B">
            <w:pPr>
              <w:widowControl/>
              <w:tabs>
                <w:tab w:val="left" w:pos="360"/>
              </w:tabs>
              <w:autoSpaceDE/>
              <w:autoSpaceDN/>
              <w:adjustRightInd/>
              <w:ind w:left="72"/>
              <w:rPr>
                <w:color w:val="000000" w:themeColor="text1"/>
                <w:sz w:val="24"/>
              </w:rPr>
            </w:pPr>
            <w:r w:rsidRPr="00BF609D">
              <w:rPr>
                <w:color w:val="000000" w:themeColor="text1"/>
                <w:sz w:val="24"/>
              </w:rPr>
              <w:t>Submit case study reports to HRSA for review and comment, finalize case study reports</w:t>
            </w:r>
          </w:p>
        </w:tc>
        <w:tc>
          <w:tcPr>
            <w:tcW w:w="4140" w:type="dxa"/>
          </w:tcPr>
          <w:p w:rsidR="002C0D72" w:rsidRPr="00BF609D" w:rsidRDefault="00BE4DE6" w:rsidP="00CC110B">
            <w:pPr>
              <w:widowControl/>
              <w:tabs>
                <w:tab w:val="left" w:pos="360"/>
              </w:tabs>
              <w:autoSpaceDE/>
              <w:autoSpaceDN/>
              <w:adjustRightInd/>
              <w:ind w:left="162"/>
              <w:rPr>
                <w:color w:val="000000" w:themeColor="text1"/>
                <w:sz w:val="24"/>
              </w:rPr>
            </w:pPr>
            <w:r w:rsidRPr="00BF609D">
              <w:rPr>
                <w:color w:val="000000" w:themeColor="text1"/>
                <w:sz w:val="24"/>
              </w:rPr>
              <w:t>Begin</w:t>
            </w:r>
            <w:r w:rsidR="00627552" w:rsidRPr="00BF609D">
              <w:rPr>
                <w:color w:val="000000" w:themeColor="text1"/>
                <w:sz w:val="24"/>
              </w:rPr>
              <w:t>ning 7</w:t>
            </w:r>
            <w:r w:rsidRPr="00BF609D">
              <w:rPr>
                <w:color w:val="000000" w:themeColor="text1"/>
                <w:sz w:val="24"/>
              </w:rPr>
              <w:t xml:space="preserve"> months post OMB approval, ending </w:t>
            </w:r>
            <w:r w:rsidR="00627552" w:rsidRPr="00BF609D">
              <w:rPr>
                <w:color w:val="000000" w:themeColor="text1"/>
                <w:sz w:val="24"/>
              </w:rPr>
              <w:t>8</w:t>
            </w:r>
            <w:r w:rsidRPr="00BF609D">
              <w:rPr>
                <w:color w:val="000000" w:themeColor="text1"/>
                <w:sz w:val="24"/>
              </w:rPr>
              <w:t xml:space="preserve"> months post OMB approval</w:t>
            </w:r>
          </w:p>
        </w:tc>
      </w:tr>
      <w:tr w:rsidR="00BF609D" w:rsidRPr="00BF609D" w:rsidTr="00CC110B">
        <w:tc>
          <w:tcPr>
            <w:tcW w:w="5040" w:type="dxa"/>
          </w:tcPr>
          <w:p w:rsidR="002C0D72" w:rsidRPr="00BF609D" w:rsidRDefault="00627552" w:rsidP="00CC110B">
            <w:pPr>
              <w:widowControl/>
              <w:tabs>
                <w:tab w:val="left" w:pos="360"/>
              </w:tabs>
              <w:autoSpaceDE/>
              <w:autoSpaceDN/>
              <w:adjustRightInd/>
              <w:ind w:left="72"/>
              <w:rPr>
                <w:color w:val="000000" w:themeColor="text1"/>
                <w:sz w:val="24"/>
              </w:rPr>
            </w:pPr>
            <w:r w:rsidRPr="00BF609D">
              <w:rPr>
                <w:color w:val="000000" w:themeColor="text1"/>
                <w:sz w:val="24"/>
              </w:rPr>
              <w:t>Prepare draft of the final project report, submit to HRSA for feedback, finalize final project report</w:t>
            </w:r>
          </w:p>
        </w:tc>
        <w:tc>
          <w:tcPr>
            <w:tcW w:w="4140" w:type="dxa"/>
          </w:tcPr>
          <w:p w:rsidR="002C0D72" w:rsidRPr="00BF609D" w:rsidRDefault="00627552" w:rsidP="00CC110B">
            <w:pPr>
              <w:widowControl/>
              <w:tabs>
                <w:tab w:val="left" w:pos="360"/>
              </w:tabs>
              <w:autoSpaceDE/>
              <w:autoSpaceDN/>
              <w:adjustRightInd/>
              <w:ind w:left="162"/>
              <w:rPr>
                <w:color w:val="000000" w:themeColor="text1"/>
                <w:sz w:val="24"/>
              </w:rPr>
            </w:pPr>
            <w:r w:rsidRPr="00BF609D">
              <w:rPr>
                <w:color w:val="000000" w:themeColor="text1"/>
                <w:sz w:val="24"/>
              </w:rPr>
              <w:t>8 months post OMB approval</w:t>
            </w:r>
          </w:p>
        </w:tc>
      </w:tr>
      <w:tr w:rsidR="00BF609D" w:rsidRPr="00BF609D" w:rsidTr="00CC110B">
        <w:tc>
          <w:tcPr>
            <w:tcW w:w="5040" w:type="dxa"/>
          </w:tcPr>
          <w:p w:rsidR="00BA3497" w:rsidRPr="00BF609D" w:rsidRDefault="00BA3497" w:rsidP="00CC110B">
            <w:pPr>
              <w:widowControl/>
              <w:tabs>
                <w:tab w:val="left" w:pos="360"/>
              </w:tabs>
              <w:autoSpaceDE/>
              <w:autoSpaceDN/>
              <w:adjustRightInd/>
              <w:ind w:left="72"/>
              <w:rPr>
                <w:color w:val="000000" w:themeColor="text1"/>
                <w:sz w:val="24"/>
              </w:rPr>
            </w:pPr>
            <w:r w:rsidRPr="00BF609D">
              <w:rPr>
                <w:color w:val="000000" w:themeColor="text1"/>
                <w:sz w:val="24"/>
              </w:rPr>
              <w:t>Present findings to HRSA</w:t>
            </w:r>
          </w:p>
        </w:tc>
        <w:tc>
          <w:tcPr>
            <w:tcW w:w="4140" w:type="dxa"/>
          </w:tcPr>
          <w:p w:rsidR="00BA3497" w:rsidRPr="00BF609D" w:rsidRDefault="00BA3497" w:rsidP="00CC110B">
            <w:pPr>
              <w:widowControl/>
              <w:tabs>
                <w:tab w:val="left" w:pos="360"/>
              </w:tabs>
              <w:autoSpaceDE/>
              <w:autoSpaceDN/>
              <w:adjustRightInd/>
              <w:ind w:left="162"/>
              <w:rPr>
                <w:color w:val="000000" w:themeColor="text1"/>
                <w:sz w:val="24"/>
              </w:rPr>
            </w:pPr>
            <w:r w:rsidRPr="00BF609D">
              <w:rPr>
                <w:color w:val="000000" w:themeColor="text1"/>
                <w:sz w:val="24"/>
              </w:rPr>
              <w:t>9 months post OMB approval</w:t>
            </w:r>
          </w:p>
        </w:tc>
      </w:tr>
    </w:tbl>
    <w:p w:rsidR="002C0D72" w:rsidRPr="00BF609D" w:rsidRDefault="002C0D72" w:rsidP="002C2A63">
      <w:pPr>
        <w:spacing w:before="120"/>
        <w:rPr>
          <w:color w:val="000000" w:themeColor="text1"/>
          <w:sz w:val="24"/>
        </w:rPr>
      </w:pP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Reason(s) Display of OMB Expiration Date is Inappropriate</w:t>
      </w:r>
    </w:p>
    <w:p w:rsidR="00CE7E61" w:rsidRPr="00BF609D" w:rsidRDefault="00CE7E61" w:rsidP="00CC110B">
      <w:pPr>
        <w:pStyle w:val="BodyTextIndent"/>
        <w:spacing w:before="120"/>
        <w:ind w:left="0"/>
        <w:rPr>
          <w:rFonts w:ascii="Times New Roman" w:hAnsi="Times New Roman"/>
          <w:color w:val="000000" w:themeColor="text1"/>
        </w:rPr>
      </w:pPr>
      <w:r w:rsidRPr="00BF609D">
        <w:rPr>
          <w:rFonts w:ascii="Times New Roman" w:hAnsi="Times New Roman"/>
          <w:color w:val="000000" w:themeColor="text1"/>
        </w:rPr>
        <w:t>HRSA does not seek this exemption.</w:t>
      </w:r>
    </w:p>
    <w:p w:rsidR="009B3794" w:rsidRPr="00BF609D" w:rsidRDefault="009B3794" w:rsidP="00CA3DA6">
      <w:pPr>
        <w:numPr>
          <w:ilvl w:val="0"/>
          <w:numId w:val="2"/>
        </w:numPr>
        <w:spacing w:before="240"/>
        <w:rPr>
          <w:b/>
          <w:color w:val="000000" w:themeColor="text1"/>
          <w:sz w:val="24"/>
        </w:rPr>
      </w:pPr>
      <w:r w:rsidRPr="00BF609D">
        <w:rPr>
          <w:b/>
          <w:color w:val="000000" w:themeColor="text1"/>
          <w:sz w:val="24"/>
          <w:u w:val="single"/>
        </w:rPr>
        <w:t>Exceptions to Certification for Paperwork Reduction Act Submissions</w:t>
      </w:r>
    </w:p>
    <w:p w:rsidR="00CE7E61" w:rsidRPr="00BF609D" w:rsidRDefault="00CE7E61" w:rsidP="00CC110B">
      <w:pPr>
        <w:pStyle w:val="BodyTextIndent"/>
        <w:spacing w:before="120"/>
        <w:ind w:left="0"/>
        <w:rPr>
          <w:rFonts w:ascii="Times New Roman" w:hAnsi="Times New Roman"/>
          <w:color w:val="000000" w:themeColor="text1"/>
        </w:rPr>
      </w:pPr>
      <w:r w:rsidRPr="00BF609D">
        <w:rPr>
          <w:rFonts w:ascii="Times New Roman" w:hAnsi="Times New Roman"/>
          <w:color w:val="000000" w:themeColor="text1"/>
        </w:rPr>
        <w:t>There are no exceptions to the certification.</w:t>
      </w:r>
    </w:p>
    <w:p w:rsidR="00952AC9" w:rsidRPr="00BF609D" w:rsidRDefault="00952AC9" w:rsidP="00CA3DA6">
      <w:pPr>
        <w:pStyle w:val="BodyTextIndent"/>
        <w:spacing w:before="120"/>
        <w:ind w:left="360"/>
        <w:rPr>
          <w:rFonts w:ascii="Times New Roman" w:hAnsi="Times New Roman"/>
          <w:b/>
          <w:color w:val="000000" w:themeColor="text1"/>
        </w:rPr>
      </w:pPr>
    </w:p>
    <w:p w:rsidR="00D45DFB" w:rsidRPr="00BF609D" w:rsidRDefault="00D45DFB">
      <w:pPr>
        <w:widowControl/>
        <w:autoSpaceDE/>
        <w:autoSpaceDN/>
        <w:adjustRightInd/>
        <w:rPr>
          <w:b/>
          <w:i/>
          <w:color w:val="000000" w:themeColor="text1"/>
          <w:sz w:val="24"/>
        </w:rPr>
      </w:pPr>
      <w:r w:rsidRPr="00BF609D">
        <w:rPr>
          <w:b/>
          <w:i/>
          <w:color w:val="000000" w:themeColor="text1"/>
          <w:sz w:val="24"/>
        </w:rPr>
        <w:br w:type="page"/>
      </w:r>
    </w:p>
    <w:p w:rsidR="00952AC9" w:rsidRPr="00BF609D" w:rsidRDefault="00952AC9" w:rsidP="00CC110B">
      <w:pPr>
        <w:pStyle w:val="BodyTextIndent"/>
        <w:spacing w:before="120"/>
        <w:ind w:left="0"/>
        <w:rPr>
          <w:rFonts w:ascii="Times New Roman" w:hAnsi="Times New Roman"/>
          <w:b/>
          <w:i/>
          <w:color w:val="000000" w:themeColor="text1"/>
        </w:rPr>
      </w:pPr>
      <w:r w:rsidRPr="00BF609D">
        <w:rPr>
          <w:rFonts w:ascii="Times New Roman" w:hAnsi="Times New Roman"/>
          <w:b/>
          <w:i/>
          <w:color w:val="000000" w:themeColor="text1"/>
        </w:rPr>
        <w:lastRenderedPageBreak/>
        <w:t>Attachments</w:t>
      </w:r>
    </w:p>
    <w:p w:rsidR="00601DFF" w:rsidRPr="00BF609D" w:rsidRDefault="00601DFF" w:rsidP="00601DFF">
      <w:pPr>
        <w:pStyle w:val="NormalWeb"/>
        <w:ind w:firstLine="360"/>
        <w:rPr>
          <w:color w:val="000000" w:themeColor="text1"/>
        </w:rPr>
      </w:pPr>
      <w:r w:rsidRPr="00BF609D">
        <w:rPr>
          <w:color w:val="000000" w:themeColor="text1"/>
        </w:rPr>
        <w:t xml:space="preserve">Attachment </w:t>
      </w:r>
      <w:r w:rsidR="00574A4A" w:rsidRPr="00BF609D">
        <w:rPr>
          <w:color w:val="000000" w:themeColor="text1"/>
        </w:rPr>
        <w:t>A</w:t>
      </w:r>
      <w:r w:rsidRPr="00BF609D">
        <w:rPr>
          <w:color w:val="000000" w:themeColor="text1"/>
        </w:rPr>
        <w:t xml:space="preserve">: </w:t>
      </w:r>
      <w:proofErr w:type="gramStart"/>
      <w:r w:rsidRPr="00BF609D">
        <w:rPr>
          <w:color w:val="000000" w:themeColor="text1"/>
        </w:rPr>
        <w:t>42 U.S.C.241</w:t>
      </w:r>
      <w:proofErr w:type="gramEnd"/>
    </w:p>
    <w:p w:rsidR="00633165" w:rsidRPr="00BF609D" w:rsidRDefault="00633165" w:rsidP="00633165">
      <w:pPr>
        <w:pStyle w:val="NormalWeb"/>
        <w:ind w:left="360"/>
        <w:rPr>
          <w:color w:val="000000" w:themeColor="text1"/>
        </w:rPr>
      </w:pPr>
      <w:r w:rsidRPr="00BF609D">
        <w:rPr>
          <w:color w:val="000000" w:themeColor="text1"/>
        </w:rPr>
        <w:t xml:space="preserve">Attachment </w:t>
      </w:r>
      <w:r w:rsidR="00574A4A" w:rsidRPr="00BF609D">
        <w:rPr>
          <w:color w:val="000000" w:themeColor="text1"/>
        </w:rPr>
        <w:t>B</w:t>
      </w:r>
      <w:r w:rsidRPr="00BF609D">
        <w:rPr>
          <w:color w:val="000000" w:themeColor="text1"/>
        </w:rPr>
        <w:t>: Qualitative Interview Data Collection Tool for State Medicaid Agency Groups</w:t>
      </w:r>
    </w:p>
    <w:p w:rsidR="00633165" w:rsidRPr="00BF609D" w:rsidRDefault="00633165" w:rsidP="00633165">
      <w:pPr>
        <w:pStyle w:val="NormalWeb"/>
        <w:ind w:left="360"/>
        <w:rPr>
          <w:color w:val="000000" w:themeColor="text1"/>
        </w:rPr>
      </w:pPr>
      <w:r w:rsidRPr="00BF609D">
        <w:rPr>
          <w:color w:val="000000" w:themeColor="text1"/>
        </w:rPr>
        <w:t xml:space="preserve">Attachment </w:t>
      </w:r>
      <w:r w:rsidR="00574A4A" w:rsidRPr="00BF609D">
        <w:rPr>
          <w:color w:val="000000" w:themeColor="text1"/>
        </w:rPr>
        <w:t>C</w:t>
      </w:r>
      <w:r w:rsidRPr="00BF609D">
        <w:rPr>
          <w:color w:val="000000" w:themeColor="text1"/>
        </w:rPr>
        <w:t xml:space="preserve">: Qualitative Interview Data Collection Tool for Ryan White Part </w:t>
      </w:r>
      <w:proofErr w:type="gramStart"/>
      <w:r w:rsidRPr="00BF609D">
        <w:rPr>
          <w:color w:val="000000" w:themeColor="text1"/>
        </w:rPr>
        <w:t>A</w:t>
      </w:r>
      <w:proofErr w:type="gramEnd"/>
      <w:r w:rsidRPr="00BF609D">
        <w:rPr>
          <w:color w:val="000000" w:themeColor="text1"/>
        </w:rPr>
        <w:t xml:space="preserve"> Administrators and Members of Planning Councils</w:t>
      </w:r>
    </w:p>
    <w:p w:rsidR="00633165" w:rsidRPr="00BF609D" w:rsidRDefault="00574A4A" w:rsidP="00633165">
      <w:pPr>
        <w:pStyle w:val="NormalWeb"/>
        <w:ind w:left="360"/>
        <w:rPr>
          <w:color w:val="000000" w:themeColor="text1"/>
        </w:rPr>
      </w:pPr>
      <w:r w:rsidRPr="00BF609D">
        <w:rPr>
          <w:color w:val="000000" w:themeColor="text1"/>
        </w:rPr>
        <w:t>Attachment D</w:t>
      </w:r>
      <w:r w:rsidR="00633165" w:rsidRPr="00BF609D">
        <w:rPr>
          <w:color w:val="000000" w:themeColor="text1"/>
        </w:rPr>
        <w:t>: Qualitative Interview Data Collection Tool for Ryan White Part B and ADAP (AIDS Directors, Part B Coordinators and ADAP Coordinators)</w:t>
      </w:r>
    </w:p>
    <w:p w:rsidR="00633165" w:rsidRPr="00BF609D" w:rsidRDefault="00574A4A" w:rsidP="00633165">
      <w:pPr>
        <w:pStyle w:val="NormalWeb"/>
        <w:ind w:left="360"/>
        <w:rPr>
          <w:color w:val="000000" w:themeColor="text1"/>
        </w:rPr>
      </w:pPr>
      <w:r w:rsidRPr="00BF609D">
        <w:rPr>
          <w:color w:val="000000" w:themeColor="text1"/>
        </w:rPr>
        <w:t>Attachment E</w:t>
      </w:r>
      <w:r w:rsidR="00633165" w:rsidRPr="00BF609D">
        <w:rPr>
          <w:color w:val="000000" w:themeColor="text1"/>
        </w:rPr>
        <w:t>: Qualitative Interview Data Collection Tool for Ryan White Clinical Providers (RW Part C Grantees in clinical settings or Similar Clinical Care Providers)</w:t>
      </w:r>
    </w:p>
    <w:p w:rsidR="00D45DFB" w:rsidRPr="00BF609D" w:rsidRDefault="00574A4A" w:rsidP="00633165">
      <w:pPr>
        <w:pStyle w:val="NormalWeb"/>
        <w:spacing w:before="0" w:beforeAutospacing="0" w:after="0" w:afterAutospacing="0"/>
        <w:ind w:left="360"/>
        <w:rPr>
          <w:color w:val="000000" w:themeColor="text1"/>
        </w:rPr>
      </w:pPr>
      <w:r w:rsidRPr="00BF609D">
        <w:rPr>
          <w:color w:val="000000" w:themeColor="text1"/>
        </w:rPr>
        <w:t>Attachment F</w:t>
      </w:r>
      <w:r w:rsidR="00633165" w:rsidRPr="00BF609D">
        <w:rPr>
          <w:color w:val="000000" w:themeColor="text1"/>
        </w:rPr>
        <w:t>: 60 Day Federal Register Notice</w:t>
      </w:r>
    </w:p>
    <w:p w:rsidR="00697384" w:rsidRPr="00BF609D" w:rsidRDefault="00574A4A" w:rsidP="00CE3870">
      <w:pPr>
        <w:pStyle w:val="NormalWeb"/>
        <w:ind w:firstLine="360"/>
        <w:rPr>
          <w:color w:val="000000" w:themeColor="text1"/>
        </w:rPr>
      </w:pPr>
      <w:r w:rsidRPr="00BF609D">
        <w:rPr>
          <w:color w:val="000000" w:themeColor="text1"/>
        </w:rPr>
        <w:t>Attachment G</w:t>
      </w:r>
      <w:r w:rsidR="00697384" w:rsidRPr="00BF609D">
        <w:rPr>
          <w:color w:val="000000" w:themeColor="text1"/>
        </w:rPr>
        <w:t>: IRB waiver letter</w:t>
      </w:r>
    </w:p>
    <w:sectPr w:rsidR="00697384" w:rsidRPr="00BF609D" w:rsidSect="001D4856">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8E" w:rsidRDefault="00D50D8E">
      <w:r>
        <w:separator/>
      </w:r>
    </w:p>
  </w:endnote>
  <w:endnote w:type="continuationSeparator" w:id="0">
    <w:p w:rsidR="00D50D8E" w:rsidRDefault="00D5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04" w:rsidRDefault="00F92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8F" w:rsidRDefault="0028758F">
    <w:pPr>
      <w:spacing w:line="240" w:lineRule="exact"/>
    </w:pPr>
  </w:p>
  <w:p w:rsidR="0028758F" w:rsidRDefault="0028758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D2D2C">
      <w:rPr>
        <w:noProof/>
        <w:sz w:val="24"/>
      </w:rPr>
      <w:t>1</w:t>
    </w:r>
    <w:r>
      <w:rPr>
        <w:sz w:val="24"/>
      </w:rPr>
      <w:fldChar w:fldCharType="end"/>
    </w:r>
  </w:p>
  <w:p w:rsidR="0028758F" w:rsidRDefault="0028758F">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04" w:rsidRDefault="00F92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8E" w:rsidRDefault="00D50D8E">
      <w:r>
        <w:separator/>
      </w:r>
    </w:p>
  </w:footnote>
  <w:footnote w:type="continuationSeparator" w:id="0">
    <w:p w:rsidR="00D50D8E" w:rsidRDefault="00D50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04" w:rsidRDefault="00F926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04" w:rsidRDefault="00F926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04" w:rsidRDefault="00F92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A164E8"/>
    <w:multiLevelType w:val="hybridMultilevel"/>
    <w:tmpl w:val="D74CF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B1C28"/>
    <w:multiLevelType w:val="hybridMultilevel"/>
    <w:tmpl w:val="B6D8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675F67"/>
    <w:multiLevelType w:val="hybridMultilevel"/>
    <w:tmpl w:val="C0F2930A"/>
    <w:lvl w:ilvl="0" w:tplc="93D24EF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2A31FDB"/>
    <w:multiLevelType w:val="hybridMultilevel"/>
    <w:tmpl w:val="AF40D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DDE0457"/>
    <w:multiLevelType w:val="hybridMultilevel"/>
    <w:tmpl w:val="5AC6E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212F4F42"/>
    <w:multiLevelType w:val="hybridMultilevel"/>
    <w:tmpl w:val="CF2A0D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2">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3B4E9D"/>
    <w:multiLevelType w:val="hybridMultilevel"/>
    <w:tmpl w:val="50FA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5C1F70"/>
    <w:multiLevelType w:val="multilevel"/>
    <w:tmpl w:val="6AC6A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A1D7109"/>
    <w:multiLevelType w:val="hybridMultilevel"/>
    <w:tmpl w:val="A95CD5D8"/>
    <w:lvl w:ilvl="0" w:tplc="0E24F41E">
      <w:start w:val="1"/>
      <w:numFmt w:val="decimal"/>
      <w:lvlText w:val="A%1. "/>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537F7CA5"/>
    <w:multiLevelType w:val="hybridMultilevel"/>
    <w:tmpl w:val="4D08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5">
    <w:nsid w:val="555C6005"/>
    <w:multiLevelType w:val="hybridMultilevel"/>
    <w:tmpl w:val="EB48B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643D33B3"/>
    <w:multiLevelType w:val="hybridMultilevel"/>
    <w:tmpl w:val="5E5662B0"/>
    <w:lvl w:ilvl="0" w:tplc="D0C2219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nsid w:val="688B6ACE"/>
    <w:multiLevelType w:val="hybridMultilevel"/>
    <w:tmpl w:val="64F20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7">
    <w:nsid w:val="6C9D2235"/>
    <w:multiLevelType w:val="hybridMultilevel"/>
    <w:tmpl w:val="33247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E451F3C"/>
    <w:multiLevelType w:val="hybridMultilevel"/>
    <w:tmpl w:val="02667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6"/>
  </w:num>
  <w:num w:numId="2">
    <w:abstractNumId w:val="29"/>
  </w:num>
  <w:num w:numId="3">
    <w:abstractNumId w:val="20"/>
  </w:num>
  <w:num w:numId="4">
    <w:abstractNumId w:val="52"/>
  </w:num>
  <w:num w:numId="5">
    <w:abstractNumId w:val="55"/>
  </w:num>
  <w:num w:numId="6">
    <w:abstractNumId w:val="13"/>
  </w:num>
  <w:num w:numId="7">
    <w:abstractNumId w:val="46"/>
  </w:num>
  <w:num w:numId="8">
    <w:abstractNumId w:val="23"/>
  </w:num>
  <w:num w:numId="9">
    <w:abstractNumId w:val="34"/>
  </w:num>
  <w:num w:numId="10">
    <w:abstractNumId w:val="25"/>
  </w:num>
  <w:num w:numId="11">
    <w:abstractNumId w:val="12"/>
  </w:num>
  <w:num w:numId="12">
    <w:abstractNumId w:val="32"/>
  </w:num>
  <w:num w:numId="13">
    <w:abstractNumId w:val="26"/>
  </w:num>
  <w:num w:numId="14">
    <w:abstractNumId w:val="30"/>
  </w:num>
  <w:num w:numId="15">
    <w:abstractNumId w:val="10"/>
  </w:num>
  <w:num w:numId="16">
    <w:abstractNumId w:val="0"/>
  </w:num>
  <w:num w:numId="17">
    <w:abstractNumId w:val="2"/>
  </w:num>
  <w:num w:numId="18">
    <w:abstractNumId w:val="21"/>
  </w:num>
  <w:num w:numId="19">
    <w:abstractNumId w:val="44"/>
  </w:num>
  <w:num w:numId="20">
    <w:abstractNumId w:val="41"/>
  </w:num>
  <w:num w:numId="21">
    <w:abstractNumId w:val="24"/>
  </w:num>
  <w:num w:numId="22">
    <w:abstractNumId w:val="51"/>
  </w:num>
  <w:num w:numId="23">
    <w:abstractNumId w:val="39"/>
  </w:num>
  <w:num w:numId="24">
    <w:abstractNumId w:val="40"/>
  </w:num>
  <w:num w:numId="25">
    <w:abstractNumId w:val="54"/>
  </w:num>
  <w:num w:numId="26">
    <w:abstractNumId w:val="50"/>
  </w:num>
  <w:num w:numId="27">
    <w:abstractNumId w:val="4"/>
  </w:num>
  <w:num w:numId="28">
    <w:abstractNumId w:val="22"/>
  </w:num>
  <w:num w:numId="29">
    <w:abstractNumId w:val="53"/>
  </w:num>
  <w:num w:numId="30">
    <w:abstractNumId w:val="49"/>
  </w:num>
  <w:num w:numId="31">
    <w:abstractNumId w:val="42"/>
  </w:num>
  <w:num w:numId="32">
    <w:abstractNumId w:val="14"/>
  </w:num>
  <w:num w:numId="33">
    <w:abstractNumId w:val="3"/>
  </w:num>
  <w:num w:numId="34">
    <w:abstractNumId w:val="36"/>
  </w:num>
  <w:num w:numId="35">
    <w:abstractNumId w:val="17"/>
  </w:num>
  <w:num w:numId="36">
    <w:abstractNumId w:val="16"/>
  </w:num>
  <w:num w:numId="37">
    <w:abstractNumId w:val="19"/>
  </w:num>
  <w:num w:numId="38">
    <w:abstractNumId w:val="5"/>
  </w:num>
  <w:num w:numId="39">
    <w:abstractNumId w:val="38"/>
  </w:num>
  <w:num w:numId="40">
    <w:abstractNumId w:val="9"/>
  </w:num>
  <w:num w:numId="41">
    <w:abstractNumId w:val="37"/>
  </w:num>
  <w:num w:numId="42">
    <w:abstractNumId w:val="31"/>
  </w:num>
  <w:num w:numId="43">
    <w:abstractNumId w:val="6"/>
  </w:num>
  <w:num w:numId="44">
    <w:abstractNumId w:val="7"/>
  </w:num>
  <w:num w:numId="45">
    <w:abstractNumId w:val="1"/>
  </w:num>
  <w:num w:numId="46">
    <w:abstractNumId w:val="11"/>
  </w:num>
  <w:num w:numId="47">
    <w:abstractNumId w:val="15"/>
  </w:num>
  <w:num w:numId="48">
    <w:abstractNumId w:val="48"/>
  </w:num>
  <w:num w:numId="49">
    <w:abstractNumId w:val="33"/>
  </w:num>
  <w:num w:numId="50">
    <w:abstractNumId w:val="18"/>
  </w:num>
  <w:num w:numId="51">
    <w:abstractNumId w:val="35"/>
  </w:num>
  <w:num w:numId="52">
    <w:abstractNumId w:val="43"/>
  </w:num>
  <w:num w:numId="53">
    <w:abstractNumId w:val="8"/>
  </w:num>
  <w:num w:numId="54">
    <w:abstractNumId w:val="28"/>
  </w:num>
  <w:num w:numId="55">
    <w:abstractNumId w:val="45"/>
  </w:num>
  <w:num w:numId="56">
    <w:abstractNumId w:val="47"/>
  </w:num>
  <w:num w:numId="5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9A3"/>
    <w:rsid w:val="00004F1F"/>
    <w:rsid w:val="00007592"/>
    <w:rsid w:val="00015505"/>
    <w:rsid w:val="00023EFA"/>
    <w:rsid w:val="00043C50"/>
    <w:rsid w:val="000724C0"/>
    <w:rsid w:val="000B460D"/>
    <w:rsid w:val="000D1F75"/>
    <w:rsid w:val="001250D7"/>
    <w:rsid w:val="00127CB9"/>
    <w:rsid w:val="001314C1"/>
    <w:rsid w:val="001325B2"/>
    <w:rsid w:val="00134A9B"/>
    <w:rsid w:val="00135DFD"/>
    <w:rsid w:val="00154C28"/>
    <w:rsid w:val="00155D93"/>
    <w:rsid w:val="001611F8"/>
    <w:rsid w:val="0017020B"/>
    <w:rsid w:val="001739A0"/>
    <w:rsid w:val="001925AB"/>
    <w:rsid w:val="001927F0"/>
    <w:rsid w:val="001C0B13"/>
    <w:rsid w:val="001C678F"/>
    <w:rsid w:val="001D4856"/>
    <w:rsid w:val="001D65A7"/>
    <w:rsid w:val="0020342D"/>
    <w:rsid w:val="002118B4"/>
    <w:rsid w:val="00212E04"/>
    <w:rsid w:val="00214AD9"/>
    <w:rsid w:val="002331B5"/>
    <w:rsid w:val="00237C3A"/>
    <w:rsid w:val="002640E7"/>
    <w:rsid w:val="002677EB"/>
    <w:rsid w:val="0028758F"/>
    <w:rsid w:val="002A1273"/>
    <w:rsid w:val="002A6738"/>
    <w:rsid w:val="002C0159"/>
    <w:rsid w:val="002C0D72"/>
    <w:rsid w:val="002C2A63"/>
    <w:rsid w:val="002D0C52"/>
    <w:rsid w:val="003029A2"/>
    <w:rsid w:val="003166AE"/>
    <w:rsid w:val="00321923"/>
    <w:rsid w:val="00322313"/>
    <w:rsid w:val="00324E6D"/>
    <w:rsid w:val="00327925"/>
    <w:rsid w:val="003319A9"/>
    <w:rsid w:val="003379C4"/>
    <w:rsid w:val="003420CF"/>
    <w:rsid w:val="00362210"/>
    <w:rsid w:val="0036675E"/>
    <w:rsid w:val="003752AE"/>
    <w:rsid w:val="00382BD1"/>
    <w:rsid w:val="00391E16"/>
    <w:rsid w:val="0039684D"/>
    <w:rsid w:val="003B0847"/>
    <w:rsid w:val="003D23B1"/>
    <w:rsid w:val="003E2F48"/>
    <w:rsid w:val="0040078A"/>
    <w:rsid w:val="00435EBE"/>
    <w:rsid w:val="00457034"/>
    <w:rsid w:val="00466248"/>
    <w:rsid w:val="00472847"/>
    <w:rsid w:val="004746CA"/>
    <w:rsid w:val="004758C4"/>
    <w:rsid w:val="00490720"/>
    <w:rsid w:val="00490BF7"/>
    <w:rsid w:val="00492D5A"/>
    <w:rsid w:val="0049416A"/>
    <w:rsid w:val="0049677B"/>
    <w:rsid w:val="00497D80"/>
    <w:rsid w:val="004A3306"/>
    <w:rsid w:val="004C2974"/>
    <w:rsid w:val="004D2D2C"/>
    <w:rsid w:val="004E1668"/>
    <w:rsid w:val="004E36AB"/>
    <w:rsid w:val="004E687D"/>
    <w:rsid w:val="004F1850"/>
    <w:rsid w:val="004F1950"/>
    <w:rsid w:val="004F48F5"/>
    <w:rsid w:val="0050318C"/>
    <w:rsid w:val="00503BAB"/>
    <w:rsid w:val="00531243"/>
    <w:rsid w:val="00545990"/>
    <w:rsid w:val="00574A4A"/>
    <w:rsid w:val="00576EF3"/>
    <w:rsid w:val="00585FF7"/>
    <w:rsid w:val="005B1089"/>
    <w:rsid w:val="005C42F5"/>
    <w:rsid w:val="005D0398"/>
    <w:rsid w:val="005D5FE6"/>
    <w:rsid w:val="005E1765"/>
    <w:rsid w:val="00601DFF"/>
    <w:rsid w:val="00620968"/>
    <w:rsid w:val="00624019"/>
    <w:rsid w:val="00627552"/>
    <w:rsid w:val="00633165"/>
    <w:rsid w:val="00661319"/>
    <w:rsid w:val="00680D76"/>
    <w:rsid w:val="00697384"/>
    <w:rsid w:val="006A1559"/>
    <w:rsid w:val="006B1C1D"/>
    <w:rsid w:val="006B4FF5"/>
    <w:rsid w:val="006C22C0"/>
    <w:rsid w:val="006C26F7"/>
    <w:rsid w:val="006D03AA"/>
    <w:rsid w:val="006D3D05"/>
    <w:rsid w:val="006E089B"/>
    <w:rsid w:val="006F2177"/>
    <w:rsid w:val="006F742B"/>
    <w:rsid w:val="00701E91"/>
    <w:rsid w:val="007049CF"/>
    <w:rsid w:val="007147C6"/>
    <w:rsid w:val="0071767C"/>
    <w:rsid w:val="00724BFB"/>
    <w:rsid w:val="00732D97"/>
    <w:rsid w:val="00740707"/>
    <w:rsid w:val="0075442A"/>
    <w:rsid w:val="007701F6"/>
    <w:rsid w:val="00770A7C"/>
    <w:rsid w:val="00783D3A"/>
    <w:rsid w:val="007B5B46"/>
    <w:rsid w:val="007C50F0"/>
    <w:rsid w:val="007C5BDA"/>
    <w:rsid w:val="007C63CC"/>
    <w:rsid w:val="007F047A"/>
    <w:rsid w:val="007F77F6"/>
    <w:rsid w:val="00802853"/>
    <w:rsid w:val="00830825"/>
    <w:rsid w:val="0083613E"/>
    <w:rsid w:val="00844FE0"/>
    <w:rsid w:val="00863329"/>
    <w:rsid w:val="008D2D67"/>
    <w:rsid w:val="008E0E91"/>
    <w:rsid w:val="008F76DD"/>
    <w:rsid w:val="0090146C"/>
    <w:rsid w:val="00901C21"/>
    <w:rsid w:val="009047C6"/>
    <w:rsid w:val="00910B15"/>
    <w:rsid w:val="00920767"/>
    <w:rsid w:val="0092189C"/>
    <w:rsid w:val="00942A92"/>
    <w:rsid w:val="00952AC9"/>
    <w:rsid w:val="00962BB0"/>
    <w:rsid w:val="00963CF7"/>
    <w:rsid w:val="009712D2"/>
    <w:rsid w:val="009845C7"/>
    <w:rsid w:val="00992DC8"/>
    <w:rsid w:val="009B2FAE"/>
    <w:rsid w:val="009B3794"/>
    <w:rsid w:val="009B7E4D"/>
    <w:rsid w:val="009D4BC9"/>
    <w:rsid w:val="00A211C2"/>
    <w:rsid w:val="00A37B0E"/>
    <w:rsid w:val="00A5645D"/>
    <w:rsid w:val="00A745F0"/>
    <w:rsid w:val="00A86D3A"/>
    <w:rsid w:val="00A9109D"/>
    <w:rsid w:val="00A921F8"/>
    <w:rsid w:val="00A92CAB"/>
    <w:rsid w:val="00AA4B54"/>
    <w:rsid w:val="00AB6D2B"/>
    <w:rsid w:val="00AD232C"/>
    <w:rsid w:val="00AE7154"/>
    <w:rsid w:val="00B01B29"/>
    <w:rsid w:val="00B0499F"/>
    <w:rsid w:val="00B15527"/>
    <w:rsid w:val="00B15B83"/>
    <w:rsid w:val="00B16B01"/>
    <w:rsid w:val="00B326DC"/>
    <w:rsid w:val="00B655C6"/>
    <w:rsid w:val="00B70FF5"/>
    <w:rsid w:val="00B85657"/>
    <w:rsid w:val="00B91FFF"/>
    <w:rsid w:val="00B94F51"/>
    <w:rsid w:val="00BA1A0C"/>
    <w:rsid w:val="00BA3497"/>
    <w:rsid w:val="00BA4734"/>
    <w:rsid w:val="00BA52BA"/>
    <w:rsid w:val="00BB366A"/>
    <w:rsid w:val="00BC42BA"/>
    <w:rsid w:val="00BE4DE6"/>
    <w:rsid w:val="00BF38C0"/>
    <w:rsid w:val="00BF609D"/>
    <w:rsid w:val="00C04041"/>
    <w:rsid w:val="00C042EA"/>
    <w:rsid w:val="00C05302"/>
    <w:rsid w:val="00C146B4"/>
    <w:rsid w:val="00C1623E"/>
    <w:rsid w:val="00C1688C"/>
    <w:rsid w:val="00C16B79"/>
    <w:rsid w:val="00C74B86"/>
    <w:rsid w:val="00C75BA0"/>
    <w:rsid w:val="00C8038D"/>
    <w:rsid w:val="00C86BDC"/>
    <w:rsid w:val="00CA3DA6"/>
    <w:rsid w:val="00CC110B"/>
    <w:rsid w:val="00CC7371"/>
    <w:rsid w:val="00CD36E7"/>
    <w:rsid w:val="00CE3870"/>
    <w:rsid w:val="00CE5AA9"/>
    <w:rsid w:val="00CE6CA6"/>
    <w:rsid w:val="00CE7E61"/>
    <w:rsid w:val="00CF1556"/>
    <w:rsid w:val="00D2358B"/>
    <w:rsid w:val="00D31AE5"/>
    <w:rsid w:val="00D33CEB"/>
    <w:rsid w:val="00D3536A"/>
    <w:rsid w:val="00D45DFB"/>
    <w:rsid w:val="00D46313"/>
    <w:rsid w:val="00D50D8E"/>
    <w:rsid w:val="00D67D41"/>
    <w:rsid w:val="00D74B86"/>
    <w:rsid w:val="00D84F6F"/>
    <w:rsid w:val="00D87C46"/>
    <w:rsid w:val="00D92E1D"/>
    <w:rsid w:val="00D97F40"/>
    <w:rsid w:val="00DA4C40"/>
    <w:rsid w:val="00DA726D"/>
    <w:rsid w:val="00DD3967"/>
    <w:rsid w:val="00DE3761"/>
    <w:rsid w:val="00DE3A45"/>
    <w:rsid w:val="00DE5C50"/>
    <w:rsid w:val="00E06481"/>
    <w:rsid w:val="00E203FA"/>
    <w:rsid w:val="00E259CE"/>
    <w:rsid w:val="00E34A1F"/>
    <w:rsid w:val="00E37AA7"/>
    <w:rsid w:val="00E524C2"/>
    <w:rsid w:val="00E658FE"/>
    <w:rsid w:val="00E67EBD"/>
    <w:rsid w:val="00E8658B"/>
    <w:rsid w:val="00E961D2"/>
    <w:rsid w:val="00E962DB"/>
    <w:rsid w:val="00EB744B"/>
    <w:rsid w:val="00EC6687"/>
    <w:rsid w:val="00ED05FF"/>
    <w:rsid w:val="00ED18EA"/>
    <w:rsid w:val="00ED6F4D"/>
    <w:rsid w:val="00EE373D"/>
    <w:rsid w:val="00EE3BED"/>
    <w:rsid w:val="00EE529C"/>
    <w:rsid w:val="00EF626C"/>
    <w:rsid w:val="00F1609E"/>
    <w:rsid w:val="00F34A1B"/>
    <w:rsid w:val="00F3799B"/>
    <w:rsid w:val="00F4076D"/>
    <w:rsid w:val="00F4221E"/>
    <w:rsid w:val="00F44D7C"/>
    <w:rsid w:val="00F6447A"/>
    <w:rsid w:val="00F675BA"/>
    <w:rsid w:val="00F72DD1"/>
    <w:rsid w:val="00F74A82"/>
    <w:rsid w:val="00F833A6"/>
    <w:rsid w:val="00F90D1A"/>
    <w:rsid w:val="00F92604"/>
    <w:rsid w:val="00F95E7E"/>
    <w:rsid w:val="00FA0F76"/>
    <w:rsid w:val="00FA1F9C"/>
    <w:rsid w:val="00FF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qFormat/>
    <w:rsid w:val="00585FF7"/>
    <w:pPr>
      <w:keepNext/>
      <w:widowControl/>
      <w:autoSpaceDE/>
      <w:autoSpaceDN/>
      <w:adjustRightInd/>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B0499F"/>
    <w:rPr>
      <w:sz w:val="16"/>
      <w:szCs w:val="16"/>
    </w:rPr>
  </w:style>
  <w:style w:type="paragraph" w:styleId="CommentText">
    <w:name w:val="annotation text"/>
    <w:basedOn w:val="Normal"/>
    <w:link w:val="CommentTextChar"/>
    <w:rsid w:val="00B0499F"/>
    <w:rPr>
      <w:szCs w:val="20"/>
    </w:rPr>
  </w:style>
  <w:style w:type="character" w:customStyle="1" w:styleId="CommentTextChar">
    <w:name w:val="Comment Text Char"/>
    <w:basedOn w:val="DefaultParagraphFont"/>
    <w:link w:val="CommentText"/>
    <w:rsid w:val="00B0499F"/>
  </w:style>
  <w:style w:type="paragraph" w:styleId="CommentSubject">
    <w:name w:val="annotation subject"/>
    <w:basedOn w:val="CommentText"/>
    <w:next w:val="CommentText"/>
    <w:link w:val="CommentSubjectChar"/>
    <w:rsid w:val="00B0499F"/>
    <w:rPr>
      <w:b/>
      <w:bCs/>
    </w:rPr>
  </w:style>
  <w:style w:type="character" w:customStyle="1" w:styleId="CommentSubjectChar">
    <w:name w:val="Comment Subject Char"/>
    <w:basedOn w:val="CommentTextChar"/>
    <w:link w:val="CommentSubject"/>
    <w:rsid w:val="00B0499F"/>
    <w:rPr>
      <w:b/>
      <w:bCs/>
    </w:rPr>
  </w:style>
  <w:style w:type="character" w:customStyle="1" w:styleId="Heading2Char">
    <w:name w:val="Heading 2 Char"/>
    <w:basedOn w:val="DefaultParagraphFont"/>
    <w:link w:val="Heading2"/>
    <w:rsid w:val="00585FF7"/>
    <w:rPr>
      <w:rFonts w:ascii="Arial" w:hAnsi="Arial"/>
      <w:b/>
      <w:bCs/>
      <w:i/>
      <w:iCs/>
      <w:sz w:val="28"/>
      <w:szCs w:val="28"/>
      <w:lang w:val="x-none" w:eastAsia="x-none"/>
    </w:rPr>
  </w:style>
  <w:style w:type="paragraph" w:styleId="NormalWeb">
    <w:name w:val="Normal (Web)"/>
    <w:basedOn w:val="Normal"/>
    <w:rsid w:val="00952AC9"/>
    <w:pPr>
      <w:widowControl/>
      <w:autoSpaceDE/>
      <w:autoSpaceDN/>
      <w:adjustRightInd/>
      <w:spacing w:before="100" w:beforeAutospacing="1" w:after="100" w:afterAutospacing="1"/>
    </w:pPr>
    <w:rPr>
      <w:sz w:val="24"/>
    </w:rPr>
  </w:style>
  <w:style w:type="paragraph" w:styleId="Revision">
    <w:name w:val="Revision"/>
    <w:hidden/>
    <w:uiPriority w:val="99"/>
    <w:semiHidden/>
    <w:rsid w:val="00C1688C"/>
    <w:rPr>
      <w:szCs w:val="24"/>
    </w:rPr>
  </w:style>
  <w:style w:type="character" w:styleId="FollowedHyperlink">
    <w:name w:val="FollowedHyperlink"/>
    <w:basedOn w:val="DefaultParagraphFont"/>
    <w:rsid w:val="00B15527"/>
    <w:rPr>
      <w:color w:val="800080" w:themeColor="followedHyperlink"/>
      <w:u w:val="single"/>
    </w:rPr>
  </w:style>
  <w:style w:type="table" w:customStyle="1" w:styleId="TableGrid1">
    <w:name w:val="Table Grid1"/>
    <w:basedOn w:val="TableNormal"/>
    <w:next w:val="TableGrid"/>
    <w:uiPriority w:val="59"/>
    <w:rsid w:val="002C0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2604"/>
    <w:pPr>
      <w:tabs>
        <w:tab w:val="center" w:pos="4680"/>
        <w:tab w:val="right" w:pos="9360"/>
      </w:tabs>
    </w:pPr>
  </w:style>
  <w:style w:type="character" w:customStyle="1" w:styleId="HeaderChar">
    <w:name w:val="Header Char"/>
    <w:basedOn w:val="DefaultParagraphFont"/>
    <w:link w:val="Header"/>
    <w:rsid w:val="00F92604"/>
    <w:rPr>
      <w:szCs w:val="24"/>
    </w:rPr>
  </w:style>
  <w:style w:type="paragraph" w:styleId="Footer">
    <w:name w:val="footer"/>
    <w:basedOn w:val="Normal"/>
    <w:link w:val="FooterChar"/>
    <w:rsid w:val="00F92604"/>
    <w:pPr>
      <w:tabs>
        <w:tab w:val="center" w:pos="4680"/>
        <w:tab w:val="right" w:pos="9360"/>
      </w:tabs>
    </w:pPr>
  </w:style>
  <w:style w:type="character" w:customStyle="1" w:styleId="FooterChar">
    <w:name w:val="Footer Char"/>
    <w:basedOn w:val="DefaultParagraphFont"/>
    <w:link w:val="Footer"/>
    <w:rsid w:val="00F92604"/>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qFormat/>
    <w:rsid w:val="00585FF7"/>
    <w:pPr>
      <w:keepNext/>
      <w:widowControl/>
      <w:autoSpaceDE/>
      <w:autoSpaceDN/>
      <w:adjustRightInd/>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B0499F"/>
    <w:rPr>
      <w:sz w:val="16"/>
      <w:szCs w:val="16"/>
    </w:rPr>
  </w:style>
  <w:style w:type="paragraph" w:styleId="CommentText">
    <w:name w:val="annotation text"/>
    <w:basedOn w:val="Normal"/>
    <w:link w:val="CommentTextChar"/>
    <w:rsid w:val="00B0499F"/>
    <w:rPr>
      <w:szCs w:val="20"/>
    </w:rPr>
  </w:style>
  <w:style w:type="character" w:customStyle="1" w:styleId="CommentTextChar">
    <w:name w:val="Comment Text Char"/>
    <w:basedOn w:val="DefaultParagraphFont"/>
    <w:link w:val="CommentText"/>
    <w:rsid w:val="00B0499F"/>
  </w:style>
  <w:style w:type="paragraph" w:styleId="CommentSubject">
    <w:name w:val="annotation subject"/>
    <w:basedOn w:val="CommentText"/>
    <w:next w:val="CommentText"/>
    <w:link w:val="CommentSubjectChar"/>
    <w:rsid w:val="00B0499F"/>
    <w:rPr>
      <w:b/>
      <w:bCs/>
    </w:rPr>
  </w:style>
  <w:style w:type="character" w:customStyle="1" w:styleId="CommentSubjectChar">
    <w:name w:val="Comment Subject Char"/>
    <w:basedOn w:val="CommentTextChar"/>
    <w:link w:val="CommentSubject"/>
    <w:rsid w:val="00B0499F"/>
    <w:rPr>
      <w:b/>
      <w:bCs/>
    </w:rPr>
  </w:style>
  <w:style w:type="character" w:customStyle="1" w:styleId="Heading2Char">
    <w:name w:val="Heading 2 Char"/>
    <w:basedOn w:val="DefaultParagraphFont"/>
    <w:link w:val="Heading2"/>
    <w:rsid w:val="00585FF7"/>
    <w:rPr>
      <w:rFonts w:ascii="Arial" w:hAnsi="Arial"/>
      <w:b/>
      <w:bCs/>
      <w:i/>
      <w:iCs/>
      <w:sz w:val="28"/>
      <w:szCs w:val="28"/>
      <w:lang w:val="x-none" w:eastAsia="x-none"/>
    </w:rPr>
  </w:style>
  <w:style w:type="paragraph" w:styleId="NormalWeb">
    <w:name w:val="Normal (Web)"/>
    <w:basedOn w:val="Normal"/>
    <w:rsid w:val="00952AC9"/>
    <w:pPr>
      <w:widowControl/>
      <w:autoSpaceDE/>
      <w:autoSpaceDN/>
      <w:adjustRightInd/>
      <w:spacing w:before="100" w:beforeAutospacing="1" w:after="100" w:afterAutospacing="1"/>
    </w:pPr>
    <w:rPr>
      <w:sz w:val="24"/>
    </w:rPr>
  </w:style>
  <w:style w:type="paragraph" w:styleId="Revision">
    <w:name w:val="Revision"/>
    <w:hidden/>
    <w:uiPriority w:val="99"/>
    <w:semiHidden/>
    <w:rsid w:val="00C1688C"/>
    <w:rPr>
      <w:szCs w:val="24"/>
    </w:rPr>
  </w:style>
  <w:style w:type="character" w:styleId="FollowedHyperlink">
    <w:name w:val="FollowedHyperlink"/>
    <w:basedOn w:val="DefaultParagraphFont"/>
    <w:rsid w:val="00B15527"/>
    <w:rPr>
      <w:color w:val="800080" w:themeColor="followedHyperlink"/>
      <w:u w:val="single"/>
    </w:rPr>
  </w:style>
  <w:style w:type="table" w:customStyle="1" w:styleId="TableGrid1">
    <w:name w:val="Table Grid1"/>
    <w:basedOn w:val="TableNormal"/>
    <w:next w:val="TableGrid"/>
    <w:uiPriority w:val="59"/>
    <w:rsid w:val="002C0D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2604"/>
    <w:pPr>
      <w:tabs>
        <w:tab w:val="center" w:pos="4680"/>
        <w:tab w:val="right" w:pos="9360"/>
      </w:tabs>
    </w:pPr>
  </w:style>
  <w:style w:type="character" w:customStyle="1" w:styleId="HeaderChar">
    <w:name w:val="Header Char"/>
    <w:basedOn w:val="DefaultParagraphFont"/>
    <w:link w:val="Header"/>
    <w:rsid w:val="00F92604"/>
    <w:rPr>
      <w:szCs w:val="24"/>
    </w:rPr>
  </w:style>
  <w:style w:type="paragraph" w:styleId="Footer">
    <w:name w:val="footer"/>
    <w:basedOn w:val="Normal"/>
    <w:link w:val="FooterChar"/>
    <w:rsid w:val="00F92604"/>
    <w:pPr>
      <w:tabs>
        <w:tab w:val="center" w:pos="4680"/>
        <w:tab w:val="right" w:pos="9360"/>
      </w:tabs>
    </w:pPr>
  </w:style>
  <w:style w:type="character" w:customStyle="1" w:styleId="FooterChar">
    <w:name w:val="Footer Char"/>
    <w:basedOn w:val="DefaultParagraphFont"/>
    <w:link w:val="Footer"/>
    <w:rsid w:val="00F9260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762185">
      <w:bodyDiv w:val="1"/>
      <w:marLeft w:val="60"/>
      <w:marRight w:val="60"/>
      <w:marTop w:val="60"/>
      <w:marBottom w:val="15"/>
      <w:divBdr>
        <w:top w:val="none" w:sz="0" w:space="0" w:color="auto"/>
        <w:left w:val="none" w:sz="0" w:space="0" w:color="auto"/>
        <w:bottom w:val="none" w:sz="0" w:space="0" w:color="auto"/>
        <w:right w:val="none" w:sz="0" w:space="0" w:color="auto"/>
      </w:divBdr>
      <w:divsChild>
        <w:div w:id="15037650">
          <w:marLeft w:val="0"/>
          <w:marRight w:val="0"/>
          <w:marTop w:val="0"/>
          <w:marBottom w:val="0"/>
          <w:divBdr>
            <w:top w:val="none" w:sz="0" w:space="0" w:color="auto"/>
            <w:left w:val="none" w:sz="0" w:space="0" w:color="auto"/>
            <w:bottom w:val="none" w:sz="0" w:space="0" w:color="auto"/>
            <w:right w:val="none" w:sz="0" w:space="0" w:color="auto"/>
          </w:divBdr>
        </w:div>
      </w:divsChild>
    </w:div>
    <w:div w:id="1238784575">
      <w:bodyDiv w:val="1"/>
      <w:marLeft w:val="60"/>
      <w:marRight w:val="60"/>
      <w:marTop w:val="60"/>
      <w:marBottom w:val="15"/>
      <w:divBdr>
        <w:top w:val="none" w:sz="0" w:space="0" w:color="auto"/>
        <w:left w:val="none" w:sz="0" w:space="0" w:color="auto"/>
        <w:bottom w:val="none" w:sz="0" w:space="0" w:color="auto"/>
        <w:right w:val="none" w:sz="0" w:space="0" w:color="auto"/>
      </w:divBdr>
    </w:div>
    <w:div w:id="1815561214">
      <w:bodyDiv w:val="1"/>
      <w:marLeft w:val="0"/>
      <w:marRight w:val="0"/>
      <w:marTop w:val="0"/>
      <w:marBottom w:val="0"/>
      <w:divBdr>
        <w:top w:val="none" w:sz="0" w:space="0" w:color="auto"/>
        <w:left w:val="none" w:sz="0" w:space="0" w:color="auto"/>
        <w:bottom w:val="none" w:sz="0" w:space="0" w:color="auto"/>
        <w:right w:val="none" w:sz="0" w:space="0" w:color="auto"/>
      </w:divBdr>
    </w:div>
    <w:div w:id="20006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ren.mark@cdph.c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ophy.wong@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Clanon@acgov.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wells@crine.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mgoldrosen@bphc.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811EE53-8427-4205-8782-1F46861A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3389</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22535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2</cp:revision>
  <cp:lastPrinted>2013-05-28T21:30:00Z</cp:lastPrinted>
  <dcterms:created xsi:type="dcterms:W3CDTF">2013-06-25T18:57:00Z</dcterms:created>
  <dcterms:modified xsi:type="dcterms:W3CDTF">2013-06-25T18:57:00Z</dcterms:modified>
</cp:coreProperties>
</file>