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EAF" w:rsidRPr="00233EAF" w:rsidRDefault="009E0BA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lang w:val="en-CA"/>
        </w:rPr>
        <w:fldChar w:fldCharType="begin"/>
      </w:r>
      <w:r w:rsidR="00233EAF" w:rsidRPr="00233EAF">
        <w:rPr>
          <w:rFonts w:ascii="Arial" w:hAnsi="Arial" w:cs="Arial"/>
          <w:sz w:val="24"/>
          <w:szCs w:val="24"/>
          <w:lang w:val="en-CA"/>
        </w:rPr>
        <w:instrText xml:space="preserve"> SEQ CHAPTER \h \r 1</w:instrText>
      </w:r>
      <w:r w:rsidRPr="00233EAF">
        <w:rPr>
          <w:rFonts w:ascii="Arial" w:hAnsi="Arial" w:cs="Arial"/>
          <w:sz w:val="24"/>
          <w:szCs w:val="24"/>
          <w:lang w:val="en-CA"/>
        </w:rPr>
        <w:fldChar w:fldCharType="end"/>
      </w:r>
      <w:r w:rsidR="00233EAF" w:rsidRPr="00233EAF">
        <w:rPr>
          <w:rFonts w:ascii="Arial" w:hAnsi="Arial" w:cs="Arial"/>
          <w:sz w:val="24"/>
          <w:szCs w:val="24"/>
        </w:rPr>
        <w:t>Supporting Statement</w:t>
      </w:r>
      <w:r w:rsidR="00964665">
        <w:rPr>
          <w:rFonts w:ascii="Arial" w:hAnsi="Arial" w:cs="Arial"/>
          <w:sz w:val="24"/>
          <w:szCs w:val="24"/>
        </w:rPr>
        <w:t xml:space="preserve"> – Part B</w:t>
      </w: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rsidRDefault="004B4AC3" w:rsidP="002B48F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4B4AC3">
        <w:rPr>
          <w:rFonts w:ascii="Arial" w:hAnsi="Arial" w:cs="Arial"/>
          <w:b/>
          <w:bCs/>
          <w:sz w:val="24"/>
          <w:szCs w:val="24"/>
        </w:rPr>
        <w:t>WHEAT &amp; BARLEY SCAB CONTROL PRACTICES SURVEY</w:t>
      </w:r>
    </w:p>
    <w:p w:rsidR="005D6C2C" w:rsidRDefault="005D6C2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rPr>
        <w:t>OMB No. 0535-</w:t>
      </w:r>
      <w:r w:rsidR="006C1A79">
        <w:rPr>
          <w:rFonts w:ascii="Arial" w:hAnsi="Arial" w:cs="Arial"/>
          <w:sz w:val="24"/>
          <w:szCs w:val="24"/>
        </w:rPr>
        <w:t>NEW</w:t>
      </w: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sz w:val="24"/>
          <w:szCs w:val="24"/>
        </w:rPr>
      </w:pPr>
      <w:r>
        <w:rPr>
          <w:rFonts w:ascii="Arial" w:hAnsi="Arial" w:cs="Arial"/>
          <w:b/>
          <w:bCs/>
          <w:sz w:val="24"/>
          <w:szCs w:val="24"/>
        </w:rPr>
        <w:t>B.</w:t>
      </w:r>
      <w:r>
        <w:rPr>
          <w:rFonts w:ascii="Arial" w:hAnsi="Arial" w:cs="Arial"/>
          <w:b/>
          <w:bCs/>
          <w:sz w:val="24"/>
          <w:szCs w:val="24"/>
        </w:rPr>
        <w:tab/>
        <w:t>COLLECTION OF INFORMATION EMPLOYING STATISTICAL METHODS</w:t>
      </w:r>
    </w:p>
    <w:p w:rsidR="00142A12" w:rsidRDefault="00142A12" w:rsidP="00142A12"/>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1.</w:t>
      </w:r>
      <w:r>
        <w:rPr>
          <w:rFonts w:ascii="Arial" w:hAnsi="Arial" w:cs="Arial"/>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4B4AC3" w:rsidRPr="004B4AC3" w:rsidRDefault="004B4AC3" w:rsidP="004B4AC3">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sidRPr="004B4AC3">
        <w:rPr>
          <w:rFonts w:ascii="Arial" w:hAnsi="Arial" w:cs="Arial"/>
          <w:sz w:val="24"/>
          <w:szCs w:val="24"/>
        </w:rPr>
        <w:t>The target population for the Wheat &amp; Barley Scab Control Practices Survey is crop producers who harvested wheat and barley for grain in the past 5 years.</w:t>
      </w:r>
    </w:p>
    <w:p w:rsidR="004B4AC3" w:rsidRPr="004B4AC3" w:rsidRDefault="004B4AC3" w:rsidP="004B4AC3">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p>
    <w:p w:rsidR="004B4AC3" w:rsidRPr="004B4AC3" w:rsidRDefault="004B4AC3" w:rsidP="004B4AC3">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sidRPr="004B4AC3">
        <w:rPr>
          <w:rFonts w:ascii="Arial" w:hAnsi="Arial" w:cs="Arial"/>
          <w:sz w:val="24"/>
          <w:szCs w:val="24"/>
        </w:rPr>
        <w:t xml:space="preserve">The crop production population will be determined by the NASS List Frame.  Operators with previously recorded crop production will be eligible for sampling.  </w:t>
      </w:r>
    </w:p>
    <w:p w:rsidR="004B4AC3" w:rsidRPr="004B4AC3" w:rsidRDefault="004B4AC3" w:rsidP="004B4AC3">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p>
    <w:p w:rsidR="004F63CF" w:rsidRPr="00964665" w:rsidRDefault="004B4AC3" w:rsidP="004B4AC3">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r w:rsidRPr="004B4AC3">
        <w:rPr>
          <w:rFonts w:ascii="Arial" w:hAnsi="Arial" w:cs="Arial"/>
          <w:sz w:val="24"/>
          <w:szCs w:val="24"/>
        </w:rPr>
        <w:t xml:space="preserve">According to the 2007 Census of Agriculture, there are about 123,000 operations which harvested wheat or barley in the seventeen States (AR, IL, IN, KS, KY, MD, MI, MN, MO, NE, NY, NC, ND, OH, PA, SD, </w:t>
      </w:r>
      <w:r w:rsidR="00C43390">
        <w:rPr>
          <w:rFonts w:ascii="Arial" w:hAnsi="Arial" w:cs="Arial"/>
          <w:sz w:val="24"/>
          <w:szCs w:val="24"/>
        </w:rPr>
        <w:t xml:space="preserve">and </w:t>
      </w:r>
      <w:r w:rsidRPr="004B4AC3">
        <w:rPr>
          <w:rFonts w:ascii="Arial" w:hAnsi="Arial" w:cs="Arial"/>
          <w:sz w:val="24"/>
          <w:szCs w:val="24"/>
        </w:rPr>
        <w:t>VA).</w:t>
      </w:r>
      <w:r w:rsidR="00126BE4">
        <w:rPr>
          <w:rFonts w:ascii="Arial" w:hAnsi="Arial" w:cs="Arial"/>
          <w:sz w:val="24"/>
          <w:szCs w:val="24"/>
        </w:rPr>
        <w:t xml:space="preserve">  Approximately 16,200 farm operations will be selected from this population.  A stratified sample will be used to represent all sizes of farms, the different varieties of wheat and barley as well as all geographic regions of each of the seventeen States.</w:t>
      </w:r>
    </w:p>
    <w:p w:rsidR="00142A12" w:rsidRPr="0096466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96466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r w:rsidRPr="00964665">
        <w:rPr>
          <w:rFonts w:ascii="Arial" w:hAnsi="Arial" w:cs="Arial"/>
          <w:b/>
          <w:bCs/>
          <w:sz w:val="24"/>
          <w:szCs w:val="24"/>
        </w:rPr>
        <w:t>2.</w:t>
      </w:r>
      <w:r w:rsidRPr="00964665">
        <w:rPr>
          <w:rFonts w:ascii="Arial" w:hAnsi="Arial" w:cs="Arial"/>
          <w:b/>
          <w:bCs/>
          <w:sz w:val="24"/>
          <w:szCs w:val="24"/>
        </w:rPr>
        <w:tab/>
        <w:t>Describe the procedures for the collection of information including:</w:t>
      </w:r>
    </w:p>
    <w:p w:rsidR="00142A12" w:rsidRPr="0096466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statistical methodology for stratification and sample selection,</w:t>
      </w:r>
    </w:p>
    <w:p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sz w:val="24"/>
        </w:rPr>
        <w:t>estimation procedure,</w:t>
      </w:r>
    </w:p>
    <w:p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8E09F6">
        <w:rPr>
          <w:rFonts w:ascii="Arial"/>
          <w:sz w:val="24"/>
        </w:rPr>
        <w:t>degree of accuracy needed for the purpose described in the justification,</w:t>
      </w:r>
    </w:p>
    <w:p w:rsidR="00142A12" w:rsidRPr="008E09F6"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roofErr w:type="gramStart"/>
      <w:r w:rsidRPr="008E09F6">
        <w:rPr>
          <w:rFonts w:ascii="Arial"/>
          <w:sz w:val="24"/>
        </w:rPr>
        <w:t>unusual</w:t>
      </w:r>
      <w:proofErr w:type="gramEnd"/>
      <w:r w:rsidRPr="008E09F6">
        <w:rPr>
          <w:rFonts w:ascii="Arial"/>
          <w:sz w:val="24"/>
        </w:rPr>
        <w:t xml:space="preserve"> problems requiring specialized sampling procedures</w:t>
      </w:r>
      <w:r>
        <w:rPr>
          <w:rFonts w:ascii="Arial"/>
          <w:sz w:val="24"/>
        </w:rPr>
        <w:t>.</w:t>
      </w: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4F63CF" w:rsidRDefault="00EC3958" w:rsidP="004F63CF">
      <w:pPr>
        <w:ind w:left="540"/>
        <w:rPr>
          <w:rFonts w:ascii="Arial"/>
          <w:sz w:val="24"/>
        </w:rPr>
      </w:pPr>
      <w:r w:rsidRPr="00EC3958">
        <w:rPr>
          <w:rFonts w:ascii="Arial"/>
          <w:sz w:val="24"/>
        </w:rPr>
        <w:t>The 16,000 cases were determined to maximize sampling rigor within budget constraints.  It was determined that the 16,000 cases would allow for 5 percent precision</w:t>
      </w:r>
      <w:r>
        <w:rPr>
          <w:rFonts w:ascii="Arial"/>
          <w:sz w:val="24"/>
        </w:rPr>
        <w:t xml:space="preserve">. </w:t>
      </w:r>
      <w:r w:rsidR="004B4AC3" w:rsidRPr="004B4AC3">
        <w:rPr>
          <w:rFonts w:ascii="Arial"/>
          <w:sz w:val="24"/>
        </w:rPr>
        <w:t>The sample will be selected so operations with barley and all wheat types (winter, durum, and other spring wheat) will be represented.</w:t>
      </w:r>
      <w:r w:rsidR="004F63CF">
        <w:rPr>
          <w:rFonts w:ascii="Arial"/>
          <w:sz w:val="24"/>
        </w:rPr>
        <w:t xml:space="preserve">  </w:t>
      </w:r>
      <w:r w:rsidR="00F602B3">
        <w:rPr>
          <w:rFonts w:ascii="Arial"/>
          <w:sz w:val="24"/>
        </w:rPr>
        <w:t xml:space="preserve">It will be selected based upon the relative acreage planted to each crop and type according </w:t>
      </w:r>
      <w:r w:rsidR="00F602B3">
        <w:rPr>
          <w:rFonts w:ascii="Arial"/>
          <w:sz w:val="24"/>
        </w:rPr>
        <w:lastRenderedPageBreak/>
        <w:t xml:space="preserve">to NASS data available in the publication </w:t>
      </w:r>
      <w:r w:rsidR="00F602B3">
        <w:rPr>
          <w:rFonts w:ascii="Arial"/>
          <w:sz w:val="24"/>
        </w:rPr>
        <w:t>“</w:t>
      </w:r>
      <w:r w:rsidR="00F602B3">
        <w:rPr>
          <w:rFonts w:ascii="Arial"/>
          <w:sz w:val="24"/>
        </w:rPr>
        <w:t>Acreage</w:t>
      </w:r>
      <w:r w:rsidR="00F602B3">
        <w:rPr>
          <w:rFonts w:ascii="Arial"/>
          <w:sz w:val="24"/>
        </w:rPr>
        <w:t>”</w:t>
      </w:r>
      <w:r w:rsidR="00F602B3">
        <w:rPr>
          <w:rFonts w:ascii="Arial"/>
          <w:sz w:val="24"/>
        </w:rPr>
        <w:t>.  An average of the past three years</w:t>
      </w:r>
      <w:r w:rsidR="00F602B3">
        <w:rPr>
          <w:rFonts w:ascii="Arial"/>
          <w:sz w:val="24"/>
        </w:rPr>
        <w:t>’</w:t>
      </w:r>
      <w:r w:rsidR="00F602B3">
        <w:rPr>
          <w:rFonts w:ascii="Arial"/>
          <w:sz w:val="24"/>
        </w:rPr>
        <w:t xml:space="preserve"> acreage data will be used to select the sample.</w:t>
      </w:r>
      <w:r w:rsidR="000A50B0">
        <w:rPr>
          <w:rFonts w:ascii="Arial"/>
          <w:sz w:val="24"/>
        </w:rPr>
        <w:t xml:space="preserve">  </w:t>
      </w:r>
      <w:r w:rsidR="000A50B0" w:rsidRPr="000D6BFE">
        <w:rPr>
          <w:rFonts w:ascii="Arial"/>
          <w:color w:val="000000" w:themeColor="text1"/>
          <w:sz w:val="24"/>
        </w:rPr>
        <w:t xml:space="preserve">The attached document, Wheat &amp; Barley Scab Sampling Methodology </w:t>
      </w:r>
      <w:r w:rsidR="000A50B0" w:rsidRPr="000D6BFE">
        <w:rPr>
          <w:rFonts w:ascii="Arial"/>
          <w:color w:val="000000" w:themeColor="text1"/>
          <w:sz w:val="24"/>
        </w:rPr>
        <w:t>–</w:t>
      </w:r>
      <w:r w:rsidR="000A50B0" w:rsidRPr="000D6BFE">
        <w:rPr>
          <w:rFonts w:ascii="Arial"/>
          <w:color w:val="000000" w:themeColor="text1"/>
          <w:sz w:val="24"/>
        </w:rPr>
        <w:t xml:space="preserve"> 2014Jan10.docx contains an analysis of the sample along with expected response.</w:t>
      </w:r>
      <w:r w:rsidR="000A50B0">
        <w:rPr>
          <w:rFonts w:ascii="Arial"/>
          <w:sz w:val="24"/>
        </w:rPr>
        <w:t xml:space="preserve"> </w:t>
      </w:r>
    </w:p>
    <w:p w:rsidR="00EC3958" w:rsidRDefault="00EC3958" w:rsidP="001C0005">
      <w:pPr>
        <w:ind w:left="540"/>
        <w:rPr>
          <w:rFonts w:ascii="Arial"/>
          <w:sz w:val="24"/>
        </w:rPr>
      </w:pPr>
    </w:p>
    <w:p w:rsidR="001C0005" w:rsidRPr="00C71CA4" w:rsidRDefault="00F602B3" w:rsidP="001C0005">
      <w:pPr>
        <w:ind w:left="540"/>
        <w:rPr>
          <w:rFonts w:ascii="Arial" w:hAnsi="Arial" w:cs="Arial"/>
          <w:sz w:val="24"/>
          <w:szCs w:val="24"/>
        </w:rPr>
      </w:pPr>
      <w:r>
        <w:rPr>
          <w:rFonts w:ascii="Arial"/>
          <w:sz w:val="24"/>
        </w:rPr>
        <w:t xml:space="preserve">The aim of the estimation technique will be to provide </w:t>
      </w:r>
      <w:r w:rsidR="000A50B0" w:rsidRPr="000D6BFE">
        <w:rPr>
          <w:rFonts w:ascii="Arial"/>
          <w:color w:val="000000" w:themeColor="text1"/>
          <w:sz w:val="24"/>
        </w:rPr>
        <w:t>state-level</w:t>
      </w:r>
      <w:r w:rsidR="000A50B0">
        <w:rPr>
          <w:rFonts w:ascii="Arial"/>
          <w:sz w:val="24"/>
        </w:rPr>
        <w:t xml:space="preserve"> </w:t>
      </w:r>
      <w:r>
        <w:rPr>
          <w:rFonts w:ascii="Arial"/>
          <w:sz w:val="24"/>
        </w:rPr>
        <w:t xml:space="preserve">estimates of the relative importance of the factors affecting farmer adoption of </w:t>
      </w:r>
      <w:r w:rsidR="000447D4">
        <w:rPr>
          <w:rFonts w:ascii="Arial"/>
          <w:sz w:val="24"/>
        </w:rPr>
        <w:t>scab control measures</w:t>
      </w:r>
      <w:r w:rsidR="001C0005">
        <w:rPr>
          <w:rFonts w:ascii="Arial"/>
          <w:sz w:val="24"/>
        </w:rPr>
        <w:t xml:space="preserve"> </w:t>
      </w:r>
      <w:r>
        <w:rPr>
          <w:rFonts w:ascii="Arial"/>
          <w:sz w:val="24"/>
        </w:rPr>
        <w:t xml:space="preserve">in the above-mentioned crops and types.  The statistical estimation procedure will </w:t>
      </w:r>
      <w:r w:rsidR="00B038FF">
        <w:rPr>
          <w:rFonts w:ascii="Arial"/>
          <w:sz w:val="24"/>
        </w:rPr>
        <w:t xml:space="preserve">be the well-established regression technique of limited dependent variable analysis.  In particular, </w:t>
      </w:r>
      <w:proofErr w:type="spellStart"/>
      <w:r w:rsidR="00B038FF">
        <w:rPr>
          <w:rFonts w:ascii="Arial"/>
          <w:sz w:val="24"/>
        </w:rPr>
        <w:t>logit</w:t>
      </w:r>
      <w:proofErr w:type="spellEnd"/>
      <w:r w:rsidR="00B038FF">
        <w:rPr>
          <w:rFonts w:ascii="Arial"/>
          <w:sz w:val="24"/>
        </w:rPr>
        <w:t xml:space="preserve"> analysis techniques will be used to estimate the importance of the roles the factors play in the probability of adoption.  We will use standard 95% confidence levels to test the statistical significance of the factors in the regression.  </w:t>
      </w:r>
      <w:r w:rsidR="001C0005">
        <w:rPr>
          <w:rFonts w:ascii="Arial" w:hAnsi="Arial" w:cs="Arial"/>
          <w:sz w:val="24"/>
          <w:szCs w:val="24"/>
        </w:rPr>
        <w:t xml:space="preserve">We anticipate no </w:t>
      </w:r>
      <w:r w:rsidR="001C0005" w:rsidRPr="008E09F6">
        <w:rPr>
          <w:rFonts w:ascii="Arial"/>
          <w:sz w:val="24"/>
        </w:rPr>
        <w:t>unusual problems requiring specialized sampling procedures</w:t>
      </w:r>
    </w:p>
    <w:p w:rsidR="003E5B53" w:rsidRPr="003E5B53" w:rsidRDefault="003E5B53" w:rsidP="00142A12">
      <w:pPr>
        <w:ind w:left="540"/>
        <w:rPr>
          <w:rFonts w:ascii="Arial"/>
          <w:b/>
          <w:color w:val="548DD4"/>
          <w:sz w:val="24"/>
        </w:rPr>
      </w:pPr>
    </w:p>
    <w:p w:rsidR="00E715D6" w:rsidRDefault="00E715D6"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3.</w:t>
      </w:r>
      <w:r>
        <w:rPr>
          <w:rFonts w:ascii="Arial" w:hAnsi="Arial" w:cs="Arial"/>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42A12" w:rsidRPr="006566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C0AF3"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56620">
        <w:rPr>
          <w:rFonts w:ascii="Arial" w:hAnsi="Arial" w:cs="Arial"/>
          <w:sz w:val="24"/>
          <w:szCs w:val="24"/>
        </w:rPr>
        <w:t>Training in refusal conversion will be given to enumerators</w:t>
      </w:r>
      <w:r w:rsidR="00656620">
        <w:rPr>
          <w:rFonts w:ascii="Arial" w:hAnsi="Arial" w:cs="Arial"/>
          <w:sz w:val="24"/>
          <w:szCs w:val="24"/>
        </w:rPr>
        <w:t>.  T</w:t>
      </w:r>
      <w:r w:rsidRPr="00656620">
        <w:rPr>
          <w:rFonts w:ascii="Arial" w:hAnsi="Arial" w:cs="Arial"/>
          <w:sz w:val="24"/>
          <w:szCs w:val="24"/>
        </w:rPr>
        <w:t>raining workshop</w:t>
      </w:r>
      <w:r w:rsidR="00656620">
        <w:rPr>
          <w:rFonts w:ascii="Arial" w:hAnsi="Arial" w:cs="Arial"/>
          <w:sz w:val="24"/>
          <w:szCs w:val="24"/>
        </w:rPr>
        <w:t>s for other surveys include</w:t>
      </w:r>
      <w:r w:rsidRPr="00656620">
        <w:rPr>
          <w:rFonts w:ascii="Arial" w:hAnsi="Arial" w:cs="Arial"/>
          <w:sz w:val="24"/>
          <w:szCs w:val="24"/>
        </w:rPr>
        <w:t xml:space="preserve"> sessions devoted to role playing for refusal conversion.  Enumerators will be provided information about the value and use of the data being requested.</w:t>
      </w:r>
    </w:p>
    <w:p w:rsidR="00CC0AF3" w:rsidRDefault="00CC0AF3"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C0005" w:rsidRPr="0023254E" w:rsidRDefault="001C0005" w:rsidP="001C000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23254E">
        <w:rPr>
          <w:rFonts w:ascii="Arial" w:hAnsi="Arial" w:cs="Arial"/>
          <w:color w:val="000000"/>
          <w:sz w:val="24"/>
          <w:szCs w:val="24"/>
        </w:rPr>
        <w:t>For handling non-responses, no imputation or donor data will be utilized.  Most of the questions are categories and/or rankings, and a reweighting technique will be used.  This will be applied at the item level, and will cover both unit nonresponse and item nonresponse in one step.  Essentially, the weights of respondents will be increased to account for the entire population (response bias is assumed to be zero).  For example, if 80 out of 100 respondents answer a question, the original weight of the 80 respondents would be multiplied by 1.25 for nonresponse adjustment and the result will be the final weight for expansion.  In cases where responses will be stratified by acres, nonresponse adjustment will be calculated within each stratum.  The results will be expressed as “of those who responded” or as a percentage of operations.</w:t>
      </w:r>
    </w:p>
    <w:p w:rsidR="00142A12" w:rsidRPr="00656620" w:rsidRDefault="00142A12" w:rsidP="001C000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27162">
        <w:rPr>
          <w:rFonts w:ascii="Arial" w:hAnsi="Arial" w:cs="Arial"/>
          <w:b/>
          <w:sz w:val="24"/>
          <w:szCs w:val="24"/>
        </w:rPr>
        <w:t>4.</w:t>
      </w:r>
      <w:r w:rsidRPr="00A27162">
        <w:rPr>
          <w:rFonts w:ascii="Arial" w:hAnsi="Arial" w:cs="Arial"/>
          <w:b/>
          <w:sz w:val="24"/>
          <w:szCs w:val="24"/>
        </w:rPr>
        <w:tab/>
        <w:t>Describe any tests of procedures or methods to be undertaken.</w:t>
      </w: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sz w:val="24"/>
          <w:szCs w:val="24"/>
        </w:rPr>
      </w:pPr>
    </w:p>
    <w:p w:rsidR="00B038FF" w:rsidRPr="0023254E" w:rsidRDefault="00D446A3"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napToGrid w:val="0"/>
          <w:color w:val="000000"/>
          <w:sz w:val="24"/>
          <w:szCs w:val="24"/>
        </w:rPr>
      </w:pPr>
      <w:r w:rsidRPr="0023254E">
        <w:rPr>
          <w:rFonts w:ascii="Arial" w:hAnsi="Arial" w:cs="Arial"/>
          <w:snapToGrid w:val="0"/>
          <w:color w:val="000000"/>
          <w:sz w:val="24"/>
          <w:szCs w:val="24"/>
        </w:rPr>
        <w:t xml:space="preserve">Limited dependent variable </w:t>
      </w:r>
      <w:r w:rsidR="00B038FF" w:rsidRPr="0023254E">
        <w:rPr>
          <w:rFonts w:ascii="Arial" w:hAnsi="Arial" w:cs="Arial"/>
          <w:snapToGrid w:val="0"/>
          <w:color w:val="000000"/>
          <w:sz w:val="24"/>
          <w:szCs w:val="24"/>
        </w:rPr>
        <w:t>regression analysis is well-established in the literature.  Many studies have used this procedure in the past</w:t>
      </w:r>
      <w:r w:rsidR="0074702A" w:rsidRPr="0023254E">
        <w:rPr>
          <w:rFonts w:ascii="Arial" w:hAnsi="Arial" w:cs="Arial"/>
          <w:snapToGrid w:val="0"/>
          <w:color w:val="000000"/>
          <w:sz w:val="24"/>
          <w:szCs w:val="24"/>
        </w:rPr>
        <w:t xml:space="preserve">, and statistical packages usually contain routines to estimate the parameters of the </w:t>
      </w:r>
      <w:proofErr w:type="spellStart"/>
      <w:r w:rsidR="0074702A" w:rsidRPr="0023254E">
        <w:rPr>
          <w:rFonts w:ascii="Arial" w:hAnsi="Arial" w:cs="Arial"/>
          <w:snapToGrid w:val="0"/>
          <w:color w:val="000000"/>
          <w:sz w:val="24"/>
          <w:szCs w:val="24"/>
        </w:rPr>
        <w:t>logit</w:t>
      </w:r>
      <w:proofErr w:type="spellEnd"/>
      <w:r w:rsidR="0074702A" w:rsidRPr="0023254E">
        <w:rPr>
          <w:rFonts w:ascii="Arial" w:hAnsi="Arial" w:cs="Arial"/>
          <w:snapToGrid w:val="0"/>
          <w:color w:val="000000"/>
          <w:sz w:val="24"/>
          <w:szCs w:val="24"/>
        </w:rPr>
        <w:t xml:space="preserve"> model.  Some of </w:t>
      </w:r>
      <w:r w:rsidR="0074702A" w:rsidRPr="0023254E">
        <w:rPr>
          <w:rFonts w:ascii="Arial" w:hAnsi="Arial" w:cs="Arial"/>
          <w:snapToGrid w:val="0"/>
          <w:color w:val="000000"/>
          <w:sz w:val="24"/>
          <w:szCs w:val="24"/>
        </w:rPr>
        <w:lastRenderedPageBreak/>
        <w:t>the studies published in the peer-reviewed literature include:</w:t>
      </w:r>
    </w:p>
    <w:p w:rsidR="0074702A" w:rsidRDefault="0074702A"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napToGrid w:val="0"/>
          <w:color w:val="FF0000"/>
          <w:sz w:val="24"/>
          <w:szCs w:val="24"/>
        </w:rPr>
      </w:pPr>
    </w:p>
    <w:p w:rsidR="007A55A5" w:rsidRPr="00D446A3" w:rsidRDefault="007A55A5" w:rsidP="00D446A3">
      <w:pPr>
        <w:widowControl/>
        <w:ind w:left="576"/>
        <w:rPr>
          <w:rFonts w:ascii="Arial" w:hAnsi="Arial" w:cs="Arial"/>
        </w:rPr>
      </w:pPr>
      <w:r w:rsidRPr="00D446A3">
        <w:rPr>
          <w:rFonts w:ascii="Arial" w:hAnsi="Arial" w:cs="Arial"/>
        </w:rPr>
        <w:t xml:space="preserve">Bhattacharyya, A., Harris, T.R., </w:t>
      </w:r>
      <w:proofErr w:type="spellStart"/>
      <w:r w:rsidRPr="00D446A3">
        <w:rPr>
          <w:rFonts w:ascii="Arial" w:hAnsi="Arial" w:cs="Arial"/>
        </w:rPr>
        <w:t>Kvanicka</w:t>
      </w:r>
      <w:proofErr w:type="spellEnd"/>
      <w:r w:rsidRPr="00D446A3">
        <w:rPr>
          <w:rFonts w:ascii="Arial" w:hAnsi="Arial" w:cs="Arial"/>
        </w:rPr>
        <w:t xml:space="preserve">, W.G., </w:t>
      </w:r>
      <w:proofErr w:type="spellStart"/>
      <w:r w:rsidRPr="00D446A3">
        <w:rPr>
          <w:rFonts w:ascii="Arial" w:hAnsi="Arial" w:cs="Arial"/>
        </w:rPr>
        <w:t>Veserat</w:t>
      </w:r>
      <w:proofErr w:type="spellEnd"/>
      <w:r w:rsidRPr="00D446A3">
        <w:rPr>
          <w:rFonts w:ascii="Arial" w:hAnsi="Arial" w:cs="Arial"/>
        </w:rPr>
        <w:t>, G.M., 1997. Factors influencing rates of</w:t>
      </w:r>
    </w:p>
    <w:p w:rsidR="007A55A5" w:rsidRPr="00D446A3" w:rsidRDefault="007A55A5" w:rsidP="00D446A3">
      <w:pPr>
        <w:widowControl/>
        <w:ind w:left="576"/>
        <w:rPr>
          <w:rFonts w:ascii="Arial" w:hAnsi="Arial" w:cs="Arial"/>
        </w:rPr>
      </w:pPr>
      <w:proofErr w:type="gramStart"/>
      <w:r w:rsidRPr="00D446A3">
        <w:rPr>
          <w:rFonts w:ascii="Arial" w:hAnsi="Arial" w:cs="Arial"/>
        </w:rPr>
        <w:t>adoption</w:t>
      </w:r>
      <w:proofErr w:type="gramEnd"/>
      <w:r w:rsidRPr="00D446A3">
        <w:rPr>
          <w:rFonts w:ascii="Arial" w:hAnsi="Arial" w:cs="Arial"/>
        </w:rPr>
        <w:t xml:space="preserve"> of </w:t>
      </w:r>
      <w:proofErr w:type="spellStart"/>
      <w:r w:rsidRPr="00D446A3">
        <w:rPr>
          <w:rFonts w:ascii="Arial" w:hAnsi="Arial" w:cs="Arial"/>
        </w:rPr>
        <w:t>Trichomoniasis</w:t>
      </w:r>
      <w:proofErr w:type="spellEnd"/>
      <w:r w:rsidRPr="00D446A3">
        <w:rPr>
          <w:rFonts w:ascii="Arial" w:hAnsi="Arial" w:cs="Arial"/>
        </w:rPr>
        <w:t xml:space="preserve"> vaccine by Nevada range cattle producers. Journal of Agricultural and</w:t>
      </w:r>
    </w:p>
    <w:p w:rsidR="007A55A5" w:rsidRPr="00D446A3" w:rsidRDefault="007A55A5" w:rsidP="00D446A3">
      <w:pPr>
        <w:widowControl/>
        <w:ind w:left="576"/>
        <w:rPr>
          <w:rFonts w:ascii="Arial" w:hAnsi="Arial" w:cs="Arial"/>
        </w:rPr>
      </w:pPr>
      <w:r w:rsidRPr="00D446A3">
        <w:rPr>
          <w:rFonts w:ascii="Arial" w:hAnsi="Arial" w:cs="Arial"/>
        </w:rPr>
        <w:t>Resource Economics 22, 174–190.</w:t>
      </w:r>
    </w:p>
    <w:p w:rsidR="007A55A5" w:rsidRPr="00D446A3" w:rsidRDefault="007A55A5" w:rsidP="00D446A3">
      <w:pPr>
        <w:widowControl/>
        <w:ind w:left="576"/>
        <w:rPr>
          <w:rFonts w:ascii="Arial" w:hAnsi="Arial" w:cs="Arial"/>
        </w:rPr>
      </w:pPr>
      <w:r w:rsidRPr="00D446A3">
        <w:rPr>
          <w:rFonts w:ascii="Arial" w:hAnsi="Arial" w:cs="Arial"/>
        </w:rPr>
        <w:t xml:space="preserve">Bosch, D.J., Cook, Z.L., </w:t>
      </w:r>
      <w:proofErr w:type="spellStart"/>
      <w:r w:rsidRPr="00D446A3">
        <w:rPr>
          <w:rFonts w:ascii="Arial" w:hAnsi="Arial" w:cs="Arial"/>
        </w:rPr>
        <w:t>Fuglie</w:t>
      </w:r>
      <w:proofErr w:type="spellEnd"/>
      <w:r w:rsidRPr="00D446A3">
        <w:rPr>
          <w:rFonts w:ascii="Arial" w:hAnsi="Arial" w:cs="Arial"/>
        </w:rPr>
        <w:t>, K.O., 1995. Voluntary versus mandatory agricultural policies to protect</w:t>
      </w:r>
      <w:r w:rsidR="00D446A3">
        <w:rPr>
          <w:rFonts w:ascii="Arial" w:hAnsi="Arial" w:cs="Arial"/>
        </w:rPr>
        <w:t xml:space="preserve"> </w:t>
      </w:r>
      <w:r w:rsidRPr="00D446A3">
        <w:rPr>
          <w:rFonts w:ascii="Arial" w:hAnsi="Arial" w:cs="Arial"/>
        </w:rPr>
        <w:t>water quality: adoption of nitrogen testing in Nebraska. Review of Agricultural Economics 17, 13–24.</w:t>
      </w:r>
    </w:p>
    <w:p w:rsidR="007A55A5" w:rsidRPr="00D446A3" w:rsidRDefault="007A55A5" w:rsidP="00D446A3">
      <w:pPr>
        <w:widowControl/>
        <w:ind w:left="576"/>
        <w:rPr>
          <w:rFonts w:ascii="Arial" w:hAnsi="Arial" w:cs="Arial"/>
        </w:rPr>
      </w:pPr>
      <w:proofErr w:type="spellStart"/>
      <w:r w:rsidRPr="00D446A3">
        <w:rPr>
          <w:rFonts w:ascii="Arial" w:hAnsi="Arial" w:cs="Arial"/>
        </w:rPr>
        <w:t>Eckman</w:t>
      </w:r>
      <w:proofErr w:type="spellEnd"/>
      <w:r w:rsidRPr="00D446A3">
        <w:rPr>
          <w:rFonts w:ascii="Arial" w:hAnsi="Arial" w:cs="Arial"/>
        </w:rPr>
        <w:t xml:space="preserve">, D.T., Patrick, G.F., Musser, W.N., 1996. </w:t>
      </w:r>
      <w:proofErr w:type="gramStart"/>
      <w:r w:rsidRPr="00D446A3">
        <w:rPr>
          <w:rFonts w:ascii="Arial" w:hAnsi="Arial" w:cs="Arial"/>
        </w:rPr>
        <w:t>Factors affecting written marketing plan adoption by</w:t>
      </w:r>
      <w:r w:rsidR="00D446A3">
        <w:rPr>
          <w:rFonts w:ascii="Arial" w:hAnsi="Arial" w:cs="Arial"/>
        </w:rPr>
        <w:t xml:space="preserve"> </w:t>
      </w:r>
      <w:r w:rsidRPr="00D446A3">
        <w:rPr>
          <w:rFonts w:ascii="Arial" w:hAnsi="Arial" w:cs="Arial"/>
        </w:rPr>
        <w:t>large-scale grain producers.</w:t>
      </w:r>
      <w:proofErr w:type="gramEnd"/>
      <w:r w:rsidRPr="00D446A3">
        <w:rPr>
          <w:rFonts w:ascii="Arial" w:hAnsi="Arial" w:cs="Arial"/>
        </w:rPr>
        <w:t xml:space="preserve"> Review of Agricultural Economics 18, 565–574.</w:t>
      </w:r>
    </w:p>
    <w:p w:rsidR="007A55A5" w:rsidRPr="00D446A3" w:rsidRDefault="007A55A5" w:rsidP="00D446A3">
      <w:pPr>
        <w:widowControl/>
        <w:ind w:left="576"/>
        <w:rPr>
          <w:rFonts w:ascii="Arial" w:hAnsi="Arial" w:cs="Arial"/>
        </w:rPr>
      </w:pPr>
      <w:r w:rsidRPr="00D446A3">
        <w:rPr>
          <w:rFonts w:ascii="Arial" w:hAnsi="Arial" w:cs="Arial"/>
        </w:rPr>
        <w:t xml:space="preserve">Goodwin, B.K., Schroeder, T.C., 1994. </w:t>
      </w:r>
      <w:proofErr w:type="gramStart"/>
      <w:r w:rsidRPr="00D446A3">
        <w:rPr>
          <w:rFonts w:ascii="Arial" w:hAnsi="Arial" w:cs="Arial"/>
        </w:rPr>
        <w:t>Human capital, producer education programs, and the adoption</w:t>
      </w:r>
      <w:r w:rsidR="00D446A3">
        <w:rPr>
          <w:rFonts w:ascii="Arial" w:hAnsi="Arial" w:cs="Arial"/>
        </w:rPr>
        <w:t xml:space="preserve"> </w:t>
      </w:r>
      <w:r w:rsidRPr="00D446A3">
        <w:rPr>
          <w:rFonts w:ascii="Arial" w:hAnsi="Arial" w:cs="Arial"/>
        </w:rPr>
        <w:t>of forward-pricing methods.</w:t>
      </w:r>
      <w:proofErr w:type="gramEnd"/>
      <w:r w:rsidRPr="00D446A3">
        <w:rPr>
          <w:rFonts w:ascii="Arial" w:hAnsi="Arial" w:cs="Arial"/>
        </w:rPr>
        <w:t xml:space="preserve"> American Journal of Agricultural Economics 76, 936–947.</w:t>
      </w:r>
    </w:p>
    <w:p w:rsidR="007A55A5" w:rsidRPr="00D446A3" w:rsidRDefault="007A55A5" w:rsidP="00D446A3">
      <w:pPr>
        <w:widowControl/>
        <w:ind w:left="576"/>
        <w:rPr>
          <w:rFonts w:ascii="Arial" w:hAnsi="Arial" w:cs="Arial"/>
        </w:rPr>
      </w:pPr>
      <w:proofErr w:type="gramStart"/>
      <w:r w:rsidRPr="00D446A3">
        <w:rPr>
          <w:rFonts w:ascii="Arial" w:hAnsi="Arial" w:cs="Arial"/>
        </w:rPr>
        <w:t xml:space="preserve">Harper, J.K., </w:t>
      </w:r>
      <w:proofErr w:type="spellStart"/>
      <w:r w:rsidRPr="00D446A3">
        <w:rPr>
          <w:rFonts w:ascii="Arial" w:hAnsi="Arial" w:cs="Arial"/>
        </w:rPr>
        <w:t>Rister</w:t>
      </w:r>
      <w:proofErr w:type="spellEnd"/>
      <w:r w:rsidRPr="00D446A3">
        <w:rPr>
          <w:rFonts w:ascii="Arial" w:hAnsi="Arial" w:cs="Arial"/>
        </w:rPr>
        <w:t xml:space="preserve">, M.E., </w:t>
      </w:r>
      <w:proofErr w:type="spellStart"/>
      <w:r w:rsidRPr="00D446A3">
        <w:rPr>
          <w:rFonts w:ascii="Arial" w:hAnsi="Arial" w:cs="Arial"/>
        </w:rPr>
        <w:t>Mjelde</w:t>
      </w:r>
      <w:proofErr w:type="spellEnd"/>
      <w:r w:rsidRPr="00D446A3">
        <w:rPr>
          <w:rFonts w:ascii="Arial" w:hAnsi="Arial" w:cs="Arial"/>
        </w:rPr>
        <w:t xml:space="preserve">, J.W., </w:t>
      </w:r>
      <w:proofErr w:type="spellStart"/>
      <w:r w:rsidRPr="00D446A3">
        <w:rPr>
          <w:rFonts w:ascii="Arial" w:hAnsi="Arial" w:cs="Arial"/>
        </w:rPr>
        <w:t>Drees</w:t>
      </w:r>
      <w:proofErr w:type="spellEnd"/>
      <w:r w:rsidRPr="00D446A3">
        <w:rPr>
          <w:rFonts w:ascii="Arial" w:hAnsi="Arial" w:cs="Arial"/>
        </w:rPr>
        <w:t>, B.M., Way, M.O., 1990.</w:t>
      </w:r>
      <w:proofErr w:type="gramEnd"/>
      <w:r w:rsidRPr="00D446A3">
        <w:rPr>
          <w:rFonts w:ascii="Arial" w:hAnsi="Arial" w:cs="Arial"/>
        </w:rPr>
        <w:t xml:space="preserve"> </w:t>
      </w:r>
      <w:proofErr w:type="gramStart"/>
      <w:r w:rsidRPr="00D446A3">
        <w:rPr>
          <w:rFonts w:ascii="Arial" w:hAnsi="Arial" w:cs="Arial"/>
        </w:rPr>
        <w:t>Factors influencing the adoption</w:t>
      </w:r>
      <w:r w:rsidR="00D446A3">
        <w:rPr>
          <w:rFonts w:ascii="Arial" w:hAnsi="Arial" w:cs="Arial"/>
        </w:rPr>
        <w:t xml:space="preserve"> </w:t>
      </w:r>
      <w:r w:rsidRPr="00D446A3">
        <w:rPr>
          <w:rFonts w:ascii="Arial" w:hAnsi="Arial" w:cs="Arial"/>
        </w:rPr>
        <w:t>of insect management technology.</w:t>
      </w:r>
      <w:proofErr w:type="gramEnd"/>
      <w:r w:rsidRPr="00D446A3">
        <w:rPr>
          <w:rFonts w:ascii="Arial" w:hAnsi="Arial" w:cs="Arial"/>
        </w:rPr>
        <w:t xml:space="preserve"> </w:t>
      </w:r>
      <w:proofErr w:type="gramStart"/>
      <w:r w:rsidRPr="00D446A3">
        <w:rPr>
          <w:rFonts w:ascii="Arial" w:hAnsi="Arial" w:cs="Arial"/>
        </w:rPr>
        <w:t>American Journal of Agricultural Economics 72, 997–1005.</w:t>
      </w:r>
      <w:proofErr w:type="gramEnd"/>
    </w:p>
    <w:p w:rsidR="00D446A3" w:rsidRPr="00D446A3" w:rsidRDefault="00D446A3" w:rsidP="00D446A3">
      <w:pPr>
        <w:widowControl/>
        <w:ind w:left="576"/>
        <w:rPr>
          <w:rFonts w:ascii="Arial" w:hAnsi="Arial" w:cs="Arial"/>
        </w:rPr>
      </w:pPr>
      <w:r w:rsidRPr="00D446A3">
        <w:rPr>
          <w:rFonts w:ascii="Arial" w:hAnsi="Arial" w:cs="Arial"/>
        </w:rPr>
        <w:t xml:space="preserve">Marra, M.C., R. </w:t>
      </w:r>
      <w:proofErr w:type="spellStart"/>
      <w:r w:rsidRPr="00D446A3">
        <w:rPr>
          <w:rFonts w:ascii="Arial" w:hAnsi="Arial" w:cs="Arial"/>
        </w:rPr>
        <w:t>Rejesus</w:t>
      </w:r>
      <w:proofErr w:type="spellEnd"/>
      <w:r w:rsidRPr="00D446A3">
        <w:rPr>
          <w:rFonts w:ascii="Arial" w:hAnsi="Arial" w:cs="Arial"/>
        </w:rPr>
        <w:t xml:space="preserve">, R. Roberts, B. English, J. Larson, S. Larkin, and S. Martin, S. 2010. </w:t>
      </w:r>
      <w:proofErr w:type="gramStart"/>
      <w:r w:rsidRPr="00D446A3">
        <w:rPr>
          <w:rFonts w:ascii="Arial" w:hAnsi="Arial" w:cs="Arial"/>
        </w:rPr>
        <w:t>“</w:t>
      </w:r>
      <w:r w:rsidRPr="00D446A3">
        <w:rPr>
          <w:rFonts w:ascii="Arial" w:hAnsi="Arial" w:cs="Arial"/>
          <w:szCs w:val="24"/>
        </w:rPr>
        <w:t>Estimating the demand and willingness-to-pay for cotton yield monitors”.</w:t>
      </w:r>
      <w:proofErr w:type="gramEnd"/>
      <w:r w:rsidRPr="00D446A3">
        <w:rPr>
          <w:rFonts w:ascii="Arial" w:hAnsi="Arial" w:cs="Arial"/>
          <w:szCs w:val="24"/>
        </w:rPr>
        <w:t xml:space="preserve"> </w:t>
      </w:r>
      <w:r w:rsidRPr="00D446A3">
        <w:rPr>
          <w:rFonts w:ascii="Arial" w:hAnsi="Arial" w:cs="Arial"/>
          <w:i/>
          <w:szCs w:val="24"/>
        </w:rPr>
        <w:t>Precision Agriculture</w:t>
      </w:r>
      <w:r w:rsidRPr="00D446A3">
        <w:rPr>
          <w:rFonts w:ascii="Arial" w:hAnsi="Arial" w:cs="Arial"/>
          <w:szCs w:val="24"/>
        </w:rPr>
        <w:t>, 11(3):215-238</w:t>
      </w:r>
    </w:p>
    <w:p w:rsidR="007A55A5" w:rsidRPr="00D446A3" w:rsidRDefault="007A55A5" w:rsidP="00D446A3">
      <w:pPr>
        <w:widowControl/>
        <w:ind w:left="576"/>
        <w:rPr>
          <w:rFonts w:ascii="Arial" w:hAnsi="Arial" w:cs="Arial"/>
        </w:rPr>
      </w:pPr>
      <w:proofErr w:type="gramStart"/>
      <w:r w:rsidRPr="00D446A3">
        <w:rPr>
          <w:rFonts w:ascii="Arial" w:hAnsi="Arial" w:cs="Arial"/>
        </w:rPr>
        <w:t>Marra, M., Carlson, G., 1987.</w:t>
      </w:r>
      <w:proofErr w:type="gramEnd"/>
      <w:r w:rsidRPr="00D446A3">
        <w:rPr>
          <w:rFonts w:ascii="Arial" w:hAnsi="Arial" w:cs="Arial"/>
        </w:rPr>
        <w:t xml:space="preserve"> </w:t>
      </w:r>
      <w:proofErr w:type="gramStart"/>
      <w:r w:rsidRPr="00D446A3">
        <w:rPr>
          <w:rFonts w:ascii="Arial" w:hAnsi="Arial" w:cs="Arial"/>
        </w:rPr>
        <w:t>The Role of Farm Size and Resource Constraints in the Choice between</w:t>
      </w:r>
      <w:r w:rsidR="00D446A3">
        <w:rPr>
          <w:rFonts w:ascii="Arial" w:hAnsi="Arial" w:cs="Arial"/>
        </w:rPr>
        <w:t xml:space="preserve"> </w:t>
      </w:r>
      <w:r w:rsidRPr="00D446A3">
        <w:rPr>
          <w:rFonts w:ascii="Arial" w:hAnsi="Arial" w:cs="Arial"/>
        </w:rPr>
        <w:t>Risky Technologies.</w:t>
      </w:r>
      <w:proofErr w:type="gramEnd"/>
      <w:r w:rsidRPr="00D446A3">
        <w:rPr>
          <w:rFonts w:ascii="Arial" w:hAnsi="Arial" w:cs="Arial"/>
        </w:rPr>
        <w:t xml:space="preserve"> Western Journal of Agricultural Economics 12 (2), 109–118.</w:t>
      </w:r>
    </w:p>
    <w:p w:rsidR="007A55A5" w:rsidRPr="00D446A3" w:rsidRDefault="007A55A5" w:rsidP="00D446A3">
      <w:pPr>
        <w:widowControl/>
        <w:ind w:left="576"/>
        <w:rPr>
          <w:rFonts w:ascii="Arial" w:hAnsi="Arial" w:cs="Arial"/>
        </w:rPr>
      </w:pPr>
      <w:proofErr w:type="gramStart"/>
      <w:r w:rsidRPr="00D446A3">
        <w:rPr>
          <w:rFonts w:ascii="Arial" w:hAnsi="Arial" w:cs="Arial"/>
        </w:rPr>
        <w:t>Marra, M., Hubbell, B., Carlson, G., 2001.</w:t>
      </w:r>
      <w:proofErr w:type="gramEnd"/>
      <w:r w:rsidRPr="00D446A3">
        <w:rPr>
          <w:rFonts w:ascii="Arial" w:hAnsi="Arial" w:cs="Arial"/>
        </w:rPr>
        <w:t xml:space="preserve"> Information quality, technology depreciation, and </w:t>
      </w:r>
      <w:proofErr w:type="gramStart"/>
      <w:r w:rsidRPr="00D446A3">
        <w:rPr>
          <w:rFonts w:ascii="Arial" w:hAnsi="Arial" w:cs="Arial"/>
        </w:rPr>
        <w:t>Bt</w:t>
      </w:r>
      <w:proofErr w:type="gramEnd"/>
      <w:r w:rsidRPr="00D446A3">
        <w:rPr>
          <w:rFonts w:ascii="Arial" w:hAnsi="Arial" w:cs="Arial"/>
        </w:rPr>
        <w:t xml:space="preserve"> cotton</w:t>
      </w:r>
      <w:r w:rsidR="00D446A3">
        <w:rPr>
          <w:rFonts w:ascii="Arial" w:hAnsi="Arial" w:cs="Arial"/>
        </w:rPr>
        <w:t xml:space="preserve"> </w:t>
      </w:r>
      <w:r w:rsidRPr="00D446A3">
        <w:rPr>
          <w:rFonts w:ascii="Arial" w:hAnsi="Arial" w:cs="Arial"/>
        </w:rPr>
        <w:t>adoption in the Southeast. Journal of Agricultural and Resource Economics 26, 158–175.</w:t>
      </w:r>
    </w:p>
    <w:p w:rsidR="007A55A5" w:rsidRPr="00D446A3" w:rsidRDefault="007A55A5" w:rsidP="00D446A3">
      <w:pPr>
        <w:widowControl/>
        <w:ind w:left="576"/>
        <w:rPr>
          <w:rFonts w:ascii="Arial" w:hAnsi="Arial" w:cs="Arial"/>
        </w:rPr>
      </w:pPr>
      <w:proofErr w:type="gramStart"/>
      <w:r w:rsidRPr="00D446A3">
        <w:rPr>
          <w:rFonts w:ascii="Arial" w:hAnsi="Arial" w:cs="Arial"/>
        </w:rPr>
        <w:t xml:space="preserve">McNamara, K.T., </w:t>
      </w:r>
      <w:proofErr w:type="spellStart"/>
      <w:r w:rsidRPr="00D446A3">
        <w:rPr>
          <w:rFonts w:ascii="Arial" w:hAnsi="Arial" w:cs="Arial"/>
        </w:rPr>
        <w:t>Wetzstein</w:t>
      </w:r>
      <w:proofErr w:type="spellEnd"/>
      <w:r w:rsidRPr="00D446A3">
        <w:rPr>
          <w:rFonts w:ascii="Arial" w:hAnsi="Arial" w:cs="Arial"/>
        </w:rPr>
        <w:t xml:space="preserve">, M.E., </w:t>
      </w:r>
      <w:proofErr w:type="spellStart"/>
      <w:r w:rsidRPr="00D446A3">
        <w:rPr>
          <w:rFonts w:ascii="Arial" w:hAnsi="Arial" w:cs="Arial"/>
        </w:rPr>
        <w:t>Douce</w:t>
      </w:r>
      <w:proofErr w:type="spellEnd"/>
      <w:r w:rsidRPr="00D446A3">
        <w:rPr>
          <w:rFonts w:ascii="Arial" w:hAnsi="Arial" w:cs="Arial"/>
        </w:rPr>
        <w:t>, G.K., 1991.</w:t>
      </w:r>
      <w:proofErr w:type="gramEnd"/>
      <w:r w:rsidRPr="00D446A3">
        <w:rPr>
          <w:rFonts w:ascii="Arial" w:hAnsi="Arial" w:cs="Arial"/>
        </w:rPr>
        <w:t xml:space="preserve"> </w:t>
      </w:r>
      <w:proofErr w:type="gramStart"/>
      <w:r w:rsidRPr="00D446A3">
        <w:rPr>
          <w:rFonts w:ascii="Arial" w:hAnsi="Arial" w:cs="Arial"/>
        </w:rPr>
        <w:t>Factors affecting peanut producer adoption of</w:t>
      </w:r>
      <w:r w:rsidR="00D446A3">
        <w:rPr>
          <w:rFonts w:ascii="Arial" w:hAnsi="Arial" w:cs="Arial"/>
        </w:rPr>
        <w:t xml:space="preserve"> </w:t>
      </w:r>
      <w:r w:rsidRPr="00D446A3">
        <w:rPr>
          <w:rFonts w:ascii="Arial" w:hAnsi="Arial" w:cs="Arial"/>
        </w:rPr>
        <w:t>integrated pest management.</w:t>
      </w:r>
      <w:proofErr w:type="gramEnd"/>
      <w:r w:rsidRPr="00D446A3">
        <w:rPr>
          <w:rFonts w:ascii="Arial" w:hAnsi="Arial" w:cs="Arial"/>
        </w:rPr>
        <w:t xml:space="preserve"> Review of Agricultural Economics 13, 129–139.</w:t>
      </w:r>
    </w:p>
    <w:p w:rsidR="007A55A5" w:rsidRPr="00D446A3" w:rsidRDefault="007A55A5" w:rsidP="00D446A3">
      <w:pPr>
        <w:widowControl/>
        <w:ind w:left="576"/>
        <w:rPr>
          <w:rFonts w:ascii="Arial" w:hAnsi="Arial" w:cs="Arial"/>
        </w:rPr>
      </w:pPr>
      <w:proofErr w:type="spellStart"/>
      <w:proofErr w:type="gramStart"/>
      <w:r w:rsidRPr="00D446A3">
        <w:rPr>
          <w:rFonts w:ascii="Arial" w:hAnsi="Arial" w:cs="Arial"/>
        </w:rPr>
        <w:t>Nkonya</w:t>
      </w:r>
      <w:proofErr w:type="spellEnd"/>
      <w:r w:rsidRPr="00D446A3">
        <w:rPr>
          <w:rFonts w:ascii="Arial" w:hAnsi="Arial" w:cs="Arial"/>
        </w:rPr>
        <w:t>, E., Schroeder, T., Norman, D., 1997.</w:t>
      </w:r>
      <w:proofErr w:type="gramEnd"/>
      <w:r w:rsidRPr="00D446A3">
        <w:rPr>
          <w:rFonts w:ascii="Arial" w:hAnsi="Arial" w:cs="Arial"/>
        </w:rPr>
        <w:t xml:space="preserve"> </w:t>
      </w:r>
      <w:proofErr w:type="gramStart"/>
      <w:r w:rsidRPr="00D446A3">
        <w:rPr>
          <w:rFonts w:ascii="Arial" w:hAnsi="Arial" w:cs="Arial"/>
        </w:rPr>
        <w:t>Factors affecting adoption of improved maize seed and</w:t>
      </w:r>
      <w:r w:rsidR="00D446A3">
        <w:rPr>
          <w:rFonts w:ascii="Arial" w:hAnsi="Arial" w:cs="Arial"/>
        </w:rPr>
        <w:t xml:space="preserve"> </w:t>
      </w:r>
      <w:r w:rsidRPr="00D446A3">
        <w:rPr>
          <w:rFonts w:ascii="Arial" w:hAnsi="Arial" w:cs="Arial"/>
        </w:rPr>
        <w:t>fertilizer in northern Tanzania.</w:t>
      </w:r>
      <w:proofErr w:type="gramEnd"/>
      <w:r w:rsidRPr="00D446A3">
        <w:rPr>
          <w:rFonts w:ascii="Arial" w:hAnsi="Arial" w:cs="Arial"/>
        </w:rPr>
        <w:t xml:space="preserve"> Journal of Agricultural Economics 48, 1–12.</w:t>
      </w:r>
    </w:p>
    <w:p w:rsidR="007A55A5" w:rsidRPr="00D446A3" w:rsidRDefault="007A55A5" w:rsidP="00D446A3">
      <w:pPr>
        <w:widowControl/>
        <w:ind w:left="576"/>
        <w:rPr>
          <w:rFonts w:ascii="Arial" w:hAnsi="Arial" w:cs="Arial"/>
        </w:rPr>
      </w:pPr>
      <w:r w:rsidRPr="00D446A3">
        <w:rPr>
          <w:rFonts w:ascii="Arial" w:hAnsi="Arial" w:cs="Arial"/>
        </w:rPr>
        <w:t xml:space="preserve">Purvis, A., </w:t>
      </w:r>
      <w:proofErr w:type="spellStart"/>
      <w:r w:rsidRPr="00D446A3">
        <w:rPr>
          <w:rFonts w:ascii="Arial" w:hAnsi="Arial" w:cs="Arial"/>
        </w:rPr>
        <w:t>Boggess</w:t>
      </w:r>
      <w:proofErr w:type="spellEnd"/>
      <w:r w:rsidRPr="00D446A3">
        <w:rPr>
          <w:rFonts w:ascii="Arial" w:hAnsi="Arial" w:cs="Arial"/>
        </w:rPr>
        <w:t>, W.G., Moss, C.B., Holt, J., 1995. Technology adoption under irreversibility and</w:t>
      </w:r>
    </w:p>
    <w:p w:rsidR="007A55A5" w:rsidRPr="00D446A3" w:rsidRDefault="007A55A5" w:rsidP="00D446A3">
      <w:pPr>
        <w:widowControl/>
        <w:ind w:left="576"/>
        <w:rPr>
          <w:rFonts w:ascii="Arial" w:hAnsi="Arial" w:cs="Arial"/>
        </w:rPr>
      </w:pPr>
      <w:proofErr w:type="gramStart"/>
      <w:r w:rsidRPr="00D446A3">
        <w:rPr>
          <w:rFonts w:ascii="Arial" w:hAnsi="Arial" w:cs="Arial"/>
        </w:rPr>
        <w:t>uncertainty</w:t>
      </w:r>
      <w:proofErr w:type="gramEnd"/>
      <w:r w:rsidRPr="00D446A3">
        <w:rPr>
          <w:rFonts w:ascii="Arial" w:hAnsi="Arial" w:cs="Arial"/>
        </w:rPr>
        <w:t>. American Journal of Agricultural Economics 77, 541–551.</w:t>
      </w:r>
    </w:p>
    <w:p w:rsidR="00D446A3" w:rsidRPr="00165FC0" w:rsidRDefault="00D446A3" w:rsidP="00D446A3">
      <w:pPr>
        <w:tabs>
          <w:tab w:val="left" w:pos="0"/>
        </w:tabs>
        <w:suppressAutoHyphens/>
        <w:ind w:left="576"/>
        <w:rPr>
          <w:rFonts w:ascii="Arial" w:hAnsi="Arial" w:cs="Arial"/>
          <w:szCs w:val="24"/>
        </w:rPr>
      </w:pPr>
      <w:r w:rsidRPr="00165FC0">
        <w:rPr>
          <w:rFonts w:ascii="Arial" w:hAnsi="Arial" w:cs="Arial"/>
          <w:szCs w:val="24"/>
        </w:rPr>
        <w:t xml:space="preserve">Roberts, R., J. Larsen, B. English, S. Larkin, M. Marra, S. Martin, J. Reeves.  2010. "Grid Soil Sampling Adoption and Abandonment in Cotton Production" </w:t>
      </w:r>
      <w:r w:rsidRPr="00165FC0">
        <w:rPr>
          <w:rFonts w:ascii="Arial" w:hAnsi="Arial" w:cs="Arial"/>
          <w:i/>
          <w:szCs w:val="24"/>
        </w:rPr>
        <w:t>Precision Agriculture,</w:t>
      </w:r>
      <w:r w:rsidRPr="00165FC0">
        <w:rPr>
          <w:rFonts w:ascii="Arial" w:hAnsi="Arial" w:cs="Arial"/>
          <w:szCs w:val="24"/>
        </w:rPr>
        <w:t xml:space="preserve"> available at </w:t>
      </w:r>
      <w:hyperlink r:id="rId8" w:history="1">
        <w:r w:rsidRPr="00165FC0">
          <w:rPr>
            <w:rStyle w:val="Hyperlink"/>
            <w:rFonts w:ascii="Arial" w:hAnsi="Arial" w:cs="Arial"/>
            <w:szCs w:val="24"/>
          </w:rPr>
          <w:t>http://www.springerlink.com/content/22r5lk1tpu073554/fulltext.pdf</w:t>
        </w:r>
      </w:hyperlink>
      <w:r w:rsidRPr="00165FC0">
        <w:rPr>
          <w:rFonts w:ascii="Arial" w:hAnsi="Arial" w:cs="Arial"/>
          <w:szCs w:val="24"/>
        </w:rPr>
        <w:t>.</w:t>
      </w:r>
    </w:p>
    <w:p w:rsidR="007A55A5" w:rsidRPr="00D446A3" w:rsidRDefault="007A55A5" w:rsidP="00D446A3">
      <w:pPr>
        <w:widowControl/>
        <w:ind w:left="576"/>
        <w:rPr>
          <w:rFonts w:ascii="Arial" w:hAnsi="Arial" w:cs="Arial"/>
        </w:rPr>
      </w:pPr>
      <w:r w:rsidRPr="00D446A3">
        <w:rPr>
          <w:rFonts w:ascii="Arial" w:hAnsi="Arial" w:cs="Arial"/>
        </w:rPr>
        <w:t xml:space="preserve">Shapiro, B.I., </w:t>
      </w:r>
      <w:proofErr w:type="spellStart"/>
      <w:r w:rsidRPr="00D446A3">
        <w:rPr>
          <w:rFonts w:ascii="Arial" w:hAnsi="Arial" w:cs="Arial"/>
        </w:rPr>
        <w:t>Brorsen</w:t>
      </w:r>
      <w:proofErr w:type="spellEnd"/>
      <w:r w:rsidRPr="00D446A3">
        <w:rPr>
          <w:rFonts w:ascii="Arial" w:hAnsi="Arial" w:cs="Arial"/>
        </w:rPr>
        <w:t xml:space="preserve">, B.W., </w:t>
      </w:r>
      <w:proofErr w:type="spellStart"/>
      <w:r w:rsidRPr="00D446A3">
        <w:rPr>
          <w:rFonts w:ascii="Arial" w:hAnsi="Arial" w:cs="Arial"/>
        </w:rPr>
        <w:t>Doster</w:t>
      </w:r>
      <w:proofErr w:type="spellEnd"/>
      <w:r w:rsidRPr="00D446A3">
        <w:rPr>
          <w:rFonts w:ascii="Arial" w:hAnsi="Arial" w:cs="Arial"/>
        </w:rPr>
        <w:t xml:space="preserve">, D.H., 1992. </w:t>
      </w:r>
      <w:proofErr w:type="gramStart"/>
      <w:r w:rsidRPr="00D446A3">
        <w:rPr>
          <w:rFonts w:ascii="Arial" w:hAnsi="Arial" w:cs="Arial"/>
        </w:rPr>
        <w:t>Adoption of double-cropping soybeans and wheat.</w:t>
      </w:r>
      <w:proofErr w:type="gramEnd"/>
    </w:p>
    <w:p w:rsidR="007A55A5" w:rsidRDefault="007A55A5" w:rsidP="00D446A3">
      <w:pPr>
        <w:widowControl/>
        <w:ind w:left="576"/>
        <w:rPr>
          <w:rFonts w:ascii="Arial" w:hAnsi="Arial" w:cs="Arial"/>
        </w:rPr>
      </w:pPr>
      <w:r w:rsidRPr="00D446A3">
        <w:rPr>
          <w:rFonts w:ascii="Arial" w:hAnsi="Arial" w:cs="Arial"/>
        </w:rPr>
        <w:t>Southern Journal of Agricultural Economics 24, 33–40.</w:t>
      </w:r>
    </w:p>
    <w:p w:rsidR="00D446A3" w:rsidRPr="00D446A3" w:rsidRDefault="00D446A3" w:rsidP="00D446A3">
      <w:pPr>
        <w:ind w:left="576"/>
        <w:jc w:val="both"/>
        <w:rPr>
          <w:rFonts w:ascii="Arial" w:hAnsi="Arial" w:cs="Arial"/>
          <w:color w:val="000000"/>
          <w:szCs w:val="24"/>
        </w:rPr>
      </w:pPr>
      <w:r w:rsidRPr="00D446A3">
        <w:rPr>
          <w:rFonts w:ascii="Arial" w:hAnsi="Arial" w:cs="Arial"/>
          <w:color w:val="000000"/>
          <w:szCs w:val="24"/>
        </w:rPr>
        <w:t>Walton, Jonathan, J. Larson, R. Roberts, D. Lambert, B. English, S. Larkin, M. Marra, S. Martin, K. Paxton, and J. Reeves. 2010. “Factors influencing farmer adoption of portable computers for site-specific management:  A case study for cotton production”,</w:t>
      </w:r>
      <w:r w:rsidRPr="00D446A3">
        <w:rPr>
          <w:rFonts w:ascii="Arial" w:hAnsi="Arial" w:cs="Arial"/>
          <w:i/>
          <w:color w:val="000000"/>
          <w:szCs w:val="24"/>
        </w:rPr>
        <w:t xml:space="preserve"> Journal of Agricultural &amp; Applied Economics, </w:t>
      </w:r>
      <w:r w:rsidRPr="00D446A3">
        <w:rPr>
          <w:rFonts w:ascii="Arial" w:hAnsi="Arial" w:cs="Arial"/>
          <w:color w:val="000000"/>
          <w:szCs w:val="24"/>
        </w:rPr>
        <w:t>Volume 42, Number 2,</w:t>
      </w:r>
      <w:r w:rsidRPr="00D446A3">
        <w:rPr>
          <w:rFonts w:ascii="Arial" w:hAnsi="Arial" w:cs="Arial"/>
        </w:rPr>
        <w:t xml:space="preserve"> 1573-1618</w:t>
      </w:r>
      <w:r w:rsidRPr="00D446A3">
        <w:rPr>
          <w:rFonts w:ascii="Arial" w:hAnsi="Arial" w:cs="Arial"/>
          <w:color w:val="000000"/>
          <w:szCs w:val="24"/>
        </w:rPr>
        <w:t>.</w:t>
      </w:r>
    </w:p>
    <w:p w:rsidR="00D446A3" w:rsidRPr="00D446A3" w:rsidRDefault="00D446A3" w:rsidP="00D446A3">
      <w:pPr>
        <w:widowControl/>
        <w:ind w:left="576"/>
        <w:rPr>
          <w:rFonts w:ascii="Arial" w:hAnsi="Arial" w:cs="Arial"/>
        </w:rPr>
      </w:pPr>
    </w:p>
    <w:p w:rsidR="001C5802" w:rsidRPr="001E77A8" w:rsidRDefault="001C580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rsidR="00142A12" w:rsidRPr="001E77A8"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1E77A8">
        <w:rPr>
          <w:rFonts w:ascii="Arial" w:hAnsi="Arial" w:cs="Arial"/>
          <w:b/>
          <w:sz w:val="24"/>
          <w:szCs w:val="24"/>
        </w:rPr>
        <w:t>5.</w:t>
      </w:r>
      <w:r w:rsidRPr="001E77A8">
        <w:rPr>
          <w:rFonts w:ascii="Arial" w:hAnsi="Arial" w:cs="Arial"/>
          <w:b/>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rsidR="00142A12" w:rsidRPr="00617CB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4B4AC3" w:rsidRPr="004B4AC3" w:rsidRDefault="00964665" w:rsidP="004B4AC3">
      <w:pPr>
        <w:tabs>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 w:val="24"/>
          <w:szCs w:val="24"/>
        </w:rPr>
      </w:pPr>
      <w:r>
        <w:rPr>
          <w:rFonts w:ascii="Arial" w:hAnsi="Arial" w:cs="Arial"/>
          <w:sz w:val="24"/>
          <w:szCs w:val="24"/>
        </w:rPr>
        <w:tab/>
      </w:r>
      <w:r w:rsidR="004B4AC3" w:rsidRPr="004B4AC3">
        <w:rPr>
          <w:rFonts w:ascii="Arial" w:hAnsi="Arial" w:cs="Arial"/>
          <w:sz w:val="24"/>
          <w:szCs w:val="24"/>
        </w:rPr>
        <w:tab/>
        <w:t>Specifications and survey design were developed by Chri</w:t>
      </w:r>
      <w:r w:rsidR="004B4AC3">
        <w:rPr>
          <w:rFonts w:ascii="Arial" w:hAnsi="Arial" w:cs="Arial"/>
          <w:sz w:val="24"/>
          <w:szCs w:val="24"/>
        </w:rPr>
        <w:t>stina Cowger, PhD of USWBSI</w:t>
      </w:r>
      <w:r w:rsidR="001C0005">
        <w:rPr>
          <w:rFonts w:ascii="Arial" w:hAnsi="Arial" w:cs="Arial"/>
          <w:sz w:val="24"/>
          <w:szCs w:val="24"/>
        </w:rPr>
        <w:t>,</w:t>
      </w:r>
      <w:r w:rsidR="00F6060A">
        <w:rPr>
          <w:rFonts w:ascii="Arial" w:hAnsi="Arial" w:cs="Arial"/>
          <w:sz w:val="24"/>
          <w:szCs w:val="24"/>
        </w:rPr>
        <w:t xml:space="preserve"> </w:t>
      </w:r>
      <w:r w:rsidR="004B4AC3">
        <w:rPr>
          <w:rFonts w:ascii="Arial" w:hAnsi="Arial" w:cs="Arial"/>
          <w:sz w:val="24"/>
          <w:szCs w:val="24"/>
        </w:rPr>
        <w:t>(919</w:t>
      </w:r>
      <w:r w:rsidR="004B4AC3" w:rsidRPr="004B4AC3">
        <w:rPr>
          <w:rFonts w:ascii="Arial" w:hAnsi="Arial" w:cs="Arial"/>
          <w:sz w:val="24"/>
          <w:szCs w:val="24"/>
        </w:rPr>
        <w:t xml:space="preserve">) </w:t>
      </w:r>
      <w:r w:rsidR="004B4AC3">
        <w:rPr>
          <w:rFonts w:ascii="Arial" w:hAnsi="Arial" w:cs="Arial"/>
          <w:sz w:val="24"/>
          <w:szCs w:val="24"/>
        </w:rPr>
        <w:t>513</w:t>
      </w:r>
      <w:r w:rsidR="004B4AC3" w:rsidRPr="004B4AC3">
        <w:rPr>
          <w:rFonts w:ascii="Arial" w:hAnsi="Arial" w:cs="Arial"/>
          <w:sz w:val="24"/>
          <w:szCs w:val="24"/>
        </w:rPr>
        <w:t>-</w:t>
      </w:r>
      <w:r w:rsidR="004B4AC3">
        <w:rPr>
          <w:rFonts w:ascii="Arial" w:hAnsi="Arial" w:cs="Arial"/>
          <w:sz w:val="24"/>
          <w:szCs w:val="24"/>
        </w:rPr>
        <w:t>7388</w:t>
      </w:r>
      <w:r w:rsidR="004B4AC3" w:rsidRPr="004B4AC3">
        <w:rPr>
          <w:rFonts w:ascii="Arial" w:hAnsi="Arial" w:cs="Arial"/>
          <w:sz w:val="24"/>
          <w:szCs w:val="24"/>
        </w:rPr>
        <w:t>.  Christina Cowger will also supervise analysis of the data collected.</w:t>
      </w:r>
    </w:p>
    <w:p w:rsidR="004B4AC3" w:rsidRPr="004B4AC3" w:rsidRDefault="004B4AC3" w:rsidP="004B4AC3">
      <w:pPr>
        <w:tabs>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 w:val="24"/>
          <w:szCs w:val="24"/>
        </w:rPr>
      </w:pPr>
    </w:p>
    <w:p w:rsidR="004B4AC3" w:rsidRPr="004B4AC3" w:rsidRDefault="004B4AC3" w:rsidP="004B4AC3">
      <w:pPr>
        <w:tabs>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sidRPr="004B4AC3">
        <w:rPr>
          <w:rFonts w:ascii="Arial" w:hAnsi="Arial" w:cs="Arial"/>
          <w:sz w:val="24"/>
          <w:szCs w:val="24"/>
        </w:rPr>
        <w:t>Data collection is carried out by the network of NASS Field Offices; Director of Western Field Operations is Kevin Barnes (202) 720-</w:t>
      </w:r>
      <w:r>
        <w:rPr>
          <w:rFonts w:ascii="Arial" w:hAnsi="Arial" w:cs="Arial"/>
          <w:sz w:val="24"/>
          <w:szCs w:val="24"/>
        </w:rPr>
        <w:t>8220</w:t>
      </w:r>
      <w:r w:rsidRPr="004B4AC3">
        <w:rPr>
          <w:rFonts w:ascii="Arial" w:hAnsi="Arial" w:cs="Arial"/>
          <w:sz w:val="24"/>
          <w:szCs w:val="24"/>
        </w:rPr>
        <w:t>.</w:t>
      </w:r>
      <w:r>
        <w:rPr>
          <w:rFonts w:ascii="Arial" w:hAnsi="Arial" w:cs="Arial"/>
          <w:sz w:val="24"/>
          <w:szCs w:val="24"/>
        </w:rPr>
        <w:t xml:space="preserve">  </w:t>
      </w:r>
      <w:r w:rsidRPr="004B4AC3">
        <w:rPr>
          <w:rFonts w:ascii="Arial" w:hAnsi="Arial" w:cs="Arial"/>
          <w:sz w:val="24"/>
          <w:szCs w:val="24"/>
        </w:rPr>
        <w:t>Director of Eastern Field Operations is Norman Bennett (202) 720-3638.</w:t>
      </w:r>
    </w:p>
    <w:p w:rsidR="004B4AC3" w:rsidRPr="004B4AC3" w:rsidRDefault="004B4AC3" w:rsidP="004B4AC3">
      <w:pPr>
        <w:tabs>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p>
    <w:p w:rsidR="00142A12" w:rsidRDefault="004B4AC3" w:rsidP="004B4AC3">
      <w:pPr>
        <w:tabs>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sidRPr="004B4AC3">
        <w:rPr>
          <w:rFonts w:ascii="Arial" w:hAnsi="Arial" w:cs="Arial"/>
          <w:sz w:val="24"/>
          <w:szCs w:val="24"/>
        </w:rPr>
        <w:t>The NASS survey statistician contact is Richard Hopper of the Survey Development and Support Branch of Census and Survey Division (202)720-2206.  Richard Hopper is responsible for coordination of sampling, questionnaires, data collection,</w:t>
      </w:r>
      <w:r w:rsidR="00E76F55">
        <w:rPr>
          <w:rFonts w:ascii="Arial" w:hAnsi="Arial" w:cs="Arial"/>
          <w:sz w:val="24"/>
          <w:szCs w:val="24"/>
        </w:rPr>
        <w:t xml:space="preserve"> generating training materials, the development of a Survey Administration Manual, and an Enumerator Manual,</w:t>
      </w:r>
      <w:r w:rsidRPr="004B4AC3">
        <w:rPr>
          <w:rFonts w:ascii="Arial" w:hAnsi="Arial" w:cs="Arial"/>
          <w:sz w:val="24"/>
          <w:szCs w:val="24"/>
        </w:rPr>
        <w:t xml:space="preserve"> data processing, and Field Office support.</w:t>
      </w:r>
    </w:p>
    <w:p w:rsidR="007D32F9" w:rsidRDefault="007D32F9"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D32F9" w:rsidRPr="00A27162" w:rsidRDefault="007D32F9"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Default="00142A12" w:rsidP="00142A12"/>
    <w:p w:rsidR="00964665" w:rsidRDefault="00233EAF" w:rsidP="0061448A">
      <w:pPr>
        <w:widowControl/>
        <w:tabs>
          <w:tab w:val="right" w:pos="8784"/>
        </w:tabs>
        <w:jc w:val="right"/>
        <w:rPr>
          <w:rFonts w:ascii="Arial" w:hAnsi="Arial" w:cs="Arial"/>
          <w:sz w:val="24"/>
          <w:szCs w:val="24"/>
        </w:rPr>
      </w:pPr>
      <w:r w:rsidRPr="00233EAF">
        <w:rPr>
          <w:rFonts w:ascii="Arial" w:hAnsi="Arial" w:cs="Arial"/>
          <w:sz w:val="24"/>
          <w:szCs w:val="24"/>
        </w:rPr>
        <w:tab/>
      </w:r>
      <w:r w:rsidR="00081AD8">
        <w:rPr>
          <w:rFonts w:ascii="Arial" w:hAnsi="Arial" w:cs="Arial"/>
          <w:sz w:val="24"/>
          <w:szCs w:val="24"/>
        </w:rPr>
        <w:t>J</w:t>
      </w:r>
      <w:r w:rsidR="000A50B0">
        <w:rPr>
          <w:rFonts w:ascii="Arial" w:hAnsi="Arial" w:cs="Arial"/>
          <w:sz w:val="24"/>
          <w:szCs w:val="24"/>
        </w:rPr>
        <w:t>anuary</w:t>
      </w:r>
      <w:r w:rsidR="008C2C99">
        <w:rPr>
          <w:rFonts w:ascii="Arial" w:hAnsi="Arial" w:cs="Arial"/>
          <w:sz w:val="24"/>
          <w:szCs w:val="24"/>
        </w:rPr>
        <w:t>, 201</w:t>
      </w:r>
      <w:r w:rsidR="000A50B0">
        <w:rPr>
          <w:rFonts w:ascii="Arial" w:hAnsi="Arial" w:cs="Arial"/>
          <w:sz w:val="24"/>
          <w:szCs w:val="24"/>
        </w:rPr>
        <w:t>4</w:t>
      </w:r>
    </w:p>
    <w:sectPr w:rsidR="00964665" w:rsidSect="008C2C9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03B" w:rsidRDefault="00EE503B">
      <w:r>
        <w:separator/>
      </w:r>
    </w:p>
  </w:endnote>
  <w:endnote w:type="continuationSeparator" w:id="0">
    <w:p w:rsidR="00EE503B" w:rsidRDefault="00EE50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3B" w:rsidRDefault="00EE50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3B" w:rsidRDefault="009E0BAC">
    <w:pPr>
      <w:pStyle w:val="Footer"/>
      <w:jc w:val="right"/>
    </w:pPr>
    <w:fldSimple w:instr=" PAGE   \* MERGEFORMAT ">
      <w:r w:rsidR="000D6BFE">
        <w:rPr>
          <w:noProof/>
        </w:rPr>
        <w:t>1</w:t>
      </w:r>
    </w:fldSimple>
  </w:p>
  <w:p w:rsidR="00EE503B" w:rsidRDefault="00EE503B">
    <w:pPr>
      <w:widowControl/>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3B" w:rsidRDefault="00EE50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03B" w:rsidRDefault="00EE503B">
      <w:r>
        <w:separator/>
      </w:r>
    </w:p>
  </w:footnote>
  <w:footnote w:type="continuationSeparator" w:id="0">
    <w:p w:rsidR="00EE503B" w:rsidRDefault="00EE5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3B" w:rsidRDefault="00EE50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3B" w:rsidRDefault="00EE50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3B" w:rsidRDefault="00EE50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5E6"/>
    <w:multiLevelType w:val="hybridMultilevel"/>
    <w:tmpl w:val="9AF2B378"/>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7B4F5C5B"/>
    <w:multiLevelType w:val="hybridMultilevel"/>
    <w:tmpl w:val="4A1EC9E0"/>
    <w:lvl w:ilvl="0" w:tplc="2E7E035C">
      <w:start w:val="1"/>
      <w:numFmt w:val="decimal"/>
      <w:lvlText w:val="(%1)"/>
      <w:lvlJc w:val="left"/>
      <w:pPr>
        <w:ind w:left="1161" w:hanging="585"/>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E5852"/>
    <w:rsid w:val="00036467"/>
    <w:rsid w:val="000447D4"/>
    <w:rsid w:val="000741EF"/>
    <w:rsid w:val="00074541"/>
    <w:rsid w:val="00081AD8"/>
    <w:rsid w:val="000A50B0"/>
    <w:rsid w:val="000B1506"/>
    <w:rsid w:val="000B180A"/>
    <w:rsid w:val="000D622E"/>
    <w:rsid w:val="000D6BFE"/>
    <w:rsid w:val="000E7856"/>
    <w:rsid w:val="00121C95"/>
    <w:rsid w:val="00126BE4"/>
    <w:rsid w:val="00142A12"/>
    <w:rsid w:val="00161B86"/>
    <w:rsid w:val="00167020"/>
    <w:rsid w:val="00170321"/>
    <w:rsid w:val="001C0005"/>
    <w:rsid w:val="001C5802"/>
    <w:rsid w:val="001D4A50"/>
    <w:rsid w:val="001D4E2B"/>
    <w:rsid w:val="001E77A8"/>
    <w:rsid w:val="001F428B"/>
    <w:rsid w:val="00205547"/>
    <w:rsid w:val="00216FAC"/>
    <w:rsid w:val="0023254E"/>
    <w:rsid w:val="00233EAF"/>
    <w:rsid w:val="00234246"/>
    <w:rsid w:val="00247AB2"/>
    <w:rsid w:val="00270013"/>
    <w:rsid w:val="002B48F2"/>
    <w:rsid w:val="002B7320"/>
    <w:rsid w:val="002D0166"/>
    <w:rsid w:val="002E420F"/>
    <w:rsid w:val="002E5852"/>
    <w:rsid w:val="002F7110"/>
    <w:rsid w:val="003B4B8D"/>
    <w:rsid w:val="003E5B53"/>
    <w:rsid w:val="00401CAD"/>
    <w:rsid w:val="00435D9C"/>
    <w:rsid w:val="00443818"/>
    <w:rsid w:val="0046746A"/>
    <w:rsid w:val="004850DF"/>
    <w:rsid w:val="0049116A"/>
    <w:rsid w:val="004960A4"/>
    <w:rsid w:val="004B4AC3"/>
    <w:rsid w:val="004B54D7"/>
    <w:rsid w:val="004F63CF"/>
    <w:rsid w:val="00513F7E"/>
    <w:rsid w:val="00533B52"/>
    <w:rsid w:val="00576FFB"/>
    <w:rsid w:val="005A7C4E"/>
    <w:rsid w:val="005D6C2C"/>
    <w:rsid w:val="0061448A"/>
    <w:rsid w:val="00617CB5"/>
    <w:rsid w:val="00641808"/>
    <w:rsid w:val="00645580"/>
    <w:rsid w:val="00656620"/>
    <w:rsid w:val="00671748"/>
    <w:rsid w:val="00681A98"/>
    <w:rsid w:val="006C1A79"/>
    <w:rsid w:val="006C440E"/>
    <w:rsid w:val="006F5561"/>
    <w:rsid w:val="006F6325"/>
    <w:rsid w:val="00733679"/>
    <w:rsid w:val="00733CEC"/>
    <w:rsid w:val="0074702A"/>
    <w:rsid w:val="007A55A5"/>
    <w:rsid w:val="007D32F9"/>
    <w:rsid w:val="007E0298"/>
    <w:rsid w:val="00826D18"/>
    <w:rsid w:val="008C2C99"/>
    <w:rsid w:val="008E09F6"/>
    <w:rsid w:val="008F4AB4"/>
    <w:rsid w:val="008F7436"/>
    <w:rsid w:val="00910753"/>
    <w:rsid w:val="00964665"/>
    <w:rsid w:val="00992764"/>
    <w:rsid w:val="009D132D"/>
    <w:rsid w:val="009E0BAC"/>
    <w:rsid w:val="00A27162"/>
    <w:rsid w:val="00A4568E"/>
    <w:rsid w:val="00A51CB8"/>
    <w:rsid w:val="00A54AA2"/>
    <w:rsid w:val="00A95A77"/>
    <w:rsid w:val="00AB6328"/>
    <w:rsid w:val="00AB6FDC"/>
    <w:rsid w:val="00AB7A70"/>
    <w:rsid w:val="00AF09B7"/>
    <w:rsid w:val="00B038FF"/>
    <w:rsid w:val="00B33254"/>
    <w:rsid w:val="00B547BD"/>
    <w:rsid w:val="00B57CC7"/>
    <w:rsid w:val="00B643CF"/>
    <w:rsid w:val="00B659C7"/>
    <w:rsid w:val="00B66762"/>
    <w:rsid w:val="00BE6320"/>
    <w:rsid w:val="00BF5E1E"/>
    <w:rsid w:val="00C0265C"/>
    <w:rsid w:val="00C2619F"/>
    <w:rsid w:val="00C31C5A"/>
    <w:rsid w:val="00C43390"/>
    <w:rsid w:val="00C46D97"/>
    <w:rsid w:val="00C552FE"/>
    <w:rsid w:val="00C62692"/>
    <w:rsid w:val="00C62AFE"/>
    <w:rsid w:val="00C72690"/>
    <w:rsid w:val="00C966BF"/>
    <w:rsid w:val="00CB4992"/>
    <w:rsid w:val="00CC0AF3"/>
    <w:rsid w:val="00CF3696"/>
    <w:rsid w:val="00D173DC"/>
    <w:rsid w:val="00D17B3C"/>
    <w:rsid w:val="00D446A3"/>
    <w:rsid w:val="00D54B6B"/>
    <w:rsid w:val="00D55730"/>
    <w:rsid w:val="00DB2398"/>
    <w:rsid w:val="00DD3979"/>
    <w:rsid w:val="00DD450C"/>
    <w:rsid w:val="00DF1E05"/>
    <w:rsid w:val="00E134AB"/>
    <w:rsid w:val="00E36D9C"/>
    <w:rsid w:val="00E6088C"/>
    <w:rsid w:val="00E625E7"/>
    <w:rsid w:val="00E64E81"/>
    <w:rsid w:val="00E715D6"/>
    <w:rsid w:val="00E76F55"/>
    <w:rsid w:val="00EA0F31"/>
    <w:rsid w:val="00EA575C"/>
    <w:rsid w:val="00EC3958"/>
    <w:rsid w:val="00ED049C"/>
    <w:rsid w:val="00ED33DD"/>
    <w:rsid w:val="00EE503B"/>
    <w:rsid w:val="00EF54AB"/>
    <w:rsid w:val="00F03A07"/>
    <w:rsid w:val="00F30C12"/>
    <w:rsid w:val="00F40840"/>
    <w:rsid w:val="00F602B3"/>
    <w:rsid w:val="00F6060A"/>
    <w:rsid w:val="00F82947"/>
    <w:rsid w:val="00FE2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67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33679"/>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33679"/>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33679"/>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33679"/>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33679"/>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33679"/>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33679"/>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33679"/>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33679"/>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33679"/>
  </w:style>
  <w:style w:type="paragraph" w:customStyle="1" w:styleId="level10">
    <w:name w:val="_level1"/>
    <w:uiPriority w:val="99"/>
    <w:rsid w:val="0073367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33679"/>
    <w:rPr>
      <w:color w:val="0000FF"/>
      <w:u w:val="single"/>
    </w:rPr>
  </w:style>
  <w:style w:type="character" w:styleId="Hyperlink">
    <w:name w:val="Hyperlink"/>
    <w:uiPriority w:val="99"/>
    <w:unhideWhenUsed/>
    <w:rsid w:val="00142A12"/>
    <w:rPr>
      <w:rFonts w:cs="Times New Roman"/>
      <w:color w:val="0000FF"/>
      <w:u w:val="single"/>
    </w:rPr>
  </w:style>
  <w:style w:type="paragraph" w:styleId="Header">
    <w:name w:val="header"/>
    <w:basedOn w:val="Normal"/>
    <w:link w:val="HeaderChar"/>
    <w:uiPriority w:val="99"/>
    <w:unhideWhenUsed/>
    <w:rsid w:val="001E77A8"/>
    <w:pPr>
      <w:tabs>
        <w:tab w:val="center" w:pos="4680"/>
        <w:tab w:val="right" w:pos="9360"/>
      </w:tabs>
    </w:pPr>
  </w:style>
  <w:style w:type="character" w:customStyle="1" w:styleId="HeaderChar">
    <w:name w:val="Header Char"/>
    <w:link w:val="Header"/>
    <w:uiPriority w:val="99"/>
    <w:rsid w:val="001E77A8"/>
    <w:rPr>
      <w:rFonts w:ascii="Times New Roman" w:hAnsi="Times New Roman"/>
      <w:sz w:val="20"/>
      <w:szCs w:val="20"/>
    </w:rPr>
  </w:style>
  <w:style w:type="paragraph" w:styleId="Footer">
    <w:name w:val="footer"/>
    <w:basedOn w:val="Normal"/>
    <w:link w:val="FooterChar"/>
    <w:uiPriority w:val="99"/>
    <w:unhideWhenUsed/>
    <w:rsid w:val="001E77A8"/>
    <w:pPr>
      <w:tabs>
        <w:tab w:val="center" w:pos="4680"/>
        <w:tab w:val="right" w:pos="9360"/>
      </w:tabs>
    </w:pPr>
  </w:style>
  <w:style w:type="character" w:customStyle="1" w:styleId="FooterChar">
    <w:name w:val="Footer Char"/>
    <w:link w:val="Footer"/>
    <w:uiPriority w:val="99"/>
    <w:rsid w:val="001E77A8"/>
    <w:rPr>
      <w:rFonts w:ascii="Times New Roman" w:hAnsi="Times New Roman"/>
      <w:sz w:val="20"/>
      <w:szCs w:val="20"/>
    </w:rPr>
  </w:style>
  <w:style w:type="paragraph" w:styleId="BalloonText">
    <w:name w:val="Balloon Text"/>
    <w:basedOn w:val="Normal"/>
    <w:link w:val="BalloonTextChar"/>
    <w:uiPriority w:val="99"/>
    <w:semiHidden/>
    <w:unhideWhenUsed/>
    <w:rsid w:val="00443818"/>
    <w:rPr>
      <w:rFonts w:ascii="Tahoma" w:hAnsi="Tahoma"/>
      <w:sz w:val="16"/>
      <w:szCs w:val="16"/>
    </w:rPr>
  </w:style>
  <w:style w:type="character" w:customStyle="1" w:styleId="BalloonTextChar">
    <w:name w:val="Balloon Text Char"/>
    <w:link w:val="BalloonText"/>
    <w:uiPriority w:val="99"/>
    <w:semiHidden/>
    <w:rsid w:val="00443818"/>
    <w:rPr>
      <w:rFonts w:ascii="Tahoma" w:hAnsi="Tahoma" w:cs="Tahoma"/>
      <w:sz w:val="16"/>
      <w:szCs w:val="16"/>
    </w:rPr>
  </w:style>
  <w:style w:type="character" w:styleId="CommentReference">
    <w:name w:val="annotation reference"/>
    <w:uiPriority w:val="99"/>
    <w:semiHidden/>
    <w:unhideWhenUsed/>
    <w:rsid w:val="00EA0F31"/>
    <w:rPr>
      <w:sz w:val="16"/>
      <w:szCs w:val="16"/>
    </w:rPr>
  </w:style>
  <w:style w:type="paragraph" w:styleId="CommentText">
    <w:name w:val="annotation text"/>
    <w:basedOn w:val="Normal"/>
    <w:link w:val="CommentTextChar"/>
    <w:uiPriority w:val="99"/>
    <w:semiHidden/>
    <w:unhideWhenUsed/>
    <w:rsid w:val="00EA0F31"/>
  </w:style>
  <w:style w:type="character" w:customStyle="1" w:styleId="CommentTextChar">
    <w:name w:val="Comment Text Char"/>
    <w:link w:val="CommentText"/>
    <w:uiPriority w:val="99"/>
    <w:semiHidden/>
    <w:rsid w:val="00EA0F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0F31"/>
    <w:rPr>
      <w:b/>
      <w:bCs/>
    </w:rPr>
  </w:style>
  <w:style w:type="character" w:customStyle="1" w:styleId="CommentSubjectChar">
    <w:name w:val="Comment Subject Char"/>
    <w:link w:val="CommentSubject"/>
    <w:uiPriority w:val="99"/>
    <w:semiHidden/>
    <w:rsid w:val="00EA0F31"/>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ngerlink.com/content/22r5lk1tpu073554/fulltext.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FFFA2-655A-4A90-A5F1-C1061FE7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1318</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9016</CharactersWithSpaces>
  <SharedDoc>false</SharedDoc>
  <HLinks>
    <vt:vector size="6" baseType="variant">
      <vt:variant>
        <vt:i4>64</vt:i4>
      </vt:variant>
      <vt:variant>
        <vt:i4>2</vt:i4>
      </vt:variant>
      <vt:variant>
        <vt:i4>0</vt:i4>
      </vt:variant>
      <vt:variant>
        <vt:i4>5</vt:i4>
      </vt:variant>
      <vt:variant>
        <vt:lpwstr>http://www.springerlink.com/content/22r5lk1tpu073554/fulltext.pdf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HoppRi</cp:lastModifiedBy>
  <cp:revision>4</cp:revision>
  <cp:lastPrinted>2013-07-19T10:54:00Z</cp:lastPrinted>
  <dcterms:created xsi:type="dcterms:W3CDTF">2014-01-28T19:14:00Z</dcterms:created>
  <dcterms:modified xsi:type="dcterms:W3CDTF">2014-01-28T19:16:00Z</dcterms:modified>
</cp:coreProperties>
</file>